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841A3" w14:textId="77777777" w:rsidR="00057A96" w:rsidRPr="002E15E5" w:rsidRDefault="00057A96" w:rsidP="00057A96">
      <w:r w:rsidRPr="002E15E5">
        <w:t>C</w:t>
      </w:r>
      <w:bookmarkStart w:id="0" w:name="_GoBack"/>
      <w:bookmarkEnd w:id="0"/>
      <w:r w:rsidRPr="002E15E5">
        <w:t>alifornia Department of Education</w:t>
      </w:r>
    </w:p>
    <w:p w14:paraId="38C841A4" w14:textId="77777777" w:rsidR="00057A96" w:rsidRPr="002E15E5" w:rsidRDefault="00057A96" w:rsidP="00057A96">
      <w:r w:rsidRPr="002E15E5">
        <w:t>Executive Office</w:t>
      </w:r>
    </w:p>
    <w:p w14:paraId="38C841A5" w14:textId="77777777" w:rsidR="00982A10" w:rsidRPr="002E15E5" w:rsidRDefault="00057A96" w:rsidP="00982A10">
      <w:r w:rsidRPr="002E15E5">
        <w:t>SBE-00</w:t>
      </w:r>
      <w:r w:rsidR="00BC376B" w:rsidRPr="002E15E5">
        <w:t>2</w:t>
      </w:r>
      <w:r w:rsidRPr="002E15E5">
        <w:t xml:space="preserve"> (REV. 1</w:t>
      </w:r>
      <w:r w:rsidR="000C139F" w:rsidRPr="002E15E5">
        <w:t>1</w:t>
      </w:r>
      <w:r w:rsidRPr="002E15E5">
        <w:t>/2017)</w:t>
      </w:r>
    </w:p>
    <w:p w14:paraId="38C841A6" w14:textId="77777777" w:rsidR="00982A10" w:rsidRPr="002E15E5" w:rsidRDefault="00982A10" w:rsidP="00982A10">
      <w:r w:rsidRPr="002E15E5">
        <w:br w:type="column"/>
      </w:r>
      <w:proofErr w:type="gramStart"/>
      <w:r w:rsidR="003873B4" w:rsidRPr="002E15E5">
        <w:t>memo-pptb-amard-jun18item01</w:t>
      </w:r>
      <w:proofErr w:type="gramEnd"/>
    </w:p>
    <w:p w14:paraId="38C841A7" w14:textId="77777777" w:rsidR="00982A10" w:rsidRPr="002E15E5" w:rsidRDefault="00982A10" w:rsidP="0033616F">
      <w:pPr>
        <w:pStyle w:val="Heading1"/>
        <w:spacing w:line="360" w:lineRule="auto"/>
        <w:rPr>
          <w:rFonts w:ascii="Arial" w:hAnsi="Arial" w:cs="Arial"/>
          <w:b/>
          <w:color w:val="auto"/>
          <w:sz w:val="40"/>
          <w:szCs w:val="52"/>
        </w:rPr>
        <w:sectPr w:rsidR="00982A10" w:rsidRPr="002E15E5" w:rsidSect="00982A10">
          <w:type w:val="continuous"/>
          <w:pgSz w:w="12240" w:h="15840"/>
          <w:pgMar w:top="720" w:right="1440" w:bottom="1440" w:left="1440" w:header="720" w:footer="720" w:gutter="0"/>
          <w:cols w:num="2" w:space="144" w:equalWidth="0">
            <w:col w:w="5760" w:space="144"/>
            <w:col w:w="3456"/>
          </w:cols>
        </w:sectPr>
      </w:pPr>
    </w:p>
    <w:p w14:paraId="38C841A8" w14:textId="77777777" w:rsidR="00057A96" w:rsidRPr="002E15E5" w:rsidRDefault="00BC376B" w:rsidP="0033616F">
      <w:pPr>
        <w:pStyle w:val="Heading1"/>
        <w:spacing w:line="360" w:lineRule="auto"/>
        <w:rPr>
          <w:rFonts w:ascii="Arial" w:hAnsi="Arial" w:cs="Arial"/>
          <w:b/>
          <w:color w:val="auto"/>
          <w:sz w:val="40"/>
          <w:szCs w:val="52"/>
        </w:rPr>
      </w:pPr>
      <w:r w:rsidRPr="002E15E5">
        <w:rPr>
          <w:rFonts w:ascii="Arial" w:hAnsi="Arial" w:cs="Arial"/>
          <w:b/>
          <w:color w:val="auto"/>
          <w:sz w:val="40"/>
          <w:szCs w:val="52"/>
        </w:rPr>
        <w:t>MEMORANDUM</w:t>
      </w:r>
    </w:p>
    <w:p w14:paraId="38C841A9" w14:textId="07ABD360" w:rsidR="00057A96" w:rsidRPr="00EC5A5D" w:rsidRDefault="008F6CA0" w:rsidP="00EC5A5D">
      <w:pPr>
        <w:pStyle w:val="MessageHeader"/>
      </w:pPr>
      <w:r w:rsidRPr="00EC5A5D">
        <w:rPr>
          <w:b/>
        </w:rPr>
        <w:t>DATE:</w:t>
      </w:r>
      <w:r w:rsidRPr="00EC5A5D">
        <w:tab/>
      </w:r>
      <w:r w:rsidR="001B0A2B" w:rsidRPr="00EC5A5D">
        <w:t xml:space="preserve">June </w:t>
      </w:r>
      <w:r w:rsidR="000F0264" w:rsidRPr="00EC5A5D">
        <w:t>20</w:t>
      </w:r>
      <w:r w:rsidR="003873B4" w:rsidRPr="00EC5A5D">
        <w:t>, 2018</w:t>
      </w:r>
      <w:r w:rsidR="00057A96" w:rsidRPr="00EC5A5D">
        <w:t xml:space="preserve"> </w:t>
      </w:r>
    </w:p>
    <w:p w14:paraId="38C841AA" w14:textId="77777777" w:rsidR="00057A96" w:rsidRPr="00EC5A5D" w:rsidRDefault="00057A96" w:rsidP="00EC5A5D">
      <w:pPr>
        <w:pStyle w:val="MessageHeader"/>
      </w:pPr>
      <w:r w:rsidRPr="00EC5A5D">
        <w:rPr>
          <w:b/>
        </w:rPr>
        <w:t>TO:</w:t>
      </w:r>
      <w:r w:rsidRPr="00EC5A5D">
        <w:tab/>
        <w:t>MEMBERS, State Board of Education</w:t>
      </w:r>
      <w:r w:rsidRPr="00EC5A5D">
        <w:tab/>
      </w:r>
    </w:p>
    <w:p w14:paraId="38C841AB" w14:textId="77777777" w:rsidR="00057A96" w:rsidRPr="00EC5A5D" w:rsidRDefault="00057A96" w:rsidP="00EC5A5D">
      <w:pPr>
        <w:pStyle w:val="MessageHeader"/>
      </w:pPr>
      <w:r w:rsidRPr="00EC5A5D">
        <w:rPr>
          <w:b/>
        </w:rPr>
        <w:t>FROM:</w:t>
      </w:r>
      <w:r w:rsidR="00C61F78" w:rsidRPr="00EC5A5D">
        <w:tab/>
        <w:t xml:space="preserve">TOM TORLAKSON, </w:t>
      </w:r>
      <w:r w:rsidRPr="00EC5A5D">
        <w:t>State Superintendent of Public Instruction</w:t>
      </w:r>
    </w:p>
    <w:p w14:paraId="38C841AC" w14:textId="02582B07" w:rsidR="00057A96" w:rsidRPr="00EC5A5D" w:rsidRDefault="00057A96" w:rsidP="00EC5A5D">
      <w:pPr>
        <w:pStyle w:val="MessageHeader"/>
      </w:pPr>
      <w:r w:rsidRPr="00EC5A5D">
        <w:rPr>
          <w:b/>
        </w:rPr>
        <w:t>SUBJECT:</w:t>
      </w:r>
      <w:r w:rsidRPr="00EC5A5D">
        <w:tab/>
      </w:r>
      <w:r w:rsidR="003873B4" w:rsidRPr="00EC5A5D">
        <w:t xml:space="preserve">Update on the Development of a Growth Model: </w:t>
      </w:r>
      <w:r w:rsidR="001B0A2B" w:rsidRPr="00EC5A5D">
        <w:t>Incorporating a</w:t>
      </w:r>
      <w:r w:rsidR="003873B4" w:rsidRPr="00EC5A5D">
        <w:t xml:space="preserve"> Growth Model in</w:t>
      </w:r>
      <w:r w:rsidR="001B0A2B" w:rsidRPr="00EC5A5D">
        <w:t xml:space="preserve">to the </w:t>
      </w:r>
      <w:r w:rsidR="003873B4" w:rsidRPr="00EC5A5D">
        <w:t>California</w:t>
      </w:r>
      <w:r w:rsidR="001B0A2B" w:rsidRPr="00EC5A5D">
        <w:t xml:space="preserve"> Accountability System</w:t>
      </w:r>
      <w:r w:rsidR="003873B4" w:rsidRPr="00EC5A5D">
        <w:t>.</w:t>
      </w:r>
    </w:p>
    <w:p w14:paraId="38C841AD" w14:textId="77777777" w:rsidR="00057A96" w:rsidRPr="004E7EE9" w:rsidRDefault="00474A2F" w:rsidP="004E7EE9">
      <w:pPr>
        <w:pStyle w:val="Heading2"/>
      </w:pPr>
      <w:r w:rsidRPr="004E7EE9">
        <w:t>Summary o</w:t>
      </w:r>
      <w:r w:rsidR="00057A96" w:rsidRPr="004E7EE9">
        <w:t>f Key Issues</w:t>
      </w:r>
    </w:p>
    <w:p w14:paraId="76E719E4" w14:textId="7E716E1D" w:rsidR="00E97207" w:rsidRPr="002E15E5" w:rsidRDefault="00E97207" w:rsidP="00B54045">
      <w:pPr>
        <w:spacing w:after="240"/>
        <w:rPr>
          <w:rFonts w:cs="Arial"/>
        </w:rPr>
      </w:pPr>
      <w:r w:rsidRPr="002E15E5">
        <w:rPr>
          <w:rFonts w:cs="Arial"/>
        </w:rPr>
        <w:t>In 2016, t</w:t>
      </w:r>
      <w:r w:rsidR="001B0A2B" w:rsidRPr="002E15E5">
        <w:rPr>
          <w:rFonts w:cs="Arial"/>
        </w:rPr>
        <w:t xml:space="preserve">he State Board of Education (SBE) </w:t>
      </w:r>
      <w:r w:rsidRPr="002E15E5">
        <w:rPr>
          <w:rFonts w:cs="Arial"/>
        </w:rPr>
        <w:t>and the California Department of Educat</w:t>
      </w:r>
      <w:r w:rsidR="00CD3769" w:rsidRPr="002E15E5">
        <w:rPr>
          <w:rFonts w:cs="Arial"/>
        </w:rPr>
        <w:t>i</w:t>
      </w:r>
      <w:r w:rsidRPr="002E15E5">
        <w:rPr>
          <w:rFonts w:cs="Arial"/>
        </w:rPr>
        <w:t xml:space="preserve">on (CDE) </w:t>
      </w:r>
      <w:r w:rsidR="001B0A2B" w:rsidRPr="002E15E5">
        <w:rPr>
          <w:rFonts w:cs="Arial"/>
        </w:rPr>
        <w:t>began work on the</w:t>
      </w:r>
      <w:r w:rsidR="000B3606" w:rsidRPr="002E15E5">
        <w:rPr>
          <w:rFonts w:cs="Arial"/>
        </w:rPr>
        <w:t xml:space="preserve"> possible</w:t>
      </w:r>
      <w:r w:rsidR="001B0A2B" w:rsidRPr="002E15E5">
        <w:rPr>
          <w:rFonts w:cs="Arial"/>
        </w:rPr>
        <w:t xml:space="preserve"> inclusion of a student-level growth model in </w:t>
      </w:r>
      <w:r w:rsidRPr="002E15E5">
        <w:rPr>
          <w:rFonts w:cs="Arial"/>
        </w:rPr>
        <w:t xml:space="preserve">California’s </w:t>
      </w:r>
      <w:r w:rsidR="001B0A2B" w:rsidRPr="002E15E5">
        <w:rPr>
          <w:rFonts w:cs="Arial"/>
        </w:rPr>
        <w:t>new accountability system</w:t>
      </w:r>
      <w:r w:rsidRPr="002E15E5">
        <w:rPr>
          <w:rFonts w:cs="Arial"/>
        </w:rPr>
        <w:t xml:space="preserve"> and the California School Dashboard (Dashboard).</w:t>
      </w:r>
      <w:r w:rsidR="00C13E7E" w:rsidRPr="002E15E5">
        <w:rPr>
          <w:rFonts w:cs="Arial"/>
        </w:rPr>
        <w:t xml:space="preserve"> </w:t>
      </w:r>
      <w:r w:rsidRPr="002E15E5">
        <w:rPr>
          <w:rFonts w:cs="Arial"/>
        </w:rPr>
        <w:t>W</w:t>
      </w:r>
      <w:r w:rsidR="00C13E7E" w:rsidRPr="002E15E5">
        <w:rPr>
          <w:rFonts w:cs="Arial"/>
        </w:rPr>
        <w:t>ork</w:t>
      </w:r>
      <w:r w:rsidRPr="002E15E5">
        <w:rPr>
          <w:rFonts w:cs="Arial"/>
        </w:rPr>
        <w:t>ing</w:t>
      </w:r>
      <w:r w:rsidR="00C13E7E" w:rsidRPr="002E15E5">
        <w:rPr>
          <w:rFonts w:cs="Arial"/>
        </w:rPr>
        <w:t xml:space="preserve"> closely with the Technical Design Group (TDG)</w:t>
      </w:r>
      <w:r w:rsidR="006B777D" w:rsidRPr="002E15E5">
        <w:rPr>
          <w:rFonts w:cs="Arial"/>
        </w:rPr>
        <w:t xml:space="preserve"> and staff at the </w:t>
      </w:r>
      <w:r w:rsidR="00C13E7E" w:rsidRPr="002E15E5">
        <w:rPr>
          <w:rFonts w:cs="Arial"/>
        </w:rPr>
        <w:t>Educational Testing Service (ETS)</w:t>
      </w:r>
      <w:r w:rsidRPr="002E15E5">
        <w:rPr>
          <w:rFonts w:cs="Arial"/>
        </w:rPr>
        <w:t>, the CDE</w:t>
      </w:r>
      <w:r w:rsidR="00090951" w:rsidRPr="002E15E5">
        <w:rPr>
          <w:rFonts w:cs="Arial"/>
        </w:rPr>
        <w:t xml:space="preserve"> e</w:t>
      </w:r>
      <w:r w:rsidRPr="002E15E5">
        <w:rPr>
          <w:rFonts w:cs="Arial"/>
        </w:rPr>
        <w:t>xplored three different student growth models:</w:t>
      </w:r>
    </w:p>
    <w:p w14:paraId="1199DE8E" w14:textId="77777777" w:rsidR="00E97207" w:rsidRPr="002E15E5" w:rsidRDefault="00E97207" w:rsidP="00DB2481">
      <w:pPr>
        <w:pStyle w:val="ListParagraph"/>
        <w:numPr>
          <w:ilvl w:val="0"/>
          <w:numId w:val="4"/>
        </w:numPr>
        <w:spacing w:after="240"/>
        <w:contextualSpacing w:val="0"/>
        <w:rPr>
          <w:sz w:val="24"/>
          <w:szCs w:val="24"/>
        </w:rPr>
      </w:pPr>
      <w:r w:rsidRPr="002E15E5">
        <w:rPr>
          <w:sz w:val="24"/>
          <w:szCs w:val="24"/>
        </w:rPr>
        <w:t xml:space="preserve">Change in Distance to </w:t>
      </w:r>
      <w:proofErr w:type="spellStart"/>
      <w:r w:rsidRPr="002E15E5">
        <w:rPr>
          <w:sz w:val="24"/>
          <w:szCs w:val="24"/>
        </w:rPr>
        <w:t>Met</w:t>
      </w:r>
      <w:proofErr w:type="spellEnd"/>
      <w:r w:rsidRPr="002E15E5">
        <w:rPr>
          <w:sz w:val="24"/>
          <w:szCs w:val="24"/>
        </w:rPr>
        <w:t xml:space="preserve"> (CDTM)</w:t>
      </w:r>
    </w:p>
    <w:p w14:paraId="56FBA8DA" w14:textId="77777777" w:rsidR="00E97207" w:rsidRPr="002E15E5" w:rsidRDefault="00E97207" w:rsidP="00DB2481">
      <w:pPr>
        <w:pStyle w:val="ListParagraph"/>
        <w:numPr>
          <w:ilvl w:val="0"/>
          <w:numId w:val="4"/>
        </w:numPr>
        <w:spacing w:after="240"/>
        <w:contextualSpacing w:val="0"/>
        <w:rPr>
          <w:sz w:val="24"/>
          <w:szCs w:val="24"/>
        </w:rPr>
      </w:pPr>
      <w:r w:rsidRPr="002E15E5">
        <w:rPr>
          <w:sz w:val="24"/>
          <w:szCs w:val="24"/>
        </w:rPr>
        <w:t xml:space="preserve">Conditional Percentile Rank of Gain (CPR), and </w:t>
      </w:r>
    </w:p>
    <w:p w14:paraId="0F89A70A" w14:textId="77777777" w:rsidR="00E97207" w:rsidRPr="002E15E5" w:rsidRDefault="00E97207" w:rsidP="00DB2481">
      <w:pPr>
        <w:pStyle w:val="ListParagraph"/>
        <w:numPr>
          <w:ilvl w:val="0"/>
          <w:numId w:val="4"/>
        </w:numPr>
        <w:spacing w:after="240"/>
        <w:contextualSpacing w:val="0"/>
        <w:rPr>
          <w:sz w:val="24"/>
          <w:szCs w:val="24"/>
        </w:rPr>
      </w:pPr>
      <w:r w:rsidRPr="002E15E5">
        <w:rPr>
          <w:sz w:val="24"/>
          <w:szCs w:val="24"/>
        </w:rPr>
        <w:t>Residual Gain (RG).</w:t>
      </w:r>
    </w:p>
    <w:p w14:paraId="6FD27E4B" w14:textId="5FD36523" w:rsidR="003B5BBA" w:rsidRPr="002E15E5" w:rsidRDefault="00E97207" w:rsidP="00C13E7E">
      <w:pPr>
        <w:spacing w:before="240"/>
        <w:rPr>
          <w:rFonts w:cs="Arial"/>
        </w:rPr>
      </w:pPr>
      <w:r w:rsidRPr="002E15E5">
        <w:rPr>
          <w:rFonts w:cs="Arial"/>
        </w:rPr>
        <w:t>Based on the data simulations conducted on all three models, the SBE directed the CDE</w:t>
      </w:r>
      <w:r w:rsidR="00CE50AB" w:rsidRPr="002E15E5">
        <w:rPr>
          <w:rFonts w:cs="Arial"/>
        </w:rPr>
        <w:t>, at the May 2018 SBE meeting,</w:t>
      </w:r>
      <w:r w:rsidRPr="002E15E5">
        <w:rPr>
          <w:rFonts w:cs="Arial"/>
        </w:rPr>
        <w:t xml:space="preserve"> to focus on the RG model to address</w:t>
      </w:r>
      <w:r w:rsidR="00090951" w:rsidRPr="002E15E5">
        <w:rPr>
          <w:rFonts w:cs="Arial"/>
        </w:rPr>
        <w:t xml:space="preserve"> the following questions</w:t>
      </w:r>
      <w:r w:rsidRPr="002E15E5">
        <w:rPr>
          <w:rFonts w:cs="Arial"/>
        </w:rPr>
        <w:t>:</w:t>
      </w:r>
    </w:p>
    <w:p w14:paraId="0D4A708C" w14:textId="4A364386" w:rsidR="00090951" w:rsidRPr="002E15E5" w:rsidRDefault="00090951" w:rsidP="005C1B3B">
      <w:pPr>
        <w:pStyle w:val="ListParagraph"/>
        <w:numPr>
          <w:ilvl w:val="0"/>
          <w:numId w:val="1"/>
        </w:numPr>
        <w:spacing w:before="240" w:after="240" w:line="240" w:lineRule="auto"/>
        <w:contextualSpacing w:val="0"/>
        <w:rPr>
          <w:sz w:val="24"/>
          <w:szCs w:val="24"/>
        </w:rPr>
      </w:pPr>
      <w:r w:rsidRPr="002E15E5">
        <w:rPr>
          <w:sz w:val="24"/>
          <w:szCs w:val="24"/>
        </w:rPr>
        <w:t xml:space="preserve">What information does the RG model provide compared to the information that the current </w:t>
      </w:r>
      <w:r w:rsidR="00521EDE" w:rsidRPr="002E15E5">
        <w:rPr>
          <w:sz w:val="24"/>
          <w:szCs w:val="24"/>
        </w:rPr>
        <w:t xml:space="preserve">Distance </w:t>
      </w:r>
      <w:r w:rsidRPr="002E15E5">
        <w:rPr>
          <w:sz w:val="24"/>
          <w:szCs w:val="24"/>
        </w:rPr>
        <w:t>from Level 3 (DF3) provides?</w:t>
      </w:r>
    </w:p>
    <w:p w14:paraId="7BCC5ACF" w14:textId="77777777" w:rsidR="00090951" w:rsidRPr="002E15E5" w:rsidRDefault="00090951" w:rsidP="00090951">
      <w:pPr>
        <w:pStyle w:val="ListParagraph"/>
        <w:numPr>
          <w:ilvl w:val="0"/>
          <w:numId w:val="1"/>
        </w:numPr>
        <w:spacing w:before="240" w:after="240" w:line="240" w:lineRule="auto"/>
        <w:contextualSpacing w:val="0"/>
        <w:rPr>
          <w:sz w:val="24"/>
          <w:szCs w:val="24"/>
        </w:rPr>
      </w:pPr>
      <w:r w:rsidRPr="002E15E5">
        <w:rPr>
          <w:sz w:val="24"/>
          <w:szCs w:val="24"/>
        </w:rPr>
        <w:t>How would the RG model fit into the current accountability five-by five structure?</w:t>
      </w:r>
    </w:p>
    <w:p w14:paraId="05FBEC75" w14:textId="24E74A79" w:rsidR="00E97207" w:rsidRPr="002E15E5" w:rsidRDefault="00090951" w:rsidP="00C13E7E">
      <w:pPr>
        <w:spacing w:before="240"/>
        <w:rPr>
          <w:rFonts w:cs="Arial"/>
        </w:rPr>
      </w:pPr>
      <w:r w:rsidRPr="002E15E5">
        <w:rPr>
          <w:rFonts w:cs="Arial"/>
        </w:rPr>
        <w:t xml:space="preserve">The CDE has since engaged several stakeholder groups in discussions on the RG </w:t>
      </w:r>
      <w:proofErr w:type="gramStart"/>
      <w:r w:rsidRPr="002E15E5">
        <w:rPr>
          <w:rFonts w:cs="Arial"/>
        </w:rPr>
        <w:t>model</w:t>
      </w:r>
      <w:proofErr w:type="gramEnd"/>
      <w:r w:rsidRPr="002E15E5">
        <w:rPr>
          <w:rFonts w:cs="Arial"/>
        </w:rPr>
        <w:t xml:space="preserve"> and sought their feedback on the usefulness </w:t>
      </w:r>
      <w:r w:rsidR="00CD3769" w:rsidRPr="002E15E5">
        <w:rPr>
          <w:rFonts w:cs="Arial"/>
        </w:rPr>
        <w:t>of the model and its incorporation in the Dashboard.</w:t>
      </w:r>
    </w:p>
    <w:p w14:paraId="0153E644" w14:textId="77777777" w:rsidR="003B5BBA" w:rsidRPr="004E7EE9" w:rsidRDefault="003B5BBA" w:rsidP="004E7EE9">
      <w:pPr>
        <w:pStyle w:val="Heading2"/>
      </w:pPr>
      <w:r w:rsidRPr="004E7EE9">
        <w:lastRenderedPageBreak/>
        <w:t>Summary of Previous State Board of Education Discussion and Action</w:t>
      </w:r>
    </w:p>
    <w:p w14:paraId="556789A7" w14:textId="5820BA5B" w:rsidR="00E97207" w:rsidRPr="002E15E5" w:rsidRDefault="003B5BBA" w:rsidP="003B5BBA">
      <w:pPr>
        <w:spacing w:before="240"/>
      </w:pPr>
      <w:r w:rsidRPr="002E15E5">
        <w:rPr>
          <w:rFonts w:cs="Arial"/>
        </w:rPr>
        <w:t xml:space="preserve">At the May 2018 SBE meeting, </w:t>
      </w:r>
      <w:r w:rsidRPr="002E15E5">
        <w:t xml:space="preserve">CDE presented </w:t>
      </w:r>
      <w:r w:rsidR="00E97207" w:rsidRPr="002E15E5">
        <w:t xml:space="preserve">the </w:t>
      </w:r>
      <w:r w:rsidRPr="002E15E5">
        <w:t>three student-level growth model options</w:t>
      </w:r>
      <w:r w:rsidR="00090951" w:rsidRPr="002E15E5">
        <w:t xml:space="preserve"> (cited above)</w:t>
      </w:r>
      <w:r w:rsidRPr="002E15E5">
        <w:t xml:space="preserve"> for consideration</w:t>
      </w:r>
      <w:r w:rsidR="00DB2481" w:rsidRPr="002E15E5">
        <w:t xml:space="preserve"> </w:t>
      </w:r>
      <w:r w:rsidR="00E97207" w:rsidRPr="002E15E5">
        <w:t>(</w:t>
      </w:r>
      <w:hyperlink r:id="rId11" w:tooltip="Student Level Growth Model" w:history="1">
        <w:r w:rsidR="00E97207" w:rsidRPr="002E15E5">
          <w:rPr>
            <w:rStyle w:val="Hyperlink"/>
          </w:rPr>
          <w:t>https://www.cde.ca.gov/be/ag/ag/yr18/documents/may18item02.docx</w:t>
        </w:r>
      </w:hyperlink>
      <w:r w:rsidR="001472F9" w:rsidRPr="002E15E5">
        <w:t>).</w:t>
      </w:r>
    </w:p>
    <w:p w14:paraId="02B8F565" w14:textId="56027925" w:rsidR="003B5BBA" w:rsidRPr="002E15E5" w:rsidRDefault="00090951" w:rsidP="00F276DC">
      <w:pPr>
        <w:spacing w:before="240" w:after="240"/>
      </w:pPr>
      <w:r w:rsidRPr="002E15E5">
        <w:t xml:space="preserve">The </w:t>
      </w:r>
      <w:r w:rsidR="003B5BBA" w:rsidRPr="002E15E5">
        <w:t>SBE approved further exploration of the RG mode and requested additional information</w:t>
      </w:r>
      <w:r w:rsidRPr="002E15E5">
        <w:t xml:space="preserve"> on the model</w:t>
      </w:r>
      <w:r w:rsidR="00CD3769" w:rsidRPr="002E15E5">
        <w:t xml:space="preserve"> (as detailed in the previous section)</w:t>
      </w:r>
      <w:r w:rsidR="006B665D" w:rsidRPr="002E15E5">
        <w:t xml:space="preserve"> </w:t>
      </w:r>
      <w:r w:rsidR="003B5BBA" w:rsidRPr="002E15E5">
        <w:t xml:space="preserve">the July and September 2018 SBE meetings. </w:t>
      </w:r>
    </w:p>
    <w:p w14:paraId="5BD3976C" w14:textId="77777777" w:rsidR="003B5BBA" w:rsidRPr="002E15E5" w:rsidRDefault="003B5BBA" w:rsidP="003B5BBA">
      <w:pPr>
        <w:spacing w:after="240"/>
      </w:pPr>
      <w:r w:rsidRPr="002E15E5">
        <w:t>In March 2018, the SBE reviewed proposed revisions for the 2018 Dashboard, including the inclusion of a student-level growth model (</w:t>
      </w:r>
      <w:hyperlink r:id="rId12" w:tooltip="March 2018 SBE Agenda Item 01" w:history="1">
        <w:r w:rsidRPr="002E15E5">
          <w:rPr>
            <w:rStyle w:val="Hyperlink"/>
          </w:rPr>
          <w:t>https://www.cde.ca.gov/be/ag/ag/yr18/documents/mar18item01.docx</w:t>
        </w:r>
      </w:hyperlink>
      <w:r w:rsidRPr="002E15E5">
        <w:t>).</w:t>
      </w:r>
    </w:p>
    <w:p w14:paraId="5F64FA1A" w14:textId="77777777" w:rsidR="003B5BBA" w:rsidRPr="002E15E5" w:rsidRDefault="003B5BBA" w:rsidP="003B5BBA">
      <w:pPr>
        <w:spacing w:after="240"/>
        <w:rPr>
          <w:b/>
        </w:rPr>
      </w:pPr>
      <w:r w:rsidRPr="002E15E5">
        <w:rPr>
          <w:rFonts w:cs="Arial"/>
        </w:rPr>
        <w:t>In February 2018, the SBE received simulation results, conducted by ETS, for three potential student-level growth models (</w:t>
      </w:r>
      <w:hyperlink r:id="rId13" w:tooltip="February 2018 CDE Info Memo 01" w:history="1">
        <w:r w:rsidRPr="002E15E5">
          <w:rPr>
            <w:rStyle w:val="Hyperlink"/>
            <w:rFonts w:cs="Arial"/>
          </w:rPr>
          <w:t>https://www.cde.ca.gov/be/pn/im/documents/memo-pptb-amard-feb18item01.docx</w:t>
        </w:r>
      </w:hyperlink>
      <w:r w:rsidRPr="002E15E5">
        <w:rPr>
          <w:rFonts w:cs="Arial"/>
        </w:rPr>
        <w:t>).</w:t>
      </w:r>
    </w:p>
    <w:p w14:paraId="3FDB988D" w14:textId="77777777" w:rsidR="003B5BBA" w:rsidRPr="002E15E5" w:rsidRDefault="003B5BBA" w:rsidP="003B5BBA">
      <w:pPr>
        <w:spacing w:after="240"/>
        <w:rPr>
          <w:rFonts w:cs="Arial"/>
        </w:rPr>
      </w:pPr>
      <w:r w:rsidRPr="002E15E5">
        <w:rPr>
          <w:rFonts w:cs="Arial"/>
        </w:rPr>
        <w:t>In June 2017, the SBE received an update on the continued work toward a growth model, including three potential student growth models to be considered for simulations (</w:t>
      </w:r>
      <w:hyperlink r:id="rId14" w:tooltip="June 2017 CDE Info Memo 03" w:history="1">
        <w:r w:rsidRPr="002E15E5">
          <w:rPr>
            <w:rStyle w:val="Hyperlink"/>
            <w:rFonts w:eastAsiaTheme="majorEastAsia" w:cs="Arial"/>
          </w:rPr>
          <w:t>https://www.cde.ca.gov/be/pn/im/documents/memo-asb-adad-jun17item03.doc</w:t>
        </w:r>
      </w:hyperlink>
      <w:r w:rsidRPr="002E15E5">
        <w:rPr>
          <w:rStyle w:val="Hyperlink"/>
          <w:rFonts w:eastAsiaTheme="majorEastAsia" w:cs="Arial"/>
        </w:rPr>
        <w:t>).</w:t>
      </w:r>
    </w:p>
    <w:p w14:paraId="667842A5" w14:textId="77777777" w:rsidR="003B5BBA" w:rsidRPr="002E15E5" w:rsidRDefault="003B5BBA" w:rsidP="003B5BBA">
      <w:pPr>
        <w:spacing w:after="240"/>
        <w:rPr>
          <w:rFonts w:cs="Arial"/>
        </w:rPr>
      </w:pPr>
      <w:r w:rsidRPr="002E15E5">
        <w:rPr>
          <w:rFonts w:cs="Arial"/>
        </w:rPr>
        <w:t>In January 2017, the SBE discussed criteria for selecting a growth model to be used for school and district accountability (</w:t>
      </w:r>
      <w:hyperlink r:id="rId15" w:tooltip="State Board of Education January 2017 Meeting Item 02" w:history="1">
        <w:r w:rsidRPr="002E15E5">
          <w:rPr>
            <w:rFonts w:cs="Arial"/>
            <w:color w:val="0000FF"/>
            <w:u w:val="single"/>
          </w:rPr>
          <w:t>https://www.cde.ca.gov/be/ag/ag/yr17/documents/jan17item02.doc</w:t>
        </w:r>
      </w:hyperlink>
      <w:r w:rsidRPr="002E15E5">
        <w:rPr>
          <w:rFonts w:cs="Arial"/>
        </w:rPr>
        <w:t>).</w:t>
      </w:r>
    </w:p>
    <w:p w14:paraId="2EA1A396" w14:textId="4F5CDE33" w:rsidR="003B5BBA" w:rsidRPr="002E15E5" w:rsidRDefault="003B5BBA" w:rsidP="003B5BBA">
      <w:pPr>
        <w:spacing w:after="240"/>
      </w:pPr>
      <w:r w:rsidRPr="002E15E5">
        <w:t xml:space="preserve">In December 2017, the SBE received an update on the ongoing development of the growth </w:t>
      </w:r>
      <w:r w:rsidR="00DB2481" w:rsidRPr="002E15E5">
        <w:t xml:space="preserve">model </w:t>
      </w:r>
      <w:r w:rsidR="00DB2481" w:rsidRPr="002E15E5">
        <w:br/>
      </w:r>
      <w:r w:rsidRPr="002E15E5">
        <w:t>(</w:t>
      </w:r>
      <w:hyperlink r:id="rId16" w:tooltip="December 2017 CDE Info Memo 03" w:history="1">
        <w:r w:rsidRPr="002E15E5">
          <w:rPr>
            <w:rStyle w:val="Hyperlink"/>
          </w:rPr>
          <w:t>https://www.cde.ca.gov/be/pn/im/documents/memo-pptb-amard-dec17item03.docx</w:t>
        </w:r>
      </w:hyperlink>
      <w:r w:rsidRPr="002E15E5">
        <w:rPr>
          <w:rStyle w:val="Hyperlink"/>
        </w:rPr>
        <w:t>).</w:t>
      </w:r>
    </w:p>
    <w:p w14:paraId="0A0D7DB3" w14:textId="77777777" w:rsidR="003B5BBA" w:rsidRPr="002E15E5" w:rsidRDefault="003B5BBA" w:rsidP="003B5BBA">
      <w:pPr>
        <w:spacing w:after="240"/>
        <w:rPr>
          <w:rFonts w:cs="Arial"/>
        </w:rPr>
      </w:pPr>
      <w:r w:rsidRPr="002E15E5">
        <w:rPr>
          <w:rFonts w:cs="Arial"/>
        </w:rPr>
        <w:t>In June 2016, the CDE provided a progress update and clarified key issues related to the design of a school- and district-level accountability model, as opposed to reporting individual student-level growth and performance (</w:t>
      </w:r>
      <w:hyperlink r:id="rId17" w:tooltip="State Board of Education June 2016 Information Memorandum" w:history="1">
        <w:r w:rsidRPr="002E15E5">
          <w:rPr>
            <w:rFonts w:cs="Arial"/>
            <w:color w:val="0000FF"/>
            <w:u w:val="single"/>
          </w:rPr>
          <w:t>https://www.cde.ca.gov/be/pn/im/documents/memo-dsib-amard-jun16item01.doc</w:t>
        </w:r>
      </w:hyperlink>
      <w:r w:rsidRPr="002E15E5">
        <w:rPr>
          <w:rFonts w:cs="Arial"/>
        </w:rPr>
        <w:t>).</w:t>
      </w:r>
    </w:p>
    <w:p w14:paraId="429BE517" w14:textId="77777777" w:rsidR="003B5BBA" w:rsidRPr="002E15E5" w:rsidRDefault="003B5BBA" w:rsidP="003B5BBA">
      <w:pPr>
        <w:spacing w:after="240"/>
        <w:rPr>
          <w:rFonts w:cs="Arial"/>
        </w:rPr>
      </w:pPr>
      <w:r w:rsidRPr="002E15E5">
        <w:rPr>
          <w:rFonts w:cs="Arial"/>
        </w:rPr>
        <w:t>In February 2016, the SBE received an overview of student-level growth models that could be used to communicate Smarter Balanced Summative Assessment results (</w:t>
      </w:r>
      <w:hyperlink r:id="rId18" w:tooltip="State Board of Education February 2016 Information Memorandum" w:history="1">
        <w:r w:rsidRPr="002E15E5">
          <w:rPr>
            <w:rFonts w:cs="Arial"/>
            <w:color w:val="0000FF"/>
            <w:u w:val="single"/>
          </w:rPr>
          <w:t>https://www.cde.ca.gov/be/pn/im/documents/memo-dsib-amard-feb16item01.doc</w:t>
        </w:r>
      </w:hyperlink>
      <w:r w:rsidRPr="002E15E5">
        <w:rPr>
          <w:rFonts w:cs="Arial"/>
        </w:rPr>
        <w:t>).</w:t>
      </w:r>
    </w:p>
    <w:p w14:paraId="38C841B2" w14:textId="77777777" w:rsidR="003873B4" w:rsidRPr="004E7EE9" w:rsidRDefault="003873B4" w:rsidP="004E7EE9">
      <w:pPr>
        <w:pStyle w:val="Heading3"/>
      </w:pPr>
      <w:r w:rsidRPr="004E7EE9">
        <w:t>Comparing Residual Gain to Distance from Level 3</w:t>
      </w:r>
    </w:p>
    <w:p w14:paraId="38C841B3" w14:textId="2E609F68" w:rsidR="003873B4" w:rsidRPr="004E7EE9" w:rsidRDefault="003873B4" w:rsidP="004E7EE9">
      <w:pPr>
        <w:pStyle w:val="Heading4"/>
      </w:pPr>
      <w:r w:rsidRPr="004E7EE9">
        <w:t xml:space="preserve">What </w:t>
      </w:r>
      <w:r w:rsidR="009841D8" w:rsidRPr="004E7EE9">
        <w:t>D</w:t>
      </w:r>
      <w:r w:rsidRPr="004E7EE9">
        <w:t>oes the RG Model Tell Us?</w:t>
      </w:r>
    </w:p>
    <w:p w14:paraId="6AB31EC0" w14:textId="74B791D3" w:rsidR="001472F9" w:rsidRPr="002E15E5" w:rsidRDefault="001472F9" w:rsidP="001472F9">
      <w:pPr>
        <w:spacing w:before="240" w:after="240"/>
        <w:rPr>
          <w:rFonts w:cs="Arial"/>
        </w:rPr>
      </w:pPr>
      <w:r w:rsidRPr="002E15E5">
        <w:rPr>
          <w:rFonts w:cs="Arial"/>
        </w:rPr>
        <w:t xml:space="preserve">RG is a relative measure of growth that compares a student’s actual score to a predicted score. The calculation of an expected score is created using a student’s prior </w:t>
      </w:r>
      <w:r w:rsidRPr="002E15E5">
        <w:rPr>
          <w:rFonts w:cs="Arial"/>
        </w:rPr>
        <w:lastRenderedPageBreak/>
        <w:t xml:space="preserve">year scores on the Smarter Balanced Summative Assessments for English language arts/literacy (ELA) and mathematics, as well as the scores of all other students in the same grade. The RG score is the difference between a </w:t>
      </w:r>
      <w:proofErr w:type="gramStart"/>
      <w:r w:rsidRPr="002E15E5">
        <w:rPr>
          <w:rFonts w:cs="Arial"/>
        </w:rPr>
        <w:t>student’s</w:t>
      </w:r>
      <w:proofErr w:type="gramEnd"/>
      <w:r w:rsidRPr="002E15E5">
        <w:rPr>
          <w:rFonts w:cs="Arial"/>
        </w:rPr>
        <w:t xml:space="preserve"> observed score and his/her expected score. A positive score indicates that a student met and/or exceeded his/her growth prediction. </w:t>
      </w:r>
    </w:p>
    <w:p w14:paraId="38C841B4" w14:textId="26CB3051" w:rsidR="003873B4" w:rsidRPr="002E15E5" w:rsidRDefault="003873B4" w:rsidP="003873B4">
      <w:pPr>
        <w:spacing w:after="240"/>
      </w:pPr>
      <w:r w:rsidRPr="002E15E5">
        <w:t>The gain scores from all students are averaged to provide an</w:t>
      </w:r>
      <w:r w:rsidR="001472F9" w:rsidRPr="002E15E5">
        <w:t xml:space="preserve"> overall</w:t>
      </w:r>
      <w:r w:rsidRPr="002E15E5">
        <w:t xml:space="preserve"> RG score, which tells us</w:t>
      </w:r>
      <w:r w:rsidR="001472F9" w:rsidRPr="002E15E5">
        <w:t xml:space="preserve"> (1)</w:t>
      </w:r>
      <w:r w:rsidRPr="002E15E5">
        <w:t xml:space="preserve"> how many students met their predicted test score</w:t>
      </w:r>
      <w:r w:rsidR="001472F9" w:rsidRPr="002E15E5">
        <w:t>,</w:t>
      </w:r>
      <w:r w:rsidRPr="002E15E5">
        <w:t xml:space="preserve"> and </w:t>
      </w:r>
      <w:r w:rsidR="001472F9" w:rsidRPr="002E15E5">
        <w:t xml:space="preserve">(2) </w:t>
      </w:r>
      <w:r w:rsidRPr="002E15E5">
        <w:t xml:space="preserve">how far </w:t>
      </w:r>
      <w:r w:rsidR="001472F9" w:rsidRPr="002E15E5">
        <w:t xml:space="preserve">above or below </w:t>
      </w:r>
      <w:r w:rsidRPr="002E15E5">
        <w:t>they were</w:t>
      </w:r>
      <w:r w:rsidR="001472F9" w:rsidRPr="002E15E5">
        <w:t xml:space="preserve"> from their predicted score</w:t>
      </w:r>
      <w:r w:rsidRPr="002E15E5">
        <w:t>. It also tells us whether a school, LEA</w:t>
      </w:r>
      <w:r w:rsidR="00E31493" w:rsidRPr="002E15E5">
        <w:t>,</w:t>
      </w:r>
      <w:r w:rsidRPr="002E15E5">
        <w:t xml:space="preserve"> or student group had high or low student growth in a relative comparison </w:t>
      </w:r>
      <w:r w:rsidR="009841D8" w:rsidRPr="002E15E5">
        <w:t xml:space="preserve">to </w:t>
      </w:r>
      <w:r w:rsidRPr="002E15E5">
        <w:t xml:space="preserve">all students. </w:t>
      </w:r>
    </w:p>
    <w:p w14:paraId="38C841B5" w14:textId="5C095F67" w:rsidR="003873B4" w:rsidRPr="004E7EE9" w:rsidRDefault="003873B4" w:rsidP="004E7EE9">
      <w:pPr>
        <w:pStyle w:val="Heading4"/>
      </w:pPr>
      <w:r w:rsidRPr="004E7EE9">
        <w:t xml:space="preserve">What </w:t>
      </w:r>
      <w:r w:rsidR="009841D8" w:rsidRPr="004E7EE9">
        <w:t>D</w:t>
      </w:r>
      <w:r w:rsidRPr="004E7EE9">
        <w:t>oesn’t the RG Model Tell Us?</w:t>
      </w:r>
    </w:p>
    <w:p w14:paraId="38C841B6" w14:textId="69523D08" w:rsidR="003873B4" w:rsidRPr="002E15E5" w:rsidRDefault="003873B4" w:rsidP="003873B4">
      <w:pPr>
        <w:spacing w:after="240"/>
      </w:pPr>
      <w:r w:rsidRPr="002E15E5">
        <w:t xml:space="preserve">While the RG </w:t>
      </w:r>
      <w:r w:rsidR="009841D8" w:rsidRPr="002E15E5">
        <w:t>m</w:t>
      </w:r>
      <w:r w:rsidRPr="002E15E5">
        <w:t xml:space="preserve">odel allows us to compare schools, </w:t>
      </w:r>
      <w:r w:rsidR="006B00FB" w:rsidRPr="002E15E5">
        <w:t>local educational agencies (</w:t>
      </w:r>
      <w:r w:rsidRPr="002E15E5">
        <w:t>LEAs</w:t>
      </w:r>
      <w:r w:rsidR="006B00FB" w:rsidRPr="002E15E5">
        <w:t>)</w:t>
      </w:r>
      <w:r w:rsidR="00E31493" w:rsidRPr="002E15E5">
        <w:t>,</w:t>
      </w:r>
      <w:r w:rsidRPr="002E15E5">
        <w:t xml:space="preserve"> and student groups, it does not </w:t>
      </w:r>
      <w:r w:rsidR="009841D8" w:rsidRPr="002E15E5">
        <w:t xml:space="preserve">show </w:t>
      </w:r>
      <w:r w:rsidRPr="002E15E5">
        <w:t>how student growth compares to proficiency targets or changes in DF3</w:t>
      </w:r>
      <w:r w:rsidR="009841D8" w:rsidRPr="002E15E5">
        <w:t xml:space="preserve">; whether </w:t>
      </w:r>
      <w:r w:rsidRPr="002E15E5">
        <w:t>achievement gaps are closing</w:t>
      </w:r>
      <w:r w:rsidR="009841D8" w:rsidRPr="002E15E5">
        <w:t>;</w:t>
      </w:r>
      <w:r w:rsidRPr="002E15E5">
        <w:t xml:space="preserve"> or if schools, LEAs</w:t>
      </w:r>
      <w:r w:rsidR="00E31493" w:rsidRPr="002E15E5">
        <w:t>,</w:t>
      </w:r>
      <w:r w:rsidRPr="002E15E5">
        <w:t xml:space="preserve"> or student groups are on track </w:t>
      </w:r>
      <w:r w:rsidR="009841D8" w:rsidRPr="002E15E5">
        <w:t xml:space="preserve">to reach </w:t>
      </w:r>
      <w:r w:rsidRPr="002E15E5">
        <w:t xml:space="preserve">proficiency. </w:t>
      </w:r>
    </w:p>
    <w:p w14:paraId="38C841B7" w14:textId="77777777" w:rsidR="003873B4" w:rsidRPr="004E7EE9" w:rsidRDefault="003873B4" w:rsidP="004E7EE9">
      <w:pPr>
        <w:pStyle w:val="Heading4"/>
      </w:pPr>
      <w:r w:rsidRPr="004E7EE9">
        <w:t>What does Distance from Level 3 (DF3) Tell Us?</w:t>
      </w:r>
    </w:p>
    <w:p w14:paraId="38C841B8" w14:textId="12FC457C" w:rsidR="003873B4" w:rsidRPr="002E15E5" w:rsidRDefault="003873B4" w:rsidP="003873B4">
      <w:pPr>
        <w:spacing w:after="240"/>
      </w:pPr>
      <w:r w:rsidRPr="002E15E5">
        <w:t xml:space="preserve">The current Academic Indicator uses the </w:t>
      </w:r>
      <w:r w:rsidR="009841D8" w:rsidRPr="002E15E5">
        <w:t>DF3</w:t>
      </w:r>
      <w:r w:rsidRPr="002E15E5">
        <w:t xml:space="preserve"> methodology for measuring both academic status and progress. The status measure shows</w:t>
      </w:r>
      <w:r w:rsidR="006B00FB" w:rsidRPr="002E15E5">
        <w:t>:</w:t>
      </w:r>
      <w:r w:rsidRPr="002E15E5">
        <w:t xml:space="preserve"> </w:t>
      </w:r>
      <w:r w:rsidR="009841D8" w:rsidRPr="002E15E5">
        <w:t>(1) how much</w:t>
      </w:r>
      <w:r w:rsidRPr="002E15E5">
        <w:t xml:space="preserve"> improvement</w:t>
      </w:r>
      <w:r w:rsidR="009841D8" w:rsidRPr="002E15E5">
        <w:t xml:space="preserve"> is</w:t>
      </w:r>
      <w:r w:rsidRPr="002E15E5">
        <w:t xml:space="preserve"> </w:t>
      </w:r>
      <w:r w:rsidR="009841D8" w:rsidRPr="002E15E5">
        <w:t xml:space="preserve">needed </w:t>
      </w:r>
      <w:r w:rsidRPr="002E15E5">
        <w:t>to bring the average student in the school, LEA</w:t>
      </w:r>
      <w:r w:rsidR="00E31493" w:rsidRPr="002E15E5">
        <w:t>,</w:t>
      </w:r>
      <w:r w:rsidRPr="002E15E5">
        <w:t xml:space="preserve"> or student group to </w:t>
      </w:r>
      <w:r w:rsidR="009841D8" w:rsidRPr="002E15E5">
        <w:t>the Standard Met level (</w:t>
      </w:r>
      <w:r w:rsidRPr="002E15E5">
        <w:t>Level 3</w:t>
      </w:r>
      <w:r w:rsidR="009841D8" w:rsidRPr="002E15E5">
        <w:t xml:space="preserve">) in ELA or mathematics, </w:t>
      </w:r>
      <w:r w:rsidR="005569E1" w:rsidRPr="002E15E5">
        <w:t xml:space="preserve">or </w:t>
      </w:r>
      <w:r w:rsidR="009841D8" w:rsidRPr="002E15E5">
        <w:t>(2)</w:t>
      </w:r>
      <w:r w:rsidRPr="002E15E5">
        <w:t xml:space="preserve"> the extent to which the average student exceeds Level </w:t>
      </w:r>
      <w:proofErr w:type="gramStart"/>
      <w:r w:rsidRPr="002E15E5">
        <w:t>3.</w:t>
      </w:r>
      <w:proofErr w:type="gramEnd"/>
      <w:r w:rsidRPr="002E15E5">
        <w:t xml:space="preserve"> The change measure reflects the difference </w:t>
      </w:r>
      <w:r w:rsidR="00290A5B" w:rsidRPr="002E15E5">
        <w:t>between current and prior year S</w:t>
      </w:r>
      <w:r w:rsidR="009841D8" w:rsidRPr="002E15E5">
        <w:t xml:space="preserve">tatus. </w:t>
      </w:r>
    </w:p>
    <w:p w14:paraId="38C841B9" w14:textId="77777777" w:rsidR="003873B4" w:rsidRPr="004E7EE9" w:rsidRDefault="003873B4" w:rsidP="004E7EE9">
      <w:pPr>
        <w:pStyle w:val="Heading4"/>
      </w:pPr>
      <w:r w:rsidRPr="004E7EE9">
        <w:t>Comparing DF3 Change to RG Growth</w:t>
      </w:r>
    </w:p>
    <w:p w14:paraId="38C841BA" w14:textId="730256E6" w:rsidR="003873B4" w:rsidRPr="002E15E5" w:rsidRDefault="003873B4" w:rsidP="003873B4">
      <w:pPr>
        <w:spacing w:after="240"/>
        <w:rPr>
          <w:u w:val="single"/>
        </w:rPr>
      </w:pPr>
      <w:r w:rsidRPr="002E15E5">
        <w:t>Table 1</w:t>
      </w:r>
      <w:r w:rsidR="002D72F5" w:rsidRPr="002E15E5">
        <w:t xml:space="preserve"> compares DF3 and RG results </w:t>
      </w:r>
      <w:r w:rsidR="00B7669F" w:rsidRPr="002E15E5">
        <w:t xml:space="preserve">for student groups, using 2016 and 2017 CAASPP results. </w:t>
      </w:r>
      <w:r w:rsidR="002D72F5" w:rsidRPr="002E15E5">
        <w:t>Data are presented as</w:t>
      </w:r>
      <w:r w:rsidR="006B00FB" w:rsidRPr="002E15E5">
        <w:t>:</w:t>
      </w:r>
      <w:r w:rsidR="002D72F5" w:rsidRPr="002E15E5">
        <w:t xml:space="preserve"> (1) a numeric value </w:t>
      </w:r>
      <w:r w:rsidR="005569E1" w:rsidRPr="002E15E5">
        <w:t xml:space="preserve">of residual gain </w:t>
      </w:r>
      <w:r w:rsidR="002D72F5" w:rsidRPr="002E15E5">
        <w:t>(shown as Average Academic Growth), and (2) a percent of students meeting their predicted target.</w:t>
      </w:r>
      <w:r w:rsidR="00EC618B" w:rsidRPr="002E15E5">
        <w:br w:type="page"/>
      </w:r>
    </w:p>
    <w:p w14:paraId="38C841BB" w14:textId="7B534C62" w:rsidR="003873B4" w:rsidRPr="002E15E5" w:rsidRDefault="004E7EE9" w:rsidP="004E7EE9">
      <w:pPr>
        <w:pStyle w:val="Heading4"/>
      </w:pPr>
      <w:r>
        <w:lastRenderedPageBreak/>
        <w:t>Table 1</w:t>
      </w:r>
    </w:p>
    <w:tbl>
      <w:tblPr>
        <w:tblStyle w:val="TableGrid"/>
        <w:tblW w:w="9355" w:type="dxa"/>
        <w:tblLook w:val="0420" w:firstRow="1" w:lastRow="0" w:firstColumn="0" w:lastColumn="0" w:noHBand="0" w:noVBand="1"/>
        <w:tblDescription w:val="Table comparing DF3 and RG results for student groups."/>
      </w:tblPr>
      <w:tblGrid>
        <w:gridCol w:w="2204"/>
        <w:gridCol w:w="1787"/>
        <w:gridCol w:w="1788"/>
        <w:gridCol w:w="1788"/>
        <w:gridCol w:w="1788"/>
      </w:tblGrid>
      <w:tr w:rsidR="003873B4" w:rsidRPr="002E15E5" w14:paraId="38C841C2" w14:textId="77777777" w:rsidTr="00DB2481">
        <w:trPr>
          <w:cantSplit/>
          <w:trHeight w:val="584"/>
          <w:tblHeader/>
        </w:trPr>
        <w:tc>
          <w:tcPr>
            <w:tcW w:w="2204" w:type="dxa"/>
            <w:shd w:val="clear" w:color="auto" w:fill="D9D9D9" w:themeFill="background1" w:themeFillShade="D9"/>
            <w:vAlign w:val="center"/>
            <w:hideMark/>
          </w:tcPr>
          <w:p w14:paraId="38C841BC" w14:textId="77777777" w:rsidR="003873B4" w:rsidRPr="002E15E5" w:rsidRDefault="003873B4" w:rsidP="00DB2481">
            <w:pPr>
              <w:jc w:val="center"/>
            </w:pPr>
            <w:r w:rsidRPr="002E15E5">
              <w:rPr>
                <w:b/>
                <w:bCs/>
              </w:rPr>
              <w:t>Student Group</w:t>
            </w:r>
          </w:p>
        </w:tc>
        <w:tc>
          <w:tcPr>
            <w:tcW w:w="1787" w:type="dxa"/>
            <w:shd w:val="clear" w:color="auto" w:fill="D9D9D9" w:themeFill="background1" w:themeFillShade="D9"/>
            <w:vAlign w:val="center"/>
            <w:hideMark/>
          </w:tcPr>
          <w:p w14:paraId="38C841BE" w14:textId="77777777" w:rsidR="003873B4" w:rsidRPr="002E15E5" w:rsidRDefault="003873B4" w:rsidP="00DB2481">
            <w:pPr>
              <w:jc w:val="center"/>
            </w:pPr>
            <w:r w:rsidRPr="002E15E5">
              <w:rPr>
                <w:b/>
                <w:bCs/>
              </w:rPr>
              <w:t>Average</w:t>
            </w:r>
            <w:r w:rsidRPr="002E15E5">
              <w:rPr>
                <w:b/>
                <w:bCs/>
              </w:rPr>
              <w:br/>
              <w:t>Academic Status (DF3)</w:t>
            </w:r>
          </w:p>
        </w:tc>
        <w:tc>
          <w:tcPr>
            <w:tcW w:w="1788" w:type="dxa"/>
            <w:shd w:val="clear" w:color="auto" w:fill="D9D9D9" w:themeFill="background1" w:themeFillShade="D9"/>
            <w:vAlign w:val="center"/>
            <w:hideMark/>
          </w:tcPr>
          <w:p w14:paraId="38C841BF" w14:textId="77777777" w:rsidR="003873B4" w:rsidRPr="002E15E5" w:rsidRDefault="003873B4" w:rsidP="00DB2481">
            <w:pPr>
              <w:jc w:val="center"/>
            </w:pPr>
            <w:r w:rsidRPr="002E15E5">
              <w:rPr>
                <w:b/>
                <w:bCs/>
              </w:rPr>
              <w:t>Average</w:t>
            </w:r>
            <w:r w:rsidRPr="002E15E5">
              <w:rPr>
                <w:b/>
                <w:bCs/>
              </w:rPr>
              <w:br/>
              <w:t>Academic Change (DF3)</w:t>
            </w:r>
          </w:p>
        </w:tc>
        <w:tc>
          <w:tcPr>
            <w:tcW w:w="1788" w:type="dxa"/>
            <w:shd w:val="clear" w:color="auto" w:fill="D9D9D9" w:themeFill="background1" w:themeFillShade="D9"/>
            <w:vAlign w:val="center"/>
            <w:hideMark/>
          </w:tcPr>
          <w:p w14:paraId="38C841C0" w14:textId="77777777" w:rsidR="003873B4" w:rsidRPr="002E15E5" w:rsidRDefault="003873B4" w:rsidP="00DB2481">
            <w:pPr>
              <w:jc w:val="center"/>
            </w:pPr>
            <w:r w:rsidRPr="002E15E5">
              <w:rPr>
                <w:b/>
                <w:bCs/>
              </w:rPr>
              <w:t>Average</w:t>
            </w:r>
            <w:r w:rsidRPr="002E15E5">
              <w:rPr>
                <w:b/>
                <w:bCs/>
              </w:rPr>
              <w:br/>
              <w:t>Academic Growth (RG)</w:t>
            </w:r>
          </w:p>
        </w:tc>
        <w:tc>
          <w:tcPr>
            <w:tcW w:w="1788" w:type="dxa"/>
            <w:shd w:val="clear" w:color="auto" w:fill="D9D9D9" w:themeFill="background1" w:themeFillShade="D9"/>
            <w:vAlign w:val="center"/>
            <w:hideMark/>
          </w:tcPr>
          <w:p w14:paraId="38C841C1" w14:textId="77777777" w:rsidR="003873B4" w:rsidRPr="002E15E5" w:rsidRDefault="003873B4" w:rsidP="00DB2481">
            <w:pPr>
              <w:jc w:val="center"/>
            </w:pPr>
            <w:r w:rsidRPr="002E15E5">
              <w:rPr>
                <w:b/>
                <w:bCs/>
              </w:rPr>
              <w:t>Percent Meeting Predicated Target (RG)</w:t>
            </w:r>
          </w:p>
        </w:tc>
      </w:tr>
      <w:tr w:rsidR="003873B4" w:rsidRPr="002E15E5" w14:paraId="38C841C8" w14:textId="77777777" w:rsidTr="00DB2481">
        <w:trPr>
          <w:cantSplit/>
          <w:trHeight w:val="584"/>
        </w:trPr>
        <w:tc>
          <w:tcPr>
            <w:tcW w:w="2204" w:type="dxa"/>
            <w:vAlign w:val="center"/>
            <w:hideMark/>
          </w:tcPr>
          <w:p w14:paraId="38C841C3" w14:textId="77777777" w:rsidR="003873B4" w:rsidRPr="002E15E5" w:rsidRDefault="003873B4" w:rsidP="00DB2481">
            <w:r w:rsidRPr="002E15E5">
              <w:t>All Students</w:t>
            </w:r>
          </w:p>
        </w:tc>
        <w:tc>
          <w:tcPr>
            <w:tcW w:w="1787" w:type="dxa"/>
            <w:vAlign w:val="center"/>
            <w:hideMark/>
          </w:tcPr>
          <w:p w14:paraId="38C841C4" w14:textId="77777777" w:rsidR="003873B4" w:rsidRPr="002E15E5" w:rsidRDefault="003873B4" w:rsidP="00DB2481">
            <w:pPr>
              <w:jc w:val="center"/>
            </w:pPr>
            <w:r w:rsidRPr="002E15E5">
              <w:t>-17</w:t>
            </w:r>
          </w:p>
        </w:tc>
        <w:tc>
          <w:tcPr>
            <w:tcW w:w="1788" w:type="dxa"/>
            <w:vAlign w:val="center"/>
            <w:hideMark/>
          </w:tcPr>
          <w:p w14:paraId="38C841C5" w14:textId="77777777" w:rsidR="003873B4" w:rsidRPr="002E15E5" w:rsidRDefault="003873B4" w:rsidP="00DB2481">
            <w:pPr>
              <w:jc w:val="center"/>
            </w:pPr>
            <w:r w:rsidRPr="002E15E5">
              <w:t>-0.5</w:t>
            </w:r>
          </w:p>
        </w:tc>
        <w:tc>
          <w:tcPr>
            <w:tcW w:w="1788" w:type="dxa"/>
            <w:vAlign w:val="center"/>
            <w:hideMark/>
          </w:tcPr>
          <w:p w14:paraId="38C841C6" w14:textId="77777777" w:rsidR="003873B4" w:rsidRPr="002E15E5" w:rsidRDefault="003873B4" w:rsidP="00DB2481">
            <w:pPr>
              <w:jc w:val="center"/>
            </w:pPr>
            <w:r w:rsidRPr="002E15E5">
              <w:t>0.0</w:t>
            </w:r>
          </w:p>
        </w:tc>
        <w:tc>
          <w:tcPr>
            <w:tcW w:w="1788" w:type="dxa"/>
            <w:vAlign w:val="center"/>
            <w:hideMark/>
          </w:tcPr>
          <w:p w14:paraId="38C841C7" w14:textId="77777777" w:rsidR="003873B4" w:rsidRPr="002E15E5" w:rsidRDefault="003873B4" w:rsidP="00DB2481">
            <w:pPr>
              <w:jc w:val="center"/>
            </w:pPr>
            <w:r w:rsidRPr="002E15E5">
              <w:t>51.1%</w:t>
            </w:r>
          </w:p>
        </w:tc>
      </w:tr>
      <w:tr w:rsidR="003873B4" w:rsidRPr="002E15E5" w14:paraId="38C841CE" w14:textId="77777777" w:rsidTr="00DB2481">
        <w:trPr>
          <w:cantSplit/>
          <w:trHeight w:val="584"/>
        </w:trPr>
        <w:tc>
          <w:tcPr>
            <w:tcW w:w="2204" w:type="dxa"/>
            <w:vAlign w:val="center"/>
            <w:hideMark/>
          </w:tcPr>
          <w:p w14:paraId="38C841C9" w14:textId="77777777" w:rsidR="003873B4" w:rsidRPr="002E15E5" w:rsidRDefault="003873B4" w:rsidP="00DB2481">
            <w:r w:rsidRPr="002E15E5">
              <w:t>Socioeconomically Disadvantaged</w:t>
            </w:r>
          </w:p>
        </w:tc>
        <w:tc>
          <w:tcPr>
            <w:tcW w:w="1787" w:type="dxa"/>
            <w:vAlign w:val="center"/>
            <w:hideMark/>
          </w:tcPr>
          <w:p w14:paraId="38C841CA" w14:textId="77777777" w:rsidR="003873B4" w:rsidRPr="002E15E5" w:rsidRDefault="003873B4" w:rsidP="00DB2481">
            <w:pPr>
              <w:jc w:val="center"/>
            </w:pPr>
            <w:r w:rsidRPr="002E15E5">
              <w:t>-45.9</w:t>
            </w:r>
          </w:p>
        </w:tc>
        <w:tc>
          <w:tcPr>
            <w:tcW w:w="1788" w:type="dxa"/>
            <w:vAlign w:val="center"/>
            <w:hideMark/>
          </w:tcPr>
          <w:p w14:paraId="38C841CB" w14:textId="77777777" w:rsidR="003873B4" w:rsidRPr="002E15E5" w:rsidRDefault="003873B4" w:rsidP="00DB2481">
            <w:pPr>
              <w:jc w:val="center"/>
            </w:pPr>
            <w:r w:rsidRPr="002E15E5">
              <w:t>-1.3</w:t>
            </w:r>
          </w:p>
        </w:tc>
        <w:tc>
          <w:tcPr>
            <w:tcW w:w="1788" w:type="dxa"/>
            <w:vAlign w:val="center"/>
            <w:hideMark/>
          </w:tcPr>
          <w:p w14:paraId="38C841CC" w14:textId="77777777" w:rsidR="003873B4" w:rsidRPr="002E15E5" w:rsidRDefault="003873B4" w:rsidP="00DB2481">
            <w:pPr>
              <w:jc w:val="center"/>
            </w:pPr>
            <w:r w:rsidRPr="002E15E5">
              <w:t>-2.3</w:t>
            </w:r>
          </w:p>
        </w:tc>
        <w:tc>
          <w:tcPr>
            <w:tcW w:w="1788" w:type="dxa"/>
            <w:vAlign w:val="center"/>
            <w:hideMark/>
          </w:tcPr>
          <w:p w14:paraId="38C841CD" w14:textId="77777777" w:rsidR="003873B4" w:rsidRPr="002E15E5" w:rsidRDefault="003873B4" w:rsidP="00DB2481">
            <w:pPr>
              <w:jc w:val="center"/>
            </w:pPr>
            <w:r w:rsidRPr="002E15E5">
              <w:t>49.9%</w:t>
            </w:r>
          </w:p>
        </w:tc>
      </w:tr>
      <w:tr w:rsidR="003873B4" w:rsidRPr="002E15E5" w14:paraId="38C841D4" w14:textId="77777777" w:rsidTr="00DB2481">
        <w:trPr>
          <w:cantSplit/>
          <w:trHeight w:val="584"/>
        </w:trPr>
        <w:tc>
          <w:tcPr>
            <w:tcW w:w="2204" w:type="dxa"/>
            <w:vAlign w:val="center"/>
            <w:hideMark/>
          </w:tcPr>
          <w:p w14:paraId="38C841CF" w14:textId="77777777" w:rsidR="003873B4" w:rsidRPr="002E15E5" w:rsidRDefault="003873B4" w:rsidP="00DB2481">
            <w:r w:rsidRPr="002E15E5">
              <w:t>English Learners</w:t>
            </w:r>
          </w:p>
        </w:tc>
        <w:tc>
          <w:tcPr>
            <w:tcW w:w="1787" w:type="dxa"/>
            <w:vAlign w:val="center"/>
            <w:hideMark/>
          </w:tcPr>
          <w:p w14:paraId="38C841D0" w14:textId="77777777" w:rsidR="003873B4" w:rsidRPr="002E15E5" w:rsidRDefault="003873B4" w:rsidP="00DB2481">
            <w:pPr>
              <w:jc w:val="center"/>
            </w:pPr>
            <w:r w:rsidRPr="002E15E5">
              <w:t>-50.8</w:t>
            </w:r>
          </w:p>
        </w:tc>
        <w:tc>
          <w:tcPr>
            <w:tcW w:w="1788" w:type="dxa"/>
            <w:vAlign w:val="center"/>
            <w:hideMark/>
          </w:tcPr>
          <w:p w14:paraId="38C841D1" w14:textId="77777777" w:rsidR="003873B4" w:rsidRPr="002E15E5" w:rsidRDefault="003873B4" w:rsidP="00DB2481">
            <w:pPr>
              <w:jc w:val="center"/>
            </w:pPr>
            <w:r w:rsidRPr="002E15E5">
              <w:t>-1.6</w:t>
            </w:r>
          </w:p>
        </w:tc>
        <w:tc>
          <w:tcPr>
            <w:tcW w:w="1788" w:type="dxa"/>
            <w:vAlign w:val="center"/>
            <w:hideMark/>
          </w:tcPr>
          <w:p w14:paraId="38C841D2" w14:textId="77777777" w:rsidR="003873B4" w:rsidRPr="002E15E5" w:rsidRDefault="003873B4" w:rsidP="00DB2481">
            <w:pPr>
              <w:jc w:val="center"/>
            </w:pPr>
            <w:r w:rsidRPr="002E15E5">
              <w:t>-2.5</w:t>
            </w:r>
          </w:p>
        </w:tc>
        <w:tc>
          <w:tcPr>
            <w:tcW w:w="1788" w:type="dxa"/>
            <w:vAlign w:val="center"/>
            <w:hideMark/>
          </w:tcPr>
          <w:p w14:paraId="38C841D3" w14:textId="77777777" w:rsidR="003873B4" w:rsidRPr="002E15E5" w:rsidRDefault="003873B4" w:rsidP="00DB2481">
            <w:pPr>
              <w:jc w:val="center"/>
            </w:pPr>
            <w:r w:rsidRPr="002E15E5">
              <w:t>49.4%</w:t>
            </w:r>
          </w:p>
        </w:tc>
      </w:tr>
      <w:tr w:rsidR="003873B4" w:rsidRPr="002E15E5" w14:paraId="38C841DA" w14:textId="77777777" w:rsidTr="00DB2481">
        <w:trPr>
          <w:cantSplit/>
          <w:trHeight w:val="584"/>
        </w:trPr>
        <w:tc>
          <w:tcPr>
            <w:tcW w:w="2204" w:type="dxa"/>
            <w:vAlign w:val="center"/>
            <w:hideMark/>
          </w:tcPr>
          <w:p w14:paraId="38C841D5" w14:textId="77777777" w:rsidR="003873B4" w:rsidRPr="002E15E5" w:rsidRDefault="003873B4" w:rsidP="00DB2481">
            <w:r w:rsidRPr="002E15E5">
              <w:t>White</w:t>
            </w:r>
          </w:p>
        </w:tc>
        <w:tc>
          <w:tcPr>
            <w:tcW w:w="1787" w:type="dxa"/>
            <w:vAlign w:val="center"/>
            <w:hideMark/>
          </w:tcPr>
          <w:p w14:paraId="38C841D6" w14:textId="77777777" w:rsidR="003873B4" w:rsidRPr="002E15E5" w:rsidRDefault="003873B4" w:rsidP="00DB2481">
            <w:pPr>
              <w:jc w:val="center"/>
            </w:pPr>
            <w:r w:rsidRPr="002E15E5">
              <w:t>15.1</w:t>
            </w:r>
          </w:p>
        </w:tc>
        <w:tc>
          <w:tcPr>
            <w:tcW w:w="1788" w:type="dxa"/>
            <w:vAlign w:val="center"/>
            <w:hideMark/>
          </w:tcPr>
          <w:p w14:paraId="38C841D7" w14:textId="77777777" w:rsidR="003873B4" w:rsidRPr="002E15E5" w:rsidRDefault="003873B4" w:rsidP="00DB2481">
            <w:pPr>
              <w:jc w:val="center"/>
            </w:pPr>
            <w:r w:rsidRPr="002E15E5">
              <w:t>-0.5</w:t>
            </w:r>
          </w:p>
        </w:tc>
        <w:tc>
          <w:tcPr>
            <w:tcW w:w="1788" w:type="dxa"/>
            <w:vAlign w:val="center"/>
            <w:hideMark/>
          </w:tcPr>
          <w:p w14:paraId="38C841D8" w14:textId="77777777" w:rsidR="003873B4" w:rsidRPr="002E15E5" w:rsidRDefault="003873B4" w:rsidP="00DB2481">
            <w:pPr>
              <w:jc w:val="center"/>
            </w:pPr>
            <w:r w:rsidRPr="002E15E5">
              <w:t>1.8</w:t>
            </w:r>
          </w:p>
        </w:tc>
        <w:tc>
          <w:tcPr>
            <w:tcW w:w="1788" w:type="dxa"/>
            <w:vAlign w:val="center"/>
            <w:hideMark/>
          </w:tcPr>
          <w:p w14:paraId="38C841D9" w14:textId="77777777" w:rsidR="003873B4" w:rsidRPr="002E15E5" w:rsidRDefault="003873B4" w:rsidP="00DB2481">
            <w:pPr>
              <w:jc w:val="center"/>
            </w:pPr>
            <w:r w:rsidRPr="002E15E5">
              <w:t>52.0%</w:t>
            </w:r>
          </w:p>
        </w:tc>
      </w:tr>
      <w:tr w:rsidR="003873B4" w:rsidRPr="002E15E5" w14:paraId="38C841E0" w14:textId="77777777" w:rsidTr="00DB2481">
        <w:trPr>
          <w:cantSplit/>
          <w:trHeight w:val="584"/>
        </w:trPr>
        <w:tc>
          <w:tcPr>
            <w:tcW w:w="2204" w:type="dxa"/>
            <w:vAlign w:val="center"/>
            <w:hideMark/>
          </w:tcPr>
          <w:p w14:paraId="38C841DB" w14:textId="77777777" w:rsidR="003873B4" w:rsidRPr="002E15E5" w:rsidRDefault="003873B4" w:rsidP="00DB2481">
            <w:r w:rsidRPr="002E15E5">
              <w:t>African American</w:t>
            </w:r>
          </w:p>
        </w:tc>
        <w:tc>
          <w:tcPr>
            <w:tcW w:w="1787" w:type="dxa"/>
            <w:vAlign w:val="center"/>
            <w:hideMark/>
          </w:tcPr>
          <w:p w14:paraId="38C841DC" w14:textId="77777777" w:rsidR="003873B4" w:rsidRPr="002E15E5" w:rsidRDefault="003873B4" w:rsidP="00DB2481">
            <w:pPr>
              <w:jc w:val="center"/>
            </w:pPr>
            <w:r w:rsidRPr="002E15E5">
              <w:t>-60.9</w:t>
            </w:r>
          </w:p>
        </w:tc>
        <w:tc>
          <w:tcPr>
            <w:tcW w:w="1788" w:type="dxa"/>
            <w:vAlign w:val="center"/>
            <w:hideMark/>
          </w:tcPr>
          <w:p w14:paraId="38C841DD" w14:textId="77777777" w:rsidR="003873B4" w:rsidRPr="002E15E5" w:rsidRDefault="003873B4" w:rsidP="00DB2481">
            <w:pPr>
              <w:jc w:val="center"/>
            </w:pPr>
            <w:r w:rsidRPr="002E15E5">
              <w:t>-1.9</w:t>
            </w:r>
          </w:p>
        </w:tc>
        <w:tc>
          <w:tcPr>
            <w:tcW w:w="1788" w:type="dxa"/>
            <w:vAlign w:val="center"/>
            <w:hideMark/>
          </w:tcPr>
          <w:p w14:paraId="38C841DE" w14:textId="77777777" w:rsidR="003873B4" w:rsidRPr="002E15E5" w:rsidRDefault="003873B4" w:rsidP="00DB2481">
            <w:pPr>
              <w:jc w:val="center"/>
            </w:pPr>
            <w:r w:rsidRPr="002E15E5">
              <w:t>-4.7</w:t>
            </w:r>
          </w:p>
        </w:tc>
        <w:tc>
          <w:tcPr>
            <w:tcW w:w="1788" w:type="dxa"/>
            <w:vAlign w:val="center"/>
            <w:hideMark/>
          </w:tcPr>
          <w:p w14:paraId="38C841DF" w14:textId="77777777" w:rsidR="003873B4" w:rsidRPr="002E15E5" w:rsidRDefault="003873B4" w:rsidP="00DB2481">
            <w:pPr>
              <w:jc w:val="center"/>
            </w:pPr>
            <w:r w:rsidRPr="002E15E5">
              <w:t>47.6%</w:t>
            </w:r>
          </w:p>
        </w:tc>
      </w:tr>
      <w:tr w:rsidR="003873B4" w:rsidRPr="002E15E5" w14:paraId="38C841E6" w14:textId="77777777" w:rsidTr="00DB2481">
        <w:trPr>
          <w:cantSplit/>
          <w:trHeight w:val="584"/>
        </w:trPr>
        <w:tc>
          <w:tcPr>
            <w:tcW w:w="2204" w:type="dxa"/>
            <w:vAlign w:val="center"/>
            <w:hideMark/>
          </w:tcPr>
          <w:p w14:paraId="38C841E1" w14:textId="77777777" w:rsidR="003873B4" w:rsidRPr="002E15E5" w:rsidRDefault="003873B4" w:rsidP="00DB2481">
            <w:r w:rsidRPr="002E15E5">
              <w:t>Homeless</w:t>
            </w:r>
          </w:p>
        </w:tc>
        <w:tc>
          <w:tcPr>
            <w:tcW w:w="1787" w:type="dxa"/>
            <w:vAlign w:val="center"/>
            <w:hideMark/>
          </w:tcPr>
          <w:p w14:paraId="38C841E2" w14:textId="77777777" w:rsidR="003873B4" w:rsidRPr="002E15E5" w:rsidRDefault="003873B4" w:rsidP="00DB2481">
            <w:pPr>
              <w:jc w:val="center"/>
            </w:pPr>
            <w:r w:rsidRPr="002E15E5">
              <w:t>-62.1</w:t>
            </w:r>
          </w:p>
        </w:tc>
        <w:tc>
          <w:tcPr>
            <w:tcW w:w="1788" w:type="dxa"/>
            <w:vAlign w:val="center"/>
            <w:hideMark/>
          </w:tcPr>
          <w:p w14:paraId="38C841E3" w14:textId="38495A94" w:rsidR="003873B4" w:rsidRPr="002E15E5" w:rsidRDefault="003873B4" w:rsidP="00DB2481">
            <w:pPr>
              <w:jc w:val="center"/>
            </w:pPr>
            <w:r w:rsidRPr="002E15E5">
              <w:t>-4.2</w:t>
            </w:r>
          </w:p>
        </w:tc>
        <w:tc>
          <w:tcPr>
            <w:tcW w:w="1788" w:type="dxa"/>
            <w:vAlign w:val="center"/>
            <w:hideMark/>
          </w:tcPr>
          <w:p w14:paraId="38C841E4" w14:textId="77777777" w:rsidR="003873B4" w:rsidRPr="002E15E5" w:rsidRDefault="003873B4" w:rsidP="00DB2481">
            <w:pPr>
              <w:jc w:val="center"/>
            </w:pPr>
            <w:r w:rsidRPr="002E15E5">
              <w:t>-3.2</w:t>
            </w:r>
          </w:p>
        </w:tc>
        <w:tc>
          <w:tcPr>
            <w:tcW w:w="1788" w:type="dxa"/>
            <w:vAlign w:val="center"/>
            <w:hideMark/>
          </w:tcPr>
          <w:p w14:paraId="38C841E5" w14:textId="77777777" w:rsidR="003873B4" w:rsidRPr="002E15E5" w:rsidRDefault="003873B4" w:rsidP="00DB2481">
            <w:pPr>
              <w:jc w:val="center"/>
            </w:pPr>
            <w:r w:rsidRPr="002E15E5">
              <w:t>49.1%</w:t>
            </w:r>
          </w:p>
        </w:tc>
      </w:tr>
    </w:tbl>
    <w:p w14:paraId="6D54093A" w14:textId="3B6CE1D8" w:rsidR="00290A5B" w:rsidRPr="002E15E5" w:rsidRDefault="00CE50AB" w:rsidP="00DB2481">
      <w:pPr>
        <w:spacing w:before="240" w:after="240"/>
      </w:pPr>
      <w:r w:rsidRPr="002E15E5">
        <w:t>S</w:t>
      </w:r>
      <w:r w:rsidR="003873B4" w:rsidRPr="002E15E5">
        <w:t xml:space="preserve">ignificant </w:t>
      </w:r>
      <w:r w:rsidR="0099654B" w:rsidRPr="002E15E5">
        <w:t xml:space="preserve">differences </w:t>
      </w:r>
      <w:r w:rsidRPr="002E15E5">
        <w:t xml:space="preserve">in academic performance for 2017 </w:t>
      </w:r>
      <w:r w:rsidR="00B7669F" w:rsidRPr="002E15E5">
        <w:t xml:space="preserve">can be observed </w:t>
      </w:r>
      <w:r w:rsidR="0099654B" w:rsidRPr="002E15E5">
        <w:t>among student groups</w:t>
      </w:r>
      <w:r w:rsidRPr="002E15E5">
        <w:t>, as shown in the second column (Average Academic Status—DF3). When comparing results to the prior year, using</w:t>
      </w:r>
      <w:r w:rsidR="00290A5B" w:rsidRPr="002E15E5">
        <w:t xml:space="preserve"> both</w:t>
      </w:r>
      <w:r w:rsidRPr="002E15E5">
        <w:t xml:space="preserve"> the DF3</w:t>
      </w:r>
      <w:r w:rsidR="00290A5B" w:rsidRPr="002E15E5">
        <w:t xml:space="preserve"> and RG</w:t>
      </w:r>
      <w:r w:rsidRPr="002E15E5">
        <w:t xml:space="preserve"> methodolog</w:t>
      </w:r>
      <w:r w:rsidR="00290A5B" w:rsidRPr="002E15E5">
        <w:t>ies</w:t>
      </w:r>
      <w:r w:rsidRPr="002E15E5">
        <w:t xml:space="preserve"> (third </w:t>
      </w:r>
      <w:r w:rsidR="00290A5B" w:rsidRPr="002E15E5">
        <w:t xml:space="preserve">and fourth </w:t>
      </w:r>
      <w:r w:rsidRPr="002E15E5">
        <w:t>column</w:t>
      </w:r>
      <w:r w:rsidR="00290A5B" w:rsidRPr="002E15E5">
        <w:t>s respectively</w:t>
      </w:r>
      <w:r w:rsidRPr="002E15E5">
        <w:t xml:space="preserve">), there is a consistent downward trend among student groups with the exception of White students. For the latter group, </w:t>
      </w:r>
      <w:r w:rsidR="00290A5B" w:rsidRPr="002E15E5">
        <w:t xml:space="preserve">application of the DF3 methodology results in negative </w:t>
      </w:r>
      <w:r w:rsidRPr="002E15E5">
        <w:t>Change</w:t>
      </w:r>
      <w:r w:rsidR="00290A5B" w:rsidRPr="002E15E5">
        <w:t xml:space="preserve"> (-0.5), while application of the RG methodology results in positive growth (+1.8). </w:t>
      </w:r>
    </w:p>
    <w:p w14:paraId="6E5F1B32" w14:textId="1A5B74B8" w:rsidR="00AF636E" w:rsidRPr="002E15E5" w:rsidRDefault="00290A5B" w:rsidP="00EC618B">
      <w:pPr>
        <w:spacing w:before="240" w:after="240"/>
      </w:pPr>
      <w:r w:rsidRPr="002E15E5">
        <w:t>The a</w:t>
      </w:r>
      <w:r w:rsidR="003873B4" w:rsidRPr="002E15E5">
        <w:t xml:space="preserve">verage academic growth </w:t>
      </w:r>
      <w:r w:rsidRPr="002E15E5">
        <w:t xml:space="preserve">for the “All Students” group was 0.0, which means that </w:t>
      </w:r>
      <w:r w:rsidR="003873B4" w:rsidRPr="002E15E5">
        <w:t xml:space="preserve">the average student </w:t>
      </w:r>
      <w:r w:rsidR="00AF636E" w:rsidRPr="002E15E5">
        <w:t>performed as</w:t>
      </w:r>
      <w:r w:rsidR="003873B4" w:rsidRPr="002E15E5">
        <w:t xml:space="preserve"> predicted</w:t>
      </w:r>
      <w:r w:rsidR="00AF636E" w:rsidRPr="002E15E5">
        <w:t>, while 2017 Status was slightly lower for the group than that of 2016</w:t>
      </w:r>
      <w:r w:rsidR="003873B4" w:rsidRPr="002E15E5">
        <w:t xml:space="preserve">. </w:t>
      </w:r>
    </w:p>
    <w:p w14:paraId="1E41F054" w14:textId="0075335C" w:rsidR="00AF636E" w:rsidRPr="002E15E5" w:rsidRDefault="00AF636E" w:rsidP="00F276DC">
      <w:pPr>
        <w:spacing w:before="240" w:after="240"/>
        <w:rPr>
          <w:rFonts w:cs="Arial"/>
          <w:b/>
          <w:sz w:val="32"/>
          <w:szCs w:val="32"/>
        </w:rPr>
      </w:pPr>
      <w:r w:rsidRPr="002E15E5">
        <w:t xml:space="preserve">The last column shows </w:t>
      </w:r>
      <w:r w:rsidR="003873B4" w:rsidRPr="002E15E5">
        <w:t xml:space="preserve">the percentage of students </w:t>
      </w:r>
      <w:r w:rsidRPr="002E15E5">
        <w:t xml:space="preserve">who met </w:t>
      </w:r>
      <w:r w:rsidR="003873B4" w:rsidRPr="002E15E5">
        <w:t>their predicted target</w:t>
      </w:r>
      <w:r w:rsidRPr="002E15E5">
        <w:t xml:space="preserve">. Applying the RG model, the </w:t>
      </w:r>
      <w:r w:rsidR="003873B4" w:rsidRPr="002E15E5">
        <w:t>values are all clustered around 50</w:t>
      </w:r>
      <w:r w:rsidR="000F7D10" w:rsidRPr="002E15E5">
        <w:t xml:space="preserve"> percent, </w:t>
      </w:r>
      <w:r w:rsidRPr="002E15E5">
        <w:t>which means that about half</w:t>
      </w:r>
      <w:r w:rsidR="003873B4" w:rsidRPr="002E15E5">
        <w:t xml:space="preserve"> of </w:t>
      </w:r>
      <w:r w:rsidRPr="002E15E5">
        <w:t xml:space="preserve">all </w:t>
      </w:r>
      <w:r w:rsidR="003873B4" w:rsidRPr="002E15E5">
        <w:t>students</w:t>
      </w:r>
      <w:r w:rsidRPr="002E15E5">
        <w:t xml:space="preserve">, in all student groups, including the “All Students” group, met their predicted target. </w:t>
      </w:r>
    </w:p>
    <w:p w14:paraId="38C841E8" w14:textId="4F021249" w:rsidR="003873B4" w:rsidRPr="002E15E5" w:rsidRDefault="003873B4" w:rsidP="004E7EE9">
      <w:pPr>
        <w:pStyle w:val="Heading3"/>
      </w:pPr>
      <w:r w:rsidRPr="002E15E5">
        <w:t>Incorporating Residual Gain into the Five-by-</w:t>
      </w:r>
      <w:r w:rsidR="00A22475" w:rsidRPr="002E15E5">
        <w:t>Five</w:t>
      </w:r>
      <w:r w:rsidRPr="002E15E5">
        <w:t xml:space="preserve"> Model</w:t>
      </w:r>
    </w:p>
    <w:p w14:paraId="739278DE" w14:textId="60C70F8F" w:rsidR="00A22475" w:rsidRPr="002E15E5" w:rsidRDefault="00A22475" w:rsidP="003873B4">
      <w:pPr>
        <w:spacing w:after="240"/>
      </w:pPr>
      <w:r w:rsidRPr="002E15E5">
        <w:t xml:space="preserve">Application of the RG model sometimes produces outcomes that are inconsistent with those obtained through the five-by-five model. An example is provided in </w:t>
      </w:r>
      <w:r w:rsidR="003873B4" w:rsidRPr="002E15E5">
        <w:t>Figure 1</w:t>
      </w:r>
      <w:r w:rsidRPr="002E15E5">
        <w:t xml:space="preserve">, which plots a school’s academic performance in ELA. In 2016, the school received a Status of +42.7 points, which means that the average student score was 42.7 points above the minimum threshold for Level 3 (Standard Met) on the Smarter Balanced Summative Assessments for ELA. In 2017, the school’s Status increased by 4.7 points, </w:t>
      </w:r>
      <w:r w:rsidRPr="002E15E5">
        <w:lastRenderedPageBreak/>
        <w:t xml:space="preserve">moving the school up </w:t>
      </w:r>
      <w:r w:rsidR="000B3606" w:rsidRPr="002E15E5">
        <w:t xml:space="preserve">in </w:t>
      </w:r>
      <w:r w:rsidR="00CE6DB7" w:rsidRPr="002E15E5">
        <w:t xml:space="preserve">Status </w:t>
      </w:r>
      <w:r w:rsidR="000B3606" w:rsidRPr="002E15E5">
        <w:t>(</w:t>
      </w:r>
      <w:r w:rsidR="00CE6DB7" w:rsidRPr="002E15E5">
        <w:t xml:space="preserve">Very High) </w:t>
      </w:r>
      <w:r w:rsidRPr="002E15E5">
        <w:t xml:space="preserve">and over </w:t>
      </w:r>
      <w:r w:rsidR="000B3606" w:rsidRPr="002E15E5">
        <w:t xml:space="preserve">in </w:t>
      </w:r>
      <w:r w:rsidR="00CE6DB7" w:rsidRPr="002E15E5">
        <w:t xml:space="preserve">Change </w:t>
      </w:r>
      <w:r w:rsidR="000B3606" w:rsidRPr="002E15E5">
        <w:t>(</w:t>
      </w:r>
      <w:r w:rsidR="00CE6DB7" w:rsidRPr="002E15E5">
        <w:t>Increased), and from a Green to Blue performance level (color).</w:t>
      </w:r>
    </w:p>
    <w:p w14:paraId="38C841E9" w14:textId="0DEC775A" w:rsidR="003873B4" w:rsidRPr="002E15E5" w:rsidRDefault="00CE6DB7" w:rsidP="003873B4">
      <w:pPr>
        <w:spacing w:after="240"/>
      </w:pPr>
      <w:r w:rsidRPr="002E15E5">
        <w:t>However, if we were to apply the RG methodology, the school would show a decline in growth</w:t>
      </w:r>
      <w:r w:rsidR="00BA7596" w:rsidRPr="002E15E5">
        <w:t xml:space="preserve"> (i.e,-5.8). A</w:t>
      </w:r>
      <w:r w:rsidRPr="002E15E5">
        <w:t xml:space="preserve">lthough </w:t>
      </w:r>
      <w:r w:rsidR="00BA7596" w:rsidRPr="002E15E5">
        <w:t xml:space="preserve">the school’s </w:t>
      </w:r>
      <w:r w:rsidR="001A3BFA" w:rsidRPr="002E15E5">
        <w:t xml:space="preserve">performance was higher in </w:t>
      </w:r>
      <w:r w:rsidRPr="002E15E5">
        <w:t>2017</w:t>
      </w:r>
      <w:r w:rsidR="001A3BFA" w:rsidRPr="002E15E5">
        <w:t xml:space="preserve">, earning it a higher </w:t>
      </w:r>
      <w:r w:rsidR="00BA7596" w:rsidRPr="002E15E5">
        <w:t>Status l</w:t>
      </w:r>
      <w:r w:rsidR="001A3BFA" w:rsidRPr="002E15E5">
        <w:t xml:space="preserve">evel, the school </w:t>
      </w:r>
      <w:r w:rsidRPr="002E15E5">
        <w:t xml:space="preserve">did not </w:t>
      </w:r>
      <w:r w:rsidR="00BA7596" w:rsidRPr="002E15E5">
        <w:t>grow</w:t>
      </w:r>
      <w:r w:rsidRPr="002E15E5">
        <w:t xml:space="preserve"> as </w:t>
      </w:r>
      <w:r w:rsidR="00BA7596" w:rsidRPr="002E15E5">
        <w:t>much as</w:t>
      </w:r>
      <w:r w:rsidRPr="002E15E5">
        <w:t xml:space="preserve"> predicted. </w:t>
      </w:r>
      <w:r w:rsidR="00BA7596" w:rsidRPr="002E15E5">
        <w:t xml:space="preserve">This example demonstrates that the RG model does not always operate the same on the five-by-by grid as the other indicators. </w:t>
      </w:r>
    </w:p>
    <w:p w14:paraId="38C841EA" w14:textId="2D9ABDD7" w:rsidR="003873B4" w:rsidRPr="004E7EE9" w:rsidRDefault="003873B4" w:rsidP="004E7EE9">
      <w:pPr>
        <w:pStyle w:val="Heading4"/>
        <w:rPr>
          <w:b w:val="0"/>
          <w:sz w:val="24"/>
        </w:rPr>
      </w:pPr>
      <w:r w:rsidRPr="004E7EE9">
        <w:rPr>
          <w:b w:val="0"/>
          <w:sz w:val="24"/>
        </w:rPr>
        <w:t xml:space="preserve">Figure 1. Displaying Change and Growth on the Five-by-Five </w:t>
      </w:r>
      <w:r w:rsidR="00A22475" w:rsidRPr="004E7EE9">
        <w:rPr>
          <w:b w:val="0"/>
          <w:sz w:val="24"/>
        </w:rPr>
        <w:t xml:space="preserve">Grid </w:t>
      </w:r>
      <w:r w:rsidRPr="004E7EE9">
        <w:rPr>
          <w:b w:val="0"/>
          <w:sz w:val="24"/>
        </w:rPr>
        <w:t>for the ELA Academic Indicator</w:t>
      </w:r>
    </w:p>
    <w:p w14:paraId="38C841EB" w14:textId="77777777" w:rsidR="00EC618B" w:rsidRPr="002E15E5" w:rsidRDefault="003873B4" w:rsidP="00EC618B">
      <w:pPr>
        <w:spacing w:before="240" w:after="240"/>
        <w:rPr>
          <w:rFonts w:cs="Arial"/>
          <w:b/>
          <w:sz w:val="32"/>
          <w:szCs w:val="32"/>
        </w:rPr>
      </w:pPr>
      <w:r w:rsidRPr="002E15E5">
        <w:rPr>
          <w:noProof/>
        </w:rPr>
        <w:drawing>
          <wp:inline distT="0" distB="0" distL="0" distR="0" wp14:anchorId="38C841F6" wp14:editId="7FC173C9">
            <wp:extent cx="5943600" cy="4022090"/>
            <wp:effectExtent l="0" t="0" r="0" b="0"/>
            <wp:docPr id="1" name="Picture 1" descr="Image of a table displaying change and growth on the five-by-five grid for ELA Academic 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022090"/>
                    </a:xfrm>
                    <a:prstGeom prst="rect">
                      <a:avLst/>
                    </a:prstGeom>
                  </pic:spPr>
                </pic:pic>
              </a:graphicData>
            </a:graphic>
          </wp:inline>
        </w:drawing>
      </w:r>
    </w:p>
    <w:p w14:paraId="38C841EC" w14:textId="77777777" w:rsidR="003873B4" w:rsidRPr="002E15E5" w:rsidRDefault="003873B4" w:rsidP="004E7EE9">
      <w:pPr>
        <w:pStyle w:val="Heading3"/>
      </w:pPr>
      <w:r w:rsidRPr="002E15E5">
        <w:t>Stakeholder Feedback on the use of the RG Growth Model</w:t>
      </w:r>
    </w:p>
    <w:p w14:paraId="38C841ED" w14:textId="3BCC9FE1" w:rsidR="003873B4" w:rsidRPr="002E15E5" w:rsidRDefault="006B00FB" w:rsidP="003873B4">
      <w:pPr>
        <w:spacing w:after="240"/>
      </w:pPr>
      <w:r w:rsidRPr="002E15E5">
        <w:t xml:space="preserve">The </w:t>
      </w:r>
      <w:r w:rsidR="003873B4" w:rsidRPr="002E15E5">
        <w:t xml:space="preserve">CDE engaged multiple </w:t>
      </w:r>
      <w:r w:rsidR="001A3BFA" w:rsidRPr="002E15E5">
        <w:t>stakeholder groups in discussions on the student growth model</w:t>
      </w:r>
      <w:r w:rsidR="003873B4" w:rsidRPr="002E15E5">
        <w:t xml:space="preserve"> in an effort to understand </w:t>
      </w:r>
      <w:r w:rsidR="001A3BFA" w:rsidRPr="002E15E5">
        <w:t xml:space="preserve">whether the RG model provided added value to the accountability system and whether the data it provided met an unmet need. </w:t>
      </w:r>
    </w:p>
    <w:p w14:paraId="38C841EE" w14:textId="29BDFEAD" w:rsidR="003873B4" w:rsidRPr="002E15E5" w:rsidRDefault="001A3BFA" w:rsidP="003873B4">
      <w:pPr>
        <w:spacing w:after="240"/>
      </w:pPr>
      <w:r w:rsidRPr="002E15E5">
        <w:t xml:space="preserve">While stakeholders expressed a strong desire for data showing whether students </w:t>
      </w:r>
      <w:r w:rsidR="008644E0" w:rsidRPr="002E15E5">
        <w:t>were</w:t>
      </w:r>
      <w:r w:rsidRPr="002E15E5">
        <w:t xml:space="preserve"> </w:t>
      </w:r>
      <w:r w:rsidR="008644E0" w:rsidRPr="002E15E5">
        <w:t xml:space="preserve">making </w:t>
      </w:r>
      <w:r w:rsidRPr="002E15E5">
        <w:t xml:space="preserve">growth from one year to the next, </w:t>
      </w:r>
      <w:r w:rsidR="008644E0" w:rsidRPr="002E15E5">
        <w:t xml:space="preserve">most did not find that the RG model produced actionable data. </w:t>
      </w:r>
      <w:r w:rsidR="00675585" w:rsidRPr="002E15E5">
        <w:t xml:space="preserve">Concern was expressed that </w:t>
      </w:r>
      <w:r w:rsidR="008644E0" w:rsidRPr="002E15E5">
        <w:t>a</w:t>
      </w:r>
      <w:r w:rsidR="003873B4" w:rsidRPr="002E15E5">
        <w:t xml:space="preserve"> relative measure</w:t>
      </w:r>
      <w:r w:rsidR="008644E0" w:rsidRPr="002E15E5">
        <w:t xml:space="preserve"> </w:t>
      </w:r>
      <w:r w:rsidR="00675585" w:rsidRPr="002E15E5">
        <w:t xml:space="preserve">does not provide </w:t>
      </w:r>
      <w:r w:rsidR="008644E0" w:rsidRPr="002E15E5">
        <w:t>grade-specific</w:t>
      </w:r>
      <w:r w:rsidR="003873B4" w:rsidRPr="002E15E5">
        <w:t xml:space="preserve"> growth </w:t>
      </w:r>
      <w:r w:rsidR="008644E0" w:rsidRPr="002E15E5">
        <w:t xml:space="preserve">needed </w:t>
      </w:r>
      <w:r w:rsidR="00675585" w:rsidRPr="002E15E5">
        <w:t>year over year</w:t>
      </w:r>
      <w:r w:rsidR="003873B4" w:rsidRPr="002E15E5">
        <w:t xml:space="preserve">. </w:t>
      </w:r>
      <w:r w:rsidR="008644E0" w:rsidRPr="002E15E5">
        <w:t xml:space="preserve">Stakeholders also found the RG model complex and difficult to communicate, specifically with respect to </w:t>
      </w:r>
      <w:r w:rsidR="003873B4" w:rsidRPr="002E15E5">
        <w:t>how schools</w:t>
      </w:r>
      <w:r w:rsidR="008644E0" w:rsidRPr="002E15E5">
        <w:t xml:space="preserve">, </w:t>
      </w:r>
      <w:r w:rsidR="003873B4" w:rsidRPr="002E15E5">
        <w:t>LEAs</w:t>
      </w:r>
      <w:r w:rsidR="008644E0" w:rsidRPr="002E15E5">
        <w:t xml:space="preserve">, </w:t>
      </w:r>
      <w:r w:rsidR="008644E0" w:rsidRPr="002E15E5">
        <w:lastRenderedPageBreak/>
        <w:t xml:space="preserve">and/or </w:t>
      </w:r>
      <w:r w:rsidR="003873B4" w:rsidRPr="002E15E5">
        <w:t xml:space="preserve">student groups could </w:t>
      </w:r>
      <w:r w:rsidR="002413E0" w:rsidRPr="002E15E5">
        <w:t>attain a higher Status from</w:t>
      </w:r>
      <w:r w:rsidR="00F03D5E" w:rsidRPr="002E15E5">
        <w:t>—</w:t>
      </w:r>
      <w:r w:rsidR="002413E0" w:rsidRPr="002E15E5">
        <w:t xml:space="preserve">one </w:t>
      </w:r>
      <w:r w:rsidR="00675585" w:rsidRPr="002E15E5">
        <w:t xml:space="preserve">year </w:t>
      </w:r>
      <w:r w:rsidR="002413E0" w:rsidRPr="002E15E5">
        <w:t>to the next while, at the same time, receiving a negative score for growth.</w:t>
      </w:r>
    </w:p>
    <w:p w14:paraId="38C841EF" w14:textId="77777777" w:rsidR="003873B4" w:rsidRPr="004E7EE9" w:rsidRDefault="003873B4" w:rsidP="004E7EE9">
      <w:pPr>
        <w:pStyle w:val="Heading3"/>
      </w:pPr>
      <w:r w:rsidRPr="004E7EE9">
        <w:t>Technical Feedback on the Growth Model</w:t>
      </w:r>
    </w:p>
    <w:p w14:paraId="4DC4E746" w14:textId="79AB812C" w:rsidR="00521EDE" w:rsidRPr="002E15E5" w:rsidRDefault="003873B4" w:rsidP="00F60389">
      <w:pPr>
        <w:spacing w:after="240"/>
      </w:pPr>
      <w:r w:rsidRPr="002E15E5">
        <w:t>As requested by the SBE, ETS provided an update to their February 2018 report on the growth models</w:t>
      </w:r>
      <w:r w:rsidR="002413E0" w:rsidRPr="002E15E5">
        <w:t>,</w:t>
      </w:r>
      <w:r w:rsidRPr="002E15E5">
        <w:t xml:space="preserve"> using the most recent testing data from the 2017 CAASPP administration, “</w:t>
      </w:r>
      <w:bookmarkStart w:id="1" w:name="_Toc516475298"/>
      <w:r w:rsidRPr="002E15E5">
        <w:t>Updated Analysis of the Residual Gain Model</w:t>
      </w:r>
      <w:bookmarkEnd w:id="1"/>
      <w:r w:rsidR="00F60389" w:rsidRPr="002E15E5">
        <w:t xml:space="preserve"> 2017-18 Plan” (</w:t>
      </w:r>
      <w:r w:rsidR="00F60389" w:rsidRPr="002E15E5">
        <w:rPr>
          <w:i/>
        </w:rPr>
        <w:t>Attachment 1</w:t>
      </w:r>
      <w:r w:rsidR="00F60389" w:rsidRPr="002E15E5">
        <w:t xml:space="preserve">). </w:t>
      </w:r>
      <w:r w:rsidRPr="002E15E5">
        <w:t xml:space="preserve">The report </w:t>
      </w:r>
      <w:r w:rsidR="002413E0" w:rsidRPr="002E15E5">
        <w:t xml:space="preserve">found </w:t>
      </w:r>
      <w:r w:rsidRPr="002E15E5">
        <w:t>that</w:t>
      </w:r>
      <w:r w:rsidR="002413E0" w:rsidRPr="002E15E5">
        <w:t>,</w:t>
      </w:r>
      <w:r w:rsidRPr="002E15E5">
        <w:t xml:space="preserve"> while the RG model performed statistically similar in both years, there was low </w:t>
      </w:r>
      <w:r w:rsidR="00521EDE" w:rsidRPr="002E15E5">
        <w:t>year-to-year</w:t>
      </w:r>
      <w:r w:rsidRPr="002E15E5">
        <w:t xml:space="preserve"> stability within the outcomes</w:t>
      </w:r>
      <w:r w:rsidR="002413E0" w:rsidRPr="002E15E5">
        <w:t>, which they described</w:t>
      </w:r>
      <w:r w:rsidRPr="002E15E5">
        <w:t xml:space="preserve"> as a, “known point of concern and can compromise their use in evaluating</w:t>
      </w:r>
      <w:r w:rsidR="00DB2481" w:rsidRPr="002E15E5">
        <w:t xml:space="preserve"> </w:t>
      </w:r>
      <w:r w:rsidRPr="002E15E5">
        <w:t>schools, or LEAs, or holding them accountable for their students’ progress (e.g., Lash et al., 2016).”</w:t>
      </w:r>
      <w:r w:rsidR="00880BF6" w:rsidRPr="002E15E5">
        <w:t xml:space="preserve"> </w:t>
      </w:r>
      <w:r w:rsidR="00481DD6" w:rsidRPr="002E15E5">
        <w:t>The report specifically cited that,</w:t>
      </w:r>
      <w:r w:rsidR="00880BF6" w:rsidRPr="002E15E5">
        <w:t xml:space="preserve"> “</w:t>
      </w:r>
      <w:r w:rsidR="00481DD6" w:rsidRPr="002E15E5">
        <w:t>t</w:t>
      </w:r>
      <w:r w:rsidR="00880BF6" w:rsidRPr="002E15E5">
        <w:t>he year-to-year instability in the growth measures means that schools with low growth one year might have notably higher growth the next year and vice versa for schools with high growth. Such volatility can make it difficult for educational leaders to use the growth data for driving decisions, as decisions made one year might be contradicted with the next year’s growth data.” (</w:t>
      </w:r>
      <w:r w:rsidR="00880BF6" w:rsidRPr="002E15E5">
        <w:rPr>
          <w:i/>
        </w:rPr>
        <w:t xml:space="preserve">Attachment 1, </w:t>
      </w:r>
      <w:r w:rsidR="00880BF6" w:rsidRPr="002E15E5">
        <w:t>pg. 16)</w:t>
      </w:r>
      <w:r w:rsidR="00521EDE" w:rsidRPr="002E15E5">
        <w:t xml:space="preserve"> ETS also noted that </w:t>
      </w:r>
      <w:r w:rsidR="00481DD6" w:rsidRPr="002E15E5">
        <w:t>cross-time</w:t>
      </w:r>
      <w:r w:rsidR="00521EDE" w:rsidRPr="002E15E5">
        <w:t xml:space="preserve"> (year-to-year)</w:t>
      </w:r>
      <w:r w:rsidR="00481DD6" w:rsidRPr="002E15E5">
        <w:t xml:space="preserve"> </w:t>
      </w:r>
      <w:r w:rsidR="00521EDE" w:rsidRPr="002E15E5">
        <w:t>“</w:t>
      </w:r>
      <w:r w:rsidR="00481DD6" w:rsidRPr="002E15E5">
        <w:t>stability is slightly higher at the school-by-grade or LEA-by-grade levels, but still not at levels that would likely be desirable for high-stakes decisions.” (</w:t>
      </w:r>
      <w:r w:rsidR="00481DD6" w:rsidRPr="002E15E5">
        <w:rPr>
          <w:i/>
        </w:rPr>
        <w:t xml:space="preserve">Attachment 1, </w:t>
      </w:r>
      <w:r w:rsidR="00481DD6" w:rsidRPr="002E15E5">
        <w:t>pg. 17)</w:t>
      </w:r>
      <w:r w:rsidR="001A1514" w:rsidRPr="002E15E5">
        <w:t xml:space="preserve"> </w:t>
      </w:r>
    </w:p>
    <w:p w14:paraId="3AEA4F53" w14:textId="77777777" w:rsidR="00DB2481" w:rsidRPr="002E15E5" w:rsidRDefault="001A1514" w:rsidP="003873B4">
      <w:pPr>
        <w:spacing w:after="240"/>
      </w:pPr>
      <w:r w:rsidRPr="002E15E5">
        <w:t xml:space="preserve">In reflecting upon this feedback from the report, CDE </w:t>
      </w:r>
      <w:r w:rsidR="00521EDE" w:rsidRPr="002E15E5">
        <w:t>thinks</w:t>
      </w:r>
      <w:r w:rsidRPr="002E15E5">
        <w:t xml:space="preserve"> that the RG growth model could possibly be a useful tool for identifying outliers </w:t>
      </w:r>
      <w:r w:rsidR="003243B6" w:rsidRPr="002E15E5">
        <w:t xml:space="preserve">that consistently demonstrate high or low growth over multiple </w:t>
      </w:r>
      <w:r w:rsidRPr="002E15E5">
        <w:t>years. However, based on the data provided in the ETS memo, less than 10 percent of schools fall into this category (</w:t>
      </w:r>
      <w:r w:rsidRPr="002E15E5">
        <w:rPr>
          <w:i/>
        </w:rPr>
        <w:t>Attachment 1</w:t>
      </w:r>
      <w:r w:rsidRPr="002E15E5">
        <w:t>), leaving 90 percent of schools with data that may be d</w:t>
      </w:r>
      <w:r w:rsidR="003243B6" w:rsidRPr="002E15E5">
        <w:t>ifficult to interpret from year-to-</w:t>
      </w:r>
      <w:r w:rsidRPr="002E15E5">
        <w:t>year.</w:t>
      </w:r>
    </w:p>
    <w:p w14:paraId="26D7ED5B" w14:textId="2ECB0E4A" w:rsidR="005A290B" w:rsidRPr="002E15E5" w:rsidRDefault="002413E0" w:rsidP="003873B4">
      <w:pPr>
        <w:spacing w:after="240"/>
      </w:pPr>
      <w:r w:rsidRPr="002E15E5">
        <w:t xml:space="preserve">At the June 2018 Technical Design Group meeting, the </w:t>
      </w:r>
      <w:r w:rsidR="003873B4" w:rsidRPr="002E15E5">
        <w:t xml:space="preserve">CDE </w:t>
      </w:r>
      <w:r w:rsidRPr="002E15E5">
        <w:t>presented the</w:t>
      </w:r>
      <w:r w:rsidR="003873B4" w:rsidRPr="002E15E5">
        <w:t xml:space="preserve"> report</w:t>
      </w:r>
      <w:r w:rsidRPr="002E15E5">
        <w:t xml:space="preserve"> findings,</w:t>
      </w:r>
      <w:r w:rsidR="003873B4" w:rsidRPr="002E15E5">
        <w:t xml:space="preserve"> along with </w:t>
      </w:r>
      <w:r w:rsidRPr="002E15E5">
        <w:t xml:space="preserve">feedback from </w:t>
      </w:r>
      <w:r w:rsidR="003873B4" w:rsidRPr="002E15E5">
        <w:t>stakeholder</w:t>
      </w:r>
      <w:r w:rsidRPr="002E15E5">
        <w:t xml:space="preserve">s </w:t>
      </w:r>
      <w:r w:rsidR="003873B4" w:rsidRPr="002E15E5">
        <w:t xml:space="preserve">on </w:t>
      </w:r>
      <w:r w:rsidRPr="002E15E5">
        <w:t xml:space="preserve">the </w:t>
      </w:r>
      <w:r w:rsidR="003873B4" w:rsidRPr="002E15E5">
        <w:t>RG Model</w:t>
      </w:r>
      <w:r w:rsidR="00675585" w:rsidRPr="002E15E5">
        <w:t>. B</w:t>
      </w:r>
      <w:r w:rsidR="003873B4" w:rsidRPr="002E15E5">
        <w:t xml:space="preserve">ased on the ETS </w:t>
      </w:r>
      <w:r w:rsidRPr="002E15E5">
        <w:t xml:space="preserve">findings </w:t>
      </w:r>
      <w:r w:rsidR="003873B4" w:rsidRPr="002E15E5">
        <w:t xml:space="preserve">and the </w:t>
      </w:r>
      <w:r w:rsidRPr="002E15E5">
        <w:t xml:space="preserve">general dissatisfaction expressed by stakeholders for the </w:t>
      </w:r>
      <w:r w:rsidR="003873B4" w:rsidRPr="002E15E5">
        <w:t>RG model</w:t>
      </w:r>
      <w:r w:rsidRPr="002E15E5">
        <w:t xml:space="preserve"> (e.g., it</w:t>
      </w:r>
      <w:r w:rsidR="003873B4" w:rsidRPr="002E15E5">
        <w:t xml:space="preserve"> does not provide the information that the field is requesting</w:t>
      </w:r>
      <w:r w:rsidRPr="002E15E5">
        <w:t>)</w:t>
      </w:r>
      <w:r w:rsidR="00675585" w:rsidRPr="002E15E5">
        <w:t>, t</w:t>
      </w:r>
      <w:r w:rsidR="003873B4" w:rsidRPr="002E15E5">
        <w:t xml:space="preserve">he TDG unanimously recommended to delay the inclusion of the RG </w:t>
      </w:r>
      <w:r w:rsidRPr="002E15E5">
        <w:t>m</w:t>
      </w:r>
      <w:r w:rsidR="003873B4" w:rsidRPr="002E15E5">
        <w:t xml:space="preserve">odel into the accountability system. They indicated </w:t>
      </w:r>
      <w:r w:rsidRPr="002E15E5">
        <w:t xml:space="preserve">that </w:t>
      </w:r>
      <w:r w:rsidR="003873B4" w:rsidRPr="002E15E5">
        <w:t xml:space="preserve">more years of data </w:t>
      </w:r>
      <w:r w:rsidRPr="002E15E5">
        <w:t xml:space="preserve">are needed </w:t>
      </w:r>
      <w:r w:rsidR="003873B4" w:rsidRPr="002E15E5">
        <w:t>to determine how to reduce the volatility of growth over time and suggested that CDE staff explore whether other growth models can provide the information that the field is requesting. In addition, the</w:t>
      </w:r>
      <w:r w:rsidRPr="002E15E5">
        <w:t xml:space="preserve"> TDG</w:t>
      </w:r>
      <w:r w:rsidR="003873B4" w:rsidRPr="002E15E5">
        <w:t xml:space="preserve"> strongly recommended against providing RG growth data for informational purposes</w:t>
      </w:r>
      <w:r w:rsidR="00B46764" w:rsidRPr="002E15E5">
        <w:t xml:space="preserve"> </w:t>
      </w:r>
      <w:r w:rsidR="00B42446" w:rsidRPr="002E15E5">
        <w:t>due to the risk of misinterpretation</w:t>
      </w:r>
      <w:r w:rsidR="00BF401C" w:rsidRPr="002E15E5">
        <w:t xml:space="preserve"> and </w:t>
      </w:r>
      <w:r w:rsidR="00175CA8" w:rsidRPr="002E15E5">
        <w:t xml:space="preserve">possible use of these volatile scores for </w:t>
      </w:r>
      <w:r w:rsidR="00481DD6" w:rsidRPr="002E15E5">
        <w:t xml:space="preserve">high-stakes </w:t>
      </w:r>
      <w:r w:rsidR="00BF401C" w:rsidRPr="002E15E5">
        <w:t>decisions</w:t>
      </w:r>
      <w:r w:rsidR="00481DD6" w:rsidRPr="002E15E5">
        <w:t>.</w:t>
      </w:r>
    </w:p>
    <w:p w14:paraId="38C841F3" w14:textId="1FBF8B7D" w:rsidR="00057A96" w:rsidRPr="004E7EE9" w:rsidRDefault="005C4F7B" w:rsidP="004E7EE9">
      <w:pPr>
        <w:pStyle w:val="Heading4"/>
      </w:pPr>
      <w:r w:rsidRPr="004E7EE9">
        <w:t>Options</w:t>
      </w:r>
    </w:p>
    <w:p w14:paraId="7A9A3EC9" w14:textId="7CA2F9BA" w:rsidR="00CB3CE1" w:rsidRPr="002E15E5" w:rsidRDefault="00CB3CE1" w:rsidP="003873B4">
      <w:pPr>
        <w:spacing w:after="240"/>
      </w:pPr>
      <w:r w:rsidRPr="002E15E5">
        <w:t xml:space="preserve">The CDE will need guidance from the SBE </w:t>
      </w:r>
      <w:r w:rsidR="00510A4D" w:rsidRPr="002E15E5">
        <w:t xml:space="preserve">at the July 2018 SBE meeting </w:t>
      </w:r>
      <w:r w:rsidRPr="002E15E5">
        <w:t xml:space="preserve">on how to proceed with the possible incorporation of the RG growth model in the Dashboard. There are three </w:t>
      </w:r>
      <w:r w:rsidR="00510A4D" w:rsidRPr="002E15E5">
        <w:t xml:space="preserve">possible </w:t>
      </w:r>
      <w:r w:rsidRPr="002E15E5">
        <w:t>options:</w:t>
      </w:r>
    </w:p>
    <w:p w14:paraId="3FF86F5D" w14:textId="16C776A4" w:rsidR="00510A4D" w:rsidRPr="002E15E5" w:rsidRDefault="00CB3CE1" w:rsidP="00785748">
      <w:pPr>
        <w:pStyle w:val="ListParagraph"/>
        <w:numPr>
          <w:ilvl w:val="0"/>
          <w:numId w:val="3"/>
        </w:numPr>
        <w:spacing w:before="240" w:after="240" w:line="240" w:lineRule="auto"/>
        <w:contextualSpacing w:val="0"/>
        <w:rPr>
          <w:sz w:val="24"/>
          <w:szCs w:val="24"/>
        </w:rPr>
      </w:pPr>
      <w:r w:rsidRPr="002E15E5">
        <w:rPr>
          <w:sz w:val="24"/>
          <w:szCs w:val="24"/>
        </w:rPr>
        <w:t xml:space="preserve">Incorporate the </w:t>
      </w:r>
      <w:r w:rsidR="000F7D10" w:rsidRPr="002E15E5">
        <w:rPr>
          <w:sz w:val="24"/>
          <w:szCs w:val="24"/>
        </w:rPr>
        <w:t>g</w:t>
      </w:r>
      <w:r w:rsidRPr="002E15E5">
        <w:rPr>
          <w:sz w:val="24"/>
          <w:szCs w:val="24"/>
        </w:rPr>
        <w:t xml:space="preserve">rowth </w:t>
      </w:r>
      <w:r w:rsidR="000F7D10" w:rsidRPr="002E15E5">
        <w:rPr>
          <w:sz w:val="24"/>
          <w:szCs w:val="24"/>
        </w:rPr>
        <w:t>m</w:t>
      </w:r>
      <w:r w:rsidRPr="002E15E5">
        <w:rPr>
          <w:sz w:val="24"/>
          <w:szCs w:val="24"/>
        </w:rPr>
        <w:t>ode</w:t>
      </w:r>
      <w:r w:rsidR="000F7D10" w:rsidRPr="002E15E5">
        <w:rPr>
          <w:sz w:val="24"/>
          <w:szCs w:val="24"/>
        </w:rPr>
        <w:t>l</w:t>
      </w:r>
      <w:r w:rsidRPr="002E15E5">
        <w:rPr>
          <w:sz w:val="24"/>
          <w:szCs w:val="24"/>
        </w:rPr>
        <w:t xml:space="preserve"> in the 2018 Dashboard. This would require CDE staff to determine if refinements to the model </w:t>
      </w:r>
      <w:r w:rsidR="00F03D5E" w:rsidRPr="002E15E5">
        <w:rPr>
          <w:sz w:val="24"/>
          <w:szCs w:val="24"/>
        </w:rPr>
        <w:t>are needed and to explore whether</w:t>
      </w:r>
      <w:r w:rsidR="006B00FB" w:rsidRPr="002E15E5">
        <w:rPr>
          <w:sz w:val="24"/>
          <w:szCs w:val="24"/>
        </w:rPr>
        <w:t>:</w:t>
      </w:r>
      <w:r w:rsidR="00F03D5E" w:rsidRPr="002E15E5">
        <w:rPr>
          <w:sz w:val="24"/>
          <w:szCs w:val="24"/>
        </w:rPr>
        <w:t xml:space="preserve"> </w:t>
      </w:r>
      <w:r w:rsidR="00F03D5E" w:rsidRPr="002E15E5">
        <w:rPr>
          <w:sz w:val="24"/>
          <w:szCs w:val="24"/>
        </w:rPr>
        <w:lastRenderedPageBreak/>
        <w:t xml:space="preserve">(1) </w:t>
      </w:r>
      <w:r w:rsidRPr="002E15E5">
        <w:rPr>
          <w:sz w:val="24"/>
          <w:szCs w:val="24"/>
        </w:rPr>
        <w:t xml:space="preserve">the current DF3 Change </w:t>
      </w:r>
      <w:r w:rsidR="00F03D5E" w:rsidRPr="002E15E5">
        <w:rPr>
          <w:sz w:val="24"/>
          <w:szCs w:val="24"/>
        </w:rPr>
        <w:t xml:space="preserve">methodology should be replaced </w:t>
      </w:r>
      <w:r w:rsidRPr="002E15E5">
        <w:rPr>
          <w:sz w:val="24"/>
          <w:szCs w:val="24"/>
        </w:rPr>
        <w:t xml:space="preserve">with </w:t>
      </w:r>
      <w:r w:rsidR="00510A4D" w:rsidRPr="002E15E5">
        <w:rPr>
          <w:sz w:val="24"/>
          <w:szCs w:val="24"/>
        </w:rPr>
        <w:t>RG scores</w:t>
      </w:r>
      <w:r w:rsidR="00F03D5E" w:rsidRPr="002E15E5">
        <w:rPr>
          <w:sz w:val="24"/>
          <w:szCs w:val="24"/>
        </w:rPr>
        <w:t>,</w:t>
      </w:r>
      <w:r w:rsidR="005A290B" w:rsidRPr="002E15E5">
        <w:rPr>
          <w:sz w:val="24"/>
          <w:szCs w:val="24"/>
        </w:rPr>
        <w:t xml:space="preserve"> </w:t>
      </w:r>
      <w:r w:rsidRPr="002E15E5">
        <w:rPr>
          <w:sz w:val="24"/>
          <w:szCs w:val="24"/>
        </w:rPr>
        <w:t xml:space="preserve">or </w:t>
      </w:r>
      <w:r w:rsidR="00F03D5E" w:rsidRPr="002E15E5">
        <w:rPr>
          <w:sz w:val="24"/>
          <w:szCs w:val="24"/>
        </w:rPr>
        <w:t xml:space="preserve">(2) </w:t>
      </w:r>
      <w:r w:rsidRPr="002E15E5">
        <w:rPr>
          <w:sz w:val="24"/>
          <w:szCs w:val="24"/>
        </w:rPr>
        <w:t>a new state indicator</w:t>
      </w:r>
      <w:r w:rsidR="00F03D5E" w:rsidRPr="002E15E5">
        <w:rPr>
          <w:sz w:val="24"/>
          <w:szCs w:val="24"/>
        </w:rPr>
        <w:t xml:space="preserve"> should be created</w:t>
      </w:r>
      <w:r w:rsidRPr="002E15E5">
        <w:rPr>
          <w:sz w:val="24"/>
          <w:szCs w:val="24"/>
        </w:rPr>
        <w:t>.</w:t>
      </w:r>
    </w:p>
    <w:p w14:paraId="354C0213" w14:textId="42C4322D" w:rsidR="00510A4D" w:rsidRPr="002E15E5" w:rsidRDefault="00CB3CE1" w:rsidP="003E38A4">
      <w:pPr>
        <w:pStyle w:val="ListParagraph"/>
        <w:numPr>
          <w:ilvl w:val="0"/>
          <w:numId w:val="3"/>
        </w:numPr>
        <w:spacing w:before="240" w:after="240" w:line="240" w:lineRule="auto"/>
        <w:contextualSpacing w:val="0"/>
        <w:rPr>
          <w:sz w:val="24"/>
          <w:szCs w:val="24"/>
        </w:rPr>
      </w:pPr>
      <w:r w:rsidRPr="002E15E5">
        <w:rPr>
          <w:sz w:val="24"/>
          <w:szCs w:val="24"/>
        </w:rPr>
        <w:t>Provide the RG growth data on the CDE web page for information only. This would also require CDE staff to determine if refinements to the model should be made and to explore options for displaying the data.</w:t>
      </w:r>
    </w:p>
    <w:p w14:paraId="117E9BD7" w14:textId="51D9ED1F" w:rsidR="00CB3CE1" w:rsidRPr="002E15E5" w:rsidRDefault="00CB3CE1" w:rsidP="00B54045">
      <w:pPr>
        <w:pStyle w:val="ListParagraph"/>
        <w:numPr>
          <w:ilvl w:val="0"/>
          <w:numId w:val="3"/>
        </w:numPr>
        <w:spacing w:before="240" w:after="480" w:line="240" w:lineRule="auto"/>
        <w:contextualSpacing w:val="0"/>
        <w:rPr>
          <w:sz w:val="24"/>
          <w:szCs w:val="24"/>
        </w:rPr>
      </w:pPr>
      <w:r w:rsidRPr="002E15E5">
        <w:rPr>
          <w:sz w:val="24"/>
          <w:szCs w:val="24"/>
        </w:rPr>
        <w:t>Delay the implementation of the RG growth model. Once</w:t>
      </w:r>
      <w:r w:rsidR="00F03D5E" w:rsidRPr="002E15E5">
        <w:rPr>
          <w:sz w:val="24"/>
          <w:szCs w:val="24"/>
        </w:rPr>
        <w:t xml:space="preserve"> </w:t>
      </w:r>
      <w:r w:rsidRPr="002E15E5">
        <w:rPr>
          <w:sz w:val="24"/>
          <w:szCs w:val="24"/>
        </w:rPr>
        <w:t>more data is available</w:t>
      </w:r>
      <w:r w:rsidR="00F03D5E" w:rsidRPr="002E15E5">
        <w:rPr>
          <w:sz w:val="24"/>
          <w:szCs w:val="24"/>
        </w:rPr>
        <w:t xml:space="preserve">, </w:t>
      </w:r>
      <w:r w:rsidRPr="002E15E5">
        <w:rPr>
          <w:sz w:val="24"/>
          <w:szCs w:val="24"/>
        </w:rPr>
        <w:t>CDE s</w:t>
      </w:r>
      <w:r w:rsidR="00510A4D" w:rsidRPr="002E15E5">
        <w:rPr>
          <w:sz w:val="24"/>
          <w:szCs w:val="24"/>
        </w:rPr>
        <w:t xml:space="preserve">taff would work with the </w:t>
      </w:r>
      <w:r w:rsidRPr="002E15E5">
        <w:rPr>
          <w:sz w:val="24"/>
          <w:szCs w:val="24"/>
        </w:rPr>
        <w:t>TDG and ETS to exp</w:t>
      </w:r>
      <w:r w:rsidR="00510A4D" w:rsidRPr="002E15E5">
        <w:rPr>
          <w:sz w:val="24"/>
          <w:szCs w:val="24"/>
        </w:rPr>
        <w:t xml:space="preserve">lore if using more years of data would reduce volatility </w:t>
      </w:r>
      <w:r w:rsidR="00F03D5E" w:rsidRPr="002E15E5">
        <w:rPr>
          <w:sz w:val="24"/>
          <w:szCs w:val="24"/>
        </w:rPr>
        <w:t xml:space="preserve">in </w:t>
      </w:r>
      <w:r w:rsidR="00510A4D" w:rsidRPr="002E15E5">
        <w:rPr>
          <w:sz w:val="24"/>
          <w:szCs w:val="24"/>
        </w:rPr>
        <w:t xml:space="preserve">the RG model or if another growth model might be </w:t>
      </w:r>
      <w:r w:rsidR="005A290B" w:rsidRPr="002E15E5">
        <w:rPr>
          <w:sz w:val="24"/>
          <w:szCs w:val="24"/>
        </w:rPr>
        <w:t xml:space="preserve">a </w:t>
      </w:r>
      <w:r w:rsidR="00510A4D" w:rsidRPr="002E15E5">
        <w:rPr>
          <w:sz w:val="24"/>
          <w:szCs w:val="24"/>
        </w:rPr>
        <w:t>more appropriate</w:t>
      </w:r>
      <w:r w:rsidR="005A290B" w:rsidRPr="002E15E5">
        <w:rPr>
          <w:sz w:val="24"/>
          <w:szCs w:val="24"/>
        </w:rPr>
        <w:t xml:space="preserve"> option</w:t>
      </w:r>
      <w:r w:rsidR="00B54045" w:rsidRPr="002E15E5">
        <w:rPr>
          <w:sz w:val="24"/>
          <w:szCs w:val="24"/>
        </w:rPr>
        <w:t>.</w:t>
      </w:r>
    </w:p>
    <w:p w14:paraId="38C841F4" w14:textId="77777777" w:rsidR="00057A96" w:rsidRPr="004E7EE9" w:rsidRDefault="00057A96" w:rsidP="004E7EE9">
      <w:pPr>
        <w:pStyle w:val="Heading2"/>
      </w:pPr>
      <w:r w:rsidRPr="004E7EE9">
        <w:t>Attachment(s)</w:t>
      </w:r>
    </w:p>
    <w:p w14:paraId="38C841F5" w14:textId="1028A565" w:rsidR="00057A96" w:rsidRPr="002E15E5" w:rsidRDefault="005A290B" w:rsidP="00F276DC">
      <w:pPr>
        <w:pStyle w:val="ListParagraph"/>
        <w:numPr>
          <w:ilvl w:val="0"/>
          <w:numId w:val="5"/>
        </w:numPr>
        <w:spacing w:after="480"/>
        <w:rPr>
          <w:sz w:val="24"/>
          <w:szCs w:val="24"/>
        </w:rPr>
      </w:pPr>
      <w:r w:rsidRPr="002E15E5">
        <w:rPr>
          <w:sz w:val="24"/>
          <w:szCs w:val="24"/>
        </w:rPr>
        <w:t xml:space="preserve">Attachment 1: Updated Analysis </w:t>
      </w:r>
      <w:r w:rsidR="00DB2481" w:rsidRPr="002E15E5">
        <w:rPr>
          <w:sz w:val="24"/>
          <w:szCs w:val="24"/>
        </w:rPr>
        <w:t>of the Residual Gain Model 2017–</w:t>
      </w:r>
      <w:r w:rsidRPr="002E15E5">
        <w:rPr>
          <w:sz w:val="24"/>
          <w:szCs w:val="24"/>
        </w:rPr>
        <w:t>18 Plan</w:t>
      </w:r>
      <w:r w:rsidR="00432B03" w:rsidRPr="002E15E5">
        <w:rPr>
          <w:sz w:val="24"/>
          <w:szCs w:val="24"/>
        </w:rPr>
        <w:br/>
      </w:r>
      <w:r w:rsidRPr="002E15E5">
        <w:rPr>
          <w:sz w:val="24"/>
          <w:szCs w:val="24"/>
        </w:rPr>
        <w:t xml:space="preserve">(18 Pages) </w:t>
      </w:r>
    </w:p>
    <w:sectPr w:rsidR="00057A96" w:rsidRPr="002E15E5" w:rsidSect="003873B4">
      <w:headerReference w:type="default" r:id="rId20"/>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C9B94" w14:textId="77777777" w:rsidR="00CD2EDE" w:rsidRDefault="00CD2EDE" w:rsidP="003873B4">
      <w:r>
        <w:separator/>
      </w:r>
    </w:p>
  </w:endnote>
  <w:endnote w:type="continuationSeparator" w:id="0">
    <w:p w14:paraId="1B6209B9" w14:textId="77777777" w:rsidR="00CD2EDE" w:rsidRDefault="00CD2EDE" w:rsidP="0038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810C2" w14:textId="77777777" w:rsidR="00CD2EDE" w:rsidRDefault="00CD2EDE" w:rsidP="003873B4">
      <w:r>
        <w:separator/>
      </w:r>
    </w:p>
  </w:footnote>
  <w:footnote w:type="continuationSeparator" w:id="0">
    <w:p w14:paraId="5B82A497" w14:textId="77777777" w:rsidR="00CD2EDE" w:rsidRDefault="00CD2EDE" w:rsidP="00387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841FC" w14:textId="77777777" w:rsidR="003873B4" w:rsidRDefault="003873B4" w:rsidP="003873B4">
    <w:pPr>
      <w:pStyle w:val="Header"/>
      <w:jc w:val="right"/>
    </w:pPr>
    <w:r>
      <w:t xml:space="preserve"> </w:t>
    </w:r>
    <w:proofErr w:type="gramStart"/>
    <w:r>
      <w:t>memo-pptb-amard-jun18item01</w:t>
    </w:r>
    <w:proofErr w:type="gramEnd"/>
  </w:p>
  <w:p w14:paraId="38C841FD" w14:textId="2972FA28" w:rsidR="003873B4" w:rsidRDefault="003873B4" w:rsidP="00EC618B">
    <w:pPr>
      <w:pStyle w:val="Header"/>
      <w:spacing w:after="240"/>
      <w:jc w:val="right"/>
    </w:pPr>
    <w:r>
      <w:t xml:space="preserve">Page </w:t>
    </w:r>
    <w:r>
      <w:fldChar w:fldCharType="begin"/>
    </w:r>
    <w:r>
      <w:instrText xml:space="preserve"> PAGE   \* MERGEFORMAT </w:instrText>
    </w:r>
    <w:r>
      <w:fldChar w:fldCharType="separate"/>
    </w:r>
    <w:r w:rsidR="00EC5A5D">
      <w:rPr>
        <w:noProof/>
      </w:rPr>
      <w:t>7</w:t>
    </w:r>
    <w:r>
      <w:rPr>
        <w:noProof/>
      </w:rPr>
      <w:fldChar w:fldCharType="end"/>
    </w:r>
    <w:r>
      <w:rPr>
        <w:noProof/>
      </w:rPr>
      <w:t xml:space="preserve"> of </w:t>
    </w:r>
    <w:r w:rsidR="00F276DC">
      <w:rPr>
        <w:noProof/>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7659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74F6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F203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E21C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2642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B687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99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BA41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56E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6BC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43BD4"/>
    <w:multiLevelType w:val="hybridMultilevel"/>
    <w:tmpl w:val="DB06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A5093"/>
    <w:multiLevelType w:val="hybridMultilevel"/>
    <w:tmpl w:val="969A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96913"/>
    <w:multiLevelType w:val="hybridMultilevel"/>
    <w:tmpl w:val="B442C30E"/>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3" w15:restartNumberingAfterBreak="0">
    <w:nsid w:val="60E31DC8"/>
    <w:multiLevelType w:val="hybridMultilevel"/>
    <w:tmpl w:val="8A58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F2E6C"/>
    <w:multiLevelType w:val="hybridMultilevel"/>
    <w:tmpl w:val="2B06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53B2A"/>
    <w:rsid w:val="00057A96"/>
    <w:rsid w:val="00077927"/>
    <w:rsid w:val="00090951"/>
    <w:rsid w:val="000B3606"/>
    <w:rsid w:val="000C139F"/>
    <w:rsid w:val="000F0264"/>
    <w:rsid w:val="000F3837"/>
    <w:rsid w:val="000F7D10"/>
    <w:rsid w:val="001472F9"/>
    <w:rsid w:val="0016173B"/>
    <w:rsid w:val="001648E9"/>
    <w:rsid w:val="00175CA8"/>
    <w:rsid w:val="001775CD"/>
    <w:rsid w:val="00184DEF"/>
    <w:rsid w:val="001A1514"/>
    <w:rsid w:val="001A3BFA"/>
    <w:rsid w:val="001B0A2B"/>
    <w:rsid w:val="001C1BB0"/>
    <w:rsid w:val="002408E4"/>
    <w:rsid w:val="002413E0"/>
    <w:rsid w:val="00251D18"/>
    <w:rsid w:val="00264787"/>
    <w:rsid w:val="00287678"/>
    <w:rsid w:val="00290A5B"/>
    <w:rsid w:val="0029286A"/>
    <w:rsid w:val="002D72F5"/>
    <w:rsid w:val="002E15E5"/>
    <w:rsid w:val="002E67CD"/>
    <w:rsid w:val="00304BE0"/>
    <w:rsid w:val="00321D49"/>
    <w:rsid w:val="00322C00"/>
    <w:rsid w:val="003243B6"/>
    <w:rsid w:val="00325EAA"/>
    <w:rsid w:val="0033616F"/>
    <w:rsid w:val="00364C1F"/>
    <w:rsid w:val="003873B4"/>
    <w:rsid w:val="003B5BBA"/>
    <w:rsid w:val="003E3B94"/>
    <w:rsid w:val="00432B03"/>
    <w:rsid w:val="00474A2F"/>
    <w:rsid w:val="00481DD6"/>
    <w:rsid w:val="004C691F"/>
    <w:rsid w:val="004E121C"/>
    <w:rsid w:val="004E7EE9"/>
    <w:rsid w:val="00510A4D"/>
    <w:rsid w:val="0051479B"/>
    <w:rsid w:val="00521EDE"/>
    <w:rsid w:val="0054334A"/>
    <w:rsid w:val="005569E1"/>
    <w:rsid w:val="005A290B"/>
    <w:rsid w:val="005B1325"/>
    <w:rsid w:val="005C4F7B"/>
    <w:rsid w:val="005D600A"/>
    <w:rsid w:val="006332BB"/>
    <w:rsid w:val="00675585"/>
    <w:rsid w:val="00681207"/>
    <w:rsid w:val="006B00FB"/>
    <w:rsid w:val="006B665D"/>
    <w:rsid w:val="006B777D"/>
    <w:rsid w:val="00725669"/>
    <w:rsid w:val="00761A7B"/>
    <w:rsid w:val="007A2653"/>
    <w:rsid w:val="008213F2"/>
    <w:rsid w:val="008644E0"/>
    <w:rsid w:val="00880BF6"/>
    <w:rsid w:val="0088333C"/>
    <w:rsid w:val="008B1135"/>
    <w:rsid w:val="008D2B05"/>
    <w:rsid w:val="008F6CA0"/>
    <w:rsid w:val="00911857"/>
    <w:rsid w:val="00963290"/>
    <w:rsid w:val="00982A10"/>
    <w:rsid w:val="009841D8"/>
    <w:rsid w:val="0099654B"/>
    <w:rsid w:val="00A11875"/>
    <w:rsid w:val="00A22475"/>
    <w:rsid w:val="00A25918"/>
    <w:rsid w:val="00A35C73"/>
    <w:rsid w:val="00AB4C92"/>
    <w:rsid w:val="00AD2AA4"/>
    <w:rsid w:val="00AF636E"/>
    <w:rsid w:val="00B42446"/>
    <w:rsid w:val="00B46764"/>
    <w:rsid w:val="00B54045"/>
    <w:rsid w:val="00B60549"/>
    <w:rsid w:val="00B652C7"/>
    <w:rsid w:val="00B7669F"/>
    <w:rsid w:val="00BA7596"/>
    <w:rsid w:val="00BC3667"/>
    <w:rsid w:val="00BC376B"/>
    <w:rsid w:val="00BF401C"/>
    <w:rsid w:val="00BF7F32"/>
    <w:rsid w:val="00C0798B"/>
    <w:rsid w:val="00C13E7E"/>
    <w:rsid w:val="00C420BB"/>
    <w:rsid w:val="00C61F78"/>
    <w:rsid w:val="00CB3CE1"/>
    <w:rsid w:val="00CC5474"/>
    <w:rsid w:val="00CC57ED"/>
    <w:rsid w:val="00CD2EDE"/>
    <w:rsid w:val="00CD3769"/>
    <w:rsid w:val="00CE50AB"/>
    <w:rsid w:val="00CE6DB7"/>
    <w:rsid w:val="00D569B3"/>
    <w:rsid w:val="00D81E7D"/>
    <w:rsid w:val="00DB2481"/>
    <w:rsid w:val="00DC5FAA"/>
    <w:rsid w:val="00DF6EE5"/>
    <w:rsid w:val="00E31493"/>
    <w:rsid w:val="00E32FDC"/>
    <w:rsid w:val="00E97207"/>
    <w:rsid w:val="00EB75FE"/>
    <w:rsid w:val="00EC3FF1"/>
    <w:rsid w:val="00EC5A5D"/>
    <w:rsid w:val="00EC618B"/>
    <w:rsid w:val="00F03D5E"/>
    <w:rsid w:val="00F06887"/>
    <w:rsid w:val="00F276DC"/>
    <w:rsid w:val="00F37CA7"/>
    <w:rsid w:val="00F60389"/>
    <w:rsid w:val="00FD03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41A3"/>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EE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7EE9"/>
    <w:pPr>
      <w:keepNext/>
      <w:keepLines/>
      <w:spacing w:before="240" w:after="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4E7EE9"/>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4E7EE9"/>
    <w:pPr>
      <w:keepNext/>
      <w:keepLines/>
      <w:spacing w:before="240" w:after="24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4E7EE9"/>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873B4"/>
    <w:pPr>
      <w:spacing w:after="160" w:line="259" w:lineRule="auto"/>
      <w:ind w:left="720"/>
      <w:contextualSpacing/>
    </w:pPr>
    <w:rPr>
      <w:rFonts w:eastAsiaTheme="minorHAnsi" w:cstheme="minorBidi"/>
      <w:sz w:val="28"/>
      <w:szCs w:val="22"/>
    </w:rPr>
  </w:style>
  <w:style w:type="table" w:styleId="TableGrid">
    <w:name w:val="Table Grid"/>
    <w:basedOn w:val="TableNormal"/>
    <w:uiPriority w:val="39"/>
    <w:rsid w:val="00387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873B4"/>
    <w:pPr>
      <w:spacing w:after="120"/>
    </w:pPr>
    <w:rPr>
      <w:rFonts w:eastAsia="SimSun" w:cs="Calibri"/>
    </w:rPr>
  </w:style>
  <w:style w:type="character" w:customStyle="1" w:styleId="BodyTextChar">
    <w:name w:val="Body Text Char"/>
    <w:basedOn w:val="DefaultParagraphFont"/>
    <w:link w:val="BodyText"/>
    <w:rsid w:val="003873B4"/>
    <w:rPr>
      <w:rFonts w:ascii="Arial" w:eastAsia="SimSun" w:hAnsi="Arial" w:cs="Calibri"/>
      <w:sz w:val="24"/>
      <w:szCs w:val="24"/>
    </w:rPr>
  </w:style>
  <w:style w:type="character" w:customStyle="1" w:styleId="Heading3Char">
    <w:name w:val="Heading 3 Char"/>
    <w:basedOn w:val="DefaultParagraphFont"/>
    <w:link w:val="Heading3"/>
    <w:uiPriority w:val="9"/>
    <w:rsid w:val="004E7EE9"/>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4E7EE9"/>
    <w:rPr>
      <w:rFonts w:ascii="Arial" w:eastAsiaTheme="majorEastAsia" w:hAnsi="Arial" w:cstheme="majorBidi"/>
      <w:b/>
      <w:iCs/>
      <w:sz w:val="28"/>
      <w:szCs w:val="24"/>
    </w:rPr>
  </w:style>
  <w:style w:type="paragraph" w:styleId="Header">
    <w:name w:val="header"/>
    <w:basedOn w:val="Normal"/>
    <w:link w:val="HeaderChar"/>
    <w:uiPriority w:val="99"/>
    <w:unhideWhenUsed/>
    <w:rsid w:val="003873B4"/>
    <w:pPr>
      <w:tabs>
        <w:tab w:val="center" w:pos="4680"/>
        <w:tab w:val="right" w:pos="9360"/>
      </w:tabs>
    </w:pPr>
  </w:style>
  <w:style w:type="character" w:customStyle="1" w:styleId="HeaderChar">
    <w:name w:val="Header Char"/>
    <w:basedOn w:val="DefaultParagraphFont"/>
    <w:link w:val="Header"/>
    <w:uiPriority w:val="99"/>
    <w:rsid w:val="003873B4"/>
    <w:rPr>
      <w:rFonts w:ascii="Arial" w:eastAsia="Times New Roman" w:hAnsi="Arial" w:cs="Times New Roman"/>
      <w:sz w:val="24"/>
      <w:szCs w:val="24"/>
    </w:rPr>
  </w:style>
  <w:style w:type="paragraph" w:styleId="Footer">
    <w:name w:val="footer"/>
    <w:basedOn w:val="Normal"/>
    <w:link w:val="FooterChar"/>
    <w:uiPriority w:val="99"/>
    <w:unhideWhenUsed/>
    <w:rsid w:val="003873B4"/>
    <w:pPr>
      <w:tabs>
        <w:tab w:val="center" w:pos="4680"/>
        <w:tab w:val="right" w:pos="9360"/>
      </w:tabs>
    </w:pPr>
  </w:style>
  <w:style w:type="character" w:customStyle="1" w:styleId="FooterChar">
    <w:name w:val="Footer Char"/>
    <w:basedOn w:val="DefaultParagraphFont"/>
    <w:link w:val="Footer"/>
    <w:uiPriority w:val="99"/>
    <w:rsid w:val="003873B4"/>
    <w:rPr>
      <w:rFonts w:ascii="Arial" w:eastAsia="Times New Roman" w:hAnsi="Arial" w:cs="Times New Roman"/>
      <w:sz w:val="24"/>
      <w:szCs w:val="24"/>
    </w:rPr>
  </w:style>
  <w:style w:type="character" w:styleId="Hyperlink">
    <w:name w:val="Hyperlink"/>
    <w:basedOn w:val="DefaultParagraphFont"/>
    <w:uiPriority w:val="99"/>
    <w:rsid w:val="001B0A2B"/>
    <w:rPr>
      <w:color w:val="0000FF"/>
      <w:u w:val="single"/>
    </w:rPr>
  </w:style>
  <w:style w:type="character" w:styleId="CommentReference">
    <w:name w:val="annotation reference"/>
    <w:basedOn w:val="DefaultParagraphFont"/>
    <w:uiPriority w:val="99"/>
    <w:semiHidden/>
    <w:unhideWhenUsed/>
    <w:rsid w:val="000F0264"/>
    <w:rPr>
      <w:sz w:val="16"/>
      <w:szCs w:val="16"/>
    </w:rPr>
  </w:style>
  <w:style w:type="paragraph" w:styleId="CommentText">
    <w:name w:val="annotation text"/>
    <w:basedOn w:val="Normal"/>
    <w:link w:val="CommentTextChar"/>
    <w:uiPriority w:val="99"/>
    <w:semiHidden/>
    <w:unhideWhenUsed/>
    <w:rsid w:val="000F0264"/>
    <w:rPr>
      <w:sz w:val="20"/>
      <w:szCs w:val="20"/>
    </w:rPr>
  </w:style>
  <w:style w:type="character" w:customStyle="1" w:styleId="CommentTextChar">
    <w:name w:val="Comment Text Char"/>
    <w:basedOn w:val="DefaultParagraphFont"/>
    <w:link w:val="CommentText"/>
    <w:uiPriority w:val="99"/>
    <w:semiHidden/>
    <w:rsid w:val="000F026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F0264"/>
    <w:rPr>
      <w:b/>
      <w:bCs/>
    </w:rPr>
  </w:style>
  <w:style w:type="character" w:customStyle="1" w:styleId="CommentSubjectChar">
    <w:name w:val="Comment Subject Char"/>
    <w:basedOn w:val="CommentTextChar"/>
    <w:link w:val="CommentSubject"/>
    <w:uiPriority w:val="99"/>
    <w:semiHidden/>
    <w:rsid w:val="000F0264"/>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D3769"/>
    <w:rPr>
      <w:color w:val="954F72" w:themeColor="followedHyperlink"/>
      <w:u w:val="single"/>
    </w:rPr>
  </w:style>
  <w:style w:type="paragraph" w:styleId="MessageHeader">
    <w:name w:val="Message Header"/>
    <w:basedOn w:val="Normal"/>
    <w:link w:val="MessageHeaderChar"/>
    <w:uiPriority w:val="99"/>
    <w:unhideWhenUsed/>
    <w:rsid w:val="004E7EE9"/>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4E7EE9"/>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pn/im/documents/memo-pptb-amard-feb18item01.docx" TargetMode="External"/><Relationship Id="rId18" Type="http://schemas.openxmlformats.org/officeDocument/2006/relationships/hyperlink" Target="https://www.cde.ca.gov/be/pn/im/documents/memo-dsib-amard-feb16item01.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e.ca.gov/be/ag/ag/yr18/documents/mar18item01.docx" TargetMode="External"/><Relationship Id="rId17" Type="http://schemas.openxmlformats.org/officeDocument/2006/relationships/hyperlink" Target="https://www.cde.ca.gov/be/pn/im/documents/memo-dsib-amard-jun16item01.doc" TargetMode="External"/><Relationship Id="rId2" Type="http://schemas.openxmlformats.org/officeDocument/2006/relationships/customXml" Target="../customXml/item2.xml"/><Relationship Id="rId16" Type="http://schemas.openxmlformats.org/officeDocument/2006/relationships/hyperlink" Target="https://www.cde.ca.gov/be/pn/im/documents/memo-pptb-amard-dec17item03.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ag/ag/yr18/documents/may18item02.docx" TargetMode="External"/><Relationship Id="rId5" Type="http://schemas.openxmlformats.org/officeDocument/2006/relationships/numbering" Target="numbering.xml"/><Relationship Id="rId15" Type="http://schemas.openxmlformats.org/officeDocument/2006/relationships/hyperlink" Target="https://www.cde.ca.gov/be/ag/ag/yr17/documents/jan17item02.doc" TargetMode="Externa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pn/im/documents/memo-asb-adad-jun17item03.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53CFC7061F841A73706A3CAF5A3E5" ma:contentTypeVersion="0" ma:contentTypeDescription="Create a new document." ma:contentTypeScope="" ma:versionID="4db607152fe6b1b2a551c27ad01b0e6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716A8-C7A0-4D11-B3DD-FC71B2F7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9C284C-5C72-4242-A12A-C0C4AF12F4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AE2FCB-CD7D-41FF-8E25-A5051B2F564E}">
  <ds:schemaRefs>
    <ds:schemaRef ds:uri="http://schemas.microsoft.com/sharepoint/v3/contenttype/forms"/>
  </ds:schemaRefs>
</ds:datastoreItem>
</file>

<file path=customXml/itemProps4.xml><?xml version="1.0" encoding="utf-8"?>
<ds:datastoreItem xmlns:ds="http://schemas.openxmlformats.org/officeDocument/2006/customXml" ds:itemID="{2992D0E1-EB23-496D-A5BB-21D00FA7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June 2018 Memo PPTB AMARD Item 01 - Information Memorandum (CA State Board of Education)</vt:lpstr>
    </vt:vector>
  </TitlesOfParts>
  <Company>California State Board of Education</Company>
  <LinksUpToDate>false</LinksUpToDate>
  <CharactersWithSpaces>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2018 Memo PPTB AMARD Item 01 - Information Memorandum (CA State Board of Education)</dc:title>
  <dc:subject>Update on the Development of a Growth Model: Incorporating a Growth Model into the California Accountability System.</dc:subject>
  <dc:creator>Kathleen Souza</dc:creator>
  <cp:keywords/>
  <dc:description/>
  <cp:revision>5</cp:revision>
  <cp:lastPrinted>2017-10-30T18:36:00Z</cp:lastPrinted>
  <dcterms:created xsi:type="dcterms:W3CDTF">2018-06-20T21:15:00Z</dcterms:created>
  <dcterms:modified xsi:type="dcterms:W3CDTF">2018-06-21T22:33:00Z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0x01010068453CFC7061F841A73706A3CAF5A3E5</vt:lpwstr>
  </property>
</Properties>
</file>