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31D5" w14:textId="77777777" w:rsidR="00057A96" w:rsidRDefault="00057A96" w:rsidP="00057A96">
      <w:r>
        <w:t>California Department of Education</w:t>
      </w:r>
    </w:p>
    <w:p w14:paraId="3A7DADF1" w14:textId="77777777" w:rsidR="00057A96" w:rsidRDefault="00057A96" w:rsidP="00057A96">
      <w:r>
        <w:t>Executive Office</w:t>
      </w:r>
    </w:p>
    <w:p w14:paraId="0286D02B" w14:textId="77777777" w:rsidR="00982A10" w:rsidRDefault="00057A96" w:rsidP="00982A10">
      <w:r>
        <w:t>SBE-00</w:t>
      </w:r>
      <w:r w:rsidR="00BC376B">
        <w:t>2</w:t>
      </w:r>
      <w:r>
        <w:t xml:space="preserve"> (REV. 1</w:t>
      </w:r>
      <w:r w:rsidR="000C139F">
        <w:t>1</w:t>
      </w:r>
      <w:r>
        <w:t>/2017)</w:t>
      </w:r>
    </w:p>
    <w:p w14:paraId="08ECBE64" w14:textId="1C3105FE" w:rsidR="00982A10" w:rsidRDefault="00982A10" w:rsidP="00982A10">
      <w:r>
        <w:br w:type="column"/>
      </w:r>
      <w:proofErr w:type="gramStart"/>
      <w:r w:rsidR="008C3438">
        <w:rPr>
          <w:rFonts w:cs="Arial"/>
        </w:rPr>
        <w:t>memo-</w:t>
      </w:r>
      <w:r w:rsidR="007A7AD1">
        <w:rPr>
          <w:rFonts w:cs="Arial"/>
        </w:rPr>
        <w:t>pptb</w:t>
      </w:r>
      <w:r w:rsidR="008C3438">
        <w:rPr>
          <w:rFonts w:cs="Arial"/>
        </w:rPr>
        <w:t>-</w:t>
      </w:r>
      <w:r w:rsidR="00D41B59">
        <w:rPr>
          <w:rFonts w:cs="Arial"/>
        </w:rPr>
        <w:t>amard</w:t>
      </w:r>
      <w:r w:rsidR="008C3438">
        <w:rPr>
          <w:rFonts w:cs="Arial"/>
        </w:rPr>
        <w:t>-</w:t>
      </w:r>
      <w:r w:rsidR="00646F91">
        <w:rPr>
          <w:rFonts w:cs="Arial"/>
        </w:rPr>
        <w:t>jun18</w:t>
      </w:r>
      <w:r w:rsidR="008C3438" w:rsidRPr="00C80384">
        <w:rPr>
          <w:rFonts w:cs="Arial"/>
        </w:rPr>
        <w:t>item</w:t>
      </w:r>
      <w:r w:rsidR="007A7AD1">
        <w:rPr>
          <w:rFonts w:cs="Arial"/>
        </w:rPr>
        <w:t>02</w:t>
      </w:r>
      <w:proofErr w:type="gramEnd"/>
    </w:p>
    <w:p w14:paraId="7D50C1B7" w14:textId="77777777" w:rsidR="00982A10" w:rsidRDefault="00982A10" w:rsidP="0033616F">
      <w:pPr>
        <w:pStyle w:val="Heading1"/>
        <w:spacing w:line="360" w:lineRule="auto"/>
        <w:rPr>
          <w:rFonts w:ascii="Arial" w:hAnsi="Arial" w:cs="Arial"/>
          <w:b/>
          <w:color w:val="auto"/>
          <w:sz w:val="40"/>
          <w:szCs w:val="52"/>
        </w:rPr>
        <w:sectPr w:rsidR="00982A10" w:rsidSect="00604A6E">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1E2493F1" w14:textId="77777777" w:rsidR="00057A96" w:rsidRPr="008B1135" w:rsidRDefault="00BC376B" w:rsidP="00A05A77">
      <w:pPr>
        <w:pStyle w:val="Heading1"/>
        <w:spacing w:after="240"/>
        <w:rPr>
          <w:rFonts w:ascii="Arial" w:hAnsi="Arial" w:cs="Arial"/>
          <w:b/>
          <w:color w:val="auto"/>
          <w:sz w:val="40"/>
          <w:szCs w:val="52"/>
        </w:rPr>
      </w:pPr>
      <w:r w:rsidRPr="008B1135">
        <w:rPr>
          <w:rFonts w:ascii="Arial" w:hAnsi="Arial" w:cs="Arial"/>
          <w:b/>
          <w:color w:val="auto"/>
          <w:sz w:val="40"/>
          <w:szCs w:val="52"/>
        </w:rPr>
        <w:t>M</w:t>
      </w:r>
      <w:bookmarkStart w:id="0" w:name="_GoBack"/>
      <w:bookmarkEnd w:id="0"/>
      <w:r w:rsidRPr="008B1135">
        <w:rPr>
          <w:rFonts w:ascii="Arial" w:hAnsi="Arial" w:cs="Arial"/>
          <w:b/>
          <w:color w:val="auto"/>
          <w:sz w:val="40"/>
          <w:szCs w:val="52"/>
        </w:rPr>
        <w:t>EMORANDUM</w:t>
      </w:r>
    </w:p>
    <w:p w14:paraId="7C4C42AA" w14:textId="77777777" w:rsidR="00057A96" w:rsidRPr="008B1135" w:rsidRDefault="008F6CA0" w:rsidP="0096598C">
      <w:pPr>
        <w:pStyle w:val="MessageHeader"/>
      </w:pPr>
      <w:r w:rsidRPr="008F6CA0">
        <w:rPr>
          <w:b/>
        </w:rPr>
        <w:t>DATE:</w:t>
      </w:r>
      <w:r>
        <w:tab/>
      </w:r>
      <w:r w:rsidR="008A5DE0">
        <w:t>June 1</w:t>
      </w:r>
      <w:r w:rsidR="00CD7BC1">
        <w:t>, 2018</w:t>
      </w:r>
      <w:r w:rsidR="00057A96" w:rsidRPr="008B1135">
        <w:t xml:space="preserve"> </w:t>
      </w:r>
    </w:p>
    <w:p w14:paraId="14A663DA" w14:textId="77777777" w:rsidR="00057A96" w:rsidRPr="00C61F78" w:rsidRDefault="00057A96" w:rsidP="0096598C">
      <w:pPr>
        <w:pStyle w:val="MessageHeader"/>
      </w:pPr>
      <w:r w:rsidRPr="008B1135">
        <w:rPr>
          <w:b/>
        </w:rPr>
        <w:t>TO:</w:t>
      </w:r>
      <w:r w:rsidRPr="00C61F78">
        <w:rPr>
          <w:b/>
        </w:rPr>
        <w:tab/>
      </w:r>
      <w:r w:rsidRPr="00C61F78">
        <w:t>MEMBERS, State Board of Education</w:t>
      </w:r>
    </w:p>
    <w:p w14:paraId="4E5171D8" w14:textId="77777777" w:rsidR="00057A96" w:rsidRPr="0033616F" w:rsidRDefault="00057A96" w:rsidP="0096598C">
      <w:pPr>
        <w:pStyle w:val="MessageHeader"/>
      </w:pPr>
      <w:r w:rsidRPr="008B1135">
        <w:rPr>
          <w:b/>
        </w:rPr>
        <w:t>FROM:</w:t>
      </w:r>
      <w:r w:rsidR="00C61F78">
        <w:tab/>
        <w:t xml:space="preserve">TOM TORLAKSON, </w:t>
      </w:r>
      <w:r w:rsidRPr="0033616F">
        <w:t>State Superintendent of Public Instruction</w:t>
      </w:r>
    </w:p>
    <w:p w14:paraId="25894888" w14:textId="77777777" w:rsidR="00894BEB" w:rsidRDefault="00057A96" w:rsidP="0096598C">
      <w:pPr>
        <w:pStyle w:val="MessageHeader"/>
        <w:rPr>
          <w:rFonts w:cs="Arial"/>
        </w:rPr>
      </w:pPr>
      <w:r w:rsidRPr="00EA746D">
        <w:rPr>
          <w:b/>
        </w:rPr>
        <w:t>SUBJECT:</w:t>
      </w:r>
      <w:r w:rsidRPr="00EA746D">
        <w:rPr>
          <w:b/>
        </w:rPr>
        <w:tab/>
      </w:r>
      <w:r w:rsidR="00685808">
        <w:t xml:space="preserve">Ongoing Development of California’s New Accountability System: Update on </w:t>
      </w:r>
      <w:r w:rsidR="00D41B59">
        <w:rPr>
          <w:color w:val="000000"/>
        </w:rPr>
        <w:t xml:space="preserve">Revisions to Calculating </w:t>
      </w:r>
      <w:r w:rsidR="00685808">
        <w:rPr>
          <w:color w:val="000000"/>
        </w:rPr>
        <w:t>the</w:t>
      </w:r>
      <w:r w:rsidR="00D41B59">
        <w:rPr>
          <w:color w:val="000000"/>
        </w:rPr>
        <w:t xml:space="preserve"> Graduation Rate</w:t>
      </w:r>
      <w:r w:rsidR="00272D14">
        <w:rPr>
          <w:color w:val="000000"/>
        </w:rPr>
        <w:t xml:space="preserve"> and Impact on the California School Dashboard</w:t>
      </w:r>
      <w:r w:rsidR="00D41B59">
        <w:rPr>
          <w:color w:val="000000"/>
        </w:rPr>
        <w:t>.</w:t>
      </w:r>
    </w:p>
    <w:p w14:paraId="1EB053D0" w14:textId="77777777" w:rsidR="00057A96" w:rsidRPr="008A0D3D" w:rsidRDefault="00474A2F" w:rsidP="007A7AD1">
      <w:pPr>
        <w:pStyle w:val="Heading2"/>
      </w:pPr>
      <w:r w:rsidRPr="007A7AD1">
        <w:t>Summary</w:t>
      </w:r>
      <w:r w:rsidRPr="008A0D3D">
        <w:t xml:space="preserve"> o</w:t>
      </w:r>
      <w:r w:rsidR="00057A96" w:rsidRPr="008A0D3D">
        <w:t>f Key Issues</w:t>
      </w:r>
    </w:p>
    <w:p w14:paraId="6D8C1432" w14:textId="15DFE6A1" w:rsidR="00E11EF0" w:rsidRDefault="00D41B59" w:rsidP="007A7AD1">
      <w:pPr>
        <w:spacing w:after="480"/>
        <w:rPr>
          <w:b/>
        </w:rPr>
      </w:pPr>
      <w:r>
        <w:t>This Information Memorandum provides a</w:t>
      </w:r>
      <w:r w:rsidR="00AE207F">
        <w:t>n overview</w:t>
      </w:r>
      <w:r>
        <w:t xml:space="preserve"> of changes to </w:t>
      </w:r>
      <w:r w:rsidR="0030049C">
        <w:t xml:space="preserve">California’s </w:t>
      </w:r>
      <w:r>
        <w:t xml:space="preserve">methodology for calculating </w:t>
      </w:r>
      <w:r w:rsidR="00DA1413">
        <w:t xml:space="preserve">the </w:t>
      </w:r>
      <w:r w:rsidR="009D0F87">
        <w:t>f</w:t>
      </w:r>
      <w:r>
        <w:t>our-</w:t>
      </w:r>
      <w:r w:rsidR="009D0F87">
        <w:t>y</w:t>
      </w:r>
      <w:r>
        <w:t>ear Adjusted Cohort Graduation Rate (ACGR)</w:t>
      </w:r>
      <w:r w:rsidR="00685808">
        <w:t xml:space="preserve"> and the potential implications to the </w:t>
      </w:r>
      <w:r w:rsidR="00C75078">
        <w:t xml:space="preserve">Graduation Rate and College/Career Indicators </w:t>
      </w:r>
      <w:r w:rsidR="00685808">
        <w:t>on the 2018 California School Dashboard</w:t>
      </w:r>
      <w:r w:rsidR="00DD6A33">
        <w:t xml:space="preserve"> (Dashboard)</w:t>
      </w:r>
      <w:r>
        <w:t>.</w:t>
      </w:r>
      <w:r w:rsidR="00AE207F">
        <w:t xml:space="preserve"> </w:t>
      </w:r>
      <w:r w:rsidR="00BE3F83" w:rsidRPr="00BE3F83">
        <w:t xml:space="preserve">The California Department of Education (CDE) is </w:t>
      </w:r>
      <w:r w:rsidR="00685808">
        <w:t>required to make these</w:t>
      </w:r>
      <w:r w:rsidR="00BE3F83" w:rsidRPr="00BE3F83">
        <w:t xml:space="preserve"> changes to: (1) address audit findings from the U.S. Department of Education (ED) Office of Inspector General (OIG) </w:t>
      </w:r>
      <w:r w:rsidR="00F174F9">
        <w:t>related to</w:t>
      </w:r>
      <w:r w:rsidR="00F174F9" w:rsidRPr="00BE3F83">
        <w:t xml:space="preserve"> </w:t>
      </w:r>
      <w:r w:rsidR="00BE3F83" w:rsidRPr="00BE3F83">
        <w:t xml:space="preserve">California’s </w:t>
      </w:r>
      <w:r w:rsidR="00510BF0">
        <w:t>four-year ACGR</w:t>
      </w:r>
      <w:r w:rsidR="00BE3F83" w:rsidRPr="00BE3F83">
        <w:t xml:space="preserve"> calculation process and methodology; (2) to align with </w:t>
      </w:r>
      <w:r w:rsidR="00F174F9">
        <w:t xml:space="preserve">the </w:t>
      </w:r>
      <w:r w:rsidR="001D4FBB">
        <w:t xml:space="preserve">guidance and </w:t>
      </w:r>
      <w:r w:rsidR="00F174F9">
        <w:t xml:space="preserve">definitions provided in </w:t>
      </w:r>
      <w:r w:rsidR="00BE3F83" w:rsidRPr="00BE3F83">
        <w:t xml:space="preserve">the </w:t>
      </w:r>
      <w:r w:rsidR="00BE3F83" w:rsidRPr="003E5B91">
        <w:rPr>
          <w:i/>
        </w:rPr>
        <w:t>Every Student Succeeds Act High School Graduation Rate Non-Regulatory Guidance</w:t>
      </w:r>
      <w:r w:rsidR="00BE3F83" w:rsidRPr="00BE3F83">
        <w:t xml:space="preserve"> (2017)</w:t>
      </w:r>
      <w:r w:rsidR="00685808">
        <w:t xml:space="preserve">. </w:t>
      </w:r>
      <w:r w:rsidR="00DD6A33">
        <w:t xml:space="preserve">The CDE estimates these changes will result in </w:t>
      </w:r>
      <w:r w:rsidR="007A7AD1">
        <w:t>an estimated one to two</w:t>
      </w:r>
      <w:r w:rsidR="00DD6A33">
        <w:t xml:space="preserve"> percentage point decrease in California’s statewide graduation rate and may affect performance for </w:t>
      </w:r>
      <w:r w:rsidR="00272D14">
        <w:t>some</w:t>
      </w:r>
      <w:r w:rsidR="00DD6A33">
        <w:t xml:space="preserve"> schools and local educational agencies </w:t>
      </w:r>
      <w:r w:rsidR="00272D14">
        <w:t xml:space="preserve">(LEAs) </w:t>
      </w:r>
      <w:r w:rsidR="00DD6A33">
        <w:t xml:space="preserve">on the </w:t>
      </w:r>
      <w:r w:rsidR="00272D14">
        <w:t xml:space="preserve">2018 </w:t>
      </w:r>
      <w:r w:rsidR="00DD6A33">
        <w:t>Dashboard.</w:t>
      </w:r>
    </w:p>
    <w:p w14:paraId="31EFC6DD" w14:textId="77777777" w:rsidR="00E11EF0" w:rsidRPr="007A7AD1" w:rsidRDefault="00685808" w:rsidP="007A7AD1">
      <w:pPr>
        <w:pStyle w:val="Heading2"/>
      </w:pPr>
      <w:r w:rsidRPr="007A7AD1">
        <w:t>Background</w:t>
      </w:r>
    </w:p>
    <w:p w14:paraId="56ACDA22" w14:textId="0D6E8A82" w:rsidR="00685808" w:rsidRDefault="001560DE" w:rsidP="00E561CC">
      <w:pPr>
        <w:spacing w:after="240"/>
      </w:pPr>
      <w:r>
        <w:t>T</w:t>
      </w:r>
      <w:r w:rsidR="00872C2D">
        <w:t xml:space="preserve">he </w:t>
      </w:r>
      <w:r w:rsidR="00872C2D" w:rsidRPr="00872C2D">
        <w:t xml:space="preserve">purpose of the </w:t>
      </w:r>
      <w:r w:rsidR="00C75078">
        <w:t xml:space="preserve">OIG </w:t>
      </w:r>
      <w:r w:rsidR="00872C2D" w:rsidRPr="00872C2D">
        <w:t xml:space="preserve">audit </w:t>
      </w:r>
      <w:r w:rsidR="00C75078">
        <w:t xml:space="preserve">(which began in September 2016) </w:t>
      </w:r>
      <w:r w:rsidR="00872C2D" w:rsidRPr="00872C2D">
        <w:t xml:space="preserve">was to determine whether the </w:t>
      </w:r>
      <w:r w:rsidR="004D24AF">
        <w:t>CDE</w:t>
      </w:r>
      <w:r w:rsidR="00872C2D" w:rsidRPr="00872C2D">
        <w:t xml:space="preserve"> </w:t>
      </w:r>
      <w:r w:rsidR="00FC0675">
        <w:t xml:space="preserve">had </w:t>
      </w:r>
      <w:r w:rsidR="00872C2D" w:rsidRPr="00872C2D">
        <w:t>implemented a system of internal control over calculating and reporting graduation rates sufficient to provide reasonable assurance that reported graduation rates were accurate and complete</w:t>
      </w:r>
      <w:r w:rsidR="00872C2D">
        <w:t xml:space="preserve">. </w:t>
      </w:r>
      <w:r>
        <w:t xml:space="preserve">In addition to California, </w:t>
      </w:r>
      <w:r w:rsidR="00C75078">
        <w:t xml:space="preserve">the OIG audited </w:t>
      </w:r>
      <w:r>
        <w:t xml:space="preserve">Alabama and </w:t>
      </w:r>
      <w:r w:rsidR="00C75078">
        <w:t xml:space="preserve">is </w:t>
      </w:r>
      <w:r w:rsidR="00BB515E">
        <w:t xml:space="preserve">currently conducting a similar audit of </w:t>
      </w:r>
      <w:r>
        <w:t xml:space="preserve">Utah. </w:t>
      </w:r>
    </w:p>
    <w:p w14:paraId="40393FFD" w14:textId="28EEEBF1" w:rsidR="003E5B91" w:rsidRDefault="00D543EC" w:rsidP="00E561CC">
      <w:pPr>
        <w:spacing w:after="240"/>
      </w:pPr>
      <w:r>
        <w:t>The audit findings and recommendations are outlined in the OIG’s final audit report</w:t>
      </w:r>
      <w:r w:rsidR="00741D8D">
        <w:t>,</w:t>
      </w:r>
      <w:r>
        <w:t xml:space="preserve"> </w:t>
      </w:r>
      <w:r w:rsidRPr="00E43D74">
        <w:rPr>
          <w:i/>
        </w:rPr>
        <w:t>Calculating and Reporting Graduation Rates in California</w:t>
      </w:r>
      <w:r>
        <w:t xml:space="preserve"> (2018), which includes </w:t>
      </w:r>
      <w:r w:rsidR="001D4FBB">
        <w:t xml:space="preserve">the </w:t>
      </w:r>
      <w:r>
        <w:t xml:space="preserve">CDE’s </w:t>
      </w:r>
      <w:r w:rsidR="00DD6A33">
        <w:t xml:space="preserve">comments and </w:t>
      </w:r>
      <w:r>
        <w:t>response to each finding and recommendation</w:t>
      </w:r>
      <w:r w:rsidR="00C75078">
        <w:t>. The final audit</w:t>
      </w:r>
      <w:r w:rsidR="001D4FBB">
        <w:t xml:space="preserve"> </w:t>
      </w:r>
      <w:r w:rsidR="00BB515E">
        <w:t>report</w:t>
      </w:r>
      <w:r>
        <w:t xml:space="preserve"> is located on the OIG Web site at </w:t>
      </w:r>
      <w:hyperlink r:id="rId9" w:tooltip="Office of Inspector General Audit on California's Graduation Rate Calculation" w:history="1">
        <w:r w:rsidRPr="007146BE">
          <w:rPr>
            <w:rStyle w:val="Hyperlink"/>
          </w:rPr>
          <w:t>https://www2.ed.gov/about/offices/list/oig/auditreports/fy2018/a02q0005.pdf</w:t>
        </w:r>
      </w:hyperlink>
      <w:r>
        <w:t xml:space="preserve">. </w:t>
      </w:r>
      <w:r w:rsidR="00741D8D">
        <w:t xml:space="preserve">The OIG based its analysis on guidance and definitions provided in the </w:t>
      </w:r>
      <w:r w:rsidR="009E0457" w:rsidRPr="009E0457">
        <w:rPr>
          <w:i/>
        </w:rPr>
        <w:t xml:space="preserve">No Child Left Behind High </w:t>
      </w:r>
      <w:r w:rsidR="009E0457" w:rsidRPr="009E0457">
        <w:rPr>
          <w:i/>
        </w:rPr>
        <w:lastRenderedPageBreak/>
        <w:t>School Graduation Rate Non-Regulatory Guidance</w:t>
      </w:r>
      <w:r w:rsidR="009E0457">
        <w:t xml:space="preserve"> (2008), located on the ED Web site at </w:t>
      </w:r>
      <w:hyperlink r:id="rId10" w:tooltip="No Child Left Behind Graduation Rate Non-Regulatory Guidance" w:history="1">
        <w:r w:rsidR="009E0457" w:rsidRPr="00A65255">
          <w:rPr>
            <w:rStyle w:val="Hyperlink"/>
          </w:rPr>
          <w:t>https://www2.ed.gov/policy/elsec/guid/hsgrguidance.pdf</w:t>
        </w:r>
      </w:hyperlink>
      <w:r w:rsidR="009E0457">
        <w:t xml:space="preserve">, and on the </w:t>
      </w:r>
      <w:r w:rsidR="00741D8D" w:rsidRPr="00957846">
        <w:rPr>
          <w:i/>
        </w:rPr>
        <w:t>Every Student Succeeds Act High School Graduation Rate Non-Regulatory Guidance</w:t>
      </w:r>
      <w:r w:rsidR="00741D8D">
        <w:t xml:space="preserve"> (2017), </w:t>
      </w:r>
      <w:r w:rsidR="00C75078">
        <w:t xml:space="preserve">also </w:t>
      </w:r>
      <w:r w:rsidR="00741D8D">
        <w:t xml:space="preserve">located </w:t>
      </w:r>
      <w:r w:rsidR="00C75078">
        <w:t xml:space="preserve">on the ED Web site </w:t>
      </w:r>
      <w:r w:rsidR="00741D8D">
        <w:t xml:space="preserve">at </w:t>
      </w:r>
      <w:hyperlink r:id="rId11" w:tooltip="Every Student Succeeds Act Graduation Rate Non-Regulatory Guidance" w:history="1">
        <w:r w:rsidR="00741D8D" w:rsidRPr="00A74E5F">
          <w:rPr>
            <w:rStyle w:val="Hyperlink"/>
          </w:rPr>
          <w:t>https://www2.ed.gov/policy/elsec/leg/essa/essagradrateguidance.pdf</w:t>
        </w:r>
      </w:hyperlink>
      <w:r w:rsidR="009E0457">
        <w:t xml:space="preserve">. </w:t>
      </w:r>
    </w:p>
    <w:p w14:paraId="6F58AD7D" w14:textId="77777777" w:rsidR="002A7809" w:rsidRDefault="00FC0675" w:rsidP="00E561CC">
      <w:pPr>
        <w:spacing w:after="240"/>
      </w:pPr>
      <w:r>
        <w:t>The</w:t>
      </w:r>
      <w:r w:rsidR="00741D8D">
        <w:t xml:space="preserve"> guidance provides detailed information </w:t>
      </w:r>
      <w:r w:rsidR="009E0457">
        <w:t xml:space="preserve">required for calculating the </w:t>
      </w:r>
      <w:r w:rsidR="00510BF0">
        <w:t>four-year ACGR</w:t>
      </w:r>
      <w:r w:rsidR="009E0457">
        <w:t xml:space="preserve">, including, but not limited to: </w:t>
      </w:r>
    </w:p>
    <w:p w14:paraId="380499C9" w14:textId="36AE494E" w:rsidR="002A7809" w:rsidRDefault="002A7809" w:rsidP="007A7AD1">
      <w:pPr>
        <w:pStyle w:val="ListParagraph"/>
        <w:numPr>
          <w:ilvl w:val="0"/>
          <w:numId w:val="15"/>
        </w:numPr>
        <w:spacing w:after="240"/>
        <w:contextualSpacing w:val="0"/>
      </w:pPr>
      <w:r>
        <w:t>T</w:t>
      </w:r>
      <w:r w:rsidR="009E0457">
        <w:t xml:space="preserve">he definition of the </w:t>
      </w:r>
      <w:r w:rsidR="00510BF0">
        <w:t>four-year ACGR</w:t>
      </w:r>
      <w:r w:rsidR="00932D5B">
        <w:t>.</w:t>
      </w:r>
    </w:p>
    <w:p w14:paraId="238C73C9" w14:textId="573EFFF7" w:rsidR="002A7809" w:rsidRDefault="002A7809" w:rsidP="007A7AD1">
      <w:pPr>
        <w:pStyle w:val="ListParagraph"/>
        <w:numPr>
          <w:ilvl w:val="0"/>
          <w:numId w:val="15"/>
        </w:numPr>
        <w:spacing w:after="240"/>
        <w:contextualSpacing w:val="0"/>
      </w:pPr>
      <w:r>
        <w:t>W</w:t>
      </w:r>
      <w:r w:rsidR="00741D8D">
        <w:t xml:space="preserve">hich students may be counted as </w:t>
      </w:r>
      <w:r w:rsidR="00C75078">
        <w:t xml:space="preserve">a </w:t>
      </w:r>
      <w:r w:rsidR="00741D8D">
        <w:t xml:space="preserve">“regular high school” </w:t>
      </w:r>
      <w:proofErr w:type="gramStart"/>
      <w:r w:rsidR="00741D8D">
        <w:t>graduate</w:t>
      </w:r>
      <w:r w:rsidR="00932D5B">
        <w:t>.</w:t>
      </w:r>
      <w:proofErr w:type="gramEnd"/>
    </w:p>
    <w:p w14:paraId="5E42AF99" w14:textId="26EE7D46" w:rsidR="002A7809" w:rsidRDefault="002A7809" w:rsidP="007A7AD1">
      <w:pPr>
        <w:pStyle w:val="ListParagraph"/>
        <w:numPr>
          <w:ilvl w:val="0"/>
          <w:numId w:val="15"/>
        </w:numPr>
        <w:spacing w:after="240"/>
        <w:contextualSpacing w:val="0"/>
      </w:pPr>
      <w:r>
        <w:t>U</w:t>
      </w:r>
      <w:r w:rsidR="00741D8D">
        <w:t>nder which circumstances it is allowable to remove students from the four-year cohort</w:t>
      </w:r>
      <w:r w:rsidR="009E0457">
        <w:t xml:space="preserve"> (e.g., </w:t>
      </w:r>
      <w:r w:rsidR="009E0457" w:rsidRPr="009E0457">
        <w:t xml:space="preserve">transfers out, </w:t>
      </w:r>
      <w:proofErr w:type="gramStart"/>
      <w:r w:rsidR="009E0457" w:rsidRPr="009E0457">
        <w:t>emigrates</w:t>
      </w:r>
      <w:proofErr w:type="gramEnd"/>
      <w:r w:rsidR="009E0457" w:rsidRPr="009E0457">
        <w:t xml:space="preserve"> to another country, transfers to a prison or juvenile facility, or dies during</w:t>
      </w:r>
      <w:r w:rsidR="009E0457">
        <w:t xml:space="preserve"> the four-year cohort period)</w:t>
      </w:r>
      <w:r w:rsidR="00932D5B">
        <w:t>.</w:t>
      </w:r>
      <w:r w:rsidR="009E0457">
        <w:t xml:space="preserve"> </w:t>
      </w:r>
    </w:p>
    <w:p w14:paraId="3F5768A8" w14:textId="39F267CC" w:rsidR="002A7809" w:rsidRDefault="002A7809" w:rsidP="007A7AD1">
      <w:pPr>
        <w:pStyle w:val="ListParagraph"/>
        <w:numPr>
          <w:ilvl w:val="0"/>
          <w:numId w:val="15"/>
        </w:numPr>
        <w:spacing w:after="240"/>
        <w:contextualSpacing w:val="0"/>
      </w:pPr>
      <w:r>
        <w:t>R</w:t>
      </w:r>
      <w:r w:rsidR="009E0457">
        <w:t>equirements for LEAs to maintain written documentation to support removing students from the cohort</w:t>
      </w:r>
      <w:r w:rsidR="006F28FB">
        <w:t xml:space="preserve"> to support auditing and monitoring of the data</w:t>
      </w:r>
      <w:r w:rsidR="009E0457">
        <w:t>.</w:t>
      </w:r>
    </w:p>
    <w:p w14:paraId="1756DA56" w14:textId="77777777" w:rsidR="00CC192C" w:rsidRPr="007A7AD1" w:rsidRDefault="00CC192C" w:rsidP="007A7AD1">
      <w:pPr>
        <w:pStyle w:val="Heading3"/>
      </w:pPr>
      <w:r w:rsidRPr="007A7AD1">
        <w:t>Impact to the Graduation Rate Calculation</w:t>
      </w:r>
    </w:p>
    <w:p w14:paraId="7A02DEE5" w14:textId="2384D826" w:rsidR="00C117F9" w:rsidRDefault="00226519" w:rsidP="00E561CC">
      <w:pPr>
        <w:spacing w:after="240"/>
      </w:pPr>
      <w:r>
        <w:t xml:space="preserve">After extensive discussions with </w:t>
      </w:r>
      <w:r w:rsidR="002640AF">
        <w:t xml:space="preserve">the </w:t>
      </w:r>
      <w:r>
        <w:t>OIG and</w:t>
      </w:r>
      <w:r w:rsidR="007A7AD1">
        <w:t xml:space="preserve"> the</w:t>
      </w:r>
      <w:r>
        <w:t xml:space="preserve"> ED</w:t>
      </w:r>
      <w:r w:rsidR="002640AF">
        <w:t xml:space="preserve"> regarding the CDE’s disagreements with some findings</w:t>
      </w:r>
      <w:r>
        <w:t xml:space="preserve">, the CDE </w:t>
      </w:r>
      <w:r w:rsidR="007A7AD1">
        <w:t>is required</w:t>
      </w:r>
      <w:r>
        <w:t xml:space="preserve"> to adopt the </w:t>
      </w:r>
      <w:r w:rsidR="00326EF5">
        <w:t xml:space="preserve">following </w:t>
      </w:r>
      <w:r>
        <w:t xml:space="preserve">recommendations </w:t>
      </w:r>
      <w:r w:rsidR="00326EF5">
        <w:t>from</w:t>
      </w:r>
      <w:r>
        <w:t xml:space="preserve"> the audit report</w:t>
      </w:r>
      <w:r w:rsidR="003A6DE4">
        <w:t xml:space="preserve"> in order to comply with ESSA, provide guidance to LEAs, and adopt more rigorous data quality procedures</w:t>
      </w:r>
      <w:r w:rsidR="00326EF5">
        <w:t>:</w:t>
      </w:r>
    </w:p>
    <w:p w14:paraId="5B2DE63C" w14:textId="77777777" w:rsidR="00326EF5" w:rsidRDefault="00326EF5" w:rsidP="00E561CC">
      <w:pPr>
        <w:pStyle w:val="ListParagraph"/>
        <w:numPr>
          <w:ilvl w:val="0"/>
          <w:numId w:val="13"/>
        </w:numPr>
        <w:spacing w:after="240"/>
        <w:contextualSpacing w:val="0"/>
      </w:pPr>
      <w:r>
        <w:t xml:space="preserve">The CDE will no longer remove </w:t>
      </w:r>
      <w:r w:rsidR="000E6E17">
        <w:t>students from the cohort who</w:t>
      </w:r>
      <w:r>
        <w:t xml:space="preserve"> transfer to adult education programs or community college</w:t>
      </w:r>
      <w:r w:rsidR="00691D8E">
        <w:t xml:space="preserve"> and do not receive a “regular high school” diploma</w:t>
      </w:r>
      <w:r>
        <w:t xml:space="preserve">. Instead, these students will </w:t>
      </w:r>
      <w:r w:rsidR="000E6E17">
        <w:t>remain</w:t>
      </w:r>
      <w:r>
        <w:t xml:space="preserve"> in the cohort denominator and be counted as “</w:t>
      </w:r>
      <w:r w:rsidR="000E6E17">
        <w:t>O</w:t>
      </w:r>
      <w:r>
        <w:t xml:space="preserve">ther </w:t>
      </w:r>
      <w:r w:rsidR="000E6E17">
        <w:t>T</w:t>
      </w:r>
      <w:r>
        <w:t xml:space="preserve">ransfers” for public reporting on </w:t>
      </w:r>
      <w:proofErr w:type="spellStart"/>
      <w:r>
        <w:t>DataQuest</w:t>
      </w:r>
      <w:proofErr w:type="spellEnd"/>
      <w:r>
        <w:t xml:space="preserve">. </w:t>
      </w:r>
      <w:r w:rsidR="00C75078">
        <w:t xml:space="preserve">This change </w:t>
      </w:r>
      <w:r>
        <w:t xml:space="preserve">will </w:t>
      </w:r>
      <w:r w:rsidR="00C75078">
        <w:t xml:space="preserve">likely </w:t>
      </w:r>
      <w:r>
        <w:t xml:space="preserve">increase the </w:t>
      </w:r>
      <w:r w:rsidR="00510BF0">
        <w:t>four-year ACGR</w:t>
      </w:r>
      <w:r>
        <w:t xml:space="preserve"> denominator, which will </w:t>
      </w:r>
      <w:r w:rsidR="00C75078">
        <w:t xml:space="preserve">in turn </w:t>
      </w:r>
      <w:r>
        <w:t>reduce the graduation rate.</w:t>
      </w:r>
    </w:p>
    <w:p w14:paraId="0AE66D22" w14:textId="77777777" w:rsidR="000E6E17" w:rsidRDefault="000E6E17" w:rsidP="00E561CC">
      <w:pPr>
        <w:pStyle w:val="ListParagraph"/>
        <w:numPr>
          <w:ilvl w:val="0"/>
          <w:numId w:val="13"/>
        </w:numPr>
        <w:spacing w:after="240"/>
        <w:contextualSpacing w:val="0"/>
      </w:pPr>
      <w:r>
        <w:t xml:space="preserve">The CDE will no longer count students who receive an adult education diploma as “regular high school” graduates. Instead, these students will be counted as “Adult Education H.S. Diplomas” for public reporting on </w:t>
      </w:r>
      <w:proofErr w:type="spellStart"/>
      <w:r>
        <w:t>DataQuest</w:t>
      </w:r>
      <w:proofErr w:type="spellEnd"/>
      <w:r>
        <w:t xml:space="preserve">. </w:t>
      </w:r>
      <w:r w:rsidR="00C75078">
        <w:t xml:space="preserve">This change </w:t>
      </w:r>
      <w:r>
        <w:t xml:space="preserve">will </w:t>
      </w:r>
      <w:r w:rsidR="00C75078">
        <w:t xml:space="preserve">likely </w:t>
      </w:r>
      <w:r>
        <w:t xml:space="preserve">decrease the </w:t>
      </w:r>
      <w:r w:rsidR="00510BF0">
        <w:t>four-year ACGR</w:t>
      </w:r>
      <w:r>
        <w:t xml:space="preserve"> numerator, which will </w:t>
      </w:r>
      <w:r w:rsidR="00C75078">
        <w:t xml:space="preserve">in turn </w:t>
      </w:r>
      <w:r>
        <w:t>reduce the graduation rate.</w:t>
      </w:r>
    </w:p>
    <w:p w14:paraId="44F562F4" w14:textId="77777777" w:rsidR="00BE0F99" w:rsidRDefault="00BE0F99" w:rsidP="00E561CC">
      <w:pPr>
        <w:pStyle w:val="ListParagraph"/>
        <w:numPr>
          <w:ilvl w:val="0"/>
          <w:numId w:val="13"/>
        </w:numPr>
        <w:spacing w:after="240"/>
        <w:contextualSpacing w:val="0"/>
      </w:pPr>
      <w:r>
        <w:t xml:space="preserve">The CDE will no longer count students who pass the California High School Proficiency Examination (CHSPE) as “regular high school” graduates. Instead, these students will be counted as “CHSPE Completers” for public reporting on </w:t>
      </w:r>
      <w:proofErr w:type="spellStart"/>
      <w:r>
        <w:t>DataQuest</w:t>
      </w:r>
      <w:proofErr w:type="spellEnd"/>
      <w:r>
        <w:t xml:space="preserve">. </w:t>
      </w:r>
      <w:r w:rsidR="00C75078">
        <w:t>This change</w:t>
      </w:r>
      <w:r>
        <w:t xml:space="preserve"> will </w:t>
      </w:r>
      <w:r w:rsidR="00C75078">
        <w:t xml:space="preserve">likely </w:t>
      </w:r>
      <w:r>
        <w:t xml:space="preserve">decrease the </w:t>
      </w:r>
      <w:r w:rsidR="00510BF0">
        <w:t>four-year ACGR</w:t>
      </w:r>
      <w:r>
        <w:t xml:space="preserve"> numerator, which will </w:t>
      </w:r>
      <w:r w:rsidR="00C75078">
        <w:t xml:space="preserve">in turn </w:t>
      </w:r>
      <w:r>
        <w:t>reduce the graduation rate.</w:t>
      </w:r>
    </w:p>
    <w:p w14:paraId="14E20DEC" w14:textId="77777777" w:rsidR="00C13159" w:rsidRDefault="00C13159" w:rsidP="00E561CC">
      <w:pPr>
        <w:pStyle w:val="ListParagraph"/>
        <w:numPr>
          <w:ilvl w:val="0"/>
          <w:numId w:val="13"/>
        </w:numPr>
        <w:spacing w:after="240"/>
        <w:contextualSpacing w:val="0"/>
      </w:pPr>
      <w:r>
        <w:lastRenderedPageBreak/>
        <w:t xml:space="preserve">The CDE will incorporate data quality procedures into the </w:t>
      </w:r>
      <w:r w:rsidR="00510BF0">
        <w:t>four-year ACGR</w:t>
      </w:r>
      <w:r>
        <w:t xml:space="preserve"> methodology to ensure that students are not counted in multiple cohorts. This </w:t>
      </w:r>
      <w:r w:rsidR="00CC192C">
        <w:t xml:space="preserve">change is likely to </w:t>
      </w:r>
      <w:r>
        <w:t>have a negligible impact on the graduation rate.</w:t>
      </w:r>
    </w:p>
    <w:p w14:paraId="3F3CE410" w14:textId="77777777" w:rsidR="001216DE" w:rsidRDefault="001216DE" w:rsidP="00E561CC">
      <w:pPr>
        <w:pStyle w:val="ListParagraph"/>
        <w:numPr>
          <w:ilvl w:val="0"/>
          <w:numId w:val="13"/>
        </w:numPr>
        <w:tabs>
          <w:tab w:val="left" w:pos="8505"/>
        </w:tabs>
        <w:spacing w:after="240"/>
        <w:contextualSpacing w:val="0"/>
      </w:pPr>
      <w:r>
        <w:t xml:space="preserve">The CDE will </w:t>
      </w:r>
      <w:r w:rsidR="00865503">
        <w:t xml:space="preserve">provide </w:t>
      </w:r>
      <w:r>
        <w:t xml:space="preserve">guidance </w:t>
      </w:r>
      <w:r w:rsidR="00CC192C">
        <w:t xml:space="preserve">to LEAs </w:t>
      </w:r>
      <w:r w:rsidR="00865503">
        <w:t>regarding</w:t>
      </w:r>
      <w:r>
        <w:t xml:space="preserve"> collecting and reporting data to </w:t>
      </w:r>
      <w:r w:rsidR="000A01FB">
        <w:t>California Longitudinal Pupil Achievement Data Systems (</w:t>
      </w:r>
      <w:r>
        <w:t>CALPADS</w:t>
      </w:r>
      <w:r w:rsidR="000A01FB">
        <w:t>)</w:t>
      </w:r>
      <w:r>
        <w:t xml:space="preserve"> for the </w:t>
      </w:r>
      <w:r w:rsidR="00510BF0">
        <w:t>four-year ACGR</w:t>
      </w:r>
      <w:r>
        <w:t xml:space="preserve"> and </w:t>
      </w:r>
      <w:r w:rsidR="00CC192C">
        <w:t xml:space="preserve">the requirements for </w:t>
      </w:r>
      <w:r>
        <w:t>maintaining acceptable supporting documentation for cohort removals and outcomes. Th</w:t>
      </w:r>
      <w:r w:rsidR="00CC192C">
        <w:t xml:space="preserve">is is not likely to </w:t>
      </w:r>
      <w:r>
        <w:t>impact the graduation rate.</w:t>
      </w:r>
    </w:p>
    <w:p w14:paraId="1E05FEAD" w14:textId="77777777" w:rsidR="001E59A9" w:rsidRDefault="001E59A9" w:rsidP="00E561CC">
      <w:pPr>
        <w:pStyle w:val="ListParagraph"/>
        <w:numPr>
          <w:ilvl w:val="0"/>
          <w:numId w:val="13"/>
        </w:numPr>
        <w:spacing w:after="240"/>
        <w:contextualSpacing w:val="0"/>
      </w:pPr>
      <w:r>
        <w:t xml:space="preserve">The CDE will </w:t>
      </w:r>
      <w:r w:rsidR="001216DE">
        <w:t>include a review of supporting</w:t>
      </w:r>
      <w:r w:rsidR="007864A6">
        <w:t xml:space="preserve"> LEA documentation required for cohort removals</w:t>
      </w:r>
      <w:r w:rsidR="009D0F87">
        <w:t xml:space="preserve"> in the Federal Program Monitoring (FPM) process</w:t>
      </w:r>
      <w:r w:rsidR="007864A6">
        <w:t xml:space="preserve">. </w:t>
      </w:r>
      <w:r w:rsidR="001216DE">
        <w:t>Th</w:t>
      </w:r>
      <w:r w:rsidR="00CC192C">
        <w:t xml:space="preserve">is is not likely to </w:t>
      </w:r>
      <w:r w:rsidR="001216DE">
        <w:t>impact the graduation rate.</w:t>
      </w:r>
    </w:p>
    <w:p w14:paraId="6707E38D" w14:textId="77777777" w:rsidR="00CC192C" w:rsidRDefault="00CC192C" w:rsidP="007A7AD1">
      <w:pPr>
        <w:pStyle w:val="Heading3"/>
      </w:pPr>
      <w:r>
        <w:t>Communication and New Resources for Local Educational Agencies</w:t>
      </w:r>
    </w:p>
    <w:p w14:paraId="34B1749C" w14:textId="64C7E6D8" w:rsidR="00CC192C" w:rsidRDefault="00CC192C" w:rsidP="00E561CC">
      <w:pPr>
        <w:spacing w:after="240"/>
      </w:pPr>
      <w:r>
        <w:t xml:space="preserve">The CDE recently communicated these changes to LEAs </w:t>
      </w:r>
      <w:r w:rsidR="000A01FB">
        <w:t>in April 2018.</w:t>
      </w:r>
      <w:r>
        <w:t xml:space="preserve"> </w:t>
      </w:r>
      <w:r w:rsidR="000A01FB">
        <w:t xml:space="preserve">A copy of the LEA announcements are available on </w:t>
      </w:r>
      <w:r>
        <w:t xml:space="preserve">the CALPADS Communications Web page at </w:t>
      </w:r>
      <w:hyperlink r:id="rId12" w:tooltip="Communication Web page" w:history="1">
        <w:r w:rsidRPr="00A65255">
          <w:rPr>
            <w:rStyle w:val="Hyperlink"/>
          </w:rPr>
          <w:t>https://www.cde.ca.gov/ds/sp/cl/communications.asp</w:t>
        </w:r>
      </w:hyperlink>
      <w:r>
        <w:t xml:space="preserve">. </w:t>
      </w:r>
      <w:r w:rsidR="000A01FB">
        <w:t xml:space="preserve">In late May 2018, </w:t>
      </w:r>
      <w:r>
        <w:t xml:space="preserve">LEAs were provided a private preview of the graduation rate for the Class of 2017 </w:t>
      </w:r>
      <w:r w:rsidR="000A01FB">
        <w:t>and</w:t>
      </w:r>
      <w:r>
        <w:t xml:space="preserve"> an additional opp</w:t>
      </w:r>
      <w:r w:rsidRPr="004F53FC">
        <w:t>ortunity to review and correct their data. The public release of this data is scheduled for Ju</w:t>
      </w:r>
      <w:r w:rsidR="0056537F" w:rsidRPr="004F53FC">
        <w:t>ly</w:t>
      </w:r>
      <w:r w:rsidRPr="004F53FC">
        <w:t xml:space="preserve"> 2018.</w:t>
      </w:r>
    </w:p>
    <w:p w14:paraId="16D35D17" w14:textId="32188C8C" w:rsidR="00FC0675" w:rsidRDefault="000A01FB" w:rsidP="00E561CC">
      <w:pPr>
        <w:spacing w:after="240"/>
      </w:pPr>
      <w:r>
        <w:rPr>
          <w:rFonts w:ascii="Helvetica" w:hAnsi="Helvetica"/>
          <w:color w:val="000000"/>
        </w:rPr>
        <w:t xml:space="preserve">Additionally, the timeline for the four-year ACGR will change beginning with the 2018 Dashboard to provide LEAs with </w:t>
      </w:r>
      <w:r w:rsidR="00CC192C">
        <w:rPr>
          <w:rFonts w:ascii="Helvetica" w:hAnsi="Helvetica"/>
          <w:color w:val="000000"/>
        </w:rPr>
        <w:t xml:space="preserve">access </w:t>
      </w:r>
      <w:r>
        <w:rPr>
          <w:rFonts w:ascii="Helvetica" w:hAnsi="Helvetica"/>
          <w:color w:val="000000"/>
        </w:rPr>
        <w:t xml:space="preserve">to current </w:t>
      </w:r>
      <w:r w:rsidR="00FC0675">
        <w:rPr>
          <w:rFonts w:ascii="Helvetica" w:hAnsi="Helvetica"/>
          <w:color w:val="000000"/>
        </w:rPr>
        <w:t xml:space="preserve">data. </w:t>
      </w:r>
      <w:r w:rsidR="00811083">
        <w:rPr>
          <w:rFonts w:ascii="Helvetica" w:hAnsi="Helvetica"/>
          <w:color w:val="000000"/>
        </w:rPr>
        <w:t>A</w:t>
      </w:r>
      <w:r w:rsidR="00811083" w:rsidRPr="00FC0675">
        <w:t xml:space="preserve"> new cohort report </w:t>
      </w:r>
      <w:r w:rsidR="00811083">
        <w:t>is now available</w:t>
      </w:r>
      <w:r w:rsidR="00811083" w:rsidRPr="00FC0675">
        <w:t xml:space="preserve"> in CALPADS</w:t>
      </w:r>
      <w:r w:rsidR="00811083">
        <w:t xml:space="preserve"> to assist </w:t>
      </w:r>
      <w:r>
        <w:t xml:space="preserve">LEAs </w:t>
      </w:r>
      <w:r w:rsidR="00811083">
        <w:t xml:space="preserve">with this transition. The cohort report in CALPADS </w:t>
      </w:r>
      <w:r w:rsidR="00811083" w:rsidRPr="00FC0675">
        <w:t>display</w:t>
      </w:r>
      <w:r w:rsidR="00811083">
        <w:t>s</w:t>
      </w:r>
      <w:r w:rsidR="00811083" w:rsidRPr="00FC0675">
        <w:t xml:space="preserve"> the students in the </w:t>
      </w:r>
      <w:r>
        <w:t xml:space="preserve">Class of </w:t>
      </w:r>
      <w:r w:rsidR="00811083" w:rsidRPr="00FC0675">
        <w:t>2018 for each school in the LEA, along with counts of graduates and non-graduates, and the resulting graduation rates as students are exited in CALPADS at the end of the school year.</w:t>
      </w:r>
      <w:r w:rsidR="00811083">
        <w:t xml:space="preserve"> </w:t>
      </w:r>
      <w:r w:rsidR="00CC192C">
        <w:t>Accordingly,</w:t>
      </w:r>
      <w:r w:rsidR="00FC0675" w:rsidRPr="00FC0675">
        <w:t xml:space="preserve"> the CALPADS data submission timeline for the </w:t>
      </w:r>
      <w:r w:rsidR="00510BF0">
        <w:t>four-year ACGR</w:t>
      </w:r>
      <w:r w:rsidR="00FC0675" w:rsidRPr="00FC0675">
        <w:t xml:space="preserve"> </w:t>
      </w:r>
      <w:r>
        <w:t>was</w:t>
      </w:r>
      <w:r w:rsidR="00FC0675" w:rsidRPr="00FC0675">
        <w:t xml:space="preserve"> revised and shortened. LEAs </w:t>
      </w:r>
      <w:r w:rsidR="00811083">
        <w:t xml:space="preserve">are now </w:t>
      </w:r>
      <w:r w:rsidR="00FC0675" w:rsidRPr="00FC0675">
        <w:t>required to exit all students from CALPADS at the end of the school year</w:t>
      </w:r>
      <w:r w:rsidR="007A7AD1">
        <w:t>. Therefore, the CDE will be able</w:t>
      </w:r>
      <w:r>
        <w:t xml:space="preserve"> </w:t>
      </w:r>
      <w:r w:rsidR="00FC0675" w:rsidRPr="00FC0675">
        <w:t xml:space="preserve">to calculate the </w:t>
      </w:r>
      <w:r w:rsidR="00510BF0">
        <w:t>four-year ACGR</w:t>
      </w:r>
      <w:r w:rsidR="007A7AD1">
        <w:t xml:space="preserve"> for the class of 2018</w:t>
      </w:r>
      <w:r w:rsidR="00FC0675" w:rsidRPr="00FC0675">
        <w:t xml:space="preserve"> </w:t>
      </w:r>
      <w:r>
        <w:t xml:space="preserve">in time for the </w:t>
      </w:r>
      <w:r w:rsidR="00811083">
        <w:t>Dashboard</w:t>
      </w:r>
      <w:r>
        <w:t xml:space="preserve"> </w:t>
      </w:r>
      <w:r w:rsidR="007A7AD1">
        <w:t>release</w:t>
      </w:r>
      <w:r>
        <w:t xml:space="preserve"> in late fall</w:t>
      </w:r>
      <w:r w:rsidR="00FC0675">
        <w:t>.</w:t>
      </w:r>
    </w:p>
    <w:p w14:paraId="45A6FBB8" w14:textId="77777777" w:rsidR="002A7809" w:rsidRDefault="00811083" w:rsidP="007A7AD1">
      <w:pPr>
        <w:pStyle w:val="Heading3"/>
      </w:pPr>
      <w:r>
        <w:t>Impact to the California School Dashboard</w:t>
      </w:r>
    </w:p>
    <w:p w14:paraId="32139CCF" w14:textId="77777777" w:rsidR="002A7809" w:rsidRDefault="002A7809" w:rsidP="007A7AD1">
      <w:pPr>
        <w:spacing w:after="480"/>
      </w:pPr>
      <w:r>
        <w:t xml:space="preserve">The </w:t>
      </w:r>
      <w:r w:rsidR="000A01FB">
        <w:t xml:space="preserve">CDE plans to review the impact of these changes to the Dashboard and provide the State Board of Education an Information Memorandum in August 2018. </w:t>
      </w:r>
    </w:p>
    <w:p w14:paraId="3573784F" w14:textId="77777777" w:rsidR="005D54AA" w:rsidRDefault="005D54AA" w:rsidP="007A7AD1">
      <w:pPr>
        <w:pStyle w:val="Heading2"/>
      </w:pPr>
      <w:r>
        <w:t>Attachments</w:t>
      </w:r>
    </w:p>
    <w:p w14:paraId="29DB30A3" w14:textId="77777777" w:rsidR="00057A96" w:rsidRPr="00817243" w:rsidRDefault="00B94B47" w:rsidP="00E561CC">
      <w:pPr>
        <w:pStyle w:val="ListParagraph"/>
        <w:numPr>
          <w:ilvl w:val="0"/>
          <w:numId w:val="12"/>
        </w:numPr>
      </w:pPr>
      <w:r>
        <w:t>None.</w:t>
      </w:r>
    </w:p>
    <w:sectPr w:rsidR="00057A96" w:rsidRPr="00817243" w:rsidSect="00604A6E">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503B0" w14:textId="77777777" w:rsidR="00A407BD" w:rsidRDefault="00A407BD" w:rsidP="00604A6E">
      <w:r>
        <w:separator/>
      </w:r>
    </w:p>
  </w:endnote>
  <w:endnote w:type="continuationSeparator" w:id="0">
    <w:p w14:paraId="45072C18" w14:textId="77777777" w:rsidR="00A407BD" w:rsidRDefault="00A407BD" w:rsidP="0060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F9471" w14:textId="77777777" w:rsidR="00A407BD" w:rsidRDefault="00A407BD" w:rsidP="00604A6E">
      <w:r>
        <w:separator/>
      </w:r>
    </w:p>
  </w:footnote>
  <w:footnote w:type="continuationSeparator" w:id="0">
    <w:p w14:paraId="3FF0BC74" w14:textId="77777777" w:rsidR="00A407BD" w:rsidRDefault="00A407BD" w:rsidP="0060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32750" w14:textId="2C7D9A66" w:rsidR="00604A6E" w:rsidRPr="00604A6E" w:rsidRDefault="005E1259" w:rsidP="007A7AD1">
    <w:pPr>
      <w:pStyle w:val="Header"/>
      <w:spacing w:after="240"/>
      <w:jc w:val="right"/>
    </w:pPr>
    <w:proofErr w:type="gramStart"/>
    <w:r>
      <w:rPr>
        <w:rFonts w:cs="Arial"/>
      </w:rPr>
      <w:t>memo-</w:t>
    </w:r>
    <w:r w:rsidR="00DD6A33">
      <w:rPr>
        <w:rFonts w:cs="Arial"/>
      </w:rPr>
      <w:t>pptb</w:t>
    </w:r>
    <w:r>
      <w:rPr>
        <w:rFonts w:cs="Arial"/>
      </w:rPr>
      <w:t>-amard-</w:t>
    </w:r>
    <w:r w:rsidR="00DD6A33">
      <w:rPr>
        <w:rFonts w:cs="Arial"/>
      </w:rPr>
      <w:t>jun18</w:t>
    </w:r>
    <w:r w:rsidRPr="00C80384">
      <w:rPr>
        <w:rFonts w:cs="Arial"/>
      </w:rPr>
      <w:t>item</w:t>
    </w:r>
    <w:r w:rsidR="007A7AD1">
      <w:rPr>
        <w:rFonts w:cs="Arial"/>
      </w:rPr>
      <w:t>02</w:t>
    </w:r>
    <w:proofErr w:type="gramEnd"/>
    <w:r>
      <w:br/>
    </w:r>
    <w:r w:rsidR="00604A6E" w:rsidRPr="00604A6E">
      <w:t xml:space="preserve">Page </w:t>
    </w:r>
    <w:r w:rsidR="00604A6E" w:rsidRPr="00604A6E">
      <w:rPr>
        <w:bCs/>
      </w:rPr>
      <w:fldChar w:fldCharType="begin"/>
    </w:r>
    <w:r w:rsidR="00604A6E" w:rsidRPr="00604A6E">
      <w:rPr>
        <w:bCs/>
      </w:rPr>
      <w:instrText xml:space="preserve"> PAGE  \* Arabic  \* MERGEFORMAT </w:instrText>
    </w:r>
    <w:r w:rsidR="00604A6E" w:rsidRPr="00604A6E">
      <w:rPr>
        <w:bCs/>
      </w:rPr>
      <w:fldChar w:fldCharType="separate"/>
    </w:r>
    <w:r w:rsidR="0096598C">
      <w:rPr>
        <w:bCs/>
        <w:noProof/>
      </w:rPr>
      <w:t>2</w:t>
    </w:r>
    <w:r w:rsidR="00604A6E" w:rsidRPr="00604A6E">
      <w:rPr>
        <w:bCs/>
      </w:rPr>
      <w:fldChar w:fldCharType="end"/>
    </w:r>
    <w:r w:rsidR="00604A6E" w:rsidRPr="00604A6E">
      <w:t xml:space="preserve"> of </w:t>
    </w:r>
    <w:r w:rsidR="00604A6E" w:rsidRPr="00604A6E">
      <w:rPr>
        <w:bCs/>
      </w:rPr>
      <w:fldChar w:fldCharType="begin"/>
    </w:r>
    <w:r w:rsidR="00604A6E" w:rsidRPr="00604A6E">
      <w:rPr>
        <w:bCs/>
      </w:rPr>
      <w:instrText xml:space="preserve"> NUMPAGES  \* Arabic  \* MERGEFORMAT </w:instrText>
    </w:r>
    <w:r w:rsidR="00604A6E" w:rsidRPr="00604A6E">
      <w:rPr>
        <w:bCs/>
      </w:rPr>
      <w:fldChar w:fldCharType="separate"/>
    </w:r>
    <w:r w:rsidR="0096598C">
      <w:rPr>
        <w:bCs/>
        <w:noProof/>
      </w:rPr>
      <w:t>3</w:t>
    </w:r>
    <w:r w:rsidR="00604A6E" w:rsidRPr="00604A6E">
      <w:rP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62E0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32B2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1046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5605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0E8A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00B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3230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6E6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2CA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8C3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7E7"/>
    <w:multiLevelType w:val="hybridMultilevel"/>
    <w:tmpl w:val="7C7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B20BA"/>
    <w:multiLevelType w:val="hybridMultilevel"/>
    <w:tmpl w:val="5238C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73326"/>
    <w:multiLevelType w:val="hybridMultilevel"/>
    <w:tmpl w:val="3864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13BF9"/>
    <w:multiLevelType w:val="hybridMultilevel"/>
    <w:tmpl w:val="E5F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66CAF"/>
    <w:multiLevelType w:val="hybridMultilevel"/>
    <w:tmpl w:val="6CF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51AFD"/>
    <w:multiLevelType w:val="hybridMultilevel"/>
    <w:tmpl w:val="A67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52E17"/>
    <w:multiLevelType w:val="hybridMultilevel"/>
    <w:tmpl w:val="A63E4C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E8740E"/>
    <w:multiLevelType w:val="hybridMultilevel"/>
    <w:tmpl w:val="F6BC3B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62C7F"/>
    <w:multiLevelType w:val="hybridMultilevel"/>
    <w:tmpl w:val="8CC02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D0291"/>
    <w:multiLevelType w:val="hybridMultilevel"/>
    <w:tmpl w:val="54CC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55BAD"/>
    <w:multiLevelType w:val="hybridMultilevel"/>
    <w:tmpl w:val="66E8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76687"/>
    <w:multiLevelType w:val="hybridMultilevel"/>
    <w:tmpl w:val="0AC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95EFD"/>
    <w:multiLevelType w:val="hybridMultilevel"/>
    <w:tmpl w:val="A3989A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D25FE"/>
    <w:multiLevelType w:val="hybridMultilevel"/>
    <w:tmpl w:val="66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91358"/>
    <w:multiLevelType w:val="hybridMultilevel"/>
    <w:tmpl w:val="5238C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3"/>
  </w:num>
  <w:num w:numId="4">
    <w:abstractNumId w:val="10"/>
  </w:num>
  <w:num w:numId="5">
    <w:abstractNumId w:val="20"/>
  </w:num>
  <w:num w:numId="6">
    <w:abstractNumId w:val="14"/>
  </w:num>
  <w:num w:numId="7">
    <w:abstractNumId w:val="12"/>
  </w:num>
  <w:num w:numId="8">
    <w:abstractNumId w:val="16"/>
  </w:num>
  <w:num w:numId="9">
    <w:abstractNumId w:val="11"/>
  </w:num>
  <w:num w:numId="10">
    <w:abstractNumId w:val="22"/>
  </w:num>
  <w:num w:numId="11">
    <w:abstractNumId w:val="24"/>
  </w:num>
  <w:num w:numId="12">
    <w:abstractNumId w:val="19"/>
  </w:num>
  <w:num w:numId="13">
    <w:abstractNumId w:val="23"/>
  </w:num>
  <w:num w:numId="14">
    <w:abstractNumId w:val="18"/>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18A7"/>
    <w:rsid w:val="000225FE"/>
    <w:rsid w:val="000252DB"/>
    <w:rsid w:val="00053B2A"/>
    <w:rsid w:val="00054815"/>
    <w:rsid w:val="000548F0"/>
    <w:rsid w:val="00057A96"/>
    <w:rsid w:val="0006381F"/>
    <w:rsid w:val="000663A1"/>
    <w:rsid w:val="000702F8"/>
    <w:rsid w:val="00077927"/>
    <w:rsid w:val="00077A10"/>
    <w:rsid w:val="00077BD1"/>
    <w:rsid w:val="00094312"/>
    <w:rsid w:val="000A01FB"/>
    <w:rsid w:val="000B12E6"/>
    <w:rsid w:val="000C139F"/>
    <w:rsid w:val="000D31B0"/>
    <w:rsid w:val="000D463A"/>
    <w:rsid w:val="000E6E17"/>
    <w:rsid w:val="000F121F"/>
    <w:rsid w:val="0010018C"/>
    <w:rsid w:val="001216DE"/>
    <w:rsid w:val="001222A5"/>
    <w:rsid w:val="00123810"/>
    <w:rsid w:val="00124B40"/>
    <w:rsid w:val="0013446D"/>
    <w:rsid w:val="001560DE"/>
    <w:rsid w:val="0016173B"/>
    <w:rsid w:val="001648E9"/>
    <w:rsid w:val="00171E22"/>
    <w:rsid w:val="00184DEF"/>
    <w:rsid w:val="001B2074"/>
    <w:rsid w:val="001D4FBB"/>
    <w:rsid w:val="001E59A9"/>
    <w:rsid w:val="001E5EC5"/>
    <w:rsid w:val="001F0C93"/>
    <w:rsid w:val="001F2CC3"/>
    <w:rsid w:val="001F45B9"/>
    <w:rsid w:val="0021602A"/>
    <w:rsid w:val="002224B9"/>
    <w:rsid w:val="00223F4B"/>
    <w:rsid w:val="00226519"/>
    <w:rsid w:val="0022798D"/>
    <w:rsid w:val="00234984"/>
    <w:rsid w:val="002408E4"/>
    <w:rsid w:val="0026075E"/>
    <w:rsid w:val="002640AF"/>
    <w:rsid w:val="00272D14"/>
    <w:rsid w:val="00276704"/>
    <w:rsid w:val="0028301F"/>
    <w:rsid w:val="00286FA6"/>
    <w:rsid w:val="0029286A"/>
    <w:rsid w:val="002929C2"/>
    <w:rsid w:val="00296AD2"/>
    <w:rsid w:val="002A7809"/>
    <w:rsid w:val="002B442E"/>
    <w:rsid w:val="0030049C"/>
    <w:rsid w:val="00317709"/>
    <w:rsid w:val="00321D49"/>
    <w:rsid w:val="00322C00"/>
    <w:rsid w:val="0032537B"/>
    <w:rsid w:val="00325EAA"/>
    <w:rsid w:val="00326EF5"/>
    <w:rsid w:val="0033616F"/>
    <w:rsid w:val="0035285F"/>
    <w:rsid w:val="00361DDD"/>
    <w:rsid w:val="00364C1F"/>
    <w:rsid w:val="00365652"/>
    <w:rsid w:val="003A6DE4"/>
    <w:rsid w:val="003B5875"/>
    <w:rsid w:val="003C7DD2"/>
    <w:rsid w:val="003E3B94"/>
    <w:rsid w:val="003E5B91"/>
    <w:rsid w:val="00403FEB"/>
    <w:rsid w:val="00404425"/>
    <w:rsid w:val="0041420F"/>
    <w:rsid w:val="00474A2F"/>
    <w:rsid w:val="0048114A"/>
    <w:rsid w:val="00497954"/>
    <w:rsid w:val="004D24AF"/>
    <w:rsid w:val="004D7E3A"/>
    <w:rsid w:val="004E121C"/>
    <w:rsid w:val="004E20D6"/>
    <w:rsid w:val="004E60FA"/>
    <w:rsid w:val="004F53FC"/>
    <w:rsid w:val="00510BF0"/>
    <w:rsid w:val="005128A9"/>
    <w:rsid w:val="0051479B"/>
    <w:rsid w:val="0054334A"/>
    <w:rsid w:val="00555760"/>
    <w:rsid w:val="0056537F"/>
    <w:rsid w:val="00595A30"/>
    <w:rsid w:val="005A49B1"/>
    <w:rsid w:val="005B1325"/>
    <w:rsid w:val="005B3894"/>
    <w:rsid w:val="005D54AA"/>
    <w:rsid w:val="005D600A"/>
    <w:rsid w:val="005E1259"/>
    <w:rsid w:val="00604A6E"/>
    <w:rsid w:val="00615961"/>
    <w:rsid w:val="006332BB"/>
    <w:rsid w:val="00633783"/>
    <w:rsid w:val="00646F91"/>
    <w:rsid w:val="00681207"/>
    <w:rsid w:val="00685808"/>
    <w:rsid w:val="00691D8E"/>
    <w:rsid w:val="006B0923"/>
    <w:rsid w:val="006F28FB"/>
    <w:rsid w:val="006F66CB"/>
    <w:rsid w:val="00741C43"/>
    <w:rsid w:val="00741D8D"/>
    <w:rsid w:val="007864A6"/>
    <w:rsid w:val="00791F2E"/>
    <w:rsid w:val="00792A4A"/>
    <w:rsid w:val="007A2653"/>
    <w:rsid w:val="007A5893"/>
    <w:rsid w:val="007A7AD1"/>
    <w:rsid w:val="007B2681"/>
    <w:rsid w:val="007E11C4"/>
    <w:rsid w:val="007F6E54"/>
    <w:rsid w:val="00811083"/>
    <w:rsid w:val="008145ED"/>
    <w:rsid w:val="00817243"/>
    <w:rsid w:val="008213F2"/>
    <w:rsid w:val="008246F4"/>
    <w:rsid w:val="00835A3D"/>
    <w:rsid w:val="00840863"/>
    <w:rsid w:val="00865503"/>
    <w:rsid w:val="0086562D"/>
    <w:rsid w:val="00872C2D"/>
    <w:rsid w:val="00877C4F"/>
    <w:rsid w:val="00885D1B"/>
    <w:rsid w:val="00894BEB"/>
    <w:rsid w:val="00896E2F"/>
    <w:rsid w:val="0089790D"/>
    <w:rsid w:val="008A0D3D"/>
    <w:rsid w:val="008A3049"/>
    <w:rsid w:val="008A5DE0"/>
    <w:rsid w:val="008B1135"/>
    <w:rsid w:val="008C3438"/>
    <w:rsid w:val="008D2B05"/>
    <w:rsid w:val="008F17E4"/>
    <w:rsid w:val="008F6CA0"/>
    <w:rsid w:val="00920083"/>
    <w:rsid w:val="0093246A"/>
    <w:rsid w:val="00932D5B"/>
    <w:rsid w:val="0093365B"/>
    <w:rsid w:val="00943969"/>
    <w:rsid w:val="00963290"/>
    <w:rsid w:val="0096598C"/>
    <w:rsid w:val="00974D9A"/>
    <w:rsid w:val="00982A10"/>
    <w:rsid w:val="009A0906"/>
    <w:rsid w:val="009B778C"/>
    <w:rsid w:val="009D0BB7"/>
    <w:rsid w:val="009D0F87"/>
    <w:rsid w:val="009D7867"/>
    <w:rsid w:val="009E0457"/>
    <w:rsid w:val="009E1FBE"/>
    <w:rsid w:val="009F35FF"/>
    <w:rsid w:val="00A05A77"/>
    <w:rsid w:val="00A11875"/>
    <w:rsid w:val="00A35C73"/>
    <w:rsid w:val="00A407BD"/>
    <w:rsid w:val="00A658BB"/>
    <w:rsid w:val="00A82E97"/>
    <w:rsid w:val="00A867CE"/>
    <w:rsid w:val="00AA5740"/>
    <w:rsid w:val="00AB4C92"/>
    <w:rsid w:val="00AE207F"/>
    <w:rsid w:val="00B15B9C"/>
    <w:rsid w:val="00B52821"/>
    <w:rsid w:val="00B531B9"/>
    <w:rsid w:val="00B64424"/>
    <w:rsid w:val="00B94B47"/>
    <w:rsid w:val="00BB515E"/>
    <w:rsid w:val="00BC3667"/>
    <w:rsid w:val="00BC376B"/>
    <w:rsid w:val="00BD1CCB"/>
    <w:rsid w:val="00BE071F"/>
    <w:rsid w:val="00BE0F99"/>
    <w:rsid w:val="00BE3F83"/>
    <w:rsid w:val="00BF7F32"/>
    <w:rsid w:val="00C117F9"/>
    <w:rsid w:val="00C13159"/>
    <w:rsid w:val="00C31C19"/>
    <w:rsid w:val="00C322AF"/>
    <w:rsid w:val="00C420BB"/>
    <w:rsid w:val="00C436EC"/>
    <w:rsid w:val="00C61F78"/>
    <w:rsid w:val="00C75078"/>
    <w:rsid w:val="00C7682F"/>
    <w:rsid w:val="00C84F6C"/>
    <w:rsid w:val="00C92F32"/>
    <w:rsid w:val="00CA381B"/>
    <w:rsid w:val="00CB03F8"/>
    <w:rsid w:val="00CC192C"/>
    <w:rsid w:val="00CC24F6"/>
    <w:rsid w:val="00CC5474"/>
    <w:rsid w:val="00CC5550"/>
    <w:rsid w:val="00CD7BC1"/>
    <w:rsid w:val="00CE64AE"/>
    <w:rsid w:val="00D02C7A"/>
    <w:rsid w:val="00D246AB"/>
    <w:rsid w:val="00D41B59"/>
    <w:rsid w:val="00D506A5"/>
    <w:rsid w:val="00D543EC"/>
    <w:rsid w:val="00D569B3"/>
    <w:rsid w:val="00D61EA5"/>
    <w:rsid w:val="00D729D5"/>
    <w:rsid w:val="00D81E7D"/>
    <w:rsid w:val="00D85C85"/>
    <w:rsid w:val="00D9274D"/>
    <w:rsid w:val="00DA1413"/>
    <w:rsid w:val="00DA5FD3"/>
    <w:rsid w:val="00DC2A06"/>
    <w:rsid w:val="00DC5FAA"/>
    <w:rsid w:val="00DD5563"/>
    <w:rsid w:val="00DD6A33"/>
    <w:rsid w:val="00DD75DB"/>
    <w:rsid w:val="00DF17EB"/>
    <w:rsid w:val="00DF3CBB"/>
    <w:rsid w:val="00DF3F09"/>
    <w:rsid w:val="00E11EF0"/>
    <w:rsid w:val="00E32DC2"/>
    <w:rsid w:val="00E32FDC"/>
    <w:rsid w:val="00E43D74"/>
    <w:rsid w:val="00E509FA"/>
    <w:rsid w:val="00E516AD"/>
    <w:rsid w:val="00E561CC"/>
    <w:rsid w:val="00E67E48"/>
    <w:rsid w:val="00E852E8"/>
    <w:rsid w:val="00E93452"/>
    <w:rsid w:val="00EA1C2C"/>
    <w:rsid w:val="00EA746D"/>
    <w:rsid w:val="00EB5148"/>
    <w:rsid w:val="00EC3FF1"/>
    <w:rsid w:val="00ED328E"/>
    <w:rsid w:val="00EF1D35"/>
    <w:rsid w:val="00F06887"/>
    <w:rsid w:val="00F174F9"/>
    <w:rsid w:val="00F21986"/>
    <w:rsid w:val="00F37CA7"/>
    <w:rsid w:val="00F434D5"/>
    <w:rsid w:val="00F4350E"/>
    <w:rsid w:val="00F73B55"/>
    <w:rsid w:val="00F7441C"/>
    <w:rsid w:val="00FA23C4"/>
    <w:rsid w:val="00FC0675"/>
    <w:rsid w:val="00FD2938"/>
    <w:rsid w:val="00FD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BA31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8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A7AD1"/>
    <w:pPr>
      <w:spacing w:before="240" w:after="240"/>
      <w:ind w:left="1440" w:hanging="1440"/>
      <w:outlineLvl w:val="1"/>
    </w:pPr>
    <w:rPr>
      <w:b/>
      <w:sz w:val="32"/>
      <w:szCs w:val="32"/>
    </w:rPr>
  </w:style>
  <w:style w:type="paragraph" w:styleId="Heading3">
    <w:name w:val="heading 3"/>
    <w:basedOn w:val="Normal"/>
    <w:next w:val="Normal"/>
    <w:link w:val="Heading3Char"/>
    <w:autoRedefine/>
    <w:uiPriority w:val="9"/>
    <w:unhideWhenUsed/>
    <w:qFormat/>
    <w:rsid w:val="007A7AD1"/>
    <w:pPr>
      <w:keepNext/>
      <w:keepLines/>
      <w:spacing w:before="24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885D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7A7AD1"/>
    <w:rPr>
      <w:rFonts w:ascii="Arial" w:eastAsia="Times New Roman" w:hAnsi="Arial" w:cs="Times New Roman"/>
      <w:b/>
      <w:sz w:val="32"/>
      <w:szCs w:val="32"/>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CD7BC1"/>
    <w:rPr>
      <w:color w:val="0563C1"/>
      <w:u w:val="single"/>
    </w:rPr>
  </w:style>
  <w:style w:type="character" w:styleId="CommentReference">
    <w:name w:val="annotation reference"/>
    <w:rsid w:val="00CD7BC1"/>
    <w:rPr>
      <w:sz w:val="16"/>
      <w:szCs w:val="16"/>
    </w:rPr>
  </w:style>
  <w:style w:type="paragraph" w:styleId="CommentText">
    <w:name w:val="annotation text"/>
    <w:basedOn w:val="Normal"/>
    <w:link w:val="CommentTextChar"/>
    <w:rsid w:val="00CD7BC1"/>
    <w:pPr>
      <w:spacing w:after="240"/>
      <w:ind w:firstLine="446"/>
    </w:pPr>
    <w:rPr>
      <w:rFonts w:eastAsia="SimSun" w:cs="Calibri"/>
      <w:sz w:val="20"/>
      <w:szCs w:val="20"/>
      <w:lang w:eastAsia="zh-CN"/>
    </w:rPr>
  </w:style>
  <w:style w:type="character" w:customStyle="1" w:styleId="CommentTextChar">
    <w:name w:val="Comment Text Char"/>
    <w:basedOn w:val="DefaultParagraphFont"/>
    <w:link w:val="CommentText"/>
    <w:rsid w:val="00CD7BC1"/>
    <w:rPr>
      <w:rFonts w:ascii="Arial" w:eastAsia="SimSun" w:hAnsi="Arial" w:cs="Calibri"/>
      <w:sz w:val="20"/>
      <w:szCs w:val="20"/>
      <w:lang w:eastAsia="zh-CN"/>
    </w:rPr>
  </w:style>
  <w:style w:type="paragraph" w:styleId="CommentSubject">
    <w:name w:val="annotation subject"/>
    <w:basedOn w:val="CommentText"/>
    <w:next w:val="CommentText"/>
    <w:link w:val="CommentSubjectChar"/>
    <w:uiPriority w:val="99"/>
    <w:semiHidden/>
    <w:unhideWhenUsed/>
    <w:rsid w:val="007E11C4"/>
    <w:pPr>
      <w:spacing w:after="0"/>
      <w:ind w:firstLine="0"/>
    </w:pPr>
    <w:rPr>
      <w:rFonts w:eastAsia="Times New Roman" w:cs="Times New Roman"/>
      <w:b/>
      <w:bCs/>
      <w:lang w:eastAsia="en-US"/>
    </w:rPr>
  </w:style>
  <w:style w:type="character" w:customStyle="1" w:styleId="CommentSubjectChar">
    <w:name w:val="Comment Subject Char"/>
    <w:basedOn w:val="CommentTextChar"/>
    <w:link w:val="CommentSubject"/>
    <w:uiPriority w:val="99"/>
    <w:semiHidden/>
    <w:rsid w:val="007E11C4"/>
    <w:rPr>
      <w:rFonts w:ascii="Arial" w:eastAsia="Times New Roman" w:hAnsi="Arial" w:cs="Times New Roman"/>
      <w:b/>
      <w:bCs/>
      <w:sz w:val="20"/>
      <w:szCs w:val="20"/>
      <w:lang w:eastAsia="zh-CN"/>
    </w:rPr>
  </w:style>
  <w:style w:type="paragraph" w:styleId="ListParagraph">
    <w:name w:val="List Paragraph"/>
    <w:basedOn w:val="Normal"/>
    <w:uiPriority w:val="34"/>
    <w:qFormat/>
    <w:rsid w:val="0028301F"/>
    <w:pPr>
      <w:ind w:left="720"/>
      <w:contextualSpacing/>
    </w:pPr>
  </w:style>
  <w:style w:type="paragraph" w:styleId="Header">
    <w:name w:val="header"/>
    <w:basedOn w:val="Normal"/>
    <w:link w:val="HeaderChar"/>
    <w:uiPriority w:val="99"/>
    <w:unhideWhenUsed/>
    <w:rsid w:val="00604A6E"/>
    <w:pPr>
      <w:tabs>
        <w:tab w:val="center" w:pos="4680"/>
        <w:tab w:val="right" w:pos="9360"/>
      </w:tabs>
    </w:pPr>
  </w:style>
  <w:style w:type="character" w:customStyle="1" w:styleId="HeaderChar">
    <w:name w:val="Header Char"/>
    <w:basedOn w:val="DefaultParagraphFont"/>
    <w:link w:val="Header"/>
    <w:uiPriority w:val="99"/>
    <w:rsid w:val="00604A6E"/>
    <w:rPr>
      <w:rFonts w:ascii="Arial" w:eastAsia="Times New Roman" w:hAnsi="Arial" w:cs="Times New Roman"/>
      <w:sz w:val="24"/>
      <w:szCs w:val="24"/>
    </w:rPr>
  </w:style>
  <w:style w:type="paragraph" w:styleId="Footer">
    <w:name w:val="footer"/>
    <w:basedOn w:val="Normal"/>
    <w:link w:val="FooterChar"/>
    <w:uiPriority w:val="99"/>
    <w:unhideWhenUsed/>
    <w:rsid w:val="00604A6E"/>
    <w:pPr>
      <w:tabs>
        <w:tab w:val="center" w:pos="4680"/>
        <w:tab w:val="right" w:pos="9360"/>
      </w:tabs>
    </w:pPr>
  </w:style>
  <w:style w:type="character" w:customStyle="1" w:styleId="FooterChar">
    <w:name w:val="Footer Char"/>
    <w:basedOn w:val="DefaultParagraphFont"/>
    <w:link w:val="Footer"/>
    <w:uiPriority w:val="99"/>
    <w:rsid w:val="00604A6E"/>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7A7AD1"/>
    <w:rPr>
      <w:rFonts w:ascii="Arial" w:eastAsiaTheme="majorEastAsia" w:hAnsi="Arial" w:cstheme="majorBidi"/>
      <w:b/>
      <w:sz w:val="28"/>
      <w:szCs w:val="28"/>
    </w:rPr>
  </w:style>
  <w:style w:type="character" w:styleId="FollowedHyperlink">
    <w:name w:val="FollowedHyperlink"/>
    <w:basedOn w:val="DefaultParagraphFont"/>
    <w:uiPriority w:val="99"/>
    <w:semiHidden/>
    <w:unhideWhenUsed/>
    <w:rsid w:val="001222A5"/>
    <w:rPr>
      <w:color w:val="954F72" w:themeColor="followedHyperlink"/>
      <w:u w:val="single"/>
    </w:rPr>
  </w:style>
  <w:style w:type="paragraph" w:styleId="Revision">
    <w:name w:val="Revision"/>
    <w:hidden/>
    <w:uiPriority w:val="99"/>
    <w:semiHidden/>
    <w:rsid w:val="008A304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877C4F"/>
    <w:rPr>
      <w:color w:val="808080"/>
      <w:shd w:val="clear" w:color="auto" w:fill="E6E6E6"/>
    </w:rPr>
  </w:style>
  <w:style w:type="character" w:customStyle="1" w:styleId="Heading4Char">
    <w:name w:val="Heading 4 Char"/>
    <w:basedOn w:val="DefaultParagraphFont"/>
    <w:link w:val="Heading4"/>
    <w:uiPriority w:val="9"/>
    <w:rsid w:val="00885D1B"/>
    <w:rPr>
      <w:rFonts w:asciiTheme="majorHAnsi" w:eastAsiaTheme="majorEastAsia" w:hAnsiTheme="majorHAnsi" w:cstheme="majorBidi"/>
      <w:i/>
      <w:iCs/>
      <w:color w:val="2E74B5" w:themeColor="accent1" w:themeShade="BF"/>
      <w:sz w:val="24"/>
      <w:szCs w:val="24"/>
    </w:rPr>
  </w:style>
  <w:style w:type="paragraph" w:styleId="MessageHeader">
    <w:name w:val="Message Header"/>
    <w:basedOn w:val="Normal"/>
    <w:link w:val="MessageHeaderChar"/>
    <w:uiPriority w:val="99"/>
    <w:unhideWhenUsed/>
    <w:rsid w:val="0096598C"/>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96598C"/>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ds/sp/cl/communication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elsec/leg/essa/essagradrateguidance.pdf" TargetMode="External"/><Relationship Id="rId5" Type="http://schemas.openxmlformats.org/officeDocument/2006/relationships/webSettings" Target="webSettings.xml"/><Relationship Id="rId10" Type="http://schemas.openxmlformats.org/officeDocument/2006/relationships/hyperlink" Target="https://www2.ed.gov/policy/elsec/guid/hsgrguidance.pdf" TargetMode="External"/><Relationship Id="rId4" Type="http://schemas.openxmlformats.org/officeDocument/2006/relationships/settings" Target="settings.xml"/><Relationship Id="rId9" Type="http://schemas.openxmlformats.org/officeDocument/2006/relationships/hyperlink" Target="https://www2.ed.gov/about/offices/list/oig/auditreports/fy2018/a02q00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26F-B6A0-49A4-95DA-6663288D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April 2018 Memo PPTB ADAD Item 02 - Information Memorandum (CA State Board of Education)</vt:lpstr>
    </vt:vector>
  </TitlesOfParts>
  <Company>California State Board of Education</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AMARD Item 02 - Information Memorandum (CA State Board of Education)</dc:title>
  <dc:subject>California Assessment of Student Performance and Progress: Additional Analyses of the Smarter Balanced 2016-17 Test Results.</dc:subject>
  <dc:creator>Kathleen Souza</dc:creator>
  <cp:keywords/>
  <dc:description/>
  <cp:lastModifiedBy>Princep</cp:lastModifiedBy>
  <cp:revision>6</cp:revision>
  <cp:lastPrinted>2018-06-21T14:35:00Z</cp:lastPrinted>
  <dcterms:created xsi:type="dcterms:W3CDTF">2018-05-24T16:23:00Z</dcterms:created>
  <dcterms:modified xsi:type="dcterms:W3CDTF">2018-06-21T23:49:00Z</dcterms:modified>
  <cp:category/>
</cp:coreProperties>
</file>