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97" w:rsidRPr="00407731" w:rsidRDefault="00324140" w:rsidP="00407731">
      <w:pPr>
        <w:pStyle w:val="Heading1"/>
        <w:spacing w:after="100" w:afterAutospacing="1"/>
      </w:pPr>
      <w:r w:rsidRPr="00324140">
        <w:t>State Board of Education-Authorized Charter Schools</w:t>
      </w:r>
      <w:r w:rsidR="00407731">
        <w:t xml:space="preserve"> </w:t>
      </w:r>
      <w:r w:rsidRPr="00324140">
        <w:t>in Fair or Poor Financial Condition</w:t>
      </w:r>
    </w:p>
    <w:p w:rsidR="00F61978" w:rsidRPr="00BC16C2" w:rsidRDefault="00F61978" w:rsidP="00A75084">
      <w:pPr>
        <w:pStyle w:val="Heading2"/>
        <w:rPr>
          <w:rFonts w:eastAsia="Calibri"/>
        </w:rPr>
      </w:pPr>
      <w:r w:rsidRPr="00BC16C2">
        <w:rPr>
          <w:rFonts w:eastAsia="Calibri"/>
        </w:rPr>
        <w:t xml:space="preserve">Definition of Fiscal Indicators </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 xml:space="preserve">Deficit Spending </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 xml:space="preserve">Deficit spending occurs when the charter </w:t>
      </w:r>
      <w:r>
        <w:rPr>
          <w:rFonts w:eastAsia="Calibri" w:cs="Arial"/>
        </w:rPr>
        <w:t>school’s (school)</w:t>
      </w:r>
      <w:r w:rsidRPr="00BC16C2">
        <w:rPr>
          <w:rFonts w:eastAsia="Calibri" w:cs="Arial"/>
        </w:rPr>
        <w:t xml:space="preserve"> expenditures exceed its revenues. A school’s </w:t>
      </w:r>
      <w:r>
        <w:rPr>
          <w:rFonts w:eastAsia="Calibri" w:cs="Arial"/>
        </w:rPr>
        <w:t>operational unrestricted budget</w:t>
      </w:r>
      <w:r w:rsidRPr="00BC16C2">
        <w:rPr>
          <w:rFonts w:eastAsia="Calibri" w:cs="Arial"/>
        </w:rPr>
        <w:t xml:space="preserve"> should be balanced and ideally provide for growth in fund balance and reserves. Deficit</w:t>
      </w:r>
      <w:r>
        <w:rPr>
          <w:rFonts w:eastAsia="Calibri" w:cs="Arial"/>
        </w:rPr>
        <w:t xml:space="preserve"> spending depletes fund balance</w:t>
      </w:r>
      <w:r w:rsidRPr="00BC16C2">
        <w:rPr>
          <w:rFonts w:eastAsia="Calibri" w:cs="Arial"/>
        </w:rPr>
        <w:t xml:space="preserve"> and rese</w:t>
      </w:r>
      <w:r>
        <w:rPr>
          <w:rFonts w:eastAsia="Calibri" w:cs="Arial"/>
        </w:rPr>
        <w:t xml:space="preserve">rves and as such, must be </w:t>
      </w:r>
      <w:r w:rsidRPr="00BC16C2">
        <w:rPr>
          <w:rFonts w:eastAsia="Calibri" w:cs="Arial"/>
        </w:rPr>
        <w:t>addressed or it will lead to an insolvent financial position.</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 xml:space="preserve">Fund Balance </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The unrest</w:t>
      </w:r>
      <w:r>
        <w:rPr>
          <w:rFonts w:eastAsia="Calibri" w:cs="Arial"/>
        </w:rPr>
        <w:t>ricted fund balance of a</w:t>
      </w:r>
      <w:r w:rsidRPr="00BC16C2">
        <w:rPr>
          <w:rFonts w:eastAsia="Calibri" w:cs="Arial"/>
        </w:rPr>
        <w:t xml:space="preserve"> school should be positive. At a minimum, the sch</w:t>
      </w:r>
      <w:r>
        <w:rPr>
          <w:rFonts w:eastAsia="Calibri" w:cs="Arial"/>
        </w:rPr>
        <w:t>ool’s unrestricted fund balance</w:t>
      </w:r>
      <w:r w:rsidRPr="00BC16C2">
        <w:rPr>
          <w:rFonts w:eastAsia="Calibri" w:cs="Arial"/>
        </w:rPr>
        <w:t xml:space="preserve"> should be at a level to provide for reserves required in the Memorandum of Understanding (MOU). If </w:t>
      </w:r>
      <w:r>
        <w:rPr>
          <w:rFonts w:eastAsia="Calibri" w:cs="Arial"/>
        </w:rPr>
        <w:t xml:space="preserve">the </w:t>
      </w:r>
      <w:r w:rsidRPr="00BC16C2">
        <w:rPr>
          <w:rFonts w:eastAsia="Calibri" w:cs="Arial"/>
        </w:rPr>
        <w:t>cause of the negative fund balance is not addressed in a timely and appropriate manner, the school could be in jeopardy of financial insolvency that increases the likelihood of revocation. A negative fund balance is indicative of a poor financial condition.</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 xml:space="preserve">Reserves for Economic Uncertainty </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MOU terms are written with th</w:t>
      </w:r>
      <w:r>
        <w:rPr>
          <w:rFonts w:eastAsia="Calibri" w:cs="Arial"/>
        </w:rPr>
        <w:t xml:space="preserve">e expectation that each </w:t>
      </w:r>
      <w:r w:rsidRPr="00BC16C2">
        <w:rPr>
          <w:rFonts w:eastAsia="Calibri" w:cs="Arial"/>
        </w:rPr>
        <w:t>school</w:t>
      </w:r>
      <w:r>
        <w:rPr>
          <w:rFonts w:eastAsia="Calibri" w:cs="Arial"/>
        </w:rPr>
        <w:t xml:space="preserve">, depending on the level of the school’s </w:t>
      </w:r>
      <w:r w:rsidRPr="00BC16C2">
        <w:rPr>
          <w:rFonts w:eastAsia="Calibri" w:cs="Arial"/>
        </w:rPr>
        <w:t>average daily attendance</w:t>
      </w:r>
      <w:r>
        <w:rPr>
          <w:rFonts w:eastAsia="Calibri" w:cs="Arial"/>
        </w:rPr>
        <w:t xml:space="preserve"> (ADA), set aside reserves at the </w:t>
      </w:r>
      <w:proofErr w:type="gramStart"/>
      <w:r>
        <w:rPr>
          <w:rFonts w:eastAsia="Calibri" w:cs="Arial"/>
        </w:rPr>
        <w:t>greater</w:t>
      </w:r>
      <w:proofErr w:type="gramEnd"/>
      <w:r>
        <w:rPr>
          <w:rFonts w:eastAsia="Calibri" w:cs="Arial"/>
        </w:rPr>
        <w:t xml:space="preserve"> of four to five percent of expenditures, or a floor amount that is adjusted for inflation. The current</w:t>
      </w:r>
      <w:r w:rsidRPr="00BC16C2">
        <w:rPr>
          <w:rFonts w:eastAsia="Calibri" w:cs="Arial"/>
        </w:rPr>
        <w:t xml:space="preserve"> inflation adjusted floor amount is $6</w:t>
      </w:r>
      <w:r>
        <w:rPr>
          <w:rFonts w:eastAsia="Calibri" w:cs="Arial"/>
        </w:rPr>
        <w:t>6</w:t>
      </w:r>
      <w:r w:rsidRPr="00BC16C2">
        <w:rPr>
          <w:rFonts w:eastAsia="Calibri" w:cs="Arial"/>
        </w:rPr>
        <w:t>,000. Reserves below the minimum levels are indicative of a poor financial condition.</w:t>
      </w:r>
    </w:p>
    <w:p w:rsidR="00F61978" w:rsidRDefault="00F61978" w:rsidP="00407731">
      <w:pPr>
        <w:autoSpaceDE w:val="0"/>
        <w:autoSpaceDN w:val="0"/>
        <w:adjustRightInd w:val="0"/>
        <w:spacing w:after="100" w:afterAutospacing="1"/>
        <w:rPr>
          <w:rFonts w:eastAsia="Calibri" w:cs="Arial"/>
        </w:rPr>
      </w:pPr>
      <w:r w:rsidRPr="00BC16C2">
        <w:rPr>
          <w:rFonts w:eastAsia="Calibri" w:cs="Arial"/>
        </w:rPr>
        <w:t>Attendance Ratio</w:t>
      </w:r>
    </w:p>
    <w:p w:rsidR="00F61978" w:rsidRPr="00BC16C2" w:rsidRDefault="00F61978" w:rsidP="00407731">
      <w:pPr>
        <w:autoSpaceDE w:val="0"/>
        <w:autoSpaceDN w:val="0"/>
        <w:adjustRightInd w:val="0"/>
        <w:spacing w:after="100" w:afterAutospacing="1"/>
        <w:ind w:left="720"/>
        <w:rPr>
          <w:rFonts w:eastAsia="Calibri" w:cs="Arial"/>
        </w:rPr>
      </w:pPr>
      <w:r w:rsidRPr="00BC16C2">
        <w:rPr>
          <w:rFonts w:eastAsia="Calibri" w:cs="Arial"/>
        </w:rPr>
        <w:t>The attendance ratio is calculated by dividing the</w:t>
      </w:r>
      <w:r>
        <w:rPr>
          <w:rFonts w:eastAsia="Calibri" w:cs="Arial"/>
        </w:rPr>
        <w:t xml:space="preserve"> second period report of ADA</w:t>
      </w:r>
      <w:r w:rsidRPr="00BC16C2">
        <w:rPr>
          <w:rFonts w:eastAsia="Calibri" w:cs="Arial"/>
        </w:rPr>
        <w:t xml:space="preserve"> f</w:t>
      </w:r>
      <w:r>
        <w:rPr>
          <w:rFonts w:eastAsia="Calibri" w:cs="Arial"/>
        </w:rPr>
        <w:t xml:space="preserve">or the Second Principal </w:t>
      </w:r>
      <w:r w:rsidR="00B66519">
        <w:rPr>
          <w:rFonts w:eastAsia="Calibri" w:cs="Arial"/>
        </w:rPr>
        <w:t>(P-</w:t>
      </w:r>
      <w:r w:rsidRPr="00BC16C2">
        <w:rPr>
          <w:rFonts w:eastAsia="Calibri" w:cs="Arial"/>
        </w:rPr>
        <w:t xml:space="preserve">2) </w:t>
      </w:r>
      <w:r>
        <w:rPr>
          <w:rFonts w:eastAsia="Calibri" w:cs="Arial"/>
        </w:rPr>
        <w:t>A</w:t>
      </w:r>
      <w:r w:rsidRPr="00BC16C2">
        <w:rPr>
          <w:rFonts w:eastAsia="Calibri" w:cs="Arial"/>
        </w:rPr>
        <w:t xml:space="preserve">pportionment by the fall October enrollment count. Generally, the </w:t>
      </w:r>
      <w:r>
        <w:rPr>
          <w:rFonts w:eastAsia="Calibri" w:cs="Arial"/>
        </w:rPr>
        <w:t>attendance ratio</w:t>
      </w:r>
      <w:r w:rsidRPr="00BC16C2">
        <w:rPr>
          <w:rFonts w:eastAsia="Calibri" w:cs="Arial"/>
        </w:rPr>
        <w:t xml:space="preserve"> is between 93 to 96 percent.</w:t>
      </w:r>
    </w:p>
    <w:p w:rsidR="00F61978" w:rsidRDefault="00F61978" w:rsidP="00407731">
      <w:pPr>
        <w:autoSpaceDE w:val="0"/>
        <w:autoSpaceDN w:val="0"/>
        <w:adjustRightInd w:val="0"/>
        <w:spacing w:after="100" w:afterAutospacing="1"/>
        <w:rPr>
          <w:rFonts w:cs="Arial"/>
          <w:color w:val="000000"/>
        </w:rPr>
      </w:pPr>
      <w:r w:rsidRPr="00BC16C2">
        <w:rPr>
          <w:rFonts w:eastAsia="Calibri" w:cs="Arial"/>
        </w:rPr>
        <w:t>Debt Ratio</w:t>
      </w:r>
      <w:r w:rsidRPr="00BC16C2">
        <w:rPr>
          <w:rFonts w:cs="Arial"/>
          <w:color w:val="000000"/>
        </w:rPr>
        <w:t xml:space="preserve"> </w:t>
      </w:r>
    </w:p>
    <w:p w:rsidR="00F61978" w:rsidRDefault="00F61978" w:rsidP="00407731">
      <w:pPr>
        <w:autoSpaceDE w:val="0"/>
        <w:autoSpaceDN w:val="0"/>
        <w:adjustRightInd w:val="0"/>
        <w:spacing w:after="100" w:afterAutospacing="1"/>
        <w:ind w:left="720"/>
        <w:rPr>
          <w:rFonts w:cs="Arial"/>
          <w:color w:val="000000"/>
        </w:rPr>
      </w:pPr>
      <w:r w:rsidRPr="00BC16C2">
        <w:rPr>
          <w:rFonts w:cs="Arial"/>
          <w:color w:val="000000"/>
        </w:rPr>
        <w:t>The debt ratio is calculated</w:t>
      </w:r>
      <w:r>
        <w:rPr>
          <w:rFonts w:cs="Arial"/>
          <w:color w:val="000000"/>
        </w:rPr>
        <w:t xml:space="preserve"> by dividing the total liabilities</w:t>
      </w:r>
      <w:r w:rsidRPr="00BC16C2">
        <w:rPr>
          <w:rFonts w:cs="Arial"/>
          <w:color w:val="000000"/>
        </w:rPr>
        <w:t xml:space="preserve"> by the total assets. The d</w:t>
      </w:r>
      <w:r w:rsidRPr="00BC16C2">
        <w:rPr>
          <w:color w:val="000000"/>
        </w:rPr>
        <w:t>ebt ratio measures a school’s level of financial risk. A debt ratio of more than 1.0 indicates that the school has more debts than assets. Schools with a high debt ratio have limited options for short-term financing and generally will pay more in financing and interest cost</w:t>
      </w:r>
      <w:r w:rsidRPr="00BC16C2">
        <w:rPr>
          <w:rFonts w:cs="Arial"/>
          <w:color w:val="000000"/>
        </w:rPr>
        <w:fldChar w:fldCharType="begin"/>
      </w:r>
      <w:r w:rsidRPr="00BC16C2">
        <w:rPr>
          <w:rFonts w:cs="Arial"/>
          <w:color w:val="000000"/>
        </w:rPr>
        <w:instrText xml:space="preserve"> INCLUDEPICTURE "http://i.investopedia.com/inv/dictionary/terms/debtratio.gif" \* MERGEFORMATINET </w:instrText>
      </w:r>
      <w:r w:rsidRPr="00BC16C2">
        <w:rPr>
          <w:rFonts w:cs="Arial"/>
          <w:color w:val="000000"/>
        </w:rPr>
        <w:fldChar w:fldCharType="end"/>
      </w:r>
      <w:r>
        <w:rPr>
          <w:rFonts w:cs="Arial"/>
          <w:color w:val="000000"/>
        </w:rPr>
        <w:t>.</w:t>
      </w:r>
    </w:p>
    <w:p w:rsidR="00F61978" w:rsidRDefault="00F61978" w:rsidP="00407731">
      <w:pPr>
        <w:autoSpaceDE w:val="0"/>
        <w:autoSpaceDN w:val="0"/>
        <w:adjustRightInd w:val="0"/>
        <w:spacing w:after="100" w:afterAutospacing="1"/>
        <w:rPr>
          <w:color w:val="000000"/>
        </w:rPr>
      </w:pPr>
      <w:r w:rsidRPr="00BC16C2">
        <w:rPr>
          <w:color w:val="000000"/>
        </w:rPr>
        <w:lastRenderedPageBreak/>
        <w:t xml:space="preserve">Working Capital Ratio </w:t>
      </w:r>
    </w:p>
    <w:p w:rsidR="001A6670" w:rsidRDefault="00F61978" w:rsidP="000B491B">
      <w:pPr>
        <w:shd w:val="clear" w:color="auto" w:fill="FFFFFF"/>
        <w:spacing w:after="100" w:afterAutospacing="1"/>
        <w:ind w:left="720"/>
        <w:rPr>
          <w:rFonts w:cs="Arial"/>
          <w:color w:val="000000"/>
        </w:rPr>
      </w:pPr>
      <w:r w:rsidRPr="00BC16C2">
        <w:rPr>
          <w:color w:val="000000"/>
        </w:rPr>
        <w:t>The working capital ratio is calculated by dividing current assets by current liabilities. The w</w:t>
      </w:r>
      <w:r w:rsidRPr="00BC16C2">
        <w:rPr>
          <w:rFonts w:cs="Arial"/>
          <w:color w:val="000000"/>
        </w:rPr>
        <w:t>orking capital ratio, also known as current ratio, measures cash liquidity and whether the school has enough short</w:t>
      </w:r>
      <w:r>
        <w:rPr>
          <w:rFonts w:cs="Arial"/>
          <w:color w:val="000000"/>
        </w:rPr>
        <w:t>-</w:t>
      </w:r>
      <w:r w:rsidRPr="00BC16C2">
        <w:rPr>
          <w:rFonts w:cs="Arial"/>
          <w:color w:val="000000"/>
        </w:rPr>
        <w:t xml:space="preserve">term assets to cover its short-term debt. </w:t>
      </w:r>
      <w:r w:rsidRPr="00BC16C2">
        <w:rPr>
          <w:rFonts w:cs="Arial"/>
          <w:color w:val="000000"/>
          <w:lang w:val="en"/>
        </w:rPr>
        <w:t>A ratio of less than 1.0 means current assets are le</w:t>
      </w:r>
      <w:r>
        <w:rPr>
          <w:rFonts w:cs="Arial"/>
          <w:color w:val="000000"/>
          <w:lang w:val="en"/>
        </w:rPr>
        <w:t xml:space="preserve">ss than current liabilities. A </w:t>
      </w:r>
      <w:r w:rsidRPr="00BC16C2">
        <w:rPr>
          <w:rFonts w:cs="Arial"/>
          <w:color w:val="000000"/>
        </w:rPr>
        <w:t xml:space="preserve">school with a ratio below 0.8 may have difficulty paying its bills </w:t>
      </w:r>
      <w:r>
        <w:rPr>
          <w:rFonts w:cs="Arial"/>
          <w:color w:val="000000"/>
        </w:rPr>
        <w:t>i</w:t>
      </w:r>
      <w:r w:rsidR="001A6670">
        <w:rPr>
          <w:rFonts w:cs="Arial"/>
          <w:color w:val="000000"/>
        </w:rPr>
        <w:t>n a timely manner. A current ratio of 1.2 or higher is considered to represent good short term liquidity.</w:t>
      </w:r>
    </w:p>
    <w:p w:rsidR="001A6670" w:rsidRDefault="001A6670">
      <w:pPr>
        <w:spacing w:after="160" w:line="259" w:lineRule="auto"/>
        <w:rPr>
          <w:rFonts w:cs="Arial"/>
          <w:color w:val="000000"/>
        </w:rPr>
      </w:pPr>
      <w:r>
        <w:rPr>
          <w:rFonts w:cs="Arial"/>
          <w:color w:val="000000"/>
        </w:rPr>
        <w:br w:type="page"/>
      </w:r>
    </w:p>
    <w:p w:rsidR="001A6670" w:rsidRPr="00407731" w:rsidRDefault="001A6670" w:rsidP="00A75084">
      <w:pPr>
        <w:pStyle w:val="Heading2"/>
      </w:pPr>
      <w:r w:rsidRPr="00407731">
        <w:lastRenderedPageBreak/>
        <w:t>Fair Financial Condition</w:t>
      </w:r>
    </w:p>
    <w:p w:rsidR="00407731" w:rsidRDefault="001A6670" w:rsidP="00407731">
      <w:pPr>
        <w:spacing w:after="100" w:afterAutospacing="1"/>
      </w:pPr>
      <w:r>
        <w:t>Charter schools</w:t>
      </w:r>
      <w:r w:rsidRPr="00BC16C2">
        <w:t xml:space="preserve"> in fair financial condition </w:t>
      </w:r>
      <w:r>
        <w:t>are</w:t>
      </w:r>
      <w:r w:rsidRPr="00BC16C2">
        <w:t xml:space="preserve"> showing some signs of fiscal distress and need to take appropriate action</w:t>
      </w:r>
      <w:r>
        <w:t>s</w:t>
      </w:r>
      <w:r w:rsidRPr="00BC16C2">
        <w:t xml:space="preserve"> to address the decline in financial condition. Specifically, </w:t>
      </w:r>
      <w:r>
        <w:t>charter schools</w:t>
      </w:r>
      <w:r w:rsidRPr="00BC16C2">
        <w:t xml:space="preserve"> in fa</w:t>
      </w:r>
      <w:r>
        <w:t xml:space="preserve">ir financial condition may have </w:t>
      </w:r>
      <w:r w:rsidRPr="00BC16C2">
        <w:t>budget</w:t>
      </w:r>
      <w:r>
        <w:t>s</w:t>
      </w:r>
      <w:r w:rsidRPr="00BC16C2">
        <w:t xml:space="preserve"> that</w:t>
      </w:r>
      <w:r>
        <w:t xml:space="preserve"> are</w:t>
      </w:r>
      <w:r w:rsidRPr="00BC16C2">
        <w:t xml:space="preserve"> out of balance (deficit spending), declining</w:t>
      </w:r>
      <w:r>
        <w:t xml:space="preserve"> enrollment or attendance ratio</w:t>
      </w:r>
      <w:r w:rsidRPr="00BC16C2">
        <w:t>, cash liquidity that is not adequate, debt level</w:t>
      </w:r>
      <w:r>
        <w:t>s that are</w:t>
      </w:r>
      <w:r w:rsidRPr="00BC16C2">
        <w:t xml:space="preserve"> high, </w:t>
      </w:r>
      <w:r>
        <w:t>d</w:t>
      </w:r>
      <w:r w:rsidRPr="00BC16C2">
        <w:t>eclining or low fund balance</w:t>
      </w:r>
      <w:r>
        <w:t>s, or reserve levels</w:t>
      </w:r>
      <w:r w:rsidRPr="00BC16C2">
        <w:t xml:space="preserve"> tha</w:t>
      </w:r>
      <w:r>
        <w:t xml:space="preserve">t are below the levels required </w:t>
      </w:r>
      <w:r w:rsidRPr="00BC16C2">
        <w:t>in the MOU. The chart</w:t>
      </w:r>
      <w:r w:rsidR="008250AC">
        <w:t>er school</w:t>
      </w:r>
      <w:r w:rsidR="001F4207">
        <w:t>s</w:t>
      </w:r>
      <w:r w:rsidRPr="00BC16C2">
        <w:t xml:space="preserve"> identified as bein</w:t>
      </w:r>
      <w:r w:rsidR="001F4207">
        <w:t>g in fair financial condition are</w:t>
      </w:r>
      <w:r w:rsidRPr="00BC16C2">
        <w:t>:</w:t>
      </w:r>
    </w:p>
    <w:p w:rsidR="007C3BB7" w:rsidRPr="00407731" w:rsidRDefault="007C3BB7" w:rsidP="00407731">
      <w:pPr>
        <w:pStyle w:val="ListParagraph"/>
        <w:numPr>
          <w:ilvl w:val="0"/>
          <w:numId w:val="4"/>
        </w:numPr>
        <w:rPr>
          <w:rFonts w:cs="Arial"/>
          <w:color w:val="000000"/>
        </w:rPr>
      </w:pPr>
      <w:proofErr w:type="spellStart"/>
      <w:r w:rsidRPr="00407731">
        <w:rPr>
          <w:rFonts w:cs="Arial"/>
        </w:rPr>
        <w:t>Anahuacalmecac</w:t>
      </w:r>
      <w:proofErr w:type="spellEnd"/>
      <w:r w:rsidRPr="00407731">
        <w:rPr>
          <w:rFonts w:cs="Arial"/>
        </w:rPr>
        <w:t xml:space="preserve"> International University Preparatory of North America</w:t>
      </w:r>
    </w:p>
    <w:p w:rsidR="00407731" w:rsidRPr="00407731" w:rsidRDefault="001A6670" w:rsidP="00407731">
      <w:pPr>
        <w:pStyle w:val="ListParagraph"/>
        <w:numPr>
          <w:ilvl w:val="0"/>
          <w:numId w:val="4"/>
        </w:numPr>
        <w:shd w:val="clear" w:color="auto" w:fill="FFFFFF"/>
        <w:spacing w:after="100" w:afterAutospacing="1"/>
      </w:pPr>
      <w:r w:rsidRPr="00407731">
        <w:rPr>
          <w:rFonts w:cs="Arial"/>
        </w:rPr>
        <w:t>Celerity Himalia Charter School</w:t>
      </w:r>
    </w:p>
    <w:p w:rsidR="007C3BB7" w:rsidRDefault="007C3BB7" w:rsidP="000B491B">
      <w:pPr>
        <w:pStyle w:val="Heading3"/>
      </w:pPr>
      <w:proofErr w:type="spellStart"/>
      <w:r>
        <w:t>Anahuacalmecac</w:t>
      </w:r>
      <w:proofErr w:type="spellEnd"/>
      <w:r>
        <w:t xml:space="preserve"> International University Preparatory of North America</w:t>
      </w:r>
    </w:p>
    <w:p w:rsidR="007C3BB7" w:rsidRDefault="007C3BB7" w:rsidP="00407731">
      <w:pPr>
        <w:pStyle w:val="ListParagraph"/>
        <w:numPr>
          <w:ilvl w:val="0"/>
          <w:numId w:val="5"/>
        </w:numPr>
      </w:pPr>
      <w:r>
        <w:t>Charter Term Expires: 6/30/2019</w:t>
      </w:r>
    </w:p>
    <w:p w:rsidR="007C3BB7" w:rsidRDefault="007C3BB7" w:rsidP="00407731">
      <w:pPr>
        <w:pStyle w:val="ListParagraph"/>
        <w:numPr>
          <w:ilvl w:val="0"/>
          <w:numId w:val="5"/>
        </w:numPr>
      </w:pPr>
      <w:r>
        <w:t>Grades Authorized to Serve: K</w:t>
      </w:r>
      <w:r w:rsidR="00B66519">
        <w:t xml:space="preserve">indergarten (K) </w:t>
      </w:r>
      <w:r>
        <w:t>–12</w:t>
      </w:r>
    </w:p>
    <w:p w:rsidR="007C3BB7" w:rsidRDefault="00B66519" w:rsidP="00407731">
      <w:pPr>
        <w:pStyle w:val="ListParagraph"/>
        <w:numPr>
          <w:ilvl w:val="0"/>
          <w:numId w:val="5"/>
        </w:numPr>
      </w:pPr>
      <w:r>
        <w:t>2016–17 P-</w:t>
      </w:r>
      <w:r w:rsidR="007C3BB7">
        <w:t>2 ADA: 325.02</w:t>
      </w:r>
    </w:p>
    <w:p w:rsidR="00407731" w:rsidRDefault="00B66519" w:rsidP="00407731">
      <w:pPr>
        <w:pStyle w:val="ListParagraph"/>
        <w:numPr>
          <w:ilvl w:val="0"/>
          <w:numId w:val="5"/>
        </w:numPr>
        <w:spacing w:after="100" w:afterAutospacing="1"/>
      </w:pPr>
      <w:r>
        <w:t>2017–18 P-</w:t>
      </w:r>
      <w:r w:rsidR="007C3BB7">
        <w:t xml:space="preserve">2 ADA: </w:t>
      </w:r>
      <w:r w:rsidR="001F4207">
        <w:t>328.10</w:t>
      </w:r>
    </w:p>
    <w:p w:rsidR="007C3BB7" w:rsidRDefault="007C3BB7" w:rsidP="004206BB">
      <w:pPr>
        <w:pStyle w:val="Heading4"/>
      </w:pPr>
      <w:r>
        <w:t>Fiscal Concerns</w:t>
      </w:r>
    </w:p>
    <w:p w:rsidR="00480417" w:rsidRDefault="00480417" w:rsidP="00480417">
      <w:pPr>
        <w:spacing w:after="100" w:afterAutospacing="1"/>
        <w:rPr>
          <w:rFonts w:ascii="Calibri" w:hAnsi="Calibri"/>
          <w:sz w:val="22"/>
          <w:szCs w:val="22"/>
        </w:rPr>
      </w:pPr>
      <w:r>
        <w:t xml:space="preserve">In January 2018, CDE had fiscal concerns for </w:t>
      </w:r>
      <w:proofErr w:type="spellStart"/>
      <w:r>
        <w:t>Anahuacalmecac</w:t>
      </w:r>
      <w:proofErr w:type="spellEnd"/>
      <w:r>
        <w:t xml:space="preserve"> International University Preparatory of North America’s (AIUPNA’s) due to the school’s negative fund balance and numerous outstanding bills totaling $386,701, of which $165,333 were overdue more than 90 days. The CDE also notes that AIUPNA’s net assets were negative $747,742 with long term liabilities of $1,050,517. </w:t>
      </w:r>
    </w:p>
    <w:p w:rsidR="001D0D17" w:rsidRDefault="00480417" w:rsidP="00480417">
      <w:pPr>
        <w:spacing w:after="100" w:afterAutospacing="1"/>
      </w:pPr>
      <w:r>
        <w:t xml:space="preserve">Subsequently AIUPNA received $1.15 million in local revenue </w:t>
      </w:r>
      <w:r w:rsidR="0013141B" w:rsidRPr="00822110">
        <w:t xml:space="preserve">which resulted in a </w:t>
      </w:r>
      <w:r w:rsidRPr="00822110">
        <w:t>positive</w:t>
      </w:r>
      <w:r>
        <w:t xml:space="preserve"> ending fund balance of $246,525. As of May 31, 2018, AIUPNA had significantly reduced its unpaid vendor bills to $59,249. This improved financial position puts AIUPNA in fair financial condition.</w:t>
      </w:r>
      <w:r w:rsidR="007C3BB7">
        <w:t xml:space="preserve"> </w:t>
      </w:r>
    </w:p>
    <w:p w:rsidR="00DD6097" w:rsidRDefault="00DD6097" w:rsidP="000B491B">
      <w:pPr>
        <w:pStyle w:val="Heading4"/>
      </w:pPr>
      <w:r>
        <w:t>California Department of Education Follow-Up</w:t>
      </w:r>
    </w:p>
    <w:p w:rsidR="001D0D17" w:rsidRDefault="00480417" w:rsidP="00F147CD">
      <w:pPr>
        <w:spacing w:after="100" w:afterAutospacing="1"/>
      </w:pPr>
      <w:r>
        <w:t xml:space="preserve">On June 5, 2018, the California Department of Education (CDE) had a conference call with AIUPNA regarding the local revenue of $1.15 million on the 2017–18 second interim report. AIUPNA was able to use the local revenue of $1.15 million on the fiscal year (FY) 2017–18 second interim report to pay down the accounts payable. The CDE reviewed the accounts payable aging summary as of May 31, 2018, and found that the outstanding vendor bills were reduced by $327,750 and the current balance is $59,249. The CDE also notes that AIUPNA’s net assets were increased to $260,301 with the long term liabilities decreased to $870,203 as of May 31, 2018. The AIUPNA current ratio and debt ratio are 5.87 and 0.8, respectively. Therefore, AIUPNA has more than five </w:t>
      </w:r>
      <w:r>
        <w:lastRenderedPageBreak/>
        <w:t>times the short-term assets required to cover its short-term debt and its total liabilities are less than the value of its total assets.</w:t>
      </w:r>
      <w:r w:rsidR="00DD6097">
        <w:t xml:space="preserve"> </w:t>
      </w:r>
      <w:r w:rsidR="001D0D17">
        <w:br w:type="page"/>
      </w:r>
    </w:p>
    <w:p w:rsidR="001D0D17" w:rsidRDefault="001D0D17" w:rsidP="001D0D17">
      <w:pPr>
        <w:spacing w:after="100" w:afterAutospacing="1"/>
        <w:sectPr w:rsidR="001D0D17" w:rsidSect="000B491B">
          <w:headerReference w:type="default" r:id="rId8"/>
          <w:type w:val="continuous"/>
          <w:pgSz w:w="12240" w:h="15840"/>
          <w:pgMar w:top="720" w:right="1440" w:bottom="900" w:left="1440" w:header="720" w:footer="720" w:gutter="0"/>
          <w:cols w:space="720"/>
        </w:sectPr>
      </w:pPr>
    </w:p>
    <w:p w:rsidR="007C3BB7" w:rsidRPr="001D0D17" w:rsidRDefault="001D0D17" w:rsidP="00F147CD">
      <w:pPr>
        <w:spacing w:after="100" w:afterAutospacing="1"/>
        <w:rPr>
          <w:b/>
        </w:rPr>
      </w:pPr>
      <w:r w:rsidRPr="001D0D17">
        <w:rPr>
          <w:b/>
        </w:rPr>
        <w:lastRenderedPageBreak/>
        <w:t xml:space="preserve">AIUPNA </w:t>
      </w:r>
      <w:r w:rsidR="007C3BB7" w:rsidRPr="001D0D17">
        <w:rPr>
          <w:b/>
        </w:rPr>
        <w:t>Financial Highlights</w:t>
      </w:r>
    </w:p>
    <w:p w:rsidR="001D0D17" w:rsidRDefault="00F147CD" w:rsidP="001D0D17">
      <w:r>
        <w:t>N</w:t>
      </w:r>
      <w:r w:rsidR="001D0D17">
        <w:t>A = Not Applicable</w:t>
      </w:r>
    </w:p>
    <w:tbl>
      <w:tblPr>
        <w:tblStyle w:val="TableGrid"/>
        <w:tblW w:w="5000" w:type="pct"/>
        <w:tblLook w:val="04A0" w:firstRow="1" w:lastRow="0" w:firstColumn="1" w:lastColumn="0" w:noHBand="0" w:noVBand="1"/>
        <w:tblCaption w:val="Financial Highlights"/>
        <w:tblDescription w:val="Financial Highlights"/>
      </w:tblPr>
      <w:tblGrid>
        <w:gridCol w:w="1204"/>
        <w:gridCol w:w="1655"/>
        <w:gridCol w:w="2030"/>
        <w:gridCol w:w="1575"/>
        <w:gridCol w:w="1372"/>
        <w:gridCol w:w="951"/>
        <w:gridCol w:w="1777"/>
        <w:gridCol w:w="1608"/>
        <w:gridCol w:w="1498"/>
      </w:tblGrid>
      <w:tr w:rsidR="007C3BB7" w:rsidRPr="00407731" w:rsidTr="001D0D17">
        <w:trPr>
          <w:tblHeader/>
        </w:trPr>
        <w:tc>
          <w:tcPr>
            <w:tcW w:w="440" w:type="pct"/>
          </w:tcPr>
          <w:p w:rsidR="007C3BB7" w:rsidRPr="00407731" w:rsidRDefault="007C3BB7" w:rsidP="001F4207">
            <w:pPr>
              <w:jc w:val="center"/>
              <w:rPr>
                <w:rFonts w:cs="Arial"/>
                <w:b/>
              </w:rPr>
            </w:pPr>
            <w:r w:rsidRPr="00407731">
              <w:rPr>
                <w:rFonts w:cs="Arial"/>
                <w:b/>
              </w:rPr>
              <w:t>FY / Source</w:t>
            </w:r>
          </w:p>
        </w:tc>
        <w:tc>
          <w:tcPr>
            <w:tcW w:w="605" w:type="pct"/>
          </w:tcPr>
          <w:p w:rsidR="007C3BB7" w:rsidRPr="00407731" w:rsidRDefault="007C3BB7" w:rsidP="001F4207">
            <w:pPr>
              <w:jc w:val="center"/>
              <w:rPr>
                <w:rFonts w:cs="Arial"/>
                <w:b/>
              </w:rPr>
            </w:pPr>
            <w:r w:rsidRPr="00407731">
              <w:rPr>
                <w:rFonts w:cs="Arial"/>
                <w:b/>
              </w:rPr>
              <w:t>Total Revenues</w:t>
            </w:r>
          </w:p>
        </w:tc>
        <w:tc>
          <w:tcPr>
            <w:tcW w:w="742" w:type="pct"/>
          </w:tcPr>
          <w:p w:rsidR="007C3BB7" w:rsidRPr="00407731" w:rsidRDefault="007C3BB7" w:rsidP="001F4207">
            <w:pPr>
              <w:jc w:val="center"/>
              <w:rPr>
                <w:rFonts w:cs="Arial"/>
                <w:b/>
              </w:rPr>
            </w:pPr>
            <w:r w:rsidRPr="00407731">
              <w:rPr>
                <w:rFonts w:cs="Arial"/>
                <w:b/>
              </w:rPr>
              <w:t>Total Expenditures</w:t>
            </w:r>
          </w:p>
        </w:tc>
        <w:tc>
          <w:tcPr>
            <w:tcW w:w="576" w:type="pct"/>
          </w:tcPr>
          <w:p w:rsidR="007C3BB7" w:rsidRPr="00407731" w:rsidRDefault="007C3BB7" w:rsidP="001F4207">
            <w:pPr>
              <w:jc w:val="center"/>
              <w:rPr>
                <w:rFonts w:cs="Arial"/>
                <w:b/>
              </w:rPr>
            </w:pPr>
            <w:r w:rsidRPr="00407731">
              <w:rPr>
                <w:rFonts w:cs="Arial"/>
                <w:b/>
              </w:rPr>
              <w:t>Net Operating Surplus (Deficit)</w:t>
            </w:r>
          </w:p>
        </w:tc>
        <w:tc>
          <w:tcPr>
            <w:tcW w:w="502" w:type="pct"/>
          </w:tcPr>
          <w:p w:rsidR="007C3BB7" w:rsidRPr="00407731" w:rsidRDefault="007C3BB7" w:rsidP="001F4207">
            <w:pPr>
              <w:jc w:val="center"/>
              <w:rPr>
                <w:rFonts w:cs="Arial"/>
                <w:b/>
              </w:rPr>
            </w:pPr>
            <w:r w:rsidRPr="00407731">
              <w:rPr>
                <w:rFonts w:cs="Arial"/>
                <w:b/>
              </w:rPr>
              <w:t>Working Capital Ratio</w:t>
            </w:r>
          </w:p>
        </w:tc>
        <w:tc>
          <w:tcPr>
            <w:tcW w:w="348" w:type="pct"/>
          </w:tcPr>
          <w:p w:rsidR="007C3BB7" w:rsidRPr="00407731" w:rsidRDefault="007C3BB7" w:rsidP="001F4207">
            <w:pPr>
              <w:jc w:val="center"/>
              <w:rPr>
                <w:rFonts w:cs="Arial"/>
                <w:b/>
              </w:rPr>
            </w:pPr>
            <w:r w:rsidRPr="00407731">
              <w:rPr>
                <w:rFonts w:cs="Arial"/>
                <w:b/>
              </w:rPr>
              <w:t>Debt Ratio</w:t>
            </w:r>
          </w:p>
        </w:tc>
        <w:tc>
          <w:tcPr>
            <w:tcW w:w="650" w:type="pct"/>
          </w:tcPr>
          <w:p w:rsidR="007C3BB7" w:rsidRPr="00407731" w:rsidRDefault="007C3BB7" w:rsidP="001F4207">
            <w:pPr>
              <w:jc w:val="center"/>
              <w:rPr>
                <w:rFonts w:cs="Arial"/>
                <w:b/>
              </w:rPr>
            </w:pPr>
            <w:r w:rsidRPr="00407731">
              <w:rPr>
                <w:rFonts w:cs="Arial"/>
                <w:b/>
              </w:rPr>
              <w:t>Attendance Ratio</w:t>
            </w:r>
          </w:p>
        </w:tc>
        <w:tc>
          <w:tcPr>
            <w:tcW w:w="588" w:type="pct"/>
          </w:tcPr>
          <w:p w:rsidR="007C3BB7" w:rsidRPr="00407731" w:rsidRDefault="007C3BB7" w:rsidP="001F4207">
            <w:pPr>
              <w:jc w:val="center"/>
              <w:rPr>
                <w:rFonts w:cs="Arial"/>
                <w:b/>
              </w:rPr>
            </w:pPr>
            <w:r w:rsidRPr="00407731">
              <w:rPr>
                <w:rFonts w:cs="Arial"/>
                <w:b/>
              </w:rPr>
              <w:t>Ending Fund Balance</w:t>
            </w:r>
          </w:p>
        </w:tc>
        <w:tc>
          <w:tcPr>
            <w:tcW w:w="548" w:type="pct"/>
          </w:tcPr>
          <w:p w:rsidR="007C3BB7" w:rsidRPr="00407731" w:rsidRDefault="007C3BB7" w:rsidP="001F4207">
            <w:pPr>
              <w:jc w:val="center"/>
              <w:rPr>
                <w:rFonts w:cs="Arial"/>
                <w:b/>
              </w:rPr>
            </w:pPr>
            <w:r w:rsidRPr="00407731">
              <w:rPr>
                <w:rFonts w:cs="Arial"/>
                <w:b/>
              </w:rPr>
              <w:t>Percent of Reserves</w:t>
            </w:r>
          </w:p>
        </w:tc>
      </w:tr>
      <w:tr w:rsidR="007C3BB7" w:rsidRPr="00407731" w:rsidTr="001D0D17">
        <w:tc>
          <w:tcPr>
            <w:tcW w:w="440" w:type="pct"/>
          </w:tcPr>
          <w:p w:rsidR="007C3BB7" w:rsidRPr="00407731" w:rsidRDefault="007C3BB7" w:rsidP="001F4207">
            <w:pPr>
              <w:rPr>
                <w:rFonts w:cs="Arial"/>
              </w:rPr>
            </w:pPr>
            <w:r w:rsidRPr="00407731">
              <w:rPr>
                <w:rFonts w:cs="Arial"/>
              </w:rPr>
              <w:t>2016–17 Audit</w:t>
            </w:r>
          </w:p>
        </w:tc>
        <w:tc>
          <w:tcPr>
            <w:tcW w:w="605"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$4,942,150</w:t>
            </w:r>
          </w:p>
        </w:tc>
        <w:tc>
          <w:tcPr>
            <w:tcW w:w="742"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$4,894,206</w:t>
            </w:r>
          </w:p>
        </w:tc>
        <w:tc>
          <w:tcPr>
            <w:tcW w:w="576"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$47,944</w:t>
            </w:r>
          </w:p>
        </w:tc>
        <w:tc>
          <w:tcPr>
            <w:tcW w:w="502"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0.51</w:t>
            </w:r>
          </w:p>
        </w:tc>
        <w:tc>
          <w:tcPr>
            <w:tcW w:w="34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1.47</w:t>
            </w:r>
          </w:p>
        </w:tc>
        <w:tc>
          <w:tcPr>
            <w:tcW w:w="650"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94.6%</w:t>
            </w:r>
          </w:p>
        </w:tc>
        <w:tc>
          <w:tcPr>
            <w:tcW w:w="58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($480,097)</w:t>
            </w:r>
          </w:p>
        </w:tc>
        <w:tc>
          <w:tcPr>
            <w:tcW w:w="54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0%</w:t>
            </w:r>
          </w:p>
        </w:tc>
      </w:tr>
      <w:tr w:rsidR="007C3BB7" w:rsidRPr="00407731" w:rsidTr="001D0D17">
        <w:tc>
          <w:tcPr>
            <w:tcW w:w="440" w:type="pct"/>
          </w:tcPr>
          <w:p w:rsidR="007C3BB7" w:rsidRPr="00407731" w:rsidRDefault="007C3BB7" w:rsidP="001F4207">
            <w:pPr>
              <w:rPr>
                <w:rFonts w:cs="Arial"/>
              </w:rPr>
            </w:pPr>
            <w:r w:rsidRPr="00407731">
              <w:rPr>
                <w:rFonts w:cs="Arial"/>
              </w:rPr>
              <w:t>2017–18 Budget</w:t>
            </w:r>
          </w:p>
        </w:tc>
        <w:tc>
          <w:tcPr>
            <w:tcW w:w="605"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$5,052,935</w:t>
            </w:r>
          </w:p>
        </w:tc>
        <w:tc>
          <w:tcPr>
            <w:tcW w:w="742"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$4,829,989</w:t>
            </w:r>
          </w:p>
        </w:tc>
        <w:tc>
          <w:tcPr>
            <w:tcW w:w="576"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$222,946</w:t>
            </w:r>
          </w:p>
        </w:tc>
        <w:tc>
          <w:tcPr>
            <w:tcW w:w="502"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NA</w:t>
            </w:r>
          </w:p>
        </w:tc>
        <w:tc>
          <w:tcPr>
            <w:tcW w:w="34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NA</w:t>
            </w:r>
          </w:p>
        </w:tc>
        <w:tc>
          <w:tcPr>
            <w:tcW w:w="650"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91.4%</w:t>
            </w:r>
          </w:p>
        </w:tc>
        <w:tc>
          <w:tcPr>
            <w:tcW w:w="58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($60,264)</w:t>
            </w:r>
          </w:p>
        </w:tc>
        <w:tc>
          <w:tcPr>
            <w:tcW w:w="54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0%</w:t>
            </w:r>
          </w:p>
        </w:tc>
      </w:tr>
      <w:tr w:rsidR="007C3BB7" w:rsidRPr="00407731" w:rsidTr="001D0D17">
        <w:tc>
          <w:tcPr>
            <w:tcW w:w="440" w:type="pct"/>
          </w:tcPr>
          <w:p w:rsidR="007C3BB7" w:rsidRPr="00407731" w:rsidRDefault="007C3BB7" w:rsidP="001F4207">
            <w:pPr>
              <w:rPr>
                <w:rFonts w:cs="Arial"/>
              </w:rPr>
            </w:pPr>
            <w:r w:rsidRPr="00407731">
              <w:rPr>
                <w:rFonts w:cs="Arial"/>
              </w:rPr>
              <w:t>2017–18 2</w:t>
            </w:r>
            <w:r w:rsidR="001D0D17" w:rsidRPr="001D0D17">
              <w:rPr>
                <w:rFonts w:cs="Arial"/>
              </w:rPr>
              <w:t>nd</w:t>
            </w:r>
            <w:r w:rsidRPr="001D0D17">
              <w:rPr>
                <w:rFonts w:cs="Arial"/>
              </w:rPr>
              <w:t xml:space="preserve"> </w:t>
            </w:r>
            <w:r w:rsidRPr="00407731">
              <w:rPr>
                <w:rFonts w:cs="Arial"/>
              </w:rPr>
              <w:t>Interim</w:t>
            </w:r>
          </w:p>
        </w:tc>
        <w:tc>
          <w:tcPr>
            <w:tcW w:w="605"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$5,793,835</w:t>
            </w:r>
          </w:p>
        </w:tc>
        <w:tc>
          <w:tcPr>
            <w:tcW w:w="742"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$5,019,269</w:t>
            </w:r>
          </w:p>
        </w:tc>
        <w:tc>
          <w:tcPr>
            <w:tcW w:w="576"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$774,566</w:t>
            </w:r>
          </w:p>
        </w:tc>
        <w:tc>
          <w:tcPr>
            <w:tcW w:w="502"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NA</w:t>
            </w:r>
          </w:p>
        </w:tc>
        <w:tc>
          <w:tcPr>
            <w:tcW w:w="34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NA</w:t>
            </w:r>
          </w:p>
          <w:p w:rsidR="007C3BB7" w:rsidRPr="00407731" w:rsidRDefault="007C3BB7" w:rsidP="001F4207">
            <w:pPr>
              <w:jc w:val="center"/>
              <w:rPr>
                <w:rFonts w:cs="Arial"/>
              </w:rPr>
            </w:pPr>
          </w:p>
        </w:tc>
        <w:tc>
          <w:tcPr>
            <w:tcW w:w="650" w:type="pct"/>
          </w:tcPr>
          <w:p w:rsidR="007C3BB7" w:rsidRPr="00407731" w:rsidRDefault="007C3BB7" w:rsidP="001F4207">
            <w:pPr>
              <w:jc w:val="center"/>
              <w:rPr>
                <w:rFonts w:cs="Arial"/>
              </w:rPr>
            </w:pPr>
          </w:p>
          <w:p w:rsidR="007C3BB7" w:rsidRPr="00407731" w:rsidRDefault="001F4207" w:rsidP="001F4207">
            <w:pPr>
              <w:jc w:val="center"/>
              <w:rPr>
                <w:rFonts w:cs="Arial"/>
                <w:color w:val="FF0000"/>
              </w:rPr>
            </w:pPr>
            <w:r w:rsidRPr="00407731">
              <w:rPr>
                <w:rFonts w:cs="Arial"/>
              </w:rPr>
              <w:t>90.4%</w:t>
            </w:r>
          </w:p>
        </w:tc>
        <w:tc>
          <w:tcPr>
            <w:tcW w:w="58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$246,525</w:t>
            </w:r>
          </w:p>
        </w:tc>
        <w:tc>
          <w:tcPr>
            <w:tcW w:w="548" w:type="pct"/>
          </w:tcPr>
          <w:p w:rsidR="007C3BB7" w:rsidRPr="00407731" w:rsidRDefault="007C3BB7" w:rsidP="001F4207">
            <w:pPr>
              <w:jc w:val="center"/>
              <w:rPr>
                <w:rFonts w:cs="Arial"/>
              </w:rPr>
            </w:pPr>
          </w:p>
          <w:p w:rsidR="007C3BB7" w:rsidRPr="00407731" w:rsidRDefault="007C3BB7" w:rsidP="001F4207">
            <w:pPr>
              <w:jc w:val="center"/>
              <w:rPr>
                <w:rFonts w:cs="Arial"/>
              </w:rPr>
            </w:pPr>
            <w:r w:rsidRPr="00407731">
              <w:rPr>
                <w:rFonts w:cs="Arial"/>
              </w:rPr>
              <w:t>4.9%</w:t>
            </w:r>
          </w:p>
        </w:tc>
      </w:tr>
    </w:tbl>
    <w:p w:rsidR="001D0D17" w:rsidRDefault="001D0D17" w:rsidP="007C3BB7">
      <w:pPr>
        <w:ind w:firstLine="720"/>
        <w:rPr>
          <w:sz w:val="16"/>
          <w:szCs w:val="16"/>
        </w:rPr>
        <w:sectPr w:rsidR="001D0D17" w:rsidSect="001D0D17">
          <w:pgSz w:w="15840" w:h="12240" w:orient="landscape"/>
          <w:pgMar w:top="1440" w:right="720" w:bottom="1440" w:left="1440" w:header="720" w:footer="720" w:gutter="0"/>
          <w:cols w:space="720"/>
          <w:docGrid w:linePitch="326"/>
        </w:sectPr>
      </w:pPr>
    </w:p>
    <w:p w:rsidR="004A6B59" w:rsidRDefault="004A6B59" w:rsidP="000B491B">
      <w:pPr>
        <w:pStyle w:val="Heading3"/>
      </w:pPr>
      <w:r>
        <w:lastRenderedPageBreak/>
        <w:t>Celerity Himalia Charter School</w:t>
      </w:r>
    </w:p>
    <w:p w:rsidR="004A6B59" w:rsidRDefault="004A6B59" w:rsidP="00861A80">
      <w:pPr>
        <w:pStyle w:val="ListParagraph"/>
        <w:numPr>
          <w:ilvl w:val="0"/>
          <w:numId w:val="6"/>
        </w:numPr>
        <w:spacing w:after="240"/>
        <w:contextualSpacing w:val="0"/>
      </w:pPr>
      <w:r>
        <w:t>Charter Term Expires: 6/30/2022</w:t>
      </w:r>
    </w:p>
    <w:p w:rsidR="004A6B59" w:rsidRDefault="0058760F" w:rsidP="00861A80">
      <w:pPr>
        <w:pStyle w:val="ListParagraph"/>
        <w:numPr>
          <w:ilvl w:val="0"/>
          <w:numId w:val="6"/>
        </w:numPr>
        <w:spacing w:after="240"/>
        <w:contextualSpacing w:val="0"/>
      </w:pPr>
      <w:r>
        <w:t>Grades Authorized to Serve: K–8</w:t>
      </w:r>
    </w:p>
    <w:p w:rsidR="004A6B59" w:rsidRDefault="00D6794C" w:rsidP="00861A80">
      <w:pPr>
        <w:pStyle w:val="ListParagraph"/>
        <w:numPr>
          <w:ilvl w:val="0"/>
          <w:numId w:val="6"/>
        </w:numPr>
        <w:spacing w:after="240"/>
        <w:contextualSpacing w:val="0"/>
      </w:pPr>
      <w:r>
        <w:t>2016–17 P-</w:t>
      </w:r>
      <w:r w:rsidR="004A6B59">
        <w:t xml:space="preserve">2 ADA: </w:t>
      </w:r>
      <w:r>
        <w:t>NA</w:t>
      </w:r>
      <w:r w:rsidR="004A6B59">
        <w:t>, Celerity Himalia Charter School (CHCS) was not in operation</w:t>
      </w:r>
    </w:p>
    <w:p w:rsidR="00DD6097" w:rsidRDefault="00D6794C" w:rsidP="00861A80">
      <w:pPr>
        <w:pStyle w:val="ListParagraph"/>
        <w:numPr>
          <w:ilvl w:val="0"/>
          <w:numId w:val="6"/>
        </w:numPr>
        <w:spacing w:after="240"/>
        <w:contextualSpacing w:val="0"/>
      </w:pPr>
      <w:r>
        <w:t>2017–18 P-</w:t>
      </w:r>
      <w:r w:rsidR="00EF3B2C">
        <w:t xml:space="preserve">2 ADA: </w:t>
      </w:r>
      <w:r w:rsidR="008C45FE">
        <w:t>579.69</w:t>
      </w:r>
    </w:p>
    <w:p w:rsidR="004A6B59" w:rsidRDefault="004A6B59" w:rsidP="004206BB">
      <w:pPr>
        <w:pStyle w:val="Heading4"/>
      </w:pPr>
      <w:r>
        <w:t>Fiscal Concerns</w:t>
      </w:r>
    </w:p>
    <w:p w:rsidR="0013271A" w:rsidRDefault="004A6B59" w:rsidP="00D6794C">
      <w:pPr>
        <w:spacing w:after="100" w:afterAutospacing="1"/>
      </w:pPr>
      <w:r>
        <w:t>CHCS</w:t>
      </w:r>
      <w:r w:rsidR="00F147CD">
        <w:t>’s</w:t>
      </w:r>
      <w:r>
        <w:t xml:space="preserve"> second interim report indi</w:t>
      </w:r>
      <w:r w:rsidR="0021425B">
        <w:t>cates that CHCS is projecting a positive ending fund balance of $46,441 with 0.61 percent reserve for FY 2017–18, which is below the recommended five percent in reserves outlined in the MOU between CHCS and the S</w:t>
      </w:r>
      <w:r w:rsidR="00D6794C">
        <w:t xml:space="preserve">tate </w:t>
      </w:r>
      <w:r w:rsidR="0021425B">
        <w:t>B</w:t>
      </w:r>
      <w:r w:rsidR="00D6794C">
        <w:t xml:space="preserve">oard of </w:t>
      </w:r>
      <w:r w:rsidR="0021425B">
        <w:t>E</w:t>
      </w:r>
      <w:r w:rsidR="00D6794C">
        <w:t>ducation (SBE)</w:t>
      </w:r>
      <w:r w:rsidR="0021425B">
        <w:t xml:space="preserve">. In addition, the CDE notes that CHCS’s net assets </w:t>
      </w:r>
      <w:r w:rsidR="00D6794C">
        <w:t>were</w:t>
      </w:r>
      <w:r w:rsidR="0021425B">
        <w:t xml:space="preserve"> negative $</w:t>
      </w:r>
      <w:r w:rsidR="000D281B">
        <w:t>848,693</w:t>
      </w:r>
      <w:r w:rsidR="0021425B">
        <w:t xml:space="preserve"> as of </w:t>
      </w:r>
      <w:r w:rsidR="000D281B">
        <w:t>April 30</w:t>
      </w:r>
      <w:r w:rsidR="0021425B">
        <w:t>, 2018</w:t>
      </w:r>
      <w:r w:rsidR="00EF3B2C">
        <w:t>,</w:t>
      </w:r>
      <w:r w:rsidR="00D6794C">
        <w:t xml:space="preserve"> and</w:t>
      </w:r>
      <w:r w:rsidR="0021425B">
        <w:t xml:space="preserve"> CHCS relies heavily on long term i</w:t>
      </w:r>
      <w:r w:rsidR="00C21802">
        <w:t>ntercompany loan</w:t>
      </w:r>
      <w:r w:rsidR="00D6794C">
        <w:t>s</w:t>
      </w:r>
      <w:r w:rsidR="00C21802">
        <w:t xml:space="preserve"> to help cash shortages</w:t>
      </w:r>
    </w:p>
    <w:p w:rsidR="0013271A" w:rsidRDefault="0013271A" w:rsidP="004206BB">
      <w:pPr>
        <w:pStyle w:val="Heading4"/>
      </w:pPr>
      <w:r>
        <w:t>California Department of Education Follow-Up</w:t>
      </w:r>
    </w:p>
    <w:p w:rsidR="0013271A" w:rsidRDefault="0013271A" w:rsidP="0013271A">
      <w:r>
        <w:t xml:space="preserve">On May 31, 2018, the CDE had a conference call with CHCS regarding the fiscal concerns of a positive ending fund balance with a 0.6 percent reserve on the 2017–18 second interim report. On June 5, 2018, the CDE issued a Letter of Concern to the CHCS Board, identifying the fiscal concerns including negative ending fund balance and a 0.6 percent reserve on the second interim report and requested a </w:t>
      </w:r>
      <w:r w:rsidR="006E4313">
        <w:t>fiscal corrective action plan (</w:t>
      </w:r>
      <w:r>
        <w:t>FCAP</w:t>
      </w:r>
      <w:r w:rsidR="006E4313">
        <w:t>)</w:t>
      </w:r>
      <w:r>
        <w:t xml:space="preserve"> to address these concerns to be submitted to the CDE by June 26, 2018. CHCS submitted the FCAP on June 22, 2018</w:t>
      </w:r>
      <w:r w:rsidR="006E4313">
        <w:t>,</w:t>
      </w:r>
      <w:r>
        <w:t xml:space="preserve"> that addresses fiscal concerns of </w:t>
      </w:r>
      <w:r w:rsidR="006E4313">
        <w:t xml:space="preserve">low reserve and enrollment. </w:t>
      </w:r>
      <w:r>
        <w:t>CHCS also provided t</w:t>
      </w:r>
      <w:r w:rsidR="006E4313">
        <w:t>he CDE the preliminary budget for</w:t>
      </w:r>
      <w:r>
        <w:t xml:space="preserve"> FY 2018</w:t>
      </w:r>
      <w:r w:rsidR="006E4313">
        <w:t>–19 that reflects the projected</w:t>
      </w:r>
      <w:r>
        <w:t xml:space="preserve"> ending fund balance of $624,200 with a reserve of 7.25 percent. In addition, the CHCS has projected enrollment of 708 students for FY 2018–19 in addition to the waitlist of 306 students. The CDE will continue to monitor the CHCS budget, and may recommend that the SBE take appropriate action, as deemed necessary. </w:t>
      </w:r>
    </w:p>
    <w:p w:rsidR="008C5565" w:rsidRDefault="00C21802" w:rsidP="008C5565">
      <w:pPr>
        <w:sectPr w:rsidR="008C5565" w:rsidSect="00057A96">
          <w:type w:val="continuous"/>
          <w:pgSz w:w="12240" w:h="15840"/>
          <w:pgMar w:top="720" w:right="1440" w:bottom="1440" w:left="1440" w:header="720" w:footer="720" w:gutter="0"/>
          <w:cols w:space="720"/>
        </w:sectPr>
      </w:pPr>
      <w:r>
        <w:t>.</w:t>
      </w:r>
    </w:p>
    <w:p w:rsidR="0013271A" w:rsidRDefault="0013271A" w:rsidP="000B491B">
      <w:pPr>
        <w:pStyle w:val="Heading2"/>
        <w:sectPr w:rsidR="0013271A" w:rsidSect="00057A96">
          <w:type w:val="continuous"/>
          <w:pgSz w:w="12240" w:h="15840"/>
          <w:pgMar w:top="720" w:right="1440" w:bottom="1440" w:left="1440" w:header="720" w:footer="720" w:gutter="0"/>
          <w:cols w:space="720"/>
        </w:sectPr>
      </w:pPr>
    </w:p>
    <w:p w:rsidR="0021425B" w:rsidRPr="0013271A" w:rsidRDefault="0013271A" w:rsidP="0013271A">
      <w:pPr>
        <w:spacing w:after="100" w:afterAutospacing="1"/>
        <w:rPr>
          <w:b/>
        </w:rPr>
      </w:pPr>
      <w:r w:rsidRPr="0013271A">
        <w:rPr>
          <w:b/>
        </w:rPr>
        <w:lastRenderedPageBreak/>
        <w:t xml:space="preserve">CHCS </w:t>
      </w:r>
      <w:r w:rsidR="0021425B" w:rsidRPr="0013271A">
        <w:rPr>
          <w:b/>
        </w:rPr>
        <w:t>Financial Highlights</w:t>
      </w:r>
    </w:p>
    <w:tbl>
      <w:tblPr>
        <w:tblStyle w:val="TableGrid"/>
        <w:tblW w:w="5000" w:type="pct"/>
        <w:tblLook w:val="04A0" w:firstRow="1" w:lastRow="0" w:firstColumn="1" w:lastColumn="0" w:noHBand="0" w:noVBand="1"/>
        <w:tblCaption w:val="Financial Highlights"/>
        <w:tblDescription w:val="Financial Highlights"/>
      </w:tblPr>
      <w:tblGrid>
        <w:gridCol w:w="1288"/>
        <w:gridCol w:w="1632"/>
        <w:gridCol w:w="1985"/>
        <w:gridCol w:w="1561"/>
        <w:gridCol w:w="1405"/>
        <w:gridCol w:w="1113"/>
        <w:gridCol w:w="1750"/>
        <w:gridCol w:w="1441"/>
        <w:gridCol w:w="1495"/>
      </w:tblGrid>
      <w:tr w:rsidR="0021425B" w:rsidRPr="0013271A" w:rsidTr="0013271A">
        <w:trPr>
          <w:tblHeader/>
        </w:trPr>
        <w:tc>
          <w:tcPr>
            <w:tcW w:w="471" w:type="pct"/>
          </w:tcPr>
          <w:p w:rsidR="0021425B" w:rsidRPr="0013271A" w:rsidRDefault="0021425B" w:rsidP="00D36A69">
            <w:pPr>
              <w:jc w:val="center"/>
              <w:rPr>
                <w:rFonts w:cs="Arial"/>
                <w:b/>
              </w:rPr>
            </w:pPr>
            <w:r w:rsidRPr="0013271A">
              <w:rPr>
                <w:rFonts w:cs="Arial"/>
                <w:b/>
              </w:rPr>
              <w:t>FY / Source</w:t>
            </w:r>
          </w:p>
        </w:tc>
        <w:tc>
          <w:tcPr>
            <w:tcW w:w="597" w:type="pct"/>
          </w:tcPr>
          <w:p w:rsidR="0021425B" w:rsidRPr="0013271A" w:rsidRDefault="0021425B" w:rsidP="00D36A69">
            <w:pPr>
              <w:jc w:val="center"/>
              <w:rPr>
                <w:rFonts w:cs="Arial"/>
                <w:b/>
              </w:rPr>
            </w:pPr>
            <w:r w:rsidRPr="0013271A">
              <w:rPr>
                <w:rFonts w:cs="Arial"/>
                <w:b/>
              </w:rPr>
              <w:t>Total Revenues</w:t>
            </w:r>
          </w:p>
        </w:tc>
        <w:tc>
          <w:tcPr>
            <w:tcW w:w="726" w:type="pct"/>
          </w:tcPr>
          <w:p w:rsidR="0021425B" w:rsidRPr="0013271A" w:rsidRDefault="0021425B" w:rsidP="00D36A69">
            <w:pPr>
              <w:jc w:val="center"/>
              <w:rPr>
                <w:rFonts w:cs="Arial"/>
                <w:b/>
              </w:rPr>
            </w:pPr>
            <w:r w:rsidRPr="0013271A">
              <w:rPr>
                <w:rFonts w:cs="Arial"/>
                <w:b/>
              </w:rPr>
              <w:t>Total Expenditures</w:t>
            </w:r>
          </w:p>
        </w:tc>
        <w:tc>
          <w:tcPr>
            <w:tcW w:w="571" w:type="pct"/>
          </w:tcPr>
          <w:p w:rsidR="0021425B" w:rsidRPr="0013271A" w:rsidRDefault="0021425B" w:rsidP="00D36A69">
            <w:pPr>
              <w:jc w:val="center"/>
              <w:rPr>
                <w:rFonts w:cs="Arial"/>
                <w:b/>
              </w:rPr>
            </w:pPr>
            <w:r w:rsidRPr="0013271A">
              <w:rPr>
                <w:rFonts w:cs="Arial"/>
                <w:b/>
              </w:rPr>
              <w:t>Net Operating Surplus (Deficit)</w:t>
            </w:r>
          </w:p>
        </w:tc>
        <w:tc>
          <w:tcPr>
            <w:tcW w:w="514" w:type="pct"/>
          </w:tcPr>
          <w:p w:rsidR="0021425B" w:rsidRPr="0013271A" w:rsidRDefault="0021425B" w:rsidP="00D36A69">
            <w:pPr>
              <w:jc w:val="center"/>
              <w:rPr>
                <w:rFonts w:cs="Arial"/>
                <w:b/>
              </w:rPr>
            </w:pPr>
            <w:r w:rsidRPr="0013271A">
              <w:rPr>
                <w:rFonts w:cs="Arial"/>
                <w:b/>
              </w:rPr>
              <w:t>Working Capital Ratio</w:t>
            </w:r>
          </w:p>
        </w:tc>
        <w:tc>
          <w:tcPr>
            <w:tcW w:w="407" w:type="pct"/>
          </w:tcPr>
          <w:p w:rsidR="0021425B" w:rsidRPr="0013271A" w:rsidRDefault="0021425B" w:rsidP="00D36A69">
            <w:pPr>
              <w:jc w:val="center"/>
              <w:rPr>
                <w:rFonts w:cs="Arial"/>
                <w:b/>
              </w:rPr>
            </w:pPr>
            <w:r w:rsidRPr="0013271A">
              <w:rPr>
                <w:rFonts w:cs="Arial"/>
                <w:b/>
              </w:rPr>
              <w:t>Debt Ratio</w:t>
            </w:r>
          </w:p>
        </w:tc>
        <w:tc>
          <w:tcPr>
            <w:tcW w:w="640" w:type="pct"/>
          </w:tcPr>
          <w:p w:rsidR="0021425B" w:rsidRPr="0013271A" w:rsidRDefault="0021425B" w:rsidP="00D36A69">
            <w:pPr>
              <w:jc w:val="center"/>
              <w:rPr>
                <w:rFonts w:cs="Arial"/>
                <w:b/>
              </w:rPr>
            </w:pPr>
            <w:r w:rsidRPr="0013271A">
              <w:rPr>
                <w:rFonts w:cs="Arial"/>
                <w:b/>
              </w:rPr>
              <w:t>Attendance Ratio</w:t>
            </w:r>
          </w:p>
        </w:tc>
        <w:tc>
          <w:tcPr>
            <w:tcW w:w="527" w:type="pct"/>
          </w:tcPr>
          <w:p w:rsidR="0021425B" w:rsidRPr="0013271A" w:rsidRDefault="0021425B" w:rsidP="00D36A69">
            <w:pPr>
              <w:jc w:val="center"/>
              <w:rPr>
                <w:rFonts w:cs="Arial"/>
                <w:b/>
              </w:rPr>
            </w:pPr>
            <w:r w:rsidRPr="0013271A">
              <w:rPr>
                <w:rFonts w:cs="Arial"/>
                <w:b/>
              </w:rPr>
              <w:t>Ending Fund Balance</w:t>
            </w:r>
          </w:p>
        </w:tc>
        <w:tc>
          <w:tcPr>
            <w:tcW w:w="547" w:type="pct"/>
          </w:tcPr>
          <w:p w:rsidR="0021425B" w:rsidRPr="0013271A" w:rsidRDefault="0021425B" w:rsidP="00D36A69">
            <w:pPr>
              <w:jc w:val="center"/>
              <w:rPr>
                <w:rFonts w:cs="Arial"/>
                <w:b/>
              </w:rPr>
            </w:pPr>
            <w:r w:rsidRPr="0013271A">
              <w:rPr>
                <w:rFonts w:cs="Arial"/>
                <w:b/>
              </w:rPr>
              <w:t>Percent of Reserves</w:t>
            </w:r>
          </w:p>
        </w:tc>
      </w:tr>
      <w:tr w:rsidR="0021425B" w:rsidRPr="0013271A" w:rsidTr="0013271A">
        <w:tc>
          <w:tcPr>
            <w:tcW w:w="471" w:type="pct"/>
          </w:tcPr>
          <w:p w:rsidR="0021425B" w:rsidRPr="0013271A" w:rsidRDefault="0021425B" w:rsidP="00D36A69">
            <w:pPr>
              <w:rPr>
                <w:rFonts w:cs="Arial"/>
              </w:rPr>
            </w:pPr>
            <w:r w:rsidRPr="0013271A">
              <w:rPr>
                <w:rFonts w:cs="Arial"/>
              </w:rPr>
              <w:t>2016–17 Audit</w:t>
            </w:r>
          </w:p>
        </w:tc>
        <w:tc>
          <w:tcPr>
            <w:tcW w:w="597"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NA</w:t>
            </w:r>
          </w:p>
        </w:tc>
        <w:tc>
          <w:tcPr>
            <w:tcW w:w="726"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571"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514"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40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640"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52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54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r>
      <w:tr w:rsidR="0021425B" w:rsidRPr="0013271A" w:rsidTr="0013271A">
        <w:tc>
          <w:tcPr>
            <w:tcW w:w="471" w:type="pct"/>
          </w:tcPr>
          <w:p w:rsidR="0021425B" w:rsidRPr="0013271A" w:rsidRDefault="0021425B" w:rsidP="00D36A69">
            <w:pPr>
              <w:rPr>
                <w:rFonts w:cs="Arial"/>
              </w:rPr>
            </w:pPr>
            <w:r w:rsidRPr="0013271A">
              <w:rPr>
                <w:rFonts w:cs="Arial"/>
              </w:rPr>
              <w:t>2017–18 Budget</w:t>
            </w:r>
          </w:p>
        </w:tc>
        <w:tc>
          <w:tcPr>
            <w:tcW w:w="597"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$8,182,228</w:t>
            </w:r>
          </w:p>
        </w:tc>
        <w:tc>
          <w:tcPr>
            <w:tcW w:w="726"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$7,765,879</w:t>
            </w:r>
          </w:p>
        </w:tc>
        <w:tc>
          <w:tcPr>
            <w:tcW w:w="571"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$416,349</w:t>
            </w:r>
          </w:p>
        </w:tc>
        <w:tc>
          <w:tcPr>
            <w:tcW w:w="514"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40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640"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90%</w:t>
            </w:r>
          </w:p>
        </w:tc>
        <w:tc>
          <w:tcPr>
            <w:tcW w:w="527"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$416,349</w:t>
            </w:r>
          </w:p>
        </w:tc>
        <w:tc>
          <w:tcPr>
            <w:tcW w:w="54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5.4%</w:t>
            </w:r>
          </w:p>
        </w:tc>
      </w:tr>
      <w:tr w:rsidR="0021425B" w:rsidRPr="0013271A" w:rsidTr="0013271A">
        <w:tc>
          <w:tcPr>
            <w:tcW w:w="471" w:type="pct"/>
          </w:tcPr>
          <w:p w:rsidR="0021425B" w:rsidRPr="0013271A" w:rsidRDefault="0021425B" w:rsidP="00D36A69">
            <w:pPr>
              <w:rPr>
                <w:rFonts w:cs="Arial"/>
              </w:rPr>
            </w:pPr>
            <w:r w:rsidRPr="0013271A">
              <w:rPr>
                <w:rFonts w:cs="Arial"/>
              </w:rPr>
              <w:t>2017–18 2nd Interim</w:t>
            </w:r>
          </w:p>
        </w:tc>
        <w:tc>
          <w:tcPr>
            <w:tcW w:w="597"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$7,659,546</w:t>
            </w:r>
          </w:p>
        </w:tc>
        <w:tc>
          <w:tcPr>
            <w:tcW w:w="726"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$7,613,105</w:t>
            </w:r>
          </w:p>
        </w:tc>
        <w:tc>
          <w:tcPr>
            <w:tcW w:w="571"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$46,441</w:t>
            </w:r>
          </w:p>
        </w:tc>
        <w:tc>
          <w:tcPr>
            <w:tcW w:w="514"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tc>
        <w:tc>
          <w:tcPr>
            <w:tcW w:w="40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NA</w:t>
            </w:r>
          </w:p>
          <w:p w:rsidR="0021425B" w:rsidRPr="0013271A" w:rsidRDefault="0021425B" w:rsidP="00D36A69">
            <w:pPr>
              <w:jc w:val="center"/>
              <w:rPr>
                <w:rFonts w:cs="Arial"/>
              </w:rPr>
            </w:pPr>
          </w:p>
        </w:tc>
        <w:tc>
          <w:tcPr>
            <w:tcW w:w="640" w:type="pct"/>
          </w:tcPr>
          <w:p w:rsidR="0021425B" w:rsidRPr="0013271A" w:rsidRDefault="0021425B" w:rsidP="00D36A69">
            <w:pPr>
              <w:jc w:val="center"/>
              <w:rPr>
                <w:rFonts w:cs="Arial"/>
              </w:rPr>
            </w:pPr>
          </w:p>
          <w:p w:rsidR="0021425B" w:rsidRPr="0013271A" w:rsidRDefault="008C45FE" w:rsidP="00D36A69">
            <w:pPr>
              <w:jc w:val="center"/>
              <w:rPr>
                <w:rFonts w:cs="Arial"/>
                <w:color w:val="FF0000"/>
              </w:rPr>
            </w:pPr>
            <w:r w:rsidRPr="0013271A">
              <w:rPr>
                <w:rFonts w:cs="Arial"/>
              </w:rPr>
              <w:t>94.26%</w:t>
            </w:r>
          </w:p>
        </w:tc>
        <w:tc>
          <w:tcPr>
            <w:tcW w:w="527" w:type="pct"/>
          </w:tcPr>
          <w:p w:rsidR="0021425B" w:rsidRPr="0013271A" w:rsidRDefault="0021425B" w:rsidP="00D36A69">
            <w:pPr>
              <w:jc w:val="center"/>
              <w:rPr>
                <w:rFonts w:cs="Arial"/>
              </w:rPr>
            </w:pPr>
          </w:p>
          <w:p w:rsidR="0021425B" w:rsidRPr="0013271A" w:rsidRDefault="0021425B" w:rsidP="0021425B">
            <w:pPr>
              <w:jc w:val="center"/>
              <w:rPr>
                <w:rFonts w:cs="Arial"/>
              </w:rPr>
            </w:pPr>
            <w:r w:rsidRPr="0013271A">
              <w:rPr>
                <w:rFonts w:cs="Arial"/>
              </w:rPr>
              <w:t>$46,441</w:t>
            </w:r>
          </w:p>
        </w:tc>
        <w:tc>
          <w:tcPr>
            <w:tcW w:w="547" w:type="pct"/>
          </w:tcPr>
          <w:p w:rsidR="0021425B" w:rsidRPr="0013271A" w:rsidRDefault="0021425B" w:rsidP="00D36A69">
            <w:pPr>
              <w:jc w:val="center"/>
              <w:rPr>
                <w:rFonts w:cs="Arial"/>
              </w:rPr>
            </w:pPr>
          </w:p>
          <w:p w:rsidR="0021425B" w:rsidRPr="0013271A" w:rsidRDefault="0021425B" w:rsidP="00D36A69">
            <w:pPr>
              <w:jc w:val="center"/>
              <w:rPr>
                <w:rFonts w:cs="Arial"/>
              </w:rPr>
            </w:pPr>
            <w:r w:rsidRPr="0013271A">
              <w:rPr>
                <w:rFonts w:cs="Arial"/>
              </w:rPr>
              <w:t>0.6%</w:t>
            </w:r>
          </w:p>
        </w:tc>
      </w:tr>
    </w:tbl>
    <w:p w:rsidR="0013271A" w:rsidRDefault="0013271A" w:rsidP="00C21802">
      <w:pPr>
        <w:ind w:firstLine="720"/>
        <w:rPr>
          <w:sz w:val="16"/>
          <w:szCs w:val="16"/>
        </w:rPr>
        <w:sectPr w:rsidR="0013271A" w:rsidSect="0013271A">
          <w:pgSz w:w="15840" w:h="12240" w:orient="landscape"/>
          <w:pgMar w:top="1440" w:right="720" w:bottom="1440" w:left="1440" w:header="720" w:footer="720" w:gutter="0"/>
          <w:cols w:space="720"/>
          <w:docGrid w:linePitch="326"/>
        </w:sectPr>
      </w:pPr>
    </w:p>
    <w:p w:rsidR="0000439B" w:rsidRDefault="0000439B" w:rsidP="00A75084">
      <w:pPr>
        <w:pStyle w:val="Heading2"/>
      </w:pPr>
      <w:r>
        <w:lastRenderedPageBreak/>
        <w:t>Poor Financial Condition</w:t>
      </w:r>
    </w:p>
    <w:p w:rsidR="0000439B" w:rsidRDefault="0000439B" w:rsidP="00AE7DCD">
      <w:pPr>
        <w:spacing w:after="100" w:afterAutospacing="1"/>
        <w:rPr>
          <w:rFonts w:cs="Arial"/>
        </w:rPr>
      </w:pPr>
      <w:r>
        <w:rPr>
          <w:rFonts w:cs="Arial"/>
        </w:rPr>
        <w:t>C</w:t>
      </w:r>
      <w:r w:rsidRPr="00BC16C2">
        <w:rPr>
          <w:rFonts w:cs="Arial"/>
        </w:rPr>
        <w:t>harter school</w:t>
      </w:r>
      <w:r>
        <w:rPr>
          <w:rFonts w:cs="Arial"/>
        </w:rPr>
        <w:t>s</w:t>
      </w:r>
      <w:r w:rsidRPr="00BC16C2">
        <w:rPr>
          <w:rFonts w:cs="Arial"/>
        </w:rPr>
        <w:t xml:space="preserve"> in poor financial condition </w:t>
      </w:r>
      <w:r>
        <w:rPr>
          <w:rFonts w:cs="Arial"/>
        </w:rPr>
        <w:t>are</w:t>
      </w:r>
      <w:r w:rsidRPr="00BC16C2">
        <w:rPr>
          <w:rFonts w:cs="Arial"/>
        </w:rPr>
        <w:t xml:space="preserve"> in danger of jeopardizing </w:t>
      </w:r>
      <w:r>
        <w:rPr>
          <w:rFonts w:cs="Arial"/>
        </w:rPr>
        <w:t>their</w:t>
      </w:r>
      <w:r w:rsidRPr="00BC16C2">
        <w:rPr>
          <w:rFonts w:cs="Arial"/>
        </w:rPr>
        <w:t xml:space="preserve"> fiscal operations going forward. Timely and appropriate action by the charter school</w:t>
      </w:r>
      <w:r>
        <w:rPr>
          <w:rFonts w:cs="Arial"/>
        </w:rPr>
        <w:t>’s Board is</w:t>
      </w:r>
      <w:r w:rsidRPr="00BC16C2">
        <w:rPr>
          <w:rFonts w:cs="Arial"/>
        </w:rPr>
        <w:t xml:space="preserve"> critical in addressing and mitigating the serious decline in financial condition. Specifically, </w:t>
      </w:r>
      <w:r>
        <w:rPr>
          <w:rFonts w:cs="Arial"/>
        </w:rPr>
        <w:t xml:space="preserve">charter schools in poor financial condition may have a </w:t>
      </w:r>
      <w:r w:rsidRPr="00BC16C2">
        <w:rPr>
          <w:rFonts w:cs="Arial"/>
        </w:rPr>
        <w:t>negative fund balance</w:t>
      </w:r>
      <w:r>
        <w:rPr>
          <w:rFonts w:cs="Arial"/>
        </w:rPr>
        <w:t xml:space="preserve">, no reserves, an inadequate cash balance, and a high debt level. </w:t>
      </w:r>
      <w:r w:rsidRPr="00BC16C2">
        <w:rPr>
          <w:rFonts w:cs="Arial"/>
        </w:rPr>
        <w:t xml:space="preserve">The </w:t>
      </w:r>
      <w:r>
        <w:rPr>
          <w:rFonts w:cs="Arial"/>
        </w:rPr>
        <w:t xml:space="preserve">SBE-authorized </w:t>
      </w:r>
      <w:r w:rsidRPr="00BC16C2">
        <w:rPr>
          <w:rFonts w:cs="Arial"/>
        </w:rPr>
        <w:t>charter school</w:t>
      </w:r>
      <w:r>
        <w:rPr>
          <w:rFonts w:cs="Arial"/>
        </w:rPr>
        <w:t>s in poor financial condition are:</w:t>
      </w:r>
    </w:p>
    <w:p w:rsidR="00861A80" w:rsidRPr="00861A80" w:rsidRDefault="0000439B" w:rsidP="00861A80">
      <w:pPr>
        <w:pStyle w:val="ListParagraph"/>
        <w:numPr>
          <w:ilvl w:val="0"/>
          <w:numId w:val="2"/>
        </w:numPr>
        <w:shd w:val="clear" w:color="auto" w:fill="FFFFFF"/>
        <w:ind w:left="360" w:firstLine="0"/>
      </w:pPr>
      <w:r w:rsidRPr="0000439B">
        <w:rPr>
          <w:rFonts w:cs="Arial"/>
          <w:color w:val="000000"/>
        </w:rPr>
        <w:t xml:space="preserve">Academia </w:t>
      </w:r>
      <w:proofErr w:type="spellStart"/>
      <w:r w:rsidRPr="0000439B">
        <w:rPr>
          <w:rFonts w:cs="Arial"/>
          <w:color w:val="000000"/>
        </w:rPr>
        <w:t>Avance</w:t>
      </w:r>
      <w:proofErr w:type="spellEnd"/>
      <w:r w:rsidRPr="0000439B">
        <w:rPr>
          <w:rFonts w:cs="Arial"/>
          <w:color w:val="000000"/>
        </w:rPr>
        <w:t xml:space="preserve"> Charter</w:t>
      </w:r>
    </w:p>
    <w:p w:rsidR="00861A80" w:rsidRPr="00861A80" w:rsidRDefault="0000439B" w:rsidP="00861A80">
      <w:pPr>
        <w:pStyle w:val="ListParagraph"/>
        <w:numPr>
          <w:ilvl w:val="0"/>
          <w:numId w:val="2"/>
        </w:numPr>
        <w:shd w:val="clear" w:color="auto" w:fill="FFFFFF"/>
        <w:ind w:left="360" w:firstLine="0"/>
      </w:pPr>
      <w:r w:rsidRPr="00861A80">
        <w:rPr>
          <w:rFonts w:cs="Arial"/>
          <w:color w:val="000000"/>
        </w:rPr>
        <w:t xml:space="preserve">Celerity </w:t>
      </w:r>
      <w:proofErr w:type="spellStart"/>
      <w:r w:rsidRPr="00861A80">
        <w:rPr>
          <w:rFonts w:cs="Arial"/>
          <w:color w:val="000000"/>
        </w:rPr>
        <w:t>Rolas</w:t>
      </w:r>
      <w:proofErr w:type="spellEnd"/>
      <w:r w:rsidRPr="00861A80">
        <w:rPr>
          <w:rFonts w:cs="Arial"/>
          <w:color w:val="000000"/>
        </w:rPr>
        <w:t xml:space="preserve"> Charter School</w:t>
      </w:r>
    </w:p>
    <w:p w:rsidR="00861A80" w:rsidRPr="00861A80" w:rsidRDefault="0000439B" w:rsidP="00861A80">
      <w:pPr>
        <w:pStyle w:val="ListParagraph"/>
        <w:numPr>
          <w:ilvl w:val="0"/>
          <w:numId w:val="2"/>
        </w:numPr>
        <w:shd w:val="clear" w:color="auto" w:fill="FFFFFF"/>
        <w:ind w:left="360" w:firstLine="0"/>
      </w:pPr>
      <w:r w:rsidRPr="00861A80">
        <w:rPr>
          <w:rFonts w:cs="Arial"/>
          <w:color w:val="000000"/>
        </w:rPr>
        <w:t>Paramount Collegiate Academy</w:t>
      </w:r>
    </w:p>
    <w:p w:rsidR="00861A80" w:rsidRPr="00861A80" w:rsidRDefault="0000439B" w:rsidP="00861A80">
      <w:pPr>
        <w:pStyle w:val="ListParagraph"/>
        <w:numPr>
          <w:ilvl w:val="0"/>
          <w:numId w:val="2"/>
        </w:numPr>
        <w:shd w:val="clear" w:color="auto" w:fill="FFFFFF"/>
        <w:ind w:left="360" w:firstLine="0"/>
      </w:pPr>
      <w:proofErr w:type="spellStart"/>
      <w:r w:rsidRPr="00861A80">
        <w:rPr>
          <w:rFonts w:cs="Arial"/>
          <w:color w:val="000000"/>
        </w:rPr>
        <w:t>Prepa</w:t>
      </w:r>
      <w:proofErr w:type="spellEnd"/>
      <w:r w:rsidRPr="00861A80">
        <w:rPr>
          <w:rFonts w:cs="Arial"/>
          <w:color w:val="000000"/>
        </w:rPr>
        <w:t xml:space="preserve"> Tec Los Angeles High</w:t>
      </w:r>
    </w:p>
    <w:p w:rsidR="0000439B" w:rsidRPr="00C21802" w:rsidRDefault="0000439B" w:rsidP="003D35FD">
      <w:pPr>
        <w:pStyle w:val="ListParagraph"/>
        <w:numPr>
          <w:ilvl w:val="0"/>
          <w:numId w:val="2"/>
        </w:numPr>
        <w:shd w:val="clear" w:color="auto" w:fill="FFFFFF"/>
        <w:spacing w:after="100" w:afterAutospacing="1"/>
        <w:ind w:left="360" w:firstLine="0"/>
      </w:pPr>
      <w:proofErr w:type="spellStart"/>
      <w:r w:rsidRPr="00861A80">
        <w:rPr>
          <w:rFonts w:cs="Arial"/>
          <w:color w:val="000000"/>
        </w:rPr>
        <w:t>Rocketship</w:t>
      </w:r>
      <w:proofErr w:type="spellEnd"/>
      <w:r w:rsidRPr="00861A80">
        <w:rPr>
          <w:rFonts w:cs="Arial"/>
          <w:color w:val="000000"/>
        </w:rPr>
        <w:t xml:space="preserve"> </w:t>
      </w:r>
      <w:proofErr w:type="spellStart"/>
      <w:r w:rsidRPr="00861A80">
        <w:rPr>
          <w:rFonts w:cs="Arial"/>
          <w:color w:val="000000"/>
        </w:rPr>
        <w:t>Futuro</w:t>
      </w:r>
      <w:proofErr w:type="spellEnd"/>
      <w:r w:rsidRPr="00861A80">
        <w:rPr>
          <w:rFonts w:cs="Arial"/>
          <w:color w:val="000000"/>
        </w:rPr>
        <w:t xml:space="preserve"> Academy</w:t>
      </w:r>
    </w:p>
    <w:p w:rsidR="00AE7DCD" w:rsidRDefault="00AE7DCD" w:rsidP="000B491B">
      <w:pPr>
        <w:pStyle w:val="Heading3"/>
      </w:pPr>
      <w:r>
        <w:t xml:space="preserve">Academia </w:t>
      </w:r>
      <w:proofErr w:type="spellStart"/>
      <w:r>
        <w:t>Avance</w:t>
      </w:r>
      <w:proofErr w:type="spellEnd"/>
      <w:r>
        <w:t xml:space="preserve"> Charter</w:t>
      </w:r>
    </w:p>
    <w:p w:rsidR="00AE7DCD" w:rsidRDefault="0000439B" w:rsidP="00AE7DCD">
      <w:pPr>
        <w:pStyle w:val="ListParagraph"/>
        <w:numPr>
          <w:ilvl w:val="0"/>
          <w:numId w:val="7"/>
        </w:numPr>
      </w:pPr>
      <w:r>
        <w:t>Charter Term Expires: 6/30/2020</w:t>
      </w:r>
    </w:p>
    <w:p w:rsidR="0000439B" w:rsidRDefault="0000439B" w:rsidP="00AE7DCD">
      <w:pPr>
        <w:pStyle w:val="ListParagraph"/>
        <w:numPr>
          <w:ilvl w:val="0"/>
          <w:numId w:val="7"/>
        </w:numPr>
      </w:pPr>
      <w:r>
        <w:t>Grades Authorized to Serve: 6–12</w:t>
      </w:r>
    </w:p>
    <w:p w:rsidR="00AE7DCD" w:rsidRDefault="006E4313" w:rsidP="00AE7DCD">
      <w:pPr>
        <w:pStyle w:val="ListParagraph"/>
        <w:numPr>
          <w:ilvl w:val="0"/>
          <w:numId w:val="7"/>
        </w:numPr>
      </w:pPr>
      <w:r>
        <w:t>2016–17 P-</w:t>
      </w:r>
      <w:r w:rsidR="00AE7DCD">
        <w:t>2 ADA: 387.05</w:t>
      </w:r>
    </w:p>
    <w:p w:rsidR="00AE7DCD" w:rsidRDefault="006E4313" w:rsidP="006E4313">
      <w:pPr>
        <w:pStyle w:val="ListParagraph"/>
        <w:numPr>
          <w:ilvl w:val="0"/>
          <w:numId w:val="7"/>
        </w:numPr>
        <w:spacing w:after="100" w:afterAutospacing="1"/>
      </w:pPr>
      <w:r>
        <w:t>2017–18 P-</w:t>
      </w:r>
      <w:r w:rsidR="00EF3B2C">
        <w:t xml:space="preserve">2 ADA: </w:t>
      </w:r>
      <w:r w:rsidR="00F04B97">
        <w:t>382.41</w:t>
      </w:r>
    </w:p>
    <w:p w:rsidR="0000439B" w:rsidRDefault="0000439B" w:rsidP="004206BB">
      <w:pPr>
        <w:pStyle w:val="Heading4"/>
      </w:pPr>
      <w:r>
        <w:t>Fiscal Concerns</w:t>
      </w:r>
    </w:p>
    <w:p w:rsidR="0000439B" w:rsidRDefault="0000439B" w:rsidP="0000439B">
      <w:r>
        <w:t xml:space="preserve">Academia </w:t>
      </w:r>
      <w:proofErr w:type="spellStart"/>
      <w:r>
        <w:t>Avance</w:t>
      </w:r>
      <w:proofErr w:type="spellEnd"/>
      <w:r>
        <w:t xml:space="preserve"> Charter’s (AAC’s) second interim report indicates that AAC is </w:t>
      </w:r>
      <w:r>
        <w:tab/>
      </w:r>
    </w:p>
    <w:p w:rsidR="0000439B" w:rsidRDefault="0000439B" w:rsidP="00D43FB8">
      <w:pPr>
        <w:spacing w:after="100" w:afterAutospacing="1"/>
      </w:pPr>
      <w:proofErr w:type="gramStart"/>
      <w:r>
        <w:t>projecting</w:t>
      </w:r>
      <w:proofErr w:type="gramEnd"/>
      <w:r>
        <w:t xml:space="preserve"> a negative ending fund balance of $204,262 with a zero percent reserve </w:t>
      </w:r>
      <w:r w:rsidR="006E4313">
        <w:t>for FY</w:t>
      </w:r>
      <w:r>
        <w:t xml:space="preserve"> 2017–18, which is below the recommended five percent in reserves outlined in the MOU between AAC and the </w:t>
      </w:r>
      <w:r w:rsidR="00EF3B2C">
        <w:t>S</w:t>
      </w:r>
      <w:r>
        <w:t>BE. In addition, the CDE also notes that as of January 31, 2017, AAC owes $370,164 in outstanding vendor bills, of which $143,338 are overdue more than 90 days. The CDE als</w:t>
      </w:r>
      <w:r w:rsidR="00EF3B2C">
        <w:t>o notes that AAC’s net assets were</w:t>
      </w:r>
      <w:r>
        <w:t xml:space="preserve"> negative $732,518 as of January 31, 2018, which was mainly due to the sale of </w:t>
      </w:r>
      <w:r w:rsidR="006E4313">
        <w:t xml:space="preserve">the </w:t>
      </w:r>
      <w:r>
        <w:t>remaining 24 percent of City Terrace, LLC in the amount of $842,841 on July 9, 2017. The AAC debt ratio increase</w:t>
      </w:r>
      <w:r w:rsidR="00EF3B2C">
        <w:t xml:space="preserve">d to 1.63; therefore, </w:t>
      </w:r>
      <w:r>
        <w:t xml:space="preserve">AAC’s total liabilities </w:t>
      </w:r>
      <w:r w:rsidR="00EF3B2C">
        <w:t>wer</w:t>
      </w:r>
      <w:r>
        <w:t>e more than one and a half times the value of its total assets. The AAC working capital ratio would drop to 0.22, which means A</w:t>
      </w:r>
      <w:r w:rsidR="00EF3B2C">
        <w:t>AC’s available current assets wer</w:t>
      </w:r>
      <w:r w:rsidR="006E4313">
        <w:t>e inadequate as it</w:t>
      </w:r>
      <w:r>
        <w:t xml:space="preserve"> has less than one-fourth of w</w:t>
      </w:r>
      <w:r w:rsidR="00861A80">
        <w:t>hat</w:t>
      </w:r>
      <w:r>
        <w:t xml:space="preserve"> is needed to pay current obligations due. The proje</w:t>
      </w:r>
      <w:r w:rsidR="00EF3B2C">
        <w:t xml:space="preserve">cted ending cash balance was $5,258 at the end of FY 2017–18 with </w:t>
      </w:r>
      <w:r w:rsidR="000E5069">
        <w:t xml:space="preserve">cash </w:t>
      </w:r>
      <w:r w:rsidR="00EF3B2C">
        <w:t>reserves of 0.1 percent,</w:t>
      </w:r>
      <w:r>
        <w:t xml:space="preserve"> which </w:t>
      </w:r>
      <w:r w:rsidR="00EF3B2C">
        <w:t>wa</w:t>
      </w:r>
      <w:r>
        <w:t xml:space="preserve">s also below the recommended five percent in reserves </w:t>
      </w:r>
      <w:r w:rsidR="00EF3B2C">
        <w:t>and resulted in</w:t>
      </w:r>
      <w:r>
        <w:t xml:space="preserve"> AAC</w:t>
      </w:r>
      <w:r w:rsidR="00EF3B2C">
        <w:t xml:space="preserve">’s </w:t>
      </w:r>
      <w:r>
        <w:t xml:space="preserve">low liquidity. </w:t>
      </w:r>
      <w:r w:rsidR="00EF3B2C">
        <w:t xml:space="preserve">CDE </w:t>
      </w:r>
      <w:r>
        <w:t>issued</w:t>
      </w:r>
      <w:r w:rsidR="00EF3B2C">
        <w:t xml:space="preserve"> the AAC Board</w:t>
      </w:r>
      <w:r>
        <w:t xml:space="preserve"> an August 8, 2017, Letter of Concern Regarding 2015–16 Independent Audit Report Financial Statement Findings of cash receipts and cash disbursements. T</w:t>
      </w:r>
      <w:r w:rsidR="00BE5A48">
        <w:t>o date the CDE</w:t>
      </w:r>
      <w:r>
        <w:t xml:space="preserve"> finds the AAC Board has not taken the 2015–16 Audit Findings under consideration nor has AAC responded to CDE’s request for the updated detailed internal control policy for both cash receipts and cash disbursements. </w:t>
      </w:r>
      <w:r w:rsidR="00F70704">
        <w:t xml:space="preserve">In </w:t>
      </w:r>
      <w:r w:rsidR="00F70704">
        <w:lastRenderedPageBreak/>
        <w:t xml:space="preserve">reviewing the 2016–17 audit, the </w:t>
      </w:r>
      <w:r>
        <w:t>CDE has fiscal concerns over one financial statement finding of contracts and two state award findings of</w:t>
      </w:r>
      <w:r w:rsidRPr="00995D1D">
        <w:t xml:space="preserve"> </w:t>
      </w:r>
      <w:r>
        <w:t>weekly teacher certifications and questionable expenses in FY 2016–17</w:t>
      </w:r>
      <w:r w:rsidR="006E4313">
        <w:t>,</w:t>
      </w:r>
      <w:r>
        <w:t xml:space="preserve"> in addition to the repeated findings of cash receipts and cash disbursements. </w:t>
      </w:r>
    </w:p>
    <w:p w:rsidR="00D43FB8" w:rsidRDefault="00D43FB8" w:rsidP="004206BB">
      <w:pPr>
        <w:pStyle w:val="Heading4"/>
      </w:pPr>
      <w:r>
        <w:t>California Department of Education Follow-Up</w:t>
      </w:r>
    </w:p>
    <w:p w:rsidR="00D43FB8" w:rsidRDefault="00D43FB8" w:rsidP="00D43FB8">
      <w:r>
        <w:t>On June 5, 2018, the CDE had a conference call with AAC regarding the fiscal concerns of a negative ending fund balance with a zero percent reserve on the 2017–18 second interim report. On July 2, 2018, the CDE issued a Letter of Concern regarding the fiscal operation of AAC to the AAC Board identifying the fiscal concerns regarding the negative ending fund balance with a zero percent reserve on the 2017–18 second interim report and requested a</w:t>
      </w:r>
      <w:r w:rsidR="006E4313">
        <w:t xml:space="preserve"> FCAP</w:t>
      </w:r>
      <w:r>
        <w:t xml:space="preserve"> to address these concerns to be submitted to the CDE by July 23, 2018. In addition, the CDE identified the fiscal concerns regarding the financial statement findings and state award findings on the 2016–17 independent audit report, and requested that the AAC Board provide the updated internal control policy for cash receipts, cash disbursements, contracts, and teacher certifications of attendance requirements, and how the exceptions and deficiencies have been, or will be</w:t>
      </w:r>
      <w:r w:rsidR="006E4313">
        <w:t>,</w:t>
      </w:r>
      <w:r>
        <w:t xml:space="preserve"> resolved. </w:t>
      </w:r>
    </w:p>
    <w:p w:rsidR="00D43FB8" w:rsidRDefault="00D43FB8" w:rsidP="00AE7DCD"/>
    <w:p w:rsidR="00AE7DCD" w:rsidRDefault="00AE7DCD" w:rsidP="00AE7DCD">
      <w:pPr>
        <w:sectPr w:rsidR="00AE7DCD" w:rsidSect="00057A96">
          <w:type w:val="continuous"/>
          <w:pgSz w:w="12240" w:h="15840"/>
          <w:pgMar w:top="720" w:right="1440" w:bottom="1440" w:left="1440" w:header="720" w:footer="720" w:gutter="0"/>
          <w:cols w:space="720"/>
        </w:sectPr>
      </w:pPr>
    </w:p>
    <w:p w:rsidR="00AE7DCD" w:rsidRDefault="00AE7DCD" w:rsidP="00F147CD">
      <w:pPr>
        <w:pStyle w:val="Heading2"/>
        <w:sectPr w:rsidR="00AE7DCD" w:rsidSect="00057A96">
          <w:type w:val="continuous"/>
          <w:pgSz w:w="12240" w:h="15840"/>
          <w:pgMar w:top="720" w:right="1440" w:bottom="1440" w:left="1440" w:header="720" w:footer="720" w:gutter="0"/>
          <w:cols w:space="720"/>
        </w:sectPr>
      </w:pPr>
    </w:p>
    <w:p w:rsidR="0000439B" w:rsidRPr="00D43FB8" w:rsidRDefault="00D43FB8" w:rsidP="00D43FB8">
      <w:pPr>
        <w:spacing w:after="100" w:afterAutospacing="1"/>
        <w:rPr>
          <w:b/>
        </w:rPr>
      </w:pPr>
      <w:r w:rsidRPr="00D43FB8">
        <w:rPr>
          <w:b/>
        </w:rPr>
        <w:lastRenderedPageBreak/>
        <w:t xml:space="preserve">AAC </w:t>
      </w:r>
      <w:r w:rsidR="0000439B" w:rsidRPr="00D43FB8">
        <w:rPr>
          <w:b/>
        </w:rPr>
        <w:t>Financial Highlights</w:t>
      </w:r>
    </w:p>
    <w:tbl>
      <w:tblPr>
        <w:tblStyle w:val="TableGrid"/>
        <w:tblW w:w="5000" w:type="pct"/>
        <w:tblLook w:val="04A0" w:firstRow="1" w:lastRow="0" w:firstColumn="1" w:lastColumn="0" w:noHBand="0" w:noVBand="1"/>
        <w:tblCaption w:val="Financial Highlights"/>
        <w:tblDescription w:val="Financial Highlights"/>
      </w:tblPr>
      <w:tblGrid>
        <w:gridCol w:w="1201"/>
        <w:gridCol w:w="1651"/>
        <w:gridCol w:w="2023"/>
        <w:gridCol w:w="1605"/>
        <w:gridCol w:w="1370"/>
        <w:gridCol w:w="951"/>
        <w:gridCol w:w="1774"/>
        <w:gridCol w:w="1605"/>
        <w:gridCol w:w="1490"/>
      </w:tblGrid>
      <w:tr w:rsidR="0000439B" w:rsidRPr="00AE7DCD" w:rsidTr="00D43FB8">
        <w:trPr>
          <w:tblHeader/>
        </w:trPr>
        <w:tc>
          <w:tcPr>
            <w:tcW w:w="439" w:type="pct"/>
          </w:tcPr>
          <w:p w:rsidR="0000439B" w:rsidRPr="00AE7DCD" w:rsidRDefault="0000439B" w:rsidP="00D36A69">
            <w:pPr>
              <w:jc w:val="center"/>
              <w:rPr>
                <w:rFonts w:cs="Arial"/>
                <w:b/>
              </w:rPr>
            </w:pPr>
            <w:r w:rsidRPr="00AE7DCD">
              <w:rPr>
                <w:rFonts w:cs="Arial"/>
                <w:b/>
              </w:rPr>
              <w:t>FY / Source</w:t>
            </w:r>
          </w:p>
        </w:tc>
        <w:tc>
          <w:tcPr>
            <w:tcW w:w="604" w:type="pct"/>
          </w:tcPr>
          <w:p w:rsidR="0000439B" w:rsidRPr="00AE7DCD" w:rsidRDefault="0000439B" w:rsidP="00D36A69">
            <w:pPr>
              <w:jc w:val="center"/>
              <w:rPr>
                <w:rFonts w:cs="Arial"/>
                <w:b/>
              </w:rPr>
            </w:pPr>
            <w:r w:rsidRPr="00AE7DCD">
              <w:rPr>
                <w:rFonts w:cs="Arial"/>
                <w:b/>
              </w:rPr>
              <w:t>Total Revenues</w:t>
            </w:r>
          </w:p>
        </w:tc>
        <w:tc>
          <w:tcPr>
            <w:tcW w:w="740" w:type="pct"/>
          </w:tcPr>
          <w:p w:rsidR="0000439B" w:rsidRPr="00AE7DCD" w:rsidRDefault="0000439B" w:rsidP="00D36A69">
            <w:pPr>
              <w:jc w:val="center"/>
              <w:rPr>
                <w:rFonts w:cs="Arial"/>
                <w:b/>
              </w:rPr>
            </w:pPr>
            <w:r w:rsidRPr="00AE7DCD">
              <w:rPr>
                <w:rFonts w:cs="Arial"/>
                <w:b/>
              </w:rPr>
              <w:t>Total Expenditures</w:t>
            </w:r>
          </w:p>
        </w:tc>
        <w:tc>
          <w:tcPr>
            <w:tcW w:w="587" w:type="pct"/>
          </w:tcPr>
          <w:p w:rsidR="0000439B" w:rsidRPr="00AE7DCD" w:rsidRDefault="0000439B" w:rsidP="00D36A69">
            <w:pPr>
              <w:jc w:val="center"/>
              <w:rPr>
                <w:rFonts w:cs="Arial"/>
                <w:b/>
              </w:rPr>
            </w:pPr>
            <w:r w:rsidRPr="00AE7DCD">
              <w:rPr>
                <w:rFonts w:cs="Arial"/>
                <w:b/>
              </w:rPr>
              <w:t>Net Operating Surplus (Deficit)</w:t>
            </w:r>
          </w:p>
        </w:tc>
        <w:tc>
          <w:tcPr>
            <w:tcW w:w="501" w:type="pct"/>
          </w:tcPr>
          <w:p w:rsidR="0000439B" w:rsidRPr="00AE7DCD" w:rsidRDefault="0000439B" w:rsidP="00D36A69">
            <w:pPr>
              <w:jc w:val="center"/>
              <w:rPr>
                <w:rFonts w:cs="Arial"/>
                <w:b/>
              </w:rPr>
            </w:pPr>
            <w:r w:rsidRPr="00AE7DCD">
              <w:rPr>
                <w:rFonts w:cs="Arial"/>
                <w:b/>
              </w:rPr>
              <w:t>Working Capital Ratio</w:t>
            </w:r>
          </w:p>
        </w:tc>
        <w:tc>
          <w:tcPr>
            <w:tcW w:w="348" w:type="pct"/>
          </w:tcPr>
          <w:p w:rsidR="0000439B" w:rsidRPr="00AE7DCD" w:rsidRDefault="0000439B" w:rsidP="00D36A69">
            <w:pPr>
              <w:jc w:val="center"/>
              <w:rPr>
                <w:rFonts w:cs="Arial"/>
                <w:b/>
              </w:rPr>
            </w:pPr>
            <w:r w:rsidRPr="00AE7DCD">
              <w:rPr>
                <w:rFonts w:cs="Arial"/>
                <w:b/>
              </w:rPr>
              <w:t>Debt Ratio</w:t>
            </w:r>
          </w:p>
        </w:tc>
        <w:tc>
          <w:tcPr>
            <w:tcW w:w="649" w:type="pct"/>
          </w:tcPr>
          <w:p w:rsidR="0000439B" w:rsidRPr="00AE7DCD" w:rsidRDefault="0000439B" w:rsidP="00D36A69">
            <w:pPr>
              <w:jc w:val="center"/>
              <w:rPr>
                <w:rFonts w:cs="Arial"/>
                <w:b/>
              </w:rPr>
            </w:pPr>
            <w:r w:rsidRPr="00AE7DCD">
              <w:rPr>
                <w:rFonts w:cs="Arial"/>
                <w:b/>
              </w:rPr>
              <w:t>Attendance Ratio</w:t>
            </w:r>
          </w:p>
        </w:tc>
        <w:tc>
          <w:tcPr>
            <w:tcW w:w="587" w:type="pct"/>
          </w:tcPr>
          <w:p w:rsidR="0000439B" w:rsidRPr="00AE7DCD" w:rsidRDefault="0000439B" w:rsidP="00D36A69">
            <w:pPr>
              <w:jc w:val="center"/>
              <w:rPr>
                <w:rFonts w:cs="Arial"/>
                <w:b/>
              </w:rPr>
            </w:pPr>
            <w:r w:rsidRPr="00AE7DCD">
              <w:rPr>
                <w:rFonts w:cs="Arial"/>
                <w:b/>
              </w:rPr>
              <w:t>Ending Fund Balance</w:t>
            </w:r>
          </w:p>
        </w:tc>
        <w:tc>
          <w:tcPr>
            <w:tcW w:w="545" w:type="pct"/>
          </w:tcPr>
          <w:p w:rsidR="0000439B" w:rsidRPr="00AE7DCD" w:rsidRDefault="0000439B" w:rsidP="00D36A69">
            <w:pPr>
              <w:jc w:val="center"/>
              <w:rPr>
                <w:rFonts w:cs="Arial"/>
                <w:b/>
              </w:rPr>
            </w:pPr>
            <w:r w:rsidRPr="00AE7DCD">
              <w:rPr>
                <w:rFonts w:cs="Arial"/>
                <w:b/>
              </w:rPr>
              <w:t>Percent of Reserves</w:t>
            </w:r>
          </w:p>
        </w:tc>
      </w:tr>
      <w:tr w:rsidR="0000439B" w:rsidRPr="00AE7DCD" w:rsidTr="00D43FB8">
        <w:tc>
          <w:tcPr>
            <w:tcW w:w="439" w:type="pct"/>
          </w:tcPr>
          <w:p w:rsidR="0000439B" w:rsidRPr="00AE7DCD" w:rsidRDefault="0000439B" w:rsidP="00D36A69">
            <w:pPr>
              <w:rPr>
                <w:rFonts w:cs="Arial"/>
              </w:rPr>
            </w:pPr>
            <w:r w:rsidRPr="00AE7DCD">
              <w:rPr>
                <w:rFonts w:cs="Arial"/>
              </w:rPr>
              <w:t>2016–17 Audit</w:t>
            </w:r>
          </w:p>
        </w:tc>
        <w:tc>
          <w:tcPr>
            <w:tcW w:w="604"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$6,026,956</w:t>
            </w:r>
          </w:p>
        </w:tc>
        <w:tc>
          <w:tcPr>
            <w:tcW w:w="740"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$6,174,077</w:t>
            </w:r>
          </w:p>
        </w:tc>
        <w:tc>
          <w:tcPr>
            <w:tcW w:w="587"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($147,121)</w:t>
            </w:r>
          </w:p>
        </w:tc>
        <w:tc>
          <w:tcPr>
            <w:tcW w:w="501"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0.55</w:t>
            </w:r>
          </w:p>
        </w:tc>
        <w:tc>
          <w:tcPr>
            <w:tcW w:w="348"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0.84</w:t>
            </w:r>
          </w:p>
        </w:tc>
        <w:tc>
          <w:tcPr>
            <w:tcW w:w="649"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97.5%</w:t>
            </w:r>
          </w:p>
        </w:tc>
        <w:tc>
          <w:tcPr>
            <w:tcW w:w="587"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$386,021</w:t>
            </w:r>
          </w:p>
        </w:tc>
        <w:tc>
          <w:tcPr>
            <w:tcW w:w="545"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6.3%</w:t>
            </w:r>
          </w:p>
        </w:tc>
      </w:tr>
      <w:tr w:rsidR="0000439B" w:rsidRPr="00AE7DCD" w:rsidTr="00D43FB8">
        <w:tc>
          <w:tcPr>
            <w:tcW w:w="439" w:type="pct"/>
          </w:tcPr>
          <w:p w:rsidR="0000439B" w:rsidRPr="00AE7DCD" w:rsidRDefault="0000439B" w:rsidP="00D36A69">
            <w:pPr>
              <w:rPr>
                <w:rFonts w:cs="Arial"/>
              </w:rPr>
            </w:pPr>
            <w:r w:rsidRPr="00AE7DCD">
              <w:rPr>
                <w:rFonts w:cs="Arial"/>
              </w:rPr>
              <w:t>2017–18 Budget</w:t>
            </w:r>
          </w:p>
        </w:tc>
        <w:tc>
          <w:tcPr>
            <w:tcW w:w="604"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$4,224,862</w:t>
            </w:r>
          </w:p>
        </w:tc>
        <w:tc>
          <w:tcPr>
            <w:tcW w:w="740"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$5,000,611</w:t>
            </w:r>
          </w:p>
        </w:tc>
        <w:tc>
          <w:tcPr>
            <w:tcW w:w="587"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($775,749)</w:t>
            </w:r>
          </w:p>
        </w:tc>
        <w:tc>
          <w:tcPr>
            <w:tcW w:w="501"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NA</w:t>
            </w:r>
          </w:p>
        </w:tc>
        <w:tc>
          <w:tcPr>
            <w:tcW w:w="348"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NA</w:t>
            </w:r>
          </w:p>
        </w:tc>
        <w:tc>
          <w:tcPr>
            <w:tcW w:w="649"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95.5%</w:t>
            </w:r>
          </w:p>
        </w:tc>
        <w:tc>
          <w:tcPr>
            <w:tcW w:w="587"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($148,017)</w:t>
            </w:r>
          </w:p>
        </w:tc>
        <w:tc>
          <w:tcPr>
            <w:tcW w:w="545"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0%</w:t>
            </w:r>
          </w:p>
        </w:tc>
      </w:tr>
      <w:tr w:rsidR="0000439B" w:rsidRPr="00AE7DCD" w:rsidTr="00D43FB8">
        <w:tc>
          <w:tcPr>
            <w:tcW w:w="439" w:type="pct"/>
          </w:tcPr>
          <w:p w:rsidR="0000439B" w:rsidRPr="00AE7DCD" w:rsidRDefault="0000439B" w:rsidP="00AE7DCD">
            <w:pPr>
              <w:rPr>
                <w:rFonts w:cs="Arial"/>
              </w:rPr>
            </w:pPr>
            <w:r w:rsidRPr="00AE7DCD">
              <w:rPr>
                <w:rFonts w:cs="Arial"/>
              </w:rPr>
              <w:t>2017–18 2</w:t>
            </w:r>
            <w:r w:rsidR="00AE7DCD" w:rsidRPr="00AE7DCD">
              <w:rPr>
                <w:rFonts w:cs="Arial"/>
              </w:rPr>
              <w:t>nd</w:t>
            </w:r>
            <w:r w:rsidRPr="00AE7DCD">
              <w:rPr>
                <w:rFonts w:cs="Arial"/>
              </w:rPr>
              <w:t xml:space="preserve"> Interim</w:t>
            </w:r>
          </w:p>
        </w:tc>
        <w:tc>
          <w:tcPr>
            <w:tcW w:w="604"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$4,044,380</w:t>
            </w:r>
          </w:p>
        </w:tc>
        <w:tc>
          <w:tcPr>
            <w:tcW w:w="740"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$5,191,961</w:t>
            </w:r>
          </w:p>
        </w:tc>
        <w:tc>
          <w:tcPr>
            <w:tcW w:w="587"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($590,283)</w:t>
            </w:r>
          </w:p>
        </w:tc>
        <w:tc>
          <w:tcPr>
            <w:tcW w:w="501"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NA</w:t>
            </w:r>
          </w:p>
        </w:tc>
        <w:tc>
          <w:tcPr>
            <w:tcW w:w="348"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NA</w:t>
            </w:r>
          </w:p>
          <w:p w:rsidR="0000439B" w:rsidRPr="00AE7DCD" w:rsidRDefault="0000439B" w:rsidP="00D36A69">
            <w:pPr>
              <w:jc w:val="center"/>
              <w:rPr>
                <w:rFonts w:cs="Arial"/>
              </w:rPr>
            </w:pPr>
          </w:p>
        </w:tc>
        <w:tc>
          <w:tcPr>
            <w:tcW w:w="649" w:type="pct"/>
          </w:tcPr>
          <w:p w:rsidR="0000439B" w:rsidRPr="00AE7DCD" w:rsidRDefault="0000439B" w:rsidP="00D36A69">
            <w:pPr>
              <w:jc w:val="center"/>
              <w:rPr>
                <w:rFonts w:cs="Arial"/>
              </w:rPr>
            </w:pPr>
          </w:p>
          <w:p w:rsidR="0000439B" w:rsidRPr="00AE7DCD" w:rsidRDefault="00FD40A5" w:rsidP="00D36A69">
            <w:pPr>
              <w:jc w:val="center"/>
              <w:rPr>
                <w:rFonts w:cs="Arial"/>
                <w:color w:val="FF0000"/>
              </w:rPr>
            </w:pPr>
            <w:r w:rsidRPr="00AE7DCD">
              <w:rPr>
                <w:rFonts w:cs="Arial"/>
              </w:rPr>
              <w:t>98.3%</w:t>
            </w:r>
          </w:p>
        </w:tc>
        <w:tc>
          <w:tcPr>
            <w:tcW w:w="587"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($204,262)</w:t>
            </w:r>
          </w:p>
        </w:tc>
        <w:tc>
          <w:tcPr>
            <w:tcW w:w="545" w:type="pct"/>
          </w:tcPr>
          <w:p w:rsidR="0000439B" w:rsidRPr="00AE7DCD" w:rsidRDefault="0000439B" w:rsidP="00D36A69">
            <w:pPr>
              <w:jc w:val="center"/>
              <w:rPr>
                <w:rFonts w:cs="Arial"/>
              </w:rPr>
            </w:pPr>
          </w:p>
          <w:p w:rsidR="0000439B" w:rsidRPr="00AE7DCD" w:rsidRDefault="0000439B" w:rsidP="00D36A69">
            <w:pPr>
              <w:jc w:val="center"/>
              <w:rPr>
                <w:rFonts w:cs="Arial"/>
              </w:rPr>
            </w:pPr>
            <w:r w:rsidRPr="00AE7DCD">
              <w:rPr>
                <w:rFonts w:cs="Arial"/>
              </w:rPr>
              <w:t>0%</w:t>
            </w:r>
          </w:p>
        </w:tc>
      </w:tr>
    </w:tbl>
    <w:p w:rsidR="0000439B" w:rsidRDefault="0000439B" w:rsidP="0000439B"/>
    <w:p w:rsidR="0000439B" w:rsidRDefault="0000439B" w:rsidP="0000439B">
      <w:pPr>
        <w:ind w:firstLine="720"/>
        <w:rPr>
          <w:sz w:val="16"/>
          <w:szCs w:val="16"/>
        </w:rPr>
      </w:pPr>
    </w:p>
    <w:p w:rsidR="00AE7DCD" w:rsidRDefault="00AE7DCD" w:rsidP="0000439B">
      <w:pPr>
        <w:ind w:firstLine="720"/>
        <w:rPr>
          <w:sz w:val="16"/>
          <w:szCs w:val="16"/>
        </w:rPr>
        <w:sectPr w:rsidR="00AE7DCD" w:rsidSect="00AE7DCD">
          <w:pgSz w:w="15840" w:h="12240" w:orient="landscape"/>
          <w:pgMar w:top="1440" w:right="720" w:bottom="1440" w:left="1440" w:header="720" w:footer="720" w:gutter="0"/>
          <w:cols w:space="720"/>
          <w:docGrid w:linePitch="326"/>
        </w:sectPr>
      </w:pPr>
    </w:p>
    <w:p w:rsidR="00D43FB8" w:rsidRDefault="001D3CFD" w:rsidP="000B491B">
      <w:pPr>
        <w:pStyle w:val="Heading3"/>
      </w:pPr>
      <w:r>
        <w:lastRenderedPageBreak/>
        <w:t xml:space="preserve">Celerity </w:t>
      </w:r>
      <w:proofErr w:type="spellStart"/>
      <w:r>
        <w:t>Rolas</w:t>
      </w:r>
      <w:proofErr w:type="spellEnd"/>
      <w:r>
        <w:t xml:space="preserve"> Charter School</w:t>
      </w:r>
    </w:p>
    <w:p w:rsidR="001D3CFD" w:rsidRDefault="001D3CFD" w:rsidP="00861A80">
      <w:pPr>
        <w:pStyle w:val="ListParagraph"/>
        <w:numPr>
          <w:ilvl w:val="0"/>
          <w:numId w:val="8"/>
        </w:numPr>
        <w:spacing w:after="240"/>
        <w:contextualSpacing w:val="0"/>
      </w:pPr>
      <w:r>
        <w:t>Charter Term Expires: 6/30/2022</w:t>
      </w:r>
    </w:p>
    <w:p w:rsidR="001D3CFD" w:rsidRDefault="001D3CFD" w:rsidP="00861A80">
      <w:pPr>
        <w:pStyle w:val="ListParagraph"/>
        <w:numPr>
          <w:ilvl w:val="0"/>
          <w:numId w:val="8"/>
        </w:numPr>
        <w:spacing w:after="240"/>
        <w:contextualSpacing w:val="0"/>
      </w:pPr>
      <w:r>
        <w:t>Grades Authorized to Serve: K–</w:t>
      </w:r>
      <w:r w:rsidR="0058760F">
        <w:t>8</w:t>
      </w:r>
    </w:p>
    <w:p w:rsidR="001D3CFD" w:rsidRDefault="00F147CD" w:rsidP="00861A80">
      <w:pPr>
        <w:pStyle w:val="ListParagraph"/>
        <w:numPr>
          <w:ilvl w:val="0"/>
          <w:numId w:val="8"/>
        </w:numPr>
        <w:spacing w:after="240"/>
        <w:contextualSpacing w:val="0"/>
      </w:pPr>
      <w:r>
        <w:t>2016–17 P-</w:t>
      </w:r>
      <w:r w:rsidR="001D3CFD">
        <w:t xml:space="preserve">2 ADA: </w:t>
      </w:r>
      <w:r>
        <w:t>NA</w:t>
      </w:r>
      <w:r w:rsidR="001D3CFD">
        <w:t xml:space="preserve">, Celerity </w:t>
      </w:r>
      <w:proofErr w:type="spellStart"/>
      <w:r w:rsidR="001D3CFD">
        <w:t>Rolas</w:t>
      </w:r>
      <w:proofErr w:type="spellEnd"/>
      <w:r w:rsidR="001D3CFD">
        <w:t xml:space="preserve"> Charter School (CRCS) was not in operation</w:t>
      </w:r>
    </w:p>
    <w:p w:rsidR="00D43FB8" w:rsidRDefault="00D43FB8" w:rsidP="00861A80">
      <w:pPr>
        <w:pStyle w:val="ListParagraph"/>
        <w:numPr>
          <w:ilvl w:val="0"/>
          <w:numId w:val="8"/>
        </w:numPr>
        <w:spacing w:after="240"/>
        <w:contextualSpacing w:val="0"/>
      </w:pPr>
      <w:r>
        <w:t>2017–18 P-2 ADA: 286.64</w:t>
      </w:r>
    </w:p>
    <w:p w:rsidR="001D3CFD" w:rsidRDefault="001D3CFD" w:rsidP="004206BB">
      <w:pPr>
        <w:pStyle w:val="Heading4"/>
      </w:pPr>
      <w:r>
        <w:t>Fiscal Concerns</w:t>
      </w:r>
    </w:p>
    <w:p w:rsidR="003321A8" w:rsidRDefault="001D3CFD" w:rsidP="004E2933">
      <w:pPr>
        <w:spacing w:after="100" w:afterAutospacing="1"/>
      </w:pPr>
      <w:r>
        <w:t xml:space="preserve">The </w:t>
      </w:r>
      <w:r w:rsidR="00F70704">
        <w:t xml:space="preserve">CDE found </w:t>
      </w:r>
      <w:r>
        <w:t>CRCS</w:t>
      </w:r>
      <w:r w:rsidR="0058760F">
        <w:t>’</w:t>
      </w:r>
      <w:r w:rsidR="00F70704">
        <w:t xml:space="preserve"> 2017–18 </w:t>
      </w:r>
      <w:r>
        <w:t>second interim report indi</w:t>
      </w:r>
      <w:r w:rsidR="003321A8">
        <w:t>cates that CRC</w:t>
      </w:r>
      <w:r>
        <w:t xml:space="preserve">S is projecting a </w:t>
      </w:r>
      <w:r w:rsidR="003321A8">
        <w:t>negative</w:t>
      </w:r>
      <w:r>
        <w:t xml:space="preserve"> ending fund balance of $</w:t>
      </w:r>
      <w:r w:rsidR="004B154E">
        <w:t>692,438</w:t>
      </w:r>
      <w:r w:rsidR="003321A8">
        <w:t xml:space="preserve"> with </w:t>
      </w:r>
      <w:r w:rsidR="00D36A69">
        <w:t xml:space="preserve">a </w:t>
      </w:r>
      <w:r w:rsidR="003321A8">
        <w:t>zero</w:t>
      </w:r>
      <w:r>
        <w:t xml:space="preserve"> percent reserve for FY 2017–18, which is below the recommended five percent in reserve</w:t>
      </w:r>
      <w:r w:rsidR="003321A8">
        <w:t>s outlined in the MOU between CR</w:t>
      </w:r>
      <w:r>
        <w:t>CS and the</w:t>
      </w:r>
      <w:r w:rsidR="00F70704">
        <w:t xml:space="preserve"> SBE. In addition, the CDE noted</w:t>
      </w:r>
      <w:r>
        <w:t xml:space="preserve"> that C</w:t>
      </w:r>
      <w:r w:rsidR="003321A8">
        <w:t>RC</w:t>
      </w:r>
      <w:r>
        <w:t xml:space="preserve">S’s net assets </w:t>
      </w:r>
      <w:r w:rsidR="00F70704">
        <w:t>were</w:t>
      </w:r>
      <w:r>
        <w:t xml:space="preserve"> negative $</w:t>
      </w:r>
      <w:r w:rsidR="000D281B" w:rsidRPr="000D281B">
        <w:t>1,211,147</w:t>
      </w:r>
      <w:r w:rsidRPr="000D281B">
        <w:t xml:space="preserve"> as of </w:t>
      </w:r>
      <w:r w:rsidR="000D281B" w:rsidRPr="000D281B">
        <w:t>April 30</w:t>
      </w:r>
      <w:r w:rsidR="000D281B">
        <w:t>, 2018</w:t>
      </w:r>
      <w:r w:rsidR="00F70704">
        <w:t>,</w:t>
      </w:r>
      <w:r w:rsidR="000D281B">
        <w:t xml:space="preserve"> a</w:t>
      </w:r>
      <w:r w:rsidR="00F147CD">
        <w:t xml:space="preserve">nd </w:t>
      </w:r>
      <w:r w:rsidR="000D281B">
        <w:t>CRCS relie</w:t>
      </w:r>
      <w:r w:rsidR="00F70704">
        <w:t>d heavily on long-</w:t>
      </w:r>
      <w:r w:rsidR="000D281B">
        <w:t>term intercompany loan</w:t>
      </w:r>
      <w:r w:rsidR="00F147CD">
        <w:t>s</w:t>
      </w:r>
      <w:r w:rsidR="000D281B">
        <w:t xml:space="preserve"> to help cash shortages.</w:t>
      </w:r>
    </w:p>
    <w:p w:rsidR="004E2933" w:rsidRDefault="004E2933" w:rsidP="004206BB">
      <w:pPr>
        <w:pStyle w:val="Heading4"/>
      </w:pPr>
      <w:r>
        <w:t>California Department of Education Follow-Up</w:t>
      </w:r>
    </w:p>
    <w:p w:rsidR="004E2933" w:rsidRDefault="004E2933" w:rsidP="004E2933">
      <w:r>
        <w:t xml:space="preserve">On May 31, 2018, the CDE had a conference call with CRCS regarding the fiscal concerns of a negative ending fund balance with a zero percent reserve on the 2017–18 second interim report. </w:t>
      </w:r>
      <w:r w:rsidR="00F147CD">
        <w:t>On</w:t>
      </w:r>
      <w:r>
        <w:t xml:space="preserve"> the same day, the CDE issued a Letter of Concern to the CRCS Board, identifying the fiscal concerns including </w:t>
      </w:r>
      <w:r w:rsidR="00F147CD">
        <w:t xml:space="preserve">the </w:t>
      </w:r>
      <w:r>
        <w:t>negative ending fund balance and a zero percent reserve on the second interim report</w:t>
      </w:r>
      <w:r w:rsidR="00F147CD">
        <w:t>,</w:t>
      </w:r>
      <w:r>
        <w:t xml:space="preserve"> and requested a FCAP to address these concerns to be submitted to the CDE by June 21, 2018. CRCS submitted the FCAP on June 21, 2018</w:t>
      </w:r>
      <w:r w:rsidR="00F147CD">
        <w:t>,</w:t>
      </w:r>
      <w:r>
        <w:t xml:space="preserve"> that addresses </w:t>
      </w:r>
      <w:r w:rsidR="00F147CD">
        <w:t xml:space="preserve">the </w:t>
      </w:r>
      <w:r>
        <w:t>fiscal concerns of zero per</w:t>
      </w:r>
      <w:r w:rsidR="00F147CD">
        <w:t>cent reserve and enrollment.</w:t>
      </w:r>
      <w:r>
        <w:t xml:space="preserve"> CRCS also provided the CDE the multiyear financial plan for FY 2018–19 through FY 2020–21 with the projected enrollment of 400 to 440 students for FY 2018–19</w:t>
      </w:r>
      <w:r w:rsidR="00F147CD">
        <w:t>,</w:t>
      </w:r>
      <w:r>
        <w:t xml:space="preserve"> and </w:t>
      </w:r>
      <w:r w:rsidR="00F147CD">
        <w:t xml:space="preserve">the </w:t>
      </w:r>
      <w:r>
        <w:t xml:space="preserve">preliminary budget for FY 2018–19 with the projected enrollment of 340 students. However, the CDE found that CRCS will not have an operating surplus until FY 2020–21 and </w:t>
      </w:r>
      <w:r w:rsidR="00F147CD">
        <w:t xml:space="preserve">will </w:t>
      </w:r>
      <w:r>
        <w:t xml:space="preserve">have negative ending fund balances with no reserve for FY 2018–19 through FY 2020–21. </w:t>
      </w:r>
      <w:r w:rsidR="000E5069">
        <w:t>Effective July 18, 2018, CRCS voluntarily closed and will not be enrolling students for the 2018-19 school year.</w:t>
      </w:r>
    </w:p>
    <w:p w:rsidR="004E2933" w:rsidRDefault="004E2933" w:rsidP="001D3CFD">
      <w:pPr>
        <w:ind w:left="720"/>
      </w:pPr>
    </w:p>
    <w:p w:rsidR="003321A8" w:rsidRDefault="003321A8" w:rsidP="001D3CFD">
      <w:pPr>
        <w:ind w:left="720"/>
        <w:sectPr w:rsidR="003321A8" w:rsidSect="00057A96">
          <w:type w:val="continuous"/>
          <w:pgSz w:w="12240" w:h="15840"/>
          <w:pgMar w:top="720" w:right="1440" w:bottom="1440" w:left="1440" w:header="720" w:footer="720" w:gutter="0"/>
          <w:cols w:space="720"/>
        </w:sectPr>
      </w:pPr>
    </w:p>
    <w:p w:rsidR="004E2933" w:rsidRDefault="004E2933" w:rsidP="00A75084">
      <w:pPr>
        <w:pStyle w:val="Heading2"/>
        <w:sectPr w:rsidR="004E2933" w:rsidSect="00057A96">
          <w:type w:val="continuous"/>
          <w:pgSz w:w="12240" w:h="15840"/>
          <w:pgMar w:top="720" w:right="1440" w:bottom="1440" w:left="1440" w:header="720" w:footer="720" w:gutter="0"/>
          <w:cols w:space="720"/>
        </w:sectPr>
      </w:pPr>
    </w:p>
    <w:p w:rsidR="001D3CFD" w:rsidRPr="004E2933" w:rsidRDefault="004E2933" w:rsidP="004E2933">
      <w:pPr>
        <w:spacing w:after="100" w:afterAutospacing="1"/>
        <w:rPr>
          <w:b/>
        </w:rPr>
      </w:pPr>
      <w:r w:rsidRPr="004E2933">
        <w:rPr>
          <w:b/>
        </w:rPr>
        <w:lastRenderedPageBreak/>
        <w:t xml:space="preserve">CRCS </w:t>
      </w:r>
      <w:r w:rsidR="003321A8" w:rsidRPr="004E2933">
        <w:rPr>
          <w:b/>
        </w:rPr>
        <w:t>Financial Highlights</w:t>
      </w:r>
    </w:p>
    <w:tbl>
      <w:tblPr>
        <w:tblStyle w:val="TableGrid"/>
        <w:tblW w:w="5000" w:type="pct"/>
        <w:tblLook w:val="04A0" w:firstRow="1" w:lastRow="0" w:firstColumn="1" w:lastColumn="0" w:noHBand="0" w:noVBand="1"/>
        <w:tblCaption w:val="Financial Highlights"/>
        <w:tblDescription w:val="Financial Highlights"/>
      </w:tblPr>
      <w:tblGrid>
        <w:gridCol w:w="1234"/>
        <w:gridCol w:w="1633"/>
        <w:gridCol w:w="1986"/>
        <w:gridCol w:w="1588"/>
        <w:gridCol w:w="1381"/>
        <w:gridCol w:w="1020"/>
        <w:gridCol w:w="1750"/>
        <w:gridCol w:w="1588"/>
        <w:gridCol w:w="1490"/>
      </w:tblGrid>
      <w:tr w:rsidR="003321A8" w:rsidRPr="004E2933" w:rsidTr="004E2933">
        <w:trPr>
          <w:tblHeader/>
        </w:trPr>
        <w:tc>
          <w:tcPr>
            <w:tcW w:w="451" w:type="pct"/>
          </w:tcPr>
          <w:p w:rsidR="003321A8" w:rsidRPr="004E2933" w:rsidRDefault="003321A8" w:rsidP="00D36A69">
            <w:pPr>
              <w:jc w:val="center"/>
              <w:rPr>
                <w:rFonts w:cs="Arial"/>
                <w:b/>
              </w:rPr>
            </w:pPr>
            <w:r w:rsidRPr="004E2933">
              <w:rPr>
                <w:rFonts w:cs="Arial"/>
                <w:b/>
              </w:rPr>
              <w:t>FY / Source</w:t>
            </w:r>
          </w:p>
        </w:tc>
        <w:tc>
          <w:tcPr>
            <w:tcW w:w="597" w:type="pct"/>
          </w:tcPr>
          <w:p w:rsidR="003321A8" w:rsidRPr="004E2933" w:rsidRDefault="003321A8" w:rsidP="00D36A69">
            <w:pPr>
              <w:jc w:val="center"/>
              <w:rPr>
                <w:rFonts w:cs="Arial"/>
                <w:b/>
              </w:rPr>
            </w:pPr>
            <w:r w:rsidRPr="004E2933">
              <w:rPr>
                <w:rFonts w:cs="Arial"/>
                <w:b/>
              </w:rPr>
              <w:t>Total Revenues</w:t>
            </w:r>
          </w:p>
        </w:tc>
        <w:tc>
          <w:tcPr>
            <w:tcW w:w="726" w:type="pct"/>
          </w:tcPr>
          <w:p w:rsidR="003321A8" w:rsidRPr="004E2933" w:rsidRDefault="003321A8" w:rsidP="00D36A69">
            <w:pPr>
              <w:jc w:val="center"/>
              <w:rPr>
                <w:rFonts w:cs="Arial"/>
                <w:b/>
              </w:rPr>
            </w:pPr>
            <w:r w:rsidRPr="004E2933">
              <w:rPr>
                <w:rFonts w:cs="Arial"/>
                <w:b/>
              </w:rPr>
              <w:t>Total Expenditures</w:t>
            </w:r>
          </w:p>
        </w:tc>
        <w:tc>
          <w:tcPr>
            <w:tcW w:w="581" w:type="pct"/>
          </w:tcPr>
          <w:p w:rsidR="003321A8" w:rsidRPr="004E2933" w:rsidRDefault="003321A8" w:rsidP="00D36A69">
            <w:pPr>
              <w:jc w:val="center"/>
              <w:rPr>
                <w:rFonts w:cs="Arial"/>
                <w:b/>
              </w:rPr>
            </w:pPr>
            <w:r w:rsidRPr="004E2933">
              <w:rPr>
                <w:rFonts w:cs="Arial"/>
                <w:b/>
              </w:rPr>
              <w:t>Net Operating Surplus (Deficit)</w:t>
            </w:r>
          </w:p>
        </w:tc>
        <w:tc>
          <w:tcPr>
            <w:tcW w:w="505" w:type="pct"/>
          </w:tcPr>
          <w:p w:rsidR="003321A8" w:rsidRPr="004E2933" w:rsidRDefault="003321A8" w:rsidP="00D36A69">
            <w:pPr>
              <w:jc w:val="center"/>
              <w:rPr>
                <w:rFonts w:cs="Arial"/>
                <w:b/>
              </w:rPr>
            </w:pPr>
            <w:r w:rsidRPr="004E2933">
              <w:rPr>
                <w:rFonts w:cs="Arial"/>
                <w:b/>
              </w:rPr>
              <w:t>Working Capital Ratio</w:t>
            </w:r>
          </w:p>
        </w:tc>
        <w:tc>
          <w:tcPr>
            <w:tcW w:w="373" w:type="pct"/>
          </w:tcPr>
          <w:p w:rsidR="003321A8" w:rsidRPr="004E2933" w:rsidRDefault="003321A8" w:rsidP="00D36A69">
            <w:pPr>
              <w:jc w:val="center"/>
              <w:rPr>
                <w:rFonts w:cs="Arial"/>
                <w:b/>
              </w:rPr>
            </w:pPr>
            <w:r w:rsidRPr="004E2933">
              <w:rPr>
                <w:rFonts w:cs="Arial"/>
                <w:b/>
              </w:rPr>
              <w:t>Debt Ratio</w:t>
            </w:r>
          </w:p>
        </w:tc>
        <w:tc>
          <w:tcPr>
            <w:tcW w:w="640" w:type="pct"/>
          </w:tcPr>
          <w:p w:rsidR="003321A8" w:rsidRPr="004E2933" w:rsidRDefault="003321A8" w:rsidP="00D36A69">
            <w:pPr>
              <w:jc w:val="center"/>
              <w:rPr>
                <w:rFonts w:cs="Arial"/>
                <w:b/>
              </w:rPr>
            </w:pPr>
            <w:r w:rsidRPr="004E2933">
              <w:rPr>
                <w:rFonts w:cs="Arial"/>
                <w:b/>
              </w:rPr>
              <w:t>Attendance Ratio</w:t>
            </w:r>
          </w:p>
        </w:tc>
        <w:tc>
          <w:tcPr>
            <w:tcW w:w="581" w:type="pct"/>
          </w:tcPr>
          <w:p w:rsidR="003321A8" w:rsidRPr="004E2933" w:rsidRDefault="003321A8" w:rsidP="00D36A69">
            <w:pPr>
              <w:jc w:val="center"/>
              <w:rPr>
                <w:rFonts w:cs="Arial"/>
                <w:b/>
              </w:rPr>
            </w:pPr>
            <w:r w:rsidRPr="004E2933">
              <w:rPr>
                <w:rFonts w:cs="Arial"/>
                <w:b/>
              </w:rPr>
              <w:t>Ending Fund Balance</w:t>
            </w:r>
          </w:p>
        </w:tc>
        <w:tc>
          <w:tcPr>
            <w:tcW w:w="545" w:type="pct"/>
          </w:tcPr>
          <w:p w:rsidR="003321A8" w:rsidRPr="004E2933" w:rsidRDefault="003321A8" w:rsidP="00D36A69">
            <w:pPr>
              <w:jc w:val="center"/>
              <w:rPr>
                <w:rFonts w:cs="Arial"/>
                <w:b/>
              </w:rPr>
            </w:pPr>
            <w:r w:rsidRPr="004E2933">
              <w:rPr>
                <w:rFonts w:cs="Arial"/>
                <w:b/>
              </w:rPr>
              <w:t>Percent of Reserves</w:t>
            </w:r>
          </w:p>
        </w:tc>
      </w:tr>
      <w:tr w:rsidR="003321A8" w:rsidRPr="004E2933" w:rsidTr="004E2933">
        <w:tc>
          <w:tcPr>
            <w:tcW w:w="451" w:type="pct"/>
          </w:tcPr>
          <w:p w:rsidR="003321A8" w:rsidRPr="004E2933" w:rsidRDefault="003321A8" w:rsidP="00D36A69">
            <w:pPr>
              <w:rPr>
                <w:rFonts w:cs="Arial"/>
              </w:rPr>
            </w:pPr>
            <w:r w:rsidRPr="004E2933">
              <w:rPr>
                <w:rFonts w:cs="Arial"/>
              </w:rPr>
              <w:t>2016–17 Audit</w:t>
            </w:r>
          </w:p>
        </w:tc>
        <w:tc>
          <w:tcPr>
            <w:tcW w:w="597" w:type="pct"/>
          </w:tcPr>
          <w:p w:rsidR="003321A8" w:rsidRPr="004E2933" w:rsidRDefault="003321A8" w:rsidP="00D36A69">
            <w:pPr>
              <w:jc w:val="center"/>
              <w:rPr>
                <w:rFonts w:cs="Arial"/>
              </w:rPr>
            </w:pPr>
          </w:p>
          <w:p w:rsidR="003321A8" w:rsidRPr="004E2933" w:rsidRDefault="004E5904" w:rsidP="00D36A69">
            <w:pPr>
              <w:jc w:val="center"/>
              <w:rPr>
                <w:rFonts w:cs="Arial"/>
              </w:rPr>
            </w:pPr>
            <w:r w:rsidRPr="004E2933">
              <w:rPr>
                <w:rFonts w:cs="Arial"/>
              </w:rPr>
              <w:t>NA</w:t>
            </w:r>
          </w:p>
        </w:tc>
        <w:tc>
          <w:tcPr>
            <w:tcW w:w="726" w:type="pct"/>
          </w:tcPr>
          <w:p w:rsidR="003321A8" w:rsidRPr="004E2933" w:rsidRDefault="003321A8" w:rsidP="00D36A69">
            <w:pPr>
              <w:jc w:val="center"/>
              <w:rPr>
                <w:rFonts w:cs="Arial"/>
              </w:rPr>
            </w:pPr>
          </w:p>
          <w:p w:rsidR="003321A8" w:rsidRPr="004E2933" w:rsidRDefault="004E5904" w:rsidP="00D36A69">
            <w:pPr>
              <w:jc w:val="center"/>
              <w:rPr>
                <w:rFonts w:cs="Arial"/>
              </w:rPr>
            </w:pPr>
            <w:r w:rsidRPr="004E2933">
              <w:rPr>
                <w:rFonts w:cs="Arial"/>
              </w:rPr>
              <w:t>NA</w:t>
            </w:r>
          </w:p>
        </w:tc>
        <w:tc>
          <w:tcPr>
            <w:tcW w:w="581" w:type="pct"/>
          </w:tcPr>
          <w:p w:rsidR="003321A8" w:rsidRPr="004E2933" w:rsidRDefault="003321A8" w:rsidP="00D36A69">
            <w:pPr>
              <w:jc w:val="center"/>
              <w:rPr>
                <w:rFonts w:cs="Arial"/>
              </w:rPr>
            </w:pPr>
          </w:p>
          <w:p w:rsidR="003321A8" w:rsidRPr="004E2933" w:rsidRDefault="004E5904" w:rsidP="00D36A69">
            <w:pPr>
              <w:jc w:val="center"/>
              <w:rPr>
                <w:rFonts w:cs="Arial"/>
              </w:rPr>
            </w:pPr>
            <w:r w:rsidRPr="004E2933">
              <w:rPr>
                <w:rFonts w:cs="Arial"/>
              </w:rPr>
              <w:t>NA</w:t>
            </w:r>
          </w:p>
        </w:tc>
        <w:tc>
          <w:tcPr>
            <w:tcW w:w="505" w:type="pct"/>
          </w:tcPr>
          <w:p w:rsidR="003321A8" w:rsidRPr="004E2933" w:rsidRDefault="003321A8" w:rsidP="00D36A69">
            <w:pPr>
              <w:jc w:val="center"/>
              <w:rPr>
                <w:rFonts w:cs="Arial"/>
              </w:rPr>
            </w:pPr>
          </w:p>
          <w:p w:rsidR="003321A8" w:rsidRPr="004E2933" w:rsidRDefault="004E5904" w:rsidP="00D36A69">
            <w:pPr>
              <w:jc w:val="center"/>
              <w:rPr>
                <w:rFonts w:cs="Arial"/>
              </w:rPr>
            </w:pPr>
            <w:r w:rsidRPr="004E2933">
              <w:rPr>
                <w:rFonts w:cs="Arial"/>
              </w:rPr>
              <w:t>NA</w:t>
            </w:r>
          </w:p>
        </w:tc>
        <w:tc>
          <w:tcPr>
            <w:tcW w:w="373" w:type="pct"/>
          </w:tcPr>
          <w:p w:rsidR="003321A8" w:rsidRPr="004E2933" w:rsidRDefault="003321A8" w:rsidP="00D36A69">
            <w:pPr>
              <w:jc w:val="center"/>
              <w:rPr>
                <w:rFonts w:cs="Arial"/>
              </w:rPr>
            </w:pPr>
          </w:p>
          <w:p w:rsidR="003321A8" w:rsidRPr="004E2933" w:rsidRDefault="004E5904" w:rsidP="00D36A69">
            <w:pPr>
              <w:jc w:val="center"/>
              <w:rPr>
                <w:rFonts w:cs="Arial"/>
              </w:rPr>
            </w:pPr>
            <w:r w:rsidRPr="004E2933">
              <w:rPr>
                <w:rFonts w:cs="Arial"/>
              </w:rPr>
              <w:t>NA</w:t>
            </w:r>
          </w:p>
        </w:tc>
        <w:tc>
          <w:tcPr>
            <w:tcW w:w="640" w:type="pct"/>
          </w:tcPr>
          <w:p w:rsidR="003321A8" w:rsidRPr="004E2933" w:rsidRDefault="003321A8" w:rsidP="00D36A69">
            <w:pPr>
              <w:jc w:val="center"/>
              <w:rPr>
                <w:rFonts w:cs="Arial"/>
              </w:rPr>
            </w:pPr>
          </w:p>
          <w:p w:rsidR="003321A8" w:rsidRPr="004E2933" w:rsidRDefault="00087FB6" w:rsidP="00D36A69">
            <w:pPr>
              <w:jc w:val="center"/>
              <w:rPr>
                <w:rFonts w:cs="Arial"/>
              </w:rPr>
            </w:pPr>
            <w:r w:rsidRPr="004E2933">
              <w:rPr>
                <w:rFonts w:cs="Arial"/>
              </w:rPr>
              <w:t>NA</w:t>
            </w:r>
          </w:p>
        </w:tc>
        <w:tc>
          <w:tcPr>
            <w:tcW w:w="581" w:type="pct"/>
          </w:tcPr>
          <w:p w:rsidR="003321A8" w:rsidRPr="004E2933" w:rsidRDefault="003321A8" w:rsidP="00D36A69">
            <w:pPr>
              <w:jc w:val="center"/>
              <w:rPr>
                <w:rFonts w:cs="Arial"/>
              </w:rPr>
            </w:pPr>
          </w:p>
          <w:p w:rsidR="003321A8" w:rsidRPr="004E2933" w:rsidRDefault="00087FB6" w:rsidP="00D36A69">
            <w:pPr>
              <w:jc w:val="center"/>
              <w:rPr>
                <w:rFonts w:cs="Arial"/>
              </w:rPr>
            </w:pPr>
            <w:r w:rsidRPr="004E2933">
              <w:rPr>
                <w:rFonts w:cs="Arial"/>
              </w:rPr>
              <w:t>NA</w:t>
            </w:r>
          </w:p>
        </w:tc>
        <w:tc>
          <w:tcPr>
            <w:tcW w:w="545" w:type="pct"/>
          </w:tcPr>
          <w:p w:rsidR="003321A8" w:rsidRPr="004E2933" w:rsidRDefault="003321A8" w:rsidP="00D36A69">
            <w:pPr>
              <w:jc w:val="center"/>
              <w:rPr>
                <w:rFonts w:cs="Arial"/>
              </w:rPr>
            </w:pPr>
          </w:p>
          <w:p w:rsidR="003321A8" w:rsidRPr="004E2933" w:rsidRDefault="00087FB6" w:rsidP="00D36A69">
            <w:pPr>
              <w:jc w:val="center"/>
              <w:rPr>
                <w:rFonts w:cs="Arial"/>
              </w:rPr>
            </w:pPr>
            <w:r w:rsidRPr="004E2933">
              <w:rPr>
                <w:rFonts w:cs="Arial"/>
              </w:rPr>
              <w:t>NA</w:t>
            </w:r>
          </w:p>
        </w:tc>
      </w:tr>
      <w:tr w:rsidR="003321A8" w:rsidRPr="004E2933" w:rsidTr="004E2933">
        <w:tc>
          <w:tcPr>
            <w:tcW w:w="451" w:type="pct"/>
          </w:tcPr>
          <w:p w:rsidR="003321A8" w:rsidRPr="004E2933" w:rsidRDefault="003321A8" w:rsidP="00D36A69">
            <w:pPr>
              <w:rPr>
                <w:rFonts w:cs="Arial"/>
              </w:rPr>
            </w:pPr>
            <w:r w:rsidRPr="004E2933">
              <w:rPr>
                <w:rFonts w:cs="Arial"/>
              </w:rPr>
              <w:t>2017–18 Budget</w:t>
            </w:r>
          </w:p>
        </w:tc>
        <w:tc>
          <w:tcPr>
            <w:tcW w:w="597"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3,936,709</w:t>
            </w:r>
          </w:p>
        </w:tc>
        <w:tc>
          <w:tcPr>
            <w:tcW w:w="726"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4,376,641</w:t>
            </w:r>
          </w:p>
        </w:tc>
        <w:tc>
          <w:tcPr>
            <w:tcW w:w="581"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439,932</w:t>
            </w:r>
            <w:r w:rsidRPr="004E2933">
              <w:rPr>
                <w:rFonts w:cs="Arial"/>
              </w:rPr>
              <w:t>)</w:t>
            </w:r>
          </w:p>
        </w:tc>
        <w:tc>
          <w:tcPr>
            <w:tcW w:w="505"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NA</w:t>
            </w:r>
          </w:p>
        </w:tc>
        <w:tc>
          <w:tcPr>
            <w:tcW w:w="373"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NA</w:t>
            </w:r>
          </w:p>
        </w:tc>
        <w:tc>
          <w:tcPr>
            <w:tcW w:w="640" w:type="pct"/>
          </w:tcPr>
          <w:p w:rsidR="003321A8" w:rsidRPr="004E2933" w:rsidRDefault="003321A8" w:rsidP="00D36A69">
            <w:pPr>
              <w:jc w:val="center"/>
              <w:rPr>
                <w:rFonts w:cs="Arial"/>
              </w:rPr>
            </w:pPr>
          </w:p>
          <w:p w:rsidR="003321A8" w:rsidRPr="004E2933" w:rsidRDefault="00087FB6" w:rsidP="00D36A69">
            <w:pPr>
              <w:jc w:val="center"/>
              <w:rPr>
                <w:rFonts w:cs="Arial"/>
              </w:rPr>
            </w:pPr>
            <w:r w:rsidRPr="004E2933">
              <w:rPr>
                <w:rFonts w:cs="Arial"/>
              </w:rPr>
              <w:t>94.23</w:t>
            </w:r>
            <w:r w:rsidR="003321A8" w:rsidRPr="004E2933">
              <w:rPr>
                <w:rFonts w:cs="Arial"/>
              </w:rPr>
              <w:t>%</w:t>
            </w:r>
          </w:p>
        </w:tc>
        <w:tc>
          <w:tcPr>
            <w:tcW w:w="581"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w:t>
            </w:r>
            <w:r w:rsidR="00087FB6" w:rsidRPr="004E2933">
              <w:rPr>
                <w:rFonts w:cs="Arial"/>
              </w:rPr>
              <w:t>439,932</w:t>
            </w:r>
            <w:r w:rsidRPr="004E2933">
              <w:rPr>
                <w:rFonts w:cs="Arial"/>
              </w:rPr>
              <w:t>)</w:t>
            </w:r>
          </w:p>
        </w:tc>
        <w:tc>
          <w:tcPr>
            <w:tcW w:w="545"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0%</w:t>
            </w:r>
          </w:p>
        </w:tc>
      </w:tr>
      <w:tr w:rsidR="003321A8" w:rsidRPr="004E2933" w:rsidTr="004E2933">
        <w:tc>
          <w:tcPr>
            <w:tcW w:w="451" w:type="pct"/>
          </w:tcPr>
          <w:p w:rsidR="003321A8" w:rsidRPr="004E2933" w:rsidRDefault="003321A8" w:rsidP="00D36A69">
            <w:pPr>
              <w:rPr>
                <w:rFonts w:cs="Arial"/>
              </w:rPr>
            </w:pPr>
            <w:r w:rsidRPr="004E2933">
              <w:rPr>
                <w:rFonts w:cs="Arial"/>
              </w:rPr>
              <w:t>2017–18 2nd Interim</w:t>
            </w:r>
          </w:p>
        </w:tc>
        <w:tc>
          <w:tcPr>
            <w:tcW w:w="597"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4,419,255</w:t>
            </w:r>
          </w:p>
        </w:tc>
        <w:tc>
          <w:tcPr>
            <w:tcW w:w="726"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5,111,692</w:t>
            </w:r>
          </w:p>
        </w:tc>
        <w:tc>
          <w:tcPr>
            <w:tcW w:w="581"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692,438</w:t>
            </w:r>
            <w:r w:rsidRPr="004E2933">
              <w:rPr>
                <w:rFonts w:cs="Arial"/>
              </w:rPr>
              <w:t>)</w:t>
            </w:r>
          </w:p>
        </w:tc>
        <w:tc>
          <w:tcPr>
            <w:tcW w:w="505"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NA</w:t>
            </w:r>
          </w:p>
        </w:tc>
        <w:tc>
          <w:tcPr>
            <w:tcW w:w="373"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NA</w:t>
            </w:r>
          </w:p>
          <w:p w:rsidR="003321A8" w:rsidRPr="004E2933" w:rsidRDefault="003321A8" w:rsidP="00D36A69">
            <w:pPr>
              <w:jc w:val="center"/>
              <w:rPr>
                <w:rFonts w:cs="Arial"/>
              </w:rPr>
            </w:pPr>
          </w:p>
        </w:tc>
        <w:tc>
          <w:tcPr>
            <w:tcW w:w="640" w:type="pct"/>
          </w:tcPr>
          <w:p w:rsidR="003321A8" w:rsidRPr="004E2933" w:rsidRDefault="003321A8" w:rsidP="00D36A69">
            <w:pPr>
              <w:jc w:val="center"/>
              <w:rPr>
                <w:rFonts w:cs="Arial"/>
              </w:rPr>
            </w:pPr>
          </w:p>
          <w:p w:rsidR="003321A8" w:rsidRPr="004E2933" w:rsidRDefault="004B154E" w:rsidP="00D36A69">
            <w:pPr>
              <w:jc w:val="center"/>
              <w:rPr>
                <w:rFonts w:cs="Arial"/>
                <w:color w:val="FF0000"/>
              </w:rPr>
            </w:pPr>
            <w:r w:rsidRPr="004E2933">
              <w:rPr>
                <w:rFonts w:cs="Arial"/>
              </w:rPr>
              <w:t>92.76%</w:t>
            </w:r>
          </w:p>
        </w:tc>
        <w:tc>
          <w:tcPr>
            <w:tcW w:w="581" w:type="pct"/>
          </w:tcPr>
          <w:p w:rsidR="003321A8" w:rsidRPr="004E2933" w:rsidRDefault="003321A8" w:rsidP="00D36A69">
            <w:pPr>
              <w:jc w:val="center"/>
              <w:rPr>
                <w:rFonts w:cs="Arial"/>
              </w:rPr>
            </w:pPr>
          </w:p>
          <w:p w:rsidR="003321A8" w:rsidRPr="004E2933" w:rsidRDefault="003321A8" w:rsidP="00087FB6">
            <w:pPr>
              <w:jc w:val="center"/>
              <w:rPr>
                <w:rFonts w:cs="Arial"/>
              </w:rPr>
            </w:pPr>
            <w:r w:rsidRPr="004E2933">
              <w:rPr>
                <w:rFonts w:cs="Arial"/>
              </w:rPr>
              <w:t>($</w:t>
            </w:r>
            <w:r w:rsidR="00087FB6" w:rsidRPr="004E2933">
              <w:rPr>
                <w:rFonts w:cs="Arial"/>
              </w:rPr>
              <w:t>692,438</w:t>
            </w:r>
            <w:r w:rsidRPr="004E2933">
              <w:rPr>
                <w:rFonts w:cs="Arial"/>
              </w:rPr>
              <w:t>)</w:t>
            </w:r>
          </w:p>
        </w:tc>
        <w:tc>
          <w:tcPr>
            <w:tcW w:w="545" w:type="pct"/>
          </w:tcPr>
          <w:p w:rsidR="003321A8" w:rsidRPr="004E2933" w:rsidRDefault="003321A8" w:rsidP="00D36A69">
            <w:pPr>
              <w:jc w:val="center"/>
              <w:rPr>
                <w:rFonts w:cs="Arial"/>
              </w:rPr>
            </w:pPr>
          </w:p>
          <w:p w:rsidR="003321A8" w:rsidRPr="004E2933" w:rsidRDefault="003321A8" w:rsidP="00D36A69">
            <w:pPr>
              <w:jc w:val="center"/>
              <w:rPr>
                <w:rFonts w:cs="Arial"/>
              </w:rPr>
            </w:pPr>
            <w:r w:rsidRPr="004E2933">
              <w:rPr>
                <w:rFonts w:cs="Arial"/>
              </w:rPr>
              <w:t>0%</w:t>
            </w:r>
          </w:p>
        </w:tc>
      </w:tr>
    </w:tbl>
    <w:p w:rsidR="00087FB6" w:rsidRDefault="00087FB6" w:rsidP="003321A8">
      <w:pPr>
        <w:sectPr w:rsidR="00087FB6" w:rsidSect="004E2933">
          <w:pgSz w:w="15840" w:h="12240" w:orient="landscape"/>
          <w:pgMar w:top="1440" w:right="720" w:bottom="1440" w:left="1440" w:header="720" w:footer="720" w:gutter="0"/>
          <w:cols w:space="720"/>
          <w:docGrid w:linePitch="326"/>
        </w:sectPr>
      </w:pPr>
    </w:p>
    <w:p w:rsidR="00697EE9" w:rsidRDefault="00697EE9" w:rsidP="000B491B">
      <w:pPr>
        <w:pStyle w:val="Heading3"/>
      </w:pPr>
      <w:r>
        <w:lastRenderedPageBreak/>
        <w:t>Paramount Collegiate Academy</w:t>
      </w:r>
    </w:p>
    <w:p w:rsidR="00697EE9" w:rsidRDefault="00697EE9" w:rsidP="002521CA">
      <w:pPr>
        <w:pStyle w:val="ListParagraph"/>
        <w:numPr>
          <w:ilvl w:val="0"/>
          <w:numId w:val="9"/>
        </w:numPr>
      </w:pPr>
      <w:r>
        <w:t>Charter</w:t>
      </w:r>
      <w:r w:rsidR="00F70704">
        <w:t xml:space="preserve"> Voluntar</w:t>
      </w:r>
      <w:r w:rsidR="00F147CD">
        <w:t>il</w:t>
      </w:r>
      <w:r w:rsidR="00F70704">
        <w:t>y C</w:t>
      </w:r>
      <w:r>
        <w:t>losed: 2/7/2018</w:t>
      </w:r>
    </w:p>
    <w:p w:rsidR="00697EE9" w:rsidRDefault="00697EE9" w:rsidP="002521CA">
      <w:pPr>
        <w:pStyle w:val="ListParagraph"/>
        <w:numPr>
          <w:ilvl w:val="0"/>
          <w:numId w:val="9"/>
        </w:numPr>
      </w:pPr>
      <w:r>
        <w:t>Grades Authorized to Serve: 6–12</w:t>
      </w:r>
    </w:p>
    <w:p w:rsidR="00697EE9" w:rsidRDefault="00F147CD" w:rsidP="002521CA">
      <w:pPr>
        <w:pStyle w:val="ListParagraph"/>
        <w:numPr>
          <w:ilvl w:val="0"/>
          <w:numId w:val="9"/>
        </w:numPr>
      </w:pPr>
      <w:r>
        <w:t>2016–17 P-</w:t>
      </w:r>
      <w:r w:rsidR="00697EE9">
        <w:t xml:space="preserve">2 ADA: </w:t>
      </w:r>
      <w:r w:rsidR="00BE5A48">
        <w:t>74.64</w:t>
      </w:r>
    </w:p>
    <w:p w:rsidR="00F70704" w:rsidRDefault="00F147CD" w:rsidP="00F147CD">
      <w:pPr>
        <w:pStyle w:val="ListParagraph"/>
        <w:numPr>
          <w:ilvl w:val="0"/>
          <w:numId w:val="9"/>
        </w:numPr>
        <w:spacing w:after="100" w:afterAutospacing="1"/>
      </w:pPr>
      <w:r>
        <w:t>2017–18 P-</w:t>
      </w:r>
      <w:r w:rsidR="00F70704">
        <w:t>2 ADA: 67.73</w:t>
      </w:r>
    </w:p>
    <w:p w:rsidR="00C20634" w:rsidRDefault="00697EE9" w:rsidP="004206BB">
      <w:pPr>
        <w:pStyle w:val="Heading4"/>
      </w:pPr>
      <w:r>
        <w:t>Fiscal Concerns</w:t>
      </w:r>
    </w:p>
    <w:p w:rsidR="002232EF" w:rsidRDefault="00697EE9" w:rsidP="003D1042">
      <w:pPr>
        <w:spacing w:after="100" w:afterAutospacing="1"/>
      </w:pPr>
      <w:r>
        <w:t xml:space="preserve">The </w:t>
      </w:r>
      <w:r w:rsidR="004E7793">
        <w:t>Paramount Collegiate Academy (</w:t>
      </w:r>
      <w:r>
        <w:t>PCA</w:t>
      </w:r>
      <w:r w:rsidR="004E7793">
        <w:t>)</w:t>
      </w:r>
      <w:r>
        <w:t xml:space="preserve"> </w:t>
      </w:r>
      <w:r w:rsidR="00F70704">
        <w:t>demonstrated consistent financial distress and wa</w:t>
      </w:r>
      <w:r w:rsidR="004E7793">
        <w:t>s considered to be in fair</w:t>
      </w:r>
      <w:r w:rsidR="00D36A69">
        <w:t xml:space="preserve"> financial</w:t>
      </w:r>
      <w:r w:rsidR="004E7793">
        <w:t xml:space="preserve"> condition since its inception in FY 2015–16</w:t>
      </w:r>
      <w:r>
        <w:t>.</w:t>
      </w:r>
      <w:r w:rsidR="004E7793">
        <w:t xml:space="preserve"> PCA’s financial problem</w:t>
      </w:r>
      <w:r w:rsidR="00F70704">
        <w:t xml:space="preserve"> wa</w:t>
      </w:r>
      <w:r w:rsidR="004E7793">
        <w:t xml:space="preserve">s almost entirely attributable to the continued low pupil enrollment. </w:t>
      </w:r>
    </w:p>
    <w:p w:rsidR="003D1042" w:rsidRDefault="003D1042" w:rsidP="004206BB">
      <w:pPr>
        <w:pStyle w:val="Heading4"/>
      </w:pPr>
      <w:r>
        <w:t>Charter School Update</w:t>
      </w:r>
    </w:p>
    <w:p w:rsidR="003D1042" w:rsidRDefault="003D1042" w:rsidP="000B491B">
      <w:pPr>
        <w:spacing w:after="100" w:afterAutospacing="1"/>
      </w:pPr>
      <w:r>
        <w:t>PCA closed voluntar</w:t>
      </w:r>
      <w:r w:rsidR="00F147CD">
        <w:t>ily</w:t>
      </w:r>
      <w:r>
        <w:t xml:space="preserve"> effective Wednesday, February 7, 2018, and entered into bankruptcy. </w:t>
      </w:r>
    </w:p>
    <w:p w:rsidR="003D1042" w:rsidRDefault="003D1042" w:rsidP="004206BB">
      <w:pPr>
        <w:pStyle w:val="Heading4"/>
      </w:pPr>
      <w:r>
        <w:t>California Department of Education Follow Up</w:t>
      </w:r>
    </w:p>
    <w:p w:rsidR="003D1042" w:rsidRDefault="003D1042" w:rsidP="003D1042">
      <w:pPr>
        <w:spacing w:after="100" w:afterAutospacing="1"/>
      </w:pPr>
      <w:r>
        <w:t>On February 12, 2018, the CDE issued the PCA Board written notice to invoke closure procedures including:</w:t>
      </w:r>
    </w:p>
    <w:p w:rsidR="003D1042" w:rsidRPr="00587E6B" w:rsidRDefault="003D1042" w:rsidP="000B491B">
      <w:pPr>
        <w:pStyle w:val="ListParagraph"/>
        <w:numPr>
          <w:ilvl w:val="0"/>
          <w:numId w:val="3"/>
        </w:numPr>
        <w:spacing w:after="240"/>
        <w:contextualSpacing w:val="0"/>
      </w:pPr>
      <w:r w:rsidRPr="00CE1C36">
        <w:rPr>
          <w:szCs w:val="23"/>
        </w:rPr>
        <w:t>Return grant funds and restricted categorical funds to their source in accordance with the terms of the grant or state and federal law as appropriate. Federal grants must be closed out, including the filing of the required Final Expenditure Reports and Final Performance Reports. Federal Form</w:t>
      </w:r>
      <w:r>
        <w:rPr>
          <w:szCs w:val="23"/>
        </w:rPr>
        <w:t xml:space="preserve">s 269 and 269a may apply if PCA </w:t>
      </w:r>
      <w:r w:rsidRPr="00CE1C36">
        <w:rPr>
          <w:szCs w:val="23"/>
        </w:rPr>
        <w:t>was receiving funds directly from the U.S. Department of Education.</w:t>
      </w:r>
    </w:p>
    <w:p w:rsidR="003D1042" w:rsidRPr="003D1042" w:rsidRDefault="003D1042" w:rsidP="000B491B">
      <w:pPr>
        <w:pStyle w:val="ListParagraph"/>
        <w:numPr>
          <w:ilvl w:val="0"/>
          <w:numId w:val="3"/>
        </w:numPr>
        <w:spacing w:after="240"/>
        <w:contextualSpacing w:val="0"/>
      </w:pPr>
      <w:r w:rsidRPr="00CE1C36">
        <w:rPr>
          <w:szCs w:val="23"/>
        </w:rPr>
        <w:t xml:space="preserve">Develop a plan to close out all financial records for the </w:t>
      </w:r>
      <w:r w:rsidR="00F147CD">
        <w:rPr>
          <w:szCs w:val="23"/>
        </w:rPr>
        <w:t>FY</w:t>
      </w:r>
      <w:r w:rsidRPr="00CE1C36">
        <w:rPr>
          <w:szCs w:val="23"/>
        </w:rPr>
        <w:t xml:space="preserve"> </w:t>
      </w:r>
      <w:r>
        <w:rPr>
          <w:szCs w:val="23"/>
        </w:rPr>
        <w:t>2017–18</w:t>
      </w:r>
      <w:r w:rsidRPr="00CE1C36">
        <w:rPr>
          <w:szCs w:val="23"/>
        </w:rPr>
        <w:t>.</w:t>
      </w:r>
    </w:p>
    <w:p w:rsidR="003D1042" w:rsidRPr="00587E6B" w:rsidRDefault="003D1042" w:rsidP="000B491B">
      <w:pPr>
        <w:pStyle w:val="ListParagraph"/>
        <w:numPr>
          <w:ilvl w:val="0"/>
          <w:numId w:val="3"/>
        </w:numPr>
        <w:spacing w:after="240"/>
        <w:contextualSpacing w:val="0"/>
      </w:pPr>
      <w:r w:rsidRPr="00760F87">
        <w:rPr>
          <w:szCs w:val="23"/>
        </w:rPr>
        <w:t>Provide the CDE a description of current and projected payroll and payroll benefits commitments through closure, including a list of each employee and their job duties, and a projection of the funds necessary to: (1) transition the pupils and records; (2) complete all administrative closure related tasks; and (3) complete contracts and grants</w:t>
      </w:r>
      <w:r>
        <w:rPr>
          <w:szCs w:val="23"/>
        </w:rPr>
        <w:t>.</w:t>
      </w:r>
    </w:p>
    <w:p w:rsidR="003D1042" w:rsidRDefault="003D1042" w:rsidP="000B491B">
      <w:pPr>
        <w:pStyle w:val="ListParagraph"/>
        <w:numPr>
          <w:ilvl w:val="0"/>
          <w:numId w:val="3"/>
        </w:numPr>
        <w:spacing w:after="240"/>
        <w:contextualSpacing w:val="0"/>
        <w:sectPr w:rsidR="003D1042" w:rsidSect="00057A96">
          <w:type w:val="continuous"/>
          <w:pgSz w:w="12240" w:h="15840"/>
          <w:pgMar w:top="720" w:right="1440" w:bottom="1440" w:left="1440" w:header="720" w:footer="720" w:gutter="0"/>
          <w:cols w:space="720"/>
        </w:sectPr>
      </w:pPr>
    </w:p>
    <w:p w:rsidR="003D1042" w:rsidRPr="00587E6B" w:rsidRDefault="003D1042" w:rsidP="000B491B">
      <w:pPr>
        <w:pStyle w:val="ListParagraph"/>
        <w:numPr>
          <w:ilvl w:val="0"/>
          <w:numId w:val="3"/>
        </w:numPr>
        <w:spacing w:after="240"/>
        <w:contextualSpacing w:val="0"/>
      </w:pPr>
      <w:r w:rsidRPr="00760F87">
        <w:rPr>
          <w:szCs w:val="23"/>
        </w:rPr>
        <w:t xml:space="preserve">Provide </w:t>
      </w:r>
      <w:r w:rsidR="00F147CD">
        <w:rPr>
          <w:szCs w:val="23"/>
        </w:rPr>
        <w:t xml:space="preserve">the </w:t>
      </w:r>
      <w:r w:rsidRPr="00760F87">
        <w:rPr>
          <w:szCs w:val="23"/>
        </w:rPr>
        <w:t>CDE with notice of any outstanding payments to staff and the method by which the school will make the payments</w:t>
      </w:r>
      <w:r>
        <w:rPr>
          <w:szCs w:val="23"/>
        </w:rPr>
        <w:t>.</w:t>
      </w:r>
    </w:p>
    <w:p w:rsidR="003D1042" w:rsidRPr="003D1042" w:rsidRDefault="003D1042" w:rsidP="000B491B">
      <w:pPr>
        <w:pStyle w:val="ListParagraph"/>
        <w:numPr>
          <w:ilvl w:val="0"/>
          <w:numId w:val="3"/>
        </w:numPr>
        <w:spacing w:after="240"/>
        <w:contextualSpacing w:val="0"/>
      </w:pPr>
      <w:r w:rsidRPr="00760F87">
        <w:rPr>
          <w:szCs w:val="23"/>
        </w:rPr>
        <w:t xml:space="preserve">Notify all funding sources (including charitable partners), all current and former contractors (such as a charter management organization, </w:t>
      </w:r>
      <w:r w:rsidRPr="00760F87">
        <w:rPr>
          <w:szCs w:val="23"/>
        </w:rPr>
        <w:lastRenderedPageBreak/>
        <w:t>education management organization, food service provider, instructional service provider, or transportation servi</w:t>
      </w:r>
      <w:r>
        <w:rPr>
          <w:szCs w:val="23"/>
        </w:rPr>
        <w:t>ce provider), and lenders</w:t>
      </w:r>
      <w:r w:rsidR="00F147CD">
        <w:rPr>
          <w:szCs w:val="23"/>
        </w:rPr>
        <w:t>,</w:t>
      </w:r>
      <w:r>
        <w:rPr>
          <w:szCs w:val="23"/>
        </w:rPr>
        <w:t xml:space="preserve"> of PCA</w:t>
      </w:r>
      <w:r w:rsidRPr="00760F87">
        <w:rPr>
          <w:szCs w:val="23"/>
        </w:rPr>
        <w:t>’s closure</w:t>
      </w:r>
      <w:r>
        <w:rPr>
          <w:szCs w:val="23"/>
        </w:rPr>
        <w:t>.</w:t>
      </w:r>
    </w:p>
    <w:p w:rsidR="003D1042" w:rsidRPr="003D1042" w:rsidRDefault="003D1042" w:rsidP="000B491B">
      <w:pPr>
        <w:pStyle w:val="ListParagraph"/>
        <w:numPr>
          <w:ilvl w:val="0"/>
          <w:numId w:val="3"/>
        </w:numPr>
        <w:spacing w:after="240"/>
        <w:contextualSpacing w:val="0"/>
      </w:pPr>
      <w:r w:rsidRPr="00760F87">
        <w:rPr>
          <w:szCs w:val="23"/>
        </w:rPr>
        <w:t>Notify the CDE in electronic format of all</w:t>
      </w:r>
      <w:r>
        <w:rPr>
          <w:szCs w:val="23"/>
        </w:rPr>
        <w:t xml:space="preserve"> pending litigation to which PCA</w:t>
      </w:r>
      <w:r w:rsidRPr="00760F87">
        <w:rPr>
          <w:szCs w:val="23"/>
        </w:rPr>
        <w:t xml:space="preserve"> is a party to</w:t>
      </w:r>
      <w:r>
        <w:rPr>
          <w:szCs w:val="23"/>
        </w:rPr>
        <w:t>.</w:t>
      </w:r>
    </w:p>
    <w:p w:rsidR="003D1042" w:rsidRPr="003D1042" w:rsidRDefault="003D1042" w:rsidP="000B491B">
      <w:pPr>
        <w:pStyle w:val="ListParagraph"/>
        <w:numPr>
          <w:ilvl w:val="0"/>
          <w:numId w:val="3"/>
        </w:numPr>
        <w:spacing w:after="240"/>
        <w:contextualSpacing w:val="0"/>
      </w:pPr>
      <w:r w:rsidRPr="00760F87">
        <w:rPr>
          <w:szCs w:val="23"/>
        </w:rPr>
        <w:t>Prepare a comprehensive list of creditors and debtors and comprehensive inventory of all assets</w:t>
      </w:r>
      <w:r>
        <w:rPr>
          <w:szCs w:val="23"/>
        </w:rPr>
        <w:t>.</w:t>
      </w:r>
    </w:p>
    <w:p w:rsidR="003D1042" w:rsidRPr="003D1042" w:rsidRDefault="003D1042" w:rsidP="000B491B">
      <w:pPr>
        <w:pStyle w:val="ListParagraph"/>
        <w:numPr>
          <w:ilvl w:val="0"/>
          <w:numId w:val="3"/>
        </w:numPr>
        <w:spacing w:after="240"/>
        <w:contextualSpacing w:val="0"/>
      </w:pPr>
      <w:r w:rsidRPr="00760F87">
        <w:rPr>
          <w:szCs w:val="23"/>
        </w:rPr>
        <w:t>Prepare a plan for the proposed dispo</w:t>
      </w:r>
      <w:r>
        <w:rPr>
          <w:szCs w:val="23"/>
        </w:rPr>
        <w:t>sal of all property owned by PCA</w:t>
      </w:r>
      <w:r w:rsidRPr="00760F87">
        <w:rPr>
          <w:szCs w:val="23"/>
        </w:rPr>
        <w:t xml:space="preserve"> (and acquired with public funds) in order to maximize revenue in accordance with law</w:t>
      </w:r>
      <w:r w:rsidR="00F147CD">
        <w:rPr>
          <w:szCs w:val="23"/>
        </w:rPr>
        <w:t>;</w:t>
      </w:r>
      <w:r w:rsidRPr="00760F87">
        <w:rPr>
          <w:szCs w:val="23"/>
        </w:rPr>
        <w:t xml:space="preserve"> payment of any and all liabilities and the disbursemen</w:t>
      </w:r>
      <w:r>
        <w:rPr>
          <w:szCs w:val="23"/>
        </w:rPr>
        <w:t>t of any remaining assets of PCA</w:t>
      </w:r>
      <w:r w:rsidR="00F147CD">
        <w:rPr>
          <w:szCs w:val="23"/>
        </w:rPr>
        <w:t>; and</w:t>
      </w:r>
      <w:r w:rsidRPr="00760F87">
        <w:rPr>
          <w:szCs w:val="23"/>
        </w:rPr>
        <w:t xml:space="preserve"> liquidation of assets to pay off any and all outstanding liabilities, bearing in mind that assets paid for by state funds may be transferred in accordance with the nonprofit corporation’s bylaws to another public agency such as another chart</w:t>
      </w:r>
      <w:r>
        <w:rPr>
          <w:szCs w:val="23"/>
        </w:rPr>
        <w:t>er school. Assets donated to PCA</w:t>
      </w:r>
      <w:r w:rsidRPr="00760F87">
        <w:rPr>
          <w:szCs w:val="23"/>
        </w:rPr>
        <w:t xml:space="preserve"> may be returned to donors or disposed of in accordance with donor’s wishes. Net assets, (after the payment of outstanding liabilities), if any, may be transferred to another public agency such as another charter school</w:t>
      </w:r>
      <w:r>
        <w:rPr>
          <w:szCs w:val="23"/>
        </w:rPr>
        <w:t>.</w:t>
      </w:r>
    </w:p>
    <w:p w:rsidR="003D1042" w:rsidRPr="003D1042" w:rsidRDefault="003D1042" w:rsidP="000B491B">
      <w:pPr>
        <w:pStyle w:val="ListParagraph"/>
        <w:numPr>
          <w:ilvl w:val="0"/>
          <w:numId w:val="3"/>
        </w:numPr>
        <w:spacing w:after="240"/>
        <w:contextualSpacing w:val="0"/>
      </w:pPr>
      <w:r w:rsidRPr="00760F87">
        <w:rPr>
          <w:szCs w:val="23"/>
        </w:rPr>
        <w:t>Arrange for final closure audits to be paid for from the special reserve or bond revenue. The auditor engaged to perform the audit shall be from the list of approved school auditors maintained by the California State Controller’s Office and shall be approved by the CDE. The audit, at a minimum, shall determine the disposition of a</w:t>
      </w:r>
      <w:r>
        <w:rPr>
          <w:szCs w:val="23"/>
        </w:rPr>
        <w:t>ll assets and liabilities of PCA and shall verify the PCA</w:t>
      </w:r>
      <w:r w:rsidRPr="00760F87">
        <w:rPr>
          <w:szCs w:val="23"/>
        </w:rPr>
        <w:t>’s comprehensive list of creditors and debtors, and the amounts owed</w:t>
      </w:r>
      <w:r>
        <w:rPr>
          <w:szCs w:val="23"/>
        </w:rPr>
        <w:t xml:space="preserve"> or owing, as well as verify PCA</w:t>
      </w:r>
      <w:r w:rsidRPr="00760F87">
        <w:rPr>
          <w:szCs w:val="23"/>
        </w:rPr>
        <w:t>’s comprehensive list of all assets by source, noting any restrictions on each asset’s use</w:t>
      </w:r>
      <w:r>
        <w:rPr>
          <w:szCs w:val="23"/>
        </w:rPr>
        <w:t>.</w:t>
      </w:r>
    </w:p>
    <w:p w:rsidR="003D1042" w:rsidRDefault="003D1042" w:rsidP="00C20634"/>
    <w:p w:rsidR="003D1042" w:rsidRDefault="003D1042" w:rsidP="00C20634">
      <w:pPr>
        <w:sectPr w:rsidR="003D1042" w:rsidSect="00057A96">
          <w:type w:val="continuous"/>
          <w:pgSz w:w="12240" w:h="15840"/>
          <w:pgMar w:top="720" w:right="1440" w:bottom="1440" w:left="1440" w:header="720" w:footer="720" w:gutter="0"/>
          <w:cols w:space="720"/>
        </w:sectPr>
      </w:pPr>
    </w:p>
    <w:p w:rsidR="004E7793" w:rsidRPr="003D1042" w:rsidRDefault="003D1042" w:rsidP="000B491B">
      <w:pPr>
        <w:spacing w:after="100" w:afterAutospacing="1"/>
        <w:rPr>
          <w:b/>
        </w:rPr>
      </w:pPr>
      <w:r w:rsidRPr="003D1042">
        <w:rPr>
          <w:b/>
        </w:rPr>
        <w:lastRenderedPageBreak/>
        <w:t xml:space="preserve">PCA </w:t>
      </w:r>
      <w:r w:rsidR="004E7793" w:rsidRPr="003D1042">
        <w:rPr>
          <w:b/>
        </w:rPr>
        <w:t>Financial Highlights</w:t>
      </w:r>
    </w:p>
    <w:p w:rsidR="003D1042" w:rsidRPr="003D1042" w:rsidRDefault="003D1042" w:rsidP="003D1042">
      <w:r>
        <w:t>NP = Not Provided</w:t>
      </w:r>
    </w:p>
    <w:tbl>
      <w:tblPr>
        <w:tblStyle w:val="TableGrid"/>
        <w:tblW w:w="5000" w:type="pct"/>
        <w:tblLook w:val="04A0" w:firstRow="1" w:lastRow="0" w:firstColumn="1" w:lastColumn="0" w:noHBand="0" w:noVBand="1"/>
        <w:tblCaption w:val="Financial Highlights"/>
        <w:tblDescription w:val="Financial Highlights"/>
      </w:tblPr>
      <w:tblGrid>
        <w:gridCol w:w="1219"/>
        <w:gridCol w:w="1673"/>
        <w:gridCol w:w="2051"/>
        <w:gridCol w:w="1594"/>
        <w:gridCol w:w="1389"/>
        <w:gridCol w:w="962"/>
        <w:gridCol w:w="1799"/>
        <w:gridCol w:w="1468"/>
        <w:gridCol w:w="1515"/>
      </w:tblGrid>
      <w:tr w:rsidR="004E7793" w:rsidRPr="003D1042" w:rsidTr="003D1042">
        <w:trPr>
          <w:tblHeader/>
        </w:trPr>
        <w:tc>
          <w:tcPr>
            <w:tcW w:w="446" w:type="pct"/>
          </w:tcPr>
          <w:p w:rsidR="004E7793" w:rsidRPr="003D1042" w:rsidRDefault="004E7793" w:rsidP="00D36A69">
            <w:pPr>
              <w:jc w:val="center"/>
              <w:rPr>
                <w:rFonts w:cs="Arial"/>
                <w:b/>
              </w:rPr>
            </w:pPr>
            <w:r w:rsidRPr="003D1042">
              <w:rPr>
                <w:rFonts w:cs="Arial"/>
                <w:b/>
              </w:rPr>
              <w:t>FY / Source</w:t>
            </w:r>
          </w:p>
        </w:tc>
        <w:tc>
          <w:tcPr>
            <w:tcW w:w="612" w:type="pct"/>
          </w:tcPr>
          <w:p w:rsidR="004E7793" w:rsidRPr="003D1042" w:rsidRDefault="004E7793" w:rsidP="00D36A69">
            <w:pPr>
              <w:jc w:val="center"/>
              <w:rPr>
                <w:rFonts w:cs="Arial"/>
                <w:b/>
              </w:rPr>
            </w:pPr>
            <w:r w:rsidRPr="003D1042">
              <w:rPr>
                <w:rFonts w:cs="Arial"/>
                <w:b/>
              </w:rPr>
              <w:t>Total Revenues</w:t>
            </w:r>
          </w:p>
        </w:tc>
        <w:tc>
          <w:tcPr>
            <w:tcW w:w="750" w:type="pct"/>
          </w:tcPr>
          <w:p w:rsidR="004E7793" w:rsidRPr="003D1042" w:rsidRDefault="004E7793" w:rsidP="00D36A69">
            <w:pPr>
              <w:jc w:val="center"/>
              <w:rPr>
                <w:rFonts w:cs="Arial"/>
                <w:b/>
              </w:rPr>
            </w:pPr>
            <w:r w:rsidRPr="003D1042">
              <w:rPr>
                <w:rFonts w:cs="Arial"/>
                <w:b/>
              </w:rPr>
              <w:t>Total Expenditures</w:t>
            </w:r>
          </w:p>
        </w:tc>
        <w:tc>
          <w:tcPr>
            <w:tcW w:w="583" w:type="pct"/>
          </w:tcPr>
          <w:p w:rsidR="004E7793" w:rsidRPr="003D1042" w:rsidRDefault="004E7793" w:rsidP="00D36A69">
            <w:pPr>
              <w:jc w:val="center"/>
              <w:rPr>
                <w:rFonts w:cs="Arial"/>
                <w:b/>
              </w:rPr>
            </w:pPr>
            <w:r w:rsidRPr="003D1042">
              <w:rPr>
                <w:rFonts w:cs="Arial"/>
                <w:b/>
              </w:rPr>
              <w:t>Net Operating Surplus (Deficit)</w:t>
            </w:r>
          </w:p>
        </w:tc>
        <w:tc>
          <w:tcPr>
            <w:tcW w:w="508" w:type="pct"/>
          </w:tcPr>
          <w:p w:rsidR="004E7793" w:rsidRPr="003D1042" w:rsidRDefault="004E7793" w:rsidP="00D36A69">
            <w:pPr>
              <w:jc w:val="center"/>
              <w:rPr>
                <w:rFonts w:cs="Arial"/>
                <w:b/>
              </w:rPr>
            </w:pPr>
            <w:r w:rsidRPr="003D1042">
              <w:rPr>
                <w:rFonts w:cs="Arial"/>
                <w:b/>
              </w:rPr>
              <w:t>Working Capital Ratio</w:t>
            </w:r>
          </w:p>
        </w:tc>
        <w:tc>
          <w:tcPr>
            <w:tcW w:w="352" w:type="pct"/>
          </w:tcPr>
          <w:p w:rsidR="004E7793" w:rsidRPr="003D1042" w:rsidRDefault="004E7793" w:rsidP="00D36A69">
            <w:pPr>
              <w:jc w:val="center"/>
              <w:rPr>
                <w:rFonts w:cs="Arial"/>
                <w:b/>
              </w:rPr>
            </w:pPr>
            <w:r w:rsidRPr="003D1042">
              <w:rPr>
                <w:rFonts w:cs="Arial"/>
                <w:b/>
              </w:rPr>
              <w:t>Debt Ratio</w:t>
            </w:r>
          </w:p>
        </w:tc>
        <w:tc>
          <w:tcPr>
            <w:tcW w:w="658" w:type="pct"/>
          </w:tcPr>
          <w:p w:rsidR="004E7793" w:rsidRPr="003D1042" w:rsidRDefault="004E7793" w:rsidP="00D36A69">
            <w:pPr>
              <w:jc w:val="center"/>
              <w:rPr>
                <w:rFonts w:cs="Arial"/>
                <w:b/>
              </w:rPr>
            </w:pPr>
            <w:r w:rsidRPr="003D1042">
              <w:rPr>
                <w:rFonts w:cs="Arial"/>
                <w:b/>
              </w:rPr>
              <w:t>Attendance Ratio</w:t>
            </w:r>
          </w:p>
        </w:tc>
        <w:tc>
          <w:tcPr>
            <w:tcW w:w="537" w:type="pct"/>
          </w:tcPr>
          <w:p w:rsidR="004E7793" w:rsidRPr="003D1042" w:rsidRDefault="004E7793" w:rsidP="00D36A69">
            <w:pPr>
              <w:jc w:val="center"/>
              <w:rPr>
                <w:rFonts w:cs="Arial"/>
                <w:b/>
              </w:rPr>
            </w:pPr>
            <w:r w:rsidRPr="003D1042">
              <w:rPr>
                <w:rFonts w:cs="Arial"/>
                <w:b/>
              </w:rPr>
              <w:t>Ending Fund Balance</w:t>
            </w:r>
          </w:p>
        </w:tc>
        <w:tc>
          <w:tcPr>
            <w:tcW w:w="554" w:type="pct"/>
          </w:tcPr>
          <w:p w:rsidR="004E7793" w:rsidRPr="003D1042" w:rsidRDefault="004E7793" w:rsidP="00D36A69">
            <w:pPr>
              <w:jc w:val="center"/>
              <w:rPr>
                <w:rFonts w:cs="Arial"/>
                <w:b/>
              </w:rPr>
            </w:pPr>
            <w:r w:rsidRPr="003D1042">
              <w:rPr>
                <w:rFonts w:cs="Arial"/>
                <w:b/>
              </w:rPr>
              <w:t>Percent of Reserves</w:t>
            </w:r>
          </w:p>
        </w:tc>
      </w:tr>
      <w:tr w:rsidR="004E7793" w:rsidRPr="003D1042" w:rsidTr="003D1042">
        <w:tc>
          <w:tcPr>
            <w:tcW w:w="446" w:type="pct"/>
          </w:tcPr>
          <w:p w:rsidR="004E7793" w:rsidRPr="003D1042" w:rsidRDefault="004E7793" w:rsidP="00D36A69">
            <w:pPr>
              <w:rPr>
                <w:rFonts w:cs="Arial"/>
              </w:rPr>
            </w:pPr>
            <w:r w:rsidRPr="003D1042">
              <w:rPr>
                <w:rFonts w:cs="Arial"/>
              </w:rPr>
              <w:t>2016–17 Audit</w:t>
            </w:r>
          </w:p>
        </w:tc>
        <w:tc>
          <w:tcPr>
            <w:tcW w:w="612"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$1,153,993</w:t>
            </w:r>
          </w:p>
        </w:tc>
        <w:tc>
          <w:tcPr>
            <w:tcW w:w="750" w:type="pct"/>
          </w:tcPr>
          <w:p w:rsidR="004E7793" w:rsidRPr="003D1042" w:rsidRDefault="004E7793" w:rsidP="00D36A69">
            <w:pPr>
              <w:jc w:val="center"/>
              <w:rPr>
                <w:rFonts w:cs="Arial"/>
              </w:rPr>
            </w:pPr>
          </w:p>
          <w:p w:rsidR="00461A12" w:rsidRPr="003D1042" w:rsidRDefault="00461A12" w:rsidP="00D36A69">
            <w:pPr>
              <w:jc w:val="center"/>
              <w:rPr>
                <w:rFonts w:cs="Arial"/>
              </w:rPr>
            </w:pPr>
            <w:r w:rsidRPr="003D1042">
              <w:rPr>
                <w:rFonts w:cs="Arial"/>
              </w:rPr>
              <w:t>$1,103,979</w:t>
            </w:r>
          </w:p>
        </w:tc>
        <w:tc>
          <w:tcPr>
            <w:tcW w:w="583"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$50,014</w:t>
            </w:r>
          </w:p>
        </w:tc>
        <w:tc>
          <w:tcPr>
            <w:tcW w:w="508"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1.64</w:t>
            </w:r>
          </w:p>
        </w:tc>
        <w:tc>
          <w:tcPr>
            <w:tcW w:w="352"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1.14</w:t>
            </w:r>
          </w:p>
        </w:tc>
        <w:tc>
          <w:tcPr>
            <w:tcW w:w="658"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91.02</w:t>
            </w:r>
          </w:p>
        </w:tc>
        <w:tc>
          <w:tcPr>
            <w:tcW w:w="537"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($80,881)</w:t>
            </w:r>
          </w:p>
        </w:tc>
        <w:tc>
          <w:tcPr>
            <w:tcW w:w="554"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0%</w:t>
            </w:r>
          </w:p>
        </w:tc>
      </w:tr>
      <w:tr w:rsidR="004E7793" w:rsidRPr="003D1042" w:rsidTr="003D1042">
        <w:tc>
          <w:tcPr>
            <w:tcW w:w="446" w:type="pct"/>
          </w:tcPr>
          <w:p w:rsidR="004E7793" w:rsidRPr="003D1042" w:rsidRDefault="004E7793" w:rsidP="00D36A69">
            <w:pPr>
              <w:rPr>
                <w:rFonts w:cs="Arial"/>
              </w:rPr>
            </w:pPr>
            <w:r w:rsidRPr="003D1042">
              <w:rPr>
                <w:rFonts w:cs="Arial"/>
              </w:rPr>
              <w:t>2017–18 Budget</w:t>
            </w:r>
          </w:p>
        </w:tc>
        <w:tc>
          <w:tcPr>
            <w:tcW w:w="612" w:type="pct"/>
          </w:tcPr>
          <w:p w:rsidR="004E7793" w:rsidRPr="003D1042" w:rsidRDefault="004E7793" w:rsidP="00D36A69">
            <w:pPr>
              <w:jc w:val="center"/>
              <w:rPr>
                <w:rFonts w:cs="Arial"/>
              </w:rPr>
            </w:pPr>
          </w:p>
          <w:p w:rsidR="004E7793" w:rsidRPr="003D1042" w:rsidRDefault="004E7793" w:rsidP="00461A12">
            <w:pPr>
              <w:jc w:val="center"/>
              <w:rPr>
                <w:rFonts w:cs="Arial"/>
              </w:rPr>
            </w:pPr>
            <w:r w:rsidRPr="003D1042">
              <w:rPr>
                <w:rFonts w:cs="Arial"/>
              </w:rPr>
              <w:t>$</w:t>
            </w:r>
            <w:r w:rsidR="00461A12" w:rsidRPr="003D1042">
              <w:rPr>
                <w:rFonts w:cs="Arial"/>
              </w:rPr>
              <w:t>1,103,313</w:t>
            </w:r>
          </w:p>
        </w:tc>
        <w:tc>
          <w:tcPr>
            <w:tcW w:w="750" w:type="pct"/>
          </w:tcPr>
          <w:p w:rsidR="004E7793" w:rsidRPr="003D1042" w:rsidRDefault="004E7793" w:rsidP="00D36A69">
            <w:pPr>
              <w:jc w:val="center"/>
              <w:rPr>
                <w:rFonts w:cs="Arial"/>
              </w:rPr>
            </w:pPr>
          </w:p>
          <w:p w:rsidR="004E7793" w:rsidRPr="003D1042" w:rsidRDefault="004E7793" w:rsidP="00461A12">
            <w:pPr>
              <w:jc w:val="center"/>
              <w:rPr>
                <w:rFonts w:cs="Arial"/>
              </w:rPr>
            </w:pPr>
            <w:r w:rsidRPr="003D1042">
              <w:rPr>
                <w:rFonts w:cs="Arial"/>
              </w:rPr>
              <w:t>$</w:t>
            </w:r>
            <w:r w:rsidR="00461A12" w:rsidRPr="003D1042">
              <w:rPr>
                <w:rFonts w:cs="Arial"/>
              </w:rPr>
              <w:t>1,066,345</w:t>
            </w:r>
          </w:p>
        </w:tc>
        <w:tc>
          <w:tcPr>
            <w:tcW w:w="583" w:type="pct"/>
          </w:tcPr>
          <w:p w:rsidR="004E7793" w:rsidRPr="003D1042" w:rsidRDefault="004E7793" w:rsidP="00D36A69">
            <w:pPr>
              <w:jc w:val="center"/>
              <w:rPr>
                <w:rFonts w:cs="Arial"/>
              </w:rPr>
            </w:pPr>
          </w:p>
          <w:p w:rsidR="004E7793" w:rsidRPr="003D1042" w:rsidRDefault="004E7793" w:rsidP="00461A12">
            <w:pPr>
              <w:jc w:val="center"/>
              <w:rPr>
                <w:rFonts w:cs="Arial"/>
              </w:rPr>
            </w:pPr>
            <w:r w:rsidRPr="003D1042">
              <w:rPr>
                <w:rFonts w:cs="Arial"/>
              </w:rPr>
              <w:t>$</w:t>
            </w:r>
            <w:r w:rsidR="00461A12" w:rsidRPr="003D1042">
              <w:rPr>
                <w:rFonts w:cs="Arial"/>
              </w:rPr>
              <w:t>36,968</w:t>
            </w:r>
          </w:p>
        </w:tc>
        <w:tc>
          <w:tcPr>
            <w:tcW w:w="508" w:type="pct"/>
          </w:tcPr>
          <w:p w:rsidR="004E7793" w:rsidRPr="003D1042" w:rsidRDefault="004E7793" w:rsidP="00D36A69">
            <w:pPr>
              <w:jc w:val="center"/>
              <w:rPr>
                <w:rFonts w:cs="Arial"/>
              </w:rPr>
            </w:pPr>
          </w:p>
          <w:p w:rsidR="004E7793" w:rsidRPr="003D1042" w:rsidRDefault="004E7793" w:rsidP="00D36A69">
            <w:pPr>
              <w:jc w:val="center"/>
              <w:rPr>
                <w:rFonts w:cs="Arial"/>
              </w:rPr>
            </w:pPr>
            <w:r w:rsidRPr="003D1042">
              <w:rPr>
                <w:rFonts w:cs="Arial"/>
              </w:rPr>
              <w:t>NA</w:t>
            </w:r>
          </w:p>
        </w:tc>
        <w:tc>
          <w:tcPr>
            <w:tcW w:w="352" w:type="pct"/>
          </w:tcPr>
          <w:p w:rsidR="004E7793" w:rsidRPr="003D1042" w:rsidRDefault="004E7793" w:rsidP="00D36A69">
            <w:pPr>
              <w:jc w:val="center"/>
              <w:rPr>
                <w:rFonts w:cs="Arial"/>
              </w:rPr>
            </w:pPr>
          </w:p>
          <w:p w:rsidR="004E7793" w:rsidRPr="003D1042" w:rsidRDefault="004E7793" w:rsidP="00D36A69">
            <w:pPr>
              <w:jc w:val="center"/>
              <w:rPr>
                <w:rFonts w:cs="Arial"/>
              </w:rPr>
            </w:pPr>
            <w:r w:rsidRPr="003D1042">
              <w:rPr>
                <w:rFonts w:cs="Arial"/>
              </w:rPr>
              <w:t>NA</w:t>
            </w:r>
          </w:p>
        </w:tc>
        <w:tc>
          <w:tcPr>
            <w:tcW w:w="658"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92.12</w:t>
            </w:r>
            <w:r w:rsidR="004E7793" w:rsidRPr="003D1042">
              <w:rPr>
                <w:rFonts w:cs="Arial"/>
              </w:rPr>
              <w:t>%</w:t>
            </w:r>
          </w:p>
        </w:tc>
        <w:tc>
          <w:tcPr>
            <w:tcW w:w="537" w:type="pct"/>
          </w:tcPr>
          <w:p w:rsidR="004E7793" w:rsidRPr="003D1042" w:rsidRDefault="004E7793" w:rsidP="00D36A69">
            <w:pPr>
              <w:jc w:val="center"/>
              <w:rPr>
                <w:rFonts w:cs="Arial"/>
              </w:rPr>
            </w:pPr>
          </w:p>
          <w:p w:rsidR="004E7793" w:rsidRPr="003D1042" w:rsidRDefault="004E7793" w:rsidP="00461A12">
            <w:pPr>
              <w:jc w:val="center"/>
              <w:rPr>
                <w:rFonts w:cs="Arial"/>
              </w:rPr>
            </w:pPr>
            <w:r w:rsidRPr="003D1042">
              <w:rPr>
                <w:rFonts w:cs="Arial"/>
              </w:rPr>
              <w:t>($</w:t>
            </w:r>
            <w:r w:rsidR="00461A12" w:rsidRPr="003D1042">
              <w:rPr>
                <w:rFonts w:cs="Arial"/>
              </w:rPr>
              <w:t>39,471</w:t>
            </w:r>
            <w:r w:rsidRPr="003D1042">
              <w:rPr>
                <w:rFonts w:cs="Arial"/>
              </w:rPr>
              <w:t>)</w:t>
            </w:r>
          </w:p>
        </w:tc>
        <w:tc>
          <w:tcPr>
            <w:tcW w:w="554" w:type="pct"/>
          </w:tcPr>
          <w:p w:rsidR="004E7793" w:rsidRPr="003D1042" w:rsidRDefault="004E7793" w:rsidP="00D36A69">
            <w:pPr>
              <w:jc w:val="center"/>
              <w:rPr>
                <w:rFonts w:cs="Arial"/>
              </w:rPr>
            </w:pPr>
          </w:p>
          <w:p w:rsidR="004E7793" w:rsidRPr="003D1042" w:rsidRDefault="004E7793" w:rsidP="00D36A69">
            <w:pPr>
              <w:jc w:val="center"/>
              <w:rPr>
                <w:rFonts w:cs="Arial"/>
              </w:rPr>
            </w:pPr>
            <w:r w:rsidRPr="003D1042">
              <w:rPr>
                <w:rFonts w:cs="Arial"/>
              </w:rPr>
              <w:t>0%</w:t>
            </w:r>
          </w:p>
        </w:tc>
      </w:tr>
      <w:tr w:rsidR="004E7793" w:rsidRPr="003D1042" w:rsidTr="003D1042">
        <w:tc>
          <w:tcPr>
            <w:tcW w:w="446" w:type="pct"/>
          </w:tcPr>
          <w:p w:rsidR="004E7793" w:rsidRPr="003D1042" w:rsidRDefault="004E7793" w:rsidP="00D36A69">
            <w:pPr>
              <w:rPr>
                <w:rFonts w:cs="Arial"/>
              </w:rPr>
            </w:pPr>
            <w:r w:rsidRPr="003D1042">
              <w:rPr>
                <w:rFonts w:cs="Arial"/>
              </w:rPr>
              <w:t>2017–18 2nd Interim</w:t>
            </w:r>
          </w:p>
        </w:tc>
        <w:tc>
          <w:tcPr>
            <w:tcW w:w="612" w:type="pct"/>
          </w:tcPr>
          <w:p w:rsidR="004E7793" w:rsidRPr="003D1042" w:rsidRDefault="004E7793" w:rsidP="00D36A69">
            <w:pPr>
              <w:jc w:val="center"/>
              <w:rPr>
                <w:rFonts w:cs="Arial"/>
              </w:rPr>
            </w:pPr>
          </w:p>
          <w:p w:rsidR="004E7793" w:rsidRPr="003D1042" w:rsidRDefault="00461A12" w:rsidP="00461A12">
            <w:pPr>
              <w:jc w:val="center"/>
              <w:rPr>
                <w:rFonts w:cs="Arial"/>
              </w:rPr>
            </w:pPr>
            <w:r w:rsidRPr="003D1042">
              <w:rPr>
                <w:rFonts w:cs="Arial"/>
              </w:rPr>
              <w:t>NP</w:t>
            </w:r>
          </w:p>
        </w:tc>
        <w:tc>
          <w:tcPr>
            <w:tcW w:w="750"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NP</w:t>
            </w:r>
          </w:p>
        </w:tc>
        <w:tc>
          <w:tcPr>
            <w:tcW w:w="583"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NP</w:t>
            </w:r>
          </w:p>
        </w:tc>
        <w:tc>
          <w:tcPr>
            <w:tcW w:w="508" w:type="pct"/>
          </w:tcPr>
          <w:p w:rsidR="004E7793" w:rsidRPr="003D1042" w:rsidRDefault="004E7793" w:rsidP="00D36A69">
            <w:pPr>
              <w:jc w:val="center"/>
              <w:rPr>
                <w:rFonts w:cs="Arial"/>
              </w:rPr>
            </w:pPr>
          </w:p>
          <w:p w:rsidR="004E7793" w:rsidRPr="003D1042" w:rsidRDefault="00461A12" w:rsidP="00461A12">
            <w:pPr>
              <w:jc w:val="center"/>
              <w:rPr>
                <w:rFonts w:cs="Arial"/>
              </w:rPr>
            </w:pPr>
            <w:r w:rsidRPr="003D1042">
              <w:rPr>
                <w:rFonts w:cs="Arial"/>
              </w:rPr>
              <w:t>NA</w:t>
            </w:r>
          </w:p>
        </w:tc>
        <w:tc>
          <w:tcPr>
            <w:tcW w:w="352" w:type="pct"/>
          </w:tcPr>
          <w:p w:rsidR="004E7793" w:rsidRPr="003D1042" w:rsidRDefault="004E7793" w:rsidP="00D36A69">
            <w:pPr>
              <w:jc w:val="center"/>
              <w:rPr>
                <w:rFonts w:cs="Arial"/>
              </w:rPr>
            </w:pPr>
          </w:p>
          <w:p w:rsidR="004E7793" w:rsidRPr="003D1042" w:rsidRDefault="00461A12" w:rsidP="00461A12">
            <w:pPr>
              <w:jc w:val="center"/>
              <w:rPr>
                <w:rFonts w:cs="Arial"/>
              </w:rPr>
            </w:pPr>
            <w:r w:rsidRPr="003D1042">
              <w:rPr>
                <w:rFonts w:cs="Arial"/>
              </w:rPr>
              <w:t xml:space="preserve">NA </w:t>
            </w:r>
          </w:p>
        </w:tc>
        <w:tc>
          <w:tcPr>
            <w:tcW w:w="658" w:type="pct"/>
          </w:tcPr>
          <w:p w:rsidR="004E7793" w:rsidRPr="003D1042" w:rsidRDefault="004E7793" w:rsidP="00D36A69">
            <w:pPr>
              <w:jc w:val="center"/>
              <w:rPr>
                <w:rFonts w:cs="Arial"/>
              </w:rPr>
            </w:pPr>
          </w:p>
          <w:p w:rsidR="004E7793" w:rsidRPr="003D1042" w:rsidRDefault="00461A12" w:rsidP="00D36A69">
            <w:pPr>
              <w:jc w:val="center"/>
              <w:rPr>
                <w:rFonts w:cs="Arial"/>
                <w:color w:val="FF0000"/>
              </w:rPr>
            </w:pPr>
            <w:r w:rsidRPr="003D1042">
              <w:rPr>
                <w:rFonts w:cs="Arial"/>
              </w:rPr>
              <w:t>89.12%</w:t>
            </w:r>
          </w:p>
        </w:tc>
        <w:tc>
          <w:tcPr>
            <w:tcW w:w="537"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NP</w:t>
            </w:r>
          </w:p>
        </w:tc>
        <w:tc>
          <w:tcPr>
            <w:tcW w:w="554" w:type="pct"/>
          </w:tcPr>
          <w:p w:rsidR="004E7793" w:rsidRPr="003D1042" w:rsidRDefault="004E7793" w:rsidP="00D36A69">
            <w:pPr>
              <w:jc w:val="center"/>
              <w:rPr>
                <w:rFonts w:cs="Arial"/>
              </w:rPr>
            </w:pPr>
          </w:p>
          <w:p w:rsidR="004E7793" w:rsidRPr="003D1042" w:rsidRDefault="00461A12" w:rsidP="00D36A69">
            <w:pPr>
              <w:jc w:val="center"/>
              <w:rPr>
                <w:rFonts w:cs="Arial"/>
              </w:rPr>
            </w:pPr>
            <w:r w:rsidRPr="003D1042">
              <w:rPr>
                <w:rFonts w:cs="Arial"/>
              </w:rPr>
              <w:t>NA</w:t>
            </w:r>
          </w:p>
        </w:tc>
      </w:tr>
    </w:tbl>
    <w:p w:rsidR="004E7793" w:rsidRDefault="004E7793" w:rsidP="004E7793">
      <w:pPr>
        <w:sectPr w:rsidR="004E7793" w:rsidSect="003D1042">
          <w:pgSz w:w="15840" w:h="12240" w:orient="landscape"/>
          <w:pgMar w:top="1440" w:right="720" w:bottom="1440" w:left="1440" w:header="720" w:footer="720" w:gutter="0"/>
          <w:cols w:space="720"/>
          <w:docGrid w:linePitch="326"/>
        </w:sectPr>
      </w:pPr>
    </w:p>
    <w:p w:rsidR="00BE5A48" w:rsidRDefault="00BE5A48" w:rsidP="000B491B">
      <w:pPr>
        <w:pStyle w:val="Heading3"/>
      </w:pPr>
      <w:proofErr w:type="spellStart"/>
      <w:r>
        <w:lastRenderedPageBreak/>
        <w:t>Prepa</w:t>
      </w:r>
      <w:proofErr w:type="spellEnd"/>
      <w:r>
        <w:t xml:space="preserve"> Tec Los Angeles High</w:t>
      </w:r>
    </w:p>
    <w:p w:rsidR="00BE5A48" w:rsidRPr="00D270A8" w:rsidRDefault="00BE5A48" w:rsidP="00861A80">
      <w:pPr>
        <w:pStyle w:val="ListParagraph"/>
        <w:numPr>
          <w:ilvl w:val="0"/>
          <w:numId w:val="10"/>
        </w:numPr>
      </w:pPr>
      <w:r w:rsidRPr="00D270A8">
        <w:t>Charter Term Expires: 6/30/2021</w:t>
      </w:r>
    </w:p>
    <w:p w:rsidR="00BE5A48" w:rsidRPr="00D270A8" w:rsidRDefault="00BE5A48" w:rsidP="00861A80">
      <w:pPr>
        <w:pStyle w:val="ListParagraph"/>
        <w:numPr>
          <w:ilvl w:val="0"/>
          <w:numId w:val="10"/>
        </w:numPr>
      </w:pPr>
      <w:r w:rsidRPr="00D270A8">
        <w:t>Grades Authorized to Serve: 9–12</w:t>
      </w:r>
    </w:p>
    <w:p w:rsidR="00BE5A48" w:rsidRPr="00D270A8" w:rsidRDefault="00AF22B1" w:rsidP="00861A80">
      <w:pPr>
        <w:pStyle w:val="ListParagraph"/>
        <w:numPr>
          <w:ilvl w:val="0"/>
          <w:numId w:val="10"/>
        </w:numPr>
      </w:pPr>
      <w:r w:rsidRPr="00D270A8">
        <w:t>2016–17 P-</w:t>
      </w:r>
      <w:r w:rsidR="00BE5A48" w:rsidRPr="00D270A8">
        <w:t>2 ADA: 106.15</w:t>
      </w:r>
    </w:p>
    <w:p w:rsidR="001108ED" w:rsidRPr="00D270A8" w:rsidRDefault="00AF22B1" w:rsidP="00861A80">
      <w:pPr>
        <w:pStyle w:val="ListParagraph"/>
        <w:numPr>
          <w:ilvl w:val="0"/>
          <w:numId w:val="10"/>
        </w:numPr>
        <w:spacing w:after="100" w:afterAutospacing="1"/>
      </w:pPr>
      <w:r w:rsidRPr="00D270A8">
        <w:t>2017–18 P-</w:t>
      </w:r>
      <w:r w:rsidR="001108ED" w:rsidRPr="00D270A8">
        <w:t xml:space="preserve">2 ADA: </w:t>
      </w:r>
      <w:r w:rsidR="008818CA" w:rsidRPr="00D270A8">
        <w:t>206.74</w:t>
      </w:r>
    </w:p>
    <w:p w:rsidR="00BE5A48" w:rsidRDefault="00BE5A48" w:rsidP="004206BB">
      <w:pPr>
        <w:pStyle w:val="Heading4"/>
      </w:pPr>
      <w:r>
        <w:t>Fiscal Concerns</w:t>
      </w:r>
    </w:p>
    <w:p w:rsidR="00BE5A48" w:rsidRDefault="00BE5A48" w:rsidP="004206BB">
      <w:pPr>
        <w:spacing w:after="100" w:afterAutospacing="1"/>
      </w:pPr>
      <w:r>
        <w:t xml:space="preserve">The </w:t>
      </w:r>
      <w:r w:rsidR="001108ED">
        <w:t xml:space="preserve">CDE found that </w:t>
      </w:r>
      <w:proofErr w:type="spellStart"/>
      <w:r>
        <w:t>Prepa</w:t>
      </w:r>
      <w:proofErr w:type="spellEnd"/>
      <w:r>
        <w:t xml:space="preserve"> Tec Los Angeles High</w:t>
      </w:r>
      <w:r w:rsidR="0058760F">
        <w:t>’s</w:t>
      </w:r>
      <w:r>
        <w:t xml:space="preserve"> (PTLAH) </w:t>
      </w:r>
      <w:r w:rsidR="001108ED">
        <w:t xml:space="preserve">2017–18 </w:t>
      </w:r>
      <w:r>
        <w:t>second interim report project</w:t>
      </w:r>
      <w:r w:rsidR="001108ED">
        <w:t>ed</w:t>
      </w:r>
      <w:r>
        <w:t xml:space="preserve"> a negative ending fund balance of $</w:t>
      </w:r>
      <w:r w:rsidR="00D36A69">
        <w:t>556,533</w:t>
      </w:r>
      <w:r>
        <w:t xml:space="preserve"> with</w:t>
      </w:r>
      <w:r w:rsidR="00D36A69">
        <w:t xml:space="preserve"> a</w:t>
      </w:r>
      <w:r>
        <w:t xml:space="preserve"> zero percent reserve for FY 2017–18, which is below the recommended five percent in reserves outlined in the MOU between </w:t>
      </w:r>
      <w:r w:rsidR="00D36A69">
        <w:t>PTLAH</w:t>
      </w:r>
      <w:r w:rsidR="00AF22B1">
        <w:t xml:space="preserve"> and the SBE.</w:t>
      </w:r>
      <w:r w:rsidR="00D36A69">
        <w:t xml:space="preserve"> PTLAH is considered to be in poor financial condition since its inception in FY 2016–17. The multi-year projection in the second interim report also indicates that PTLAH will continue to have a projected negative ending fund balance in FY 2018–19. </w:t>
      </w:r>
      <w:r w:rsidR="00C5666F">
        <w:t>The CDE also notes that as of January 31, 2018, PTLAH owes $310,913 in outstanding vendor bills, of which $109,968 are overdue more than 90 days. In</w:t>
      </w:r>
      <w:r>
        <w:t xml:space="preserve"> addition, the CDE notes that </w:t>
      </w:r>
      <w:r w:rsidR="00D36A69">
        <w:t>PTLAH</w:t>
      </w:r>
      <w:r>
        <w:t xml:space="preserve">’s net assets </w:t>
      </w:r>
      <w:r w:rsidR="00AF22B1">
        <w:t>were</w:t>
      </w:r>
      <w:r>
        <w:t xml:space="preserve"> negative $</w:t>
      </w:r>
      <w:r w:rsidR="00D36A69">
        <w:t>690,523</w:t>
      </w:r>
      <w:r w:rsidRPr="000D281B">
        <w:t xml:space="preserve"> as of </w:t>
      </w:r>
      <w:r w:rsidR="00D36A69">
        <w:t>January 31</w:t>
      </w:r>
      <w:r>
        <w:t>, 2018</w:t>
      </w:r>
      <w:r w:rsidR="001108ED">
        <w:t>,</w:t>
      </w:r>
      <w:r w:rsidR="00AF22B1">
        <w:t xml:space="preserve"> and that</w:t>
      </w:r>
      <w:r>
        <w:t xml:space="preserve"> </w:t>
      </w:r>
      <w:r w:rsidR="00D36A69">
        <w:t>PTLAH</w:t>
      </w:r>
      <w:r>
        <w:t xml:space="preserve"> relies heavily on</w:t>
      </w:r>
      <w:r w:rsidR="00E604DD">
        <w:t xml:space="preserve"> a</w:t>
      </w:r>
      <w:r>
        <w:t xml:space="preserve"> </w:t>
      </w:r>
      <w:r w:rsidR="00C5666F">
        <w:t>line of credit</w:t>
      </w:r>
      <w:r w:rsidR="001108ED">
        <w:t xml:space="preserve"> of $514,000</w:t>
      </w:r>
      <w:r>
        <w:t xml:space="preserve"> to help cash shortages.</w:t>
      </w:r>
    </w:p>
    <w:p w:rsidR="004206BB" w:rsidRDefault="004206BB" w:rsidP="004206BB">
      <w:pPr>
        <w:pStyle w:val="Heading4"/>
      </w:pPr>
      <w:r>
        <w:t>California Department of Education Follow-Up</w:t>
      </w:r>
    </w:p>
    <w:p w:rsidR="004206BB" w:rsidRDefault="004206BB" w:rsidP="004206BB">
      <w:r>
        <w:t>On June 5, 2018, the CDE had a conference call with PTLAH regarding the fiscal concerns of a negative ending fund balance with a zero percent reserve on the 2017–18 second interim report. The CDE issued a Letter of Concern to the PTLAH Board, identifying the fiscal concerns including</w:t>
      </w:r>
      <w:r w:rsidR="00AF22B1">
        <w:t xml:space="preserve"> the</w:t>
      </w:r>
      <w:r>
        <w:t xml:space="preserve"> negative ending fund balance and a zero percent reserve on the second interim report and requested a FCAP to address these concerns</w:t>
      </w:r>
      <w:r w:rsidRPr="00044BA8">
        <w:t xml:space="preserve"> </w:t>
      </w:r>
      <w:r>
        <w:t>to be submitted to the CDE by July 26, 2018. The CDE will continue to monitor the PTLAH budget, and may recommend that the SBE take appropriate action, as deemed necessary.</w:t>
      </w:r>
    </w:p>
    <w:p w:rsidR="004206BB" w:rsidRDefault="004206BB" w:rsidP="00BE5A48">
      <w:pPr>
        <w:ind w:left="720"/>
        <w:sectPr w:rsidR="004206BB" w:rsidSect="00057A96">
          <w:type w:val="continuous"/>
          <w:pgSz w:w="12240" w:h="15840"/>
          <w:pgMar w:top="720" w:right="1440" w:bottom="1440" w:left="1440" w:header="720" w:footer="720" w:gutter="0"/>
          <w:cols w:space="720"/>
        </w:sectPr>
      </w:pPr>
    </w:p>
    <w:p w:rsidR="00BE5A48" w:rsidRPr="00A75084" w:rsidRDefault="00A75084" w:rsidP="00A75084">
      <w:pPr>
        <w:spacing w:after="100" w:afterAutospacing="1"/>
        <w:rPr>
          <w:b/>
        </w:rPr>
      </w:pPr>
      <w:r w:rsidRPr="00A75084">
        <w:rPr>
          <w:b/>
        </w:rPr>
        <w:lastRenderedPageBreak/>
        <w:t xml:space="preserve">PTLAH </w:t>
      </w:r>
      <w:r w:rsidR="00BE5A48" w:rsidRPr="00A75084">
        <w:rPr>
          <w:b/>
        </w:rPr>
        <w:t>Financial Highlights</w:t>
      </w:r>
    </w:p>
    <w:tbl>
      <w:tblPr>
        <w:tblStyle w:val="TableGrid"/>
        <w:tblW w:w="5000" w:type="pct"/>
        <w:tblLook w:val="04A0" w:firstRow="1" w:lastRow="0" w:firstColumn="1" w:lastColumn="0" w:noHBand="0" w:noVBand="1"/>
        <w:tblCaption w:val="Financial Highlights"/>
        <w:tblDescription w:val="Financial Highlights"/>
      </w:tblPr>
      <w:tblGrid>
        <w:gridCol w:w="1234"/>
        <w:gridCol w:w="1633"/>
        <w:gridCol w:w="1986"/>
        <w:gridCol w:w="1588"/>
        <w:gridCol w:w="1381"/>
        <w:gridCol w:w="1020"/>
        <w:gridCol w:w="1750"/>
        <w:gridCol w:w="1588"/>
        <w:gridCol w:w="1490"/>
      </w:tblGrid>
      <w:tr w:rsidR="00BE5A48" w:rsidRPr="00A75084" w:rsidTr="00A75084">
        <w:trPr>
          <w:tblHeader/>
        </w:trPr>
        <w:tc>
          <w:tcPr>
            <w:tcW w:w="451" w:type="pct"/>
          </w:tcPr>
          <w:p w:rsidR="00BE5A48" w:rsidRPr="00A75084" w:rsidRDefault="00BE5A48" w:rsidP="00D36A69">
            <w:pPr>
              <w:jc w:val="center"/>
              <w:rPr>
                <w:rFonts w:cs="Arial"/>
                <w:b/>
              </w:rPr>
            </w:pPr>
            <w:r w:rsidRPr="00A75084">
              <w:rPr>
                <w:rFonts w:cs="Arial"/>
                <w:b/>
              </w:rPr>
              <w:t>FY / Source</w:t>
            </w:r>
          </w:p>
        </w:tc>
        <w:tc>
          <w:tcPr>
            <w:tcW w:w="597" w:type="pct"/>
          </w:tcPr>
          <w:p w:rsidR="00BE5A48" w:rsidRPr="00A75084" w:rsidRDefault="00BE5A48" w:rsidP="00D36A69">
            <w:pPr>
              <w:jc w:val="center"/>
              <w:rPr>
                <w:rFonts w:cs="Arial"/>
                <w:b/>
              </w:rPr>
            </w:pPr>
            <w:r w:rsidRPr="00A75084">
              <w:rPr>
                <w:rFonts w:cs="Arial"/>
                <w:b/>
              </w:rPr>
              <w:t>Total Revenues</w:t>
            </w:r>
          </w:p>
        </w:tc>
        <w:tc>
          <w:tcPr>
            <w:tcW w:w="726" w:type="pct"/>
          </w:tcPr>
          <w:p w:rsidR="00BE5A48" w:rsidRPr="00A75084" w:rsidRDefault="00BE5A48" w:rsidP="00D36A69">
            <w:pPr>
              <w:jc w:val="center"/>
              <w:rPr>
                <w:rFonts w:cs="Arial"/>
                <w:b/>
              </w:rPr>
            </w:pPr>
            <w:r w:rsidRPr="00A75084">
              <w:rPr>
                <w:rFonts w:cs="Arial"/>
                <w:b/>
              </w:rPr>
              <w:t>Total Expenditures</w:t>
            </w:r>
          </w:p>
        </w:tc>
        <w:tc>
          <w:tcPr>
            <w:tcW w:w="581" w:type="pct"/>
          </w:tcPr>
          <w:p w:rsidR="00BE5A48" w:rsidRPr="00A75084" w:rsidRDefault="00BE5A48" w:rsidP="00D36A69">
            <w:pPr>
              <w:jc w:val="center"/>
              <w:rPr>
                <w:rFonts w:cs="Arial"/>
                <w:b/>
              </w:rPr>
            </w:pPr>
            <w:r w:rsidRPr="00A75084">
              <w:rPr>
                <w:rFonts w:cs="Arial"/>
                <w:b/>
              </w:rPr>
              <w:t>Net Operating Surplus (Deficit)</w:t>
            </w:r>
          </w:p>
        </w:tc>
        <w:tc>
          <w:tcPr>
            <w:tcW w:w="505" w:type="pct"/>
          </w:tcPr>
          <w:p w:rsidR="00BE5A48" w:rsidRPr="00A75084" w:rsidRDefault="00BE5A48" w:rsidP="00D36A69">
            <w:pPr>
              <w:jc w:val="center"/>
              <w:rPr>
                <w:rFonts w:cs="Arial"/>
                <w:b/>
              </w:rPr>
            </w:pPr>
            <w:r w:rsidRPr="00A75084">
              <w:rPr>
                <w:rFonts w:cs="Arial"/>
                <w:b/>
              </w:rPr>
              <w:t>Working Capital Ratio</w:t>
            </w:r>
          </w:p>
        </w:tc>
        <w:tc>
          <w:tcPr>
            <w:tcW w:w="373" w:type="pct"/>
          </w:tcPr>
          <w:p w:rsidR="00BE5A48" w:rsidRPr="00A75084" w:rsidRDefault="00BE5A48" w:rsidP="00D36A69">
            <w:pPr>
              <w:jc w:val="center"/>
              <w:rPr>
                <w:rFonts w:cs="Arial"/>
                <w:b/>
              </w:rPr>
            </w:pPr>
            <w:r w:rsidRPr="00A75084">
              <w:rPr>
                <w:rFonts w:cs="Arial"/>
                <w:b/>
              </w:rPr>
              <w:t>Debt Ratio</w:t>
            </w:r>
          </w:p>
        </w:tc>
        <w:tc>
          <w:tcPr>
            <w:tcW w:w="640" w:type="pct"/>
          </w:tcPr>
          <w:p w:rsidR="00BE5A48" w:rsidRPr="00A75084" w:rsidRDefault="00BE5A48" w:rsidP="00D36A69">
            <w:pPr>
              <w:jc w:val="center"/>
              <w:rPr>
                <w:rFonts w:cs="Arial"/>
                <w:b/>
              </w:rPr>
            </w:pPr>
            <w:r w:rsidRPr="00A75084">
              <w:rPr>
                <w:rFonts w:cs="Arial"/>
                <w:b/>
              </w:rPr>
              <w:t>Attendance Ratio</w:t>
            </w:r>
          </w:p>
        </w:tc>
        <w:tc>
          <w:tcPr>
            <w:tcW w:w="581" w:type="pct"/>
          </w:tcPr>
          <w:p w:rsidR="00BE5A48" w:rsidRPr="00A75084" w:rsidRDefault="00BE5A48" w:rsidP="00D36A69">
            <w:pPr>
              <w:jc w:val="center"/>
              <w:rPr>
                <w:rFonts w:cs="Arial"/>
                <w:b/>
              </w:rPr>
            </w:pPr>
            <w:r w:rsidRPr="00A75084">
              <w:rPr>
                <w:rFonts w:cs="Arial"/>
                <w:b/>
              </w:rPr>
              <w:t>Ending Fund Balance</w:t>
            </w:r>
          </w:p>
        </w:tc>
        <w:tc>
          <w:tcPr>
            <w:tcW w:w="545" w:type="pct"/>
          </w:tcPr>
          <w:p w:rsidR="00BE5A48" w:rsidRPr="00A75084" w:rsidRDefault="00BE5A48" w:rsidP="00D36A69">
            <w:pPr>
              <w:jc w:val="center"/>
              <w:rPr>
                <w:rFonts w:cs="Arial"/>
                <w:b/>
              </w:rPr>
            </w:pPr>
            <w:r w:rsidRPr="00A75084">
              <w:rPr>
                <w:rFonts w:cs="Arial"/>
                <w:b/>
              </w:rPr>
              <w:t>Percent of Reserves</w:t>
            </w:r>
          </w:p>
        </w:tc>
      </w:tr>
      <w:tr w:rsidR="00BE5A48" w:rsidRPr="00A75084" w:rsidTr="00A75084">
        <w:tc>
          <w:tcPr>
            <w:tcW w:w="451" w:type="pct"/>
          </w:tcPr>
          <w:p w:rsidR="00BE5A48" w:rsidRPr="00A75084" w:rsidRDefault="00BE5A48" w:rsidP="00D36A69">
            <w:pPr>
              <w:rPr>
                <w:rFonts w:cs="Arial"/>
              </w:rPr>
            </w:pPr>
            <w:r w:rsidRPr="00A75084">
              <w:rPr>
                <w:rFonts w:cs="Arial"/>
              </w:rPr>
              <w:t>2016–17 Audit</w:t>
            </w:r>
          </w:p>
        </w:tc>
        <w:tc>
          <w:tcPr>
            <w:tcW w:w="597"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$1,427,902</w:t>
            </w:r>
          </w:p>
        </w:tc>
        <w:tc>
          <w:tcPr>
            <w:tcW w:w="726"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$1,759,185</w:t>
            </w:r>
          </w:p>
        </w:tc>
        <w:tc>
          <w:tcPr>
            <w:tcW w:w="581"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($331,283)</w:t>
            </w:r>
          </w:p>
        </w:tc>
        <w:tc>
          <w:tcPr>
            <w:tcW w:w="505"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0.2</w:t>
            </w:r>
          </w:p>
        </w:tc>
        <w:tc>
          <w:tcPr>
            <w:tcW w:w="373"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1.32</w:t>
            </w:r>
          </w:p>
        </w:tc>
        <w:tc>
          <w:tcPr>
            <w:tcW w:w="640"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94.8</w:t>
            </w:r>
          </w:p>
        </w:tc>
        <w:tc>
          <w:tcPr>
            <w:tcW w:w="581"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($331,283)</w:t>
            </w:r>
          </w:p>
        </w:tc>
        <w:tc>
          <w:tcPr>
            <w:tcW w:w="545" w:type="pct"/>
          </w:tcPr>
          <w:p w:rsidR="00BE5A48" w:rsidRPr="00A75084" w:rsidRDefault="00BE5A48" w:rsidP="00D36A69">
            <w:pPr>
              <w:jc w:val="center"/>
              <w:rPr>
                <w:rFonts w:cs="Arial"/>
              </w:rPr>
            </w:pPr>
          </w:p>
          <w:p w:rsidR="00BE5A48" w:rsidRPr="00A75084" w:rsidRDefault="00C5666F" w:rsidP="00C5666F">
            <w:pPr>
              <w:jc w:val="center"/>
              <w:rPr>
                <w:rFonts w:cs="Arial"/>
              </w:rPr>
            </w:pPr>
            <w:r w:rsidRPr="00A75084">
              <w:rPr>
                <w:rFonts w:cs="Arial"/>
              </w:rPr>
              <w:t>0%</w:t>
            </w:r>
          </w:p>
        </w:tc>
      </w:tr>
      <w:tr w:rsidR="00BE5A48" w:rsidRPr="00A75084" w:rsidTr="00A75084">
        <w:tc>
          <w:tcPr>
            <w:tcW w:w="451" w:type="pct"/>
          </w:tcPr>
          <w:p w:rsidR="00BE5A48" w:rsidRPr="00A75084" w:rsidRDefault="00BE5A48" w:rsidP="00D36A69">
            <w:pPr>
              <w:rPr>
                <w:rFonts w:cs="Arial"/>
              </w:rPr>
            </w:pPr>
            <w:r w:rsidRPr="00A75084">
              <w:rPr>
                <w:rFonts w:cs="Arial"/>
              </w:rPr>
              <w:t>2017–18 Budget</w:t>
            </w:r>
          </w:p>
        </w:tc>
        <w:tc>
          <w:tcPr>
            <w:tcW w:w="597"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3,700,041</w:t>
            </w:r>
          </w:p>
        </w:tc>
        <w:tc>
          <w:tcPr>
            <w:tcW w:w="726"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3,326,404</w:t>
            </w:r>
          </w:p>
        </w:tc>
        <w:tc>
          <w:tcPr>
            <w:tcW w:w="581"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373,637</w:t>
            </w:r>
          </w:p>
        </w:tc>
        <w:tc>
          <w:tcPr>
            <w:tcW w:w="505" w:type="pct"/>
          </w:tcPr>
          <w:p w:rsidR="00BE5A48" w:rsidRPr="00A75084" w:rsidRDefault="00BE5A48" w:rsidP="00D36A69">
            <w:pPr>
              <w:jc w:val="center"/>
              <w:rPr>
                <w:rFonts w:cs="Arial"/>
              </w:rPr>
            </w:pPr>
          </w:p>
          <w:p w:rsidR="00BE5A48" w:rsidRPr="00A75084" w:rsidRDefault="00BE5A48" w:rsidP="00D36A69">
            <w:pPr>
              <w:jc w:val="center"/>
              <w:rPr>
                <w:rFonts w:cs="Arial"/>
              </w:rPr>
            </w:pPr>
            <w:r w:rsidRPr="00A75084">
              <w:rPr>
                <w:rFonts w:cs="Arial"/>
              </w:rPr>
              <w:t>NA</w:t>
            </w:r>
          </w:p>
        </w:tc>
        <w:tc>
          <w:tcPr>
            <w:tcW w:w="373" w:type="pct"/>
          </w:tcPr>
          <w:p w:rsidR="00BE5A48" w:rsidRPr="00A75084" w:rsidRDefault="00BE5A48" w:rsidP="00D36A69">
            <w:pPr>
              <w:jc w:val="center"/>
              <w:rPr>
                <w:rFonts w:cs="Arial"/>
              </w:rPr>
            </w:pPr>
          </w:p>
          <w:p w:rsidR="00BE5A48" w:rsidRPr="00A75084" w:rsidRDefault="00BE5A48" w:rsidP="00D36A69">
            <w:pPr>
              <w:jc w:val="center"/>
              <w:rPr>
                <w:rFonts w:cs="Arial"/>
              </w:rPr>
            </w:pPr>
            <w:r w:rsidRPr="00A75084">
              <w:rPr>
                <w:rFonts w:cs="Arial"/>
              </w:rPr>
              <w:t>NA</w:t>
            </w:r>
          </w:p>
        </w:tc>
        <w:tc>
          <w:tcPr>
            <w:tcW w:w="640"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92.6</w:t>
            </w:r>
            <w:r w:rsidR="00BE5A48" w:rsidRPr="00A75084">
              <w:rPr>
                <w:rFonts w:cs="Arial"/>
              </w:rPr>
              <w:t>%</w:t>
            </w:r>
          </w:p>
        </w:tc>
        <w:tc>
          <w:tcPr>
            <w:tcW w:w="581"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143,898</w:t>
            </w:r>
          </w:p>
        </w:tc>
        <w:tc>
          <w:tcPr>
            <w:tcW w:w="545"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4.3</w:t>
            </w:r>
            <w:r w:rsidR="00BE5A48" w:rsidRPr="00A75084">
              <w:rPr>
                <w:rFonts w:cs="Arial"/>
              </w:rPr>
              <w:t>%</w:t>
            </w:r>
          </w:p>
        </w:tc>
      </w:tr>
      <w:tr w:rsidR="00BE5A48" w:rsidRPr="00A75084" w:rsidTr="00A75084">
        <w:tc>
          <w:tcPr>
            <w:tcW w:w="451" w:type="pct"/>
          </w:tcPr>
          <w:p w:rsidR="00BE5A48" w:rsidRPr="00A75084" w:rsidRDefault="00BE5A48" w:rsidP="00D36A69">
            <w:pPr>
              <w:rPr>
                <w:rFonts w:cs="Arial"/>
              </w:rPr>
            </w:pPr>
            <w:r w:rsidRPr="00A75084">
              <w:rPr>
                <w:rFonts w:cs="Arial"/>
              </w:rPr>
              <w:t>2017–18 2nd Interim</w:t>
            </w:r>
          </w:p>
        </w:tc>
        <w:tc>
          <w:tcPr>
            <w:tcW w:w="597"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3,218,920</w:t>
            </w:r>
          </w:p>
        </w:tc>
        <w:tc>
          <w:tcPr>
            <w:tcW w:w="726"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3,444,170</w:t>
            </w:r>
          </w:p>
        </w:tc>
        <w:tc>
          <w:tcPr>
            <w:tcW w:w="581" w:type="pct"/>
          </w:tcPr>
          <w:p w:rsidR="00BE5A48" w:rsidRPr="00A75084" w:rsidRDefault="00BE5A48" w:rsidP="00D36A69">
            <w:pPr>
              <w:jc w:val="center"/>
              <w:rPr>
                <w:rFonts w:cs="Arial"/>
              </w:rPr>
            </w:pPr>
          </w:p>
          <w:p w:rsidR="00BE5A48" w:rsidRPr="00A75084" w:rsidRDefault="00BE5A48" w:rsidP="00C5666F">
            <w:pPr>
              <w:jc w:val="center"/>
              <w:rPr>
                <w:rFonts w:cs="Arial"/>
              </w:rPr>
            </w:pPr>
            <w:r w:rsidRPr="00A75084">
              <w:rPr>
                <w:rFonts w:cs="Arial"/>
              </w:rPr>
              <w:t>($</w:t>
            </w:r>
            <w:r w:rsidR="00C5666F" w:rsidRPr="00A75084">
              <w:rPr>
                <w:rFonts w:cs="Arial"/>
              </w:rPr>
              <w:t>225,250</w:t>
            </w:r>
            <w:r w:rsidRPr="00A75084">
              <w:rPr>
                <w:rFonts w:cs="Arial"/>
              </w:rPr>
              <w:t>)</w:t>
            </w:r>
          </w:p>
        </w:tc>
        <w:tc>
          <w:tcPr>
            <w:tcW w:w="505" w:type="pct"/>
          </w:tcPr>
          <w:p w:rsidR="00BE5A48" w:rsidRPr="00A75084" w:rsidRDefault="00BE5A48" w:rsidP="00D36A69">
            <w:pPr>
              <w:jc w:val="center"/>
              <w:rPr>
                <w:rFonts w:cs="Arial"/>
              </w:rPr>
            </w:pPr>
          </w:p>
          <w:p w:rsidR="00BE5A48" w:rsidRPr="00A75084" w:rsidRDefault="00BE5A48" w:rsidP="00D36A69">
            <w:pPr>
              <w:jc w:val="center"/>
              <w:rPr>
                <w:rFonts w:cs="Arial"/>
              </w:rPr>
            </w:pPr>
            <w:r w:rsidRPr="00A75084">
              <w:rPr>
                <w:rFonts w:cs="Arial"/>
              </w:rPr>
              <w:t>NA</w:t>
            </w:r>
          </w:p>
        </w:tc>
        <w:tc>
          <w:tcPr>
            <w:tcW w:w="373" w:type="pct"/>
          </w:tcPr>
          <w:p w:rsidR="00BE5A48" w:rsidRPr="00A75084" w:rsidRDefault="00BE5A48" w:rsidP="00D36A69">
            <w:pPr>
              <w:jc w:val="center"/>
              <w:rPr>
                <w:rFonts w:cs="Arial"/>
              </w:rPr>
            </w:pPr>
          </w:p>
          <w:p w:rsidR="00BE5A48" w:rsidRPr="00A75084" w:rsidRDefault="00BE5A48" w:rsidP="00D36A69">
            <w:pPr>
              <w:jc w:val="center"/>
              <w:rPr>
                <w:rFonts w:cs="Arial"/>
              </w:rPr>
            </w:pPr>
            <w:r w:rsidRPr="00A75084">
              <w:rPr>
                <w:rFonts w:cs="Arial"/>
              </w:rPr>
              <w:t>NA</w:t>
            </w:r>
          </w:p>
          <w:p w:rsidR="00BE5A48" w:rsidRPr="00A75084" w:rsidRDefault="00BE5A48" w:rsidP="00D36A69">
            <w:pPr>
              <w:jc w:val="center"/>
              <w:rPr>
                <w:rFonts w:cs="Arial"/>
              </w:rPr>
            </w:pPr>
          </w:p>
        </w:tc>
        <w:tc>
          <w:tcPr>
            <w:tcW w:w="640" w:type="pct"/>
          </w:tcPr>
          <w:p w:rsidR="00BE5A48" w:rsidRPr="00A75084" w:rsidRDefault="00BE5A48" w:rsidP="00D36A69">
            <w:pPr>
              <w:jc w:val="center"/>
              <w:rPr>
                <w:rFonts w:cs="Arial"/>
              </w:rPr>
            </w:pPr>
          </w:p>
          <w:p w:rsidR="00BE5A48" w:rsidRPr="00A75084" w:rsidRDefault="00044BA8" w:rsidP="00D36A69">
            <w:pPr>
              <w:jc w:val="center"/>
              <w:rPr>
                <w:rFonts w:cs="Arial"/>
                <w:color w:val="FF0000"/>
              </w:rPr>
            </w:pPr>
            <w:r w:rsidRPr="00A75084">
              <w:rPr>
                <w:rFonts w:cs="Arial"/>
              </w:rPr>
              <w:t>92.3%</w:t>
            </w:r>
          </w:p>
        </w:tc>
        <w:tc>
          <w:tcPr>
            <w:tcW w:w="581" w:type="pct"/>
          </w:tcPr>
          <w:p w:rsidR="00BE5A48" w:rsidRPr="00A75084" w:rsidRDefault="00BE5A48" w:rsidP="00D36A69">
            <w:pPr>
              <w:jc w:val="center"/>
              <w:rPr>
                <w:rFonts w:cs="Arial"/>
              </w:rPr>
            </w:pPr>
          </w:p>
          <w:p w:rsidR="00BE5A48" w:rsidRPr="00A75084" w:rsidRDefault="00C5666F" w:rsidP="00D36A69">
            <w:pPr>
              <w:jc w:val="center"/>
              <w:rPr>
                <w:rFonts w:cs="Arial"/>
              </w:rPr>
            </w:pPr>
            <w:r w:rsidRPr="00A75084">
              <w:rPr>
                <w:rFonts w:cs="Arial"/>
              </w:rPr>
              <w:t>($556,533</w:t>
            </w:r>
            <w:r w:rsidR="00BE5A48" w:rsidRPr="00A75084">
              <w:rPr>
                <w:rFonts w:cs="Arial"/>
              </w:rPr>
              <w:t>)</w:t>
            </w:r>
          </w:p>
        </w:tc>
        <w:tc>
          <w:tcPr>
            <w:tcW w:w="545" w:type="pct"/>
          </w:tcPr>
          <w:p w:rsidR="00BE5A48" w:rsidRPr="00A75084" w:rsidRDefault="00BE5A48" w:rsidP="00D36A69">
            <w:pPr>
              <w:jc w:val="center"/>
              <w:rPr>
                <w:rFonts w:cs="Arial"/>
              </w:rPr>
            </w:pPr>
          </w:p>
          <w:p w:rsidR="00BE5A48" w:rsidRPr="00A75084" w:rsidRDefault="00BE5A48" w:rsidP="00D36A69">
            <w:pPr>
              <w:jc w:val="center"/>
              <w:rPr>
                <w:rFonts w:cs="Arial"/>
              </w:rPr>
            </w:pPr>
            <w:r w:rsidRPr="00A75084">
              <w:rPr>
                <w:rFonts w:cs="Arial"/>
              </w:rPr>
              <w:t>0%</w:t>
            </w:r>
          </w:p>
        </w:tc>
      </w:tr>
    </w:tbl>
    <w:p w:rsidR="00BE5A48" w:rsidRDefault="00BE5A48" w:rsidP="00BE5A48">
      <w:pPr>
        <w:sectPr w:rsidR="00BE5A48" w:rsidSect="00A75084">
          <w:pgSz w:w="15840" w:h="12240" w:orient="landscape"/>
          <w:pgMar w:top="1440" w:right="720" w:bottom="1440" w:left="1440" w:header="720" w:footer="720" w:gutter="0"/>
          <w:cols w:space="720"/>
          <w:docGrid w:linePitch="326"/>
        </w:sectPr>
      </w:pPr>
    </w:p>
    <w:p w:rsidR="00917EB2" w:rsidRDefault="00586C01" w:rsidP="000B491B">
      <w:pPr>
        <w:pStyle w:val="Heading3"/>
      </w:pPr>
      <w:proofErr w:type="spellStart"/>
      <w:r>
        <w:lastRenderedPageBreak/>
        <w:t>Rocketship</w:t>
      </w:r>
      <w:proofErr w:type="spellEnd"/>
      <w:r>
        <w:t xml:space="preserve"> </w:t>
      </w:r>
      <w:proofErr w:type="spellStart"/>
      <w:r>
        <w:t>Futuro</w:t>
      </w:r>
      <w:proofErr w:type="spellEnd"/>
      <w:r>
        <w:t xml:space="preserve"> Academy</w:t>
      </w:r>
    </w:p>
    <w:p w:rsidR="00586C01" w:rsidRDefault="00586C01" w:rsidP="00861A80">
      <w:pPr>
        <w:pStyle w:val="ListParagraph"/>
        <w:numPr>
          <w:ilvl w:val="0"/>
          <w:numId w:val="11"/>
        </w:numPr>
      </w:pPr>
      <w:r>
        <w:t>Charter Term Expires: 6/30/2021</w:t>
      </w:r>
    </w:p>
    <w:p w:rsidR="00586C01" w:rsidRDefault="00586C01" w:rsidP="00861A80">
      <w:pPr>
        <w:pStyle w:val="ListParagraph"/>
        <w:numPr>
          <w:ilvl w:val="0"/>
          <w:numId w:val="11"/>
        </w:numPr>
      </w:pPr>
      <w:r>
        <w:t>Grades Authorized to Serve: K</w:t>
      </w:r>
      <w:r w:rsidR="0058760F">
        <w:t>–5</w:t>
      </w:r>
    </w:p>
    <w:p w:rsidR="00586C01" w:rsidRDefault="00AF22B1" w:rsidP="00861A80">
      <w:pPr>
        <w:pStyle w:val="ListParagraph"/>
        <w:numPr>
          <w:ilvl w:val="0"/>
          <w:numId w:val="11"/>
        </w:numPr>
      </w:pPr>
      <w:r>
        <w:t>2016–17 P-</w:t>
      </w:r>
      <w:r w:rsidR="00586C01">
        <w:t>2</w:t>
      </w:r>
      <w:r w:rsidR="0058760F">
        <w:t xml:space="preserve"> ADA: 117.98</w:t>
      </w:r>
    </w:p>
    <w:p w:rsidR="001108ED" w:rsidRDefault="00AF22B1" w:rsidP="00861A80">
      <w:pPr>
        <w:pStyle w:val="ListParagraph"/>
        <w:numPr>
          <w:ilvl w:val="0"/>
          <w:numId w:val="11"/>
        </w:numPr>
        <w:spacing w:after="100" w:afterAutospacing="1"/>
      </w:pPr>
      <w:r>
        <w:t>2017–18 P-</w:t>
      </w:r>
      <w:r w:rsidR="001108ED">
        <w:t xml:space="preserve">2 ADA: </w:t>
      </w:r>
      <w:r w:rsidR="00143030">
        <w:t>269.76</w:t>
      </w:r>
    </w:p>
    <w:p w:rsidR="00586C01" w:rsidRDefault="00586C01" w:rsidP="00917EB2">
      <w:pPr>
        <w:pStyle w:val="Heading4"/>
      </w:pPr>
      <w:r>
        <w:t>Fiscal Concerns</w:t>
      </w:r>
    </w:p>
    <w:p w:rsidR="00586C01" w:rsidRDefault="00586C01" w:rsidP="00917EB2">
      <w:pPr>
        <w:spacing w:after="100" w:afterAutospacing="1"/>
      </w:pPr>
      <w:r>
        <w:t xml:space="preserve">The </w:t>
      </w:r>
      <w:r w:rsidR="001108ED">
        <w:t xml:space="preserve">CDE found that </w:t>
      </w:r>
      <w:proofErr w:type="spellStart"/>
      <w:r w:rsidR="0058760F">
        <w:t>Rocketship</w:t>
      </w:r>
      <w:proofErr w:type="spellEnd"/>
      <w:r w:rsidR="0058760F">
        <w:t xml:space="preserve"> </w:t>
      </w:r>
      <w:proofErr w:type="spellStart"/>
      <w:r w:rsidR="0058760F">
        <w:t>Futuro</w:t>
      </w:r>
      <w:proofErr w:type="spellEnd"/>
      <w:r w:rsidR="0058760F">
        <w:t xml:space="preserve"> Academy’s</w:t>
      </w:r>
      <w:r>
        <w:t xml:space="preserve"> (</w:t>
      </w:r>
      <w:r w:rsidR="0058760F">
        <w:t>RFA</w:t>
      </w:r>
      <w:r>
        <w:t xml:space="preserve">) </w:t>
      </w:r>
      <w:r w:rsidR="001108ED">
        <w:t xml:space="preserve">2017–18 </w:t>
      </w:r>
      <w:r>
        <w:t>second interim report project</w:t>
      </w:r>
      <w:r w:rsidR="001108ED">
        <w:t>ed</w:t>
      </w:r>
      <w:r>
        <w:t xml:space="preserve"> a negative ending fund balance of $</w:t>
      </w:r>
      <w:r w:rsidR="0058760F">
        <w:t>916,509</w:t>
      </w:r>
      <w:r>
        <w:t xml:space="preserve"> with a zero percent reserve for FY 2017–18, which is below the recommended five percent in reserves outlined in the MOU between </w:t>
      </w:r>
      <w:r w:rsidR="0058760F">
        <w:t>RFA</w:t>
      </w:r>
      <w:r w:rsidR="00AF22B1">
        <w:t xml:space="preserve"> and the SBE.</w:t>
      </w:r>
      <w:r>
        <w:t xml:space="preserve"> </w:t>
      </w:r>
      <w:r w:rsidR="0058760F">
        <w:t>RFA</w:t>
      </w:r>
      <w:r>
        <w:t xml:space="preserve"> is considered to be in poor financial condition since its inception in FY 2016–17. The multi-year projection in the second interim report also indicates that </w:t>
      </w:r>
      <w:r w:rsidR="0058760F">
        <w:t>RFA</w:t>
      </w:r>
      <w:r>
        <w:t xml:space="preserve"> will continue to have a projected negative ending fund balance in </w:t>
      </w:r>
      <w:r w:rsidRPr="00957D56">
        <w:t>FY 2018–19</w:t>
      </w:r>
      <w:r>
        <w:t xml:space="preserve">. The CDE also notes that as of January 31, 2018, </w:t>
      </w:r>
      <w:r w:rsidR="0058760F">
        <w:t>RFA</w:t>
      </w:r>
      <w:r>
        <w:t xml:space="preserve"> owes $</w:t>
      </w:r>
      <w:r w:rsidR="0058760F">
        <w:t>1,423,193</w:t>
      </w:r>
      <w:r>
        <w:t xml:space="preserve"> in outstanding vendor bills, of which $</w:t>
      </w:r>
      <w:r w:rsidR="0058760F">
        <w:t>425,697</w:t>
      </w:r>
      <w:r>
        <w:t xml:space="preserve"> are overdue more than 90 days. In addition, the CDE notes that </w:t>
      </w:r>
      <w:r w:rsidR="0058760F">
        <w:t>RFA</w:t>
      </w:r>
      <w:r>
        <w:t xml:space="preserve">’s net assets </w:t>
      </w:r>
      <w:r w:rsidR="00AF22B1">
        <w:t>were</w:t>
      </w:r>
      <w:r>
        <w:t xml:space="preserve"> negative $</w:t>
      </w:r>
      <w:r w:rsidR="0058760F">
        <w:t>845,933</w:t>
      </w:r>
      <w:r w:rsidRPr="000D281B">
        <w:t xml:space="preserve"> as of </w:t>
      </w:r>
      <w:r w:rsidR="00AF22B1">
        <w:t>January 31, 2018 and that</w:t>
      </w:r>
      <w:r>
        <w:t xml:space="preserve"> </w:t>
      </w:r>
      <w:r w:rsidR="0058760F">
        <w:t>RFA</w:t>
      </w:r>
      <w:r>
        <w:t xml:space="preserve"> relies heavily on </w:t>
      </w:r>
      <w:r w:rsidR="00AF22B1">
        <w:t>inter</w:t>
      </w:r>
      <w:r w:rsidR="0058760F">
        <w:t>company loan</w:t>
      </w:r>
      <w:r w:rsidR="00AF22B1">
        <w:t>s</w:t>
      </w:r>
      <w:r>
        <w:t xml:space="preserve"> to help cash shortages.</w:t>
      </w:r>
    </w:p>
    <w:p w:rsidR="00917EB2" w:rsidRDefault="00917EB2" w:rsidP="00917EB2">
      <w:pPr>
        <w:pStyle w:val="Heading4"/>
      </w:pPr>
      <w:r>
        <w:t>California Department of Education Follow-Up</w:t>
      </w:r>
    </w:p>
    <w:p w:rsidR="00917EB2" w:rsidRDefault="00917EB2" w:rsidP="00917EB2">
      <w:pPr>
        <w:sectPr w:rsidR="00917EB2" w:rsidSect="00057A96">
          <w:type w:val="continuous"/>
          <w:pgSz w:w="12240" w:h="15840"/>
          <w:pgMar w:top="720" w:right="1440" w:bottom="1440" w:left="1440" w:header="720" w:footer="720" w:gutter="0"/>
          <w:cols w:space="720"/>
        </w:sectPr>
      </w:pPr>
      <w:r>
        <w:t xml:space="preserve">On May 31, 2018, the CDE had a conference call with RFA regarding the fiscal concerns of a negative ending fund balance with a zero percent reserve on the 2017–18 second interim report. On June 13, 2018, the CDE issued a Letter of Concern regarding the fiscal operation of RFA to the RFA Board, identifying the fiscal concerns including </w:t>
      </w:r>
      <w:r w:rsidR="00AF22B1">
        <w:t xml:space="preserve">the </w:t>
      </w:r>
      <w:r>
        <w:t>negative ending fund balance and a zero percent reserve on the 2017–18 second interim report</w:t>
      </w:r>
      <w:r w:rsidR="00AF22B1">
        <w:t>,</w:t>
      </w:r>
      <w:r>
        <w:t xml:space="preserve"> and requested a FCAP to address these concerns</w:t>
      </w:r>
      <w:r w:rsidRPr="00044BA8">
        <w:t xml:space="preserve"> </w:t>
      </w:r>
      <w:r>
        <w:t>to be submitted to the CDE by July 4, 2018. RFA submitte</w:t>
      </w:r>
      <w:r w:rsidR="00AF22B1">
        <w:t xml:space="preserve">d the FCAP on July 5, 2018. </w:t>
      </w:r>
      <w:r>
        <w:t>RFA addressed the fiscal concerns with specific explanations for improving RFA’s financial condition. The CDE will continue to monitor the RFA budget, and may recommend that the SBE take appropriate action, as deemed necessary.</w:t>
      </w:r>
    </w:p>
    <w:p w:rsidR="00586C01" w:rsidRPr="00917EB2" w:rsidRDefault="00917EB2" w:rsidP="00917EB2">
      <w:pPr>
        <w:spacing w:after="100" w:afterAutospacing="1"/>
        <w:rPr>
          <w:b/>
        </w:rPr>
      </w:pPr>
      <w:r w:rsidRPr="00917EB2">
        <w:rPr>
          <w:b/>
        </w:rPr>
        <w:lastRenderedPageBreak/>
        <w:t xml:space="preserve">RFA </w:t>
      </w:r>
      <w:r w:rsidR="00586C01" w:rsidRPr="00917EB2">
        <w:rPr>
          <w:b/>
        </w:rPr>
        <w:t>Financial Highlights</w:t>
      </w:r>
    </w:p>
    <w:tbl>
      <w:tblPr>
        <w:tblStyle w:val="TableGrid"/>
        <w:tblW w:w="5000" w:type="pct"/>
        <w:tblLook w:val="04A0" w:firstRow="1" w:lastRow="0" w:firstColumn="1" w:lastColumn="0" w:noHBand="0" w:noVBand="1"/>
        <w:tblCaption w:val="Financial Highlights"/>
        <w:tblDescription w:val="Financial Highlights"/>
      </w:tblPr>
      <w:tblGrid>
        <w:gridCol w:w="1525"/>
        <w:gridCol w:w="1531"/>
        <w:gridCol w:w="1889"/>
        <w:gridCol w:w="1619"/>
        <w:gridCol w:w="1351"/>
        <w:gridCol w:w="1154"/>
        <w:gridCol w:w="1523"/>
        <w:gridCol w:w="1588"/>
        <w:gridCol w:w="1490"/>
      </w:tblGrid>
      <w:tr w:rsidR="00586C01" w:rsidRPr="00917EB2" w:rsidTr="00EF40E4">
        <w:trPr>
          <w:tblHeader/>
        </w:trPr>
        <w:tc>
          <w:tcPr>
            <w:tcW w:w="558" w:type="pct"/>
          </w:tcPr>
          <w:p w:rsidR="00586C01" w:rsidRPr="00917EB2" w:rsidRDefault="00586C01" w:rsidP="00EF3B2C">
            <w:pPr>
              <w:jc w:val="center"/>
              <w:rPr>
                <w:rFonts w:cs="Arial"/>
                <w:b/>
              </w:rPr>
            </w:pPr>
            <w:r w:rsidRPr="00917EB2">
              <w:rPr>
                <w:rFonts w:cs="Arial"/>
                <w:b/>
              </w:rPr>
              <w:t>FY / Source</w:t>
            </w:r>
          </w:p>
        </w:tc>
        <w:tc>
          <w:tcPr>
            <w:tcW w:w="560" w:type="pct"/>
          </w:tcPr>
          <w:p w:rsidR="00586C01" w:rsidRPr="00917EB2" w:rsidRDefault="00586C01" w:rsidP="00EF3B2C">
            <w:pPr>
              <w:jc w:val="center"/>
              <w:rPr>
                <w:rFonts w:cs="Arial"/>
                <w:b/>
              </w:rPr>
            </w:pPr>
            <w:r w:rsidRPr="00917EB2">
              <w:rPr>
                <w:rFonts w:cs="Arial"/>
                <w:b/>
              </w:rPr>
              <w:t>Total Revenues</w:t>
            </w:r>
          </w:p>
        </w:tc>
        <w:tc>
          <w:tcPr>
            <w:tcW w:w="691" w:type="pct"/>
          </w:tcPr>
          <w:p w:rsidR="00586C01" w:rsidRPr="00917EB2" w:rsidRDefault="00586C01" w:rsidP="00EF3B2C">
            <w:pPr>
              <w:jc w:val="center"/>
              <w:rPr>
                <w:rFonts w:cs="Arial"/>
                <w:b/>
              </w:rPr>
            </w:pPr>
            <w:r w:rsidRPr="00917EB2">
              <w:rPr>
                <w:rFonts w:cs="Arial"/>
                <w:b/>
              </w:rPr>
              <w:t>Total Expenditures</w:t>
            </w:r>
          </w:p>
        </w:tc>
        <w:tc>
          <w:tcPr>
            <w:tcW w:w="592" w:type="pct"/>
          </w:tcPr>
          <w:p w:rsidR="00586C01" w:rsidRPr="00917EB2" w:rsidRDefault="00586C01" w:rsidP="00EF3B2C">
            <w:pPr>
              <w:jc w:val="center"/>
              <w:rPr>
                <w:rFonts w:cs="Arial"/>
                <w:b/>
              </w:rPr>
            </w:pPr>
            <w:r w:rsidRPr="00917EB2">
              <w:rPr>
                <w:rFonts w:cs="Arial"/>
                <w:b/>
              </w:rPr>
              <w:t>Net Operating Surplus (Deficit)</w:t>
            </w:r>
          </w:p>
        </w:tc>
        <w:tc>
          <w:tcPr>
            <w:tcW w:w="494" w:type="pct"/>
          </w:tcPr>
          <w:p w:rsidR="00586C01" w:rsidRPr="00917EB2" w:rsidRDefault="00586C01" w:rsidP="00EF3B2C">
            <w:pPr>
              <w:jc w:val="center"/>
              <w:rPr>
                <w:rFonts w:cs="Arial"/>
                <w:b/>
              </w:rPr>
            </w:pPr>
            <w:r w:rsidRPr="00917EB2">
              <w:rPr>
                <w:rFonts w:cs="Arial"/>
                <w:b/>
              </w:rPr>
              <w:t>Working Capital Ratio</w:t>
            </w:r>
          </w:p>
        </w:tc>
        <w:tc>
          <w:tcPr>
            <w:tcW w:w="422" w:type="pct"/>
          </w:tcPr>
          <w:p w:rsidR="00586C01" w:rsidRPr="00917EB2" w:rsidRDefault="00586C01" w:rsidP="00EF3B2C">
            <w:pPr>
              <w:jc w:val="center"/>
              <w:rPr>
                <w:rFonts w:cs="Arial"/>
                <w:b/>
              </w:rPr>
            </w:pPr>
            <w:r w:rsidRPr="00917EB2">
              <w:rPr>
                <w:rFonts w:cs="Arial"/>
                <w:b/>
              </w:rPr>
              <w:t>Debt Ratio</w:t>
            </w:r>
          </w:p>
        </w:tc>
        <w:tc>
          <w:tcPr>
            <w:tcW w:w="557" w:type="pct"/>
          </w:tcPr>
          <w:p w:rsidR="00586C01" w:rsidRPr="00917EB2" w:rsidRDefault="00586C01" w:rsidP="00EF3B2C">
            <w:pPr>
              <w:jc w:val="center"/>
              <w:rPr>
                <w:rFonts w:cs="Arial"/>
                <w:b/>
              </w:rPr>
            </w:pPr>
            <w:r w:rsidRPr="00917EB2">
              <w:rPr>
                <w:rFonts w:cs="Arial"/>
                <w:b/>
              </w:rPr>
              <w:t>Attendance Ratio</w:t>
            </w:r>
          </w:p>
        </w:tc>
        <w:tc>
          <w:tcPr>
            <w:tcW w:w="581" w:type="pct"/>
          </w:tcPr>
          <w:p w:rsidR="00586C01" w:rsidRPr="00917EB2" w:rsidRDefault="00586C01" w:rsidP="00EF3B2C">
            <w:pPr>
              <w:jc w:val="center"/>
              <w:rPr>
                <w:rFonts w:cs="Arial"/>
                <w:b/>
              </w:rPr>
            </w:pPr>
            <w:r w:rsidRPr="00917EB2">
              <w:rPr>
                <w:rFonts w:cs="Arial"/>
                <w:b/>
              </w:rPr>
              <w:t>Ending Fund Balance</w:t>
            </w:r>
          </w:p>
        </w:tc>
        <w:tc>
          <w:tcPr>
            <w:tcW w:w="545" w:type="pct"/>
          </w:tcPr>
          <w:p w:rsidR="00586C01" w:rsidRPr="00917EB2" w:rsidRDefault="00586C01" w:rsidP="00EF3B2C">
            <w:pPr>
              <w:jc w:val="center"/>
              <w:rPr>
                <w:rFonts w:cs="Arial"/>
                <w:b/>
              </w:rPr>
            </w:pPr>
            <w:r w:rsidRPr="00917EB2">
              <w:rPr>
                <w:rFonts w:cs="Arial"/>
                <w:b/>
              </w:rPr>
              <w:t>Percent of Reserves</w:t>
            </w:r>
          </w:p>
        </w:tc>
      </w:tr>
      <w:tr w:rsidR="00586C01" w:rsidRPr="00917EB2" w:rsidTr="00EF40E4">
        <w:tc>
          <w:tcPr>
            <w:tcW w:w="558" w:type="pct"/>
          </w:tcPr>
          <w:p w:rsidR="00586C01" w:rsidRPr="00917EB2" w:rsidRDefault="00586C01" w:rsidP="00EF3B2C">
            <w:pPr>
              <w:rPr>
                <w:rFonts w:cs="Arial"/>
              </w:rPr>
            </w:pPr>
            <w:r w:rsidRPr="00917EB2">
              <w:rPr>
                <w:rFonts w:cs="Arial"/>
              </w:rPr>
              <w:t>2016–17 Audit</w:t>
            </w:r>
          </w:p>
        </w:tc>
        <w:tc>
          <w:tcPr>
            <w:tcW w:w="560" w:type="pct"/>
          </w:tcPr>
          <w:p w:rsidR="00586C01" w:rsidRPr="00917EB2" w:rsidRDefault="00586C01" w:rsidP="00EF40E4">
            <w:pPr>
              <w:spacing w:before="240"/>
              <w:jc w:val="center"/>
              <w:rPr>
                <w:rFonts w:cs="Arial"/>
              </w:rPr>
            </w:pPr>
            <w:r w:rsidRPr="00917EB2">
              <w:rPr>
                <w:rFonts w:cs="Arial"/>
              </w:rPr>
              <w:t>$</w:t>
            </w:r>
            <w:r w:rsidR="0058760F" w:rsidRPr="00917EB2">
              <w:rPr>
                <w:rFonts w:cs="Arial"/>
              </w:rPr>
              <w:t>1,771,841</w:t>
            </w:r>
          </w:p>
        </w:tc>
        <w:tc>
          <w:tcPr>
            <w:tcW w:w="691" w:type="pct"/>
          </w:tcPr>
          <w:p w:rsidR="00586C01" w:rsidRPr="00917EB2" w:rsidRDefault="00586C01" w:rsidP="00EF40E4">
            <w:pPr>
              <w:spacing w:before="240"/>
              <w:jc w:val="center"/>
              <w:rPr>
                <w:rFonts w:cs="Arial"/>
              </w:rPr>
            </w:pPr>
            <w:r w:rsidRPr="00917EB2">
              <w:rPr>
                <w:rFonts w:cs="Arial"/>
              </w:rPr>
              <w:t>$</w:t>
            </w:r>
            <w:r w:rsidR="0058760F" w:rsidRPr="00917EB2">
              <w:rPr>
                <w:rFonts w:cs="Arial"/>
              </w:rPr>
              <w:t>2,287,986</w:t>
            </w:r>
          </w:p>
        </w:tc>
        <w:tc>
          <w:tcPr>
            <w:tcW w:w="592" w:type="pct"/>
          </w:tcPr>
          <w:p w:rsidR="00586C01" w:rsidRPr="00917EB2" w:rsidRDefault="00586C01" w:rsidP="00EF40E4">
            <w:pPr>
              <w:spacing w:before="240"/>
              <w:jc w:val="center"/>
              <w:rPr>
                <w:rFonts w:cs="Arial"/>
              </w:rPr>
            </w:pPr>
            <w:r w:rsidRPr="00917EB2">
              <w:rPr>
                <w:rFonts w:cs="Arial"/>
              </w:rPr>
              <w:t>($</w:t>
            </w:r>
            <w:r w:rsidR="0058760F" w:rsidRPr="00917EB2">
              <w:rPr>
                <w:rFonts w:cs="Arial"/>
              </w:rPr>
              <w:t>516,145</w:t>
            </w:r>
            <w:r w:rsidRPr="00917EB2">
              <w:rPr>
                <w:rFonts w:cs="Arial"/>
              </w:rPr>
              <w:t>)</w:t>
            </w:r>
          </w:p>
        </w:tc>
        <w:tc>
          <w:tcPr>
            <w:tcW w:w="494" w:type="pct"/>
          </w:tcPr>
          <w:p w:rsidR="00586C01" w:rsidRPr="00917EB2" w:rsidRDefault="0058760F" w:rsidP="00EF40E4">
            <w:pPr>
              <w:spacing w:before="240"/>
              <w:jc w:val="center"/>
              <w:rPr>
                <w:rFonts w:cs="Arial"/>
              </w:rPr>
            </w:pPr>
            <w:r w:rsidRPr="00917EB2">
              <w:rPr>
                <w:rFonts w:cs="Arial"/>
              </w:rPr>
              <w:t>1.38</w:t>
            </w:r>
          </w:p>
        </w:tc>
        <w:tc>
          <w:tcPr>
            <w:tcW w:w="422" w:type="pct"/>
          </w:tcPr>
          <w:p w:rsidR="00586C01" w:rsidRPr="00917EB2" w:rsidRDefault="0058760F" w:rsidP="00EF40E4">
            <w:pPr>
              <w:spacing w:before="240"/>
              <w:jc w:val="center"/>
              <w:rPr>
                <w:rFonts w:cs="Arial"/>
              </w:rPr>
            </w:pPr>
            <w:r w:rsidRPr="00917EB2">
              <w:rPr>
                <w:rFonts w:cs="Arial"/>
              </w:rPr>
              <w:t>2.34</w:t>
            </w:r>
          </w:p>
        </w:tc>
        <w:tc>
          <w:tcPr>
            <w:tcW w:w="557" w:type="pct"/>
          </w:tcPr>
          <w:p w:rsidR="00586C01" w:rsidRPr="00917EB2" w:rsidRDefault="0058760F" w:rsidP="00EF40E4">
            <w:pPr>
              <w:spacing w:before="240"/>
              <w:jc w:val="center"/>
              <w:rPr>
                <w:rFonts w:cs="Arial"/>
              </w:rPr>
            </w:pPr>
            <w:r w:rsidRPr="00917EB2">
              <w:rPr>
                <w:rFonts w:cs="Arial"/>
              </w:rPr>
              <w:t>95.2</w:t>
            </w:r>
          </w:p>
        </w:tc>
        <w:tc>
          <w:tcPr>
            <w:tcW w:w="581" w:type="pct"/>
          </w:tcPr>
          <w:p w:rsidR="00586C01" w:rsidRPr="00917EB2" w:rsidRDefault="00586C01" w:rsidP="00EF40E4">
            <w:pPr>
              <w:spacing w:before="240"/>
              <w:jc w:val="center"/>
              <w:rPr>
                <w:rFonts w:cs="Arial"/>
              </w:rPr>
            </w:pPr>
            <w:r w:rsidRPr="00917EB2">
              <w:rPr>
                <w:rFonts w:cs="Arial"/>
              </w:rPr>
              <w:t>(</w:t>
            </w:r>
            <w:r w:rsidR="0058760F" w:rsidRPr="00917EB2">
              <w:rPr>
                <w:rFonts w:cs="Arial"/>
              </w:rPr>
              <w:t>$542,378</w:t>
            </w:r>
            <w:r w:rsidRPr="00917EB2">
              <w:rPr>
                <w:rFonts w:cs="Arial"/>
              </w:rPr>
              <w:t>)</w:t>
            </w:r>
          </w:p>
        </w:tc>
        <w:tc>
          <w:tcPr>
            <w:tcW w:w="545" w:type="pct"/>
          </w:tcPr>
          <w:p w:rsidR="00586C01" w:rsidRPr="00917EB2" w:rsidRDefault="00586C01" w:rsidP="00EF40E4">
            <w:pPr>
              <w:spacing w:before="240"/>
              <w:jc w:val="center"/>
              <w:rPr>
                <w:rFonts w:cs="Arial"/>
              </w:rPr>
            </w:pPr>
            <w:r w:rsidRPr="00917EB2">
              <w:rPr>
                <w:rFonts w:cs="Arial"/>
              </w:rPr>
              <w:t>0%</w:t>
            </w:r>
          </w:p>
        </w:tc>
      </w:tr>
      <w:tr w:rsidR="00586C01" w:rsidRPr="00917EB2" w:rsidTr="00EF40E4">
        <w:tc>
          <w:tcPr>
            <w:tcW w:w="558" w:type="pct"/>
          </w:tcPr>
          <w:p w:rsidR="00586C01" w:rsidRPr="00917EB2" w:rsidRDefault="00586C01" w:rsidP="00EF3B2C">
            <w:pPr>
              <w:rPr>
                <w:rFonts w:cs="Arial"/>
              </w:rPr>
            </w:pPr>
            <w:r w:rsidRPr="00917EB2">
              <w:rPr>
                <w:rFonts w:cs="Arial"/>
              </w:rPr>
              <w:t>2017–18 Budget</w:t>
            </w:r>
          </w:p>
        </w:tc>
        <w:tc>
          <w:tcPr>
            <w:tcW w:w="560" w:type="pct"/>
          </w:tcPr>
          <w:p w:rsidR="00586C01" w:rsidRPr="00917EB2" w:rsidRDefault="00586C01" w:rsidP="00EF40E4">
            <w:pPr>
              <w:spacing w:before="240"/>
              <w:jc w:val="center"/>
              <w:rPr>
                <w:rFonts w:cs="Arial"/>
              </w:rPr>
            </w:pPr>
            <w:r w:rsidRPr="00917EB2">
              <w:rPr>
                <w:rFonts w:cs="Arial"/>
              </w:rPr>
              <w:t>$</w:t>
            </w:r>
            <w:r w:rsidR="001D4396" w:rsidRPr="00917EB2">
              <w:rPr>
                <w:rFonts w:cs="Arial"/>
              </w:rPr>
              <w:t>3,138,700</w:t>
            </w:r>
          </w:p>
        </w:tc>
        <w:tc>
          <w:tcPr>
            <w:tcW w:w="691" w:type="pct"/>
          </w:tcPr>
          <w:p w:rsidR="00586C01" w:rsidRPr="00917EB2" w:rsidRDefault="00586C01" w:rsidP="00EF40E4">
            <w:pPr>
              <w:spacing w:before="240"/>
              <w:jc w:val="center"/>
              <w:rPr>
                <w:rFonts w:cs="Arial"/>
              </w:rPr>
            </w:pPr>
            <w:r w:rsidRPr="00917EB2">
              <w:rPr>
                <w:rFonts w:cs="Arial"/>
              </w:rPr>
              <w:t>$</w:t>
            </w:r>
            <w:r w:rsidR="001D4396" w:rsidRPr="00917EB2">
              <w:rPr>
                <w:rFonts w:cs="Arial"/>
              </w:rPr>
              <w:t>3,405,842</w:t>
            </w:r>
          </w:p>
        </w:tc>
        <w:tc>
          <w:tcPr>
            <w:tcW w:w="592" w:type="pct"/>
          </w:tcPr>
          <w:p w:rsidR="00586C01" w:rsidRPr="00917EB2" w:rsidRDefault="001D4396" w:rsidP="00EF40E4">
            <w:pPr>
              <w:spacing w:before="240"/>
              <w:jc w:val="center"/>
              <w:rPr>
                <w:rFonts w:cs="Arial"/>
              </w:rPr>
            </w:pPr>
            <w:r w:rsidRPr="00917EB2">
              <w:rPr>
                <w:rFonts w:cs="Arial"/>
              </w:rPr>
              <w:t>(</w:t>
            </w:r>
            <w:r w:rsidR="00586C01" w:rsidRPr="00917EB2">
              <w:rPr>
                <w:rFonts w:cs="Arial"/>
              </w:rPr>
              <w:t>$</w:t>
            </w:r>
            <w:r w:rsidRPr="00917EB2">
              <w:rPr>
                <w:rFonts w:cs="Arial"/>
              </w:rPr>
              <w:t>267,142)</w:t>
            </w:r>
          </w:p>
        </w:tc>
        <w:tc>
          <w:tcPr>
            <w:tcW w:w="494" w:type="pct"/>
          </w:tcPr>
          <w:p w:rsidR="00586C01" w:rsidRPr="00917EB2" w:rsidRDefault="00586C01" w:rsidP="00EF40E4">
            <w:pPr>
              <w:spacing w:before="240"/>
              <w:jc w:val="center"/>
              <w:rPr>
                <w:rFonts w:cs="Arial"/>
              </w:rPr>
            </w:pPr>
            <w:r w:rsidRPr="00917EB2">
              <w:rPr>
                <w:rFonts w:cs="Arial"/>
              </w:rPr>
              <w:t>NA</w:t>
            </w:r>
          </w:p>
        </w:tc>
        <w:tc>
          <w:tcPr>
            <w:tcW w:w="422" w:type="pct"/>
          </w:tcPr>
          <w:p w:rsidR="00586C01" w:rsidRPr="00917EB2" w:rsidRDefault="00586C01" w:rsidP="00EF40E4">
            <w:pPr>
              <w:spacing w:before="240"/>
              <w:jc w:val="center"/>
              <w:rPr>
                <w:rFonts w:cs="Arial"/>
              </w:rPr>
            </w:pPr>
            <w:r w:rsidRPr="00917EB2">
              <w:rPr>
                <w:rFonts w:cs="Arial"/>
              </w:rPr>
              <w:t>NA</w:t>
            </w:r>
          </w:p>
        </w:tc>
        <w:tc>
          <w:tcPr>
            <w:tcW w:w="557" w:type="pct"/>
          </w:tcPr>
          <w:p w:rsidR="00586C01" w:rsidRPr="00917EB2" w:rsidRDefault="001D4396" w:rsidP="00EF40E4">
            <w:pPr>
              <w:spacing w:before="240"/>
              <w:jc w:val="center"/>
              <w:rPr>
                <w:rFonts w:cs="Arial"/>
              </w:rPr>
            </w:pPr>
            <w:r w:rsidRPr="00917EB2">
              <w:rPr>
                <w:rFonts w:cs="Arial"/>
              </w:rPr>
              <w:t>90.3</w:t>
            </w:r>
            <w:r w:rsidR="00586C01" w:rsidRPr="00917EB2">
              <w:rPr>
                <w:rFonts w:cs="Arial"/>
              </w:rPr>
              <w:t>%</w:t>
            </w:r>
          </w:p>
        </w:tc>
        <w:tc>
          <w:tcPr>
            <w:tcW w:w="581" w:type="pct"/>
          </w:tcPr>
          <w:p w:rsidR="00586C01" w:rsidRPr="00917EB2" w:rsidRDefault="001D4396" w:rsidP="00EF40E4">
            <w:pPr>
              <w:spacing w:before="240"/>
              <w:jc w:val="center"/>
              <w:rPr>
                <w:rFonts w:cs="Arial"/>
              </w:rPr>
            </w:pPr>
            <w:r w:rsidRPr="00917EB2">
              <w:rPr>
                <w:rFonts w:cs="Arial"/>
              </w:rPr>
              <w:t>(</w:t>
            </w:r>
            <w:r w:rsidR="00586C01" w:rsidRPr="00917EB2">
              <w:rPr>
                <w:rFonts w:cs="Arial"/>
              </w:rPr>
              <w:t>$</w:t>
            </w:r>
            <w:r w:rsidRPr="00917EB2">
              <w:rPr>
                <w:rFonts w:cs="Arial"/>
              </w:rPr>
              <w:t>898,115)</w:t>
            </w:r>
          </w:p>
        </w:tc>
        <w:tc>
          <w:tcPr>
            <w:tcW w:w="545" w:type="pct"/>
          </w:tcPr>
          <w:p w:rsidR="00586C01" w:rsidRPr="00917EB2" w:rsidRDefault="001D4396" w:rsidP="00EF40E4">
            <w:pPr>
              <w:spacing w:before="240"/>
              <w:jc w:val="center"/>
              <w:rPr>
                <w:rFonts w:cs="Arial"/>
              </w:rPr>
            </w:pPr>
            <w:r w:rsidRPr="00917EB2">
              <w:rPr>
                <w:rFonts w:cs="Arial"/>
              </w:rPr>
              <w:t>0</w:t>
            </w:r>
            <w:r w:rsidR="00586C01" w:rsidRPr="00917EB2">
              <w:rPr>
                <w:rFonts w:cs="Arial"/>
              </w:rPr>
              <w:t>%</w:t>
            </w:r>
          </w:p>
        </w:tc>
      </w:tr>
      <w:tr w:rsidR="00586C01" w:rsidRPr="00917EB2" w:rsidTr="00EF40E4">
        <w:trPr>
          <w:trHeight w:val="593"/>
        </w:trPr>
        <w:tc>
          <w:tcPr>
            <w:tcW w:w="558" w:type="pct"/>
          </w:tcPr>
          <w:p w:rsidR="00586C01" w:rsidRPr="00917EB2" w:rsidRDefault="00586C01" w:rsidP="00EF3B2C">
            <w:pPr>
              <w:rPr>
                <w:rFonts w:cs="Arial"/>
              </w:rPr>
            </w:pPr>
            <w:r w:rsidRPr="00917EB2">
              <w:rPr>
                <w:rFonts w:cs="Arial"/>
              </w:rPr>
              <w:t>2017–18 2nd Interim</w:t>
            </w:r>
          </w:p>
        </w:tc>
        <w:tc>
          <w:tcPr>
            <w:tcW w:w="560" w:type="pct"/>
          </w:tcPr>
          <w:p w:rsidR="00586C01" w:rsidRPr="00917EB2" w:rsidRDefault="00586C01" w:rsidP="00EF40E4">
            <w:pPr>
              <w:spacing w:before="240"/>
              <w:jc w:val="center"/>
              <w:rPr>
                <w:rFonts w:cs="Arial"/>
              </w:rPr>
            </w:pPr>
            <w:r w:rsidRPr="00917EB2">
              <w:rPr>
                <w:rFonts w:cs="Arial"/>
              </w:rPr>
              <w:t>$</w:t>
            </w:r>
            <w:r w:rsidR="001D4396" w:rsidRPr="00917EB2">
              <w:rPr>
                <w:rFonts w:cs="Arial"/>
              </w:rPr>
              <w:t>2,930,302</w:t>
            </w:r>
          </w:p>
        </w:tc>
        <w:tc>
          <w:tcPr>
            <w:tcW w:w="691" w:type="pct"/>
          </w:tcPr>
          <w:p w:rsidR="00586C01" w:rsidRPr="00917EB2" w:rsidRDefault="00586C01" w:rsidP="00EF40E4">
            <w:pPr>
              <w:spacing w:before="240"/>
              <w:jc w:val="center"/>
              <w:rPr>
                <w:rFonts w:cs="Arial"/>
              </w:rPr>
            </w:pPr>
            <w:r w:rsidRPr="00917EB2">
              <w:rPr>
                <w:rFonts w:cs="Arial"/>
              </w:rPr>
              <w:t>$</w:t>
            </w:r>
            <w:r w:rsidR="001D4396" w:rsidRPr="00917EB2">
              <w:rPr>
                <w:rFonts w:cs="Arial"/>
              </w:rPr>
              <w:t>3,304,434</w:t>
            </w:r>
          </w:p>
        </w:tc>
        <w:tc>
          <w:tcPr>
            <w:tcW w:w="592" w:type="pct"/>
          </w:tcPr>
          <w:p w:rsidR="00586C01" w:rsidRPr="00917EB2" w:rsidRDefault="00586C01" w:rsidP="00EF40E4">
            <w:pPr>
              <w:spacing w:before="240"/>
              <w:jc w:val="center"/>
              <w:rPr>
                <w:rFonts w:cs="Arial"/>
              </w:rPr>
            </w:pPr>
            <w:r w:rsidRPr="00917EB2">
              <w:rPr>
                <w:rFonts w:cs="Arial"/>
              </w:rPr>
              <w:t>($</w:t>
            </w:r>
            <w:r w:rsidR="001D4396" w:rsidRPr="00917EB2">
              <w:rPr>
                <w:rFonts w:cs="Arial"/>
              </w:rPr>
              <w:t>374,132</w:t>
            </w:r>
            <w:r w:rsidRPr="00917EB2">
              <w:rPr>
                <w:rFonts w:cs="Arial"/>
              </w:rPr>
              <w:t>)</w:t>
            </w:r>
          </w:p>
        </w:tc>
        <w:tc>
          <w:tcPr>
            <w:tcW w:w="494" w:type="pct"/>
          </w:tcPr>
          <w:p w:rsidR="00586C01" w:rsidRPr="00917EB2" w:rsidRDefault="00586C01" w:rsidP="00EF40E4">
            <w:pPr>
              <w:spacing w:before="240"/>
              <w:jc w:val="center"/>
              <w:rPr>
                <w:rFonts w:cs="Arial"/>
              </w:rPr>
            </w:pPr>
            <w:r w:rsidRPr="00917EB2">
              <w:rPr>
                <w:rFonts w:cs="Arial"/>
              </w:rPr>
              <w:t>NA</w:t>
            </w:r>
          </w:p>
        </w:tc>
        <w:tc>
          <w:tcPr>
            <w:tcW w:w="422" w:type="pct"/>
          </w:tcPr>
          <w:p w:rsidR="00586C01" w:rsidRPr="00917EB2" w:rsidRDefault="00586C01" w:rsidP="00EF40E4">
            <w:pPr>
              <w:spacing w:before="240"/>
              <w:jc w:val="center"/>
              <w:rPr>
                <w:rFonts w:cs="Arial"/>
              </w:rPr>
            </w:pPr>
            <w:r w:rsidRPr="00917EB2">
              <w:rPr>
                <w:rFonts w:cs="Arial"/>
              </w:rPr>
              <w:t>NA</w:t>
            </w:r>
            <w:bookmarkStart w:id="0" w:name="_GoBack"/>
            <w:bookmarkEnd w:id="0"/>
          </w:p>
        </w:tc>
        <w:tc>
          <w:tcPr>
            <w:tcW w:w="557" w:type="pct"/>
          </w:tcPr>
          <w:p w:rsidR="00586C01" w:rsidRPr="00917EB2" w:rsidRDefault="00143030" w:rsidP="00EF40E4">
            <w:pPr>
              <w:spacing w:before="240"/>
              <w:jc w:val="center"/>
              <w:rPr>
                <w:rFonts w:cs="Arial"/>
                <w:color w:val="FF0000"/>
              </w:rPr>
            </w:pPr>
            <w:r w:rsidRPr="00917EB2">
              <w:rPr>
                <w:rFonts w:cs="Arial"/>
              </w:rPr>
              <w:t>93%</w:t>
            </w:r>
          </w:p>
        </w:tc>
        <w:tc>
          <w:tcPr>
            <w:tcW w:w="581" w:type="pct"/>
          </w:tcPr>
          <w:p w:rsidR="00586C01" w:rsidRPr="00917EB2" w:rsidRDefault="00586C01" w:rsidP="00EF40E4">
            <w:pPr>
              <w:spacing w:before="240"/>
              <w:jc w:val="center"/>
              <w:rPr>
                <w:rFonts w:cs="Arial"/>
              </w:rPr>
            </w:pPr>
            <w:r w:rsidRPr="00917EB2">
              <w:rPr>
                <w:rFonts w:cs="Arial"/>
              </w:rPr>
              <w:t>($</w:t>
            </w:r>
            <w:r w:rsidR="001D4396" w:rsidRPr="00917EB2">
              <w:rPr>
                <w:rFonts w:cs="Arial"/>
              </w:rPr>
              <w:t>916,509</w:t>
            </w:r>
            <w:r w:rsidRPr="00917EB2">
              <w:rPr>
                <w:rFonts w:cs="Arial"/>
              </w:rPr>
              <w:t>)</w:t>
            </w:r>
          </w:p>
        </w:tc>
        <w:tc>
          <w:tcPr>
            <w:tcW w:w="545" w:type="pct"/>
          </w:tcPr>
          <w:p w:rsidR="00586C01" w:rsidRPr="00917EB2" w:rsidRDefault="00586C01" w:rsidP="00EF40E4">
            <w:pPr>
              <w:spacing w:before="240"/>
              <w:jc w:val="center"/>
              <w:rPr>
                <w:rFonts w:cs="Arial"/>
              </w:rPr>
            </w:pPr>
            <w:r w:rsidRPr="00917EB2">
              <w:rPr>
                <w:rFonts w:cs="Arial"/>
              </w:rPr>
              <w:t>0%</w:t>
            </w:r>
          </w:p>
        </w:tc>
      </w:tr>
    </w:tbl>
    <w:p w:rsidR="00461A12" w:rsidRPr="00EF40E4" w:rsidRDefault="00EF40E4" w:rsidP="00EF40E4">
      <w:pPr>
        <w:spacing w:before="4920"/>
        <w:rPr>
          <w:i/>
        </w:rPr>
      </w:pPr>
      <w:r w:rsidRPr="00EF40E4">
        <w:rPr>
          <w:i/>
        </w:rPr>
        <w:t>California Department of Education, August 2018</w:t>
      </w:r>
    </w:p>
    <w:sectPr w:rsidR="00461A12" w:rsidRPr="00EF40E4" w:rsidSect="00917EB2">
      <w:pgSz w:w="15840" w:h="12240" w:orient="landscape"/>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31" w:rsidRDefault="00407731" w:rsidP="00F84197">
      <w:r>
        <w:separator/>
      </w:r>
    </w:p>
  </w:endnote>
  <w:endnote w:type="continuationSeparator" w:id="0">
    <w:p w:rsidR="00407731" w:rsidRDefault="00407731" w:rsidP="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31" w:rsidRDefault="00407731" w:rsidP="00F84197">
      <w:r>
        <w:separator/>
      </w:r>
    </w:p>
  </w:footnote>
  <w:footnote w:type="continuationSeparator" w:id="0">
    <w:p w:rsidR="00407731" w:rsidRDefault="00407731" w:rsidP="00F8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31" w:rsidRDefault="00407731" w:rsidP="00F61978">
    <w:pPr>
      <w:pStyle w:val="Header"/>
      <w:jc w:val="right"/>
    </w:pPr>
    <w:proofErr w:type="gramStart"/>
    <w:r w:rsidRPr="00F61978">
      <w:t>memo-ssb-csd-aug18item01</w:t>
    </w:r>
    <w:proofErr w:type="gramEnd"/>
  </w:p>
  <w:p w:rsidR="00407731" w:rsidRPr="00F61978" w:rsidRDefault="00407731" w:rsidP="00F61978">
    <w:pPr>
      <w:pStyle w:val="Header"/>
      <w:jc w:val="right"/>
    </w:pPr>
    <w:r>
      <w:t>Attachment 1</w:t>
    </w:r>
  </w:p>
  <w:p w:rsidR="00407731" w:rsidRPr="00F61978" w:rsidRDefault="00407731" w:rsidP="00F61978">
    <w:pPr>
      <w:tabs>
        <w:tab w:val="center" w:pos="4680"/>
        <w:tab w:val="right" w:pos="9360"/>
      </w:tabs>
      <w:spacing w:after="100" w:afterAutospacing="1"/>
      <w:jc w:val="right"/>
    </w:pPr>
    <w:r w:rsidRPr="00F61978">
      <w:t xml:space="preserve">Page </w:t>
    </w:r>
    <w:r w:rsidRPr="00F61978">
      <w:fldChar w:fldCharType="begin"/>
    </w:r>
    <w:r w:rsidRPr="00F61978">
      <w:instrText xml:space="preserve"> PAGE   \* MERGEFORMAT </w:instrText>
    </w:r>
    <w:r w:rsidRPr="00F61978">
      <w:fldChar w:fldCharType="separate"/>
    </w:r>
    <w:r w:rsidR="00EF40E4">
      <w:rPr>
        <w:noProof/>
      </w:rPr>
      <w:t>18</w:t>
    </w:r>
    <w:r w:rsidRPr="00F61978">
      <w:fldChar w:fldCharType="end"/>
    </w:r>
    <w:r w:rsidRPr="00F61978">
      <w:t xml:space="preserve"> of </w:t>
    </w:r>
    <w:fldSimple w:instr=" NUMPAGES   \* MERGEFORMAT ">
      <w:r w:rsidR="00EF40E4">
        <w:rPr>
          <w:noProof/>
        </w:rPr>
        <w:t>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2761"/>
    <w:multiLevelType w:val="hybridMultilevel"/>
    <w:tmpl w:val="E59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1F"/>
    <w:multiLevelType w:val="hybridMultilevel"/>
    <w:tmpl w:val="43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5970"/>
    <w:multiLevelType w:val="hybridMultilevel"/>
    <w:tmpl w:val="DF5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FB"/>
    <w:multiLevelType w:val="hybridMultilevel"/>
    <w:tmpl w:val="8730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3B3078"/>
    <w:multiLevelType w:val="hybridMultilevel"/>
    <w:tmpl w:val="3C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5227"/>
    <w:multiLevelType w:val="hybridMultilevel"/>
    <w:tmpl w:val="B9AA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3A77AE"/>
    <w:multiLevelType w:val="hybridMultilevel"/>
    <w:tmpl w:val="630E8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33895"/>
    <w:multiLevelType w:val="hybridMultilevel"/>
    <w:tmpl w:val="B35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300D1"/>
    <w:multiLevelType w:val="hybridMultilevel"/>
    <w:tmpl w:val="FD4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F37E5"/>
    <w:multiLevelType w:val="hybridMultilevel"/>
    <w:tmpl w:val="F4C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1EA6"/>
    <w:multiLevelType w:val="hybridMultilevel"/>
    <w:tmpl w:val="EE1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0"/>
    <w:rsid w:val="0000439B"/>
    <w:rsid w:val="00044BA8"/>
    <w:rsid w:val="00053B2A"/>
    <w:rsid w:val="00057A96"/>
    <w:rsid w:val="00077927"/>
    <w:rsid w:val="00087FB6"/>
    <w:rsid w:val="0009091C"/>
    <w:rsid w:val="000B491B"/>
    <w:rsid w:val="000B7813"/>
    <w:rsid w:val="000B7D95"/>
    <w:rsid w:val="000C139F"/>
    <w:rsid w:val="000C1869"/>
    <w:rsid w:val="000D281B"/>
    <w:rsid w:val="000E5069"/>
    <w:rsid w:val="001108ED"/>
    <w:rsid w:val="0013141B"/>
    <w:rsid w:val="0013271A"/>
    <w:rsid w:val="00143030"/>
    <w:rsid w:val="0016173B"/>
    <w:rsid w:val="001648E9"/>
    <w:rsid w:val="00184DEF"/>
    <w:rsid w:val="001A6670"/>
    <w:rsid w:val="001D0C76"/>
    <w:rsid w:val="001D0D17"/>
    <w:rsid w:val="001D3CFD"/>
    <w:rsid w:val="001D4396"/>
    <w:rsid w:val="001F4207"/>
    <w:rsid w:val="0021425B"/>
    <w:rsid w:val="002232EF"/>
    <w:rsid w:val="002408E4"/>
    <w:rsid w:val="002521CA"/>
    <w:rsid w:val="00256699"/>
    <w:rsid w:val="0029286A"/>
    <w:rsid w:val="002E6A6A"/>
    <w:rsid w:val="003163D0"/>
    <w:rsid w:val="00316E96"/>
    <w:rsid w:val="00321D49"/>
    <w:rsid w:val="00322C00"/>
    <w:rsid w:val="00324140"/>
    <w:rsid w:val="00325EAA"/>
    <w:rsid w:val="003321A8"/>
    <w:rsid w:val="0033616F"/>
    <w:rsid w:val="00364C1F"/>
    <w:rsid w:val="003B759F"/>
    <w:rsid w:val="003D1042"/>
    <w:rsid w:val="003D35FD"/>
    <w:rsid w:val="003E3B94"/>
    <w:rsid w:val="00407731"/>
    <w:rsid w:val="004206BB"/>
    <w:rsid w:val="004413D7"/>
    <w:rsid w:val="0045448A"/>
    <w:rsid w:val="00461A12"/>
    <w:rsid w:val="00474A2F"/>
    <w:rsid w:val="00480417"/>
    <w:rsid w:val="004A6B59"/>
    <w:rsid w:val="004B154E"/>
    <w:rsid w:val="004C6121"/>
    <w:rsid w:val="004E121C"/>
    <w:rsid w:val="004E2933"/>
    <w:rsid w:val="004E5904"/>
    <w:rsid w:val="004E7793"/>
    <w:rsid w:val="00510C33"/>
    <w:rsid w:val="005138B9"/>
    <w:rsid w:val="0051479B"/>
    <w:rsid w:val="0054334A"/>
    <w:rsid w:val="00544351"/>
    <w:rsid w:val="005700FA"/>
    <w:rsid w:val="00586C01"/>
    <w:rsid w:val="0058760F"/>
    <w:rsid w:val="00587E6B"/>
    <w:rsid w:val="005B1325"/>
    <w:rsid w:val="005D600A"/>
    <w:rsid w:val="005F22CD"/>
    <w:rsid w:val="006332BB"/>
    <w:rsid w:val="0066032B"/>
    <w:rsid w:val="00680588"/>
    <w:rsid w:val="00681207"/>
    <w:rsid w:val="00697EE9"/>
    <w:rsid w:val="006D01A6"/>
    <w:rsid w:val="006E4313"/>
    <w:rsid w:val="006F0CDD"/>
    <w:rsid w:val="0074109F"/>
    <w:rsid w:val="007A2653"/>
    <w:rsid w:val="007C1393"/>
    <w:rsid w:val="007C235A"/>
    <w:rsid w:val="007C3BB7"/>
    <w:rsid w:val="007D0D9B"/>
    <w:rsid w:val="008106F3"/>
    <w:rsid w:val="008213F2"/>
    <w:rsid w:val="00822110"/>
    <w:rsid w:val="008250AC"/>
    <w:rsid w:val="00861A80"/>
    <w:rsid w:val="008818CA"/>
    <w:rsid w:val="008B1135"/>
    <w:rsid w:val="008C45FE"/>
    <w:rsid w:val="008C5565"/>
    <w:rsid w:val="008D2B05"/>
    <w:rsid w:val="008F6CA0"/>
    <w:rsid w:val="00917EB2"/>
    <w:rsid w:val="0093596C"/>
    <w:rsid w:val="00957D56"/>
    <w:rsid w:val="00963290"/>
    <w:rsid w:val="00982A10"/>
    <w:rsid w:val="00986551"/>
    <w:rsid w:val="00986B30"/>
    <w:rsid w:val="00995D1D"/>
    <w:rsid w:val="009C766A"/>
    <w:rsid w:val="00A00F39"/>
    <w:rsid w:val="00A11875"/>
    <w:rsid w:val="00A31CA9"/>
    <w:rsid w:val="00A35C73"/>
    <w:rsid w:val="00A75084"/>
    <w:rsid w:val="00AB4C92"/>
    <w:rsid w:val="00AE1BB0"/>
    <w:rsid w:val="00AE7DCD"/>
    <w:rsid w:val="00AF22B1"/>
    <w:rsid w:val="00B66519"/>
    <w:rsid w:val="00BC3667"/>
    <w:rsid w:val="00BC376B"/>
    <w:rsid w:val="00BC4070"/>
    <w:rsid w:val="00BE5A48"/>
    <w:rsid w:val="00BF7F32"/>
    <w:rsid w:val="00C20634"/>
    <w:rsid w:val="00C21802"/>
    <w:rsid w:val="00C420BB"/>
    <w:rsid w:val="00C5666F"/>
    <w:rsid w:val="00C61F78"/>
    <w:rsid w:val="00C7045D"/>
    <w:rsid w:val="00CC5474"/>
    <w:rsid w:val="00D042D4"/>
    <w:rsid w:val="00D07EA8"/>
    <w:rsid w:val="00D270A8"/>
    <w:rsid w:val="00D36A69"/>
    <w:rsid w:val="00D43FB8"/>
    <w:rsid w:val="00D569B3"/>
    <w:rsid w:val="00D6794C"/>
    <w:rsid w:val="00D81E7D"/>
    <w:rsid w:val="00D859A5"/>
    <w:rsid w:val="00DC5FAA"/>
    <w:rsid w:val="00DD6097"/>
    <w:rsid w:val="00E305F7"/>
    <w:rsid w:val="00E32FDC"/>
    <w:rsid w:val="00E37B32"/>
    <w:rsid w:val="00E604DD"/>
    <w:rsid w:val="00E81D09"/>
    <w:rsid w:val="00EC3FF1"/>
    <w:rsid w:val="00EF3B2C"/>
    <w:rsid w:val="00EF40E4"/>
    <w:rsid w:val="00F04B97"/>
    <w:rsid w:val="00F06887"/>
    <w:rsid w:val="00F147CD"/>
    <w:rsid w:val="00F2229F"/>
    <w:rsid w:val="00F37CA7"/>
    <w:rsid w:val="00F508DD"/>
    <w:rsid w:val="00F61978"/>
    <w:rsid w:val="00F70704"/>
    <w:rsid w:val="00F84197"/>
    <w:rsid w:val="00FA4B5F"/>
    <w:rsid w:val="00FD40A5"/>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38F77F6-2A7D-43EC-ABE7-CD2C494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07731"/>
    <w:pPr>
      <w:keepNext/>
      <w:keepLines/>
      <w:spacing w:before="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A75084"/>
    <w:pPr>
      <w:keepNext/>
      <w:keepLines/>
      <w:spacing w:before="160" w:after="100" w:afterAutospacing="1"/>
      <w:outlineLvl w:val="1"/>
    </w:pPr>
    <w:rPr>
      <w:rFonts w:eastAsiaTheme="majorEastAsia" w:cstheme="majorBidi"/>
      <w:b/>
      <w:noProof/>
      <w:sz w:val="36"/>
      <w:szCs w:val="26"/>
    </w:rPr>
  </w:style>
  <w:style w:type="paragraph" w:styleId="Heading3">
    <w:name w:val="heading 3"/>
    <w:basedOn w:val="Normal"/>
    <w:next w:val="Normal"/>
    <w:link w:val="Heading3Char"/>
    <w:autoRedefine/>
    <w:uiPriority w:val="9"/>
    <w:unhideWhenUsed/>
    <w:qFormat/>
    <w:rsid w:val="000B491B"/>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4206BB"/>
    <w:pPr>
      <w:keepNext/>
      <w:keepLines/>
      <w:spacing w:after="100" w:afterAutospacing="1"/>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A75084"/>
    <w:rPr>
      <w:rFonts w:ascii="Arial" w:eastAsiaTheme="majorEastAsia" w:hAnsi="Arial" w:cstheme="majorBidi"/>
      <w:b/>
      <w:noProof/>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07731"/>
    <w:rPr>
      <w:rFonts w:ascii="Arial" w:eastAsiaTheme="majorEastAsia" w:hAnsi="Arial" w:cstheme="majorBidi"/>
      <w:b/>
      <w:sz w:val="40"/>
      <w:szCs w:val="32"/>
    </w:rPr>
  </w:style>
  <w:style w:type="paragraph" w:styleId="Header">
    <w:name w:val="header"/>
    <w:basedOn w:val="Normal"/>
    <w:link w:val="HeaderChar"/>
    <w:uiPriority w:val="99"/>
    <w:unhideWhenUsed/>
    <w:rsid w:val="00F84197"/>
    <w:pPr>
      <w:tabs>
        <w:tab w:val="center" w:pos="4680"/>
        <w:tab w:val="right" w:pos="9360"/>
      </w:tabs>
    </w:pPr>
  </w:style>
  <w:style w:type="character" w:customStyle="1" w:styleId="HeaderChar">
    <w:name w:val="Header Char"/>
    <w:basedOn w:val="DefaultParagraphFont"/>
    <w:link w:val="Header"/>
    <w:uiPriority w:val="99"/>
    <w:rsid w:val="00F84197"/>
    <w:rPr>
      <w:rFonts w:ascii="Arial" w:eastAsia="Times New Roman" w:hAnsi="Arial" w:cs="Times New Roman"/>
      <w:sz w:val="24"/>
      <w:szCs w:val="24"/>
    </w:rPr>
  </w:style>
  <w:style w:type="paragraph" w:styleId="Footer">
    <w:name w:val="footer"/>
    <w:basedOn w:val="Normal"/>
    <w:link w:val="FooterChar"/>
    <w:uiPriority w:val="99"/>
    <w:unhideWhenUsed/>
    <w:rsid w:val="00F84197"/>
    <w:pPr>
      <w:tabs>
        <w:tab w:val="center" w:pos="4680"/>
        <w:tab w:val="right" w:pos="9360"/>
      </w:tabs>
    </w:pPr>
  </w:style>
  <w:style w:type="character" w:customStyle="1" w:styleId="FooterChar">
    <w:name w:val="Footer Char"/>
    <w:basedOn w:val="DefaultParagraphFont"/>
    <w:link w:val="Footer"/>
    <w:uiPriority w:val="99"/>
    <w:rsid w:val="00F84197"/>
    <w:rPr>
      <w:rFonts w:ascii="Arial" w:eastAsia="Times New Roman" w:hAnsi="Arial" w:cs="Times New Roman"/>
      <w:sz w:val="24"/>
      <w:szCs w:val="24"/>
    </w:rPr>
  </w:style>
  <w:style w:type="paragraph" w:styleId="ListParagraph">
    <w:name w:val="List Paragraph"/>
    <w:basedOn w:val="Normal"/>
    <w:uiPriority w:val="34"/>
    <w:qFormat/>
    <w:rsid w:val="001A6670"/>
    <w:pPr>
      <w:ind w:left="720"/>
      <w:contextualSpacing/>
    </w:pPr>
  </w:style>
  <w:style w:type="table" w:styleId="TableGrid">
    <w:name w:val="Table Grid"/>
    <w:basedOn w:val="TableNormal"/>
    <w:uiPriority w:val="39"/>
    <w:rsid w:val="000B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491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4206BB"/>
    <w:rPr>
      <w:rFonts w:ascii="Arial" w:eastAsiaTheme="majorEastAsia" w:hAnsi="Arial" w:cstheme="majorBidi"/>
      <w:b/>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1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AD50-F870-4BD1-AE35-CDC993FB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19</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August 2018 Memorandum Item 0X Attachment 1 - Information Memorandum (CA State Board of Education)</vt:lpstr>
    </vt:vector>
  </TitlesOfParts>
  <Company>CA Department of Education</Company>
  <LinksUpToDate>false</LinksUpToDate>
  <CharactersWithSpaces>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SSB CSD Item 01 Attachment 01 - Information Memorandum (CA State Board of Education)</dc:title>
  <dc:subject>State Board of Education-Authorized Charter Schools in Fair or Poor Financial Condition.</dc:subject>
  <dc:creator>Windows User</dc:creator>
  <cp:keywords/>
  <dc:description/>
  <cp:lastModifiedBy>Malia Gonsalves</cp:lastModifiedBy>
  <cp:revision>31</cp:revision>
  <cp:lastPrinted>2018-07-11T21:51:00Z</cp:lastPrinted>
  <dcterms:created xsi:type="dcterms:W3CDTF">2018-07-16T18:46:00Z</dcterms:created>
  <dcterms:modified xsi:type="dcterms:W3CDTF">2018-08-13T19:33:00Z</dcterms:modified>
</cp:coreProperties>
</file>