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C26004" w:rsidRDefault="00C26004" w:rsidP="007828AD">
      <w:pPr>
        <w:pStyle w:val="Heading1"/>
      </w:pPr>
      <w:bookmarkStart w:id="0" w:name="_GoBack"/>
      <w:bookmarkEnd w:id="0"/>
      <w:r>
        <w:t>New West Charter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974EDB">
        <w:rPr>
          <w:rFonts w:cs="Arial"/>
        </w:rPr>
        <w:t>1905 Armacost Avenue, Los Angeles, CA 90025-5210</w:t>
      </w:r>
    </w:p>
    <w:p w:rsidR="00974EDB" w:rsidRPr="007828AD" w:rsidRDefault="00E47AD0" w:rsidP="0053009F">
      <w:pPr>
        <w:spacing w:before="120" w:after="240"/>
        <w:rPr>
          <w:rFonts w:ascii="Helvetica" w:hAnsi="Helvetica"/>
          <w:color w:val="0000FF"/>
          <w:sz w:val="21"/>
          <w:szCs w:val="21"/>
          <w:u w:val="single"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gtFrame="_blank" w:tooltip="New West Charter's Web site" w:history="1">
        <w:r w:rsidR="00974EDB" w:rsidRPr="007828AD">
          <w:rPr>
            <w:rFonts w:cs="Arial"/>
            <w:color w:val="0000FF"/>
            <w:u w:val="single"/>
          </w:rPr>
          <w:t>www.newwestcharter.org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974EDB" w:rsidRPr="00974EDB">
        <w:rPr>
          <w:rFonts w:cs="Arial"/>
          <w:color w:val="000000"/>
        </w:rPr>
        <w:t>19 75663 6120158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974EDB">
        <w:rPr>
          <w:rFonts w:cs="Arial"/>
        </w:rPr>
        <w:t>0431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974EDB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974EDB">
        <w:rPr>
          <w:rFonts w:cs="Arial"/>
        </w:rPr>
        <w:t>2017</w:t>
      </w:r>
      <w:r w:rsidR="00194FCB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974EDB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974EDB">
        <w:rPr>
          <w:rFonts w:cs="Arial"/>
        </w:rPr>
        <w:t>2022</w:t>
      </w:r>
    </w:p>
    <w:p w:rsidR="00C16173" w:rsidRPr="0061608F" w:rsidRDefault="00C16173" w:rsidP="00156589">
      <w:pPr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156589" w:rsidRPr="00214D26">
        <w:rPr>
          <w:rFonts w:cs="Arial"/>
        </w:rPr>
        <w:t>The mi</w:t>
      </w:r>
      <w:r w:rsidR="00194FCB">
        <w:rPr>
          <w:rFonts w:cs="Arial"/>
        </w:rPr>
        <w:t>ssion of New West Charter (NWC)</w:t>
      </w:r>
      <w:r w:rsidR="00156589" w:rsidRPr="00214D26">
        <w:rPr>
          <w:rFonts w:cs="Arial"/>
        </w:rPr>
        <w:t xml:space="preserve"> is to provide an academically rigorous, highly individualized education for 21st</w:t>
      </w:r>
      <w:r w:rsidR="00194FCB">
        <w:rPr>
          <w:rFonts w:cs="Arial"/>
        </w:rPr>
        <w:t xml:space="preserve"> Century students in grade six through grade twelve. NWC</w:t>
      </w:r>
      <w:r w:rsidR="00156589" w:rsidRPr="00214D26">
        <w:rPr>
          <w:rFonts w:cs="Arial"/>
        </w:rPr>
        <w:t xml:space="preserve"> will produce competent, independent, self-reliant students by creating a learning environment that promotes academic excellence and strong character development as the antecedents for success in college preparatory high school programs</w:t>
      </w:r>
      <w:r w:rsidR="00A93418" w:rsidRPr="00A12780">
        <w:rPr>
          <w:rFonts w:cs="Arial"/>
        </w:rPr>
        <w:t>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194FCB">
        <w:rPr>
          <w:rFonts w:cs="Arial"/>
        </w:rPr>
        <w:t>Grade Six through Grade Twelve</w:t>
      </w:r>
    </w:p>
    <w:p w:rsidR="00C6039B" w:rsidRDefault="00C6039B" w:rsidP="00C6039B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974EDB">
        <w:rPr>
          <w:rFonts w:cs="Arial"/>
        </w:rPr>
        <w:t>825</w:t>
      </w:r>
    </w:p>
    <w:p w:rsidR="00C6039B" w:rsidRDefault="00C6039B" w:rsidP="00C6039B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156589">
        <w:rPr>
          <w:rFonts w:cs="Arial"/>
        </w:rPr>
        <w:t>796.78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974EDB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7828AD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7828AD">
      <w:pPr>
        <w:pStyle w:val="Heading3"/>
      </w:pPr>
      <w:r w:rsidRPr="00286BC4">
        <w:t>Schoolwide Percentage of All Grades Tested (6–8,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7828AD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C26004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New West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7828AD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t>9.85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7828AD">
      <w:pPr>
        <w:pStyle w:val="Heading3"/>
      </w:pPr>
      <w:r w:rsidRPr="000B7A34">
        <w:t>Schoolwide Percentage of All Grades Tested (6–8, 11)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7828AD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C26004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New West Charter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7828AD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t>16.15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F66996" w:rsidP="007828AD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7828AD" w:rsidRDefault="00D50E40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C26004" w:rsidRPr="007828AD">
          <w:rPr>
            <w:rStyle w:val="Hyperlink"/>
            <w:color w:val="0000FF"/>
          </w:rPr>
          <w:t>https://caaspp.cde.ca.gov/sb2017/CompareReport?ps=true&amp;lstTestYear=2017&amp;lstTestType=B&amp;lstGrade=13&amp;lstGroup=1&amp;lstCds1=19756630000000&amp;lstCds2=00000000000000&amp;lstCompType=table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7828AD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7828AD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</w:t>
      </w:r>
      <w:r w:rsidR="00E67360">
        <w:t>6</w:t>
      </w:r>
      <w:r w:rsidRPr="00082BB9">
        <w:t>–8)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7828AD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7828AD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Blue</w:t>
            </w:r>
          </w:p>
        </w:tc>
        <w:tc>
          <w:tcPr>
            <w:tcW w:w="750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1125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50.2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-38.3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Green</w:t>
            </w:r>
          </w:p>
        </w:tc>
        <w:tc>
          <w:tcPr>
            <w:tcW w:w="750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125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-3.5</w:t>
            </w:r>
          </w:p>
        </w:tc>
      </w:tr>
      <w:tr w:rsidR="00C26004" w:rsidRPr="00082BB9" w:rsidTr="007828AD">
        <w:trPr>
          <w:cantSplit/>
          <w:trHeight w:val="515"/>
        </w:trPr>
        <w:tc>
          <w:tcPr>
            <w:tcW w:w="1187" w:type="pct"/>
          </w:tcPr>
          <w:p w:rsidR="00C26004" w:rsidRDefault="00C26004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-26.3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1187" w:type="pct"/>
          </w:tcPr>
          <w:p w:rsidR="0087794D" w:rsidRDefault="0087794D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125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28.8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1187" w:type="pct"/>
          </w:tcPr>
          <w:p w:rsidR="0087794D" w:rsidRDefault="0087794D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Asian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1125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83.4</w:t>
            </w:r>
          </w:p>
        </w:tc>
      </w:tr>
      <w:tr w:rsidR="00C26004" w:rsidRPr="00082BB9" w:rsidTr="007828AD">
        <w:trPr>
          <w:cantSplit/>
          <w:trHeight w:val="515"/>
        </w:trPr>
        <w:tc>
          <w:tcPr>
            <w:tcW w:w="1187" w:type="pct"/>
          </w:tcPr>
          <w:p w:rsidR="00C26004" w:rsidRDefault="00C26004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Green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125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1187" w:type="pct"/>
          </w:tcPr>
          <w:p w:rsidR="0087794D" w:rsidRDefault="0087794D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Two or More Races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1125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87794D" w:rsidRDefault="0087794D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59.4</w:t>
            </w:r>
          </w:p>
        </w:tc>
      </w:tr>
      <w:tr w:rsidR="00C26004" w:rsidRPr="00082BB9" w:rsidTr="007828AD">
        <w:trPr>
          <w:cantSplit/>
          <w:trHeight w:val="515"/>
        </w:trPr>
        <w:tc>
          <w:tcPr>
            <w:tcW w:w="1187" w:type="pct"/>
          </w:tcPr>
          <w:p w:rsidR="00C26004" w:rsidRDefault="00C26004" w:rsidP="00C2600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Blue</w:t>
            </w:r>
          </w:p>
        </w:tc>
        <w:tc>
          <w:tcPr>
            <w:tcW w:w="750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1125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1187" w:type="pct"/>
          </w:tcPr>
          <w:p w:rsidR="00C26004" w:rsidRDefault="00C26004" w:rsidP="00C2600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75.8</w:t>
            </w:r>
          </w:p>
        </w:tc>
      </w:tr>
    </w:tbl>
    <w:p w:rsidR="000B7A34" w:rsidRPr="0061608F" w:rsidRDefault="000B7A34" w:rsidP="007828AD">
      <w:pPr>
        <w:spacing w:before="120" w:after="100" w:afterAutospacing="1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7828AD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2C793B" w:rsidRDefault="00D50E40" w:rsidP="007828AD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C26004" w:rsidRPr="002C793B">
          <w:rPr>
            <w:rStyle w:val="Hyperlink"/>
            <w:color w:val="0000FF"/>
          </w:rPr>
          <w:t>https://www6.cde.ca.gov/californiamodel/report?indicator=ela&amp;year=2017f&amp;cdcode=&amp;scode=6120158&amp;reporttype=sgroups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7828AD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</w:t>
      </w:r>
      <w:r w:rsidR="00E67360">
        <w:t>6</w:t>
      </w:r>
      <w:r w:rsidR="0009138C" w:rsidRPr="00082BB9">
        <w:t>–8) Indicator</w:t>
      </w:r>
      <w:r>
        <w:t xml:space="preserve"> Table</w:t>
      </w:r>
    </w:p>
    <w:tbl>
      <w:tblPr>
        <w:tblStyle w:val="TableGrid"/>
        <w:tblW w:w="9598" w:type="dxa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79"/>
        <w:gridCol w:w="1440"/>
        <w:gridCol w:w="1440"/>
        <w:gridCol w:w="2160"/>
        <w:gridCol w:w="2279"/>
      </w:tblGrid>
      <w:tr w:rsidR="0009138C" w:rsidRPr="00082BB9" w:rsidTr="007828AD">
        <w:trPr>
          <w:cantSplit/>
          <w:trHeight w:val="1099"/>
          <w:tblHeader/>
        </w:trPr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7828AD">
        <w:trPr>
          <w:cantSplit/>
          <w:trHeight w:val="515"/>
        </w:trPr>
        <w:tc>
          <w:tcPr>
            <w:tcW w:w="2279" w:type="dxa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1440" w:type="dxa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Blue</w:t>
            </w:r>
          </w:p>
        </w:tc>
        <w:tc>
          <w:tcPr>
            <w:tcW w:w="1440" w:type="dxa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2160" w:type="dxa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09138C" w:rsidRPr="00082BB9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15.2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2279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-84.6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-45.4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-65.2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2279" w:type="dxa"/>
          </w:tcPr>
          <w:p w:rsidR="0087794D" w:rsidRDefault="0087794D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African American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2279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-54.5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2279" w:type="dxa"/>
          </w:tcPr>
          <w:p w:rsidR="0087794D" w:rsidRDefault="0087794D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Asian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216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107.2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216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-46.7</w:t>
            </w:r>
          </w:p>
        </w:tc>
      </w:tr>
      <w:tr w:rsidR="0087794D" w:rsidRPr="00082BB9" w:rsidTr="007828AD">
        <w:trPr>
          <w:cantSplit/>
          <w:trHeight w:val="515"/>
        </w:trPr>
        <w:tc>
          <w:tcPr>
            <w:tcW w:w="2279" w:type="dxa"/>
          </w:tcPr>
          <w:p w:rsidR="0087794D" w:rsidRDefault="0087794D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Two or More Races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44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2160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87794D" w:rsidRDefault="0087794D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29.1</w:t>
            </w:r>
          </w:p>
        </w:tc>
      </w:tr>
      <w:tr w:rsidR="000B7A34" w:rsidRPr="00082BB9" w:rsidTr="007828AD">
        <w:trPr>
          <w:cantSplit/>
          <w:trHeight w:val="515"/>
        </w:trPr>
        <w:tc>
          <w:tcPr>
            <w:tcW w:w="2279" w:type="dxa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Blue</w:t>
            </w:r>
          </w:p>
        </w:tc>
        <w:tc>
          <w:tcPr>
            <w:tcW w:w="144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2160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 Significantly</w:t>
            </w:r>
          </w:p>
        </w:tc>
        <w:tc>
          <w:tcPr>
            <w:tcW w:w="2279" w:type="dxa"/>
          </w:tcPr>
          <w:p w:rsidR="000B7A34" w:rsidRDefault="00C26004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</w:tbl>
    <w:p w:rsidR="000B7A34" w:rsidRPr="0061608F" w:rsidRDefault="000B7A34" w:rsidP="007828AD">
      <w:pPr>
        <w:spacing w:before="12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7828AD">
      <w:pPr>
        <w:pStyle w:val="Heading4"/>
      </w:pPr>
      <w:r>
        <w:t>Data Source</w:t>
      </w:r>
    </w:p>
    <w:p w:rsidR="000B2EE0" w:rsidRPr="002C793B" w:rsidRDefault="00D50E40" w:rsidP="007828AD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C26004" w:rsidRPr="002C793B">
          <w:rPr>
            <w:rStyle w:val="Hyperlink"/>
            <w:color w:val="0000FF"/>
          </w:rPr>
          <w:t>https://www6.cde.ca.gov/californiamodel/report?indicator=math&amp;year=2017f&amp;cdcode=&amp;scode=6120158&amp;reporttype=sgroups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 w:rsidSect="007828AD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04" w:rsidRDefault="00C26004" w:rsidP="00D15D9D">
      <w:r>
        <w:separator/>
      </w:r>
    </w:p>
  </w:endnote>
  <w:endnote w:type="continuationSeparator" w:id="0">
    <w:p w:rsidR="00C26004" w:rsidRDefault="00C26004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04" w:rsidRDefault="00C26004" w:rsidP="00D15D9D">
      <w:r>
        <w:separator/>
      </w:r>
    </w:p>
  </w:footnote>
  <w:footnote w:type="continuationSeparator" w:id="0">
    <w:p w:rsidR="00C26004" w:rsidRDefault="00C26004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7828AD" w:rsidRDefault="00522050" w:rsidP="00D15D9D">
    <w:pPr>
      <w:pStyle w:val="Header"/>
      <w:jc w:val="right"/>
    </w:pPr>
    <w:r w:rsidRPr="007828AD">
      <w:t>memo-</w:t>
    </w:r>
    <w:r w:rsidR="00207FD5" w:rsidRPr="007828AD">
      <w:t>ss</w:t>
    </w:r>
    <w:r w:rsidRPr="007828AD">
      <w:t>b-csd-</w:t>
    </w:r>
    <w:r w:rsidR="00C6039B" w:rsidRPr="007828AD">
      <w:t>jun18</w:t>
    </w:r>
    <w:r w:rsidR="00E81F81" w:rsidRPr="007828AD">
      <w:t>item</w:t>
    </w:r>
    <w:r w:rsidR="007828AD">
      <w:t>01</w:t>
    </w:r>
  </w:p>
  <w:p w:rsidR="00D15D9D" w:rsidRPr="007828AD" w:rsidRDefault="00895DCD" w:rsidP="00D15D9D">
    <w:pPr>
      <w:pStyle w:val="Header"/>
      <w:jc w:val="right"/>
    </w:pPr>
    <w:r w:rsidRPr="007828AD">
      <w:t>Attachment</w:t>
    </w:r>
    <w:r w:rsidR="005C1248">
      <w:t xml:space="preserve"> 32</w:t>
    </w:r>
  </w:p>
  <w:p w:rsidR="00D15D9D" w:rsidRPr="007828AD" w:rsidRDefault="005845B2" w:rsidP="007828AD">
    <w:pPr>
      <w:pStyle w:val="Header"/>
      <w:spacing w:after="100" w:afterAutospacing="1"/>
      <w:jc w:val="right"/>
      <w:rPr>
        <w:bCs/>
      </w:rPr>
    </w:pPr>
    <w:r w:rsidRPr="007828AD">
      <w:t xml:space="preserve">Page </w:t>
    </w:r>
    <w:r w:rsidRPr="007828AD">
      <w:rPr>
        <w:bCs/>
      </w:rPr>
      <w:fldChar w:fldCharType="begin"/>
    </w:r>
    <w:r w:rsidRPr="007828AD">
      <w:rPr>
        <w:bCs/>
      </w:rPr>
      <w:instrText xml:space="preserve"> PAGE  \* Arabic  \* MERGEFORMAT </w:instrText>
    </w:r>
    <w:r w:rsidRPr="007828AD">
      <w:rPr>
        <w:bCs/>
      </w:rPr>
      <w:fldChar w:fldCharType="separate"/>
    </w:r>
    <w:r w:rsidR="00D50E40">
      <w:rPr>
        <w:bCs/>
        <w:noProof/>
      </w:rPr>
      <w:t>1</w:t>
    </w:r>
    <w:r w:rsidRPr="007828AD">
      <w:rPr>
        <w:bCs/>
      </w:rPr>
      <w:fldChar w:fldCharType="end"/>
    </w:r>
    <w:r w:rsidRPr="007828AD">
      <w:t xml:space="preserve"> of </w:t>
    </w:r>
    <w:r w:rsidRPr="007828AD">
      <w:rPr>
        <w:bCs/>
      </w:rPr>
      <w:fldChar w:fldCharType="begin"/>
    </w:r>
    <w:r w:rsidRPr="007828AD">
      <w:rPr>
        <w:bCs/>
      </w:rPr>
      <w:instrText xml:space="preserve"> NUMPAGES  \* Arabic  \* MERGEFORMAT </w:instrText>
    </w:r>
    <w:r w:rsidRPr="007828AD">
      <w:rPr>
        <w:bCs/>
      </w:rPr>
      <w:fldChar w:fldCharType="separate"/>
    </w:r>
    <w:r w:rsidR="00D50E40">
      <w:rPr>
        <w:bCs/>
        <w:noProof/>
      </w:rPr>
      <w:t>4</w:t>
    </w:r>
    <w:r w:rsidRPr="007828AD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04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277F4"/>
    <w:rsid w:val="00131037"/>
    <w:rsid w:val="0014418A"/>
    <w:rsid w:val="00156589"/>
    <w:rsid w:val="001648B7"/>
    <w:rsid w:val="00172B15"/>
    <w:rsid w:val="00194FCB"/>
    <w:rsid w:val="001A08AC"/>
    <w:rsid w:val="001B1D9F"/>
    <w:rsid w:val="001F1595"/>
    <w:rsid w:val="00207FD5"/>
    <w:rsid w:val="002170FE"/>
    <w:rsid w:val="00236B25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C793B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B4B39"/>
    <w:rsid w:val="005C082A"/>
    <w:rsid w:val="005C1248"/>
    <w:rsid w:val="005F25C2"/>
    <w:rsid w:val="0061608F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828AD"/>
    <w:rsid w:val="007A2FFA"/>
    <w:rsid w:val="007C5E04"/>
    <w:rsid w:val="007E7D26"/>
    <w:rsid w:val="00810FFF"/>
    <w:rsid w:val="00826388"/>
    <w:rsid w:val="0087794D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74EDB"/>
    <w:rsid w:val="009F3028"/>
    <w:rsid w:val="00A07DE3"/>
    <w:rsid w:val="00A102F6"/>
    <w:rsid w:val="00A119EF"/>
    <w:rsid w:val="00A12780"/>
    <w:rsid w:val="00A554DA"/>
    <w:rsid w:val="00A91308"/>
    <w:rsid w:val="00A92E1C"/>
    <w:rsid w:val="00A93418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26004"/>
    <w:rsid w:val="00C36387"/>
    <w:rsid w:val="00C40A70"/>
    <w:rsid w:val="00C535A8"/>
    <w:rsid w:val="00C6039B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50E40"/>
    <w:rsid w:val="00D944D2"/>
    <w:rsid w:val="00DA429D"/>
    <w:rsid w:val="00DB1668"/>
    <w:rsid w:val="00E0515B"/>
    <w:rsid w:val="00E061EF"/>
    <w:rsid w:val="00E47AD0"/>
    <w:rsid w:val="00E54891"/>
    <w:rsid w:val="00E67360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6699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E74017A-5A57-46C6-B60E-EDEA7DDC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28AD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28AD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28AD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828AD"/>
    <w:pPr>
      <w:keepNext/>
      <w:spacing w:before="24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28AD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7828AD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7828AD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7828AD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westchar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6120158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6120158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19756630000000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32 - Information Memorandum (CA State Board of Education)</vt:lpstr>
    </vt:vector>
  </TitlesOfParts>
  <Company>California State Board of Education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32 - Information Memorandum (CA State Board of Education)</dc:title>
  <dc:subject>New West Charter Academic Progress Tables. SBE Memorandum.</dc:subject>
  <dc:creator/>
  <cp:keywords/>
  <dc:description/>
  <cp:revision>16</cp:revision>
  <cp:lastPrinted>2015-11-19T16:40:00Z</cp:lastPrinted>
  <dcterms:created xsi:type="dcterms:W3CDTF">2018-04-06T14:11:00Z</dcterms:created>
  <dcterms:modified xsi:type="dcterms:W3CDTF">2018-08-09T20:49:00Z</dcterms:modified>
  <cp:category/>
</cp:coreProperties>
</file>