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73" w:rsidRPr="0063501A" w:rsidRDefault="006B250B" w:rsidP="00E854D6">
      <w:pPr>
        <w:pStyle w:val="Heading1"/>
      </w:pPr>
      <w:bookmarkStart w:id="0" w:name="_GoBack"/>
      <w:bookmarkEnd w:id="0"/>
      <w:r>
        <w:t xml:space="preserve">The </w:t>
      </w:r>
      <w:r w:rsidR="0066374A">
        <w:t>School of Arts and Enterprise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r w:rsidR="006E65CA">
        <w:rPr>
          <w:rFonts w:cs="Arial"/>
        </w:rPr>
        <w:t>295 North Garey Avenue, Pomona, CA 91767-5429</w:t>
      </w:r>
    </w:p>
    <w:p w:rsidR="00C16173" w:rsidRPr="0061608F" w:rsidRDefault="00E47AD0" w:rsidP="0053009F">
      <w:pPr>
        <w:spacing w:before="120" w:after="240"/>
        <w:rPr>
          <w:rFonts w:cs="Arial"/>
          <w:b/>
        </w:rPr>
      </w:pPr>
      <w:r>
        <w:rPr>
          <w:rFonts w:cs="Arial"/>
        </w:rPr>
        <w:t>Web s</w:t>
      </w:r>
      <w:r w:rsidR="00C16173"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hyperlink r:id="rId7" w:tooltip="The School of Arts and Enterprises Web site" w:history="1">
        <w:r w:rsidR="00753C9C" w:rsidRPr="006C35AB">
          <w:rPr>
            <w:rStyle w:val="Hyperlink"/>
            <w:rFonts w:cs="Arial"/>
            <w:color w:val="0000FF"/>
          </w:rPr>
          <w:t>www.thesae.k12.ca.us</w:t>
        </w:r>
      </w:hyperlink>
      <w:r w:rsidR="006E65CA">
        <w:rPr>
          <w:rFonts w:cs="Arial"/>
        </w:rPr>
        <w:t xml:space="preserve"> </w:t>
      </w:r>
    </w:p>
    <w:p w:rsidR="00C16173" w:rsidRPr="0061608F" w:rsidRDefault="00E47AD0" w:rsidP="0053009F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="00C16173" w:rsidRPr="0061608F">
        <w:rPr>
          <w:rFonts w:cs="Arial"/>
        </w:rPr>
        <w:t>District</w:t>
      </w:r>
      <w:r>
        <w:rPr>
          <w:rFonts w:cs="Arial"/>
        </w:rPr>
        <w:t>-</w:t>
      </w:r>
      <w:r w:rsidR="00C16173" w:rsidRPr="0061608F">
        <w:rPr>
          <w:rFonts w:cs="Arial"/>
        </w:rPr>
        <w:t>School Code</w:t>
      </w:r>
      <w:r w:rsidR="00A07DE3" w:rsidRPr="0061608F">
        <w:rPr>
          <w:rFonts w:cs="Arial"/>
        </w:rPr>
        <w:t xml:space="preserve">: </w:t>
      </w:r>
      <w:r w:rsidR="006E65CA">
        <w:rPr>
          <w:rFonts w:cs="Arial"/>
        </w:rPr>
        <w:t>19 75697 1996693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Number</w:t>
      </w:r>
      <w:r w:rsidR="00A07DE3" w:rsidRPr="0061608F">
        <w:rPr>
          <w:rFonts w:cs="Arial"/>
        </w:rPr>
        <w:t xml:space="preserve">: </w:t>
      </w:r>
      <w:r w:rsidR="006E65CA">
        <w:rPr>
          <w:rFonts w:cs="Arial"/>
        </w:rPr>
        <w:t>0505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Term</w:t>
      </w:r>
      <w:r w:rsidR="00A07DE3" w:rsidRPr="0061608F">
        <w:rPr>
          <w:rFonts w:cs="Arial"/>
        </w:rPr>
        <w:t xml:space="preserve">: </w:t>
      </w:r>
      <w:r w:rsidR="006E65CA">
        <w:rPr>
          <w:rFonts w:cs="Arial"/>
        </w:rPr>
        <w:t>July 1, 2016</w:t>
      </w:r>
      <w:r w:rsidR="00810B2B">
        <w:rPr>
          <w:rFonts w:cs="Arial"/>
        </w:rPr>
        <w:t>,</w:t>
      </w:r>
      <w:r w:rsidR="006E65CA">
        <w:rPr>
          <w:rFonts w:cs="Arial"/>
        </w:rPr>
        <w:t xml:space="preserve"> through June 30, 2021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School Description</w:t>
      </w:r>
      <w:r w:rsidR="00A07DE3" w:rsidRPr="0061608F">
        <w:rPr>
          <w:rFonts w:cs="Arial"/>
        </w:rPr>
        <w:t xml:space="preserve">: </w:t>
      </w:r>
      <w:r w:rsidR="006E65CA">
        <w:rPr>
          <w:rFonts w:cs="Arial"/>
        </w:rPr>
        <w:t xml:space="preserve">The </w:t>
      </w:r>
      <w:r w:rsidR="0061551E">
        <w:rPr>
          <w:rFonts w:cs="Arial"/>
        </w:rPr>
        <w:t>School of Arts and Enterprise</w:t>
      </w:r>
      <w:r w:rsidR="006E65CA">
        <w:rPr>
          <w:rFonts w:cs="Arial"/>
        </w:rPr>
        <w:t xml:space="preserve"> is a standards-aligned, college-preparatory middle and high school program that emphasizes visual and performing arts and business through innovative project-based learning. 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Grade Levels Served</w:t>
      </w:r>
      <w:r w:rsidR="00A07DE3" w:rsidRPr="0061608F">
        <w:rPr>
          <w:rFonts w:cs="Arial"/>
        </w:rPr>
        <w:t xml:space="preserve">: </w:t>
      </w:r>
      <w:r w:rsidR="00BE297C">
        <w:rPr>
          <w:rFonts w:cs="Arial"/>
        </w:rPr>
        <w:t>Grade Six through Grade Twelve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20</w:t>
      </w:r>
      <w:r w:rsidR="00ED5D5A">
        <w:rPr>
          <w:rFonts w:cs="Arial"/>
        </w:rPr>
        <w:t>16</w:t>
      </w:r>
      <w:r w:rsidRPr="0061608F">
        <w:rPr>
          <w:rFonts w:cs="Arial"/>
        </w:rPr>
        <w:t>–</w:t>
      </w:r>
      <w:r w:rsidR="00ED5D5A">
        <w:rPr>
          <w:rFonts w:cs="Arial"/>
        </w:rPr>
        <w:t>17</w:t>
      </w:r>
      <w:r w:rsidRPr="0061608F">
        <w:rPr>
          <w:rFonts w:cs="Arial"/>
        </w:rPr>
        <w:t xml:space="preserve"> Enrollment</w:t>
      </w:r>
      <w:r w:rsidR="00A07DE3" w:rsidRPr="0061608F">
        <w:rPr>
          <w:rFonts w:cs="Arial"/>
        </w:rPr>
        <w:t xml:space="preserve">: </w:t>
      </w:r>
      <w:r w:rsidR="00BE297C">
        <w:rPr>
          <w:rFonts w:cs="Arial"/>
        </w:rPr>
        <w:t>745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20</w:t>
      </w:r>
      <w:r w:rsidR="00ED5D5A">
        <w:rPr>
          <w:rFonts w:cs="Arial"/>
        </w:rPr>
        <w:t>16</w:t>
      </w:r>
      <w:r w:rsidRPr="0061608F">
        <w:rPr>
          <w:rFonts w:cs="Arial"/>
        </w:rPr>
        <w:t>–</w:t>
      </w:r>
      <w:r w:rsidR="00ED5D5A">
        <w:rPr>
          <w:rFonts w:cs="Arial"/>
        </w:rPr>
        <w:t>17</w:t>
      </w:r>
      <w:r w:rsidRPr="0061608F">
        <w:rPr>
          <w:rFonts w:cs="Arial"/>
        </w:rPr>
        <w:t xml:space="preserve"> Second Principal (P-2) Apportionment Average Daily Attendance</w:t>
      </w:r>
      <w:r w:rsidR="00A07DE3" w:rsidRPr="0061608F">
        <w:rPr>
          <w:rFonts w:cs="Arial"/>
        </w:rPr>
        <w:t xml:space="preserve">: </w:t>
      </w:r>
      <w:r w:rsidR="00BE297C">
        <w:rPr>
          <w:rFonts w:cs="Arial"/>
        </w:rPr>
        <w:t>693.68</w:t>
      </w:r>
    </w:p>
    <w:p w:rsidR="00E47AD0" w:rsidRDefault="00C16173" w:rsidP="00E47AD0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</w:t>
      </w:r>
      <w:r w:rsidR="00A07DE3" w:rsidRPr="0061608F">
        <w:rPr>
          <w:rFonts w:cs="Arial"/>
        </w:rPr>
        <w:t>:</w:t>
      </w:r>
      <w:r w:rsidR="00BE297C">
        <w:rPr>
          <w:rFonts w:cs="Arial"/>
        </w:rPr>
        <w:t xml:space="preserve"> Site Based</w:t>
      </w:r>
    </w:p>
    <w:p w:rsidR="00E47AD0" w:rsidRDefault="00A07DE3" w:rsidP="00E47AD0">
      <w:pPr>
        <w:spacing w:before="120" w:after="240"/>
        <w:contextualSpacing/>
        <w:rPr>
          <w:rFonts w:cs="Arial"/>
        </w:rPr>
        <w:sectPr w:rsidR="00E47AD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608F">
        <w:rPr>
          <w:rFonts w:cs="Arial"/>
        </w:rPr>
        <w:t xml:space="preserve"> </w:t>
      </w:r>
    </w:p>
    <w:p w:rsidR="0009138C" w:rsidRPr="00082BB9" w:rsidRDefault="0009138C" w:rsidP="00E854D6">
      <w:pPr>
        <w:pStyle w:val="Heading2"/>
      </w:pPr>
      <w:r w:rsidRPr="00082BB9">
        <w:lastRenderedPageBreak/>
        <w:t>20</w:t>
      </w:r>
      <w:r w:rsidR="0066374A" w:rsidRPr="0066374A">
        <w:t>17</w:t>
      </w:r>
      <w:r w:rsidRPr="00082BB9">
        <w:t xml:space="preserve"> California Assessment of Student Performance and Progress Test Results</w:t>
      </w:r>
    </w:p>
    <w:p w:rsidR="000B7A34" w:rsidRPr="00286BC4" w:rsidRDefault="000B7A34" w:rsidP="00E854D6">
      <w:pPr>
        <w:pStyle w:val="Heading3"/>
      </w:pPr>
      <w:r w:rsidRPr="00286BC4">
        <w:t>Schoolwide Percentage of All Grades Tested (6–8, 11) for</w:t>
      </w:r>
      <w:r w:rsidR="005B1C0B">
        <w:t xml:space="preserve"> </w:t>
      </w:r>
      <w:r w:rsidRPr="00286BC4">
        <w:t>English Language Arts</w:t>
      </w:r>
      <w:r w:rsidR="0037042C" w:rsidRPr="00286BC4">
        <w:t>/Literacy</w:t>
      </w:r>
      <w:r w:rsidRPr="00286BC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English Language Arts/Literacy Table."/>
      </w:tblPr>
      <w:tblGrid>
        <w:gridCol w:w="2763"/>
        <w:gridCol w:w="3445"/>
        <w:gridCol w:w="3142"/>
      </w:tblGrid>
      <w:tr w:rsidR="0009138C" w:rsidRPr="00082BB9" w:rsidTr="00462EB8">
        <w:trPr>
          <w:cantSplit/>
          <w:tblHeader/>
        </w:trPr>
        <w:tc>
          <w:tcPr>
            <w:tcW w:w="1478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42" w:type="pct"/>
            <w:shd w:val="clear" w:color="auto" w:fill="D9D9D9" w:themeFill="background1" w:themeFillShade="D9"/>
          </w:tcPr>
          <w:p w:rsidR="00C63C4A" w:rsidRPr="00EB1DA6" w:rsidRDefault="0066374A" w:rsidP="008F4D4A">
            <w:pPr>
              <w:spacing w:before="120" w:after="120"/>
              <w:jc w:val="center"/>
              <w:rPr>
                <w:b/>
              </w:rPr>
            </w:pPr>
            <w:r w:rsidRPr="00EB1DA6">
              <w:rPr>
                <w:b/>
              </w:rPr>
              <w:t>School of Arts and Enterprise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EB1DA6">
              <w:rPr>
                <w:b/>
              </w:rPr>
              <w:t>Percent of All Grades</w:t>
            </w:r>
            <w:r>
              <w:rPr>
                <w:b/>
              </w:rPr>
              <w:t xml:space="preserve">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462EB8">
        <w:trPr>
          <w:cantSplit/>
        </w:trPr>
        <w:tc>
          <w:tcPr>
            <w:tcW w:w="1478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42" w:type="pct"/>
          </w:tcPr>
          <w:p w:rsidR="0009138C" w:rsidRPr="00082BB9" w:rsidRDefault="0066374A" w:rsidP="008F4D4A">
            <w:pPr>
              <w:spacing w:before="120" w:after="120"/>
              <w:jc w:val="center"/>
              <w:rPr>
                <w:rFonts w:cs="Arial"/>
              </w:rPr>
            </w:pPr>
            <w:r>
              <w:t>22.41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66374A" w:rsidP="0066374A">
            <w:pPr>
              <w:spacing w:before="120" w:after="120"/>
              <w:jc w:val="center"/>
              <w:rPr>
                <w:rFonts w:cs="Arial"/>
              </w:rPr>
            </w:pPr>
            <w:r>
              <w:t>28.35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0B7A34" w:rsidRPr="000B7A34" w:rsidRDefault="000B7A34" w:rsidP="00E854D6">
      <w:pPr>
        <w:pStyle w:val="Heading3"/>
      </w:pPr>
      <w:r w:rsidRPr="000B7A34">
        <w:t>Schoolwide Percentage of All Grades Tested (6–8, 11) for Mathematics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Mathematics Table."/>
      </w:tblPr>
      <w:tblGrid>
        <w:gridCol w:w="2768"/>
        <w:gridCol w:w="3439"/>
        <w:gridCol w:w="3143"/>
      </w:tblGrid>
      <w:tr w:rsidR="0009138C" w:rsidRPr="00082BB9" w:rsidTr="00E854D6">
        <w:trPr>
          <w:cantSplit/>
          <w:tblHeader/>
        </w:trPr>
        <w:tc>
          <w:tcPr>
            <w:tcW w:w="148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39" w:type="pct"/>
            <w:shd w:val="clear" w:color="auto" w:fill="D9D9D9" w:themeFill="background1" w:themeFillShade="D9"/>
          </w:tcPr>
          <w:p w:rsidR="00C63C4A" w:rsidRPr="00EB1DA6" w:rsidRDefault="0066374A" w:rsidP="00C63C4A">
            <w:pPr>
              <w:spacing w:before="120" w:after="120"/>
              <w:jc w:val="center"/>
              <w:rPr>
                <w:b/>
              </w:rPr>
            </w:pPr>
            <w:r w:rsidRPr="00EB1DA6">
              <w:rPr>
                <w:b/>
              </w:rPr>
              <w:t>School of Arts and Enterprise</w:t>
            </w:r>
          </w:p>
          <w:p w:rsidR="0009138C" w:rsidRPr="00EB1DA6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EB1DA6">
              <w:rPr>
                <w:b/>
              </w:rPr>
              <w:t>Percent of All Grades Tested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EB1DA6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EB1DA6">
              <w:rPr>
                <w:rFonts w:cs="Arial"/>
                <w:b/>
              </w:rPr>
              <w:t>State of California</w:t>
            </w:r>
          </w:p>
          <w:p w:rsidR="0009138C" w:rsidRPr="00EB1DA6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EB1DA6">
              <w:rPr>
                <w:b/>
              </w:rPr>
              <w:t>Percent of All Grades Tested Standard Not Met</w:t>
            </w:r>
          </w:p>
        </w:tc>
      </w:tr>
      <w:tr w:rsidR="0009138C" w:rsidRPr="00082BB9" w:rsidTr="00462EB8">
        <w:trPr>
          <w:cantSplit/>
        </w:trPr>
        <w:tc>
          <w:tcPr>
            <w:tcW w:w="1480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39" w:type="pct"/>
          </w:tcPr>
          <w:p w:rsidR="0009138C" w:rsidRPr="00082BB9" w:rsidRDefault="0066374A" w:rsidP="008F4D4A">
            <w:pPr>
              <w:spacing w:before="120" w:after="120"/>
              <w:jc w:val="center"/>
              <w:rPr>
                <w:rFonts w:cs="Arial"/>
              </w:rPr>
            </w:pPr>
            <w:r>
              <w:t>52.04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66374A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35.86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1B1D9F" w:rsidRDefault="0039587E" w:rsidP="00E47AD0">
      <w:pPr>
        <w:pStyle w:val="Heading4"/>
      </w:pPr>
      <w:r>
        <w:t>Data S</w:t>
      </w:r>
      <w:r w:rsidR="00E47AD0">
        <w:t>ource</w:t>
      </w:r>
      <w:r w:rsidR="0009138C" w:rsidRPr="007071CE">
        <w:t xml:space="preserve"> </w:t>
      </w:r>
    </w:p>
    <w:p w:rsidR="00753C9C" w:rsidRPr="00E854D6" w:rsidRDefault="007E5D5D" w:rsidP="00E854D6">
      <w:pPr>
        <w:spacing w:after="100" w:afterAutospacing="1"/>
        <w:rPr>
          <w:color w:val="0000FF"/>
          <w:u w:val="single"/>
        </w:rPr>
      </w:pPr>
      <w:hyperlink r:id="rId9" w:tooltip="California Assessment of Student Performance and Progress Test Results web page that compares the school's results to statewide results" w:history="1">
        <w:r w:rsidR="00753C9C" w:rsidRPr="00E854D6">
          <w:rPr>
            <w:rStyle w:val="Hyperlink"/>
            <w:color w:val="0000FF"/>
          </w:rPr>
          <w:t>https://caaspp.cde.ca.gov/sb2017/CompareReport?ps=true&amp;lstTestYear=2017&amp;lstTestType=B&amp;lstGrade=13&amp;lstGroup=1&amp;lstCds1=00000000000000&amp;lstCds2=19756971996693&amp;lstCompType=table</w:t>
        </w:r>
      </w:hyperlink>
    </w:p>
    <w:p w:rsidR="00BB49CA" w:rsidRPr="007071CE" w:rsidRDefault="00BB49CA" w:rsidP="00BB49CA">
      <w:pPr>
        <w:spacing w:before="240"/>
        <w:rPr>
          <w:b/>
        </w:rPr>
      </w:pPr>
      <w:r w:rsidRPr="007071CE">
        <w:t>Prepared by the California Department of Education, Charter Schools Division,</w:t>
      </w:r>
      <w:r>
        <w:t xml:space="preserve"> April 2018</w:t>
      </w:r>
    </w:p>
    <w:p w:rsidR="0009138C" w:rsidRPr="00286BC4" w:rsidRDefault="0009138C" w:rsidP="00E854D6">
      <w:pPr>
        <w:pStyle w:val="Heading2"/>
      </w:pPr>
      <w:r w:rsidRPr="00082BB9">
        <w:rPr>
          <w:sz w:val="18"/>
        </w:rPr>
        <w:br w:type="page"/>
      </w:r>
      <w:r w:rsidR="0061608F" w:rsidRPr="00286BC4">
        <w:lastRenderedPageBreak/>
        <w:t>20</w:t>
      </w:r>
      <w:r w:rsidR="00BB49CA">
        <w:t>17</w:t>
      </w:r>
      <w:r w:rsidR="0061608F" w:rsidRPr="00286BC4">
        <w:t xml:space="preserve"> </w:t>
      </w:r>
      <w:r w:rsidRPr="00286BC4">
        <w:t>California School Dashboard Data</w:t>
      </w:r>
    </w:p>
    <w:p w:rsidR="0009138C" w:rsidRPr="00082BB9" w:rsidRDefault="0009138C" w:rsidP="00E854D6">
      <w:pPr>
        <w:pStyle w:val="Heading3"/>
      </w:pPr>
      <w:r w:rsidRPr="00082BB9">
        <w:t>English Language Arts</w:t>
      </w:r>
      <w:r w:rsidR="0037042C">
        <w:t>/Literacy</w:t>
      </w:r>
      <w:r w:rsidRPr="00082BB9">
        <w:t xml:space="preserve"> (Grade</w:t>
      </w:r>
      <w:r w:rsidR="00ED21C4">
        <w:t>s</w:t>
      </w:r>
      <w:r w:rsidR="00227F33">
        <w:t xml:space="preserve"> 6</w:t>
      </w:r>
      <w:r w:rsidRPr="00082BB9">
        <w:t>–8) Indicator</w:t>
      </w:r>
      <w:r w:rsidR="000B7A34">
        <w:t xml:space="preserve"> Table</w:t>
      </w:r>
    </w:p>
    <w:tbl>
      <w:tblPr>
        <w:tblStyle w:val="TableGrid"/>
        <w:tblW w:w="9598" w:type="dxa"/>
        <w:tblLook w:val="04A0" w:firstRow="1" w:lastRow="0" w:firstColumn="1" w:lastColumn="0" w:noHBand="0" w:noVBand="1"/>
        <w:tblCaption w:val="California School Dashboard Data"/>
        <w:tblDescription w:val="English Language Arts/Literacy (Grades 3–8) Indicator Table."/>
      </w:tblPr>
      <w:tblGrid>
        <w:gridCol w:w="2279"/>
        <w:gridCol w:w="1440"/>
        <w:gridCol w:w="1440"/>
        <w:gridCol w:w="2160"/>
        <w:gridCol w:w="2279"/>
      </w:tblGrid>
      <w:tr w:rsidR="0009138C" w:rsidRPr="00082BB9" w:rsidTr="00E854D6">
        <w:trPr>
          <w:cantSplit/>
          <w:trHeight w:val="1099"/>
          <w:tblHeader/>
        </w:trPr>
        <w:tc>
          <w:tcPr>
            <w:tcW w:w="2279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E854D6">
        <w:trPr>
          <w:cantSplit/>
          <w:trHeight w:val="515"/>
        </w:trPr>
        <w:tc>
          <w:tcPr>
            <w:tcW w:w="2279" w:type="dxa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1440" w:type="dxa"/>
          </w:tcPr>
          <w:p w:rsidR="0009138C" w:rsidRPr="00082BB9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9138C" w:rsidRPr="00082BB9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9138C" w:rsidRPr="00082BB9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2279" w:type="dxa"/>
          </w:tcPr>
          <w:p w:rsidR="0009138C" w:rsidRPr="00082BB9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-28.5</w:t>
            </w:r>
          </w:p>
        </w:tc>
      </w:tr>
      <w:tr w:rsidR="000B7A34" w:rsidRPr="00082BB9" w:rsidTr="00E854D6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2279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-51.3</w:t>
            </w:r>
          </w:p>
        </w:tc>
      </w:tr>
      <w:tr w:rsidR="000B7A34" w:rsidRPr="00082BB9" w:rsidTr="00E854D6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2279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-31.2</w:t>
            </w:r>
          </w:p>
        </w:tc>
      </w:tr>
      <w:tr w:rsidR="000B7A34" w:rsidRPr="00082BB9" w:rsidTr="00E854D6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216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2279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-102.3</w:t>
            </w:r>
          </w:p>
        </w:tc>
      </w:tr>
      <w:tr w:rsidR="002C5AEA" w:rsidRPr="00082BB9" w:rsidTr="00E854D6">
        <w:trPr>
          <w:cantSplit/>
          <w:trHeight w:val="515"/>
        </w:trPr>
        <w:tc>
          <w:tcPr>
            <w:tcW w:w="2279" w:type="dxa"/>
          </w:tcPr>
          <w:p w:rsidR="002C5AEA" w:rsidRDefault="002C5AEA" w:rsidP="002C5AE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African American</w:t>
            </w:r>
          </w:p>
        </w:tc>
        <w:tc>
          <w:tcPr>
            <w:tcW w:w="1440" w:type="dxa"/>
          </w:tcPr>
          <w:p w:rsidR="002C5AEA" w:rsidRDefault="002C5AEA" w:rsidP="002C5AE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2C5AEA" w:rsidRDefault="002C5AEA" w:rsidP="002C5AE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2C5AEA" w:rsidRDefault="002C5AEA" w:rsidP="002C5AE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2279" w:type="dxa"/>
          </w:tcPr>
          <w:p w:rsidR="002C5AEA" w:rsidRDefault="002C5AEA" w:rsidP="002C5AE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-37.8</w:t>
            </w:r>
          </w:p>
        </w:tc>
      </w:tr>
      <w:tr w:rsidR="002C5AEA" w:rsidRPr="00082BB9" w:rsidTr="00E854D6">
        <w:trPr>
          <w:cantSplit/>
          <w:trHeight w:val="515"/>
        </w:trPr>
        <w:tc>
          <w:tcPr>
            <w:tcW w:w="2279" w:type="dxa"/>
          </w:tcPr>
          <w:p w:rsidR="002C5AEA" w:rsidRDefault="002C5AEA" w:rsidP="002C5AE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1440" w:type="dxa"/>
          </w:tcPr>
          <w:p w:rsidR="002C5AEA" w:rsidRDefault="002C5AEA" w:rsidP="002C5AE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2C5AEA" w:rsidRDefault="002C5AEA" w:rsidP="002C5AE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2C5AEA" w:rsidRDefault="002C5AEA" w:rsidP="002C5AE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2279" w:type="dxa"/>
          </w:tcPr>
          <w:p w:rsidR="002C5AEA" w:rsidRDefault="002C5AEA" w:rsidP="002C5AE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-33.7</w:t>
            </w:r>
          </w:p>
        </w:tc>
      </w:tr>
      <w:tr w:rsidR="002C5AEA" w:rsidRPr="00082BB9" w:rsidTr="00E854D6">
        <w:trPr>
          <w:cantSplit/>
          <w:trHeight w:val="515"/>
        </w:trPr>
        <w:tc>
          <w:tcPr>
            <w:tcW w:w="2279" w:type="dxa"/>
          </w:tcPr>
          <w:p w:rsidR="002C5AEA" w:rsidRDefault="002C5AEA" w:rsidP="002C5AE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White</w:t>
            </w:r>
          </w:p>
        </w:tc>
        <w:tc>
          <w:tcPr>
            <w:tcW w:w="1440" w:type="dxa"/>
          </w:tcPr>
          <w:p w:rsidR="002C5AEA" w:rsidRDefault="002C5AEA" w:rsidP="002C5AE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2C5AEA" w:rsidRDefault="002C5AEA" w:rsidP="002C5AE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2160" w:type="dxa"/>
          </w:tcPr>
          <w:p w:rsidR="002C5AEA" w:rsidRDefault="002C5AEA" w:rsidP="002C5AE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2279" w:type="dxa"/>
          </w:tcPr>
          <w:p w:rsidR="002C5AEA" w:rsidRDefault="002C5AEA" w:rsidP="002C5AE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-3.8</w:t>
            </w:r>
          </w:p>
        </w:tc>
      </w:tr>
    </w:tbl>
    <w:p w:rsidR="000B7A34" w:rsidRPr="0061608F" w:rsidRDefault="000B7A34" w:rsidP="00E854D6">
      <w:pPr>
        <w:spacing w:before="24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B7A34" w:rsidRPr="008C5AFE" w:rsidRDefault="00E47AD0" w:rsidP="008C5AFE">
      <w:pPr>
        <w:pStyle w:val="Heading4"/>
      </w:pPr>
      <w:r>
        <w:t>Data Source</w:t>
      </w:r>
      <w:r w:rsidR="000B7A34" w:rsidRPr="008C5AFE">
        <w:t xml:space="preserve"> </w:t>
      </w:r>
    </w:p>
    <w:p w:rsidR="00E47AD0" w:rsidRPr="00E854D6" w:rsidRDefault="007E5D5D" w:rsidP="00E854D6">
      <w:pPr>
        <w:spacing w:after="100" w:afterAutospacing="1"/>
        <w:rPr>
          <w:color w:val="0000FF"/>
          <w:u w:val="single"/>
        </w:rPr>
      </w:pPr>
      <w:hyperlink r:id="rId10" w:tooltip="Mathematics indicator on the California School Dashboard" w:history="1">
        <w:r w:rsidR="00EB1DA6" w:rsidRPr="00E854D6">
          <w:rPr>
            <w:rStyle w:val="Hyperlink"/>
            <w:color w:val="0000FF"/>
          </w:rPr>
          <w:t>https://www6.cde.ca.gov/californiamodel/report?indicator=ela&amp;year=2017f&amp;cdcode=&amp;scode=1996693&amp;reporttype=sgroups</w:t>
        </w:r>
      </w:hyperlink>
    </w:p>
    <w:p w:rsidR="0061608F" w:rsidRDefault="000B7A34" w:rsidP="00E47AD0">
      <w:r w:rsidRPr="0061608F">
        <w:t>Prepared by the California Department of Education, Charter Schools Division,</w:t>
      </w:r>
      <w:r w:rsidR="00BB49CA">
        <w:t xml:space="preserve"> April 2018</w:t>
      </w:r>
    </w:p>
    <w:p w:rsidR="0009138C" w:rsidRPr="00082BB9" w:rsidRDefault="000B7A34" w:rsidP="00E854D6">
      <w:pPr>
        <w:pStyle w:val="Heading3"/>
      </w:pPr>
      <w:r>
        <w:br w:type="page"/>
      </w:r>
      <w:r w:rsidR="0009138C" w:rsidRPr="00082BB9">
        <w:lastRenderedPageBreak/>
        <w:t>Mathematics (Grade</w:t>
      </w:r>
      <w:r w:rsidR="00ED21C4">
        <w:t>s</w:t>
      </w:r>
      <w:r w:rsidR="0009138C" w:rsidRPr="00082BB9">
        <w:t xml:space="preserve"> </w:t>
      </w:r>
      <w:r w:rsidR="00227F33">
        <w:t>6</w:t>
      </w:r>
      <w:r w:rsidR="0009138C" w:rsidRPr="00082BB9">
        <w:t>–8) Indicator</w:t>
      </w:r>
      <w:r>
        <w:t xml:space="preserve"> Table</w:t>
      </w:r>
    </w:p>
    <w:tbl>
      <w:tblPr>
        <w:tblStyle w:val="TableGrid"/>
        <w:tblW w:w="9598" w:type="dxa"/>
        <w:tblLook w:val="04A0" w:firstRow="1" w:lastRow="0" w:firstColumn="1" w:lastColumn="0" w:noHBand="0" w:noVBand="1"/>
        <w:tblCaption w:val="California School Dashboard Data"/>
        <w:tblDescription w:val="Mathematics (Grades 3-8) Indicator Table"/>
      </w:tblPr>
      <w:tblGrid>
        <w:gridCol w:w="2279"/>
        <w:gridCol w:w="1440"/>
        <w:gridCol w:w="1440"/>
        <w:gridCol w:w="2160"/>
        <w:gridCol w:w="2279"/>
      </w:tblGrid>
      <w:tr w:rsidR="0009138C" w:rsidRPr="00082BB9" w:rsidTr="00E854D6">
        <w:trPr>
          <w:cantSplit/>
          <w:trHeight w:val="1099"/>
          <w:tblHeader/>
        </w:trPr>
        <w:tc>
          <w:tcPr>
            <w:tcW w:w="2279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E854D6">
        <w:trPr>
          <w:cantSplit/>
          <w:trHeight w:val="515"/>
        </w:trPr>
        <w:tc>
          <w:tcPr>
            <w:tcW w:w="2279" w:type="dxa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1440" w:type="dxa"/>
          </w:tcPr>
          <w:p w:rsidR="0009138C" w:rsidRPr="00082BB9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9138C" w:rsidRPr="00082BB9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9138C" w:rsidRPr="00082BB9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2279" w:type="dxa"/>
          </w:tcPr>
          <w:p w:rsidR="0009138C" w:rsidRPr="00082BB9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-82.6</w:t>
            </w:r>
          </w:p>
        </w:tc>
      </w:tr>
      <w:tr w:rsidR="000B7A34" w:rsidRPr="00082BB9" w:rsidTr="00E854D6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Red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2160" w:type="dxa"/>
          </w:tcPr>
          <w:p w:rsidR="000B7A34" w:rsidRDefault="00D04F7F" w:rsidP="00D04F7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</w:t>
            </w:r>
            <w:r w:rsidR="00EB1DA6">
              <w:rPr>
                <w:rFonts w:cs="Arial"/>
              </w:rPr>
              <w:t>d</w:t>
            </w:r>
          </w:p>
        </w:tc>
        <w:tc>
          <w:tcPr>
            <w:tcW w:w="2279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-100.9</w:t>
            </w:r>
          </w:p>
        </w:tc>
      </w:tr>
      <w:tr w:rsidR="000B7A34" w:rsidRPr="00082BB9" w:rsidTr="00E854D6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Yellow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2279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-86.7</w:t>
            </w:r>
          </w:p>
        </w:tc>
      </w:tr>
      <w:tr w:rsidR="000B7A34" w:rsidRPr="00082BB9" w:rsidTr="00E854D6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2160" w:type="dxa"/>
          </w:tcPr>
          <w:p w:rsidR="000B7A34" w:rsidRDefault="00D04F7F" w:rsidP="00D04F7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  <w:r w:rsidR="00EB1DA6">
              <w:rPr>
                <w:rFonts w:cs="Arial"/>
              </w:rPr>
              <w:t xml:space="preserve"> Significantly</w:t>
            </w:r>
          </w:p>
        </w:tc>
        <w:tc>
          <w:tcPr>
            <w:tcW w:w="2279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-164.7</w:t>
            </w:r>
          </w:p>
        </w:tc>
      </w:tr>
      <w:tr w:rsidR="00D6001C" w:rsidRPr="00082BB9" w:rsidTr="00E854D6">
        <w:trPr>
          <w:cantSplit/>
          <w:trHeight w:val="515"/>
        </w:trPr>
        <w:tc>
          <w:tcPr>
            <w:tcW w:w="2279" w:type="dxa"/>
          </w:tcPr>
          <w:p w:rsidR="00D6001C" w:rsidRDefault="00D6001C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African American</w:t>
            </w:r>
          </w:p>
        </w:tc>
        <w:tc>
          <w:tcPr>
            <w:tcW w:w="1440" w:type="dxa"/>
          </w:tcPr>
          <w:p w:rsidR="00D6001C" w:rsidRDefault="00D6001C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D6001C" w:rsidRDefault="00D6001C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D6001C" w:rsidRDefault="00D6001C" w:rsidP="00D04F7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2279" w:type="dxa"/>
          </w:tcPr>
          <w:p w:rsidR="00D6001C" w:rsidRDefault="00D6001C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-93.1</w:t>
            </w:r>
          </w:p>
        </w:tc>
      </w:tr>
      <w:tr w:rsidR="000B7A34" w:rsidRPr="00082BB9" w:rsidTr="00E854D6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2279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-87.5</w:t>
            </w:r>
          </w:p>
        </w:tc>
      </w:tr>
      <w:tr w:rsidR="000B7A34" w:rsidRPr="00082BB9" w:rsidTr="00E854D6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White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D04F7F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</w:t>
            </w:r>
            <w:r w:rsidR="00EB1DA6">
              <w:rPr>
                <w:rFonts w:cs="Arial"/>
              </w:rPr>
              <w:t>ed Significantly</w:t>
            </w:r>
          </w:p>
        </w:tc>
        <w:tc>
          <w:tcPr>
            <w:tcW w:w="2279" w:type="dxa"/>
          </w:tcPr>
          <w:p w:rsidR="000B7A34" w:rsidRDefault="00EB1DA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-64.4</w:t>
            </w:r>
          </w:p>
        </w:tc>
      </w:tr>
    </w:tbl>
    <w:p w:rsidR="000B7A34" w:rsidRPr="0061608F" w:rsidRDefault="000B7A34" w:rsidP="00E854D6">
      <w:pPr>
        <w:spacing w:before="24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9138C" w:rsidRPr="0061608F" w:rsidRDefault="00E47AD0" w:rsidP="008C5AFE">
      <w:pPr>
        <w:pStyle w:val="Heading4"/>
      </w:pPr>
      <w:r>
        <w:t>Data Source</w:t>
      </w:r>
    </w:p>
    <w:p w:rsidR="00E47AD0" w:rsidRPr="00E854D6" w:rsidRDefault="007E5D5D" w:rsidP="00E854D6">
      <w:pPr>
        <w:spacing w:after="100" w:afterAutospacing="1"/>
        <w:rPr>
          <w:color w:val="0000FF"/>
          <w:u w:val="single"/>
        </w:rPr>
      </w:pPr>
      <w:hyperlink r:id="rId11" w:tooltip="Mathematics indicator on the California School Dashboard" w:history="1">
        <w:r w:rsidR="00EB1DA6" w:rsidRPr="00E854D6">
          <w:rPr>
            <w:rStyle w:val="Hyperlink"/>
            <w:color w:val="0000FF"/>
          </w:rPr>
          <w:t>https://www6.cde.ca.gov/californiamodel/report?indicator=math&amp;year=2017f&amp;cdcode=&amp;scode=1996693&amp;reporttype=sgroups</w:t>
        </w:r>
      </w:hyperlink>
    </w:p>
    <w:p w:rsidR="00AE2F01" w:rsidRPr="0061608F" w:rsidRDefault="0009138C" w:rsidP="00E47AD0">
      <w:pPr>
        <w:rPr>
          <w:b/>
        </w:rPr>
      </w:pPr>
      <w:r w:rsidRPr="0061608F">
        <w:t>Prepared by the California Department of Education, Charter Schools Division,</w:t>
      </w:r>
      <w:r w:rsidR="00EB1DA6">
        <w:t xml:space="preserve"> April 2018</w:t>
      </w:r>
    </w:p>
    <w:sectPr w:rsidR="00AE2F01" w:rsidRPr="0061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1A" w:rsidRDefault="0063501A" w:rsidP="00D15D9D">
      <w:r>
        <w:separator/>
      </w:r>
    </w:p>
  </w:endnote>
  <w:endnote w:type="continuationSeparator" w:id="0">
    <w:p w:rsidR="0063501A" w:rsidRDefault="0063501A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1A" w:rsidRDefault="0063501A" w:rsidP="00D15D9D">
      <w:r>
        <w:separator/>
      </w:r>
    </w:p>
  </w:footnote>
  <w:footnote w:type="continuationSeparator" w:id="0">
    <w:p w:rsidR="0063501A" w:rsidRDefault="0063501A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D" w:rsidRPr="006C35AB" w:rsidRDefault="00522050" w:rsidP="00D15D9D">
    <w:pPr>
      <w:pStyle w:val="Header"/>
      <w:jc w:val="right"/>
    </w:pPr>
    <w:r w:rsidRPr="006C35AB">
      <w:t>memo-</w:t>
    </w:r>
    <w:r w:rsidR="00207FD5" w:rsidRPr="006C35AB">
      <w:t>ss</w:t>
    </w:r>
    <w:r w:rsidRPr="006C35AB">
      <w:t>b-csd-</w:t>
    </w:r>
    <w:r w:rsidR="00ED5D5A" w:rsidRPr="006C35AB">
      <w:t>jun18</w:t>
    </w:r>
    <w:r w:rsidR="00E81F81" w:rsidRPr="006C35AB">
      <w:t>item</w:t>
    </w:r>
    <w:r w:rsidR="00E854D6">
      <w:t>01</w:t>
    </w:r>
  </w:p>
  <w:p w:rsidR="00D15D9D" w:rsidRPr="006C35AB" w:rsidRDefault="00895DCD" w:rsidP="00D15D9D">
    <w:pPr>
      <w:pStyle w:val="Header"/>
      <w:jc w:val="right"/>
    </w:pPr>
    <w:r w:rsidRPr="006C35AB">
      <w:t>Attachment</w:t>
    </w:r>
    <w:r w:rsidR="00F77899">
      <w:t xml:space="preserve"> 45</w:t>
    </w:r>
  </w:p>
  <w:p w:rsidR="00D15D9D" w:rsidRPr="006C35AB" w:rsidRDefault="005845B2" w:rsidP="006C35AB">
    <w:pPr>
      <w:pStyle w:val="Header"/>
      <w:spacing w:after="100" w:afterAutospacing="1"/>
      <w:jc w:val="right"/>
      <w:rPr>
        <w:bCs/>
      </w:rPr>
    </w:pPr>
    <w:r w:rsidRPr="006C35AB">
      <w:t xml:space="preserve">Page </w:t>
    </w:r>
    <w:r w:rsidRPr="006C35AB">
      <w:rPr>
        <w:bCs/>
      </w:rPr>
      <w:fldChar w:fldCharType="begin"/>
    </w:r>
    <w:r w:rsidRPr="006C35AB">
      <w:rPr>
        <w:bCs/>
      </w:rPr>
      <w:instrText xml:space="preserve"> PAGE  \* Arabic  \* MERGEFORMAT </w:instrText>
    </w:r>
    <w:r w:rsidRPr="006C35AB">
      <w:rPr>
        <w:bCs/>
      </w:rPr>
      <w:fldChar w:fldCharType="separate"/>
    </w:r>
    <w:r w:rsidR="007E5D5D">
      <w:rPr>
        <w:bCs/>
        <w:noProof/>
      </w:rPr>
      <w:t>1</w:t>
    </w:r>
    <w:r w:rsidRPr="006C35AB">
      <w:rPr>
        <w:bCs/>
      </w:rPr>
      <w:fldChar w:fldCharType="end"/>
    </w:r>
    <w:r w:rsidRPr="006C35AB">
      <w:t xml:space="preserve"> of </w:t>
    </w:r>
    <w:r w:rsidRPr="006C35AB">
      <w:rPr>
        <w:bCs/>
      </w:rPr>
      <w:fldChar w:fldCharType="begin"/>
    </w:r>
    <w:r w:rsidRPr="006C35AB">
      <w:rPr>
        <w:bCs/>
      </w:rPr>
      <w:instrText xml:space="preserve"> NUMPAGES  \* Arabic  \* MERGEFORMAT </w:instrText>
    </w:r>
    <w:r w:rsidRPr="006C35AB">
      <w:rPr>
        <w:bCs/>
      </w:rPr>
      <w:fldChar w:fldCharType="separate"/>
    </w:r>
    <w:r w:rsidR="007E5D5D">
      <w:rPr>
        <w:bCs/>
        <w:noProof/>
      </w:rPr>
      <w:t>4</w:t>
    </w:r>
    <w:r w:rsidRPr="006C35AB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1A"/>
    <w:rsid w:val="00002260"/>
    <w:rsid w:val="000600A8"/>
    <w:rsid w:val="00061520"/>
    <w:rsid w:val="000648C9"/>
    <w:rsid w:val="0008493B"/>
    <w:rsid w:val="00085798"/>
    <w:rsid w:val="0009138C"/>
    <w:rsid w:val="00097856"/>
    <w:rsid w:val="000B7A34"/>
    <w:rsid w:val="000F3340"/>
    <w:rsid w:val="000F7D8F"/>
    <w:rsid w:val="00103647"/>
    <w:rsid w:val="001274A2"/>
    <w:rsid w:val="00131037"/>
    <w:rsid w:val="0014418A"/>
    <w:rsid w:val="001648B7"/>
    <w:rsid w:val="00172B15"/>
    <w:rsid w:val="001A08AC"/>
    <w:rsid w:val="001B1D9F"/>
    <w:rsid w:val="001F1595"/>
    <w:rsid w:val="00207FD5"/>
    <w:rsid w:val="002170FE"/>
    <w:rsid w:val="00227F33"/>
    <w:rsid w:val="00232C5C"/>
    <w:rsid w:val="00241991"/>
    <w:rsid w:val="00244D41"/>
    <w:rsid w:val="002452C0"/>
    <w:rsid w:val="00263D22"/>
    <w:rsid w:val="002664DF"/>
    <w:rsid w:val="00271D63"/>
    <w:rsid w:val="00286BC4"/>
    <w:rsid w:val="002912E1"/>
    <w:rsid w:val="00295EF2"/>
    <w:rsid w:val="002A34CC"/>
    <w:rsid w:val="002B78B4"/>
    <w:rsid w:val="002C5AEA"/>
    <w:rsid w:val="002E48CC"/>
    <w:rsid w:val="002F647A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9587E"/>
    <w:rsid w:val="003978B5"/>
    <w:rsid w:val="003A6C1E"/>
    <w:rsid w:val="003B3848"/>
    <w:rsid w:val="0040310F"/>
    <w:rsid w:val="0041470A"/>
    <w:rsid w:val="00462EB8"/>
    <w:rsid w:val="00476431"/>
    <w:rsid w:val="004C5721"/>
    <w:rsid w:val="004D6EFA"/>
    <w:rsid w:val="004F11EE"/>
    <w:rsid w:val="00500CE6"/>
    <w:rsid w:val="005146E7"/>
    <w:rsid w:val="00522050"/>
    <w:rsid w:val="0053009F"/>
    <w:rsid w:val="00567994"/>
    <w:rsid w:val="0058057B"/>
    <w:rsid w:val="005845B2"/>
    <w:rsid w:val="00586CC0"/>
    <w:rsid w:val="005B1C0B"/>
    <w:rsid w:val="005B29B4"/>
    <w:rsid w:val="005C082A"/>
    <w:rsid w:val="005E2A13"/>
    <w:rsid w:val="005F25C2"/>
    <w:rsid w:val="0061551E"/>
    <w:rsid w:val="0061608F"/>
    <w:rsid w:val="0063501A"/>
    <w:rsid w:val="0065217B"/>
    <w:rsid w:val="0066374A"/>
    <w:rsid w:val="00680BE8"/>
    <w:rsid w:val="00692276"/>
    <w:rsid w:val="006B250B"/>
    <w:rsid w:val="006C35AB"/>
    <w:rsid w:val="006C6934"/>
    <w:rsid w:val="006D650D"/>
    <w:rsid w:val="006E64CE"/>
    <w:rsid w:val="006E65CA"/>
    <w:rsid w:val="007071CE"/>
    <w:rsid w:val="00740B74"/>
    <w:rsid w:val="00746815"/>
    <w:rsid w:val="00750D21"/>
    <w:rsid w:val="00753C9C"/>
    <w:rsid w:val="007A2FFA"/>
    <w:rsid w:val="007C5E04"/>
    <w:rsid w:val="007E5D5D"/>
    <w:rsid w:val="007E7D26"/>
    <w:rsid w:val="00810B2B"/>
    <w:rsid w:val="00810FFF"/>
    <w:rsid w:val="00826388"/>
    <w:rsid w:val="00895DCD"/>
    <w:rsid w:val="008B1C80"/>
    <w:rsid w:val="008B1EB0"/>
    <w:rsid w:val="008C1D5B"/>
    <w:rsid w:val="008C35F7"/>
    <w:rsid w:val="008C5AFE"/>
    <w:rsid w:val="008C77C2"/>
    <w:rsid w:val="008D768B"/>
    <w:rsid w:val="008D7BD5"/>
    <w:rsid w:val="008E7686"/>
    <w:rsid w:val="008F4D4A"/>
    <w:rsid w:val="0092196B"/>
    <w:rsid w:val="0093048D"/>
    <w:rsid w:val="009528E4"/>
    <w:rsid w:val="00960835"/>
    <w:rsid w:val="009F3028"/>
    <w:rsid w:val="00A07DE3"/>
    <w:rsid w:val="00A102F6"/>
    <w:rsid w:val="00A119EF"/>
    <w:rsid w:val="00A554DA"/>
    <w:rsid w:val="00A65DB9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503C0"/>
    <w:rsid w:val="00B57056"/>
    <w:rsid w:val="00B82556"/>
    <w:rsid w:val="00B83524"/>
    <w:rsid w:val="00B95FC2"/>
    <w:rsid w:val="00B972EE"/>
    <w:rsid w:val="00BA1630"/>
    <w:rsid w:val="00BA3156"/>
    <w:rsid w:val="00BB49CA"/>
    <w:rsid w:val="00BD0F20"/>
    <w:rsid w:val="00BE297C"/>
    <w:rsid w:val="00BF468E"/>
    <w:rsid w:val="00C02E84"/>
    <w:rsid w:val="00C16173"/>
    <w:rsid w:val="00C36387"/>
    <w:rsid w:val="00C40A70"/>
    <w:rsid w:val="00C535A8"/>
    <w:rsid w:val="00C63C4A"/>
    <w:rsid w:val="00C72022"/>
    <w:rsid w:val="00C81256"/>
    <w:rsid w:val="00CB7D74"/>
    <w:rsid w:val="00CC4984"/>
    <w:rsid w:val="00CF640D"/>
    <w:rsid w:val="00D04F7F"/>
    <w:rsid w:val="00D07785"/>
    <w:rsid w:val="00D1568F"/>
    <w:rsid w:val="00D15D9D"/>
    <w:rsid w:val="00D246FB"/>
    <w:rsid w:val="00D6001C"/>
    <w:rsid w:val="00D944D2"/>
    <w:rsid w:val="00DA429D"/>
    <w:rsid w:val="00DB1668"/>
    <w:rsid w:val="00DE0619"/>
    <w:rsid w:val="00E01179"/>
    <w:rsid w:val="00E0515B"/>
    <w:rsid w:val="00E061EF"/>
    <w:rsid w:val="00E47AD0"/>
    <w:rsid w:val="00E54891"/>
    <w:rsid w:val="00E70AFB"/>
    <w:rsid w:val="00E76B65"/>
    <w:rsid w:val="00E81F81"/>
    <w:rsid w:val="00E854D6"/>
    <w:rsid w:val="00E9105D"/>
    <w:rsid w:val="00E97B86"/>
    <w:rsid w:val="00EA3BBB"/>
    <w:rsid w:val="00EA3C02"/>
    <w:rsid w:val="00EB1DA6"/>
    <w:rsid w:val="00EC3830"/>
    <w:rsid w:val="00ED21C4"/>
    <w:rsid w:val="00ED5D5A"/>
    <w:rsid w:val="00EE21D5"/>
    <w:rsid w:val="00F07557"/>
    <w:rsid w:val="00F10343"/>
    <w:rsid w:val="00F166C9"/>
    <w:rsid w:val="00F30663"/>
    <w:rsid w:val="00F372F6"/>
    <w:rsid w:val="00F50B46"/>
    <w:rsid w:val="00F72EFC"/>
    <w:rsid w:val="00F74EE8"/>
    <w:rsid w:val="00F77899"/>
    <w:rsid w:val="00F83D63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D98574A7-070D-4A0D-92FB-30FDBEFB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854D6"/>
    <w:pPr>
      <w:keepNext/>
      <w:spacing w:after="240"/>
      <w:jc w:val="center"/>
      <w:outlineLvl w:val="0"/>
    </w:pPr>
    <w:rPr>
      <w:b/>
      <w:bCs/>
      <w:kern w:val="32"/>
      <w:sz w:val="40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54D6"/>
    <w:pPr>
      <w:keepNext/>
      <w:spacing w:before="48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54D6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854D6"/>
    <w:rPr>
      <w:rFonts w:ascii="Arial" w:eastAsia="Times New Roman" w:hAnsi="Arial"/>
      <w:b/>
      <w:bCs/>
      <w:kern w:val="32"/>
      <w:sz w:val="40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854D6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E854D6"/>
    <w:rPr>
      <w:rFonts w:ascii="Arial" w:eastAsia="Times New Roman" w:hAnsi="Arial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sae.k12.ca.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6.cde.ca.gov/californiamodel/report?indicator=math&amp;year=2017f&amp;cdcode=&amp;scode=1996693&amp;reporttype=sgroup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6.cde.ca.gov/californiamodel/report?indicator=ela&amp;year=2017f&amp;cdcode=&amp;scode=1996693&amp;reporttype=s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aspp.cde.ca.gov/sb2017/CompareReport?ps=true&amp;lstTestYear=2017&amp;lstTestType=B&amp;lstGrade=13&amp;lstGroup=1&amp;lstCds1=00000000000000&amp;lstCds2=19756971996693&amp;lstCompType=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Memorandum Item 01 Attachment 45 - Information Memorandum (CA State Board of Education)</vt:lpstr>
    </vt:vector>
  </TitlesOfParts>
  <Company>California State Board of Education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SSB CSD Item 01 Attachment 45 - Information Memorandum (CA State Board of Education)</dc:title>
  <dc:subject>The School of Arts and Enterprise Academic Progress Tables.</dc:subject>
  <dc:creator/>
  <cp:keywords/>
  <dc:description/>
  <cp:revision>29</cp:revision>
  <cp:lastPrinted>2018-04-13T21:37:00Z</cp:lastPrinted>
  <dcterms:created xsi:type="dcterms:W3CDTF">2018-04-04T20:44:00Z</dcterms:created>
  <dcterms:modified xsi:type="dcterms:W3CDTF">2018-08-09T20:58:00Z</dcterms:modified>
  <cp:category/>
</cp:coreProperties>
</file>