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3AEE"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720"/>
        <w:jc w:val="both"/>
        <w:rPr>
          <w:rFonts w:ascii="Arial" w:hAnsi="Arial" w:cs="Arial"/>
          <w:b/>
          <w:bCs/>
        </w:rPr>
      </w:pPr>
    </w:p>
    <w:p w14:paraId="28537449"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480"/>
        <w:jc w:val="center"/>
        <w:rPr>
          <w:rFonts w:ascii="Arial" w:hAnsi="Arial" w:cs="Arial"/>
          <w:b/>
          <w:bCs/>
        </w:rPr>
      </w:pPr>
      <w:r w:rsidRPr="0089504F">
        <w:rPr>
          <w:rFonts w:ascii="Arial" w:hAnsi="Arial" w:cs="Arial"/>
          <w:b/>
          <w:bCs/>
        </w:rPr>
        <w:t>California Department of Education</w:t>
      </w:r>
    </w:p>
    <w:p w14:paraId="24A0D45C" w14:textId="77777777" w:rsidR="00124F74" w:rsidRPr="0089504F" w:rsidRDefault="00124F74" w:rsidP="00124F74">
      <w:pPr>
        <w:pStyle w:val="Heading1"/>
        <w:spacing w:after="720"/>
        <w:rPr>
          <w:sz w:val="24"/>
          <w:szCs w:val="24"/>
        </w:rPr>
      </w:pPr>
      <w:r w:rsidRPr="0089504F">
        <w:rPr>
          <w:sz w:val="24"/>
          <w:szCs w:val="24"/>
        </w:rPr>
        <w:t>Report to the Governor, Legislature, and the Legislative Analyst’s Office: Career Technical Education Initiative</w:t>
      </w:r>
    </w:p>
    <w:p w14:paraId="48FF9DF8" w14:textId="7F37206B" w:rsidR="00124F74" w:rsidRPr="0089504F" w:rsidRDefault="00A149BD"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b/>
          <w:bCs/>
        </w:rPr>
      </w:pPr>
      <w:r w:rsidRPr="0089504F">
        <w:rPr>
          <w:rFonts w:ascii="Arial" w:hAnsi="Arial" w:cs="Arial"/>
          <w:color w:val="C0C0C0"/>
        </w:rPr>
        <w:object w:dxaOrig="5999" w:dyaOrig="5999" w14:anchorId="7E45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Seal for the State of California Department of Education." style="width:180pt;height:180pt" o:ole="">
            <v:imagedata r:id="rId8" o:title=""/>
          </v:shape>
          <o:OLEObject Type="Embed" ProgID="MSPhotoEd.3" ShapeID="_x0000_i1025" DrawAspect="Content" ObjectID="_1798349641" r:id="rId9"/>
        </w:object>
      </w:r>
    </w:p>
    <w:p w14:paraId="115C170D"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iCs/>
        </w:rPr>
      </w:pPr>
      <w:r w:rsidRPr="0089504F">
        <w:rPr>
          <w:rFonts w:ascii="Arial" w:hAnsi="Arial" w:cs="Arial"/>
          <w:b/>
          <w:bCs/>
          <w:iCs/>
        </w:rPr>
        <w:t>Prepared by:</w:t>
      </w:r>
    </w:p>
    <w:p w14:paraId="14ED0D0A"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89504F">
        <w:rPr>
          <w:rFonts w:ascii="Arial" w:hAnsi="Arial" w:cs="Arial"/>
          <w:b/>
          <w:bCs/>
        </w:rPr>
        <w:t>Career and College Transition Division</w:t>
      </w:r>
    </w:p>
    <w:p w14:paraId="6519FEC4" w14:textId="790D7242" w:rsidR="00124F74" w:rsidRPr="0089504F" w:rsidRDefault="0089504F"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iCs/>
        </w:rPr>
      </w:pPr>
      <w:r w:rsidRPr="0089504F">
        <w:rPr>
          <w:rFonts w:ascii="Arial" w:hAnsi="Arial" w:cs="Arial"/>
          <w:iCs/>
        </w:rPr>
        <w:t>January 7, 2025</w:t>
      </w:r>
    </w:p>
    <w:p w14:paraId="314F7FA5" w14:textId="7880271D"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Description</w:t>
      </w:r>
      <w:r w:rsidRPr="0089504F">
        <w:rPr>
          <w:rFonts w:ascii="Arial" w:hAnsi="Arial" w:cs="Arial"/>
          <w:lang w:bidi="en-US"/>
        </w:rPr>
        <w:t>: Report on 20</w:t>
      </w:r>
      <w:r w:rsidR="005678CC" w:rsidRPr="0089504F">
        <w:rPr>
          <w:rFonts w:ascii="Arial" w:hAnsi="Arial" w:cs="Arial"/>
          <w:lang w:bidi="en-US"/>
        </w:rPr>
        <w:t>2</w:t>
      </w:r>
      <w:r w:rsidR="0089504F" w:rsidRPr="0089504F">
        <w:rPr>
          <w:rFonts w:ascii="Arial" w:hAnsi="Arial" w:cs="Arial"/>
          <w:lang w:bidi="en-US"/>
        </w:rPr>
        <w:t>2</w:t>
      </w:r>
      <w:r w:rsidRPr="0089504F">
        <w:rPr>
          <w:rFonts w:ascii="Arial" w:hAnsi="Arial" w:cs="Arial"/>
          <w:lang w:bidi="en-US"/>
        </w:rPr>
        <w:t>–2</w:t>
      </w:r>
      <w:r w:rsidR="0089504F" w:rsidRPr="0089504F">
        <w:rPr>
          <w:rFonts w:ascii="Arial" w:hAnsi="Arial" w:cs="Arial"/>
          <w:lang w:bidi="en-US"/>
        </w:rPr>
        <w:t>3</w:t>
      </w:r>
      <w:r w:rsidRPr="0089504F">
        <w:rPr>
          <w:rFonts w:ascii="Arial" w:hAnsi="Arial" w:cs="Arial"/>
          <w:lang w:bidi="en-US"/>
        </w:rPr>
        <w:t xml:space="preserve"> outcomes and 202</w:t>
      </w:r>
      <w:r w:rsidR="0089504F" w:rsidRPr="0089504F">
        <w:rPr>
          <w:rFonts w:ascii="Arial" w:hAnsi="Arial" w:cs="Arial"/>
          <w:lang w:bidi="en-US"/>
        </w:rPr>
        <w:t>3</w:t>
      </w:r>
      <w:r w:rsidRPr="0089504F">
        <w:rPr>
          <w:rFonts w:ascii="Arial" w:hAnsi="Arial" w:cs="Arial"/>
          <w:lang w:bidi="en-US"/>
        </w:rPr>
        <w:t>–</w:t>
      </w:r>
      <w:r w:rsidR="0089504F" w:rsidRPr="0089504F">
        <w:rPr>
          <w:rFonts w:ascii="Arial" w:hAnsi="Arial" w:cs="Arial"/>
          <w:lang w:bidi="en-US"/>
        </w:rPr>
        <w:t>24</w:t>
      </w:r>
      <w:r w:rsidRPr="0089504F">
        <w:rPr>
          <w:rFonts w:ascii="Arial" w:hAnsi="Arial" w:cs="Arial"/>
          <w:lang w:bidi="en-US"/>
        </w:rPr>
        <w:t xml:space="preserve"> expenditure plan for the Career Technical Education Initiative</w:t>
      </w:r>
      <w:r w:rsidR="005678CC" w:rsidRPr="0089504F">
        <w:rPr>
          <w:rFonts w:ascii="Arial" w:hAnsi="Arial" w:cs="Arial"/>
          <w:lang w:bidi="en-US"/>
        </w:rPr>
        <w:t xml:space="preserve"> Funds</w:t>
      </w:r>
    </w:p>
    <w:p w14:paraId="51E099A2"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Authority</w:t>
      </w:r>
      <w:r w:rsidRPr="0089504F">
        <w:rPr>
          <w:rFonts w:ascii="Arial" w:hAnsi="Arial" w:cs="Arial"/>
          <w:lang w:bidi="en-US"/>
        </w:rPr>
        <w:t xml:space="preserve">: 2020 Budget Act </w:t>
      </w:r>
      <w:r w:rsidRPr="0089504F">
        <w:rPr>
          <w:rFonts w:ascii="Arial" w:hAnsi="Arial" w:cs="Arial"/>
          <w:bCs/>
        </w:rPr>
        <w:t>Item 6100-170-0001</w:t>
      </w:r>
    </w:p>
    <w:p w14:paraId="3072BAA3"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Recipient</w:t>
      </w:r>
      <w:r w:rsidRPr="0089504F">
        <w:rPr>
          <w:rFonts w:ascii="Arial" w:hAnsi="Arial" w:cs="Arial"/>
          <w:lang w:bidi="en-US"/>
        </w:rPr>
        <w:t xml:space="preserve">: </w:t>
      </w:r>
      <w:r w:rsidRPr="0089504F">
        <w:rPr>
          <w:rFonts w:ascii="Arial" w:hAnsi="Arial" w:cs="Arial"/>
        </w:rPr>
        <w:t>Governor, Legislature, and the Legislative Analyst’s Office</w:t>
      </w:r>
    </w:p>
    <w:p w14:paraId="3C6ED070"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Due Date</w:t>
      </w:r>
      <w:r w:rsidRPr="0089504F">
        <w:rPr>
          <w:rFonts w:ascii="Arial" w:hAnsi="Arial" w:cs="Arial"/>
          <w:lang w:bidi="en-US"/>
        </w:rPr>
        <w:t xml:space="preserve">: </w:t>
      </w:r>
      <w:r w:rsidRPr="0089504F">
        <w:rPr>
          <w:rFonts w:ascii="Arial" w:hAnsi="Arial" w:cs="Arial"/>
          <w:bCs/>
        </w:rPr>
        <w:t>October 1</w:t>
      </w:r>
      <w:r w:rsidR="005678CC" w:rsidRPr="0089504F">
        <w:rPr>
          <w:rFonts w:ascii="Arial" w:hAnsi="Arial" w:cs="Arial"/>
          <w:bCs/>
        </w:rPr>
        <w:t xml:space="preserve"> -</w:t>
      </w:r>
      <w:r w:rsidRPr="0089504F">
        <w:rPr>
          <w:rFonts w:ascii="Arial" w:hAnsi="Arial" w:cs="Arial"/>
          <w:bCs/>
        </w:rPr>
        <w:t xml:space="preserve"> Annually</w:t>
      </w:r>
    </w:p>
    <w:p w14:paraId="023F2EA2" w14:textId="77777777" w:rsidR="00124F74" w:rsidRPr="0089504F" w:rsidRDefault="00124F74" w:rsidP="00124F74">
      <w:pPr>
        <w:spacing w:after="240"/>
        <w:rPr>
          <w:rFonts w:ascii="Arial" w:hAnsi="Arial" w:cs="Arial"/>
        </w:rPr>
      </w:pPr>
    </w:p>
    <w:p w14:paraId="4CECBD70" w14:textId="77777777" w:rsidR="00124F74" w:rsidRPr="0089504F" w:rsidRDefault="00124F74" w:rsidP="00124F74">
      <w:pPr>
        <w:rPr>
          <w:rFonts w:ascii="Arial" w:hAnsi="Arial" w:cs="Arial"/>
        </w:rPr>
        <w:sectPr w:rsidR="00124F74" w:rsidRPr="0089504F" w:rsidSect="00315109">
          <w:footerReference w:type="first" r:id="rId10"/>
          <w:pgSz w:w="12240" w:h="15840"/>
          <w:pgMar w:top="1440" w:right="1440" w:bottom="1440" w:left="1800" w:header="720" w:footer="720" w:gutter="0"/>
          <w:cols w:space="720"/>
          <w:titlePg/>
          <w:docGrid w:linePitch="360"/>
        </w:sectPr>
      </w:pPr>
    </w:p>
    <w:p w14:paraId="312C618F" w14:textId="77777777" w:rsidR="00124F74" w:rsidRPr="0089504F" w:rsidRDefault="00124F74" w:rsidP="00124F74">
      <w:pPr>
        <w:spacing w:after="240"/>
        <w:jc w:val="center"/>
        <w:rPr>
          <w:rFonts w:ascii="Arial" w:hAnsi="Arial" w:cs="Arial"/>
          <w:b/>
        </w:rPr>
      </w:pPr>
      <w:r w:rsidRPr="0089504F">
        <w:rPr>
          <w:rFonts w:ascii="Arial" w:hAnsi="Arial" w:cs="Arial"/>
          <w:b/>
        </w:rPr>
        <w:lastRenderedPageBreak/>
        <w:t>California Department of Education</w:t>
      </w:r>
    </w:p>
    <w:p w14:paraId="0EA77CB3" w14:textId="77777777" w:rsidR="00124F74" w:rsidRPr="0089504F" w:rsidRDefault="00124F74" w:rsidP="00124F74">
      <w:pPr>
        <w:spacing w:after="240"/>
        <w:jc w:val="center"/>
        <w:rPr>
          <w:rFonts w:ascii="Arial" w:hAnsi="Arial" w:cs="Arial"/>
          <w:b/>
        </w:rPr>
      </w:pPr>
      <w:r w:rsidRPr="0089504F">
        <w:rPr>
          <w:rFonts w:ascii="Arial" w:hAnsi="Arial" w:cs="Arial"/>
          <w:b/>
        </w:rPr>
        <w:t xml:space="preserve">Report to the Governor, Legislature, and the Legislative Analyst’s Office: </w:t>
      </w:r>
      <w:r w:rsidRPr="0089504F">
        <w:rPr>
          <w:rFonts w:ascii="Arial" w:hAnsi="Arial" w:cs="Arial"/>
          <w:b/>
        </w:rPr>
        <w:br/>
        <w:t>Career Technical Education Initiative</w:t>
      </w:r>
    </w:p>
    <w:p w14:paraId="4A679906" w14:textId="77777777" w:rsidR="00124F74" w:rsidRPr="0089504F" w:rsidRDefault="00124F74" w:rsidP="00124F74">
      <w:pPr>
        <w:pStyle w:val="Heading2"/>
        <w:rPr>
          <w:rFonts w:cs="Arial"/>
          <w:szCs w:val="24"/>
        </w:rPr>
      </w:pPr>
      <w:bookmarkStart w:id="0" w:name="_Toc71891801"/>
      <w:bookmarkStart w:id="1" w:name="_Toc187142353"/>
      <w:r w:rsidRPr="0089504F">
        <w:rPr>
          <w:rFonts w:cs="Arial"/>
          <w:szCs w:val="24"/>
        </w:rPr>
        <w:t>Table of Contents</w:t>
      </w:r>
      <w:bookmarkEnd w:id="0"/>
      <w:bookmarkEnd w:id="1"/>
    </w:p>
    <w:sdt>
      <w:sdtPr>
        <w:rPr>
          <w:rFonts w:ascii="Arial" w:hAnsi="Arial" w:cs="Arial"/>
        </w:rPr>
        <w:id w:val="-1613277660"/>
        <w:docPartObj>
          <w:docPartGallery w:val="Table of Contents"/>
          <w:docPartUnique/>
        </w:docPartObj>
      </w:sdtPr>
      <w:sdtEndPr>
        <w:rPr>
          <w:b/>
          <w:bCs/>
          <w:noProof/>
        </w:rPr>
      </w:sdtEndPr>
      <w:sdtContent>
        <w:p w14:paraId="300F6650" w14:textId="2BE65C36" w:rsidR="003015B3" w:rsidRPr="003015B3" w:rsidRDefault="00124F74">
          <w:pPr>
            <w:pStyle w:val="TOC2"/>
            <w:rPr>
              <w:rFonts w:ascii="Arial" w:eastAsiaTheme="minorEastAsia" w:hAnsi="Arial" w:cstheme="minorBidi"/>
              <w:noProof/>
              <w:kern w:val="2"/>
              <w14:ligatures w14:val="standardContextual"/>
            </w:rPr>
          </w:pPr>
          <w:r w:rsidRPr="0089504F">
            <w:rPr>
              <w:rFonts w:ascii="Arial" w:hAnsi="Arial" w:cs="Arial"/>
            </w:rPr>
            <w:fldChar w:fldCharType="begin"/>
          </w:r>
          <w:r w:rsidRPr="003015B3">
            <w:rPr>
              <w:rFonts w:ascii="Arial" w:hAnsi="Arial" w:cs="Arial"/>
            </w:rPr>
            <w:instrText xml:space="preserve"> TOC \o "2-3" \h \z \u </w:instrText>
          </w:r>
          <w:r w:rsidRPr="0089504F">
            <w:rPr>
              <w:rFonts w:ascii="Arial" w:hAnsi="Arial" w:cs="Arial"/>
            </w:rPr>
            <w:fldChar w:fldCharType="separate"/>
          </w:r>
          <w:hyperlink w:anchor="_Toc187142353" w:history="1">
            <w:r w:rsidR="003015B3" w:rsidRPr="003015B3">
              <w:rPr>
                <w:rStyle w:val="Hyperlink"/>
                <w:rFonts w:ascii="Arial" w:hAnsi="Arial" w:cs="Arial"/>
                <w:noProof/>
              </w:rPr>
              <w:t>Table of Contents</w:t>
            </w:r>
            <w:r w:rsidR="003015B3" w:rsidRPr="003015B3">
              <w:rPr>
                <w:rFonts w:ascii="Arial" w:hAnsi="Arial"/>
                <w:noProof/>
                <w:webHidden/>
              </w:rPr>
              <w:tab/>
            </w:r>
            <w:r w:rsidR="003015B3" w:rsidRPr="003015B3">
              <w:rPr>
                <w:rFonts w:ascii="Arial" w:hAnsi="Arial"/>
                <w:noProof/>
                <w:webHidden/>
              </w:rPr>
              <w:fldChar w:fldCharType="begin"/>
            </w:r>
            <w:r w:rsidR="003015B3" w:rsidRPr="003015B3">
              <w:rPr>
                <w:rFonts w:ascii="Arial" w:hAnsi="Arial"/>
                <w:noProof/>
                <w:webHidden/>
              </w:rPr>
              <w:instrText xml:space="preserve"> PAGEREF _Toc187142353 \h </w:instrText>
            </w:r>
            <w:r w:rsidR="003015B3" w:rsidRPr="003015B3">
              <w:rPr>
                <w:rFonts w:ascii="Arial" w:hAnsi="Arial"/>
                <w:noProof/>
                <w:webHidden/>
              </w:rPr>
            </w:r>
            <w:r w:rsidR="003015B3" w:rsidRPr="003015B3">
              <w:rPr>
                <w:rFonts w:ascii="Arial" w:hAnsi="Arial"/>
                <w:noProof/>
                <w:webHidden/>
              </w:rPr>
              <w:fldChar w:fldCharType="separate"/>
            </w:r>
            <w:r w:rsidR="003015B3" w:rsidRPr="003015B3">
              <w:rPr>
                <w:rFonts w:ascii="Arial" w:hAnsi="Arial"/>
                <w:noProof/>
                <w:webHidden/>
              </w:rPr>
              <w:t>2</w:t>
            </w:r>
            <w:r w:rsidR="003015B3" w:rsidRPr="003015B3">
              <w:rPr>
                <w:rFonts w:ascii="Arial" w:hAnsi="Arial"/>
                <w:noProof/>
                <w:webHidden/>
              </w:rPr>
              <w:fldChar w:fldCharType="end"/>
            </w:r>
          </w:hyperlink>
        </w:p>
        <w:p w14:paraId="59D4C6A1" w14:textId="71078C68" w:rsidR="003015B3" w:rsidRPr="003015B3" w:rsidRDefault="003015B3">
          <w:pPr>
            <w:pStyle w:val="TOC2"/>
            <w:rPr>
              <w:rFonts w:ascii="Arial" w:eastAsiaTheme="minorEastAsia" w:hAnsi="Arial" w:cstheme="minorBidi"/>
              <w:noProof/>
              <w:kern w:val="2"/>
              <w14:ligatures w14:val="standardContextual"/>
            </w:rPr>
          </w:pPr>
          <w:hyperlink w:anchor="_Toc187142354" w:history="1">
            <w:r w:rsidRPr="003015B3">
              <w:rPr>
                <w:rStyle w:val="Hyperlink"/>
                <w:rFonts w:ascii="Arial" w:hAnsi="Arial" w:cs="Arial"/>
                <w:noProof/>
              </w:rPr>
              <w:t>Executive Summary</w:t>
            </w:r>
            <w:r w:rsidRPr="003015B3">
              <w:rPr>
                <w:rFonts w:ascii="Arial" w:hAnsi="Arial"/>
                <w:noProof/>
                <w:webHidden/>
              </w:rPr>
              <w:tab/>
            </w:r>
            <w:r w:rsidRPr="003015B3">
              <w:rPr>
                <w:rFonts w:ascii="Arial" w:hAnsi="Arial"/>
                <w:noProof/>
                <w:webHidden/>
              </w:rPr>
              <w:fldChar w:fldCharType="begin"/>
            </w:r>
            <w:r w:rsidRPr="003015B3">
              <w:rPr>
                <w:rFonts w:ascii="Arial" w:hAnsi="Arial"/>
                <w:noProof/>
                <w:webHidden/>
              </w:rPr>
              <w:instrText xml:space="preserve"> PAGEREF _Toc187142354 \h </w:instrText>
            </w:r>
            <w:r w:rsidRPr="003015B3">
              <w:rPr>
                <w:rFonts w:ascii="Arial" w:hAnsi="Arial"/>
                <w:noProof/>
                <w:webHidden/>
              </w:rPr>
            </w:r>
            <w:r w:rsidRPr="003015B3">
              <w:rPr>
                <w:rFonts w:ascii="Arial" w:hAnsi="Arial"/>
                <w:noProof/>
                <w:webHidden/>
              </w:rPr>
              <w:fldChar w:fldCharType="separate"/>
            </w:r>
            <w:r w:rsidRPr="003015B3">
              <w:rPr>
                <w:rFonts w:ascii="Arial" w:hAnsi="Arial"/>
                <w:noProof/>
                <w:webHidden/>
              </w:rPr>
              <w:t>3</w:t>
            </w:r>
            <w:r w:rsidRPr="003015B3">
              <w:rPr>
                <w:rFonts w:ascii="Arial" w:hAnsi="Arial"/>
                <w:noProof/>
                <w:webHidden/>
              </w:rPr>
              <w:fldChar w:fldCharType="end"/>
            </w:r>
          </w:hyperlink>
        </w:p>
        <w:p w14:paraId="52D4F7D6" w14:textId="3D0C0EE9" w:rsidR="003015B3" w:rsidRPr="003015B3" w:rsidRDefault="003015B3">
          <w:pPr>
            <w:pStyle w:val="TOC2"/>
            <w:rPr>
              <w:rFonts w:ascii="Arial" w:eastAsiaTheme="minorEastAsia" w:hAnsi="Arial" w:cstheme="minorBidi"/>
              <w:noProof/>
              <w:kern w:val="2"/>
              <w14:ligatures w14:val="standardContextual"/>
            </w:rPr>
          </w:pPr>
          <w:hyperlink w:anchor="_Toc187142355" w:history="1">
            <w:r w:rsidRPr="003015B3">
              <w:rPr>
                <w:rStyle w:val="Hyperlink"/>
                <w:rFonts w:ascii="Arial" w:hAnsi="Arial" w:cs="Arial"/>
                <w:noProof/>
              </w:rPr>
              <w:t>Introduction</w:t>
            </w:r>
            <w:r w:rsidRPr="003015B3">
              <w:rPr>
                <w:rFonts w:ascii="Arial" w:hAnsi="Arial"/>
                <w:noProof/>
                <w:webHidden/>
              </w:rPr>
              <w:tab/>
            </w:r>
            <w:r w:rsidRPr="003015B3">
              <w:rPr>
                <w:rFonts w:ascii="Arial" w:hAnsi="Arial"/>
                <w:noProof/>
                <w:webHidden/>
              </w:rPr>
              <w:fldChar w:fldCharType="begin"/>
            </w:r>
            <w:r w:rsidRPr="003015B3">
              <w:rPr>
                <w:rFonts w:ascii="Arial" w:hAnsi="Arial"/>
                <w:noProof/>
                <w:webHidden/>
              </w:rPr>
              <w:instrText xml:space="preserve"> PAGEREF _Toc187142355 \h </w:instrText>
            </w:r>
            <w:r w:rsidRPr="003015B3">
              <w:rPr>
                <w:rFonts w:ascii="Arial" w:hAnsi="Arial"/>
                <w:noProof/>
                <w:webHidden/>
              </w:rPr>
            </w:r>
            <w:r w:rsidRPr="003015B3">
              <w:rPr>
                <w:rFonts w:ascii="Arial" w:hAnsi="Arial"/>
                <w:noProof/>
                <w:webHidden/>
              </w:rPr>
              <w:fldChar w:fldCharType="separate"/>
            </w:r>
            <w:r w:rsidRPr="003015B3">
              <w:rPr>
                <w:rFonts w:ascii="Arial" w:hAnsi="Arial"/>
                <w:noProof/>
                <w:webHidden/>
              </w:rPr>
              <w:t>4</w:t>
            </w:r>
            <w:r w:rsidRPr="003015B3">
              <w:rPr>
                <w:rFonts w:ascii="Arial" w:hAnsi="Arial"/>
                <w:noProof/>
                <w:webHidden/>
              </w:rPr>
              <w:fldChar w:fldCharType="end"/>
            </w:r>
          </w:hyperlink>
        </w:p>
        <w:p w14:paraId="4F34B56B" w14:textId="14FD9F8E" w:rsidR="003015B3" w:rsidRPr="003015B3" w:rsidRDefault="003015B3">
          <w:pPr>
            <w:pStyle w:val="TOC2"/>
            <w:rPr>
              <w:rFonts w:ascii="Arial" w:eastAsiaTheme="minorEastAsia" w:hAnsi="Arial" w:cstheme="minorBidi"/>
              <w:noProof/>
              <w:kern w:val="2"/>
              <w14:ligatures w14:val="standardContextual"/>
            </w:rPr>
          </w:pPr>
          <w:hyperlink w:anchor="_Toc187142356" w:history="1">
            <w:r w:rsidRPr="003015B3">
              <w:rPr>
                <w:rStyle w:val="Hyperlink"/>
                <w:rFonts w:ascii="Arial" w:eastAsia="Calibri" w:hAnsi="Arial" w:cs="Arial"/>
                <w:noProof/>
              </w:rPr>
              <w:t>CTE Initiative Project Outcomes for 2022–23</w:t>
            </w:r>
            <w:r w:rsidRPr="003015B3">
              <w:rPr>
                <w:rFonts w:ascii="Arial" w:hAnsi="Arial"/>
                <w:noProof/>
                <w:webHidden/>
              </w:rPr>
              <w:tab/>
            </w:r>
            <w:r w:rsidRPr="003015B3">
              <w:rPr>
                <w:rFonts w:ascii="Arial" w:hAnsi="Arial"/>
                <w:noProof/>
                <w:webHidden/>
              </w:rPr>
              <w:fldChar w:fldCharType="begin"/>
            </w:r>
            <w:r w:rsidRPr="003015B3">
              <w:rPr>
                <w:rFonts w:ascii="Arial" w:hAnsi="Arial"/>
                <w:noProof/>
                <w:webHidden/>
              </w:rPr>
              <w:instrText xml:space="preserve"> PAGEREF _Toc187142356 \h </w:instrText>
            </w:r>
            <w:r w:rsidRPr="003015B3">
              <w:rPr>
                <w:rFonts w:ascii="Arial" w:hAnsi="Arial"/>
                <w:noProof/>
                <w:webHidden/>
              </w:rPr>
            </w:r>
            <w:r w:rsidRPr="003015B3">
              <w:rPr>
                <w:rFonts w:ascii="Arial" w:hAnsi="Arial"/>
                <w:noProof/>
                <w:webHidden/>
              </w:rPr>
              <w:fldChar w:fldCharType="separate"/>
            </w:r>
            <w:r w:rsidRPr="003015B3">
              <w:rPr>
                <w:rFonts w:ascii="Arial" w:hAnsi="Arial"/>
                <w:noProof/>
                <w:webHidden/>
              </w:rPr>
              <w:t>4</w:t>
            </w:r>
            <w:r w:rsidRPr="003015B3">
              <w:rPr>
                <w:rFonts w:ascii="Arial" w:hAnsi="Arial"/>
                <w:noProof/>
                <w:webHidden/>
              </w:rPr>
              <w:fldChar w:fldCharType="end"/>
            </w:r>
          </w:hyperlink>
        </w:p>
        <w:p w14:paraId="34209A32" w14:textId="7B0B9AF2" w:rsidR="003015B3" w:rsidRDefault="003015B3">
          <w:pPr>
            <w:pStyle w:val="TOC2"/>
            <w:rPr>
              <w:rFonts w:asciiTheme="minorHAnsi" w:eastAsiaTheme="minorEastAsia" w:hAnsiTheme="minorHAnsi" w:cstheme="minorBidi"/>
              <w:noProof/>
              <w:kern w:val="2"/>
              <w14:ligatures w14:val="standardContextual"/>
            </w:rPr>
          </w:pPr>
          <w:hyperlink w:anchor="_Toc187142357" w:history="1">
            <w:r w:rsidRPr="003015B3">
              <w:rPr>
                <w:rStyle w:val="Hyperlink"/>
                <w:rFonts w:ascii="Arial" w:eastAsia="Calibri" w:hAnsi="Arial" w:cs="Arial"/>
                <w:noProof/>
              </w:rPr>
              <w:t>CTE Initiative Expenditure Plan for 2023–24</w:t>
            </w:r>
            <w:r w:rsidRPr="003015B3">
              <w:rPr>
                <w:rFonts w:ascii="Arial" w:hAnsi="Arial"/>
                <w:noProof/>
                <w:webHidden/>
              </w:rPr>
              <w:tab/>
            </w:r>
            <w:r w:rsidRPr="003015B3">
              <w:rPr>
                <w:rFonts w:ascii="Arial" w:hAnsi="Arial"/>
                <w:noProof/>
                <w:webHidden/>
              </w:rPr>
              <w:fldChar w:fldCharType="begin"/>
            </w:r>
            <w:r w:rsidRPr="003015B3">
              <w:rPr>
                <w:rFonts w:ascii="Arial" w:hAnsi="Arial"/>
                <w:noProof/>
                <w:webHidden/>
              </w:rPr>
              <w:instrText xml:space="preserve"> PAGEREF _Toc187142357 \h </w:instrText>
            </w:r>
            <w:r w:rsidRPr="003015B3">
              <w:rPr>
                <w:rFonts w:ascii="Arial" w:hAnsi="Arial"/>
                <w:noProof/>
                <w:webHidden/>
              </w:rPr>
            </w:r>
            <w:r w:rsidRPr="003015B3">
              <w:rPr>
                <w:rFonts w:ascii="Arial" w:hAnsi="Arial"/>
                <w:noProof/>
                <w:webHidden/>
              </w:rPr>
              <w:fldChar w:fldCharType="separate"/>
            </w:r>
            <w:r w:rsidRPr="003015B3">
              <w:rPr>
                <w:rFonts w:ascii="Arial" w:hAnsi="Arial"/>
                <w:noProof/>
                <w:webHidden/>
              </w:rPr>
              <w:t>8</w:t>
            </w:r>
            <w:r w:rsidRPr="003015B3">
              <w:rPr>
                <w:rFonts w:ascii="Arial" w:hAnsi="Arial"/>
                <w:noProof/>
                <w:webHidden/>
              </w:rPr>
              <w:fldChar w:fldCharType="end"/>
            </w:r>
          </w:hyperlink>
        </w:p>
        <w:p w14:paraId="3E440F4B" w14:textId="61C83F36" w:rsidR="00124F74" w:rsidRPr="0089504F" w:rsidRDefault="00124F74" w:rsidP="00124F74">
          <w:pPr>
            <w:rPr>
              <w:rFonts w:ascii="Arial" w:hAnsi="Arial" w:cs="Arial"/>
            </w:rPr>
          </w:pPr>
          <w:r w:rsidRPr="0089504F">
            <w:rPr>
              <w:rFonts w:ascii="Arial" w:hAnsi="Arial" w:cs="Arial"/>
            </w:rPr>
            <w:fldChar w:fldCharType="end"/>
          </w:r>
        </w:p>
      </w:sdtContent>
    </w:sdt>
    <w:p w14:paraId="540B745B" w14:textId="77777777" w:rsidR="00124F74" w:rsidRPr="0089504F" w:rsidRDefault="00124F74" w:rsidP="00124F74">
      <w:pPr>
        <w:rPr>
          <w:rFonts w:ascii="Arial" w:hAnsi="Arial" w:cs="Arial"/>
        </w:rPr>
      </w:pPr>
      <w:r w:rsidRPr="0089504F">
        <w:rPr>
          <w:rFonts w:ascii="Arial" w:hAnsi="Arial" w:cs="Arial"/>
        </w:rPr>
        <w:br w:type="page"/>
      </w:r>
    </w:p>
    <w:p w14:paraId="567BA52B" w14:textId="77777777" w:rsidR="00124F74" w:rsidRPr="0089504F" w:rsidRDefault="00124F74" w:rsidP="00124F74">
      <w:pPr>
        <w:pStyle w:val="Header"/>
        <w:tabs>
          <w:tab w:val="clear" w:pos="8640"/>
          <w:tab w:val="right" w:pos="9360"/>
        </w:tabs>
        <w:spacing w:after="240"/>
        <w:jc w:val="center"/>
        <w:rPr>
          <w:rFonts w:ascii="Arial" w:hAnsi="Arial" w:cs="Arial"/>
          <w:b/>
          <w:bCs/>
        </w:rPr>
      </w:pPr>
      <w:r w:rsidRPr="0089504F">
        <w:rPr>
          <w:rFonts w:ascii="Arial" w:hAnsi="Arial" w:cs="Arial"/>
          <w:b/>
          <w:bCs/>
        </w:rPr>
        <w:lastRenderedPageBreak/>
        <w:t>California Department of Education</w:t>
      </w:r>
    </w:p>
    <w:p w14:paraId="607C41DA" w14:textId="77777777" w:rsidR="00124F74" w:rsidRPr="0089504F" w:rsidRDefault="00124F74" w:rsidP="00124F74">
      <w:pPr>
        <w:spacing w:after="240"/>
        <w:jc w:val="center"/>
        <w:rPr>
          <w:rFonts w:ascii="Arial" w:hAnsi="Arial" w:cs="Arial"/>
          <w:b/>
        </w:rPr>
      </w:pPr>
      <w:r w:rsidRPr="0089504F">
        <w:rPr>
          <w:rFonts w:ascii="Arial" w:hAnsi="Arial" w:cs="Arial"/>
          <w:b/>
        </w:rPr>
        <w:t xml:space="preserve">Report to the Governor, Legislature, and the Legislative Analyst’s Office: </w:t>
      </w:r>
      <w:r w:rsidRPr="0089504F">
        <w:rPr>
          <w:rFonts w:ascii="Arial" w:hAnsi="Arial" w:cs="Arial"/>
          <w:b/>
        </w:rPr>
        <w:br/>
        <w:t>Career Technical Education Initiative</w:t>
      </w:r>
    </w:p>
    <w:p w14:paraId="19F7433B" w14:textId="77777777" w:rsidR="00124F74" w:rsidRPr="0089504F" w:rsidRDefault="00124F74" w:rsidP="00124F74">
      <w:pPr>
        <w:pStyle w:val="Heading2"/>
        <w:spacing w:before="480" w:after="240" w:line="240" w:lineRule="auto"/>
        <w:rPr>
          <w:rFonts w:cs="Arial"/>
          <w:szCs w:val="24"/>
        </w:rPr>
      </w:pPr>
      <w:bookmarkStart w:id="2" w:name="_Toc187142354"/>
      <w:r w:rsidRPr="0089504F">
        <w:rPr>
          <w:rFonts w:cs="Arial"/>
          <w:szCs w:val="24"/>
        </w:rPr>
        <w:t>Executive Summary</w:t>
      </w:r>
      <w:bookmarkEnd w:id="2"/>
    </w:p>
    <w:p w14:paraId="3DDAEBA7" w14:textId="2C1DFDE8" w:rsidR="00124F74" w:rsidRPr="0089504F" w:rsidRDefault="00124F74" w:rsidP="005678CC">
      <w:pPr>
        <w:spacing w:after="240"/>
        <w:rPr>
          <w:rFonts w:ascii="Arial" w:hAnsi="Arial" w:cs="Arial"/>
          <w:iCs/>
        </w:rPr>
      </w:pPr>
      <w:r w:rsidRPr="0089504F">
        <w:rPr>
          <w:rFonts w:ascii="Arial" w:hAnsi="Arial" w:cs="Arial"/>
        </w:rPr>
        <w:t>This report is required by the 202</w:t>
      </w:r>
      <w:r w:rsidR="00683F69">
        <w:rPr>
          <w:rFonts w:ascii="Arial" w:hAnsi="Arial" w:cs="Arial"/>
        </w:rPr>
        <w:t>2</w:t>
      </w:r>
      <w:r w:rsidRPr="0089504F">
        <w:rPr>
          <w:rFonts w:ascii="Arial" w:hAnsi="Arial" w:cs="Arial"/>
        </w:rPr>
        <w:t xml:space="preserve"> Budget Act, Item </w:t>
      </w:r>
      <w:r w:rsidRPr="0089504F">
        <w:rPr>
          <w:rFonts w:ascii="Arial" w:hAnsi="Arial" w:cs="Arial"/>
          <w:bCs/>
        </w:rPr>
        <w:t>6100-170-0001</w:t>
      </w:r>
      <w:r w:rsidRPr="0089504F">
        <w:rPr>
          <w:rFonts w:ascii="Arial" w:hAnsi="Arial" w:cs="Arial"/>
        </w:rPr>
        <w:t>. It provides the outcomes for projects that were funded through the Career Technical Education (CTE) Initiative in 20</w:t>
      </w:r>
      <w:r w:rsidR="005678CC" w:rsidRPr="0089504F">
        <w:rPr>
          <w:rFonts w:ascii="Arial" w:hAnsi="Arial" w:cs="Arial"/>
        </w:rPr>
        <w:t>2</w:t>
      </w:r>
      <w:r w:rsidR="006C4DF7">
        <w:rPr>
          <w:rFonts w:ascii="Arial" w:hAnsi="Arial" w:cs="Arial"/>
        </w:rPr>
        <w:t>2</w:t>
      </w:r>
      <w:r w:rsidRPr="0089504F">
        <w:rPr>
          <w:rFonts w:ascii="Arial" w:hAnsi="Arial" w:cs="Arial"/>
        </w:rPr>
        <w:t>–2</w:t>
      </w:r>
      <w:r w:rsidR="006C4DF7">
        <w:rPr>
          <w:rFonts w:ascii="Arial" w:hAnsi="Arial" w:cs="Arial"/>
        </w:rPr>
        <w:t>3</w:t>
      </w:r>
      <w:r w:rsidRPr="0089504F">
        <w:rPr>
          <w:rFonts w:ascii="Arial" w:hAnsi="Arial" w:cs="Arial"/>
        </w:rPr>
        <w:t>, and it also provides the expenditure plan for projects to be funded through the CTE Initiative in 202</w:t>
      </w:r>
      <w:r w:rsidR="006C4DF7">
        <w:rPr>
          <w:rFonts w:ascii="Arial" w:hAnsi="Arial" w:cs="Arial"/>
        </w:rPr>
        <w:t>3</w:t>
      </w:r>
      <w:r w:rsidRPr="0089504F">
        <w:rPr>
          <w:rFonts w:ascii="Arial" w:hAnsi="Arial" w:cs="Arial"/>
        </w:rPr>
        <w:t>–2</w:t>
      </w:r>
      <w:r w:rsidR="006C4DF7">
        <w:rPr>
          <w:rFonts w:ascii="Arial" w:hAnsi="Arial" w:cs="Arial"/>
        </w:rPr>
        <w:t>4</w:t>
      </w:r>
      <w:r w:rsidRPr="0089504F">
        <w:rPr>
          <w:rFonts w:ascii="Arial" w:hAnsi="Arial" w:cs="Arial"/>
        </w:rPr>
        <w:t xml:space="preserve">. </w:t>
      </w:r>
      <w:r w:rsidRPr="0089504F">
        <w:rPr>
          <w:rFonts w:ascii="Arial" w:eastAsia="Calibri" w:hAnsi="Arial" w:cs="Arial"/>
        </w:rPr>
        <w:t xml:space="preserve">Many of the projects administered, including the California Partnership Academies, CTE Teach, Career Technical Student Organizations, Virtual Counselor, and the Leadership Development Institute, have demonstrated success over the years. </w:t>
      </w:r>
      <w:r w:rsidRPr="0089504F">
        <w:rPr>
          <w:rFonts w:ascii="Arial" w:hAnsi="Arial" w:cs="Arial"/>
        </w:rPr>
        <w:t>These projects continue to be key infrastructure investments for kindergarten through grade twelve (K–12) CTE.</w:t>
      </w:r>
    </w:p>
    <w:p w14:paraId="128F2882" w14:textId="77777777" w:rsidR="00124F74" w:rsidRPr="0089504F" w:rsidRDefault="00124F74" w:rsidP="005678CC">
      <w:pPr>
        <w:spacing w:after="240"/>
        <w:rPr>
          <w:rFonts w:ascii="Arial" w:hAnsi="Arial" w:cs="Arial"/>
          <w:iCs/>
          <w:color w:val="000000"/>
        </w:rPr>
      </w:pPr>
      <w:r w:rsidRPr="0089504F">
        <w:rPr>
          <w:rFonts w:ascii="Arial" w:hAnsi="Arial" w:cs="Arial"/>
          <w:iCs/>
        </w:rPr>
        <w:t xml:space="preserve">If you have any questions regarding this report, please contact </w:t>
      </w:r>
      <w:r w:rsidR="005678CC" w:rsidRPr="0089504F">
        <w:rPr>
          <w:rFonts w:ascii="Arial" w:hAnsi="Arial" w:cs="Arial"/>
          <w:iCs/>
        </w:rPr>
        <w:t>Rachel Moran</w:t>
      </w:r>
      <w:r w:rsidRPr="0089504F">
        <w:rPr>
          <w:rFonts w:ascii="Arial" w:hAnsi="Arial" w:cs="Arial"/>
          <w:iCs/>
        </w:rPr>
        <w:t xml:space="preserve">, </w:t>
      </w:r>
      <w:r w:rsidR="005678CC" w:rsidRPr="0089504F">
        <w:rPr>
          <w:rFonts w:ascii="Arial" w:hAnsi="Arial" w:cs="Arial"/>
          <w:iCs/>
        </w:rPr>
        <w:t>Staff Services Manager I</w:t>
      </w:r>
      <w:r w:rsidRPr="0089504F">
        <w:rPr>
          <w:rFonts w:ascii="Arial" w:hAnsi="Arial" w:cs="Arial"/>
          <w:iCs/>
        </w:rPr>
        <w:t>, Career and College Transition Division, by email at</w:t>
      </w:r>
      <w:r w:rsidRPr="0089504F">
        <w:rPr>
          <w:rFonts w:ascii="Arial" w:hAnsi="Arial" w:cs="Arial"/>
        </w:rPr>
        <w:t xml:space="preserve"> </w:t>
      </w:r>
      <w:hyperlink r:id="rId11" w:history="1">
        <w:r w:rsidR="005678CC" w:rsidRPr="0089504F">
          <w:rPr>
            <w:rStyle w:val="Hyperlink"/>
            <w:rFonts w:ascii="Arial" w:hAnsi="Arial" w:cs="Arial"/>
          </w:rPr>
          <w:t>rmoran@cde.ca.gov</w:t>
        </w:r>
      </w:hyperlink>
      <w:r w:rsidR="005678CC" w:rsidRPr="0089504F">
        <w:rPr>
          <w:rFonts w:ascii="Arial" w:hAnsi="Arial" w:cs="Arial"/>
        </w:rPr>
        <w:t>.</w:t>
      </w:r>
    </w:p>
    <w:p w14:paraId="1911B79B" w14:textId="6C07F256" w:rsidR="00124F74" w:rsidRPr="0089504F" w:rsidRDefault="00124F74" w:rsidP="00124F74">
      <w:pPr>
        <w:tabs>
          <w:tab w:val="right" w:pos="9360"/>
        </w:tabs>
        <w:autoSpaceDE w:val="0"/>
        <w:autoSpaceDN w:val="0"/>
        <w:adjustRightInd w:val="0"/>
        <w:spacing w:after="240"/>
        <w:rPr>
          <w:rFonts w:ascii="Arial" w:hAnsi="Arial" w:cs="Arial"/>
          <w:bCs/>
        </w:rPr>
      </w:pPr>
      <w:r w:rsidRPr="0089504F">
        <w:rPr>
          <w:rFonts w:ascii="Arial" w:hAnsi="Arial" w:cs="Arial"/>
          <w:bCs/>
        </w:rPr>
        <w:t>You can find this report on the C</w:t>
      </w:r>
      <w:r w:rsidR="00683F69">
        <w:rPr>
          <w:rFonts w:ascii="Arial" w:hAnsi="Arial" w:cs="Arial"/>
          <w:bCs/>
        </w:rPr>
        <w:t xml:space="preserve">alifornia </w:t>
      </w:r>
      <w:r w:rsidRPr="0089504F">
        <w:rPr>
          <w:rFonts w:ascii="Arial" w:hAnsi="Arial" w:cs="Arial"/>
          <w:bCs/>
        </w:rPr>
        <w:t>D</w:t>
      </w:r>
      <w:r w:rsidR="00683F69">
        <w:rPr>
          <w:rFonts w:ascii="Arial" w:hAnsi="Arial" w:cs="Arial"/>
          <w:bCs/>
        </w:rPr>
        <w:t xml:space="preserve">epartment of </w:t>
      </w:r>
      <w:r w:rsidRPr="0089504F">
        <w:rPr>
          <w:rFonts w:ascii="Arial" w:hAnsi="Arial" w:cs="Arial"/>
          <w:bCs/>
        </w:rPr>
        <w:t>E</w:t>
      </w:r>
      <w:r w:rsidR="00683F69">
        <w:rPr>
          <w:rFonts w:ascii="Arial" w:hAnsi="Arial" w:cs="Arial"/>
          <w:bCs/>
        </w:rPr>
        <w:t>ducation</w:t>
      </w:r>
      <w:r w:rsidRPr="0089504F">
        <w:rPr>
          <w:rFonts w:ascii="Arial" w:hAnsi="Arial" w:cs="Arial"/>
          <w:bCs/>
        </w:rPr>
        <w:t xml:space="preserve"> CTE General Information web page at </w:t>
      </w:r>
      <w:hyperlink r:id="rId12" w:tooltip="Legislative Report Link" w:history="1">
        <w:r w:rsidRPr="0089504F">
          <w:rPr>
            <w:rStyle w:val="Hyperlink"/>
            <w:rFonts w:ascii="Arial" w:hAnsi="Arial" w:cs="Arial"/>
            <w:bCs/>
          </w:rPr>
          <w:t>https://www.cde.ca.gov/ci/ct/gi/index.asp</w:t>
        </w:r>
      </w:hyperlink>
      <w:r w:rsidRPr="0089504F">
        <w:rPr>
          <w:rFonts w:ascii="Arial" w:hAnsi="Arial" w:cs="Arial"/>
          <w:bCs/>
        </w:rPr>
        <w:t>.</w:t>
      </w:r>
    </w:p>
    <w:p w14:paraId="57BD6782" w14:textId="77777777" w:rsidR="005678CC" w:rsidRPr="0089504F" w:rsidRDefault="00124F74" w:rsidP="005678CC">
      <w:pPr>
        <w:spacing w:after="240"/>
        <w:rPr>
          <w:rFonts w:ascii="Arial" w:hAnsi="Arial" w:cs="Arial"/>
          <w:iCs/>
          <w:color w:val="000000"/>
        </w:rPr>
      </w:pPr>
      <w:r w:rsidRPr="0089504F">
        <w:rPr>
          <w:rFonts w:ascii="Arial" w:hAnsi="Arial" w:cs="Arial"/>
          <w:bCs/>
        </w:rPr>
        <w:t xml:space="preserve">If you would like a copy of this report, please contact </w:t>
      </w:r>
      <w:r w:rsidR="005678CC" w:rsidRPr="0089504F">
        <w:rPr>
          <w:rFonts w:ascii="Arial" w:hAnsi="Arial" w:cs="Arial"/>
          <w:iCs/>
        </w:rPr>
        <w:t>Rachel Moran, Staff Services Manager I, Career and College Transition Division, by email at</w:t>
      </w:r>
      <w:r w:rsidR="005678CC" w:rsidRPr="0089504F">
        <w:rPr>
          <w:rFonts w:ascii="Arial" w:hAnsi="Arial" w:cs="Arial"/>
        </w:rPr>
        <w:t xml:space="preserve"> </w:t>
      </w:r>
      <w:hyperlink r:id="rId13" w:history="1">
        <w:r w:rsidR="005678CC" w:rsidRPr="0089504F">
          <w:rPr>
            <w:rStyle w:val="Hyperlink"/>
            <w:rFonts w:ascii="Arial" w:hAnsi="Arial" w:cs="Arial"/>
          </w:rPr>
          <w:t>rmoran@cde.ca.gov</w:t>
        </w:r>
      </w:hyperlink>
      <w:r w:rsidR="005678CC" w:rsidRPr="0089504F">
        <w:rPr>
          <w:rFonts w:ascii="Arial" w:hAnsi="Arial" w:cs="Arial"/>
        </w:rPr>
        <w:t>.</w:t>
      </w:r>
    </w:p>
    <w:p w14:paraId="1838DAE5" w14:textId="77777777" w:rsidR="00124F74" w:rsidRPr="0089504F" w:rsidRDefault="00124F74" w:rsidP="005678CC">
      <w:pPr>
        <w:tabs>
          <w:tab w:val="right" w:pos="9360"/>
        </w:tabs>
        <w:autoSpaceDE w:val="0"/>
        <w:autoSpaceDN w:val="0"/>
        <w:adjustRightInd w:val="0"/>
        <w:spacing w:after="240"/>
        <w:rPr>
          <w:rFonts w:ascii="Arial" w:hAnsi="Arial" w:cs="Arial"/>
        </w:rPr>
      </w:pPr>
      <w:r w:rsidRPr="0089504F">
        <w:rPr>
          <w:rFonts w:ascii="Arial" w:hAnsi="Arial" w:cs="Arial"/>
        </w:rPr>
        <w:br w:type="page"/>
      </w:r>
    </w:p>
    <w:p w14:paraId="58322F8C" w14:textId="77777777" w:rsidR="00124F74" w:rsidRPr="0089504F" w:rsidRDefault="00124F74" w:rsidP="00124F74">
      <w:pPr>
        <w:pStyle w:val="Heading2"/>
        <w:rPr>
          <w:rFonts w:eastAsia="Times New Roman" w:cs="Arial"/>
          <w:color w:val="000000"/>
          <w:szCs w:val="24"/>
        </w:rPr>
      </w:pPr>
      <w:bookmarkStart w:id="3" w:name="_Toc187142355"/>
      <w:r w:rsidRPr="0089504F">
        <w:rPr>
          <w:rFonts w:cs="Arial"/>
          <w:szCs w:val="24"/>
        </w:rPr>
        <w:lastRenderedPageBreak/>
        <w:t>Introduction</w:t>
      </w:r>
      <w:bookmarkEnd w:id="3"/>
    </w:p>
    <w:p w14:paraId="1856FC15" w14:textId="3B2AD055" w:rsidR="00124F74" w:rsidRPr="0089504F" w:rsidRDefault="00822689" w:rsidP="00124F74">
      <w:pPr>
        <w:spacing w:after="240"/>
        <w:rPr>
          <w:rFonts w:ascii="Arial" w:eastAsia="Calibri" w:hAnsi="Arial" w:cs="Arial"/>
        </w:rPr>
      </w:pPr>
      <w:r w:rsidRPr="0089504F">
        <w:rPr>
          <w:rFonts w:ascii="Arial" w:eastAsia="Calibri" w:hAnsi="Arial" w:cs="Arial"/>
        </w:rPr>
        <w:t xml:space="preserve">The </w:t>
      </w:r>
      <w:r w:rsidR="00124F74" w:rsidRPr="0089504F">
        <w:rPr>
          <w:rFonts w:ascii="Arial" w:eastAsia="Calibri" w:hAnsi="Arial" w:cs="Arial"/>
        </w:rPr>
        <w:t xml:space="preserve">Career Technical Education Initiative </w:t>
      </w:r>
      <w:r w:rsidRPr="0089504F">
        <w:rPr>
          <w:rFonts w:ascii="Arial" w:eastAsia="Calibri" w:hAnsi="Arial" w:cs="Arial"/>
        </w:rPr>
        <w:t xml:space="preserve">(CTEI) </w:t>
      </w:r>
      <w:r w:rsidR="00124F74" w:rsidRPr="0089504F">
        <w:rPr>
          <w:rFonts w:ascii="Arial" w:eastAsia="Calibri" w:hAnsi="Arial" w:cs="Arial"/>
        </w:rPr>
        <w:t>funds were provided to the California Department of Education (CDE) through the California Budget in the amount of $15.36</w:t>
      </w:r>
      <w:r w:rsidR="00034356" w:rsidRPr="0089504F">
        <w:rPr>
          <w:rFonts w:ascii="Arial" w:eastAsia="Calibri" w:hAnsi="Arial" w:cs="Arial"/>
        </w:rPr>
        <w:t xml:space="preserve"> million for fiscal years 202</w:t>
      </w:r>
      <w:r w:rsidR="0089504F" w:rsidRPr="0089504F">
        <w:rPr>
          <w:rFonts w:ascii="Arial" w:eastAsia="Calibri" w:hAnsi="Arial" w:cs="Arial"/>
        </w:rPr>
        <w:t>2</w:t>
      </w:r>
      <w:r w:rsidR="00034356" w:rsidRPr="0089504F">
        <w:rPr>
          <w:rFonts w:ascii="Arial" w:eastAsia="Calibri" w:hAnsi="Arial" w:cs="Arial"/>
        </w:rPr>
        <w:t>–2</w:t>
      </w:r>
      <w:r w:rsidR="0089504F" w:rsidRPr="0089504F">
        <w:rPr>
          <w:rFonts w:ascii="Arial" w:eastAsia="Calibri" w:hAnsi="Arial" w:cs="Arial"/>
        </w:rPr>
        <w:t>3</w:t>
      </w:r>
      <w:r w:rsidR="00034356" w:rsidRPr="0089504F">
        <w:rPr>
          <w:rFonts w:ascii="Arial" w:eastAsia="Calibri" w:hAnsi="Arial" w:cs="Arial"/>
        </w:rPr>
        <w:t xml:space="preserve"> and 202</w:t>
      </w:r>
      <w:r w:rsidR="0089504F" w:rsidRPr="0089504F">
        <w:rPr>
          <w:rFonts w:ascii="Arial" w:eastAsia="Calibri" w:hAnsi="Arial" w:cs="Arial"/>
        </w:rPr>
        <w:t>3</w:t>
      </w:r>
      <w:r w:rsidR="00034356" w:rsidRPr="0089504F">
        <w:rPr>
          <w:rFonts w:ascii="Arial" w:eastAsia="Calibri" w:hAnsi="Arial" w:cs="Arial"/>
        </w:rPr>
        <w:t>–2</w:t>
      </w:r>
      <w:r w:rsidR="0089504F" w:rsidRPr="0089504F">
        <w:rPr>
          <w:rFonts w:ascii="Arial" w:eastAsia="Calibri" w:hAnsi="Arial" w:cs="Arial"/>
        </w:rPr>
        <w:t>4</w:t>
      </w:r>
      <w:r w:rsidR="00034356" w:rsidRPr="0089504F">
        <w:rPr>
          <w:rFonts w:ascii="Arial" w:eastAsia="Calibri" w:hAnsi="Arial" w:cs="Arial"/>
        </w:rPr>
        <w:t>.</w:t>
      </w:r>
      <w:r w:rsidR="00124F74" w:rsidRPr="0089504F">
        <w:rPr>
          <w:rFonts w:ascii="Arial" w:eastAsia="Calibri" w:hAnsi="Arial" w:cs="Arial"/>
        </w:rPr>
        <w:t xml:space="preserve"> This report serves as the required documentation regarding outcomes for how these funds were allocated in 20</w:t>
      </w:r>
      <w:r w:rsidR="009C0F5E" w:rsidRPr="0089504F">
        <w:rPr>
          <w:rFonts w:ascii="Arial" w:eastAsia="Calibri" w:hAnsi="Arial" w:cs="Arial"/>
        </w:rPr>
        <w:t>2</w:t>
      </w:r>
      <w:r w:rsidR="00904770">
        <w:rPr>
          <w:rFonts w:ascii="Arial" w:eastAsia="Calibri" w:hAnsi="Arial" w:cs="Arial"/>
        </w:rPr>
        <w:t>2</w:t>
      </w:r>
      <w:r w:rsidR="00124F74" w:rsidRPr="0089504F">
        <w:rPr>
          <w:rFonts w:ascii="Arial" w:eastAsia="Calibri" w:hAnsi="Arial" w:cs="Arial"/>
        </w:rPr>
        <w:t>–2</w:t>
      </w:r>
      <w:r w:rsidR="00904770">
        <w:rPr>
          <w:rFonts w:ascii="Arial" w:eastAsia="Calibri" w:hAnsi="Arial" w:cs="Arial"/>
        </w:rPr>
        <w:t>3</w:t>
      </w:r>
      <w:r w:rsidR="00124F74" w:rsidRPr="0089504F">
        <w:rPr>
          <w:rFonts w:ascii="Arial" w:eastAsia="Calibri" w:hAnsi="Arial" w:cs="Arial"/>
        </w:rPr>
        <w:t xml:space="preserve"> </w:t>
      </w:r>
      <w:proofErr w:type="gramStart"/>
      <w:r w:rsidR="00124F74" w:rsidRPr="0089504F">
        <w:rPr>
          <w:rFonts w:ascii="Arial" w:eastAsia="Calibri" w:hAnsi="Arial" w:cs="Arial"/>
        </w:rPr>
        <w:t>and also</w:t>
      </w:r>
      <w:proofErr w:type="gramEnd"/>
      <w:r w:rsidR="00124F74" w:rsidRPr="0089504F">
        <w:rPr>
          <w:rFonts w:ascii="Arial" w:eastAsia="Calibri" w:hAnsi="Arial" w:cs="Arial"/>
        </w:rPr>
        <w:t xml:space="preserve"> documents how funds will be allocated in 202</w:t>
      </w:r>
      <w:r w:rsidR="0089504F" w:rsidRPr="0089504F">
        <w:rPr>
          <w:rFonts w:ascii="Arial" w:eastAsia="Calibri" w:hAnsi="Arial" w:cs="Arial"/>
        </w:rPr>
        <w:t>3</w:t>
      </w:r>
      <w:r w:rsidR="00124F74" w:rsidRPr="0089504F">
        <w:rPr>
          <w:rFonts w:ascii="Arial" w:eastAsia="Calibri" w:hAnsi="Arial" w:cs="Arial"/>
        </w:rPr>
        <w:t>–2</w:t>
      </w:r>
      <w:r w:rsidR="0089504F" w:rsidRPr="0089504F">
        <w:rPr>
          <w:rFonts w:ascii="Arial" w:eastAsia="Calibri" w:hAnsi="Arial" w:cs="Arial"/>
        </w:rPr>
        <w:t>4</w:t>
      </w:r>
      <w:r w:rsidR="00124F74" w:rsidRPr="0089504F">
        <w:rPr>
          <w:rFonts w:ascii="Arial" w:eastAsia="Calibri" w:hAnsi="Arial" w:cs="Arial"/>
        </w:rPr>
        <w:t>. Many of the projects administered, including the California Partnership Academies (CPAs), CTE Teach, Career Technical Student Organizations (CTSOs), Virtual Counselor, and the Leadership Development Institute (LDI), have demonstrated</w:t>
      </w:r>
      <w:r w:rsidR="00904770">
        <w:rPr>
          <w:rFonts w:ascii="Arial" w:eastAsia="Calibri" w:hAnsi="Arial" w:cs="Arial"/>
        </w:rPr>
        <w:t xml:space="preserve"> </w:t>
      </w:r>
      <w:r w:rsidR="00124F74" w:rsidRPr="0089504F">
        <w:rPr>
          <w:rFonts w:ascii="Arial" w:eastAsia="Calibri" w:hAnsi="Arial" w:cs="Arial"/>
        </w:rPr>
        <w:t xml:space="preserve">success over the years. </w:t>
      </w:r>
      <w:r w:rsidR="00124F74" w:rsidRPr="0089504F">
        <w:rPr>
          <w:rFonts w:ascii="Arial" w:hAnsi="Arial" w:cs="Arial"/>
        </w:rPr>
        <w:t xml:space="preserve">These projects continue to be key infrastructure investments for kindergarten through grade twelve (K–12) </w:t>
      </w:r>
      <w:r w:rsidR="00904770">
        <w:rPr>
          <w:rFonts w:ascii="Arial" w:hAnsi="Arial" w:cs="Arial"/>
        </w:rPr>
        <w:t>career technical education (</w:t>
      </w:r>
      <w:r w:rsidR="00124F74" w:rsidRPr="0089504F">
        <w:rPr>
          <w:rFonts w:ascii="Arial" w:hAnsi="Arial" w:cs="Arial"/>
        </w:rPr>
        <w:t>CTE</w:t>
      </w:r>
      <w:r w:rsidR="00904770">
        <w:rPr>
          <w:rFonts w:ascii="Arial" w:hAnsi="Arial" w:cs="Arial"/>
        </w:rPr>
        <w:t>)</w:t>
      </w:r>
      <w:r w:rsidR="00124F74" w:rsidRPr="0089504F">
        <w:rPr>
          <w:rFonts w:ascii="Arial" w:hAnsi="Arial" w:cs="Arial"/>
        </w:rPr>
        <w:t>.</w:t>
      </w:r>
    </w:p>
    <w:p w14:paraId="5C116C85" w14:textId="041E92AA" w:rsidR="00124F74" w:rsidRPr="0089504F" w:rsidRDefault="00124F74" w:rsidP="00124F74">
      <w:pPr>
        <w:pStyle w:val="Heading2"/>
        <w:spacing w:before="480" w:after="240" w:line="240" w:lineRule="auto"/>
        <w:rPr>
          <w:rFonts w:eastAsia="Calibri" w:cs="Arial"/>
          <w:szCs w:val="24"/>
        </w:rPr>
      </w:pPr>
      <w:bookmarkStart w:id="4" w:name="_Toc187142356"/>
      <w:r w:rsidRPr="0089504F">
        <w:rPr>
          <w:rFonts w:eastAsia="Calibri" w:cs="Arial"/>
          <w:szCs w:val="24"/>
        </w:rPr>
        <w:t>CTE Initiative Project Outcomes for 20</w:t>
      </w:r>
      <w:r w:rsidR="005F53CD" w:rsidRPr="0089504F">
        <w:rPr>
          <w:rFonts w:eastAsia="Calibri" w:cs="Arial"/>
          <w:szCs w:val="24"/>
        </w:rPr>
        <w:t>2</w:t>
      </w:r>
      <w:r w:rsidR="0089504F" w:rsidRPr="0089504F">
        <w:rPr>
          <w:rFonts w:eastAsia="Calibri" w:cs="Arial"/>
          <w:szCs w:val="24"/>
        </w:rPr>
        <w:t>2</w:t>
      </w:r>
      <w:r w:rsidRPr="0089504F">
        <w:rPr>
          <w:rFonts w:eastAsia="Calibri" w:cs="Arial"/>
          <w:szCs w:val="24"/>
        </w:rPr>
        <w:t>–2</w:t>
      </w:r>
      <w:r w:rsidR="0089504F" w:rsidRPr="0089504F">
        <w:rPr>
          <w:rFonts w:eastAsia="Calibri" w:cs="Arial"/>
          <w:szCs w:val="24"/>
        </w:rPr>
        <w:t>3</w:t>
      </w:r>
      <w:bookmarkEnd w:id="4"/>
    </w:p>
    <w:p w14:paraId="237D21AE" w14:textId="6432ECD2" w:rsidR="00124F74" w:rsidRPr="0089504F" w:rsidRDefault="00124F74" w:rsidP="00124F74">
      <w:pPr>
        <w:spacing w:after="240"/>
        <w:rPr>
          <w:rFonts w:ascii="Arial" w:eastAsia="Calibri" w:hAnsi="Arial" w:cs="Arial"/>
        </w:rPr>
      </w:pPr>
      <w:r w:rsidRPr="0089504F">
        <w:rPr>
          <w:rFonts w:ascii="Arial" w:eastAsia="Calibri" w:hAnsi="Arial" w:cs="Arial"/>
        </w:rPr>
        <w:t>Of the $15.36 million provided during 20</w:t>
      </w:r>
      <w:r w:rsidR="005F53CD" w:rsidRPr="0089504F">
        <w:rPr>
          <w:rFonts w:ascii="Arial" w:eastAsia="Calibri" w:hAnsi="Arial" w:cs="Arial"/>
        </w:rPr>
        <w:t>2</w:t>
      </w:r>
      <w:r w:rsidR="0089504F" w:rsidRPr="0089504F">
        <w:rPr>
          <w:rFonts w:ascii="Arial" w:eastAsia="Calibri" w:hAnsi="Arial" w:cs="Arial"/>
        </w:rPr>
        <w:t>2</w:t>
      </w:r>
      <w:r w:rsidRPr="0089504F">
        <w:rPr>
          <w:rFonts w:ascii="Arial" w:eastAsia="Calibri" w:hAnsi="Arial" w:cs="Arial"/>
        </w:rPr>
        <w:t>–2</w:t>
      </w:r>
      <w:r w:rsidR="0089504F" w:rsidRPr="0089504F">
        <w:rPr>
          <w:rFonts w:ascii="Arial" w:eastAsia="Calibri" w:hAnsi="Arial" w:cs="Arial"/>
        </w:rPr>
        <w:t>3</w:t>
      </w:r>
      <w:r w:rsidRPr="0089504F">
        <w:rPr>
          <w:rFonts w:ascii="Arial" w:eastAsia="Calibri" w:hAnsi="Arial" w:cs="Arial"/>
        </w:rPr>
        <w:t>, a total of $15.</w:t>
      </w:r>
      <w:r w:rsidR="008114FD">
        <w:rPr>
          <w:rFonts w:ascii="Arial" w:eastAsia="Calibri" w:hAnsi="Arial" w:cs="Arial"/>
        </w:rPr>
        <w:t>02</w:t>
      </w:r>
      <w:r w:rsidRPr="0089504F">
        <w:rPr>
          <w:rFonts w:ascii="Arial" w:eastAsia="Calibri" w:hAnsi="Arial" w:cs="Arial"/>
        </w:rPr>
        <w:t xml:space="preserve"> million was allocated to </w:t>
      </w:r>
      <w:r w:rsidR="008114FD">
        <w:rPr>
          <w:rFonts w:ascii="Arial" w:eastAsia="Calibri" w:hAnsi="Arial" w:cs="Arial"/>
        </w:rPr>
        <w:t>nine</w:t>
      </w:r>
      <w:r w:rsidRPr="0089504F">
        <w:rPr>
          <w:rFonts w:ascii="Arial" w:eastAsia="Calibri" w:hAnsi="Arial" w:cs="Arial"/>
        </w:rPr>
        <w:t xml:space="preserve"> projects with outcomes as follows:</w:t>
      </w:r>
    </w:p>
    <w:p w14:paraId="0C59AE04" w14:textId="2034BAF2" w:rsidR="0089504F" w:rsidRPr="0089504F" w:rsidRDefault="0089504F" w:rsidP="0089504F">
      <w:pPr>
        <w:pStyle w:val="ListParagraph"/>
        <w:numPr>
          <w:ilvl w:val="0"/>
          <w:numId w:val="19"/>
        </w:numPr>
        <w:spacing w:after="240"/>
        <w:ind w:left="720"/>
        <w:rPr>
          <w:rFonts w:ascii="Arial" w:eastAsia="Calibri" w:hAnsi="Arial" w:cs="Arial"/>
          <w:bCs/>
          <w:sz w:val="24"/>
          <w:szCs w:val="24"/>
        </w:rPr>
      </w:pPr>
      <w:r w:rsidRPr="0089504F">
        <w:rPr>
          <w:rFonts w:ascii="Arial" w:eastAsia="Calibri" w:hAnsi="Arial" w:cs="Arial"/>
          <w:bCs/>
          <w:sz w:val="24"/>
          <w:szCs w:val="24"/>
        </w:rPr>
        <w:t>CPAs (132 school sites across the state): $</w:t>
      </w:r>
      <w:r w:rsidR="0093200B">
        <w:rPr>
          <w:rFonts w:ascii="Arial" w:eastAsia="Calibri" w:hAnsi="Arial" w:cs="Arial"/>
          <w:bCs/>
          <w:sz w:val="24"/>
          <w:szCs w:val="24"/>
        </w:rPr>
        <w:t>10</w:t>
      </w:r>
      <w:r w:rsidRPr="0089504F">
        <w:rPr>
          <w:rFonts w:ascii="Arial" w:eastAsia="Calibri" w:hAnsi="Arial" w:cs="Arial"/>
          <w:bCs/>
          <w:sz w:val="24"/>
          <w:szCs w:val="24"/>
        </w:rPr>
        <w:t>.53 million</w:t>
      </w:r>
    </w:p>
    <w:p w14:paraId="67758613" w14:textId="77777777" w:rsidR="0089504F" w:rsidRPr="0089504F" w:rsidRDefault="0089504F" w:rsidP="0089504F">
      <w:pPr>
        <w:spacing w:after="240"/>
        <w:ind w:left="990"/>
        <w:rPr>
          <w:rFonts w:ascii="Arial" w:eastAsia="Calibri" w:hAnsi="Arial" w:cs="Arial"/>
          <w:bCs/>
        </w:rPr>
      </w:pPr>
      <w:r w:rsidRPr="0089504F">
        <w:rPr>
          <w:rFonts w:ascii="Arial" w:eastAsia="Calibri" w:hAnsi="Arial" w:cs="Arial"/>
          <w:bCs/>
        </w:rPr>
        <w:t>Dates of Grant: July 1, 2023, to June 30, 2024</w:t>
      </w:r>
    </w:p>
    <w:p w14:paraId="22A570B4" w14:textId="77777777" w:rsidR="0089504F" w:rsidRPr="0089504F" w:rsidRDefault="0089504F" w:rsidP="0089504F">
      <w:pPr>
        <w:tabs>
          <w:tab w:val="left" w:pos="180"/>
        </w:tabs>
        <w:spacing w:after="240"/>
        <w:ind w:left="1080"/>
        <w:rPr>
          <w:rFonts w:ascii="Arial" w:eastAsia="Calibri" w:hAnsi="Arial" w:cs="Arial"/>
        </w:rPr>
      </w:pPr>
      <w:r w:rsidRPr="0089504F">
        <w:rPr>
          <w:rFonts w:ascii="Arial" w:eastAsia="Calibri" w:hAnsi="Arial" w:cs="Arial"/>
        </w:rPr>
        <w:t>CPA Outcomes for 2022–23:</w:t>
      </w:r>
    </w:p>
    <w:p w14:paraId="3FE16F26" w14:textId="77777777" w:rsidR="0089504F" w:rsidRPr="0089504F" w:rsidRDefault="0089504F" w:rsidP="0089504F">
      <w:pPr>
        <w:tabs>
          <w:tab w:val="left" w:pos="180"/>
        </w:tabs>
        <w:spacing w:after="240"/>
        <w:ind w:left="1080"/>
        <w:rPr>
          <w:rFonts w:ascii="Arial" w:eastAsia="Calibri" w:hAnsi="Arial" w:cs="Arial"/>
        </w:rPr>
      </w:pPr>
      <w:r w:rsidRPr="0089504F">
        <w:rPr>
          <w:rFonts w:ascii="Arial" w:eastAsia="Calibri" w:hAnsi="Arial" w:cs="Arial"/>
        </w:rPr>
        <w:t>The CPAs funded with CTE Initiative funds continue to demonstrate success. Students enrolled at CPAs continue to graduate at a higher rate than the state average along with almost double the rate of A–G completion. The CPA students who complete the three-year academy model are also career pathway completers. All the CPA completers fall under the “Prepared Level” for the College and Career Indicator, which is a benefit to their respective school’s accountability scores.</w:t>
      </w:r>
    </w:p>
    <w:p w14:paraId="4671E2C4" w14:textId="77777777" w:rsidR="0089504F" w:rsidRPr="0089504F" w:rsidRDefault="0089504F" w:rsidP="0089504F">
      <w:pPr>
        <w:pStyle w:val="ListParagraph"/>
        <w:numPr>
          <w:ilvl w:val="0"/>
          <w:numId w:val="19"/>
        </w:numPr>
        <w:spacing w:after="240"/>
        <w:ind w:left="720"/>
        <w:rPr>
          <w:rFonts w:ascii="Arial" w:eastAsia="Calibri" w:hAnsi="Arial" w:cs="Arial"/>
          <w:sz w:val="24"/>
          <w:szCs w:val="24"/>
        </w:rPr>
      </w:pPr>
      <w:r w:rsidRPr="0089504F">
        <w:rPr>
          <w:rFonts w:ascii="Arial" w:eastAsia="Calibri" w:hAnsi="Arial" w:cs="Arial"/>
          <w:sz w:val="24"/>
          <w:szCs w:val="24"/>
        </w:rPr>
        <w:t>Six CTSOs (501c3 organizations): $1.35 million</w:t>
      </w:r>
    </w:p>
    <w:p w14:paraId="1A154A81" w14:textId="77777777" w:rsidR="0089504F" w:rsidRPr="0089504F" w:rsidRDefault="0089504F" w:rsidP="0089504F">
      <w:pPr>
        <w:numPr>
          <w:ilvl w:val="0"/>
          <w:numId w:val="1"/>
        </w:numPr>
        <w:spacing w:after="240"/>
        <w:ind w:left="1350"/>
        <w:rPr>
          <w:rFonts w:ascii="Arial" w:eastAsia="Calibri" w:hAnsi="Arial" w:cs="Arial"/>
        </w:rPr>
      </w:pPr>
      <w:r w:rsidRPr="0089504F">
        <w:rPr>
          <w:rFonts w:ascii="Arial" w:eastAsia="Calibri" w:hAnsi="Arial" w:cs="Arial"/>
        </w:rPr>
        <w:t>DECA $225,000</w:t>
      </w:r>
      <w:r w:rsidRPr="0089504F">
        <w:rPr>
          <w:rFonts w:ascii="Arial" w:eastAsia="Calibri" w:hAnsi="Arial" w:cs="Arial"/>
        </w:rPr>
        <w:br/>
        <w:t>Dates of Contract: July 1, 2022, to June 30, 2023</w:t>
      </w:r>
      <w:r w:rsidRPr="0089504F">
        <w:rPr>
          <w:rFonts w:ascii="Arial" w:eastAsia="Calibri" w:hAnsi="Arial" w:cs="Arial"/>
        </w:rPr>
        <w:br/>
        <w:t xml:space="preserve">Contract Monitor: Molly Anderson </w:t>
      </w:r>
    </w:p>
    <w:p w14:paraId="3DD7ED69" w14:textId="77777777" w:rsidR="0089504F" w:rsidRPr="0089504F" w:rsidRDefault="0089504F" w:rsidP="0089504F">
      <w:pPr>
        <w:numPr>
          <w:ilvl w:val="0"/>
          <w:numId w:val="1"/>
        </w:numPr>
        <w:spacing w:after="240"/>
        <w:ind w:left="1350"/>
        <w:rPr>
          <w:rFonts w:ascii="Arial" w:eastAsia="Calibri" w:hAnsi="Arial" w:cs="Arial"/>
        </w:rPr>
      </w:pPr>
      <w:r w:rsidRPr="0089504F">
        <w:rPr>
          <w:rFonts w:ascii="Arial" w:eastAsia="Calibri" w:hAnsi="Arial" w:cs="Arial"/>
        </w:rPr>
        <w:t>Future Business Leaders of America (FBLA) $225,000</w:t>
      </w:r>
      <w:r w:rsidRPr="0089504F">
        <w:rPr>
          <w:rFonts w:ascii="Arial" w:eastAsia="Calibri" w:hAnsi="Arial" w:cs="Arial"/>
        </w:rPr>
        <w:br/>
        <w:t>Dates of Contract: July 1, 2022, to June 30, 2023</w:t>
      </w:r>
      <w:r w:rsidRPr="0089504F">
        <w:rPr>
          <w:rFonts w:ascii="Arial" w:eastAsia="Calibri" w:hAnsi="Arial" w:cs="Arial"/>
        </w:rPr>
        <w:br/>
        <w:t>Contract Monitor: Molly Anderson</w:t>
      </w:r>
    </w:p>
    <w:p w14:paraId="1FBBB7FA" w14:textId="77777777" w:rsidR="0089504F" w:rsidRPr="0089504F" w:rsidRDefault="0089504F" w:rsidP="0089504F">
      <w:pPr>
        <w:numPr>
          <w:ilvl w:val="0"/>
          <w:numId w:val="1"/>
        </w:numPr>
        <w:spacing w:after="240"/>
        <w:ind w:left="1350"/>
        <w:rPr>
          <w:rFonts w:ascii="Arial" w:eastAsia="Calibri" w:hAnsi="Arial" w:cs="Arial"/>
        </w:rPr>
      </w:pPr>
      <w:r w:rsidRPr="0089504F">
        <w:rPr>
          <w:rFonts w:ascii="Arial" w:eastAsia="Calibri" w:hAnsi="Arial" w:cs="Arial"/>
        </w:rPr>
        <w:t>Future Farmers of America (FFA) $225,000</w:t>
      </w:r>
      <w:r w:rsidRPr="0089504F">
        <w:rPr>
          <w:rFonts w:ascii="Arial" w:eastAsia="Calibri" w:hAnsi="Arial" w:cs="Arial"/>
        </w:rPr>
        <w:br/>
        <w:t>Dates of Contract: July 1, 2022, to June 30, 2023</w:t>
      </w:r>
      <w:r w:rsidRPr="0089504F">
        <w:rPr>
          <w:rFonts w:ascii="Arial" w:eastAsia="Calibri" w:hAnsi="Arial" w:cs="Arial"/>
        </w:rPr>
        <w:br/>
        <w:t>Contract Monitor: Charles Parker</w:t>
      </w:r>
    </w:p>
    <w:p w14:paraId="7F8DBBB2" w14:textId="77777777" w:rsidR="0089504F" w:rsidRPr="0089504F" w:rsidRDefault="0089504F" w:rsidP="0089504F">
      <w:pPr>
        <w:numPr>
          <w:ilvl w:val="0"/>
          <w:numId w:val="1"/>
        </w:numPr>
        <w:spacing w:after="240"/>
        <w:ind w:left="1350"/>
        <w:rPr>
          <w:rFonts w:ascii="Arial" w:eastAsia="Calibri" w:hAnsi="Arial" w:cs="Arial"/>
        </w:rPr>
      </w:pPr>
      <w:r w:rsidRPr="0089504F">
        <w:rPr>
          <w:rFonts w:ascii="Arial" w:eastAsia="Calibri" w:hAnsi="Arial" w:cs="Arial"/>
        </w:rPr>
        <w:lastRenderedPageBreak/>
        <w:t>Family, Career and Community Leaders of America (FCCLA) $225,000</w:t>
      </w:r>
      <w:r w:rsidRPr="0089504F">
        <w:rPr>
          <w:rFonts w:ascii="Arial" w:eastAsia="Calibri" w:hAnsi="Arial" w:cs="Arial"/>
        </w:rPr>
        <w:br/>
        <w:t>Dates of Contract: July 1, 2022, to June 30, 2023</w:t>
      </w:r>
      <w:r w:rsidRPr="0089504F">
        <w:rPr>
          <w:rFonts w:ascii="Arial" w:eastAsia="Calibri" w:hAnsi="Arial" w:cs="Arial"/>
        </w:rPr>
        <w:br/>
        <w:t>Contract Monitor: Charles Parker</w:t>
      </w:r>
    </w:p>
    <w:p w14:paraId="7B669F9C" w14:textId="77777777" w:rsidR="0089504F" w:rsidRPr="0089504F" w:rsidRDefault="0089504F" w:rsidP="0089504F">
      <w:pPr>
        <w:numPr>
          <w:ilvl w:val="0"/>
          <w:numId w:val="1"/>
        </w:numPr>
        <w:spacing w:after="240"/>
        <w:ind w:left="1350"/>
        <w:rPr>
          <w:rFonts w:ascii="Arial" w:eastAsia="Calibri" w:hAnsi="Arial" w:cs="Arial"/>
        </w:rPr>
      </w:pPr>
      <w:r w:rsidRPr="0089504F">
        <w:rPr>
          <w:rFonts w:ascii="Arial" w:eastAsia="Calibri" w:hAnsi="Arial" w:cs="Arial"/>
        </w:rPr>
        <w:t>Health Occupations Students of America (HOSA) $225,000</w:t>
      </w:r>
      <w:r w:rsidRPr="0089504F">
        <w:rPr>
          <w:rFonts w:ascii="Arial" w:eastAsia="Calibri" w:hAnsi="Arial" w:cs="Arial"/>
        </w:rPr>
        <w:br/>
        <w:t>Dates of Contract: July 1, 2022, to June 30, 2023</w:t>
      </w:r>
      <w:r w:rsidRPr="0089504F">
        <w:rPr>
          <w:rFonts w:ascii="Arial" w:eastAsia="Calibri" w:hAnsi="Arial" w:cs="Arial"/>
        </w:rPr>
        <w:br/>
        <w:t>Contract Monitor: Tara Neilson</w:t>
      </w:r>
    </w:p>
    <w:p w14:paraId="2B061EEE" w14:textId="77777777" w:rsidR="0089504F" w:rsidRPr="0089504F" w:rsidRDefault="0089504F" w:rsidP="0089504F">
      <w:pPr>
        <w:numPr>
          <w:ilvl w:val="0"/>
          <w:numId w:val="1"/>
        </w:numPr>
        <w:spacing w:after="240"/>
        <w:ind w:left="1350"/>
        <w:rPr>
          <w:rFonts w:ascii="Arial" w:eastAsia="Calibri" w:hAnsi="Arial" w:cs="Arial"/>
        </w:rPr>
      </w:pPr>
      <w:r w:rsidRPr="0089504F">
        <w:rPr>
          <w:rFonts w:ascii="Arial" w:eastAsia="Calibri" w:hAnsi="Arial" w:cs="Arial"/>
        </w:rPr>
        <w:t>SkillsUSA $225,000</w:t>
      </w:r>
      <w:r w:rsidRPr="0089504F">
        <w:rPr>
          <w:rFonts w:ascii="Arial" w:eastAsia="Calibri" w:hAnsi="Arial" w:cs="Arial"/>
        </w:rPr>
        <w:br/>
        <w:t>Dates of Contract: July 1, 2022, to June 30, 2023</w:t>
      </w:r>
      <w:r w:rsidRPr="0089504F">
        <w:rPr>
          <w:rFonts w:ascii="Arial" w:eastAsia="Calibri" w:hAnsi="Arial" w:cs="Arial"/>
        </w:rPr>
        <w:br/>
        <w:t>Contract Monitor: Tara Neilson</w:t>
      </w:r>
    </w:p>
    <w:p w14:paraId="24DD62A9"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rPr>
        <w:t>CTSO Outcomes for 2022–23:</w:t>
      </w:r>
    </w:p>
    <w:p w14:paraId="5C1EAAD6" w14:textId="77777777" w:rsidR="0089504F" w:rsidRPr="0089504F" w:rsidRDefault="0089504F" w:rsidP="0089504F">
      <w:pPr>
        <w:spacing w:after="240"/>
        <w:ind w:left="1080"/>
        <w:contextualSpacing/>
        <w:rPr>
          <w:rFonts w:ascii="Arial" w:eastAsia="Calibri" w:hAnsi="Arial" w:cs="Arial"/>
        </w:rPr>
      </w:pPr>
      <w:r w:rsidRPr="0089504F">
        <w:rPr>
          <w:rFonts w:ascii="Arial" w:eastAsia="Calibri" w:hAnsi="Arial" w:cs="Arial"/>
        </w:rPr>
        <w:t>DECA: 66 chapters; 5,616 students; 99 advisors</w:t>
      </w:r>
    </w:p>
    <w:p w14:paraId="729B826B" w14:textId="33220AA3" w:rsidR="0089504F" w:rsidRPr="0089504F" w:rsidRDefault="0089504F" w:rsidP="00904770">
      <w:pPr>
        <w:spacing w:after="240"/>
        <w:ind w:left="1530" w:hanging="450"/>
        <w:contextualSpacing/>
        <w:rPr>
          <w:rFonts w:ascii="Arial" w:eastAsia="Calibri" w:hAnsi="Arial" w:cs="Arial"/>
        </w:rPr>
      </w:pPr>
      <w:r w:rsidRPr="0089504F">
        <w:rPr>
          <w:rFonts w:ascii="Arial" w:eastAsia="Calibri" w:hAnsi="Arial" w:cs="Arial"/>
        </w:rPr>
        <w:t>Major Highlight: Fifty-eight of the seventy-five national finalists placed in the top ten.</w:t>
      </w:r>
    </w:p>
    <w:p w14:paraId="52E742EC" w14:textId="77777777" w:rsidR="0089504F" w:rsidRPr="0089504F" w:rsidRDefault="0089504F" w:rsidP="0089504F">
      <w:pPr>
        <w:spacing w:after="240"/>
        <w:ind w:left="1080"/>
        <w:contextualSpacing/>
        <w:rPr>
          <w:rFonts w:ascii="Arial" w:eastAsia="Calibri" w:hAnsi="Arial" w:cs="Arial"/>
          <w:highlight w:val="yellow"/>
        </w:rPr>
      </w:pPr>
    </w:p>
    <w:p w14:paraId="0CFF41E9" w14:textId="77777777" w:rsidR="0089504F" w:rsidRPr="0089504F" w:rsidRDefault="0089504F" w:rsidP="0089504F">
      <w:pPr>
        <w:spacing w:after="240"/>
        <w:ind w:left="1080"/>
        <w:contextualSpacing/>
        <w:rPr>
          <w:rFonts w:ascii="Arial" w:eastAsia="Calibri" w:hAnsi="Arial" w:cs="Arial"/>
        </w:rPr>
      </w:pPr>
      <w:r w:rsidRPr="0089504F">
        <w:rPr>
          <w:rFonts w:ascii="Arial" w:eastAsia="Calibri" w:hAnsi="Arial" w:cs="Arial"/>
        </w:rPr>
        <w:t>FBLA: 106 chapters; 9,599 students; 159 advisors</w:t>
      </w:r>
    </w:p>
    <w:p w14:paraId="379049E2" w14:textId="2FCA6FD5" w:rsidR="0089504F" w:rsidRPr="0089504F" w:rsidRDefault="0089504F" w:rsidP="0089504F">
      <w:pPr>
        <w:spacing w:after="240"/>
        <w:ind w:left="990" w:firstLine="90"/>
        <w:contextualSpacing/>
        <w:rPr>
          <w:rFonts w:ascii="Arial" w:eastAsia="Calibri" w:hAnsi="Arial" w:cs="Arial"/>
        </w:rPr>
      </w:pPr>
      <w:r w:rsidRPr="0089504F">
        <w:rPr>
          <w:rFonts w:ascii="Arial" w:eastAsia="Calibri" w:hAnsi="Arial" w:cs="Arial"/>
        </w:rPr>
        <w:t xml:space="preserve">Major Highlight: Steven Segawa served as the Western Region Vice </w:t>
      </w:r>
    </w:p>
    <w:p w14:paraId="356F2C75" w14:textId="77777777" w:rsidR="0089504F" w:rsidRPr="0089504F" w:rsidRDefault="0089504F" w:rsidP="0089504F">
      <w:pPr>
        <w:spacing w:after="240"/>
        <w:ind w:left="1080" w:firstLine="450"/>
        <w:contextualSpacing/>
        <w:rPr>
          <w:rFonts w:ascii="Arial" w:eastAsia="Calibri" w:hAnsi="Arial" w:cs="Arial"/>
        </w:rPr>
      </w:pPr>
      <w:r w:rsidRPr="0089504F">
        <w:rPr>
          <w:rFonts w:ascii="Arial" w:eastAsia="Calibri" w:hAnsi="Arial" w:cs="Arial"/>
        </w:rPr>
        <w:t>President.</w:t>
      </w:r>
    </w:p>
    <w:p w14:paraId="050957AE" w14:textId="77777777" w:rsidR="0089504F" w:rsidRPr="0089504F" w:rsidRDefault="0089504F" w:rsidP="0089504F">
      <w:pPr>
        <w:spacing w:after="240"/>
        <w:ind w:left="1080"/>
        <w:contextualSpacing/>
        <w:rPr>
          <w:rFonts w:ascii="Arial" w:eastAsia="Calibri" w:hAnsi="Arial" w:cs="Arial"/>
          <w:highlight w:val="yellow"/>
        </w:rPr>
      </w:pPr>
    </w:p>
    <w:p w14:paraId="52755326" w14:textId="77777777" w:rsidR="0089504F" w:rsidRPr="0089504F" w:rsidRDefault="0089504F" w:rsidP="0089504F">
      <w:pPr>
        <w:spacing w:after="240"/>
        <w:ind w:left="1080"/>
        <w:contextualSpacing/>
        <w:rPr>
          <w:rFonts w:ascii="Arial" w:eastAsia="Calibri" w:hAnsi="Arial" w:cs="Arial"/>
          <w:color w:val="000000"/>
        </w:rPr>
      </w:pPr>
      <w:r w:rsidRPr="0089504F">
        <w:rPr>
          <w:rFonts w:ascii="Arial" w:eastAsia="Calibri" w:hAnsi="Arial" w:cs="Arial"/>
        </w:rPr>
        <w:t xml:space="preserve">FCCLA: </w:t>
      </w:r>
      <w:r w:rsidRPr="0089504F">
        <w:rPr>
          <w:rFonts w:ascii="Arial" w:eastAsia="Calibri" w:hAnsi="Arial" w:cs="Arial"/>
          <w:color w:val="000000"/>
        </w:rPr>
        <w:t>91 chapters; 13,242 students; 140 advisors</w:t>
      </w:r>
    </w:p>
    <w:p w14:paraId="7A03C7B2" w14:textId="7B229BC6" w:rsidR="0089504F" w:rsidRPr="0089504F" w:rsidRDefault="0089504F" w:rsidP="0089504F">
      <w:pPr>
        <w:spacing w:after="240"/>
        <w:ind w:left="1080"/>
        <w:contextualSpacing/>
        <w:rPr>
          <w:rFonts w:ascii="Arial" w:eastAsia="Calibri" w:hAnsi="Arial" w:cs="Arial"/>
        </w:rPr>
      </w:pPr>
      <w:r w:rsidRPr="0089504F">
        <w:rPr>
          <w:rFonts w:ascii="Arial" w:eastAsia="Calibri" w:hAnsi="Arial" w:cs="Arial"/>
        </w:rPr>
        <w:t>Major Highlight: Participation numbers are at an all-time high.</w:t>
      </w:r>
    </w:p>
    <w:p w14:paraId="11D52401" w14:textId="77777777" w:rsidR="0089504F" w:rsidRPr="0089504F" w:rsidRDefault="0089504F" w:rsidP="0089504F">
      <w:pPr>
        <w:spacing w:after="240"/>
        <w:ind w:left="1080"/>
        <w:contextualSpacing/>
        <w:rPr>
          <w:rFonts w:ascii="Arial" w:eastAsia="Calibri" w:hAnsi="Arial" w:cs="Arial"/>
        </w:rPr>
      </w:pPr>
    </w:p>
    <w:p w14:paraId="6B04DCC6" w14:textId="45275ADA" w:rsidR="0089504F" w:rsidRPr="0089504F" w:rsidRDefault="0089504F" w:rsidP="0089504F">
      <w:pPr>
        <w:spacing w:after="240"/>
        <w:ind w:left="1080"/>
        <w:contextualSpacing/>
        <w:rPr>
          <w:rFonts w:ascii="Arial" w:eastAsia="Calibri" w:hAnsi="Arial" w:cs="Arial"/>
          <w:color w:val="000000"/>
        </w:rPr>
      </w:pPr>
      <w:r w:rsidRPr="0089504F">
        <w:rPr>
          <w:rFonts w:ascii="Arial" w:eastAsia="Calibri" w:hAnsi="Arial" w:cs="Arial"/>
        </w:rPr>
        <w:t xml:space="preserve">FFA: </w:t>
      </w:r>
      <w:r w:rsidRPr="0089504F">
        <w:rPr>
          <w:rFonts w:ascii="Arial" w:eastAsia="Calibri" w:hAnsi="Arial" w:cs="Arial"/>
          <w:color w:val="000000"/>
        </w:rPr>
        <w:t>356 chapters; 103,214 students; 1,016 advisors</w:t>
      </w:r>
    </w:p>
    <w:p w14:paraId="0E2F3AEF" w14:textId="7B74A693" w:rsidR="0089504F" w:rsidRPr="0089504F" w:rsidRDefault="0089504F" w:rsidP="00904770">
      <w:pPr>
        <w:spacing w:after="240"/>
        <w:ind w:left="1530" w:hanging="450"/>
        <w:contextualSpacing/>
        <w:rPr>
          <w:rFonts w:ascii="Arial" w:eastAsia="Calibri" w:hAnsi="Arial" w:cs="Arial"/>
        </w:rPr>
      </w:pPr>
      <w:r w:rsidRPr="0089504F">
        <w:rPr>
          <w:rFonts w:ascii="Arial" w:eastAsia="Calibri" w:hAnsi="Arial" w:cs="Arial"/>
        </w:rPr>
        <w:t>Major Highlight: California member was the National Winner in the Creed Speaking Leadership Development Event.</w:t>
      </w:r>
    </w:p>
    <w:p w14:paraId="12B857B7" w14:textId="77777777" w:rsidR="0089504F" w:rsidRPr="0089504F" w:rsidRDefault="0089504F" w:rsidP="0089504F">
      <w:pPr>
        <w:spacing w:after="240"/>
        <w:ind w:left="1080"/>
        <w:contextualSpacing/>
        <w:rPr>
          <w:rFonts w:ascii="Arial" w:eastAsia="Calibri" w:hAnsi="Arial" w:cs="Arial"/>
        </w:rPr>
      </w:pPr>
    </w:p>
    <w:p w14:paraId="75090739" w14:textId="38D306CA" w:rsidR="0089504F" w:rsidRPr="0089504F" w:rsidRDefault="0089504F" w:rsidP="0089504F">
      <w:pPr>
        <w:spacing w:after="240"/>
        <w:ind w:left="1080"/>
        <w:contextualSpacing/>
        <w:rPr>
          <w:rFonts w:ascii="Arial" w:eastAsia="Calibri" w:hAnsi="Arial" w:cs="Arial"/>
        </w:rPr>
      </w:pPr>
      <w:r w:rsidRPr="0089504F">
        <w:rPr>
          <w:rFonts w:ascii="Arial" w:eastAsia="Calibri" w:hAnsi="Arial" w:cs="Arial"/>
        </w:rPr>
        <w:t>HOSA: 200 chapters; 10,010 students; 1,001 teachers</w:t>
      </w:r>
    </w:p>
    <w:p w14:paraId="7666F9CF" w14:textId="77777777" w:rsidR="0089504F" w:rsidRPr="0089504F" w:rsidRDefault="0089504F" w:rsidP="0089504F">
      <w:pPr>
        <w:spacing w:after="240"/>
        <w:ind w:left="1080"/>
        <w:contextualSpacing/>
        <w:rPr>
          <w:rFonts w:ascii="Arial" w:eastAsia="Calibri" w:hAnsi="Arial" w:cs="Arial"/>
          <w:highlight w:val="yellow"/>
        </w:rPr>
      </w:pPr>
    </w:p>
    <w:p w14:paraId="678A6DD0" w14:textId="77777777" w:rsidR="0089504F" w:rsidRPr="0089504F" w:rsidRDefault="0089504F" w:rsidP="0089504F">
      <w:pPr>
        <w:spacing w:after="240"/>
        <w:ind w:left="1080"/>
        <w:contextualSpacing/>
        <w:rPr>
          <w:rFonts w:ascii="Arial" w:eastAsia="Calibri" w:hAnsi="Arial" w:cs="Arial"/>
        </w:rPr>
      </w:pPr>
      <w:r w:rsidRPr="0089504F">
        <w:rPr>
          <w:rFonts w:ascii="Arial" w:eastAsia="Calibri" w:hAnsi="Arial" w:cs="Arial"/>
        </w:rPr>
        <w:t>SkillsUSA: 285 chapters, 43,905 students; 1,155 teachers</w:t>
      </w:r>
    </w:p>
    <w:p w14:paraId="44A3A8E4" w14:textId="77777777" w:rsidR="0089504F" w:rsidRPr="0089504F" w:rsidRDefault="0089504F" w:rsidP="0089504F">
      <w:pPr>
        <w:pStyle w:val="ListParagraph"/>
        <w:numPr>
          <w:ilvl w:val="0"/>
          <w:numId w:val="19"/>
        </w:numPr>
        <w:spacing w:after="240"/>
        <w:ind w:left="720"/>
        <w:rPr>
          <w:rFonts w:ascii="Arial" w:eastAsia="Calibri" w:hAnsi="Arial" w:cs="Arial"/>
          <w:sz w:val="24"/>
          <w:szCs w:val="24"/>
        </w:rPr>
      </w:pPr>
      <w:r w:rsidRPr="0089504F">
        <w:rPr>
          <w:rFonts w:ascii="Arial" w:eastAsia="Calibri" w:hAnsi="Arial" w:cs="Arial"/>
          <w:sz w:val="24"/>
          <w:szCs w:val="24"/>
        </w:rPr>
        <w:t>CTE Teach (Colton Redlands Yucaipa Regional Occupations Center and Program): $500,000</w:t>
      </w:r>
    </w:p>
    <w:p w14:paraId="559314FC"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rPr>
        <w:t>Dates of Contract: July 1, 2022, to June 30, 2023</w:t>
      </w:r>
      <w:r w:rsidRPr="0089504F">
        <w:rPr>
          <w:rFonts w:ascii="Arial" w:eastAsia="Calibri" w:hAnsi="Arial" w:cs="Arial"/>
        </w:rPr>
        <w:br/>
        <w:t>Contract Monitor: Molly Anderson</w:t>
      </w:r>
    </w:p>
    <w:p w14:paraId="0698DF71" w14:textId="77777777" w:rsidR="0089504F" w:rsidRPr="0089504F" w:rsidRDefault="0089504F" w:rsidP="0089504F">
      <w:pPr>
        <w:spacing w:after="240"/>
        <w:ind w:left="360" w:firstLine="720"/>
        <w:rPr>
          <w:rFonts w:ascii="Arial" w:eastAsia="Calibri" w:hAnsi="Arial" w:cs="Arial"/>
        </w:rPr>
      </w:pPr>
      <w:r w:rsidRPr="0089504F">
        <w:rPr>
          <w:rFonts w:ascii="Arial" w:eastAsia="Calibri" w:hAnsi="Arial" w:cs="Arial"/>
        </w:rPr>
        <w:t>CTE Teach Outcomes for 2022–23:</w:t>
      </w:r>
    </w:p>
    <w:p w14:paraId="31C0A800" w14:textId="4C854B2B" w:rsidR="0089504F" w:rsidRPr="0089504F" w:rsidRDefault="0089504F" w:rsidP="0089504F">
      <w:pPr>
        <w:spacing w:after="240"/>
        <w:ind w:left="1080"/>
        <w:rPr>
          <w:rFonts w:ascii="Arial" w:eastAsia="Calibri" w:hAnsi="Arial" w:cs="Arial"/>
        </w:rPr>
      </w:pPr>
      <w:r w:rsidRPr="0089504F">
        <w:rPr>
          <w:rFonts w:ascii="Arial" w:eastAsia="Calibri" w:hAnsi="Arial" w:cs="Arial"/>
        </w:rPr>
        <w:t xml:space="preserve">The CTE TEACH </w:t>
      </w:r>
      <w:r w:rsidR="00904770">
        <w:rPr>
          <w:rFonts w:ascii="Arial" w:eastAsia="Calibri" w:hAnsi="Arial" w:cs="Arial"/>
        </w:rPr>
        <w:t>w</w:t>
      </w:r>
      <w:r w:rsidRPr="0089504F">
        <w:rPr>
          <w:rFonts w:ascii="Arial" w:eastAsia="Calibri" w:hAnsi="Arial" w:cs="Arial"/>
        </w:rPr>
        <w:t>ebsite (</w:t>
      </w:r>
      <w:hyperlink r:id="rId14" w:tooltip="CTE Teach" w:history="1">
        <w:r w:rsidR="00904770" w:rsidRPr="00904770">
          <w:rPr>
            <w:rStyle w:val="Hyperlink"/>
            <w:rFonts w:ascii="Arial" w:eastAsia="Calibri" w:hAnsi="Arial" w:cs="Arial"/>
          </w:rPr>
          <w:t>http://</w:t>
        </w:r>
        <w:r w:rsidRPr="00904770">
          <w:rPr>
            <w:rStyle w:val="Hyperlink"/>
            <w:rFonts w:ascii="Arial" w:eastAsia="Calibri" w:hAnsi="Arial" w:cs="Arial"/>
          </w:rPr>
          <w:t>www.cteteach.com</w:t>
        </w:r>
      </w:hyperlink>
      <w:r w:rsidRPr="0089504F">
        <w:rPr>
          <w:rFonts w:ascii="Arial" w:eastAsia="Calibri" w:hAnsi="Arial" w:cs="Arial"/>
        </w:rPr>
        <w:t>) is now the primary source for all program content, information, media</w:t>
      </w:r>
      <w:r w:rsidR="00904770">
        <w:rPr>
          <w:rFonts w:ascii="Arial" w:eastAsia="Calibri" w:hAnsi="Arial" w:cs="Arial"/>
        </w:rPr>
        <w:t>,</w:t>
      </w:r>
      <w:r w:rsidRPr="0089504F">
        <w:rPr>
          <w:rFonts w:ascii="Arial" w:eastAsia="Calibri" w:hAnsi="Arial" w:cs="Arial"/>
        </w:rPr>
        <w:t xml:space="preserve"> and upcoming webinar/events. Over 400 CTE Teach modules were completed with the majority being “Early Orientation” and “Mentor” modules across twelve credentialing agencies and districts. All module content was updated to ensure alignment with educational trends. A new “CTE Admin 101” </w:t>
      </w:r>
      <w:r w:rsidRPr="0089504F">
        <w:rPr>
          <w:rFonts w:ascii="Arial" w:eastAsia="Calibri" w:hAnsi="Arial" w:cs="Arial"/>
        </w:rPr>
        <w:lastRenderedPageBreak/>
        <w:t>Module was created. Over 57 CTE mentors and 17 CTE industry specific mentors were provided to the field. CTE Teach grew networking structures by utilizing networks such as CTE credentialing consortium, K</w:t>
      </w:r>
      <w:r w:rsidR="00904770" w:rsidRPr="0089504F">
        <w:rPr>
          <w:rFonts w:ascii="Arial" w:hAnsi="Arial" w:cs="Arial"/>
        </w:rPr>
        <w:t>–</w:t>
      </w:r>
      <w:r w:rsidRPr="0089504F">
        <w:rPr>
          <w:rFonts w:ascii="Arial" w:eastAsia="Calibri" w:hAnsi="Arial" w:cs="Arial"/>
        </w:rPr>
        <w:t>12 pathway coordinators</w:t>
      </w:r>
      <w:r w:rsidR="00904770">
        <w:rPr>
          <w:rFonts w:ascii="Arial" w:eastAsia="Calibri" w:hAnsi="Arial" w:cs="Arial"/>
        </w:rPr>
        <w:t>, county offices of education,</w:t>
      </w:r>
      <w:r w:rsidRPr="0089504F">
        <w:rPr>
          <w:rFonts w:ascii="Arial" w:eastAsia="Calibri" w:hAnsi="Arial" w:cs="Arial"/>
        </w:rPr>
        <w:t xml:space="preserve"> and partner districts to recruit for and share information about CTE TEACH. Continued outreach to potential </w:t>
      </w:r>
      <w:r w:rsidR="00904770">
        <w:rPr>
          <w:rFonts w:ascii="Arial" w:eastAsia="Calibri" w:hAnsi="Arial" w:cs="Arial"/>
        </w:rPr>
        <w:t>local educational agencies (</w:t>
      </w:r>
      <w:r w:rsidRPr="0089504F">
        <w:rPr>
          <w:rFonts w:ascii="Arial" w:eastAsia="Calibri" w:hAnsi="Arial" w:cs="Arial"/>
        </w:rPr>
        <w:t>LEAs</w:t>
      </w:r>
      <w:r w:rsidR="00904770">
        <w:rPr>
          <w:rFonts w:ascii="Arial" w:eastAsia="Calibri" w:hAnsi="Arial" w:cs="Arial"/>
        </w:rPr>
        <w:t>)</w:t>
      </w:r>
      <w:r w:rsidRPr="0089504F">
        <w:rPr>
          <w:rFonts w:ascii="Arial" w:eastAsia="Calibri" w:hAnsi="Arial" w:cs="Arial"/>
        </w:rPr>
        <w:t xml:space="preserve"> to maximize spending of available funding and presented workshops at CTE local and national conferences.</w:t>
      </w:r>
    </w:p>
    <w:p w14:paraId="46F9D972" w14:textId="77777777" w:rsidR="0089504F" w:rsidRPr="0089504F" w:rsidRDefault="0089504F" w:rsidP="0089504F">
      <w:pPr>
        <w:pStyle w:val="ListParagraph"/>
        <w:numPr>
          <w:ilvl w:val="0"/>
          <w:numId w:val="19"/>
        </w:numPr>
        <w:spacing w:after="240"/>
        <w:ind w:left="720"/>
        <w:rPr>
          <w:rFonts w:ascii="Arial" w:eastAsia="Calibri" w:hAnsi="Arial" w:cs="Arial"/>
          <w:bCs/>
          <w:sz w:val="24"/>
          <w:szCs w:val="24"/>
        </w:rPr>
      </w:pPr>
      <w:r w:rsidRPr="0089504F">
        <w:rPr>
          <w:rFonts w:ascii="Arial" w:eastAsia="Calibri" w:hAnsi="Arial" w:cs="Arial"/>
          <w:bCs/>
          <w:sz w:val="24"/>
          <w:szCs w:val="24"/>
        </w:rPr>
        <w:t>Virtual Counselor (San Joaquin County Office of Education)</w:t>
      </w:r>
      <w:r w:rsidRPr="0089504F">
        <w:rPr>
          <w:rFonts w:ascii="Arial" w:eastAsia="Calibri" w:hAnsi="Arial" w:cs="Arial"/>
          <w:sz w:val="24"/>
          <w:szCs w:val="24"/>
        </w:rPr>
        <w:t xml:space="preserve">: </w:t>
      </w:r>
      <w:r w:rsidRPr="0089504F">
        <w:rPr>
          <w:rFonts w:ascii="Arial" w:eastAsia="Calibri" w:hAnsi="Arial" w:cs="Arial"/>
          <w:bCs/>
          <w:sz w:val="24"/>
          <w:szCs w:val="24"/>
        </w:rPr>
        <w:t>$250,000</w:t>
      </w:r>
    </w:p>
    <w:p w14:paraId="7A17D542"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bCs/>
        </w:rPr>
        <w:t xml:space="preserve">Dates of Contract: </w:t>
      </w:r>
      <w:r w:rsidRPr="0089504F">
        <w:rPr>
          <w:rFonts w:ascii="Arial" w:eastAsia="Calibri" w:hAnsi="Arial" w:cs="Arial"/>
        </w:rPr>
        <w:t>July 1, 2022, to June 30, 2023</w:t>
      </w:r>
      <w:r w:rsidRPr="0089504F">
        <w:rPr>
          <w:rFonts w:ascii="Arial" w:eastAsia="Calibri" w:hAnsi="Arial" w:cs="Arial"/>
        </w:rPr>
        <w:br/>
        <w:t>Contract monitor: John Merris-Coots</w:t>
      </w:r>
    </w:p>
    <w:p w14:paraId="7F5D45ED" w14:textId="77777777" w:rsidR="0089504F" w:rsidRPr="0089504F" w:rsidRDefault="0089504F" w:rsidP="0089504F">
      <w:pPr>
        <w:spacing w:after="240"/>
        <w:ind w:left="1080"/>
        <w:rPr>
          <w:rFonts w:ascii="Arial" w:hAnsi="Arial" w:cs="Arial"/>
        </w:rPr>
      </w:pPr>
      <w:r w:rsidRPr="0089504F">
        <w:rPr>
          <w:rFonts w:ascii="Arial" w:hAnsi="Arial" w:cs="Arial"/>
        </w:rPr>
        <w:t xml:space="preserve">Virtual Counselor Outcomes for 2022–23: </w:t>
      </w:r>
    </w:p>
    <w:p w14:paraId="3850862A" w14:textId="77777777" w:rsidR="0089504F" w:rsidRPr="0089504F" w:rsidRDefault="0089504F" w:rsidP="0089504F">
      <w:pPr>
        <w:spacing w:after="240"/>
        <w:ind w:left="1080"/>
        <w:rPr>
          <w:rFonts w:ascii="Arial" w:eastAsia="Calibri" w:hAnsi="Arial" w:cs="Arial"/>
        </w:rPr>
      </w:pPr>
      <w:r w:rsidRPr="0089504F">
        <w:rPr>
          <w:rFonts w:ascii="Arial" w:hAnsi="Arial" w:cs="Arial"/>
        </w:rPr>
        <w:t>This program produces a highly successful set of resources that provide California students with guidance on career planning and a toolkit to help students prepare professional resumes, cover letters, and other career-related documents. During the 2022–23 fiscal year, the Virtual Counselor: California Career Center website was completely redesigned and modernized. This program, working in concert with other tools made possible through the California Career Resource Network, offers students a vast array of career research tools including occupation profiles and questionnaires to help them identify career interests. The Virtual Counselor: California Career Center and associated career research tools have doubled in user growth, ending the fiscal year with over 1.8 million active users.</w:t>
      </w:r>
    </w:p>
    <w:p w14:paraId="0437D6D9" w14:textId="77777777" w:rsidR="0089504F" w:rsidRPr="0089504F" w:rsidRDefault="0089504F" w:rsidP="0089504F">
      <w:pPr>
        <w:pStyle w:val="ListParagraph"/>
        <w:numPr>
          <w:ilvl w:val="0"/>
          <w:numId w:val="19"/>
        </w:numPr>
        <w:spacing w:after="240"/>
        <w:ind w:left="720"/>
        <w:rPr>
          <w:rFonts w:ascii="Arial" w:eastAsia="Calibri" w:hAnsi="Arial" w:cs="Arial"/>
          <w:sz w:val="24"/>
          <w:szCs w:val="24"/>
        </w:rPr>
      </w:pPr>
      <w:r w:rsidRPr="0089504F">
        <w:rPr>
          <w:rFonts w:ascii="Arial" w:eastAsia="Calibri" w:hAnsi="Arial" w:cs="Arial"/>
          <w:sz w:val="24"/>
          <w:szCs w:val="24"/>
        </w:rPr>
        <w:t xml:space="preserve">Arts, Media, and Entertainment (AME) Professional Development (The School of Arts and Enterprise - Creative Careers Leadership Lab [CCLL]): $150,000 </w:t>
      </w:r>
    </w:p>
    <w:p w14:paraId="6D39F149" w14:textId="77777777" w:rsidR="0089504F" w:rsidRPr="0089504F" w:rsidRDefault="0089504F" w:rsidP="0089504F">
      <w:pPr>
        <w:spacing w:after="240"/>
        <w:ind w:left="1080"/>
        <w:contextualSpacing/>
        <w:rPr>
          <w:rFonts w:ascii="Arial" w:eastAsia="Calibri" w:hAnsi="Arial" w:cs="Arial"/>
        </w:rPr>
      </w:pPr>
      <w:r w:rsidRPr="0089504F">
        <w:rPr>
          <w:rFonts w:ascii="Arial" w:eastAsia="Calibri" w:hAnsi="Arial" w:cs="Arial"/>
        </w:rPr>
        <w:t>Dates of Contract: July 1, 2022, to June 30, 2023</w:t>
      </w:r>
    </w:p>
    <w:p w14:paraId="62EA6F09"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rPr>
        <w:t>Contract Monitor: Allison Frenzel</w:t>
      </w:r>
    </w:p>
    <w:p w14:paraId="56B28D4D"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rPr>
        <w:t>AME Professional Development Outcomes for 2022–23:</w:t>
      </w:r>
    </w:p>
    <w:p w14:paraId="1AE3A56E" w14:textId="3BC5976F" w:rsidR="0089504F" w:rsidRPr="0089504F" w:rsidRDefault="0089504F" w:rsidP="0089504F">
      <w:pPr>
        <w:spacing w:after="240"/>
        <w:ind w:left="1080"/>
        <w:rPr>
          <w:rFonts w:ascii="Arial" w:eastAsia="Calibri" w:hAnsi="Arial" w:cs="Arial"/>
        </w:rPr>
      </w:pPr>
      <w:r w:rsidRPr="0089504F">
        <w:rPr>
          <w:rFonts w:ascii="Arial" w:eastAsia="Calibri" w:hAnsi="Arial" w:cs="Arial"/>
        </w:rPr>
        <w:t>This funding supports the initiation of a student leadership organization, Creative Careers Leadership Lab, to support career technical student activities for California AME. Outcomes include the development of a CTE leadership curriculum, 75 student industry challenges, a student showcase, and a statewide career-readiness summit.  The Creative Careers Leadership Lab was established to support the largest CTE industry sector in the state, serving 260,000 students participating in AME courses. Twelve AME pathway programs and over 915 students participated in activities in 2022–23.</w:t>
      </w:r>
    </w:p>
    <w:p w14:paraId="2A4E3A5D" w14:textId="77777777" w:rsidR="0089504F" w:rsidRPr="0089504F" w:rsidRDefault="0089504F" w:rsidP="0089504F">
      <w:pPr>
        <w:pStyle w:val="ListParagraph"/>
        <w:numPr>
          <w:ilvl w:val="0"/>
          <w:numId w:val="19"/>
        </w:numPr>
        <w:spacing w:after="240"/>
        <w:ind w:left="720"/>
        <w:rPr>
          <w:rFonts w:ascii="Arial" w:eastAsia="Calibri" w:hAnsi="Arial" w:cs="Arial"/>
          <w:sz w:val="24"/>
          <w:szCs w:val="24"/>
        </w:rPr>
      </w:pPr>
      <w:r w:rsidRPr="0089504F">
        <w:rPr>
          <w:rFonts w:ascii="Arial" w:eastAsia="Calibri" w:hAnsi="Arial" w:cs="Arial"/>
          <w:sz w:val="24"/>
          <w:szCs w:val="24"/>
        </w:rPr>
        <w:t>Middle School Grants (76 school sites across the state): $1,050,000</w:t>
      </w:r>
    </w:p>
    <w:p w14:paraId="1621CD9E"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rPr>
        <w:lastRenderedPageBreak/>
        <w:t>Dates of Grants: July 1, 2022, to June 30, 2023</w:t>
      </w:r>
      <w:r w:rsidRPr="0089504F">
        <w:rPr>
          <w:rFonts w:ascii="Arial" w:eastAsia="Calibri" w:hAnsi="Arial" w:cs="Arial"/>
        </w:rPr>
        <w:br/>
        <w:t>Grant Consultant: Teri Alves</w:t>
      </w:r>
    </w:p>
    <w:p w14:paraId="29D9D2FC" w14:textId="77777777" w:rsidR="0089504F" w:rsidRPr="0089504F" w:rsidRDefault="0089504F" w:rsidP="0089504F">
      <w:pPr>
        <w:spacing w:after="240"/>
        <w:ind w:left="1080"/>
        <w:rPr>
          <w:rFonts w:ascii="Arial" w:eastAsia="Calibri" w:hAnsi="Arial" w:cs="Arial"/>
        </w:rPr>
      </w:pPr>
      <w:r w:rsidRPr="0089504F">
        <w:rPr>
          <w:rFonts w:ascii="Arial" w:eastAsia="Calibri" w:hAnsi="Arial" w:cs="Arial"/>
        </w:rPr>
        <w:t xml:space="preserve">Middle School Grant Outcomes for 2022–23: </w:t>
      </w:r>
    </w:p>
    <w:p w14:paraId="247FC3F2" w14:textId="77777777" w:rsidR="0089504F" w:rsidRPr="0089504F" w:rsidRDefault="0089504F" w:rsidP="0089504F">
      <w:pPr>
        <w:pStyle w:val="ListParagraph"/>
        <w:spacing w:after="240"/>
        <w:ind w:left="1080"/>
        <w:rPr>
          <w:rFonts w:ascii="Arial" w:eastAsia="Calibri" w:hAnsi="Arial" w:cs="Arial"/>
          <w:sz w:val="24"/>
          <w:szCs w:val="24"/>
        </w:rPr>
      </w:pPr>
      <w:r w:rsidRPr="0089504F">
        <w:rPr>
          <w:rFonts w:ascii="Arial" w:eastAsia="Calibri" w:hAnsi="Arial" w:cs="Arial"/>
          <w:sz w:val="24"/>
          <w:szCs w:val="24"/>
        </w:rPr>
        <w:t>There are approximately 76 Middle School Foundation Academies (MSFA) programs across the state. These programs begin in grade six or seven, depending on the middle school model, with a focus on career exploration. In grades seven and eight, students transition to sector-specific courses followed by pathway-specific courses aligned with high-quality sector pathways at their partner high schools. MSFA programs are also vertically aligned with feeder elementary schools, where fifth and sixth-grade students engage in career readiness and exploration lessons using CalCRN resources. These academies provide middle school students with the foundation to make informed decisions about their high school and career pathways. Most of the participating schools have added additional MSFA programs at their schools.</w:t>
      </w:r>
    </w:p>
    <w:p w14:paraId="548CEFCF" w14:textId="77777777" w:rsidR="0089504F" w:rsidRPr="0089504F" w:rsidRDefault="0089504F" w:rsidP="0089504F">
      <w:pPr>
        <w:pStyle w:val="ListParagraph"/>
        <w:numPr>
          <w:ilvl w:val="0"/>
          <w:numId w:val="19"/>
        </w:numPr>
        <w:spacing w:after="240"/>
        <w:ind w:left="720"/>
        <w:contextualSpacing/>
        <w:rPr>
          <w:rFonts w:ascii="Arial" w:eastAsia="Calibri" w:hAnsi="Arial" w:cs="Arial"/>
          <w:sz w:val="24"/>
          <w:szCs w:val="24"/>
        </w:rPr>
      </w:pPr>
      <w:r w:rsidRPr="0089504F">
        <w:rPr>
          <w:rFonts w:ascii="Arial" w:eastAsia="Calibri" w:hAnsi="Arial" w:cs="Arial"/>
          <w:sz w:val="24"/>
          <w:szCs w:val="24"/>
        </w:rPr>
        <w:t>AME Workforce Training Programs (27 LEAs linked to the International Alliance of Theatrical Stage Employees [IATSE] Union): $924,000</w:t>
      </w:r>
    </w:p>
    <w:p w14:paraId="3DD8AA52" w14:textId="77777777" w:rsidR="0089504F" w:rsidRPr="0089504F" w:rsidRDefault="0089504F" w:rsidP="0089504F">
      <w:pPr>
        <w:spacing w:after="240"/>
        <w:ind w:left="994"/>
        <w:rPr>
          <w:rFonts w:ascii="Arial" w:eastAsia="Calibri" w:hAnsi="Arial" w:cs="Arial"/>
        </w:rPr>
      </w:pPr>
      <w:r w:rsidRPr="0089504F">
        <w:rPr>
          <w:rFonts w:ascii="Arial" w:eastAsia="Calibri" w:hAnsi="Arial" w:cs="Arial"/>
        </w:rPr>
        <w:t>Dates of Grants: July 1, 2022, to June 30, 2023</w:t>
      </w:r>
      <w:r w:rsidRPr="0089504F">
        <w:rPr>
          <w:rFonts w:ascii="Arial" w:eastAsia="Calibri" w:hAnsi="Arial" w:cs="Arial"/>
        </w:rPr>
        <w:br/>
        <w:t>Grant Consultant: Allison Frenzel</w:t>
      </w:r>
    </w:p>
    <w:p w14:paraId="3C0AE8A0" w14:textId="77777777" w:rsidR="0089504F" w:rsidRPr="0089504F" w:rsidRDefault="0089504F" w:rsidP="0089504F">
      <w:pPr>
        <w:spacing w:after="240"/>
        <w:ind w:left="990"/>
        <w:rPr>
          <w:rFonts w:ascii="Arial" w:eastAsia="Calibri" w:hAnsi="Arial" w:cs="Arial"/>
        </w:rPr>
      </w:pPr>
      <w:r w:rsidRPr="0089504F">
        <w:rPr>
          <w:rFonts w:ascii="Arial" w:eastAsia="Calibri" w:hAnsi="Arial" w:cs="Arial"/>
        </w:rPr>
        <w:t>AME Workforce Training Program Outcomes for 2022–23:</w:t>
      </w:r>
    </w:p>
    <w:p w14:paraId="098B1DFE" w14:textId="77777777" w:rsidR="0089504F" w:rsidRPr="0089504F" w:rsidRDefault="0089504F" w:rsidP="0089504F">
      <w:pPr>
        <w:spacing w:after="240"/>
        <w:ind w:left="990"/>
        <w:rPr>
          <w:rFonts w:ascii="Arial" w:eastAsia="Calibri" w:hAnsi="Arial" w:cs="Arial"/>
        </w:rPr>
      </w:pPr>
      <w:r w:rsidRPr="0089504F">
        <w:rPr>
          <w:rFonts w:ascii="Arial" w:eastAsia="Calibri" w:hAnsi="Arial" w:cs="Arial"/>
        </w:rPr>
        <w:t>The CDE provides funding to twenty-seven AME Workforce Training AME CTE programs serving approximately 30 pathways and 4,000 students across the state. Each site is required to develop pre-apprenticeship, youth apprenticeship, and union-connected pathway programs, develop model course outlines for CDE, and create articulation agreements or MOUs with registered apprenticeship and union training programs. The goal of the program is to establish a network of registered pre-apprenticeship programs that can provide technical assistance to schools in their regions.</w:t>
      </w:r>
    </w:p>
    <w:p w14:paraId="390A40E9" w14:textId="77777777" w:rsidR="0089504F" w:rsidRPr="0089504F" w:rsidRDefault="0089504F" w:rsidP="0089504F">
      <w:pPr>
        <w:spacing w:after="240"/>
        <w:ind w:left="990"/>
        <w:rPr>
          <w:rFonts w:ascii="Arial" w:eastAsia="Calibri" w:hAnsi="Arial" w:cs="Arial"/>
        </w:rPr>
      </w:pPr>
      <w:r w:rsidRPr="0089504F">
        <w:rPr>
          <w:rFonts w:ascii="Arial" w:eastAsia="Calibri" w:hAnsi="Arial" w:cs="Arial"/>
        </w:rPr>
        <w:t xml:space="preserve">The programs are required to submit model course </w:t>
      </w:r>
    </w:p>
    <w:p w14:paraId="596907DB" w14:textId="77777777" w:rsidR="0089504F" w:rsidRPr="0089504F" w:rsidRDefault="0089504F" w:rsidP="0089504F">
      <w:pPr>
        <w:pStyle w:val="ListParagraph"/>
        <w:numPr>
          <w:ilvl w:val="0"/>
          <w:numId w:val="19"/>
        </w:numPr>
        <w:spacing w:after="240"/>
        <w:ind w:left="720"/>
        <w:rPr>
          <w:rFonts w:ascii="Arial" w:eastAsia="Calibri" w:hAnsi="Arial" w:cs="Arial"/>
          <w:sz w:val="24"/>
          <w:szCs w:val="24"/>
        </w:rPr>
      </w:pPr>
      <w:r w:rsidRPr="0089504F">
        <w:rPr>
          <w:rFonts w:ascii="Arial" w:eastAsia="Calibri" w:hAnsi="Arial" w:cs="Arial"/>
          <w:sz w:val="24"/>
          <w:szCs w:val="24"/>
        </w:rPr>
        <w:t>AME Demonstration (Demo) Sites (9 LEAs across the state): $109,998</w:t>
      </w:r>
    </w:p>
    <w:p w14:paraId="2D5F34E7" w14:textId="77777777" w:rsidR="0089504F" w:rsidRPr="0089504F" w:rsidRDefault="0089504F" w:rsidP="0089504F">
      <w:pPr>
        <w:spacing w:after="240"/>
        <w:ind w:left="990"/>
        <w:rPr>
          <w:rFonts w:ascii="Arial" w:eastAsia="Calibri" w:hAnsi="Arial" w:cs="Arial"/>
        </w:rPr>
      </w:pPr>
      <w:r w:rsidRPr="0089504F">
        <w:rPr>
          <w:rFonts w:ascii="Arial" w:eastAsia="Calibri" w:hAnsi="Arial" w:cs="Arial"/>
        </w:rPr>
        <w:t>Dates of Grants:</w:t>
      </w:r>
      <w:r w:rsidRPr="0089504F">
        <w:rPr>
          <w:rFonts w:ascii="Arial" w:eastAsia="Calibri" w:hAnsi="Arial" w:cs="Arial"/>
          <w:bCs/>
        </w:rPr>
        <w:t xml:space="preserve"> </w:t>
      </w:r>
      <w:r w:rsidRPr="0089504F">
        <w:rPr>
          <w:rFonts w:ascii="Arial" w:eastAsia="Calibri" w:hAnsi="Arial" w:cs="Arial"/>
        </w:rPr>
        <w:t>July 1, 2022, to June 30, 2023</w:t>
      </w:r>
      <w:r w:rsidRPr="0089504F">
        <w:rPr>
          <w:rFonts w:ascii="Arial" w:eastAsia="Calibri" w:hAnsi="Arial" w:cs="Arial"/>
        </w:rPr>
        <w:br/>
        <w:t>Grant Consultant: Allison Frenzel</w:t>
      </w:r>
    </w:p>
    <w:p w14:paraId="387D3B50" w14:textId="77777777" w:rsidR="0089504F" w:rsidRPr="0089504F" w:rsidRDefault="0089504F" w:rsidP="0089504F">
      <w:pPr>
        <w:spacing w:after="240"/>
        <w:ind w:left="990"/>
        <w:rPr>
          <w:rFonts w:ascii="Arial" w:eastAsia="Calibri" w:hAnsi="Arial" w:cs="Arial"/>
        </w:rPr>
      </w:pPr>
      <w:r w:rsidRPr="0089504F">
        <w:rPr>
          <w:rFonts w:ascii="Arial" w:eastAsia="Calibri" w:hAnsi="Arial" w:cs="Arial"/>
        </w:rPr>
        <w:t xml:space="preserve">AME Demo Site Grant Outcomes for 2022–23: </w:t>
      </w:r>
    </w:p>
    <w:p w14:paraId="37594B26" w14:textId="77777777" w:rsidR="0089504F" w:rsidRPr="0089504F" w:rsidRDefault="0089504F" w:rsidP="0089504F">
      <w:pPr>
        <w:spacing w:after="240"/>
        <w:ind w:left="990"/>
        <w:rPr>
          <w:rFonts w:ascii="Arial" w:eastAsia="Calibri" w:hAnsi="Arial" w:cs="Arial"/>
        </w:rPr>
      </w:pPr>
      <w:proofErr w:type="gramStart"/>
      <w:r w:rsidRPr="0089504F">
        <w:rPr>
          <w:rFonts w:ascii="Arial" w:eastAsia="Calibri" w:hAnsi="Arial" w:cs="Arial"/>
        </w:rPr>
        <w:t>All of</w:t>
      </w:r>
      <w:proofErr w:type="gramEnd"/>
      <w:r w:rsidRPr="0089504F">
        <w:rPr>
          <w:rFonts w:ascii="Arial" w:eastAsia="Calibri" w:hAnsi="Arial" w:cs="Arial"/>
        </w:rPr>
        <w:t xml:space="preserve"> the AME Demo Sites provided their demo day through a virtual platform. Each of the Demo Sites provided technical support and presentations based on their chosen AME pathway. Given the COVID-19 pandemic and moving to distance learning platforms, they all had very </w:t>
      </w:r>
      <w:r w:rsidRPr="0089504F">
        <w:rPr>
          <w:rFonts w:ascii="Arial" w:eastAsia="Calibri" w:hAnsi="Arial" w:cs="Arial"/>
        </w:rPr>
        <w:lastRenderedPageBreak/>
        <w:t>strong attendance through the virtual platform; in other years, the demo days were in-person, which made it difficult for participants to attend from other parts of the state.</w:t>
      </w:r>
    </w:p>
    <w:p w14:paraId="676B75EC" w14:textId="77777777" w:rsidR="008114FD" w:rsidRDefault="008114FD" w:rsidP="008114FD">
      <w:pPr>
        <w:pStyle w:val="ListParagraph"/>
        <w:numPr>
          <w:ilvl w:val="0"/>
          <w:numId w:val="19"/>
        </w:numPr>
        <w:ind w:left="810"/>
        <w:rPr>
          <w:rFonts w:ascii="Arial" w:hAnsi="Arial" w:cs="Arial"/>
          <w:sz w:val="24"/>
          <w:szCs w:val="24"/>
        </w:rPr>
      </w:pPr>
      <w:r w:rsidRPr="008114FD">
        <w:rPr>
          <w:rFonts w:ascii="Arial" w:hAnsi="Arial" w:cs="Arial"/>
          <w:sz w:val="24"/>
          <w:szCs w:val="24"/>
        </w:rPr>
        <w:t>The Project Based Leadership Academy (PBLLA): $175,000</w:t>
      </w:r>
    </w:p>
    <w:p w14:paraId="75847A56" w14:textId="77777777" w:rsidR="008114FD" w:rsidRPr="008114FD" w:rsidRDefault="008114FD" w:rsidP="008114FD">
      <w:pPr>
        <w:pStyle w:val="ListParagraph"/>
        <w:ind w:left="810"/>
        <w:rPr>
          <w:rFonts w:ascii="Arial" w:hAnsi="Arial" w:cs="Arial"/>
          <w:sz w:val="24"/>
          <w:szCs w:val="24"/>
        </w:rPr>
      </w:pPr>
    </w:p>
    <w:p w14:paraId="0521EE98" w14:textId="77777777" w:rsidR="0089504F" w:rsidRPr="0089504F" w:rsidRDefault="0089504F" w:rsidP="0089504F">
      <w:pPr>
        <w:ind w:left="1080"/>
        <w:rPr>
          <w:rFonts w:ascii="Arial" w:hAnsi="Arial" w:cs="Arial"/>
          <w:color w:val="000000" w:themeColor="text1"/>
        </w:rPr>
      </w:pPr>
      <w:r w:rsidRPr="0089504F">
        <w:rPr>
          <w:rFonts w:ascii="Arial" w:hAnsi="Arial" w:cs="Arial"/>
          <w:color w:val="000000" w:themeColor="text1"/>
        </w:rPr>
        <w:t>Dates of Contract: July 1, 2022, to June 30, 2023</w:t>
      </w:r>
    </w:p>
    <w:p w14:paraId="01CAFF62" w14:textId="77777777" w:rsidR="0089504F" w:rsidRPr="0089504F" w:rsidRDefault="0089504F" w:rsidP="0089504F">
      <w:pPr>
        <w:ind w:left="1080"/>
        <w:rPr>
          <w:rFonts w:ascii="Arial" w:hAnsi="Arial" w:cs="Arial"/>
          <w:color w:val="000000" w:themeColor="text1"/>
        </w:rPr>
      </w:pPr>
      <w:r w:rsidRPr="0089504F">
        <w:rPr>
          <w:rFonts w:ascii="Arial" w:hAnsi="Arial" w:cs="Arial"/>
          <w:color w:val="000000" w:themeColor="text1"/>
        </w:rPr>
        <w:t>Contract Monitor: Teri Alves</w:t>
      </w:r>
    </w:p>
    <w:p w14:paraId="63B414FC" w14:textId="77777777" w:rsidR="0089504F" w:rsidRPr="0089504F" w:rsidRDefault="0089504F" w:rsidP="0089504F">
      <w:pPr>
        <w:rPr>
          <w:rFonts w:ascii="Arial" w:hAnsi="Arial" w:cs="Arial"/>
          <w:color w:val="000000" w:themeColor="text1"/>
        </w:rPr>
      </w:pPr>
    </w:p>
    <w:p w14:paraId="0E960535" w14:textId="77777777" w:rsidR="0089504F" w:rsidRPr="0089504F" w:rsidRDefault="0089504F" w:rsidP="0089504F">
      <w:pPr>
        <w:ind w:left="1080"/>
        <w:rPr>
          <w:rFonts w:ascii="Arial" w:hAnsi="Arial" w:cs="Arial"/>
          <w:color w:val="000000" w:themeColor="text1"/>
        </w:rPr>
      </w:pPr>
      <w:r w:rsidRPr="0089504F">
        <w:rPr>
          <w:rFonts w:ascii="Arial" w:hAnsi="Arial" w:cs="Arial"/>
          <w:color w:val="000000" w:themeColor="text1"/>
        </w:rPr>
        <w:t>High Tech High PBLLA Outcomes for 2022–23:</w:t>
      </w:r>
    </w:p>
    <w:p w14:paraId="2C527DD3" w14:textId="213C27AC" w:rsidR="0089504F" w:rsidRPr="0089504F" w:rsidRDefault="0089504F" w:rsidP="0089504F">
      <w:pPr>
        <w:rPr>
          <w:rFonts w:ascii="Arial" w:hAnsi="Arial" w:cs="Arial"/>
          <w:color w:val="000000" w:themeColor="text1"/>
        </w:rPr>
      </w:pPr>
    </w:p>
    <w:p w14:paraId="73B1CAA3" w14:textId="64A218A3" w:rsidR="0089504F" w:rsidRPr="0089504F" w:rsidRDefault="0089504F" w:rsidP="0089504F">
      <w:pPr>
        <w:ind w:left="1080"/>
        <w:rPr>
          <w:rFonts w:ascii="Arial" w:hAnsi="Arial" w:cs="Arial"/>
          <w:color w:val="000000" w:themeColor="text1"/>
        </w:rPr>
      </w:pPr>
      <w:r w:rsidRPr="0089504F">
        <w:rPr>
          <w:rFonts w:ascii="Arial" w:hAnsi="Arial" w:cs="Arial"/>
          <w:color w:val="000000" w:themeColor="text1"/>
        </w:rPr>
        <w:t>The PBL Leadership Academy (PBLLA) is a year-long hybrid professional learning community with an acute focus on equity, innovation, and continuous improvement for educators who serve students enrolled in CTE or who are identified as members of Perkins special populations. The PBLLA prepared educators to use the pedagogical design, facilitation, and leadership skills necessary to achieve equitable outcomes and high degrees of student-engagement. The PBLLA supported school-site or district-based teams, including traditional academic educators, CTE educators, career and academic counselors, work-based learning coordinators, school and district administrators, professional development coordinators, department leaders, and similar relevant educational staff. PBLLA participants received training in using the best evidence-based practices of project-based learning to integrate academic learning with CTE, foster sustainable community and work-based learning partnerships, and use equity-focused methods for curriculum design and assessment.</w:t>
      </w:r>
    </w:p>
    <w:p w14:paraId="06B7B7E5" w14:textId="77777777" w:rsidR="0089504F" w:rsidRPr="0089504F" w:rsidRDefault="0089504F" w:rsidP="0089504F">
      <w:pPr>
        <w:rPr>
          <w:rFonts w:ascii="Arial" w:hAnsi="Arial" w:cs="Arial"/>
          <w:color w:val="000000" w:themeColor="text1"/>
        </w:rPr>
      </w:pPr>
    </w:p>
    <w:p w14:paraId="5116763A" w14:textId="77777777" w:rsidR="0089504F" w:rsidRPr="0089504F" w:rsidRDefault="0089504F" w:rsidP="0089504F">
      <w:pPr>
        <w:ind w:left="990"/>
        <w:rPr>
          <w:rFonts w:ascii="Arial" w:hAnsi="Arial" w:cs="Arial"/>
          <w:color w:val="000000" w:themeColor="text1"/>
        </w:rPr>
      </w:pPr>
      <w:r w:rsidRPr="0089504F">
        <w:rPr>
          <w:rFonts w:ascii="Arial" w:hAnsi="Arial" w:cs="Arial"/>
          <w:color w:val="000000" w:themeColor="text1"/>
        </w:rPr>
        <w:t>The 2022–23 PBLLA had an educator cohort of 101 educators, 21 schools, 15 districts.</w:t>
      </w:r>
    </w:p>
    <w:p w14:paraId="58476C84" w14:textId="65BCE018" w:rsidR="00124F74" w:rsidRPr="0089504F" w:rsidRDefault="00124F74" w:rsidP="00124F74">
      <w:pPr>
        <w:pStyle w:val="Heading2"/>
        <w:spacing w:before="480" w:after="240" w:line="240" w:lineRule="auto"/>
        <w:rPr>
          <w:rFonts w:eastAsia="Calibri" w:cs="Arial"/>
          <w:szCs w:val="24"/>
        </w:rPr>
      </w:pPr>
      <w:bookmarkStart w:id="5" w:name="_Toc187142357"/>
      <w:r w:rsidRPr="0089504F">
        <w:rPr>
          <w:rFonts w:eastAsia="Calibri" w:cs="Arial"/>
          <w:szCs w:val="24"/>
        </w:rPr>
        <w:t>CTE Initiative Expenditure Plan for 202</w:t>
      </w:r>
      <w:r w:rsidR="0089504F" w:rsidRPr="0089504F">
        <w:rPr>
          <w:rFonts w:eastAsia="Calibri" w:cs="Arial"/>
          <w:szCs w:val="24"/>
        </w:rPr>
        <w:t>3</w:t>
      </w:r>
      <w:r w:rsidRPr="0089504F">
        <w:rPr>
          <w:rFonts w:eastAsia="Calibri" w:cs="Arial"/>
          <w:szCs w:val="24"/>
        </w:rPr>
        <w:t>–2</w:t>
      </w:r>
      <w:r w:rsidR="0089504F" w:rsidRPr="0089504F">
        <w:rPr>
          <w:rFonts w:eastAsia="Calibri" w:cs="Arial"/>
          <w:szCs w:val="24"/>
        </w:rPr>
        <w:t>4</w:t>
      </w:r>
      <w:bookmarkEnd w:id="5"/>
    </w:p>
    <w:p w14:paraId="471AEB34" w14:textId="6845AA77" w:rsidR="00124F74" w:rsidRPr="0089504F" w:rsidRDefault="00124F74" w:rsidP="00124F74">
      <w:pPr>
        <w:spacing w:after="240"/>
        <w:rPr>
          <w:rFonts w:ascii="Arial" w:eastAsia="Calibri" w:hAnsi="Arial" w:cs="Arial"/>
        </w:rPr>
      </w:pPr>
      <w:r w:rsidRPr="0089504F">
        <w:rPr>
          <w:rFonts w:ascii="Arial" w:eastAsia="Calibri" w:hAnsi="Arial" w:cs="Arial"/>
        </w:rPr>
        <w:t>Of the $15.36 million provided during 202</w:t>
      </w:r>
      <w:r w:rsidR="0089504F" w:rsidRPr="0089504F">
        <w:rPr>
          <w:rFonts w:ascii="Arial" w:eastAsia="Calibri" w:hAnsi="Arial" w:cs="Arial"/>
        </w:rPr>
        <w:t>3</w:t>
      </w:r>
      <w:r w:rsidRPr="0089504F">
        <w:rPr>
          <w:rFonts w:ascii="Arial" w:eastAsia="Calibri" w:hAnsi="Arial" w:cs="Arial"/>
        </w:rPr>
        <w:t>–2</w:t>
      </w:r>
      <w:r w:rsidR="0089504F" w:rsidRPr="0089504F">
        <w:rPr>
          <w:rFonts w:ascii="Arial" w:eastAsia="Calibri" w:hAnsi="Arial" w:cs="Arial"/>
        </w:rPr>
        <w:t>4</w:t>
      </w:r>
      <w:r w:rsidRPr="0089504F">
        <w:rPr>
          <w:rFonts w:ascii="Arial" w:eastAsia="Calibri" w:hAnsi="Arial" w:cs="Arial"/>
        </w:rPr>
        <w:t>, a total of $15,</w:t>
      </w:r>
      <w:r w:rsidR="00AF6D45">
        <w:rPr>
          <w:rFonts w:ascii="Arial" w:eastAsia="Calibri" w:hAnsi="Arial" w:cs="Arial"/>
        </w:rPr>
        <w:t>003</w:t>
      </w:r>
      <w:r w:rsidRPr="0089504F">
        <w:rPr>
          <w:rFonts w:ascii="Arial" w:eastAsia="Calibri" w:hAnsi="Arial" w:cs="Arial"/>
        </w:rPr>
        <w:t>,000 was allocated to 1</w:t>
      </w:r>
      <w:r w:rsidR="00AF6D45">
        <w:rPr>
          <w:rFonts w:ascii="Arial" w:eastAsia="Calibri" w:hAnsi="Arial" w:cs="Arial"/>
        </w:rPr>
        <w:t>0</w:t>
      </w:r>
      <w:r w:rsidRPr="0089504F">
        <w:rPr>
          <w:rFonts w:ascii="Arial" w:eastAsia="Calibri" w:hAnsi="Arial" w:cs="Arial"/>
        </w:rPr>
        <w:t xml:space="preserve"> projects.</w:t>
      </w:r>
    </w:p>
    <w:p w14:paraId="3106F860" w14:textId="77777777" w:rsidR="0089504F" w:rsidRPr="0093200B" w:rsidRDefault="0089504F" w:rsidP="0093200B">
      <w:pPr>
        <w:pStyle w:val="ListParagraph"/>
        <w:numPr>
          <w:ilvl w:val="0"/>
          <w:numId w:val="28"/>
        </w:numPr>
        <w:spacing w:after="240"/>
        <w:ind w:left="720"/>
        <w:rPr>
          <w:rFonts w:ascii="Arial" w:eastAsia="Calibri" w:hAnsi="Arial" w:cs="Arial"/>
          <w:bCs/>
          <w:sz w:val="24"/>
          <w:szCs w:val="24"/>
        </w:rPr>
      </w:pPr>
      <w:r w:rsidRPr="0093200B">
        <w:rPr>
          <w:rFonts w:ascii="Arial" w:eastAsia="Calibri" w:hAnsi="Arial" w:cs="Arial"/>
          <w:bCs/>
          <w:sz w:val="24"/>
          <w:szCs w:val="24"/>
        </w:rPr>
        <w:t>CPAs (132 school sites across the state): $10.53 million</w:t>
      </w:r>
    </w:p>
    <w:p w14:paraId="73735443" w14:textId="77777777" w:rsidR="0089504F" w:rsidRPr="0093200B" w:rsidRDefault="0089504F" w:rsidP="0089504F">
      <w:pPr>
        <w:spacing w:after="240"/>
        <w:ind w:left="990"/>
        <w:rPr>
          <w:rFonts w:ascii="Arial" w:eastAsia="Calibri" w:hAnsi="Arial" w:cs="Arial"/>
          <w:bCs/>
        </w:rPr>
      </w:pPr>
      <w:r w:rsidRPr="0093200B">
        <w:rPr>
          <w:rFonts w:ascii="Arial" w:eastAsia="Calibri" w:hAnsi="Arial" w:cs="Arial"/>
          <w:bCs/>
        </w:rPr>
        <w:t>Dates of Grant: July 1, 2023, to June 30, 2024</w:t>
      </w:r>
      <w:r w:rsidRPr="0093200B">
        <w:rPr>
          <w:rFonts w:ascii="Arial" w:eastAsia="Calibri" w:hAnsi="Arial" w:cs="Arial"/>
          <w:bCs/>
        </w:rPr>
        <w:br/>
        <w:t xml:space="preserve">Grant Consultant: </w:t>
      </w:r>
    </w:p>
    <w:p w14:paraId="04A7F9F6" w14:textId="77777777" w:rsidR="0089504F" w:rsidRPr="0093200B" w:rsidRDefault="0089504F" w:rsidP="0093200B">
      <w:pPr>
        <w:pStyle w:val="ListParagraph"/>
        <w:numPr>
          <w:ilvl w:val="0"/>
          <w:numId w:val="28"/>
        </w:numPr>
        <w:spacing w:after="240"/>
        <w:ind w:left="720"/>
        <w:rPr>
          <w:rFonts w:ascii="Arial" w:eastAsia="Calibri" w:hAnsi="Arial" w:cs="Arial"/>
          <w:sz w:val="24"/>
          <w:szCs w:val="24"/>
        </w:rPr>
      </w:pPr>
      <w:r w:rsidRPr="0093200B">
        <w:rPr>
          <w:rFonts w:ascii="Arial" w:eastAsia="Calibri" w:hAnsi="Arial" w:cs="Arial"/>
          <w:sz w:val="24"/>
          <w:szCs w:val="24"/>
        </w:rPr>
        <w:t>Six CTSOs (501c3 organizations): $1.35 million</w:t>
      </w:r>
    </w:p>
    <w:p w14:paraId="3B2D0CE3" w14:textId="77777777" w:rsidR="0089504F" w:rsidRPr="0093200B" w:rsidRDefault="0089504F" w:rsidP="0089504F">
      <w:pPr>
        <w:numPr>
          <w:ilvl w:val="0"/>
          <w:numId w:val="27"/>
        </w:numPr>
        <w:spacing w:after="240"/>
        <w:rPr>
          <w:rFonts w:ascii="Arial" w:eastAsia="Calibri" w:hAnsi="Arial" w:cs="Arial"/>
        </w:rPr>
      </w:pPr>
      <w:r w:rsidRPr="0093200B">
        <w:rPr>
          <w:rFonts w:ascii="Arial" w:eastAsia="Calibri" w:hAnsi="Arial" w:cs="Arial"/>
        </w:rPr>
        <w:t>DECA $225,000</w:t>
      </w:r>
      <w:r w:rsidRPr="0093200B">
        <w:rPr>
          <w:rFonts w:ascii="Arial" w:eastAsia="Calibri" w:hAnsi="Arial" w:cs="Arial"/>
        </w:rPr>
        <w:br/>
        <w:t>Dates of Contract: July 1, 2023, to June 30, 2024</w:t>
      </w:r>
      <w:r w:rsidRPr="0093200B">
        <w:rPr>
          <w:rFonts w:ascii="Arial" w:eastAsia="Calibri" w:hAnsi="Arial" w:cs="Arial"/>
        </w:rPr>
        <w:br/>
        <w:t xml:space="preserve">Contract Monitor: Molly Anderson </w:t>
      </w:r>
    </w:p>
    <w:p w14:paraId="4A5434FC" w14:textId="77777777" w:rsidR="0089504F" w:rsidRPr="0093200B" w:rsidRDefault="0089504F" w:rsidP="0089504F">
      <w:pPr>
        <w:numPr>
          <w:ilvl w:val="0"/>
          <w:numId w:val="27"/>
        </w:numPr>
        <w:spacing w:after="240"/>
        <w:rPr>
          <w:rFonts w:ascii="Arial" w:eastAsia="Calibri" w:hAnsi="Arial" w:cs="Arial"/>
        </w:rPr>
      </w:pPr>
      <w:r w:rsidRPr="0093200B">
        <w:rPr>
          <w:rFonts w:ascii="Arial" w:eastAsia="Calibri" w:hAnsi="Arial" w:cs="Arial"/>
        </w:rPr>
        <w:lastRenderedPageBreak/>
        <w:t>Future Business Leaders of America (FBLA) $225,000</w:t>
      </w:r>
      <w:r w:rsidRPr="0093200B">
        <w:rPr>
          <w:rFonts w:ascii="Arial" w:eastAsia="Calibri" w:hAnsi="Arial" w:cs="Arial"/>
        </w:rPr>
        <w:br/>
        <w:t>Dates of Contract: July 1, 2023, to June 30, 2024</w:t>
      </w:r>
      <w:r w:rsidRPr="0093200B">
        <w:rPr>
          <w:rFonts w:ascii="Arial" w:eastAsia="Calibri" w:hAnsi="Arial" w:cs="Arial"/>
        </w:rPr>
        <w:br/>
        <w:t>Contract Monitor: Molly Anderson</w:t>
      </w:r>
    </w:p>
    <w:p w14:paraId="1B817D31" w14:textId="77777777" w:rsidR="0089504F" w:rsidRPr="0093200B" w:rsidRDefault="0089504F" w:rsidP="0089504F">
      <w:pPr>
        <w:numPr>
          <w:ilvl w:val="0"/>
          <w:numId w:val="27"/>
        </w:numPr>
        <w:spacing w:after="240"/>
        <w:rPr>
          <w:rFonts w:ascii="Arial" w:eastAsia="Calibri" w:hAnsi="Arial" w:cs="Arial"/>
        </w:rPr>
      </w:pPr>
      <w:r w:rsidRPr="0093200B">
        <w:rPr>
          <w:rFonts w:ascii="Arial" w:eastAsia="Calibri" w:hAnsi="Arial" w:cs="Arial"/>
        </w:rPr>
        <w:t>Future Farmers of America (FFA) $225,000</w:t>
      </w:r>
      <w:r w:rsidRPr="0093200B">
        <w:rPr>
          <w:rFonts w:ascii="Arial" w:eastAsia="Calibri" w:hAnsi="Arial" w:cs="Arial"/>
        </w:rPr>
        <w:br/>
        <w:t>Dates of Contract: July 1, 2023, to June 30, 2024</w:t>
      </w:r>
      <w:r w:rsidRPr="0093200B">
        <w:rPr>
          <w:rFonts w:ascii="Arial" w:eastAsia="Calibri" w:hAnsi="Arial" w:cs="Arial"/>
        </w:rPr>
        <w:br/>
        <w:t>Contract Monitor: Charles Parker</w:t>
      </w:r>
    </w:p>
    <w:p w14:paraId="51AC8BE1" w14:textId="77777777" w:rsidR="0089504F" w:rsidRPr="0093200B" w:rsidRDefault="0089504F" w:rsidP="0089504F">
      <w:pPr>
        <w:numPr>
          <w:ilvl w:val="0"/>
          <w:numId w:val="27"/>
        </w:numPr>
        <w:spacing w:after="240"/>
        <w:rPr>
          <w:rFonts w:ascii="Arial" w:eastAsia="Calibri" w:hAnsi="Arial" w:cs="Arial"/>
        </w:rPr>
      </w:pPr>
      <w:r w:rsidRPr="0093200B">
        <w:rPr>
          <w:rFonts w:ascii="Arial" w:eastAsia="Calibri" w:hAnsi="Arial" w:cs="Arial"/>
        </w:rPr>
        <w:t>Family, Career and Community Leaders of America (FCCLA) $225,000</w:t>
      </w:r>
      <w:r w:rsidRPr="0093200B">
        <w:rPr>
          <w:rFonts w:ascii="Arial" w:eastAsia="Calibri" w:hAnsi="Arial" w:cs="Arial"/>
        </w:rPr>
        <w:br/>
        <w:t>Dates of Contract: July 1, 2023, to June 30, 2024</w:t>
      </w:r>
      <w:r w:rsidRPr="0093200B">
        <w:rPr>
          <w:rFonts w:ascii="Arial" w:eastAsia="Calibri" w:hAnsi="Arial" w:cs="Arial"/>
        </w:rPr>
        <w:br/>
        <w:t>Contract Monitor: Charles Parker</w:t>
      </w:r>
    </w:p>
    <w:p w14:paraId="637F10BA" w14:textId="77777777" w:rsidR="0089504F" w:rsidRPr="0093200B" w:rsidRDefault="0089504F" w:rsidP="0089504F">
      <w:pPr>
        <w:numPr>
          <w:ilvl w:val="0"/>
          <w:numId w:val="27"/>
        </w:numPr>
        <w:spacing w:after="240"/>
        <w:rPr>
          <w:rFonts w:ascii="Arial" w:eastAsia="Calibri" w:hAnsi="Arial" w:cs="Arial"/>
        </w:rPr>
      </w:pPr>
      <w:r w:rsidRPr="0093200B">
        <w:rPr>
          <w:rFonts w:ascii="Arial" w:eastAsia="Calibri" w:hAnsi="Arial" w:cs="Arial"/>
        </w:rPr>
        <w:t>Health Occupations Students of America (HOSA) $225,000</w:t>
      </w:r>
      <w:r w:rsidRPr="0093200B">
        <w:rPr>
          <w:rFonts w:ascii="Arial" w:eastAsia="Calibri" w:hAnsi="Arial" w:cs="Arial"/>
        </w:rPr>
        <w:br/>
        <w:t>Dates of Contract: July 1, 2023, to June 30, 2024</w:t>
      </w:r>
      <w:r w:rsidRPr="0093200B">
        <w:rPr>
          <w:rFonts w:ascii="Arial" w:eastAsia="Calibri" w:hAnsi="Arial" w:cs="Arial"/>
        </w:rPr>
        <w:br/>
        <w:t>Contract Monitor: Tara Neilson</w:t>
      </w:r>
    </w:p>
    <w:p w14:paraId="1CB18F2E" w14:textId="77777777" w:rsidR="0089504F" w:rsidRPr="0093200B" w:rsidRDefault="0089504F" w:rsidP="0089504F">
      <w:pPr>
        <w:numPr>
          <w:ilvl w:val="0"/>
          <w:numId w:val="27"/>
        </w:numPr>
        <w:spacing w:after="240"/>
        <w:rPr>
          <w:rFonts w:ascii="Arial" w:eastAsia="Calibri" w:hAnsi="Arial" w:cs="Arial"/>
        </w:rPr>
      </w:pPr>
      <w:r w:rsidRPr="0093200B">
        <w:rPr>
          <w:rFonts w:ascii="Arial" w:eastAsia="Calibri" w:hAnsi="Arial" w:cs="Arial"/>
        </w:rPr>
        <w:t>SkillsUSA $225,000</w:t>
      </w:r>
      <w:r w:rsidRPr="0093200B">
        <w:rPr>
          <w:rFonts w:ascii="Arial" w:eastAsia="Calibri" w:hAnsi="Arial" w:cs="Arial"/>
        </w:rPr>
        <w:br/>
        <w:t>Dates of Contract: July 1, 2023, to June 30, 2024</w:t>
      </w:r>
      <w:r w:rsidRPr="0093200B">
        <w:rPr>
          <w:rFonts w:ascii="Arial" w:eastAsia="Calibri" w:hAnsi="Arial" w:cs="Arial"/>
        </w:rPr>
        <w:br/>
        <w:t>Contract Monitor: Tara Neilson</w:t>
      </w:r>
    </w:p>
    <w:p w14:paraId="53B88DF4" w14:textId="77777777" w:rsidR="0089504F" w:rsidRPr="0093200B" w:rsidRDefault="0089504F" w:rsidP="0093200B">
      <w:pPr>
        <w:pStyle w:val="ListParagraph"/>
        <w:numPr>
          <w:ilvl w:val="0"/>
          <w:numId w:val="28"/>
        </w:numPr>
        <w:spacing w:after="240"/>
        <w:ind w:left="720"/>
        <w:rPr>
          <w:rFonts w:ascii="Arial" w:eastAsia="Calibri" w:hAnsi="Arial" w:cs="Arial"/>
          <w:sz w:val="24"/>
          <w:szCs w:val="24"/>
        </w:rPr>
      </w:pPr>
      <w:r w:rsidRPr="0093200B">
        <w:rPr>
          <w:rFonts w:ascii="Arial" w:eastAsia="Calibri" w:hAnsi="Arial" w:cs="Arial"/>
          <w:sz w:val="24"/>
          <w:szCs w:val="24"/>
        </w:rPr>
        <w:t>CTE Teach (Colton Redlands Yucaipa Regional Occupations Center and Program): $500,000</w:t>
      </w:r>
    </w:p>
    <w:p w14:paraId="6A2AA640" w14:textId="77777777" w:rsidR="0089504F" w:rsidRPr="0093200B" w:rsidRDefault="0089504F" w:rsidP="0089504F">
      <w:pPr>
        <w:spacing w:after="240"/>
        <w:ind w:left="1080"/>
        <w:rPr>
          <w:rFonts w:ascii="Arial" w:eastAsia="Calibri" w:hAnsi="Arial" w:cs="Arial"/>
        </w:rPr>
      </w:pPr>
      <w:r w:rsidRPr="0093200B">
        <w:rPr>
          <w:rFonts w:ascii="Arial" w:eastAsia="Calibri" w:hAnsi="Arial" w:cs="Arial"/>
        </w:rPr>
        <w:t>Dates of Contract: July 1, 2023, to June 30, 2024</w:t>
      </w:r>
      <w:r w:rsidRPr="0093200B">
        <w:rPr>
          <w:rFonts w:ascii="Arial" w:eastAsia="Calibri" w:hAnsi="Arial" w:cs="Arial"/>
        </w:rPr>
        <w:br/>
        <w:t>Contract Monitor: Molly Anderson</w:t>
      </w:r>
    </w:p>
    <w:p w14:paraId="1F096F63" w14:textId="77777777" w:rsidR="0089504F" w:rsidRPr="0093200B" w:rsidRDefault="0089504F" w:rsidP="0093200B">
      <w:pPr>
        <w:pStyle w:val="ListParagraph"/>
        <w:numPr>
          <w:ilvl w:val="0"/>
          <w:numId w:val="28"/>
        </w:numPr>
        <w:spacing w:after="240"/>
        <w:ind w:left="720"/>
        <w:rPr>
          <w:rFonts w:ascii="Arial" w:eastAsia="Calibri" w:hAnsi="Arial" w:cs="Arial"/>
          <w:bCs/>
          <w:sz w:val="24"/>
          <w:szCs w:val="24"/>
        </w:rPr>
      </w:pPr>
      <w:r w:rsidRPr="0093200B">
        <w:rPr>
          <w:rFonts w:ascii="Arial" w:eastAsia="Calibri" w:hAnsi="Arial" w:cs="Arial"/>
          <w:bCs/>
          <w:sz w:val="24"/>
          <w:szCs w:val="24"/>
        </w:rPr>
        <w:t>Virtual Counselor (San Joaquin County Office of Education)</w:t>
      </w:r>
      <w:r w:rsidRPr="0093200B">
        <w:rPr>
          <w:rFonts w:ascii="Arial" w:eastAsia="Calibri" w:hAnsi="Arial" w:cs="Arial"/>
          <w:sz w:val="24"/>
          <w:szCs w:val="24"/>
        </w:rPr>
        <w:t xml:space="preserve">: </w:t>
      </w:r>
      <w:r w:rsidRPr="0093200B">
        <w:rPr>
          <w:rFonts w:ascii="Arial" w:eastAsia="Calibri" w:hAnsi="Arial" w:cs="Arial"/>
          <w:bCs/>
          <w:sz w:val="24"/>
          <w:szCs w:val="24"/>
        </w:rPr>
        <w:t>$125,000</w:t>
      </w:r>
    </w:p>
    <w:p w14:paraId="00DB1915" w14:textId="56A3FD9D" w:rsidR="0089504F" w:rsidRPr="0093200B" w:rsidRDefault="0089504F" w:rsidP="0089504F">
      <w:pPr>
        <w:spacing w:after="240"/>
        <w:ind w:left="990"/>
        <w:rPr>
          <w:rFonts w:ascii="Arial" w:eastAsia="Calibri" w:hAnsi="Arial" w:cs="Arial"/>
        </w:rPr>
      </w:pPr>
      <w:r w:rsidRPr="0093200B">
        <w:rPr>
          <w:rFonts w:ascii="Arial" w:eastAsia="Calibri" w:hAnsi="Arial" w:cs="Arial"/>
          <w:bCs/>
        </w:rPr>
        <w:t xml:space="preserve">Dates of Contract: </w:t>
      </w:r>
      <w:r w:rsidRPr="0093200B">
        <w:rPr>
          <w:rFonts w:ascii="Arial" w:eastAsia="Calibri" w:hAnsi="Arial" w:cs="Arial"/>
        </w:rPr>
        <w:t>July 1, 2023, to June 30, 2024</w:t>
      </w:r>
      <w:r w:rsidRPr="0093200B">
        <w:rPr>
          <w:rFonts w:ascii="Arial" w:eastAsia="Calibri" w:hAnsi="Arial" w:cs="Arial"/>
        </w:rPr>
        <w:br/>
        <w:t>Contract monitor: Laura Walls</w:t>
      </w:r>
    </w:p>
    <w:p w14:paraId="705DF97E" w14:textId="4C770380" w:rsidR="0089504F" w:rsidRPr="0093200B" w:rsidRDefault="0089504F" w:rsidP="0093200B">
      <w:pPr>
        <w:pStyle w:val="ListParagraph"/>
        <w:numPr>
          <w:ilvl w:val="0"/>
          <w:numId w:val="28"/>
        </w:numPr>
        <w:spacing w:after="240"/>
        <w:ind w:left="720"/>
        <w:rPr>
          <w:rFonts w:ascii="Arial" w:eastAsia="Calibri" w:hAnsi="Arial" w:cs="Arial"/>
          <w:sz w:val="24"/>
          <w:szCs w:val="24"/>
        </w:rPr>
      </w:pPr>
      <w:r w:rsidRPr="0093200B">
        <w:rPr>
          <w:rFonts w:ascii="Arial" w:eastAsia="Calibri" w:hAnsi="Arial" w:cs="Arial"/>
          <w:sz w:val="24"/>
          <w:szCs w:val="24"/>
        </w:rPr>
        <w:t>AME Hip Hop Education and Equity Initiative: $120,000 for 6 LEAs</w:t>
      </w:r>
    </w:p>
    <w:p w14:paraId="0F5259FF" w14:textId="163663FE" w:rsidR="0089504F" w:rsidRPr="0093200B" w:rsidRDefault="0089504F" w:rsidP="0089504F">
      <w:pPr>
        <w:pStyle w:val="ListParagraph"/>
        <w:spacing w:after="240"/>
        <w:ind w:left="1350"/>
        <w:rPr>
          <w:rFonts w:ascii="Arial" w:eastAsia="Calibri" w:hAnsi="Arial" w:cs="Arial"/>
          <w:sz w:val="24"/>
          <w:szCs w:val="24"/>
        </w:rPr>
      </w:pPr>
      <w:r w:rsidRPr="0093200B">
        <w:rPr>
          <w:rFonts w:ascii="Arial" w:eastAsia="Calibri" w:hAnsi="Arial" w:cs="Arial"/>
          <w:sz w:val="24"/>
          <w:szCs w:val="24"/>
        </w:rPr>
        <w:t>Dates of Grant: July 1, 2023, to June 30, 2024</w:t>
      </w:r>
      <w:r w:rsidRPr="0093200B">
        <w:rPr>
          <w:rFonts w:ascii="Arial" w:eastAsia="Calibri" w:hAnsi="Arial" w:cs="Arial"/>
          <w:sz w:val="24"/>
          <w:szCs w:val="24"/>
        </w:rPr>
        <w:br/>
        <w:t>Contract Monitor: Allison Frenzel</w:t>
      </w:r>
    </w:p>
    <w:p w14:paraId="09273102" w14:textId="51EBF3FB" w:rsidR="0089504F" w:rsidRPr="0093200B" w:rsidRDefault="003836A8" w:rsidP="0093200B">
      <w:pPr>
        <w:pStyle w:val="ListParagraph"/>
        <w:numPr>
          <w:ilvl w:val="0"/>
          <w:numId w:val="28"/>
        </w:numPr>
        <w:spacing w:after="240"/>
        <w:ind w:left="720"/>
        <w:rPr>
          <w:rFonts w:ascii="Arial" w:eastAsia="Calibri" w:hAnsi="Arial" w:cs="Arial"/>
          <w:sz w:val="24"/>
          <w:szCs w:val="24"/>
        </w:rPr>
      </w:pPr>
      <w:r>
        <w:rPr>
          <w:rFonts w:ascii="Arial" w:eastAsia="Calibri" w:hAnsi="Arial" w:cs="Arial"/>
          <w:sz w:val="24"/>
          <w:szCs w:val="24"/>
        </w:rPr>
        <w:t>AME</w:t>
      </w:r>
      <w:r w:rsidR="0089504F" w:rsidRPr="0093200B">
        <w:rPr>
          <w:rFonts w:ascii="Arial" w:eastAsia="Calibri" w:hAnsi="Arial" w:cs="Arial"/>
          <w:sz w:val="24"/>
          <w:szCs w:val="24"/>
        </w:rPr>
        <w:t xml:space="preserve"> Student Leadership Organization (The School of Arts and Enterprise/Creative Careers Leadership Lab): $150,000 </w:t>
      </w:r>
    </w:p>
    <w:p w14:paraId="3F8FDF2F" w14:textId="77777777" w:rsidR="0089504F" w:rsidRPr="0093200B" w:rsidRDefault="0089504F" w:rsidP="0089504F">
      <w:pPr>
        <w:spacing w:after="240"/>
        <w:ind w:left="990"/>
        <w:contextualSpacing/>
        <w:rPr>
          <w:rFonts w:ascii="Arial" w:eastAsia="Calibri" w:hAnsi="Arial" w:cs="Arial"/>
        </w:rPr>
      </w:pPr>
      <w:r w:rsidRPr="0093200B">
        <w:rPr>
          <w:rFonts w:ascii="Arial" w:eastAsia="Calibri" w:hAnsi="Arial" w:cs="Arial"/>
        </w:rPr>
        <w:t>Dates of Contract: July 1, 2023, to June 30, 2024</w:t>
      </w:r>
    </w:p>
    <w:p w14:paraId="0D71F687" w14:textId="77777777" w:rsidR="0089504F" w:rsidRPr="0093200B" w:rsidRDefault="0089504F" w:rsidP="0089504F">
      <w:pPr>
        <w:spacing w:after="240"/>
        <w:ind w:left="990"/>
        <w:rPr>
          <w:rFonts w:ascii="Arial" w:eastAsia="Calibri" w:hAnsi="Arial" w:cs="Arial"/>
        </w:rPr>
      </w:pPr>
      <w:r w:rsidRPr="0093200B">
        <w:rPr>
          <w:rFonts w:ascii="Arial" w:eastAsia="Calibri" w:hAnsi="Arial" w:cs="Arial"/>
        </w:rPr>
        <w:t>Contract Monitor: Allison Frenzel</w:t>
      </w:r>
    </w:p>
    <w:p w14:paraId="3794AAB6" w14:textId="77777777" w:rsidR="0089504F" w:rsidRPr="0093200B" w:rsidRDefault="0089504F" w:rsidP="0093200B">
      <w:pPr>
        <w:pStyle w:val="ListParagraph"/>
        <w:numPr>
          <w:ilvl w:val="0"/>
          <w:numId w:val="28"/>
        </w:numPr>
        <w:spacing w:after="240"/>
        <w:ind w:left="720"/>
        <w:rPr>
          <w:rFonts w:ascii="Arial" w:eastAsia="Calibri" w:hAnsi="Arial" w:cs="Arial"/>
          <w:sz w:val="24"/>
          <w:szCs w:val="24"/>
        </w:rPr>
      </w:pPr>
      <w:r w:rsidRPr="0093200B">
        <w:rPr>
          <w:rFonts w:ascii="Arial" w:eastAsia="Calibri" w:hAnsi="Arial" w:cs="Arial"/>
          <w:sz w:val="24"/>
          <w:szCs w:val="24"/>
        </w:rPr>
        <w:t>Middle School Grants (90 school sites across the state): $1,050,000</w:t>
      </w:r>
    </w:p>
    <w:p w14:paraId="5D65D7B1" w14:textId="77777777" w:rsidR="0089504F" w:rsidRPr="0093200B" w:rsidRDefault="0089504F" w:rsidP="0089504F">
      <w:pPr>
        <w:spacing w:after="240"/>
        <w:ind w:left="994"/>
        <w:rPr>
          <w:rFonts w:ascii="Arial" w:eastAsia="Calibri" w:hAnsi="Arial" w:cs="Arial"/>
        </w:rPr>
      </w:pPr>
      <w:r w:rsidRPr="0093200B">
        <w:rPr>
          <w:rFonts w:ascii="Arial" w:eastAsia="Calibri" w:hAnsi="Arial" w:cs="Arial"/>
        </w:rPr>
        <w:t>Dates of Grants: July 1, 2023, to June 30, 2024</w:t>
      </w:r>
      <w:r w:rsidRPr="0093200B">
        <w:rPr>
          <w:rFonts w:ascii="Arial" w:eastAsia="Calibri" w:hAnsi="Arial" w:cs="Arial"/>
        </w:rPr>
        <w:br/>
        <w:t>Grant Consultant: Teri Alves</w:t>
      </w:r>
    </w:p>
    <w:p w14:paraId="36CA219B" w14:textId="260C664B" w:rsidR="0089504F" w:rsidRPr="0093200B" w:rsidRDefault="0089504F" w:rsidP="0093200B">
      <w:pPr>
        <w:pStyle w:val="ListParagraph"/>
        <w:numPr>
          <w:ilvl w:val="0"/>
          <w:numId w:val="28"/>
        </w:numPr>
        <w:spacing w:after="240"/>
        <w:ind w:left="720"/>
        <w:contextualSpacing/>
        <w:rPr>
          <w:rFonts w:ascii="Arial" w:eastAsia="Calibri" w:hAnsi="Arial" w:cs="Arial"/>
          <w:sz w:val="24"/>
          <w:szCs w:val="24"/>
        </w:rPr>
      </w:pPr>
      <w:r w:rsidRPr="0093200B">
        <w:rPr>
          <w:rFonts w:ascii="Arial" w:eastAsia="Calibri" w:hAnsi="Arial" w:cs="Arial"/>
          <w:sz w:val="24"/>
          <w:szCs w:val="24"/>
        </w:rPr>
        <w:lastRenderedPageBreak/>
        <w:t>AME Film and Television Pre-Apprenticeship (Four regional LEAs linked to the IATSE Union): $</w:t>
      </w:r>
      <w:r w:rsidR="00AF6D45">
        <w:rPr>
          <w:rFonts w:ascii="Arial" w:eastAsia="Calibri" w:hAnsi="Arial" w:cs="Arial"/>
          <w:sz w:val="24"/>
          <w:szCs w:val="24"/>
        </w:rPr>
        <w:t>924</w:t>
      </w:r>
      <w:r w:rsidRPr="0093200B">
        <w:rPr>
          <w:rFonts w:ascii="Arial" w:eastAsia="Calibri" w:hAnsi="Arial" w:cs="Arial"/>
          <w:sz w:val="24"/>
          <w:szCs w:val="24"/>
        </w:rPr>
        <w:t>,000</w:t>
      </w:r>
    </w:p>
    <w:p w14:paraId="0378192B" w14:textId="77777777" w:rsidR="0089504F" w:rsidRPr="0093200B" w:rsidRDefault="0089504F" w:rsidP="0089504F">
      <w:pPr>
        <w:spacing w:after="240"/>
        <w:ind w:left="994"/>
        <w:rPr>
          <w:rFonts w:ascii="Arial" w:eastAsia="Calibri" w:hAnsi="Arial" w:cs="Arial"/>
        </w:rPr>
      </w:pPr>
      <w:r w:rsidRPr="0093200B">
        <w:rPr>
          <w:rFonts w:ascii="Arial" w:eastAsia="Calibri" w:hAnsi="Arial" w:cs="Arial"/>
        </w:rPr>
        <w:t>Dates of Grants: July 1, 2023, to June 30, 2024</w:t>
      </w:r>
      <w:r w:rsidRPr="0093200B">
        <w:rPr>
          <w:rFonts w:ascii="Arial" w:eastAsia="Calibri" w:hAnsi="Arial" w:cs="Arial"/>
        </w:rPr>
        <w:br/>
        <w:t>Grant Consultant: Allison Frenzel</w:t>
      </w:r>
    </w:p>
    <w:p w14:paraId="0022C70B" w14:textId="0CDF7BDD" w:rsidR="0089504F" w:rsidRPr="0093200B" w:rsidRDefault="0089504F" w:rsidP="0093200B">
      <w:pPr>
        <w:pStyle w:val="ListParagraph"/>
        <w:numPr>
          <w:ilvl w:val="0"/>
          <w:numId w:val="28"/>
        </w:numPr>
        <w:spacing w:after="240"/>
        <w:ind w:left="720"/>
        <w:rPr>
          <w:rFonts w:ascii="Arial" w:eastAsia="Calibri" w:hAnsi="Arial" w:cs="Arial"/>
          <w:sz w:val="24"/>
          <w:szCs w:val="24"/>
        </w:rPr>
      </w:pPr>
      <w:r w:rsidRPr="0093200B">
        <w:rPr>
          <w:rFonts w:ascii="Arial" w:eastAsia="Calibri" w:hAnsi="Arial" w:cs="Arial"/>
          <w:sz w:val="24"/>
          <w:szCs w:val="24"/>
        </w:rPr>
        <w:t>AME Demonstration (Demo) Sites (11 school sites across the state): $</w:t>
      </w:r>
      <w:r w:rsidR="00AF6D45">
        <w:rPr>
          <w:rFonts w:ascii="Arial" w:eastAsia="Calibri" w:hAnsi="Arial" w:cs="Arial"/>
          <w:sz w:val="24"/>
          <w:szCs w:val="24"/>
        </w:rPr>
        <w:t>110</w:t>
      </w:r>
      <w:r w:rsidRPr="0093200B">
        <w:rPr>
          <w:rFonts w:ascii="Arial" w:eastAsia="Calibri" w:hAnsi="Arial" w:cs="Arial"/>
          <w:sz w:val="24"/>
          <w:szCs w:val="24"/>
        </w:rPr>
        <w:t>,000</w:t>
      </w:r>
    </w:p>
    <w:p w14:paraId="32E5F3DF" w14:textId="10B39CE4" w:rsidR="0089504F" w:rsidRPr="0093200B" w:rsidRDefault="0089504F" w:rsidP="0089504F">
      <w:pPr>
        <w:spacing w:after="240"/>
        <w:ind w:left="990"/>
        <w:rPr>
          <w:rFonts w:ascii="Arial" w:eastAsia="Calibri" w:hAnsi="Arial" w:cs="Arial"/>
        </w:rPr>
      </w:pPr>
      <w:r w:rsidRPr="0093200B">
        <w:rPr>
          <w:rFonts w:ascii="Arial" w:eastAsia="Calibri" w:hAnsi="Arial" w:cs="Arial"/>
        </w:rPr>
        <w:t>Dates of Grants:</w:t>
      </w:r>
      <w:r w:rsidRPr="0093200B">
        <w:rPr>
          <w:rFonts w:ascii="Arial" w:eastAsia="Calibri" w:hAnsi="Arial" w:cs="Arial"/>
          <w:bCs/>
        </w:rPr>
        <w:t xml:space="preserve"> </w:t>
      </w:r>
      <w:r w:rsidRPr="0093200B">
        <w:rPr>
          <w:rFonts w:ascii="Arial" w:eastAsia="Calibri" w:hAnsi="Arial" w:cs="Arial"/>
        </w:rPr>
        <w:t>July 1, 2023, to June 30, 2024</w:t>
      </w:r>
      <w:r w:rsidRPr="0093200B">
        <w:rPr>
          <w:rFonts w:ascii="Arial" w:eastAsia="Calibri" w:hAnsi="Arial" w:cs="Arial"/>
        </w:rPr>
        <w:br/>
        <w:t>Grant Consultant: Allison Frenzel</w:t>
      </w:r>
    </w:p>
    <w:p w14:paraId="3AC97D77" w14:textId="104B31BB" w:rsidR="0089504F" w:rsidRPr="0093200B" w:rsidRDefault="003836A8" w:rsidP="0093200B">
      <w:pPr>
        <w:pStyle w:val="ListParagraph"/>
        <w:numPr>
          <w:ilvl w:val="0"/>
          <w:numId w:val="28"/>
        </w:numPr>
        <w:spacing w:after="240"/>
        <w:ind w:left="720"/>
        <w:rPr>
          <w:rFonts w:ascii="Arial" w:eastAsia="Calibri" w:hAnsi="Arial" w:cs="Arial"/>
          <w:sz w:val="24"/>
          <w:szCs w:val="24"/>
        </w:rPr>
      </w:pPr>
      <w:r>
        <w:rPr>
          <w:rFonts w:ascii="Arial" w:eastAsia="Calibri" w:hAnsi="Arial" w:cs="Arial"/>
          <w:sz w:val="24"/>
          <w:szCs w:val="24"/>
        </w:rPr>
        <w:t xml:space="preserve"> </w:t>
      </w:r>
      <w:r w:rsidR="0089504F" w:rsidRPr="0093200B">
        <w:rPr>
          <w:rFonts w:ascii="Arial" w:eastAsia="Calibri" w:hAnsi="Arial" w:cs="Arial"/>
          <w:sz w:val="24"/>
          <w:szCs w:val="24"/>
        </w:rPr>
        <w:t>Professional Development (High Tech High): $175,000</w:t>
      </w:r>
    </w:p>
    <w:p w14:paraId="5EDF14B2" w14:textId="77777777" w:rsidR="0089504F" w:rsidRPr="0093200B" w:rsidRDefault="0089504F" w:rsidP="0089504F">
      <w:pPr>
        <w:ind w:left="990"/>
        <w:rPr>
          <w:rFonts w:ascii="Arial" w:eastAsia="Calibri" w:hAnsi="Arial" w:cs="Arial"/>
        </w:rPr>
      </w:pPr>
      <w:r w:rsidRPr="0093200B">
        <w:rPr>
          <w:rFonts w:ascii="Arial" w:eastAsia="Calibri" w:hAnsi="Arial" w:cs="Arial"/>
        </w:rPr>
        <w:t>Dates of Contract: July 1, 2023, to June 30, 2024</w:t>
      </w:r>
    </w:p>
    <w:p w14:paraId="2A1EE50A" w14:textId="1922B1C4" w:rsidR="001B4DB0" w:rsidRPr="0093200B" w:rsidRDefault="0089504F" w:rsidP="0093200B">
      <w:pPr>
        <w:ind w:left="990"/>
        <w:rPr>
          <w:rFonts w:ascii="Arial" w:eastAsia="Calibri" w:hAnsi="Arial" w:cs="Arial"/>
        </w:rPr>
      </w:pPr>
      <w:r w:rsidRPr="0093200B">
        <w:rPr>
          <w:rFonts w:ascii="Arial" w:eastAsia="Calibri" w:hAnsi="Arial" w:cs="Arial"/>
        </w:rPr>
        <w:t>Contract Monitor: Teri Alves</w:t>
      </w:r>
    </w:p>
    <w:sectPr w:rsidR="001B4DB0" w:rsidRPr="0093200B" w:rsidSect="00124F74">
      <w:footerReference w:type="default" r:id="rId15"/>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E8AB" w14:textId="77777777" w:rsidR="00EE25E7" w:rsidRDefault="00EE25E7">
      <w:r>
        <w:separator/>
      </w:r>
    </w:p>
    <w:p w14:paraId="1DCFD179" w14:textId="77777777" w:rsidR="00EE25E7" w:rsidRDefault="00EE25E7"/>
  </w:endnote>
  <w:endnote w:type="continuationSeparator" w:id="0">
    <w:p w14:paraId="4FA5D421" w14:textId="77777777" w:rsidR="00EE25E7" w:rsidRDefault="00EE25E7">
      <w:r>
        <w:continuationSeparator/>
      </w:r>
    </w:p>
    <w:p w14:paraId="27C7E329" w14:textId="77777777" w:rsidR="00EE25E7" w:rsidRDefault="00EE2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6191023"/>
      <w:docPartObj>
        <w:docPartGallery w:val="Page Numbers (Bottom of Page)"/>
        <w:docPartUnique/>
      </w:docPartObj>
    </w:sdtPr>
    <w:sdtEndPr>
      <w:rPr>
        <w:noProof/>
      </w:rPr>
    </w:sdtEndPr>
    <w:sdtContent>
      <w:p w14:paraId="4E236C94" w14:textId="0706B821" w:rsidR="00A234FB" w:rsidRPr="00223BA3" w:rsidRDefault="00A234FB">
        <w:pPr>
          <w:pStyle w:val="Footer"/>
          <w:jc w:val="center"/>
          <w:rPr>
            <w:rFonts w:ascii="Arial" w:hAnsi="Arial" w:cs="Arial"/>
          </w:rPr>
        </w:pPr>
        <w:r w:rsidRPr="00223BA3">
          <w:rPr>
            <w:rFonts w:ascii="Arial" w:hAnsi="Arial" w:cs="Arial"/>
          </w:rPr>
          <w:fldChar w:fldCharType="begin"/>
        </w:r>
        <w:r w:rsidRPr="00223BA3">
          <w:rPr>
            <w:rFonts w:ascii="Arial" w:hAnsi="Arial" w:cs="Arial"/>
          </w:rPr>
          <w:instrText xml:space="preserve"> PAGE   \* MERGEFORMAT </w:instrText>
        </w:r>
        <w:r w:rsidRPr="00223BA3">
          <w:rPr>
            <w:rFonts w:ascii="Arial" w:hAnsi="Arial" w:cs="Arial"/>
          </w:rPr>
          <w:fldChar w:fldCharType="separate"/>
        </w:r>
        <w:r w:rsidRPr="00223BA3">
          <w:rPr>
            <w:rFonts w:ascii="Arial" w:hAnsi="Arial" w:cs="Arial"/>
            <w:noProof/>
          </w:rPr>
          <w:t>2</w:t>
        </w:r>
        <w:r w:rsidRPr="00223BA3">
          <w:rPr>
            <w:rFonts w:ascii="Arial" w:hAnsi="Arial" w:cs="Arial"/>
            <w:noProof/>
          </w:rPr>
          <w:fldChar w:fldCharType="end"/>
        </w:r>
      </w:p>
    </w:sdtContent>
  </w:sdt>
  <w:p w14:paraId="75F19891" w14:textId="77777777" w:rsidR="00A234FB" w:rsidRDefault="00A2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860403"/>
      <w:docPartObj>
        <w:docPartGallery w:val="Page Numbers (Bottom of Page)"/>
        <w:docPartUnique/>
      </w:docPartObj>
    </w:sdtPr>
    <w:sdtEndPr>
      <w:rPr>
        <w:noProof/>
      </w:rPr>
    </w:sdtEndPr>
    <w:sdtContent>
      <w:p w14:paraId="46E7AA02" w14:textId="062D5B69" w:rsidR="00A234FB" w:rsidRDefault="00A234FB" w:rsidP="00A234FB">
        <w:pPr>
          <w:pStyle w:val="Footer"/>
          <w:jc w:val="center"/>
        </w:pPr>
        <w:r w:rsidRPr="00A234FB">
          <w:rPr>
            <w:rFonts w:ascii="Arial" w:hAnsi="Arial" w:cs="Arial"/>
          </w:rPr>
          <w:fldChar w:fldCharType="begin"/>
        </w:r>
        <w:r w:rsidRPr="00A234FB">
          <w:rPr>
            <w:rFonts w:ascii="Arial" w:hAnsi="Arial" w:cs="Arial"/>
          </w:rPr>
          <w:instrText xml:space="preserve"> PAGE   \* MERGEFORMAT </w:instrText>
        </w:r>
        <w:r w:rsidRPr="00A234FB">
          <w:rPr>
            <w:rFonts w:ascii="Arial" w:hAnsi="Arial" w:cs="Arial"/>
          </w:rPr>
          <w:fldChar w:fldCharType="separate"/>
        </w:r>
        <w:r w:rsidRPr="00A234FB">
          <w:rPr>
            <w:rFonts w:ascii="Arial" w:hAnsi="Arial" w:cs="Arial"/>
            <w:noProof/>
          </w:rPr>
          <w:t>2</w:t>
        </w:r>
        <w:r w:rsidRPr="00A234FB">
          <w:rPr>
            <w:rFonts w:ascii="Arial" w:hAnsi="Arial" w:cs="Arial"/>
            <w:noProof/>
          </w:rPr>
          <w:fldChar w:fldCharType="end"/>
        </w:r>
      </w:p>
    </w:sdtContent>
  </w:sdt>
  <w:p w14:paraId="0160A8EA" w14:textId="67E7A5B3" w:rsidR="00872ABB" w:rsidRPr="00A234FB" w:rsidRDefault="00872ABB" w:rsidP="00A2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9966" w14:textId="77777777" w:rsidR="00EE25E7" w:rsidRDefault="00EE25E7">
      <w:r>
        <w:separator/>
      </w:r>
    </w:p>
    <w:p w14:paraId="19A9B9C5" w14:textId="77777777" w:rsidR="00EE25E7" w:rsidRDefault="00EE25E7"/>
  </w:footnote>
  <w:footnote w:type="continuationSeparator" w:id="0">
    <w:p w14:paraId="3A9557F1" w14:textId="77777777" w:rsidR="00EE25E7" w:rsidRDefault="00EE25E7">
      <w:r>
        <w:continuationSeparator/>
      </w:r>
    </w:p>
    <w:p w14:paraId="0E5B9025" w14:textId="77777777" w:rsidR="00EE25E7" w:rsidRDefault="00EE25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3834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26A4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68FB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24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D84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436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7AC7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7E8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D2C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4A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26DDC"/>
    <w:multiLevelType w:val="hybridMultilevel"/>
    <w:tmpl w:val="AA6A1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C95907"/>
    <w:multiLevelType w:val="hybridMultilevel"/>
    <w:tmpl w:val="450C46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36A7482"/>
    <w:multiLevelType w:val="hybridMultilevel"/>
    <w:tmpl w:val="90C44B8E"/>
    <w:lvl w:ilvl="0" w:tplc="C38A10AA">
      <w:start w:val="1"/>
      <w:numFmt w:val="decimal"/>
      <w:lvlText w:val="%1)"/>
      <w:lvlJc w:val="left"/>
      <w:pPr>
        <w:ind w:left="1350"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13DA4901"/>
    <w:multiLevelType w:val="multilevel"/>
    <w:tmpl w:val="18002F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836E19"/>
    <w:multiLevelType w:val="hybridMultilevel"/>
    <w:tmpl w:val="17800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44D01"/>
    <w:multiLevelType w:val="hybridMultilevel"/>
    <w:tmpl w:val="C7A0F2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BAF0914"/>
    <w:multiLevelType w:val="hybridMultilevel"/>
    <w:tmpl w:val="C9AC5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D4F50"/>
    <w:multiLevelType w:val="hybridMultilevel"/>
    <w:tmpl w:val="119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DE42A9"/>
    <w:multiLevelType w:val="hybridMultilevel"/>
    <w:tmpl w:val="B45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65B65"/>
    <w:multiLevelType w:val="hybridMultilevel"/>
    <w:tmpl w:val="863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973DE"/>
    <w:multiLevelType w:val="hybridMultilevel"/>
    <w:tmpl w:val="A8068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55F19"/>
    <w:multiLevelType w:val="hybridMultilevel"/>
    <w:tmpl w:val="A2B21B76"/>
    <w:lvl w:ilvl="0" w:tplc="04090001">
      <w:start w:val="1"/>
      <w:numFmt w:val="bullet"/>
      <w:lvlText w:val=""/>
      <w:lvlJc w:val="left"/>
      <w:pPr>
        <w:ind w:left="1350" w:hanging="360"/>
      </w:pPr>
      <w:rPr>
        <w:rFonts w:ascii="Symbol" w:hAnsi="Symbol" w:hint="default"/>
      </w:rPr>
    </w:lvl>
    <w:lvl w:ilvl="1" w:tplc="FFFFFFFF">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2" w15:restartNumberingAfterBreak="0">
    <w:nsid w:val="5785440A"/>
    <w:multiLevelType w:val="hybridMultilevel"/>
    <w:tmpl w:val="91BC7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BA87846"/>
    <w:multiLevelType w:val="hybridMultilevel"/>
    <w:tmpl w:val="B81EF6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1FE177C"/>
    <w:multiLevelType w:val="hybridMultilevel"/>
    <w:tmpl w:val="90C44B8E"/>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5" w15:restartNumberingAfterBreak="0">
    <w:nsid w:val="6E1328F4"/>
    <w:multiLevelType w:val="hybridMultilevel"/>
    <w:tmpl w:val="D6DEA296"/>
    <w:lvl w:ilvl="0" w:tplc="589CB226">
      <w:start w:val="1"/>
      <w:numFmt w:val="decimal"/>
      <w:lvlText w:val="%1)"/>
      <w:lvlJc w:val="left"/>
      <w:pPr>
        <w:ind w:left="99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73722925"/>
    <w:multiLevelType w:val="hybridMultilevel"/>
    <w:tmpl w:val="BBA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E44BF"/>
    <w:multiLevelType w:val="hybridMultilevel"/>
    <w:tmpl w:val="8CD66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011548">
    <w:abstractNumId w:val="14"/>
  </w:num>
  <w:num w:numId="2" w16cid:durableId="1693799472">
    <w:abstractNumId w:val="20"/>
  </w:num>
  <w:num w:numId="3" w16cid:durableId="775684582">
    <w:abstractNumId w:val="18"/>
  </w:num>
  <w:num w:numId="4" w16cid:durableId="1257639092">
    <w:abstractNumId w:val="17"/>
  </w:num>
  <w:num w:numId="5" w16cid:durableId="1774741226">
    <w:abstractNumId w:val="19"/>
  </w:num>
  <w:num w:numId="6" w16cid:durableId="1069771521">
    <w:abstractNumId w:val="26"/>
  </w:num>
  <w:num w:numId="7" w16cid:durableId="831677906">
    <w:abstractNumId w:val="16"/>
  </w:num>
  <w:num w:numId="8" w16cid:durableId="622999641">
    <w:abstractNumId w:val="27"/>
  </w:num>
  <w:num w:numId="9" w16cid:durableId="1027021668">
    <w:abstractNumId w:val="9"/>
  </w:num>
  <w:num w:numId="10" w16cid:durableId="1500190583">
    <w:abstractNumId w:val="7"/>
  </w:num>
  <w:num w:numId="11" w16cid:durableId="1048332545">
    <w:abstractNumId w:val="6"/>
  </w:num>
  <w:num w:numId="12" w16cid:durableId="997273563">
    <w:abstractNumId w:val="5"/>
  </w:num>
  <w:num w:numId="13" w16cid:durableId="338699419">
    <w:abstractNumId w:val="4"/>
  </w:num>
  <w:num w:numId="14" w16cid:durableId="1237739371">
    <w:abstractNumId w:val="8"/>
  </w:num>
  <w:num w:numId="15" w16cid:durableId="1443914136">
    <w:abstractNumId w:val="3"/>
  </w:num>
  <w:num w:numId="16" w16cid:durableId="526602258">
    <w:abstractNumId w:val="2"/>
  </w:num>
  <w:num w:numId="17" w16cid:durableId="1881359704">
    <w:abstractNumId w:val="1"/>
  </w:num>
  <w:num w:numId="18" w16cid:durableId="121922195">
    <w:abstractNumId w:val="0"/>
  </w:num>
  <w:num w:numId="19" w16cid:durableId="19597293">
    <w:abstractNumId w:val="12"/>
  </w:num>
  <w:num w:numId="20" w16cid:durableId="525483177">
    <w:abstractNumId w:val="23"/>
  </w:num>
  <w:num w:numId="21" w16cid:durableId="672344682">
    <w:abstractNumId w:val="11"/>
  </w:num>
  <w:num w:numId="22" w16cid:durableId="1983347758">
    <w:abstractNumId w:val="15"/>
  </w:num>
  <w:num w:numId="23" w16cid:durableId="1581258596">
    <w:abstractNumId w:val="22"/>
  </w:num>
  <w:num w:numId="24" w16cid:durableId="1406804219">
    <w:abstractNumId w:val="10"/>
  </w:num>
  <w:num w:numId="25" w16cid:durableId="1763644748">
    <w:abstractNumId w:val="25"/>
  </w:num>
  <w:num w:numId="26" w16cid:durableId="1526164960">
    <w:abstractNumId w:val="13"/>
  </w:num>
  <w:num w:numId="27" w16cid:durableId="401371458">
    <w:abstractNumId w:val="21"/>
  </w:num>
  <w:num w:numId="28" w16cid:durableId="8639012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6FDF"/>
    <w:rsid w:val="000071B8"/>
    <w:rsid w:val="00011223"/>
    <w:rsid w:val="00012990"/>
    <w:rsid w:val="00017D97"/>
    <w:rsid w:val="00034356"/>
    <w:rsid w:val="00070E4A"/>
    <w:rsid w:val="00072252"/>
    <w:rsid w:val="0007278F"/>
    <w:rsid w:val="000843C2"/>
    <w:rsid w:val="000B5DE5"/>
    <w:rsid w:val="000C5EB9"/>
    <w:rsid w:val="000F2ADC"/>
    <w:rsid w:val="000F2C57"/>
    <w:rsid w:val="001062AA"/>
    <w:rsid w:val="00124F74"/>
    <w:rsid w:val="00137F97"/>
    <w:rsid w:val="00147F73"/>
    <w:rsid w:val="001564DF"/>
    <w:rsid w:val="00156903"/>
    <w:rsid w:val="0016033D"/>
    <w:rsid w:val="00160A21"/>
    <w:rsid w:val="0017184C"/>
    <w:rsid w:val="00175BC6"/>
    <w:rsid w:val="001771F7"/>
    <w:rsid w:val="001B10EA"/>
    <w:rsid w:val="001B4DB0"/>
    <w:rsid w:val="001B689A"/>
    <w:rsid w:val="001B6E2E"/>
    <w:rsid w:val="001C307C"/>
    <w:rsid w:val="001F71A8"/>
    <w:rsid w:val="00223BA3"/>
    <w:rsid w:val="0025039A"/>
    <w:rsid w:val="00260F70"/>
    <w:rsid w:val="00261BB4"/>
    <w:rsid w:val="0026353F"/>
    <w:rsid w:val="00266625"/>
    <w:rsid w:val="0027061D"/>
    <w:rsid w:val="00271876"/>
    <w:rsid w:val="002800D1"/>
    <w:rsid w:val="00283238"/>
    <w:rsid w:val="00290C38"/>
    <w:rsid w:val="0029344F"/>
    <w:rsid w:val="002A3643"/>
    <w:rsid w:val="002C4179"/>
    <w:rsid w:val="002F67F6"/>
    <w:rsid w:val="002F7403"/>
    <w:rsid w:val="003015B3"/>
    <w:rsid w:val="00301854"/>
    <w:rsid w:val="00302A63"/>
    <w:rsid w:val="003035E4"/>
    <w:rsid w:val="00304FF4"/>
    <w:rsid w:val="00315109"/>
    <w:rsid w:val="0032572B"/>
    <w:rsid w:val="00355B34"/>
    <w:rsid w:val="003836A8"/>
    <w:rsid w:val="0038723B"/>
    <w:rsid w:val="00387435"/>
    <w:rsid w:val="003B01E1"/>
    <w:rsid w:val="003B1F48"/>
    <w:rsid w:val="003B533D"/>
    <w:rsid w:val="003D31BB"/>
    <w:rsid w:val="003D75FD"/>
    <w:rsid w:val="003E0C2B"/>
    <w:rsid w:val="003E4106"/>
    <w:rsid w:val="004130F1"/>
    <w:rsid w:val="0041626C"/>
    <w:rsid w:val="004237AF"/>
    <w:rsid w:val="0043093D"/>
    <w:rsid w:val="0045760E"/>
    <w:rsid w:val="00473769"/>
    <w:rsid w:val="004754E5"/>
    <w:rsid w:val="00482E1D"/>
    <w:rsid w:val="004C0B59"/>
    <w:rsid w:val="004D4F2B"/>
    <w:rsid w:val="004D5C01"/>
    <w:rsid w:val="004D66B6"/>
    <w:rsid w:val="004F0831"/>
    <w:rsid w:val="004F083A"/>
    <w:rsid w:val="00514857"/>
    <w:rsid w:val="0051587C"/>
    <w:rsid w:val="00550DA0"/>
    <w:rsid w:val="00562411"/>
    <w:rsid w:val="005678CC"/>
    <w:rsid w:val="00576FE7"/>
    <w:rsid w:val="005823BD"/>
    <w:rsid w:val="005A7019"/>
    <w:rsid w:val="005C7047"/>
    <w:rsid w:val="005E7E5E"/>
    <w:rsid w:val="005F53CD"/>
    <w:rsid w:val="005F7381"/>
    <w:rsid w:val="006062A5"/>
    <w:rsid w:val="00626057"/>
    <w:rsid w:val="0063359E"/>
    <w:rsid w:val="006347F0"/>
    <w:rsid w:val="00643414"/>
    <w:rsid w:val="00652D5C"/>
    <w:rsid w:val="006555B1"/>
    <w:rsid w:val="00656540"/>
    <w:rsid w:val="006606F6"/>
    <w:rsid w:val="00660EE5"/>
    <w:rsid w:val="00666044"/>
    <w:rsid w:val="0067139D"/>
    <w:rsid w:val="00674E80"/>
    <w:rsid w:val="00683F69"/>
    <w:rsid w:val="006852ED"/>
    <w:rsid w:val="00690968"/>
    <w:rsid w:val="0069644C"/>
    <w:rsid w:val="006A1802"/>
    <w:rsid w:val="006A71AF"/>
    <w:rsid w:val="006C4DF7"/>
    <w:rsid w:val="006F1FCD"/>
    <w:rsid w:val="0071553A"/>
    <w:rsid w:val="007231E8"/>
    <w:rsid w:val="0072742A"/>
    <w:rsid w:val="00727FE2"/>
    <w:rsid w:val="0079151A"/>
    <w:rsid w:val="00795E10"/>
    <w:rsid w:val="00796322"/>
    <w:rsid w:val="00796C8D"/>
    <w:rsid w:val="007C23FC"/>
    <w:rsid w:val="007D1725"/>
    <w:rsid w:val="007D3623"/>
    <w:rsid w:val="007E0E0C"/>
    <w:rsid w:val="007E1E18"/>
    <w:rsid w:val="0080714A"/>
    <w:rsid w:val="008114FD"/>
    <w:rsid w:val="008206AC"/>
    <w:rsid w:val="00822689"/>
    <w:rsid w:val="008501D8"/>
    <w:rsid w:val="00855DD1"/>
    <w:rsid w:val="00863481"/>
    <w:rsid w:val="00872ABB"/>
    <w:rsid w:val="00873A57"/>
    <w:rsid w:val="00886C68"/>
    <w:rsid w:val="00892278"/>
    <w:rsid w:val="0089504F"/>
    <w:rsid w:val="008A5FF8"/>
    <w:rsid w:val="008A7564"/>
    <w:rsid w:val="008B703A"/>
    <w:rsid w:val="008D6D1C"/>
    <w:rsid w:val="008F21F9"/>
    <w:rsid w:val="0090026C"/>
    <w:rsid w:val="00904770"/>
    <w:rsid w:val="00906E4B"/>
    <w:rsid w:val="0092216B"/>
    <w:rsid w:val="0093200B"/>
    <w:rsid w:val="00936EE0"/>
    <w:rsid w:val="00943BCA"/>
    <w:rsid w:val="00951583"/>
    <w:rsid w:val="00960062"/>
    <w:rsid w:val="00977B04"/>
    <w:rsid w:val="00982911"/>
    <w:rsid w:val="00990758"/>
    <w:rsid w:val="009B6DEB"/>
    <w:rsid w:val="009C0F5E"/>
    <w:rsid w:val="009C67E7"/>
    <w:rsid w:val="009F2471"/>
    <w:rsid w:val="009F2D10"/>
    <w:rsid w:val="00A1368B"/>
    <w:rsid w:val="00A149BD"/>
    <w:rsid w:val="00A234FB"/>
    <w:rsid w:val="00A24678"/>
    <w:rsid w:val="00A25DA0"/>
    <w:rsid w:val="00A329F2"/>
    <w:rsid w:val="00A3533E"/>
    <w:rsid w:val="00A41362"/>
    <w:rsid w:val="00A41FE5"/>
    <w:rsid w:val="00A52CA7"/>
    <w:rsid w:val="00A54325"/>
    <w:rsid w:val="00A55C28"/>
    <w:rsid w:val="00A65FCA"/>
    <w:rsid w:val="00A70529"/>
    <w:rsid w:val="00A80C5D"/>
    <w:rsid w:val="00A80E96"/>
    <w:rsid w:val="00A815DA"/>
    <w:rsid w:val="00A81D7C"/>
    <w:rsid w:val="00AA256A"/>
    <w:rsid w:val="00AA2641"/>
    <w:rsid w:val="00AA33F2"/>
    <w:rsid w:val="00AB270B"/>
    <w:rsid w:val="00AD070E"/>
    <w:rsid w:val="00AD4B36"/>
    <w:rsid w:val="00AE11C1"/>
    <w:rsid w:val="00AE3010"/>
    <w:rsid w:val="00AE5A81"/>
    <w:rsid w:val="00AF6D45"/>
    <w:rsid w:val="00B03954"/>
    <w:rsid w:val="00B06B7A"/>
    <w:rsid w:val="00B127B1"/>
    <w:rsid w:val="00B158B3"/>
    <w:rsid w:val="00B247AA"/>
    <w:rsid w:val="00B3739E"/>
    <w:rsid w:val="00B413A3"/>
    <w:rsid w:val="00B66412"/>
    <w:rsid w:val="00B66A8D"/>
    <w:rsid w:val="00BB73AA"/>
    <w:rsid w:val="00BC3E40"/>
    <w:rsid w:val="00BC594A"/>
    <w:rsid w:val="00BD0088"/>
    <w:rsid w:val="00BD5EE4"/>
    <w:rsid w:val="00BD6C0B"/>
    <w:rsid w:val="00BE07B3"/>
    <w:rsid w:val="00BE58C4"/>
    <w:rsid w:val="00BF66E6"/>
    <w:rsid w:val="00C11A48"/>
    <w:rsid w:val="00C2207F"/>
    <w:rsid w:val="00C26CC0"/>
    <w:rsid w:val="00C34360"/>
    <w:rsid w:val="00C377D7"/>
    <w:rsid w:val="00C60A74"/>
    <w:rsid w:val="00C66A5D"/>
    <w:rsid w:val="00C71652"/>
    <w:rsid w:val="00C829EA"/>
    <w:rsid w:val="00C84149"/>
    <w:rsid w:val="00C96DAB"/>
    <w:rsid w:val="00CC2397"/>
    <w:rsid w:val="00CE02B1"/>
    <w:rsid w:val="00CE508F"/>
    <w:rsid w:val="00CE7226"/>
    <w:rsid w:val="00CF29C6"/>
    <w:rsid w:val="00D02A17"/>
    <w:rsid w:val="00D03596"/>
    <w:rsid w:val="00D14E4E"/>
    <w:rsid w:val="00D24D9B"/>
    <w:rsid w:val="00D82D34"/>
    <w:rsid w:val="00D87D89"/>
    <w:rsid w:val="00D91199"/>
    <w:rsid w:val="00DA3BED"/>
    <w:rsid w:val="00DA4CDE"/>
    <w:rsid w:val="00DF01F9"/>
    <w:rsid w:val="00E22030"/>
    <w:rsid w:val="00E3403F"/>
    <w:rsid w:val="00E43C6D"/>
    <w:rsid w:val="00E46CA7"/>
    <w:rsid w:val="00E517D5"/>
    <w:rsid w:val="00E54734"/>
    <w:rsid w:val="00E70BE9"/>
    <w:rsid w:val="00E92E24"/>
    <w:rsid w:val="00E93482"/>
    <w:rsid w:val="00EE1F98"/>
    <w:rsid w:val="00EE25E7"/>
    <w:rsid w:val="00F24684"/>
    <w:rsid w:val="00F614E3"/>
    <w:rsid w:val="00F633EE"/>
    <w:rsid w:val="00F9758E"/>
    <w:rsid w:val="00FC30C8"/>
    <w:rsid w:val="00FC600F"/>
    <w:rsid w:val="00FC7D1A"/>
    <w:rsid w:val="00FD16DE"/>
    <w:rsid w:val="00FE08B1"/>
    <w:rsid w:val="00FE3A98"/>
    <w:rsid w:val="00FE667D"/>
    <w:rsid w:val="00FE7BA8"/>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D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C28"/>
    <w:rPr>
      <w:sz w:val="24"/>
      <w:szCs w:val="24"/>
    </w:rPr>
  </w:style>
  <w:style w:type="paragraph" w:styleId="Heading1">
    <w:name w:val="heading 1"/>
    <w:basedOn w:val="Normal"/>
    <w:next w:val="Normal"/>
    <w:qFormat/>
    <w:rsid w:val="00301854"/>
    <w:pPr>
      <w:pBdr>
        <w:top w:val="single" w:sz="24" w:space="1" w:color="auto"/>
        <w:left w:val="single" w:sz="24" w:space="4" w:color="auto"/>
        <w:bottom w:val="single" w:sz="24" w:space="1" w:color="auto"/>
        <w:right w:val="single" w:sz="24" w:space="4" w:color="auto"/>
      </w:pBdr>
      <w:jc w:val="center"/>
      <w:outlineLvl w:val="0"/>
    </w:pPr>
    <w:rPr>
      <w:rFonts w:ascii="Arial" w:hAnsi="Arial" w:cs="Arial"/>
      <w:b/>
      <w:sz w:val="28"/>
      <w:szCs w:val="28"/>
    </w:rPr>
  </w:style>
  <w:style w:type="paragraph" w:styleId="Heading2">
    <w:name w:val="heading 2"/>
    <w:basedOn w:val="Normal"/>
    <w:next w:val="Normal"/>
    <w:link w:val="Heading2Char"/>
    <w:unhideWhenUsed/>
    <w:qFormat/>
    <w:rsid w:val="00A55C28"/>
    <w:pPr>
      <w:keepNext/>
      <w:keepLines/>
      <w:spacing w:before="40" w:line="360" w:lineRule="auto"/>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Revision">
    <w:name w:val="Revision"/>
    <w:hidden/>
    <w:uiPriority w:val="99"/>
    <w:semiHidden/>
    <w:rsid w:val="00FE667D"/>
    <w:rPr>
      <w:sz w:val="24"/>
      <w:szCs w:val="24"/>
    </w:rPr>
  </w:style>
  <w:style w:type="character" w:styleId="UnresolvedMention">
    <w:name w:val="Unresolved Mention"/>
    <w:basedOn w:val="DefaultParagraphFont"/>
    <w:uiPriority w:val="99"/>
    <w:semiHidden/>
    <w:unhideWhenUsed/>
    <w:rsid w:val="000F2ADC"/>
    <w:rPr>
      <w:color w:val="605E5C"/>
      <w:shd w:val="clear" w:color="auto" w:fill="E1DFDD"/>
    </w:rPr>
  </w:style>
  <w:style w:type="paragraph" w:styleId="ListParagraph">
    <w:name w:val="List Paragraph"/>
    <w:basedOn w:val="Normal"/>
    <w:uiPriority w:val="34"/>
    <w:qFormat/>
    <w:rsid w:val="002A3643"/>
    <w:pPr>
      <w:ind w:left="720"/>
    </w:pPr>
    <w:rPr>
      <w:rFonts w:ascii="Calibri" w:eastAsiaTheme="minorHAnsi" w:hAnsi="Calibri" w:cs="Calibri"/>
      <w:sz w:val="22"/>
      <w:szCs w:val="22"/>
    </w:rPr>
  </w:style>
  <w:style w:type="character" w:customStyle="1" w:styleId="Heading2Char">
    <w:name w:val="Heading 2 Char"/>
    <w:basedOn w:val="DefaultParagraphFont"/>
    <w:link w:val="Heading2"/>
    <w:rsid w:val="00A55C28"/>
    <w:rPr>
      <w:rFonts w:ascii="Arial" w:eastAsiaTheme="majorEastAsia" w:hAnsi="Arial" w:cstheme="majorBidi"/>
      <w:b/>
      <w:sz w:val="24"/>
      <w:szCs w:val="26"/>
    </w:rPr>
  </w:style>
  <w:style w:type="character" w:customStyle="1" w:styleId="BodyTextChar">
    <w:name w:val="Body Text Char"/>
    <w:basedOn w:val="DefaultParagraphFont"/>
    <w:link w:val="BodyText"/>
    <w:rsid w:val="00301854"/>
    <w:rPr>
      <w:rFonts w:ascii="Arial" w:hAnsi="Arial"/>
      <w:sz w:val="24"/>
    </w:rPr>
  </w:style>
  <w:style w:type="paragraph" w:styleId="TOC2">
    <w:name w:val="toc 2"/>
    <w:basedOn w:val="Normal"/>
    <w:next w:val="Normal"/>
    <w:autoRedefine/>
    <w:uiPriority w:val="39"/>
    <w:rsid w:val="00CF29C6"/>
    <w:pPr>
      <w:tabs>
        <w:tab w:val="right" w:leader="dot" w:pos="8990"/>
      </w:tabs>
      <w:spacing w:after="240"/>
    </w:pPr>
  </w:style>
  <w:style w:type="paragraph" w:styleId="TOC1">
    <w:name w:val="toc 1"/>
    <w:basedOn w:val="Normal"/>
    <w:next w:val="Normal"/>
    <w:autoRedefine/>
    <w:uiPriority w:val="39"/>
    <w:rsid w:val="00FC600F"/>
    <w:pPr>
      <w:spacing w:after="240"/>
    </w:pPr>
    <w:rPr>
      <w:rFonts w:ascii="Arial" w:hAnsi="Arial"/>
    </w:rPr>
  </w:style>
  <w:style w:type="paragraph" w:styleId="TOCHeading">
    <w:name w:val="TOC Heading"/>
    <w:basedOn w:val="Heading1"/>
    <w:next w:val="Normal"/>
    <w:uiPriority w:val="39"/>
    <w:unhideWhenUsed/>
    <w:qFormat/>
    <w:rsid w:val="00FC600F"/>
    <w:pPr>
      <w:keepNext/>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FollowedHyperlink">
    <w:name w:val="FollowedHyperlink"/>
    <w:basedOn w:val="DefaultParagraphFont"/>
    <w:rsid w:val="00124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45930987">
      <w:bodyDiv w:val="1"/>
      <w:marLeft w:val="0"/>
      <w:marRight w:val="0"/>
      <w:marTop w:val="0"/>
      <w:marBottom w:val="0"/>
      <w:divBdr>
        <w:top w:val="none" w:sz="0" w:space="0" w:color="auto"/>
        <w:left w:val="none" w:sz="0" w:space="0" w:color="auto"/>
        <w:bottom w:val="none" w:sz="0" w:space="0" w:color="auto"/>
        <w:right w:val="none" w:sz="0" w:space="0" w:color="auto"/>
      </w:divBdr>
    </w:div>
    <w:div w:id="11997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moran@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ging.cde.ca.gov/ci/ct/gi/index.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ran@cde.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tet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7B42-86EF-468B-BD00-1D1C6908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CTE Incentive 2023 Report - General Information (CA Dept of Education)</vt:lpstr>
    </vt:vector>
  </TitlesOfParts>
  <Company/>
  <LinksUpToDate>false</LinksUpToDate>
  <CharactersWithSpaces>14855</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Incentive 2023 - General Information (CA Dept of Education)</dc:title>
  <dc:subject>Career Technical Education Iniitiative (CTEI) Report to the Governor, Legislature, and the Legislative Analyst’s Office.</dc:subject>
  <dc:creator/>
  <cp:keywords/>
  <dc:description/>
  <cp:lastModifiedBy/>
  <cp:revision>1</cp:revision>
  <dcterms:created xsi:type="dcterms:W3CDTF">2025-01-14T16:14:00Z</dcterms:created>
  <dcterms:modified xsi:type="dcterms:W3CDTF">2025-01-14T16:48:00Z</dcterms:modified>
</cp:coreProperties>
</file>