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C06B2" w14:textId="77777777" w:rsidR="00252848" w:rsidRPr="002A4623" w:rsidRDefault="00252848" w:rsidP="00345B55">
      <w:pPr>
        <w:pBdr>
          <w:top w:val="single" w:sz="24" w:space="1" w:color="auto"/>
          <w:left w:val="single" w:sz="24" w:space="4" w:color="auto"/>
          <w:bottom w:val="single" w:sz="24" w:space="1" w:color="auto"/>
          <w:right w:val="single" w:sz="24" w:space="4" w:color="auto"/>
        </w:pBdr>
        <w:spacing w:before="240" w:after="240" w:line="240" w:lineRule="auto"/>
        <w:jc w:val="both"/>
        <w:rPr>
          <w:rFonts w:ascii="Arial" w:eastAsia="Times New Roman" w:hAnsi="Arial" w:cs="Arial"/>
          <w:b/>
          <w:bCs/>
          <w:kern w:val="0"/>
          <w14:ligatures w14:val="none"/>
        </w:rPr>
      </w:pPr>
    </w:p>
    <w:p w14:paraId="529991E3" w14:textId="77777777" w:rsidR="00252848" w:rsidRPr="002A4623" w:rsidRDefault="00252848" w:rsidP="00345B55">
      <w:pPr>
        <w:pBdr>
          <w:top w:val="single" w:sz="24" w:space="1" w:color="auto"/>
          <w:left w:val="single" w:sz="24" w:space="4" w:color="auto"/>
          <w:bottom w:val="single" w:sz="24" w:space="1" w:color="auto"/>
          <w:right w:val="single" w:sz="24" w:space="4" w:color="auto"/>
        </w:pBdr>
        <w:spacing w:before="240" w:after="240" w:line="240" w:lineRule="auto"/>
        <w:jc w:val="center"/>
        <w:rPr>
          <w:rFonts w:ascii="Arial" w:eastAsia="Times New Roman" w:hAnsi="Arial" w:cs="Arial"/>
          <w:b/>
          <w:bCs/>
          <w:kern w:val="0"/>
          <w14:ligatures w14:val="none"/>
        </w:rPr>
      </w:pPr>
      <w:r w:rsidRPr="002A4623">
        <w:rPr>
          <w:rFonts w:ascii="Arial" w:eastAsia="Times New Roman" w:hAnsi="Arial" w:cs="Arial"/>
          <w:b/>
          <w:bCs/>
          <w:kern w:val="0"/>
          <w14:ligatures w14:val="none"/>
        </w:rPr>
        <w:t>California Department of Education</w:t>
      </w:r>
    </w:p>
    <w:p w14:paraId="687E8648" w14:textId="7636BD2F" w:rsidR="00252848" w:rsidRPr="002A4623" w:rsidRDefault="00252848" w:rsidP="00345B55">
      <w:pPr>
        <w:pBdr>
          <w:top w:val="single" w:sz="24" w:space="1" w:color="auto"/>
          <w:left w:val="single" w:sz="24" w:space="4" w:color="auto"/>
          <w:bottom w:val="single" w:sz="24" w:space="1" w:color="auto"/>
          <w:right w:val="single" w:sz="24" w:space="4" w:color="auto"/>
        </w:pBdr>
        <w:spacing w:before="240" w:after="240" w:line="240" w:lineRule="auto"/>
        <w:jc w:val="center"/>
        <w:outlineLvl w:val="0"/>
        <w:rPr>
          <w:rFonts w:ascii="Arial" w:eastAsia="Times New Roman" w:hAnsi="Arial" w:cs="Arial"/>
          <w:b/>
          <w:kern w:val="0"/>
          <w14:ligatures w14:val="none"/>
        </w:rPr>
      </w:pPr>
      <w:bookmarkStart w:id="0" w:name="_Hlk209167264"/>
      <w:r w:rsidRPr="002A4623">
        <w:rPr>
          <w:rFonts w:ascii="Arial" w:eastAsia="Times New Roman" w:hAnsi="Arial" w:cs="Arial"/>
          <w:b/>
          <w:kern w:val="0"/>
          <w14:ligatures w14:val="none"/>
        </w:rPr>
        <w:t>Report to the Legislature,</w:t>
      </w:r>
      <w:r w:rsidR="00941030">
        <w:rPr>
          <w:rFonts w:ascii="Arial" w:eastAsia="Times New Roman" w:hAnsi="Arial" w:cs="Arial"/>
          <w:b/>
          <w:kern w:val="0"/>
          <w14:ligatures w14:val="none"/>
        </w:rPr>
        <w:t xml:space="preserve"> the</w:t>
      </w:r>
      <w:r w:rsidRPr="002A4623">
        <w:rPr>
          <w:rFonts w:ascii="Arial" w:eastAsia="Times New Roman" w:hAnsi="Arial" w:cs="Arial"/>
          <w:b/>
          <w:kern w:val="0"/>
          <w14:ligatures w14:val="none"/>
        </w:rPr>
        <w:t xml:space="preserve"> </w:t>
      </w:r>
      <w:r w:rsidR="00941030">
        <w:rPr>
          <w:rFonts w:ascii="Arial" w:eastAsia="Times New Roman" w:hAnsi="Arial" w:cs="Arial"/>
          <w:b/>
          <w:kern w:val="0"/>
          <w14:ligatures w14:val="none"/>
        </w:rPr>
        <w:t>Department of Finance, and the State Board of Education</w:t>
      </w:r>
      <w:r w:rsidRPr="002A4623">
        <w:rPr>
          <w:rFonts w:ascii="Arial" w:eastAsia="Times New Roman" w:hAnsi="Arial" w:cs="Arial"/>
          <w:b/>
          <w:kern w:val="0"/>
          <w14:ligatures w14:val="none"/>
        </w:rPr>
        <w:t>: Career Technical Education Program</w:t>
      </w:r>
      <w:r w:rsidR="008A6E8E">
        <w:rPr>
          <w:rFonts w:ascii="Arial" w:eastAsia="Times New Roman" w:hAnsi="Arial" w:cs="Arial"/>
          <w:b/>
          <w:kern w:val="0"/>
          <w14:ligatures w14:val="none"/>
        </w:rPr>
        <w:t>s</w:t>
      </w:r>
    </w:p>
    <w:bookmarkEnd w:id="0"/>
    <w:p w14:paraId="58F269AC" w14:textId="77777777" w:rsidR="00252848" w:rsidRPr="002A4623" w:rsidRDefault="00252848" w:rsidP="00345B55">
      <w:pPr>
        <w:pBdr>
          <w:top w:val="single" w:sz="24" w:space="1" w:color="auto"/>
          <w:left w:val="single" w:sz="24" w:space="4" w:color="auto"/>
          <w:bottom w:val="single" w:sz="24" w:space="1" w:color="auto"/>
          <w:right w:val="single" w:sz="24" w:space="4" w:color="auto"/>
        </w:pBdr>
        <w:spacing w:before="240" w:after="240" w:line="240" w:lineRule="auto"/>
        <w:jc w:val="center"/>
        <w:rPr>
          <w:rFonts w:ascii="Arial" w:eastAsia="Times New Roman" w:hAnsi="Arial" w:cs="Arial"/>
          <w:b/>
          <w:bCs/>
          <w:kern w:val="0"/>
          <w14:ligatures w14:val="none"/>
        </w:rPr>
      </w:pPr>
      <w:r w:rsidRPr="002A4623">
        <w:rPr>
          <w:rFonts w:ascii="Arial" w:eastAsia="Times New Roman" w:hAnsi="Arial" w:cs="Arial"/>
          <w:color w:val="C0C0C0"/>
          <w:kern w:val="0"/>
          <w14:ligatures w14:val="none"/>
        </w:rPr>
        <w:object w:dxaOrig="5999" w:dyaOrig="5999" w14:anchorId="5344C3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mage of the Seal for the State of California Department of Education." style="width:179.5pt;height:179.5pt" o:ole="">
            <v:imagedata r:id="rId6" o:title=""/>
          </v:shape>
          <o:OLEObject Type="Embed" ProgID="MSPhotoEd.3" ShapeID="_x0000_i1025" DrawAspect="Content" ObjectID="_1823083771" r:id="rId7"/>
        </w:object>
      </w:r>
    </w:p>
    <w:p w14:paraId="66CCCC71" w14:textId="77777777" w:rsidR="00252848" w:rsidRPr="002A4623" w:rsidRDefault="00252848" w:rsidP="00345B55">
      <w:pPr>
        <w:pBdr>
          <w:top w:val="single" w:sz="24" w:space="1" w:color="auto"/>
          <w:left w:val="single" w:sz="24" w:space="4" w:color="auto"/>
          <w:bottom w:val="single" w:sz="24" w:space="1" w:color="auto"/>
          <w:right w:val="single" w:sz="24" w:space="4" w:color="auto"/>
        </w:pBdr>
        <w:spacing w:before="240" w:after="240" w:line="240" w:lineRule="auto"/>
        <w:jc w:val="center"/>
        <w:rPr>
          <w:rFonts w:ascii="Arial" w:eastAsia="Times New Roman" w:hAnsi="Arial" w:cs="Arial"/>
          <w:b/>
          <w:bCs/>
          <w:iCs/>
          <w:kern w:val="0"/>
          <w14:ligatures w14:val="none"/>
        </w:rPr>
      </w:pPr>
      <w:r w:rsidRPr="002A4623">
        <w:rPr>
          <w:rFonts w:ascii="Arial" w:eastAsia="Times New Roman" w:hAnsi="Arial" w:cs="Arial"/>
          <w:b/>
          <w:bCs/>
          <w:iCs/>
          <w:kern w:val="0"/>
          <w14:ligatures w14:val="none"/>
        </w:rPr>
        <w:t>Prepared by:</w:t>
      </w:r>
    </w:p>
    <w:p w14:paraId="59CBE689" w14:textId="77777777" w:rsidR="00252848" w:rsidRPr="002A4623" w:rsidRDefault="00252848" w:rsidP="00345B55">
      <w:pPr>
        <w:pBdr>
          <w:top w:val="single" w:sz="24" w:space="1" w:color="auto"/>
          <w:left w:val="single" w:sz="24" w:space="4" w:color="auto"/>
          <w:bottom w:val="single" w:sz="24" w:space="1" w:color="auto"/>
          <w:right w:val="single" w:sz="24" w:space="4" w:color="auto"/>
        </w:pBdr>
        <w:spacing w:before="240" w:after="240" w:line="240" w:lineRule="auto"/>
        <w:jc w:val="center"/>
        <w:rPr>
          <w:rFonts w:ascii="Arial" w:eastAsia="Times New Roman" w:hAnsi="Arial" w:cs="Arial"/>
          <w:b/>
          <w:bCs/>
          <w:kern w:val="0"/>
          <w14:ligatures w14:val="none"/>
        </w:rPr>
      </w:pPr>
      <w:r w:rsidRPr="002A4623">
        <w:rPr>
          <w:rFonts w:ascii="Arial" w:eastAsia="Times New Roman" w:hAnsi="Arial" w:cs="Arial"/>
          <w:b/>
          <w:bCs/>
          <w:kern w:val="0"/>
          <w14:ligatures w14:val="none"/>
        </w:rPr>
        <w:t>Career and College Transition Division</w:t>
      </w:r>
    </w:p>
    <w:p w14:paraId="7E580DA7" w14:textId="05E5122D" w:rsidR="00252848" w:rsidRPr="002A4623" w:rsidRDefault="00252848" w:rsidP="00345B55">
      <w:pPr>
        <w:pBdr>
          <w:top w:val="single" w:sz="24" w:space="1" w:color="auto"/>
          <w:left w:val="single" w:sz="24" w:space="4" w:color="auto"/>
          <w:bottom w:val="single" w:sz="24" w:space="1" w:color="auto"/>
          <w:right w:val="single" w:sz="24" w:space="4" w:color="auto"/>
        </w:pBdr>
        <w:spacing w:before="240" w:after="240" w:line="240" w:lineRule="auto"/>
        <w:jc w:val="center"/>
        <w:rPr>
          <w:rFonts w:ascii="Arial" w:eastAsia="Times New Roman" w:hAnsi="Arial" w:cs="Arial"/>
          <w:iCs/>
          <w:kern w:val="0"/>
          <w14:ligatures w14:val="none"/>
        </w:rPr>
      </w:pPr>
      <w:r w:rsidRPr="002A4623">
        <w:rPr>
          <w:rFonts w:ascii="Arial" w:eastAsia="Times New Roman" w:hAnsi="Arial" w:cs="Arial"/>
          <w:iCs/>
          <w:kern w:val="0"/>
          <w14:ligatures w14:val="none"/>
        </w:rPr>
        <w:t>September 12, 2025</w:t>
      </w:r>
    </w:p>
    <w:p w14:paraId="1310B17D" w14:textId="0B5306A1" w:rsidR="00252848" w:rsidRPr="002A4623" w:rsidRDefault="00252848" w:rsidP="00345B55">
      <w:pPr>
        <w:pBdr>
          <w:top w:val="single" w:sz="24" w:space="1" w:color="auto"/>
          <w:left w:val="single" w:sz="24" w:space="4" w:color="auto"/>
          <w:bottom w:val="single" w:sz="24" w:space="1" w:color="auto"/>
          <w:right w:val="single" w:sz="24" w:space="4" w:color="auto"/>
        </w:pBdr>
        <w:spacing w:before="240" w:after="240" w:line="240" w:lineRule="auto"/>
        <w:rPr>
          <w:rFonts w:ascii="Arial" w:eastAsia="Times New Roman" w:hAnsi="Arial" w:cs="Arial"/>
          <w:kern w:val="0"/>
          <w:lang w:bidi="en-US"/>
          <w14:ligatures w14:val="none"/>
        </w:rPr>
      </w:pPr>
      <w:r w:rsidRPr="002A4623">
        <w:rPr>
          <w:rFonts w:ascii="Arial" w:eastAsia="Times New Roman" w:hAnsi="Arial" w:cs="Arial"/>
          <w:i/>
          <w:kern w:val="0"/>
          <w:lang w:bidi="en-US"/>
          <w14:ligatures w14:val="none"/>
        </w:rPr>
        <w:t>Description</w:t>
      </w:r>
      <w:r w:rsidRPr="002A4623">
        <w:rPr>
          <w:rFonts w:ascii="Arial" w:eastAsia="Times New Roman" w:hAnsi="Arial" w:cs="Arial"/>
          <w:kern w:val="0"/>
          <w:lang w:bidi="en-US"/>
          <w14:ligatures w14:val="none"/>
        </w:rPr>
        <w:t>: Career Technical Education Program</w:t>
      </w:r>
      <w:r w:rsidR="008A6E8E">
        <w:rPr>
          <w:rFonts w:ascii="Arial" w:eastAsia="Times New Roman" w:hAnsi="Arial" w:cs="Arial"/>
          <w:kern w:val="0"/>
          <w:lang w:bidi="en-US"/>
          <w14:ligatures w14:val="none"/>
        </w:rPr>
        <w:t>s</w:t>
      </w:r>
      <w:r w:rsidRPr="002A4623">
        <w:rPr>
          <w:rFonts w:ascii="Arial" w:eastAsia="Times New Roman" w:hAnsi="Arial" w:cs="Arial"/>
          <w:kern w:val="0"/>
          <w:lang w:bidi="en-US"/>
          <w14:ligatures w14:val="none"/>
        </w:rPr>
        <w:t xml:space="preserve"> Information</w:t>
      </w:r>
    </w:p>
    <w:p w14:paraId="0275B898" w14:textId="5524F1BA" w:rsidR="00252848" w:rsidRPr="002A4623" w:rsidRDefault="00252848" w:rsidP="00345B55">
      <w:pPr>
        <w:pBdr>
          <w:top w:val="single" w:sz="24" w:space="1" w:color="auto"/>
          <w:left w:val="single" w:sz="24" w:space="4" w:color="auto"/>
          <w:bottom w:val="single" w:sz="24" w:space="1" w:color="auto"/>
          <w:right w:val="single" w:sz="24" w:space="4" w:color="auto"/>
        </w:pBdr>
        <w:spacing w:before="240" w:after="240" w:line="240" w:lineRule="auto"/>
        <w:jc w:val="both"/>
        <w:rPr>
          <w:rFonts w:ascii="Arial" w:eastAsia="Times New Roman" w:hAnsi="Arial" w:cs="Arial"/>
          <w:kern w:val="0"/>
          <w:lang w:bidi="en-US"/>
          <w14:ligatures w14:val="none"/>
        </w:rPr>
      </w:pPr>
      <w:r w:rsidRPr="002A4623">
        <w:rPr>
          <w:rFonts w:ascii="Arial" w:eastAsia="Times New Roman" w:hAnsi="Arial" w:cs="Arial"/>
          <w:i/>
          <w:kern w:val="0"/>
          <w:lang w:bidi="en-US"/>
          <w14:ligatures w14:val="none"/>
        </w:rPr>
        <w:t>Authority</w:t>
      </w:r>
      <w:r w:rsidRPr="002A4623">
        <w:rPr>
          <w:rFonts w:ascii="Arial" w:eastAsia="Times New Roman" w:hAnsi="Arial" w:cs="Arial"/>
          <w:kern w:val="0"/>
          <w:lang w:bidi="en-US"/>
          <w14:ligatures w14:val="none"/>
        </w:rPr>
        <w:t>: Assembly Bill 121 (2025) Sec. 69</w:t>
      </w:r>
    </w:p>
    <w:p w14:paraId="79374AD3" w14:textId="3820390C" w:rsidR="00252848" w:rsidRPr="002A4623" w:rsidRDefault="00252848" w:rsidP="008A6E8E">
      <w:pPr>
        <w:pBdr>
          <w:top w:val="single" w:sz="24" w:space="1" w:color="auto"/>
          <w:left w:val="single" w:sz="24" w:space="4" w:color="auto"/>
          <w:bottom w:val="single" w:sz="24" w:space="1" w:color="auto"/>
          <w:right w:val="single" w:sz="24" w:space="4" w:color="auto"/>
        </w:pBdr>
        <w:spacing w:before="240" w:after="240" w:line="240" w:lineRule="auto"/>
        <w:rPr>
          <w:rFonts w:ascii="Arial" w:eastAsia="Times New Roman" w:hAnsi="Arial" w:cs="Arial"/>
          <w:kern w:val="0"/>
          <w:lang w:bidi="en-US"/>
          <w14:ligatures w14:val="none"/>
        </w:rPr>
      </w:pPr>
      <w:r w:rsidRPr="002A4623">
        <w:rPr>
          <w:rFonts w:ascii="Arial" w:eastAsia="Times New Roman" w:hAnsi="Arial" w:cs="Arial"/>
          <w:i/>
          <w:kern w:val="0"/>
          <w:lang w:bidi="en-US"/>
          <w14:ligatures w14:val="none"/>
        </w:rPr>
        <w:t>Recipient</w:t>
      </w:r>
      <w:r w:rsidRPr="002A4623">
        <w:rPr>
          <w:rFonts w:ascii="Arial" w:eastAsia="Times New Roman" w:hAnsi="Arial" w:cs="Arial"/>
          <w:kern w:val="0"/>
          <w:lang w:bidi="en-US"/>
          <w14:ligatures w14:val="none"/>
        </w:rPr>
        <w:t>: The chairs of the relevant policy committees and budget subcommittees of the Legislature, the executive director of the State Board of Education, and the Director of Finance</w:t>
      </w:r>
      <w:r w:rsidRPr="002A4623">
        <w:rPr>
          <w:rFonts w:ascii="Arial" w:eastAsia="Times New Roman" w:hAnsi="Arial" w:cs="Arial"/>
          <w:kern w:val="0"/>
          <w14:ligatures w14:val="none"/>
        </w:rPr>
        <w:t>.</w:t>
      </w:r>
    </w:p>
    <w:p w14:paraId="593E75EB" w14:textId="7D6F8576" w:rsidR="00252848" w:rsidRPr="002A4623" w:rsidRDefault="00252848" w:rsidP="00345B55">
      <w:pPr>
        <w:pBdr>
          <w:top w:val="single" w:sz="24" w:space="1" w:color="auto"/>
          <w:left w:val="single" w:sz="24" w:space="4" w:color="auto"/>
          <w:bottom w:val="single" w:sz="24" w:space="1" w:color="auto"/>
          <w:right w:val="single" w:sz="24" w:space="4" w:color="auto"/>
        </w:pBdr>
        <w:spacing w:before="240" w:after="240" w:line="240" w:lineRule="auto"/>
        <w:jc w:val="both"/>
        <w:rPr>
          <w:rFonts w:ascii="Arial" w:eastAsia="Times New Roman" w:hAnsi="Arial" w:cs="Arial"/>
          <w:kern w:val="0"/>
          <w:lang w:bidi="en-US"/>
          <w14:ligatures w14:val="none"/>
        </w:rPr>
      </w:pPr>
      <w:r w:rsidRPr="002A4623">
        <w:rPr>
          <w:rFonts w:ascii="Arial" w:eastAsia="Times New Roman" w:hAnsi="Arial" w:cs="Arial"/>
          <w:i/>
          <w:kern w:val="0"/>
          <w:lang w:bidi="en-US"/>
          <w14:ligatures w14:val="none"/>
        </w:rPr>
        <w:t>Due Date</w:t>
      </w:r>
      <w:r w:rsidRPr="002A4623">
        <w:rPr>
          <w:rFonts w:ascii="Arial" w:eastAsia="Times New Roman" w:hAnsi="Arial" w:cs="Arial"/>
          <w:kern w:val="0"/>
          <w:lang w:bidi="en-US"/>
          <w14:ligatures w14:val="none"/>
        </w:rPr>
        <w:t xml:space="preserve">: </w:t>
      </w:r>
      <w:r w:rsidRPr="002A4623">
        <w:rPr>
          <w:rFonts w:ascii="Arial" w:eastAsia="Times New Roman" w:hAnsi="Arial" w:cs="Arial"/>
          <w:bCs/>
          <w:kern w:val="0"/>
          <w14:ligatures w14:val="none"/>
        </w:rPr>
        <w:t>October 15, 2025</w:t>
      </w:r>
    </w:p>
    <w:p w14:paraId="4C3E8D1D" w14:textId="77777777" w:rsidR="00252848" w:rsidRPr="002A4623" w:rsidRDefault="00252848" w:rsidP="00345B55">
      <w:pPr>
        <w:spacing w:before="240" w:after="240" w:line="240" w:lineRule="auto"/>
        <w:rPr>
          <w:rFonts w:ascii="Arial" w:eastAsia="Times New Roman" w:hAnsi="Arial" w:cs="Arial"/>
          <w:kern w:val="0"/>
          <w14:ligatures w14:val="none"/>
        </w:rPr>
      </w:pPr>
    </w:p>
    <w:p w14:paraId="16B87C16" w14:textId="77777777" w:rsidR="00252848" w:rsidRPr="002A4623" w:rsidRDefault="00252848" w:rsidP="00345B55">
      <w:pPr>
        <w:spacing w:before="240" w:after="240" w:line="240" w:lineRule="auto"/>
        <w:rPr>
          <w:rFonts w:ascii="Arial" w:eastAsia="Times New Roman" w:hAnsi="Arial" w:cs="Arial"/>
          <w:kern w:val="0"/>
          <w14:ligatures w14:val="none"/>
        </w:rPr>
        <w:sectPr w:rsidR="00252848" w:rsidRPr="002A4623" w:rsidSect="00252848">
          <w:footerReference w:type="default" r:id="rId8"/>
          <w:pgSz w:w="12240" w:h="15840"/>
          <w:pgMar w:top="1440" w:right="1440" w:bottom="1440" w:left="1800" w:header="720" w:footer="720" w:gutter="0"/>
          <w:cols w:space="720"/>
          <w:titlePg/>
          <w:docGrid w:linePitch="360"/>
        </w:sectPr>
      </w:pPr>
    </w:p>
    <w:p w14:paraId="3E7D16B5" w14:textId="77777777" w:rsidR="00252848" w:rsidRPr="002A4623" w:rsidRDefault="00252848" w:rsidP="00345B55">
      <w:pPr>
        <w:spacing w:before="240" w:after="240" w:line="240" w:lineRule="auto"/>
        <w:jc w:val="center"/>
        <w:rPr>
          <w:rFonts w:ascii="Arial" w:eastAsia="Times New Roman" w:hAnsi="Arial" w:cs="Arial"/>
          <w:b/>
          <w:kern w:val="0"/>
          <w14:ligatures w14:val="none"/>
        </w:rPr>
      </w:pPr>
      <w:r w:rsidRPr="002A4623">
        <w:rPr>
          <w:rFonts w:ascii="Arial" w:eastAsia="Times New Roman" w:hAnsi="Arial" w:cs="Arial"/>
          <w:b/>
          <w:kern w:val="0"/>
          <w14:ligatures w14:val="none"/>
        </w:rPr>
        <w:lastRenderedPageBreak/>
        <w:t>California Department of Education</w:t>
      </w:r>
    </w:p>
    <w:p w14:paraId="5FDCF8DD" w14:textId="2CC201BB" w:rsidR="00252848" w:rsidRPr="002A4623" w:rsidRDefault="00941030" w:rsidP="00345B55">
      <w:pPr>
        <w:spacing w:before="240" w:after="240" w:line="240" w:lineRule="auto"/>
        <w:jc w:val="center"/>
        <w:rPr>
          <w:rFonts w:ascii="Arial" w:eastAsia="Times New Roman" w:hAnsi="Arial" w:cs="Arial"/>
          <w:b/>
          <w:kern w:val="0"/>
          <w14:ligatures w14:val="none"/>
        </w:rPr>
      </w:pPr>
      <w:r w:rsidRPr="00941030">
        <w:rPr>
          <w:rFonts w:ascii="Arial" w:eastAsia="Times New Roman" w:hAnsi="Arial" w:cs="Arial"/>
          <w:b/>
          <w:kern w:val="0"/>
          <w14:ligatures w14:val="none"/>
        </w:rPr>
        <w:t>Report to the Legislature, the Department of Finance, and the State Board of Education: Career Technical Education Programs</w:t>
      </w:r>
    </w:p>
    <w:p w14:paraId="3B4431B1" w14:textId="77777777" w:rsidR="00252848" w:rsidRPr="002A4623" w:rsidRDefault="00252848" w:rsidP="00345B55">
      <w:pPr>
        <w:pStyle w:val="Heading2"/>
        <w:spacing w:before="240" w:after="240"/>
      </w:pPr>
      <w:bookmarkStart w:id="1" w:name="_Toc71891801"/>
      <w:bookmarkStart w:id="2" w:name="_Toc209166950"/>
      <w:r w:rsidRPr="002A4623">
        <w:t>Table of Contents</w:t>
      </w:r>
      <w:bookmarkEnd w:id="1"/>
      <w:bookmarkEnd w:id="2"/>
    </w:p>
    <w:sdt>
      <w:sdtPr>
        <w:rPr>
          <w:rFonts w:eastAsia="Times New Roman"/>
          <w:kern w:val="0"/>
          <w14:ligatures w14:val="none"/>
        </w:rPr>
        <w:id w:val="-1613277660"/>
        <w:docPartObj>
          <w:docPartGallery w:val="Table of Contents"/>
          <w:docPartUnique/>
        </w:docPartObj>
      </w:sdtPr>
      <w:sdtEndPr>
        <w:rPr>
          <w:rFonts w:ascii="Arial" w:hAnsi="Arial" w:cs="Arial"/>
          <w:noProof/>
        </w:rPr>
      </w:sdtEndPr>
      <w:sdtContent>
        <w:p w14:paraId="0386353F" w14:textId="7312D86B" w:rsidR="005E3279" w:rsidRPr="005E3279" w:rsidRDefault="00252848" w:rsidP="005E3279">
          <w:pPr>
            <w:pStyle w:val="TOC2"/>
            <w:rPr>
              <w:rFonts w:ascii="Arial" w:eastAsiaTheme="minorEastAsia" w:hAnsi="Arial" w:cs="Arial"/>
              <w:noProof/>
            </w:rPr>
          </w:pPr>
          <w:r w:rsidRPr="005E3279">
            <w:rPr>
              <w:rFonts w:ascii="Arial" w:eastAsia="Times New Roman" w:hAnsi="Arial" w:cs="Arial"/>
              <w:kern w:val="0"/>
              <w14:ligatures w14:val="none"/>
            </w:rPr>
            <w:fldChar w:fldCharType="begin"/>
          </w:r>
          <w:r w:rsidRPr="005E3279">
            <w:rPr>
              <w:rFonts w:ascii="Arial" w:eastAsia="Times New Roman" w:hAnsi="Arial" w:cs="Arial"/>
              <w:kern w:val="0"/>
              <w14:ligatures w14:val="none"/>
            </w:rPr>
            <w:instrText xml:space="preserve"> TOC \o "2-3" \h \z \u </w:instrText>
          </w:r>
          <w:r w:rsidRPr="005E3279">
            <w:rPr>
              <w:rFonts w:ascii="Arial" w:eastAsia="Times New Roman" w:hAnsi="Arial" w:cs="Arial"/>
              <w:kern w:val="0"/>
              <w14:ligatures w14:val="none"/>
            </w:rPr>
            <w:fldChar w:fldCharType="separate"/>
          </w:r>
          <w:hyperlink w:anchor="_Toc209166950" w:history="1">
            <w:r w:rsidR="005E3279" w:rsidRPr="005E3279">
              <w:rPr>
                <w:rStyle w:val="Hyperlink"/>
                <w:rFonts w:ascii="Arial" w:hAnsi="Arial" w:cs="Arial"/>
                <w:noProof/>
              </w:rPr>
              <w:t>Table of Contents</w:t>
            </w:r>
            <w:r w:rsidR="005E3279" w:rsidRPr="005E3279">
              <w:rPr>
                <w:rFonts w:ascii="Arial" w:hAnsi="Arial" w:cs="Arial"/>
                <w:noProof/>
                <w:webHidden/>
              </w:rPr>
              <w:tab/>
            </w:r>
            <w:r w:rsidR="005E3279" w:rsidRPr="005E3279">
              <w:rPr>
                <w:rFonts w:ascii="Arial" w:hAnsi="Arial" w:cs="Arial"/>
                <w:noProof/>
                <w:webHidden/>
              </w:rPr>
              <w:fldChar w:fldCharType="begin"/>
            </w:r>
            <w:r w:rsidR="005E3279" w:rsidRPr="005E3279">
              <w:rPr>
                <w:rFonts w:ascii="Arial" w:hAnsi="Arial" w:cs="Arial"/>
                <w:noProof/>
                <w:webHidden/>
              </w:rPr>
              <w:instrText xml:space="preserve"> PAGEREF _Toc209166950 \h </w:instrText>
            </w:r>
            <w:r w:rsidR="005E3279" w:rsidRPr="005E3279">
              <w:rPr>
                <w:rFonts w:ascii="Arial" w:hAnsi="Arial" w:cs="Arial"/>
                <w:noProof/>
                <w:webHidden/>
              </w:rPr>
            </w:r>
            <w:r w:rsidR="005E3279" w:rsidRPr="005E3279">
              <w:rPr>
                <w:rFonts w:ascii="Arial" w:hAnsi="Arial" w:cs="Arial"/>
                <w:noProof/>
                <w:webHidden/>
              </w:rPr>
              <w:fldChar w:fldCharType="separate"/>
            </w:r>
            <w:r w:rsidR="00543381">
              <w:rPr>
                <w:rFonts w:ascii="Arial" w:hAnsi="Arial" w:cs="Arial"/>
                <w:noProof/>
                <w:webHidden/>
              </w:rPr>
              <w:t>2</w:t>
            </w:r>
            <w:r w:rsidR="005E3279" w:rsidRPr="005E3279">
              <w:rPr>
                <w:rFonts w:ascii="Arial" w:hAnsi="Arial" w:cs="Arial"/>
                <w:noProof/>
                <w:webHidden/>
              </w:rPr>
              <w:fldChar w:fldCharType="end"/>
            </w:r>
          </w:hyperlink>
        </w:p>
        <w:p w14:paraId="4EB55C38" w14:textId="37525275" w:rsidR="005E3279" w:rsidRPr="005E3279" w:rsidRDefault="005E3279" w:rsidP="005E3279">
          <w:pPr>
            <w:pStyle w:val="TOC2"/>
            <w:rPr>
              <w:rFonts w:ascii="Arial" w:eastAsiaTheme="minorEastAsia" w:hAnsi="Arial" w:cs="Arial"/>
              <w:noProof/>
            </w:rPr>
          </w:pPr>
          <w:hyperlink w:anchor="_Toc209166951" w:history="1">
            <w:r w:rsidRPr="005E3279">
              <w:rPr>
                <w:rStyle w:val="Hyperlink"/>
                <w:rFonts w:ascii="Arial" w:hAnsi="Arial" w:cs="Arial"/>
                <w:noProof/>
              </w:rPr>
              <w:t>Executive Summary</w:t>
            </w:r>
            <w:r w:rsidRPr="005E3279">
              <w:rPr>
                <w:rFonts w:ascii="Arial" w:hAnsi="Arial" w:cs="Arial"/>
                <w:noProof/>
                <w:webHidden/>
              </w:rPr>
              <w:tab/>
            </w:r>
            <w:r w:rsidRPr="005E3279">
              <w:rPr>
                <w:rFonts w:ascii="Arial" w:hAnsi="Arial" w:cs="Arial"/>
                <w:noProof/>
                <w:webHidden/>
              </w:rPr>
              <w:fldChar w:fldCharType="begin"/>
            </w:r>
            <w:r w:rsidRPr="005E3279">
              <w:rPr>
                <w:rFonts w:ascii="Arial" w:hAnsi="Arial" w:cs="Arial"/>
                <w:noProof/>
                <w:webHidden/>
              </w:rPr>
              <w:instrText xml:space="preserve"> PAGEREF _Toc209166951 \h </w:instrText>
            </w:r>
            <w:r w:rsidRPr="005E3279">
              <w:rPr>
                <w:rFonts w:ascii="Arial" w:hAnsi="Arial" w:cs="Arial"/>
                <w:noProof/>
                <w:webHidden/>
              </w:rPr>
            </w:r>
            <w:r w:rsidRPr="005E3279">
              <w:rPr>
                <w:rFonts w:ascii="Arial" w:hAnsi="Arial" w:cs="Arial"/>
                <w:noProof/>
                <w:webHidden/>
              </w:rPr>
              <w:fldChar w:fldCharType="separate"/>
            </w:r>
            <w:r w:rsidR="00543381">
              <w:rPr>
                <w:rFonts w:ascii="Arial" w:hAnsi="Arial" w:cs="Arial"/>
                <w:noProof/>
                <w:webHidden/>
              </w:rPr>
              <w:t>3</w:t>
            </w:r>
            <w:r w:rsidRPr="005E3279">
              <w:rPr>
                <w:rFonts w:ascii="Arial" w:hAnsi="Arial" w:cs="Arial"/>
                <w:noProof/>
                <w:webHidden/>
              </w:rPr>
              <w:fldChar w:fldCharType="end"/>
            </w:r>
          </w:hyperlink>
        </w:p>
        <w:p w14:paraId="1E9FC23D" w14:textId="5C7456C9" w:rsidR="005E3279" w:rsidRPr="005E3279" w:rsidRDefault="005E3279" w:rsidP="005E3279">
          <w:pPr>
            <w:pStyle w:val="TOC2"/>
            <w:rPr>
              <w:rFonts w:ascii="Arial" w:eastAsiaTheme="minorEastAsia" w:hAnsi="Arial" w:cs="Arial"/>
              <w:noProof/>
            </w:rPr>
          </w:pPr>
          <w:hyperlink w:anchor="_Toc209166952" w:history="1">
            <w:r w:rsidRPr="005E3279">
              <w:rPr>
                <w:rStyle w:val="Hyperlink"/>
                <w:rFonts w:ascii="Arial" w:hAnsi="Arial" w:cs="Arial"/>
                <w:noProof/>
              </w:rPr>
              <w:t>Introduction</w:t>
            </w:r>
            <w:r w:rsidRPr="005E3279">
              <w:rPr>
                <w:rFonts w:ascii="Arial" w:hAnsi="Arial" w:cs="Arial"/>
                <w:noProof/>
                <w:webHidden/>
              </w:rPr>
              <w:tab/>
            </w:r>
            <w:r w:rsidRPr="005E3279">
              <w:rPr>
                <w:rFonts w:ascii="Arial" w:hAnsi="Arial" w:cs="Arial"/>
                <w:noProof/>
                <w:webHidden/>
              </w:rPr>
              <w:fldChar w:fldCharType="begin"/>
            </w:r>
            <w:r w:rsidRPr="005E3279">
              <w:rPr>
                <w:rFonts w:ascii="Arial" w:hAnsi="Arial" w:cs="Arial"/>
                <w:noProof/>
                <w:webHidden/>
              </w:rPr>
              <w:instrText xml:space="preserve"> PAGEREF _Toc209166952 \h </w:instrText>
            </w:r>
            <w:r w:rsidRPr="005E3279">
              <w:rPr>
                <w:rFonts w:ascii="Arial" w:hAnsi="Arial" w:cs="Arial"/>
                <w:noProof/>
                <w:webHidden/>
              </w:rPr>
            </w:r>
            <w:r w:rsidRPr="005E3279">
              <w:rPr>
                <w:rFonts w:ascii="Arial" w:hAnsi="Arial" w:cs="Arial"/>
                <w:noProof/>
                <w:webHidden/>
              </w:rPr>
              <w:fldChar w:fldCharType="separate"/>
            </w:r>
            <w:r w:rsidR="00543381">
              <w:rPr>
                <w:rFonts w:ascii="Arial" w:hAnsi="Arial" w:cs="Arial"/>
                <w:noProof/>
                <w:webHidden/>
              </w:rPr>
              <w:t>4</w:t>
            </w:r>
            <w:r w:rsidRPr="005E3279">
              <w:rPr>
                <w:rFonts w:ascii="Arial" w:hAnsi="Arial" w:cs="Arial"/>
                <w:noProof/>
                <w:webHidden/>
              </w:rPr>
              <w:fldChar w:fldCharType="end"/>
            </w:r>
          </w:hyperlink>
        </w:p>
        <w:p w14:paraId="71EB553B" w14:textId="012453F1" w:rsidR="005E3279" w:rsidRPr="005E3279" w:rsidRDefault="005E3279" w:rsidP="005E3279">
          <w:pPr>
            <w:pStyle w:val="TOC2"/>
            <w:rPr>
              <w:rFonts w:ascii="Arial" w:eastAsiaTheme="minorEastAsia" w:hAnsi="Arial" w:cs="Arial"/>
              <w:noProof/>
            </w:rPr>
          </w:pPr>
          <w:hyperlink w:anchor="_Toc209166953" w:history="1">
            <w:r w:rsidRPr="005E3279">
              <w:rPr>
                <w:rStyle w:val="Hyperlink"/>
                <w:rFonts w:ascii="Arial" w:hAnsi="Arial" w:cs="Arial"/>
                <w:noProof/>
              </w:rPr>
              <w:t>California CTE Grant Program Information</w:t>
            </w:r>
            <w:r w:rsidRPr="005E3279">
              <w:rPr>
                <w:rFonts w:ascii="Arial" w:hAnsi="Arial" w:cs="Arial"/>
                <w:noProof/>
                <w:webHidden/>
              </w:rPr>
              <w:tab/>
            </w:r>
            <w:r w:rsidRPr="005E3279">
              <w:rPr>
                <w:rFonts w:ascii="Arial" w:hAnsi="Arial" w:cs="Arial"/>
                <w:noProof/>
                <w:webHidden/>
              </w:rPr>
              <w:fldChar w:fldCharType="begin"/>
            </w:r>
            <w:r w:rsidRPr="005E3279">
              <w:rPr>
                <w:rFonts w:ascii="Arial" w:hAnsi="Arial" w:cs="Arial"/>
                <w:noProof/>
                <w:webHidden/>
              </w:rPr>
              <w:instrText xml:space="preserve"> PAGEREF _Toc209166953 \h </w:instrText>
            </w:r>
            <w:r w:rsidRPr="005E3279">
              <w:rPr>
                <w:rFonts w:ascii="Arial" w:hAnsi="Arial" w:cs="Arial"/>
                <w:noProof/>
                <w:webHidden/>
              </w:rPr>
            </w:r>
            <w:r w:rsidRPr="005E3279">
              <w:rPr>
                <w:rFonts w:ascii="Arial" w:hAnsi="Arial" w:cs="Arial"/>
                <w:noProof/>
                <w:webHidden/>
              </w:rPr>
              <w:fldChar w:fldCharType="separate"/>
            </w:r>
            <w:r w:rsidR="00543381">
              <w:rPr>
                <w:rFonts w:ascii="Arial" w:hAnsi="Arial" w:cs="Arial"/>
                <w:noProof/>
                <w:webHidden/>
              </w:rPr>
              <w:t>4</w:t>
            </w:r>
            <w:r w:rsidRPr="005E3279">
              <w:rPr>
                <w:rFonts w:ascii="Arial" w:hAnsi="Arial" w:cs="Arial"/>
                <w:noProof/>
                <w:webHidden/>
              </w:rPr>
              <w:fldChar w:fldCharType="end"/>
            </w:r>
          </w:hyperlink>
        </w:p>
        <w:p w14:paraId="6C31A5AD" w14:textId="5CAD8C75" w:rsidR="005E3279" w:rsidRPr="005E3279" w:rsidRDefault="005E3279" w:rsidP="005E3279">
          <w:pPr>
            <w:pStyle w:val="TOC3"/>
            <w:spacing w:before="240" w:after="240"/>
            <w:rPr>
              <w:rFonts w:eastAsiaTheme="minorEastAsia"/>
              <w:b w:val="0"/>
              <w:bCs w:val="0"/>
            </w:rPr>
          </w:pPr>
          <w:hyperlink w:anchor="_Toc209166954" w:history="1">
            <w:r w:rsidRPr="005E3279">
              <w:rPr>
                <w:rStyle w:val="Hyperlink"/>
                <w:b w:val="0"/>
                <w:bCs w:val="0"/>
              </w:rPr>
              <w:t>Strengthening Career and Technical Education for the 21st Century Act</w:t>
            </w:r>
            <w:r w:rsidRPr="005E3279">
              <w:rPr>
                <w:b w:val="0"/>
                <w:bCs w:val="0"/>
                <w:webHidden/>
              </w:rPr>
              <w:tab/>
            </w:r>
            <w:r w:rsidRPr="005E3279">
              <w:rPr>
                <w:b w:val="0"/>
                <w:bCs w:val="0"/>
                <w:webHidden/>
              </w:rPr>
              <w:fldChar w:fldCharType="begin"/>
            </w:r>
            <w:r w:rsidRPr="005E3279">
              <w:rPr>
                <w:b w:val="0"/>
                <w:bCs w:val="0"/>
                <w:webHidden/>
              </w:rPr>
              <w:instrText xml:space="preserve"> PAGEREF _Toc209166954 \h </w:instrText>
            </w:r>
            <w:r w:rsidRPr="005E3279">
              <w:rPr>
                <w:b w:val="0"/>
                <w:bCs w:val="0"/>
                <w:webHidden/>
              </w:rPr>
            </w:r>
            <w:r w:rsidRPr="005E3279">
              <w:rPr>
                <w:b w:val="0"/>
                <w:bCs w:val="0"/>
                <w:webHidden/>
              </w:rPr>
              <w:fldChar w:fldCharType="separate"/>
            </w:r>
            <w:r w:rsidR="00543381">
              <w:rPr>
                <w:b w:val="0"/>
                <w:bCs w:val="0"/>
                <w:webHidden/>
              </w:rPr>
              <w:t>4</w:t>
            </w:r>
            <w:r w:rsidRPr="005E3279">
              <w:rPr>
                <w:b w:val="0"/>
                <w:bCs w:val="0"/>
                <w:webHidden/>
              </w:rPr>
              <w:fldChar w:fldCharType="end"/>
            </w:r>
          </w:hyperlink>
        </w:p>
        <w:p w14:paraId="47ADD7C1" w14:textId="54B27513" w:rsidR="005E3279" w:rsidRPr="005E3279" w:rsidRDefault="005E3279" w:rsidP="005E3279">
          <w:pPr>
            <w:pStyle w:val="TOC3"/>
            <w:spacing w:before="240" w:after="240"/>
            <w:rPr>
              <w:rFonts w:eastAsiaTheme="minorEastAsia"/>
              <w:b w:val="0"/>
              <w:bCs w:val="0"/>
            </w:rPr>
          </w:pPr>
          <w:hyperlink w:anchor="_Toc209166955" w:history="1">
            <w:r w:rsidRPr="005E3279">
              <w:rPr>
                <w:rStyle w:val="Hyperlink"/>
                <w:b w:val="0"/>
                <w:bCs w:val="0"/>
              </w:rPr>
              <w:t>Career Technical Education Incentive Grant</w:t>
            </w:r>
            <w:r w:rsidRPr="005E3279">
              <w:rPr>
                <w:b w:val="0"/>
                <w:bCs w:val="0"/>
                <w:webHidden/>
              </w:rPr>
              <w:tab/>
            </w:r>
            <w:r w:rsidRPr="005E3279">
              <w:rPr>
                <w:b w:val="0"/>
                <w:bCs w:val="0"/>
                <w:webHidden/>
              </w:rPr>
              <w:fldChar w:fldCharType="begin"/>
            </w:r>
            <w:r w:rsidRPr="005E3279">
              <w:rPr>
                <w:b w:val="0"/>
                <w:bCs w:val="0"/>
                <w:webHidden/>
              </w:rPr>
              <w:instrText xml:space="preserve"> PAGEREF _Toc209166955 \h </w:instrText>
            </w:r>
            <w:r w:rsidRPr="005E3279">
              <w:rPr>
                <w:b w:val="0"/>
                <w:bCs w:val="0"/>
                <w:webHidden/>
              </w:rPr>
            </w:r>
            <w:r w:rsidRPr="005E3279">
              <w:rPr>
                <w:b w:val="0"/>
                <w:bCs w:val="0"/>
                <w:webHidden/>
              </w:rPr>
              <w:fldChar w:fldCharType="separate"/>
            </w:r>
            <w:r w:rsidR="00543381">
              <w:rPr>
                <w:b w:val="0"/>
                <w:bCs w:val="0"/>
                <w:webHidden/>
              </w:rPr>
              <w:t>5</w:t>
            </w:r>
            <w:r w:rsidRPr="005E3279">
              <w:rPr>
                <w:b w:val="0"/>
                <w:bCs w:val="0"/>
                <w:webHidden/>
              </w:rPr>
              <w:fldChar w:fldCharType="end"/>
            </w:r>
          </w:hyperlink>
        </w:p>
        <w:p w14:paraId="733AF554" w14:textId="4FB3B29A" w:rsidR="005E3279" w:rsidRPr="005E3279" w:rsidRDefault="005E3279" w:rsidP="005E3279">
          <w:pPr>
            <w:pStyle w:val="TOC3"/>
            <w:spacing w:before="240" w:after="240"/>
            <w:rPr>
              <w:rFonts w:eastAsiaTheme="minorEastAsia"/>
              <w:b w:val="0"/>
              <w:bCs w:val="0"/>
            </w:rPr>
          </w:pPr>
          <w:hyperlink w:anchor="_Toc209166956" w:history="1">
            <w:r w:rsidRPr="005E3279">
              <w:rPr>
                <w:rStyle w:val="Hyperlink"/>
                <w:b w:val="0"/>
                <w:bCs w:val="0"/>
              </w:rPr>
              <w:t>Middle School Foundation Academies</w:t>
            </w:r>
            <w:r w:rsidRPr="005E3279">
              <w:rPr>
                <w:b w:val="0"/>
                <w:bCs w:val="0"/>
                <w:webHidden/>
              </w:rPr>
              <w:tab/>
            </w:r>
            <w:r w:rsidRPr="005E3279">
              <w:rPr>
                <w:b w:val="0"/>
                <w:bCs w:val="0"/>
                <w:webHidden/>
              </w:rPr>
              <w:fldChar w:fldCharType="begin"/>
            </w:r>
            <w:r w:rsidRPr="005E3279">
              <w:rPr>
                <w:b w:val="0"/>
                <w:bCs w:val="0"/>
                <w:webHidden/>
              </w:rPr>
              <w:instrText xml:space="preserve"> PAGEREF _Toc209166956 \h </w:instrText>
            </w:r>
            <w:r w:rsidRPr="005E3279">
              <w:rPr>
                <w:b w:val="0"/>
                <w:bCs w:val="0"/>
                <w:webHidden/>
              </w:rPr>
            </w:r>
            <w:r w:rsidRPr="005E3279">
              <w:rPr>
                <w:b w:val="0"/>
                <w:bCs w:val="0"/>
                <w:webHidden/>
              </w:rPr>
              <w:fldChar w:fldCharType="separate"/>
            </w:r>
            <w:r w:rsidR="00543381">
              <w:rPr>
                <w:b w:val="0"/>
                <w:bCs w:val="0"/>
                <w:webHidden/>
              </w:rPr>
              <w:t>6</w:t>
            </w:r>
            <w:r w:rsidRPr="005E3279">
              <w:rPr>
                <w:b w:val="0"/>
                <w:bCs w:val="0"/>
                <w:webHidden/>
              </w:rPr>
              <w:fldChar w:fldCharType="end"/>
            </w:r>
          </w:hyperlink>
        </w:p>
        <w:p w14:paraId="37E29F23" w14:textId="57687CE4" w:rsidR="005E3279" w:rsidRPr="005E3279" w:rsidRDefault="005E3279" w:rsidP="005E3279">
          <w:pPr>
            <w:pStyle w:val="TOC3"/>
            <w:spacing w:before="240" w:after="240"/>
            <w:rPr>
              <w:rFonts w:eastAsiaTheme="minorEastAsia"/>
              <w:b w:val="0"/>
              <w:bCs w:val="0"/>
            </w:rPr>
          </w:pPr>
          <w:hyperlink w:anchor="_Toc209166957" w:history="1">
            <w:r w:rsidRPr="005E3279">
              <w:rPr>
                <w:rStyle w:val="Hyperlink"/>
                <w:b w:val="0"/>
                <w:bCs w:val="0"/>
              </w:rPr>
              <w:t>Specialized Secondary Programs</w:t>
            </w:r>
            <w:r w:rsidRPr="005E3279">
              <w:rPr>
                <w:b w:val="0"/>
                <w:bCs w:val="0"/>
                <w:webHidden/>
              </w:rPr>
              <w:tab/>
            </w:r>
            <w:r w:rsidRPr="005E3279">
              <w:rPr>
                <w:b w:val="0"/>
                <w:bCs w:val="0"/>
                <w:webHidden/>
              </w:rPr>
              <w:fldChar w:fldCharType="begin"/>
            </w:r>
            <w:r w:rsidRPr="005E3279">
              <w:rPr>
                <w:b w:val="0"/>
                <w:bCs w:val="0"/>
                <w:webHidden/>
              </w:rPr>
              <w:instrText xml:space="preserve"> PAGEREF _Toc209166957 \h </w:instrText>
            </w:r>
            <w:r w:rsidRPr="005E3279">
              <w:rPr>
                <w:b w:val="0"/>
                <w:bCs w:val="0"/>
                <w:webHidden/>
              </w:rPr>
            </w:r>
            <w:r w:rsidRPr="005E3279">
              <w:rPr>
                <w:b w:val="0"/>
                <w:bCs w:val="0"/>
                <w:webHidden/>
              </w:rPr>
              <w:fldChar w:fldCharType="separate"/>
            </w:r>
            <w:r w:rsidR="00543381">
              <w:rPr>
                <w:b w:val="0"/>
                <w:bCs w:val="0"/>
                <w:webHidden/>
              </w:rPr>
              <w:t>8</w:t>
            </w:r>
            <w:r w:rsidRPr="005E3279">
              <w:rPr>
                <w:b w:val="0"/>
                <w:bCs w:val="0"/>
                <w:webHidden/>
              </w:rPr>
              <w:fldChar w:fldCharType="end"/>
            </w:r>
          </w:hyperlink>
        </w:p>
        <w:p w14:paraId="0BFFD2DE" w14:textId="3FFD8F8F" w:rsidR="005E3279" w:rsidRPr="005E3279" w:rsidRDefault="005E3279" w:rsidP="005E3279">
          <w:pPr>
            <w:pStyle w:val="TOC3"/>
            <w:spacing w:before="240" w:after="240"/>
            <w:rPr>
              <w:rFonts w:eastAsiaTheme="minorEastAsia"/>
              <w:b w:val="0"/>
              <w:bCs w:val="0"/>
            </w:rPr>
          </w:pPr>
          <w:hyperlink w:anchor="_Toc209166958" w:history="1">
            <w:r w:rsidRPr="005E3279">
              <w:rPr>
                <w:rStyle w:val="Hyperlink"/>
                <w:rFonts w:eastAsia="Times New Roman"/>
                <w:b w:val="0"/>
                <w:bCs w:val="0"/>
              </w:rPr>
              <w:t>Arts, Media, and Entertainment – Hip Hop Education and Equity Initiative</w:t>
            </w:r>
            <w:r w:rsidRPr="005E3279">
              <w:rPr>
                <w:b w:val="0"/>
                <w:bCs w:val="0"/>
                <w:webHidden/>
              </w:rPr>
              <w:tab/>
            </w:r>
            <w:r w:rsidRPr="005E3279">
              <w:rPr>
                <w:b w:val="0"/>
                <w:bCs w:val="0"/>
                <w:webHidden/>
              </w:rPr>
              <w:fldChar w:fldCharType="begin"/>
            </w:r>
            <w:r w:rsidRPr="005E3279">
              <w:rPr>
                <w:b w:val="0"/>
                <w:bCs w:val="0"/>
                <w:webHidden/>
              </w:rPr>
              <w:instrText xml:space="preserve"> PAGEREF _Toc209166958 \h </w:instrText>
            </w:r>
            <w:r w:rsidRPr="005E3279">
              <w:rPr>
                <w:b w:val="0"/>
                <w:bCs w:val="0"/>
                <w:webHidden/>
              </w:rPr>
            </w:r>
            <w:r w:rsidRPr="005E3279">
              <w:rPr>
                <w:b w:val="0"/>
                <w:bCs w:val="0"/>
                <w:webHidden/>
              </w:rPr>
              <w:fldChar w:fldCharType="separate"/>
            </w:r>
            <w:r w:rsidR="00543381">
              <w:rPr>
                <w:b w:val="0"/>
                <w:bCs w:val="0"/>
                <w:webHidden/>
              </w:rPr>
              <w:t>10</w:t>
            </w:r>
            <w:r w:rsidRPr="005E3279">
              <w:rPr>
                <w:b w:val="0"/>
                <w:bCs w:val="0"/>
                <w:webHidden/>
              </w:rPr>
              <w:fldChar w:fldCharType="end"/>
            </w:r>
          </w:hyperlink>
        </w:p>
        <w:p w14:paraId="70493742" w14:textId="2DE85388" w:rsidR="005E3279" w:rsidRPr="005E3279" w:rsidRDefault="005E3279" w:rsidP="005E3279">
          <w:pPr>
            <w:pStyle w:val="TOC3"/>
            <w:spacing w:before="240" w:after="240"/>
            <w:rPr>
              <w:rFonts w:eastAsiaTheme="minorEastAsia"/>
              <w:b w:val="0"/>
              <w:bCs w:val="0"/>
            </w:rPr>
          </w:pPr>
          <w:hyperlink w:anchor="_Toc209166959" w:history="1">
            <w:r w:rsidRPr="005E3279">
              <w:rPr>
                <w:rStyle w:val="Hyperlink"/>
                <w:b w:val="0"/>
                <w:bCs w:val="0"/>
              </w:rPr>
              <w:t>Arts, Media, and Entertainment – Workforce Training</w:t>
            </w:r>
            <w:r w:rsidRPr="005E3279">
              <w:rPr>
                <w:b w:val="0"/>
                <w:bCs w:val="0"/>
                <w:webHidden/>
              </w:rPr>
              <w:tab/>
            </w:r>
            <w:r w:rsidRPr="005E3279">
              <w:rPr>
                <w:b w:val="0"/>
                <w:bCs w:val="0"/>
                <w:webHidden/>
              </w:rPr>
              <w:fldChar w:fldCharType="begin"/>
            </w:r>
            <w:r w:rsidRPr="005E3279">
              <w:rPr>
                <w:b w:val="0"/>
                <w:bCs w:val="0"/>
                <w:webHidden/>
              </w:rPr>
              <w:instrText xml:space="preserve"> PAGEREF _Toc209166959 \h </w:instrText>
            </w:r>
            <w:r w:rsidRPr="005E3279">
              <w:rPr>
                <w:b w:val="0"/>
                <w:bCs w:val="0"/>
                <w:webHidden/>
              </w:rPr>
            </w:r>
            <w:r w:rsidRPr="005E3279">
              <w:rPr>
                <w:b w:val="0"/>
                <w:bCs w:val="0"/>
                <w:webHidden/>
              </w:rPr>
              <w:fldChar w:fldCharType="separate"/>
            </w:r>
            <w:r w:rsidR="00543381">
              <w:rPr>
                <w:b w:val="0"/>
                <w:bCs w:val="0"/>
                <w:webHidden/>
              </w:rPr>
              <w:t>11</w:t>
            </w:r>
            <w:r w:rsidRPr="005E3279">
              <w:rPr>
                <w:b w:val="0"/>
                <w:bCs w:val="0"/>
                <w:webHidden/>
              </w:rPr>
              <w:fldChar w:fldCharType="end"/>
            </w:r>
          </w:hyperlink>
        </w:p>
        <w:p w14:paraId="43D9CA0D" w14:textId="60D4B0FE" w:rsidR="005E3279" w:rsidRPr="005E3279" w:rsidRDefault="005E3279" w:rsidP="005E3279">
          <w:pPr>
            <w:pStyle w:val="TOC3"/>
            <w:spacing w:before="240" w:after="240"/>
            <w:rPr>
              <w:rFonts w:eastAsiaTheme="minorEastAsia"/>
              <w:b w:val="0"/>
              <w:bCs w:val="0"/>
            </w:rPr>
          </w:pPr>
          <w:hyperlink w:anchor="_Toc209166960" w:history="1">
            <w:r w:rsidRPr="005E3279">
              <w:rPr>
                <w:rStyle w:val="Hyperlink"/>
                <w:b w:val="0"/>
                <w:bCs w:val="0"/>
              </w:rPr>
              <w:t>California Partnership Academies</w:t>
            </w:r>
            <w:r w:rsidRPr="005E3279">
              <w:rPr>
                <w:b w:val="0"/>
                <w:bCs w:val="0"/>
                <w:webHidden/>
              </w:rPr>
              <w:tab/>
            </w:r>
            <w:r w:rsidRPr="005E3279">
              <w:rPr>
                <w:b w:val="0"/>
                <w:bCs w:val="0"/>
                <w:webHidden/>
              </w:rPr>
              <w:fldChar w:fldCharType="begin"/>
            </w:r>
            <w:r w:rsidRPr="005E3279">
              <w:rPr>
                <w:b w:val="0"/>
                <w:bCs w:val="0"/>
                <w:webHidden/>
              </w:rPr>
              <w:instrText xml:space="preserve"> PAGEREF _Toc209166960 \h </w:instrText>
            </w:r>
            <w:r w:rsidRPr="005E3279">
              <w:rPr>
                <w:b w:val="0"/>
                <w:bCs w:val="0"/>
                <w:webHidden/>
              </w:rPr>
            </w:r>
            <w:r w:rsidRPr="005E3279">
              <w:rPr>
                <w:b w:val="0"/>
                <w:bCs w:val="0"/>
                <w:webHidden/>
              </w:rPr>
              <w:fldChar w:fldCharType="separate"/>
            </w:r>
            <w:r w:rsidR="00543381">
              <w:rPr>
                <w:b w:val="0"/>
                <w:bCs w:val="0"/>
                <w:webHidden/>
              </w:rPr>
              <w:t>12</w:t>
            </w:r>
            <w:r w:rsidRPr="005E3279">
              <w:rPr>
                <w:b w:val="0"/>
                <w:bCs w:val="0"/>
                <w:webHidden/>
              </w:rPr>
              <w:fldChar w:fldCharType="end"/>
            </w:r>
          </w:hyperlink>
        </w:p>
        <w:p w14:paraId="15291DEE" w14:textId="6800DECB" w:rsidR="005E3279" w:rsidRPr="005E3279" w:rsidRDefault="005E3279" w:rsidP="005E3279">
          <w:pPr>
            <w:pStyle w:val="TOC2"/>
            <w:rPr>
              <w:rFonts w:ascii="Arial" w:eastAsiaTheme="minorEastAsia" w:hAnsi="Arial" w:cs="Arial"/>
              <w:noProof/>
            </w:rPr>
          </w:pPr>
          <w:hyperlink w:anchor="_Toc209166961" w:history="1">
            <w:r w:rsidRPr="005E3279">
              <w:rPr>
                <w:rStyle w:val="Hyperlink"/>
                <w:rFonts w:ascii="Arial" w:hAnsi="Arial" w:cs="Arial"/>
                <w:noProof/>
              </w:rPr>
              <w:t>Historical Funding Levels for the California CTE Grants</w:t>
            </w:r>
            <w:r w:rsidRPr="005E3279">
              <w:rPr>
                <w:rFonts w:ascii="Arial" w:hAnsi="Arial" w:cs="Arial"/>
                <w:noProof/>
                <w:webHidden/>
              </w:rPr>
              <w:tab/>
            </w:r>
            <w:r w:rsidRPr="005E3279">
              <w:rPr>
                <w:rFonts w:ascii="Arial" w:hAnsi="Arial" w:cs="Arial"/>
                <w:noProof/>
                <w:webHidden/>
              </w:rPr>
              <w:fldChar w:fldCharType="begin"/>
            </w:r>
            <w:r w:rsidRPr="005E3279">
              <w:rPr>
                <w:rFonts w:ascii="Arial" w:hAnsi="Arial" w:cs="Arial"/>
                <w:noProof/>
                <w:webHidden/>
              </w:rPr>
              <w:instrText xml:space="preserve"> PAGEREF _Toc209166961 \h </w:instrText>
            </w:r>
            <w:r w:rsidRPr="005E3279">
              <w:rPr>
                <w:rFonts w:ascii="Arial" w:hAnsi="Arial" w:cs="Arial"/>
                <w:noProof/>
                <w:webHidden/>
              </w:rPr>
            </w:r>
            <w:r w:rsidRPr="005E3279">
              <w:rPr>
                <w:rFonts w:ascii="Arial" w:hAnsi="Arial" w:cs="Arial"/>
                <w:noProof/>
                <w:webHidden/>
              </w:rPr>
              <w:fldChar w:fldCharType="separate"/>
            </w:r>
            <w:r w:rsidR="00543381">
              <w:rPr>
                <w:rFonts w:ascii="Arial" w:hAnsi="Arial" w:cs="Arial"/>
                <w:noProof/>
                <w:webHidden/>
              </w:rPr>
              <w:t>14</w:t>
            </w:r>
            <w:r w:rsidRPr="005E3279">
              <w:rPr>
                <w:rFonts w:ascii="Arial" w:hAnsi="Arial" w:cs="Arial"/>
                <w:noProof/>
                <w:webHidden/>
              </w:rPr>
              <w:fldChar w:fldCharType="end"/>
            </w:r>
          </w:hyperlink>
        </w:p>
        <w:p w14:paraId="0782E092" w14:textId="656DF8B1" w:rsidR="00252848" w:rsidRPr="005E3279" w:rsidRDefault="00252848" w:rsidP="005E3279">
          <w:pPr>
            <w:spacing w:before="240" w:after="240" w:line="240" w:lineRule="auto"/>
            <w:rPr>
              <w:rFonts w:ascii="Arial" w:eastAsia="Times New Roman" w:hAnsi="Arial" w:cs="Arial"/>
              <w:kern w:val="0"/>
              <w14:ligatures w14:val="none"/>
            </w:rPr>
          </w:pPr>
          <w:r w:rsidRPr="005E3279">
            <w:rPr>
              <w:rFonts w:ascii="Arial" w:eastAsia="Times New Roman" w:hAnsi="Arial" w:cs="Arial"/>
              <w:kern w:val="0"/>
              <w14:ligatures w14:val="none"/>
            </w:rPr>
            <w:fldChar w:fldCharType="end"/>
          </w:r>
        </w:p>
      </w:sdtContent>
    </w:sdt>
    <w:p w14:paraId="42EDFDA8" w14:textId="77777777" w:rsidR="00252848" w:rsidRPr="002A4623" w:rsidRDefault="00252848" w:rsidP="00345B55">
      <w:pPr>
        <w:spacing w:before="240" w:after="240" w:line="240" w:lineRule="auto"/>
        <w:rPr>
          <w:rFonts w:ascii="Arial" w:eastAsia="Times New Roman" w:hAnsi="Arial" w:cs="Arial"/>
          <w:kern w:val="0"/>
          <w14:ligatures w14:val="none"/>
        </w:rPr>
      </w:pPr>
      <w:r w:rsidRPr="002A4623">
        <w:rPr>
          <w:rFonts w:ascii="Arial" w:eastAsia="Times New Roman" w:hAnsi="Arial" w:cs="Arial"/>
          <w:kern w:val="0"/>
          <w14:ligatures w14:val="none"/>
        </w:rPr>
        <w:br w:type="page"/>
      </w:r>
    </w:p>
    <w:p w14:paraId="4AF55C03" w14:textId="77777777" w:rsidR="007E0BFA" w:rsidRPr="002A4623" w:rsidRDefault="007E0BFA" w:rsidP="00345B55">
      <w:pPr>
        <w:pStyle w:val="Header"/>
        <w:tabs>
          <w:tab w:val="clear" w:pos="8640"/>
          <w:tab w:val="right" w:pos="9360"/>
        </w:tabs>
        <w:spacing w:before="240" w:after="240"/>
        <w:jc w:val="center"/>
        <w:rPr>
          <w:rFonts w:ascii="Arial" w:hAnsi="Arial" w:cs="Arial"/>
          <w:b/>
          <w:bCs/>
        </w:rPr>
      </w:pPr>
      <w:r w:rsidRPr="002A4623">
        <w:rPr>
          <w:rFonts w:ascii="Arial" w:hAnsi="Arial" w:cs="Arial"/>
          <w:b/>
          <w:bCs/>
        </w:rPr>
        <w:lastRenderedPageBreak/>
        <w:t>California Department of Education</w:t>
      </w:r>
    </w:p>
    <w:p w14:paraId="48AFFF43" w14:textId="77777777" w:rsidR="00941030" w:rsidRDefault="00941030" w:rsidP="00345B55">
      <w:pPr>
        <w:pStyle w:val="Heading2"/>
        <w:spacing w:before="240" w:after="240"/>
        <w:rPr>
          <w:rFonts w:eastAsiaTheme="minorHAnsi"/>
          <w:bCs w:val="0"/>
          <w:sz w:val="24"/>
          <w:szCs w:val="24"/>
        </w:rPr>
      </w:pPr>
      <w:bookmarkStart w:id="3" w:name="_Toc209166951"/>
      <w:r w:rsidRPr="00941030">
        <w:rPr>
          <w:rFonts w:eastAsiaTheme="minorHAnsi"/>
          <w:bCs w:val="0"/>
          <w:sz w:val="24"/>
          <w:szCs w:val="24"/>
        </w:rPr>
        <w:t>Report to the Legislature, the Department of Finance, and the State Board of Education: Career Technical Education Programs</w:t>
      </w:r>
    </w:p>
    <w:p w14:paraId="2ACF32A3" w14:textId="08914926" w:rsidR="00C858B8" w:rsidRPr="002A4623" w:rsidRDefault="00C858B8" w:rsidP="00941030">
      <w:pPr>
        <w:pStyle w:val="Heading2"/>
        <w:spacing w:before="480" w:after="240"/>
      </w:pPr>
      <w:r w:rsidRPr="002A4623">
        <w:t>Executive Summary</w:t>
      </w:r>
      <w:bookmarkEnd w:id="3"/>
    </w:p>
    <w:p w14:paraId="69D66C42" w14:textId="640BCA64" w:rsidR="00C858B8" w:rsidRPr="002A4623" w:rsidRDefault="00C858B8" w:rsidP="00345B55">
      <w:pPr>
        <w:spacing w:before="240" w:after="240"/>
        <w:rPr>
          <w:rFonts w:ascii="Arial" w:hAnsi="Arial" w:cs="Arial"/>
        </w:rPr>
      </w:pPr>
      <w:r w:rsidRPr="002A4623">
        <w:rPr>
          <w:rFonts w:ascii="Arial" w:hAnsi="Arial" w:cs="Arial"/>
        </w:rPr>
        <w:t xml:space="preserve">This report is required by the </w:t>
      </w:r>
      <w:r w:rsidR="00213DB3">
        <w:rPr>
          <w:rFonts w:ascii="Arial" w:hAnsi="Arial" w:cs="Arial"/>
        </w:rPr>
        <w:t>E</w:t>
      </w:r>
      <w:r w:rsidRPr="002A4623">
        <w:rPr>
          <w:rFonts w:ascii="Arial" w:hAnsi="Arial" w:cs="Arial"/>
        </w:rPr>
        <w:t xml:space="preserve">ducation </w:t>
      </w:r>
      <w:r w:rsidR="00213DB3">
        <w:rPr>
          <w:rFonts w:ascii="Arial" w:hAnsi="Arial" w:cs="Arial"/>
        </w:rPr>
        <w:t>O</w:t>
      </w:r>
      <w:r w:rsidRPr="002A4623">
        <w:rPr>
          <w:rFonts w:ascii="Arial" w:hAnsi="Arial" w:cs="Arial"/>
        </w:rPr>
        <w:t xml:space="preserve">mnibus </w:t>
      </w:r>
      <w:r w:rsidR="00213DB3">
        <w:rPr>
          <w:rFonts w:ascii="Arial" w:hAnsi="Arial" w:cs="Arial"/>
        </w:rPr>
        <w:t>B</w:t>
      </w:r>
      <w:r w:rsidRPr="002A4623">
        <w:rPr>
          <w:rFonts w:ascii="Arial" w:hAnsi="Arial" w:cs="Arial"/>
        </w:rPr>
        <w:t xml:space="preserve">udget </w:t>
      </w:r>
      <w:r w:rsidR="00213DB3">
        <w:rPr>
          <w:rFonts w:ascii="Arial" w:hAnsi="Arial" w:cs="Arial"/>
        </w:rPr>
        <w:t>T</w:t>
      </w:r>
      <w:r w:rsidRPr="002A4623">
        <w:rPr>
          <w:rFonts w:ascii="Arial" w:hAnsi="Arial" w:cs="Arial"/>
        </w:rPr>
        <w:t xml:space="preserve">railer </w:t>
      </w:r>
      <w:r w:rsidR="00213DB3">
        <w:rPr>
          <w:rFonts w:ascii="Arial" w:hAnsi="Arial" w:cs="Arial"/>
        </w:rPr>
        <w:t>B</w:t>
      </w:r>
      <w:r w:rsidRPr="002A4623">
        <w:rPr>
          <w:rFonts w:ascii="Arial" w:hAnsi="Arial" w:cs="Arial"/>
        </w:rPr>
        <w:t>ill of 2025 (Assembly Bill 121), Section 69, and provides comprehensive information on career technical education (CTE) programming administered during the 2024–25 fiscal year</w:t>
      </w:r>
      <w:r w:rsidR="00EC3514">
        <w:rPr>
          <w:rFonts w:ascii="Arial" w:hAnsi="Arial" w:cs="Arial"/>
        </w:rPr>
        <w:t xml:space="preserve"> (FY)</w:t>
      </w:r>
      <w:r w:rsidRPr="002A4623">
        <w:rPr>
          <w:rFonts w:ascii="Arial" w:hAnsi="Arial" w:cs="Arial"/>
        </w:rPr>
        <w:t>. The report encompasses the grant and funding programs specified in the legislation: the Strengthening C</w:t>
      </w:r>
      <w:r w:rsidR="00213DB3">
        <w:rPr>
          <w:rFonts w:ascii="Arial" w:hAnsi="Arial" w:cs="Arial"/>
        </w:rPr>
        <w:t>T</w:t>
      </w:r>
      <w:r w:rsidRPr="002A4623">
        <w:rPr>
          <w:rFonts w:ascii="Arial" w:hAnsi="Arial" w:cs="Arial"/>
        </w:rPr>
        <w:t xml:space="preserve">E for the 21st Century Act (Perkins V), the CTE Incentive Grant (CTEIG) Program, Middle School Foundation Academies Planning Grants, Specialized Secondary Programs, the CTE Initiative, and California Partnership Academies. </w:t>
      </w:r>
      <w:r w:rsidRPr="00180A11">
        <w:rPr>
          <w:rFonts w:ascii="Arial" w:hAnsi="Arial" w:cs="Arial"/>
        </w:rPr>
        <w:t xml:space="preserve">These programs </w:t>
      </w:r>
      <w:r w:rsidRPr="002A4623">
        <w:rPr>
          <w:rFonts w:ascii="Arial" w:hAnsi="Arial" w:cs="Arial"/>
        </w:rPr>
        <w:t>span from middle school career exploration through high school pathway completion and industry connection, with funding mechanisms that include competitive grants and performance</w:t>
      </w:r>
      <w:r w:rsidR="009A1C16">
        <w:rPr>
          <w:rFonts w:ascii="Arial" w:hAnsi="Arial" w:cs="Arial"/>
        </w:rPr>
        <w:t>-</w:t>
      </w:r>
      <w:r w:rsidRPr="002A4623">
        <w:rPr>
          <w:rFonts w:ascii="Arial" w:hAnsi="Arial" w:cs="Arial"/>
        </w:rPr>
        <w:t>based continued funding.</w:t>
      </w:r>
    </w:p>
    <w:p w14:paraId="62040008" w14:textId="43FE68BC" w:rsidR="00C858B8" w:rsidRPr="002A4623" w:rsidRDefault="00C858B8" w:rsidP="00345B55">
      <w:pPr>
        <w:spacing w:before="240" w:after="240"/>
        <w:rPr>
          <w:rFonts w:ascii="Arial" w:hAnsi="Arial" w:cs="Arial"/>
        </w:rPr>
      </w:pPr>
      <w:r w:rsidRPr="002A4623">
        <w:rPr>
          <w:rFonts w:ascii="Arial" w:hAnsi="Arial" w:cs="Arial"/>
        </w:rPr>
        <w:t xml:space="preserve">California's investment in CTE has grown significantly since 2017–18, with CTEIG alone expanding from $150 million to $300 million annually in 2021–22. Combined with federal Perkins V funding and other state CTE initiatives, these programs provide </w:t>
      </w:r>
      <w:r w:rsidR="00213DB3">
        <w:rPr>
          <w:rFonts w:ascii="Arial" w:hAnsi="Arial" w:cs="Arial"/>
        </w:rPr>
        <w:t>over</w:t>
      </w:r>
      <w:r w:rsidRPr="002A4623">
        <w:rPr>
          <w:rFonts w:ascii="Arial" w:hAnsi="Arial" w:cs="Arial"/>
        </w:rPr>
        <w:t xml:space="preserve"> $400 million in annual support for CTE infrastructure, program development, and student services across the state. </w:t>
      </w:r>
    </w:p>
    <w:p w14:paraId="4E822DDD" w14:textId="1204E61E" w:rsidR="00C858B8" w:rsidRPr="002A4623" w:rsidRDefault="00C858B8" w:rsidP="00345B55">
      <w:pPr>
        <w:spacing w:before="240" w:after="240"/>
        <w:rPr>
          <w:rFonts w:ascii="Arial" w:hAnsi="Arial" w:cs="Arial"/>
        </w:rPr>
      </w:pPr>
      <w:r w:rsidRPr="002A4623">
        <w:rPr>
          <w:rFonts w:ascii="Arial" w:hAnsi="Arial" w:cs="Arial"/>
        </w:rPr>
        <w:t>This analysis addresses the five specific information requirements mandated by AB 121, Section 69, including program identification and purposes, projected funding for FYs 2025–26 and 2026–27, program inception dates, funding consideration processes and timelines for FY 2024–25</w:t>
      </w:r>
      <w:r w:rsidR="00EC3514">
        <w:rPr>
          <w:rFonts w:ascii="Arial" w:hAnsi="Arial" w:cs="Arial"/>
        </w:rPr>
        <w:t xml:space="preserve">, and </w:t>
      </w:r>
      <w:r w:rsidR="00EC3514" w:rsidRPr="002A4623">
        <w:rPr>
          <w:rFonts w:ascii="Arial" w:hAnsi="Arial" w:cs="Arial"/>
        </w:rPr>
        <w:t>historical funding levels from</w:t>
      </w:r>
      <w:r w:rsidR="00EC3514">
        <w:rPr>
          <w:rFonts w:ascii="Arial" w:hAnsi="Arial" w:cs="Arial"/>
        </w:rPr>
        <w:t xml:space="preserve"> FY</w:t>
      </w:r>
      <w:r w:rsidR="00EC3514" w:rsidRPr="002A4623">
        <w:rPr>
          <w:rFonts w:ascii="Arial" w:hAnsi="Arial" w:cs="Arial"/>
        </w:rPr>
        <w:t xml:space="preserve"> 2017–18 forward</w:t>
      </w:r>
      <w:r w:rsidRPr="002A4623">
        <w:rPr>
          <w:rFonts w:ascii="Arial" w:hAnsi="Arial" w:cs="Arial"/>
        </w:rPr>
        <w:t>.</w:t>
      </w:r>
    </w:p>
    <w:p w14:paraId="732653E5" w14:textId="77777777" w:rsidR="00C858B8" w:rsidRPr="002A4623" w:rsidRDefault="00C858B8" w:rsidP="00345B55">
      <w:pPr>
        <w:spacing w:before="240" w:after="240"/>
        <w:rPr>
          <w:rFonts w:ascii="Arial" w:hAnsi="Arial" w:cs="Arial"/>
          <w:iCs/>
          <w:color w:val="000000"/>
        </w:rPr>
      </w:pPr>
      <w:r w:rsidRPr="002A4623">
        <w:rPr>
          <w:rFonts w:ascii="Arial" w:hAnsi="Arial" w:cs="Arial"/>
          <w:iCs/>
        </w:rPr>
        <w:t>If you have any questions regarding this report, or would like a copy of the report, please contact Rachel Moran, Education Programs Assistant, Career and College Transition Division, by email at</w:t>
      </w:r>
      <w:r w:rsidRPr="002A4623">
        <w:rPr>
          <w:rFonts w:ascii="Arial" w:hAnsi="Arial" w:cs="Arial"/>
        </w:rPr>
        <w:t xml:space="preserve"> </w:t>
      </w:r>
      <w:hyperlink r:id="rId9" w:history="1">
        <w:r w:rsidRPr="002A4623">
          <w:rPr>
            <w:rStyle w:val="Hyperlink"/>
            <w:rFonts w:ascii="Arial" w:hAnsi="Arial" w:cs="Arial"/>
          </w:rPr>
          <w:t>rmoran@cde.ca.gov</w:t>
        </w:r>
      </w:hyperlink>
      <w:r w:rsidRPr="002A4623">
        <w:rPr>
          <w:rFonts w:ascii="Arial" w:hAnsi="Arial" w:cs="Arial"/>
        </w:rPr>
        <w:t>.</w:t>
      </w:r>
    </w:p>
    <w:p w14:paraId="206D6584" w14:textId="77777777" w:rsidR="00C858B8" w:rsidRPr="002A4623" w:rsidRDefault="00C858B8" w:rsidP="00345B55">
      <w:pPr>
        <w:tabs>
          <w:tab w:val="right" w:pos="9360"/>
        </w:tabs>
        <w:autoSpaceDE w:val="0"/>
        <w:autoSpaceDN w:val="0"/>
        <w:adjustRightInd w:val="0"/>
        <w:spacing w:before="240" w:after="240"/>
        <w:rPr>
          <w:rFonts w:ascii="Arial" w:hAnsi="Arial" w:cs="Arial"/>
          <w:bCs/>
        </w:rPr>
      </w:pPr>
      <w:r w:rsidRPr="002A4623">
        <w:rPr>
          <w:rFonts w:ascii="Arial" w:hAnsi="Arial" w:cs="Arial"/>
          <w:bCs/>
        </w:rPr>
        <w:t xml:space="preserve">You can find this report on the California Department of Education CTE General Information web page at </w:t>
      </w:r>
      <w:hyperlink r:id="rId10" w:tooltip="Legislative Report Link" w:history="1">
        <w:r w:rsidRPr="002A4623">
          <w:rPr>
            <w:rStyle w:val="Hyperlink"/>
            <w:rFonts w:ascii="Arial" w:hAnsi="Arial" w:cs="Arial"/>
          </w:rPr>
          <w:t>https://www.cde.ca.gov/ci/ct/gi/index.asp</w:t>
        </w:r>
      </w:hyperlink>
      <w:r w:rsidRPr="002A4623">
        <w:rPr>
          <w:rFonts w:ascii="Arial" w:hAnsi="Arial" w:cs="Arial"/>
          <w:bCs/>
        </w:rPr>
        <w:t>.</w:t>
      </w:r>
    </w:p>
    <w:p w14:paraId="1FDC2D08" w14:textId="77777777" w:rsidR="00C858B8" w:rsidRPr="002A4623" w:rsidRDefault="00C858B8" w:rsidP="00345B55">
      <w:pPr>
        <w:tabs>
          <w:tab w:val="right" w:pos="9360"/>
        </w:tabs>
        <w:autoSpaceDE w:val="0"/>
        <w:autoSpaceDN w:val="0"/>
        <w:adjustRightInd w:val="0"/>
        <w:spacing w:before="240" w:after="240"/>
        <w:rPr>
          <w:rFonts w:ascii="Arial" w:hAnsi="Arial" w:cs="Arial"/>
        </w:rPr>
      </w:pPr>
      <w:r w:rsidRPr="002A4623">
        <w:rPr>
          <w:rFonts w:ascii="Arial" w:hAnsi="Arial" w:cs="Arial"/>
        </w:rPr>
        <w:br w:type="page"/>
      </w:r>
    </w:p>
    <w:p w14:paraId="5CB84899" w14:textId="77777777" w:rsidR="00C858B8" w:rsidRPr="002A4623" w:rsidRDefault="00C858B8" w:rsidP="00345B55">
      <w:pPr>
        <w:pStyle w:val="Heading2"/>
        <w:spacing w:before="240" w:after="240"/>
        <w:rPr>
          <w:color w:val="000000"/>
        </w:rPr>
      </w:pPr>
      <w:bookmarkStart w:id="4" w:name="_Toc209166952"/>
      <w:r w:rsidRPr="002A4623">
        <w:lastRenderedPageBreak/>
        <w:t>Introduction</w:t>
      </w:r>
      <w:bookmarkEnd w:id="4"/>
    </w:p>
    <w:p w14:paraId="24C5F45E" w14:textId="6E8635C1" w:rsidR="00C858B8" w:rsidRPr="002A4623" w:rsidRDefault="00C858B8" w:rsidP="00345B55">
      <w:pPr>
        <w:spacing w:before="240" w:after="240"/>
        <w:rPr>
          <w:rFonts w:ascii="Arial" w:hAnsi="Arial" w:cs="Arial"/>
        </w:rPr>
      </w:pPr>
      <w:r w:rsidRPr="002A4623">
        <w:rPr>
          <w:rFonts w:ascii="Arial" w:hAnsi="Arial" w:cs="Arial"/>
        </w:rPr>
        <w:t xml:space="preserve">This report is required by the </w:t>
      </w:r>
      <w:r w:rsidR="006012AD">
        <w:rPr>
          <w:rFonts w:ascii="Arial" w:hAnsi="Arial" w:cs="Arial"/>
        </w:rPr>
        <w:t>E</w:t>
      </w:r>
      <w:r w:rsidRPr="002A4623">
        <w:rPr>
          <w:rFonts w:ascii="Arial" w:hAnsi="Arial" w:cs="Arial"/>
        </w:rPr>
        <w:t xml:space="preserve">ducation </w:t>
      </w:r>
      <w:r w:rsidR="006012AD">
        <w:rPr>
          <w:rFonts w:ascii="Arial" w:hAnsi="Arial" w:cs="Arial"/>
        </w:rPr>
        <w:t>O</w:t>
      </w:r>
      <w:r w:rsidRPr="002A4623">
        <w:rPr>
          <w:rFonts w:ascii="Arial" w:hAnsi="Arial" w:cs="Arial"/>
        </w:rPr>
        <w:t xml:space="preserve">mnibus </w:t>
      </w:r>
      <w:r w:rsidR="006012AD">
        <w:rPr>
          <w:rFonts w:ascii="Arial" w:hAnsi="Arial" w:cs="Arial"/>
        </w:rPr>
        <w:t>B</w:t>
      </w:r>
      <w:r w:rsidRPr="002A4623">
        <w:rPr>
          <w:rFonts w:ascii="Arial" w:hAnsi="Arial" w:cs="Arial"/>
        </w:rPr>
        <w:t xml:space="preserve">udget </w:t>
      </w:r>
      <w:r w:rsidR="006012AD">
        <w:rPr>
          <w:rFonts w:ascii="Arial" w:hAnsi="Arial" w:cs="Arial"/>
        </w:rPr>
        <w:t>T</w:t>
      </w:r>
      <w:r w:rsidRPr="002A4623">
        <w:rPr>
          <w:rFonts w:ascii="Arial" w:hAnsi="Arial" w:cs="Arial"/>
        </w:rPr>
        <w:t xml:space="preserve">railer </w:t>
      </w:r>
      <w:r w:rsidR="006012AD">
        <w:rPr>
          <w:rFonts w:ascii="Arial" w:hAnsi="Arial" w:cs="Arial"/>
        </w:rPr>
        <w:t>B</w:t>
      </w:r>
      <w:r w:rsidRPr="002A4623">
        <w:rPr>
          <w:rFonts w:ascii="Arial" w:hAnsi="Arial" w:cs="Arial"/>
        </w:rPr>
        <w:t>ill of 2025 (Assembly Bill 121), Section 69, and provides comprehensive information on career technical education</w:t>
      </w:r>
      <w:r w:rsidR="006A0199">
        <w:rPr>
          <w:rFonts w:ascii="Arial" w:hAnsi="Arial" w:cs="Arial"/>
        </w:rPr>
        <w:t xml:space="preserve"> (CTE)</w:t>
      </w:r>
      <w:r w:rsidRPr="002A4623">
        <w:rPr>
          <w:rFonts w:ascii="Arial" w:hAnsi="Arial" w:cs="Arial"/>
        </w:rPr>
        <w:t xml:space="preserve"> programming administered </w:t>
      </w:r>
      <w:r w:rsidR="00600A8E">
        <w:rPr>
          <w:rFonts w:ascii="Arial" w:hAnsi="Arial" w:cs="Arial"/>
        </w:rPr>
        <w:t xml:space="preserve">by the California Department of Education (CDE) </w:t>
      </w:r>
      <w:r w:rsidRPr="002A4623">
        <w:rPr>
          <w:rFonts w:ascii="Arial" w:hAnsi="Arial" w:cs="Arial"/>
        </w:rPr>
        <w:t>during the 2024–25 fiscal year</w:t>
      </w:r>
      <w:r w:rsidR="006A0199">
        <w:rPr>
          <w:rFonts w:ascii="Arial" w:hAnsi="Arial" w:cs="Arial"/>
        </w:rPr>
        <w:t xml:space="preserve"> (FY)</w:t>
      </w:r>
      <w:r w:rsidRPr="002A4623">
        <w:rPr>
          <w:rFonts w:ascii="Arial" w:hAnsi="Arial" w:cs="Arial"/>
        </w:rPr>
        <w:t xml:space="preserve"> as specified in the legislation: the Strengthening C</w:t>
      </w:r>
      <w:r w:rsidR="00FC7A3A">
        <w:rPr>
          <w:rFonts w:ascii="Arial" w:hAnsi="Arial" w:cs="Arial"/>
        </w:rPr>
        <w:t>TE</w:t>
      </w:r>
      <w:r w:rsidRPr="002A4623">
        <w:rPr>
          <w:rFonts w:ascii="Arial" w:hAnsi="Arial" w:cs="Arial"/>
        </w:rPr>
        <w:t xml:space="preserve"> for the 21st Century Act (Perkins V), the </w:t>
      </w:r>
      <w:r w:rsidR="00FC7A3A">
        <w:rPr>
          <w:rFonts w:ascii="Arial" w:hAnsi="Arial" w:cs="Arial"/>
        </w:rPr>
        <w:t>CTE</w:t>
      </w:r>
      <w:r w:rsidRPr="002A4623">
        <w:rPr>
          <w:rFonts w:ascii="Arial" w:hAnsi="Arial" w:cs="Arial"/>
        </w:rPr>
        <w:t xml:space="preserve"> Incentive Grant </w:t>
      </w:r>
      <w:r w:rsidR="00FC7A3A">
        <w:rPr>
          <w:rFonts w:ascii="Arial" w:hAnsi="Arial" w:cs="Arial"/>
        </w:rPr>
        <w:t xml:space="preserve">(CTEIG) </w:t>
      </w:r>
      <w:r w:rsidRPr="002A4623">
        <w:rPr>
          <w:rFonts w:ascii="Arial" w:hAnsi="Arial" w:cs="Arial"/>
        </w:rPr>
        <w:t>Program, Middle School Foundation Academies</w:t>
      </w:r>
      <w:r w:rsidR="00FC7A3A">
        <w:rPr>
          <w:rFonts w:ascii="Arial" w:hAnsi="Arial" w:cs="Arial"/>
        </w:rPr>
        <w:t xml:space="preserve"> (MSFA)</w:t>
      </w:r>
      <w:r w:rsidRPr="002A4623">
        <w:rPr>
          <w:rFonts w:ascii="Arial" w:hAnsi="Arial" w:cs="Arial"/>
        </w:rPr>
        <w:t xml:space="preserve"> Grants, Specialized Secondary Programs</w:t>
      </w:r>
      <w:r w:rsidR="00FC7A3A">
        <w:rPr>
          <w:rFonts w:ascii="Arial" w:hAnsi="Arial" w:cs="Arial"/>
        </w:rPr>
        <w:t xml:space="preserve"> (SSP)</w:t>
      </w:r>
      <w:r w:rsidRPr="002A4623">
        <w:rPr>
          <w:rFonts w:ascii="Arial" w:hAnsi="Arial" w:cs="Arial"/>
        </w:rPr>
        <w:t>, the C</w:t>
      </w:r>
      <w:r w:rsidR="00FC7A3A">
        <w:rPr>
          <w:rFonts w:ascii="Arial" w:hAnsi="Arial" w:cs="Arial"/>
        </w:rPr>
        <w:t xml:space="preserve">TE </w:t>
      </w:r>
      <w:r w:rsidRPr="002A4623">
        <w:rPr>
          <w:rFonts w:ascii="Arial" w:hAnsi="Arial" w:cs="Arial"/>
        </w:rPr>
        <w:t>Initiative</w:t>
      </w:r>
      <w:r w:rsidR="00FC7A3A">
        <w:rPr>
          <w:rFonts w:ascii="Arial" w:hAnsi="Arial" w:cs="Arial"/>
        </w:rPr>
        <w:t xml:space="preserve"> (CTEI)</w:t>
      </w:r>
      <w:r w:rsidRPr="002A4623">
        <w:rPr>
          <w:rFonts w:ascii="Arial" w:hAnsi="Arial" w:cs="Arial"/>
        </w:rPr>
        <w:t xml:space="preserve">, and California Partnership Academies. The analysis addresses the five specific information requirements mandated by the legislation, including </w:t>
      </w:r>
      <w:r w:rsidRPr="00180A11">
        <w:rPr>
          <w:rFonts w:ascii="Arial" w:hAnsi="Arial" w:cs="Arial"/>
        </w:rPr>
        <w:t>program purpose</w:t>
      </w:r>
      <w:r w:rsidR="00CE1CAB" w:rsidRPr="00180A11">
        <w:rPr>
          <w:rFonts w:ascii="Arial" w:hAnsi="Arial" w:cs="Arial"/>
        </w:rPr>
        <w:t>, eligibility, and lifespan;</w:t>
      </w:r>
      <w:r w:rsidRPr="002A4623">
        <w:rPr>
          <w:rFonts w:ascii="Arial" w:hAnsi="Arial" w:cs="Arial"/>
        </w:rPr>
        <w:t xml:space="preserve"> historical funding levels from 2017–18 forward</w:t>
      </w:r>
      <w:r w:rsidR="00CE1CAB">
        <w:rPr>
          <w:rFonts w:ascii="Arial" w:hAnsi="Arial" w:cs="Arial"/>
        </w:rPr>
        <w:t>;</w:t>
      </w:r>
      <w:r w:rsidRPr="002A4623">
        <w:rPr>
          <w:rFonts w:ascii="Arial" w:hAnsi="Arial" w:cs="Arial"/>
        </w:rPr>
        <w:t xml:space="preserve"> projected funding for </w:t>
      </w:r>
      <w:r w:rsidR="006A0199">
        <w:rPr>
          <w:rFonts w:ascii="Arial" w:hAnsi="Arial" w:cs="Arial"/>
        </w:rPr>
        <w:t xml:space="preserve">FYs </w:t>
      </w:r>
      <w:r w:rsidRPr="002A4623">
        <w:rPr>
          <w:rFonts w:ascii="Arial" w:hAnsi="Arial" w:cs="Arial"/>
        </w:rPr>
        <w:t>2025–26 and 2026–</w:t>
      </w:r>
      <w:r w:rsidR="009832A2" w:rsidRPr="002A4623">
        <w:rPr>
          <w:rFonts w:ascii="Arial" w:hAnsi="Arial" w:cs="Arial"/>
        </w:rPr>
        <w:t>2</w:t>
      </w:r>
      <w:r w:rsidR="009832A2">
        <w:rPr>
          <w:rFonts w:ascii="Arial" w:hAnsi="Arial" w:cs="Arial"/>
        </w:rPr>
        <w:t xml:space="preserve">7, </w:t>
      </w:r>
      <w:r w:rsidRPr="002A4623">
        <w:rPr>
          <w:rFonts w:ascii="Arial" w:hAnsi="Arial" w:cs="Arial"/>
        </w:rPr>
        <w:t>program inception dates</w:t>
      </w:r>
      <w:r w:rsidR="00CE1CAB">
        <w:rPr>
          <w:rFonts w:ascii="Arial" w:hAnsi="Arial" w:cs="Arial"/>
        </w:rPr>
        <w:t>;</w:t>
      </w:r>
      <w:r w:rsidRPr="002A4623">
        <w:rPr>
          <w:rFonts w:ascii="Arial" w:hAnsi="Arial" w:cs="Arial"/>
        </w:rPr>
        <w:t xml:space="preserve"> and funding consideration processes and timelines for the 2024–25 </w:t>
      </w:r>
      <w:r w:rsidR="00FC7A3A">
        <w:rPr>
          <w:rFonts w:ascii="Arial" w:hAnsi="Arial" w:cs="Arial"/>
        </w:rPr>
        <w:t>FY</w:t>
      </w:r>
      <w:r w:rsidRPr="002A4623">
        <w:rPr>
          <w:rFonts w:ascii="Arial" w:hAnsi="Arial" w:cs="Arial"/>
        </w:rPr>
        <w:t>.</w:t>
      </w:r>
    </w:p>
    <w:p w14:paraId="0A8549A7" w14:textId="3F005975" w:rsidR="00213DB3" w:rsidRPr="00213DB3" w:rsidRDefault="00213DB3" w:rsidP="00951A36">
      <w:pPr>
        <w:pStyle w:val="Heading2"/>
        <w:spacing w:before="480" w:after="240"/>
      </w:pPr>
      <w:bookmarkStart w:id="5" w:name="_Toc209166953"/>
      <w:r>
        <w:t xml:space="preserve">California </w:t>
      </w:r>
      <w:r w:rsidRPr="00213DB3">
        <w:t>CTE Grant Program Information</w:t>
      </w:r>
      <w:bookmarkEnd w:id="5"/>
    </w:p>
    <w:p w14:paraId="6AEE37B2" w14:textId="15A3D080" w:rsidR="00213DB3" w:rsidRPr="006A0199" w:rsidRDefault="00951A36" w:rsidP="00D01A2E">
      <w:pPr>
        <w:pStyle w:val="Heading3"/>
      </w:pPr>
      <w:bookmarkStart w:id="6" w:name="_Toc209166954"/>
      <w:r w:rsidRPr="002A4623">
        <w:t>Strengthening C</w:t>
      </w:r>
      <w:r w:rsidR="00F6554D">
        <w:t xml:space="preserve">areer and </w:t>
      </w:r>
      <w:r>
        <w:t>T</w:t>
      </w:r>
      <w:r w:rsidR="00F6554D">
        <w:t xml:space="preserve">echnical </w:t>
      </w:r>
      <w:r>
        <w:t>E</w:t>
      </w:r>
      <w:r w:rsidR="00F6554D">
        <w:t>ducation</w:t>
      </w:r>
      <w:r w:rsidRPr="002A4623">
        <w:t xml:space="preserve"> for the 21st Century Act</w:t>
      </w:r>
      <w:bookmarkEnd w:id="6"/>
    </w:p>
    <w:p w14:paraId="4FDB87DF" w14:textId="0B489D07" w:rsidR="00213DB3" w:rsidRPr="002A4623" w:rsidRDefault="00213DB3" w:rsidP="00213DB3">
      <w:pPr>
        <w:spacing w:before="240" w:after="240"/>
        <w:rPr>
          <w:rFonts w:ascii="Arial" w:hAnsi="Arial" w:cs="Arial"/>
        </w:rPr>
      </w:pPr>
      <w:r w:rsidRPr="002A4623">
        <w:rPr>
          <w:rFonts w:ascii="Arial" w:hAnsi="Arial" w:cs="Arial"/>
          <w:b/>
          <w:bCs/>
        </w:rPr>
        <w:t>Program Overview</w:t>
      </w:r>
      <w:r w:rsidR="006A0199" w:rsidRPr="006A0199">
        <w:rPr>
          <w:rFonts w:ascii="Arial" w:hAnsi="Arial" w:cs="Arial"/>
          <w:b/>
          <w:bCs/>
        </w:rPr>
        <w:t>:</w:t>
      </w:r>
      <w:r w:rsidR="006A0199">
        <w:rPr>
          <w:rFonts w:ascii="Arial" w:hAnsi="Arial" w:cs="Arial"/>
        </w:rPr>
        <w:t xml:space="preserve"> The </w:t>
      </w:r>
      <w:r w:rsidRPr="002A4623">
        <w:rPr>
          <w:rFonts w:ascii="Arial" w:hAnsi="Arial" w:cs="Arial"/>
        </w:rPr>
        <w:t xml:space="preserve">Federal </w:t>
      </w:r>
      <w:r>
        <w:rPr>
          <w:rFonts w:ascii="Arial" w:hAnsi="Arial" w:cs="Arial"/>
        </w:rPr>
        <w:t>Perkins V</w:t>
      </w:r>
      <w:r w:rsidR="006A0199">
        <w:rPr>
          <w:rFonts w:ascii="Arial" w:hAnsi="Arial" w:cs="Arial"/>
        </w:rPr>
        <w:t xml:space="preserve"> grant</w:t>
      </w:r>
      <w:r w:rsidRPr="002A4623">
        <w:rPr>
          <w:rFonts w:ascii="Arial" w:hAnsi="Arial" w:cs="Arial"/>
        </w:rPr>
        <w:t xml:space="preserve"> provides </w:t>
      </w:r>
      <w:r w:rsidR="006A0199">
        <w:rPr>
          <w:rFonts w:ascii="Arial" w:hAnsi="Arial" w:cs="Arial"/>
        </w:rPr>
        <w:t>supplemental funds to</w:t>
      </w:r>
      <w:r w:rsidRPr="002A4623">
        <w:rPr>
          <w:rFonts w:ascii="Arial" w:hAnsi="Arial" w:cs="Arial"/>
        </w:rPr>
        <w:t xml:space="preserve"> support </w:t>
      </w:r>
      <w:r>
        <w:rPr>
          <w:rFonts w:ascii="Arial" w:hAnsi="Arial" w:cs="Arial"/>
        </w:rPr>
        <w:t>CTE</w:t>
      </w:r>
      <w:r w:rsidRPr="002A4623">
        <w:rPr>
          <w:rFonts w:ascii="Arial" w:hAnsi="Arial" w:cs="Arial"/>
        </w:rPr>
        <w:t xml:space="preserve"> programs</w:t>
      </w:r>
      <w:r>
        <w:rPr>
          <w:rFonts w:ascii="Arial" w:hAnsi="Arial" w:cs="Arial"/>
        </w:rPr>
        <w:t xml:space="preserve"> nationwide</w:t>
      </w:r>
      <w:r w:rsidRPr="002A4623">
        <w:rPr>
          <w:rFonts w:ascii="Arial" w:hAnsi="Arial" w:cs="Arial"/>
        </w:rPr>
        <w:t>, with California receiving approximately $</w:t>
      </w:r>
      <w:r>
        <w:rPr>
          <w:rFonts w:ascii="Arial" w:hAnsi="Arial" w:cs="Arial"/>
        </w:rPr>
        <w:t>100</w:t>
      </w:r>
      <w:r w:rsidRPr="002A4623">
        <w:rPr>
          <w:rFonts w:ascii="Arial" w:hAnsi="Arial" w:cs="Arial"/>
        </w:rPr>
        <w:t xml:space="preserve"> million annually for </w:t>
      </w:r>
      <w:r w:rsidR="00FC7A3A" w:rsidRPr="002A4623">
        <w:rPr>
          <w:rFonts w:ascii="Arial" w:hAnsi="Arial" w:cs="Arial"/>
        </w:rPr>
        <w:t>kindergarten</w:t>
      </w:r>
      <w:r w:rsidR="00FC7A3A">
        <w:rPr>
          <w:rFonts w:ascii="Arial" w:hAnsi="Arial" w:cs="Arial"/>
        </w:rPr>
        <w:t xml:space="preserve"> through grade twelve (K</w:t>
      </w:r>
      <w:r w:rsidRPr="002A4623">
        <w:rPr>
          <w:rFonts w:ascii="Arial" w:hAnsi="Arial" w:cs="Arial"/>
        </w:rPr>
        <w:t>–12</w:t>
      </w:r>
      <w:r w:rsidR="00FC7A3A">
        <w:rPr>
          <w:rFonts w:ascii="Arial" w:hAnsi="Arial" w:cs="Arial"/>
        </w:rPr>
        <w:t>)</w:t>
      </w:r>
      <w:r>
        <w:rPr>
          <w:rFonts w:ascii="Arial" w:hAnsi="Arial" w:cs="Arial"/>
        </w:rPr>
        <w:t>,</w:t>
      </w:r>
      <w:r w:rsidR="005F48D1">
        <w:rPr>
          <w:rFonts w:ascii="Arial" w:hAnsi="Arial" w:cs="Arial"/>
        </w:rPr>
        <w:t xml:space="preserve"> </w:t>
      </w:r>
      <w:r w:rsidR="00A61E7F">
        <w:rPr>
          <w:rFonts w:ascii="Arial" w:hAnsi="Arial" w:cs="Arial"/>
        </w:rPr>
        <w:t xml:space="preserve">direct-funded </w:t>
      </w:r>
      <w:r w:rsidR="005F48D1">
        <w:rPr>
          <w:rFonts w:ascii="Arial" w:hAnsi="Arial" w:cs="Arial"/>
        </w:rPr>
        <w:t>charter schools,</w:t>
      </w:r>
      <w:r>
        <w:rPr>
          <w:rFonts w:ascii="Arial" w:hAnsi="Arial" w:cs="Arial"/>
        </w:rPr>
        <w:t xml:space="preserve"> Adult Schools, </w:t>
      </w:r>
      <w:r w:rsidR="00161567">
        <w:rPr>
          <w:rFonts w:ascii="Arial" w:hAnsi="Arial" w:cs="Arial"/>
        </w:rPr>
        <w:t xml:space="preserve">and </w:t>
      </w:r>
      <w:r>
        <w:rPr>
          <w:rFonts w:ascii="Arial" w:hAnsi="Arial" w:cs="Arial"/>
        </w:rPr>
        <w:t>Community College</w:t>
      </w:r>
      <w:r w:rsidR="00FC7A3A">
        <w:rPr>
          <w:rFonts w:ascii="Arial" w:hAnsi="Arial" w:cs="Arial"/>
        </w:rPr>
        <w:t xml:space="preserve"> Districts (CCDs)</w:t>
      </w:r>
      <w:r w:rsidRPr="002A4623">
        <w:rPr>
          <w:rFonts w:ascii="Arial" w:hAnsi="Arial" w:cs="Arial"/>
        </w:rPr>
        <w:t>. Perkins</w:t>
      </w:r>
      <w:r>
        <w:rPr>
          <w:rFonts w:ascii="Arial" w:hAnsi="Arial" w:cs="Arial"/>
        </w:rPr>
        <w:t xml:space="preserve"> V</w:t>
      </w:r>
      <w:r w:rsidRPr="002A4623">
        <w:rPr>
          <w:rFonts w:ascii="Arial" w:hAnsi="Arial" w:cs="Arial"/>
        </w:rPr>
        <w:t xml:space="preserve"> funding supports comprehensive CTE system development including program improvement, professional development, and equity initiatives across all industry sectors.</w:t>
      </w:r>
    </w:p>
    <w:p w14:paraId="33F8588B" w14:textId="738F8919" w:rsidR="00213DB3" w:rsidRPr="002A4623" w:rsidRDefault="00213DB3" w:rsidP="00213DB3">
      <w:pPr>
        <w:spacing w:before="240" w:after="240"/>
        <w:rPr>
          <w:rFonts w:ascii="Arial" w:hAnsi="Arial" w:cs="Arial"/>
        </w:rPr>
      </w:pPr>
      <w:r w:rsidRPr="002A4623">
        <w:rPr>
          <w:rFonts w:ascii="Arial" w:hAnsi="Arial" w:cs="Arial"/>
          <w:b/>
          <w:bCs/>
        </w:rPr>
        <w:t>Process for Funding Consideration</w:t>
      </w:r>
      <w:r w:rsidR="00FC7A3A">
        <w:rPr>
          <w:rFonts w:ascii="Arial" w:hAnsi="Arial" w:cs="Arial"/>
          <w:b/>
          <w:bCs/>
        </w:rPr>
        <w:t>:</w:t>
      </w:r>
      <w:r w:rsidRPr="002A4623">
        <w:rPr>
          <w:rFonts w:ascii="Arial" w:hAnsi="Arial" w:cs="Arial"/>
        </w:rPr>
        <w:t xml:space="preserve"> Perkins </w:t>
      </w:r>
      <w:r w:rsidR="00FC7A3A">
        <w:rPr>
          <w:rFonts w:ascii="Arial" w:hAnsi="Arial" w:cs="Arial"/>
        </w:rPr>
        <w:t xml:space="preserve">V </w:t>
      </w:r>
      <w:r w:rsidRPr="002A4623">
        <w:rPr>
          <w:rFonts w:ascii="Arial" w:hAnsi="Arial" w:cs="Arial"/>
        </w:rPr>
        <w:t>funding operates through a formula</w:t>
      </w:r>
      <w:r w:rsidR="009A1C16">
        <w:rPr>
          <w:rFonts w:ascii="Arial" w:hAnsi="Arial" w:cs="Arial"/>
        </w:rPr>
        <w:t>-</w:t>
      </w:r>
      <w:r w:rsidRPr="002A4623">
        <w:rPr>
          <w:rFonts w:ascii="Arial" w:hAnsi="Arial" w:cs="Arial"/>
        </w:rPr>
        <w:t xml:space="preserve">based allocation rather than competitive grants. California receives federal funds based on population and poverty data, then distributes funding to local educational agencies </w:t>
      </w:r>
      <w:r>
        <w:rPr>
          <w:rFonts w:ascii="Arial" w:hAnsi="Arial" w:cs="Arial"/>
        </w:rPr>
        <w:t xml:space="preserve">(LEAs) </w:t>
      </w:r>
      <w:r w:rsidRPr="002A4623">
        <w:rPr>
          <w:rFonts w:ascii="Arial" w:hAnsi="Arial" w:cs="Arial"/>
        </w:rPr>
        <w:t xml:space="preserve">and </w:t>
      </w:r>
      <w:r w:rsidR="00FC7A3A">
        <w:rPr>
          <w:rFonts w:ascii="Arial" w:hAnsi="Arial" w:cs="Arial"/>
        </w:rPr>
        <w:t>CCDs</w:t>
      </w:r>
      <w:r w:rsidRPr="002A4623">
        <w:rPr>
          <w:rFonts w:ascii="Arial" w:hAnsi="Arial" w:cs="Arial"/>
        </w:rPr>
        <w:t xml:space="preserve"> through</w:t>
      </w:r>
      <w:r>
        <w:rPr>
          <w:rFonts w:ascii="Arial" w:hAnsi="Arial" w:cs="Arial"/>
        </w:rPr>
        <w:t xml:space="preserve"> the</w:t>
      </w:r>
      <w:r w:rsidRPr="002A4623">
        <w:rPr>
          <w:rFonts w:ascii="Arial" w:hAnsi="Arial" w:cs="Arial"/>
        </w:rPr>
        <w:t xml:space="preserve"> state</w:t>
      </w:r>
      <w:r w:rsidR="009A1C16">
        <w:rPr>
          <w:rFonts w:ascii="Arial" w:hAnsi="Arial" w:cs="Arial"/>
        </w:rPr>
        <w:t>-</w:t>
      </w:r>
      <w:r w:rsidRPr="002A4623">
        <w:rPr>
          <w:rFonts w:ascii="Arial" w:hAnsi="Arial" w:cs="Arial"/>
        </w:rPr>
        <w:t>developed formulas. Recipients must comply with federal accountability measures under Perkins V, including performance indicators for student achievement, credential attainment, and post</w:t>
      </w:r>
      <w:r w:rsidR="009A1C16">
        <w:rPr>
          <w:rFonts w:ascii="Arial" w:hAnsi="Arial" w:cs="Arial"/>
        </w:rPr>
        <w:t>-</w:t>
      </w:r>
      <w:r w:rsidRPr="002A4623">
        <w:rPr>
          <w:rFonts w:ascii="Arial" w:hAnsi="Arial" w:cs="Arial"/>
        </w:rPr>
        <w:t xml:space="preserve">program placement. </w:t>
      </w:r>
      <w:r>
        <w:rPr>
          <w:rFonts w:ascii="Arial" w:hAnsi="Arial" w:cs="Arial"/>
        </w:rPr>
        <w:t>LEAs</w:t>
      </w:r>
      <w:r w:rsidRPr="002A4623">
        <w:rPr>
          <w:rFonts w:ascii="Arial" w:hAnsi="Arial" w:cs="Arial"/>
        </w:rPr>
        <w:t xml:space="preserve"> must submit </w:t>
      </w:r>
      <w:r w:rsidR="00EA4F15">
        <w:rPr>
          <w:rFonts w:ascii="Arial" w:hAnsi="Arial" w:cs="Arial"/>
        </w:rPr>
        <w:t xml:space="preserve">applications </w:t>
      </w:r>
      <w:r w:rsidR="00941030">
        <w:rPr>
          <w:rFonts w:ascii="Arial" w:hAnsi="Arial" w:cs="Arial"/>
        </w:rPr>
        <w:t>each spring</w:t>
      </w:r>
      <w:r w:rsidR="00EA4F15">
        <w:rPr>
          <w:rFonts w:ascii="Arial" w:hAnsi="Arial" w:cs="Arial"/>
        </w:rPr>
        <w:t xml:space="preserve">, via the CDE Program Grant Management System (PGMS), </w:t>
      </w:r>
      <w:r w:rsidRPr="002A4623">
        <w:rPr>
          <w:rFonts w:ascii="Arial" w:hAnsi="Arial" w:cs="Arial"/>
        </w:rPr>
        <w:t xml:space="preserve">demonstrating </w:t>
      </w:r>
      <w:r w:rsidR="00EA4F15">
        <w:rPr>
          <w:rFonts w:ascii="Arial" w:hAnsi="Arial" w:cs="Arial"/>
        </w:rPr>
        <w:t xml:space="preserve">how funds will be used, </w:t>
      </w:r>
      <w:r w:rsidR="00161567">
        <w:rPr>
          <w:rFonts w:ascii="Arial" w:hAnsi="Arial" w:cs="Arial"/>
        </w:rPr>
        <w:t xml:space="preserve">explaining </w:t>
      </w:r>
      <w:r w:rsidRPr="002A4623">
        <w:rPr>
          <w:rFonts w:ascii="Arial" w:hAnsi="Arial" w:cs="Arial"/>
        </w:rPr>
        <w:t xml:space="preserve">alignment with </w:t>
      </w:r>
      <w:r>
        <w:rPr>
          <w:rFonts w:ascii="Arial" w:hAnsi="Arial" w:cs="Arial"/>
        </w:rPr>
        <w:t xml:space="preserve">state and </w:t>
      </w:r>
      <w:r w:rsidRPr="002A4623">
        <w:rPr>
          <w:rFonts w:ascii="Arial" w:hAnsi="Arial" w:cs="Arial"/>
        </w:rPr>
        <w:t>federal priorities</w:t>
      </w:r>
      <w:r w:rsidR="00EA4F15">
        <w:rPr>
          <w:rFonts w:ascii="Arial" w:hAnsi="Arial" w:cs="Arial"/>
        </w:rPr>
        <w:t xml:space="preserve">, </w:t>
      </w:r>
      <w:r w:rsidR="00161567">
        <w:rPr>
          <w:rFonts w:ascii="Arial" w:hAnsi="Arial" w:cs="Arial"/>
        </w:rPr>
        <w:t xml:space="preserve">providing </w:t>
      </w:r>
      <w:r w:rsidR="00EA4F15">
        <w:rPr>
          <w:rFonts w:ascii="Arial" w:hAnsi="Arial" w:cs="Arial"/>
        </w:rPr>
        <w:t>updates on their Comprehensive Local Needs Assessment,</w:t>
      </w:r>
      <w:r w:rsidRPr="002A4623">
        <w:rPr>
          <w:rFonts w:ascii="Arial" w:hAnsi="Arial" w:cs="Arial"/>
        </w:rPr>
        <w:t xml:space="preserve"> and</w:t>
      </w:r>
      <w:r w:rsidR="00EA4F15">
        <w:rPr>
          <w:rFonts w:ascii="Arial" w:hAnsi="Arial" w:cs="Arial"/>
        </w:rPr>
        <w:t xml:space="preserve"> </w:t>
      </w:r>
      <w:r w:rsidR="00811EAA">
        <w:rPr>
          <w:rFonts w:ascii="Arial" w:hAnsi="Arial" w:cs="Arial"/>
        </w:rPr>
        <w:t>reporting</w:t>
      </w:r>
      <w:r w:rsidR="00161567">
        <w:rPr>
          <w:rFonts w:ascii="Arial" w:hAnsi="Arial" w:cs="Arial"/>
        </w:rPr>
        <w:t xml:space="preserve"> </w:t>
      </w:r>
      <w:r w:rsidR="00EA4F15">
        <w:rPr>
          <w:rFonts w:ascii="Arial" w:hAnsi="Arial" w:cs="Arial"/>
        </w:rPr>
        <w:t>progress in meeting</w:t>
      </w:r>
      <w:r w:rsidRPr="002A4623">
        <w:rPr>
          <w:rFonts w:ascii="Arial" w:hAnsi="Arial" w:cs="Arial"/>
        </w:rPr>
        <w:t xml:space="preserve"> accountability requirements.</w:t>
      </w:r>
    </w:p>
    <w:p w14:paraId="5969A0DD" w14:textId="7FA60871" w:rsidR="00213DB3" w:rsidRPr="002A4623" w:rsidRDefault="00213DB3" w:rsidP="00213DB3">
      <w:pPr>
        <w:spacing w:before="240" w:after="240"/>
        <w:rPr>
          <w:rFonts w:ascii="Arial" w:hAnsi="Arial" w:cs="Arial"/>
        </w:rPr>
      </w:pPr>
      <w:r w:rsidRPr="002A4623">
        <w:rPr>
          <w:rFonts w:ascii="Arial" w:hAnsi="Arial" w:cs="Arial"/>
          <w:b/>
          <w:bCs/>
        </w:rPr>
        <w:t>Purpose of the Grant</w:t>
      </w:r>
      <w:r w:rsidRPr="00FC7A3A">
        <w:rPr>
          <w:rFonts w:ascii="Arial" w:hAnsi="Arial" w:cs="Arial"/>
          <w:b/>
          <w:bCs/>
        </w:rPr>
        <w:t>:</w:t>
      </w:r>
      <w:r>
        <w:rPr>
          <w:rFonts w:ascii="Arial" w:hAnsi="Arial" w:cs="Arial"/>
        </w:rPr>
        <w:t xml:space="preserve"> Perkins V</w:t>
      </w:r>
      <w:r w:rsidRPr="002A4623">
        <w:rPr>
          <w:rFonts w:ascii="Arial" w:hAnsi="Arial" w:cs="Arial"/>
        </w:rPr>
        <w:t xml:space="preserve"> supports </w:t>
      </w:r>
      <w:r>
        <w:rPr>
          <w:rFonts w:ascii="Arial" w:hAnsi="Arial" w:cs="Arial"/>
        </w:rPr>
        <w:t>CTE</w:t>
      </w:r>
      <w:r w:rsidRPr="002A4623">
        <w:rPr>
          <w:rFonts w:ascii="Arial" w:hAnsi="Arial" w:cs="Arial"/>
        </w:rPr>
        <w:t xml:space="preserve"> program improvement and standards alignment, with emphasis on professional development, equity for special populations, and preparation of students for high</w:t>
      </w:r>
      <w:r w:rsidR="00600A8E">
        <w:rPr>
          <w:rFonts w:ascii="Arial" w:hAnsi="Arial" w:cs="Arial"/>
        </w:rPr>
        <w:t>-</w:t>
      </w:r>
      <w:r w:rsidRPr="002A4623">
        <w:rPr>
          <w:rFonts w:ascii="Arial" w:hAnsi="Arial" w:cs="Arial"/>
        </w:rPr>
        <w:t>skill, high</w:t>
      </w:r>
      <w:r w:rsidR="00600A8E">
        <w:rPr>
          <w:rFonts w:ascii="Arial" w:hAnsi="Arial" w:cs="Arial"/>
        </w:rPr>
        <w:t>-</w:t>
      </w:r>
      <w:r w:rsidRPr="002A4623">
        <w:rPr>
          <w:rFonts w:ascii="Arial" w:hAnsi="Arial" w:cs="Arial"/>
        </w:rPr>
        <w:t>wage, or in</w:t>
      </w:r>
      <w:r w:rsidR="00600A8E">
        <w:rPr>
          <w:rFonts w:ascii="Arial" w:hAnsi="Arial" w:cs="Arial"/>
        </w:rPr>
        <w:t>-</w:t>
      </w:r>
      <w:r w:rsidRPr="002A4623">
        <w:rPr>
          <w:rFonts w:ascii="Arial" w:hAnsi="Arial" w:cs="Arial"/>
        </w:rPr>
        <w:t xml:space="preserve">demand occupations. Perkins </w:t>
      </w:r>
      <w:r w:rsidRPr="002A4623">
        <w:rPr>
          <w:rFonts w:ascii="Arial" w:hAnsi="Arial" w:cs="Arial"/>
        </w:rPr>
        <w:lastRenderedPageBreak/>
        <w:t>funding focuses on strengthening the overall CTE system rather than supporting individual programs, providing resources for curriculum development, equipment purchases, professional development, and support services that improve program quality across multiple pathways.</w:t>
      </w:r>
    </w:p>
    <w:p w14:paraId="444D2C5B" w14:textId="62F82233" w:rsidR="00213DB3" w:rsidRPr="002A4623" w:rsidRDefault="00213DB3" w:rsidP="00213DB3">
      <w:pPr>
        <w:spacing w:before="240" w:after="240"/>
        <w:rPr>
          <w:rFonts w:ascii="Arial" w:hAnsi="Arial" w:cs="Arial"/>
        </w:rPr>
      </w:pPr>
      <w:r w:rsidRPr="002A4623">
        <w:rPr>
          <w:rFonts w:ascii="Arial" w:hAnsi="Arial" w:cs="Arial"/>
          <w:b/>
          <w:bCs/>
        </w:rPr>
        <w:t>Eligible Entities</w:t>
      </w:r>
      <w:r w:rsidR="0069329E">
        <w:rPr>
          <w:rFonts w:ascii="Arial" w:hAnsi="Arial" w:cs="Arial"/>
          <w:b/>
          <w:bCs/>
        </w:rPr>
        <w:t>:</w:t>
      </w:r>
      <w:r w:rsidRPr="002A4623">
        <w:rPr>
          <w:rFonts w:ascii="Arial" w:hAnsi="Arial" w:cs="Arial"/>
        </w:rPr>
        <w:t xml:space="preserve"> L</w:t>
      </w:r>
      <w:r w:rsidR="0069329E">
        <w:rPr>
          <w:rFonts w:ascii="Arial" w:hAnsi="Arial" w:cs="Arial"/>
        </w:rPr>
        <w:t>EAs</w:t>
      </w:r>
      <w:r w:rsidR="00EA4F15">
        <w:rPr>
          <w:rFonts w:ascii="Arial" w:hAnsi="Arial" w:cs="Arial"/>
        </w:rPr>
        <w:t xml:space="preserve"> (school districts, adult schools, direct-funded charter schools, and county offices of education)</w:t>
      </w:r>
      <w:r w:rsidR="0069329E">
        <w:rPr>
          <w:rFonts w:ascii="Arial" w:hAnsi="Arial" w:cs="Arial"/>
        </w:rPr>
        <w:t xml:space="preserve"> and CCDs </w:t>
      </w:r>
      <w:r w:rsidRPr="002A4623">
        <w:rPr>
          <w:rFonts w:ascii="Arial" w:hAnsi="Arial" w:cs="Arial"/>
        </w:rPr>
        <w:t xml:space="preserve">are eligible for Perkins funding, with the program supporting both secondary and postsecondary </w:t>
      </w:r>
      <w:r w:rsidR="0069329E">
        <w:rPr>
          <w:rFonts w:ascii="Arial" w:hAnsi="Arial" w:cs="Arial"/>
        </w:rPr>
        <w:t>CTE</w:t>
      </w:r>
      <w:r w:rsidRPr="002A4623">
        <w:rPr>
          <w:rFonts w:ascii="Arial" w:hAnsi="Arial" w:cs="Arial"/>
        </w:rPr>
        <w:t>. The program emphasizes collaboration between secondary and postsecondary institutions to create seamless pathways for student advancement.</w:t>
      </w:r>
    </w:p>
    <w:p w14:paraId="5FAB7261" w14:textId="327BA78F" w:rsidR="00213DB3" w:rsidRPr="002A4623" w:rsidRDefault="00213DB3" w:rsidP="00213DB3">
      <w:pPr>
        <w:spacing w:before="240" w:after="240"/>
        <w:rPr>
          <w:rFonts w:ascii="Arial" w:hAnsi="Arial" w:cs="Arial"/>
        </w:rPr>
      </w:pPr>
      <w:r w:rsidRPr="002A4623">
        <w:rPr>
          <w:rFonts w:ascii="Arial" w:hAnsi="Arial" w:cs="Arial"/>
          <w:b/>
          <w:bCs/>
        </w:rPr>
        <w:t>Ongoing/Duration</w:t>
      </w:r>
      <w:r w:rsidR="0069329E" w:rsidRPr="0069329E">
        <w:rPr>
          <w:rFonts w:ascii="Arial" w:hAnsi="Arial" w:cs="Arial"/>
          <w:b/>
          <w:bCs/>
        </w:rPr>
        <w:t>:</w:t>
      </w:r>
      <w:r w:rsidRPr="002A4623">
        <w:rPr>
          <w:rFonts w:ascii="Arial" w:hAnsi="Arial" w:cs="Arial"/>
        </w:rPr>
        <w:t xml:space="preserve"> Perkins provides annual federal funding subject to Congressional appropriations, with multi</w:t>
      </w:r>
      <w:r w:rsidR="009A1C16">
        <w:rPr>
          <w:rFonts w:ascii="Arial" w:hAnsi="Arial" w:cs="Arial"/>
        </w:rPr>
        <w:t>-y</w:t>
      </w:r>
      <w:r w:rsidRPr="002A4623">
        <w:rPr>
          <w:rFonts w:ascii="Arial" w:hAnsi="Arial" w:cs="Arial"/>
        </w:rPr>
        <w:t xml:space="preserve">ear authorization periods requiring periodic reauthorization. The current Perkins V authorization extends through </w:t>
      </w:r>
      <w:r w:rsidR="0069329E">
        <w:rPr>
          <w:rFonts w:ascii="Arial" w:hAnsi="Arial" w:cs="Arial"/>
        </w:rPr>
        <w:t>FY</w:t>
      </w:r>
      <w:r w:rsidRPr="002A4623">
        <w:rPr>
          <w:rFonts w:ascii="Arial" w:hAnsi="Arial" w:cs="Arial"/>
        </w:rPr>
        <w:t xml:space="preserve"> 202</w:t>
      </w:r>
      <w:r w:rsidR="0069329E">
        <w:rPr>
          <w:rFonts w:ascii="Arial" w:hAnsi="Arial" w:cs="Arial"/>
        </w:rPr>
        <w:t>7</w:t>
      </w:r>
      <w:r w:rsidRPr="002A4623">
        <w:rPr>
          <w:rFonts w:ascii="Arial" w:hAnsi="Arial" w:cs="Arial"/>
        </w:rPr>
        <w:t xml:space="preserve">. Funding levels vary annually based on federal budget decisions but represent a stable, ongoing federal investment in </w:t>
      </w:r>
      <w:r w:rsidR="0069329E">
        <w:rPr>
          <w:rFonts w:ascii="Arial" w:hAnsi="Arial" w:cs="Arial"/>
        </w:rPr>
        <w:t>CTE</w:t>
      </w:r>
      <w:r w:rsidRPr="002A4623">
        <w:rPr>
          <w:rFonts w:ascii="Arial" w:hAnsi="Arial" w:cs="Arial"/>
        </w:rPr>
        <w:t>.</w:t>
      </w:r>
    </w:p>
    <w:p w14:paraId="4F4FCC7A" w14:textId="742366A7" w:rsidR="00213DB3" w:rsidRPr="002A4623" w:rsidRDefault="00213DB3" w:rsidP="00213DB3">
      <w:pPr>
        <w:spacing w:before="240" w:after="240"/>
        <w:rPr>
          <w:rFonts w:ascii="Arial" w:hAnsi="Arial" w:cs="Arial"/>
          <w:b/>
          <w:bCs/>
        </w:rPr>
      </w:pPr>
      <w:r w:rsidRPr="002A4623">
        <w:rPr>
          <w:rFonts w:ascii="Arial" w:hAnsi="Arial" w:cs="Arial"/>
          <w:b/>
          <w:bCs/>
        </w:rPr>
        <w:t>Fiscal Year Started</w:t>
      </w:r>
      <w:r w:rsidR="0069329E">
        <w:rPr>
          <w:rFonts w:ascii="Arial" w:hAnsi="Arial" w:cs="Arial"/>
          <w:b/>
          <w:bCs/>
        </w:rPr>
        <w:t>:</w:t>
      </w:r>
      <w:r w:rsidRPr="002A4623">
        <w:rPr>
          <w:rFonts w:ascii="Arial" w:hAnsi="Arial" w:cs="Arial"/>
        </w:rPr>
        <w:t xml:space="preserve"> The Perkins Act dates to the original Carl D. Perkins Vocational Education Act of 1984, with major reauthorizations including Perkins II (1990), Perkins III (1998), Perkins IV (2006), and the current Perkins V (2018).</w:t>
      </w:r>
      <w:r w:rsidRPr="002A4623">
        <w:rPr>
          <w:rFonts w:ascii="Arial" w:hAnsi="Arial" w:cs="Arial"/>
          <w:b/>
          <w:bCs/>
        </w:rPr>
        <w:t xml:space="preserve"> </w:t>
      </w:r>
    </w:p>
    <w:p w14:paraId="43644AF9" w14:textId="667395B6" w:rsidR="00213DB3" w:rsidRPr="002A4623" w:rsidRDefault="00213DB3" w:rsidP="00213DB3">
      <w:pPr>
        <w:spacing w:before="240" w:after="240"/>
        <w:rPr>
          <w:rFonts w:ascii="Arial" w:hAnsi="Arial" w:cs="Arial"/>
        </w:rPr>
      </w:pPr>
      <w:r w:rsidRPr="002A4623">
        <w:rPr>
          <w:rFonts w:ascii="Arial" w:hAnsi="Arial" w:cs="Arial"/>
          <w:b/>
          <w:bCs/>
        </w:rPr>
        <w:t>Historical Context</w:t>
      </w:r>
      <w:r w:rsidR="0069329E">
        <w:rPr>
          <w:rFonts w:ascii="Arial" w:hAnsi="Arial" w:cs="Arial"/>
          <w:b/>
          <w:bCs/>
        </w:rPr>
        <w:t>:</w:t>
      </w:r>
      <w:r w:rsidRPr="002A4623">
        <w:rPr>
          <w:rFonts w:ascii="Arial" w:hAnsi="Arial" w:cs="Arial"/>
        </w:rPr>
        <w:t xml:space="preserve"> The 2018 transition to Perkins V represented the most significant structural change in recent years, introducing enhanced focus on industry partnerships, work</w:t>
      </w:r>
      <w:r w:rsidR="009A1C16">
        <w:rPr>
          <w:rFonts w:ascii="Arial" w:hAnsi="Arial" w:cs="Arial"/>
        </w:rPr>
        <w:t>-</w:t>
      </w:r>
      <w:r w:rsidRPr="002A4623">
        <w:rPr>
          <w:rFonts w:ascii="Arial" w:hAnsi="Arial" w:cs="Arial"/>
        </w:rPr>
        <w:t>based learning, and accountability for equity outcomes. Perkins</w:t>
      </w:r>
      <w:r w:rsidR="0069329E">
        <w:rPr>
          <w:rFonts w:ascii="Arial" w:hAnsi="Arial" w:cs="Arial"/>
        </w:rPr>
        <w:t xml:space="preserve"> V</w:t>
      </w:r>
      <w:r w:rsidRPr="002A4623">
        <w:rPr>
          <w:rFonts w:ascii="Arial" w:hAnsi="Arial" w:cs="Arial"/>
        </w:rPr>
        <w:t xml:space="preserve"> funding provides the foundational federal support that enables states to leverage additional investments like CTEIG and other state</w:t>
      </w:r>
      <w:r w:rsidR="009A1C16">
        <w:rPr>
          <w:rFonts w:ascii="Arial" w:hAnsi="Arial" w:cs="Arial"/>
        </w:rPr>
        <w:t>-</w:t>
      </w:r>
      <w:r w:rsidRPr="002A4623">
        <w:rPr>
          <w:rFonts w:ascii="Arial" w:hAnsi="Arial" w:cs="Arial"/>
        </w:rPr>
        <w:t>specific initiatives.</w:t>
      </w:r>
    </w:p>
    <w:p w14:paraId="799D0673" w14:textId="7B5877E7" w:rsidR="00213DB3" w:rsidRPr="002A4623" w:rsidRDefault="00213DB3" w:rsidP="00213DB3">
      <w:pPr>
        <w:spacing w:before="240" w:after="240"/>
        <w:rPr>
          <w:rFonts w:ascii="Arial" w:hAnsi="Arial" w:cs="Arial"/>
        </w:rPr>
      </w:pPr>
      <w:r w:rsidRPr="002A4623">
        <w:rPr>
          <w:rFonts w:ascii="Arial" w:hAnsi="Arial" w:cs="Arial"/>
          <w:b/>
          <w:bCs/>
        </w:rPr>
        <w:t xml:space="preserve">Anticipated Funding: </w:t>
      </w:r>
      <w:r w:rsidRPr="002A4623">
        <w:rPr>
          <w:rFonts w:ascii="Arial" w:hAnsi="Arial" w:cs="Arial"/>
        </w:rPr>
        <w:t>In</w:t>
      </w:r>
      <w:r w:rsidRPr="002A4623">
        <w:rPr>
          <w:rFonts w:ascii="Arial" w:hAnsi="Arial" w:cs="Arial"/>
          <w:b/>
          <w:bCs/>
        </w:rPr>
        <w:t xml:space="preserve"> </w:t>
      </w:r>
      <w:r w:rsidRPr="002A4623">
        <w:rPr>
          <w:rFonts w:ascii="Arial" w:hAnsi="Arial" w:cs="Arial"/>
        </w:rPr>
        <w:t>FY 2025–26 the granted funding level was $12</w:t>
      </w:r>
      <w:r w:rsidR="005F48D1">
        <w:rPr>
          <w:rFonts w:ascii="Arial" w:hAnsi="Arial" w:cs="Arial"/>
        </w:rPr>
        <w:t>1</w:t>
      </w:r>
      <w:r w:rsidRPr="002A4623">
        <w:rPr>
          <w:rFonts w:ascii="Arial" w:hAnsi="Arial" w:cs="Arial"/>
        </w:rPr>
        <w:t xml:space="preserve"> million. For FY 2026–27 the CDE anticipates a minor increase but cannot determine this until the Federal budget is realized.</w:t>
      </w:r>
    </w:p>
    <w:p w14:paraId="44C46E83" w14:textId="0841CADE" w:rsidR="0063277C" w:rsidRPr="002A4623" w:rsidRDefault="0063277C" w:rsidP="00D01A2E">
      <w:pPr>
        <w:pStyle w:val="Heading3"/>
      </w:pPr>
      <w:bookmarkStart w:id="7" w:name="_Toc209166955"/>
      <w:r w:rsidRPr="00600A8E">
        <w:t>C</w:t>
      </w:r>
      <w:r w:rsidR="005F48D1">
        <w:t xml:space="preserve">areer </w:t>
      </w:r>
      <w:r w:rsidR="00600A8E" w:rsidRPr="00600A8E">
        <w:t>T</w:t>
      </w:r>
      <w:r w:rsidR="005F48D1">
        <w:t xml:space="preserve">echnical </w:t>
      </w:r>
      <w:r w:rsidR="00600A8E" w:rsidRPr="00600A8E">
        <w:t>E</w:t>
      </w:r>
      <w:r w:rsidR="005F48D1">
        <w:t xml:space="preserve">ducation </w:t>
      </w:r>
      <w:r w:rsidR="00600A8E" w:rsidRPr="00600A8E">
        <w:t>I</w:t>
      </w:r>
      <w:r w:rsidR="005F48D1">
        <w:t xml:space="preserve">ncentive </w:t>
      </w:r>
      <w:r w:rsidR="00600A8E" w:rsidRPr="00600A8E">
        <w:t>G</w:t>
      </w:r>
      <w:r w:rsidR="005F48D1">
        <w:t>rant</w:t>
      </w:r>
      <w:bookmarkEnd w:id="7"/>
    </w:p>
    <w:p w14:paraId="2E231BB9" w14:textId="1B150494" w:rsidR="0063277C" w:rsidRPr="002A4623" w:rsidRDefault="0063277C" w:rsidP="00345B55">
      <w:pPr>
        <w:spacing w:before="240" w:after="240"/>
        <w:rPr>
          <w:rFonts w:ascii="Arial" w:hAnsi="Arial" w:cs="Arial"/>
        </w:rPr>
      </w:pPr>
      <w:r w:rsidRPr="002A4623">
        <w:rPr>
          <w:rFonts w:ascii="Arial" w:hAnsi="Arial" w:cs="Arial"/>
          <w:b/>
          <w:bCs/>
        </w:rPr>
        <w:t>Program Overview</w:t>
      </w:r>
      <w:r w:rsidR="00600A8E">
        <w:rPr>
          <w:rFonts w:ascii="Arial" w:hAnsi="Arial" w:cs="Arial"/>
          <w:b/>
          <w:bCs/>
        </w:rPr>
        <w:t>:</w:t>
      </w:r>
      <w:r w:rsidRPr="002A4623">
        <w:rPr>
          <w:rFonts w:ascii="Arial" w:hAnsi="Arial" w:cs="Arial"/>
        </w:rPr>
        <w:t xml:space="preserve"> </w:t>
      </w:r>
      <w:r w:rsidR="005876FF" w:rsidRPr="002A4623">
        <w:rPr>
          <w:rFonts w:ascii="Arial" w:hAnsi="Arial" w:cs="Arial"/>
        </w:rPr>
        <w:t>CTEIG</w:t>
      </w:r>
      <w:r w:rsidRPr="002A4623">
        <w:rPr>
          <w:rFonts w:ascii="Arial" w:hAnsi="Arial" w:cs="Arial"/>
        </w:rPr>
        <w:t xml:space="preserve"> represents California's largest state investment in </w:t>
      </w:r>
      <w:r w:rsidR="005876FF" w:rsidRPr="002A4623">
        <w:rPr>
          <w:rFonts w:ascii="Arial" w:hAnsi="Arial" w:cs="Arial"/>
        </w:rPr>
        <w:t>CTE, pro</w:t>
      </w:r>
      <w:r w:rsidRPr="002A4623">
        <w:rPr>
          <w:rFonts w:ascii="Arial" w:hAnsi="Arial" w:cs="Arial"/>
        </w:rPr>
        <w:t>viding $300 million annually to support new and expanding CTE programs across all 15 industry sectors. The program serves as a cornerstone of the state's workforce development strategy, designed to help students transition effectively from education to employment and postsecondary opportunities.</w:t>
      </w:r>
    </w:p>
    <w:p w14:paraId="3ED07720" w14:textId="6B36B3AE" w:rsidR="0063277C" w:rsidRPr="002A4623" w:rsidRDefault="0063277C" w:rsidP="00345B55">
      <w:pPr>
        <w:spacing w:before="240" w:after="240"/>
        <w:rPr>
          <w:rFonts w:ascii="Arial" w:hAnsi="Arial" w:cs="Arial"/>
        </w:rPr>
      </w:pPr>
      <w:r w:rsidRPr="002A4623">
        <w:rPr>
          <w:rFonts w:ascii="Arial" w:hAnsi="Arial" w:cs="Arial"/>
          <w:b/>
          <w:bCs/>
        </w:rPr>
        <w:t>Process for Funding Consideration</w:t>
      </w:r>
      <w:r w:rsidR="00600A8E">
        <w:rPr>
          <w:rFonts w:ascii="Arial" w:hAnsi="Arial" w:cs="Arial"/>
          <w:b/>
          <w:bCs/>
        </w:rPr>
        <w:t>:</w:t>
      </w:r>
      <w:r w:rsidRPr="002A4623">
        <w:rPr>
          <w:rFonts w:ascii="Arial" w:hAnsi="Arial" w:cs="Arial"/>
        </w:rPr>
        <w:t xml:space="preserve"> CTEIG operates through a competitive application process administered by the C</w:t>
      </w:r>
      <w:r w:rsidR="00600A8E">
        <w:rPr>
          <w:rFonts w:ascii="Arial" w:hAnsi="Arial" w:cs="Arial"/>
        </w:rPr>
        <w:t>DE</w:t>
      </w:r>
      <w:r w:rsidR="00A03483">
        <w:rPr>
          <w:rFonts w:ascii="Arial" w:hAnsi="Arial" w:cs="Arial"/>
        </w:rPr>
        <w:t xml:space="preserve"> each summer</w:t>
      </w:r>
      <w:r w:rsidRPr="002A4623">
        <w:rPr>
          <w:rFonts w:ascii="Arial" w:hAnsi="Arial" w:cs="Arial"/>
        </w:rPr>
        <w:t xml:space="preserve">, requiring formal Requests </w:t>
      </w:r>
      <w:r w:rsidRPr="002A4623">
        <w:rPr>
          <w:rFonts w:ascii="Arial" w:hAnsi="Arial" w:cs="Arial"/>
        </w:rPr>
        <w:lastRenderedPageBreak/>
        <w:t>for Applications (RFA</w:t>
      </w:r>
      <w:r w:rsidR="00600A8E">
        <w:rPr>
          <w:rFonts w:ascii="Arial" w:hAnsi="Arial" w:cs="Arial"/>
        </w:rPr>
        <w:t>s</w:t>
      </w:r>
      <w:r w:rsidRPr="002A4623">
        <w:rPr>
          <w:rFonts w:ascii="Arial" w:hAnsi="Arial" w:cs="Arial"/>
        </w:rPr>
        <w:t>)</w:t>
      </w:r>
      <w:r w:rsidR="00A03483">
        <w:rPr>
          <w:rFonts w:ascii="Arial" w:hAnsi="Arial" w:cs="Arial"/>
        </w:rPr>
        <w:t>; applications are</w:t>
      </w:r>
      <w:r w:rsidR="00EA4F15">
        <w:rPr>
          <w:rFonts w:ascii="Arial" w:hAnsi="Arial" w:cs="Arial"/>
        </w:rPr>
        <w:t xml:space="preserve"> completed via the</w:t>
      </w:r>
      <w:r w:rsidR="00A03483">
        <w:rPr>
          <w:rFonts w:ascii="Arial" w:hAnsi="Arial" w:cs="Arial"/>
        </w:rPr>
        <w:t xml:space="preserve"> CDE</w:t>
      </w:r>
      <w:r w:rsidR="00EA4F15">
        <w:rPr>
          <w:rFonts w:ascii="Arial" w:hAnsi="Arial" w:cs="Arial"/>
        </w:rPr>
        <w:t xml:space="preserve"> PGMS</w:t>
      </w:r>
      <w:r w:rsidRPr="002A4623">
        <w:rPr>
          <w:rFonts w:ascii="Arial" w:hAnsi="Arial" w:cs="Arial"/>
        </w:rPr>
        <w:t xml:space="preserve">. Applicants must demonstrate compliance with the 11 </w:t>
      </w:r>
      <w:r w:rsidR="00894A15">
        <w:rPr>
          <w:rFonts w:ascii="Arial" w:hAnsi="Arial" w:cs="Arial"/>
        </w:rPr>
        <w:t>Minimum Eligibility Requirements,</w:t>
      </w:r>
      <w:r w:rsidRPr="002A4623">
        <w:rPr>
          <w:rFonts w:ascii="Arial" w:hAnsi="Arial" w:cs="Arial"/>
        </w:rPr>
        <w:t xml:space="preserve"> including industry partnerships, work</w:t>
      </w:r>
      <w:r w:rsidR="00600A8E">
        <w:rPr>
          <w:rFonts w:ascii="Arial" w:hAnsi="Arial" w:cs="Arial"/>
        </w:rPr>
        <w:t>-</w:t>
      </w:r>
      <w:r w:rsidRPr="002A4623">
        <w:rPr>
          <w:rFonts w:ascii="Arial" w:hAnsi="Arial" w:cs="Arial"/>
        </w:rPr>
        <w:t>based learning opportunities, and alignment with labor market demands. Applications undergo rigorous review by CDE staff, with final allocation formulas and award amounts requiring State Board of Education approval. Grant awards vary by applicant</w:t>
      </w:r>
      <w:r w:rsidR="00894A15">
        <w:rPr>
          <w:rFonts w:ascii="Arial" w:hAnsi="Arial" w:cs="Arial"/>
        </w:rPr>
        <w:t xml:space="preserve"> and grantees are divided into three </w:t>
      </w:r>
      <w:r w:rsidRPr="002A4623">
        <w:rPr>
          <w:rFonts w:ascii="Arial" w:hAnsi="Arial" w:cs="Arial"/>
        </w:rPr>
        <w:t>size categor</w:t>
      </w:r>
      <w:r w:rsidR="00894A15">
        <w:rPr>
          <w:rFonts w:ascii="Arial" w:hAnsi="Arial" w:cs="Arial"/>
        </w:rPr>
        <w:t>ies</w:t>
      </w:r>
      <w:r w:rsidRPr="002A4623">
        <w:rPr>
          <w:rFonts w:ascii="Arial" w:hAnsi="Arial" w:cs="Arial"/>
        </w:rPr>
        <w:t xml:space="preserve"> (Small/Medium/Large), with matching fund requirements to ensure long</w:t>
      </w:r>
      <w:r w:rsidR="009A1C16">
        <w:rPr>
          <w:rFonts w:ascii="Arial" w:hAnsi="Arial" w:cs="Arial"/>
        </w:rPr>
        <w:t>-</w:t>
      </w:r>
      <w:r w:rsidRPr="002A4623">
        <w:rPr>
          <w:rFonts w:ascii="Arial" w:hAnsi="Arial" w:cs="Arial"/>
        </w:rPr>
        <w:t>term sustainability.</w:t>
      </w:r>
    </w:p>
    <w:p w14:paraId="5E76D0CD" w14:textId="2245B51B" w:rsidR="0063277C" w:rsidRPr="002A4623" w:rsidRDefault="0063277C" w:rsidP="00345B55">
      <w:pPr>
        <w:spacing w:before="240" w:after="240"/>
        <w:rPr>
          <w:rFonts w:ascii="Arial" w:hAnsi="Arial" w:cs="Arial"/>
        </w:rPr>
      </w:pPr>
      <w:r w:rsidRPr="002A4623">
        <w:rPr>
          <w:rFonts w:ascii="Arial" w:hAnsi="Arial" w:cs="Arial"/>
          <w:b/>
          <w:bCs/>
        </w:rPr>
        <w:t>Purpose of the Grant</w:t>
      </w:r>
      <w:r w:rsidR="00894A15">
        <w:rPr>
          <w:rFonts w:ascii="Arial" w:hAnsi="Arial" w:cs="Arial"/>
          <w:b/>
          <w:bCs/>
        </w:rPr>
        <w:t>:</w:t>
      </w:r>
      <w:r w:rsidRPr="002A4623">
        <w:rPr>
          <w:rFonts w:ascii="Arial" w:hAnsi="Arial" w:cs="Arial"/>
        </w:rPr>
        <w:t xml:space="preserve"> The program aims to encourage and maintain the delivery of high</w:t>
      </w:r>
      <w:r w:rsidR="009A1C16">
        <w:rPr>
          <w:rFonts w:ascii="Arial" w:hAnsi="Arial" w:cs="Arial"/>
        </w:rPr>
        <w:t>-</w:t>
      </w:r>
      <w:r w:rsidRPr="002A4623">
        <w:rPr>
          <w:rFonts w:ascii="Arial" w:hAnsi="Arial" w:cs="Arial"/>
        </w:rPr>
        <w:t xml:space="preserve">quality </w:t>
      </w:r>
      <w:r w:rsidR="005F48D1">
        <w:rPr>
          <w:rFonts w:ascii="Arial" w:hAnsi="Arial" w:cs="Arial"/>
        </w:rPr>
        <w:t>CTE</w:t>
      </w:r>
      <w:r w:rsidRPr="002A4623">
        <w:rPr>
          <w:rFonts w:ascii="Arial" w:hAnsi="Arial" w:cs="Arial"/>
        </w:rPr>
        <w:t xml:space="preserve"> programs that provide students in </w:t>
      </w:r>
      <w:r w:rsidR="005F48D1">
        <w:rPr>
          <w:rFonts w:ascii="Arial" w:hAnsi="Arial" w:cs="Arial"/>
        </w:rPr>
        <w:t>K–12</w:t>
      </w:r>
      <w:r w:rsidRPr="002A4623">
        <w:rPr>
          <w:rFonts w:ascii="Arial" w:hAnsi="Arial" w:cs="Arial"/>
        </w:rPr>
        <w:t xml:space="preserve"> with the knowledge and skills necessary to transition to employment and postsecondary education. CTEIG specifically targets the creation, expansion, or improvement of CTE programs across all 15 state</w:t>
      </w:r>
      <w:r w:rsidR="005F48D1">
        <w:rPr>
          <w:rFonts w:ascii="Arial" w:hAnsi="Arial" w:cs="Arial"/>
        </w:rPr>
        <w:t>-</w:t>
      </w:r>
      <w:r w:rsidRPr="002A4623">
        <w:rPr>
          <w:rFonts w:ascii="Arial" w:hAnsi="Arial" w:cs="Arial"/>
        </w:rPr>
        <w:t>approved industry sectors, with emphasis on programs that demonstrate strong industry engagement and measurable student outcomes.</w:t>
      </w:r>
    </w:p>
    <w:p w14:paraId="0F3541EF" w14:textId="72DF49C0" w:rsidR="0063277C" w:rsidRPr="002A4623" w:rsidRDefault="0063277C" w:rsidP="00345B55">
      <w:pPr>
        <w:spacing w:before="240" w:after="240"/>
        <w:rPr>
          <w:rFonts w:ascii="Arial" w:hAnsi="Arial" w:cs="Arial"/>
        </w:rPr>
      </w:pPr>
      <w:r w:rsidRPr="002A4623">
        <w:rPr>
          <w:rFonts w:ascii="Arial" w:hAnsi="Arial" w:cs="Arial"/>
          <w:b/>
          <w:bCs/>
        </w:rPr>
        <w:t>Eligible Entities</w:t>
      </w:r>
      <w:r w:rsidR="005F48D1">
        <w:rPr>
          <w:rFonts w:ascii="Arial" w:hAnsi="Arial" w:cs="Arial"/>
          <w:b/>
          <w:bCs/>
        </w:rPr>
        <w:t>:</w:t>
      </w:r>
      <w:r w:rsidRPr="002A4623">
        <w:rPr>
          <w:rFonts w:ascii="Arial" w:hAnsi="Arial" w:cs="Arial"/>
        </w:rPr>
        <w:t xml:space="preserve"> L</w:t>
      </w:r>
      <w:r w:rsidR="005F48D1">
        <w:rPr>
          <w:rFonts w:ascii="Arial" w:hAnsi="Arial" w:cs="Arial"/>
        </w:rPr>
        <w:t>EAs</w:t>
      </w:r>
      <w:r w:rsidRPr="002A4623">
        <w:rPr>
          <w:rFonts w:ascii="Arial" w:hAnsi="Arial" w:cs="Arial"/>
        </w:rPr>
        <w:t xml:space="preserve"> including school districts, county offices of education, and charter schools may apply for CTEIG funding. The program prioritizes applicants serving underrepresented student populations and those located in areas with documented workforce needs.</w:t>
      </w:r>
    </w:p>
    <w:p w14:paraId="092F322A" w14:textId="2C28D2C4" w:rsidR="0063277C" w:rsidRPr="002A4623" w:rsidRDefault="0063277C" w:rsidP="00345B55">
      <w:pPr>
        <w:spacing w:before="240" w:after="240"/>
        <w:rPr>
          <w:rFonts w:ascii="Arial" w:hAnsi="Arial" w:cs="Arial"/>
        </w:rPr>
      </w:pPr>
      <w:r w:rsidRPr="002A4623">
        <w:rPr>
          <w:rFonts w:ascii="Arial" w:hAnsi="Arial" w:cs="Arial"/>
          <w:b/>
          <w:bCs/>
        </w:rPr>
        <w:t>Ongoing/Duration</w:t>
      </w:r>
      <w:r w:rsidR="005F48D1">
        <w:rPr>
          <w:rFonts w:ascii="Arial" w:hAnsi="Arial" w:cs="Arial"/>
          <w:b/>
          <w:bCs/>
        </w:rPr>
        <w:t>:</w:t>
      </w:r>
      <w:r w:rsidRPr="002A4623">
        <w:rPr>
          <w:rFonts w:ascii="Arial" w:hAnsi="Arial" w:cs="Arial"/>
        </w:rPr>
        <w:t xml:space="preserve"> CTEIG provides multi</w:t>
      </w:r>
      <w:r w:rsidR="005F48D1">
        <w:rPr>
          <w:rFonts w:ascii="Arial" w:hAnsi="Arial" w:cs="Arial"/>
        </w:rPr>
        <w:t>-</w:t>
      </w:r>
      <w:r w:rsidRPr="002A4623">
        <w:rPr>
          <w:rFonts w:ascii="Arial" w:hAnsi="Arial" w:cs="Arial"/>
        </w:rPr>
        <w:t>year grants with built</w:t>
      </w:r>
      <w:r w:rsidR="005F48D1">
        <w:rPr>
          <w:rFonts w:ascii="Arial" w:hAnsi="Arial" w:cs="Arial"/>
        </w:rPr>
        <w:t>-</w:t>
      </w:r>
      <w:r w:rsidRPr="002A4623">
        <w:rPr>
          <w:rFonts w:ascii="Arial" w:hAnsi="Arial" w:cs="Arial"/>
        </w:rPr>
        <w:t>in sustainability requirements. Recipients must demonstrate capacity to maintain programs beyond the initial grant term through ongoing partnerships and resource commitments.</w:t>
      </w:r>
    </w:p>
    <w:p w14:paraId="72A41B8B" w14:textId="12BA6AC6" w:rsidR="0063277C" w:rsidRPr="002A4623" w:rsidRDefault="0063277C" w:rsidP="00345B55">
      <w:pPr>
        <w:spacing w:before="240" w:after="240"/>
        <w:rPr>
          <w:rFonts w:ascii="Arial" w:hAnsi="Arial" w:cs="Arial"/>
        </w:rPr>
      </w:pPr>
      <w:r w:rsidRPr="002A4623">
        <w:rPr>
          <w:rFonts w:ascii="Arial" w:hAnsi="Arial" w:cs="Arial"/>
          <w:b/>
          <w:bCs/>
        </w:rPr>
        <w:t>Fiscal Year Started</w:t>
      </w:r>
      <w:r w:rsidR="005F48D1">
        <w:rPr>
          <w:rFonts w:ascii="Arial" w:hAnsi="Arial" w:cs="Arial"/>
          <w:b/>
          <w:bCs/>
        </w:rPr>
        <w:t xml:space="preserve">: </w:t>
      </w:r>
      <w:r w:rsidR="005F48D1" w:rsidRPr="005F48D1">
        <w:rPr>
          <w:rFonts w:ascii="Arial" w:hAnsi="Arial" w:cs="Arial"/>
        </w:rPr>
        <w:t>CTEIG</w:t>
      </w:r>
      <w:r w:rsidRPr="002A4623">
        <w:rPr>
          <w:rFonts w:ascii="Arial" w:hAnsi="Arial" w:cs="Arial"/>
        </w:rPr>
        <w:t xml:space="preserve"> </w:t>
      </w:r>
      <w:r w:rsidR="006012AD">
        <w:rPr>
          <w:rFonts w:ascii="Arial" w:hAnsi="Arial" w:cs="Arial"/>
        </w:rPr>
        <w:t>o</w:t>
      </w:r>
      <w:r w:rsidRPr="002A4623">
        <w:rPr>
          <w:rFonts w:ascii="Arial" w:hAnsi="Arial" w:cs="Arial"/>
        </w:rPr>
        <w:t xml:space="preserve">riginally launched in </w:t>
      </w:r>
      <w:r w:rsidR="00F6554D">
        <w:rPr>
          <w:rFonts w:ascii="Arial" w:hAnsi="Arial" w:cs="Arial"/>
        </w:rPr>
        <w:t>FY</w:t>
      </w:r>
      <w:r w:rsidRPr="002A4623">
        <w:rPr>
          <w:rFonts w:ascii="Arial" w:hAnsi="Arial" w:cs="Arial"/>
        </w:rPr>
        <w:t xml:space="preserve"> 2015</w:t>
      </w:r>
      <w:r w:rsidR="00491361" w:rsidRPr="002A4623">
        <w:rPr>
          <w:rFonts w:ascii="Arial" w:hAnsi="Arial" w:cs="Arial"/>
        </w:rPr>
        <w:t>–</w:t>
      </w:r>
      <w:r w:rsidRPr="002A4623">
        <w:rPr>
          <w:rFonts w:ascii="Arial" w:hAnsi="Arial" w:cs="Arial"/>
        </w:rPr>
        <w:t>16</w:t>
      </w:r>
      <w:r w:rsidR="00DE7015" w:rsidRPr="002A4623">
        <w:rPr>
          <w:rFonts w:ascii="Arial" w:hAnsi="Arial" w:cs="Arial"/>
        </w:rPr>
        <w:t>.</w:t>
      </w:r>
    </w:p>
    <w:p w14:paraId="0BBF3296" w14:textId="57F063F2" w:rsidR="00DE7015" w:rsidRPr="002A4623" w:rsidRDefault="00DE7015" w:rsidP="00345B55">
      <w:pPr>
        <w:spacing w:before="240" w:after="240"/>
        <w:rPr>
          <w:rFonts w:ascii="Arial" w:hAnsi="Arial" w:cs="Arial"/>
        </w:rPr>
      </w:pPr>
      <w:r w:rsidRPr="002A4623">
        <w:rPr>
          <w:rFonts w:ascii="Arial" w:hAnsi="Arial" w:cs="Arial"/>
          <w:b/>
          <w:bCs/>
        </w:rPr>
        <w:t>Historical Context</w:t>
      </w:r>
      <w:r w:rsidR="005F48D1">
        <w:rPr>
          <w:rFonts w:ascii="Arial" w:hAnsi="Arial" w:cs="Arial"/>
          <w:b/>
          <w:bCs/>
        </w:rPr>
        <w:t>:</w:t>
      </w:r>
      <w:r w:rsidRPr="002A4623">
        <w:rPr>
          <w:rFonts w:ascii="Arial" w:hAnsi="Arial" w:cs="Arial"/>
        </w:rPr>
        <w:t xml:space="preserve"> </w:t>
      </w:r>
      <w:r w:rsidR="005F48D1">
        <w:rPr>
          <w:rFonts w:ascii="Arial" w:hAnsi="Arial" w:cs="Arial"/>
        </w:rPr>
        <w:t xml:space="preserve">CTEIG started as </w:t>
      </w:r>
      <w:r w:rsidRPr="002A4623">
        <w:rPr>
          <w:rFonts w:ascii="Arial" w:hAnsi="Arial" w:cs="Arial"/>
        </w:rPr>
        <w:t>a temporary three</w:t>
      </w:r>
      <w:r w:rsidR="005F48D1">
        <w:rPr>
          <w:rFonts w:ascii="Arial" w:hAnsi="Arial" w:cs="Arial"/>
        </w:rPr>
        <w:t>-</w:t>
      </w:r>
      <w:r w:rsidRPr="002A4623">
        <w:rPr>
          <w:rFonts w:ascii="Arial" w:hAnsi="Arial" w:cs="Arial"/>
        </w:rPr>
        <w:t xml:space="preserve">year program </w:t>
      </w:r>
      <w:r w:rsidR="005F48D1">
        <w:rPr>
          <w:rFonts w:ascii="Arial" w:hAnsi="Arial" w:cs="Arial"/>
        </w:rPr>
        <w:t xml:space="preserve">and </w:t>
      </w:r>
      <w:r w:rsidRPr="002A4623">
        <w:rPr>
          <w:rFonts w:ascii="Arial" w:hAnsi="Arial" w:cs="Arial"/>
        </w:rPr>
        <w:t xml:space="preserve">was established as ongoing funding in </w:t>
      </w:r>
      <w:r w:rsidR="005F48D1">
        <w:rPr>
          <w:rFonts w:ascii="Arial" w:hAnsi="Arial" w:cs="Arial"/>
        </w:rPr>
        <w:t xml:space="preserve">FY </w:t>
      </w:r>
      <w:r w:rsidRPr="002A4623">
        <w:rPr>
          <w:rFonts w:ascii="Arial" w:hAnsi="Arial" w:cs="Arial"/>
        </w:rPr>
        <w:t>2018</w:t>
      </w:r>
      <w:r w:rsidR="00491361" w:rsidRPr="002A4623">
        <w:rPr>
          <w:rFonts w:ascii="Arial" w:hAnsi="Arial" w:cs="Arial"/>
        </w:rPr>
        <w:t>–</w:t>
      </w:r>
      <w:r w:rsidRPr="002A4623">
        <w:rPr>
          <w:rFonts w:ascii="Arial" w:hAnsi="Arial" w:cs="Arial"/>
        </w:rPr>
        <w:t>19 with $150</w:t>
      </w:r>
      <w:r w:rsidR="005F48D1">
        <w:rPr>
          <w:rFonts w:ascii="Arial" w:hAnsi="Arial" w:cs="Arial"/>
        </w:rPr>
        <w:t xml:space="preserve"> million provided to the CDE</w:t>
      </w:r>
      <w:r w:rsidRPr="002A4623">
        <w:rPr>
          <w:rFonts w:ascii="Arial" w:hAnsi="Arial" w:cs="Arial"/>
        </w:rPr>
        <w:t xml:space="preserve"> annually. The program received dramatic expansion in</w:t>
      </w:r>
      <w:r w:rsidR="005F48D1">
        <w:rPr>
          <w:rFonts w:ascii="Arial" w:hAnsi="Arial" w:cs="Arial"/>
        </w:rPr>
        <w:t xml:space="preserve"> FY</w:t>
      </w:r>
      <w:r w:rsidRPr="002A4623">
        <w:rPr>
          <w:rFonts w:ascii="Arial" w:hAnsi="Arial" w:cs="Arial"/>
        </w:rPr>
        <w:t xml:space="preserve"> 2021</w:t>
      </w:r>
      <w:r w:rsidR="00491361" w:rsidRPr="002A4623">
        <w:rPr>
          <w:rFonts w:ascii="Arial" w:hAnsi="Arial" w:cs="Arial"/>
        </w:rPr>
        <w:t>–</w:t>
      </w:r>
      <w:r w:rsidRPr="002A4623">
        <w:rPr>
          <w:rFonts w:ascii="Arial" w:hAnsi="Arial" w:cs="Arial"/>
        </w:rPr>
        <w:t xml:space="preserve">22 when funding doubled to $300 million annually, reflecting the state's increased prioritization of </w:t>
      </w:r>
      <w:r w:rsidR="005F48D1">
        <w:rPr>
          <w:rFonts w:ascii="Arial" w:hAnsi="Arial" w:cs="Arial"/>
        </w:rPr>
        <w:t>CTE</w:t>
      </w:r>
      <w:r w:rsidRPr="002A4623">
        <w:rPr>
          <w:rFonts w:ascii="Arial" w:hAnsi="Arial" w:cs="Arial"/>
        </w:rPr>
        <w:t xml:space="preserve"> as</w:t>
      </w:r>
      <w:r w:rsidR="005F48D1">
        <w:rPr>
          <w:rFonts w:ascii="Arial" w:hAnsi="Arial" w:cs="Arial"/>
        </w:rPr>
        <w:t xml:space="preserve"> valuable</w:t>
      </w:r>
      <w:r w:rsidRPr="002A4623">
        <w:rPr>
          <w:rFonts w:ascii="Arial" w:hAnsi="Arial" w:cs="Arial"/>
        </w:rPr>
        <w:t xml:space="preserve"> economic development infrastructure. </w:t>
      </w:r>
    </w:p>
    <w:p w14:paraId="0E44A858" w14:textId="2C401274" w:rsidR="00DE7015" w:rsidRPr="002A4623" w:rsidRDefault="00DE7015" w:rsidP="00345B55">
      <w:pPr>
        <w:spacing w:before="240" w:after="240"/>
        <w:rPr>
          <w:rFonts w:ascii="Arial" w:hAnsi="Arial" w:cs="Arial"/>
        </w:rPr>
      </w:pPr>
      <w:r w:rsidRPr="002A4623">
        <w:rPr>
          <w:rFonts w:ascii="Arial" w:hAnsi="Arial" w:cs="Arial"/>
          <w:b/>
          <w:bCs/>
        </w:rPr>
        <w:t xml:space="preserve">Anticipated Funding: </w:t>
      </w:r>
      <w:r w:rsidRPr="002A4623">
        <w:rPr>
          <w:rFonts w:ascii="Arial" w:hAnsi="Arial" w:cs="Arial"/>
        </w:rPr>
        <w:t>In</w:t>
      </w:r>
      <w:r w:rsidRPr="002A4623">
        <w:rPr>
          <w:rFonts w:ascii="Arial" w:hAnsi="Arial" w:cs="Arial"/>
          <w:b/>
          <w:bCs/>
        </w:rPr>
        <w:t xml:space="preserve"> </w:t>
      </w:r>
      <w:r w:rsidRPr="002A4623">
        <w:rPr>
          <w:rFonts w:ascii="Arial" w:hAnsi="Arial" w:cs="Arial"/>
        </w:rPr>
        <w:t>FY 2025</w:t>
      </w:r>
      <w:r w:rsidR="00491361" w:rsidRPr="002A4623">
        <w:rPr>
          <w:rFonts w:ascii="Arial" w:hAnsi="Arial" w:cs="Arial"/>
        </w:rPr>
        <w:t>–</w:t>
      </w:r>
      <w:r w:rsidRPr="002A4623">
        <w:rPr>
          <w:rFonts w:ascii="Arial" w:hAnsi="Arial" w:cs="Arial"/>
        </w:rPr>
        <w:t>26 the grant funding level was $300 million. For FY 2026</w:t>
      </w:r>
      <w:r w:rsidR="00491361" w:rsidRPr="002A4623">
        <w:rPr>
          <w:rFonts w:ascii="Arial" w:hAnsi="Arial" w:cs="Arial"/>
        </w:rPr>
        <w:t>–</w:t>
      </w:r>
      <w:r w:rsidRPr="002A4623">
        <w:rPr>
          <w:rFonts w:ascii="Arial" w:hAnsi="Arial" w:cs="Arial"/>
        </w:rPr>
        <w:t>27 the CDE does not anticipate a change from this amount.</w:t>
      </w:r>
    </w:p>
    <w:p w14:paraId="459C53D7" w14:textId="70453802" w:rsidR="005F48D1" w:rsidRPr="002A4623" w:rsidRDefault="005F48D1" w:rsidP="00D01A2E">
      <w:pPr>
        <w:pStyle w:val="Heading3"/>
      </w:pPr>
      <w:bookmarkStart w:id="8" w:name="_Toc209166956"/>
      <w:r w:rsidRPr="002A4623">
        <w:t>Middle School Foundation Academies</w:t>
      </w:r>
      <w:bookmarkEnd w:id="8"/>
    </w:p>
    <w:p w14:paraId="19492DDC" w14:textId="24855B3E" w:rsidR="005F48D1" w:rsidRPr="002A4623" w:rsidRDefault="005F48D1" w:rsidP="005F48D1">
      <w:pPr>
        <w:spacing w:before="240" w:after="240"/>
        <w:rPr>
          <w:rFonts w:ascii="Arial" w:hAnsi="Arial" w:cs="Arial"/>
        </w:rPr>
      </w:pPr>
      <w:r w:rsidRPr="002A4623">
        <w:rPr>
          <w:rFonts w:ascii="Arial" w:hAnsi="Arial" w:cs="Arial"/>
          <w:b/>
          <w:bCs/>
        </w:rPr>
        <w:t>Program Overview</w:t>
      </w:r>
      <w:r w:rsidR="00951A36">
        <w:rPr>
          <w:rFonts w:ascii="Arial" w:hAnsi="Arial" w:cs="Arial"/>
          <w:b/>
          <w:bCs/>
        </w:rPr>
        <w:t xml:space="preserve">: </w:t>
      </w:r>
      <w:r w:rsidR="00951A36" w:rsidRPr="00951A36">
        <w:rPr>
          <w:rFonts w:ascii="Arial" w:hAnsi="Arial" w:cs="Arial"/>
        </w:rPr>
        <w:t>MSFA</w:t>
      </w:r>
      <w:r w:rsidR="00951A36">
        <w:rPr>
          <w:rFonts w:ascii="Arial" w:hAnsi="Arial" w:cs="Arial"/>
        </w:rPr>
        <w:t>s</w:t>
      </w:r>
      <w:r w:rsidRPr="002A4623">
        <w:rPr>
          <w:rFonts w:ascii="Arial" w:hAnsi="Arial" w:cs="Arial"/>
        </w:rPr>
        <w:t xml:space="preserve"> represent a strategic initiative to introduce career exploration and </w:t>
      </w:r>
      <w:r w:rsidR="00951A36">
        <w:rPr>
          <w:rFonts w:ascii="Arial" w:hAnsi="Arial" w:cs="Arial"/>
        </w:rPr>
        <w:t>CTE</w:t>
      </w:r>
      <w:r w:rsidRPr="002A4623">
        <w:rPr>
          <w:rFonts w:ascii="Arial" w:hAnsi="Arial" w:cs="Arial"/>
        </w:rPr>
        <w:t xml:space="preserve"> at the middle school level, preparing students for successful participation in high</w:t>
      </w:r>
      <w:r w:rsidR="00951A36">
        <w:rPr>
          <w:rFonts w:ascii="Arial" w:hAnsi="Arial" w:cs="Arial"/>
        </w:rPr>
        <w:t>-</w:t>
      </w:r>
      <w:r w:rsidRPr="002A4623">
        <w:rPr>
          <w:rFonts w:ascii="Arial" w:hAnsi="Arial" w:cs="Arial"/>
        </w:rPr>
        <w:t>quality C</w:t>
      </w:r>
      <w:r w:rsidR="00951A36">
        <w:rPr>
          <w:rFonts w:ascii="Arial" w:hAnsi="Arial" w:cs="Arial"/>
        </w:rPr>
        <w:t>TE</w:t>
      </w:r>
      <w:r w:rsidRPr="002A4623">
        <w:rPr>
          <w:rFonts w:ascii="Arial" w:hAnsi="Arial" w:cs="Arial"/>
        </w:rPr>
        <w:t xml:space="preserve"> pathways during high school. The program addresses </w:t>
      </w:r>
      <w:r w:rsidRPr="002A4623">
        <w:rPr>
          <w:rFonts w:ascii="Arial" w:hAnsi="Arial" w:cs="Arial"/>
        </w:rPr>
        <w:lastRenderedPageBreak/>
        <w:t>the critical need for early career awareness and engagement to reduce dropout rates and improve student transitions.</w:t>
      </w:r>
    </w:p>
    <w:p w14:paraId="277100BA" w14:textId="5C9F6AE7" w:rsidR="005F48D1" w:rsidRPr="002A4623" w:rsidRDefault="005F48D1" w:rsidP="005F48D1">
      <w:pPr>
        <w:spacing w:before="240" w:after="240"/>
        <w:rPr>
          <w:rFonts w:ascii="Arial" w:hAnsi="Arial" w:cs="Arial"/>
        </w:rPr>
      </w:pPr>
      <w:r w:rsidRPr="002A4623">
        <w:rPr>
          <w:rFonts w:ascii="Arial" w:hAnsi="Arial" w:cs="Arial"/>
          <w:b/>
          <w:bCs/>
        </w:rPr>
        <w:t>Process for Funding Consideration</w:t>
      </w:r>
      <w:r w:rsidR="00951A36">
        <w:rPr>
          <w:rFonts w:ascii="Arial" w:hAnsi="Arial" w:cs="Arial"/>
          <w:b/>
          <w:bCs/>
        </w:rPr>
        <w:t>:</w:t>
      </w:r>
      <w:r w:rsidRPr="002A4623">
        <w:rPr>
          <w:rFonts w:ascii="Arial" w:hAnsi="Arial" w:cs="Arial"/>
        </w:rPr>
        <w:t xml:space="preserve"> MSFA</w:t>
      </w:r>
      <w:r w:rsidR="00951A36">
        <w:rPr>
          <w:rFonts w:ascii="Arial" w:hAnsi="Arial" w:cs="Arial"/>
        </w:rPr>
        <w:t>s</w:t>
      </w:r>
      <w:r w:rsidRPr="002A4623">
        <w:rPr>
          <w:rFonts w:ascii="Arial" w:hAnsi="Arial" w:cs="Arial"/>
        </w:rPr>
        <w:t xml:space="preserve"> operate through a competitive two</w:t>
      </w:r>
      <w:r w:rsidR="00951A36">
        <w:rPr>
          <w:rFonts w:ascii="Arial" w:hAnsi="Arial" w:cs="Arial"/>
        </w:rPr>
        <w:t>-</w:t>
      </w:r>
      <w:r w:rsidRPr="002A4623">
        <w:rPr>
          <w:rFonts w:ascii="Arial" w:hAnsi="Arial" w:cs="Arial"/>
        </w:rPr>
        <w:t xml:space="preserve">phase </w:t>
      </w:r>
      <w:r w:rsidR="00A03483">
        <w:rPr>
          <w:rFonts w:ascii="Arial" w:hAnsi="Arial" w:cs="Arial"/>
        </w:rPr>
        <w:t xml:space="preserve">RFA </w:t>
      </w:r>
      <w:r w:rsidRPr="002A4623">
        <w:rPr>
          <w:rFonts w:ascii="Arial" w:hAnsi="Arial" w:cs="Arial"/>
        </w:rPr>
        <w:t>process offering planning grants of $25,000 and implementation grants of $50,000. Applications are</w:t>
      </w:r>
      <w:r w:rsidR="00A03483">
        <w:rPr>
          <w:rFonts w:ascii="Arial" w:hAnsi="Arial" w:cs="Arial"/>
        </w:rPr>
        <w:t xml:space="preserve"> received and</w:t>
      </w:r>
      <w:r w:rsidRPr="002A4623">
        <w:rPr>
          <w:rFonts w:ascii="Arial" w:hAnsi="Arial" w:cs="Arial"/>
        </w:rPr>
        <w:t xml:space="preserve"> reviewed </w:t>
      </w:r>
      <w:r w:rsidR="00A03483">
        <w:rPr>
          <w:rFonts w:ascii="Arial" w:hAnsi="Arial" w:cs="Arial"/>
        </w:rPr>
        <w:t xml:space="preserve">each spring, </w:t>
      </w:r>
      <w:r w:rsidRPr="002A4623">
        <w:rPr>
          <w:rFonts w:ascii="Arial" w:hAnsi="Arial" w:cs="Arial"/>
        </w:rPr>
        <w:t>through a cohort</w:t>
      </w:r>
      <w:r w:rsidR="00951A36">
        <w:rPr>
          <w:rFonts w:ascii="Arial" w:hAnsi="Arial" w:cs="Arial"/>
        </w:rPr>
        <w:t>-</w:t>
      </w:r>
      <w:r w:rsidRPr="002A4623">
        <w:rPr>
          <w:rFonts w:ascii="Arial" w:hAnsi="Arial" w:cs="Arial"/>
        </w:rPr>
        <w:t>based system, with multiple cohorts operating simultaneously. The selection process emphasizes alignment with high school CTE pathways, demonstrated capacity for career exploration programming, and potential for improving student engagement and academic outcomes.</w:t>
      </w:r>
    </w:p>
    <w:p w14:paraId="3535B511" w14:textId="63169AA8" w:rsidR="005F48D1" w:rsidRPr="002A4623" w:rsidRDefault="005F48D1" w:rsidP="005F48D1">
      <w:pPr>
        <w:spacing w:before="240" w:after="240"/>
        <w:rPr>
          <w:rFonts w:ascii="Arial" w:hAnsi="Arial" w:cs="Arial"/>
        </w:rPr>
      </w:pPr>
      <w:r w:rsidRPr="002A4623">
        <w:rPr>
          <w:rFonts w:ascii="Arial" w:hAnsi="Arial" w:cs="Arial"/>
          <w:b/>
          <w:bCs/>
        </w:rPr>
        <w:t>Purpose of the Grant</w:t>
      </w:r>
      <w:r w:rsidR="00951A36">
        <w:rPr>
          <w:rFonts w:ascii="Arial" w:hAnsi="Arial" w:cs="Arial"/>
          <w:b/>
          <w:bCs/>
        </w:rPr>
        <w:t>:</w:t>
      </w:r>
      <w:r w:rsidRPr="002A4623">
        <w:rPr>
          <w:rFonts w:ascii="Arial" w:hAnsi="Arial" w:cs="Arial"/>
        </w:rPr>
        <w:t xml:space="preserve"> The program establishes career</w:t>
      </w:r>
      <w:r w:rsidR="00951A36">
        <w:rPr>
          <w:rFonts w:ascii="Arial" w:hAnsi="Arial" w:cs="Arial"/>
        </w:rPr>
        <w:t>-</w:t>
      </w:r>
      <w:r w:rsidRPr="002A4623">
        <w:rPr>
          <w:rFonts w:ascii="Arial" w:hAnsi="Arial" w:cs="Arial"/>
        </w:rPr>
        <w:t xml:space="preserve">focused academies within middle schools to provide students with early exposure to various career fields and </w:t>
      </w:r>
      <w:r w:rsidR="000A657E">
        <w:rPr>
          <w:rFonts w:ascii="Arial" w:hAnsi="Arial" w:cs="Arial"/>
        </w:rPr>
        <w:t xml:space="preserve">to help students </w:t>
      </w:r>
      <w:r w:rsidRPr="002A4623">
        <w:rPr>
          <w:rFonts w:ascii="Arial" w:hAnsi="Arial" w:cs="Arial"/>
        </w:rPr>
        <w:t>develop foundational skills necessary for success in high school CTE programs. MSFA</w:t>
      </w:r>
      <w:r w:rsidR="00951A36">
        <w:rPr>
          <w:rFonts w:ascii="Arial" w:hAnsi="Arial" w:cs="Arial"/>
        </w:rPr>
        <w:t xml:space="preserve">s </w:t>
      </w:r>
      <w:r w:rsidRPr="002A4623">
        <w:rPr>
          <w:rFonts w:ascii="Arial" w:hAnsi="Arial" w:cs="Arial"/>
        </w:rPr>
        <w:t>aim to create seamless transitions from middle school career exploration to high school pathway completion, fostering student engagement and reducing dropout rates while preparing students for workforce demands.</w:t>
      </w:r>
    </w:p>
    <w:p w14:paraId="68700A51" w14:textId="430EAFFB" w:rsidR="005F48D1" w:rsidRPr="002A4623" w:rsidRDefault="005F48D1" w:rsidP="005F48D1">
      <w:pPr>
        <w:spacing w:before="240" w:after="240"/>
        <w:rPr>
          <w:rFonts w:ascii="Arial" w:hAnsi="Arial" w:cs="Arial"/>
        </w:rPr>
      </w:pPr>
      <w:r w:rsidRPr="002A4623">
        <w:rPr>
          <w:rFonts w:ascii="Arial" w:hAnsi="Arial" w:cs="Arial"/>
          <w:b/>
          <w:bCs/>
        </w:rPr>
        <w:t>Eligible Entities</w:t>
      </w:r>
      <w:r w:rsidR="00951A36">
        <w:rPr>
          <w:rFonts w:ascii="Arial" w:hAnsi="Arial" w:cs="Arial"/>
          <w:b/>
          <w:bCs/>
        </w:rPr>
        <w:t>:</w:t>
      </w:r>
      <w:r w:rsidRPr="002A4623">
        <w:rPr>
          <w:rFonts w:ascii="Arial" w:hAnsi="Arial" w:cs="Arial"/>
        </w:rPr>
        <w:t xml:space="preserve"> L</w:t>
      </w:r>
      <w:r w:rsidR="00951A36">
        <w:rPr>
          <w:rFonts w:ascii="Arial" w:hAnsi="Arial" w:cs="Arial"/>
        </w:rPr>
        <w:t>EAs</w:t>
      </w:r>
      <w:r w:rsidRPr="002A4623">
        <w:rPr>
          <w:rFonts w:ascii="Arial" w:hAnsi="Arial" w:cs="Arial"/>
        </w:rPr>
        <w:t xml:space="preserve"> serving middle school students may apply for MSFA funding. Priority consideration is given to applicants who can demonstrate strong connections to existing high school CTE programs and clear articulation pathways for student progression.</w:t>
      </w:r>
    </w:p>
    <w:p w14:paraId="2D48A7A9" w14:textId="045A6D43" w:rsidR="005F48D1" w:rsidRPr="002A4623" w:rsidRDefault="005F48D1" w:rsidP="005F48D1">
      <w:pPr>
        <w:spacing w:before="240" w:after="240"/>
        <w:rPr>
          <w:rFonts w:ascii="Arial" w:hAnsi="Arial" w:cs="Arial"/>
        </w:rPr>
      </w:pPr>
      <w:r w:rsidRPr="002A4623">
        <w:rPr>
          <w:rFonts w:ascii="Arial" w:hAnsi="Arial" w:cs="Arial"/>
          <w:b/>
          <w:bCs/>
        </w:rPr>
        <w:t>Ongoing/Duration</w:t>
      </w:r>
      <w:r w:rsidR="00951A36">
        <w:rPr>
          <w:rFonts w:ascii="Arial" w:hAnsi="Arial" w:cs="Arial"/>
          <w:b/>
          <w:bCs/>
        </w:rPr>
        <w:t>:</w:t>
      </w:r>
      <w:r w:rsidRPr="002A4623">
        <w:rPr>
          <w:rFonts w:ascii="Arial" w:hAnsi="Arial" w:cs="Arial"/>
        </w:rPr>
        <w:t xml:space="preserve"> MSFA</w:t>
      </w:r>
      <w:r w:rsidR="00951A36">
        <w:rPr>
          <w:rFonts w:ascii="Arial" w:hAnsi="Arial" w:cs="Arial"/>
        </w:rPr>
        <w:t>s</w:t>
      </w:r>
      <w:r w:rsidRPr="002A4623">
        <w:rPr>
          <w:rFonts w:ascii="Arial" w:hAnsi="Arial" w:cs="Arial"/>
        </w:rPr>
        <w:t xml:space="preserve"> provide</w:t>
      </w:r>
      <w:r w:rsidR="00951A36">
        <w:rPr>
          <w:rFonts w:ascii="Arial" w:hAnsi="Arial" w:cs="Arial"/>
        </w:rPr>
        <w:t xml:space="preserve"> a</w:t>
      </w:r>
      <w:r w:rsidRPr="002A4623">
        <w:rPr>
          <w:rFonts w:ascii="Arial" w:hAnsi="Arial" w:cs="Arial"/>
        </w:rPr>
        <w:t xml:space="preserve"> two</w:t>
      </w:r>
      <w:r w:rsidR="00951A36">
        <w:rPr>
          <w:rFonts w:ascii="Arial" w:hAnsi="Arial" w:cs="Arial"/>
        </w:rPr>
        <w:t>-</w:t>
      </w:r>
      <w:r w:rsidRPr="002A4623">
        <w:rPr>
          <w:rFonts w:ascii="Arial" w:hAnsi="Arial" w:cs="Arial"/>
        </w:rPr>
        <w:t>phase grant funding</w:t>
      </w:r>
      <w:r w:rsidR="00951A36">
        <w:rPr>
          <w:rFonts w:ascii="Arial" w:hAnsi="Arial" w:cs="Arial"/>
        </w:rPr>
        <w:t xml:space="preserve"> system</w:t>
      </w:r>
      <w:r w:rsidRPr="002A4623">
        <w:rPr>
          <w:rFonts w:ascii="Arial" w:hAnsi="Arial" w:cs="Arial"/>
        </w:rPr>
        <w:t xml:space="preserve"> with planning and implementation phases. </w:t>
      </w:r>
      <w:r w:rsidRPr="009832A2">
        <w:rPr>
          <w:rFonts w:ascii="Arial" w:hAnsi="Arial" w:cs="Arial"/>
        </w:rPr>
        <w:t>The program requir</w:t>
      </w:r>
      <w:r w:rsidR="00811EAA" w:rsidRPr="009832A2">
        <w:rPr>
          <w:rFonts w:ascii="Arial" w:hAnsi="Arial" w:cs="Arial"/>
        </w:rPr>
        <w:t>es</w:t>
      </w:r>
      <w:r w:rsidRPr="009832A2">
        <w:rPr>
          <w:rFonts w:ascii="Arial" w:hAnsi="Arial" w:cs="Arial"/>
        </w:rPr>
        <w:t xml:space="preserve"> grantees to demonstrate how MSFA funding will enhance current middle school programming and create lasting impact beyond the grant period.</w:t>
      </w:r>
    </w:p>
    <w:p w14:paraId="5754B6E4" w14:textId="1FC7DB54" w:rsidR="005F48D1" w:rsidRPr="002A4623" w:rsidRDefault="005F48D1" w:rsidP="005F48D1">
      <w:pPr>
        <w:spacing w:before="240" w:after="240"/>
        <w:rPr>
          <w:rFonts w:ascii="Arial" w:hAnsi="Arial" w:cs="Arial"/>
        </w:rPr>
      </w:pPr>
      <w:r w:rsidRPr="002A4623">
        <w:rPr>
          <w:rFonts w:ascii="Arial" w:hAnsi="Arial" w:cs="Arial"/>
          <w:b/>
          <w:bCs/>
        </w:rPr>
        <w:t>Fiscal Year Started</w:t>
      </w:r>
      <w:r w:rsidR="00951A36">
        <w:rPr>
          <w:rFonts w:ascii="Arial" w:hAnsi="Arial" w:cs="Arial"/>
          <w:b/>
          <w:bCs/>
        </w:rPr>
        <w:t>:</w:t>
      </w:r>
      <w:r w:rsidRPr="002A4623">
        <w:rPr>
          <w:rFonts w:ascii="Arial" w:hAnsi="Arial" w:cs="Arial"/>
        </w:rPr>
        <w:t xml:space="preserve"> </w:t>
      </w:r>
      <w:r w:rsidR="00D01A2E">
        <w:rPr>
          <w:rFonts w:ascii="Arial" w:hAnsi="Arial" w:cs="Arial"/>
        </w:rPr>
        <w:t>MSFA was e</w:t>
      </w:r>
      <w:r w:rsidRPr="002A4623">
        <w:rPr>
          <w:rFonts w:ascii="Arial" w:hAnsi="Arial" w:cs="Arial"/>
        </w:rPr>
        <w:t xml:space="preserve">stablished in </w:t>
      </w:r>
      <w:r w:rsidR="00F6554D">
        <w:rPr>
          <w:rFonts w:ascii="Arial" w:hAnsi="Arial" w:cs="Arial"/>
        </w:rPr>
        <w:t>FY</w:t>
      </w:r>
      <w:r w:rsidRPr="002A4623">
        <w:rPr>
          <w:rFonts w:ascii="Arial" w:hAnsi="Arial" w:cs="Arial"/>
        </w:rPr>
        <w:t xml:space="preserve"> 201</w:t>
      </w:r>
      <w:r w:rsidR="00951A36">
        <w:rPr>
          <w:rFonts w:ascii="Arial" w:hAnsi="Arial" w:cs="Arial"/>
        </w:rPr>
        <w:t>7</w:t>
      </w:r>
      <w:r w:rsidRPr="002A4623">
        <w:rPr>
          <w:rFonts w:ascii="Arial" w:hAnsi="Arial" w:cs="Arial"/>
        </w:rPr>
        <w:t>–</w:t>
      </w:r>
      <w:r w:rsidR="00951A36">
        <w:rPr>
          <w:rFonts w:ascii="Arial" w:hAnsi="Arial" w:cs="Arial"/>
        </w:rPr>
        <w:t>18</w:t>
      </w:r>
      <w:r w:rsidR="008F3361">
        <w:rPr>
          <w:rFonts w:ascii="Arial" w:hAnsi="Arial" w:cs="Arial"/>
        </w:rPr>
        <w:t xml:space="preserve"> as a grant program within the CTEI funding</w:t>
      </w:r>
      <w:r w:rsidRPr="002A4623">
        <w:rPr>
          <w:rFonts w:ascii="Arial" w:hAnsi="Arial" w:cs="Arial"/>
        </w:rPr>
        <w:t>.</w:t>
      </w:r>
    </w:p>
    <w:p w14:paraId="67F92104" w14:textId="0CDB5940" w:rsidR="005F48D1" w:rsidRPr="002A4623" w:rsidRDefault="005F48D1" w:rsidP="005F48D1">
      <w:pPr>
        <w:spacing w:before="240" w:after="240"/>
        <w:rPr>
          <w:rFonts w:ascii="Arial" w:hAnsi="Arial" w:cs="Arial"/>
        </w:rPr>
      </w:pPr>
      <w:r w:rsidRPr="002A4623">
        <w:rPr>
          <w:rFonts w:ascii="Arial" w:hAnsi="Arial" w:cs="Arial"/>
          <w:b/>
          <w:bCs/>
        </w:rPr>
        <w:t>Historical Context</w:t>
      </w:r>
      <w:r w:rsidR="00951A36">
        <w:rPr>
          <w:rFonts w:ascii="Arial" w:hAnsi="Arial" w:cs="Arial"/>
          <w:b/>
          <w:bCs/>
        </w:rPr>
        <w:t>:</w:t>
      </w:r>
      <w:r w:rsidRPr="002A4623">
        <w:rPr>
          <w:rFonts w:ascii="Arial" w:hAnsi="Arial" w:cs="Arial"/>
        </w:rPr>
        <w:t xml:space="preserve"> MSFA</w:t>
      </w:r>
      <w:r w:rsidR="00951A36">
        <w:rPr>
          <w:rFonts w:ascii="Arial" w:hAnsi="Arial" w:cs="Arial"/>
        </w:rPr>
        <w:t>s</w:t>
      </w:r>
      <w:r w:rsidRPr="002A4623">
        <w:rPr>
          <w:rFonts w:ascii="Arial" w:hAnsi="Arial" w:cs="Arial"/>
        </w:rPr>
        <w:t xml:space="preserve"> represent recognition that </w:t>
      </w:r>
      <w:r w:rsidR="00951A36">
        <w:rPr>
          <w:rFonts w:ascii="Arial" w:hAnsi="Arial" w:cs="Arial"/>
        </w:rPr>
        <w:t>CTE</w:t>
      </w:r>
      <w:r w:rsidRPr="002A4623">
        <w:rPr>
          <w:rFonts w:ascii="Arial" w:hAnsi="Arial" w:cs="Arial"/>
        </w:rPr>
        <w:t xml:space="preserve"> benefits from earlier intervention and exploration. The program emerged from research demonstrating that students who engage in career exploration during middle school are more likely to persist in education and complete career pathways.</w:t>
      </w:r>
    </w:p>
    <w:p w14:paraId="5B748EA3" w14:textId="2F93469C" w:rsidR="005F48D1" w:rsidRPr="002A4623" w:rsidRDefault="005F48D1" w:rsidP="005F48D1">
      <w:pPr>
        <w:spacing w:before="240" w:after="240"/>
        <w:rPr>
          <w:rFonts w:ascii="Arial" w:hAnsi="Arial" w:cs="Arial"/>
        </w:rPr>
      </w:pPr>
      <w:r w:rsidRPr="002A4623">
        <w:rPr>
          <w:rFonts w:ascii="Arial" w:hAnsi="Arial" w:cs="Arial"/>
          <w:b/>
          <w:bCs/>
        </w:rPr>
        <w:t xml:space="preserve">Anticipated Funding: </w:t>
      </w:r>
      <w:r w:rsidRPr="002A4623">
        <w:rPr>
          <w:rFonts w:ascii="Arial" w:hAnsi="Arial" w:cs="Arial"/>
        </w:rPr>
        <w:t>In</w:t>
      </w:r>
      <w:r w:rsidRPr="002A4623">
        <w:rPr>
          <w:rFonts w:ascii="Arial" w:hAnsi="Arial" w:cs="Arial"/>
          <w:b/>
          <w:bCs/>
        </w:rPr>
        <w:t xml:space="preserve"> </w:t>
      </w:r>
      <w:r w:rsidRPr="002A4623">
        <w:rPr>
          <w:rFonts w:ascii="Arial" w:hAnsi="Arial" w:cs="Arial"/>
        </w:rPr>
        <w:t>FY 2025–26 the granted funding level was $1 million. For FY 2026–27 the CDE does not anticipate a change from this amount.</w:t>
      </w:r>
    </w:p>
    <w:p w14:paraId="48630519" w14:textId="4C6CF5FF" w:rsidR="00D01A2E" w:rsidRPr="00D01A2E" w:rsidRDefault="00D01A2E" w:rsidP="00D01A2E">
      <w:pPr>
        <w:pStyle w:val="Heading3"/>
      </w:pPr>
      <w:bookmarkStart w:id="9" w:name="_Toc209166957"/>
      <w:r w:rsidRPr="00D01A2E">
        <w:lastRenderedPageBreak/>
        <w:t>Specialized Secondary Programs</w:t>
      </w:r>
      <w:bookmarkEnd w:id="9"/>
    </w:p>
    <w:p w14:paraId="19C77E74" w14:textId="4942A0F6" w:rsidR="00D01A2E" w:rsidRPr="002A4623" w:rsidRDefault="00D01A2E" w:rsidP="00D01A2E">
      <w:pPr>
        <w:spacing w:before="240" w:after="240"/>
        <w:rPr>
          <w:rFonts w:ascii="Arial" w:hAnsi="Arial" w:cs="Arial"/>
        </w:rPr>
      </w:pPr>
      <w:r w:rsidRPr="002A4623">
        <w:rPr>
          <w:rFonts w:ascii="Arial" w:hAnsi="Arial" w:cs="Arial"/>
          <w:b/>
          <w:bCs/>
        </w:rPr>
        <w:t>Program Overview</w:t>
      </w:r>
      <w:r w:rsidRPr="00D01A2E">
        <w:rPr>
          <w:rFonts w:ascii="Arial" w:hAnsi="Arial" w:cs="Arial"/>
          <w:b/>
          <w:bCs/>
        </w:rPr>
        <w:t xml:space="preserve">: </w:t>
      </w:r>
      <w:r>
        <w:rPr>
          <w:rFonts w:ascii="Arial" w:hAnsi="Arial" w:cs="Arial"/>
        </w:rPr>
        <w:t xml:space="preserve">SSPs </w:t>
      </w:r>
      <w:r w:rsidRPr="002A4623">
        <w:rPr>
          <w:rFonts w:ascii="Arial" w:hAnsi="Arial" w:cs="Arial"/>
        </w:rPr>
        <w:t xml:space="preserve">provide startup funding for the establishment of new advanced programs in California high schools, focusing on </w:t>
      </w:r>
      <w:r w:rsidR="00CE1CAB">
        <w:rPr>
          <w:rFonts w:ascii="Arial" w:hAnsi="Arial" w:cs="Arial"/>
        </w:rPr>
        <w:t xml:space="preserve">emerging </w:t>
      </w:r>
      <w:r w:rsidRPr="002A4623">
        <w:rPr>
          <w:rFonts w:ascii="Arial" w:hAnsi="Arial" w:cs="Arial"/>
        </w:rPr>
        <w:t>technology fields and performing arts. The program aims to benefit the state economy by locating specialized educational opportunities near related industries, creating pathways for students in emerging and high</w:t>
      </w:r>
      <w:r>
        <w:rPr>
          <w:rFonts w:ascii="Arial" w:hAnsi="Arial" w:cs="Arial"/>
        </w:rPr>
        <w:t>-</w:t>
      </w:r>
      <w:r w:rsidRPr="002A4623">
        <w:rPr>
          <w:rFonts w:ascii="Arial" w:hAnsi="Arial" w:cs="Arial"/>
        </w:rPr>
        <w:t>demand sectors.</w:t>
      </w:r>
    </w:p>
    <w:p w14:paraId="154AF0F9" w14:textId="04FD5103" w:rsidR="00D01A2E" w:rsidRPr="002A4623" w:rsidRDefault="00D01A2E" w:rsidP="00D01A2E">
      <w:pPr>
        <w:spacing w:before="240" w:after="240"/>
        <w:rPr>
          <w:rFonts w:ascii="Arial" w:hAnsi="Arial" w:cs="Arial"/>
        </w:rPr>
      </w:pPr>
      <w:r w:rsidRPr="002A4623">
        <w:rPr>
          <w:rFonts w:ascii="Arial" w:hAnsi="Arial" w:cs="Arial"/>
          <w:b/>
          <w:bCs/>
        </w:rPr>
        <w:t>Process for Funding Consideration</w:t>
      </w:r>
      <w:r>
        <w:rPr>
          <w:rFonts w:ascii="Arial" w:hAnsi="Arial" w:cs="Arial"/>
          <w:b/>
          <w:bCs/>
        </w:rPr>
        <w:t>:</w:t>
      </w:r>
      <w:r w:rsidRPr="002A4623">
        <w:rPr>
          <w:rFonts w:ascii="Arial" w:hAnsi="Arial" w:cs="Arial"/>
        </w:rPr>
        <w:t xml:space="preserve"> SSP</w:t>
      </w:r>
      <w:r w:rsidR="00A61E7F">
        <w:rPr>
          <w:rFonts w:ascii="Arial" w:hAnsi="Arial" w:cs="Arial"/>
        </w:rPr>
        <w:t>s</w:t>
      </w:r>
      <w:r w:rsidRPr="002A4623">
        <w:rPr>
          <w:rFonts w:ascii="Arial" w:hAnsi="Arial" w:cs="Arial"/>
        </w:rPr>
        <w:t xml:space="preserve"> operate through a</w:t>
      </w:r>
      <w:r w:rsidR="00A03483">
        <w:rPr>
          <w:rFonts w:ascii="Arial" w:hAnsi="Arial" w:cs="Arial"/>
        </w:rPr>
        <w:t>n RFA</w:t>
      </w:r>
      <w:r w:rsidRPr="002A4623">
        <w:rPr>
          <w:rFonts w:ascii="Arial" w:hAnsi="Arial" w:cs="Arial"/>
        </w:rPr>
        <w:t xml:space="preserve"> process administered by</w:t>
      </w:r>
      <w:r w:rsidR="00A61E7F">
        <w:rPr>
          <w:rFonts w:ascii="Arial" w:hAnsi="Arial" w:cs="Arial"/>
        </w:rPr>
        <w:t xml:space="preserve"> the</w:t>
      </w:r>
      <w:r w:rsidRPr="002A4623">
        <w:rPr>
          <w:rFonts w:ascii="Arial" w:hAnsi="Arial" w:cs="Arial"/>
        </w:rPr>
        <w:t xml:space="preserve"> CDE. Schools may first apply for planning grants up to $35,000 to develop comprehensive curriculum and partnerships. Following successful completion of the planning phase, schools become eligible to apply for implementation grants up to $100,000 as funding becomes available. Applications undergo competitive review based on curriculum innovation, industry alignment, and potential for statewide impact.</w:t>
      </w:r>
    </w:p>
    <w:p w14:paraId="770B4936" w14:textId="149EF4F7" w:rsidR="00D01A2E" w:rsidRPr="002A4623" w:rsidRDefault="00D01A2E" w:rsidP="00D01A2E">
      <w:pPr>
        <w:spacing w:before="240" w:after="240"/>
        <w:rPr>
          <w:rFonts w:ascii="Arial" w:hAnsi="Arial" w:cs="Arial"/>
        </w:rPr>
      </w:pPr>
      <w:r w:rsidRPr="002A4623">
        <w:rPr>
          <w:rFonts w:ascii="Arial" w:hAnsi="Arial" w:cs="Arial"/>
          <w:b/>
          <w:bCs/>
        </w:rPr>
        <w:t>Purpose of the Grant</w:t>
      </w:r>
      <w:r w:rsidR="00A61E7F">
        <w:rPr>
          <w:rFonts w:ascii="Arial" w:hAnsi="Arial" w:cs="Arial"/>
          <w:b/>
          <w:bCs/>
        </w:rPr>
        <w:t>:</w:t>
      </w:r>
      <w:r w:rsidRPr="002A4623">
        <w:rPr>
          <w:rFonts w:ascii="Arial" w:hAnsi="Arial" w:cs="Arial"/>
        </w:rPr>
        <w:t xml:space="preserve"> </w:t>
      </w:r>
      <w:r w:rsidR="00A61E7F">
        <w:rPr>
          <w:rFonts w:ascii="Arial" w:hAnsi="Arial" w:cs="Arial"/>
        </w:rPr>
        <w:t xml:space="preserve">SSPs </w:t>
      </w:r>
      <w:r w:rsidRPr="002A4623">
        <w:rPr>
          <w:rFonts w:ascii="Arial" w:hAnsi="Arial" w:cs="Arial"/>
        </w:rPr>
        <w:t>support the development of advanced learning opportunities that provide students with new, innovative learning experiences in specialized content areas. SSP</w:t>
      </w:r>
      <w:r w:rsidR="00A61E7F">
        <w:rPr>
          <w:rFonts w:ascii="Arial" w:hAnsi="Arial" w:cs="Arial"/>
        </w:rPr>
        <w:t>s</w:t>
      </w:r>
      <w:r w:rsidRPr="002A4623">
        <w:rPr>
          <w:rFonts w:ascii="Arial" w:hAnsi="Arial" w:cs="Arial"/>
        </w:rPr>
        <w:t xml:space="preserve"> emphasize the creation of model curriculum and instructional materials that can be made available to other schools statewide, multiplying the impact of state investment. Programs must focus on areas critical to California's economic competitiveness and demonstrate clear connections to growing industry sectors.</w:t>
      </w:r>
    </w:p>
    <w:p w14:paraId="070484C5" w14:textId="1C25E140" w:rsidR="00D01A2E" w:rsidRPr="002A4623" w:rsidRDefault="00D01A2E" w:rsidP="00D01A2E">
      <w:pPr>
        <w:spacing w:before="240" w:after="240"/>
        <w:rPr>
          <w:rFonts w:ascii="Arial" w:hAnsi="Arial" w:cs="Arial"/>
        </w:rPr>
      </w:pPr>
      <w:r w:rsidRPr="002A4623">
        <w:rPr>
          <w:rFonts w:ascii="Arial" w:hAnsi="Arial" w:cs="Arial"/>
          <w:b/>
          <w:bCs/>
        </w:rPr>
        <w:t>Eligible Entities</w:t>
      </w:r>
      <w:r w:rsidR="00A61E7F">
        <w:rPr>
          <w:rFonts w:ascii="Arial" w:hAnsi="Arial" w:cs="Arial"/>
          <w:b/>
          <w:bCs/>
        </w:rPr>
        <w:t>:</w:t>
      </w:r>
      <w:r w:rsidRPr="002A4623">
        <w:rPr>
          <w:rFonts w:ascii="Arial" w:hAnsi="Arial" w:cs="Arial"/>
        </w:rPr>
        <w:t xml:space="preserve"> All California public high schools, county offices of education, and direct</w:t>
      </w:r>
      <w:r w:rsidR="00A61E7F">
        <w:rPr>
          <w:rFonts w:ascii="Arial" w:hAnsi="Arial" w:cs="Arial"/>
        </w:rPr>
        <w:t>-</w:t>
      </w:r>
      <w:r w:rsidRPr="002A4623">
        <w:rPr>
          <w:rFonts w:ascii="Arial" w:hAnsi="Arial" w:cs="Arial"/>
        </w:rPr>
        <w:t xml:space="preserve">funded charter schools are eligible to apply. The competitive process </w:t>
      </w:r>
      <w:r w:rsidR="000A657E">
        <w:rPr>
          <w:rFonts w:ascii="Arial" w:hAnsi="Arial" w:cs="Arial"/>
        </w:rPr>
        <w:t xml:space="preserve">aims to </w:t>
      </w:r>
      <w:r w:rsidRPr="002A4623">
        <w:rPr>
          <w:rFonts w:ascii="Arial" w:hAnsi="Arial" w:cs="Arial"/>
        </w:rPr>
        <w:t>ensure that awards go to institutions with the capacity and commitment to develop exemplary programs that can serve as models for replication.</w:t>
      </w:r>
    </w:p>
    <w:p w14:paraId="53663FA0" w14:textId="317A204B" w:rsidR="00D01A2E" w:rsidRPr="002A4623" w:rsidRDefault="00D01A2E" w:rsidP="00D01A2E">
      <w:pPr>
        <w:spacing w:before="240" w:after="240"/>
        <w:rPr>
          <w:rFonts w:ascii="Arial" w:hAnsi="Arial" w:cs="Arial"/>
        </w:rPr>
      </w:pPr>
      <w:r w:rsidRPr="002A4623">
        <w:rPr>
          <w:rFonts w:ascii="Arial" w:hAnsi="Arial" w:cs="Arial"/>
          <w:b/>
          <w:bCs/>
        </w:rPr>
        <w:t>Ongoing/Duration</w:t>
      </w:r>
      <w:r w:rsidR="00A61E7F">
        <w:rPr>
          <w:rFonts w:ascii="Arial" w:hAnsi="Arial" w:cs="Arial"/>
          <w:b/>
          <w:bCs/>
        </w:rPr>
        <w:t>:</w:t>
      </w:r>
      <w:r w:rsidRPr="002A4623">
        <w:rPr>
          <w:rFonts w:ascii="Arial" w:hAnsi="Arial" w:cs="Arial"/>
        </w:rPr>
        <w:t xml:space="preserve"> SSP provides two</w:t>
      </w:r>
      <w:r>
        <w:rPr>
          <w:rFonts w:ascii="Arial" w:hAnsi="Arial" w:cs="Arial"/>
        </w:rPr>
        <w:t>-</w:t>
      </w:r>
      <w:r w:rsidRPr="002A4623">
        <w:rPr>
          <w:rFonts w:ascii="Arial" w:hAnsi="Arial" w:cs="Arial"/>
        </w:rPr>
        <w:t>phase funding with planning grants typically lasting one to two years and implementation grants extending over multiple years. Programs are expected to demonstrate sustainability beyond the grant period through ongoing institutional support and industry partnerships.</w:t>
      </w:r>
    </w:p>
    <w:p w14:paraId="14A3B099" w14:textId="0F683641" w:rsidR="00D01A2E" w:rsidRPr="002A4623" w:rsidRDefault="00D01A2E" w:rsidP="00D01A2E">
      <w:pPr>
        <w:spacing w:before="240" w:after="240"/>
        <w:rPr>
          <w:rFonts w:ascii="Arial" w:hAnsi="Arial" w:cs="Arial"/>
        </w:rPr>
      </w:pPr>
      <w:r w:rsidRPr="002A4623">
        <w:rPr>
          <w:rFonts w:ascii="Arial" w:hAnsi="Arial" w:cs="Arial"/>
          <w:b/>
          <w:bCs/>
        </w:rPr>
        <w:t>Fiscal Year Started</w:t>
      </w:r>
      <w:r w:rsidRPr="002A4623">
        <w:rPr>
          <w:rFonts w:ascii="Arial" w:hAnsi="Arial" w:cs="Arial"/>
        </w:rPr>
        <w:t xml:space="preserve"> Established in </w:t>
      </w:r>
      <w:r w:rsidR="00A61E7F">
        <w:rPr>
          <w:rFonts w:ascii="Arial" w:hAnsi="Arial" w:cs="Arial"/>
        </w:rPr>
        <w:t>FY</w:t>
      </w:r>
      <w:r w:rsidRPr="002A4623">
        <w:rPr>
          <w:rFonts w:ascii="Arial" w:hAnsi="Arial" w:cs="Arial"/>
        </w:rPr>
        <w:t xml:space="preserve"> 1984–85, SSP has funded over 200 programs throughout its nearly four</w:t>
      </w:r>
      <w:r w:rsidR="00A61E7F">
        <w:rPr>
          <w:rFonts w:ascii="Arial" w:hAnsi="Arial" w:cs="Arial"/>
        </w:rPr>
        <w:t>-</w:t>
      </w:r>
      <w:r w:rsidRPr="002A4623">
        <w:rPr>
          <w:rFonts w:ascii="Arial" w:hAnsi="Arial" w:cs="Arial"/>
        </w:rPr>
        <w:t>decade history.</w:t>
      </w:r>
    </w:p>
    <w:p w14:paraId="66BA9E65" w14:textId="3E182BE5" w:rsidR="00D01A2E" w:rsidRPr="002A4623" w:rsidRDefault="00D01A2E" w:rsidP="00D01A2E">
      <w:pPr>
        <w:spacing w:before="240" w:after="240"/>
        <w:rPr>
          <w:rFonts w:ascii="Arial" w:hAnsi="Arial" w:cs="Arial"/>
        </w:rPr>
      </w:pPr>
      <w:r w:rsidRPr="002A4623">
        <w:rPr>
          <w:rFonts w:ascii="Arial" w:hAnsi="Arial" w:cs="Arial"/>
          <w:b/>
          <w:bCs/>
        </w:rPr>
        <w:t>Historical Context</w:t>
      </w:r>
      <w:r w:rsidRPr="002A4623">
        <w:rPr>
          <w:rFonts w:ascii="Arial" w:hAnsi="Arial" w:cs="Arial"/>
        </w:rPr>
        <w:t xml:space="preserve"> The program reflects California's long</w:t>
      </w:r>
      <w:r w:rsidR="00A61E7F">
        <w:rPr>
          <w:rFonts w:ascii="Arial" w:hAnsi="Arial" w:cs="Arial"/>
        </w:rPr>
        <w:t>-</w:t>
      </w:r>
      <w:r w:rsidRPr="002A4623">
        <w:rPr>
          <w:rFonts w:ascii="Arial" w:hAnsi="Arial" w:cs="Arial"/>
        </w:rPr>
        <w:t>standing recognition that specialized, industry</w:t>
      </w:r>
      <w:r w:rsidR="00A61E7F">
        <w:rPr>
          <w:rFonts w:ascii="Arial" w:hAnsi="Arial" w:cs="Arial"/>
        </w:rPr>
        <w:t>-</w:t>
      </w:r>
      <w:r w:rsidRPr="002A4623">
        <w:rPr>
          <w:rFonts w:ascii="Arial" w:hAnsi="Arial" w:cs="Arial"/>
        </w:rPr>
        <w:t>aligned education programs require targeted startup support to overcome initial barriers and develop sustainable models.</w:t>
      </w:r>
    </w:p>
    <w:p w14:paraId="205B671A" w14:textId="77777777" w:rsidR="00D01A2E" w:rsidRPr="002A4623" w:rsidRDefault="00D01A2E" w:rsidP="00D01A2E">
      <w:pPr>
        <w:spacing w:before="240" w:after="240"/>
        <w:rPr>
          <w:rFonts w:ascii="Arial" w:hAnsi="Arial" w:cs="Arial"/>
        </w:rPr>
      </w:pPr>
      <w:r w:rsidRPr="002A4623">
        <w:rPr>
          <w:rFonts w:ascii="Arial" w:hAnsi="Arial" w:cs="Arial"/>
          <w:b/>
          <w:bCs/>
        </w:rPr>
        <w:t xml:space="preserve">Anticipated Funding: </w:t>
      </w:r>
      <w:r w:rsidRPr="002A4623">
        <w:rPr>
          <w:rFonts w:ascii="Arial" w:hAnsi="Arial" w:cs="Arial"/>
        </w:rPr>
        <w:t>In</w:t>
      </w:r>
      <w:r w:rsidRPr="002A4623">
        <w:rPr>
          <w:rFonts w:ascii="Arial" w:hAnsi="Arial" w:cs="Arial"/>
          <w:b/>
          <w:bCs/>
        </w:rPr>
        <w:t xml:space="preserve"> </w:t>
      </w:r>
      <w:r w:rsidRPr="002A4623">
        <w:rPr>
          <w:rFonts w:ascii="Arial" w:hAnsi="Arial" w:cs="Arial"/>
        </w:rPr>
        <w:t>FY 2025–26 the granted funding level was $4.8 million. For FY 2026–27 the CDE does not anticipate a change from this amount.</w:t>
      </w:r>
    </w:p>
    <w:p w14:paraId="771668CF" w14:textId="0EDDB2E5" w:rsidR="00CE1CAB" w:rsidRPr="009832A2" w:rsidRDefault="00CE1CAB" w:rsidP="009832A2">
      <w:pPr>
        <w:pStyle w:val="Heading3"/>
        <w:spacing w:before="0"/>
      </w:pPr>
      <w:r w:rsidRPr="009832A2">
        <w:lastRenderedPageBreak/>
        <w:t>Career Technical Education Incentive</w:t>
      </w:r>
    </w:p>
    <w:p w14:paraId="0747129E" w14:textId="32475F0E" w:rsidR="0063277C" w:rsidRPr="009832A2" w:rsidRDefault="0063277C" w:rsidP="009832A2">
      <w:pPr>
        <w:pStyle w:val="Heading3"/>
        <w:spacing w:before="0"/>
      </w:pPr>
      <w:r w:rsidRPr="002A4623">
        <w:t>A</w:t>
      </w:r>
      <w:r w:rsidR="00FF62DF">
        <w:t xml:space="preserve">rts, </w:t>
      </w:r>
      <w:r w:rsidRPr="002A4623">
        <w:t>M</w:t>
      </w:r>
      <w:r w:rsidR="00FF62DF">
        <w:t xml:space="preserve">edia, and </w:t>
      </w:r>
      <w:r w:rsidRPr="002A4623">
        <w:t>E</w:t>
      </w:r>
      <w:r w:rsidR="00FF62DF">
        <w:t xml:space="preserve">ntertainment – </w:t>
      </w:r>
      <w:r w:rsidRPr="002A4623">
        <w:t>Demonstration Sites</w:t>
      </w:r>
    </w:p>
    <w:p w14:paraId="0DF59B94" w14:textId="311FE797" w:rsidR="0063277C" w:rsidRPr="002A4623" w:rsidRDefault="0063277C" w:rsidP="00345B55">
      <w:pPr>
        <w:spacing w:before="240" w:after="240"/>
        <w:rPr>
          <w:rFonts w:ascii="Arial" w:hAnsi="Arial" w:cs="Arial"/>
        </w:rPr>
      </w:pPr>
      <w:r w:rsidRPr="002A4623">
        <w:rPr>
          <w:rFonts w:ascii="Arial" w:hAnsi="Arial" w:cs="Arial"/>
          <w:b/>
          <w:bCs/>
        </w:rPr>
        <w:t>Program Overview</w:t>
      </w:r>
      <w:r w:rsidR="00FF62DF">
        <w:rPr>
          <w:rFonts w:ascii="Arial" w:hAnsi="Arial" w:cs="Arial"/>
          <w:b/>
          <w:bCs/>
        </w:rPr>
        <w:t>:</w:t>
      </w:r>
      <w:r w:rsidRPr="002A4623">
        <w:rPr>
          <w:rFonts w:ascii="Arial" w:hAnsi="Arial" w:cs="Arial"/>
        </w:rPr>
        <w:t xml:space="preserve"> A</w:t>
      </w:r>
      <w:r w:rsidR="00452DA0">
        <w:rPr>
          <w:rFonts w:ascii="Arial" w:hAnsi="Arial" w:cs="Arial"/>
        </w:rPr>
        <w:t xml:space="preserve">rts, </w:t>
      </w:r>
      <w:r w:rsidRPr="002A4623">
        <w:rPr>
          <w:rFonts w:ascii="Arial" w:hAnsi="Arial" w:cs="Arial"/>
        </w:rPr>
        <w:t>M</w:t>
      </w:r>
      <w:r w:rsidR="00452DA0">
        <w:rPr>
          <w:rFonts w:ascii="Arial" w:hAnsi="Arial" w:cs="Arial"/>
        </w:rPr>
        <w:t xml:space="preserve">edia, and </w:t>
      </w:r>
      <w:r w:rsidRPr="002A4623">
        <w:rPr>
          <w:rFonts w:ascii="Arial" w:hAnsi="Arial" w:cs="Arial"/>
        </w:rPr>
        <w:t>E</w:t>
      </w:r>
      <w:r w:rsidR="00452DA0">
        <w:rPr>
          <w:rFonts w:ascii="Arial" w:hAnsi="Arial" w:cs="Arial"/>
        </w:rPr>
        <w:t>ntertainment (AME)</w:t>
      </w:r>
      <w:r w:rsidRPr="002A4623">
        <w:rPr>
          <w:rFonts w:ascii="Arial" w:hAnsi="Arial" w:cs="Arial"/>
        </w:rPr>
        <w:t xml:space="preserve"> Demonstration Sites serve as exemplary models of </w:t>
      </w:r>
      <w:r w:rsidR="00FF62DF">
        <w:rPr>
          <w:rFonts w:ascii="Arial" w:hAnsi="Arial" w:cs="Arial"/>
        </w:rPr>
        <w:t>CTE</w:t>
      </w:r>
      <w:r w:rsidRPr="002A4623">
        <w:rPr>
          <w:rFonts w:ascii="Arial" w:hAnsi="Arial" w:cs="Arial"/>
        </w:rPr>
        <w:t xml:space="preserve"> in the </w:t>
      </w:r>
      <w:r w:rsidR="00FF62DF">
        <w:rPr>
          <w:rFonts w:ascii="Arial" w:hAnsi="Arial" w:cs="Arial"/>
        </w:rPr>
        <w:t>AME</w:t>
      </w:r>
      <w:r w:rsidRPr="002A4623">
        <w:rPr>
          <w:rFonts w:ascii="Arial" w:hAnsi="Arial" w:cs="Arial"/>
        </w:rPr>
        <w:t xml:space="preserve"> sector, functioning as living laboratories where other educators can observe best practices and successful program implementation. These sites showcase integration of rigorous academics with creative and technical career preparation.</w:t>
      </w:r>
    </w:p>
    <w:p w14:paraId="4CA1FAAF" w14:textId="64EBE33F" w:rsidR="0063277C" w:rsidRPr="002A4623" w:rsidRDefault="0063277C" w:rsidP="00345B55">
      <w:pPr>
        <w:spacing w:before="240" w:after="240"/>
        <w:rPr>
          <w:rFonts w:ascii="Arial" w:hAnsi="Arial" w:cs="Arial"/>
        </w:rPr>
      </w:pPr>
      <w:r w:rsidRPr="002A4623">
        <w:rPr>
          <w:rFonts w:ascii="Arial" w:hAnsi="Arial" w:cs="Arial"/>
          <w:b/>
          <w:bCs/>
        </w:rPr>
        <w:t>Process for Funding Consideration</w:t>
      </w:r>
      <w:r w:rsidR="00FF62DF">
        <w:rPr>
          <w:rFonts w:ascii="Arial" w:hAnsi="Arial" w:cs="Arial"/>
          <w:b/>
          <w:bCs/>
        </w:rPr>
        <w:t>:</w:t>
      </w:r>
      <w:r w:rsidRPr="002A4623">
        <w:rPr>
          <w:rFonts w:ascii="Arial" w:hAnsi="Arial" w:cs="Arial"/>
        </w:rPr>
        <w:t xml:space="preserve"> Demonstration Sites are selected through a non</w:t>
      </w:r>
      <w:r w:rsidR="00FF62DF">
        <w:rPr>
          <w:rFonts w:ascii="Arial" w:hAnsi="Arial" w:cs="Arial"/>
        </w:rPr>
        <w:t>-</w:t>
      </w:r>
      <w:r w:rsidRPr="002A4623">
        <w:rPr>
          <w:rFonts w:ascii="Arial" w:hAnsi="Arial" w:cs="Arial"/>
        </w:rPr>
        <w:t xml:space="preserve">competitive process from existing programs that demonstrate excellence in AME </w:t>
      </w:r>
      <w:r w:rsidR="00FF62DF">
        <w:rPr>
          <w:rFonts w:ascii="Arial" w:hAnsi="Arial" w:cs="Arial"/>
        </w:rPr>
        <w:t>CTE</w:t>
      </w:r>
      <w:r w:rsidRPr="002A4623">
        <w:rPr>
          <w:rFonts w:ascii="Arial" w:hAnsi="Arial" w:cs="Arial"/>
        </w:rPr>
        <w:t>. Selection criteria emphasize programs that have achieved exemplary outcomes, developed replicable models, and demonstrate capacity to serve as resources for other schools. Sites must show evidence of successful industry partnerships, student achievement, and innovative curriculum integration.</w:t>
      </w:r>
    </w:p>
    <w:p w14:paraId="7D1AE9C1" w14:textId="57921D32" w:rsidR="0063277C" w:rsidRPr="002A4623" w:rsidRDefault="0063277C" w:rsidP="00345B55">
      <w:pPr>
        <w:spacing w:before="240" w:after="240"/>
        <w:rPr>
          <w:rFonts w:ascii="Arial" w:hAnsi="Arial" w:cs="Arial"/>
        </w:rPr>
      </w:pPr>
      <w:r w:rsidRPr="002A4623">
        <w:rPr>
          <w:rFonts w:ascii="Arial" w:hAnsi="Arial" w:cs="Arial"/>
          <w:b/>
          <w:bCs/>
        </w:rPr>
        <w:t>Purpose of the Grant</w:t>
      </w:r>
      <w:r w:rsidR="00FF62DF">
        <w:rPr>
          <w:rFonts w:ascii="Arial" w:hAnsi="Arial" w:cs="Arial"/>
          <w:b/>
          <w:bCs/>
        </w:rPr>
        <w:t>:</w:t>
      </w:r>
      <w:r w:rsidRPr="002A4623">
        <w:rPr>
          <w:rFonts w:ascii="Arial" w:hAnsi="Arial" w:cs="Arial"/>
        </w:rPr>
        <w:t xml:space="preserve"> </w:t>
      </w:r>
      <w:r w:rsidR="00FF62DF">
        <w:rPr>
          <w:rFonts w:ascii="Arial" w:hAnsi="Arial" w:cs="Arial"/>
        </w:rPr>
        <w:t>AME</w:t>
      </w:r>
      <w:r w:rsidRPr="002A4623">
        <w:rPr>
          <w:rFonts w:ascii="Arial" w:hAnsi="Arial" w:cs="Arial"/>
        </w:rPr>
        <w:t xml:space="preserve"> Demonstration Sites provide professional development resources, host site visits, conduct demonstration days, and share best practices with educators throughout California. The program aims to accelerate the development of high</w:t>
      </w:r>
      <w:r w:rsidR="00FF62DF">
        <w:rPr>
          <w:rFonts w:ascii="Arial" w:hAnsi="Arial" w:cs="Arial"/>
        </w:rPr>
        <w:t>-</w:t>
      </w:r>
      <w:r w:rsidRPr="002A4623">
        <w:rPr>
          <w:rFonts w:ascii="Arial" w:hAnsi="Arial" w:cs="Arial"/>
        </w:rPr>
        <w:t>quality AME programming statewide by providing concrete examples of successful implementation.</w:t>
      </w:r>
    </w:p>
    <w:p w14:paraId="0C869DAF" w14:textId="1B76FED4" w:rsidR="0063277C" w:rsidRPr="002A4623" w:rsidRDefault="0063277C" w:rsidP="00345B55">
      <w:pPr>
        <w:spacing w:before="240" w:after="240"/>
        <w:rPr>
          <w:rFonts w:ascii="Arial" w:hAnsi="Arial" w:cs="Arial"/>
        </w:rPr>
      </w:pPr>
      <w:r w:rsidRPr="002A4623">
        <w:rPr>
          <w:rFonts w:ascii="Arial" w:hAnsi="Arial" w:cs="Arial"/>
          <w:b/>
          <w:bCs/>
        </w:rPr>
        <w:t>Eligible Entities</w:t>
      </w:r>
      <w:r w:rsidR="00FF62DF">
        <w:rPr>
          <w:rFonts w:ascii="Arial" w:hAnsi="Arial" w:cs="Arial"/>
          <w:b/>
          <w:bCs/>
        </w:rPr>
        <w:t>:</w:t>
      </w:r>
      <w:r w:rsidRPr="002A4623">
        <w:rPr>
          <w:rFonts w:ascii="Arial" w:hAnsi="Arial" w:cs="Arial"/>
        </w:rPr>
        <w:t xml:space="preserve"> Schools and districts with existing exemplary AME programs that can effectively serve as demonstration sites and learning laboratories for other educators. Applicants must demonstrate sustained success in AME programming and capacity to provide technical assistance to other institutions.</w:t>
      </w:r>
    </w:p>
    <w:p w14:paraId="235BECC3" w14:textId="7EBF5B07" w:rsidR="0063277C" w:rsidRPr="002A4623" w:rsidRDefault="0063277C" w:rsidP="00345B55">
      <w:pPr>
        <w:spacing w:before="240" w:after="240"/>
        <w:rPr>
          <w:rFonts w:ascii="Arial" w:hAnsi="Arial" w:cs="Arial"/>
        </w:rPr>
      </w:pPr>
      <w:r w:rsidRPr="002A4623">
        <w:rPr>
          <w:rFonts w:ascii="Arial" w:hAnsi="Arial" w:cs="Arial"/>
          <w:b/>
          <w:bCs/>
        </w:rPr>
        <w:t>Ongoing/Duration</w:t>
      </w:r>
      <w:r w:rsidR="00FF62DF">
        <w:rPr>
          <w:rFonts w:ascii="Arial" w:hAnsi="Arial" w:cs="Arial"/>
          <w:b/>
          <w:bCs/>
        </w:rPr>
        <w:t xml:space="preserve">: </w:t>
      </w:r>
      <w:r w:rsidR="00FF62DF" w:rsidRPr="00FF62DF">
        <w:rPr>
          <w:rFonts w:ascii="Arial" w:hAnsi="Arial" w:cs="Arial"/>
        </w:rPr>
        <w:t>AME</w:t>
      </w:r>
      <w:r w:rsidRPr="002A4623">
        <w:rPr>
          <w:rFonts w:ascii="Arial" w:hAnsi="Arial" w:cs="Arial"/>
        </w:rPr>
        <w:t xml:space="preserve"> Demonstration Sites receive ongoing annual funding of $</w:t>
      </w:r>
      <w:r w:rsidR="004954C1" w:rsidRPr="002A4623">
        <w:rPr>
          <w:rFonts w:ascii="Arial" w:hAnsi="Arial" w:cs="Arial"/>
        </w:rPr>
        <w:t>11</w:t>
      </w:r>
      <w:r w:rsidRPr="002A4623">
        <w:rPr>
          <w:rFonts w:ascii="Arial" w:hAnsi="Arial" w:cs="Arial"/>
        </w:rPr>
        <w:t>,000 per site, with continuation based on maintaining exemplary program standards and fulfilling demonstration and technical assistance responsibilities.</w:t>
      </w:r>
    </w:p>
    <w:p w14:paraId="1896B26F" w14:textId="257F9867" w:rsidR="0063277C" w:rsidRPr="002A4623" w:rsidRDefault="0063277C" w:rsidP="00345B55">
      <w:pPr>
        <w:spacing w:before="240" w:after="240"/>
        <w:rPr>
          <w:rFonts w:ascii="Arial" w:hAnsi="Arial" w:cs="Arial"/>
        </w:rPr>
      </w:pPr>
      <w:r w:rsidRPr="002A4623">
        <w:rPr>
          <w:rFonts w:ascii="Arial" w:hAnsi="Arial" w:cs="Arial"/>
          <w:b/>
          <w:bCs/>
        </w:rPr>
        <w:t>Fiscal Year Started</w:t>
      </w:r>
      <w:r w:rsidR="00FF62DF">
        <w:rPr>
          <w:rFonts w:ascii="Arial" w:hAnsi="Arial" w:cs="Arial"/>
          <w:b/>
          <w:bCs/>
        </w:rPr>
        <w:t>:</w:t>
      </w:r>
      <w:r w:rsidRPr="002A4623">
        <w:rPr>
          <w:rFonts w:ascii="Arial" w:hAnsi="Arial" w:cs="Arial"/>
        </w:rPr>
        <w:t xml:space="preserve"> Established as part of the C</w:t>
      </w:r>
      <w:r w:rsidR="00FF62DF">
        <w:rPr>
          <w:rFonts w:ascii="Arial" w:hAnsi="Arial" w:cs="Arial"/>
        </w:rPr>
        <w:t>TEI</w:t>
      </w:r>
      <w:r w:rsidRPr="002A4623">
        <w:rPr>
          <w:rFonts w:ascii="Arial" w:hAnsi="Arial" w:cs="Arial"/>
        </w:rPr>
        <w:t xml:space="preserve"> circa 2020.</w:t>
      </w:r>
    </w:p>
    <w:p w14:paraId="7DCB26AC" w14:textId="478E2508" w:rsidR="004954C1" w:rsidRPr="002A4623" w:rsidRDefault="004954C1" w:rsidP="00345B55">
      <w:pPr>
        <w:spacing w:before="240" w:after="240"/>
        <w:rPr>
          <w:rFonts w:ascii="Arial" w:hAnsi="Arial" w:cs="Arial"/>
        </w:rPr>
      </w:pPr>
      <w:r w:rsidRPr="002A4623">
        <w:rPr>
          <w:rFonts w:ascii="Arial" w:hAnsi="Arial" w:cs="Arial"/>
          <w:b/>
          <w:bCs/>
        </w:rPr>
        <w:t>Historical Context</w:t>
      </w:r>
      <w:r w:rsidR="00FF62DF" w:rsidRPr="00FF62DF">
        <w:rPr>
          <w:rFonts w:ascii="Arial" w:hAnsi="Arial" w:cs="Arial"/>
          <w:b/>
          <w:bCs/>
        </w:rPr>
        <w:t>:</w:t>
      </w:r>
      <w:r w:rsidRPr="002A4623">
        <w:rPr>
          <w:rFonts w:ascii="Arial" w:hAnsi="Arial" w:cs="Arial"/>
        </w:rPr>
        <w:t xml:space="preserve"> AME Demonstration Sites address the need for concrete models of successful AME programming that other schools can observe and replicate. The program builds on California's recognition that peer</w:t>
      </w:r>
      <w:r w:rsidR="00FF62DF">
        <w:rPr>
          <w:rFonts w:ascii="Arial" w:hAnsi="Arial" w:cs="Arial"/>
        </w:rPr>
        <w:t>-</w:t>
      </w:r>
      <w:r w:rsidRPr="002A4623">
        <w:rPr>
          <w:rFonts w:ascii="Arial" w:hAnsi="Arial" w:cs="Arial"/>
        </w:rPr>
        <w:t>to</w:t>
      </w:r>
      <w:r w:rsidR="00FF62DF">
        <w:rPr>
          <w:rFonts w:ascii="Arial" w:hAnsi="Arial" w:cs="Arial"/>
        </w:rPr>
        <w:t>-</w:t>
      </w:r>
      <w:r w:rsidRPr="002A4623">
        <w:rPr>
          <w:rFonts w:ascii="Arial" w:hAnsi="Arial" w:cs="Arial"/>
        </w:rPr>
        <w:t>peer learning and demonstration of best practices accelerate improvement across the educational system.</w:t>
      </w:r>
    </w:p>
    <w:p w14:paraId="5FB092BE" w14:textId="3F208B40" w:rsidR="00DA3DF1" w:rsidRDefault="00DA3DF1" w:rsidP="00345B55">
      <w:pPr>
        <w:spacing w:before="240" w:after="240"/>
        <w:rPr>
          <w:rFonts w:ascii="Arial" w:hAnsi="Arial" w:cs="Arial"/>
        </w:rPr>
      </w:pPr>
      <w:r w:rsidRPr="002A4623">
        <w:rPr>
          <w:rFonts w:ascii="Arial" w:hAnsi="Arial" w:cs="Arial"/>
          <w:b/>
          <w:bCs/>
        </w:rPr>
        <w:t xml:space="preserve">Anticipated Funding: </w:t>
      </w:r>
      <w:r w:rsidRPr="002A4623">
        <w:rPr>
          <w:rFonts w:ascii="Arial" w:hAnsi="Arial" w:cs="Arial"/>
        </w:rPr>
        <w:t>In</w:t>
      </w:r>
      <w:r w:rsidRPr="002A4623">
        <w:rPr>
          <w:rFonts w:ascii="Arial" w:hAnsi="Arial" w:cs="Arial"/>
          <w:b/>
          <w:bCs/>
        </w:rPr>
        <w:t xml:space="preserve"> </w:t>
      </w:r>
      <w:r w:rsidRPr="002A4623">
        <w:rPr>
          <w:rFonts w:ascii="Arial" w:hAnsi="Arial" w:cs="Arial"/>
        </w:rPr>
        <w:t>FY 2025</w:t>
      </w:r>
      <w:r w:rsidR="00491361" w:rsidRPr="002A4623">
        <w:rPr>
          <w:rFonts w:ascii="Arial" w:hAnsi="Arial" w:cs="Arial"/>
        </w:rPr>
        <w:t>–</w:t>
      </w:r>
      <w:r w:rsidRPr="002A4623">
        <w:rPr>
          <w:rFonts w:ascii="Arial" w:hAnsi="Arial" w:cs="Arial"/>
        </w:rPr>
        <w:t>26 the granted funding level was $110,000. For FY 2026</w:t>
      </w:r>
      <w:r w:rsidR="00491361" w:rsidRPr="002A4623">
        <w:rPr>
          <w:rFonts w:ascii="Arial" w:hAnsi="Arial" w:cs="Arial"/>
        </w:rPr>
        <w:t>–</w:t>
      </w:r>
      <w:r w:rsidRPr="002A4623">
        <w:rPr>
          <w:rFonts w:ascii="Arial" w:hAnsi="Arial" w:cs="Arial"/>
        </w:rPr>
        <w:t>27 the CDE does not anticipate a change from this amount.</w:t>
      </w:r>
    </w:p>
    <w:p w14:paraId="7DE6F7C4" w14:textId="06F41DBE" w:rsidR="008270FE" w:rsidRPr="00FD4542" w:rsidRDefault="008270FE" w:rsidP="00FD4542">
      <w:pPr>
        <w:pStyle w:val="Heading3"/>
      </w:pPr>
      <w:bookmarkStart w:id="10" w:name="_Toc209166958"/>
      <w:r>
        <w:rPr>
          <w:rFonts w:eastAsia="Times New Roman"/>
        </w:rPr>
        <w:lastRenderedPageBreak/>
        <w:t xml:space="preserve">Arts, Media, and Entertainment – </w:t>
      </w:r>
      <w:r w:rsidRPr="008270FE">
        <w:rPr>
          <w:rFonts w:eastAsia="Times New Roman"/>
        </w:rPr>
        <w:t>Hip Hop Education and Equity Initiative</w:t>
      </w:r>
      <w:bookmarkEnd w:id="10"/>
    </w:p>
    <w:p w14:paraId="20BC1576" w14:textId="5FF5E0EC" w:rsidR="008270FE" w:rsidRPr="008270FE" w:rsidRDefault="008270FE" w:rsidP="00933453">
      <w:pPr>
        <w:spacing w:before="240" w:after="240" w:line="240" w:lineRule="auto"/>
        <w:rPr>
          <w:rFonts w:ascii="Arial" w:eastAsia="Times New Roman" w:hAnsi="Arial" w:cs="Arial"/>
          <w:kern w:val="0"/>
          <w14:ligatures w14:val="none"/>
        </w:rPr>
      </w:pPr>
      <w:r w:rsidRPr="008270FE">
        <w:rPr>
          <w:rFonts w:ascii="Arial" w:eastAsia="Times New Roman" w:hAnsi="Arial" w:cs="Arial"/>
          <w:b/>
          <w:bCs/>
          <w:kern w:val="0"/>
          <w14:ligatures w14:val="none"/>
        </w:rPr>
        <w:t>Program Overview</w:t>
      </w:r>
      <w:r w:rsidR="00FF62DF">
        <w:rPr>
          <w:rFonts w:ascii="Arial" w:eastAsia="Times New Roman" w:hAnsi="Arial" w:cs="Arial"/>
          <w:b/>
          <w:bCs/>
          <w:kern w:val="0"/>
          <w14:ligatures w14:val="none"/>
        </w:rPr>
        <w:t>:</w:t>
      </w:r>
      <w:r w:rsidRPr="008270FE">
        <w:rPr>
          <w:rFonts w:ascii="Arial" w:eastAsia="Times New Roman" w:hAnsi="Arial" w:cs="Arial"/>
          <w:kern w:val="0"/>
          <w14:ligatures w14:val="none"/>
        </w:rPr>
        <w:t xml:space="preserve"> The Hip Hop Education and Equity Initiative</w:t>
      </w:r>
      <w:r>
        <w:rPr>
          <w:rFonts w:ascii="Arial" w:eastAsia="Times New Roman" w:hAnsi="Arial" w:cs="Arial"/>
          <w:kern w:val="0"/>
          <w14:ligatures w14:val="none"/>
        </w:rPr>
        <w:t xml:space="preserve"> (H2E2)</w:t>
      </w:r>
      <w:r w:rsidRPr="008270FE">
        <w:rPr>
          <w:rFonts w:ascii="Arial" w:eastAsia="Times New Roman" w:hAnsi="Arial" w:cs="Arial"/>
          <w:kern w:val="0"/>
          <w14:ligatures w14:val="none"/>
        </w:rPr>
        <w:t xml:space="preserve"> represents California's pioneering approach to integrating Hip Hop culture and pedagogy into formal </w:t>
      </w:r>
      <w:r w:rsidR="008A6E8E">
        <w:rPr>
          <w:rFonts w:ascii="Arial" w:eastAsia="Times New Roman" w:hAnsi="Arial" w:cs="Arial"/>
          <w:kern w:val="0"/>
          <w14:ligatures w14:val="none"/>
        </w:rPr>
        <w:t>CTE</w:t>
      </w:r>
      <w:r w:rsidRPr="008270FE">
        <w:rPr>
          <w:rFonts w:ascii="Arial" w:eastAsia="Times New Roman" w:hAnsi="Arial" w:cs="Arial"/>
          <w:kern w:val="0"/>
          <w14:ligatures w14:val="none"/>
        </w:rPr>
        <w:t xml:space="preserve"> pathways. H2E2, the first statewide Hip Hop education initiative in the country, emerged from recognition that Hip Hop culture could serve as a powerful vehicle for culturally responsive education and workforce development in the </w:t>
      </w:r>
      <w:r w:rsidR="00FF62DF">
        <w:rPr>
          <w:rFonts w:ascii="Arial" w:eastAsia="Times New Roman" w:hAnsi="Arial" w:cs="Arial"/>
          <w:kern w:val="0"/>
          <w14:ligatures w14:val="none"/>
        </w:rPr>
        <w:t>AME</w:t>
      </w:r>
      <w:r w:rsidRPr="008270FE">
        <w:rPr>
          <w:rFonts w:ascii="Arial" w:eastAsia="Times New Roman" w:hAnsi="Arial" w:cs="Arial"/>
          <w:kern w:val="0"/>
          <w14:ligatures w14:val="none"/>
        </w:rPr>
        <w:t xml:space="preserve"> sector. The initiative operates as a collaboration between state and</w:t>
      </w:r>
      <w:r w:rsidR="00D20912">
        <w:rPr>
          <w:rFonts w:ascii="Arial" w:eastAsia="Times New Roman" w:hAnsi="Arial" w:cs="Arial"/>
          <w:kern w:val="0"/>
          <w14:ligatures w14:val="none"/>
        </w:rPr>
        <w:t xml:space="preserve"> LEAs</w:t>
      </w:r>
      <w:r w:rsidRPr="008270FE">
        <w:rPr>
          <w:rFonts w:ascii="Arial" w:eastAsia="Times New Roman" w:hAnsi="Arial" w:cs="Arial"/>
          <w:kern w:val="0"/>
          <w14:ligatures w14:val="none"/>
        </w:rPr>
        <w:t>, postsecondary institutions, and non-profit partners to establish a statewide network of qualified Hip Hop and urban arts educators.</w:t>
      </w:r>
    </w:p>
    <w:p w14:paraId="6A902210" w14:textId="7B89F783" w:rsidR="008270FE" w:rsidRPr="008270FE" w:rsidRDefault="008270FE" w:rsidP="00933453">
      <w:pPr>
        <w:spacing w:before="240" w:after="240" w:line="240" w:lineRule="auto"/>
        <w:rPr>
          <w:rFonts w:ascii="Arial" w:eastAsia="Times New Roman" w:hAnsi="Arial" w:cs="Arial"/>
          <w:kern w:val="0"/>
          <w14:ligatures w14:val="none"/>
        </w:rPr>
      </w:pPr>
      <w:r w:rsidRPr="008270FE">
        <w:rPr>
          <w:rFonts w:ascii="Arial" w:eastAsia="Times New Roman" w:hAnsi="Arial" w:cs="Arial"/>
          <w:b/>
          <w:bCs/>
          <w:kern w:val="0"/>
          <w14:ligatures w14:val="none"/>
        </w:rPr>
        <w:t>Process for Funding Consideration</w:t>
      </w:r>
      <w:r w:rsidR="00FF62DF">
        <w:rPr>
          <w:rFonts w:ascii="Arial" w:eastAsia="Times New Roman" w:hAnsi="Arial" w:cs="Arial"/>
          <w:b/>
          <w:bCs/>
          <w:kern w:val="0"/>
          <w14:ligatures w14:val="none"/>
        </w:rPr>
        <w:t>:</w:t>
      </w:r>
      <w:r w:rsidRPr="008270FE">
        <w:rPr>
          <w:rFonts w:ascii="Arial" w:eastAsia="Times New Roman" w:hAnsi="Arial" w:cs="Arial"/>
          <w:kern w:val="0"/>
          <w14:ligatures w14:val="none"/>
        </w:rPr>
        <w:t xml:space="preserve"> The </w:t>
      </w:r>
      <w:r w:rsidR="00FF62DF">
        <w:rPr>
          <w:rFonts w:ascii="Arial" w:eastAsia="Times New Roman" w:hAnsi="Arial" w:cs="Arial"/>
          <w:kern w:val="0"/>
          <w14:ligatures w14:val="none"/>
        </w:rPr>
        <w:t>H2E2</w:t>
      </w:r>
      <w:r w:rsidRPr="008270FE">
        <w:rPr>
          <w:rFonts w:ascii="Arial" w:eastAsia="Times New Roman" w:hAnsi="Arial" w:cs="Arial"/>
          <w:kern w:val="0"/>
          <w14:ligatures w14:val="none"/>
        </w:rPr>
        <w:t xml:space="preserve"> operates through a non-competitive selection process for </w:t>
      </w:r>
      <w:r w:rsidR="00FF62DF">
        <w:rPr>
          <w:rFonts w:ascii="Arial" w:eastAsia="Times New Roman" w:hAnsi="Arial" w:cs="Arial"/>
          <w:kern w:val="0"/>
          <w14:ligatures w14:val="none"/>
        </w:rPr>
        <w:t>LEA</w:t>
      </w:r>
      <w:r w:rsidRPr="008270FE">
        <w:rPr>
          <w:rFonts w:ascii="Arial" w:eastAsia="Times New Roman" w:hAnsi="Arial" w:cs="Arial"/>
          <w:kern w:val="0"/>
          <w14:ligatures w14:val="none"/>
        </w:rPr>
        <w:t xml:space="preserve">s that demonstrate capacity to implement culturally responsive and sustaining </w:t>
      </w:r>
      <w:r w:rsidR="00FF62DF">
        <w:rPr>
          <w:rFonts w:ascii="Arial" w:eastAsia="Times New Roman" w:hAnsi="Arial" w:cs="Arial"/>
          <w:kern w:val="0"/>
          <w14:ligatures w14:val="none"/>
        </w:rPr>
        <w:t>AME</w:t>
      </w:r>
      <w:r w:rsidRPr="008270FE">
        <w:rPr>
          <w:rFonts w:ascii="Arial" w:eastAsia="Times New Roman" w:hAnsi="Arial" w:cs="Arial"/>
          <w:kern w:val="0"/>
          <w14:ligatures w14:val="none"/>
        </w:rPr>
        <w:t xml:space="preserve"> pathway programs with an educator workforce development focus. Originally designed to fund two </w:t>
      </w:r>
      <w:r w:rsidR="00FF62DF">
        <w:rPr>
          <w:rFonts w:ascii="Arial" w:eastAsia="Times New Roman" w:hAnsi="Arial" w:cs="Arial"/>
          <w:kern w:val="0"/>
          <w14:ligatures w14:val="none"/>
        </w:rPr>
        <w:t>LEAs</w:t>
      </w:r>
      <w:r w:rsidRPr="008270FE">
        <w:rPr>
          <w:rFonts w:ascii="Arial" w:eastAsia="Times New Roman" w:hAnsi="Arial" w:cs="Arial"/>
          <w:kern w:val="0"/>
          <w14:ligatures w14:val="none"/>
        </w:rPr>
        <w:t xml:space="preserve"> for the establishment of urban teacher workforce development, AME curriculum development, and training programs for industry professionals transitioning to education careers, the program has evolved to support six</w:t>
      </w:r>
      <w:r w:rsidR="00FF62DF">
        <w:rPr>
          <w:rFonts w:ascii="Arial" w:eastAsia="Times New Roman" w:hAnsi="Arial" w:cs="Arial"/>
          <w:kern w:val="0"/>
          <w14:ligatures w14:val="none"/>
        </w:rPr>
        <w:t xml:space="preserve"> LEAs</w:t>
      </w:r>
      <w:r w:rsidRPr="008270FE">
        <w:rPr>
          <w:rFonts w:ascii="Arial" w:eastAsia="Times New Roman" w:hAnsi="Arial" w:cs="Arial"/>
          <w:kern w:val="0"/>
          <w14:ligatures w14:val="none"/>
        </w:rPr>
        <w:t>. Selection emphasizes agencies serving Title I schools and those with demonstrated commitment to culturally responsive and sustaining pedagogy.</w:t>
      </w:r>
    </w:p>
    <w:p w14:paraId="3677A39E" w14:textId="702125E5" w:rsidR="008270FE" w:rsidRPr="008270FE" w:rsidRDefault="008270FE" w:rsidP="00933453">
      <w:pPr>
        <w:spacing w:before="240" w:after="240" w:line="240" w:lineRule="auto"/>
        <w:rPr>
          <w:rFonts w:ascii="Arial" w:eastAsia="Times New Roman" w:hAnsi="Arial" w:cs="Arial"/>
          <w:kern w:val="0"/>
          <w14:ligatures w14:val="none"/>
        </w:rPr>
      </w:pPr>
      <w:r w:rsidRPr="008270FE">
        <w:rPr>
          <w:rFonts w:ascii="Arial" w:eastAsia="Times New Roman" w:hAnsi="Arial" w:cs="Arial"/>
          <w:b/>
          <w:bCs/>
          <w:kern w:val="0"/>
          <w14:ligatures w14:val="none"/>
        </w:rPr>
        <w:t>Purpose of the Grant</w:t>
      </w:r>
      <w:r w:rsidR="00FF62DF">
        <w:rPr>
          <w:rFonts w:ascii="Arial" w:eastAsia="Times New Roman" w:hAnsi="Arial" w:cs="Arial"/>
          <w:b/>
          <w:bCs/>
          <w:kern w:val="0"/>
          <w14:ligatures w14:val="none"/>
        </w:rPr>
        <w:t>:</w:t>
      </w:r>
      <w:r w:rsidRPr="008270FE">
        <w:rPr>
          <w:rFonts w:ascii="Arial" w:eastAsia="Times New Roman" w:hAnsi="Arial" w:cs="Arial"/>
          <w:kern w:val="0"/>
          <w14:ligatures w14:val="none"/>
        </w:rPr>
        <w:t xml:space="preserve"> The initiative focuses on recruitment and mentoring of AME educators and the establishment of culturally responsive and sustaining model course outlines and curriculum. The program aligns with the State Superintendent of Public Instruction's priorities and the Governor's vision for building a diverse teacher workforce and reducing the achievement gap. H2E2 aims to provide resources, mentorship and support for teaching artists and industry professionals in partnering with public schools, while supporting partnerships between AME programs and Hip Hop</w:t>
      </w:r>
      <w:r w:rsidR="00FF62DF">
        <w:rPr>
          <w:rFonts w:ascii="Arial" w:eastAsia="Times New Roman" w:hAnsi="Arial" w:cs="Arial"/>
          <w:kern w:val="0"/>
          <w14:ligatures w14:val="none"/>
        </w:rPr>
        <w:t>,</w:t>
      </w:r>
      <w:r w:rsidRPr="008270FE">
        <w:rPr>
          <w:rFonts w:ascii="Arial" w:eastAsia="Times New Roman" w:hAnsi="Arial" w:cs="Arial"/>
          <w:kern w:val="0"/>
          <w14:ligatures w14:val="none"/>
        </w:rPr>
        <w:t xml:space="preserve"> teaching artists to create sustainable models for Hip Hop-focused AME programs throughout California.</w:t>
      </w:r>
    </w:p>
    <w:p w14:paraId="26CCBC24" w14:textId="0735147D" w:rsidR="008270FE" w:rsidRPr="008270FE" w:rsidRDefault="008270FE" w:rsidP="00933453">
      <w:pPr>
        <w:spacing w:before="240" w:after="240" w:line="240" w:lineRule="auto"/>
        <w:rPr>
          <w:rFonts w:ascii="Arial" w:eastAsia="Times New Roman" w:hAnsi="Arial" w:cs="Arial"/>
          <w:kern w:val="0"/>
          <w14:ligatures w14:val="none"/>
        </w:rPr>
      </w:pPr>
      <w:r w:rsidRPr="008270FE">
        <w:rPr>
          <w:rFonts w:ascii="Arial" w:eastAsia="Times New Roman" w:hAnsi="Arial" w:cs="Arial"/>
          <w:b/>
          <w:bCs/>
          <w:kern w:val="0"/>
          <w14:ligatures w14:val="none"/>
        </w:rPr>
        <w:t>Eligible Entities</w:t>
      </w:r>
      <w:r w:rsidR="00FF62DF">
        <w:rPr>
          <w:rFonts w:ascii="Arial" w:eastAsia="Times New Roman" w:hAnsi="Arial" w:cs="Arial"/>
          <w:b/>
          <w:bCs/>
          <w:kern w:val="0"/>
          <w14:ligatures w14:val="none"/>
        </w:rPr>
        <w:t xml:space="preserve">: </w:t>
      </w:r>
      <w:r w:rsidR="00FF62DF" w:rsidRPr="00FF62DF">
        <w:rPr>
          <w:rFonts w:ascii="Arial" w:eastAsia="Times New Roman" w:hAnsi="Arial" w:cs="Arial"/>
          <w:kern w:val="0"/>
          <w14:ligatures w14:val="none"/>
        </w:rPr>
        <w:t>LEAs</w:t>
      </w:r>
      <w:r w:rsidRPr="008270FE">
        <w:rPr>
          <w:rFonts w:ascii="Arial" w:eastAsia="Times New Roman" w:hAnsi="Arial" w:cs="Arial"/>
          <w:kern w:val="0"/>
          <w14:ligatures w14:val="none"/>
        </w:rPr>
        <w:t xml:space="preserve"> with capacity to implement Hip Hop-focused A</w:t>
      </w:r>
      <w:r w:rsidR="00FF62DF">
        <w:rPr>
          <w:rFonts w:ascii="Arial" w:eastAsia="Times New Roman" w:hAnsi="Arial" w:cs="Arial"/>
          <w:kern w:val="0"/>
          <w14:ligatures w14:val="none"/>
        </w:rPr>
        <w:t>ME</w:t>
      </w:r>
      <w:r w:rsidRPr="008270FE">
        <w:rPr>
          <w:rFonts w:ascii="Arial" w:eastAsia="Times New Roman" w:hAnsi="Arial" w:cs="Arial"/>
          <w:kern w:val="0"/>
          <w14:ligatures w14:val="none"/>
        </w:rPr>
        <w:t xml:space="preserve"> pathway programs may participate. Priority consideration is given to agencies serving Title I schools and those with demonstrated commitment to culturally responsive and sustaining pedagogy.</w:t>
      </w:r>
    </w:p>
    <w:p w14:paraId="175A7F75" w14:textId="3D1BFDF2" w:rsidR="008270FE" w:rsidRPr="008270FE" w:rsidRDefault="008270FE" w:rsidP="00933453">
      <w:pPr>
        <w:spacing w:before="240" w:after="240" w:line="240" w:lineRule="auto"/>
        <w:rPr>
          <w:rFonts w:ascii="Arial" w:eastAsia="Times New Roman" w:hAnsi="Arial" w:cs="Arial"/>
          <w:kern w:val="0"/>
          <w14:ligatures w14:val="none"/>
        </w:rPr>
      </w:pPr>
      <w:r w:rsidRPr="008270FE">
        <w:rPr>
          <w:rFonts w:ascii="Arial" w:eastAsia="Times New Roman" w:hAnsi="Arial" w:cs="Arial"/>
          <w:b/>
          <w:bCs/>
          <w:kern w:val="0"/>
          <w14:ligatures w14:val="none"/>
        </w:rPr>
        <w:t>Ongoing/Duration</w:t>
      </w:r>
      <w:r w:rsidR="00FF62DF">
        <w:rPr>
          <w:rFonts w:ascii="Arial" w:eastAsia="Times New Roman" w:hAnsi="Arial" w:cs="Arial"/>
          <w:b/>
          <w:bCs/>
          <w:kern w:val="0"/>
          <w14:ligatures w14:val="none"/>
        </w:rPr>
        <w:t>:</w:t>
      </w:r>
      <w:r w:rsidRPr="008270FE">
        <w:rPr>
          <w:rFonts w:ascii="Arial" w:eastAsia="Times New Roman" w:hAnsi="Arial" w:cs="Arial"/>
          <w:kern w:val="0"/>
          <w14:ligatures w14:val="none"/>
        </w:rPr>
        <w:t xml:space="preserve"> H2E2 operates as an ongoing program</w:t>
      </w:r>
      <w:r w:rsidR="00FF62DF">
        <w:rPr>
          <w:rFonts w:ascii="Arial" w:eastAsia="Times New Roman" w:hAnsi="Arial" w:cs="Arial"/>
          <w:kern w:val="0"/>
          <w14:ligatures w14:val="none"/>
        </w:rPr>
        <w:t>,</w:t>
      </w:r>
      <w:r w:rsidRPr="008270FE">
        <w:rPr>
          <w:rFonts w:ascii="Arial" w:eastAsia="Times New Roman" w:hAnsi="Arial" w:cs="Arial"/>
          <w:kern w:val="0"/>
          <w14:ligatures w14:val="none"/>
        </w:rPr>
        <w:t xml:space="preserve"> funded through the C</w:t>
      </w:r>
      <w:r w:rsidR="00FF62DF">
        <w:rPr>
          <w:rFonts w:ascii="Arial" w:eastAsia="Times New Roman" w:hAnsi="Arial" w:cs="Arial"/>
          <w:kern w:val="0"/>
          <w14:ligatures w14:val="none"/>
        </w:rPr>
        <w:t>TEI</w:t>
      </w:r>
      <w:r w:rsidRPr="008270FE">
        <w:rPr>
          <w:rFonts w:ascii="Arial" w:eastAsia="Times New Roman" w:hAnsi="Arial" w:cs="Arial"/>
          <w:kern w:val="0"/>
          <w14:ligatures w14:val="none"/>
        </w:rPr>
        <w:t>. The program provides continued support to participating</w:t>
      </w:r>
      <w:r w:rsidR="00FF62DF">
        <w:rPr>
          <w:rFonts w:ascii="Arial" w:eastAsia="Times New Roman" w:hAnsi="Arial" w:cs="Arial"/>
          <w:kern w:val="0"/>
          <w14:ligatures w14:val="none"/>
        </w:rPr>
        <w:t xml:space="preserve"> LEAs </w:t>
      </w:r>
      <w:r w:rsidRPr="008270FE">
        <w:rPr>
          <w:rFonts w:ascii="Arial" w:eastAsia="Times New Roman" w:hAnsi="Arial" w:cs="Arial"/>
          <w:kern w:val="0"/>
          <w14:ligatures w14:val="none"/>
        </w:rPr>
        <w:t>with focus on sustainable implementation of Hip Hop education models and teacher workforce development. Funding continues annually based on demonstrated alignment with program objectives and successful implementation of culturally responsive AME pathway programming.</w:t>
      </w:r>
    </w:p>
    <w:p w14:paraId="05D85ED5" w14:textId="383739E1" w:rsidR="008270FE" w:rsidRPr="008270FE" w:rsidRDefault="008270FE" w:rsidP="008270FE">
      <w:pPr>
        <w:spacing w:before="100" w:beforeAutospacing="1" w:after="100" w:afterAutospacing="1" w:line="240" w:lineRule="auto"/>
        <w:rPr>
          <w:rFonts w:ascii="Arial" w:eastAsia="Times New Roman" w:hAnsi="Arial" w:cs="Arial"/>
          <w:kern w:val="0"/>
          <w14:ligatures w14:val="none"/>
        </w:rPr>
      </w:pPr>
      <w:r w:rsidRPr="008270FE">
        <w:rPr>
          <w:rFonts w:ascii="Arial" w:eastAsia="Times New Roman" w:hAnsi="Arial" w:cs="Arial"/>
          <w:b/>
          <w:bCs/>
          <w:kern w:val="0"/>
          <w14:ligatures w14:val="none"/>
        </w:rPr>
        <w:t>Fiscal Year Started</w:t>
      </w:r>
      <w:r w:rsidR="00FF62DF">
        <w:rPr>
          <w:rFonts w:ascii="Arial" w:eastAsia="Times New Roman" w:hAnsi="Arial" w:cs="Arial"/>
          <w:b/>
          <w:bCs/>
          <w:kern w:val="0"/>
          <w14:ligatures w14:val="none"/>
        </w:rPr>
        <w:t>:</w:t>
      </w:r>
      <w:r w:rsidRPr="008270FE">
        <w:rPr>
          <w:rFonts w:ascii="Arial" w:eastAsia="Times New Roman" w:hAnsi="Arial" w:cs="Arial"/>
          <w:kern w:val="0"/>
          <w14:ligatures w14:val="none"/>
        </w:rPr>
        <w:t xml:space="preserve"> The initiative was officially launched in 2019.</w:t>
      </w:r>
    </w:p>
    <w:p w14:paraId="58BAD51D" w14:textId="2B8CB6D5" w:rsidR="008270FE" w:rsidRPr="008270FE" w:rsidRDefault="008270FE" w:rsidP="00933453">
      <w:pPr>
        <w:spacing w:before="240" w:after="240" w:line="240" w:lineRule="auto"/>
        <w:rPr>
          <w:rFonts w:ascii="Arial" w:eastAsia="Times New Roman" w:hAnsi="Arial" w:cs="Arial"/>
          <w:kern w:val="0"/>
          <w14:ligatures w14:val="none"/>
        </w:rPr>
      </w:pPr>
      <w:r w:rsidRPr="008270FE">
        <w:rPr>
          <w:rFonts w:ascii="Arial" w:eastAsia="Times New Roman" w:hAnsi="Arial" w:cs="Arial"/>
          <w:b/>
          <w:bCs/>
          <w:kern w:val="0"/>
          <w14:ligatures w14:val="none"/>
        </w:rPr>
        <w:t>Historical Context</w:t>
      </w:r>
      <w:r w:rsidR="00FF62DF">
        <w:rPr>
          <w:rFonts w:ascii="Arial" w:eastAsia="Times New Roman" w:hAnsi="Arial" w:cs="Arial"/>
          <w:b/>
          <w:bCs/>
          <w:kern w:val="0"/>
          <w14:ligatures w14:val="none"/>
        </w:rPr>
        <w:t>:</w:t>
      </w:r>
      <w:r w:rsidRPr="008270FE">
        <w:rPr>
          <w:rFonts w:ascii="Arial" w:eastAsia="Times New Roman" w:hAnsi="Arial" w:cs="Arial"/>
          <w:kern w:val="0"/>
          <w14:ligatures w14:val="none"/>
        </w:rPr>
        <w:t xml:space="preserve"> H2E2 now engages youth and adults working with K-transitional age youth at eight Title I schools and works with programs at county-based juvenile facilities to create school-to-career pipelines with industry partners. The program operates within California's broader commitment to creative workforce development, aligning with the Creative Workforce Act of 2021 and supporting the state's recognition </w:t>
      </w:r>
      <w:r w:rsidRPr="008270FE">
        <w:rPr>
          <w:rFonts w:ascii="Arial" w:eastAsia="Times New Roman" w:hAnsi="Arial" w:cs="Arial"/>
          <w:kern w:val="0"/>
          <w14:ligatures w14:val="none"/>
        </w:rPr>
        <w:lastRenderedPageBreak/>
        <w:t xml:space="preserve">that AME programs serve approximately 260,000 students as </w:t>
      </w:r>
      <w:r w:rsidR="00FF62DF">
        <w:rPr>
          <w:rFonts w:ascii="Arial" w:eastAsia="Times New Roman" w:hAnsi="Arial" w:cs="Arial"/>
          <w:kern w:val="0"/>
          <w14:ligatures w14:val="none"/>
        </w:rPr>
        <w:t xml:space="preserve">one of </w:t>
      </w:r>
      <w:r w:rsidRPr="008270FE">
        <w:rPr>
          <w:rFonts w:ascii="Arial" w:eastAsia="Times New Roman" w:hAnsi="Arial" w:cs="Arial"/>
          <w:kern w:val="0"/>
          <w14:ligatures w14:val="none"/>
        </w:rPr>
        <w:t>the largest</w:t>
      </w:r>
      <w:r w:rsidR="00FF62DF">
        <w:rPr>
          <w:rFonts w:ascii="Arial" w:eastAsia="Times New Roman" w:hAnsi="Arial" w:cs="Arial"/>
          <w:kern w:val="0"/>
          <w14:ligatures w14:val="none"/>
        </w:rPr>
        <w:t xml:space="preserve"> CTE</w:t>
      </w:r>
      <w:r w:rsidRPr="008270FE">
        <w:rPr>
          <w:rFonts w:ascii="Arial" w:eastAsia="Times New Roman" w:hAnsi="Arial" w:cs="Arial"/>
          <w:kern w:val="0"/>
          <w14:ligatures w14:val="none"/>
        </w:rPr>
        <w:t xml:space="preserve"> sector</w:t>
      </w:r>
      <w:r w:rsidR="00FF62DF">
        <w:rPr>
          <w:rFonts w:ascii="Arial" w:eastAsia="Times New Roman" w:hAnsi="Arial" w:cs="Arial"/>
          <w:kern w:val="0"/>
          <w14:ligatures w14:val="none"/>
        </w:rPr>
        <w:t>s</w:t>
      </w:r>
      <w:r w:rsidRPr="008270FE">
        <w:rPr>
          <w:rFonts w:ascii="Arial" w:eastAsia="Times New Roman" w:hAnsi="Arial" w:cs="Arial"/>
          <w:kern w:val="0"/>
          <w14:ligatures w14:val="none"/>
        </w:rPr>
        <w:t xml:space="preserve"> in California. The initiative represents an innovative approach to addressing educational equity while preparing students for careers in California's significant creative economy through culturally sustaining pedagogical practices.</w:t>
      </w:r>
    </w:p>
    <w:p w14:paraId="7C4A7A34" w14:textId="4B985930" w:rsidR="00FF62DF" w:rsidRPr="002A4623" w:rsidRDefault="00FF62DF" w:rsidP="00FF62DF">
      <w:pPr>
        <w:spacing w:before="240" w:after="240"/>
        <w:rPr>
          <w:rFonts w:ascii="Arial" w:hAnsi="Arial" w:cs="Arial"/>
        </w:rPr>
      </w:pPr>
      <w:r w:rsidRPr="002A4623">
        <w:rPr>
          <w:rFonts w:ascii="Arial" w:hAnsi="Arial" w:cs="Arial"/>
          <w:b/>
          <w:bCs/>
        </w:rPr>
        <w:t xml:space="preserve">Anticipated Funding: </w:t>
      </w:r>
      <w:r w:rsidRPr="002A4623">
        <w:rPr>
          <w:rFonts w:ascii="Arial" w:hAnsi="Arial" w:cs="Arial"/>
        </w:rPr>
        <w:t>In</w:t>
      </w:r>
      <w:r w:rsidRPr="002A4623">
        <w:rPr>
          <w:rFonts w:ascii="Arial" w:hAnsi="Arial" w:cs="Arial"/>
          <w:b/>
          <w:bCs/>
        </w:rPr>
        <w:t xml:space="preserve"> </w:t>
      </w:r>
      <w:r w:rsidRPr="002A4623">
        <w:rPr>
          <w:rFonts w:ascii="Arial" w:hAnsi="Arial" w:cs="Arial"/>
        </w:rPr>
        <w:t>FY 2025–26 the granted funding level was $</w:t>
      </w:r>
      <w:r>
        <w:rPr>
          <w:rFonts w:ascii="Arial" w:hAnsi="Arial" w:cs="Arial"/>
        </w:rPr>
        <w:t>120</w:t>
      </w:r>
      <w:r w:rsidRPr="002A4623">
        <w:rPr>
          <w:rFonts w:ascii="Arial" w:hAnsi="Arial" w:cs="Arial"/>
        </w:rPr>
        <w:t>,000. For FY 2026–27 the CDE does not anticipate a change from this amount.</w:t>
      </w:r>
    </w:p>
    <w:p w14:paraId="2EF358B6" w14:textId="6F9730C7" w:rsidR="0063277C" w:rsidRPr="002A4623" w:rsidRDefault="0063277C" w:rsidP="00FF62DF">
      <w:pPr>
        <w:pStyle w:val="Heading3"/>
      </w:pPr>
      <w:bookmarkStart w:id="11" w:name="_Toc209166959"/>
      <w:r w:rsidRPr="002A4623">
        <w:t>A</w:t>
      </w:r>
      <w:r w:rsidR="00FF62DF">
        <w:t xml:space="preserve">rts, </w:t>
      </w:r>
      <w:r w:rsidRPr="002A4623">
        <w:t>M</w:t>
      </w:r>
      <w:r w:rsidR="00FF62DF">
        <w:t xml:space="preserve">edia, and </w:t>
      </w:r>
      <w:r w:rsidRPr="002A4623">
        <w:t>E</w:t>
      </w:r>
      <w:r w:rsidR="00FF62DF">
        <w:t xml:space="preserve">ntertainment – </w:t>
      </w:r>
      <w:r w:rsidRPr="002A4623">
        <w:t>Workforce Training</w:t>
      </w:r>
      <w:bookmarkEnd w:id="11"/>
    </w:p>
    <w:p w14:paraId="440F0CA0" w14:textId="312862B3" w:rsidR="0063277C" w:rsidRPr="002A4623" w:rsidRDefault="0063277C" w:rsidP="00345B55">
      <w:pPr>
        <w:spacing w:before="240" w:after="240"/>
        <w:rPr>
          <w:rFonts w:ascii="Arial" w:hAnsi="Arial" w:cs="Arial"/>
        </w:rPr>
      </w:pPr>
      <w:r w:rsidRPr="002A4623">
        <w:rPr>
          <w:rFonts w:ascii="Arial" w:hAnsi="Arial" w:cs="Arial"/>
          <w:b/>
          <w:bCs/>
        </w:rPr>
        <w:t>Program Overview</w:t>
      </w:r>
      <w:r w:rsidR="00D20912">
        <w:rPr>
          <w:rFonts w:ascii="Arial" w:hAnsi="Arial" w:cs="Arial"/>
          <w:b/>
          <w:bCs/>
        </w:rPr>
        <w:t>:</w:t>
      </w:r>
      <w:r w:rsidRPr="002A4623">
        <w:rPr>
          <w:rFonts w:ascii="Arial" w:hAnsi="Arial" w:cs="Arial"/>
        </w:rPr>
        <w:t xml:space="preserve"> AME Workforce Training programs create direct connections between high school </w:t>
      </w:r>
      <w:r w:rsidR="008A6E8E">
        <w:rPr>
          <w:rFonts w:ascii="Arial" w:hAnsi="Arial" w:cs="Arial"/>
        </w:rPr>
        <w:t>CTE</w:t>
      </w:r>
      <w:r w:rsidRPr="002A4623">
        <w:rPr>
          <w:rFonts w:ascii="Arial" w:hAnsi="Arial" w:cs="Arial"/>
        </w:rPr>
        <w:t xml:space="preserve"> and industry training opportunities, with specific focus on registered youth apprenticeships and work</w:t>
      </w:r>
      <w:r w:rsidR="009A1C16">
        <w:rPr>
          <w:rFonts w:ascii="Arial" w:hAnsi="Arial" w:cs="Arial"/>
        </w:rPr>
        <w:t>-</w:t>
      </w:r>
      <w:r w:rsidRPr="002A4623">
        <w:rPr>
          <w:rFonts w:ascii="Arial" w:hAnsi="Arial" w:cs="Arial"/>
        </w:rPr>
        <w:t xml:space="preserve">based learning in </w:t>
      </w:r>
      <w:r w:rsidR="00452DA0">
        <w:rPr>
          <w:rFonts w:ascii="Arial" w:hAnsi="Arial" w:cs="Arial"/>
        </w:rPr>
        <w:t>AME</w:t>
      </w:r>
      <w:r w:rsidRPr="002A4623">
        <w:rPr>
          <w:rFonts w:ascii="Arial" w:hAnsi="Arial" w:cs="Arial"/>
        </w:rPr>
        <w:t xml:space="preserve"> sectors. The program emphasizes practical skill development and industry</w:t>
      </w:r>
      <w:r w:rsidR="009A1C16">
        <w:rPr>
          <w:rFonts w:ascii="Arial" w:hAnsi="Arial" w:cs="Arial"/>
        </w:rPr>
        <w:t>-</w:t>
      </w:r>
      <w:r w:rsidRPr="002A4623">
        <w:rPr>
          <w:rFonts w:ascii="Arial" w:hAnsi="Arial" w:cs="Arial"/>
        </w:rPr>
        <w:t>recognized credentials that prepare students for immediate employment or continued education.</w:t>
      </w:r>
    </w:p>
    <w:p w14:paraId="489F188E" w14:textId="1C0A95EA" w:rsidR="0063277C" w:rsidRPr="002A4623" w:rsidRDefault="0063277C" w:rsidP="00345B55">
      <w:pPr>
        <w:spacing w:before="240" w:after="240"/>
        <w:rPr>
          <w:rFonts w:ascii="Arial" w:hAnsi="Arial" w:cs="Arial"/>
        </w:rPr>
      </w:pPr>
      <w:r w:rsidRPr="002A4623">
        <w:rPr>
          <w:rFonts w:ascii="Arial" w:hAnsi="Arial" w:cs="Arial"/>
          <w:b/>
          <w:bCs/>
        </w:rPr>
        <w:t>Process for Funding Consideration</w:t>
      </w:r>
      <w:r w:rsidR="00D20912">
        <w:rPr>
          <w:rFonts w:ascii="Arial" w:hAnsi="Arial" w:cs="Arial"/>
          <w:b/>
          <w:bCs/>
        </w:rPr>
        <w:t>:</w:t>
      </w:r>
      <w:r w:rsidRPr="002A4623">
        <w:rPr>
          <w:rFonts w:ascii="Arial" w:hAnsi="Arial" w:cs="Arial"/>
        </w:rPr>
        <w:t xml:space="preserve"> The program operates through a non</w:t>
      </w:r>
      <w:r w:rsidR="00D01A2E">
        <w:rPr>
          <w:rFonts w:ascii="Arial" w:hAnsi="Arial" w:cs="Arial"/>
        </w:rPr>
        <w:t>-</w:t>
      </w:r>
      <w:r w:rsidRPr="002A4623">
        <w:rPr>
          <w:rFonts w:ascii="Arial" w:hAnsi="Arial" w:cs="Arial"/>
        </w:rPr>
        <w:t xml:space="preserve">competitive selection process for </w:t>
      </w:r>
      <w:r w:rsidR="00D20912">
        <w:rPr>
          <w:rFonts w:ascii="Arial" w:hAnsi="Arial" w:cs="Arial"/>
        </w:rPr>
        <w:t>LEAs</w:t>
      </w:r>
      <w:r w:rsidRPr="002A4623">
        <w:rPr>
          <w:rFonts w:ascii="Arial" w:hAnsi="Arial" w:cs="Arial"/>
        </w:rPr>
        <w:t xml:space="preserve"> that demonstrate capacity to develop articulated course sequences and establish meaningful work</w:t>
      </w:r>
      <w:r w:rsidR="00D01A2E">
        <w:rPr>
          <w:rFonts w:ascii="Arial" w:hAnsi="Arial" w:cs="Arial"/>
        </w:rPr>
        <w:t>-</w:t>
      </w:r>
      <w:r w:rsidRPr="002A4623">
        <w:rPr>
          <w:rFonts w:ascii="Arial" w:hAnsi="Arial" w:cs="Arial"/>
        </w:rPr>
        <w:t>based learning experiences. Agencies must show evidence of industry connections, ability to create pathway certifications, and commitment to connecting students with registered youth apprenticeship programs. Annual Letters of Intent demonstrate continued alignment with program objectives and industry partnership maintenance.</w:t>
      </w:r>
    </w:p>
    <w:p w14:paraId="1A7DE2A5" w14:textId="16458528" w:rsidR="0063277C" w:rsidRPr="002A4623" w:rsidRDefault="0063277C" w:rsidP="00345B55">
      <w:pPr>
        <w:spacing w:before="240" w:after="240"/>
        <w:rPr>
          <w:rFonts w:ascii="Arial" w:hAnsi="Arial" w:cs="Arial"/>
        </w:rPr>
      </w:pPr>
      <w:r w:rsidRPr="002A4623">
        <w:rPr>
          <w:rFonts w:ascii="Arial" w:hAnsi="Arial" w:cs="Arial"/>
          <w:b/>
          <w:bCs/>
        </w:rPr>
        <w:t>Purpose of the Grant</w:t>
      </w:r>
      <w:r w:rsidR="00D20912">
        <w:rPr>
          <w:rFonts w:ascii="Arial" w:hAnsi="Arial" w:cs="Arial"/>
          <w:b/>
          <w:bCs/>
        </w:rPr>
        <w:t>:</w:t>
      </w:r>
      <w:r w:rsidRPr="002A4623">
        <w:rPr>
          <w:rFonts w:ascii="Arial" w:hAnsi="Arial" w:cs="Arial"/>
        </w:rPr>
        <w:t xml:space="preserve"> AME Workforce Training develops articulated course sequences that connect high school programs to industry training, establishes work</w:t>
      </w:r>
      <w:r w:rsidR="00D20912">
        <w:rPr>
          <w:rFonts w:ascii="Arial" w:hAnsi="Arial" w:cs="Arial"/>
        </w:rPr>
        <w:t>-</w:t>
      </w:r>
      <w:r w:rsidRPr="002A4623">
        <w:rPr>
          <w:rFonts w:ascii="Arial" w:hAnsi="Arial" w:cs="Arial"/>
        </w:rPr>
        <w:t>based learning experiences and internship opportunities, creates publicly available curriculum content and materials, and connects students to registered youth apprenticeship programs. The program emphasizes practical skill development and industry</w:t>
      </w:r>
      <w:r w:rsidR="00D01A2E">
        <w:rPr>
          <w:rFonts w:ascii="Arial" w:hAnsi="Arial" w:cs="Arial"/>
        </w:rPr>
        <w:t>-</w:t>
      </w:r>
      <w:r w:rsidRPr="002A4623">
        <w:rPr>
          <w:rFonts w:ascii="Arial" w:hAnsi="Arial" w:cs="Arial"/>
        </w:rPr>
        <w:t>recognized pathway certifications that provide students with clear routes to career advancement.</w:t>
      </w:r>
    </w:p>
    <w:p w14:paraId="6A6C8C5C" w14:textId="7E8EAFD0" w:rsidR="0063277C" w:rsidRPr="002A4623" w:rsidRDefault="0063277C" w:rsidP="00345B55">
      <w:pPr>
        <w:spacing w:before="240" w:after="240"/>
        <w:rPr>
          <w:rFonts w:ascii="Arial" w:hAnsi="Arial" w:cs="Arial"/>
        </w:rPr>
      </w:pPr>
      <w:r w:rsidRPr="002A4623">
        <w:rPr>
          <w:rFonts w:ascii="Arial" w:hAnsi="Arial" w:cs="Arial"/>
          <w:b/>
          <w:bCs/>
        </w:rPr>
        <w:t>Eligible Entities</w:t>
      </w:r>
      <w:r w:rsidR="00F6554D">
        <w:rPr>
          <w:rFonts w:ascii="Arial" w:hAnsi="Arial" w:cs="Arial"/>
          <w:b/>
          <w:bCs/>
        </w:rPr>
        <w:t>:</w:t>
      </w:r>
      <w:r w:rsidRPr="002A4623">
        <w:rPr>
          <w:rFonts w:ascii="Arial" w:hAnsi="Arial" w:cs="Arial"/>
        </w:rPr>
        <w:t xml:space="preserve"> L</w:t>
      </w:r>
      <w:r w:rsidR="00F6554D">
        <w:rPr>
          <w:rFonts w:ascii="Arial" w:hAnsi="Arial" w:cs="Arial"/>
        </w:rPr>
        <w:t>EAs</w:t>
      </w:r>
      <w:r w:rsidRPr="002A4623">
        <w:rPr>
          <w:rFonts w:ascii="Arial" w:hAnsi="Arial" w:cs="Arial"/>
        </w:rPr>
        <w:t xml:space="preserve"> with demonstrated capacity to establish and maintain industry partnerships in A</w:t>
      </w:r>
      <w:r w:rsidR="00F6554D">
        <w:rPr>
          <w:rFonts w:ascii="Arial" w:hAnsi="Arial" w:cs="Arial"/>
        </w:rPr>
        <w:t>ME</w:t>
      </w:r>
      <w:r w:rsidRPr="002A4623">
        <w:rPr>
          <w:rFonts w:ascii="Arial" w:hAnsi="Arial" w:cs="Arial"/>
        </w:rPr>
        <w:t xml:space="preserve"> sectors may participate. Priority is given to agencies that can demonstrate existing connections to employers and training organizations willing to provide work</w:t>
      </w:r>
      <w:r w:rsidR="009A1C16">
        <w:rPr>
          <w:rFonts w:ascii="Arial" w:hAnsi="Arial" w:cs="Arial"/>
        </w:rPr>
        <w:t>-</w:t>
      </w:r>
      <w:r w:rsidRPr="002A4623">
        <w:rPr>
          <w:rFonts w:ascii="Arial" w:hAnsi="Arial" w:cs="Arial"/>
        </w:rPr>
        <w:t>based learning opportunities.</w:t>
      </w:r>
    </w:p>
    <w:p w14:paraId="61519D01" w14:textId="501148AB" w:rsidR="0063277C" w:rsidRPr="002A4623" w:rsidRDefault="0063277C" w:rsidP="00345B55">
      <w:pPr>
        <w:spacing w:before="240" w:after="240"/>
        <w:rPr>
          <w:rFonts w:ascii="Arial" w:hAnsi="Arial" w:cs="Arial"/>
        </w:rPr>
      </w:pPr>
      <w:r w:rsidRPr="002A4623">
        <w:rPr>
          <w:rFonts w:ascii="Arial" w:hAnsi="Arial" w:cs="Arial"/>
          <w:b/>
          <w:bCs/>
        </w:rPr>
        <w:t>Ongoing/Duration</w:t>
      </w:r>
      <w:r w:rsidR="00F6554D">
        <w:rPr>
          <w:rFonts w:ascii="Arial" w:hAnsi="Arial" w:cs="Arial"/>
          <w:b/>
          <w:bCs/>
        </w:rPr>
        <w:t>:</w:t>
      </w:r>
      <w:r w:rsidRPr="002A4623">
        <w:rPr>
          <w:rFonts w:ascii="Arial" w:hAnsi="Arial" w:cs="Arial"/>
        </w:rPr>
        <w:t xml:space="preserve"> AME Workforce Training provides ongoing funding ranging from $10,500 to $50,000 per recipient, with total program funding of $925,000.</w:t>
      </w:r>
    </w:p>
    <w:p w14:paraId="13012BAC" w14:textId="1A71EB15" w:rsidR="0063277C" w:rsidRPr="002A4623" w:rsidRDefault="0063277C" w:rsidP="00345B55">
      <w:pPr>
        <w:spacing w:before="240" w:after="240"/>
        <w:rPr>
          <w:rFonts w:ascii="Arial" w:hAnsi="Arial" w:cs="Arial"/>
        </w:rPr>
      </w:pPr>
      <w:r w:rsidRPr="002A4623">
        <w:rPr>
          <w:rFonts w:ascii="Arial" w:hAnsi="Arial" w:cs="Arial"/>
          <w:b/>
          <w:bCs/>
        </w:rPr>
        <w:t>Fiscal Year Started</w:t>
      </w:r>
      <w:r w:rsidR="00F6554D">
        <w:rPr>
          <w:rFonts w:ascii="Arial" w:hAnsi="Arial" w:cs="Arial"/>
          <w:b/>
          <w:bCs/>
        </w:rPr>
        <w:t>:</w:t>
      </w:r>
      <w:r w:rsidRPr="002A4623">
        <w:rPr>
          <w:rFonts w:ascii="Arial" w:hAnsi="Arial" w:cs="Arial"/>
        </w:rPr>
        <w:t xml:space="preserve"> Established as part of the CTEI </w:t>
      </w:r>
      <w:r w:rsidR="008A6E8E">
        <w:rPr>
          <w:rFonts w:ascii="Arial" w:hAnsi="Arial" w:cs="Arial"/>
        </w:rPr>
        <w:t>in</w:t>
      </w:r>
      <w:r w:rsidR="00F6554D">
        <w:rPr>
          <w:rFonts w:ascii="Arial" w:hAnsi="Arial" w:cs="Arial"/>
        </w:rPr>
        <w:t xml:space="preserve"> FY</w:t>
      </w:r>
      <w:r w:rsidR="008A6E8E">
        <w:rPr>
          <w:rFonts w:ascii="Arial" w:hAnsi="Arial" w:cs="Arial"/>
        </w:rPr>
        <w:t xml:space="preserve"> 2020–21</w:t>
      </w:r>
      <w:r w:rsidRPr="002A4623">
        <w:rPr>
          <w:rFonts w:ascii="Arial" w:hAnsi="Arial" w:cs="Arial"/>
        </w:rPr>
        <w:t>.</w:t>
      </w:r>
    </w:p>
    <w:p w14:paraId="0C93120A" w14:textId="755F44FD" w:rsidR="00DA3DF1" w:rsidRPr="002A4623" w:rsidRDefault="00DA3DF1" w:rsidP="00345B55">
      <w:pPr>
        <w:spacing w:before="240" w:after="240"/>
        <w:rPr>
          <w:rFonts w:ascii="Arial" w:hAnsi="Arial" w:cs="Arial"/>
        </w:rPr>
      </w:pPr>
      <w:r w:rsidRPr="002A4623">
        <w:rPr>
          <w:rFonts w:ascii="Arial" w:hAnsi="Arial" w:cs="Arial"/>
          <w:b/>
          <w:bCs/>
        </w:rPr>
        <w:lastRenderedPageBreak/>
        <w:t>Historical Context</w:t>
      </w:r>
      <w:r w:rsidR="00F6554D">
        <w:rPr>
          <w:rFonts w:ascii="Arial" w:hAnsi="Arial" w:cs="Arial"/>
          <w:b/>
          <w:bCs/>
        </w:rPr>
        <w:t>:</w:t>
      </w:r>
      <w:r w:rsidRPr="002A4623">
        <w:rPr>
          <w:rFonts w:ascii="Arial" w:hAnsi="Arial" w:cs="Arial"/>
        </w:rPr>
        <w:t xml:space="preserve"> AME Workforce Training addresses the specific need for industry</w:t>
      </w:r>
      <w:r w:rsidR="00D01A2E">
        <w:rPr>
          <w:rFonts w:ascii="Arial" w:hAnsi="Arial" w:cs="Arial"/>
        </w:rPr>
        <w:t>-</w:t>
      </w:r>
      <w:r w:rsidRPr="002A4623">
        <w:rPr>
          <w:rFonts w:ascii="Arial" w:hAnsi="Arial" w:cs="Arial"/>
        </w:rPr>
        <w:t xml:space="preserve">connected career preparation in creative sectors. The program reflects recognition that </w:t>
      </w:r>
      <w:r w:rsidR="00452DA0">
        <w:rPr>
          <w:rFonts w:ascii="Arial" w:hAnsi="Arial" w:cs="Arial"/>
        </w:rPr>
        <w:t>AME</w:t>
      </w:r>
      <w:r w:rsidRPr="002A4623">
        <w:rPr>
          <w:rFonts w:ascii="Arial" w:hAnsi="Arial" w:cs="Arial"/>
        </w:rPr>
        <w:t xml:space="preserve"> industries require specialized approaches to work</w:t>
      </w:r>
      <w:r w:rsidR="00D01A2E">
        <w:rPr>
          <w:rFonts w:ascii="Arial" w:hAnsi="Arial" w:cs="Arial"/>
        </w:rPr>
        <w:t>-</w:t>
      </w:r>
      <w:r w:rsidRPr="002A4623">
        <w:rPr>
          <w:rFonts w:ascii="Arial" w:hAnsi="Arial" w:cs="Arial"/>
        </w:rPr>
        <w:t>based learning and apprenticeship development.</w:t>
      </w:r>
    </w:p>
    <w:p w14:paraId="566A283E" w14:textId="37A89528" w:rsidR="00DA3DF1" w:rsidRPr="002A4623" w:rsidRDefault="00DA3DF1" w:rsidP="00345B55">
      <w:pPr>
        <w:spacing w:before="240" w:after="240"/>
        <w:rPr>
          <w:rFonts w:ascii="Arial" w:hAnsi="Arial" w:cs="Arial"/>
        </w:rPr>
      </w:pPr>
      <w:r w:rsidRPr="002A4623">
        <w:rPr>
          <w:rFonts w:ascii="Arial" w:hAnsi="Arial" w:cs="Arial"/>
          <w:b/>
          <w:bCs/>
        </w:rPr>
        <w:t xml:space="preserve">Anticipated Funding: </w:t>
      </w:r>
      <w:r w:rsidRPr="002A4623">
        <w:rPr>
          <w:rFonts w:ascii="Arial" w:hAnsi="Arial" w:cs="Arial"/>
        </w:rPr>
        <w:t>In</w:t>
      </w:r>
      <w:r w:rsidRPr="002A4623">
        <w:rPr>
          <w:rFonts w:ascii="Arial" w:hAnsi="Arial" w:cs="Arial"/>
          <w:b/>
          <w:bCs/>
        </w:rPr>
        <w:t xml:space="preserve"> </w:t>
      </w:r>
      <w:r w:rsidRPr="002A4623">
        <w:rPr>
          <w:rFonts w:ascii="Arial" w:hAnsi="Arial" w:cs="Arial"/>
        </w:rPr>
        <w:t>FY 2025</w:t>
      </w:r>
      <w:r w:rsidR="00491361" w:rsidRPr="002A4623">
        <w:rPr>
          <w:rFonts w:ascii="Arial" w:hAnsi="Arial" w:cs="Arial"/>
        </w:rPr>
        <w:t>–</w:t>
      </w:r>
      <w:r w:rsidRPr="002A4623">
        <w:rPr>
          <w:rFonts w:ascii="Arial" w:hAnsi="Arial" w:cs="Arial"/>
        </w:rPr>
        <w:t>26 the granted funding level was $925,000. For FY 2026</w:t>
      </w:r>
      <w:r w:rsidR="00491361" w:rsidRPr="002A4623">
        <w:rPr>
          <w:rFonts w:ascii="Arial" w:hAnsi="Arial" w:cs="Arial"/>
        </w:rPr>
        <w:t>–</w:t>
      </w:r>
      <w:r w:rsidRPr="002A4623">
        <w:rPr>
          <w:rFonts w:ascii="Arial" w:hAnsi="Arial" w:cs="Arial"/>
        </w:rPr>
        <w:t>27 the CDE does not anticipate a change from this amount.</w:t>
      </w:r>
    </w:p>
    <w:p w14:paraId="5C3F08BA" w14:textId="355434CE" w:rsidR="00D10702" w:rsidRPr="002A4623" w:rsidRDefault="00D10702" w:rsidP="00D01A2E">
      <w:pPr>
        <w:pStyle w:val="Heading3"/>
      </w:pPr>
      <w:bookmarkStart w:id="12" w:name="_Toc209166960"/>
      <w:r w:rsidRPr="002A4623">
        <w:t>California Partnership Academies</w:t>
      </w:r>
      <w:bookmarkEnd w:id="12"/>
    </w:p>
    <w:p w14:paraId="793EA5FA" w14:textId="4D5C5D87" w:rsidR="00D10702" w:rsidRPr="002A4623" w:rsidRDefault="00D10702" w:rsidP="00345B55">
      <w:pPr>
        <w:spacing w:before="240" w:after="240"/>
        <w:rPr>
          <w:rFonts w:ascii="Arial" w:hAnsi="Arial" w:cs="Arial"/>
        </w:rPr>
      </w:pPr>
      <w:r w:rsidRPr="002A4623">
        <w:rPr>
          <w:rFonts w:ascii="Arial" w:hAnsi="Arial" w:cs="Arial"/>
          <w:b/>
          <w:bCs/>
        </w:rPr>
        <w:t>Program Overview</w:t>
      </w:r>
      <w:r w:rsidR="009A1C16">
        <w:rPr>
          <w:rFonts w:ascii="Arial" w:hAnsi="Arial" w:cs="Arial"/>
          <w:b/>
          <w:bCs/>
        </w:rPr>
        <w:t>:</w:t>
      </w:r>
      <w:r w:rsidRPr="002A4623">
        <w:rPr>
          <w:rFonts w:ascii="Arial" w:hAnsi="Arial" w:cs="Arial"/>
        </w:rPr>
        <w:t xml:space="preserve"> California Partnership Academies operate as "school</w:t>
      </w:r>
      <w:r w:rsidR="009A1C16">
        <w:rPr>
          <w:rFonts w:ascii="Arial" w:hAnsi="Arial" w:cs="Arial"/>
        </w:rPr>
        <w:t>-</w:t>
      </w:r>
      <w:r w:rsidRPr="002A4623">
        <w:rPr>
          <w:rFonts w:ascii="Arial" w:hAnsi="Arial" w:cs="Arial"/>
        </w:rPr>
        <w:t>within</w:t>
      </w:r>
      <w:r w:rsidR="009A1C16">
        <w:rPr>
          <w:rFonts w:ascii="Arial" w:hAnsi="Arial" w:cs="Arial"/>
        </w:rPr>
        <w:t>-</w:t>
      </w:r>
      <w:r w:rsidRPr="002A4623">
        <w:rPr>
          <w:rFonts w:ascii="Arial" w:hAnsi="Arial" w:cs="Arial"/>
        </w:rPr>
        <w:t>a</w:t>
      </w:r>
      <w:r w:rsidR="009A1C16">
        <w:rPr>
          <w:rFonts w:ascii="Arial" w:hAnsi="Arial" w:cs="Arial"/>
        </w:rPr>
        <w:t>-</w:t>
      </w:r>
      <w:r w:rsidRPr="002A4623">
        <w:rPr>
          <w:rFonts w:ascii="Arial" w:hAnsi="Arial" w:cs="Arial"/>
        </w:rPr>
        <w:t xml:space="preserve">school" programs serving students in grades ten through twelve (10–12), representing one of the state's oldest and most established </w:t>
      </w:r>
      <w:r w:rsidR="00A4785C">
        <w:rPr>
          <w:rFonts w:ascii="Arial" w:hAnsi="Arial" w:cs="Arial"/>
        </w:rPr>
        <w:t>CTE</w:t>
      </w:r>
      <w:r w:rsidRPr="002A4623">
        <w:rPr>
          <w:rFonts w:ascii="Arial" w:hAnsi="Arial" w:cs="Arial"/>
        </w:rPr>
        <w:t xml:space="preserve"> models. The program creates small learning communities that integrate rigorous academic coursework with </w:t>
      </w:r>
      <w:r w:rsidR="008A6E8E">
        <w:rPr>
          <w:rFonts w:ascii="Arial" w:hAnsi="Arial" w:cs="Arial"/>
        </w:rPr>
        <w:t>CTE</w:t>
      </w:r>
      <w:r w:rsidRPr="002A4623">
        <w:rPr>
          <w:rFonts w:ascii="Arial" w:hAnsi="Arial" w:cs="Arial"/>
        </w:rPr>
        <w:t xml:space="preserve"> and strong business partnerships, emphasizing student achievement, attendance, and program accountability.</w:t>
      </w:r>
    </w:p>
    <w:p w14:paraId="737262ED" w14:textId="32AD6621" w:rsidR="00D10702" w:rsidRPr="002A4623" w:rsidRDefault="00D10702" w:rsidP="00345B55">
      <w:pPr>
        <w:spacing w:before="240" w:after="240"/>
        <w:rPr>
          <w:rFonts w:ascii="Arial" w:hAnsi="Arial" w:cs="Arial"/>
        </w:rPr>
      </w:pPr>
      <w:r w:rsidRPr="002A4623">
        <w:rPr>
          <w:rFonts w:ascii="Arial" w:hAnsi="Arial" w:cs="Arial"/>
          <w:b/>
          <w:bCs/>
        </w:rPr>
        <w:t>Process for Funding Consideration</w:t>
      </w:r>
      <w:r w:rsidR="009A1C16">
        <w:rPr>
          <w:rFonts w:ascii="Arial" w:hAnsi="Arial" w:cs="Arial"/>
          <w:b/>
          <w:bCs/>
        </w:rPr>
        <w:t>:</w:t>
      </w:r>
      <w:r w:rsidRPr="002A4623">
        <w:rPr>
          <w:rFonts w:ascii="Arial" w:hAnsi="Arial" w:cs="Arial"/>
        </w:rPr>
        <w:t xml:space="preserve"> CPAs receive performance</w:t>
      </w:r>
      <w:r w:rsidR="009A1C16">
        <w:rPr>
          <w:rFonts w:ascii="Arial" w:hAnsi="Arial" w:cs="Arial"/>
        </w:rPr>
        <w:t>-</w:t>
      </w:r>
      <w:r w:rsidRPr="002A4623">
        <w:rPr>
          <w:rFonts w:ascii="Arial" w:hAnsi="Arial" w:cs="Arial"/>
        </w:rPr>
        <w:t xml:space="preserve">based continuation funding contingent upon meeting specific accountability measures: maintaining 80 percent student attendance rates and 90 percent credit completion rates. Existing academies submit annual Letters of Intent committing to the CPA model as mandated in </w:t>
      </w:r>
      <w:r w:rsidRPr="009A1C16">
        <w:rPr>
          <w:rFonts w:ascii="Arial" w:hAnsi="Arial" w:cs="Arial"/>
          <w:i/>
          <w:iCs/>
        </w:rPr>
        <w:t>Education Code</w:t>
      </w:r>
      <w:r w:rsidRPr="002A4623">
        <w:rPr>
          <w:rFonts w:ascii="Arial" w:hAnsi="Arial" w:cs="Arial"/>
        </w:rPr>
        <w:t xml:space="preserve"> sections 54690–54697, along with detailed budget proposals due April 15th annually</w:t>
      </w:r>
      <w:r w:rsidR="00691448">
        <w:rPr>
          <w:rFonts w:ascii="Arial" w:hAnsi="Arial" w:cs="Arial"/>
        </w:rPr>
        <w:t>. These items are submitted via the CDE PGMS</w:t>
      </w:r>
      <w:r w:rsidRPr="002A4623">
        <w:rPr>
          <w:rFonts w:ascii="Arial" w:hAnsi="Arial" w:cs="Arial"/>
        </w:rPr>
        <w:t>. Funding decisions are based on demonstrated compliance with program requirements rather than competitive selection, reflecting the program's focus on sustaining proven models.</w:t>
      </w:r>
    </w:p>
    <w:p w14:paraId="064A08B9" w14:textId="68C8BDB1" w:rsidR="00D10702" w:rsidRPr="002A4623" w:rsidRDefault="00D10702" w:rsidP="00345B55">
      <w:pPr>
        <w:spacing w:before="240" w:after="240"/>
        <w:rPr>
          <w:rFonts w:ascii="Arial" w:hAnsi="Arial" w:cs="Arial"/>
        </w:rPr>
      </w:pPr>
      <w:r w:rsidRPr="002A4623">
        <w:rPr>
          <w:rFonts w:ascii="Arial" w:hAnsi="Arial" w:cs="Arial"/>
          <w:b/>
          <w:bCs/>
        </w:rPr>
        <w:t>Purpose of the Grant</w:t>
      </w:r>
      <w:r w:rsidR="009A1C16">
        <w:rPr>
          <w:rFonts w:ascii="Arial" w:hAnsi="Arial" w:cs="Arial"/>
          <w:b/>
          <w:bCs/>
        </w:rPr>
        <w:t>:</w:t>
      </w:r>
      <w:r w:rsidRPr="002A4623">
        <w:rPr>
          <w:rFonts w:ascii="Arial" w:hAnsi="Arial" w:cs="Arial"/>
        </w:rPr>
        <w:t xml:space="preserve"> The program establishes viable partnerships between high schools and the business community or public sector to create career</w:t>
      </w:r>
      <w:r w:rsidR="00FD4542">
        <w:rPr>
          <w:rFonts w:ascii="Arial" w:hAnsi="Arial" w:cs="Arial"/>
        </w:rPr>
        <w:t>-</w:t>
      </w:r>
      <w:r w:rsidRPr="002A4623">
        <w:rPr>
          <w:rFonts w:ascii="Arial" w:hAnsi="Arial" w:cs="Arial"/>
        </w:rPr>
        <w:t xml:space="preserve">focused learning environments. CPAs integrate academic and </w:t>
      </w:r>
      <w:r w:rsidR="008A6E8E">
        <w:rPr>
          <w:rFonts w:ascii="Arial" w:hAnsi="Arial" w:cs="Arial"/>
        </w:rPr>
        <w:t>CTE</w:t>
      </w:r>
      <w:r w:rsidRPr="002A4623">
        <w:rPr>
          <w:rFonts w:ascii="Arial" w:hAnsi="Arial" w:cs="Arial"/>
        </w:rPr>
        <w:t xml:space="preserve"> while providing students with mentorship, internship opportunities, and direct connections to postsecondary and career pathways. The model emphasizes both academic achievement and career preparation within a supportive, family</w:t>
      </w:r>
      <w:r w:rsidR="009A1C16">
        <w:rPr>
          <w:rFonts w:ascii="Arial" w:hAnsi="Arial" w:cs="Arial"/>
        </w:rPr>
        <w:t>-</w:t>
      </w:r>
      <w:r w:rsidRPr="002A4623">
        <w:rPr>
          <w:rFonts w:ascii="Arial" w:hAnsi="Arial" w:cs="Arial"/>
        </w:rPr>
        <w:t>like learning community.</w:t>
      </w:r>
    </w:p>
    <w:p w14:paraId="613D66F7" w14:textId="4DAB7167" w:rsidR="00D10702" w:rsidRPr="002A4623" w:rsidRDefault="00D10702" w:rsidP="00345B55">
      <w:pPr>
        <w:spacing w:before="240" w:after="240"/>
        <w:rPr>
          <w:rFonts w:ascii="Arial" w:hAnsi="Arial" w:cs="Arial"/>
        </w:rPr>
      </w:pPr>
      <w:r w:rsidRPr="002A4623">
        <w:rPr>
          <w:rFonts w:ascii="Arial" w:hAnsi="Arial" w:cs="Arial"/>
          <w:b/>
          <w:bCs/>
        </w:rPr>
        <w:t>Eligible Entities</w:t>
      </w:r>
      <w:r w:rsidR="009A1C16">
        <w:rPr>
          <w:rFonts w:ascii="Arial" w:hAnsi="Arial" w:cs="Arial"/>
          <w:b/>
          <w:bCs/>
        </w:rPr>
        <w:t>:</w:t>
      </w:r>
      <w:r w:rsidRPr="002A4623">
        <w:rPr>
          <w:rFonts w:ascii="Arial" w:hAnsi="Arial" w:cs="Arial"/>
        </w:rPr>
        <w:t xml:space="preserve"> L</w:t>
      </w:r>
      <w:r w:rsidR="009A1C16">
        <w:rPr>
          <w:rFonts w:ascii="Arial" w:hAnsi="Arial" w:cs="Arial"/>
        </w:rPr>
        <w:t>EAs</w:t>
      </w:r>
      <w:r w:rsidRPr="002A4623">
        <w:rPr>
          <w:rFonts w:ascii="Arial" w:hAnsi="Arial" w:cs="Arial"/>
        </w:rPr>
        <w:t xml:space="preserve"> may operate </w:t>
      </w:r>
      <w:r w:rsidR="009A1C16">
        <w:rPr>
          <w:rFonts w:ascii="Arial" w:hAnsi="Arial" w:cs="Arial"/>
        </w:rPr>
        <w:t>CPAs</w:t>
      </w:r>
      <w:r w:rsidRPr="002A4623">
        <w:rPr>
          <w:rFonts w:ascii="Arial" w:hAnsi="Arial" w:cs="Arial"/>
        </w:rPr>
        <w:t>, with the program currently supporting 340 funded academies statewide. At least 50 percent of students in each academy must meet "at</w:t>
      </w:r>
      <w:r w:rsidR="00FD4542">
        <w:rPr>
          <w:rFonts w:ascii="Arial" w:hAnsi="Arial" w:cs="Arial"/>
        </w:rPr>
        <w:t>-</w:t>
      </w:r>
      <w:r w:rsidRPr="002A4623">
        <w:rPr>
          <w:rFonts w:ascii="Arial" w:hAnsi="Arial" w:cs="Arial"/>
        </w:rPr>
        <w:t>promise" criteria, while participation remains voluntary based on demonstrated student need and interest.</w:t>
      </w:r>
    </w:p>
    <w:p w14:paraId="0BA3EFB2" w14:textId="4133C05A" w:rsidR="00D10702" w:rsidRPr="002A4623" w:rsidRDefault="00D10702" w:rsidP="00345B55">
      <w:pPr>
        <w:spacing w:before="240" w:after="240"/>
        <w:rPr>
          <w:rFonts w:ascii="Arial" w:hAnsi="Arial" w:cs="Arial"/>
        </w:rPr>
      </w:pPr>
      <w:r w:rsidRPr="002A4623">
        <w:rPr>
          <w:rFonts w:ascii="Arial" w:hAnsi="Arial" w:cs="Arial"/>
          <w:b/>
          <w:bCs/>
        </w:rPr>
        <w:t>Ongoing/Duration</w:t>
      </w:r>
      <w:r w:rsidR="00691448">
        <w:rPr>
          <w:rFonts w:ascii="Arial" w:hAnsi="Arial" w:cs="Arial"/>
          <w:b/>
          <w:bCs/>
        </w:rPr>
        <w:t>:</w:t>
      </w:r>
      <w:r w:rsidRPr="002A4623">
        <w:rPr>
          <w:rFonts w:ascii="Arial" w:hAnsi="Arial" w:cs="Arial"/>
        </w:rPr>
        <w:t xml:space="preserve"> CPAs operate as ongoing programs with annual funding renewals based on performance metrics. The three</w:t>
      </w:r>
      <w:r w:rsidR="00FD4542">
        <w:rPr>
          <w:rFonts w:ascii="Arial" w:hAnsi="Arial" w:cs="Arial"/>
        </w:rPr>
        <w:t>-</w:t>
      </w:r>
      <w:r w:rsidRPr="002A4623">
        <w:rPr>
          <w:rFonts w:ascii="Arial" w:hAnsi="Arial" w:cs="Arial"/>
        </w:rPr>
        <w:t xml:space="preserve">year program structure (grades 10–12) requires sustained partnerships with business community and demonstrated student </w:t>
      </w:r>
      <w:r w:rsidRPr="002A4623">
        <w:rPr>
          <w:rFonts w:ascii="Arial" w:hAnsi="Arial" w:cs="Arial"/>
        </w:rPr>
        <w:lastRenderedPageBreak/>
        <w:t>outcomes to maintain funding eligibility. Academies must secure 100 percent matching funds from both their district and business partners.</w:t>
      </w:r>
    </w:p>
    <w:p w14:paraId="2B2F2A99" w14:textId="796717A8" w:rsidR="00D10702" w:rsidRPr="002A4623" w:rsidRDefault="00D10702" w:rsidP="00345B55">
      <w:pPr>
        <w:spacing w:before="240" w:after="240"/>
        <w:rPr>
          <w:rFonts w:ascii="Arial" w:hAnsi="Arial" w:cs="Arial"/>
        </w:rPr>
      </w:pPr>
      <w:r w:rsidRPr="002A4623">
        <w:rPr>
          <w:rFonts w:ascii="Arial" w:hAnsi="Arial" w:cs="Arial"/>
          <w:b/>
          <w:bCs/>
        </w:rPr>
        <w:t>Fiscal Year Started</w:t>
      </w:r>
      <w:r w:rsidR="00691448">
        <w:rPr>
          <w:rFonts w:ascii="Arial" w:hAnsi="Arial" w:cs="Arial"/>
          <w:b/>
          <w:bCs/>
        </w:rPr>
        <w:t>:</w:t>
      </w:r>
      <w:r w:rsidRPr="002A4623">
        <w:rPr>
          <w:rFonts w:ascii="Arial" w:hAnsi="Arial" w:cs="Arial"/>
        </w:rPr>
        <w:t xml:space="preserve"> Established in 1984, the Partnership Academy model originated from the Philadelphia Academies concept of the late 1960s and represents nearly four decades of refinement in California.</w:t>
      </w:r>
    </w:p>
    <w:p w14:paraId="4B820C7E" w14:textId="03037581" w:rsidR="00D10702" w:rsidRPr="002A4623" w:rsidRDefault="00D10702" w:rsidP="00345B55">
      <w:pPr>
        <w:spacing w:before="240" w:after="240"/>
        <w:rPr>
          <w:rFonts w:ascii="Arial" w:hAnsi="Arial" w:cs="Arial"/>
        </w:rPr>
      </w:pPr>
      <w:r w:rsidRPr="002A4623">
        <w:rPr>
          <w:rFonts w:ascii="Arial" w:hAnsi="Arial" w:cs="Arial"/>
          <w:b/>
          <w:bCs/>
        </w:rPr>
        <w:t>Historical Context</w:t>
      </w:r>
      <w:r w:rsidR="00691448">
        <w:rPr>
          <w:rFonts w:ascii="Arial" w:hAnsi="Arial" w:cs="Arial"/>
          <w:b/>
          <w:bCs/>
        </w:rPr>
        <w:t>:</w:t>
      </w:r>
      <w:r w:rsidRPr="002A4623">
        <w:rPr>
          <w:rFonts w:ascii="Arial" w:hAnsi="Arial" w:cs="Arial"/>
        </w:rPr>
        <w:t xml:space="preserve"> The program has maintained stable funding through various economic cycles, demonstrating legislative confidence in its effectiveness and return on investment.</w:t>
      </w:r>
    </w:p>
    <w:p w14:paraId="202F5DCF" w14:textId="36BF97E0" w:rsidR="00345B55" w:rsidRPr="002A4623" w:rsidRDefault="00D10702" w:rsidP="00345B55">
      <w:pPr>
        <w:spacing w:before="240" w:after="240"/>
        <w:rPr>
          <w:rFonts w:ascii="Arial" w:hAnsi="Arial" w:cs="Arial"/>
        </w:rPr>
        <w:sectPr w:rsidR="00345B55" w:rsidRPr="002A4623">
          <w:pgSz w:w="12240" w:h="15840"/>
          <w:pgMar w:top="1440" w:right="1440" w:bottom="1440" w:left="1440" w:header="720" w:footer="720" w:gutter="0"/>
          <w:cols w:space="720"/>
          <w:docGrid w:linePitch="360"/>
        </w:sectPr>
      </w:pPr>
      <w:r w:rsidRPr="002A4623">
        <w:rPr>
          <w:rFonts w:ascii="Arial" w:hAnsi="Arial" w:cs="Arial"/>
          <w:b/>
          <w:bCs/>
        </w:rPr>
        <w:t xml:space="preserve">Anticipated Funding: </w:t>
      </w:r>
      <w:r w:rsidRPr="002A4623">
        <w:rPr>
          <w:rFonts w:ascii="Arial" w:hAnsi="Arial" w:cs="Arial"/>
        </w:rPr>
        <w:t>In</w:t>
      </w:r>
      <w:r w:rsidRPr="002A4623">
        <w:rPr>
          <w:rFonts w:ascii="Arial" w:hAnsi="Arial" w:cs="Arial"/>
          <w:b/>
          <w:bCs/>
        </w:rPr>
        <w:t xml:space="preserve"> </w:t>
      </w:r>
      <w:r w:rsidRPr="002A4623">
        <w:rPr>
          <w:rFonts w:ascii="Arial" w:hAnsi="Arial" w:cs="Arial"/>
        </w:rPr>
        <w:t xml:space="preserve">FY 2025–26 the granted funding level </w:t>
      </w:r>
      <w:r w:rsidR="009A1C16">
        <w:rPr>
          <w:rFonts w:ascii="Arial" w:hAnsi="Arial" w:cs="Arial"/>
        </w:rPr>
        <w:t xml:space="preserve">between all grant sources (Prop 98 and CTEI) </w:t>
      </w:r>
      <w:r w:rsidRPr="002A4623">
        <w:rPr>
          <w:rFonts w:ascii="Arial" w:hAnsi="Arial" w:cs="Arial"/>
        </w:rPr>
        <w:t>was $</w:t>
      </w:r>
      <w:r w:rsidR="009A1C16">
        <w:rPr>
          <w:rFonts w:ascii="Arial" w:hAnsi="Arial" w:cs="Arial"/>
        </w:rPr>
        <w:t>28</w:t>
      </w:r>
      <w:r w:rsidRPr="002A4623">
        <w:rPr>
          <w:rFonts w:ascii="Arial" w:hAnsi="Arial" w:cs="Arial"/>
        </w:rPr>
        <w:t xml:space="preserve"> million. For FY 20</w:t>
      </w:r>
      <w:r w:rsidR="00345B55" w:rsidRPr="002A4623">
        <w:rPr>
          <w:rFonts w:ascii="Arial" w:hAnsi="Arial" w:cs="Arial"/>
        </w:rPr>
        <w:t>26–27 the CDE does not anticipate a change from this amount.</w:t>
      </w:r>
    </w:p>
    <w:p w14:paraId="69968C81" w14:textId="3431805C" w:rsidR="00491361" w:rsidRPr="002A4623" w:rsidRDefault="00491361" w:rsidP="00933453">
      <w:pPr>
        <w:pStyle w:val="Heading2"/>
        <w:spacing w:before="240" w:after="240"/>
      </w:pPr>
      <w:bookmarkStart w:id="13" w:name="_Toc209166961"/>
      <w:r w:rsidRPr="002A4623">
        <w:lastRenderedPageBreak/>
        <w:t xml:space="preserve">Historical Funding Levels for the </w:t>
      </w:r>
      <w:r w:rsidRPr="00FC1F38">
        <w:t>California</w:t>
      </w:r>
      <w:r w:rsidRPr="002A4623">
        <w:t xml:space="preserve"> CTE Grants</w:t>
      </w:r>
      <w:bookmarkEnd w:id="13"/>
    </w:p>
    <w:p w14:paraId="0A27D683" w14:textId="5E92C983" w:rsidR="00491361" w:rsidRPr="002A4623" w:rsidRDefault="00491361" w:rsidP="00345B55">
      <w:pPr>
        <w:spacing w:before="240" w:after="240"/>
        <w:rPr>
          <w:rFonts w:ascii="Arial" w:hAnsi="Arial" w:cs="Arial"/>
        </w:rPr>
      </w:pPr>
      <w:r w:rsidRPr="002A4623">
        <w:rPr>
          <w:rFonts w:ascii="Arial" w:hAnsi="Arial" w:cs="Arial"/>
        </w:rPr>
        <w:t>The following table represents the historical funding levels for the ongoing California CTE grants beginning with 2017 up to today.</w:t>
      </w:r>
    </w:p>
    <w:tbl>
      <w:tblPr>
        <w:tblStyle w:val="TableGrid"/>
        <w:tblW w:w="15088" w:type="dxa"/>
        <w:tblInd w:w="-995" w:type="dxa"/>
        <w:tblLook w:val="04A0" w:firstRow="1" w:lastRow="0" w:firstColumn="1" w:lastColumn="0" w:noHBand="0" w:noVBand="1"/>
        <w:tblDescription w:val="CTE Program Historical Funding by Year"/>
      </w:tblPr>
      <w:tblGrid>
        <w:gridCol w:w="2304"/>
        <w:gridCol w:w="1598"/>
        <w:gridCol w:w="1598"/>
        <w:gridCol w:w="1598"/>
        <w:gridCol w:w="1598"/>
        <w:gridCol w:w="1598"/>
        <w:gridCol w:w="1598"/>
        <w:gridCol w:w="1598"/>
        <w:gridCol w:w="1598"/>
      </w:tblGrid>
      <w:tr w:rsidR="00681F65" w:rsidRPr="002A4623" w14:paraId="5745CA21" w14:textId="1A8F9B88" w:rsidTr="00DF58C4">
        <w:trPr>
          <w:cantSplit/>
          <w:trHeight w:val="576"/>
          <w:tblHeader/>
        </w:trPr>
        <w:tc>
          <w:tcPr>
            <w:tcW w:w="2304" w:type="dxa"/>
            <w:shd w:val="clear" w:color="auto" w:fill="D9D9D9" w:themeFill="background1" w:themeFillShade="D9"/>
            <w:vAlign w:val="center"/>
          </w:tcPr>
          <w:p w14:paraId="1FB0D51C" w14:textId="11C8E943" w:rsidR="00D10702" w:rsidRPr="002A4623" w:rsidRDefault="00D10702" w:rsidP="006B284C">
            <w:pPr>
              <w:jc w:val="center"/>
              <w:rPr>
                <w:rFonts w:ascii="Arial" w:hAnsi="Arial" w:cs="Arial"/>
                <w:b/>
                <w:bCs/>
              </w:rPr>
            </w:pPr>
            <w:r w:rsidRPr="002A4623">
              <w:rPr>
                <w:rFonts w:ascii="Arial" w:hAnsi="Arial" w:cs="Arial"/>
                <w:b/>
                <w:bCs/>
              </w:rPr>
              <w:t>Grant Type</w:t>
            </w:r>
          </w:p>
        </w:tc>
        <w:tc>
          <w:tcPr>
            <w:tcW w:w="1598" w:type="dxa"/>
            <w:shd w:val="clear" w:color="auto" w:fill="D9D9D9" w:themeFill="background1" w:themeFillShade="D9"/>
            <w:vAlign w:val="center"/>
          </w:tcPr>
          <w:p w14:paraId="5DEC448C" w14:textId="0890B842" w:rsidR="00D10702" w:rsidRPr="002A4623" w:rsidRDefault="00D10702" w:rsidP="00B06E28">
            <w:pPr>
              <w:jc w:val="center"/>
              <w:rPr>
                <w:rFonts w:ascii="Arial" w:hAnsi="Arial" w:cs="Arial"/>
                <w:b/>
                <w:bCs/>
              </w:rPr>
            </w:pPr>
            <w:r w:rsidRPr="002A4623">
              <w:rPr>
                <w:rFonts w:ascii="Arial" w:hAnsi="Arial" w:cs="Arial"/>
                <w:b/>
                <w:bCs/>
              </w:rPr>
              <w:t>2017–18</w:t>
            </w:r>
          </w:p>
        </w:tc>
        <w:tc>
          <w:tcPr>
            <w:tcW w:w="1598" w:type="dxa"/>
            <w:shd w:val="clear" w:color="auto" w:fill="D9D9D9" w:themeFill="background1" w:themeFillShade="D9"/>
            <w:vAlign w:val="center"/>
          </w:tcPr>
          <w:p w14:paraId="4C0EA399" w14:textId="270D1D1D" w:rsidR="00D10702" w:rsidRPr="002A4623" w:rsidRDefault="00D10702" w:rsidP="00B06E28">
            <w:pPr>
              <w:jc w:val="center"/>
              <w:rPr>
                <w:rFonts w:ascii="Arial" w:hAnsi="Arial" w:cs="Arial"/>
                <w:b/>
                <w:bCs/>
              </w:rPr>
            </w:pPr>
            <w:r w:rsidRPr="002A4623">
              <w:rPr>
                <w:rFonts w:ascii="Arial" w:hAnsi="Arial" w:cs="Arial"/>
                <w:b/>
                <w:bCs/>
              </w:rPr>
              <w:t>2018–19</w:t>
            </w:r>
          </w:p>
        </w:tc>
        <w:tc>
          <w:tcPr>
            <w:tcW w:w="1598" w:type="dxa"/>
            <w:shd w:val="clear" w:color="auto" w:fill="D9D9D9" w:themeFill="background1" w:themeFillShade="D9"/>
            <w:vAlign w:val="center"/>
          </w:tcPr>
          <w:p w14:paraId="68A6FE45" w14:textId="78168812" w:rsidR="00D10702" w:rsidRPr="002A4623" w:rsidRDefault="00D10702" w:rsidP="00B06E28">
            <w:pPr>
              <w:jc w:val="center"/>
              <w:rPr>
                <w:rFonts w:ascii="Arial" w:hAnsi="Arial" w:cs="Arial"/>
                <w:b/>
                <w:bCs/>
              </w:rPr>
            </w:pPr>
            <w:r w:rsidRPr="002A4623">
              <w:rPr>
                <w:rFonts w:ascii="Arial" w:hAnsi="Arial" w:cs="Arial"/>
                <w:b/>
                <w:bCs/>
              </w:rPr>
              <w:t>2019–20</w:t>
            </w:r>
          </w:p>
        </w:tc>
        <w:tc>
          <w:tcPr>
            <w:tcW w:w="1598" w:type="dxa"/>
            <w:shd w:val="clear" w:color="auto" w:fill="D9D9D9" w:themeFill="background1" w:themeFillShade="D9"/>
            <w:vAlign w:val="center"/>
          </w:tcPr>
          <w:p w14:paraId="6975872A" w14:textId="26EEED88" w:rsidR="00D10702" w:rsidRPr="002A4623" w:rsidRDefault="00D10702" w:rsidP="00B06E28">
            <w:pPr>
              <w:jc w:val="center"/>
              <w:rPr>
                <w:rFonts w:ascii="Arial" w:hAnsi="Arial" w:cs="Arial"/>
                <w:b/>
                <w:bCs/>
              </w:rPr>
            </w:pPr>
            <w:r w:rsidRPr="002A4623">
              <w:rPr>
                <w:rFonts w:ascii="Arial" w:hAnsi="Arial" w:cs="Arial"/>
                <w:b/>
                <w:bCs/>
              </w:rPr>
              <w:t>2020–21</w:t>
            </w:r>
          </w:p>
        </w:tc>
        <w:tc>
          <w:tcPr>
            <w:tcW w:w="1598" w:type="dxa"/>
            <w:shd w:val="clear" w:color="auto" w:fill="D9D9D9" w:themeFill="background1" w:themeFillShade="D9"/>
            <w:vAlign w:val="center"/>
          </w:tcPr>
          <w:p w14:paraId="5CCF37E3" w14:textId="29EF9AF0" w:rsidR="00D10702" w:rsidRPr="002A4623" w:rsidRDefault="00D10702" w:rsidP="00B06E28">
            <w:pPr>
              <w:jc w:val="center"/>
              <w:rPr>
                <w:rFonts w:ascii="Arial" w:hAnsi="Arial" w:cs="Arial"/>
                <w:b/>
                <w:bCs/>
              </w:rPr>
            </w:pPr>
            <w:r w:rsidRPr="002A4623">
              <w:rPr>
                <w:rFonts w:ascii="Arial" w:hAnsi="Arial" w:cs="Arial"/>
                <w:b/>
                <w:bCs/>
              </w:rPr>
              <w:t>2021–22</w:t>
            </w:r>
          </w:p>
        </w:tc>
        <w:tc>
          <w:tcPr>
            <w:tcW w:w="1598" w:type="dxa"/>
            <w:shd w:val="clear" w:color="auto" w:fill="D9D9D9" w:themeFill="background1" w:themeFillShade="D9"/>
            <w:vAlign w:val="center"/>
          </w:tcPr>
          <w:p w14:paraId="149FF34F" w14:textId="6FB936B5" w:rsidR="00D10702" w:rsidRPr="002A4623" w:rsidRDefault="00D10702" w:rsidP="00B06E28">
            <w:pPr>
              <w:jc w:val="center"/>
              <w:rPr>
                <w:rFonts w:ascii="Arial" w:hAnsi="Arial" w:cs="Arial"/>
                <w:b/>
                <w:bCs/>
              </w:rPr>
            </w:pPr>
            <w:r w:rsidRPr="002A4623">
              <w:rPr>
                <w:rFonts w:ascii="Arial" w:hAnsi="Arial" w:cs="Arial"/>
                <w:b/>
                <w:bCs/>
              </w:rPr>
              <w:t>2022–23</w:t>
            </w:r>
          </w:p>
        </w:tc>
        <w:tc>
          <w:tcPr>
            <w:tcW w:w="1598" w:type="dxa"/>
            <w:shd w:val="clear" w:color="auto" w:fill="D9D9D9" w:themeFill="background1" w:themeFillShade="D9"/>
            <w:vAlign w:val="center"/>
          </w:tcPr>
          <w:p w14:paraId="2AE40FC9" w14:textId="39E97B80" w:rsidR="00D10702" w:rsidRPr="002A4623" w:rsidRDefault="00D10702" w:rsidP="00B06E28">
            <w:pPr>
              <w:jc w:val="center"/>
              <w:rPr>
                <w:rFonts w:ascii="Arial" w:hAnsi="Arial" w:cs="Arial"/>
                <w:b/>
                <w:bCs/>
              </w:rPr>
            </w:pPr>
            <w:r w:rsidRPr="002A4623">
              <w:rPr>
                <w:rFonts w:ascii="Arial" w:hAnsi="Arial" w:cs="Arial"/>
                <w:b/>
                <w:bCs/>
              </w:rPr>
              <w:t>2023</w:t>
            </w:r>
            <w:r w:rsidR="00D400A4">
              <w:rPr>
                <w:rFonts w:ascii="Arial" w:hAnsi="Arial" w:cs="Arial"/>
                <w:b/>
                <w:bCs/>
              </w:rPr>
              <w:t>–</w:t>
            </w:r>
            <w:r w:rsidRPr="002A4623">
              <w:rPr>
                <w:rFonts w:ascii="Arial" w:hAnsi="Arial" w:cs="Arial"/>
                <w:b/>
                <w:bCs/>
              </w:rPr>
              <w:t>24</w:t>
            </w:r>
          </w:p>
        </w:tc>
        <w:tc>
          <w:tcPr>
            <w:tcW w:w="1598" w:type="dxa"/>
            <w:shd w:val="clear" w:color="auto" w:fill="D9D9D9" w:themeFill="background1" w:themeFillShade="D9"/>
            <w:vAlign w:val="center"/>
          </w:tcPr>
          <w:p w14:paraId="124E6396" w14:textId="3162D6D7" w:rsidR="00D10702" w:rsidRPr="002A4623" w:rsidRDefault="00D10702" w:rsidP="00B06E28">
            <w:pPr>
              <w:jc w:val="center"/>
              <w:rPr>
                <w:rFonts w:ascii="Arial" w:hAnsi="Arial" w:cs="Arial"/>
                <w:b/>
                <w:bCs/>
              </w:rPr>
            </w:pPr>
            <w:r w:rsidRPr="002A4623">
              <w:rPr>
                <w:rFonts w:ascii="Arial" w:hAnsi="Arial" w:cs="Arial"/>
                <w:b/>
                <w:bCs/>
              </w:rPr>
              <w:t>2024</w:t>
            </w:r>
            <w:r w:rsidR="00D400A4">
              <w:rPr>
                <w:rFonts w:ascii="Arial" w:hAnsi="Arial" w:cs="Arial"/>
                <w:b/>
                <w:bCs/>
              </w:rPr>
              <w:t>–</w:t>
            </w:r>
            <w:r w:rsidRPr="002A4623">
              <w:rPr>
                <w:rFonts w:ascii="Arial" w:hAnsi="Arial" w:cs="Arial"/>
                <w:b/>
                <w:bCs/>
              </w:rPr>
              <w:t>25</w:t>
            </w:r>
          </w:p>
        </w:tc>
      </w:tr>
      <w:tr w:rsidR="00681F65" w:rsidRPr="002A4623" w14:paraId="72FCC899" w14:textId="644F274A" w:rsidTr="00DF58C4">
        <w:trPr>
          <w:cantSplit/>
          <w:trHeight w:val="576"/>
        </w:trPr>
        <w:tc>
          <w:tcPr>
            <w:tcW w:w="2304" w:type="dxa"/>
            <w:vAlign w:val="center"/>
          </w:tcPr>
          <w:p w14:paraId="2B68492D" w14:textId="32097966" w:rsidR="00D10702" w:rsidRPr="002A4623" w:rsidRDefault="00D10702" w:rsidP="006B284C">
            <w:pPr>
              <w:rPr>
                <w:rFonts w:ascii="Arial" w:hAnsi="Arial" w:cs="Arial"/>
                <w:b/>
                <w:bCs/>
              </w:rPr>
            </w:pPr>
            <w:r w:rsidRPr="002A4623">
              <w:rPr>
                <w:rFonts w:ascii="Arial" w:hAnsi="Arial" w:cs="Arial"/>
                <w:b/>
                <w:bCs/>
              </w:rPr>
              <w:t>Perkins</w:t>
            </w:r>
            <w:r w:rsidR="00E56813" w:rsidRPr="002A4623">
              <w:rPr>
                <w:rFonts w:ascii="Arial" w:hAnsi="Arial" w:cs="Arial"/>
                <w:b/>
                <w:bCs/>
              </w:rPr>
              <w:t xml:space="preserve"> </w:t>
            </w:r>
            <w:r w:rsidR="00F2480F">
              <w:rPr>
                <w:rFonts w:ascii="Arial" w:hAnsi="Arial" w:cs="Arial"/>
                <w:b/>
                <w:bCs/>
              </w:rPr>
              <w:t>V</w:t>
            </w:r>
          </w:p>
        </w:tc>
        <w:tc>
          <w:tcPr>
            <w:tcW w:w="1598" w:type="dxa"/>
            <w:vAlign w:val="center"/>
          </w:tcPr>
          <w:p w14:paraId="5ACC207B" w14:textId="768D05F4" w:rsidR="00D10702" w:rsidRPr="002A4623" w:rsidRDefault="005E19AE" w:rsidP="00B06E28">
            <w:pPr>
              <w:jc w:val="center"/>
              <w:rPr>
                <w:rFonts w:ascii="Arial" w:hAnsi="Arial" w:cs="Arial"/>
              </w:rPr>
            </w:pPr>
            <w:r>
              <w:rPr>
                <w:rFonts w:ascii="Arial" w:hAnsi="Arial" w:cs="Arial"/>
              </w:rPr>
              <w:t>$96.5 million</w:t>
            </w:r>
          </w:p>
        </w:tc>
        <w:tc>
          <w:tcPr>
            <w:tcW w:w="1598" w:type="dxa"/>
            <w:vAlign w:val="center"/>
          </w:tcPr>
          <w:p w14:paraId="6407066B" w14:textId="253C192C" w:rsidR="00D10702" w:rsidRPr="002A4623" w:rsidRDefault="00B06E28" w:rsidP="00B06E28">
            <w:pPr>
              <w:jc w:val="center"/>
              <w:rPr>
                <w:rFonts w:ascii="Arial" w:hAnsi="Arial" w:cs="Arial"/>
              </w:rPr>
            </w:pPr>
            <w:r>
              <w:rPr>
                <w:rFonts w:ascii="Arial" w:hAnsi="Arial" w:cs="Arial"/>
              </w:rPr>
              <w:t>$102 million</w:t>
            </w:r>
          </w:p>
        </w:tc>
        <w:tc>
          <w:tcPr>
            <w:tcW w:w="1598" w:type="dxa"/>
            <w:vAlign w:val="center"/>
          </w:tcPr>
          <w:p w14:paraId="7C8E1ABF" w14:textId="064E4F75" w:rsidR="00D10702" w:rsidRPr="002A4623" w:rsidRDefault="00B06E28" w:rsidP="00B06E28">
            <w:pPr>
              <w:jc w:val="center"/>
              <w:rPr>
                <w:rFonts w:ascii="Arial" w:hAnsi="Arial" w:cs="Arial"/>
              </w:rPr>
            </w:pPr>
            <w:r>
              <w:rPr>
                <w:rFonts w:ascii="Arial" w:hAnsi="Arial" w:cs="Arial"/>
              </w:rPr>
              <w:t>$108 million</w:t>
            </w:r>
          </w:p>
        </w:tc>
        <w:tc>
          <w:tcPr>
            <w:tcW w:w="1598" w:type="dxa"/>
            <w:vAlign w:val="center"/>
          </w:tcPr>
          <w:p w14:paraId="72A51675" w14:textId="28E00C0B" w:rsidR="00D10702" w:rsidRPr="002A4623" w:rsidRDefault="00B06E28" w:rsidP="00B06E28">
            <w:pPr>
              <w:jc w:val="center"/>
              <w:rPr>
                <w:rFonts w:ascii="Arial" w:hAnsi="Arial" w:cs="Arial"/>
              </w:rPr>
            </w:pPr>
            <w:r>
              <w:rPr>
                <w:rFonts w:ascii="Arial" w:hAnsi="Arial" w:cs="Arial"/>
              </w:rPr>
              <w:t>$109 million</w:t>
            </w:r>
          </w:p>
        </w:tc>
        <w:tc>
          <w:tcPr>
            <w:tcW w:w="1598" w:type="dxa"/>
            <w:vAlign w:val="center"/>
          </w:tcPr>
          <w:p w14:paraId="425B771F" w14:textId="694273D3" w:rsidR="00D10702" w:rsidRPr="002A4623" w:rsidRDefault="00BF101A" w:rsidP="00B06E28">
            <w:pPr>
              <w:jc w:val="center"/>
              <w:rPr>
                <w:rFonts w:ascii="Arial" w:hAnsi="Arial" w:cs="Arial"/>
              </w:rPr>
            </w:pPr>
            <w:r>
              <w:rPr>
                <w:rFonts w:ascii="Arial" w:hAnsi="Arial" w:cs="Arial"/>
              </w:rPr>
              <w:t>$116 million</w:t>
            </w:r>
          </w:p>
        </w:tc>
        <w:tc>
          <w:tcPr>
            <w:tcW w:w="1598" w:type="dxa"/>
            <w:vAlign w:val="center"/>
          </w:tcPr>
          <w:p w14:paraId="49F5BA66" w14:textId="506E3DD7" w:rsidR="00D10702" w:rsidRPr="002A4623" w:rsidRDefault="00BF101A" w:rsidP="00B06E28">
            <w:pPr>
              <w:jc w:val="center"/>
              <w:rPr>
                <w:rFonts w:ascii="Arial" w:hAnsi="Arial" w:cs="Arial"/>
              </w:rPr>
            </w:pPr>
            <w:r>
              <w:rPr>
                <w:rFonts w:ascii="Arial" w:hAnsi="Arial" w:cs="Arial"/>
              </w:rPr>
              <w:t>$116 million</w:t>
            </w:r>
          </w:p>
        </w:tc>
        <w:tc>
          <w:tcPr>
            <w:tcW w:w="1598" w:type="dxa"/>
            <w:vAlign w:val="center"/>
          </w:tcPr>
          <w:p w14:paraId="181B8454" w14:textId="6216690D" w:rsidR="00D10702" w:rsidRPr="002A4623" w:rsidRDefault="00BF101A" w:rsidP="00B06E28">
            <w:pPr>
              <w:jc w:val="center"/>
              <w:rPr>
                <w:rFonts w:ascii="Arial" w:hAnsi="Arial" w:cs="Arial"/>
              </w:rPr>
            </w:pPr>
            <w:r>
              <w:rPr>
                <w:rFonts w:ascii="Arial" w:hAnsi="Arial" w:cs="Arial"/>
              </w:rPr>
              <w:t>$120 million</w:t>
            </w:r>
          </w:p>
        </w:tc>
        <w:tc>
          <w:tcPr>
            <w:tcW w:w="1598" w:type="dxa"/>
            <w:vAlign w:val="center"/>
          </w:tcPr>
          <w:p w14:paraId="4BA32BC2" w14:textId="37A0E6FE" w:rsidR="00D10702" w:rsidRPr="002A4623" w:rsidRDefault="00BF101A" w:rsidP="00B06E28">
            <w:pPr>
              <w:jc w:val="center"/>
              <w:rPr>
                <w:rFonts w:ascii="Arial" w:hAnsi="Arial" w:cs="Arial"/>
              </w:rPr>
            </w:pPr>
            <w:r>
              <w:rPr>
                <w:rFonts w:ascii="Arial" w:hAnsi="Arial" w:cs="Arial"/>
              </w:rPr>
              <w:t>$121 million</w:t>
            </w:r>
          </w:p>
        </w:tc>
      </w:tr>
      <w:tr w:rsidR="00681F65" w:rsidRPr="002A4623" w14:paraId="75486935" w14:textId="4DD27E34" w:rsidTr="00DF58C4">
        <w:trPr>
          <w:cantSplit/>
          <w:trHeight w:val="576"/>
        </w:trPr>
        <w:tc>
          <w:tcPr>
            <w:tcW w:w="2304" w:type="dxa"/>
            <w:shd w:val="clear" w:color="auto" w:fill="F2F2F2" w:themeFill="background1" w:themeFillShade="F2"/>
            <w:vAlign w:val="center"/>
          </w:tcPr>
          <w:p w14:paraId="66A884D9" w14:textId="011165E5" w:rsidR="00D10702" w:rsidRPr="002A4623" w:rsidRDefault="00D10702" w:rsidP="006B284C">
            <w:pPr>
              <w:rPr>
                <w:rFonts w:ascii="Arial" w:hAnsi="Arial" w:cs="Arial"/>
                <w:b/>
                <w:bCs/>
              </w:rPr>
            </w:pPr>
            <w:r w:rsidRPr="002A4623">
              <w:rPr>
                <w:rFonts w:ascii="Arial" w:hAnsi="Arial" w:cs="Arial"/>
                <w:b/>
                <w:bCs/>
              </w:rPr>
              <w:t>CTEIG</w:t>
            </w:r>
          </w:p>
        </w:tc>
        <w:tc>
          <w:tcPr>
            <w:tcW w:w="1598" w:type="dxa"/>
            <w:shd w:val="clear" w:color="auto" w:fill="F2F2F2" w:themeFill="background1" w:themeFillShade="F2"/>
            <w:vAlign w:val="center"/>
          </w:tcPr>
          <w:p w14:paraId="69FD6EFE" w14:textId="7AC18606" w:rsidR="00D10702" w:rsidRPr="002A4623" w:rsidRDefault="00D10702" w:rsidP="00B06E28">
            <w:pPr>
              <w:jc w:val="center"/>
              <w:rPr>
                <w:rFonts w:ascii="Arial" w:hAnsi="Arial" w:cs="Arial"/>
              </w:rPr>
            </w:pPr>
            <w:r w:rsidRPr="002A4623">
              <w:rPr>
                <w:rFonts w:ascii="Arial" w:hAnsi="Arial" w:cs="Arial"/>
              </w:rPr>
              <w:t>$150 million</w:t>
            </w:r>
          </w:p>
        </w:tc>
        <w:tc>
          <w:tcPr>
            <w:tcW w:w="1598" w:type="dxa"/>
            <w:shd w:val="clear" w:color="auto" w:fill="F2F2F2" w:themeFill="background1" w:themeFillShade="F2"/>
            <w:vAlign w:val="center"/>
          </w:tcPr>
          <w:p w14:paraId="3A97F146" w14:textId="68C5A743" w:rsidR="00D10702" w:rsidRPr="002A4623" w:rsidRDefault="00D10702" w:rsidP="00B06E28">
            <w:pPr>
              <w:jc w:val="center"/>
              <w:rPr>
                <w:rFonts w:ascii="Arial" w:hAnsi="Arial" w:cs="Arial"/>
              </w:rPr>
            </w:pPr>
            <w:r w:rsidRPr="002A4623">
              <w:rPr>
                <w:rFonts w:ascii="Arial" w:hAnsi="Arial" w:cs="Arial"/>
              </w:rPr>
              <w:t>$150 million</w:t>
            </w:r>
          </w:p>
        </w:tc>
        <w:tc>
          <w:tcPr>
            <w:tcW w:w="1598" w:type="dxa"/>
            <w:shd w:val="clear" w:color="auto" w:fill="F2F2F2" w:themeFill="background1" w:themeFillShade="F2"/>
            <w:vAlign w:val="center"/>
          </w:tcPr>
          <w:p w14:paraId="720FCC97" w14:textId="25AE3039" w:rsidR="00D10702" w:rsidRPr="002A4623" w:rsidRDefault="00D10702" w:rsidP="00B06E28">
            <w:pPr>
              <w:jc w:val="center"/>
              <w:rPr>
                <w:rFonts w:ascii="Arial" w:hAnsi="Arial" w:cs="Arial"/>
              </w:rPr>
            </w:pPr>
            <w:r w:rsidRPr="002A4623">
              <w:rPr>
                <w:rFonts w:ascii="Arial" w:hAnsi="Arial" w:cs="Arial"/>
              </w:rPr>
              <w:t>$150 million</w:t>
            </w:r>
          </w:p>
        </w:tc>
        <w:tc>
          <w:tcPr>
            <w:tcW w:w="1598" w:type="dxa"/>
            <w:shd w:val="clear" w:color="auto" w:fill="F2F2F2" w:themeFill="background1" w:themeFillShade="F2"/>
            <w:vAlign w:val="center"/>
          </w:tcPr>
          <w:p w14:paraId="6328A59A" w14:textId="1A6C9ED3" w:rsidR="00D10702" w:rsidRPr="002A4623" w:rsidRDefault="00D10702" w:rsidP="00B06E28">
            <w:pPr>
              <w:jc w:val="center"/>
              <w:rPr>
                <w:rFonts w:ascii="Arial" w:hAnsi="Arial" w:cs="Arial"/>
              </w:rPr>
            </w:pPr>
            <w:r w:rsidRPr="002A4623">
              <w:rPr>
                <w:rFonts w:ascii="Arial" w:hAnsi="Arial" w:cs="Arial"/>
              </w:rPr>
              <w:t>$150 million</w:t>
            </w:r>
          </w:p>
        </w:tc>
        <w:tc>
          <w:tcPr>
            <w:tcW w:w="1598" w:type="dxa"/>
            <w:shd w:val="clear" w:color="auto" w:fill="F2F2F2" w:themeFill="background1" w:themeFillShade="F2"/>
            <w:vAlign w:val="center"/>
          </w:tcPr>
          <w:p w14:paraId="296602C0" w14:textId="5F9363AD" w:rsidR="00D10702" w:rsidRPr="002A4623" w:rsidRDefault="00D10702" w:rsidP="00B06E28">
            <w:pPr>
              <w:jc w:val="center"/>
              <w:rPr>
                <w:rFonts w:ascii="Arial" w:hAnsi="Arial" w:cs="Arial"/>
              </w:rPr>
            </w:pPr>
            <w:r w:rsidRPr="002A4623">
              <w:rPr>
                <w:rFonts w:ascii="Arial" w:hAnsi="Arial" w:cs="Arial"/>
              </w:rPr>
              <w:t>$300 million</w:t>
            </w:r>
          </w:p>
        </w:tc>
        <w:tc>
          <w:tcPr>
            <w:tcW w:w="1598" w:type="dxa"/>
            <w:shd w:val="clear" w:color="auto" w:fill="F2F2F2" w:themeFill="background1" w:themeFillShade="F2"/>
            <w:vAlign w:val="center"/>
          </w:tcPr>
          <w:p w14:paraId="4984589D" w14:textId="752B2FAC" w:rsidR="00D10702" w:rsidRPr="002A4623" w:rsidRDefault="00D10702" w:rsidP="00B06E28">
            <w:pPr>
              <w:jc w:val="center"/>
              <w:rPr>
                <w:rFonts w:ascii="Arial" w:hAnsi="Arial" w:cs="Arial"/>
              </w:rPr>
            </w:pPr>
            <w:r w:rsidRPr="002A4623">
              <w:rPr>
                <w:rFonts w:ascii="Arial" w:hAnsi="Arial" w:cs="Arial"/>
              </w:rPr>
              <w:t>$300 million</w:t>
            </w:r>
          </w:p>
        </w:tc>
        <w:tc>
          <w:tcPr>
            <w:tcW w:w="1598" w:type="dxa"/>
            <w:shd w:val="clear" w:color="auto" w:fill="F2F2F2" w:themeFill="background1" w:themeFillShade="F2"/>
            <w:vAlign w:val="center"/>
          </w:tcPr>
          <w:p w14:paraId="70D38D96" w14:textId="2759736F" w:rsidR="00D10702" w:rsidRPr="002A4623" w:rsidRDefault="00D10702" w:rsidP="00B06E28">
            <w:pPr>
              <w:jc w:val="center"/>
              <w:rPr>
                <w:rFonts w:ascii="Arial" w:hAnsi="Arial" w:cs="Arial"/>
              </w:rPr>
            </w:pPr>
            <w:r w:rsidRPr="002A4623">
              <w:rPr>
                <w:rFonts w:ascii="Arial" w:hAnsi="Arial" w:cs="Arial"/>
              </w:rPr>
              <w:t>$300 million</w:t>
            </w:r>
          </w:p>
        </w:tc>
        <w:tc>
          <w:tcPr>
            <w:tcW w:w="1598" w:type="dxa"/>
            <w:shd w:val="clear" w:color="auto" w:fill="F2F2F2" w:themeFill="background1" w:themeFillShade="F2"/>
            <w:vAlign w:val="center"/>
          </w:tcPr>
          <w:p w14:paraId="1F406ABB" w14:textId="0D84FFC6" w:rsidR="00D10702" w:rsidRPr="002A4623" w:rsidRDefault="00D10702" w:rsidP="00B06E28">
            <w:pPr>
              <w:jc w:val="center"/>
              <w:rPr>
                <w:rFonts w:ascii="Arial" w:hAnsi="Arial" w:cs="Arial"/>
              </w:rPr>
            </w:pPr>
            <w:r w:rsidRPr="002A4623">
              <w:rPr>
                <w:rFonts w:ascii="Arial" w:hAnsi="Arial" w:cs="Arial"/>
              </w:rPr>
              <w:t>$300 million</w:t>
            </w:r>
          </w:p>
        </w:tc>
      </w:tr>
      <w:tr w:rsidR="00681F65" w:rsidRPr="002A4623" w14:paraId="4F8D535F" w14:textId="054B599C" w:rsidTr="00DF58C4">
        <w:trPr>
          <w:cantSplit/>
          <w:trHeight w:val="576"/>
        </w:trPr>
        <w:tc>
          <w:tcPr>
            <w:tcW w:w="2304" w:type="dxa"/>
            <w:vAlign w:val="center"/>
          </w:tcPr>
          <w:p w14:paraId="75F8FEDA" w14:textId="2E559F59" w:rsidR="00D10702" w:rsidRPr="002A4623" w:rsidRDefault="00D10702" w:rsidP="006B284C">
            <w:pPr>
              <w:rPr>
                <w:rFonts w:ascii="Arial" w:hAnsi="Arial" w:cs="Arial"/>
                <w:b/>
                <w:bCs/>
              </w:rPr>
            </w:pPr>
            <w:r w:rsidRPr="002A4623">
              <w:rPr>
                <w:rFonts w:ascii="Arial" w:hAnsi="Arial" w:cs="Arial"/>
                <w:b/>
                <w:bCs/>
              </w:rPr>
              <w:t>MSFA</w:t>
            </w:r>
          </w:p>
        </w:tc>
        <w:tc>
          <w:tcPr>
            <w:tcW w:w="1598" w:type="dxa"/>
            <w:vAlign w:val="center"/>
          </w:tcPr>
          <w:p w14:paraId="6C55E0E9" w14:textId="6FE404F6" w:rsidR="00D10702" w:rsidRPr="002A4623" w:rsidRDefault="00E56813" w:rsidP="00B06E28">
            <w:pPr>
              <w:jc w:val="center"/>
              <w:rPr>
                <w:rFonts w:ascii="Arial" w:hAnsi="Arial" w:cs="Arial"/>
              </w:rPr>
            </w:pPr>
            <w:r w:rsidRPr="002A4623">
              <w:rPr>
                <w:rFonts w:ascii="Arial" w:hAnsi="Arial" w:cs="Arial"/>
              </w:rPr>
              <w:t>$250,000</w:t>
            </w:r>
          </w:p>
        </w:tc>
        <w:tc>
          <w:tcPr>
            <w:tcW w:w="1598" w:type="dxa"/>
            <w:vAlign w:val="center"/>
          </w:tcPr>
          <w:p w14:paraId="35A24441" w14:textId="1FB1E3DE" w:rsidR="00D10702" w:rsidRPr="002A4623" w:rsidRDefault="00E56813" w:rsidP="00B06E28">
            <w:pPr>
              <w:jc w:val="center"/>
              <w:rPr>
                <w:rFonts w:ascii="Arial" w:hAnsi="Arial" w:cs="Arial"/>
              </w:rPr>
            </w:pPr>
            <w:r w:rsidRPr="002A4623">
              <w:rPr>
                <w:rFonts w:ascii="Arial" w:hAnsi="Arial" w:cs="Arial"/>
              </w:rPr>
              <w:t>$250,000</w:t>
            </w:r>
          </w:p>
        </w:tc>
        <w:tc>
          <w:tcPr>
            <w:tcW w:w="1598" w:type="dxa"/>
            <w:vAlign w:val="center"/>
          </w:tcPr>
          <w:p w14:paraId="2D2143F6" w14:textId="68DB4932" w:rsidR="00D10702" w:rsidRPr="002A4623" w:rsidRDefault="00A6154D" w:rsidP="00B06E28">
            <w:pPr>
              <w:jc w:val="center"/>
              <w:rPr>
                <w:rFonts w:ascii="Arial" w:hAnsi="Arial" w:cs="Arial"/>
              </w:rPr>
            </w:pPr>
            <w:r w:rsidRPr="002A4623">
              <w:rPr>
                <w:rFonts w:ascii="Arial" w:hAnsi="Arial" w:cs="Arial"/>
              </w:rPr>
              <w:t>$</w:t>
            </w:r>
            <w:r w:rsidR="002A4623" w:rsidRPr="002A4623">
              <w:rPr>
                <w:rFonts w:ascii="Arial" w:hAnsi="Arial" w:cs="Arial"/>
              </w:rPr>
              <w:t>7</w:t>
            </w:r>
            <w:r w:rsidRPr="002A4623">
              <w:rPr>
                <w:rFonts w:ascii="Arial" w:hAnsi="Arial" w:cs="Arial"/>
              </w:rPr>
              <w:t>50,000</w:t>
            </w:r>
          </w:p>
        </w:tc>
        <w:tc>
          <w:tcPr>
            <w:tcW w:w="1598" w:type="dxa"/>
            <w:vAlign w:val="center"/>
          </w:tcPr>
          <w:p w14:paraId="7038FFBE" w14:textId="5732E069" w:rsidR="00D10702" w:rsidRPr="002A4623" w:rsidRDefault="00D10702" w:rsidP="00B06E28">
            <w:pPr>
              <w:jc w:val="center"/>
              <w:rPr>
                <w:rFonts w:ascii="Arial" w:hAnsi="Arial" w:cs="Arial"/>
              </w:rPr>
            </w:pPr>
            <w:r w:rsidRPr="002A4623">
              <w:rPr>
                <w:rFonts w:ascii="Arial" w:hAnsi="Arial" w:cs="Arial"/>
              </w:rPr>
              <w:t>$</w:t>
            </w:r>
            <w:r w:rsidR="00E70061" w:rsidRPr="002A4623">
              <w:rPr>
                <w:rFonts w:ascii="Arial" w:hAnsi="Arial" w:cs="Arial"/>
              </w:rPr>
              <w:t>750,000</w:t>
            </w:r>
          </w:p>
        </w:tc>
        <w:tc>
          <w:tcPr>
            <w:tcW w:w="1598" w:type="dxa"/>
            <w:vAlign w:val="center"/>
          </w:tcPr>
          <w:p w14:paraId="55B811E2" w14:textId="5FB79F9E" w:rsidR="00D10702" w:rsidRPr="002A4623" w:rsidRDefault="00D10702" w:rsidP="00B06E28">
            <w:pPr>
              <w:jc w:val="center"/>
              <w:rPr>
                <w:rFonts w:ascii="Arial" w:hAnsi="Arial" w:cs="Arial"/>
              </w:rPr>
            </w:pPr>
            <w:r w:rsidRPr="002A4623">
              <w:rPr>
                <w:rFonts w:ascii="Arial" w:hAnsi="Arial" w:cs="Arial"/>
              </w:rPr>
              <w:t>$</w:t>
            </w:r>
            <w:r w:rsidR="00A6154D" w:rsidRPr="002A4623">
              <w:rPr>
                <w:rFonts w:ascii="Arial" w:hAnsi="Arial" w:cs="Arial"/>
              </w:rPr>
              <w:t>750,000</w:t>
            </w:r>
          </w:p>
        </w:tc>
        <w:tc>
          <w:tcPr>
            <w:tcW w:w="1598" w:type="dxa"/>
            <w:vAlign w:val="center"/>
          </w:tcPr>
          <w:p w14:paraId="119300AB" w14:textId="579B503B" w:rsidR="00A6154D" w:rsidRPr="002A4623" w:rsidRDefault="00D10702" w:rsidP="00B06E28">
            <w:pPr>
              <w:jc w:val="center"/>
              <w:rPr>
                <w:rFonts w:ascii="Arial" w:hAnsi="Arial" w:cs="Arial"/>
              </w:rPr>
            </w:pPr>
            <w:r w:rsidRPr="002A4623">
              <w:rPr>
                <w:rFonts w:ascii="Arial" w:hAnsi="Arial" w:cs="Arial"/>
              </w:rPr>
              <w:t>$</w:t>
            </w:r>
            <w:r w:rsidR="00A6154D" w:rsidRPr="002A4623">
              <w:rPr>
                <w:rFonts w:ascii="Arial" w:hAnsi="Arial" w:cs="Arial"/>
              </w:rPr>
              <w:t>750,000</w:t>
            </w:r>
          </w:p>
        </w:tc>
        <w:tc>
          <w:tcPr>
            <w:tcW w:w="1598" w:type="dxa"/>
            <w:vAlign w:val="center"/>
          </w:tcPr>
          <w:p w14:paraId="3114DF89" w14:textId="4E22D017" w:rsidR="00D10702" w:rsidRPr="002A4623" w:rsidRDefault="00D10702" w:rsidP="00B06E28">
            <w:pPr>
              <w:jc w:val="center"/>
              <w:rPr>
                <w:rFonts w:ascii="Arial" w:hAnsi="Arial" w:cs="Arial"/>
              </w:rPr>
            </w:pPr>
            <w:r w:rsidRPr="002A4623">
              <w:rPr>
                <w:rFonts w:ascii="Arial" w:hAnsi="Arial" w:cs="Arial"/>
              </w:rPr>
              <w:t>$1 million</w:t>
            </w:r>
          </w:p>
        </w:tc>
        <w:tc>
          <w:tcPr>
            <w:tcW w:w="1598" w:type="dxa"/>
            <w:vAlign w:val="center"/>
          </w:tcPr>
          <w:p w14:paraId="36B968B3" w14:textId="2895E244" w:rsidR="00D10702" w:rsidRPr="002A4623" w:rsidRDefault="00D10702" w:rsidP="00B06E28">
            <w:pPr>
              <w:jc w:val="center"/>
              <w:rPr>
                <w:rFonts w:ascii="Arial" w:hAnsi="Arial" w:cs="Arial"/>
              </w:rPr>
            </w:pPr>
            <w:r w:rsidRPr="002A4623">
              <w:rPr>
                <w:rFonts w:ascii="Arial" w:hAnsi="Arial" w:cs="Arial"/>
              </w:rPr>
              <w:t>$1 million</w:t>
            </w:r>
          </w:p>
        </w:tc>
      </w:tr>
      <w:tr w:rsidR="006B284C" w:rsidRPr="002A4623" w14:paraId="01A58DD5" w14:textId="01F26942" w:rsidTr="00DF58C4">
        <w:trPr>
          <w:cantSplit/>
          <w:trHeight w:val="576"/>
        </w:trPr>
        <w:tc>
          <w:tcPr>
            <w:tcW w:w="2304" w:type="dxa"/>
            <w:shd w:val="clear" w:color="auto" w:fill="F2F2F2" w:themeFill="background1" w:themeFillShade="F2"/>
            <w:vAlign w:val="center"/>
          </w:tcPr>
          <w:p w14:paraId="7BC446A3" w14:textId="59BEFEBF" w:rsidR="006B284C" w:rsidRPr="002A4623" w:rsidRDefault="006B284C" w:rsidP="006B284C">
            <w:pPr>
              <w:rPr>
                <w:rFonts w:ascii="Arial" w:hAnsi="Arial" w:cs="Arial"/>
                <w:b/>
                <w:bCs/>
              </w:rPr>
            </w:pPr>
            <w:r w:rsidRPr="002A4623">
              <w:rPr>
                <w:rFonts w:ascii="Arial" w:hAnsi="Arial" w:cs="Arial"/>
                <w:b/>
                <w:bCs/>
              </w:rPr>
              <w:t>SSP</w:t>
            </w:r>
          </w:p>
        </w:tc>
        <w:tc>
          <w:tcPr>
            <w:tcW w:w="1598" w:type="dxa"/>
            <w:shd w:val="clear" w:color="auto" w:fill="F2F2F2" w:themeFill="background1" w:themeFillShade="F2"/>
            <w:vAlign w:val="center"/>
          </w:tcPr>
          <w:p w14:paraId="33D6E755" w14:textId="13724A0D" w:rsidR="006B284C" w:rsidRPr="002A4623" w:rsidRDefault="006B284C" w:rsidP="00B06E28">
            <w:pPr>
              <w:jc w:val="center"/>
              <w:rPr>
                <w:rFonts w:ascii="Arial" w:hAnsi="Arial" w:cs="Arial"/>
              </w:rPr>
            </w:pPr>
            <w:r w:rsidRPr="002A4623">
              <w:rPr>
                <w:rFonts w:ascii="Arial" w:hAnsi="Arial" w:cs="Arial"/>
              </w:rPr>
              <w:t>$4.8 million</w:t>
            </w:r>
          </w:p>
        </w:tc>
        <w:tc>
          <w:tcPr>
            <w:tcW w:w="1598" w:type="dxa"/>
            <w:shd w:val="clear" w:color="auto" w:fill="F2F2F2" w:themeFill="background1" w:themeFillShade="F2"/>
            <w:vAlign w:val="center"/>
          </w:tcPr>
          <w:p w14:paraId="56757521" w14:textId="5F24B297" w:rsidR="006B284C" w:rsidRPr="002A4623" w:rsidRDefault="006B284C" w:rsidP="00B06E28">
            <w:pPr>
              <w:jc w:val="center"/>
              <w:rPr>
                <w:rFonts w:ascii="Arial" w:hAnsi="Arial" w:cs="Arial"/>
              </w:rPr>
            </w:pPr>
            <w:r w:rsidRPr="002A4623">
              <w:rPr>
                <w:rFonts w:ascii="Arial" w:hAnsi="Arial" w:cs="Arial"/>
              </w:rPr>
              <w:t>$4.8 million</w:t>
            </w:r>
          </w:p>
        </w:tc>
        <w:tc>
          <w:tcPr>
            <w:tcW w:w="1598" w:type="dxa"/>
            <w:shd w:val="clear" w:color="auto" w:fill="F2F2F2" w:themeFill="background1" w:themeFillShade="F2"/>
            <w:vAlign w:val="center"/>
          </w:tcPr>
          <w:p w14:paraId="731B573D" w14:textId="1DE4333C" w:rsidR="006B284C" w:rsidRPr="002A4623" w:rsidRDefault="006B284C" w:rsidP="00B06E28">
            <w:pPr>
              <w:jc w:val="center"/>
              <w:rPr>
                <w:rFonts w:ascii="Arial" w:hAnsi="Arial" w:cs="Arial"/>
              </w:rPr>
            </w:pPr>
            <w:r w:rsidRPr="002A4623">
              <w:rPr>
                <w:rFonts w:ascii="Arial" w:hAnsi="Arial" w:cs="Arial"/>
              </w:rPr>
              <w:t>$4.8 million</w:t>
            </w:r>
          </w:p>
        </w:tc>
        <w:tc>
          <w:tcPr>
            <w:tcW w:w="1598" w:type="dxa"/>
            <w:shd w:val="clear" w:color="auto" w:fill="F2F2F2" w:themeFill="background1" w:themeFillShade="F2"/>
            <w:vAlign w:val="center"/>
          </w:tcPr>
          <w:p w14:paraId="7AEEC0B5" w14:textId="568E393F" w:rsidR="006B284C" w:rsidRPr="002A4623" w:rsidRDefault="006B284C" w:rsidP="00B06E28">
            <w:pPr>
              <w:jc w:val="center"/>
              <w:rPr>
                <w:rFonts w:ascii="Arial" w:hAnsi="Arial" w:cs="Arial"/>
              </w:rPr>
            </w:pPr>
            <w:r w:rsidRPr="002A4623">
              <w:rPr>
                <w:rFonts w:ascii="Arial" w:hAnsi="Arial" w:cs="Arial"/>
              </w:rPr>
              <w:t>$4.8 million</w:t>
            </w:r>
          </w:p>
        </w:tc>
        <w:tc>
          <w:tcPr>
            <w:tcW w:w="1598" w:type="dxa"/>
            <w:shd w:val="clear" w:color="auto" w:fill="F2F2F2" w:themeFill="background1" w:themeFillShade="F2"/>
            <w:vAlign w:val="center"/>
          </w:tcPr>
          <w:p w14:paraId="3463E235" w14:textId="2937056C" w:rsidR="006B284C" w:rsidRPr="002A4623" w:rsidRDefault="006B284C" w:rsidP="00B06E28">
            <w:pPr>
              <w:jc w:val="center"/>
              <w:rPr>
                <w:rFonts w:ascii="Arial" w:hAnsi="Arial" w:cs="Arial"/>
              </w:rPr>
            </w:pPr>
            <w:r w:rsidRPr="002A4623">
              <w:rPr>
                <w:rFonts w:ascii="Arial" w:hAnsi="Arial" w:cs="Arial"/>
              </w:rPr>
              <w:t>$4.8 million</w:t>
            </w:r>
          </w:p>
        </w:tc>
        <w:tc>
          <w:tcPr>
            <w:tcW w:w="1598" w:type="dxa"/>
            <w:shd w:val="clear" w:color="auto" w:fill="F2F2F2" w:themeFill="background1" w:themeFillShade="F2"/>
            <w:vAlign w:val="center"/>
          </w:tcPr>
          <w:p w14:paraId="76E9C7DE" w14:textId="3ED7CA6A" w:rsidR="006B284C" w:rsidRPr="002A4623" w:rsidRDefault="006B284C" w:rsidP="00B06E28">
            <w:pPr>
              <w:jc w:val="center"/>
              <w:rPr>
                <w:rFonts w:ascii="Arial" w:hAnsi="Arial" w:cs="Arial"/>
              </w:rPr>
            </w:pPr>
            <w:r w:rsidRPr="002A4623">
              <w:rPr>
                <w:rFonts w:ascii="Arial" w:hAnsi="Arial" w:cs="Arial"/>
              </w:rPr>
              <w:t>$4.8 million</w:t>
            </w:r>
          </w:p>
        </w:tc>
        <w:tc>
          <w:tcPr>
            <w:tcW w:w="1598" w:type="dxa"/>
            <w:shd w:val="clear" w:color="auto" w:fill="F2F2F2" w:themeFill="background1" w:themeFillShade="F2"/>
            <w:vAlign w:val="center"/>
          </w:tcPr>
          <w:p w14:paraId="3CF2CEE1" w14:textId="777D179A" w:rsidR="006B284C" w:rsidRPr="002A4623" w:rsidRDefault="006B284C" w:rsidP="00B06E28">
            <w:pPr>
              <w:jc w:val="center"/>
              <w:rPr>
                <w:rFonts w:ascii="Arial" w:hAnsi="Arial" w:cs="Arial"/>
              </w:rPr>
            </w:pPr>
            <w:r w:rsidRPr="002A4623">
              <w:rPr>
                <w:rFonts w:ascii="Arial" w:hAnsi="Arial" w:cs="Arial"/>
              </w:rPr>
              <w:t>$4.8 million</w:t>
            </w:r>
          </w:p>
        </w:tc>
        <w:tc>
          <w:tcPr>
            <w:tcW w:w="1598" w:type="dxa"/>
            <w:shd w:val="clear" w:color="auto" w:fill="F2F2F2" w:themeFill="background1" w:themeFillShade="F2"/>
            <w:vAlign w:val="center"/>
          </w:tcPr>
          <w:p w14:paraId="4BBCAE5E" w14:textId="14FF59A5" w:rsidR="006B284C" w:rsidRPr="002A4623" w:rsidRDefault="006B284C" w:rsidP="00B06E28">
            <w:pPr>
              <w:jc w:val="center"/>
              <w:rPr>
                <w:rFonts w:ascii="Arial" w:hAnsi="Arial" w:cs="Arial"/>
              </w:rPr>
            </w:pPr>
            <w:r w:rsidRPr="002A4623">
              <w:rPr>
                <w:rFonts w:ascii="Arial" w:hAnsi="Arial" w:cs="Arial"/>
              </w:rPr>
              <w:t>$4.8 million</w:t>
            </w:r>
          </w:p>
        </w:tc>
      </w:tr>
      <w:tr w:rsidR="00681F65" w:rsidRPr="002A4623" w14:paraId="44A5ECAC" w14:textId="207A1821" w:rsidTr="00DF58C4">
        <w:trPr>
          <w:cantSplit/>
          <w:trHeight w:val="576"/>
        </w:trPr>
        <w:tc>
          <w:tcPr>
            <w:tcW w:w="2304" w:type="dxa"/>
            <w:vAlign w:val="center"/>
          </w:tcPr>
          <w:p w14:paraId="473ED35C" w14:textId="61092095" w:rsidR="00D10702" w:rsidRPr="002A4623" w:rsidRDefault="00D10702" w:rsidP="006B284C">
            <w:pPr>
              <w:rPr>
                <w:rFonts w:ascii="Arial" w:hAnsi="Arial" w:cs="Arial"/>
                <w:b/>
                <w:bCs/>
              </w:rPr>
            </w:pPr>
            <w:r w:rsidRPr="002A4623">
              <w:rPr>
                <w:rFonts w:ascii="Arial" w:hAnsi="Arial" w:cs="Arial"/>
                <w:b/>
                <w:bCs/>
              </w:rPr>
              <w:t>AME</w:t>
            </w:r>
            <w:r w:rsidR="0046489D" w:rsidRPr="002A4623">
              <w:rPr>
                <w:rFonts w:ascii="Arial" w:hAnsi="Arial" w:cs="Arial"/>
                <w:b/>
                <w:bCs/>
              </w:rPr>
              <w:t xml:space="preserve"> – </w:t>
            </w:r>
            <w:r w:rsidRPr="002A4623">
              <w:rPr>
                <w:rFonts w:ascii="Arial" w:hAnsi="Arial" w:cs="Arial"/>
                <w:b/>
                <w:bCs/>
              </w:rPr>
              <w:t>Dem</w:t>
            </w:r>
            <w:r w:rsidR="001459DB">
              <w:rPr>
                <w:rFonts w:ascii="Arial" w:hAnsi="Arial" w:cs="Arial"/>
                <w:b/>
                <w:bCs/>
              </w:rPr>
              <w:t>o</w:t>
            </w:r>
          </w:p>
        </w:tc>
        <w:tc>
          <w:tcPr>
            <w:tcW w:w="1598" w:type="dxa"/>
            <w:vAlign w:val="center"/>
          </w:tcPr>
          <w:p w14:paraId="503F45FE" w14:textId="1C7CABD9" w:rsidR="00D10702" w:rsidRPr="002A4623" w:rsidRDefault="00D10702" w:rsidP="00B06E28">
            <w:pPr>
              <w:jc w:val="center"/>
              <w:rPr>
                <w:rFonts w:ascii="Arial" w:hAnsi="Arial" w:cs="Arial"/>
              </w:rPr>
            </w:pPr>
            <w:r w:rsidRPr="002A4623">
              <w:rPr>
                <w:rFonts w:ascii="Arial" w:hAnsi="Arial" w:cs="Arial"/>
              </w:rPr>
              <w:t>N/A</w:t>
            </w:r>
          </w:p>
        </w:tc>
        <w:tc>
          <w:tcPr>
            <w:tcW w:w="1598" w:type="dxa"/>
            <w:vAlign w:val="center"/>
          </w:tcPr>
          <w:p w14:paraId="266CF0D9" w14:textId="75D96804" w:rsidR="00D10702" w:rsidRPr="002A4623" w:rsidRDefault="00D10702" w:rsidP="00B06E28">
            <w:pPr>
              <w:jc w:val="center"/>
              <w:rPr>
                <w:rFonts w:ascii="Arial" w:hAnsi="Arial" w:cs="Arial"/>
              </w:rPr>
            </w:pPr>
            <w:r w:rsidRPr="002A4623">
              <w:rPr>
                <w:rFonts w:ascii="Arial" w:hAnsi="Arial" w:cs="Arial"/>
              </w:rPr>
              <w:t>N/A</w:t>
            </w:r>
          </w:p>
        </w:tc>
        <w:tc>
          <w:tcPr>
            <w:tcW w:w="1598" w:type="dxa"/>
            <w:vAlign w:val="center"/>
          </w:tcPr>
          <w:p w14:paraId="3C608AED" w14:textId="30784688" w:rsidR="00D10702" w:rsidRPr="002A4623" w:rsidRDefault="00D10702" w:rsidP="00B06E28">
            <w:pPr>
              <w:jc w:val="center"/>
              <w:rPr>
                <w:rFonts w:ascii="Arial" w:hAnsi="Arial" w:cs="Arial"/>
              </w:rPr>
            </w:pPr>
            <w:r w:rsidRPr="002A4623">
              <w:rPr>
                <w:rFonts w:ascii="Arial" w:hAnsi="Arial" w:cs="Arial"/>
              </w:rPr>
              <w:t>N/A</w:t>
            </w:r>
          </w:p>
        </w:tc>
        <w:tc>
          <w:tcPr>
            <w:tcW w:w="1598" w:type="dxa"/>
            <w:vAlign w:val="center"/>
          </w:tcPr>
          <w:p w14:paraId="5EBE749F" w14:textId="0D83DEBF" w:rsidR="00D10702" w:rsidRPr="002A4623" w:rsidRDefault="00E70061" w:rsidP="00B06E28">
            <w:pPr>
              <w:jc w:val="center"/>
              <w:rPr>
                <w:rFonts w:ascii="Arial" w:hAnsi="Arial" w:cs="Arial"/>
              </w:rPr>
            </w:pPr>
            <w:r w:rsidRPr="002A4623">
              <w:rPr>
                <w:rFonts w:ascii="Arial" w:hAnsi="Arial" w:cs="Arial"/>
              </w:rPr>
              <w:t>$220,000</w:t>
            </w:r>
          </w:p>
        </w:tc>
        <w:tc>
          <w:tcPr>
            <w:tcW w:w="1598" w:type="dxa"/>
            <w:vAlign w:val="center"/>
          </w:tcPr>
          <w:p w14:paraId="4B8CDF63" w14:textId="6790513A" w:rsidR="00D10702" w:rsidRPr="002A4623" w:rsidRDefault="00A6154D" w:rsidP="00B06E28">
            <w:pPr>
              <w:jc w:val="center"/>
              <w:rPr>
                <w:rFonts w:ascii="Arial" w:hAnsi="Arial" w:cs="Arial"/>
              </w:rPr>
            </w:pPr>
            <w:r w:rsidRPr="002A4623">
              <w:rPr>
                <w:rFonts w:ascii="Arial" w:hAnsi="Arial" w:cs="Arial"/>
              </w:rPr>
              <w:t>$220,000</w:t>
            </w:r>
          </w:p>
        </w:tc>
        <w:tc>
          <w:tcPr>
            <w:tcW w:w="1598" w:type="dxa"/>
            <w:vAlign w:val="center"/>
          </w:tcPr>
          <w:p w14:paraId="7662BAD1" w14:textId="16A25E03" w:rsidR="00D10702" w:rsidRPr="002A4623" w:rsidRDefault="00E56813" w:rsidP="00B06E28">
            <w:pPr>
              <w:jc w:val="center"/>
              <w:rPr>
                <w:rFonts w:ascii="Arial" w:hAnsi="Arial" w:cs="Arial"/>
              </w:rPr>
            </w:pPr>
            <w:r w:rsidRPr="002A4623">
              <w:rPr>
                <w:rFonts w:ascii="Arial" w:hAnsi="Arial" w:cs="Arial"/>
              </w:rPr>
              <w:t>$110,000</w:t>
            </w:r>
          </w:p>
        </w:tc>
        <w:tc>
          <w:tcPr>
            <w:tcW w:w="1598" w:type="dxa"/>
            <w:vAlign w:val="center"/>
          </w:tcPr>
          <w:p w14:paraId="33C06544" w14:textId="0E5013BB" w:rsidR="00D10702" w:rsidRPr="002A4623" w:rsidRDefault="00E56813" w:rsidP="00B06E28">
            <w:pPr>
              <w:jc w:val="center"/>
              <w:rPr>
                <w:rFonts w:ascii="Arial" w:hAnsi="Arial" w:cs="Arial"/>
              </w:rPr>
            </w:pPr>
            <w:r w:rsidRPr="002A4623">
              <w:rPr>
                <w:rFonts w:ascii="Arial" w:hAnsi="Arial" w:cs="Arial"/>
              </w:rPr>
              <w:t>$110,000</w:t>
            </w:r>
          </w:p>
        </w:tc>
        <w:tc>
          <w:tcPr>
            <w:tcW w:w="1598" w:type="dxa"/>
            <w:vAlign w:val="center"/>
          </w:tcPr>
          <w:p w14:paraId="06FC7B84" w14:textId="18DB1EC1" w:rsidR="00D10702" w:rsidRPr="002A4623" w:rsidRDefault="00E56813" w:rsidP="00B06E28">
            <w:pPr>
              <w:jc w:val="center"/>
              <w:rPr>
                <w:rFonts w:ascii="Arial" w:hAnsi="Arial" w:cs="Arial"/>
              </w:rPr>
            </w:pPr>
            <w:r w:rsidRPr="002A4623">
              <w:rPr>
                <w:rFonts w:ascii="Arial" w:hAnsi="Arial" w:cs="Arial"/>
              </w:rPr>
              <w:t>$110,000</w:t>
            </w:r>
          </w:p>
        </w:tc>
      </w:tr>
      <w:tr w:rsidR="00E56813" w:rsidRPr="002A4623" w14:paraId="48B36EF8" w14:textId="77777777" w:rsidTr="00DF58C4">
        <w:trPr>
          <w:cantSplit/>
          <w:trHeight w:val="576"/>
        </w:trPr>
        <w:tc>
          <w:tcPr>
            <w:tcW w:w="2304" w:type="dxa"/>
            <w:shd w:val="clear" w:color="auto" w:fill="F2F2F2" w:themeFill="background1" w:themeFillShade="F2"/>
            <w:vAlign w:val="center"/>
          </w:tcPr>
          <w:p w14:paraId="64D8D5D2" w14:textId="18ACBC97" w:rsidR="00E56813" w:rsidRPr="002A4623" w:rsidRDefault="00E56813" w:rsidP="006B284C">
            <w:pPr>
              <w:rPr>
                <w:rFonts w:ascii="Arial" w:hAnsi="Arial" w:cs="Arial"/>
                <w:b/>
                <w:bCs/>
              </w:rPr>
            </w:pPr>
            <w:r w:rsidRPr="002A4623">
              <w:rPr>
                <w:rFonts w:ascii="Arial" w:hAnsi="Arial" w:cs="Arial"/>
                <w:b/>
                <w:bCs/>
              </w:rPr>
              <w:t>AME</w:t>
            </w:r>
            <w:r w:rsidR="0046489D" w:rsidRPr="002A4623">
              <w:rPr>
                <w:rFonts w:ascii="Arial" w:hAnsi="Arial" w:cs="Arial"/>
                <w:b/>
                <w:bCs/>
              </w:rPr>
              <w:t xml:space="preserve"> – </w:t>
            </w:r>
            <w:r w:rsidRPr="002A4623">
              <w:rPr>
                <w:rFonts w:ascii="Arial" w:hAnsi="Arial" w:cs="Arial"/>
                <w:b/>
                <w:bCs/>
              </w:rPr>
              <w:t>H</w:t>
            </w:r>
            <w:r w:rsidR="0095159F">
              <w:rPr>
                <w:rFonts w:ascii="Arial" w:hAnsi="Arial" w:cs="Arial"/>
                <w:b/>
                <w:bCs/>
              </w:rPr>
              <w:t>2E2</w:t>
            </w:r>
          </w:p>
        </w:tc>
        <w:tc>
          <w:tcPr>
            <w:tcW w:w="1598" w:type="dxa"/>
            <w:shd w:val="clear" w:color="auto" w:fill="F2F2F2" w:themeFill="background1" w:themeFillShade="F2"/>
            <w:vAlign w:val="center"/>
          </w:tcPr>
          <w:p w14:paraId="6D8FD392" w14:textId="25C70C88" w:rsidR="00E56813" w:rsidRPr="002A4623" w:rsidRDefault="00E56813" w:rsidP="00B06E28">
            <w:pPr>
              <w:jc w:val="center"/>
              <w:rPr>
                <w:rFonts w:ascii="Arial" w:hAnsi="Arial" w:cs="Arial"/>
              </w:rPr>
            </w:pPr>
            <w:r w:rsidRPr="002A4623">
              <w:rPr>
                <w:rFonts w:ascii="Arial" w:hAnsi="Arial" w:cs="Arial"/>
              </w:rPr>
              <w:t>N/A</w:t>
            </w:r>
          </w:p>
        </w:tc>
        <w:tc>
          <w:tcPr>
            <w:tcW w:w="1598" w:type="dxa"/>
            <w:shd w:val="clear" w:color="auto" w:fill="F2F2F2" w:themeFill="background1" w:themeFillShade="F2"/>
            <w:vAlign w:val="center"/>
          </w:tcPr>
          <w:p w14:paraId="41B472AA" w14:textId="603886C2" w:rsidR="00E56813" w:rsidRPr="002A4623" w:rsidRDefault="00E56813" w:rsidP="00B06E28">
            <w:pPr>
              <w:jc w:val="center"/>
              <w:rPr>
                <w:rFonts w:ascii="Arial" w:hAnsi="Arial" w:cs="Arial"/>
              </w:rPr>
            </w:pPr>
            <w:r w:rsidRPr="002A4623">
              <w:rPr>
                <w:rFonts w:ascii="Arial" w:hAnsi="Arial" w:cs="Arial"/>
              </w:rPr>
              <w:t>N/A</w:t>
            </w:r>
          </w:p>
        </w:tc>
        <w:tc>
          <w:tcPr>
            <w:tcW w:w="1598" w:type="dxa"/>
            <w:shd w:val="clear" w:color="auto" w:fill="F2F2F2" w:themeFill="background1" w:themeFillShade="F2"/>
            <w:vAlign w:val="center"/>
          </w:tcPr>
          <w:p w14:paraId="429FA984" w14:textId="7396BA02" w:rsidR="00E56813" w:rsidRPr="002A4623" w:rsidRDefault="00E56813" w:rsidP="00B06E28">
            <w:pPr>
              <w:jc w:val="center"/>
              <w:rPr>
                <w:rFonts w:ascii="Arial" w:hAnsi="Arial" w:cs="Arial"/>
              </w:rPr>
            </w:pPr>
            <w:r w:rsidRPr="002A4623">
              <w:rPr>
                <w:rFonts w:ascii="Arial" w:hAnsi="Arial" w:cs="Arial"/>
              </w:rPr>
              <w:t>N/A</w:t>
            </w:r>
          </w:p>
        </w:tc>
        <w:tc>
          <w:tcPr>
            <w:tcW w:w="1598" w:type="dxa"/>
            <w:shd w:val="clear" w:color="auto" w:fill="F2F2F2" w:themeFill="background1" w:themeFillShade="F2"/>
            <w:vAlign w:val="center"/>
          </w:tcPr>
          <w:p w14:paraId="02370AEB" w14:textId="5C541F6B" w:rsidR="00E56813" w:rsidRPr="002A4623" w:rsidRDefault="00661351" w:rsidP="00B06E28">
            <w:pPr>
              <w:jc w:val="center"/>
              <w:rPr>
                <w:rFonts w:ascii="Arial" w:hAnsi="Arial" w:cs="Arial"/>
              </w:rPr>
            </w:pPr>
            <w:r>
              <w:rPr>
                <w:rFonts w:ascii="Arial" w:hAnsi="Arial" w:cs="Arial"/>
              </w:rPr>
              <w:t>$120,00</w:t>
            </w:r>
            <w:r w:rsidR="00932902">
              <w:rPr>
                <w:rFonts w:ascii="Arial" w:hAnsi="Arial" w:cs="Arial"/>
              </w:rPr>
              <w:t>0</w:t>
            </w:r>
          </w:p>
        </w:tc>
        <w:tc>
          <w:tcPr>
            <w:tcW w:w="1598" w:type="dxa"/>
            <w:shd w:val="clear" w:color="auto" w:fill="F2F2F2" w:themeFill="background1" w:themeFillShade="F2"/>
            <w:vAlign w:val="center"/>
          </w:tcPr>
          <w:p w14:paraId="14AA844F" w14:textId="72FF3AE7" w:rsidR="00E56813" w:rsidRPr="002A4623" w:rsidRDefault="00932902" w:rsidP="00B06E28">
            <w:pPr>
              <w:jc w:val="center"/>
              <w:rPr>
                <w:rFonts w:ascii="Arial" w:hAnsi="Arial" w:cs="Arial"/>
              </w:rPr>
            </w:pPr>
            <w:r>
              <w:rPr>
                <w:rFonts w:ascii="Arial" w:hAnsi="Arial" w:cs="Arial"/>
              </w:rPr>
              <w:t>$120,000</w:t>
            </w:r>
          </w:p>
        </w:tc>
        <w:tc>
          <w:tcPr>
            <w:tcW w:w="1598" w:type="dxa"/>
            <w:shd w:val="clear" w:color="auto" w:fill="F2F2F2" w:themeFill="background1" w:themeFillShade="F2"/>
            <w:vAlign w:val="center"/>
          </w:tcPr>
          <w:p w14:paraId="6CA2813F" w14:textId="58918D58" w:rsidR="00E56813" w:rsidRPr="002A4623" w:rsidRDefault="00E56813" w:rsidP="00B06E28">
            <w:pPr>
              <w:jc w:val="center"/>
              <w:rPr>
                <w:rFonts w:ascii="Arial" w:hAnsi="Arial" w:cs="Arial"/>
              </w:rPr>
            </w:pPr>
            <w:r w:rsidRPr="002A4623">
              <w:rPr>
                <w:rFonts w:ascii="Arial" w:hAnsi="Arial" w:cs="Arial"/>
              </w:rPr>
              <w:t>$120,000</w:t>
            </w:r>
          </w:p>
        </w:tc>
        <w:tc>
          <w:tcPr>
            <w:tcW w:w="1598" w:type="dxa"/>
            <w:shd w:val="clear" w:color="auto" w:fill="F2F2F2" w:themeFill="background1" w:themeFillShade="F2"/>
            <w:vAlign w:val="center"/>
          </w:tcPr>
          <w:p w14:paraId="314547B9" w14:textId="7D251FFC" w:rsidR="00E56813" w:rsidRPr="002A4623" w:rsidRDefault="00E56813" w:rsidP="00B06E28">
            <w:pPr>
              <w:jc w:val="center"/>
              <w:rPr>
                <w:rFonts w:ascii="Arial" w:hAnsi="Arial" w:cs="Arial"/>
              </w:rPr>
            </w:pPr>
            <w:r w:rsidRPr="002A4623">
              <w:rPr>
                <w:rFonts w:ascii="Arial" w:hAnsi="Arial" w:cs="Arial"/>
              </w:rPr>
              <w:t>$120,000</w:t>
            </w:r>
          </w:p>
        </w:tc>
        <w:tc>
          <w:tcPr>
            <w:tcW w:w="1598" w:type="dxa"/>
            <w:shd w:val="clear" w:color="auto" w:fill="F2F2F2" w:themeFill="background1" w:themeFillShade="F2"/>
            <w:vAlign w:val="center"/>
          </w:tcPr>
          <w:p w14:paraId="49DD452B" w14:textId="3096A31B" w:rsidR="00E56813" w:rsidRPr="002A4623" w:rsidRDefault="00E56813" w:rsidP="00B06E28">
            <w:pPr>
              <w:jc w:val="center"/>
              <w:rPr>
                <w:rFonts w:ascii="Arial" w:hAnsi="Arial" w:cs="Arial"/>
              </w:rPr>
            </w:pPr>
            <w:r w:rsidRPr="002A4623">
              <w:rPr>
                <w:rFonts w:ascii="Arial" w:hAnsi="Arial" w:cs="Arial"/>
              </w:rPr>
              <w:t>$120,000</w:t>
            </w:r>
          </w:p>
        </w:tc>
      </w:tr>
      <w:tr w:rsidR="00681F65" w:rsidRPr="002A4623" w14:paraId="6B138376" w14:textId="1F1B1C0C" w:rsidTr="00DF58C4">
        <w:trPr>
          <w:cantSplit/>
          <w:trHeight w:val="576"/>
        </w:trPr>
        <w:tc>
          <w:tcPr>
            <w:tcW w:w="2304" w:type="dxa"/>
            <w:vAlign w:val="center"/>
          </w:tcPr>
          <w:p w14:paraId="0DF1DF52" w14:textId="14258E92" w:rsidR="00D10702" w:rsidRPr="002A4623" w:rsidRDefault="00D10702" w:rsidP="006B284C">
            <w:pPr>
              <w:rPr>
                <w:rFonts w:ascii="Arial" w:hAnsi="Arial" w:cs="Arial"/>
                <w:b/>
                <w:bCs/>
              </w:rPr>
            </w:pPr>
            <w:r w:rsidRPr="002A4623">
              <w:rPr>
                <w:rFonts w:ascii="Arial" w:hAnsi="Arial" w:cs="Arial"/>
                <w:b/>
                <w:bCs/>
              </w:rPr>
              <w:t>AME</w:t>
            </w:r>
            <w:r w:rsidR="0046489D" w:rsidRPr="002A4623">
              <w:rPr>
                <w:rFonts w:ascii="Arial" w:hAnsi="Arial" w:cs="Arial"/>
                <w:b/>
                <w:bCs/>
              </w:rPr>
              <w:t xml:space="preserve"> – </w:t>
            </w:r>
            <w:r w:rsidRPr="002A4623">
              <w:rPr>
                <w:rFonts w:ascii="Arial" w:hAnsi="Arial" w:cs="Arial"/>
                <w:b/>
                <w:bCs/>
              </w:rPr>
              <w:t>Workforce</w:t>
            </w:r>
          </w:p>
        </w:tc>
        <w:tc>
          <w:tcPr>
            <w:tcW w:w="1598" w:type="dxa"/>
            <w:vAlign w:val="center"/>
          </w:tcPr>
          <w:p w14:paraId="131100B8" w14:textId="68944DE1" w:rsidR="00D10702" w:rsidRPr="002A4623" w:rsidRDefault="00D10702" w:rsidP="00B06E28">
            <w:pPr>
              <w:jc w:val="center"/>
              <w:rPr>
                <w:rFonts w:ascii="Arial" w:hAnsi="Arial" w:cs="Arial"/>
              </w:rPr>
            </w:pPr>
            <w:r w:rsidRPr="002A4623">
              <w:rPr>
                <w:rFonts w:ascii="Arial" w:hAnsi="Arial" w:cs="Arial"/>
              </w:rPr>
              <w:t>N/A</w:t>
            </w:r>
          </w:p>
        </w:tc>
        <w:tc>
          <w:tcPr>
            <w:tcW w:w="1598" w:type="dxa"/>
            <w:vAlign w:val="center"/>
          </w:tcPr>
          <w:p w14:paraId="0E55419A" w14:textId="1136AA99" w:rsidR="00D10702" w:rsidRPr="002A4623" w:rsidRDefault="00D10702" w:rsidP="00B06E28">
            <w:pPr>
              <w:jc w:val="center"/>
              <w:rPr>
                <w:rFonts w:ascii="Arial" w:hAnsi="Arial" w:cs="Arial"/>
              </w:rPr>
            </w:pPr>
            <w:r w:rsidRPr="002A4623">
              <w:rPr>
                <w:rFonts w:ascii="Arial" w:hAnsi="Arial" w:cs="Arial"/>
              </w:rPr>
              <w:t>N/A</w:t>
            </w:r>
          </w:p>
        </w:tc>
        <w:tc>
          <w:tcPr>
            <w:tcW w:w="1598" w:type="dxa"/>
            <w:vAlign w:val="center"/>
          </w:tcPr>
          <w:p w14:paraId="77C2719B" w14:textId="793B653A" w:rsidR="00D10702" w:rsidRPr="002A4623" w:rsidRDefault="00D10702" w:rsidP="00B06E28">
            <w:pPr>
              <w:jc w:val="center"/>
              <w:rPr>
                <w:rFonts w:ascii="Arial" w:hAnsi="Arial" w:cs="Arial"/>
              </w:rPr>
            </w:pPr>
            <w:r w:rsidRPr="002A4623">
              <w:rPr>
                <w:rFonts w:ascii="Arial" w:hAnsi="Arial" w:cs="Arial"/>
              </w:rPr>
              <w:t>N/A</w:t>
            </w:r>
          </w:p>
        </w:tc>
        <w:tc>
          <w:tcPr>
            <w:tcW w:w="1598" w:type="dxa"/>
            <w:vAlign w:val="center"/>
          </w:tcPr>
          <w:p w14:paraId="798D3E24" w14:textId="75ECC69B" w:rsidR="00D10702" w:rsidRPr="002A4623" w:rsidRDefault="00DF0497" w:rsidP="00B06E28">
            <w:pPr>
              <w:jc w:val="center"/>
              <w:rPr>
                <w:rFonts w:ascii="Arial" w:hAnsi="Arial" w:cs="Arial"/>
              </w:rPr>
            </w:pPr>
            <w:r w:rsidRPr="002A4623">
              <w:rPr>
                <w:rFonts w:ascii="Arial" w:hAnsi="Arial" w:cs="Arial"/>
              </w:rPr>
              <w:t>$240,000</w:t>
            </w:r>
          </w:p>
        </w:tc>
        <w:tc>
          <w:tcPr>
            <w:tcW w:w="1598" w:type="dxa"/>
            <w:vAlign w:val="center"/>
          </w:tcPr>
          <w:p w14:paraId="3A95EE94" w14:textId="3DF8594A" w:rsidR="00D10702" w:rsidRPr="002A4623" w:rsidRDefault="00A6154D" w:rsidP="00B06E28">
            <w:pPr>
              <w:jc w:val="center"/>
              <w:rPr>
                <w:rFonts w:ascii="Arial" w:hAnsi="Arial" w:cs="Arial"/>
              </w:rPr>
            </w:pPr>
            <w:r w:rsidRPr="002A4623">
              <w:rPr>
                <w:rFonts w:ascii="Arial" w:hAnsi="Arial" w:cs="Arial"/>
              </w:rPr>
              <w:t>$</w:t>
            </w:r>
            <w:r w:rsidR="00E56813" w:rsidRPr="002A4623">
              <w:rPr>
                <w:rFonts w:ascii="Arial" w:hAnsi="Arial" w:cs="Arial"/>
              </w:rPr>
              <w:t>3</w:t>
            </w:r>
            <w:r w:rsidRPr="002A4623">
              <w:rPr>
                <w:rFonts w:ascii="Arial" w:hAnsi="Arial" w:cs="Arial"/>
              </w:rPr>
              <w:t>4</w:t>
            </w:r>
            <w:r w:rsidR="00E56813" w:rsidRPr="002A4623">
              <w:rPr>
                <w:rFonts w:ascii="Arial" w:hAnsi="Arial" w:cs="Arial"/>
              </w:rPr>
              <w:t>5</w:t>
            </w:r>
            <w:r w:rsidRPr="002A4623">
              <w:rPr>
                <w:rFonts w:ascii="Arial" w:hAnsi="Arial" w:cs="Arial"/>
              </w:rPr>
              <w:t>,000</w:t>
            </w:r>
          </w:p>
        </w:tc>
        <w:tc>
          <w:tcPr>
            <w:tcW w:w="1598" w:type="dxa"/>
            <w:vAlign w:val="center"/>
          </w:tcPr>
          <w:p w14:paraId="24EE7537" w14:textId="29BC27C1" w:rsidR="00D10702" w:rsidRPr="002A4623" w:rsidRDefault="00A53E96" w:rsidP="00B06E28">
            <w:pPr>
              <w:jc w:val="center"/>
              <w:rPr>
                <w:rFonts w:ascii="Arial" w:hAnsi="Arial" w:cs="Arial"/>
              </w:rPr>
            </w:pPr>
            <w:r w:rsidRPr="002A4623">
              <w:rPr>
                <w:rFonts w:ascii="Arial" w:hAnsi="Arial" w:cs="Arial"/>
              </w:rPr>
              <w:t>$</w:t>
            </w:r>
            <w:r w:rsidR="00E56813" w:rsidRPr="002A4623">
              <w:rPr>
                <w:rFonts w:ascii="Arial" w:hAnsi="Arial" w:cs="Arial"/>
              </w:rPr>
              <w:t>924</w:t>
            </w:r>
            <w:r w:rsidRPr="002A4623">
              <w:rPr>
                <w:rFonts w:ascii="Arial" w:hAnsi="Arial" w:cs="Arial"/>
              </w:rPr>
              <w:t>,000</w:t>
            </w:r>
          </w:p>
        </w:tc>
        <w:tc>
          <w:tcPr>
            <w:tcW w:w="1598" w:type="dxa"/>
            <w:vAlign w:val="center"/>
          </w:tcPr>
          <w:p w14:paraId="63D66999" w14:textId="5C50B1DF" w:rsidR="00D10702" w:rsidRPr="002A4623" w:rsidRDefault="00A53E96" w:rsidP="00B06E28">
            <w:pPr>
              <w:jc w:val="center"/>
              <w:rPr>
                <w:rFonts w:ascii="Arial" w:hAnsi="Arial" w:cs="Arial"/>
              </w:rPr>
            </w:pPr>
            <w:r w:rsidRPr="002A4623">
              <w:rPr>
                <w:rFonts w:ascii="Arial" w:hAnsi="Arial" w:cs="Arial"/>
              </w:rPr>
              <w:t>$925,000</w:t>
            </w:r>
          </w:p>
        </w:tc>
        <w:tc>
          <w:tcPr>
            <w:tcW w:w="1598" w:type="dxa"/>
            <w:vAlign w:val="center"/>
          </w:tcPr>
          <w:p w14:paraId="6E0FA876" w14:textId="2CB5AAF3" w:rsidR="00D10702" w:rsidRPr="002A4623" w:rsidRDefault="00A53E96" w:rsidP="00B06E28">
            <w:pPr>
              <w:jc w:val="center"/>
              <w:rPr>
                <w:rFonts w:ascii="Arial" w:hAnsi="Arial" w:cs="Arial"/>
              </w:rPr>
            </w:pPr>
            <w:r w:rsidRPr="002A4623">
              <w:rPr>
                <w:rFonts w:ascii="Arial" w:hAnsi="Arial" w:cs="Arial"/>
              </w:rPr>
              <w:t>$925,000</w:t>
            </w:r>
          </w:p>
        </w:tc>
      </w:tr>
      <w:tr w:rsidR="006B284C" w:rsidRPr="002A4623" w14:paraId="65DFAD7D" w14:textId="69BEA83B" w:rsidTr="00DF58C4">
        <w:trPr>
          <w:cantSplit/>
          <w:trHeight w:val="576"/>
        </w:trPr>
        <w:tc>
          <w:tcPr>
            <w:tcW w:w="2304" w:type="dxa"/>
            <w:shd w:val="clear" w:color="auto" w:fill="F2F2F2" w:themeFill="background1" w:themeFillShade="F2"/>
            <w:vAlign w:val="center"/>
          </w:tcPr>
          <w:p w14:paraId="68072757" w14:textId="2C7990EA" w:rsidR="006B284C" w:rsidRPr="002A4623" w:rsidRDefault="006B284C" w:rsidP="006B284C">
            <w:pPr>
              <w:rPr>
                <w:rFonts w:ascii="Arial" w:hAnsi="Arial" w:cs="Arial"/>
                <w:b/>
                <w:bCs/>
              </w:rPr>
            </w:pPr>
            <w:r w:rsidRPr="002A4623">
              <w:rPr>
                <w:rFonts w:ascii="Arial" w:hAnsi="Arial" w:cs="Arial"/>
                <w:b/>
                <w:bCs/>
              </w:rPr>
              <w:t>CPA – Prop 98</w:t>
            </w:r>
          </w:p>
        </w:tc>
        <w:tc>
          <w:tcPr>
            <w:tcW w:w="1598" w:type="dxa"/>
            <w:shd w:val="clear" w:color="auto" w:fill="F2F2F2" w:themeFill="background1" w:themeFillShade="F2"/>
            <w:vAlign w:val="center"/>
          </w:tcPr>
          <w:p w14:paraId="757D2632" w14:textId="69E1DA49" w:rsidR="006B284C" w:rsidRPr="002A4623" w:rsidRDefault="006B284C" w:rsidP="00B06E28">
            <w:pPr>
              <w:jc w:val="center"/>
              <w:rPr>
                <w:rFonts w:ascii="Arial" w:hAnsi="Arial" w:cs="Arial"/>
              </w:rPr>
            </w:pPr>
            <w:r w:rsidRPr="002A4623">
              <w:rPr>
                <w:rFonts w:ascii="Arial" w:hAnsi="Arial" w:cs="Arial"/>
              </w:rPr>
              <w:t>$18.8 million</w:t>
            </w:r>
          </w:p>
        </w:tc>
        <w:tc>
          <w:tcPr>
            <w:tcW w:w="1598" w:type="dxa"/>
            <w:shd w:val="clear" w:color="auto" w:fill="F2F2F2" w:themeFill="background1" w:themeFillShade="F2"/>
            <w:vAlign w:val="center"/>
          </w:tcPr>
          <w:p w14:paraId="5D2F3417" w14:textId="4E7A590A" w:rsidR="006B284C" w:rsidRPr="002A4623" w:rsidRDefault="006B284C" w:rsidP="00B06E28">
            <w:pPr>
              <w:jc w:val="center"/>
              <w:rPr>
                <w:rFonts w:ascii="Arial" w:hAnsi="Arial" w:cs="Arial"/>
              </w:rPr>
            </w:pPr>
            <w:r w:rsidRPr="002A4623">
              <w:rPr>
                <w:rFonts w:ascii="Arial" w:hAnsi="Arial" w:cs="Arial"/>
              </w:rPr>
              <w:t>$18.8 million</w:t>
            </w:r>
          </w:p>
        </w:tc>
        <w:tc>
          <w:tcPr>
            <w:tcW w:w="1598" w:type="dxa"/>
            <w:shd w:val="clear" w:color="auto" w:fill="F2F2F2" w:themeFill="background1" w:themeFillShade="F2"/>
            <w:vAlign w:val="center"/>
          </w:tcPr>
          <w:p w14:paraId="76EE2DCB" w14:textId="46B6A4E2" w:rsidR="006B284C" w:rsidRPr="002A4623" w:rsidRDefault="006B284C" w:rsidP="00B06E28">
            <w:pPr>
              <w:jc w:val="center"/>
              <w:rPr>
                <w:rFonts w:ascii="Arial" w:hAnsi="Arial" w:cs="Arial"/>
              </w:rPr>
            </w:pPr>
            <w:r w:rsidRPr="002A4623">
              <w:rPr>
                <w:rFonts w:ascii="Arial" w:hAnsi="Arial" w:cs="Arial"/>
              </w:rPr>
              <w:t>$18.8 million</w:t>
            </w:r>
          </w:p>
        </w:tc>
        <w:tc>
          <w:tcPr>
            <w:tcW w:w="1598" w:type="dxa"/>
            <w:shd w:val="clear" w:color="auto" w:fill="F2F2F2" w:themeFill="background1" w:themeFillShade="F2"/>
            <w:vAlign w:val="center"/>
          </w:tcPr>
          <w:p w14:paraId="2A5FC3FA" w14:textId="67E03A2E" w:rsidR="006B284C" w:rsidRPr="002A4623" w:rsidRDefault="006B284C" w:rsidP="00B06E28">
            <w:pPr>
              <w:jc w:val="center"/>
              <w:rPr>
                <w:rFonts w:ascii="Arial" w:hAnsi="Arial" w:cs="Arial"/>
              </w:rPr>
            </w:pPr>
            <w:r w:rsidRPr="002A4623">
              <w:rPr>
                <w:rFonts w:ascii="Arial" w:hAnsi="Arial" w:cs="Arial"/>
              </w:rPr>
              <w:t>$18.8 million</w:t>
            </w:r>
          </w:p>
        </w:tc>
        <w:tc>
          <w:tcPr>
            <w:tcW w:w="1598" w:type="dxa"/>
            <w:shd w:val="clear" w:color="auto" w:fill="F2F2F2" w:themeFill="background1" w:themeFillShade="F2"/>
            <w:vAlign w:val="center"/>
          </w:tcPr>
          <w:p w14:paraId="36EE11C8" w14:textId="2024ECE0" w:rsidR="006B284C" w:rsidRPr="002A4623" w:rsidRDefault="006B284C" w:rsidP="00B06E28">
            <w:pPr>
              <w:jc w:val="center"/>
              <w:rPr>
                <w:rFonts w:ascii="Arial" w:hAnsi="Arial" w:cs="Arial"/>
              </w:rPr>
            </w:pPr>
            <w:r w:rsidRPr="002A4623">
              <w:rPr>
                <w:rFonts w:ascii="Arial" w:hAnsi="Arial" w:cs="Arial"/>
              </w:rPr>
              <w:t>$18.8 million</w:t>
            </w:r>
          </w:p>
        </w:tc>
        <w:tc>
          <w:tcPr>
            <w:tcW w:w="1598" w:type="dxa"/>
            <w:shd w:val="clear" w:color="auto" w:fill="F2F2F2" w:themeFill="background1" w:themeFillShade="F2"/>
            <w:vAlign w:val="center"/>
          </w:tcPr>
          <w:p w14:paraId="662CF5D4" w14:textId="43A01202" w:rsidR="006B284C" w:rsidRPr="002A4623" w:rsidRDefault="006B284C" w:rsidP="00B06E28">
            <w:pPr>
              <w:jc w:val="center"/>
              <w:rPr>
                <w:rFonts w:ascii="Arial" w:hAnsi="Arial" w:cs="Arial"/>
              </w:rPr>
            </w:pPr>
            <w:r w:rsidRPr="002A4623">
              <w:rPr>
                <w:rFonts w:ascii="Arial" w:hAnsi="Arial" w:cs="Arial"/>
              </w:rPr>
              <w:t>$18.8 million</w:t>
            </w:r>
          </w:p>
        </w:tc>
        <w:tc>
          <w:tcPr>
            <w:tcW w:w="1598" w:type="dxa"/>
            <w:shd w:val="clear" w:color="auto" w:fill="F2F2F2" w:themeFill="background1" w:themeFillShade="F2"/>
            <w:vAlign w:val="center"/>
          </w:tcPr>
          <w:p w14:paraId="5209FD47" w14:textId="6EDFBF40" w:rsidR="006B284C" w:rsidRPr="002A4623" w:rsidRDefault="006B284C" w:rsidP="00B06E28">
            <w:pPr>
              <w:jc w:val="center"/>
              <w:rPr>
                <w:rFonts w:ascii="Arial" w:hAnsi="Arial" w:cs="Arial"/>
              </w:rPr>
            </w:pPr>
            <w:r w:rsidRPr="002A4623">
              <w:rPr>
                <w:rFonts w:ascii="Arial" w:hAnsi="Arial" w:cs="Arial"/>
              </w:rPr>
              <w:t>$18.8 million</w:t>
            </w:r>
          </w:p>
        </w:tc>
        <w:tc>
          <w:tcPr>
            <w:tcW w:w="1598" w:type="dxa"/>
            <w:shd w:val="clear" w:color="auto" w:fill="F2F2F2" w:themeFill="background1" w:themeFillShade="F2"/>
            <w:vAlign w:val="center"/>
          </w:tcPr>
          <w:p w14:paraId="5248D8E4" w14:textId="18B8E301" w:rsidR="006B284C" w:rsidRPr="002A4623" w:rsidRDefault="006B284C" w:rsidP="00B06E28">
            <w:pPr>
              <w:jc w:val="center"/>
              <w:rPr>
                <w:rFonts w:ascii="Arial" w:hAnsi="Arial" w:cs="Arial"/>
              </w:rPr>
            </w:pPr>
            <w:r w:rsidRPr="002A4623">
              <w:rPr>
                <w:rFonts w:ascii="Arial" w:hAnsi="Arial" w:cs="Arial"/>
              </w:rPr>
              <w:t>$18.8 million</w:t>
            </w:r>
          </w:p>
        </w:tc>
      </w:tr>
      <w:tr w:rsidR="00681F65" w:rsidRPr="002A4623" w14:paraId="12B3F31C" w14:textId="4FB58D86" w:rsidTr="00DF58C4">
        <w:trPr>
          <w:cantSplit/>
          <w:trHeight w:val="576"/>
        </w:trPr>
        <w:tc>
          <w:tcPr>
            <w:tcW w:w="2304" w:type="dxa"/>
            <w:vAlign w:val="center"/>
          </w:tcPr>
          <w:p w14:paraId="176C546C" w14:textId="2B390514" w:rsidR="00D10702" w:rsidRPr="002A4623" w:rsidRDefault="00D10702" w:rsidP="006B284C">
            <w:pPr>
              <w:rPr>
                <w:rFonts w:ascii="Arial" w:hAnsi="Arial" w:cs="Arial"/>
                <w:b/>
                <w:bCs/>
              </w:rPr>
            </w:pPr>
            <w:r w:rsidRPr="002A4623">
              <w:rPr>
                <w:rFonts w:ascii="Arial" w:hAnsi="Arial" w:cs="Arial"/>
                <w:b/>
                <w:bCs/>
              </w:rPr>
              <w:t>CPA – CTEI</w:t>
            </w:r>
          </w:p>
        </w:tc>
        <w:tc>
          <w:tcPr>
            <w:tcW w:w="1598" w:type="dxa"/>
            <w:vAlign w:val="center"/>
          </w:tcPr>
          <w:p w14:paraId="31EF77CC" w14:textId="4EA41C33" w:rsidR="00D10702" w:rsidRPr="002A4623" w:rsidRDefault="002A4623" w:rsidP="00B06E28">
            <w:pPr>
              <w:jc w:val="center"/>
              <w:rPr>
                <w:rFonts w:ascii="Arial" w:hAnsi="Arial" w:cs="Arial"/>
              </w:rPr>
            </w:pPr>
            <w:r w:rsidRPr="002A4623">
              <w:rPr>
                <w:rFonts w:ascii="Arial" w:hAnsi="Arial" w:cs="Arial"/>
              </w:rPr>
              <w:t>$8.5 million</w:t>
            </w:r>
          </w:p>
        </w:tc>
        <w:tc>
          <w:tcPr>
            <w:tcW w:w="1598" w:type="dxa"/>
            <w:vAlign w:val="center"/>
          </w:tcPr>
          <w:p w14:paraId="4AD3884D" w14:textId="5395D9B9" w:rsidR="00D10702" w:rsidRPr="002A4623" w:rsidRDefault="002A4623" w:rsidP="00B06E28">
            <w:pPr>
              <w:jc w:val="center"/>
              <w:rPr>
                <w:rFonts w:ascii="Arial" w:hAnsi="Arial" w:cs="Arial"/>
              </w:rPr>
            </w:pPr>
            <w:r w:rsidRPr="002A4623">
              <w:rPr>
                <w:rFonts w:ascii="Arial" w:hAnsi="Arial" w:cs="Arial"/>
              </w:rPr>
              <w:t>$8.5 million</w:t>
            </w:r>
          </w:p>
        </w:tc>
        <w:tc>
          <w:tcPr>
            <w:tcW w:w="1598" w:type="dxa"/>
            <w:vAlign w:val="center"/>
          </w:tcPr>
          <w:p w14:paraId="3020DED8" w14:textId="6158BE4C" w:rsidR="00D10702" w:rsidRPr="002A4623" w:rsidRDefault="002A4623" w:rsidP="00B06E28">
            <w:pPr>
              <w:jc w:val="center"/>
              <w:rPr>
                <w:rFonts w:ascii="Arial" w:hAnsi="Arial" w:cs="Arial"/>
              </w:rPr>
            </w:pPr>
            <w:r w:rsidRPr="002A4623">
              <w:rPr>
                <w:rFonts w:ascii="Arial" w:hAnsi="Arial" w:cs="Arial"/>
              </w:rPr>
              <w:t>$8.5 million</w:t>
            </w:r>
          </w:p>
        </w:tc>
        <w:tc>
          <w:tcPr>
            <w:tcW w:w="1598" w:type="dxa"/>
            <w:vAlign w:val="center"/>
          </w:tcPr>
          <w:p w14:paraId="7811DB62" w14:textId="53D55F79" w:rsidR="00D10702" w:rsidRPr="002A4623" w:rsidRDefault="00D10702" w:rsidP="00B06E28">
            <w:pPr>
              <w:jc w:val="center"/>
              <w:rPr>
                <w:rFonts w:ascii="Arial" w:hAnsi="Arial" w:cs="Arial"/>
              </w:rPr>
            </w:pPr>
            <w:r w:rsidRPr="002A4623">
              <w:rPr>
                <w:rFonts w:ascii="Arial" w:hAnsi="Arial" w:cs="Arial"/>
              </w:rPr>
              <w:t>$9.4 million</w:t>
            </w:r>
          </w:p>
        </w:tc>
        <w:tc>
          <w:tcPr>
            <w:tcW w:w="1598" w:type="dxa"/>
            <w:vAlign w:val="center"/>
          </w:tcPr>
          <w:p w14:paraId="601A336A" w14:textId="5E4BCAE3" w:rsidR="00D10702" w:rsidRPr="002A4623" w:rsidRDefault="00A6154D" w:rsidP="00B06E28">
            <w:pPr>
              <w:jc w:val="center"/>
              <w:rPr>
                <w:rFonts w:ascii="Arial" w:hAnsi="Arial" w:cs="Arial"/>
              </w:rPr>
            </w:pPr>
            <w:r w:rsidRPr="002A4623">
              <w:rPr>
                <w:rFonts w:ascii="Arial" w:hAnsi="Arial" w:cs="Arial"/>
              </w:rPr>
              <w:t>$9.5 million</w:t>
            </w:r>
          </w:p>
        </w:tc>
        <w:tc>
          <w:tcPr>
            <w:tcW w:w="1598" w:type="dxa"/>
            <w:vAlign w:val="center"/>
          </w:tcPr>
          <w:p w14:paraId="68334A3D" w14:textId="2D4546FC" w:rsidR="00D10702" w:rsidRPr="002A4623" w:rsidRDefault="002A4623" w:rsidP="00B06E28">
            <w:pPr>
              <w:jc w:val="center"/>
              <w:rPr>
                <w:rFonts w:ascii="Arial" w:hAnsi="Arial" w:cs="Arial"/>
              </w:rPr>
            </w:pPr>
            <w:r w:rsidRPr="002A4623">
              <w:rPr>
                <w:rFonts w:ascii="Arial" w:hAnsi="Arial" w:cs="Arial"/>
              </w:rPr>
              <w:t>$9.5 million</w:t>
            </w:r>
          </w:p>
        </w:tc>
        <w:tc>
          <w:tcPr>
            <w:tcW w:w="1598" w:type="dxa"/>
            <w:vAlign w:val="center"/>
          </w:tcPr>
          <w:p w14:paraId="7CA55D78" w14:textId="54898510" w:rsidR="00D10702" w:rsidRPr="002A4623" w:rsidRDefault="002A4623" w:rsidP="00B06E28">
            <w:pPr>
              <w:jc w:val="center"/>
              <w:rPr>
                <w:rFonts w:ascii="Arial" w:hAnsi="Arial" w:cs="Arial"/>
              </w:rPr>
            </w:pPr>
            <w:r w:rsidRPr="002A4623">
              <w:rPr>
                <w:rFonts w:ascii="Arial" w:hAnsi="Arial" w:cs="Arial"/>
              </w:rPr>
              <w:t>$9.5 million</w:t>
            </w:r>
          </w:p>
        </w:tc>
        <w:tc>
          <w:tcPr>
            <w:tcW w:w="1598" w:type="dxa"/>
            <w:vAlign w:val="center"/>
          </w:tcPr>
          <w:p w14:paraId="030340B3" w14:textId="3EA43361" w:rsidR="00D10702" w:rsidRPr="002A4623" w:rsidRDefault="002A4623" w:rsidP="00B06E28">
            <w:pPr>
              <w:jc w:val="center"/>
              <w:rPr>
                <w:rFonts w:ascii="Arial" w:hAnsi="Arial" w:cs="Arial"/>
              </w:rPr>
            </w:pPr>
            <w:r w:rsidRPr="002A4623">
              <w:rPr>
                <w:rFonts w:ascii="Arial" w:hAnsi="Arial" w:cs="Arial"/>
              </w:rPr>
              <w:t>$9.5 million</w:t>
            </w:r>
          </w:p>
        </w:tc>
      </w:tr>
      <w:tr w:rsidR="005E41F7" w:rsidRPr="002A4623" w14:paraId="2C8E216D" w14:textId="77777777" w:rsidTr="00DF58C4">
        <w:trPr>
          <w:cantSplit/>
          <w:trHeight w:val="576"/>
        </w:trPr>
        <w:tc>
          <w:tcPr>
            <w:tcW w:w="2304" w:type="dxa"/>
            <w:vAlign w:val="center"/>
          </w:tcPr>
          <w:p w14:paraId="22F9FBDC" w14:textId="4E7442A1" w:rsidR="005E41F7" w:rsidRPr="0046489D" w:rsidRDefault="005E41F7" w:rsidP="006B284C">
            <w:pPr>
              <w:rPr>
                <w:rFonts w:ascii="Arial" w:hAnsi="Arial" w:cs="Arial"/>
                <w:b/>
                <w:bCs/>
              </w:rPr>
            </w:pPr>
            <w:r w:rsidRPr="0046489D">
              <w:rPr>
                <w:rFonts w:ascii="Arial" w:hAnsi="Arial" w:cs="Arial"/>
                <w:b/>
                <w:bCs/>
              </w:rPr>
              <w:t>Total by Year</w:t>
            </w:r>
          </w:p>
        </w:tc>
        <w:tc>
          <w:tcPr>
            <w:tcW w:w="1598" w:type="dxa"/>
            <w:vAlign w:val="center"/>
          </w:tcPr>
          <w:p w14:paraId="6B3FDC7E" w14:textId="508FC447" w:rsidR="005E41F7" w:rsidRPr="0046489D" w:rsidRDefault="005E41F7" w:rsidP="00B06E28">
            <w:pPr>
              <w:jc w:val="center"/>
              <w:rPr>
                <w:rFonts w:ascii="Arial" w:hAnsi="Arial" w:cs="Arial"/>
                <w:b/>
                <w:bCs/>
              </w:rPr>
            </w:pPr>
            <w:r w:rsidRPr="0046489D">
              <w:rPr>
                <w:rFonts w:ascii="Arial" w:hAnsi="Arial" w:cs="Arial"/>
                <w:b/>
                <w:bCs/>
              </w:rPr>
              <w:t>$279 million</w:t>
            </w:r>
          </w:p>
        </w:tc>
        <w:tc>
          <w:tcPr>
            <w:tcW w:w="1598" w:type="dxa"/>
            <w:vAlign w:val="center"/>
          </w:tcPr>
          <w:p w14:paraId="0BFAC91C" w14:textId="6674ED0C" w:rsidR="005E41F7" w:rsidRPr="0046489D" w:rsidRDefault="005E41F7" w:rsidP="00B06E28">
            <w:pPr>
              <w:jc w:val="center"/>
              <w:rPr>
                <w:rFonts w:ascii="Arial" w:hAnsi="Arial" w:cs="Arial"/>
                <w:b/>
                <w:bCs/>
              </w:rPr>
            </w:pPr>
            <w:r w:rsidRPr="0046489D">
              <w:rPr>
                <w:rFonts w:ascii="Arial" w:hAnsi="Arial" w:cs="Arial"/>
                <w:b/>
                <w:bCs/>
              </w:rPr>
              <w:t>$284 million</w:t>
            </w:r>
          </w:p>
        </w:tc>
        <w:tc>
          <w:tcPr>
            <w:tcW w:w="1598" w:type="dxa"/>
            <w:vAlign w:val="center"/>
          </w:tcPr>
          <w:p w14:paraId="2F01EA0D" w14:textId="5331DD3D" w:rsidR="005E41F7" w:rsidRPr="0046489D" w:rsidRDefault="002C0C8A" w:rsidP="00B06E28">
            <w:pPr>
              <w:jc w:val="center"/>
              <w:rPr>
                <w:rFonts w:ascii="Arial" w:hAnsi="Arial" w:cs="Arial"/>
                <w:b/>
                <w:bCs/>
              </w:rPr>
            </w:pPr>
            <w:r w:rsidRPr="0046489D">
              <w:rPr>
                <w:rFonts w:ascii="Arial" w:hAnsi="Arial" w:cs="Arial"/>
                <w:b/>
                <w:bCs/>
              </w:rPr>
              <w:t>$291 million</w:t>
            </w:r>
          </w:p>
        </w:tc>
        <w:tc>
          <w:tcPr>
            <w:tcW w:w="1598" w:type="dxa"/>
            <w:vAlign w:val="center"/>
          </w:tcPr>
          <w:p w14:paraId="777CB502" w14:textId="7319395F" w:rsidR="005E41F7" w:rsidRPr="0046489D" w:rsidRDefault="002C0C8A" w:rsidP="00B06E28">
            <w:pPr>
              <w:jc w:val="center"/>
              <w:rPr>
                <w:rFonts w:ascii="Arial" w:hAnsi="Arial" w:cs="Arial"/>
                <w:b/>
                <w:bCs/>
              </w:rPr>
            </w:pPr>
            <w:r w:rsidRPr="0046489D">
              <w:rPr>
                <w:rFonts w:ascii="Arial" w:hAnsi="Arial" w:cs="Arial"/>
                <w:b/>
                <w:bCs/>
              </w:rPr>
              <w:t>$293 million</w:t>
            </w:r>
          </w:p>
        </w:tc>
        <w:tc>
          <w:tcPr>
            <w:tcW w:w="1598" w:type="dxa"/>
            <w:vAlign w:val="center"/>
          </w:tcPr>
          <w:p w14:paraId="06390817" w14:textId="2A440185" w:rsidR="005E41F7" w:rsidRPr="0046489D" w:rsidRDefault="00D15B1D" w:rsidP="00B06E28">
            <w:pPr>
              <w:jc w:val="center"/>
              <w:rPr>
                <w:rFonts w:ascii="Arial" w:hAnsi="Arial" w:cs="Arial"/>
                <w:b/>
                <w:bCs/>
              </w:rPr>
            </w:pPr>
            <w:r w:rsidRPr="0046489D">
              <w:rPr>
                <w:rFonts w:ascii="Arial" w:hAnsi="Arial" w:cs="Arial"/>
                <w:b/>
                <w:bCs/>
              </w:rPr>
              <w:t>$450 million</w:t>
            </w:r>
          </w:p>
        </w:tc>
        <w:tc>
          <w:tcPr>
            <w:tcW w:w="1598" w:type="dxa"/>
            <w:vAlign w:val="center"/>
          </w:tcPr>
          <w:p w14:paraId="54F7FF4B" w14:textId="1E0E0D5A" w:rsidR="005E41F7" w:rsidRPr="0046489D" w:rsidRDefault="00D15B1D" w:rsidP="00B06E28">
            <w:pPr>
              <w:jc w:val="center"/>
              <w:rPr>
                <w:rFonts w:ascii="Arial" w:hAnsi="Arial" w:cs="Arial"/>
                <w:b/>
                <w:bCs/>
              </w:rPr>
            </w:pPr>
            <w:r w:rsidRPr="0046489D">
              <w:rPr>
                <w:rFonts w:ascii="Arial" w:hAnsi="Arial" w:cs="Arial"/>
                <w:b/>
                <w:bCs/>
              </w:rPr>
              <w:t>$451 million</w:t>
            </w:r>
          </w:p>
        </w:tc>
        <w:tc>
          <w:tcPr>
            <w:tcW w:w="1598" w:type="dxa"/>
            <w:vAlign w:val="center"/>
          </w:tcPr>
          <w:p w14:paraId="4909CF24" w14:textId="34AFE358" w:rsidR="005E41F7" w:rsidRPr="0046489D" w:rsidRDefault="00BC0AC9" w:rsidP="00B06E28">
            <w:pPr>
              <w:jc w:val="center"/>
              <w:rPr>
                <w:rFonts w:ascii="Arial" w:hAnsi="Arial" w:cs="Arial"/>
                <w:b/>
                <w:bCs/>
              </w:rPr>
            </w:pPr>
            <w:r w:rsidRPr="0046489D">
              <w:rPr>
                <w:rFonts w:ascii="Arial" w:hAnsi="Arial" w:cs="Arial"/>
                <w:b/>
                <w:bCs/>
              </w:rPr>
              <w:t>$455 million</w:t>
            </w:r>
          </w:p>
        </w:tc>
        <w:tc>
          <w:tcPr>
            <w:tcW w:w="1598" w:type="dxa"/>
            <w:vAlign w:val="center"/>
          </w:tcPr>
          <w:p w14:paraId="185C6B54" w14:textId="07B3D9B6" w:rsidR="005E41F7" w:rsidRPr="0046489D" w:rsidRDefault="00BC0AC9" w:rsidP="00B06E28">
            <w:pPr>
              <w:jc w:val="center"/>
              <w:rPr>
                <w:rFonts w:ascii="Arial" w:hAnsi="Arial" w:cs="Arial"/>
                <w:b/>
                <w:bCs/>
              </w:rPr>
            </w:pPr>
            <w:r w:rsidRPr="0046489D">
              <w:rPr>
                <w:rFonts w:ascii="Arial" w:hAnsi="Arial" w:cs="Arial"/>
                <w:b/>
                <w:bCs/>
              </w:rPr>
              <w:t>$456 million</w:t>
            </w:r>
          </w:p>
        </w:tc>
      </w:tr>
    </w:tbl>
    <w:p w14:paraId="5FB6C349" w14:textId="275D219C" w:rsidR="00491361" w:rsidRPr="002A4623" w:rsidRDefault="00491361" w:rsidP="006B284C">
      <w:pPr>
        <w:spacing w:before="240" w:after="240"/>
        <w:rPr>
          <w:rFonts w:ascii="Arial" w:hAnsi="Arial" w:cs="Arial"/>
        </w:rPr>
      </w:pPr>
    </w:p>
    <w:sectPr w:rsidR="00491361" w:rsidRPr="002A4623" w:rsidSect="00345B5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7CB72" w14:textId="77777777" w:rsidR="00B24BA7" w:rsidRDefault="00B24BA7">
      <w:pPr>
        <w:spacing w:after="0" w:line="240" w:lineRule="auto"/>
      </w:pPr>
      <w:r>
        <w:separator/>
      </w:r>
    </w:p>
  </w:endnote>
  <w:endnote w:type="continuationSeparator" w:id="0">
    <w:p w14:paraId="40ECD6EE" w14:textId="77777777" w:rsidR="00B24BA7" w:rsidRDefault="00B24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03247"/>
      <w:docPartObj>
        <w:docPartGallery w:val="Page Numbers (Bottom of Page)"/>
        <w:docPartUnique/>
      </w:docPartObj>
    </w:sdtPr>
    <w:sdtEndPr>
      <w:rPr>
        <w:noProof/>
      </w:rPr>
    </w:sdtEndPr>
    <w:sdtContent>
      <w:p w14:paraId="04EE4AF3" w14:textId="77777777" w:rsidR="00252848" w:rsidRDefault="00252848">
        <w:pPr>
          <w:pStyle w:val="Footer"/>
          <w:jc w:val="center"/>
        </w:pPr>
        <w:r w:rsidRPr="006B284C">
          <w:rPr>
            <w:rFonts w:ascii="Arial" w:hAnsi="Arial" w:cs="Arial"/>
          </w:rPr>
          <w:fldChar w:fldCharType="begin"/>
        </w:r>
        <w:r w:rsidRPr="006B284C">
          <w:rPr>
            <w:rFonts w:ascii="Arial" w:hAnsi="Arial" w:cs="Arial"/>
          </w:rPr>
          <w:instrText xml:space="preserve"> PAGE   \* MERGEFORMAT </w:instrText>
        </w:r>
        <w:r w:rsidRPr="006B284C">
          <w:rPr>
            <w:rFonts w:ascii="Arial" w:hAnsi="Arial" w:cs="Arial"/>
          </w:rPr>
          <w:fldChar w:fldCharType="separate"/>
        </w:r>
        <w:r w:rsidRPr="006B284C">
          <w:rPr>
            <w:rFonts w:ascii="Arial" w:hAnsi="Arial" w:cs="Arial"/>
            <w:noProof/>
          </w:rPr>
          <w:t>2</w:t>
        </w:r>
        <w:r w:rsidRPr="006B284C">
          <w:rPr>
            <w:rFonts w:ascii="Arial" w:hAnsi="Arial" w:cs="Arial"/>
            <w:noProof/>
          </w:rPr>
          <w:fldChar w:fldCharType="end"/>
        </w:r>
      </w:p>
    </w:sdtContent>
  </w:sdt>
  <w:p w14:paraId="44BDFF61" w14:textId="77777777" w:rsidR="00252848" w:rsidRDefault="00252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9F8BA" w14:textId="77777777" w:rsidR="00B24BA7" w:rsidRDefault="00B24BA7">
      <w:pPr>
        <w:spacing w:after="0" w:line="240" w:lineRule="auto"/>
      </w:pPr>
      <w:r>
        <w:separator/>
      </w:r>
    </w:p>
  </w:footnote>
  <w:footnote w:type="continuationSeparator" w:id="0">
    <w:p w14:paraId="731845FE" w14:textId="77777777" w:rsidR="00B24BA7" w:rsidRDefault="00B24B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77C"/>
    <w:rsid w:val="000057D7"/>
    <w:rsid w:val="000A657E"/>
    <w:rsid w:val="000E1B14"/>
    <w:rsid w:val="001174C4"/>
    <w:rsid w:val="001459DB"/>
    <w:rsid w:val="0015581A"/>
    <w:rsid w:val="00161567"/>
    <w:rsid w:val="001625C1"/>
    <w:rsid w:val="00180A11"/>
    <w:rsid w:val="001842E3"/>
    <w:rsid w:val="001A7546"/>
    <w:rsid w:val="00213DB3"/>
    <w:rsid w:val="00251385"/>
    <w:rsid w:val="00252848"/>
    <w:rsid w:val="0026079D"/>
    <w:rsid w:val="00286D7C"/>
    <w:rsid w:val="002A3883"/>
    <w:rsid w:val="002A4623"/>
    <w:rsid w:val="002C0C8A"/>
    <w:rsid w:val="003370BD"/>
    <w:rsid w:val="003423A2"/>
    <w:rsid w:val="00345B55"/>
    <w:rsid w:val="00452DA0"/>
    <w:rsid w:val="00455B47"/>
    <w:rsid w:val="0046489D"/>
    <w:rsid w:val="00470EE3"/>
    <w:rsid w:val="00475CCC"/>
    <w:rsid w:val="00491361"/>
    <w:rsid w:val="004954C1"/>
    <w:rsid w:val="005036DC"/>
    <w:rsid w:val="00543381"/>
    <w:rsid w:val="005734A6"/>
    <w:rsid w:val="005876FF"/>
    <w:rsid w:val="005963CD"/>
    <w:rsid w:val="005D2870"/>
    <w:rsid w:val="005E19AE"/>
    <w:rsid w:val="005E3279"/>
    <w:rsid w:val="005E41F7"/>
    <w:rsid w:val="005F48D1"/>
    <w:rsid w:val="00600A8E"/>
    <w:rsid w:val="006012AD"/>
    <w:rsid w:val="00623322"/>
    <w:rsid w:val="0063277C"/>
    <w:rsid w:val="00661351"/>
    <w:rsid w:val="00681F65"/>
    <w:rsid w:val="00691448"/>
    <w:rsid w:val="0069329E"/>
    <w:rsid w:val="006A0199"/>
    <w:rsid w:val="006B284C"/>
    <w:rsid w:val="007171CF"/>
    <w:rsid w:val="00744DBB"/>
    <w:rsid w:val="007E0BFA"/>
    <w:rsid w:val="00804DA1"/>
    <w:rsid w:val="00811EAA"/>
    <w:rsid w:val="008130CD"/>
    <w:rsid w:val="008270FE"/>
    <w:rsid w:val="00894A15"/>
    <w:rsid w:val="008A6E8E"/>
    <w:rsid w:val="008F3361"/>
    <w:rsid w:val="008F4ED2"/>
    <w:rsid w:val="00932902"/>
    <w:rsid w:val="00933453"/>
    <w:rsid w:val="00941030"/>
    <w:rsid w:val="0095159F"/>
    <w:rsid w:val="00951A36"/>
    <w:rsid w:val="00970867"/>
    <w:rsid w:val="009832A2"/>
    <w:rsid w:val="009A1C16"/>
    <w:rsid w:val="009D74B1"/>
    <w:rsid w:val="00A03483"/>
    <w:rsid w:val="00A074AF"/>
    <w:rsid w:val="00A07501"/>
    <w:rsid w:val="00A4785C"/>
    <w:rsid w:val="00A53E96"/>
    <w:rsid w:val="00A6154D"/>
    <w:rsid w:val="00A61E7F"/>
    <w:rsid w:val="00AF1F52"/>
    <w:rsid w:val="00B06E28"/>
    <w:rsid w:val="00B24BA7"/>
    <w:rsid w:val="00BC0AC9"/>
    <w:rsid w:val="00BF101A"/>
    <w:rsid w:val="00C022E7"/>
    <w:rsid w:val="00C858B8"/>
    <w:rsid w:val="00CE1CAB"/>
    <w:rsid w:val="00D01A2E"/>
    <w:rsid w:val="00D10702"/>
    <w:rsid w:val="00D15B1D"/>
    <w:rsid w:val="00D20912"/>
    <w:rsid w:val="00D400A4"/>
    <w:rsid w:val="00D40CC0"/>
    <w:rsid w:val="00DA3DF1"/>
    <w:rsid w:val="00DE250B"/>
    <w:rsid w:val="00DE7015"/>
    <w:rsid w:val="00DF0497"/>
    <w:rsid w:val="00DF58C4"/>
    <w:rsid w:val="00E56813"/>
    <w:rsid w:val="00E70061"/>
    <w:rsid w:val="00EA4F15"/>
    <w:rsid w:val="00EC3514"/>
    <w:rsid w:val="00ED71E3"/>
    <w:rsid w:val="00F2480F"/>
    <w:rsid w:val="00F37BEA"/>
    <w:rsid w:val="00F6554D"/>
    <w:rsid w:val="00F744DC"/>
    <w:rsid w:val="00FC1F38"/>
    <w:rsid w:val="00FC46AD"/>
    <w:rsid w:val="00FC7A3A"/>
    <w:rsid w:val="00FD4542"/>
    <w:rsid w:val="00FF6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709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27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858B8"/>
    <w:pPr>
      <w:keepNext/>
      <w:keepLines/>
      <w:spacing w:before="160" w:after="80"/>
      <w:jc w:val="center"/>
      <w:outlineLvl w:val="1"/>
    </w:pPr>
    <w:rPr>
      <w:rFonts w:ascii="Arial" w:eastAsia="Times New Roman" w:hAnsi="Arial" w:cs="Arial"/>
      <w:b/>
      <w:bCs/>
      <w:sz w:val="28"/>
      <w:szCs w:val="28"/>
    </w:rPr>
  </w:style>
  <w:style w:type="paragraph" w:styleId="Heading3">
    <w:name w:val="heading 3"/>
    <w:basedOn w:val="Normal"/>
    <w:next w:val="Normal"/>
    <w:link w:val="Heading3Char"/>
    <w:autoRedefine/>
    <w:uiPriority w:val="9"/>
    <w:unhideWhenUsed/>
    <w:qFormat/>
    <w:rsid w:val="00A03483"/>
    <w:pPr>
      <w:keepNext/>
      <w:keepLines/>
      <w:spacing w:before="480" w:after="240"/>
      <w:outlineLvl w:val="2"/>
    </w:pPr>
    <w:rPr>
      <w:rFonts w:ascii="Arial" w:eastAsiaTheme="majorEastAsia" w:hAnsi="Arial" w:cs="Arial"/>
      <w:b/>
      <w:bCs/>
      <w:sz w:val="26"/>
    </w:rPr>
  </w:style>
  <w:style w:type="paragraph" w:styleId="Heading4">
    <w:name w:val="heading 4"/>
    <w:basedOn w:val="Normal"/>
    <w:next w:val="Normal"/>
    <w:link w:val="Heading4Char"/>
    <w:uiPriority w:val="9"/>
    <w:semiHidden/>
    <w:unhideWhenUsed/>
    <w:qFormat/>
    <w:rsid w:val="006327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27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27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27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27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27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7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858B8"/>
    <w:rPr>
      <w:rFonts w:ascii="Arial" w:eastAsia="Times New Roman" w:hAnsi="Arial" w:cs="Arial"/>
      <w:b/>
      <w:bCs/>
      <w:sz w:val="28"/>
      <w:szCs w:val="28"/>
    </w:rPr>
  </w:style>
  <w:style w:type="character" w:customStyle="1" w:styleId="Heading3Char">
    <w:name w:val="Heading 3 Char"/>
    <w:basedOn w:val="DefaultParagraphFont"/>
    <w:link w:val="Heading3"/>
    <w:uiPriority w:val="9"/>
    <w:rsid w:val="00A03483"/>
    <w:rPr>
      <w:rFonts w:ascii="Arial" w:eastAsiaTheme="majorEastAsia" w:hAnsi="Arial" w:cs="Arial"/>
      <w:b/>
      <w:bCs/>
      <w:sz w:val="26"/>
    </w:rPr>
  </w:style>
  <w:style w:type="character" w:customStyle="1" w:styleId="Heading4Char">
    <w:name w:val="Heading 4 Char"/>
    <w:basedOn w:val="DefaultParagraphFont"/>
    <w:link w:val="Heading4"/>
    <w:uiPriority w:val="9"/>
    <w:semiHidden/>
    <w:rsid w:val="006327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27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27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27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27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277C"/>
    <w:rPr>
      <w:rFonts w:eastAsiaTheme="majorEastAsia" w:cstheme="majorBidi"/>
      <w:color w:val="272727" w:themeColor="text1" w:themeTint="D8"/>
    </w:rPr>
  </w:style>
  <w:style w:type="paragraph" w:styleId="Title">
    <w:name w:val="Title"/>
    <w:basedOn w:val="Normal"/>
    <w:next w:val="Normal"/>
    <w:link w:val="TitleChar"/>
    <w:uiPriority w:val="10"/>
    <w:qFormat/>
    <w:rsid w:val="006327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27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27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27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277C"/>
    <w:pPr>
      <w:spacing w:before="160"/>
      <w:jc w:val="center"/>
    </w:pPr>
    <w:rPr>
      <w:i/>
      <w:iCs/>
      <w:color w:val="404040" w:themeColor="text1" w:themeTint="BF"/>
    </w:rPr>
  </w:style>
  <w:style w:type="character" w:customStyle="1" w:styleId="QuoteChar">
    <w:name w:val="Quote Char"/>
    <w:basedOn w:val="DefaultParagraphFont"/>
    <w:link w:val="Quote"/>
    <w:uiPriority w:val="29"/>
    <w:rsid w:val="0063277C"/>
    <w:rPr>
      <w:i/>
      <w:iCs/>
      <w:color w:val="404040" w:themeColor="text1" w:themeTint="BF"/>
    </w:rPr>
  </w:style>
  <w:style w:type="paragraph" w:styleId="ListParagraph">
    <w:name w:val="List Paragraph"/>
    <w:basedOn w:val="Normal"/>
    <w:uiPriority w:val="34"/>
    <w:qFormat/>
    <w:rsid w:val="0063277C"/>
    <w:pPr>
      <w:ind w:left="720"/>
      <w:contextualSpacing/>
    </w:pPr>
  </w:style>
  <w:style w:type="character" w:styleId="IntenseEmphasis">
    <w:name w:val="Intense Emphasis"/>
    <w:basedOn w:val="DefaultParagraphFont"/>
    <w:uiPriority w:val="21"/>
    <w:qFormat/>
    <w:rsid w:val="0063277C"/>
    <w:rPr>
      <w:i/>
      <w:iCs/>
      <w:color w:val="0F4761" w:themeColor="accent1" w:themeShade="BF"/>
    </w:rPr>
  </w:style>
  <w:style w:type="paragraph" w:styleId="IntenseQuote">
    <w:name w:val="Intense Quote"/>
    <w:basedOn w:val="Normal"/>
    <w:next w:val="Normal"/>
    <w:link w:val="IntenseQuoteChar"/>
    <w:uiPriority w:val="30"/>
    <w:qFormat/>
    <w:rsid w:val="006327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277C"/>
    <w:rPr>
      <w:i/>
      <w:iCs/>
      <w:color w:val="0F4761" w:themeColor="accent1" w:themeShade="BF"/>
    </w:rPr>
  </w:style>
  <w:style w:type="character" w:styleId="IntenseReference">
    <w:name w:val="Intense Reference"/>
    <w:basedOn w:val="DefaultParagraphFont"/>
    <w:uiPriority w:val="32"/>
    <w:qFormat/>
    <w:rsid w:val="0063277C"/>
    <w:rPr>
      <w:b/>
      <w:bCs/>
      <w:smallCaps/>
      <w:color w:val="0F4761" w:themeColor="accent1" w:themeShade="BF"/>
      <w:spacing w:val="5"/>
    </w:rPr>
  </w:style>
  <w:style w:type="paragraph" w:styleId="Footer">
    <w:name w:val="footer"/>
    <w:basedOn w:val="Normal"/>
    <w:link w:val="FooterChar"/>
    <w:uiPriority w:val="99"/>
    <w:rsid w:val="00252848"/>
    <w:pPr>
      <w:tabs>
        <w:tab w:val="center" w:pos="4680"/>
        <w:tab w:val="right" w:pos="9360"/>
      </w:tabs>
      <w:spacing w:after="0" w:line="240"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uiPriority w:val="99"/>
    <w:rsid w:val="00252848"/>
    <w:rPr>
      <w:rFonts w:ascii="Times New Roman" w:eastAsia="Times New Roman" w:hAnsi="Times New Roman" w:cs="Times New Roman"/>
      <w:kern w:val="0"/>
      <w14:ligatures w14:val="none"/>
    </w:rPr>
  </w:style>
  <w:style w:type="character" w:styleId="Hyperlink">
    <w:name w:val="Hyperlink"/>
    <w:uiPriority w:val="99"/>
    <w:rsid w:val="00C858B8"/>
    <w:rPr>
      <w:color w:val="0000FF"/>
      <w:u w:val="single"/>
    </w:rPr>
  </w:style>
  <w:style w:type="paragraph" w:styleId="Header">
    <w:name w:val="header"/>
    <w:basedOn w:val="Normal"/>
    <w:link w:val="HeaderChar"/>
    <w:rsid w:val="007E0BFA"/>
    <w:pPr>
      <w:tabs>
        <w:tab w:val="center" w:pos="4320"/>
        <w:tab w:val="right" w:pos="8640"/>
      </w:tabs>
      <w:spacing w:after="0" w:line="240" w:lineRule="auto"/>
    </w:pPr>
    <w:rPr>
      <w:rFonts w:ascii="Times New Roman" w:eastAsia="Times New Roman" w:hAnsi="Times New Roman" w:cs="Times New Roman"/>
      <w:kern w:val="0"/>
      <w14:ligatures w14:val="none"/>
    </w:rPr>
  </w:style>
  <w:style w:type="character" w:customStyle="1" w:styleId="HeaderChar">
    <w:name w:val="Header Char"/>
    <w:basedOn w:val="DefaultParagraphFont"/>
    <w:link w:val="Header"/>
    <w:rsid w:val="007E0BFA"/>
    <w:rPr>
      <w:rFonts w:ascii="Times New Roman" w:eastAsia="Times New Roman" w:hAnsi="Times New Roman" w:cs="Times New Roman"/>
      <w:kern w:val="0"/>
      <w14:ligatures w14:val="none"/>
    </w:rPr>
  </w:style>
  <w:style w:type="table" w:styleId="TableGrid">
    <w:name w:val="Table Grid"/>
    <w:basedOn w:val="TableNormal"/>
    <w:uiPriority w:val="39"/>
    <w:rsid w:val="00491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A4785C"/>
    <w:pPr>
      <w:tabs>
        <w:tab w:val="right" w:leader="dot" w:pos="9350"/>
      </w:tabs>
      <w:spacing w:before="240" w:after="240"/>
      <w:ind w:left="240"/>
    </w:pPr>
  </w:style>
  <w:style w:type="paragraph" w:styleId="TOC3">
    <w:name w:val="toc 3"/>
    <w:basedOn w:val="Normal"/>
    <w:next w:val="Normal"/>
    <w:autoRedefine/>
    <w:uiPriority w:val="39"/>
    <w:unhideWhenUsed/>
    <w:rsid w:val="00470EE3"/>
    <w:pPr>
      <w:tabs>
        <w:tab w:val="right" w:leader="dot" w:pos="9350"/>
      </w:tabs>
      <w:spacing w:after="100"/>
      <w:ind w:left="480"/>
    </w:pPr>
    <w:rPr>
      <w:rFonts w:ascii="Arial" w:hAnsi="Arial" w:cs="Arial"/>
      <w:b/>
      <w:bCs/>
      <w:noProof/>
    </w:rPr>
  </w:style>
  <w:style w:type="character" w:styleId="UnresolvedMention">
    <w:name w:val="Unresolved Mention"/>
    <w:basedOn w:val="DefaultParagraphFont"/>
    <w:uiPriority w:val="99"/>
    <w:semiHidden/>
    <w:unhideWhenUsed/>
    <w:rsid w:val="008270FE"/>
    <w:rPr>
      <w:color w:val="605E5C"/>
      <w:shd w:val="clear" w:color="auto" w:fill="E1DFDD"/>
    </w:rPr>
  </w:style>
  <w:style w:type="character" w:styleId="FollowedHyperlink">
    <w:name w:val="FollowedHyperlink"/>
    <w:basedOn w:val="DefaultParagraphFont"/>
    <w:uiPriority w:val="99"/>
    <w:semiHidden/>
    <w:unhideWhenUsed/>
    <w:rsid w:val="005D2870"/>
    <w:rPr>
      <w:color w:val="96607D" w:themeColor="followedHyperlink"/>
      <w:u w:val="single"/>
    </w:rPr>
  </w:style>
  <w:style w:type="paragraph" w:styleId="Revision">
    <w:name w:val="Revision"/>
    <w:hidden/>
    <w:uiPriority w:val="99"/>
    <w:semiHidden/>
    <w:rsid w:val="006012AD"/>
    <w:pPr>
      <w:spacing w:after="0" w:line="240" w:lineRule="auto"/>
    </w:pPr>
  </w:style>
  <w:style w:type="character" w:styleId="CommentReference">
    <w:name w:val="annotation reference"/>
    <w:basedOn w:val="DefaultParagraphFont"/>
    <w:uiPriority w:val="99"/>
    <w:semiHidden/>
    <w:unhideWhenUsed/>
    <w:rsid w:val="001A7546"/>
    <w:rPr>
      <w:sz w:val="16"/>
      <w:szCs w:val="16"/>
    </w:rPr>
  </w:style>
  <w:style w:type="paragraph" w:styleId="CommentText">
    <w:name w:val="annotation text"/>
    <w:basedOn w:val="Normal"/>
    <w:link w:val="CommentTextChar"/>
    <w:uiPriority w:val="99"/>
    <w:unhideWhenUsed/>
    <w:rsid w:val="001A7546"/>
    <w:pPr>
      <w:spacing w:line="240" w:lineRule="auto"/>
    </w:pPr>
    <w:rPr>
      <w:sz w:val="20"/>
      <w:szCs w:val="20"/>
    </w:rPr>
  </w:style>
  <w:style w:type="character" w:customStyle="1" w:styleId="CommentTextChar">
    <w:name w:val="Comment Text Char"/>
    <w:basedOn w:val="DefaultParagraphFont"/>
    <w:link w:val="CommentText"/>
    <w:uiPriority w:val="99"/>
    <w:rsid w:val="001A7546"/>
    <w:rPr>
      <w:sz w:val="20"/>
      <w:szCs w:val="20"/>
    </w:rPr>
  </w:style>
  <w:style w:type="paragraph" w:styleId="CommentSubject">
    <w:name w:val="annotation subject"/>
    <w:basedOn w:val="CommentText"/>
    <w:next w:val="CommentText"/>
    <w:link w:val="CommentSubjectChar"/>
    <w:uiPriority w:val="99"/>
    <w:semiHidden/>
    <w:unhideWhenUsed/>
    <w:rsid w:val="001A7546"/>
    <w:rPr>
      <w:b/>
      <w:bCs/>
    </w:rPr>
  </w:style>
  <w:style w:type="character" w:customStyle="1" w:styleId="CommentSubjectChar">
    <w:name w:val="Comment Subject Char"/>
    <w:basedOn w:val="CommentTextChar"/>
    <w:link w:val="CommentSubject"/>
    <w:uiPriority w:val="99"/>
    <w:semiHidden/>
    <w:rsid w:val="001A75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taging.cde.ca.gov/ci/ct/gi/index.asp" TargetMode="External"/><Relationship Id="rId4" Type="http://schemas.openxmlformats.org/officeDocument/2006/relationships/footnotes" Target="footnotes.xml"/><Relationship Id="rId9" Type="http://schemas.openxmlformats.org/officeDocument/2006/relationships/hyperlink" Target="mailto:rmoran@cde.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4140</Words>
  <Characters>24598</Characters>
  <Application>Microsoft Office Word</Application>
  <DocSecurity>0</DocSecurity>
  <Lines>502</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CTE Programs 2025 - General Information (CA Dept of Education)</dc:title>
  <dc:subject>Career Technical Education (CTE) Programs Information Report to the Governor, Legislature, and the Legislative Analyst’s Office.</dc:subject>
  <dc:creator/>
  <cp:keywords/>
  <dc:description/>
  <cp:lastModifiedBy/>
  <cp:revision>1</cp:revision>
  <dcterms:created xsi:type="dcterms:W3CDTF">2025-10-27T22:22:00Z</dcterms:created>
  <dcterms:modified xsi:type="dcterms:W3CDTF">2025-10-27T22:23:00Z</dcterms:modified>
</cp:coreProperties>
</file>