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06B2" w14:textId="77777777" w:rsidR="00252848" w:rsidRPr="00B3647D" w:rsidRDefault="00252848" w:rsidP="008850C5">
      <w:pPr>
        <w:pBdr>
          <w:top w:val="single" w:sz="24" w:space="1" w:color="auto"/>
          <w:left w:val="single" w:sz="24" w:space="4" w:color="auto"/>
          <w:bottom w:val="single" w:sz="24" w:space="1" w:color="auto"/>
          <w:right w:val="single" w:sz="24" w:space="4" w:color="auto"/>
        </w:pBdr>
        <w:spacing w:after="240" w:line="240" w:lineRule="auto"/>
        <w:jc w:val="both"/>
        <w:rPr>
          <w:rFonts w:ascii="Arial" w:eastAsia="Times New Roman" w:hAnsi="Arial" w:cs="Arial"/>
          <w:b/>
          <w:bCs/>
          <w:kern w:val="0"/>
          <w14:ligatures w14:val="none"/>
        </w:rPr>
      </w:pPr>
    </w:p>
    <w:p w14:paraId="529991E3" w14:textId="77777777" w:rsidR="00252848" w:rsidRPr="00B3647D"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B3647D">
        <w:rPr>
          <w:rFonts w:ascii="Arial" w:eastAsia="Times New Roman" w:hAnsi="Arial" w:cs="Arial"/>
          <w:b/>
          <w:bCs/>
          <w:kern w:val="0"/>
          <w14:ligatures w14:val="none"/>
        </w:rPr>
        <w:t>California Department of Education</w:t>
      </w:r>
    </w:p>
    <w:p w14:paraId="687E8648" w14:textId="76CD152B" w:rsidR="00252848" w:rsidRPr="00F16688" w:rsidRDefault="00252848" w:rsidP="00F16688">
      <w:pPr>
        <w:pStyle w:val="Heading1"/>
        <w:rPr>
          <w:sz w:val="32"/>
          <w:szCs w:val="32"/>
        </w:rPr>
      </w:pPr>
      <w:bookmarkStart w:id="0" w:name="_Hlk209167264"/>
      <w:r w:rsidRPr="00F16688">
        <w:rPr>
          <w:sz w:val="32"/>
          <w:szCs w:val="32"/>
        </w:rPr>
        <w:t>Report to the Legislature,</w:t>
      </w:r>
      <w:r w:rsidR="00941030" w:rsidRPr="00F16688">
        <w:rPr>
          <w:sz w:val="32"/>
          <w:szCs w:val="32"/>
        </w:rPr>
        <w:t xml:space="preserve"> the</w:t>
      </w:r>
      <w:r w:rsidRPr="00F16688">
        <w:rPr>
          <w:sz w:val="32"/>
          <w:szCs w:val="32"/>
        </w:rPr>
        <w:t xml:space="preserve"> </w:t>
      </w:r>
      <w:r w:rsidR="00941030" w:rsidRPr="00F16688">
        <w:rPr>
          <w:sz w:val="32"/>
          <w:szCs w:val="32"/>
        </w:rPr>
        <w:t>Department of Finance, and the State Board of Education</w:t>
      </w:r>
      <w:r w:rsidRPr="00F16688">
        <w:rPr>
          <w:sz w:val="32"/>
          <w:szCs w:val="32"/>
        </w:rPr>
        <w:t>:</w:t>
      </w:r>
      <w:r w:rsidR="005D3747" w:rsidRPr="00F16688">
        <w:rPr>
          <w:sz w:val="32"/>
          <w:szCs w:val="32"/>
        </w:rPr>
        <w:t xml:space="preserve"> </w:t>
      </w:r>
      <w:r w:rsidR="00DB2657" w:rsidRPr="00F16688">
        <w:rPr>
          <w:sz w:val="32"/>
          <w:szCs w:val="32"/>
        </w:rPr>
        <w:t xml:space="preserve">Feasibility of </w:t>
      </w:r>
      <w:r w:rsidR="005D3747" w:rsidRPr="00F16688">
        <w:rPr>
          <w:sz w:val="32"/>
          <w:szCs w:val="32"/>
        </w:rPr>
        <w:t>Streamlining the</w:t>
      </w:r>
      <w:r w:rsidRPr="00F16688">
        <w:rPr>
          <w:sz w:val="32"/>
          <w:szCs w:val="32"/>
        </w:rPr>
        <w:t xml:space="preserve"> Career Technical Education </w:t>
      </w:r>
      <w:r w:rsidR="00DB2657" w:rsidRPr="00F16688">
        <w:rPr>
          <w:sz w:val="32"/>
          <w:szCs w:val="32"/>
        </w:rPr>
        <w:t xml:space="preserve">Grant Application and Reporting Processes </w:t>
      </w:r>
      <w:r w:rsidR="005D3747" w:rsidRPr="00F16688">
        <w:rPr>
          <w:sz w:val="32"/>
          <w:szCs w:val="32"/>
        </w:rPr>
        <w:t>Overseen by the California Department of Education</w:t>
      </w:r>
    </w:p>
    <w:bookmarkEnd w:id="0"/>
    <w:p w14:paraId="58F269AC" w14:textId="77777777" w:rsidR="00252848" w:rsidRPr="00B3647D"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B3647D">
        <w:rPr>
          <w:rFonts w:ascii="Arial" w:eastAsia="Times New Roman" w:hAnsi="Arial" w:cs="Arial"/>
          <w:color w:val="C0C0C0"/>
          <w:kern w:val="0"/>
          <w14:ligatures w14:val="none"/>
        </w:rPr>
        <w:object w:dxaOrig="5999" w:dyaOrig="5999" w14:anchorId="5344C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80pt;height:180pt" o:ole="">
            <v:imagedata r:id="rId7" o:title=""/>
          </v:shape>
          <o:OLEObject Type="Embed" ProgID="MSPhotoEd.3" ShapeID="_x0000_i1025" DrawAspect="Content" ObjectID="_1834045752" r:id="rId8"/>
        </w:object>
      </w:r>
    </w:p>
    <w:p w14:paraId="66CCCC71" w14:textId="77777777" w:rsidR="00252848" w:rsidRPr="00B3647D"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iCs/>
          <w:kern w:val="0"/>
          <w14:ligatures w14:val="none"/>
        </w:rPr>
      </w:pPr>
      <w:r w:rsidRPr="00B3647D">
        <w:rPr>
          <w:rFonts w:ascii="Arial" w:eastAsia="Times New Roman" w:hAnsi="Arial" w:cs="Arial"/>
          <w:b/>
          <w:bCs/>
          <w:iCs/>
          <w:kern w:val="0"/>
          <w14:ligatures w14:val="none"/>
        </w:rPr>
        <w:t>Prepared by:</w:t>
      </w:r>
    </w:p>
    <w:p w14:paraId="59CBE689" w14:textId="77777777" w:rsidR="00252848" w:rsidRPr="00B3647D"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b/>
          <w:bCs/>
          <w:kern w:val="0"/>
          <w14:ligatures w14:val="none"/>
        </w:rPr>
      </w:pPr>
      <w:r w:rsidRPr="00B3647D">
        <w:rPr>
          <w:rFonts w:ascii="Arial" w:eastAsia="Times New Roman" w:hAnsi="Arial" w:cs="Arial"/>
          <w:b/>
          <w:bCs/>
          <w:kern w:val="0"/>
          <w14:ligatures w14:val="none"/>
        </w:rPr>
        <w:t>Career and College Transition Division</w:t>
      </w:r>
    </w:p>
    <w:p w14:paraId="7E580DA7" w14:textId="1BFFA4BF" w:rsidR="00252848" w:rsidRPr="00B3647D" w:rsidRDefault="005D3747" w:rsidP="00345B55">
      <w:pPr>
        <w:pBdr>
          <w:top w:val="single" w:sz="24" w:space="1" w:color="auto"/>
          <w:left w:val="single" w:sz="24" w:space="4" w:color="auto"/>
          <w:bottom w:val="single" w:sz="24" w:space="1" w:color="auto"/>
          <w:right w:val="single" w:sz="24" w:space="4" w:color="auto"/>
        </w:pBdr>
        <w:spacing w:before="240" w:after="240" w:line="240" w:lineRule="auto"/>
        <w:jc w:val="center"/>
        <w:rPr>
          <w:rFonts w:ascii="Arial" w:eastAsia="Times New Roman" w:hAnsi="Arial" w:cs="Arial"/>
          <w:iCs/>
          <w:kern w:val="0"/>
          <w14:ligatures w14:val="none"/>
        </w:rPr>
      </w:pPr>
      <w:r w:rsidRPr="00B3647D">
        <w:rPr>
          <w:rFonts w:ascii="Arial" w:eastAsia="Times New Roman" w:hAnsi="Arial" w:cs="Arial"/>
          <w:iCs/>
          <w:kern w:val="0"/>
          <w14:ligatures w14:val="none"/>
        </w:rPr>
        <w:t>November 2</w:t>
      </w:r>
      <w:r w:rsidR="00252848" w:rsidRPr="00B3647D">
        <w:rPr>
          <w:rFonts w:ascii="Arial" w:eastAsia="Times New Roman" w:hAnsi="Arial" w:cs="Arial"/>
          <w:iCs/>
          <w:kern w:val="0"/>
          <w14:ligatures w14:val="none"/>
        </w:rPr>
        <w:t>, 2025</w:t>
      </w:r>
    </w:p>
    <w:p w14:paraId="1310B17D" w14:textId="7228E28C" w:rsidR="00252848" w:rsidRPr="00B3647D" w:rsidRDefault="00252848" w:rsidP="005A2261">
      <w:pPr>
        <w:pBdr>
          <w:top w:val="single" w:sz="24" w:space="1" w:color="auto"/>
          <w:left w:val="single" w:sz="24" w:space="4" w:color="auto"/>
          <w:bottom w:val="single" w:sz="24" w:space="1" w:color="auto"/>
          <w:right w:val="single" w:sz="24" w:space="4" w:color="auto"/>
        </w:pBdr>
        <w:spacing w:before="240" w:after="240" w:line="240" w:lineRule="auto"/>
        <w:rPr>
          <w:rFonts w:ascii="Arial" w:eastAsia="Times New Roman" w:hAnsi="Arial" w:cs="Arial"/>
          <w:kern w:val="0"/>
          <w:lang w:bidi="en-US"/>
          <w14:ligatures w14:val="none"/>
        </w:rPr>
      </w:pPr>
      <w:r w:rsidRPr="00B3647D">
        <w:rPr>
          <w:rFonts w:ascii="Arial" w:eastAsia="Times New Roman" w:hAnsi="Arial" w:cs="Arial"/>
          <w:i/>
          <w:kern w:val="0"/>
          <w:lang w:bidi="en-US"/>
          <w14:ligatures w14:val="none"/>
        </w:rPr>
        <w:t>Description</w:t>
      </w:r>
      <w:r w:rsidRPr="00B3647D">
        <w:rPr>
          <w:rFonts w:ascii="Arial" w:eastAsia="Times New Roman" w:hAnsi="Arial" w:cs="Arial"/>
          <w:kern w:val="0"/>
          <w:lang w:bidi="en-US"/>
          <w14:ligatures w14:val="none"/>
        </w:rPr>
        <w:t>:</w:t>
      </w:r>
      <w:r w:rsidR="005D3747" w:rsidRPr="00B3647D">
        <w:rPr>
          <w:rFonts w:ascii="Arial" w:eastAsia="Times New Roman" w:hAnsi="Arial" w:cs="Arial"/>
          <w:kern w:val="0"/>
          <w:lang w:bidi="en-US"/>
          <w14:ligatures w14:val="none"/>
        </w:rPr>
        <w:t xml:space="preserve"> </w:t>
      </w:r>
      <w:r w:rsidR="00DB2657">
        <w:rPr>
          <w:rFonts w:ascii="Arial" w:eastAsia="Times New Roman" w:hAnsi="Arial" w:cs="Arial"/>
          <w:kern w:val="0"/>
          <w:lang w:bidi="en-US"/>
          <w14:ligatures w14:val="none"/>
        </w:rPr>
        <w:t xml:space="preserve">Feasibility of </w:t>
      </w:r>
      <w:r w:rsidR="005D3747" w:rsidRPr="00B3647D">
        <w:rPr>
          <w:rFonts w:ascii="Arial" w:eastAsia="Times New Roman" w:hAnsi="Arial" w:cs="Arial"/>
          <w:kern w:val="0"/>
          <w:lang w:bidi="en-US"/>
          <w14:ligatures w14:val="none"/>
        </w:rPr>
        <w:t>Streamlining the</w:t>
      </w:r>
      <w:r w:rsidRPr="00B3647D">
        <w:rPr>
          <w:rFonts w:ascii="Arial" w:eastAsia="Times New Roman" w:hAnsi="Arial" w:cs="Arial"/>
          <w:kern w:val="0"/>
          <w:lang w:bidi="en-US"/>
          <w14:ligatures w14:val="none"/>
        </w:rPr>
        <w:t xml:space="preserve"> Career Technical Education </w:t>
      </w:r>
      <w:r w:rsidR="00DB2657">
        <w:rPr>
          <w:rFonts w:ascii="Arial" w:eastAsia="Times New Roman" w:hAnsi="Arial" w:cs="Arial"/>
          <w:kern w:val="0"/>
          <w:lang w:bidi="en-US"/>
          <w14:ligatures w14:val="none"/>
        </w:rPr>
        <w:t>Grant Application and Reporting Processes</w:t>
      </w:r>
      <w:r w:rsidR="00DB2657" w:rsidRPr="00B3647D">
        <w:rPr>
          <w:rFonts w:ascii="Arial" w:eastAsia="Times New Roman" w:hAnsi="Arial" w:cs="Arial"/>
          <w:kern w:val="0"/>
          <w:lang w:bidi="en-US"/>
          <w14:ligatures w14:val="none"/>
        </w:rPr>
        <w:t xml:space="preserve"> </w:t>
      </w:r>
      <w:r w:rsidR="005D3747" w:rsidRPr="00B3647D">
        <w:rPr>
          <w:rFonts w:ascii="Arial" w:eastAsia="Times New Roman" w:hAnsi="Arial" w:cs="Arial"/>
          <w:kern w:val="0"/>
          <w:lang w:bidi="en-US"/>
          <w14:ligatures w14:val="none"/>
        </w:rPr>
        <w:t>Overseen by the California Department of Education</w:t>
      </w:r>
    </w:p>
    <w:p w14:paraId="0275B898" w14:textId="5524F1BA" w:rsidR="00252848" w:rsidRPr="00B3647D" w:rsidRDefault="00252848" w:rsidP="005A2261">
      <w:pPr>
        <w:pBdr>
          <w:top w:val="single" w:sz="24" w:space="1" w:color="auto"/>
          <w:left w:val="single" w:sz="24" w:space="4" w:color="auto"/>
          <w:bottom w:val="single" w:sz="24" w:space="1" w:color="auto"/>
          <w:right w:val="single" w:sz="24" w:space="4" w:color="auto"/>
        </w:pBdr>
        <w:spacing w:before="240" w:after="240" w:line="240" w:lineRule="auto"/>
        <w:jc w:val="both"/>
        <w:rPr>
          <w:rFonts w:ascii="Arial" w:eastAsia="Times New Roman" w:hAnsi="Arial" w:cs="Arial"/>
          <w:kern w:val="0"/>
          <w:lang w:bidi="en-US"/>
          <w14:ligatures w14:val="none"/>
        </w:rPr>
      </w:pPr>
      <w:r w:rsidRPr="00B3647D">
        <w:rPr>
          <w:rFonts w:ascii="Arial" w:eastAsia="Times New Roman" w:hAnsi="Arial" w:cs="Arial"/>
          <w:i/>
          <w:kern w:val="0"/>
          <w:lang w:bidi="en-US"/>
          <w14:ligatures w14:val="none"/>
        </w:rPr>
        <w:t>Authority</w:t>
      </w:r>
      <w:r w:rsidRPr="00B3647D">
        <w:rPr>
          <w:rFonts w:ascii="Arial" w:eastAsia="Times New Roman" w:hAnsi="Arial" w:cs="Arial"/>
          <w:kern w:val="0"/>
          <w:lang w:bidi="en-US"/>
          <w14:ligatures w14:val="none"/>
        </w:rPr>
        <w:t>: Assembly Bill 121 (2025) Sec. 69</w:t>
      </w:r>
    </w:p>
    <w:p w14:paraId="79374AD3" w14:textId="2F5FBF12" w:rsidR="00252848" w:rsidRPr="00B3647D" w:rsidRDefault="00252848" w:rsidP="005A2261">
      <w:pPr>
        <w:pBdr>
          <w:top w:val="single" w:sz="24" w:space="1" w:color="auto"/>
          <w:left w:val="single" w:sz="24" w:space="4" w:color="auto"/>
          <w:bottom w:val="single" w:sz="24" w:space="1" w:color="auto"/>
          <w:right w:val="single" w:sz="24" w:space="4" w:color="auto"/>
        </w:pBdr>
        <w:spacing w:before="240" w:after="240" w:line="240" w:lineRule="auto"/>
        <w:rPr>
          <w:rFonts w:ascii="Arial" w:eastAsia="Times New Roman" w:hAnsi="Arial" w:cs="Arial"/>
          <w:kern w:val="0"/>
          <w:lang w:bidi="en-US"/>
          <w14:ligatures w14:val="none"/>
        </w:rPr>
      </w:pPr>
      <w:r w:rsidRPr="00B3647D">
        <w:rPr>
          <w:rFonts w:ascii="Arial" w:eastAsia="Times New Roman" w:hAnsi="Arial" w:cs="Arial"/>
          <w:i/>
          <w:kern w:val="0"/>
          <w:lang w:bidi="en-US"/>
          <w14:ligatures w14:val="none"/>
        </w:rPr>
        <w:t>Recipient</w:t>
      </w:r>
      <w:r w:rsidRPr="00B3647D">
        <w:rPr>
          <w:rFonts w:ascii="Arial" w:eastAsia="Times New Roman" w:hAnsi="Arial" w:cs="Arial"/>
          <w:kern w:val="0"/>
          <w:lang w:bidi="en-US"/>
          <w14:ligatures w14:val="none"/>
        </w:rPr>
        <w:t xml:space="preserve">: The chairs of the relevant policy committees and budget subcommittees of the Legislature, the </w:t>
      </w:r>
      <w:r w:rsidR="00DB2657">
        <w:rPr>
          <w:rFonts w:ascii="Arial" w:eastAsia="Times New Roman" w:hAnsi="Arial" w:cs="Arial"/>
          <w:kern w:val="0"/>
          <w:lang w:bidi="en-US"/>
          <w14:ligatures w14:val="none"/>
        </w:rPr>
        <w:t>E</w:t>
      </w:r>
      <w:r w:rsidRPr="00B3647D">
        <w:rPr>
          <w:rFonts w:ascii="Arial" w:eastAsia="Times New Roman" w:hAnsi="Arial" w:cs="Arial"/>
          <w:kern w:val="0"/>
          <w:lang w:bidi="en-US"/>
          <w14:ligatures w14:val="none"/>
        </w:rPr>
        <w:t xml:space="preserve">xecutive </w:t>
      </w:r>
      <w:r w:rsidR="00DB2657">
        <w:rPr>
          <w:rFonts w:ascii="Arial" w:eastAsia="Times New Roman" w:hAnsi="Arial" w:cs="Arial"/>
          <w:kern w:val="0"/>
          <w:lang w:bidi="en-US"/>
          <w14:ligatures w14:val="none"/>
        </w:rPr>
        <w:t>D</w:t>
      </w:r>
      <w:r w:rsidRPr="00B3647D">
        <w:rPr>
          <w:rFonts w:ascii="Arial" w:eastAsia="Times New Roman" w:hAnsi="Arial" w:cs="Arial"/>
          <w:kern w:val="0"/>
          <w:lang w:bidi="en-US"/>
          <w14:ligatures w14:val="none"/>
        </w:rPr>
        <w:t>irector of the State Board of Education, and the Director of Finance</w:t>
      </w:r>
      <w:r w:rsidRPr="00B3647D">
        <w:rPr>
          <w:rFonts w:ascii="Arial" w:eastAsia="Times New Roman" w:hAnsi="Arial" w:cs="Arial"/>
          <w:kern w:val="0"/>
          <w14:ligatures w14:val="none"/>
        </w:rPr>
        <w:t>.</w:t>
      </w:r>
    </w:p>
    <w:p w14:paraId="593E75EB" w14:textId="4122780D" w:rsidR="00252848" w:rsidRPr="00B3647D" w:rsidRDefault="00252848" w:rsidP="00345B55">
      <w:pPr>
        <w:pBdr>
          <w:top w:val="single" w:sz="24" w:space="1" w:color="auto"/>
          <w:left w:val="single" w:sz="24" w:space="4" w:color="auto"/>
          <w:bottom w:val="single" w:sz="24" w:space="1" w:color="auto"/>
          <w:right w:val="single" w:sz="24" w:space="4" w:color="auto"/>
        </w:pBdr>
        <w:spacing w:before="240" w:after="240" w:line="240" w:lineRule="auto"/>
        <w:jc w:val="both"/>
        <w:rPr>
          <w:rFonts w:ascii="Arial" w:eastAsia="Times New Roman" w:hAnsi="Arial" w:cs="Arial"/>
          <w:kern w:val="0"/>
          <w:lang w:bidi="en-US"/>
          <w14:ligatures w14:val="none"/>
        </w:rPr>
      </w:pPr>
      <w:r w:rsidRPr="00B3647D">
        <w:rPr>
          <w:rFonts w:ascii="Arial" w:eastAsia="Times New Roman" w:hAnsi="Arial" w:cs="Arial"/>
          <w:i/>
          <w:kern w:val="0"/>
          <w:lang w:bidi="en-US"/>
          <w14:ligatures w14:val="none"/>
        </w:rPr>
        <w:t>Due Date</w:t>
      </w:r>
      <w:r w:rsidRPr="00B3647D">
        <w:rPr>
          <w:rFonts w:ascii="Arial" w:eastAsia="Times New Roman" w:hAnsi="Arial" w:cs="Arial"/>
          <w:kern w:val="0"/>
          <w:lang w:bidi="en-US"/>
          <w14:ligatures w14:val="none"/>
        </w:rPr>
        <w:t xml:space="preserve">: </w:t>
      </w:r>
      <w:r w:rsidR="005D3747" w:rsidRPr="00B3647D">
        <w:rPr>
          <w:rFonts w:ascii="Arial" w:eastAsia="Times New Roman" w:hAnsi="Arial" w:cs="Arial"/>
          <w:kern w:val="0"/>
          <w:lang w:bidi="en-US"/>
          <w14:ligatures w14:val="none"/>
        </w:rPr>
        <w:t>January 31</w:t>
      </w:r>
      <w:r w:rsidRPr="00B3647D">
        <w:rPr>
          <w:rFonts w:ascii="Arial" w:eastAsia="Times New Roman" w:hAnsi="Arial" w:cs="Arial"/>
          <w:bCs/>
          <w:kern w:val="0"/>
          <w14:ligatures w14:val="none"/>
        </w:rPr>
        <w:t>, 202</w:t>
      </w:r>
      <w:r w:rsidR="005D3747" w:rsidRPr="00B3647D">
        <w:rPr>
          <w:rFonts w:ascii="Arial" w:eastAsia="Times New Roman" w:hAnsi="Arial" w:cs="Arial"/>
          <w:bCs/>
          <w:kern w:val="0"/>
          <w14:ligatures w14:val="none"/>
        </w:rPr>
        <w:t>6</w:t>
      </w:r>
    </w:p>
    <w:p w14:paraId="4C3E8D1D" w14:textId="77777777" w:rsidR="00252848" w:rsidRPr="00B3647D" w:rsidRDefault="00252848" w:rsidP="00345B55">
      <w:pPr>
        <w:spacing w:before="240" w:after="240" w:line="240" w:lineRule="auto"/>
        <w:rPr>
          <w:rFonts w:ascii="Arial" w:eastAsia="Times New Roman" w:hAnsi="Arial" w:cs="Arial"/>
          <w:kern w:val="0"/>
          <w14:ligatures w14:val="none"/>
        </w:rPr>
      </w:pPr>
    </w:p>
    <w:p w14:paraId="16B87C16" w14:textId="77777777" w:rsidR="00252848" w:rsidRPr="00B3647D" w:rsidRDefault="00252848" w:rsidP="00345B55">
      <w:pPr>
        <w:spacing w:before="240" w:after="240" w:line="240" w:lineRule="auto"/>
        <w:rPr>
          <w:rFonts w:ascii="Arial" w:eastAsia="Times New Roman" w:hAnsi="Arial" w:cs="Arial"/>
          <w:kern w:val="0"/>
          <w14:ligatures w14:val="none"/>
        </w:rPr>
        <w:sectPr w:rsidR="00252848" w:rsidRPr="00B3647D" w:rsidSect="008850C5">
          <w:footerReference w:type="default" r:id="rId9"/>
          <w:pgSz w:w="12240" w:h="15840"/>
          <w:pgMar w:top="1440" w:right="1440" w:bottom="1440" w:left="1440" w:header="720" w:footer="720" w:gutter="0"/>
          <w:cols w:space="720"/>
          <w:titlePg/>
          <w:docGrid w:linePitch="360"/>
        </w:sectPr>
      </w:pPr>
    </w:p>
    <w:p w14:paraId="3E7D16B5" w14:textId="77777777" w:rsidR="00252848" w:rsidRPr="00B3647D" w:rsidRDefault="00252848" w:rsidP="005A2261">
      <w:pPr>
        <w:spacing w:before="240" w:after="240" w:line="240" w:lineRule="auto"/>
        <w:jc w:val="center"/>
        <w:rPr>
          <w:rFonts w:ascii="Arial" w:eastAsia="Times New Roman" w:hAnsi="Arial" w:cs="Arial"/>
          <w:b/>
          <w:kern w:val="0"/>
          <w14:ligatures w14:val="none"/>
        </w:rPr>
      </w:pPr>
      <w:r w:rsidRPr="00B3647D">
        <w:rPr>
          <w:rFonts w:ascii="Arial" w:eastAsia="Times New Roman" w:hAnsi="Arial" w:cs="Arial"/>
          <w:b/>
          <w:kern w:val="0"/>
          <w14:ligatures w14:val="none"/>
        </w:rPr>
        <w:lastRenderedPageBreak/>
        <w:t>California Department of Education</w:t>
      </w:r>
    </w:p>
    <w:p w14:paraId="441CDAC2" w14:textId="234DC3ED" w:rsidR="000A6148" w:rsidRPr="00B3647D" w:rsidRDefault="000A6148" w:rsidP="005A2261">
      <w:pPr>
        <w:spacing w:line="240" w:lineRule="auto"/>
        <w:jc w:val="center"/>
        <w:rPr>
          <w:rFonts w:ascii="Arial" w:hAnsi="Arial" w:cs="Arial"/>
          <w:b/>
          <w:bCs/>
        </w:rPr>
      </w:pPr>
      <w:bookmarkStart w:id="1" w:name="_Toc71891801"/>
      <w:r w:rsidRPr="00B3647D">
        <w:rPr>
          <w:rFonts w:ascii="Arial" w:hAnsi="Arial" w:cs="Arial"/>
          <w:b/>
          <w:bCs/>
        </w:rPr>
        <w:t xml:space="preserve">Report to the Legislature, the Department of Finance, and the State Board of Education: </w:t>
      </w:r>
      <w:r w:rsidR="00DB2657">
        <w:rPr>
          <w:rFonts w:ascii="Arial" w:hAnsi="Arial" w:cs="Arial"/>
          <w:b/>
          <w:bCs/>
        </w:rPr>
        <w:t xml:space="preserve">Feasibility of </w:t>
      </w:r>
      <w:r w:rsidRPr="00B3647D">
        <w:rPr>
          <w:rFonts w:ascii="Arial" w:hAnsi="Arial" w:cs="Arial"/>
          <w:b/>
          <w:bCs/>
        </w:rPr>
        <w:t xml:space="preserve">Streamlining the Career Technical Education </w:t>
      </w:r>
      <w:r w:rsidR="00DB2657">
        <w:rPr>
          <w:rFonts w:ascii="Arial" w:hAnsi="Arial" w:cs="Arial"/>
          <w:b/>
          <w:bCs/>
        </w:rPr>
        <w:t>Grant Application and Reporting Processes</w:t>
      </w:r>
      <w:r w:rsidR="00DB2657" w:rsidRPr="00B3647D">
        <w:rPr>
          <w:rFonts w:ascii="Arial" w:hAnsi="Arial" w:cs="Arial"/>
          <w:b/>
          <w:bCs/>
        </w:rPr>
        <w:t xml:space="preserve"> </w:t>
      </w:r>
      <w:r w:rsidRPr="00B3647D">
        <w:rPr>
          <w:rFonts w:ascii="Arial" w:hAnsi="Arial" w:cs="Arial"/>
          <w:b/>
          <w:bCs/>
        </w:rPr>
        <w:t>Overseen by the California Department of Education</w:t>
      </w:r>
    </w:p>
    <w:p w14:paraId="3B4431B1" w14:textId="549A7239" w:rsidR="00252848" w:rsidRPr="00B3647D" w:rsidRDefault="00252848" w:rsidP="005A2261">
      <w:pPr>
        <w:pStyle w:val="Heading2"/>
        <w:spacing w:before="240" w:after="240" w:line="240" w:lineRule="auto"/>
      </w:pPr>
      <w:bookmarkStart w:id="2" w:name="_Toc217466116"/>
      <w:r w:rsidRPr="00B3647D">
        <w:t>Table of Contents</w:t>
      </w:r>
      <w:bookmarkEnd w:id="1"/>
      <w:bookmarkEnd w:id="2"/>
    </w:p>
    <w:sdt>
      <w:sdtPr>
        <w:rPr>
          <w:rFonts w:ascii="Arial" w:eastAsia="Times New Roman" w:hAnsi="Arial" w:cs="Arial"/>
          <w:kern w:val="0"/>
          <w14:ligatures w14:val="none"/>
        </w:rPr>
        <w:id w:val="-1613277660"/>
        <w:docPartObj>
          <w:docPartGallery w:val="Table of Contents"/>
          <w:docPartUnique/>
        </w:docPartObj>
      </w:sdtPr>
      <w:sdtEndPr>
        <w:rPr>
          <w:noProof/>
        </w:rPr>
      </w:sdtEndPr>
      <w:sdtContent>
        <w:p w14:paraId="4A7F93EE" w14:textId="24E90F32" w:rsidR="00291E15" w:rsidRPr="00285054" w:rsidRDefault="00252848">
          <w:pPr>
            <w:pStyle w:val="TOC2"/>
            <w:rPr>
              <w:rFonts w:ascii="Arial" w:eastAsiaTheme="minorEastAsia" w:hAnsi="Arial" w:cs="Arial"/>
              <w:noProof/>
            </w:rPr>
          </w:pPr>
          <w:r w:rsidRPr="00E75D1B">
            <w:rPr>
              <w:rFonts w:ascii="Arial" w:eastAsia="Times New Roman" w:hAnsi="Arial" w:cs="Arial"/>
              <w:kern w:val="0"/>
              <w14:ligatures w14:val="none"/>
            </w:rPr>
            <w:fldChar w:fldCharType="begin"/>
          </w:r>
          <w:r w:rsidRPr="00E75D1B">
            <w:rPr>
              <w:rFonts w:ascii="Arial" w:eastAsia="Times New Roman" w:hAnsi="Arial" w:cs="Arial"/>
              <w:kern w:val="0"/>
              <w14:ligatures w14:val="none"/>
            </w:rPr>
            <w:instrText xml:space="preserve"> TOC \o "2-3" \h \z \u </w:instrText>
          </w:r>
          <w:r w:rsidRPr="00E75D1B">
            <w:rPr>
              <w:rFonts w:ascii="Arial" w:eastAsia="Times New Roman" w:hAnsi="Arial" w:cs="Arial"/>
              <w:kern w:val="0"/>
              <w14:ligatures w14:val="none"/>
            </w:rPr>
            <w:fldChar w:fldCharType="separate"/>
          </w:r>
          <w:hyperlink w:anchor="_Toc217466116" w:history="1">
            <w:r w:rsidR="00291E15" w:rsidRPr="00285054">
              <w:rPr>
                <w:rStyle w:val="Hyperlink"/>
                <w:rFonts w:ascii="Arial" w:hAnsi="Arial" w:cs="Arial"/>
                <w:noProof/>
              </w:rPr>
              <w:t>Table of Contents</w:t>
            </w:r>
            <w:r w:rsidR="00291E15" w:rsidRPr="00285054">
              <w:rPr>
                <w:rFonts w:ascii="Arial" w:hAnsi="Arial" w:cs="Arial"/>
                <w:noProof/>
                <w:webHidden/>
              </w:rPr>
              <w:tab/>
            </w:r>
            <w:r w:rsidR="00291E15" w:rsidRPr="00285054">
              <w:rPr>
                <w:rFonts w:ascii="Arial" w:hAnsi="Arial" w:cs="Arial"/>
                <w:noProof/>
                <w:webHidden/>
              </w:rPr>
              <w:fldChar w:fldCharType="begin"/>
            </w:r>
            <w:r w:rsidR="00291E15" w:rsidRPr="00285054">
              <w:rPr>
                <w:rFonts w:ascii="Arial" w:hAnsi="Arial" w:cs="Arial"/>
                <w:noProof/>
                <w:webHidden/>
              </w:rPr>
              <w:instrText xml:space="preserve"> PAGEREF _Toc217466116 \h </w:instrText>
            </w:r>
            <w:r w:rsidR="00291E15" w:rsidRPr="00285054">
              <w:rPr>
                <w:rFonts w:ascii="Arial" w:hAnsi="Arial" w:cs="Arial"/>
                <w:noProof/>
                <w:webHidden/>
              </w:rPr>
            </w:r>
            <w:r w:rsidR="00291E15" w:rsidRPr="00285054">
              <w:rPr>
                <w:rFonts w:ascii="Arial" w:hAnsi="Arial" w:cs="Arial"/>
                <w:noProof/>
                <w:webHidden/>
              </w:rPr>
              <w:fldChar w:fldCharType="separate"/>
            </w:r>
            <w:r w:rsidR="004D3B42">
              <w:rPr>
                <w:rFonts w:ascii="Arial" w:hAnsi="Arial" w:cs="Arial"/>
                <w:noProof/>
                <w:webHidden/>
              </w:rPr>
              <w:t>2</w:t>
            </w:r>
            <w:r w:rsidR="00291E15" w:rsidRPr="00285054">
              <w:rPr>
                <w:rFonts w:ascii="Arial" w:hAnsi="Arial" w:cs="Arial"/>
                <w:noProof/>
                <w:webHidden/>
              </w:rPr>
              <w:fldChar w:fldCharType="end"/>
            </w:r>
          </w:hyperlink>
        </w:p>
        <w:p w14:paraId="1B5AE5FC" w14:textId="0D826A5D" w:rsidR="00291E15" w:rsidRPr="00285054" w:rsidRDefault="00291E15">
          <w:pPr>
            <w:pStyle w:val="TOC2"/>
            <w:rPr>
              <w:rFonts w:ascii="Arial" w:eastAsiaTheme="minorEastAsia" w:hAnsi="Arial" w:cs="Arial"/>
              <w:noProof/>
            </w:rPr>
          </w:pPr>
          <w:hyperlink w:anchor="_Toc217466117" w:history="1">
            <w:r w:rsidRPr="00285054">
              <w:rPr>
                <w:rStyle w:val="Hyperlink"/>
                <w:rFonts w:ascii="Arial" w:hAnsi="Arial" w:cs="Arial"/>
                <w:noProof/>
              </w:rPr>
              <w:t>Executive Summary</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_Toc217466117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3</w:t>
            </w:r>
            <w:r w:rsidRPr="00285054">
              <w:rPr>
                <w:rFonts w:ascii="Arial" w:hAnsi="Arial" w:cs="Arial"/>
                <w:noProof/>
                <w:webHidden/>
              </w:rPr>
              <w:fldChar w:fldCharType="end"/>
            </w:r>
          </w:hyperlink>
        </w:p>
        <w:p w14:paraId="0935A3D5" w14:textId="53840032" w:rsidR="00291E15" w:rsidRPr="00285054" w:rsidRDefault="00291E15">
          <w:pPr>
            <w:pStyle w:val="TOC2"/>
            <w:rPr>
              <w:rFonts w:ascii="Arial" w:eastAsiaTheme="minorEastAsia" w:hAnsi="Arial" w:cs="Arial"/>
              <w:noProof/>
            </w:rPr>
          </w:pPr>
          <w:hyperlink w:anchor="_Toc217466118" w:history="1">
            <w:r w:rsidRPr="00285054">
              <w:rPr>
                <w:rStyle w:val="Hyperlink"/>
                <w:rFonts w:ascii="Arial" w:hAnsi="Arial" w:cs="Arial"/>
                <w:noProof/>
              </w:rPr>
              <w:t>Introduction</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_Toc217466118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4</w:t>
            </w:r>
            <w:r w:rsidRPr="00285054">
              <w:rPr>
                <w:rFonts w:ascii="Arial" w:hAnsi="Arial" w:cs="Arial"/>
                <w:noProof/>
                <w:webHidden/>
              </w:rPr>
              <w:fldChar w:fldCharType="end"/>
            </w:r>
          </w:hyperlink>
        </w:p>
        <w:p w14:paraId="69DAC717" w14:textId="41A56DE8" w:rsidR="00291E15" w:rsidRPr="00285054" w:rsidRDefault="00291E15">
          <w:pPr>
            <w:pStyle w:val="TOC2"/>
            <w:rPr>
              <w:rFonts w:ascii="Arial" w:eastAsiaTheme="minorEastAsia" w:hAnsi="Arial" w:cs="Arial"/>
              <w:noProof/>
            </w:rPr>
          </w:pPr>
          <w:hyperlink w:anchor="_Toc217466119" w:history="1">
            <w:r w:rsidRPr="00285054">
              <w:rPr>
                <w:rStyle w:val="Hyperlink"/>
                <w:rFonts w:ascii="Arial" w:hAnsi="Arial" w:cs="Arial"/>
                <w:noProof/>
              </w:rPr>
              <w:t>How Processes Can Be Streamlined</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_Toc217466119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4</w:t>
            </w:r>
            <w:r w:rsidRPr="00285054">
              <w:rPr>
                <w:rFonts w:ascii="Arial" w:hAnsi="Arial" w:cs="Arial"/>
                <w:noProof/>
                <w:webHidden/>
              </w:rPr>
              <w:fldChar w:fldCharType="end"/>
            </w:r>
          </w:hyperlink>
        </w:p>
        <w:p w14:paraId="0914BDB6" w14:textId="7FBEB413" w:rsidR="00291E15" w:rsidRPr="00285054" w:rsidRDefault="00291E15">
          <w:pPr>
            <w:pStyle w:val="TOC2"/>
            <w:rPr>
              <w:rFonts w:ascii="Arial" w:eastAsiaTheme="minorEastAsia" w:hAnsi="Arial" w:cs="Arial"/>
              <w:noProof/>
            </w:rPr>
          </w:pPr>
          <w:hyperlink w:anchor="_Toc217466120" w:history="1">
            <w:r w:rsidRPr="00285054">
              <w:rPr>
                <w:rStyle w:val="Hyperlink"/>
                <w:rFonts w:ascii="Arial" w:hAnsi="Arial" w:cs="Arial"/>
                <w:noProof/>
              </w:rPr>
              <w:t>Implementation Plan for Streamlining</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_Toc217466120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7</w:t>
            </w:r>
            <w:r w:rsidRPr="00285054">
              <w:rPr>
                <w:rFonts w:ascii="Arial" w:hAnsi="Arial" w:cs="Arial"/>
                <w:noProof/>
                <w:webHidden/>
              </w:rPr>
              <w:fldChar w:fldCharType="end"/>
            </w:r>
          </w:hyperlink>
        </w:p>
        <w:p w14:paraId="7BBEA85C" w14:textId="1F03D1E5" w:rsidR="00291E15" w:rsidRPr="00285054" w:rsidRDefault="00291E15">
          <w:pPr>
            <w:pStyle w:val="TOC3"/>
            <w:rPr>
              <w:rFonts w:eastAsiaTheme="minorEastAsia"/>
            </w:rPr>
          </w:pPr>
          <w:hyperlink w:anchor="_Toc217466121" w:history="1">
            <w:r w:rsidRPr="00285054">
              <w:rPr>
                <w:rStyle w:val="Hyperlink"/>
              </w:rPr>
              <w:t>Statutory Changes</w:t>
            </w:r>
            <w:r w:rsidRPr="00285054">
              <w:rPr>
                <w:webHidden/>
              </w:rPr>
              <w:tab/>
            </w:r>
            <w:r w:rsidRPr="00285054">
              <w:rPr>
                <w:webHidden/>
              </w:rPr>
              <w:fldChar w:fldCharType="begin"/>
            </w:r>
            <w:r w:rsidRPr="00285054">
              <w:rPr>
                <w:webHidden/>
              </w:rPr>
              <w:instrText xml:space="preserve"> PAGEREF _Toc217466121 \h </w:instrText>
            </w:r>
            <w:r w:rsidRPr="00285054">
              <w:rPr>
                <w:webHidden/>
              </w:rPr>
            </w:r>
            <w:r w:rsidRPr="00285054">
              <w:rPr>
                <w:webHidden/>
              </w:rPr>
              <w:fldChar w:fldCharType="separate"/>
            </w:r>
            <w:r w:rsidR="004D3B42">
              <w:rPr>
                <w:webHidden/>
              </w:rPr>
              <w:t>8</w:t>
            </w:r>
            <w:r w:rsidRPr="00285054">
              <w:rPr>
                <w:webHidden/>
              </w:rPr>
              <w:fldChar w:fldCharType="end"/>
            </w:r>
          </w:hyperlink>
        </w:p>
        <w:p w14:paraId="5C4DC8EE" w14:textId="132B546C" w:rsidR="00291E15" w:rsidRPr="00285054" w:rsidRDefault="00291E15">
          <w:pPr>
            <w:pStyle w:val="TOC2"/>
            <w:rPr>
              <w:rFonts w:ascii="Arial" w:eastAsiaTheme="minorEastAsia" w:hAnsi="Arial" w:cs="Arial"/>
              <w:noProof/>
            </w:rPr>
          </w:pPr>
          <w:hyperlink w:anchor="_Toc217466122" w:history="1">
            <w:r w:rsidRPr="00285054">
              <w:rPr>
                <w:rStyle w:val="Hyperlink"/>
                <w:rFonts w:ascii="Arial" w:hAnsi="Arial" w:cs="Arial"/>
                <w:noProof/>
              </w:rPr>
              <w:t>Integration of Future Programs</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_Toc217466122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9</w:t>
            </w:r>
            <w:r w:rsidRPr="00285054">
              <w:rPr>
                <w:rFonts w:ascii="Arial" w:hAnsi="Arial" w:cs="Arial"/>
                <w:noProof/>
                <w:webHidden/>
              </w:rPr>
              <w:fldChar w:fldCharType="end"/>
            </w:r>
          </w:hyperlink>
        </w:p>
        <w:p w14:paraId="2F2247E0" w14:textId="1CA34633" w:rsidR="00291E15" w:rsidRPr="00285054" w:rsidRDefault="00291E15">
          <w:pPr>
            <w:pStyle w:val="TOC2"/>
            <w:rPr>
              <w:rFonts w:ascii="Arial" w:eastAsiaTheme="minorEastAsia" w:hAnsi="Arial" w:cs="Arial"/>
              <w:noProof/>
            </w:rPr>
          </w:pPr>
          <w:hyperlink w:anchor="_Toc217466123" w:history="1">
            <w:r w:rsidRPr="00285054">
              <w:rPr>
                <w:rStyle w:val="Hyperlink"/>
                <w:rFonts w:ascii="Arial" w:hAnsi="Arial" w:cs="Arial"/>
                <w:noProof/>
              </w:rPr>
              <w:t>Justification for Exclusion</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_Toc217466123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10</w:t>
            </w:r>
            <w:r w:rsidRPr="00285054">
              <w:rPr>
                <w:rFonts w:ascii="Arial" w:hAnsi="Arial" w:cs="Arial"/>
                <w:noProof/>
                <w:webHidden/>
              </w:rPr>
              <w:fldChar w:fldCharType="end"/>
            </w:r>
          </w:hyperlink>
        </w:p>
        <w:p w14:paraId="512C280D" w14:textId="6182FC67" w:rsidR="00291E15" w:rsidRPr="00285054" w:rsidRDefault="00291E15">
          <w:pPr>
            <w:pStyle w:val="TOC2"/>
            <w:rPr>
              <w:rFonts w:ascii="Arial" w:eastAsiaTheme="minorEastAsia" w:hAnsi="Arial" w:cs="Arial"/>
              <w:noProof/>
            </w:rPr>
          </w:pPr>
          <w:hyperlink w:anchor="_Toc217466124" w:history="1">
            <w:r w:rsidRPr="00285054">
              <w:rPr>
                <w:rStyle w:val="Hyperlink"/>
                <w:rFonts w:ascii="Arial" w:hAnsi="Arial" w:cs="Arial"/>
                <w:noProof/>
              </w:rPr>
              <w:t>Conclusion</w:t>
            </w:r>
            <w:r w:rsidRPr="00285054">
              <w:rPr>
                <w:rFonts w:ascii="Arial" w:hAnsi="Arial" w:cs="Arial"/>
                <w:noProof/>
                <w:webHidden/>
              </w:rPr>
              <w:tab/>
            </w:r>
            <w:r w:rsidRPr="00285054">
              <w:rPr>
                <w:rFonts w:ascii="Arial" w:hAnsi="Arial" w:cs="Arial"/>
                <w:noProof/>
                <w:webHidden/>
              </w:rPr>
              <w:fldChar w:fldCharType="begin"/>
            </w:r>
            <w:r w:rsidRPr="00285054">
              <w:rPr>
                <w:rFonts w:ascii="Arial" w:hAnsi="Arial" w:cs="Arial"/>
                <w:noProof/>
                <w:webHidden/>
              </w:rPr>
              <w:instrText xml:space="preserve"> PAGEREF _Toc217466124 \h </w:instrText>
            </w:r>
            <w:r w:rsidRPr="00285054">
              <w:rPr>
                <w:rFonts w:ascii="Arial" w:hAnsi="Arial" w:cs="Arial"/>
                <w:noProof/>
                <w:webHidden/>
              </w:rPr>
            </w:r>
            <w:r w:rsidRPr="00285054">
              <w:rPr>
                <w:rFonts w:ascii="Arial" w:hAnsi="Arial" w:cs="Arial"/>
                <w:noProof/>
                <w:webHidden/>
              </w:rPr>
              <w:fldChar w:fldCharType="separate"/>
            </w:r>
            <w:r w:rsidR="004D3B42">
              <w:rPr>
                <w:rFonts w:ascii="Arial" w:hAnsi="Arial" w:cs="Arial"/>
                <w:noProof/>
                <w:webHidden/>
              </w:rPr>
              <w:t>10</w:t>
            </w:r>
            <w:r w:rsidRPr="00285054">
              <w:rPr>
                <w:rFonts w:ascii="Arial" w:hAnsi="Arial" w:cs="Arial"/>
                <w:noProof/>
                <w:webHidden/>
              </w:rPr>
              <w:fldChar w:fldCharType="end"/>
            </w:r>
          </w:hyperlink>
        </w:p>
        <w:p w14:paraId="0782E092" w14:textId="26096619" w:rsidR="00252848" w:rsidRPr="007C19DF" w:rsidRDefault="00252848" w:rsidP="005E3279">
          <w:pPr>
            <w:spacing w:before="240" w:after="240" w:line="240" w:lineRule="auto"/>
            <w:rPr>
              <w:rFonts w:ascii="Arial" w:eastAsia="Times New Roman" w:hAnsi="Arial" w:cs="Arial"/>
              <w:kern w:val="0"/>
              <w14:ligatures w14:val="none"/>
            </w:rPr>
          </w:pPr>
          <w:r w:rsidRPr="00E75D1B">
            <w:rPr>
              <w:rFonts w:ascii="Arial" w:eastAsia="Times New Roman" w:hAnsi="Arial" w:cs="Arial"/>
              <w:kern w:val="0"/>
              <w14:ligatures w14:val="none"/>
            </w:rPr>
            <w:fldChar w:fldCharType="end"/>
          </w:r>
        </w:p>
      </w:sdtContent>
    </w:sdt>
    <w:p w14:paraId="42EDFDA8" w14:textId="77777777" w:rsidR="00252848" w:rsidRPr="00B3647D" w:rsidRDefault="00252848" w:rsidP="00345B55">
      <w:pPr>
        <w:spacing w:before="240" w:after="240" w:line="240" w:lineRule="auto"/>
        <w:rPr>
          <w:rFonts w:ascii="Arial" w:eastAsia="Times New Roman" w:hAnsi="Arial" w:cs="Arial"/>
          <w:kern w:val="0"/>
          <w14:ligatures w14:val="none"/>
        </w:rPr>
      </w:pPr>
      <w:r w:rsidRPr="00B3647D">
        <w:rPr>
          <w:rFonts w:ascii="Arial" w:eastAsia="Times New Roman" w:hAnsi="Arial" w:cs="Arial"/>
          <w:kern w:val="0"/>
          <w14:ligatures w14:val="none"/>
        </w:rPr>
        <w:br w:type="page"/>
      </w:r>
    </w:p>
    <w:p w14:paraId="4AF55C03" w14:textId="77777777" w:rsidR="007E0BFA" w:rsidRPr="00B3647D" w:rsidRDefault="007E0BFA" w:rsidP="00345B55">
      <w:pPr>
        <w:pStyle w:val="Header"/>
        <w:tabs>
          <w:tab w:val="clear" w:pos="8640"/>
          <w:tab w:val="right" w:pos="9360"/>
        </w:tabs>
        <w:spacing w:before="240" w:after="240"/>
        <w:jc w:val="center"/>
        <w:rPr>
          <w:rFonts w:ascii="Arial" w:hAnsi="Arial" w:cs="Arial"/>
          <w:b/>
          <w:bCs/>
        </w:rPr>
      </w:pPr>
      <w:r w:rsidRPr="00B3647D">
        <w:rPr>
          <w:rFonts w:ascii="Arial" w:hAnsi="Arial" w:cs="Arial"/>
          <w:b/>
          <w:bCs/>
        </w:rPr>
        <w:lastRenderedPageBreak/>
        <w:t>California Department of Education</w:t>
      </w:r>
    </w:p>
    <w:p w14:paraId="48AFFF43" w14:textId="42477FF8" w:rsidR="00941030" w:rsidRPr="00B3647D" w:rsidRDefault="00941030" w:rsidP="005A2261">
      <w:pPr>
        <w:spacing w:line="240" w:lineRule="auto"/>
        <w:jc w:val="center"/>
        <w:rPr>
          <w:rFonts w:ascii="Arial" w:hAnsi="Arial" w:cs="Arial"/>
          <w:b/>
          <w:bCs/>
        </w:rPr>
      </w:pPr>
      <w:r w:rsidRPr="00B3647D">
        <w:rPr>
          <w:rFonts w:ascii="Arial" w:hAnsi="Arial" w:cs="Arial"/>
          <w:b/>
          <w:bCs/>
        </w:rPr>
        <w:t xml:space="preserve">Report to the Legislature, the Department of Finance, and the State Board of Education: </w:t>
      </w:r>
      <w:r w:rsidR="00DB2657">
        <w:rPr>
          <w:rFonts w:ascii="Arial" w:hAnsi="Arial" w:cs="Arial"/>
          <w:b/>
          <w:bCs/>
        </w:rPr>
        <w:t xml:space="preserve">Feasibility of </w:t>
      </w:r>
      <w:r w:rsidR="000A6148" w:rsidRPr="00B3647D">
        <w:rPr>
          <w:rFonts w:ascii="Arial" w:hAnsi="Arial" w:cs="Arial"/>
          <w:b/>
          <w:bCs/>
        </w:rPr>
        <w:t xml:space="preserve">Streamlining the Career Technical Education </w:t>
      </w:r>
      <w:r w:rsidR="00DB2657">
        <w:rPr>
          <w:rFonts w:ascii="Arial" w:hAnsi="Arial" w:cs="Arial"/>
          <w:b/>
          <w:bCs/>
        </w:rPr>
        <w:t>Grant Application and Reporting Processes</w:t>
      </w:r>
      <w:r w:rsidR="00DB2657" w:rsidRPr="00B3647D">
        <w:rPr>
          <w:rFonts w:ascii="Arial" w:hAnsi="Arial" w:cs="Arial"/>
          <w:b/>
          <w:bCs/>
        </w:rPr>
        <w:t xml:space="preserve"> </w:t>
      </w:r>
      <w:r w:rsidR="000A6148" w:rsidRPr="00B3647D">
        <w:rPr>
          <w:rFonts w:ascii="Arial" w:hAnsi="Arial" w:cs="Arial"/>
          <w:b/>
          <w:bCs/>
        </w:rPr>
        <w:t>Overseen by the California Department of Education</w:t>
      </w:r>
    </w:p>
    <w:p w14:paraId="2AC8B301" w14:textId="4B265E57" w:rsidR="002E7E31" w:rsidRPr="002E7E31" w:rsidRDefault="00C858B8" w:rsidP="00A359E2">
      <w:pPr>
        <w:pStyle w:val="Heading2"/>
        <w:spacing w:before="360" w:after="240" w:line="240" w:lineRule="auto"/>
      </w:pPr>
      <w:bookmarkStart w:id="3" w:name="_Toc217466117"/>
      <w:r w:rsidRPr="00B3647D">
        <w:t>Executive Summary</w:t>
      </w:r>
      <w:bookmarkEnd w:id="3"/>
    </w:p>
    <w:p w14:paraId="7087F584" w14:textId="67671C3B" w:rsidR="002E7E31" w:rsidRPr="002E7E31" w:rsidRDefault="002E7E31" w:rsidP="00A359E2">
      <w:pPr>
        <w:spacing w:before="240" w:after="240" w:line="240" w:lineRule="auto"/>
        <w:rPr>
          <w:rFonts w:ascii="Arial" w:hAnsi="Arial" w:cs="Arial"/>
        </w:rPr>
      </w:pPr>
      <w:r w:rsidRPr="002E7E31">
        <w:rPr>
          <w:rFonts w:ascii="Arial" w:hAnsi="Arial" w:cs="Arial"/>
        </w:rPr>
        <w:t xml:space="preserve">This report is required by </w:t>
      </w:r>
      <w:r w:rsidRPr="001156A0">
        <w:rPr>
          <w:rFonts w:ascii="Arial" w:hAnsi="Arial" w:cs="Arial"/>
        </w:rPr>
        <w:t xml:space="preserve">the education omnibus budget trailer bill of 2025 (Assembly Bill 121), Section 69, and addresses the </w:t>
      </w:r>
      <w:r w:rsidR="00DB2657" w:rsidRPr="001156A0">
        <w:rPr>
          <w:rFonts w:ascii="Arial" w:hAnsi="Arial" w:cs="Arial"/>
        </w:rPr>
        <w:t xml:space="preserve">feasibility of streamlining the </w:t>
      </w:r>
      <w:r w:rsidRPr="001156A0">
        <w:rPr>
          <w:rFonts w:ascii="Arial" w:hAnsi="Arial" w:cs="Arial"/>
        </w:rPr>
        <w:t>California Department of Education</w:t>
      </w:r>
      <w:r w:rsidR="00070B73" w:rsidRPr="001156A0">
        <w:rPr>
          <w:rFonts w:ascii="Arial" w:hAnsi="Arial" w:cs="Arial"/>
        </w:rPr>
        <w:t xml:space="preserve"> (CDE)</w:t>
      </w:r>
      <w:r w:rsidRPr="001156A0">
        <w:rPr>
          <w:rFonts w:ascii="Arial" w:hAnsi="Arial" w:cs="Arial"/>
        </w:rPr>
        <w:t xml:space="preserve"> career technical education </w:t>
      </w:r>
      <w:r w:rsidR="00070B73" w:rsidRPr="001156A0">
        <w:rPr>
          <w:rFonts w:ascii="Arial" w:hAnsi="Arial" w:cs="Arial"/>
        </w:rPr>
        <w:t>(CTE)</w:t>
      </w:r>
      <w:r w:rsidR="00DE10FF" w:rsidRPr="001156A0">
        <w:rPr>
          <w:rFonts w:ascii="Arial" w:hAnsi="Arial" w:cs="Arial"/>
        </w:rPr>
        <w:t xml:space="preserve"> grant application and reporting processes</w:t>
      </w:r>
      <w:r w:rsidR="00E75D1B">
        <w:rPr>
          <w:rFonts w:ascii="Arial" w:hAnsi="Arial" w:cs="Arial"/>
        </w:rPr>
        <w:t>,</w:t>
      </w:r>
      <w:r w:rsidR="00DE10FF" w:rsidRPr="001156A0">
        <w:rPr>
          <w:rFonts w:ascii="Arial" w:hAnsi="Arial" w:cs="Arial"/>
        </w:rPr>
        <w:t xml:space="preserve"> including utilizing a single universal </w:t>
      </w:r>
      <w:r w:rsidRPr="001156A0">
        <w:rPr>
          <w:rFonts w:ascii="Arial" w:hAnsi="Arial" w:cs="Arial"/>
        </w:rPr>
        <w:t xml:space="preserve">grant </w:t>
      </w:r>
      <w:r w:rsidR="009C2636" w:rsidRPr="001156A0">
        <w:rPr>
          <w:rFonts w:ascii="Arial" w:hAnsi="Arial" w:cs="Arial"/>
        </w:rPr>
        <w:t>application and</w:t>
      </w:r>
      <w:r w:rsidR="00DE10FF" w:rsidRPr="001156A0">
        <w:rPr>
          <w:rFonts w:ascii="Arial" w:hAnsi="Arial" w:cs="Arial"/>
        </w:rPr>
        <w:t xml:space="preserve"> collecting program reports and data in a consolidated process</w:t>
      </w:r>
      <w:r w:rsidRPr="001156A0">
        <w:rPr>
          <w:rFonts w:ascii="Arial" w:hAnsi="Arial" w:cs="Arial"/>
        </w:rPr>
        <w:t>. The report provides an implementation plan for streamlining grant applications and reporting for the 2026</w:t>
      </w:r>
      <w:r w:rsidR="00070B73" w:rsidRPr="001156A0">
        <w:rPr>
          <w:rFonts w:ascii="Arial" w:hAnsi="Arial" w:cs="Arial"/>
        </w:rPr>
        <w:t>–</w:t>
      </w:r>
      <w:r w:rsidRPr="001156A0">
        <w:rPr>
          <w:rFonts w:ascii="Arial" w:hAnsi="Arial" w:cs="Arial"/>
        </w:rPr>
        <w:t>27 fiscal year, describes how future programs can</w:t>
      </w:r>
      <w:r w:rsidRPr="002E7E31">
        <w:rPr>
          <w:rFonts w:ascii="Arial" w:hAnsi="Arial" w:cs="Arial"/>
        </w:rPr>
        <w:t xml:space="preserve"> be integrated, and justifies the exclusion of programs not administered by the</w:t>
      </w:r>
      <w:r w:rsidR="00070B73" w:rsidRPr="00B3647D">
        <w:rPr>
          <w:rFonts w:ascii="Arial" w:hAnsi="Arial" w:cs="Arial"/>
        </w:rPr>
        <w:t xml:space="preserve"> CDE</w:t>
      </w:r>
      <w:r w:rsidRPr="002E7E31">
        <w:rPr>
          <w:rFonts w:ascii="Arial" w:hAnsi="Arial" w:cs="Arial"/>
        </w:rPr>
        <w:t>.</w:t>
      </w:r>
    </w:p>
    <w:p w14:paraId="2AE2C616" w14:textId="79B2E37D" w:rsidR="002E7E31" w:rsidRPr="00B3647D" w:rsidRDefault="00606B68" w:rsidP="00A359E2">
      <w:pPr>
        <w:spacing w:before="240" w:after="240" w:line="240" w:lineRule="auto"/>
        <w:rPr>
          <w:rFonts w:ascii="Arial" w:hAnsi="Arial" w:cs="Arial"/>
        </w:rPr>
      </w:pPr>
      <w:bookmarkStart w:id="4" w:name="_Hlk217372915"/>
      <w:r>
        <w:rPr>
          <w:rFonts w:ascii="Arial" w:hAnsi="Arial" w:cs="Arial"/>
        </w:rPr>
        <w:t>S</w:t>
      </w:r>
      <w:r w:rsidR="002E7E31" w:rsidRPr="002E7E31">
        <w:rPr>
          <w:rFonts w:ascii="Arial" w:hAnsi="Arial" w:cs="Arial"/>
        </w:rPr>
        <w:t xml:space="preserve">ignificant streamlining can be achieved by continuing the migration of all </w:t>
      </w:r>
      <w:r w:rsidR="00070B73" w:rsidRPr="00B3647D">
        <w:rPr>
          <w:rFonts w:ascii="Arial" w:hAnsi="Arial" w:cs="Arial"/>
        </w:rPr>
        <w:t xml:space="preserve">CDE CTE </w:t>
      </w:r>
      <w:r w:rsidR="002E7E31" w:rsidRPr="002E7E31">
        <w:rPr>
          <w:rFonts w:ascii="Arial" w:hAnsi="Arial" w:cs="Arial"/>
        </w:rPr>
        <w:t>programs to the</w:t>
      </w:r>
      <w:r w:rsidR="00070B73" w:rsidRPr="00B3647D">
        <w:rPr>
          <w:rFonts w:ascii="Arial" w:hAnsi="Arial" w:cs="Arial"/>
        </w:rPr>
        <w:t xml:space="preserve"> CDE</w:t>
      </w:r>
      <w:r w:rsidR="002E7E31" w:rsidRPr="002E7E31">
        <w:rPr>
          <w:rFonts w:ascii="Arial" w:hAnsi="Arial" w:cs="Arial"/>
        </w:rPr>
        <w:t xml:space="preserve"> Program Grant Management System (PGMS)</w:t>
      </w:r>
      <w:r w:rsidR="00EF7DDD">
        <w:rPr>
          <w:rFonts w:ascii="Arial" w:hAnsi="Arial" w:cs="Arial"/>
        </w:rPr>
        <w:t>. However</w:t>
      </w:r>
      <w:r>
        <w:rPr>
          <w:rFonts w:ascii="Arial" w:hAnsi="Arial" w:cs="Arial"/>
        </w:rPr>
        <w:t xml:space="preserve">, </w:t>
      </w:r>
      <w:r w:rsidR="00024BED">
        <w:rPr>
          <w:rFonts w:ascii="Arial" w:hAnsi="Arial" w:cs="Arial"/>
        </w:rPr>
        <w:t xml:space="preserve">the </w:t>
      </w:r>
      <w:r w:rsidRPr="002E7E31">
        <w:rPr>
          <w:rFonts w:ascii="Arial" w:hAnsi="Arial" w:cs="Arial"/>
        </w:rPr>
        <w:t>C</w:t>
      </w:r>
      <w:r w:rsidRPr="00B3647D">
        <w:rPr>
          <w:rFonts w:ascii="Arial" w:hAnsi="Arial" w:cs="Arial"/>
        </w:rPr>
        <w:t>DE h</w:t>
      </w:r>
      <w:r w:rsidRPr="002E7E31">
        <w:rPr>
          <w:rFonts w:ascii="Arial" w:hAnsi="Arial" w:cs="Arial"/>
        </w:rPr>
        <w:t>as determined that a single universal application serving all</w:t>
      </w:r>
      <w:r w:rsidRPr="00B3647D">
        <w:rPr>
          <w:rFonts w:ascii="Arial" w:hAnsi="Arial" w:cs="Arial"/>
        </w:rPr>
        <w:t xml:space="preserve"> California</w:t>
      </w:r>
      <w:r w:rsidRPr="002E7E31">
        <w:rPr>
          <w:rFonts w:ascii="Arial" w:hAnsi="Arial" w:cs="Arial"/>
        </w:rPr>
        <w:t xml:space="preserve"> </w:t>
      </w:r>
      <w:r w:rsidRPr="00B3647D">
        <w:rPr>
          <w:rFonts w:ascii="Arial" w:hAnsi="Arial" w:cs="Arial"/>
        </w:rPr>
        <w:t xml:space="preserve">CTE programs </w:t>
      </w:r>
      <w:r w:rsidRPr="002E7E31">
        <w:rPr>
          <w:rFonts w:ascii="Arial" w:hAnsi="Arial" w:cs="Arial"/>
        </w:rPr>
        <w:t>is not feasible due to incompatible statutory requirements, selection processes,</w:t>
      </w:r>
      <w:r w:rsidRPr="00B3647D">
        <w:rPr>
          <w:rFonts w:ascii="Arial" w:hAnsi="Arial" w:cs="Arial"/>
        </w:rPr>
        <w:t xml:space="preserve"> grant timelines,</w:t>
      </w:r>
      <w:r w:rsidRPr="002E7E31">
        <w:rPr>
          <w:rFonts w:ascii="Arial" w:hAnsi="Arial" w:cs="Arial"/>
        </w:rPr>
        <w:t xml:space="preserve"> and eligibility criteria.</w:t>
      </w:r>
      <w:bookmarkEnd w:id="4"/>
      <w:r w:rsidRPr="002E7E31">
        <w:rPr>
          <w:rFonts w:ascii="Arial" w:hAnsi="Arial" w:cs="Arial"/>
        </w:rPr>
        <w:t xml:space="preserve"> </w:t>
      </w:r>
      <w:r w:rsidR="004447E2" w:rsidRPr="00B3647D">
        <w:rPr>
          <w:rFonts w:ascii="Arial" w:hAnsi="Arial" w:cs="Arial"/>
        </w:rPr>
        <w:t xml:space="preserve">The </w:t>
      </w:r>
      <w:r w:rsidR="002E7E31" w:rsidRPr="002E7E31">
        <w:rPr>
          <w:rFonts w:ascii="Arial" w:hAnsi="Arial" w:cs="Arial"/>
        </w:rPr>
        <w:t xml:space="preserve">California Partnership Academies (all types), Federal </w:t>
      </w:r>
      <w:r w:rsidR="00070B73" w:rsidRPr="00B3647D">
        <w:rPr>
          <w:rFonts w:ascii="Arial" w:hAnsi="Arial" w:cs="Arial"/>
        </w:rPr>
        <w:t>Strengthening CTE for the 21</w:t>
      </w:r>
      <w:r w:rsidR="00070B73" w:rsidRPr="00285054">
        <w:rPr>
          <w:rFonts w:ascii="Arial" w:hAnsi="Arial" w:cs="Arial"/>
        </w:rPr>
        <w:t>st</w:t>
      </w:r>
      <w:r w:rsidR="00070B73" w:rsidRPr="00B3647D">
        <w:rPr>
          <w:rFonts w:ascii="Arial" w:hAnsi="Arial" w:cs="Arial"/>
        </w:rPr>
        <w:t xml:space="preserve"> Century, </w:t>
      </w:r>
      <w:r w:rsidR="002E7E31" w:rsidRPr="002E7E31">
        <w:rPr>
          <w:rFonts w:ascii="Arial" w:hAnsi="Arial" w:cs="Arial"/>
        </w:rPr>
        <w:t>and</w:t>
      </w:r>
      <w:r w:rsidR="004447E2" w:rsidRPr="00B3647D">
        <w:rPr>
          <w:rFonts w:ascii="Arial" w:hAnsi="Arial" w:cs="Arial"/>
        </w:rPr>
        <w:t xml:space="preserve"> the CTE I</w:t>
      </w:r>
      <w:r w:rsidR="002E7E31" w:rsidRPr="002E7E31">
        <w:rPr>
          <w:rFonts w:ascii="Arial" w:hAnsi="Arial" w:cs="Arial"/>
        </w:rPr>
        <w:t xml:space="preserve">ncentive Grant are currently housed in </w:t>
      </w:r>
      <w:r w:rsidR="00A91C26">
        <w:rPr>
          <w:rFonts w:ascii="Arial" w:hAnsi="Arial" w:cs="Arial"/>
        </w:rPr>
        <w:t xml:space="preserve">the </w:t>
      </w:r>
      <w:r w:rsidR="002E7E31" w:rsidRPr="002E7E31">
        <w:rPr>
          <w:rFonts w:ascii="Arial" w:hAnsi="Arial" w:cs="Arial"/>
        </w:rPr>
        <w:t xml:space="preserve">PGMS. Additional programs will be incorporated through a phased approach aligned with application cycles, with </w:t>
      </w:r>
      <w:r w:rsidR="00DB2657">
        <w:rPr>
          <w:rFonts w:ascii="Arial" w:hAnsi="Arial" w:cs="Arial"/>
        </w:rPr>
        <w:t>inclusion</w:t>
      </w:r>
      <w:r w:rsidR="00DB2657" w:rsidRPr="002E7E31">
        <w:rPr>
          <w:rFonts w:ascii="Arial" w:hAnsi="Arial" w:cs="Arial"/>
        </w:rPr>
        <w:t xml:space="preserve"> </w:t>
      </w:r>
      <w:r w:rsidR="002E7E31" w:rsidRPr="002E7E31">
        <w:rPr>
          <w:rFonts w:ascii="Arial" w:hAnsi="Arial" w:cs="Arial"/>
        </w:rPr>
        <w:t>of all C</w:t>
      </w:r>
      <w:r w:rsidR="004447E2" w:rsidRPr="00B3647D">
        <w:rPr>
          <w:rFonts w:ascii="Arial" w:hAnsi="Arial" w:cs="Arial"/>
        </w:rPr>
        <w:t>DE</w:t>
      </w:r>
      <w:r w:rsidR="002E7E31" w:rsidRPr="002E7E31">
        <w:rPr>
          <w:rFonts w:ascii="Arial" w:hAnsi="Arial" w:cs="Arial"/>
        </w:rPr>
        <w:t xml:space="preserve">-administered </w:t>
      </w:r>
      <w:r w:rsidR="004447E2" w:rsidRPr="00B3647D">
        <w:rPr>
          <w:rFonts w:ascii="Arial" w:hAnsi="Arial" w:cs="Arial"/>
        </w:rPr>
        <w:t>CTE</w:t>
      </w:r>
      <w:r w:rsidR="002E7E31" w:rsidRPr="002E7E31">
        <w:rPr>
          <w:rFonts w:ascii="Arial" w:hAnsi="Arial" w:cs="Arial"/>
        </w:rPr>
        <w:t xml:space="preserve"> programs </w:t>
      </w:r>
      <w:r w:rsidR="00DB2657">
        <w:rPr>
          <w:rFonts w:ascii="Arial" w:hAnsi="Arial" w:cs="Arial"/>
        </w:rPr>
        <w:t>in</w:t>
      </w:r>
      <w:r w:rsidR="00A91C26">
        <w:rPr>
          <w:rFonts w:ascii="Arial" w:hAnsi="Arial" w:cs="Arial"/>
        </w:rPr>
        <w:t xml:space="preserve"> the</w:t>
      </w:r>
      <w:r w:rsidR="00DB2657">
        <w:rPr>
          <w:rFonts w:ascii="Arial" w:hAnsi="Arial" w:cs="Arial"/>
        </w:rPr>
        <w:t xml:space="preserve"> PGMS </w:t>
      </w:r>
      <w:r w:rsidR="004447E2" w:rsidRPr="00B3647D">
        <w:rPr>
          <w:rFonts w:ascii="Arial" w:hAnsi="Arial" w:cs="Arial"/>
        </w:rPr>
        <w:t xml:space="preserve">as early as </w:t>
      </w:r>
      <w:r w:rsidR="002E7E31" w:rsidRPr="002E7E31">
        <w:rPr>
          <w:rFonts w:ascii="Arial" w:hAnsi="Arial" w:cs="Arial"/>
        </w:rPr>
        <w:t>fiscal year 2027</w:t>
      </w:r>
      <w:r w:rsidR="004447E2" w:rsidRPr="00B3647D">
        <w:rPr>
          <w:rFonts w:ascii="Arial" w:hAnsi="Arial" w:cs="Arial"/>
        </w:rPr>
        <w:t>–</w:t>
      </w:r>
      <w:r w:rsidR="002E7E31" w:rsidRPr="002E7E31">
        <w:rPr>
          <w:rFonts w:ascii="Arial" w:hAnsi="Arial" w:cs="Arial"/>
        </w:rPr>
        <w:t>28.</w:t>
      </w:r>
    </w:p>
    <w:p w14:paraId="1D06E6C5" w14:textId="45AAE850" w:rsidR="004447E2" w:rsidRPr="00B3647D" w:rsidRDefault="004447E2" w:rsidP="00A359E2">
      <w:pPr>
        <w:spacing w:before="240" w:after="240" w:line="240" w:lineRule="auto"/>
        <w:rPr>
          <w:rFonts w:ascii="Arial" w:hAnsi="Arial" w:cs="Arial"/>
          <w:iCs/>
          <w:color w:val="000000"/>
        </w:rPr>
      </w:pPr>
      <w:r w:rsidRPr="00B3647D">
        <w:rPr>
          <w:rFonts w:ascii="Arial" w:hAnsi="Arial" w:cs="Arial"/>
          <w:iCs/>
        </w:rPr>
        <w:t>If you have any questions regarding this report, or would like a copy of the report, please contact Rachel Moran, Education Programs Assistant, Career and College Transition Division, by email at</w:t>
      </w:r>
      <w:r w:rsidRPr="00B3647D">
        <w:rPr>
          <w:rFonts w:ascii="Arial" w:hAnsi="Arial" w:cs="Arial"/>
        </w:rPr>
        <w:t xml:space="preserve"> </w:t>
      </w:r>
      <w:hyperlink r:id="rId10" w:tooltip="rmoran@cde.ca.gov" w:history="1">
        <w:r w:rsidRPr="00B3647D">
          <w:rPr>
            <w:rStyle w:val="Hyperlink"/>
            <w:rFonts w:ascii="Arial" w:hAnsi="Arial" w:cs="Arial"/>
          </w:rPr>
          <w:t>rmoran@cde.ca.gov</w:t>
        </w:r>
      </w:hyperlink>
      <w:r w:rsidRPr="00B3647D">
        <w:rPr>
          <w:rFonts w:ascii="Arial" w:hAnsi="Arial" w:cs="Arial"/>
        </w:rPr>
        <w:t>.</w:t>
      </w:r>
    </w:p>
    <w:p w14:paraId="2CCFDA13" w14:textId="30F4BB59" w:rsidR="004447E2" w:rsidRPr="00B3647D" w:rsidRDefault="004447E2" w:rsidP="00A359E2">
      <w:pPr>
        <w:tabs>
          <w:tab w:val="right" w:pos="9360"/>
        </w:tabs>
        <w:autoSpaceDE w:val="0"/>
        <w:autoSpaceDN w:val="0"/>
        <w:adjustRightInd w:val="0"/>
        <w:spacing w:before="240" w:after="240" w:line="240" w:lineRule="auto"/>
        <w:rPr>
          <w:rFonts w:ascii="Arial" w:hAnsi="Arial" w:cs="Arial"/>
          <w:bCs/>
        </w:rPr>
      </w:pPr>
      <w:r w:rsidRPr="00B3647D">
        <w:rPr>
          <w:rFonts w:ascii="Arial" w:hAnsi="Arial" w:cs="Arial"/>
          <w:bCs/>
        </w:rPr>
        <w:t xml:space="preserve">You can find this report on the CDE CTE General Information web page at </w:t>
      </w:r>
      <w:hyperlink r:id="rId11" w:tooltip="Legislative Report Link via CDE CTE General Information web page" w:history="1">
        <w:r w:rsidRPr="00B3647D">
          <w:rPr>
            <w:rStyle w:val="Hyperlink"/>
            <w:rFonts w:ascii="Arial" w:hAnsi="Arial" w:cs="Arial"/>
          </w:rPr>
          <w:t>https://www.cde.ca.gov/ci/ct/gi/index.asp</w:t>
        </w:r>
      </w:hyperlink>
      <w:r w:rsidRPr="00B3647D">
        <w:rPr>
          <w:rFonts w:ascii="Arial" w:hAnsi="Arial" w:cs="Arial"/>
          <w:bCs/>
        </w:rPr>
        <w:t>.</w:t>
      </w:r>
    </w:p>
    <w:p w14:paraId="5180EB67" w14:textId="77777777" w:rsidR="004447E2" w:rsidRPr="00B3647D" w:rsidRDefault="004447E2">
      <w:pPr>
        <w:rPr>
          <w:rFonts w:ascii="Arial" w:hAnsi="Arial" w:cs="Arial"/>
          <w:bCs/>
        </w:rPr>
      </w:pPr>
      <w:r w:rsidRPr="00B3647D">
        <w:rPr>
          <w:rFonts w:ascii="Arial" w:hAnsi="Arial" w:cs="Arial"/>
          <w:bCs/>
        </w:rPr>
        <w:br w:type="page"/>
      </w:r>
    </w:p>
    <w:p w14:paraId="20A73AFE" w14:textId="77777777" w:rsidR="004447E2" w:rsidRPr="00B3647D" w:rsidRDefault="004447E2" w:rsidP="004447E2">
      <w:pPr>
        <w:pStyle w:val="Header"/>
        <w:tabs>
          <w:tab w:val="clear" w:pos="8640"/>
          <w:tab w:val="right" w:pos="9360"/>
        </w:tabs>
        <w:spacing w:before="240" w:after="240"/>
        <w:jc w:val="center"/>
        <w:rPr>
          <w:rFonts w:ascii="Arial" w:hAnsi="Arial" w:cs="Arial"/>
          <w:b/>
          <w:bCs/>
        </w:rPr>
      </w:pPr>
      <w:r w:rsidRPr="00B3647D">
        <w:rPr>
          <w:rFonts w:ascii="Arial" w:hAnsi="Arial" w:cs="Arial"/>
          <w:b/>
          <w:bCs/>
        </w:rPr>
        <w:lastRenderedPageBreak/>
        <w:t>California Department of Education</w:t>
      </w:r>
    </w:p>
    <w:p w14:paraId="4A8EEDCD" w14:textId="2C2E0355" w:rsidR="004447E2" w:rsidRPr="00B3647D" w:rsidRDefault="004447E2" w:rsidP="00A359E2">
      <w:pPr>
        <w:spacing w:line="240" w:lineRule="auto"/>
        <w:jc w:val="center"/>
        <w:rPr>
          <w:rFonts w:ascii="Arial" w:hAnsi="Arial" w:cs="Arial"/>
          <w:b/>
          <w:bCs/>
        </w:rPr>
      </w:pPr>
      <w:r w:rsidRPr="00B3647D">
        <w:rPr>
          <w:rFonts w:ascii="Arial" w:hAnsi="Arial" w:cs="Arial"/>
          <w:b/>
          <w:bCs/>
        </w:rPr>
        <w:t xml:space="preserve">Report to the Legislature, the Department of Finance, and the State Board of Education: </w:t>
      </w:r>
      <w:r w:rsidR="00DB2657">
        <w:rPr>
          <w:rFonts w:ascii="Arial" w:hAnsi="Arial" w:cs="Arial"/>
          <w:b/>
          <w:bCs/>
        </w:rPr>
        <w:t xml:space="preserve">Feasibility of </w:t>
      </w:r>
      <w:r w:rsidRPr="00B3647D">
        <w:rPr>
          <w:rFonts w:ascii="Arial" w:hAnsi="Arial" w:cs="Arial"/>
          <w:b/>
          <w:bCs/>
          <w:kern w:val="0"/>
          <w14:ligatures w14:val="none"/>
        </w:rPr>
        <w:t xml:space="preserve">Streamlining </w:t>
      </w:r>
      <w:r w:rsidRPr="00B3647D">
        <w:rPr>
          <w:rFonts w:ascii="Arial" w:hAnsi="Arial" w:cs="Arial"/>
          <w:b/>
          <w:bCs/>
        </w:rPr>
        <w:t>the</w:t>
      </w:r>
      <w:r w:rsidRPr="00B3647D">
        <w:rPr>
          <w:rFonts w:ascii="Arial" w:hAnsi="Arial" w:cs="Arial"/>
          <w:b/>
          <w:bCs/>
          <w:kern w:val="0"/>
          <w14:ligatures w14:val="none"/>
        </w:rPr>
        <w:t xml:space="preserve"> Career Technical Education </w:t>
      </w:r>
      <w:r w:rsidR="00DB2657">
        <w:rPr>
          <w:rFonts w:ascii="Arial" w:hAnsi="Arial" w:cs="Arial"/>
          <w:b/>
          <w:bCs/>
          <w:kern w:val="0"/>
          <w14:ligatures w14:val="none"/>
        </w:rPr>
        <w:t>Grant Application and Reporting Processes</w:t>
      </w:r>
      <w:r w:rsidR="00DB2657" w:rsidRPr="00B3647D">
        <w:rPr>
          <w:rFonts w:ascii="Arial" w:hAnsi="Arial" w:cs="Arial"/>
          <w:b/>
          <w:bCs/>
          <w:kern w:val="0"/>
          <w14:ligatures w14:val="none"/>
        </w:rPr>
        <w:t xml:space="preserve"> </w:t>
      </w:r>
      <w:r w:rsidRPr="00B3647D">
        <w:rPr>
          <w:rFonts w:ascii="Arial" w:hAnsi="Arial" w:cs="Arial"/>
          <w:b/>
          <w:bCs/>
          <w:kern w:val="0"/>
          <w14:ligatures w14:val="none"/>
        </w:rPr>
        <w:t>Overseen by the California Department of Education</w:t>
      </w:r>
    </w:p>
    <w:p w14:paraId="23FDCF82" w14:textId="77777777" w:rsidR="002E7E31" w:rsidRPr="002E7E31" w:rsidRDefault="002E7E31" w:rsidP="00A359E2">
      <w:pPr>
        <w:pStyle w:val="Heading2"/>
        <w:spacing w:before="480" w:after="240" w:line="240" w:lineRule="auto"/>
        <w:jc w:val="left"/>
      </w:pPr>
      <w:bookmarkStart w:id="5" w:name="_Toc217466118"/>
      <w:r w:rsidRPr="002E7E31">
        <w:t>Introduction</w:t>
      </w:r>
      <w:bookmarkEnd w:id="5"/>
    </w:p>
    <w:p w14:paraId="5B0E64D9" w14:textId="1925E5CF" w:rsidR="002E7E31" w:rsidRPr="002E7E31" w:rsidRDefault="002E7E31" w:rsidP="00A359E2">
      <w:pPr>
        <w:spacing w:before="240" w:after="240" w:line="240" w:lineRule="auto"/>
        <w:rPr>
          <w:rFonts w:ascii="Arial" w:hAnsi="Arial" w:cs="Arial"/>
        </w:rPr>
      </w:pPr>
      <w:r w:rsidRPr="00BD6458">
        <w:rPr>
          <w:rFonts w:ascii="Arial" w:hAnsi="Arial" w:cs="Arial"/>
        </w:rPr>
        <w:t xml:space="preserve">Assembly Bill </w:t>
      </w:r>
      <w:r w:rsidR="00EF7DDD" w:rsidRPr="00BD6458">
        <w:rPr>
          <w:rFonts w:ascii="Arial" w:hAnsi="Arial" w:cs="Arial"/>
        </w:rPr>
        <w:t xml:space="preserve">(AB) </w:t>
      </w:r>
      <w:r w:rsidRPr="00BD6458">
        <w:rPr>
          <w:rFonts w:ascii="Arial" w:hAnsi="Arial" w:cs="Arial"/>
        </w:rPr>
        <w:t>121</w:t>
      </w:r>
      <w:r w:rsidRPr="002E7E31">
        <w:rPr>
          <w:rFonts w:ascii="Arial" w:hAnsi="Arial" w:cs="Arial"/>
        </w:rPr>
        <w:t>, Section 69, subdivision (a) states the Legislature</w:t>
      </w:r>
      <w:r w:rsidR="003E728F">
        <w:rPr>
          <w:rFonts w:ascii="Arial" w:hAnsi="Arial" w:cs="Arial"/>
        </w:rPr>
        <w:t>’</w:t>
      </w:r>
      <w:r w:rsidRPr="002E7E31">
        <w:rPr>
          <w:rFonts w:ascii="Arial" w:hAnsi="Arial" w:cs="Arial"/>
        </w:rPr>
        <w:t xml:space="preserve">s intent </w:t>
      </w:r>
      <w:r w:rsidR="003E728F">
        <w:rPr>
          <w:rFonts w:ascii="Arial" w:hAnsi="Arial" w:cs="Arial"/>
        </w:rPr>
        <w:t>“</w:t>
      </w:r>
      <w:r w:rsidRPr="002E7E31">
        <w:rPr>
          <w:rFonts w:ascii="Arial" w:hAnsi="Arial" w:cs="Arial"/>
        </w:rPr>
        <w:t>to promote alignment and comprehensive planning across career technical education</w:t>
      </w:r>
      <w:r w:rsidR="00B37DD9" w:rsidRPr="00B3647D">
        <w:rPr>
          <w:rFonts w:ascii="Arial" w:hAnsi="Arial" w:cs="Arial"/>
        </w:rPr>
        <w:t xml:space="preserve"> (CTE)</w:t>
      </w:r>
      <w:r w:rsidRPr="002E7E31">
        <w:rPr>
          <w:rFonts w:ascii="Arial" w:hAnsi="Arial" w:cs="Arial"/>
        </w:rPr>
        <w:t>-related programs through a single integrated application that maintains individual program characteristics.</w:t>
      </w:r>
      <w:r w:rsidR="003E728F">
        <w:rPr>
          <w:rFonts w:ascii="Arial" w:hAnsi="Arial" w:cs="Arial"/>
        </w:rPr>
        <w:t>”</w:t>
      </w:r>
      <w:r w:rsidRPr="002E7E31">
        <w:rPr>
          <w:rFonts w:ascii="Arial" w:hAnsi="Arial" w:cs="Arial"/>
        </w:rPr>
        <w:t xml:space="preserve"> Subdivision (e) directs the Superintendent of Public Instruction to provide information </w:t>
      </w:r>
      <w:r w:rsidR="00DB2657">
        <w:rPr>
          <w:rFonts w:ascii="Arial" w:hAnsi="Arial" w:cs="Arial"/>
        </w:rPr>
        <w:t xml:space="preserve">to specified </w:t>
      </w:r>
      <w:r w:rsidR="00DA3A0B">
        <w:rPr>
          <w:rFonts w:ascii="Arial" w:hAnsi="Arial" w:cs="Arial"/>
        </w:rPr>
        <w:t>committees and directors</w:t>
      </w:r>
      <w:r w:rsidR="00DB2657">
        <w:rPr>
          <w:rFonts w:ascii="Arial" w:hAnsi="Arial" w:cs="Arial"/>
        </w:rPr>
        <w:t xml:space="preserve"> </w:t>
      </w:r>
      <w:r w:rsidR="00DA3A0B">
        <w:rPr>
          <w:rFonts w:ascii="Arial" w:hAnsi="Arial" w:cs="Arial"/>
        </w:rPr>
        <w:t xml:space="preserve">with information that must include: (1) </w:t>
      </w:r>
      <w:r w:rsidRPr="002E7E31">
        <w:rPr>
          <w:rFonts w:ascii="Arial" w:hAnsi="Arial" w:cs="Arial"/>
        </w:rPr>
        <w:t>how the process for funding consideration and the processes for administration and reporting can be streamlined</w:t>
      </w:r>
      <w:r w:rsidR="00DB2657">
        <w:rPr>
          <w:rFonts w:ascii="Arial" w:hAnsi="Arial" w:cs="Arial"/>
        </w:rPr>
        <w:t xml:space="preserve"> for specified grants</w:t>
      </w:r>
      <w:r w:rsidR="00DA3A0B">
        <w:rPr>
          <w:rFonts w:ascii="Arial" w:hAnsi="Arial" w:cs="Arial"/>
        </w:rPr>
        <w:t>;</w:t>
      </w:r>
      <w:r w:rsidRPr="002E7E31">
        <w:rPr>
          <w:rFonts w:ascii="Arial" w:hAnsi="Arial" w:cs="Arial"/>
        </w:rPr>
        <w:t xml:space="preserve"> </w:t>
      </w:r>
      <w:r w:rsidR="00DA3A0B">
        <w:rPr>
          <w:rFonts w:ascii="Arial" w:hAnsi="Arial" w:cs="Arial"/>
        </w:rPr>
        <w:t xml:space="preserve">(2) to the extent feasible, </w:t>
      </w:r>
      <w:r w:rsidRPr="002E7E31">
        <w:rPr>
          <w:rFonts w:ascii="Arial" w:hAnsi="Arial" w:cs="Arial"/>
        </w:rPr>
        <w:t xml:space="preserve">an implementation plan for streamlining </w:t>
      </w:r>
      <w:r w:rsidR="00DA3A0B">
        <w:rPr>
          <w:rFonts w:ascii="Arial" w:hAnsi="Arial" w:cs="Arial"/>
        </w:rPr>
        <w:t xml:space="preserve">grant applications and reporting </w:t>
      </w:r>
      <w:r w:rsidRPr="002E7E31">
        <w:rPr>
          <w:rFonts w:ascii="Arial" w:hAnsi="Arial" w:cs="Arial"/>
        </w:rPr>
        <w:t>for the 2026</w:t>
      </w:r>
      <w:r w:rsidR="004447E2" w:rsidRPr="00B3647D">
        <w:rPr>
          <w:rFonts w:ascii="Arial" w:hAnsi="Arial" w:cs="Arial"/>
        </w:rPr>
        <w:t>–</w:t>
      </w:r>
      <w:r w:rsidRPr="002E7E31">
        <w:rPr>
          <w:rFonts w:ascii="Arial" w:hAnsi="Arial" w:cs="Arial"/>
        </w:rPr>
        <w:t xml:space="preserve">27 fiscal year, </w:t>
      </w:r>
      <w:r w:rsidR="00DA3A0B">
        <w:rPr>
          <w:rFonts w:ascii="Arial" w:hAnsi="Arial" w:cs="Arial"/>
        </w:rPr>
        <w:t xml:space="preserve">including, if applicable, any statutory changes to allow for streamlining to occur while maintaining individual program characteristics; and </w:t>
      </w:r>
      <w:r w:rsidR="002A2BF7">
        <w:rPr>
          <w:rFonts w:ascii="Arial" w:hAnsi="Arial" w:cs="Arial"/>
        </w:rPr>
        <w:t xml:space="preserve">(3) </w:t>
      </w:r>
      <w:r w:rsidR="00DA3A0B">
        <w:rPr>
          <w:rFonts w:ascii="Arial" w:hAnsi="Arial" w:cs="Arial"/>
        </w:rPr>
        <w:t xml:space="preserve">a description of </w:t>
      </w:r>
      <w:r w:rsidRPr="002E7E31">
        <w:rPr>
          <w:rFonts w:ascii="Arial" w:hAnsi="Arial" w:cs="Arial"/>
        </w:rPr>
        <w:t xml:space="preserve">how future </w:t>
      </w:r>
      <w:r w:rsidR="00DA3A0B">
        <w:rPr>
          <w:rFonts w:ascii="Arial" w:hAnsi="Arial" w:cs="Arial"/>
        </w:rPr>
        <w:t xml:space="preserve">one-time or ongoing CTE-related </w:t>
      </w:r>
      <w:r w:rsidRPr="002E7E31">
        <w:rPr>
          <w:rFonts w:ascii="Arial" w:hAnsi="Arial" w:cs="Arial"/>
        </w:rPr>
        <w:t xml:space="preserve">programs could be </w:t>
      </w:r>
      <w:r w:rsidR="00DA3A0B">
        <w:rPr>
          <w:rFonts w:ascii="Arial" w:hAnsi="Arial" w:cs="Arial"/>
        </w:rPr>
        <w:t>added into the integrated application process if determined appropriate and feasible</w:t>
      </w:r>
      <w:r w:rsidRPr="002E7E31">
        <w:rPr>
          <w:rFonts w:ascii="Arial" w:hAnsi="Arial" w:cs="Arial"/>
        </w:rPr>
        <w:t xml:space="preserve"> and </w:t>
      </w:r>
      <w:r w:rsidR="002A2BF7">
        <w:rPr>
          <w:rFonts w:ascii="Arial" w:hAnsi="Arial" w:cs="Arial"/>
        </w:rPr>
        <w:t xml:space="preserve">(4) if a grant or funding award is not included in the streamlined process, the </w:t>
      </w:r>
      <w:r w:rsidRPr="002E7E31">
        <w:rPr>
          <w:rFonts w:ascii="Arial" w:hAnsi="Arial" w:cs="Arial"/>
        </w:rPr>
        <w:t xml:space="preserve">justification for </w:t>
      </w:r>
      <w:r w:rsidR="002A2BF7">
        <w:rPr>
          <w:rFonts w:ascii="Arial" w:hAnsi="Arial" w:cs="Arial"/>
        </w:rPr>
        <w:t>its</w:t>
      </w:r>
      <w:r w:rsidR="002A2BF7" w:rsidRPr="002E7E31">
        <w:rPr>
          <w:rFonts w:ascii="Arial" w:hAnsi="Arial" w:cs="Arial"/>
        </w:rPr>
        <w:t xml:space="preserve"> </w:t>
      </w:r>
      <w:r w:rsidRPr="002E7E31">
        <w:rPr>
          <w:rFonts w:ascii="Arial" w:hAnsi="Arial" w:cs="Arial"/>
        </w:rPr>
        <w:t>exclusion.</w:t>
      </w:r>
    </w:p>
    <w:p w14:paraId="523FC2A1" w14:textId="3D831461" w:rsidR="002E7E31" w:rsidRPr="001156A0" w:rsidRDefault="002E7E31" w:rsidP="00A359E2">
      <w:pPr>
        <w:spacing w:before="240" w:after="240" w:line="240" w:lineRule="auto"/>
        <w:rPr>
          <w:rFonts w:ascii="Arial" w:hAnsi="Arial" w:cs="Arial"/>
        </w:rPr>
      </w:pPr>
      <w:r w:rsidRPr="002E7E31">
        <w:rPr>
          <w:rFonts w:ascii="Arial" w:hAnsi="Arial" w:cs="Arial"/>
        </w:rPr>
        <w:t>The programs specified include the Strengthening C</w:t>
      </w:r>
      <w:r w:rsidR="00B37DD9" w:rsidRPr="00B3647D">
        <w:rPr>
          <w:rFonts w:ascii="Arial" w:hAnsi="Arial" w:cs="Arial"/>
        </w:rPr>
        <w:t>TE</w:t>
      </w:r>
      <w:r w:rsidRPr="002E7E31">
        <w:rPr>
          <w:rFonts w:ascii="Arial" w:hAnsi="Arial" w:cs="Arial"/>
        </w:rPr>
        <w:t xml:space="preserve"> for the 21st Century Act (Perkins), the C</w:t>
      </w:r>
      <w:r w:rsidR="00B37DD9" w:rsidRPr="00B3647D">
        <w:rPr>
          <w:rFonts w:ascii="Arial" w:hAnsi="Arial" w:cs="Arial"/>
        </w:rPr>
        <w:t>TE</w:t>
      </w:r>
      <w:r w:rsidRPr="002E7E31">
        <w:rPr>
          <w:rFonts w:ascii="Arial" w:hAnsi="Arial" w:cs="Arial"/>
        </w:rPr>
        <w:t xml:space="preserve"> Incentive Grant Program, Middle School Foundation Academies Planning</w:t>
      </w:r>
      <w:r w:rsidR="00B37DD9" w:rsidRPr="00B3647D">
        <w:rPr>
          <w:rFonts w:ascii="Arial" w:hAnsi="Arial" w:cs="Arial"/>
        </w:rPr>
        <w:t xml:space="preserve"> </w:t>
      </w:r>
      <w:r w:rsidRPr="002E7E31">
        <w:rPr>
          <w:rFonts w:ascii="Arial" w:hAnsi="Arial" w:cs="Arial"/>
        </w:rPr>
        <w:t>Grants</w:t>
      </w:r>
      <w:r w:rsidR="00B37DD9" w:rsidRPr="00B3647D">
        <w:rPr>
          <w:rFonts w:ascii="Arial" w:hAnsi="Arial" w:cs="Arial"/>
        </w:rPr>
        <w:t xml:space="preserve"> (MSFAs)</w:t>
      </w:r>
      <w:r w:rsidRPr="002E7E31">
        <w:rPr>
          <w:rFonts w:ascii="Arial" w:hAnsi="Arial" w:cs="Arial"/>
        </w:rPr>
        <w:t>, Specialized Secondary Programs</w:t>
      </w:r>
      <w:r w:rsidR="00B37DD9" w:rsidRPr="00B3647D">
        <w:rPr>
          <w:rFonts w:ascii="Arial" w:hAnsi="Arial" w:cs="Arial"/>
        </w:rPr>
        <w:t xml:space="preserve"> (SSPs)</w:t>
      </w:r>
      <w:r w:rsidRPr="002E7E31">
        <w:rPr>
          <w:rFonts w:ascii="Arial" w:hAnsi="Arial" w:cs="Arial"/>
        </w:rPr>
        <w:t>, the C</w:t>
      </w:r>
      <w:r w:rsidR="00B37DD9" w:rsidRPr="00B3647D">
        <w:rPr>
          <w:rFonts w:ascii="Arial" w:hAnsi="Arial" w:cs="Arial"/>
        </w:rPr>
        <w:t xml:space="preserve">TE </w:t>
      </w:r>
      <w:r w:rsidRPr="002E7E31">
        <w:rPr>
          <w:rFonts w:ascii="Arial" w:hAnsi="Arial" w:cs="Arial"/>
        </w:rPr>
        <w:t>Initiative</w:t>
      </w:r>
      <w:r w:rsidR="00B37DD9" w:rsidRPr="00B3647D">
        <w:rPr>
          <w:rFonts w:ascii="Arial" w:hAnsi="Arial" w:cs="Arial"/>
        </w:rPr>
        <w:t xml:space="preserve"> (CTEI)</w:t>
      </w:r>
      <w:r w:rsidRPr="002E7E31">
        <w:rPr>
          <w:rFonts w:ascii="Arial" w:hAnsi="Arial" w:cs="Arial"/>
        </w:rPr>
        <w:t>, and California Partnership Academies</w:t>
      </w:r>
      <w:r w:rsidR="00B37DD9" w:rsidRPr="00B3647D">
        <w:rPr>
          <w:rFonts w:ascii="Arial" w:hAnsi="Arial" w:cs="Arial"/>
        </w:rPr>
        <w:t xml:space="preserve"> (CPAs)</w:t>
      </w:r>
      <w:r w:rsidRPr="002E7E31">
        <w:rPr>
          <w:rFonts w:ascii="Arial" w:hAnsi="Arial" w:cs="Arial"/>
        </w:rPr>
        <w:t xml:space="preserve">. </w:t>
      </w:r>
      <w:r w:rsidR="00FB05FB" w:rsidRPr="002E7E31">
        <w:rPr>
          <w:rFonts w:ascii="Arial" w:hAnsi="Arial" w:cs="Arial"/>
        </w:rPr>
        <w:t>CTEI</w:t>
      </w:r>
      <w:r w:rsidRPr="002E7E31">
        <w:rPr>
          <w:rFonts w:ascii="Arial" w:hAnsi="Arial" w:cs="Arial"/>
        </w:rPr>
        <w:t xml:space="preserve"> encompasses M</w:t>
      </w:r>
      <w:r w:rsidR="00B37DD9" w:rsidRPr="00B3647D">
        <w:rPr>
          <w:rFonts w:ascii="Arial" w:hAnsi="Arial" w:cs="Arial"/>
        </w:rPr>
        <w:t>SFAs</w:t>
      </w:r>
      <w:r w:rsidRPr="002E7E31">
        <w:rPr>
          <w:rFonts w:ascii="Arial" w:hAnsi="Arial" w:cs="Arial"/>
        </w:rPr>
        <w:t xml:space="preserve">, </w:t>
      </w:r>
      <w:r w:rsidR="00B37DD9" w:rsidRPr="00B3647D">
        <w:rPr>
          <w:rFonts w:ascii="Arial" w:hAnsi="Arial" w:cs="Arial"/>
        </w:rPr>
        <w:t xml:space="preserve">CPAs (various types), and the </w:t>
      </w:r>
      <w:r w:rsidRPr="002E7E31">
        <w:rPr>
          <w:rFonts w:ascii="Arial" w:hAnsi="Arial" w:cs="Arial"/>
        </w:rPr>
        <w:t>Arts, Media, and Entertainment</w:t>
      </w:r>
      <w:r w:rsidR="00B37DD9" w:rsidRPr="00B3647D">
        <w:rPr>
          <w:rFonts w:ascii="Arial" w:hAnsi="Arial" w:cs="Arial"/>
        </w:rPr>
        <w:t xml:space="preserve"> (AME)</w:t>
      </w:r>
      <w:r w:rsidRPr="002E7E31">
        <w:rPr>
          <w:rFonts w:ascii="Arial" w:hAnsi="Arial" w:cs="Arial"/>
        </w:rPr>
        <w:t xml:space="preserve"> (Model Programs, Demonstration Sites, Workforce Training, </w:t>
      </w:r>
      <w:r w:rsidR="008239D8" w:rsidRPr="00B3647D">
        <w:rPr>
          <w:rFonts w:ascii="Arial" w:hAnsi="Arial" w:cs="Arial"/>
        </w:rPr>
        <w:t xml:space="preserve">Youth Apprenticeship, </w:t>
      </w:r>
      <w:r w:rsidRPr="002E7E31">
        <w:rPr>
          <w:rFonts w:ascii="Arial" w:hAnsi="Arial" w:cs="Arial"/>
        </w:rPr>
        <w:t xml:space="preserve">and Hip Hop Education and Equity </w:t>
      </w:r>
      <w:r w:rsidRPr="001156A0">
        <w:rPr>
          <w:rFonts w:ascii="Arial" w:hAnsi="Arial" w:cs="Arial"/>
        </w:rPr>
        <w:t>Initiative).</w:t>
      </w:r>
    </w:p>
    <w:p w14:paraId="6CE4E994" w14:textId="0D524AB1" w:rsidR="00FB05FB" w:rsidRPr="002E7E31" w:rsidRDefault="001B13DC" w:rsidP="00A359E2">
      <w:pPr>
        <w:spacing w:before="240" w:after="240" w:line="240" w:lineRule="auto"/>
        <w:rPr>
          <w:rFonts w:ascii="Arial" w:hAnsi="Arial" w:cs="Arial"/>
        </w:rPr>
      </w:pPr>
      <w:r w:rsidRPr="001156A0">
        <w:rPr>
          <w:rFonts w:ascii="Arial" w:hAnsi="Arial" w:cs="Arial"/>
        </w:rPr>
        <w:t>A report providing comprehensive information on C</w:t>
      </w:r>
      <w:r w:rsidR="00024BED">
        <w:rPr>
          <w:rFonts w:ascii="Arial" w:hAnsi="Arial" w:cs="Arial"/>
        </w:rPr>
        <w:t xml:space="preserve">alifornia </w:t>
      </w:r>
      <w:r w:rsidRPr="001156A0">
        <w:rPr>
          <w:rFonts w:ascii="Arial" w:hAnsi="Arial" w:cs="Arial"/>
        </w:rPr>
        <w:t>D</w:t>
      </w:r>
      <w:r w:rsidR="00024BED">
        <w:rPr>
          <w:rFonts w:ascii="Arial" w:hAnsi="Arial" w:cs="Arial"/>
        </w:rPr>
        <w:t xml:space="preserve">epartment of </w:t>
      </w:r>
      <w:r w:rsidRPr="001156A0">
        <w:rPr>
          <w:rFonts w:ascii="Arial" w:hAnsi="Arial" w:cs="Arial"/>
        </w:rPr>
        <w:t>E</w:t>
      </w:r>
      <w:r w:rsidR="00024BED">
        <w:rPr>
          <w:rFonts w:ascii="Arial" w:hAnsi="Arial" w:cs="Arial"/>
        </w:rPr>
        <w:t>ducation (CDE)</w:t>
      </w:r>
      <w:r w:rsidRPr="001156A0">
        <w:rPr>
          <w:rFonts w:ascii="Arial" w:hAnsi="Arial" w:cs="Arial"/>
        </w:rPr>
        <w:t xml:space="preserve"> CTE programs </w:t>
      </w:r>
      <w:r w:rsidR="00FB05FB" w:rsidRPr="001156A0">
        <w:rPr>
          <w:rFonts w:ascii="Arial" w:hAnsi="Arial" w:cs="Arial"/>
        </w:rPr>
        <w:t xml:space="preserve">and their specific needs </w:t>
      </w:r>
      <w:r w:rsidRPr="001156A0">
        <w:rPr>
          <w:rFonts w:ascii="Arial" w:hAnsi="Arial" w:cs="Arial"/>
        </w:rPr>
        <w:t>was submitted in October 2025 and is</w:t>
      </w:r>
      <w:r w:rsidR="00FB05FB" w:rsidRPr="001156A0">
        <w:rPr>
          <w:rFonts w:ascii="Arial" w:hAnsi="Arial" w:cs="Arial"/>
        </w:rPr>
        <w:t xml:space="preserve"> available on the CDE </w:t>
      </w:r>
      <w:r w:rsidRPr="001156A0">
        <w:rPr>
          <w:rFonts w:ascii="Arial" w:hAnsi="Arial" w:cs="Arial"/>
        </w:rPr>
        <w:t>CTE web page at</w:t>
      </w:r>
      <w:r w:rsidR="00FB05FB" w:rsidRPr="001156A0">
        <w:rPr>
          <w:rFonts w:ascii="Arial" w:hAnsi="Arial" w:cs="Arial"/>
        </w:rPr>
        <w:t xml:space="preserve"> </w:t>
      </w:r>
      <w:hyperlink r:id="rId12" w:tooltip="2025 CTE Programs Executive Summary - Legislative Report web page" w:history="1">
        <w:r w:rsidRPr="001156A0">
          <w:rPr>
            <w:rStyle w:val="Hyperlink"/>
            <w:rFonts w:ascii="Arial" w:hAnsi="Arial" w:cs="Arial"/>
          </w:rPr>
          <w:t>https://www.cde.ca.gov/ci/ct/gi/ctep25execsummary.asp</w:t>
        </w:r>
      </w:hyperlink>
      <w:r w:rsidRPr="001156A0">
        <w:rPr>
          <w:rFonts w:ascii="Arial" w:hAnsi="Arial" w:cs="Arial"/>
        </w:rPr>
        <w:t>.</w:t>
      </w:r>
    </w:p>
    <w:p w14:paraId="731A869B" w14:textId="67EFFF95" w:rsidR="002E7E31" w:rsidRPr="002E7E31" w:rsidRDefault="002E7E31" w:rsidP="00A359E2">
      <w:pPr>
        <w:spacing w:before="240" w:after="240" w:line="240" w:lineRule="auto"/>
        <w:rPr>
          <w:rFonts w:ascii="Arial" w:hAnsi="Arial" w:cs="Arial"/>
        </w:rPr>
      </w:pPr>
      <w:r w:rsidRPr="002E7E31">
        <w:rPr>
          <w:rFonts w:ascii="Arial" w:hAnsi="Arial" w:cs="Arial"/>
        </w:rPr>
        <w:t>This report addresses the four specific requirements established in A</w:t>
      </w:r>
      <w:r w:rsidR="00D053A5">
        <w:rPr>
          <w:rFonts w:ascii="Arial" w:hAnsi="Arial" w:cs="Arial"/>
        </w:rPr>
        <w:t>B</w:t>
      </w:r>
      <w:r w:rsidRPr="002E7E31">
        <w:rPr>
          <w:rFonts w:ascii="Arial" w:hAnsi="Arial" w:cs="Arial"/>
        </w:rPr>
        <w:t xml:space="preserve"> 121, Section 69, subdivision (e).</w:t>
      </w:r>
    </w:p>
    <w:p w14:paraId="4744D44C" w14:textId="290829B7" w:rsidR="002E7E31" w:rsidRPr="002E7E31" w:rsidRDefault="002E7E31" w:rsidP="00A359E2">
      <w:pPr>
        <w:pStyle w:val="Heading2"/>
        <w:spacing w:before="480" w:after="240" w:line="240" w:lineRule="auto"/>
        <w:jc w:val="left"/>
      </w:pPr>
      <w:bookmarkStart w:id="6" w:name="_Toc217466119"/>
      <w:r w:rsidRPr="002E7E31">
        <w:t>How Processes Can Be Streamlined</w:t>
      </w:r>
      <w:bookmarkEnd w:id="6"/>
    </w:p>
    <w:p w14:paraId="00152D19" w14:textId="2CE39241" w:rsidR="002E7E31" w:rsidRPr="008850C5" w:rsidRDefault="00FB05FB" w:rsidP="00A359E2">
      <w:pPr>
        <w:spacing w:before="240" w:after="240" w:line="240" w:lineRule="auto"/>
        <w:rPr>
          <w:rFonts w:ascii="Arial" w:hAnsi="Arial" w:cs="Arial"/>
        </w:rPr>
      </w:pPr>
      <w:bookmarkStart w:id="7" w:name="_Hlk217385042"/>
      <w:r w:rsidRPr="5BDC2495">
        <w:rPr>
          <w:rFonts w:ascii="Arial" w:hAnsi="Arial" w:cs="Arial"/>
        </w:rPr>
        <w:t>A</w:t>
      </w:r>
      <w:r w:rsidR="0071313D" w:rsidRPr="5BDC2495">
        <w:rPr>
          <w:rFonts w:ascii="Arial" w:hAnsi="Arial" w:cs="Arial"/>
        </w:rPr>
        <w:t>B</w:t>
      </w:r>
      <w:r w:rsidRPr="5BDC2495">
        <w:rPr>
          <w:rFonts w:ascii="Arial" w:hAnsi="Arial" w:cs="Arial"/>
        </w:rPr>
        <w:t xml:space="preserve"> 121, Section 69, </w:t>
      </w:r>
      <w:r w:rsidR="00D032A8" w:rsidRPr="5BDC2495">
        <w:rPr>
          <w:rFonts w:ascii="Arial" w:hAnsi="Arial" w:cs="Arial"/>
        </w:rPr>
        <w:t>subdivision</w:t>
      </w:r>
      <w:r w:rsidRPr="5BDC2495">
        <w:rPr>
          <w:rFonts w:ascii="Arial" w:hAnsi="Arial" w:cs="Arial"/>
        </w:rPr>
        <w:t xml:space="preserve"> </w:t>
      </w:r>
      <w:bookmarkEnd w:id="7"/>
      <w:r w:rsidRPr="5BDC2495">
        <w:rPr>
          <w:rFonts w:ascii="Arial" w:hAnsi="Arial" w:cs="Arial"/>
        </w:rPr>
        <w:t>(e)(1)</w:t>
      </w:r>
      <w:r w:rsidR="65B59D7C" w:rsidRPr="5BDC2495">
        <w:rPr>
          <w:rFonts w:ascii="Arial" w:hAnsi="Arial" w:cs="Arial"/>
        </w:rPr>
        <w:t>(</w:t>
      </w:r>
      <w:r w:rsidR="5364B3EE" w:rsidRPr="5BDC2495">
        <w:rPr>
          <w:rFonts w:ascii="Arial" w:hAnsi="Arial" w:cs="Arial"/>
        </w:rPr>
        <w:t>A</w:t>
      </w:r>
      <w:r w:rsidR="65B59D7C" w:rsidRPr="5BDC2495">
        <w:rPr>
          <w:rFonts w:ascii="Arial" w:hAnsi="Arial" w:cs="Arial"/>
        </w:rPr>
        <w:t xml:space="preserve">) </w:t>
      </w:r>
      <w:r w:rsidRPr="5BDC2495">
        <w:rPr>
          <w:rFonts w:ascii="Arial" w:hAnsi="Arial" w:cs="Arial"/>
        </w:rPr>
        <w:t>asks how the process for funding consideration and the processes for administration and reporting can be streamlined for specified grants</w:t>
      </w:r>
      <w:r w:rsidR="3DCAAE23" w:rsidRPr="5BDC2495">
        <w:rPr>
          <w:rFonts w:ascii="Arial" w:hAnsi="Arial" w:cs="Arial"/>
        </w:rPr>
        <w:t>.</w:t>
      </w:r>
      <w:r w:rsidR="36B45994" w:rsidRPr="318962C7">
        <w:rPr>
          <w:rFonts w:ascii="Arial" w:hAnsi="Arial" w:cs="Arial"/>
        </w:rPr>
        <w:t xml:space="preserve"> </w:t>
      </w:r>
      <w:r w:rsidR="1F18FB60" w:rsidRPr="318962C7">
        <w:rPr>
          <w:rFonts w:ascii="Arial" w:hAnsi="Arial" w:cs="Arial"/>
        </w:rPr>
        <w:t xml:space="preserve">The </w:t>
      </w:r>
      <w:r w:rsidR="75EEE723" w:rsidRPr="008850C5">
        <w:rPr>
          <w:rFonts w:ascii="Arial" w:hAnsi="Arial" w:cs="Arial"/>
        </w:rPr>
        <w:t>CDE reviewed the requirements and reporting for</w:t>
      </w:r>
      <w:r w:rsidR="002D0C4A" w:rsidRPr="008850C5">
        <w:rPr>
          <w:rFonts w:ascii="Arial" w:hAnsi="Arial" w:cs="Arial"/>
        </w:rPr>
        <w:t xml:space="preserve"> each grant </w:t>
      </w:r>
      <w:r w:rsidR="002D0C4A" w:rsidRPr="008850C5">
        <w:rPr>
          <w:rFonts w:ascii="Arial" w:hAnsi="Arial" w:cs="Arial"/>
        </w:rPr>
        <w:lastRenderedPageBreak/>
        <w:t xml:space="preserve">specified in AB 121, Section 69, subdivision (b) and </w:t>
      </w:r>
      <w:r w:rsidR="1D83DF1D" w:rsidRPr="318962C7">
        <w:rPr>
          <w:rFonts w:ascii="Arial" w:hAnsi="Arial" w:cs="Arial"/>
        </w:rPr>
        <w:t>provided</w:t>
      </w:r>
      <w:r w:rsidR="2EF514AA" w:rsidRPr="318962C7">
        <w:rPr>
          <w:rFonts w:ascii="Arial" w:hAnsi="Arial" w:cs="Arial"/>
        </w:rPr>
        <w:t xml:space="preserve"> the selection process, eligibility process, and statutory compliance</w:t>
      </w:r>
      <w:r w:rsidR="001156A0" w:rsidRPr="008850C5">
        <w:rPr>
          <w:rFonts w:ascii="Arial" w:hAnsi="Arial" w:cs="Arial"/>
        </w:rPr>
        <w:t xml:space="preserve"> in the following table:</w:t>
      </w:r>
    </w:p>
    <w:tbl>
      <w:tblPr>
        <w:tblStyle w:val="TableGrid"/>
        <w:tblW w:w="10440" w:type="dxa"/>
        <w:tblInd w:w="-365" w:type="dxa"/>
        <w:tblLook w:val="04A0" w:firstRow="1" w:lastRow="0" w:firstColumn="1" w:lastColumn="0" w:noHBand="0" w:noVBand="1"/>
        <w:tblDescription w:val="CTE Grant Programs Table with Selection Process, Eligibility Requirements, and Statutory Requirements for each grant program."/>
      </w:tblPr>
      <w:tblGrid>
        <w:gridCol w:w="1710"/>
        <w:gridCol w:w="2605"/>
        <w:gridCol w:w="2070"/>
        <w:gridCol w:w="4055"/>
      </w:tblGrid>
      <w:tr w:rsidR="001156A0" w:rsidRPr="008850C5" w14:paraId="228E0AF3" w14:textId="77777777" w:rsidTr="00285054">
        <w:trPr>
          <w:cantSplit/>
          <w:trHeight w:val="288"/>
          <w:tblHeader/>
        </w:trPr>
        <w:tc>
          <w:tcPr>
            <w:tcW w:w="1710" w:type="dxa"/>
            <w:shd w:val="clear" w:color="auto" w:fill="D1D1D1" w:themeFill="background2" w:themeFillShade="E6"/>
            <w:vAlign w:val="center"/>
          </w:tcPr>
          <w:p w14:paraId="02F69632" w14:textId="19719B2D" w:rsidR="001156A0" w:rsidRPr="008850C5" w:rsidRDefault="001156A0" w:rsidP="00A359E2">
            <w:pPr>
              <w:spacing w:before="60" w:after="60"/>
              <w:rPr>
                <w:rFonts w:ascii="Arial" w:hAnsi="Arial" w:cs="Arial"/>
                <w:b/>
                <w:bCs/>
              </w:rPr>
            </w:pPr>
            <w:r w:rsidRPr="008850C5">
              <w:rPr>
                <w:rFonts w:ascii="Arial" w:hAnsi="Arial" w:cs="Arial"/>
                <w:b/>
                <w:bCs/>
              </w:rPr>
              <w:t>Grant Program</w:t>
            </w:r>
          </w:p>
        </w:tc>
        <w:tc>
          <w:tcPr>
            <w:tcW w:w="2605" w:type="dxa"/>
            <w:shd w:val="clear" w:color="auto" w:fill="D1D1D1" w:themeFill="background2" w:themeFillShade="E6"/>
            <w:vAlign w:val="center"/>
          </w:tcPr>
          <w:p w14:paraId="48EC9B42" w14:textId="365AC372" w:rsidR="001156A0" w:rsidRPr="008850C5" w:rsidRDefault="001156A0" w:rsidP="00A359E2">
            <w:pPr>
              <w:spacing w:before="60" w:after="60"/>
              <w:rPr>
                <w:rFonts w:ascii="Arial" w:hAnsi="Arial" w:cs="Arial"/>
                <w:b/>
                <w:bCs/>
              </w:rPr>
            </w:pPr>
            <w:r w:rsidRPr="008850C5">
              <w:rPr>
                <w:rFonts w:ascii="Arial" w:hAnsi="Arial" w:cs="Arial"/>
                <w:b/>
                <w:bCs/>
              </w:rPr>
              <w:t>Selection Process</w:t>
            </w:r>
          </w:p>
        </w:tc>
        <w:tc>
          <w:tcPr>
            <w:tcW w:w="2070" w:type="dxa"/>
            <w:shd w:val="clear" w:color="auto" w:fill="D1D1D1" w:themeFill="background2" w:themeFillShade="E6"/>
            <w:vAlign w:val="center"/>
          </w:tcPr>
          <w:p w14:paraId="380D1B6E" w14:textId="5308CBCC" w:rsidR="001156A0" w:rsidRPr="008850C5" w:rsidRDefault="001156A0" w:rsidP="00A359E2">
            <w:pPr>
              <w:spacing w:before="60" w:after="60"/>
              <w:rPr>
                <w:rFonts w:ascii="Arial" w:hAnsi="Arial" w:cs="Arial"/>
                <w:b/>
                <w:bCs/>
              </w:rPr>
            </w:pPr>
            <w:r w:rsidRPr="008850C5">
              <w:rPr>
                <w:rFonts w:ascii="Arial" w:hAnsi="Arial" w:cs="Arial"/>
                <w:b/>
                <w:bCs/>
              </w:rPr>
              <w:t>Eligibility Requirements</w:t>
            </w:r>
          </w:p>
        </w:tc>
        <w:tc>
          <w:tcPr>
            <w:tcW w:w="4055" w:type="dxa"/>
            <w:shd w:val="clear" w:color="auto" w:fill="D1D1D1" w:themeFill="background2" w:themeFillShade="E6"/>
            <w:vAlign w:val="center"/>
          </w:tcPr>
          <w:p w14:paraId="69E21D61" w14:textId="12CD6E95" w:rsidR="001156A0" w:rsidRPr="008850C5" w:rsidRDefault="001156A0" w:rsidP="00A359E2">
            <w:pPr>
              <w:spacing w:before="60" w:after="60"/>
              <w:rPr>
                <w:rFonts w:ascii="Arial" w:hAnsi="Arial" w:cs="Arial"/>
                <w:b/>
                <w:bCs/>
              </w:rPr>
            </w:pPr>
            <w:r w:rsidRPr="008850C5">
              <w:rPr>
                <w:rFonts w:ascii="Arial" w:hAnsi="Arial" w:cs="Arial"/>
                <w:b/>
                <w:bCs/>
              </w:rPr>
              <w:t xml:space="preserve">Statutory </w:t>
            </w:r>
            <w:r w:rsidR="16AD9B8D" w:rsidRPr="318962C7">
              <w:rPr>
                <w:rFonts w:ascii="Arial" w:hAnsi="Arial" w:cs="Arial"/>
                <w:b/>
                <w:bCs/>
              </w:rPr>
              <w:t>Requirements</w:t>
            </w:r>
          </w:p>
        </w:tc>
      </w:tr>
      <w:tr w:rsidR="001156A0" w:rsidRPr="008850C5" w14:paraId="16DA8F3D" w14:textId="77777777" w:rsidTr="00285054">
        <w:trPr>
          <w:cantSplit/>
        </w:trPr>
        <w:tc>
          <w:tcPr>
            <w:tcW w:w="1710" w:type="dxa"/>
            <w:vAlign w:val="center"/>
          </w:tcPr>
          <w:p w14:paraId="4F648A8B" w14:textId="165EF175" w:rsidR="001156A0" w:rsidRPr="008850C5" w:rsidRDefault="001156A0" w:rsidP="00A359E2">
            <w:pPr>
              <w:spacing w:before="60" w:after="60"/>
              <w:rPr>
                <w:rFonts w:ascii="Arial" w:hAnsi="Arial" w:cs="Arial"/>
              </w:rPr>
            </w:pPr>
            <w:r w:rsidRPr="008850C5">
              <w:rPr>
                <w:rFonts w:ascii="Arial" w:hAnsi="Arial" w:cs="Arial"/>
              </w:rPr>
              <w:t>Ag</w:t>
            </w:r>
            <w:r w:rsidR="0029015D">
              <w:rPr>
                <w:rFonts w:ascii="Arial" w:hAnsi="Arial" w:cs="Arial"/>
              </w:rPr>
              <w:t>ricultural (Ag)</w:t>
            </w:r>
            <w:r w:rsidRPr="008850C5">
              <w:rPr>
                <w:rFonts w:ascii="Arial" w:hAnsi="Arial" w:cs="Arial"/>
              </w:rPr>
              <w:t xml:space="preserve"> Incentive Grant</w:t>
            </w:r>
          </w:p>
        </w:tc>
        <w:tc>
          <w:tcPr>
            <w:tcW w:w="2605" w:type="dxa"/>
            <w:vAlign w:val="center"/>
          </w:tcPr>
          <w:p w14:paraId="5F23E2C4" w14:textId="6554CFB6" w:rsidR="001156A0" w:rsidRPr="008850C5" w:rsidRDefault="001156A0" w:rsidP="00A359E2">
            <w:pPr>
              <w:spacing w:before="60" w:after="60"/>
              <w:rPr>
                <w:rFonts w:ascii="Arial" w:hAnsi="Arial" w:cs="Arial"/>
              </w:rPr>
            </w:pPr>
            <w:r w:rsidRPr="008850C5">
              <w:rPr>
                <w:rFonts w:ascii="Arial" w:hAnsi="Arial" w:cs="Arial"/>
              </w:rPr>
              <w:t>Annual application</w:t>
            </w:r>
          </w:p>
        </w:tc>
        <w:tc>
          <w:tcPr>
            <w:tcW w:w="2070" w:type="dxa"/>
            <w:vAlign w:val="center"/>
          </w:tcPr>
          <w:p w14:paraId="7EBF6519" w14:textId="0D493017" w:rsidR="001156A0" w:rsidRPr="008850C5" w:rsidRDefault="001156A0" w:rsidP="00A359E2">
            <w:pPr>
              <w:spacing w:before="60" w:after="60"/>
              <w:rPr>
                <w:rFonts w:ascii="Arial" w:hAnsi="Arial" w:cs="Arial"/>
              </w:rPr>
            </w:pPr>
            <w:r w:rsidRPr="008850C5">
              <w:rPr>
                <w:rFonts w:ascii="Arial" w:hAnsi="Arial" w:cs="Arial"/>
              </w:rPr>
              <w:t>High school</w:t>
            </w:r>
          </w:p>
        </w:tc>
        <w:tc>
          <w:tcPr>
            <w:tcW w:w="4055" w:type="dxa"/>
            <w:vAlign w:val="center"/>
          </w:tcPr>
          <w:p w14:paraId="0F965F81" w14:textId="4CD4BFEB" w:rsidR="001156A0" w:rsidRPr="008850C5" w:rsidRDefault="001156A0" w:rsidP="00A359E2">
            <w:pPr>
              <w:spacing w:before="60" w:after="60"/>
              <w:rPr>
                <w:rFonts w:ascii="Arial" w:hAnsi="Arial" w:cs="Arial"/>
              </w:rPr>
            </w:pPr>
            <w:r w:rsidRPr="008850C5">
              <w:rPr>
                <w:rFonts w:ascii="Arial" w:hAnsi="Arial" w:cs="Arial"/>
              </w:rPr>
              <w:t>Quality comprehensive agricultural CTE programs</w:t>
            </w:r>
            <w:r w:rsidR="69385875" w:rsidRPr="318962C7">
              <w:rPr>
                <w:rFonts w:ascii="Arial" w:hAnsi="Arial" w:cs="Arial"/>
              </w:rPr>
              <w:t xml:space="preserve"> </w:t>
            </w:r>
            <w:r w:rsidR="69385875" w:rsidRPr="007A339C">
              <w:rPr>
                <w:rFonts w:ascii="Arial" w:hAnsi="Arial" w:cs="Arial"/>
              </w:rPr>
              <w:t>(</w:t>
            </w:r>
            <w:r w:rsidR="00024BED" w:rsidRPr="002E7E31">
              <w:rPr>
                <w:rFonts w:ascii="Arial" w:hAnsi="Arial" w:cs="Arial"/>
                <w:i/>
                <w:iCs/>
              </w:rPr>
              <w:t>Education Code</w:t>
            </w:r>
            <w:r w:rsidR="00024BED" w:rsidRPr="002E7E31">
              <w:rPr>
                <w:rFonts w:ascii="Arial" w:hAnsi="Arial" w:cs="Arial"/>
              </w:rPr>
              <w:t xml:space="preserve"> </w:t>
            </w:r>
            <w:r w:rsidR="00024BED">
              <w:rPr>
                <w:rFonts w:ascii="Arial" w:hAnsi="Arial" w:cs="Arial"/>
              </w:rPr>
              <w:t>[</w:t>
            </w:r>
            <w:r w:rsidR="69385875" w:rsidRPr="007A339C">
              <w:rPr>
                <w:rFonts w:ascii="Arial" w:hAnsi="Arial" w:cs="Arial"/>
                <w:i/>
                <w:iCs/>
              </w:rPr>
              <w:t>EC</w:t>
            </w:r>
            <w:r w:rsidR="00024BED" w:rsidRPr="00024BED">
              <w:rPr>
                <w:rFonts w:ascii="Arial" w:hAnsi="Arial" w:cs="Arial"/>
              </w:rPr>
              <w:t>]</w:t>
            </w:r>
            <w:r w:rsidR="00CA29FC" w:rsidRPr="00024BED">
              <w:rPr>
                <w:rFonts w:ascii="Arial" w:hAnsi="Arial" w:cs="Arial"/>
              </w:rPr>
              <w:t xml:space="preserve"> </w:t>
            </w:r>
            <w:r w:rsidR="00BA3B95" w:rsidRPr="007A339C">
              <w:rPr>
                <w:rFonts w:ascii="Arial" w:hAnsi="Arial" w:cs="Arial"/>
              </w:rPr>
              <w:t>52460</w:t>
            </w:r>
            <w:r w:rsidR="69385875" w:rsidRPr="007A339C">
              <w:rPr>
                <w:rFonts w:ascii="Arial" w:hAnsi="Arial" w:cs="Arial"/>
              </w:rPr>
              <w:t>)</w:t>
            </w:r>
          </w:p>
        </w:tc>
      </w:tr>
      <w:tr w:rsidR="00F763DF" w:rsidRPr="008850C5" w14:paraId="086D8B32" w14:textId="77777777" w:rsidTr="00285054">
        <w:trPr>
          <w:cantSplit/>
        </w:trPr>
        <w:tc>
          <w:tcPr>
            <w:tcW w:w="1710" w:type="dxa"/>
            <w:vAlign w:val="center"/>
          </w:tcPr>
          <w:p w14:paraId="049AF6CE" w14:textId="48AC9C2C" w:rsidR="00F763DF" w:rsidRPr="008850C5" w:rsidRDefault="00F763DF" w:rsidP="00A359E2">
            <w:pPr>
              <w:spacing w:before="60" w:after="60"/>
              <w:rPr>
                <w:rFonts w:ascii="Arial" w:hAnsi="Arial" w:cs="Arial"/>
              </w:rPr>
            </w:pPr>
            <w:r w:rsidRPr="008850C5">
              <w:rPr>
                <w:rFonts w:ascii="Arial" w:hAnsi="Arial" w:cs="Arial"/>
              </w:rPr>
              <w:t>AME Grants</w:t>
            </w:r>
          </w:p>
        </w:tc>
        <w:tc>
          <w:tcPr>
            <w:tcW w:w="2605" w:type="dxa"/>
            <w:vAlign w:val="center"/>
          </w:tcPr>
          <w:p w14:paraId="47FB0152" w14:textId="20F01EE0" w:rsidR="00F763DF" w:rsidRPr="008850C5" w:rsidRDefault="00F763DF" w:rsidP="00A359E2">
            <w:pPr>
              <w:spacing w:before="60" w:after="60"/>
              <w:rPr>
                <w:rFonts w:ascii="Arial" w:hAnsi="Arial" w:cs="Arial"/>
              </w:rPr>
            </w:pPr>
            <w:r w:rsidRPr="008850C5">
              <w:rPr>
                <w:rFonts w:ascii="Arial" w:hAnsi="Arial" w:cs="Arial"/>
              </w:rPr>
              <w:t>Non-competitive selection</w:t>
            </w:r>
          </w:p>
        </w:tc>
        <w:tc>
          <w:tcPr>
            <w:tcW w:w="2070" w:type="dxa"/>
            <w:vAlign w:val="center"/>
          </w:tcPr>
          <w:p w14:paraId="036E8162" w14:textId="36DD3784" w:rsidR="00F763DF" w:rsidRPr="008850C5" w:rsidRDefault="00F763DF" w:rsidP="00A359E2">
            <w:pPr>
              <w:spacing w:before="60" w:after="60"/>
              <w:rPr>
                <w:rFonts w:ascii="Arial" w:hAnsi="Arial" w:cs="Arial"/>
              </w:rPr>
            </w:pPr>
            <w:r w:rsidRPr="008850C5">
              <w:rPr>
                <w:rFonts w:ascii="Arial" w:hAnsi="Arial" w:cs="Arial"/>
              </w:rPr>
              <w:t>Specialized populations</w:t>
            </w:r>
          </w:p>
        </w:tc>
        <w:tc>
          <w:tcPr>
            <w:tcW w:w="4055" w:type="dxa"/>
            <w:vAlign w:val="center"/>
          </w:tcPr>
          <w:p w14:paraId="416630DE" w14:textId="14151446" w:rsidR="00F763DF" w:rsidRPr="008850C5" w:rsidRDefault="00BD1BF0" w:rsidP="00A359E2">
            <w:pPr>
              <w:spacing w:before="60" w:after="60"/>
              <w:rPr>
                <w:rFonts w:ascii="Arial" w:hAnsi="Arial" w:cs="Arial"/>
              </w:rPr>
            </w:pPr>
            <w:r w:rsidRPr="008850C5">
              <w:rPr>
                <w:rFonts w:ascii="Arial" w:hAnsi="Arial" w:cs="Arial"/>
              </w:rPr>
              <w:t xml:space="preserve">Creative industry workforce development; </w:t>
            </w:r>
            <w:r w:rsidR="00C841CC">
              <w:rPr>
                <w:rFonts w:ascii="Arial" w:hAnsi="Arial" w:cs="Arial"/>
              </w:rPr>
              <w:t>work-based learning</w:t>
            </w:r>
            <w:r w:rsidR="005C0CAE">
              <w:rPr>
                <w:rFonts w:ascii="Arial" w:hAnsi="Arial" w:cs="Arial"/>
              </w:rPr>
              <w:t>;</w:t>
            </w:r>
            <w:r w:rsidRPr="008850C5">
              <w:rPr>
                <w:rFonts w:ascii="Arial" w:hAnsi="Arial" w:cs="Arial"/>
              </w:rPr>
              <w:t xml:space="preserve"> registered youth apprenticeships; culturally responsive pedagogy</w:t>
            </w:r>
            <w:r w:rsidR="06D2245B" w:rsidRPr="318962C7">
              <w:rPr>
                <w:rFonts w:ascii="Arial" w:hAnsi="Arial" w:cs="Arial"/>
              </w:rPr>
              <w:t xml:space="preserve"> </w:t>
            </w:r>
            <w:r w:rsidR="06D2245B" w:rsidRPr="007A339C">
              <w:rPr>
                <w:rFonts w:ascii="Arial" w:hAnsi="Arial" w:cs="Arial"/>
              </w:rPr>
              <w:t>(</w:t>
            </w:r>
            <w:r w:rsidR="00BA3B95" w:rsidRPr="007A339C">
              <w:rPr>
                <w:rFonts w:ascii="Arial" w:hAnsi="Arial" w:cs="Arial"/>
              </w:rPr>
              <w:t xml:space="preserve">CTEI Budget Act Line </w:t>
            </w:r>
            <w:r w:rsidR="0068139F" w:rsidRPr="007A339C">
              <w:rPr>
                <w:rFonts w:ascii="Arial" w:hAnsi="Arial" w:cs="Arial"/>
              </w:rPr>
              <w:t>I</w:t>
            </w:r>
            <w:r w:rsidR="00BA3B95" w:rsidRPr="007A339C">
              <w:rPr>
                <w:rFonts w:ascii="Arial" w:hAnsi="Arial" w:cs="Arial"/>
              </w:rPr>
              <w:t>tem: 6100-17</w:t>
            </w:r>
            <w:r w:rsidR="00102E91" w:rsidRPr="007A339C">
              <w:rPr>
                <w:rFonts w:ascii="Arial" w:hAnsi="Arial" w:cs="Arial"/>
              </w:rPr>
              <w:t>0</w:t>
            </w:r>
            <w:r w:rsidR="00BA3B95" w:rsidRPr="007A339C">
              <w:rPr>
                <w:rFonts w:ascii="Arial" w:hAnsi="Arial" w:cs="Arial"/>
              </w:rPr>
              <w:t>-001)</w:t>
            </w:r>
          </w:p>
        </w:tc>
      </w:tr>
      <w:tr w:rsidR="00F763DF" w:rsidRPr="008850C5" w14:paraId="7BA3C668" w14:textId="77777777" w:rsidTr="00285054">
        <w:trPr>
          <w:cantSplit/>
        </w:trPr>
        <w:tc>
          <w:tcPr>
            <w:tcW w:w="1710" w:type="dxa"/>
            <w:vAlign w:val="center"/>
          </w:tcPr>
          <w:p w14:paraId="321594BC" w14:textId="0009EFB2" w:rsidR="00F763DF" w:rsidRPr="008850C5" w:rsidRDefault="00F763DF" w:rsidP="00A359E2">
            <w:pPr>
              <w:spacing w:before="60" w:after="60"/>
              <w:rPr>
                <w:rFonts w:ascii="Arial" w:hAnsi="Arial" w:cs="Arial"/>
              </w:rPr>
            </w:pPr>
            <w:r w:rsidRPr="008850C5">
              <w:rPr>
                <w:rFonts w:ascii="Arial" w:hAnsi="Arial" w:cs="Arial"/>
              </w:rPr>
              <w:t>CPAs (all types)</w:t>
            </w:r>
          </w:p>
        </w:tc>
        <w:tc>
          <w:tcPr>
            <w:tcW w:w="2605" w:type="dxa"/>
            <w:vAlign w:val="center"/>
          </w:tcPr>
          <w:p w14:paraId="00F7CBDD" w14:textId="183D359D" w:rsidR="00F763DF" w:rsidRPr="008850C5" w:rsidRDefault="00F763DF" w:rsidP="00A359E2">
            <w:pPr>
              <w:spacing w:before="60" w:after="60"/>
              <w:rPr>
                <w:rFonts w:ascii="Arial" w:hAnsi="Arial" w:cs="Arial"/>
              </w:rPr>
            </w:pPr>
            <w:r w:rsidRPr="008850C5">
              <w:rPr>
                <w:rFonts w:ascii="Arial" w:hAnsi="Arial" w:cs="Arial"/>
              </w:rPr>
              <w:t>Performance-based continuation funding</w:t>
            </w:r>
          </w:p>
        </w:tc>
        <w:tc>
          <w:tcPr>
            <w:tcW w:w="2070" w:type="dxa"/>
            <w:vAlign w:val="center"/>
          </w:tcPr>
          <w:p w14:paraId="3D548F6A" w14:textId="7F3E997B" w:rsidR="00F763DF" w:rsidRPr="008850C5" w:rsidRDefault="00F763DF" w:rsidP="00A359E2">
            <w:pPr>
              <w:spacing w:before="60" w:after="60"/>
              <w:rPr>
                <w:rFonts w:ascii="Arial" w:hAnsi="Arial" w:cs="Arial"/>
              </w:rPr>
            </w:pPr>
            <w:r w:rsidRPr="008850C5">
              <w:rPr>
                <w:rFonts w:ascii="Arial" w:hAnsi="Arial" w:cs="Arial"/>
              </w:rPr>
              <w:t>High school only (grades 10–12)</w:t>
            </w:r>
          </w:p>
        </w:tc>
        <w:tc>
          <w:tcPr>
            <w:tcW w:w="4055" w:type="dxa"/>
            <w:vAlign w:val="center"/>
          </w:tcPr>
          <w:p w14:paraId="700E9CD7" w14:textId="18D37BB5" w:rsidR="00F763DF" w:rsidRPr="008850C5" w:rsidRDefault="00F763DF" w:rsidP="00A359E2">
            <w:pPr>
              <w:spacing w:before="60" w:after="60"/>
              <w:rPr>
                <w:rFonts w:ascii="Arial" w:hAnsi="Arial" w:cs="Arial"/>
              </w:rPr>
            </w:pPr>
            <w:r w:rsidRPr="008850C5">
              <w:rPr>
                <w:rFonts w:ascii="Arial" w:hAnsi="Arial" w:cs="Arial"/>
              </w:rPr>
              <w:t>80 percent attendance, 90 percent credit completion, 100 percent match from district and business partners</w:t>
            </w:r>
            <w:r w:rsidR="26A808A0" w:rsidRPr="318962C7">
              <w:rPr>
                <w:rFonts w:ascii="Arial" w:hAnsi="Arial" w:cs="Arial"/>
              </w:rPr>
              <w:t xml:space="preserve"> </w:t>
            </w:r>
            <w:r w:rsidR="26A808A0" w:rsidRPr="007A339C">
              <w:rPr>
                <w:rFonts w:ascii="Arial" w:hAnsi="Arial" w:cs="Arial"/>
              </w:rPr>
              <w:t>(</w:t>
            </w:r>
            <w:r w:rsidR="26A808A0" w:rsidRPr="007A339C">
              <w:rPr>
                <w:rFonts w:ascii="Arial" w:hAnsi="Arial" w:cs="Arial"/>
                <w:i/>
                <w:iCs/>
              </w:rPr>
              <w:t>EC</w:t>
            </w:r>
            <w:r w:rsidR="00AA70E0" w:rsidRPr="007A339C">
              <w:rPr>
                <w:rFonts w:ascii="Arial" w:hAnsi="Arial" w:cs="Arial"/>
                <w:i/>
                <w:iCs/>
              </w:rPr>
              <w:t xml:space="preserve"> </w:t>
            </w:r>
            <w:r w:rsidR="00D97817" w:rsidRPr="007A339C">
              <w:rPr>
                <w:rFonts w:ascii="Arial" w:hAnsi="Arial" w:cs="Arial"/>
              </w:rPr>
              <w:t>54690–54698; 54750)</w:t>
            </w:r>
          </w:p>
        </w:tc>
      </w:tr>
      <w:tr w:rsidR="00F763DF" w:rsidRPr="008850C5" w14:paraId="76A1384B" w14:textId="77777777" w:rsidTr="00285054">
        <w:trPr>
          <w:cantSplit/>
        </w:trPr>
        <w:tc>
          <w:tcPr>
            <w:tcW w:w="1710" w:type="dxa"/>
            <w:vAlign w:val="center"/>
          </w:tcPr>
          <w:p w14:paraId="18621E6B" w14:textId="4F27C208" w:rsidR="00F763DF" w:rsidRPr="008850C5" w:rsidRDefault="00F763DF" w:rsidP="00A359E2">
            <w:pPr>
              <w:spacing w:before="60" w:after="60"/>
              <w:rPr>
                <w:rFonts w:ascii="Arial" w:hAnsi="Arial" w:cs="Arial"/>
              </w:rPr>
            </w:pPr>
            <w:r w:rsidRPr="008850C5">
              <w:rPr>
                <w:rFonts w:ascii="Arial" w:hAnsi="Arial" w:cs="Arial"/>
              </w:rPr>
              <w:t>CTE</w:t>
            </w:r>
            <w:r w:rsidR="00F44E3F">
              <w:rPr>
                <w:rFonts w:ascii="Arial" w:hAnsi="Arial" w:cs="Arial"/>
              </w:rPr>
              <w:t xml:space="preserve"> </w:t>
            </w:r>
            <w:r w:rsidRPr="008850C5">
              <w:rPr>
                <w:rFonts w:ascii="Arial" w:hAnsi="Arial" w:cs="Arial"/>
              </w:rPr>
              <w:t>I</w:t>
            </w:r>
            <w:r w:rsidR="00F44E3F">
              <w:rPr>
                <w:rFonts w:ascii="Arial" w:hAnsi="Arial" w:cs="Arial"/>
              </w:rPr>
              <w:t xml:space="preserve">ncentive </w:t>
            </w:r>
            <w:r w:rsidRPr="008850C5">
              <w:rPr>
                <w:rFonts w:ascii="Arial" w:hAnsi="Arial" w:cs="Arial"/>
              </w:rPr>
              <w:t>G</w:t>
            </w:r>
            <w:r w:rsidR="00F44E3F">
              <w:rPr>
                <w:rFonts w:ascii="Arial" w:hAnsi="Arial" w:cs="Arial"/>
              </w:rPr>
              <w:t>rant (CTEIG)</w:t>
            </w:r>
          </w:p>
        </w:tc>
        <w:tc>
          <w:tcPr>
            <w:tcW w:w="2605" w:type="dxa"/>
            <w:vAlign w:val="center"/>
          </w:tcPr>
          <w:p w14:paraId="0735B17C" w14:textId="464EFE82" w:rsidR="00F763DF" w:rsidRPr="008850C5" w:rsidRDefault="00F763DF" w:rsidP="00A359E2">
            <w:pPr>
              <w:spacing w:before="60" w:after="60"/>
              <w:rPr>
                <w:rFonts w:ascii="Arial" w:hAnsi="Arial" w:cs="Arial"/>
              </w:rPr>
            </w:pPr>
            <w:r w:rsidRPr="008850C5">
              <w:rPr>
                <w:rFonts w:ascii="Arial" w:hAnsi="Arial" w:cs="Arial"/>
              </w:rPr>
              <w:t>Competitive selection with State Board of Education approval</w:t>
            </w:r>
          </w:p>
        </w:tc>
        <w:tc>
          <w:tcPr>
            <w:tcW w:w="2070" w:type="dxa"/>
            <w:vAlign w:val="center"/>
          </w:tcPr>
          <w:p w14:paraId="31E6A7E2" w14:textId="2C277688" w:rsidR="00F763DF" w:rsidRPr="008850C5" w:rsidRDefault="00F763DF" w:rsidP="00A359E2">
            <w:pPr>
              <w:spacing w:before="60" w:after="60"/>
              <w:rPr>
                <w:rFonts w:ascii="Arial" w:hAnsi="Arial" w:cs="Arial"/>
              </w:rPr>
            </w:pPr>
            <w:r w:rsidRPr="008850C5">
              <w:rPr>
                <w:rFonts w:ascii="Arial" w:hAnsi="Arial" w:cs="Arial"/>
              </w:rPr>
              <w:t>K</w:t>
            </w:r>
            <w:r w:rsidR="00024BED">
              <w:rPr>
                <w:rFonts w:ascii="Arial" w:hAnsi="Arial" w:cs="Arial"/>
              </w:rPr>
              <w:t>indergarten through grade twelve (K</w:t>
            </w:r>
            <w:r w:rsidRPr="008850C5">
              <w:rPr>
                <w:rFonts w:ascii="Arial" w:hAnsi="Arial" w:cs="Arial"/>
              </w:rPr>
              <w:t>–12</w:t>
            </w:r>
            <w:r w:rsidR="00024BED">
              <w:rPr>
                <w:rFonts w:ascii="Arial" w:hAnsi="Arial" w:cs="Arial"/>
              </w:rPr>
              <w:t>)</w:t>
            </w:r>
          </w:p>
        </w:tc>
        <w:tc>
          <w:tcPr>
            <w:tcW w:w="4055" w:type="dxa"/>
            <w:vAlign w:val="center"/>
          </w:tcPr>
          <w:p w14:paraId="78C347AA" w14:textId="043D805C" w:rsidR="00F763DF" w:rsidRPr="008850C5" w:rsidRDefault="00F763DF" w:rsidP="00A359E2">
            <w:pPr>
              <w:spacing w:before="60" w:after="60"/>
              <w:rPr>
                <w:rFonts w:ascii="Arial" w:hAnsi="Arial" w:cs="Arial"/>
              </w:rPr>
            </w:pPr>
            <w:r w:rsidRPr="008850C5">
              <w:rPr>
                <w:rFonts w:ascii="Arial" w:hAnsi="Arial" w:cs="Arial"/>
              </w:rPr>
              <w:t>11 Elements of High-Quality CTE Program</w:t>
            </w:r>
            <w:r w:rsidR="6DABE7F0" w:rsidRPr="318962C7">
              <w:rPr>
                <w:rFonts w:ascii="Arial" w:hAnsi="Arial" w:cs="Arial"/>
              </w:rPr>
              <w:t xml:space="preserve"> and match funding</w:t>
            </w:r>
            <w:r w:rsidR="11FDB92A" w:rsidRPr="318962C7">
              <w:rPr>
                <w:rFonts w:ascii="Arial" w:hAnsi="Arial" w:cs="Arial"/>
              </w:rPr>
              <w:t xml:space="preserve"> requirements</w:t>
            </w:r>
            <w:r w:rsidR="6DABE7F0" w:rsidRPr="318962C7">
              <w:rPr>
                <w:rFonts w:ascii="Arial" w:hAnsi="Arial" w:cs="Arial"/>
              </w:rPr>
              <w:t xml:space="preserve"> </w:t>
            </w:r>
            <w:r w:rsidR="0C7ECE3A" w:rsidRPr="007A339C">
              <w:rPr>
                <w:rFonts w:ascii="Arial" w:hAnsi="Arial" w:cs="Arial"/>
              </w:rPr>
              <w:t>(</w:t>
            </w:r>
            <w:r w:rsidR="0C7ECE3A" w:rsidRPr="007A339C">
              <w:rPr>
                <w:rFonts w:ascii="Arial" w:hAnsi="Arial" w:cs="Arial"/>
                <w:i/>
                <w:iCs/>
              </w:rPr>
              <w:t>EC</w:t>
            </w:r>
            <w:r w:rsidR="00AA70E0" w:rsidRPr="007A339C">
              <w:rPr>
                <w:rFonts w:ascii="Arial" w:hAnsi="Arial" w:cs="Arial"/>
                <w:i/>
                <w:iCs/>
              </w:rPr>
              <w:t xml:space="preserve"> </w:t>
            </w:r>
            <w:r w:rsidR="003D672E" w:rsidRPr="007A339C">
              <w:rPr>
                <w:rFonts w:ascii="Arial" w:hAnsi="Arial" w:cs="Arial"/>
              </w:rPr>
              <w:t>53070–53076)</w:t>
            </w:r>
          </w:p>
        </w:tc>
      </w:tr>
      <w:tr w:rsidR="00F763DF" w:rsidRPr="008850C5" w14:paraId="315D12DB" w14:textId="77777777" w:rsidTr="00285054">
        <w:trPr>
          <w:cantSplit/>
        </w:trPr>
        <w:tc>
          <w:tcPr>
            <w:tcW w:w="1710" w:type="dxa"/>
            <w:vAlign w:val="center"/>
          </w:tcPr>
          <w:p w14:paraId="3993083E" w14:textId="07384C99" w:rsidR="00F763DF" w:rsidRPr="008850C5" w:rsidRDefault="00F763DF" w:rsidP="00A359E2">
            <w:pPr>
              <w:spacing w:before="60" w:after="60"/>
              <w:rPr>
                <w:rFonts w:ascii="Arial" w:hAnsi="Arial" w:cs="Arial"/>
              </w:rPr>
            </w:pPr>
            <w:r w:rsidRPr="008850C5">
              <w:rPr>
                <w:rFonts w:ascii="Arial" w:hAnsi="Arial" w:cs="Arial"/>
              </w:rPr>
              <w:t>G</w:t>
            </w:r>
            <w:r w:rsidR="00F16688">
              <w:rPr>
                <w:rFonts w:ascii="Arial" w:hAnsi="Arial" w:cs="Arial"/>
              </w:rPr>
              <w:t xml:space="preserve">olden </w:t>
            </w:r>
            <w:r w:rsidRPr="008850C5">
              <w:rPr>
                <w:rFonts w:ascii="Arial" w:hAnsi="Arial" w:cs="Arial"/>
              </w:rPr>
              <w:t>S</w:t>
            </w:r>
            <w:r w:rsidR="00F16688">
              <w:rPr>
                <w:rFonts w:ascii="Arial" w:hAnsi="Arial" w:cs="Arial"/>
              </w:rPr>
              <w:t xml:space="preserve">tate </w:t>
            </w:r>
            <w:r w:rsidRPr="008850C5">
              <w:rPr>
                <w:rFonts w:ascii="Arial" w:hAnsi="Arial" w:cs="Arial"/>
              </w:rPr>
              <w:t>P</w:t>
            </w:r>
            <w:r w:rsidR="00F16688">
              <w:rPr>
                <w:rFonts w:ascii="Arial" w:hAnsi="Arial" w:cs="Arial"/>
              </w:rPr>
              <w:t xml:space="preserve">athways </w:t>
            </w:r>
            <w:r w:rsidRPr="008850C5">
              <w:rPr>
                <w:rFonts w:ascii="Arial" w:hAnsi="Arial" w:cs="Arial"/>
              </w:rPr>
              <w:t>P</w:t>
            </w:r>
            <w:r w:rsidR="00F16688">
              <w:rPr>
                <w:rFonts w:ascii="Arial" w:hAnsi="Arial" w:cs="Arial"/>
              </w:rPr>
              <w:t>rogram (GSPP)</w:t>
            </w:r>
          </w:p>
        </w:tc>
        <w:tc>
          <w:tcPr>
            <w:tcW w:w="2605" w:type="dxa"/>
            <w:vAlign w:val="center"/>
          </w:tcPr>
          <w:p w14:paraId="58AFFB21" w14:textId="550FD3B3" w:rsidR="00F763DF" w:rsidRPr="008850C5" w:rsidRDefault="00F763DF" w:rsidP="00A359E2">
            <w:pPr>
              <w:spacing w:before="60" w:after="60"/>
              <w:rPr>
                <w:rFonts w:ascii="Arial" w:hAnsi="Arial" w:cs="Arial"/>
              </w:rPr>
            </w:pPr>
            <w:r w:rsidRPr="008850C5">
              <w:rPr>
                <w:rFonts w:ascii="Arial" w:hAnsi="Arial" w:cs="Arial"/>
              </w:rPr>
              <w:t>Competitive cohort-based selection (Planning and Implementation grants)</w:t>
            </w:r>
          </w:p>
        </w:tc>
        <w:tc>
          <w:tcPr>
            <w:tcW w:w="2070" w:type="dxa"/>
            <w:vAlign w:val="center"/>
          </w:tcPr>
          <w:p w14:paraId="7241FB33" w14:textId="5B3958A9" w:rsidR="00F763DF" w:rsidRPr="008850C5" w:rsidRDefault="00F763DF" w:rsidP="00A359E2">
            <w:pPr>
              <w:spacing w:before="60" w:after="60"/>
              <w:rPr>
                <w:rFonts w:ascii="Arial" w:hAnsi="Arial" w:cs="Arial"/>
              </w:rPr>
            </w:pPr>
            <w:r w:rsidRPr="008850C5">
              <w:rPr>
                <w:rFonts w:ascii="Arial" w:hAnsi="Arial" w:cs="Arial"/>
              </w:rPr>
              <w:t>High school</w:t>
            </w:r>
          </w:p>
        </w:tc>
        <w:tc>
          <w:tcPr>
            <w:tcW w:w="4055" w:type="dxa"/>
            <w:vAlign w:val="center"/>
          </w:tcPr>
          <w:p w14:paraId="684EC80A" w14:textId="46720657" w:rsidR="00F763DF" w:rsidRPr="008850C5" w:rsidRDefault="00F763DF" w:rsidP="00A359E2">
            <w:pPr>
              <w:spacing w:before="60" w:after="60"/>
              <w:rPr>
                <w:rFonts w:ascii="Arial" w:hAnsi="Arial" w:cs="Arial"/>
              </w:rPr>
            </w:pPr>
            <w:r w:rsidRPr="008850C5">
              <w:rPr>
                <w:rFonts w:ascii="Arial" w:hAnsi="Arial" w:cs="Arial"/>
              </w:rPr>
              <w:t>Pathways in high-wage, high-skill, high-growth areas (technology, health care, education, climate-related fields)</w:t>
            </w:r>
            <w:r w:rsidR="376E6583" w:rsidRPr="318962C7">
              <w:rPr>
                <w:rFonts w:ascii="Arial" w:hAnsi="Arial" w:cs="Arial"/>
              </w:rPr>
              <w:t xml:space="preserve"> </w:t>
            </w:r>
            <w:r w:rsidR="003D672E" w:rsidRPr="007A339C">
              <w:rPr>
                <w:rFonts w:ascii="Arial" w:hAnsi="Arial" w:cs="Arial"/>
              </w:rPr>
              <w:t>(</w:t>
            </w:r>
            <w:r w:rsidR="376E6583" w:rsidRPr="007A339C">
              <w:rPr>
                <w:rFonts w:ascii="Arial" w:hAnsi="Arial" w:cs="Arial"/>
                <w:i/>
                <w:iCs/>
              </w:rPr>
              <w:t>EC</w:t>
            </w:r>
            <w:r w:rsidR="0068139F" w:rsidRPr="007A339C">
              <w:rPr>
                <w:rFonts w:ascii="Arial" w:hAnsi="Arial" w:cs="Arial"/>
                <w:i/>
                <w:iCs/>
              </w:rPr>
              <w:t xml:space="preserve"> </w:t>
            </w:r>
            <w:r w:rsidR="003E617B" w:rsidRPr="007A339C">
              <w:rPr>
                <w:rFonts w:ascii="Arial" w:hAnsi="Arial" w:cs="Arial"/>
              </w:rPr>
              <w:t>53020</w:t>
            </w:r>
            <w:r w:rsidR="0068139F" w:rsidRPr="007A339C">
              <w:rPr>
                <w:rFonts w:ascii="Arial" w:hAnsi="Arial" w:cs="Arial"/>
              </w:rPr>
              <w:t>–53025)</w:t>
            </w:r>
          </w:p>
        </w:tc>
      </w:tr>
      <w:tr w:rsidR="00F763DF" w:rsidRPr="008850C5" w14:paraId="1C8C330E" w14:textId="77777777" w:rsidTr="00285054">
        <w:trPr>
          <w:cantSplit/>
        </w:trPr>
        <w:tc>
          <w:tcPr>
            <w:tcW w:w="1710" w:type="dxa"/>
            <w:vAlign w:val="center"/>
          </w:tcPr>
          <w:p w14:paraId="3375D052" w14:textId="42FEC52E" w:rsidR="00F763DF" w:rsidRPr="008850C5" w:rsidRDefault="00F763DF" w:rsidP="00A359E2">
            <w:pPr>
              <w:spacing w:before="60" w:after="60"/>
              <w:rPr>
                <w:rFonts w:ascii="Arial" w:hAnsi="Arial" w:cs="Arial"/>
              </w:rPr>
            </w:pPr>
            <w:r w:rsidRPr="008850C5">
              <w:rPr>
                <w:rFonts w:ascii="Arial" w:hAnsi="Arial" w:cs="Arial"/>
              </w:rPr>
              <w:t>MSFAs</w:t>
            </w:r>
          </w:p>
        </w:tc>
        <w:tc>
          <w:tcPr>
            <w:tcW w:w="2605" w:type="dxa"/>
            <w:vAlign w:val="center"/>
          </w:tcPr>
          <w:p w14:paraId="49C5A0E5" w14:textId="42DF5BEA" w:rsidR="00F763DF" w:rsidRPr="008850C5" w:rsidRDefault="00F763DF" w:rsidP="00A359E2">
            <w:pPr>
              <w:spacing w:before="60" w:after="60"/>
              <w:rPr>
                <w:rFonts w:ascii="Arial" w:hAnsi="Arial" w:cs="Arial"/>
              </w:rPr>
            </w:pPr>
            <w:r w:rsidRPr="008850C5">
              <w:rPr>
                <w:rFonts w:ascii="Arial" w:hAnsi="Arial" w:cs="Arial"/>
              </w:rPr>
              <w:t>Competitive cohort-based selection</w:t>
            </w:r>
          </w:p>
        </w:tc>
        <w:tc>
          <w:tcPr>
            <w:tcW w:w="2070" w:type="dxa"/>
            <w:vAlign w:val="center"/>
          </w:tcPr>
          <w:p w14:paraId="3DBA597E" w14:textId="39351AE9" w:rsidR="00F763DF" w:rsidRPr="008850C5" w:rsidRDefault="00F763DF" w:rsidP="00A359E2">
            <w:pPr>
              <w:spacing w:before="60" w:after="60"/>
              <w:rPr>
                <w:rFonts w:ascii="Arial" w:hAnsi="Arial" w:cs="Arial"/>
              </w:rPr>
            </w:pPr>
            <w:r w:rsidRPr="008850C5">
              <w:rPr>
                <w:rFonts w:ascii="Arial" w:hAnsi="Arial" w:cs="Arial"/>
              </w:rPr>
              <w:t xml:space="preserve">Middle </w:t>
            </w:r>
            <w:r w:rsidR="00633560">
              <w:rPr>
                <w:rFonts w:ascii="Arial" w:hAnsi="Arial" w:cs="Arial"/>
              </w:rPr>
              <w:t>g</w:t>
            </w:r>
            <w:r w:rsidR="00A512AE">
              <w:rPr>
                <w:rFonts w:ascii="Arial" w:hAnsi="Arial" w:cs="Arial"/>
              </w:rPr>
              <w:t>rades</w:t>
            </w:r>
            <w:r w:rsidRPr="008850C5">
              <w:rPr>
                <w:rFonts w:ascii="Arial" w:hAnsi="Arial" w:cs="Arial"/>
              </w:rPr>
              <w:t xml:space="preserve"> (grades 6–8)</w:t>
            </w:r>
          </w:p>
        </w:tc>
        <w:tc>
          <w:tcPr>
            <w:tcW w:w="4055" w:type="dxa"/>
            <w:vAlign w:val="center"/>
          </w:tcPr>
          <w:p w14:paraId="31080A9F" w14:textId="02C2AFCF" w:rsidR="00F763DF" w:rsidRPr="008850C5" w:rsidRDefault="00F763DF" w:rsidP="00A359E2">
            <w:pPr>
              <w:spacing w:before="60" w:after="60"/>
              <w:rPr>
                <w:rFonts w:ascii="Arial" w:hAnsi="Arial" w:cs="Arial"/>
              </w:rPr>
            </w:pPr>
            <w:r w:rsidRPr="008850C5">
              <w:rPr>
                <w:rFonts w:ascii="Arial" w:hAnsi="Arial" w:cs="Arial"/>
              </w:rPr>
              <w:t>Alignment with high school pathways</w:t>
            </w:r>
            <w:r w:rsidR="0ABBC4B5" w:rsidRPr="318962C7">
              <w:rPr>
                <w:rFonts w:ascii="Arial" w:hAnsi="Arial" w:cs="Arial"/>
              </w:rPr>
              <w:t xml:space="preserve"> </w:t>
            </w:r>
            <w:r w:rsidR="0068139F" w:rsidRPr="007A339C">
              <w:rPr>
                <w:rFonts w:ascii="Arial" w:hAnsi="Arial" w:cs="Arial"/>
              </w:rPr>
              <w:t>(CTEI Budget Act Line Item: 6100-17</w:t>
            </w:r>
            <w:r w:rsidR="00102E91" w:rsidRPr="007A339C">
              <w:rPr>
                <w:rFonts w:ascii="Arial" w:hAnsi="Arial" w:cs="Arial"/>
              </w:rPr>
              <w:t>0</w:t>
            </w:r>
            <w:r w:rsidR="0068139F" w:rsidRPr="007A339C">
              <w:rPr>
                <w:rFonts w:ascii="Arial" w:hAnsi="Arial" w:cs="Arial"/>
              </w:rPr>
              <w:t>-001)</w:t>
            </w:r>
          </w:p>
        </w:tc>
      </w:tr>
      <w:tr w:rsidR="004E5E19" w:rsidRPr="008850C5" w14:paraId="0625007B" w14:textId="77777777" w:rsidTr="00285054">
        <w:trPr>
          <w:cantSplit/>
        </w:trPr>
        <w:tc>
          <w:tcPr>
            <w:tcW w:w="1710" w:type="dxa"/>
            <w:vAlign w:val="center"/>
          </w:tcPr>
          <w:p w14:paraId="4A312B5F" w14:textId="6957C8F6" w:rsidR="004E5E19" w:rsidRPr="008850C5" w:rsidRDefault="004E5E19" w:rsidP="00A359E2">
            <w:pPr>
              <w:spacing w:before="60" w:after="60"/>
              <w:rPr>
                <w:rFonts w:ascii="Arial" w:hAnsi="Arial" w:cs="Arial"/>
              </w:rPr>
            </w:pPr>
            <w:r w:rsidRPr="008850C5">
              <w:rPr>
                <w:rFonts w:ascii="Arial" w:hAnsi="Arial" w:cs="Arial"/>
              </w:rPr>
              <w:t>Perkins</w:t>
            </w:r>
          </w:p>
        </w:tc>
        <w:tc>
          <w:tcPr>
            <w:tcW w:w="2605" w:type="dxa"/>
            <w:vAlign w:val="center"/>
          </w:tcPr>
          <w:p w14:paraId="5B59B32D" w14:textId="119DDB61" w:rsidR="004E5E19" w:rsidRPr="008850C5" w:rsidRDefault="002557B9" w:rsidP="00A359E2">
            <w:pPr>
              <w:spacing w:before="60" w:after="60"/>
              <w:rPr>
                <w:rFonts w:ascii="Arial" w:hAnsi="Arial" w:cs="Arial"/>
              </w:rPr>
            </w:pPr>
            <w:r w:rsidRPr="008850C5">
              <w:rPr>
                <w:rFonts w:ascii="Arial" w:hAnsi="Arial" w:cs="Arial"/>
              </w:rPr>
              <w:t>Annual application with continuation</w:t>
            </w:r>
          </w:p>
        </w:tc>
        <w:tc>
          <w:tcPr>
            <w:tcW w:w="2070" w:type="dxa"/>
            <w:vAlign w:val="center"/>
          </w:tcPr>
          <w:p w14:paraId="1B3BB31F" w14:textId="3A905EDD" w:rsidR="004E5E19" w:rsidRPr="008850C5" w:rsidRDefault="004E5E19" w:rsidP="00A359E2">
            <w:pPr>
              <w:spacing w:before="60" w:after="60"/>
              <w:rPr>
                <w:rFonts w:ascii="Arial" w:hAnsi="Arial" w:cs="Arial"/>
              </w:rPr>
            </w:pPr>
            <w:r w:rsidRPr="008850C5">
              <w:rPr>
                <w:rFonts w:ascii="Arial" w:hAnsi="Arial" w:cs="Arial"/>
              </w:rPr>
              <w:t>K–12</w:t>
            </w:r>
            <w:r w:rsidR="00EC37AC">
              <w:rPr>
                <w:rFonts w:ascii="Arial" w:hAnsi="Arial" w:cs="Arial"/>
              </w:rPr>
              <w:t xml:space="preserve"> and </w:t>
            </w:r>
            <w:r w:rsidRPr="008850C5">
              <w:rPr>
                <w:rFonts w:ascii="Arial" w:hAnsi="Arial" w:cs="Arial"/>
              </w:rPr>
              <w:t>adult schools</w:t>
            </w:r>
          </w:p>
        </w:tc>
        <w:tc>
          <w:tcPr>
            <w:tcW w:w="4055" w:type="dxa"/>
            <w:vAlign w:val="center"/>
          </w:tcPr>
          <w:p w14:paraId="5C5363B5" w14:textId="297D0F6E" w:rsidR="004E5E19" w:rsidRPr="008850C5" w:rsidRDefault="004E5E19" w:rsidP="00A359E2">
            <w:pPr>
              <w:spacing w:before="60" w:after="60"/>
              <w:rPr>
                <w:rFonts w:ascii="Arial" w:hAnsi="Arial" w:cs="Arial"/>
              </w:rPr>
            </w:pPr>
            <w:r w:rsidRPr="008850C5">
              <w:rPr>
                <w:rFonts w:ascii="Arial" w:hAnsi="Arial" w:cs="Arial"/>
              </w:rPr>
              <w:t>Federal accountability measures</w:t>
            </w:r>
            <w:r w:rsidR="349B0870" w:rsidRPr="318962C7">
              <w:rPr>
                <w:rFonts w:ascii="Arial" w:hAnsi="Arial" w:cs="Arial"/>
              </w:rPr>
              <w:t xml:space="preserve"> </w:t>
            </w:r>
            <w:r w:rsidR="0068139F" w:rsidRPr="007A339C">
              <w:rPr>
                <w:rFonts w:ascii="Arial" w:hAnsi="Arial" w:cs="Arial"/>
              </w:rPr>
              <w:t xml:space="preserve">(Public Law </w:t>
            </w:r>
            <w:r w:rsidR="00F921EB" w:rsidRPr="007A339C">
              <w:rPr>
                <w:rFonts w:ascii="Arial" w:hAnsi="Arial" w:cs="Arial"/>
              </w:rPr>
              <w:t>115–224)</w:t>
            </w:r>
          </w:p>
        </w:tc>
      </w:tr>
      <w:tr w:rsidR="004E5E19" w:rsidRPr="008850C5" w14:paraId="76303B0C" w14:textId="77777777" w:rsidTr="00285054">
        <w:trPr>
          <w:cantSplit/>
        </w:trPr>
        <w:tc>
          <w:tcPr>
            <w:tcW w:w="1710" w:type="dxa"/>
            <w:vAlign w:val="center"/>
          </w:tcPr>
          <w:p w14:paraId="423DB9F7" w14:textId="754B5A7D" w:rsidR="004E5E19" w:rsidRPr="008850C5" w:rsidRDefault="004E5E19" w:rsidP="00A359E2">
            <w:pPr>
              <w:spacing w:before="60" w:after="60"/>
              <w:rPr>
                <w:rFonts w:ascii="Arial" w:hAnsi="Arial" w:cs="Arial"/>
              </w:rPr>
            </w:pPr>
            <w:r w:rsidRPr="008850C5">
              <w:rPr>
                <w:rFonts w:ascii="Arial" w:hAnsi="Arial" w:cs="Arial"/>
              </w:rPr>
              <w:t>SSPs</w:t>
            </w:r>
          </w:p>
        </w:tc>
        <w:tc>
          <w:tcPr>
            <w:tcW w:w="2605" w:type="dxa"/>
            <w:vAlign w:val="center"/>
          </w:tcPr>
          <w:p w14:paraId="551407B4" w14:textId="66DB6D16" w:rsidR="004E5E19" w:rsidRPr="008850C5" w:rsidRDefault="004E5E19" w:rsidP="00A359E2">
            <w:pPr>
              <w:spacing w:before="60" w:after="60"/>
              <w:rPr>
                <w:rFonts w:ascii="Arial" w:hAnsi="Arial" w:cs="Arial"/>
              </w:rPr>
            </w:pPr>
            <w:r w:rsidRPr="008850C5">
              <w:rPr>
                <w:rFonts w:ascii="Arial" w:hAnsi="Arial" w:cs="Arial"/>
              </w:rPr>
              <w:t>Competitive cohort-based selection</w:t>
            </w:r>
          </w:p>
        </w:tc>
        <w:tc>
          <w:tcPr>
            <w:tcW w:w="2070" w:type="dxa"/>
            <w:vAlign w:val="center"/>
          </w:tcPr>
          <w:p w14:paraId="7C786F76" w14:textId="0AF4D29E" w:rsidR="004E5E19" w:rsidRPr="008850C5" w:rsidRDefault="004E5E19" w:rsidP="00A359E2">
            <w:pPr>
              <w:spacing w:before="60" w:after="60"/>
              <w:rPr>
                <w:rFonts w:ascii="Arial" w:hAnsi="Arial" w:cs="Arial"/>
              </w:rPr>
            </w:pPr>
            <w:r w:rsidRPr="008850C5">
              <w:rPr>
                <w:rFonts w:ascii="Arial" w:hAnsi="Arial" w:cs="Arial"/>
              </w:rPr>
              <w:t>High school</w:t>
            </w:r>
          </w:p>
        </w:tc>
        <w:tc>
          <w:tcPr>
            <w:tcW w:w="4055" w:type="dxa"/>
            <w:vAlign w:val="center"/>
          </w:tcPr>
          <w:p w14:paraId="3358F15D" w14:textId="1F6A04EF" w:rsidR="004E5E19" w:rsidRPr="008850C5" w:rsidRDefault="004E5E19" w:rsidP="00A359E2">
            <w:pPr>
              <w:spacing w:before="60" w:after="60"/>
              <w:rPr>
                <w:rFonts w:ascii="Arial" w:hAnsi="Arial" w:cs="Arial"/>
              </w:rPr>
            </w:pPr>
            <w:r w:rsidRPr="008850C5">
              <w:rPr>
                <w:rFonts w:ascii="Arial" w:hAnsi="Arial" w:cs="Arial"/>
              </w:rPr>
              <w:t>Model curriculum development for statewide dissemination</w:t>
            </w:r>
            <w:r w:rsidR="7085269C" w:rsidRPr="318962C7">
              <w:rPr>
                <w:rFonts w:ascii="Arial" w:hAnsi="Arial" w:cs="Arial"/>
              </w:rPr>
              <w:t xml:space="preserve"> </w:t>
            </w:r>
            <w:r w:rsidR="00104353" w:rsidRPr="007A339C">
              <w:rPr>
                <w:rFonts w:ascii="Arial" w:hAnsi="Arial" w:cs="Arial"/>
              </w:rPr>
              <w:t>(</w:t>
            </w:r>
            <w:r w:rsidR="7085269C" w:rsidRPr="007A339C">
              <w:rPr>
                <w:rFonts w:ascii="Arial" w:hAnsi="Arial" w:cs="Arial"/>
                <w:i/>
                <w:iCs/>
              </w:rPr>
              <w:t>EC</w:t>
            </w:r>
            <w:r w:rsidR="00104353" w:rsidRPr="007A339C">
              <w:rPr>
                <w:rFonts w:ascii="Arial" w:hAnsi="Arial" w:cs="Arial"/>
                <w:i/>
                <w:iCs/>
              </w:rPr>
              <w:t xml:space="preserve"> </w:t>
            </w:r>
            <w:r w:rsidR="00104353" w:rsidRPr="007A339C">
              <w:rPr>
                <w:rFonts w:ascii="Arial" w:hAnsi="Arial" w:cs="Arial"/>
              </w:rPr>
              <w:t>58800–58806)</w:t>
            </w:r>
          </w:p>
        </w:tc>
      </w:tr>
    </w:tbl>
    <w:p w14:paraId="27C34863" w14:textId="455636C9" w:rsidR="72B67B47" w:rsidRDefault="72B67B47" w:rsidP="00A359E2">
      <w:pPr>
        <w:spacing w:before="240" w:after="240" w:line="240" w:lineRule="auto"/>
        <w:rPr>
          <w:rFonts w:ascii="Arial" w:hAnsi="Arial" w:cs="Arial"/>
        </w:rPr>
      </w:pPr>
      <w:r w:rsidRPr="318962C7">
        <w:rPr>
          <w:rFonts w:ascii="Arial" w:hAnsi="Arial" w:cs="Arial"/>
        </w:rPr>
        <w:t xml:space="preserve">The CDE </w:t>
      </w:r>
      <w:r w:rsidR="36801F3F" w:rsidRPr="318962C7">
        <w:rPr>
          <w:rFonts w:ascii="Arial" w:hAnsi="Arial" w:cs="Arial"/>
        </w:rPr>
        <w:t xml:space="preserve">is </w:t>
      </w:r>
      <w:r w:rsidR="3B2AB9E1" w:rsidRPr="318962C7">
        <w:rPr>
          <w:rFonts w:ascii="Arial" w:hAnsi="Arial" w:cs="Arial"/>
        </w:rPr>
        <w:t>actively working to integrate CTE grant</w:t>
      </w:r>
      <w:r w:rsidR="02EF7DC2" w:rsidRPr="318962C7">
        <w:rPr>
          <w:rFonts w:ascii="Arial" w:hAnsi="Arial" w:cs="Arial"/>
        </w:rPr>
        <w:t xml:space="preserve"> </w:t>
      </w:r>
      <w:r w:rsidR="3B2AB9E1" w:rsidRPr="318962C7">
        <w:rPr>
          <w:rFonts w:ascii="Arial" w:hAnsi="Arial" w:cs="Arial"/>
        </w:rPr>
        <w:t>programs into the Program Grant Management System (PGMS</w:t>
      </w:r>
      <w:r w:rsidR="632814E6" w:rsidRPr="318962C7">
        <w:rPr>
          <w:rFonts w:ascii="Arial" w:hAnsi="Arial" w:cs="Arial"/>
        </w:rPr>
        <w:t>) to streamline the funding consideration process and improve administration and reporting procedures</w:t>
      </w:r>
      <w:r w:rsidR="3BD44A77" w:rsidRPr="318962C7">
        <w:rPr>
          <w:rFonts w:ascii="Arial" w:hAnsi="Arial" w:cs="Arial"/>
        </w:rPr>
        <w:t>.</w:t>
      </w:r>
    </w:p>
    <w:p w14:paraId="336487A4" w14:textId="77777777" w:rsidR="002E7E31" w:rsidRPr="002E7E31" w:rsidRDefault="002E7E31" w:rsidP="00F16688">
      <w:pPr>
        <w:pStyle w:val="Heading3"/>
      </w:pPr>
      <w:r w:rsidRPr="002E7E31">
        <w:lastRenderedPageBreak/>
        <w:t>Program Grant Management System Approach</w:t>
      </w:r>
    </w:p>
    <w:p w14:paraId="32B46370" w14:textId="17808434" w:rsidR="002E7E31" w:rsidRPr="002E7E31" w:rsidRDefault="3EAAA2E1" w:rsidP="0058730E">
      <w:pPr>
        <w:spacing w:before="240" w:after="240" w:line="240" w:lineRule="auto"/>
        <w:rPr>
          <w:rFonts w:ascii="Arial" w:hAnsi="Arial" w:cs="Arial"/>
        </w:rPr>
      </w:pPr>
      <w:r w:rsidRPr="318962C7">
        <w:rPr>
          <w:rFonts w:ascii="Arial" w:hAnsi="Arial" w:cs="Arial"/>
        </w:rPr>
        <w:t>The PGMS is</w:t>
      </w:r>
      <w:r w:rsidR="093635D0" w:rsidRPr="318962C7">
        <w:rPr>
          <w:rFonts w:ascii="Arial" w:hAnsi="Arial" w:cs="Arial"/>
        </w:rPr>
        <w:t xml:space="preserve"> </w:t>
      </w:r>
      <w:r w:rsidR="00633560">
        <w:rPr>
          <w:rFonts w:ascii="Arial" w:hAnsi="Arial" w:cs="Arial"/>
        </w:rPr>
        <w:t xml:space="preserve">the </w:t>
      </w:r>
      <w:r w:rsidR="59E3E338" w:rsidRPr="318962C7">
        <w:rPr>
          <w:rFonts w:ascii="Arial" w:hAnsi="Arial" w:cs="Arial"/>
        </w:rPr>
        <w:t>CDE</w:t>
      </w:r>
      <w:r w:rsidR="78AF6D8A" w:rsidRPr="318962C7">
        <w:rPr>
          <w:rFonts w:ascii="Arial" w:hAnsi="Arial" w:cs="Arial"/>
        </w:rPr>
        <w:t xml:space="preserve"> </w:t>
      </w:r>
      <w:r w:rsidR="093635D0" w:rsidRPr="318962C7">
        <w:rPr>
          <w:rFonts w:ascii="Arial" w:hAnsi="Arial" w:cs="Arial"/>
        </w:rPr>
        <w:t xml:space="preserve">centralized platform </w:t>
      </w:r>
      <w:r w:rsidR="1C8DF968" w:rsidRPr="318962C7">
        <w:rPr>
          <w:rFonts w:ascii="Arial" w:hAnsi="Arial" w:cs="Arial"/>
        </w:rPr>
        <w:t xml:space="preserve">used by most </w:t>
      </w:r>
      <w:r w:rsidR="59E3E338" w:rsidRPr="318962C7">
        <w:rPr>
          <w:rFonts w:ascii="Arial" w:hAnsi="Arial" w:cs="Arial"/>
        </w:rPr>
        <w:t xml:space="preserve">CTE </w:t>
      </w:r>
      <w:r w:rsidR="093635D0" w:rsidRPr="318962C7">
        <w:rPr>
          <w:rFonts w:ascii="Arial" w:hAnsi="Arial" w:cs="Arial"/>
        </w:rPr>
        <w:t xml:space="preserve">grant </w:t>
      </w:r>
      <w:r w:rsidR="6A4487EF" w:rsidRPr="318962C7">
        <w:rPr>
          <w:rFonts w:ascii="Arial" w:hAnsi="Arial" w:cs="Arial"/>
        </w:rPr>
        <w:t>programs</w:t>
      </w:r>
      <w:r w:rsidR="093635D0" w:rsidRPr="318962C7">
        <w:rPr>
          <w:rFonts w:ascii="Arial" w:hAnsi="Arial" w:cs="Arial"/>
        </w:rPr>
        <w:t>. Thi</w:t>
      </w:r>
      <w:r w:rsidR="11F3493B" w:rsidRPr="318962C7">
        <w:rPr>
          <w:rFonts w:ascii="Arial" w:hAnsi="Arial" w:cs="Arial"/>
        </w:rPr>
        <w:t>s system</w:t>
      </w:r>
      <w:r w:rsidR="002E7E31" w:rsidRPr="7FC14401">
        <w:rPr>
          <w:rFonts w:ascii="Arial" w:hAnsi="Arial" w:cs="Arial"/>
        </w:rPr>
        <w:t xml:space="preserve"> approach maintains separate, program-specific applications within a unified platform that provides substantial administrative benefits.</w:t>
      </w:r>
    </w:p>
    <w:p w14:paraId="4D5796C1" w14:textId="1F300DE3" w:rsidR="002E7E31" w:rsidRPr="002E7E31" w:rsidRDefault="002E7E31" w:rsidP="0058730E">
      <w:pPr>
        <w:spacing w:before="240" w:after="240" w:line="240" w:lineRule="auto"/>
        <w:rPr>
          <w:rFonts w:ascii="Arial" w:hAnsi="Arial" w:cs="Arial"/>
        </w:rPr>
      </w:pPr>
      <w:r w:rsidRPr="002E7E31">
        <w:rPr>
          <w:rFonts w:ascii="Arial" w:hAnsi="Arial" w:cs="Arial"/>
          <w:b/>
          <w:bCs/>
        </w:rPr>
        <w:t>Current Status:</w:t>
      </w:r>
      <w:r w:rsidRPr="002E7E31">
        <w:rPr>
          <w:rFonts w:ascii="Arial" w:hAnsi="Arial" w:cs="Arial"/>
        </w:rPr>
        <w:t xml:space="preserve"> C</w:t>
      </w:r>
      <w:r w:rsidR="00B97AF5" w:rsidRPr="00B3647D">
        <w:rPr>
          <w:rFonts w:ascii="Arial" w:hAnsi="Arial" w:cs="Arial"/>
        </w:rPr>
        <w:t>PAs</w:t>
      </w:r>
      <w:r w:rsidRPr="002E7E31">
        <w:rPr>
          <w:rFonts w:ascii="Arial" w:hAnsi="Arial" w:cs="Arial"/>
        </w:rPr>
        <w:t>, Perkins, and C</w:t>
      </w:r>
      <w:r w:rsidR="00B97AF5" w:rsidRPr="00B3647D">
        <w:rPr>
          <w:rFonts w:ascii="Arial" w:hAnsi="Arial" w:cs="Arial"/>
        </w:rPr>
        <w:t>TEIG</w:t>
      </w:r>
      <w:r w:rsidRPr="002E7E31">
        <w:rPr>
          <w:rFonts w:ascii="Arial" w:hAnsi="Arial" w:cs="Arial"/>
        </w:rPr>
        <w:t xml:space="preserve"> currently operate in </w:t>
      </w:r>
      <w:r w:rsidR="00024BED">
        <w:rPr>
          <w:rFonts w:ascii="Arial" w:hAnsi="Arial" w:cs="Arial"/>
        </w:rPr>
        <w:t xml:space="preserve">the </w:t>
      </w:r>
      <w:r w:rsidRPr="002E7E31">
        <w:rPr>
          <w:rFonts w:ascii="Arial" w:hAnsi="Arial" w:cs="Arial"/>
        </w:rPr>
        <w:t>PGMS. These programs allow electronic filing and document management within the system</w:t>
      </w:r>
      <w:r w:rsidR="00B97AF5" w:rsidRPr="00B3647D">
        <w:rPr>
          <w:rFonts w:ascii="Arial" w:hAnsi="Arial" w:cs="Arial"/>
        </w:rPr>
        <w:t>.</w:t>
      </w:r>
    </w:p>
    <w:p w14:paraId="343F4680" w14:textId="3C1189A9" w:rsidR="002E7E31" w:rsidRPr="002E7E31" w:rsidRDefault="002E7E31" w:rsidP="0058730E">
      <w:pPr>
        <w:spacing w:before="240" w:after="240" w:line="240" w:lineRule="auto"/>
        <w:rPr>
          <w:rFonts w:ascii="Arial" w:hAnsi="Arial" w:cs="Arial"/>
        </w:rPr>
      </w:pPr>
      <w:r w:rsidRPr="002E7E31">
        <w:rPr>
          <w:rFonts w:ascii="Arial" w:hAnsi="Arial" w:cs="Arial"/>
          <w:b/>
          <w:bCs/>
        </w:rPr>
        <w:t>Single Sign-On Access:</w:t>
      </w:r>
      <w:r w:rsidRPr="002E7E31">
        <w:rPr>
          <w:rFonts w:ascii="Arial" w:hAnsi="Arial" w:cs="Arial"/>
        </w:rPr>
        <w:t xml:space="preserve"> The unified platform will implement single sign-on functionality</w:t>
      </w:r>
      <w:r w:rsidR="00633560">
        <w:rPr>
          <w:rFonts w:ascii="Arial" w:hAnsi="Arial" w:cs="Arial"/>
        </w:rPr>
        <w:t>,</w:t>
      </w:r>
      <w:r w:rsidRPr="002E7E31">
        <w:rPr>
          <w:rFonts w:ascii="Arial" w:hAnsi="Arial" w:cs="Arial"/>
        </w:rPr>
        <w:t xml:space="preserve"> enabling applicants managing multiple </w:t>
      </w:r>
      <w:r w:rsidR="00B97AF5" w:rsidRPr="00B3647D">
        <w:rPr>
          <w:rFonts w:ascii="Arial" w:hAnsi="Arial" w:cs="Arial"/>
        </w:rPr>
        <w:t>CTE</w:t>
      </w:r>
      <w:r w:rsidRPr="002E7E31">
        <w:rPr>
          <w:rFonts w:ascii="Arial" w:hAnsi="Arial" w:cs="Arial"/>
        </w:rPr>
        <w:t xml:space="preserve"> grants to access all </w:t>
      </w:r>
      <w:r w:rsidR="00B97AF5" w:rsidRPr="00B3647D">
        <w:rPr>
          <w:rFonts w:ascii="Arial" w:hAnsi="Arial" w:cs="Arial"/>
        </w:rPr>
        <w:t xml:space="preserve">CTE </w:t>
      </w:r>
      <w:r w:rsidRPr="002E7E31">
        <w:rPr>
          <w:rFonts w:ascii="Arial" w:hAnsi="Arial" w:cs="Arial"/>
        </w:rPr>
        <w:t>programs through one user account. This eliminates the need to maintain separate login credentials across various systems.</w:t>
      </w:r>
    </w:p>
    <w:p w14:paraId="7A8074EA" w14:textId="14258DA9" w:rsidR="002E7E31" w:rsidRPr="002E7E31" w:rsidRDefault="002E7E31" w:rsidP="0058730E">
      <w:pPr>
        <w:spacing w:before="240" w:after="240" w:line="240" w:lineRule="auto"/>
        <w:rPr>
          <w:rFonts w:ascii="Arial" w:hAnsi="Arial" w:cs="Arial"/>
        </w:rPr>
      </w:pPr>
      <w:r w:rsidRPr="002E7E31">
        <w:rPr>
          <w:rFonts w:ascii="Arial" w:hAnsi="Arial" w:cs="Arial"/>
          <w:b/>
          <w:bCs/>
        </w:rPr>
        <w:t>Data Integration with C</w:t>
      </w:r>
      <w:r w:rsidR="004B2940">
        <w:rPr>
          <w:rFonts w:ascii="Arial" w:hAnsi="Arial" w:cs="Arial"/>
          <w:b/>
          <w:bCs/>
        </w:rPr>
        <w:t>AL</w:t>
      </w:r>
      <w:r w:rsidRPr="002E7E31">
        <w:rPr>
          <w:rFonts w:ascii="Arial" w:hAnsi="Arial" w:cs="Arial"/>
          <w:b/>
          <w:bCs/>
        </w:rPr>
        <w:t>PADS:</w:t>
      </w:r>
      <w:r w:rsidRPr="002E7E31">
        <w:rPr>
          <w:rFonts w:ascii="Arial" w:hAnsi="Arial" w:cs="Arial"/>
        </w:rPr>
        <w:t xml:space="preserve"> The majority of data required for applications and reporting is already captured in the California Longitudinal Pupil Achievement Data System (C</w:t>
      </w:r>
      <w:r w:rsidR="004B2940">
        <w:rPr>
          <w:rFonts w:ascii="Arial" w:hAnsi="Arial" w:cs="Arial"/>
        </w:rPr>
        <w:t>AL</w:t>
      </w:r>
      <w:r w:rsidRPr="002E7E31">
        <w:rPr>
          <w:rFonts w:ascii="Arial" w:hAnsi="Arial" w:cs="Arial"/>
        </w:rPr>
        <w:t xml:space="preserve">PADS), the statewide data system. </w:t>
      </w:r>
      <w:r w:rsidR="00024BED">
        <w:rPr>
          <w:rFonts w:ascii="Arial" w:hAnsi="Arial" w:cs="Arial"/>
        </w:rPr>
        <w:t xml:space="preserve">The </w:t>
      </w:r>
      <w:r w:rsidRPr="002E7E31">
        <w:rPr>
          <w:rFonts w:ascii="Arial" w:hAnsi="Arial" w:cs="Arial"/>
        </w:rPr>
        <w:t>PGMS will leverage existing C</w:t>
      </w:r>
      <w:r w:rsidR="004B2940">
        <w:rPr>
          <w:rFonts w:ascii="Arial" w:hAnsi="Arial" w:cs="Arial"/>
        </w:rPr>
        <w:t>AL</w:t>
      </w:r>
      <w:r w:rsidRPr="002E7E31">
        <w:rPr>
          <w:rFonts w:ascii="Arial" w:hAnsi="Arial" w:cs="Arial"/>
        </w:rPr>
        <w:t>PADS data to pre-populate applications and reports where appropriate, significantly reducing manual data entry. Applicants will verify and supplement C</w:t>
      </w:r>
      <w:r w:rsidR="004B2940">
        <w:rPr>
          <w:rFonts w:ascii="Arial" w:hAnsi="Arial" w:cs="Arial"/>
        </w:rPr>
        <w:t>AL</w:t>
      </w:r>
      <w:r w:rsidRPr="002E7E31">
        <w:rPr>
          <w:rFonts w:ascii="Arial" w:hAnsi="Arial" w:cs="Arial"/>
        </w:rPr>
        <w:t>PADS data rather than entering information from scratch.</w:t>
      </w:r>
    </w:p>
    <w:p w14:paraId="2D121BBC" w14:textId="6F009ABB" w:rsidR="002E7E31" w:rsidRPr="002E7E31" w:rsidRDefault="002E7E31" w:rsidP="0058730E">
      <w:pPr>
        <w:spacing w:before="240" w:after="240" w:line="240" w:lineRule="auto"/>
        <w:rPr>
          <w:rFonts w:ascii="Arial" w:hAnsi="Arial" w:cs="Arial"/>
        </w:rPr>
      </w:pPr>
      <w:r w:rsidRPr="002E7E31">
        <w:rPr>
          <w:rFonts w:ascii="Arial" w:hAnsi="Arial" w:cs="Arial"/>
          <w:b/>
          <w:bCs/>
        </w:rPr>
        <w:t>Electronic Document Filing:</w:t>
      </w:r>
      <w:r w:rsidRPr="002E7E31">
        <w:rPr>
          <w:rFonts w:ascii="Arial" w:hAnsi="Arial" w:cs="Arial"/>
        </w:rPr>
        <w:t xml:space="preserve"> All programs in </w:t>
      </w:r>
      <w:r w:rsidR="00024BED">
        <w:rPr>
          <w:rFonts w:ascii="Arial" w:hAnsi="Arial" w:cs="Arial"/>
        </w:rPr>
        <w:t xml:space="preserve">the </w:t>
      </w:r>
      <w:r w:rsidRPr="002E7E31">
        <w:rPr>
          <w:rFonts w:ascii="Arial" w:hAnsi="Arial" w:cs="Arial"/>
        </w:rPr>
        <w:t xml:space="preserve">PGMS support electronic document upload and management, enabling applicants to </w:t>
      </w:r>
      <w:r w:rsidR="00B97AF5" w:rsidRPr="00B3647D">
        <w:rPr>
          <w:rFonts w:ascii="Arial" w:hAnsi="Arial" w:cs="Arial"/>
        </w:rPr>
        <w:t>either upload or complete r</w:t>
      </w:r>
      <w:r w:rsidRPr="002E7E31">
        <w:rPr>
          <w:rFonts w:ascii="Arial" w:hAnsi="Arial" w:cs="Arial"/>
        </w:rPr>
        <w:t xml:space="preserve">equired documentation including partnership letters, budget narratives, </w:t>
      </w:r>
      <w:r w:rsidR="00DC4358" w:rsidRPr="00B3647D">
        <w:rPr>
          <w:rFonts w:ascii="Arial" w:hAnsi="Arial" w:cs="Arial"/>
        </w:rPr>
        <w:t xml:space="preserve">fiscal reporting, </w:t>
      </w:r>
      <w:r w:rsidR="00B97AF5" w:rsidRPr="00B3647D">
        <w:rPr>
          <w:rFonts w:ascii="Arial" w:hAnsi="Arial" w:cs="Arial"/>
        </w:rPr>
        <w:t xml:space="preserve">capital outlay requests, </w:t>
      </w:r>
      <w:r w:rsidRPr="002E7E31">
        <w:rPr>
          <w:rFonts w:ascii="Arial" w:hAnsi="Arial" w:cs="Arial"/>
        </w:rPr>
        <w:t xml:space="preserve">and </w:t>
      </w:r>
      <w:r w:rsidR="00B97AF5" w:rsidRPr="00B3647D">
        <w:rPr>
          <w:rFonts w:ascii="Arial" w:hAnsi="Arial" w:cs="Arial"/>
        </w:rPr>
        <w:t>all documentation</w:t>
      </w:r>
      <w:r w:rsidRPr="002E7E31">
        <w:rPr>
          <w:rFonts w:ascii="Arial" w:hAnsi="Arial" w:cs="Arial"/>
        </w:rPr>
        <w:t xml:space="preserve"> electronically rather than through email or physical mail.</w:t>
      </w:r>
    </w:p>
    <w:p w14:paraId="2ABED656" w14:textId="385C87CC" w:rsidR="002E7E31" w:rsidRPr="002E7E31" w:rsidRDefault="002E7E31" w:rsidP="0058730E">
      <w:pPr>
        <w:spacing w:before="240" w:after="240" w:line="240" w:lineRule="auto"/>
        <w:rPr>
          <w:rFonts w:ascii="Arial" w:hAnsi="Arial" w:cs="Arial"/>
        </w:rPr>
      </w:pPr>
      <w:r w:rsidRPr="002E7E31">
        <w:rPr>
          <w:rFonts w:ascii="Arial" w:hAnsi="Arial" w:cs="Arial"/>
          <w:b/>
          <w:bCs/>
        </w:rPr>
        <w:t>Consistent User Interface:</w:t>
      </w:r>
      <w:r w:rsidRPr="002E7E31">
        <w:rPr>
          <w:rFonts w:ascii="Arial" w:hAnsi="Arial" w:cs="Arial"/>
        </w:rPr>
        <w:t xml:space="preserve"> All applications within </w:t>
      </w:r>
      <w:r w:rsidR="00024BED">
        <w:rPr>
          <w:rFonts w:ascii="Arial" w:hAnsi="Arial" w:cs="Arial"/>
        </w:rPr>
        <w:t xml:space="preserve">the </w:t>
      </w:r>
      <w:r w:rsidRPr="002E7E31">
        <w:rPr>
          <w:rFonts w:ascii="Arial" w:hAnsi="Arial" w:cs="Arial"/>
        </w:rPr>
        <w:t>PGMS</w:t>
      </w:r>
      <w:r w:rsidR="00B97AF5" w:rsidRPr="00B3647D">
        <w:rPr>
          <w:rFonts w:ascii="Arial" w:hAnsi="Arial" w:cs="Arial"/>
        </w:rPr>
        <w:t xml:space="preserve"> </w:t>
      </w:r>
      <w:r w:rsidRPr="002E7E31">
        <w:rPr>
          <w:rFonts w:ascii="Arial" w:hAnsi="Arial" w:cs="Arial"/>
        </w:rPr>
        <w:t>feature uniform navigation, formatting, and submission processes while maintaining program-specific questions necessary for statutory compliance. Applicants familiar with one program</w:t>
      </w:r>
      <w:r w:rsidR="00633560">
        <w:rPr>
          <w:rFonts w:ascii="Arial" w:hAnsi="Arial" w:cs="Arial"/>
        </w:rPr>
        <w:t>’</w:t>
      </w:r>
      <w:r w:rsidRPr="002E7E31">
        <w:rPr>
          <w:rFonts w:ascii="Arial" w:hAnsi="Arial" w:cs="Arial"/>
        </w:rPr>
        <w:t>s application will immediately understand how to navigate other programs.</w:t>
      </w:r>
    </w:p>
    <w:p w14:paraId="76316F51" w14:textId="49ADAE40" w:rsidR="002E7E31" w:rsidRPr="002E7E31" w:rsidRDefault="002E7E31" w:rsidP="00A359E2">
      <w:pPr>
        <w:spacing w:before="240" w:after="240" w:line="240" w:lineRule="auto"/>
        <w:rPr>
          <w:rFonts w:ascii="Arial" w:hAnsi="Arial" w:cs="Arial"/>
        </w:rPr>
      </w:pPr>
      <w:r w:rsidRPr="002E7E31">
        <w:rPr>
          <w:rFonts w:ascii="Arial" w:hAnsi="Arial" w:cs="Arial"/>
          <w:b/>
          <w:bCs/>
        </w:rPr>
        <w:t>Integrated Reporting:</w:t>
      </w:r>
      <w:r w:rsidRPr="002E7E31">
        <w:rPr>
          <w:rFonts w:ascii="Arial" w:hAnsi="Arial" w:cs="Arial"/>
        </w:rPr>
        <w:t xml:space="preserve"> Agencies will submit all </w:t>
      </w:r>
      <w:r w:rsidR="00B97AF5" w:rsidRPr="00B3647D">
        <w:rPr>
          <w:rFonts w:ascii="Arial" w:hAnsi="Arial" w:cs="Arial"/>
        </w:rPr>
        <w:t>CTE</w:t>
      </w:r>
      <w:r w:rsidRPr="002E7E31">
        <w:rPr>
          <w:rFonts w:ascii="Arial" w:hAnsi="Arial" w:cs="Arial"/>
        </w:rPr>
        <w:t xml:space="preserve"> program reports through </w:t>
      </w:r>
      <w:r w:rsidR="00024BED">
        <w:rPr>
          <w:rFonts w:ascii="Arial" w:hAnsi="Arial" w:cs="Arial"/>
        </w:rPr>
        <w:t xml:space="preserve">the </w:t>
      </w:r>
      <w:r w:rsidRPr="002E7E31">
        <w:rPr>
          <w:rFonts w:ascii="Arial" w:hAnsi="Arial" w:cs="Arial"/>
        </w:rPr>
        <w:t>PGMS with consistent formatting and submission processes. While each program maintains its specific reporting requirements, the unified platform reduces the administrative burden of navigating multiple systems.</w:t>
      </w:r>
      <w:r w:rsidR="00B97AF5" w:rsidRPr="00B3647D">
        <w:rPr>
          <w:rFonts w:ascii="Arial" w:hAnsi="Arial" w:cs="Arial"/>
        </w:rPr>
        <w:t xml:space="preserve"> If the reporting requirement pertains to data, this is submitted via C</w:t>
      </w:r>
      <w:r w:rsidR="004B2940">
        <w:rPr>
          <w:rFonts w:ascii="Arial" w:hAnsi="Arial" w:cs="Arial"/>
        </w:rPr>
        <w:t>AL</w:t>
      </w:r>
      <w:r w:rsidR="00B97AF5" w:rsidRPr="00B3647D">
        <w:rPr>
          <w:rFonts w:ascii="Arial" w:hAnsi="Arial" w:cs="Arial"/>
        </w:rPr>
        <w:t>PADS.</w:t>
      </w:r>
    </w:p>
    <w:p w14:paraId="61885A9A" w14:textId="4961DB8C" w:rsidR="002E7E31" w:rsidRPr="002E7E31" w:rsidRDefault="002E7E31" w:rsidP="00A359E2">
      <w:pPr>
        <w:spacing w:before="240" w:after="240" w:line="240" w:lineRule="auto"/>
        <w:rPr>
          <w:rFonts w:ascii="Arial" w:hAnsi="Arial" w:cs="Arial"/>
        </w:rPr>
      </w:pPr>
      <w:r w:rsidRPr="002E7E31">
        <w:rPr>
          <w:rFonts w:ascii="Arial" w:hAnsi="Arial" w:cs="Arial"/>
          <w:b/>
          <w:bCs/>
        </w:rPr>
        <w:t>Centralized Technical Support:</w:t>
      </w:r>
      <w:r w:rsidRPr="002E7E31">
        <w:rPr>
          <w:rFonts w:ascii="Arial" w:hAnsi="Arial" w:cs="Arial"/>
        </w:rPr>
        <w:t xml:space="preserve"> Staff expertise is leveraged across all programs within </w:t>
      </w:r>
      <w:r w:rsidR="00024BED">
        <w:rPr>
          <w:rFonts w:ascii="Arial" w:hAnsi="Arial" w:cs="Arial"/>
        </w:rPr>
        <w:t xml:space="preserve">the </w:t>
      </w:r>
      <w:r w:rsidRPr="002E7E31">
        <w:rPr>
          <w:rFonts w:ascii="Arial" w:hAnsi="Arial" w:cs="Arial"/>
        </w:rPr>
        <w:t>PGMS rather than specialized to individual systems, improving efficiency and quality of technical assistance.</w:t>
      </w:r>
    </w:p>
    <w:p w14:paraId="4708C09A" w14:textId="77777777" w:rsidR="002E7E31" w:rsidRPr="002E7E31" w:rsidRDefault="002E7E31" w:rsidP="00A359E2">
      <w:pPr>
        <w:spacing w:before="240" w:after="240" w:line="240" w:lineRule="auto"/>
        <w:rPr>
          <w:rFonts w:ascii="Arial" w:hAnsi="Arial" w:cs="Arial"/>
        </w:rPr>
      </w:pPr>
      <w:r w:rsidRPr="002E7E31">
        <w:rPr>
          <w:rFonts w:ascii="Arial" w:hAnsi="Arial" w:cs="Arial"/>
        </w:rPr>
        <w:t>This approach achieves the maximum feasible streamlining while preserving the distinct statutory characteristics of each program. Each program maintains its specific application addressing unique requirements, but all programs benefit from the unified platform infrastructure.</w:t>
      </w:r>
    </w:p>
    <w:p w14:paraId="4A0192CD" w14:textId="77777777" w:rsidR="002E7E31" w:rsidRPr="008850C5" w:rsidRDefault="002E7E31" w:rsidP="00A359E2">
      <w:pPr>
        <w:pStyle w:val="Heading2"/>
        <w:spacing w:before="360" w:after="240" w:line="240" w:lineRule="auto"/>
        <w:jc w:val="left"/>
      </w:pPr>
      <w:bookmarkStart w:id="8" w:name="_Toc217466120"/>
      <w:r w:rsidRPr="008850C5">
        <w:lastRenderedPageBreak/>
        <w:t>Implementation Plan for Streamlining</w:t>
      </w:r>
      <w:bookmarkEnd w:id="8"/>
    </w:p>
    <w:p w14:paraId="7C6DC938" w14:textId="2D18BFF6" w:rsidR="00D032A8" w:rsidRPr="008850C5" w:rsidRDefault="0071313D" w:rsidP="0058730E">
      <w:pPr>
        <w:spacing w:after="240" w:line="240" w:lineRule="auto"/>
        <w:rPr>
          <w:rFonts w:ascii="Arial" w:hAnsi="Arial" w:cs="Arial"/>
        </w:rPr>
      </w:pPr>
      <w:r w:rsidRPr="008850C5">
        <w:rPr>
          <w:rFonts w:ascii="Arial" w:hAnsi="Arial" w:cs="Arial"/>
        </w:rPr>
        <w:t>These next sections</w:t>
      </w:r>
      <w:r w:rsidR="00D032A8" w:rsidRPr="008850C5">
        <w:rPr>
          <w:rFonts w:ascii="Arial" w:hAnsi="Arial" w:cs="Arial"/>
        </w:rPr>
        <w:t xml:space="preserve"> cover the following information from A</w:t>
      </w:r>
      <w:r w:rsidRPr="008850C5">
        <w:rPr>
          <w:rFonts w:ascii="Arial" w:hAnsi="Arial" w:cs="Arial"/>
        </w:rPr>
        <w:t>B</w:t>
      </w:r>
      <w:r w:rsidR="00D032A8" w:rsidRPr="008850C5">
        <w:rPr>
          <w:rFonts w:ascii="Arial" w:hAnsi="Arial" w:cs="Arial"/>
        </w:rPr>
        <w:t xml:space="preserve"> 121, Section 69, subdivision (e)(1)(B): to the extent feasible, an implementation plan for streamlining grant applications and reporting for the 2026–27 fiscal year, including, if applicable, any statutory changes needed to allow for streamlining to occur while maintaining individual program characteristics.</w:t>
      </w:r>
    </w:p>
    <w:p w14:paraId="39699B57" w14:textId="603D9173" w:rsidR="002E7E31" w:rsidRPr="008850C5" w:rsidRDefault="002E7E31" w:rsidP="00F16688">
      <w:pPr>
        <w:pStyle w:val="Heading3"/>
      </w:pPr>
      <w:r w:rsidRPr="008850C5">
        <w:t>Programs Currently in</w:t>
      </w:r>
      <w:r w:rsidR="00024BED">
        <w:t xml:space="preserve"> the</w:t>
      </w:r>
      <w:r w:rsidRPr="008850C5">
        <w:t xml:space="preserve"> PGMS</w:t>
      </w:r>
    </w:p>
    <w:p w14:paraId="23791C6B" w14:textId="4E9A6BC8" w:rsidR="002E7E31" w:rsidRPr="008850C5" w:rsidRDefault="002E7E31" w:rsidP="0058730E">
      <w:pPr>
        <w:spacing w:after="240" w:line="240" w:lineRule="auto"/>
        <w:rPr>
          <w:rFonts w:ascii="Arial" w:hAnsi="Arial" w:cs="Arial"/>
        </w:rPr>
      </w:pPr>
      <w:r w:rsidRPr="008850C5">
        <w:rPr>
          <w:rFonts w:ascii="Arial" w:hAnsi="Arial" w:cs="Arial"/>
        </w:rPr>
        <w:t xml:space="preserve">The following programs currently operate in </w:t>
      </w:r>
      <w:r w:rsidR="00024BED">
        <w:rPr>
          <w:rFonts w:ascii="Arial" w:hAnsi="Arial" w:cs="Arial"/>
        </w:rPr>
        <w:t xml:space="preserve">the </w:t>
      </w:r>
      <w:r w:rsidRPr="008850C5">
        <w:rPr>
          <w:rFonts w:ascii="Arial" w:hAnsi="Arial" w:cs="Arial"/>
        </w:rPr>
        <w:t>PGMS and serve as the foundation for continued streamlining:</w:t>
      </w:r>
    </w:p>
    <w:p w14:paraId="7843F71B" w14:textId="0437011B" w:rsidR="002E7E31" w:rsidRPr="008850C5" w:rsidRDefault="002E7E31" w:rsidP="0058730E">
      <w:pPr>
        <w:spacing w:after="240" w:line="240" w:lineRule="auto"/>
        <w:rPr>
          <w:rFonts w:ascii="Arial" w:hAnsi="Arial" w:cs="Arial"/>
        </w:rPr>
      </w:pPr>
      <w:r w:rsidRPr="008850C5">
        <w:rPr>
          <w:rFonts w:ascii="Arial" w:hAnsi="Arial" w:cs="Arial"/>
          <w:b/>
          <w:bCs/>
        </w:rPr>
        <w:t>Perkins:</w:t>
      </w:r>
      <w:r w:rsidRPr="008850C5">
        <w:rPr>
          <w:rFonts w:ascii="Arial" w:hAnsi="Arial" w:cs="Arial"/>
        </w:rPr>
        <w:t xml:space="preserve"> Operational in</w:t>
      </w:r>
      <w:r w:rsidR="00024BED">
        <w:rPr>
          <w:rFonts w:ascii="Arial" w:hAnsi="Arial" w:cs="Arial"/>
        </w:rPr>
        <w:t xml:space="preserve"> the</w:t>
      </w:r>
      <w:r w:rsidRPr="008850C5">
        <w:rPr>
          <w:rFonts w:ascii="Arial" w:hAnsi="Arial" w:cs="Arial"/>
        </w:rPr>
        <w:t xml:space="preserve"> PGMS since 2015</w:t>
      </w:r>
      <w:r w:rsidR="00A050DD">
        <w:rPr>
          <w:rFonts w:ascii="Arial" w:hAnsi="Arial" w:cs="Arial"/>
        </w:rPr>
        <w:t>,</w:t>
      </w:r>
      <w:r w:rsidRPr="008850C5">
        <w:rPr>
          <w:rFonts w:ascii="Arial" w:hAnsi="Arial" w:cs="Arial"/>
        </w:rPr>
        <w:t xml:space="preserve"> when the system was originally established.</w:t>
      </w:r>
    </w:p>
    <w:p w14:paraId="626BB686" w14:textId="5DFADA23" w:rsidR="002E7E31" w:rsidRPr="008850C5" w:rsidRDefault="002E7E31" w:rsidP="0058730E">
      <w:pPr>
        <w:spacing w:after="240" w:line="240" w:lineRule="auto"/>
        <w:rPr>
          <w:rFonts w:ascii="Arial" w:hAnsi="Arial" w:cs="Arial"/>
        </w:rPr>
      </w:pPr>
      <w:r w:rsidRPr="008850C5">
        <w:rPr>
          <w:rFonts w:ascii="Arial" w:hAnsi="Arial" w:cs="Arial"/>
          <w:b/>
          <w:bCs/>
        </w:rPr>
        <w:t>C</w:t>
      </w:r>
      <w:r w:rsidR="00B97AF5" w:rsidRPr="008850C5">
        <w:rPr>
          <w:rFonts w:ascii="Arial" w:hAnsi="Arial" w:cs="Arial"/>
          <w:b/>
          <w:bCs/>
        </w:rPr>
        <w:t>PAs</w:t>
      </w:r>
      <w:r w:rsidRPr="008850C5">
        <w:rPr>
          <w:rFonts w:ascii="Arial" w:hAnsi="Arial" w:cs="Arial"/>
          <w:b/>
          <w:bCs/>
        </w:rPr>
        <w:t>:</w:t>
      </w:r>
      <w:r w:rsidRPr="008850C5">
        <w:rPr>
          <w:rFonts w:ascii="Arial" w:hAnsi="Arial" w:cs="Arial"/>
        </w:rPr>
        <w:t xml:space="preserve"> All C</w:t>
      </w:r>
      <w:r w:rsidR="00B97AF5" w:rsidRPr="008850C5">
        <w:rPr>
          <w:rFonts w:ascii="Arial" w:hAnsi="Arial" w:cs="Arial"/>
        </w:rPr>
        <w:t>PA</w:t>
      </w:r>
      <w:r w:rsidRPr="008850C5">
        <w:rPr>
          <w:rFonts w:ascii="Arial" w:hAnsi="Arial" w:cs="Arial"/>
        </w:rPr>
        <w:t xml:space="preserve"> types including traditional academies and Green Technology Partnership Academies are housed in</w:t>
      </w:r>
      <w:r w:rsidR="00024BED">
        <w:rPr>
          <w:rFonts w:ascii="Arial" w:hAnsi="Arial" w:cs="Arial"/>
        </w:rPr>
        <w:t xml:space="preserve"> the</w:t>
      </w:r>
      <w:r w:rsidRPr="008850C5">
        <w:rPr>
          <w:rFonts w:ascii="Arial" w:hAnsi="Arial" w:cs="Arial"/>
        </w:rPr>
        <w:t xml:space="preserve"> PGMS with electronic document filing capabilities.</w:t>
      </w:r>
    </w:p>
    <w:p w14:paraId="59462C49" w14:textId="60E708AB" w:rsidR="002E7E31" w:rsidRPr="008850C5" w:rsidRDefault="002E7E31" w:rsidP="0058730E">
      <w:pPr>
        <w:spacing w:after="240" w:line="240" w:lineRule="auto"/>
        <w:rPr>
          <w:rFonts w:ascii="Arial" w:hAnsi="Arial" w:cs="Arial"/>
        </w:rPr>
      </w:pPr>
      <w:r w:rsidRPr="008850C5">
        <w:rPr>
          <w:rFonts w:ascii="Arial" w:hAnsi="Arial" w:cs="Arial"/>
          <w:b/>
          <w:bCs/>
        </w:rPr>
        <w:t>C</w:t>
      </w:r>
      <w:r w:rsidR="00B97AF5" w:rsidRPr="008850C5">
        <w:rPr>
          <w:rFonts w:ascii="Arial" w:hAnsi="Arial" w:cs="Arial"/>
          <w:b/>
          <w:bCs/>
        </w:rPr>
        <w:t>TEIG</w:t>
      </w:r>
      <w:r w:rsidRPr="008850C5">
        <w:rPr>
          <w:rFonts w:ascii="Arial" w:hAnsi="Arial" w:cs="Arial"/>
          <w:b/>
          <w:bCs/>
        </w:rPr>
        <w:t>:</w:t>
      </w:r>
      <w:r w:rsidRPr="008850C5">
        <w:rPr>
          <w:rFonts w:ascii="Arial" w:hAnsi="Arial" w:cs="Arial"/>
        </w:rPr>
        <w:t xml:space="preserve"> Incorporated into</w:t>
      </w:r>
      <w:r w:rsidR="00024BED">
        <w:rPr>
          <w:rFonts w:ascii="Arial" w:hAnsi="Arial" w:cs="Arial"/>
        </w:rPr>
        <w:t xml:space="preserve"> the</w:t>
      </w:r>
      <w:r w:rsidRPr="008850C5">
        <w:rPr>
          <w:rFonts w:ascii="Arial" w:hAnsi="Arial" w:cs="Arial"/>
        </w:rPr>
        <w:t xml:space="preserve"> PGMS with the first full application round completed in 202</w:t>
      </w:r>
      <w:r w:rsidR="00B97AF5" w:rsidRPr="008850C5">
        <w:rPr>
          <w:rFonts w:ascii="Arial" w:hAnsi="Arial" w:cs="Arial"/>
        </w:rPr>
        <w:t>5–</w:t>
      </w:r>
      <w:r w:rsidRPr="008850C5">
        <w:rPr>
          <w:rFonts w:ascii="Arial" w:hAnsi="Arial" w:cs="Arial"/>
        </w:rPr>
        <w:t>2</w:t>
      </w:r>
      <w:r w:rsidR="00B97AF5" w:rsidRPr="008850C5">
        <w:rPr>
          <w:rFonts w:ascii="Arial" w:hAnsi="Arial" w:cs="Arial"/>
        </w:rPr>
        <w:t>6</w:t>
      </w:r>
      <w:r w:rsidRPr="008850C5">
        <w:rPr>
          <w:rFonts w:ascii="Arial" w:hAnsi="Arial" w:cs="Arial"/>
        </w:rPr>
        <w:t>. Improvements based on this experience will be implemented for future rounds.</w:t>
      </w:r>
    </w:p>
    <w:p w14:paraId="741DE527" w14:textId="77777777" w:rsidR="002E7E31" w:rsidRPr="008850C5" w:rsidRDefault="002E7E31" w:rsidP="00F16688">
      <w:pPr>
        <w:pStyle w:val="Heading3"/>
      </w:pPr>
      <w:r w:rsidRPr="008850C5">
        <w:t>Phased Migration Schedule</w:t>
      </w:r>
    </w:p>
    <w:p w14:paraId="39ECF3F1" w14:textId="6EBEBB7C" w:rsidR="002E7E31" w:rsidRPr="008850C5" w:rsidRDefault="002E7E31" w:rsidP="0058730E">
      <w:pPr>
        <w:spacing w:after="240" w:line="240" w:lineRule="auto"/>
        <w:rPr>
          <w:rFonts w:ascii="Arial" w:hAnsi="Arial" w:cs="Arial"/>
        </w:rPr>
      </w:pPr>
      <w:r w:rsidRPr="008850C5">
        <w:rPr>
          <w:rFonts w:ascii="Arial" w:hAnsi="Arial" w:cs="Arial"/>
        </w:rPr>
        <w:t xml:space="preserve">The remaining programs will be migrated to </w:t>
      </w:r>
      <w:r w:rsidR="00024BED">
        <w:rPr>
          <w:rFonts w:ascii="Arial" w:hAnsi="Arial" w:cs="Arial"/>
        </w:rPr>
        <w:t xml:space="preserve">the </w:t>
      </w:r>
      <w:r w:rsidRPr="008850C5">
        <w:rPr>
          <w:rFonts w:ascii="Arial" w:hAnsi="Arial" w:cs="Arial"/>
        </w:rPr>
        <w:t>PGMS through a phased approach aligned with application cycles:</w:t>
      </w:r>
    </w:p>
    <w:p w14:paraId="5257383F" w14:textId="2F89C1E2" w:rsidR="002E7E31" w:rsidRPr="00EF7DDD" w:rsidRDefault="002E7E31" w:rsidP="0058730E">
      <w:pPr>
        <w:spacing w:after="240" w:line="240" w:lineRule="auto"/>
        <w:rPr>
          <w:rFonts w:ascii="Arial" w:hAnsi="Arial" w:cs="Arial"/>
        </w:rPr>
      </w:pPr>
      <w:r w:rsidRPr="00EF7DDD">
        <w:rPr>
          <w:rFonts w:ascii="Arial" w:hAnsi="Arial" w:cs="Arial"/>
          <w:b/>
          <w:bCs/>
        </w:rPr>
        <w:t>Fiscal Year 2026</w:t>
      </w:r>
      <w:r w:rsidR="00B97AF5" w:rsidRPr="00EF7DDD">
        <w:rPr>
          <w:rFonts w:ascii="Arial" w:hAnsi="Arial" w:cs="Arial"/>
          <w:b/>
          <w:bCs/>
        </w:rPr>
        <w:t>–</w:t>
      </w:r>
      <w:r w:rsidRPr="00EF7DDD">
        <w:rPr>
          <w:rFonts w:ascii="Arial" w:hAnsi="Arial" w:cs="Arial"/>
          <w:b/>
          <w:bCs/>
        </w:rPr>
        <w:t>27:</w:t>
      </w:r>
      <w:r w:rsidRPr="00EF7DDD">
        <w:rPr>
          <w:rFonts w:ascii="Arial" w:hAnsi="Arial" w:cs="Arial"/>
        </w:rPr>
        <w:t xml:space="preserve"> The </w:t>
      </w:r>
      <w:r w:rsidR="400E7876" w:rsidRPr="00EF7DDD">
        <w:rPr>
          <w:rFonts w:ascii="Arial" w:hAnsi="Arial" w:cs="Arial"/>
        </w:rPr>
        <w:t xml:space="preserve">GSPP </w:t>
      </w:r>
      <w:r w:rsidRPr="00EF7DDD">
        <w:rPr>
          <w:rFonts w:ascii="Arial" w:hAnsi="Arial" w:cs="Arial"/>
        </w:rPr>
        <w:t xml:space="preserve">will be incorporated into </w:t>
      </w:r>
      <w:r w:rsidR="00024BED" w:rsidRPr="00EF7DDD">
        <w:rPr>
          <w:rFonts w:ascii="Arial" w:hAnsi="Arial" w:cs="Arial"/>
        </w:rPr>
        <w:t xml:space="preserve">the </w:t>
      </w:r>
      <w:r w:rsidRPr="00EF7DDD">
        <w:rPr>
          <w:rFonts w:ascii="Arial" w:hAnsi="Arial" w:cs="Arial"/>
        </w:rPr>
        <w:t xml:space="preserve">PGMS for its </w:t>
      </w:r>
      <w:r w:rsidR="00B97AF5" w:rsidRPr="00EF7DDD">
        <w:rPr>
          <w:rFonts w:ascii="Arial" w:hAnsi="Arial" w:cs="Arial"/>
        </w:rPr>
        <w:t>planning to</w:t>
      </w:r>
      <w:r w:rsidRPr="00EF7DDD">
        <w:rPr>
          <w:rFonts w:ascii="Arial" w:hAnsi="Arial" w:cs="Arial"/>
        </w:rPr>
        <w:t xml:space="preserve"> implementation </w:t>
      </w:r>
      <w:r w:rsidR="00B97AF5" w:rsidRPr="00EF7DDD">
        <w:rPr>
          <w:rFonts w:ascii="Arial" w:hAnsi="Arial" w:cs="Arial"/>
        </w:rPr>
        <w:t>grantees</w:t>
      </w:r>
      <w:r w:rsidRPr="00EF7DDD">
        <w:rPr>
          <w:rFonts w:ascii="Arial" w:hAnsi="Arial" w:cs="Arial"/>
        </w:rPr>
        <w:t>. Improvements to C</w:t>
      </w:r>
      <w:r w:rsidR="00B97AF5" w:rsidRPr="00EF7DDD">
        <w:rPr>
          <w:rFonts w:ascii="Arial" w:hAnsi="Arial" w:cs="Arial"/>
        </w:rPr>
        <w:t>TEIG and CPA</w:t>
      </w:r>
      <w:r w:rsidRPr="00EF7DDD">
        <w:rPr>
          <w:rFonts w:ascii="Arial" w:hAnsi="Arial" w:cs="Arial"/>
        </w:rPr>
        <w:t xml:space="preserve"> processes based on </w:t>
      </w:r>
      <w:r w:rsidR="00B97AF5" w:rsidRPr="00EF7DDD">
        <w:rPr>
          <w:rFonts w:ascii="Arial" w:hAnsi="Arial" w:cs="Arial"/>
        </w:rPr>
        <w:t xml:space="preserve">the </w:t>
      </w:r>
      <w:r w:rsidRPr="00EF7DDD">
        <w:rPr>
          <w:rFonts w:ascii="Arial" w:hAnsi="Arial" w:cs="Arial"/>
        </w:rPr>
        <w:t>2024</w:t>
      </w:r>
      <w:r w:rsidR="00B97AF5" w:rsidRPr="00EF7DDD">
        <w:rPr>
          <w:rFonts w:ascii="Arial" w:hAnsi="Arial" w:cs="Arial"/>
        </w:rPr>
        <w:t>–</w:t>
      </w:r>
      <w:r w:rsidRPr="00EF7DDD">
        <w:rPr>
          <w:rFonts w:ascii="Arial" w:hAnsi="Arial" w:cs="Arial"/>
        </w:rPr>
        <w:t>25</w:t>
      </w:r>
      <w:r w:rsidR="00B97AF5" w:rsidRPr="00EF7DDD">
        <w:rPr>
          <w:rFonts w:ascii="Arial" w:hAnsi="Arial" w:cs="Arial"/>
        </w:rPr>
        <w:t xml:space="preserve"> and 2025–26</w:t>
      </w:r>
      <w:r w:rsidRPr="00EF7DDD">
        <w:rPr>
          <w:rFonts w:ascii="Arial" w:hAnsi="Arial" w:cs="Arial"/>
        </w:rPr>
        <w:t xml:space="preserve"> experience</w:t>
      </w:r>
      <w:r w:rsidR="00CE6160" w:rsidRPr="00EF7DDD">
        <w:rPr>
          <w:rFonts w:ascii="Arial" w:hAnsi="Arial" w:cs="Arial"/>
        </w:rPr>
        <w:t>s</w:t>
      </w:r>
      <w:r w:rsidRPr="00EF7DDD">
        <w:rPr>
          <w:rFonts w:ascii="Arial" w:hAnsi="Arial" w:cs="Arial"/>
        </w:rPr>
        <w:t xml:space="preserve"> will be implemented.</w:t>
      </w:r>
    </w:p>
    <w:p w14:paraId="77159E9A" w14:textId="169AA595" w:rsidR="002E7E31" w:rsidRPr="008850C5" w:rsidRDefault="002E7E31" w:rsidP="0058730E">
      <w:pPr>
        <w:spacing w:after="240" w:line="240" w:lineRule="auto"/>
        <w:rPr>
          <w:rFonts w:ascii="Arial" w:hAnsi="Arial" w:cs="Arial"/>
        </w:rPr>
      </w:pPr>
      <w:r w:rsidRPr="008850C5">
        <w:rPr>
          <w:rFonts w:ascii="Arial" w:hAnsi="Arial" w:cs="Arial"/>
          <w:b/>
          <w:bCs/>
        </w:rPr>
        <w:t>Fiscal Year 2027</w:t>
      </w:r>
      <w:r w:rsidR="00B97AF5" w:rsidRPr="008850C5">
        <w:rPr>
          <w:rFonts w:ascii="Arial" w:hAnsi="Arial" w:cs="Arial"/>
          <w:b/>
          <w:bCs/>
        </w:rPr>
        <w:t>–</w:t>
      </w:r>
      <w:r w:rsidRPr="008850C5">
        <w:rPr>
          <w:rFonts w:ascii="Arial" w:hAnsi="Arial" w:cs="Arial"/>
          <w:b/>
          <w:bCs/>
        </w:rPr>
        <w:t>28:</w:t>
      </w:r>
      <w:r w:rsidRPr="008850C5">
        <w:rPr>
          <w:rFonts w:ascii="Arial" w:hAnsi="Arial" w:cs="Arial"/>
        </w:rPr>
        <w:t xml:space="preserve"> S</w:t>
      </w:r>
      <w:r w:rsidR="00B97AF5" w:rsidRPr="008850C5">
        <w:rPr>
          <w:rFonts w:ascii="Arial" w:hAnsi="Arial" w:cs="Arial"/>
        </w:rPr>
        <w:t>SPs,</w:t>
      </w:r>
      <w:r w:rsidR="002D6C79" w:rsidRPr="008850C5">
        <w:rPr>
          <w:rFonts w:ascii="Arial" w:hAnsi="Arial" w:cs="Arial"/>
        </w:rPr>
        <w:t xml:space="preserve"> </w:t>
      </w:r>
      <w:r w:rsidRPr="008850C5">
        <w:rPr>
          <w:rFonts w:ascii="Arial" w:hAnsi="Arial" w:cs="Arial"/>
        </w:rPr>
        <w:t>M</w:t>
      </w:r>
      <w:r w:rsidR="002D6C79" w:rsidRPr="008850C5">
        <w:rPr>
          <w:rFonts w:ascii="Arial" w:hAnsi="Arial" w:cs="Arial"/>
        </w:rPr>
        <w:t>SFAs, and AME programs</w:t>
      </w:r>
      <w:r w:rsidRPr="008850C5">
        <w:rPr>
          <w:rFonts w:ascii="Arial" w:hAnsi="Arial" w:cs="Arial"/>
        </w:rPr>
        <w:t xml:space="preserve"> will be migrated to</w:t>
      </w:r>
      <w:r w:rsidR="00024BED">
        <w:rPr>
          <w:rFonts w:ascii="Arial" w:hAnsi="Arial" w:cs="Arial"/>
        </w:rPr>
        <w:t xml:space="preserve"> the</w:t>
      </w:r>
      <w:r w:rsidRPr="008850C5">
        <w:rPr>
          <w:rFonts w:ascii="Arial" w:hAnsi="Arial" w:cs="Arial"/>
        </w:rPr>
        <w:t xml:space="preserve"> PGMS.</w:t>
      </w:r>
    </w:p>
    <w:p w14:paraId="1372725C" w14:textId="50D26CD5" w:rsidR="002E7E31" w:rsidRPr="008850C5" w:rsidRDefault="002E7E31" w:rsidP="0058730E">
      <w:pPr>
        <w:spacing w:after="240" w:line="240" w:lineRule="auto"/>
        <w:rPr>
          <w:rFonts w:ascii="Arial" w:hAnsi="Arial" w:cs="Arial"/>
        </w:rPr>
      </w:pPr>
      <w:r w:rsidRPr="008850C5">
        <w:rPr>
          <w:rFonts w:ascii="Arial" w:hAnsi="Arial" w:cs="Arial"/>
        </w:rPr>
        <w:t>Each migration will be scheduled to occur before the program</w:t>
      </w:r>
      <w:r w:rsidR="00A050DD">
        <w:rPr>
          <w:rFonts w:ascii="Arial" w:hAnsi="Arial" w:cs="Arial"/>
        </w:rPr>
        <w:t>’</w:t>
      </w:r>
      <w:r w:rsidRPr="008850C5">
        <w:rPr>
          <w:rFonts w:ascii="Arial" w:hAnsi="Arial" w:cs="Arial"/>
        </w:rPr>
        <w:t>s application cycle to allow adequate time for system development, testing, training material creation, and staff preparation. Programs will be migrated in groups based on similar characteristics and application timelines to maximize efficiency.</w:t>
      </w:r>
    </w:p>
    <w:p w14:paraId="2899E301" w14:textId="77777777" w:rsidR="002E7E31" w:rsidRPr="008850C5" w:rsidRDefault="002E7E31" w:rsidP="00F16688">
      <w:pPr>
        <w:pStyle w:val="Heading3"/>
      </w:pPr>
      <w:r w:rsidRPr="008850C5">
        <w:t>Implementation Activities</w:t>
      </w:r>
    </w:p>
    <w:p w14:paraId="32A65DF4" w14:textId="30891F43" w:rsidR="002E7E31" w:rsidRPr="008850C5" w:rsidRDefault="002E7E31" w:rsidP="0058730E">
      <w:pPr>
        <w:spacing w:before="240" w:after="240" w:line="240" w:lineRule="auto"/>
        <w:rPr>
          <w:rFonts w:ascii="Arial" w:hAnsi="Arial" w:cs="Arial"/>
        </w:rPr>
      </w:pPr>
      <w:r w:rsidRPr="008850C5">
        <w:rPr>
          <w:rFonts w:ascii="Arial" w:hAnsi="Arial" w:cs="Arial"/>
        </w:rPr>
        <w:t>For each program migration, the C</w:t>
      </w:r>
      <w:r w:rsidR="002D6C79" w:rsidRPr="008850C5">
        <w:rPr>
          <w:rFonts w:ascii="Arial" w:hAnsi="Arial" w:cs="Arial"/>
        </w:rPr>
        <w:t>DE</w:t>
      </w:r>
      <w:r w:rsidRPr="008850C5">
        <w:rPr>
          <w:rFonts w:ascii="Arial" w:hAnsi="Arial" w:cs="Arial"/>
        </w:rPr>
        <w:t xml:space="preserve"> will:</w:t>
      </w:r>
    </w:p>
    <w:p w14:paraId="336F2325" w14:textId="27A82824" w:rsidR="002E7E31" w:rsidRPr="008850C5" w:rsidRDefault="002E7E31" w:rsidP="0058730E">
      <w:pPr>
        <w:spacing w:before="240" w:after="240" w:line="240" w:lineRule="auto"/>
        <w:rPr>
          <w:rFonts w:ascii="Arial" w:hAnsi="Arial" w:cs="Arial"/>
        </w:rPr>
      </w:pPr>
      <w:r w:rsidRPr="008850C5">
        <w:rPr>
          <w:rFonts w:ascii="Arial" w:hAnsi="Arial" w:cs="Arial"/>
          <w:b/>
          <w:bCs/>
        </w:rPr>
        <w:t>System Development:</w:t>
      </w:r>
      <w:r w:rsidRPr="008850C5">
        <w:rPr>
          <w:rFonts w:ascii="Arial" w:hAnsi="Arial" w:cs="Arial"/>
        </w:rPr>
        <w:t xml:space="preserve"> Design program-specific application modules within</w:t>
      </w:r>
      <w:r w:rsidR="00024BED">
        <w:rPr>
          <w:rFonts w:ascii="Arial" w:hAnsi="Arial" w:cs="Arial"/>
        </w:rPr>
        <w:t xml:space="preserve"> the</w:t>
      </w:r>
      <w:r w:rsidRPr="008850C5">
        <w:rPr>
          <w:rFonts w:ascii="Arial" w:hAnsi="Arial" w:cs="Arial"/>
        </w:rPr>
        <w:t xml:space="preserve"> PGMS framework, configure data connections to C</w:t>
      </w:r>
      <w:r w:rsidR="004B2940">
        <w:rPr>
          <w:rFonts w:ascii="Arial" w:hAnsi="Arial" w:cs="Arial"/>
        </w:rPr>
        <w:t>AL</w:t>
      </w:r>
      <w:r w:rsidRPr="008850C5">
        <w:rPr>
          <w:rFonts w:ascii="Arial" w:hAnsi="Arial" w:cs="Arial"/>
        </w:rPr>
        <w:t xml:space="preserve">PADS for pre-population of available </w:t>
      </w:r>
      <w:r w:rsidRPr="008850C5">
        <w:rPr>
          <w:rFonts w:ascii="Arial" w:hAnsi="Arial" w:cs="Arial"/>
        </w:rPr>
        <w:lastRenderedPageBreak/>
        <w:t>data, establish electronic document filing workflows, and develop reporting templates consistent with statutory requirements.</w:t>
      </w:r>
    </w:p>
    <w:p w14:paraId="49A4238C" w14:textId="77777777" w:rsidR="002E7E31" w:rsidRPr="008850C5" w:rsidRDefault="002E7E31" w:rsidP="0058730E">
      <w:pPr>
        <w:spacing w:before="240" w:after="240" w:line="240" w:lineRule="auto"/>
        <w:rPr>
          <w:rFonts w:ascii="Arial" w:hAnsi="Arial" w:cs="Arial"/>
        </w:rPr>
      </w:pPr>
      <w:r w:rsidRPr="008850C5">
        <w:rPr>
          <w:rFonts w:ascii="Arial" w:hAnsi="Arial" w:cs="Arial"/>
          <w:b/>
          <w:bCs/>
        </w:rPr>
        <w:t>Testing:</w:t>
      </w:r>
      <w:r w:rsidRPr="008850C5">
        <w:rPr>
          <w:rFonts w:ascii="Arial" w:hAnsi="Arial" w:cs="Arial"/>
        </w:rPr>
        <w:t xml:space="preserve"> Conduct thorough testing with pilot users from local educational agencies to identify and resolve technical issues and usability concerns before full launch.</w:t>
      </w:r>
    </w:p>
    <w:p w14:paraId="38F49B49" w14:textId="77777777" w:rsidR="002E7E31" w:rsidRPr="008850C5" w:rsidRDefault="002E7E31" w:rsidP="0058730E">
      <w:pPr>
        <w:spacing w:before="240" w:after="240" w:line="240" w:lineRule="auto"/>
        <w:rPr>
          <w:rFonts w:ascii="Arial" w:hAnsi="Arial" w:cs="Arial"/>
        </w:rPr>
      </w:pPr>
      <w:r w:rsidRPr="008850C5">
        <w:rPr>
          <w:rFonts w:ascii="Arial" w:hAnsi="Arial" w:cs="Arial"/>
          <w:b/>
          <w:bCs/>
        </w:rPr>
        <w:t>Training and Technical Assistance:</w:t>
      </w:r>
      <w:r w:rsidRPr="008850C5">
        <w:rPr>
          <w:rFonts w:ascii="Arial" w:hAnsi="Arial" w:cs="Arial"/>
        </w:rPr>
        <w:t xml:space="preserve"> Develop comprehensive user guides addressing both universal PGMS functionality and program-specific requirements, create recorded training webinars available on demand, conduct live training sessions where staff can ask questions and receive real-time guidance, and provide direct technical assistance from program specialists.</w:t>
      </w:r>
    </w:p>
    <w:p w14:paraId="1AF608CD" w14:textId="77777777" w:rsidR="002E7E31" w:rsidRPr="008850C5" w:rsidRDefault="002E7E31" w:rsidP="0058730E">
      <w:pPr>
        <w:spacing w:before="240" w:after="240" w:line="240" w:lineRule="auto"/>
        <w:rPr>
          <w:rFonts w:ascii="Arial" w:hAnsi="Arial" w:cs="Arial"/>
        </w:rPr>
      </w:pPr>
      <w:r w:rsidRPr="008850C5">
        <w:rPr>
          <w:rFonts w:ascii="Arial" w:hAnsi="Arial" w:cs="Arial"/>
          <w:b/>
          <w:bCs/>
        </w:rPr>
        <w:t>Communication:</w:t>
      </w:r>
      <w:r w:rsidRPr="008850C5">
        <w:rPr>
          <w:rFonts w:ascii="Arial" w:hAnsi="Arial" w:cs="Arial"/>
        </w:rPr>
        <w:t xml:space="preserve"> Provide advance notice to eligible applicants about migration timelines and prepare agencies for transition from previous systems.</w:t>
      </w:r>
    </w:p>
    <w:p w14:paraId="6BBC6CAC" w14:textId="31328953" w:rsidR="002E7E31" w:rsidRPr="008850C5" w:rsidRDefault="002D6C79" w:rsidP="0058730E">
      <w:pPr>
        <w:spacing w:after="240" w:line="240" w:lineRule="auto"/>
        <w:rPr>
          <w:rFonts w:ascii="Arial" w:hAnsi="Arial" w:cs="Arial"/>
        </w:rPr>
      </w:pPr>
      <w:r w:rsidRPr="008850C5">
        <w:rPr>
          <w:rFonts w:ascii="Arial" w:hAnsi="Arial" w:cs="Arial"/>
        </w:rPr>
        <w:t>The intent is that b</w:t>
      </w:r>
      <w:r w:rsidR="002E7E31" w:rsidRPr="008850C5">
        <w:rPr>
          <w:rFonts w:ascii="Arial" w:hAnsi="Arial" w:cs="Arial"/>
        </w:rPr>
        <w:t>y the conclusion of fiscal year 2027</w:t>
      </w:r>
      <w:r w:rsidRPr="008850C5">
        <w:rPr>
          <w:rFonts w:ascii="Arial" w:hAnsi="Arial" w:cs="Arial"/>
        </w:rPr>
        <w:t>–</w:t>
      </w:r>
      <w:r w:rsidR="002E7E31" w:rsidRPr="008850C5">
        <w:rPr>
          <w:rFonts w:ascii="Arial" w:hAnsi="Arial" w:cs="Arial"/>
        </w:rPr>
        <w:t xml:space="preserve">28, all </w:t>
      </w:r>
      <w:r w:rsidRPr="008850C5">
        <w:rPr>
          <w:rFonts w:ascii="Arial" w:hAnsi="Arial" w:cs="Arial"/>
        </w:rPr>
        <w:t>CDE</w:t>
      </w:r>
      <w:r w:rsidR="002E7E31" w:rsidRPr="008850C5">
        <w:rPr>
          <w:rFonts w:ascii="Arial" w:hAnsi="Arial" w:cs="Arial"/>
        </w:rPr>
        <w:t xml:space="preserve">-administered </w:t>
      </w:r>
      <w:r w:rsidRPr="008850C5">
        <w:rPr>
          <w:rFonts w:ascii="Arial" w:hAnsi="Arial" w:cs="Arial"/>
        </w:rPr>
        <w:t xml:space="preserve">CTE programs </w:t>
      </w:r>
      <w:r w:rsidR="002E7E31" w:rsidRPr="008850C5">
        <w:rPr>
          <w:rFonts w:ascii="Arial" w:hAnsi="Arial" w:cs="Arial"/>
        </w:rPr>
        <w:t>will operate in</w:t>
      </w:r>
      <w:r w:rsidR="00024BED">
        <w:rPr>
          <w:rFonts w:ascii="Arial" w:hAnsi="Arial" w:cs="Arial"/>
        </w:rPr>
        <w:t xml:space="preserve"> the</w:t>
      </w:r>
      <w:r w:rsidR="002E7E31" w:rsidRPr="008850C5">
        <w:rPr>
          <w:rFonts w:ascii="Arial" w:hAnsi="Arial" w:cs="Arial"/>
        </w:rPr>
        <w:t xml:space="preserve"> PGMS with single sign-on capability, </w:t>
      </w:r>
      <w:r w:rsidR="00F92170" w:rsidRPr="008850C5">
        <w:rPr>
          <w:rFonts w:ascii="Arial" w:hAnsi="Arial" w:cs="Arial"/>
        </w:rPr>
        <w:t>CALPADS</w:t>
      </w:r>
      <w:r w:rsidR="002E7E31" w:rsidRPr="008850C5">
        <w:rPr>
          <w:rFonts w:ascii="Arial" w:hAnsi="Arial" w:cs="Arial"/>
        </w:rPr>
        <w:t xml:space="preserve"> data integration, electronic document filing, consistent user interface, and integrated technical support.</w:t>
      </w:r>
    </w:p>
    <w:p w14:paraId="4A540279" w14:textId="4CD30761" w:rsidR="001B7AAF" w:rsidRPr="008850C5" w:rsidRDefault="001B7AAF" w:rsidP="0058730E">
      <w:pPr>
        <w:spacing w:after="240" w:line="240" w:lineRule="auto"/>
        <w:rPr>
          <w:rFonts w:ascii="Arial" w:hAnsi="Arial" w:cs="Arial"/>
        </w:rPr>
      </w:pPr>
      <w:r w:rsidRPr="008850C5">
        <w:rPr>
          <w:rFonts w:ascii="Arial" w:hAnsi="Arial" w:cs="Arial"/>
        </w:rPr>
        <w:t xml:space="preserve">Please see the following table for a summary of existing CDE CTE programs and their </w:t>
      </w:r>
      <w:r w:rsidR="0026277F" w:rsidRPr="008850C5">
        <w:rPr>
          <w:rFonts w:ascii="Arial" w:hAnsi="Arial" w:cs="Arial"/>
        </w:rPr>
        <w:t xml:space="preserve">implementation </w:t>
      </w:r>
      <w:r w:rsidR="007E25D5" w:rsidRPr="008850C5">
        <w:rPr>
          <w:rFonts w:ascii="Arial" w:hAnsi="Arial" w:cs="Arial"/>
        </w:rPr>
        <w:t>status</w:t>
      </w:r>
      <w:r w:rsidRPr="008850C5">
        <w:rPr>
          <w:rFonts w:ascii="Arial" w:hAnsi="Arial" w:cs="Arial"/>
        </w:rPr>
        <w:t xml:space="preserve"> within the PGMS.</w:t>
      </w:r>
    </w:p>
    <w:tbl>
      <w:tblPr>
        <w:tblStyle w:val="TableGrid"/>
        <w:tblW w:w="9360" w:type="dxa"/>
        <w:tblLayout w:type="fixed"/>
        <w:tblLook w:val="04A0" w:firstRow="1" w:lastRow="0" w:firstColumn="1" w:lastColumn="0" w:noHBand="0" w:noVBand="1"/>
        <w:tblDescription w:val="CTE Programs and PGMS Implementation Status Table"/>
      </w:tblPr>
      <w:tblGrid>
        <w:gridCol w:w="1584"/>
        <w:gridCol w:w="2592"/>
        <w:gridCol w:w="2592"/>
        <w:gridCol w:w="2592"/>
      </w:tblGrid>
      <w:tr w:rsidR="001B7AAF" w:rsidRPr="008850C5" w14:paraId="64AA5854" w14:textId="77777777" w:rsidTr="001156A0">
        <w:trPr>
          <w:cantSplit/>
          <w:tblHeader/>
        </w:trPr>
        <w:tc>
          <w:tcPr>
            <w:tcW w:w="1584" w:type="dxa"/>
            <w:shd w:val="clear" w:color="auto" w:fill="D1D1D1" w:themeFill="background2" w:themeFillShade="E6"/>
            <w:vAlign w:val="center"/>
          </w:tcPr>
          <w:p w14:paraId="6282BB4E" w14:textId="1D9D7EC5" w:rsidR="001B7AAF" w:rsidRPr="008850C5" w:rsidRDefault="001B7AAF" w:rsidP="007E25D5">
            <w:pPr>
              <w:spacing w:before="120" w:after="120"/>
              <w:jc w:val="center"/>
              <w:rPr>
                <w:rFonts w:ascii="Arial" w:hAnsi="Arial" w:cs="Arial"/>
                <w:b/>
                <w:bCs/>
              </w:rPr>
            </w:pPr>
            <w:r w:rsidRPr="008850C5">
              <w:rPr>
                <w:rFonts w:ascii="Arial" w:hAnsi="Arial" w:cs="Arial"/>
                <w:b/>
                <w:bCs/>
              </w:rPr>
              <w:t>Grant Name</w:t>
            </w:r>
          </w:p>
        </w:tc>
        <w:tc>
          <w:tcPr>
            <w:tcW w:w="2592" w:type="dxa"/>
            <w:shd w:val="clear" w:color="auto" w:fill="D1D1D1" w:themeFill="background2" w:themeFillShade="E6"/>
            <w:vAlign w:val="center"/>
          </w:tcPr>
          <w:p w14:paraId="4C589BCB" w14:textId="354063E5" w:rsidR="001B7AAF" w:rsidRPr="008850C5" w:rsidRDefault="001B7AAF" w:rsidP="00A359E2">
            <w:pPr>
              <w:spacing w:before="120" w:after="120"/>
              <w:jc w:val="center"/>
              <w:rPr>
                <w:rFonts w:ascii="Arial" w:hAnsi="Arial" w:cs="Arial"/>
                <w:b/>
                <w:bCs/>
              </w:rPr>
            </w:pPr>
            <w:r w:rsidRPr="008850C5">
              <w:rPr>
                <w:rFonts w:ascii="Arial" w:hAnsi="Arial" w:cs="Arial"/>
                <w:b/>
                <w:bCs/>
              </w:rPr>
              <w:t>2025–26 PGMS</w:t>
            </w:r>
            <w:r w:rsidR="00837E32" w:rsidRPr="008850C5">
              <w:rPr>
                <w:rFonts w:ascii="Arial" w:hAnsi="Arial" w:cs="Arial"/>
                <w:b/>
                <w:bCs/>
              </w:rPr>
              <w:t xml:space="preserve"> Implementation</w:t>
            </w:r>
            <w:r w:rsidRPr="008850C5">
              <w:rPr>
                <w:rFonts w:ascii="Arial" w:hAnsi="Arial" w:cs="Arial"/>
                <w:b/>
                <w:bCs/>
              </w:rPr>
              <w:t xml:space="preserve"> Status</w:t>
            </w:r>
            <w:r w:rsidR="007C4621" w:rsidRPr="008850C5">
              <w:rPr>
                <w:rFonts w:ascii="Arial" w:hAnsi="Arial" w:cs="Arial"/>
                <w:b/>
                <w:bCs/>
              </w:rPr>
              <w:t>*</w:t>
            </w:r>
          </w:p>
        </w:tc>
        <w:tc>
          <w:tcPr>
            <w:tcW w:w="2592" w:type="dxa"/>
            <w:shd w:val="clear" w:color="auto" w:fill="D1D1D1" w:themeFill="background2" w:themeFillShade="E6"/>
            <w:vAlign w:val="center"/>
          </w:tcPr>
          <w:p w14:paraId="7E5D8944" w14:textId="1BFA5B35" w:rsidR="001B7AAF" w:rsidRPr="008850C5" w:rsidRDefault="001B7AAF" w:rsidP="007C4621">
            <w:pPr>
              <w:spacing w:before="120" w:after="120"/>
              <w:jc w:val="center"/>
              <w:rPr>
                <w:rFonts w:ascii="Arial" w:hAnsi="Arial" w:cs="Arial"/>
                <w:b/>
                <w:bCs/>
              </w:rPr>
            </w:pPr>
            <w:r w:rsidRPr="008850C5">
              <w:rPr>
                <w:rFonts w:ascii="Arial" w:hAnsi="Arial" w:cs="Arial"/>
                <w:b/>
                <w:bCs/>
              </w:rPr>
              <w:t xml:space="preserve">2026–27 PGMS </w:t>
            </w:r>
            <w:r w:rsidR="00837E32" w:rsidRPr="008850C5">
              <w:rPr>
                <w:rFonts w:ascii="Arial" w:hAnsi="Arial" w:cs="Arial"/>
                <w:b/>
                <w:bCs/>
              </w:rPr>
              <w:t xml:space="preserve">Implementation </w:t>
            </w:r>
            <w:r w:rsidRPr="008850C5">
              <w:rPr>
                <w:rFonts w:ascii="Arial" w:hAnsi="Arial" w:cs="Arial"/>
                <w:b/>
                <w:bCs/>
              </w:rPr>
              <w:t>Status</w:t>
            </w:r>
            <w:r w:rsidR="007C4621" w:rsidRPr="008850C5">
              <w:rPr>
                <w:rFonts w:ascii="Arial" w:hAnsi="Arial" w:cs="Arial"/>
                <w:b/>
                <w:bCs/>
              </w:rPr>
              <w:t>*</w:t>
            </w:r>
          </w:p>
        </w:tc>
        <w:tc>
          <w:tcPr>
            <w:tcW w:w="2592" w:type="dxa"/>
            <w:shd w:val="clear" w:color="auto" w:fill="D1D1D1" w:themeFill="background2" w:themeFillShade="E6"/>
            <w:vAlign w:val="center"/>
          </w:tcPr>
          <w:p w14:paraId="656803B1" w14:textId="38578CA9" w:rsidR="001B7AAF" w:rsidRPr="008850C5" w:rsidRDefault="001B7AAF" w:rsidP="007C4621">
            <w:pPr>
              <w:spacing w:before="120" w:after="120"/>
              <w:jc w:val="center"/>
              <w:rPr>
                <w:rFonts w:ascii="Arial" w:hAnsi="Arial" w:cs="Arial"/>
                <w:b/>
                <w:bCs/>
              </w:rPr>
            </w:pPr>
            <w:r w:rsidRPr="008850C5">
              <w:rPr>
                <w:rFonts w:ascii="Arial" w:hAnsi="Arial" w:cs="Arial"/>
                <w:b/>
                <w:bCs/>
              </w:rPr>
              <w:t xml:space="preserve">2027–28 PGMS </w:t>
            </w:r>
            <w:r w:rsidR="00837E32" w:rsidRPr="008850C5">
              <w:rPr>
                <w:rFonts w:ascii="Arial" w:hAnsi="Arial" w:cs="Arial"/>
                <w:b/>
                <w:bCs/>
              </w:rPr>
              <w:t xml:space="preserve">Implementation </w:t>
            </w:r>
            <w:r w:rsidRPr="008850C5">
              <w:rPr>
                <w:rFonts w:ascii="Arial" w:hAnsi="Arial" w:cs="Arial"/>
                <w:b/>
                <w:bCs/>
              </w:rPr>
              <w:t>Status</w:t>
            </w:r>
            <w:r w:rsidR="007C4621" w:rsidRPr="008850C5">
              <w:rPr>
                <w:rFonts w:ascii="Arial" w:hAnsi="Arial" w:cs="Arial"/>
                <w:b/>
                <w:bCs/>
              </w:rPr>
              <w:t>*</w:t>
            </w:r>
          </w:p>
        </w:tc>
      </w:tr>
      <w:tr w:rsidR="001B7AAF" w:rsidRPr="008850C5" w14:paraId="484AE4C1" w14:textId="77777777" w:rsidTr="001156A0">
        <w:trPr>
          <w:cantSplit/>
        </w:trPr>
        <w:tc>
          <w:tcPr>
            <w:tcW w:w="1584" w:type="dxa"/>
            <w:vAlign w:val="center"/>
          </w:tcPr>
          <w:p w14:paraId="760B8546" w14:textId="2B53ADD4" w:rsidR="001B7AAF" w:rsidRPr="008850C5" w:rsidRDefault="001B7AAF" w:rsidP="007C4621">
            <w:pPr>
              <w:spacing w:before="120" w:after="120"/>
              <w:rPr>
                <w:rFonts w:ascii="Arial" w:hAnsi="Arial" w:cs="Arial"/>
              </w:rPr>
            </w:pPr>
            <w:r w:rsidRPr="008850C5">
              <w:rPr>
                <w:rFonts w:ascii="Arial" w:hAnsi="Arial" w:cs="Arial"/>
              </w:rPr>
              <w:t>Perkins</w:t>
            </w:r>
          </w:p>
        </w:tc>
        <w:tc>
          <w:tcPr>
            <w:tcW w:w="2592" w:type="dxa"/>
            <w:vAlign w:val="center"/>
          </w:tcPr>
          <w:p w14:paraId="3304CAD0" w14:textId="7D9518D5" w:rsidR="001B7AAF" w:rsidRPr="008850C5" w:rsidRDefault="001B7AAF" w:rsidP="00A359E2">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c>
          <w:tcPr>
            <w:tcW w:w="2592" w:type="dxa"/>
            <w:vAlign w:val="center"/>
          </w:tcPr>
          <w:p w14:paraId="59E5551E" w14:textId="36A904B5"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c>
          <w:tcPr>
            <w:tcW w:w="2592" w:type="dxa"/>
            <w:vAlign w:val="center"/>
          </w:tcPr>
          <w:p w14:paraId="4DFF4BA5" w14:textId="17BFC0F4"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r>
      <w:tr w:rsidR="001B7AAF" w:rsidRPr="008850C5" w14:paraId="20E95058" w14:textId="77777777" w:rsidTr="001156A0">
        <w:trPr>
          <w:cantSplit/>
        </w:trPr>
        <w:tc>
          <w:tcPr>
            <w:tcW w:w="1584" w:type="dxa"/>
            <w:vAlign w:val="center"/>
          </w:tcPr>
          <w:p w14:paraId="7C368E2F" w14:textId="6327B490" w:rsidR="001B7AAF" w:rsidRPr="008850C5" w:rsidRDefault="00D1416B" w:rsidP="007C4621">
            <w:pPr>
              <w:spacing w:before="120" w:after="120"/>
              <w:rPr>
                <w:rFonts w:ascii="Arial" w:hAnsi="Arial" w:cs="Arial"/>
              </w:rPr>
            </w:pPr>
            <w:r w:rsidRPr="008850C5">
              <w:rPr>
                <w:rFonts w:ascii="Arial" w:hAnsi="Arial" w:cs="Arial"/>
              </w:rPr>
              <w:t>CPA</w:t>
            </w:r>
          </w:p>
        </w:tc>
        <w:tc>
          <w:tcPr>
            <w:tcW w:w="2592" w:type="dxa"/>
            <w:vAlign w:val="center"/>
          </w:tcPr>
          <w:p w14:paraId="53F9AB9E" w14:textId="46FA4A71" w:rsidR="001B7AAF" w:rsidRPr="008850C5" w:rsidRDefault="00D1416B" w:rsidP="00A359E2">
            <w:pPr>
              <w:spacing w:before="120" w:after="120"/>
              <w:rPr>
                <w:rFonts w:ascii="Arial" w:hAnsi="Arial" w:cs="Arial"/>
              </w:rPr>
            </w:pPr>
            <w:r w:rsidRPr="008850C5">
              <w:rPr>
                <w:rFonts w:ascii="Arial" w:hAnsi="Arial" w:cs="Arial"/>
              </w:rPr>
              <w:t xml:space="preserve">Fully </w:t>
            </w:r>
            <w:r w:rsidR="001B7AAF" w:rsidRPr="008850C5">
              <w:rPr>
                <w:rFonts w:ascii="Arial" w:hAnsi="Arial" w:cs="Arial"/>
              </w:rPr>
              <w:t>Implemented</w:t>
            </w:r>
          </w:p>
        </w:tc>
        <w:tc>
          <w:tcPr>
            <w:tcW w:w="2592" w:type="dxa"/>
            <w:vAlign w:val="center"/>
          </w:tcPr>
          <w:p w14:paraId="2C39A0B2" w14:textId="07420A61"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c>
          <w:tcPr>
            <w:tcW w:w="2592" w:type="dxa"/>
            <w:vAlign w:val="center"/>
          </w:tcPr>
          <w:p w14:paraId="39D68D67" w14:textId="41E12A22"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r>
      <w:tr w:rsidR="001B7AAF" w:rsidRPr="008850C5" w14:paraId="2186536E" w14:textId="77777777" w:rsidTr="001156A0">
        <w:trPr>
          <w:cantSplit/>
        </w:trPr>
        <w:tc>
          <w:tcPr>
            <w:tcW w:w="1584" w:type="dxa"/>
            <w:vAlign w:val="center"/>
          </w:tcPr>
          <w:p w14:paraId="31BC1025" w14:textId="70478A8B" w:rsidR="001B7AAF" w:rsidRPr="008850C5" w:rsidRDefault="00D1416B" w:rsidP="007C4621">
            <w:pPr>
              <w:spacing w:before="120" w:after="120"/>
              <w:rPr>
                <w:rFonts w:ascii="Arial" w:hAnsi="Arial" w:cs="Arial"/>
              </w:rPr>
            </w:pPr>
            <w:r w:rsidRPr="008850C5">
              <w:rPr>
                <w:rFonts w:ascii="Arial" w:hAnsi="Arial" w:cs="Arial"/>
              </w:rPr>
              <w:t>CTEIG</w:t>
            </w:r>
          </w:p>
        </w:tc>
        <w:tc>
          <w:tcPr>
            <w:tcW w:w="2592" w:type="dxa"/>
            <w:vAlign w:val="center"/>
          </w:tcPr>
          <w:p w14:paraId="16C41C8F" w14:textId="025BBA12" w:rsidR="001B7AAF" w:rsidRPr="008850C5" w:rsidRDefault="00D1416B" w:rsidP="00A359E2">
            <w:pPr>
              <w:spacing w:before="120" w:after="120"/>
              <w:rPr>
                <w:rFonts w:ascii="Arial" w:hAnsi="Arial" w:cs="Arial"/>
              </w:rPr>
            </w:pPr>
            <w:r w:rsidRPr="008850C5">
              <w:rPr>
                <w:rFonts w:ascii="Arial" w:hAnsi="Arial" w:cs="Arial"/>
              </w:rPr>
              <w:t>Partially</w:t>
            </w:r>
            <w:r w:rsidR="001B7AAF" w:rsidRPr="008850C5">
              <w:rPr>
                <w:rFonts w:ascii="Arial" w:hAnsi="Arial" w:cs="Arial"/>
              </w:rPr>
              <w:t xml:space="preserve"> </w:t>
            </w:r>
            <w:r w:rsidR="002A2885" w:rsidRPr="008850C5">
              <w:rPr>
                <w:rFonts w:ascii="Arial" w:hAnsi="Arial" w:cs="Arial"/>
              </w:rPr>
              <w:t>I</w:t>
            </w:r>
            <w:r w:rsidR="001B7AAF" w:rsidRPr="008850C5">
              <w:rPr>
                <w:rFonts w:ascii="Arial" w:hAnsi="Arial" w:cs="Arial"/>
              </w:rPr>
              <w:t>mplemented</w:t>
            </w:r>
          </w:p>
        </w:tc>
        <w:tc>
          <w:tcPr>
            <w:tcW w:w="2592" w:type="dxa"/>
            <w:vAlign w:val="center"/>
          </w:tcPr>
          <w:p w14:paraId="7C884781" w14:textId="56F16FAC"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c>
          <w:tcPr>
            <w:tcW w:w="2592" w:type="dxa"/>
            <w:vAlign w:val="center"/>
          </w:tcPr>
          <w:p w14:paraId="132C0A7D" w14:textId="640F4777" w:rsidR="001B7AAF" w:rsidRPr="008850C5" w:rsidRDefault="001B7AAF" w:rsidP="007C4621">
            <w:pPr>
              <w:spacing w:before="120" w:after="120"/>
              <w:rPr>
                <w:rFonts w:ascii="Arial" w:hAnsi="Arial" w:cs="Arial"/>
              </w:rPr>
            </w:pPr>
            <w:r w:rsidRPr="008850C5">
              <w:rPr>
                <w:rFonts w:ascii="Arial" w:hAnsi="Arial" w:cs="Arial"/>
              </w:rPr>
              <w:t xml:space="preserve">Fully </w:t>
            </w:r>
            <w:r w:rsidR="002A2885" w:rsidRPr="008850C5">
              <w:rPr>
                <w:rFonts w:ascii="Arial" w:hAnsi="Arial" w:cs="Arial"/>
              </w:rPr>
              <w:t>I</w:t>
            </w:r>
            <w:r w:rsidRPr="008850C5">
              <w:rPr>
                <w:rFonts w:ascii="Arial" w:hAnsi="Arial" w:cs="Arial"/>
              </w:rPr>
              <w:t>mplemented</w:t>
            </w:r>
          </w:p>
        </w:tc>
      </w:tr>
      <w:tr w:rsidR="001B7AAF" w:rsidRPr="008850C5" w14:paraId="45A2A968" w14:textId="77777777" w:rsidTr="001156A0">
        <w:trPr>
          <w:cantSplit/>
        </w:trPr>
        <w:tc>
          <w:tcPr>
            <w:tcW w:w="1584" w:type="dxa"/>
            <w:vAlign w:val="center"/>
          </w:tcPr>
          <w:p w14:paraId="393B5982" w14:textId="48580976" w:rsidR="001B7AAF" w:rsidRPr="008850C5" w:rsidRDefault="001B7AAF" w:rsidP="007C4621">
            <w:pPr>
              <w:spacing w:before="120" w:after="120"/>
              <w:rPr>
                <w:rFonts w:ascii="Arial" w:hAnsi="Arial" w:cs="Arial"/>
              </w:rPr>
            </w:pPr>
            <w:r w:rsidRPr="008850C5">
              <w:rPr>
                <w:rFonts w:ascii="Arial" w:hAnsi="Arial" w:cs="Arial"/>
              </w:rPr>
              <w:t>GSPP</w:t>
            </w:r>
          </w:p>
        </w:tc>
        <w:tc>
          <w:tcPr>
            <w:tcW w:w="2592" w:type="dxa"/>
            <w:vAlign w:val="center"/>
          </w:tcPr>
          <w:p w14:paraId="34E5B30F" w14:textId="4056AC4C" w:rsidR="001B7AAF" w:rsidRPr="008850C5" w:rsidRDefault="00AD2826" w:rsidP="00A359E2">
            <w:pPr>
              <w:spacing w:before="120" w:after="120"/>
              <w:rPr>
                <w:rFonts w:ascii="Arial" w:hAnsi="Arial" w:cs="Arial"/>
              </w:rPr>
            </w:pPr>
            <w:r w:rsidRPr="008850C5">
              <w:rPr>
                <w:rFonts w:ascii="Arial" w:hAnsi="Arial" w:cs="Arial"/>
              </w:rPr>
              <w:t>Planning Phase</w:t>
            </w:r>
          </w:p>
        </w:tc>
        <w:tc>
          <w:tcPr>
            <w:tcW w:w="2592" w:type="dxa"/>
            <w:vAlign w:val="center"/>
          </w:tcPr>
          <w:p w14:paraId="6B131054" w14:textId="57EF8AD7" w:rsidR="001B7AAF" w:rsidRPr="008850C5" w:rsidRDefault="001B7AAF" w:rsidP="007C4621">
            <w:pPr>
              <w:spacing w:before="120" w:after="120"/>
              <w:rPr>
                <w:rFonts w:ascii="Arial" w:hAnsi="Arial" w:cs="Arial"/>
              </w:rPr>
            </w:pPr>
            <w:r w:rsidRPr="008850C5">
              <w:rPr>
                <w:rFonts w:ascii="Arial" w:hAnsi="Arial" w:cs="Arial"/>
              </w:rPr>
              <w:t>Partially Implemented</w:t>
            </w:r>
          </w:p>
        </w:tc>
        <w:tc>
          <w:tcPr>
            <w:tcW w:w="2592" w:type="dxa"/>
            <w:vAlign w:val="center"/>
          </w:tcPr>
          <w:p w14:paraId="5566441A" w14:textId="40224C6A" w:rsidR="001B7AAF" w:rsidRPr="008850C5" w:rsidRDefault="001B7AAF" w:rsidP="007C4621">
            <w:pPr>
              <w:spacing w:before="120" w:after="120"/>
              <w:rPr>
                <w:rFonts w:ascii="Arial" w:hAnsi="Arial" w:cs="Arial"/>
              </w:rPr>
            </w:pPr>
            <w:r w:rsidRPr="008850C5">
              <w:rPr>
                <w:rFonts w:ascii="Arial" w:hAnsi="Arial" w:cs="Arial"/>
              </w:rPr>
              <w:t>Partially Implemented</w:t>
            </w:r>
          </w:p>
        </w:tc>
      </w:tr>
      <w:tr w:rsidR="007C4621" w:rsidRPr="008850C5" w14:paraId="01953FF3" w14:textId="77777777" w:rsidTr="001156A0">
        <w:trPr>
          <w:cantSplit/>
        </w:trPr>
        <w:tc>
          <w:tcPr>
            <w:tcW w:w="1584" w:type="dxa"/>
            <w:vAlign w:val="center"/>
          </w:tcPr>
          <w:p w14:paraId="0C49D6A6" w14:textId="43EECE36" w:rsidR="007C4621" w:rsidRPr="008850C5" w:rsidRDefault="007C4621" w:rsidP="007C4621">
            <w:pPr>
              <w:spacing w:before="120" w:after="120"/>
              <w:rPr>
                <w:rFonts w:ascii="Arial" w:hAnsi="Arial" w:cs="Arial"/>
              </w:rPr>
            </w:pPr>
            <w:r w:rsidRPr="008850C5">
              <w:rPr>
                <w:rFonts w:ascii="Arial" w:hAnsi="Arial" w:cs="Arial"/>
              </w:rPr>
              <w:t>Ag Incentive</w:t>
            </w:r>
          </w:p>
        </w:tc>
        <w:tc>
          <w:tcPr>
            <w:tcW w:w="2592" w:type="dxa"/>
            <w:vAlign w:val="center"/>
          </w:tcPr>
          <w:p w14:paraId="07BC45F2" w14:textId="5FFDAE37" w:rsidR="007C4621" w:rsidRPr="008850C5" w:rsidRDefault="00AD2826" w:rsidP="00A359E2">
            <w:pPr>
              <w:spacing w:before="120" w:after="120"/>
              <w:rPr>
                <w:rFonts w:ascii="Arial" w:hAnsi="Arial" w:cs="Arial"/>
              </w:rPr>
            </w:pPr>
            <w:r w:rsidRPr="008850C5">
              <w:rPr>
                <w:rFonts w:ascii="Arial" w:hAnsi="Arial" w:cs="Arial"/>
              </w:rPr>
              <w:t>Planning Phase</w:t>
            </w:r>
          </w:p>
        </w:tc>
        <w:tc>
          <w:tcPr>
            <w:tcW w:w="2592" w:type="dxa"/>
            <w:vAlign w:val="center"/>
          </w:tcPr>
          <w:p w14:paraId="5CD40BC3" w14:textId="0A803D6F" w:rsidR="007C4621" w:rsidRPr="008850C5" w:rsidRDefault="007C4621" w:rsidP="007C4621">
            <w:pPr>
              <w:spacing w:before="120" w:after="120"/>
              <w:rPr>
                <w:rFonts w:ascii="Arial" w:hAnsi="Arial" w:cs="Arial"/>
              </w:rPr>
            </w:pPr>
            <w:r w:rsidRPr="008850C5">
              <w:rPr>
                <w:rFonts w:ascii="Arial" w:hAnsi="Arial" w:cs="Arial"/>
              </w:rPr>
              <w:t>Partially Implemented</w:t>
            </w:r>
          </w:p>
        </w:tc>
        <w:tc>
          <w:tcPr>
            <w:tcW w:w="2592" w:type="dxa"/>
            <w:vAlign w:val="center"/>
          </w:tcPr>
          <w:p w14:paraId="4DD4102E" w14:textId="2A637644" w:rsidR="007C4621" w:rsidRPr="008850C5" w:rsidRDefault="007C4621" w:rsidP="007C4621">
            <w:pPr>
              <w:spacing w:before="120" w:after="120"/>
              <w:rPr>
                <w:rFonts w:ascii="Arial" w:hAnsi="Arial" w:cs="Arial"/>
              </w:rPr>
            </w:pPr>
            <w:r w:rsidRPr="008850C5">
              <w:rPr>
                <w:rFonts w:ascii="Arial" w:hAnsi="Arial" w:cs="Arial"/>
              </w:rPr>
              <w:t>Fully Implemented</w:t>
            </w:r>
          </w:p>
        </w:tc>
      </w:tr>
      <w:tr w:rsidR="007C4621" w:rsidRPr="008850C5" w14:paraId="1D5C5BF7" w14:textId="77777777" w:rsidTr="001156A0">
        <w:trPr>
          <w:cantSplit/>
        </w:trPr>
        <w:tc>
          <w:tcPr>
            <w:tcW w:w="1584" w:type="dxa"/>
            <w:vAlign w:val="center"/>
          </w:tcPr>
          <w:p w14:paraId="0CBAC7A9" w14:textId="1F57C4FC" w:rsidR="007C4621" w:rsidRPr="008850C5" w:rsidRDefault="007C4621" w:rsidP="007C4621">
            <w:pPr>
              <w:spacing w:before="120" w:after="120"/>
              <w:rPr>
                <w:rFonts w:ascii="Arial" w:hAnsi="Arial" w:cs="Arial"/>
              </w:rPr>
            </w:pPr>
            <w:r w:rsidRPr="008850C5">
              <w:rPr>
                <w:rFonts w:ascii="Arial" w:hAnsi="Arial" w:cs="Arial"/>
              </w:rPr>
              <w:t>MSFA</w:t>
            </w:r>
          </w:p>
        </w:tc>
        <w:tc>
          <w:tcPr>
            <w:tcW w:w="2592" w:type="dxa"/>
            <w:vAlign w:val="center"/>
          </w:tcPr>
          <w:p w14:paraId="748A692C" w14:textId="4467DC7C" w:rsidR="007C4621" w:rsidRPr="008850C5" w:rsidRDefault="007C4621" w:rsidP="00A359E2">
            <w:pPr>
              <w:spacing w:before="120" w:after="120"/>
              <w:rPr>
                <w:rFonts w:ascii="Arial" w:hAnsi="Arial" w:cs="Arial"/>
              </w:rPr>
            </w:pPr>
            <w:r w:rsidRPr="008850C5">
              <w:rPr>
                <w:rFonts w:ascii="Arial" w:hAnsi="Arial" w:cs="Arial"/>
              </w:rPr>
              <w:t>N</w:t>
            </w:r>
            <w:r w:rsidR="00383883" w:rsidRPr="008850C5">
              <w:rPr>
                <w:rFonts w:ascii="Arial" w:hAnsi="Arial" w:cs="Arial"/>
              </w:rPr>
              <w:t>/A</w:t>
            </w:r>
          </w:p>
        </w:tc>
        <w:tc>
          <w:tcPr>
            <w:tcW w:w="2592" w:type="dxa"/>
            <w:vAlign w:val="center"/>
          </w:tcPr>
          <w:p w14:paraId="7CF1A176" w14:textId="3080616E" w:rsidR="007C4621" w:rsidRPr="008850C5" w:rsidRDefault="00AD2826" w:rsidP="007C4621">
            <w:pPr>
              <w:spacing w:before="120" w:after="120"/>
              <w:rPr>
                <w:rFonts w:ascii="Arial" w:hAnsi="Arial" w:cs="Arial"/>
              </w:rPr>
            </w:pPr>
            <w:r w:rsidRPr="008850C5">
              <w:rPr>
                <w:rFonts w:ascii="Arial" w:hAnsi="Arial" w:cs="Arial"/>
              </w:rPr>
              <w:t>Planning Phase</w:t>
            </w:r>
          </w:p>
        </w:tc>
        <w:tc>
          <w:tcPr>
            <w:tcW w:w="2592" w:type="dxa"/>
            <w:vAlign w:val="center"/>
          </w:tcPr>
          <w:p w14:paraId="5CCC1C09" w14:textId="4207F386" w:rsidR="007C4621" w:rsidRPr="008850C5" w:rsidRDefault="007C4621" w:rsidP="007C4621">
            <w:pPr>
              <w:spacing w:before="120" w:after="120"/>
              <w:rPr>
                <w:rFonts w:ascii="Arial" w:hAnsi="Arial" w:cs="Arial"/>
              </w:rPr>
            </w:pPr>
            <w:r w:rsidRPr="008850C5">
              <w:rPr>
                <w:rFonts w:ascii="Arial" w:hAnsi="Arial" w:cs="Arial"/>
              </w:rPr>
              <w:t>Fully Implemented</w:t>
            </w:r>
          </w:p>
        </w:tc>
      </w:tr>
      <w:tr w:rsidR="007C4621" w:rsidRPr="008850C5" w14:paraId="3DEFEA2A" w14:textId="77777777" w:rsidTr="001156A0">
        <w:trPr>
          <w:cantSplit/>
        </w:trPr>
        <w:tc>
          <w:tcPr>
            <w:tcW w:w="1584" w:type="dxa"/>
            <w:vAlign w:val="center"/>
          </w:tcPr>
          <w:p w14:paraId="6BC395B1" w14:textId="1B04D4B9" w:rsidR="007C4621" w:rsidRPr="008850C5" w:rsidRDefault="007C4621" w:rsidP="007C4621">
            <w:pPr>
              <w:spacing w:before="120" w:after="120"/>
              <w:rPr>
                <w:rFonts w:ascii="Arial" w:hAnsi="Arial" w:cs="Arial"/>
              </w:rPr>
            </w:pPr>
            <w:r w:rsidRPr="008850C5">
              <w:rPr>
                <w:rFonts w:ascii="Arial" w:hAnsi="Arial" w:cs="Arial"/>
              </w:rPr>
              <w:t>AME Grants</w:t>
            </w:r>
          </w:p>
        </w:tc>
        <w:tc>
          <w:tcPr>
            <w:tcW w:w="2592" w:type="dxa"/>
            <w:vAlign w:val="center"/>
          </w:tcPr>
          <w:p w14:paraId="49528C87" w14:textId="4F8DC68C" w:rsidR="007C4621" w:rsidRPr="008850C5" w:rsidRDefault="007C4621" w:rsidP="00A359E2">
            <w:pPr>
              <w:spacing w:before="120" w:after="120"/>
              <w:rPr>
                <w:rFonts w:ascii="Arial" w:hAnsi="Arial" w:cs="Arial"/>
              </w:rPr>
            </w:pPr>
            <w:r w:rsidRPr="008850C5">
              <w:rPr>
                <w:rFonts w:ascii="Arial" w:hAnsi="Arial" w:cs="Arial"/>
              </w:rPr>
              <w:t>N</w:t>
            </w:r>
            <w:r w:rsidR="00383883" w:rsidRPr="008850C5">
              <w:rPr>
                <w:rFonts w:ascii="Arial" w:hAnsi="Arial" w:cs="Arial"/>
              </w:rPr>
              <w:t>/A</w:t>
            </w:r>
          </w:p>
        </w:tc>
        <w:tc>
          <w:tcPr>
            <w:tcW w:w="2592" w:type="dxa"/>
            <w:vAlign w:val="center"/>
          </w:tcPr>
          <w:p w14:paraId="7EE6002A" w14:textId="690BEF30" w:rsidR="007C4621" w:rsidRPr="008850C5" w:rsidRDefault="00AD2826" w:rsidP="007C4621">
            <w:pPr>
              <w:spacing w:before="120" w:after="120"/>
              <w:rPr>
                <w:rFonts w:ascii="Arial" w:hAnsi="Arial" w:cs="Arial"/>
              </w:rPr>
            </w:pPr>
            <w:r w:rsidRPr="008850C5">
              <w:rPr>
                <w:rFonts w:ascii="Arial" w:hAnsi="Arial" w:cs="Arial"/>
              </w:rPr>
              <w:t>Planning Phase</w:t>
            </w:r>
          </w:p>
        </w:tc>
        <w:tc>
          <w:tcPr>
            <w:tcW w:w="2592" w:type="dxa"/>
            <w:vAlign w:val="center"/>
          </w:tcPr>
          <w:p w14:paraId="58A14564" w14:textId="22EB9FF2" w:rsidR="007C4621" w:rsidRPr="008850C5" w:rsidRDefault="007C4621" w:rsidP="007C4621">
            <w:pPr>
              <w:spacing w:before="120" w:after="120"/>
              <w:rPr>
                <w:rFonts w:ascii="Arial" w:hAnsi="Arial" w:cs="Arial"/>
              </w:rPr>
            </w:pPr>
            <w:r w:rsidRPr="008850C5">
              <w:rPr>
                <w:rFonts w:ascii="Arial" w:hAnsi="Arial" w:cs="Arial"/>
              </w:rPr>
              <w:t>Fully Implemented</w:t>
            </w:r>
          </w:p>
        </w:tc>
      </w:tr>
      <w:tr w:rsidR="007C4621" w:rsidRPr="008850C5" w14:paraId="1CDAFCB7" w14:textId="77777777" w:rsidTr="001156A0">
        <w:trPr>
          <w:cantSplit/>
        </w:trPr>
        <w:tc>
          <w:tcPr>
            <w:tcW w:w="1584" w:type="dxa"/>
            <w:vAlign w:val="center"/>
          </w:tcPr>
          <w:p w14:paraId="675F8A42" w14:textId="20DE5614" w:rsidR="007C4621" w:rsidRPr="008850C5" w:rsidRDefault="007C4621" w:rsidP="007C4621">
            <w:pPr>
              <w:spacing w:before="120" w:after="120"/>
              <w:rPr>
                <w:rFonts w:ascii="Arial" w:hAnsi="Arial" w:cs="Arial"/>
              </w:rPr>
            </w:pPr>
            <w:r w:rsidRPr="008850C5">
              <w:rPr>
                <w:rFonts w:ascii="Arial" w:hAnsi="Arial" w:cs="Arial"/>
              </w:rPr>
              <w:t>SSPs</w:t>
            </w:r>
          </w:p>
        </w:tc>
        <w:tc>
          <w:tcPr>
            <w:tcW w:w="2592" w:type="dxa"/>
            <w:vAlign w:val="center"/>
          </w:tcPr>
          <w:p w14:paraId="5747E968" w14:textId="4E71910D" w:rsidR="007C4621" w:rsidRPr="008850C5" w:rsidRDefault="007C4621" w:rsidP="00A359E2">
            <w:pPr>
              <w:spacing w:before="120" w:after="120"/>
              <w:rPr>
                <w:rFonts w:ascii="Arial" w:hAnsi="Arial" w:cs="Arial"/>
              </w:rPr>
            </w:pPr>
            <w:r w:rsidRPr="008850C5">
              <w:rPr>
                <w:rFonts w:ascii="Arial" w:hAnsi="Arial" w:cs="Arial"/>
              </w:rPr>
              <w:t>N</w:t>
            </w:r>
            <w:r w:rsidR="00383883" w:rsidRPr="008850C5">
              <w:rPr>
                <w:rFonts w:ascii="Arial" w:hAnsi="Arial" w:cs="Arial"/>
              </w:rPr>
              <w:t>/A</w:t>
            </w:r>
          </w:p>
        </w:tc>
        <w:tc>
          <w:tcPr>
            <w:tcW w:w="2592" w:type="dxa"/>
            <w:vAlign w:val="center"/>
          </w:tcPr>
          <w:p w14:paraId="7CD2160A" w14:textId="0A53C79C" w:rsidR="007C4621" w:rsidRPr="008850C5" w:rsidRDefault="00AD2826" w:rsidP="007C4621">
            <w:pPr>
              <w:spacing w:before="120" w:after="120"/>
              <w:rPr>
                <w:rFonts w:ascii="Arial" w:hAnsi="Arial" w:cs="Arial"/>
              </w:rPr>
            </w:pPr>
            <w:r w:rsidRPr="008850C5">
              <w:rPr>
                <w:rFonts w:ascii="Arial" w:hAnsi="Arial" w:cs="Arial"/>
              </w:rPr>
              <w:t>Planning Phase</w:t>
            </w:r>
          </w:p>
        </w:tc>
        <w:tc>
          <w:tcPr>
            <w:tcW w:w="2592" w:type="dxa"/>
            <w:vAlign w:val="center"/>
          </w:tcPr>
          <w:p w14:paraId="22A486FA" w14:textId="216FE3C6" w:rsidR="007C4621" w:rsidRPr="008850C5" w:rsidRDefault="007C4621" w:rsidP="007C4621">
            <w:pPr>
              <w:spacing w:before="120" w:after="120"/>
              <w:rPr>
                <w:rFonts w:ascii="Arial" w:hAnsi="Arial" w:cs="Arial"/>
              </w:rPr>
            </w:pPr>
            <w:r w:rsidRPr="008850C5">
              <w:rPr>
                <w:rFonts w:ascii="Arial" w:hAnsi="Arial" w:cs="Arial"/>
              </w:rPr>
              <w:t>Fully Implemented</w:t>
            </w:r>
          </w:p>
        </w:tc>
      </w:tr>
    </w:tbl>
    <w:p w14:paraId="0C0B9D45" w14:textId="69488D54" w:rsidR="001B7AAF" w:rsidRPr="002E7E31" w:rsidRDefault="007C4621" w:rsidP="00A359E2">
      <w:pPr>
        <w:spacing w:before="240" w:after="240" w:line="240" w:lineRule="auto"/>
        <w:rPr>
          <w:rFonts w:ascii="Arial" w:hAnsi="Arial" w:cs="Arial"/>
        </w:rPr>
      </w:pPr>
      <w:r w:rsidRPr="008850C5">
        <w:rPr>
          <w:rFonts w:ascii="Arial" w:hAnsi="Arial" w:cs="Arial"/>
        </w:rPr>
        <w:t>*Implementation dates are subject to change.</w:t>
      </w:r>
    </w:p>
    <w:p w14:paraId="36A1F846" w14:textId="77777777" w:rsidR="002E7E31" w:rsidRPr="002E7E31" w:rsidRDefault="002E7E31" w:rsidP="0058730E">
      <w:pPr>
        <w:pStyle w:val="Heading3"/>
        <w:spacing w:line="240" w:lineRule="auto"/>
      </w:pPr>
      <w:bookmarkStart w:id="9" w:name="_Toc217466121"/>
      <w:r w:rsidRPr="002E7E31">
        <w:lastRenderedPageBreak/>
        <w:t>Statutory Changes</w:t>
      </w:r>
      <w:bookmarkEnd w:id="9"/>
    </w:p>
    <w:p w14:paraId="7EBE5D95" w14:textId="33A60B69" w:rsidR="002E7E31" w:rsidRPr="00285054" w:rsidRDefault="008A538D" w:rsidP="0058730E">
      <w:pPr>
        <w:spacing w:before="240" w:after="240" w:line="240" w:lineRule="auto"/>
        <w:rPr>
          <w:rFonts w:ascii="Arial" w:hAnsi="Arial" w:cs="Arial"/>
        </w:rPr>
      </w:pPr>
      <w:r>
        <w:rPr>
          <w:rFonts w:ascii="Arial" w:hAnsi="Arial" w:cs="Arial"/>
        </w:rPr>
        <w:t>Currently</w:t>
      </w:r>
      <w:r w:rsidR="0071313D">
        <w:rPr>
          <w:rFonts w:ascii="Arial" w:hAnsi="Arial" w:cs="Arial"/>
        </w:rPr>
        <w:t>, n</w:t>
      </w:r>
      <w:r w:rsidR="002E7E31" w:rsidRPr="002E7E31">
        <w:rPr>
          <w:rFonts w:ascii="Arial" w:hAnsi="Arial" w:cs="Arial"/>
        </w:rPr>
        <w:t xml:space="preserve">o statutory changes are required to implement </w:t>
      </w:r>
      <w:r w:rsidR="4F6C19D0" w:rsidRPr="318962C7">
        <w:rPr>
          <w:rFonts w:ascii="Arial" w:hAnsi="Arial" w:cs="Arial"/>
        </w:rPr>
        <w:t>CTE grant</w:t>
      </w:r>
      <w:r w:rsidR="0D5CF584" w:rsidRPr="318962C7">
        <w:rPr>
          <w:rFonts w:ascii="Arial" w:hAnsi="Arial" w:cs="Arial"/>
        </w:rPr>
        <w:t xml:space="preserve"> </w:t>
      </w:r>
      <w:r w:rsidR="4F6C19D0" w:rsidRPr="318962C7">
        <w:rPr>
          <w:rFonts w:ascii="Arial" w:hAnsi="Arial" w:cs="Arial"/>
        </w:rPr>
        <w:t>programs into the PGMS.</w:t>
      </w:r>
      <w:r w:rsidR="002E7E31" w:rsidRPr="002E7E31">
        <w:rPr>
          <w:rFonts w:ascii="Arial" w:hAnsi="Arial" w:cs="Arial"/>
        </w:rPr>
        <w:t xml:space="preserve"> Each program</w:t>
      </w:r>
      <w:r w:rsidR="00A050DD">
        <w:rPr>
          <w:rFonts w:ascii="Arial" w:hAnsi="Arial" w:cs="Arial"/>
        </w:rPr>
        <w:t>’</w:t>
      </w:r>
      <w:r w:rsidR="002E7E31" w:rsidRPr="002E7E31">
        <w:rPr>
          <w:rFonts w:ascii="Arial" w:hAnsi="Arial" w:cs="Arial"/>
        </w:rPr>
        <w:t>s authorizing statute, eligibility requirements, selection process, and compliance mandates remain intact</w:t>
      </w:r>
      <w:r w:rsidR="4B9DB253" w:rsidRPr="318962C7">
        <w:rPr>
          <w:rFonts w:ascii="Arial" w:hAnsi="Arial" w:cs="Arial"/>
        </w:rPr>
        <w:t xml:space="preserve"> by utilizing this application system</w:t>
      </w:r>
      <w:r w:rsidR="093635D0" w:rsidRPr="318962C7">
        <w:rPr>
          <w:rFonts w:ascii="Arial" w:hAnsi="Arial" w:cs="Arial"/>
        </w:rPr>
        <w:t>.</w:t>
      </w:r>
      <w:r w:rsidR="002E7E31" w:rsidRPr="002E7E31">
        <w:rPr>
          <w:rFonts w:ascii="Arial" w:hAnsi="Arial" w:cs="Arial"/>
        </w:rPr>
        <w:t xml:space="preserve"> The streamlining occurs through administrative improvements in the application platform rather than changes to program structure or requirements.</w:t>
      </w:r>
    </w:p>
    <w:p w14:paraId="4EF0547C" w14:textId="0410816E" w:rsidR="165F9A3E" w:rsidRDefault="165F9A3E" w:rsidP="0058730E">
      <w:pPr>
        <w:spacing w:before="240" w:after="240" w:line="240" w:lineRule="auto"/>
        <w:rPr>
          <w:rFonts w:ascii="Arial" w:hAnsi="Arial" w:cs="Arial"/>
        </w:rPr>
      </w:pPr>
      <w:r w:rsidRPr="318962C7">
        <w:rPr>
          <w:rFonts w:ascii="Arial" w:hAnsi="Arial" w:cs="Arial"/>
        </w:rPr>
        <w:t xml:space="preserve">However, </w:t>
      </w:r>
      <w:r w:rsidR="00EF7DDD" w:rsidRPr="318962C7">
        <w:rPr>
          <w:rFonts w:ascii="Arial" w:hAnsi="Arial" w:cs="Arial"/>
        </w:rPr>
        <w:t>statutory</w:t>
      </w:r>
      <w:r w:rsidRPr="318962C7">
        <w:rPr>
          <w:rFonts w:ascii="Arial" w:hAnsi="Arial" w:cs="Arial"/>
        </w:rPr>
        <w:t xml:space="preserve"> changes would be required in order to have </w:t>
      </w:r>
      <w:r w:rsidR="4D651ED3" w:rsidRPr="318962C7">
        <w:rPr>
          <w:rFonts w:ascii="Arial" w:hAnsi="Arial" w:cs="Arial"/>
        </w:rPr>
        <w:t>a</w:t>
      </w:r>
      <w:r w:rsidRPr="318962C7">
        <w:rPr>
          <w:rFonts w:ascii="Arial" w:hAnsi="Arial" w:cs="Arial"/>
        </w:rPr>
        <w:t xml:space="preserve"> single</w:t>
      </w:r>
      <w:r w:rsidR="30FFBAB0" w:rsidRPr="318962C7">
        <w:rPr>
          <w:rFonts w:ascii="Arial" w:hAnsi="Arial" w:cs="Arial"/>
        </w:rPr>
        <w:t xml:space="preserve"> universal</w:t>
      </w:r>
      <w:r w:rsidRPr="318962C7">
        <w:rPr>
          <w:rFonts w:ascii="Arial" w:hAnsi="Arial" w:cs="Arial"/>
        </w:rPr>
        <w:t xml:space="preserve"> application serving all CTE programs. The CDE has determined </w:t>
      </w:r>
      <w:r w:rsidR="62A3B608" w:rsidRPr="318962C7">
        <w:rPr>
          <w:rFonts w:ascii="Arial" w:hAnsi="Arial" w:cs="Arial"/>
        </w:rPr>
        <w:t>that it is not feasible due to</w:t>
      </w:r>
      <w:r w:rsidR="016EF0B0" w:rsidRPr="318962C7">
        <w:rPr>
          <w:rFonts w:ascii="Arial" w:hAnsi="Arial" w:cs="Arial"/>
        </w:rPr>
        <w:t xml:space="preserve"> stat</w:t>
      </w:r>
      <w:r w:rsidR="73919478" w:rsidRPr="318962C7">
        <w:rPr>
          <w:rFonts w:ascii="Arial" w:hAnsi="Arial" w:cs="Arial"/>
        </w:rPr>
        <w:t xml:space="preserve">utory </w:t>
      </w:r>
      <w:r w:rsidR="016EF0B0" w:rsidRPr="318962C7">
        <w:rPr>
          <w:rFonts w:ascii="Arial" w:hAnsi="Arial" w:cs="Arial"/>
        </w:rPr>
        <w:t>grant program considerations, eligibility criteria, and reporting requirements.</w:t>
      </w:r>
    </w:p>
    <w:p w14:paraId="7E5E1FD5" w14:textId="77777777" w:rsidR="002E7E31" w:rsidRPr="008850C5" w:rsidRDefault="002E7E31" w:rsidP="0058730E">
      <w:pPr>
        <w:pStyle w:val="Heading2"/>
        <w:spacing w:before="0" w:after="240" w:line="240" w:lineRule="auto"/>
        <w:jc w:val="left"/>
      </w:pPr>
      <w:bookmarkStart w:id="10" w:name="_Toc217466122"/>
      <w:r w:rsidRPr="008850C5">
        <w:t>Integration of Future Programs</w:t>
      </w:r>
      <w:bookmarkEnd w:id="10"/>
    </w:p>
    <w:p w14:paraId="31BBA8E2" w14:textId="08421AFA" w:rsidR="0071313D" w:rsidRPr="008850C5" w:rsidRDefault="00D9363F" w:rsidP="0058730E">
      <w:pPr>
        <w:spacing w:after="240" w:line="240" w:lineRule="auto"/>
        <w:rPr>
          <w:rFonts w:ascii="Arial" w:hAnsi="Arial" w:cs="Arial"/>
        </w:rPr>
      </w:pPr>
      <w:r w:rsidRPr="008850C5">
        <w:rPr>
          <w:rFonts w:ascii="Arial" w:hAnsi="Arial" w:cs="Arial"/>
        </w:rPr>
        <w:t>AB 121, Section 69, subdivision (e)(1)(C) requests a description of how future one-time or ongoing career technical education-related programs could be added into the integrated application process if determined appropriate and feasible to do so.</w:t>
      </w:r>
    </w:p>
    <w:p w14:paraId="7BF831BA" w14:textId="1CCD4E90" w:rsidR="002E7E31" w:rsidRPr="002E7E31" w:rsidRDefault="002E7E31" w:rsidP="0058730E">
      <w:pPr>
        <w:spacing w:after="240" w:line="240" w:lineRule="auto"/>
        <w:rPr>
          <w:rFonts w:ascii="Arial" w:hAnsi="Arial" w:cs="Arial"/>
        </w:rPr>
      </w:pPr>
      <w:r w:rsidRPr="008850C5">
        <w:rPr>
          <w:rFonts w:ascii="Arial" w:hAnsi="Arial" w:cs="Arial"/>
        </w:rPr>
        <w:t xml:space="preserve">Future one-time or ongoing </w:t>
      </w:r>
      <w:r w:rsidR="00DC4358" w:rsidRPr="008850C5">
        <w:rPr>
          <w:rFonts w:ascii="Arial" w:hAnsi="Arial" w:cs="Arial"/>
        </w:rPr>
        <w:t>CTE</w:t>
      </w:r>
      <w:r w:rsidRPr="008850C5">
        <w:rPr>
          <w:rFonts w:ascii="Arial" w:hAnsi="Arial" w:cs="Arial"/>
        </w:rPr>
        <w:t xml:space="preserve"> programs can be added to </w:t>
      </w:r>
      <w:r w:rsidR="00024BED">
        <w:rPr>
          <w:rFonts w:ascii="Arial" w:hAnsi="Arial" w:cs="Arial"/>
        </w:rPr>
        <w:t xml:space="preserve">the </w:t>
      </w:r>
      <w:r w:rsidRPr="008850C5">
        <w:rPr>
          <w:rFonts w:ascii="Arial" w:hAnsi="Arial" w:cs="Arial"/>
        </w:rPr>
        <w:t>PGMS following</w:t>
      </w:r>
      <w:r w:rsidRPr="002E7E31">
        <w:rPr>
          <w:rFonts w:ascii="Arial" w:hAnsi="Arial" w:cs="Arial"/>
        </w:rPr>
        <w:t xml:space="preserve"> the established integration process developed through implementation of existing programs.</w:t>
      </w:r>
    </w:p>
    <w:p w14:paraId="7B989671" w14:textId="1DCB3F9A" w:rsidR="002E7E31" w:rsidRPr="002E7E31" w:rsidRDefault="002E7E31" w:rsidP="0058730E">
      <w:pPr>
        <w:spacing w:after="240" w:line="240" w:lineRule="auto"/>
        <w:rPr>
          <w:rFonts w:ascii="Arial" w:hAnsi="Arial" w:cs="Arial"/>
        </w:rPr>
      </w:pPr>
      <w:r w:rsidRPr="002E7E31">
        <w:rPr>
          <w:rFonts w:ascii="Arial" w:hAnsi="Arial" w:cs="Arial"/>
          <w:b/>
          <w:bCs/>
        </w:rPr>
        <w:t>Assessment Phase:</w:t>
      </w:r>
      <w:r w:rsidRPr="002E7E31">
        <w:rPr>
          <w:rFonts w:ascii="Arial" w:hAnsi="Arial" w:cs="Arial"/>
        </w:rPr>
        <w:t xml:space="preserve"> The C</w:t>
      </w:r>
      <w:r w:rsidR="002D6C79" w:rsidRPr="00B3647D">
        <w:rPr>
          <w:rFonts w:ascii="Arial" w:hAnsi="Arial" w:cs="Arial"/>
        </w:rPr>
        <w:t>DE wi</w:t>
      </w:r>
      <w:r w:rsidRPr="002E7E31">
        <w:rPr>
          <w:rFonts w:ascii="Arial" w:hAnsi="Arial" w:cs="Arial"/>
        </w:rPr>
        <w:t>ll analyze the new program</w:t>
      </w:r>
      <w:r w:rsidR="00A050DD">
        <w:rPr>
          <w:rFonts w:ascii="Arial" w:hAnsi="Arial" w:cs="Arial"/>
        </w:rPr>
        <w:t>’</w:t>
      </w:r>
      <w:r w:rsidRPr="002E7E31">
        <w:rPr>
          <w:rFonts w:ascii="Arial" w:hAnsi="Arial" w:cs="Arial"/>
        </w:rPr>
        <w:t xml:space="preserve">s statutory requirements, selection process, eligibility criteria, compliance mandates, reporting requirements, and timeline to determine </w:t>
      </w:r>
      <w:r w:rsidR="00A050DD">
        <w:rPr>
          <w:rFonts w:ascii="Arial" w:hAnsi="Arial" w:cs="Arial"/>
        </w:rPr>
        <w:t xml:space="preserve">the </w:t>
      </w:r>
      <w:r w:rsidRPr="002E7E31">
        <w:rPr>
          <w:rFonts w:ascii="Arial" w:hAnsi="Arial" w:cs="Arial"/>
        </w:rPr>
        <w:t>appropriate PGMS configuration.</w:t>
      </w:r>
    </w:p>
    <w:p w14:paraId="27D06038" w14:textId="1288FE13" w:rsidR="002E7E31" w:rsidRPr="002E7E31" w:rsidRDefault="002E7E31" w:rsidP="0058730E">
      <w:pPr>
        <w:spacing w:after="240" w:line="240" w:lineRule="auto"/>
        <w:rPr>
          <w:rFonts w:ascii="Arial" w:hAnsi="Arial" w:cs="Arial"/>
        </w:rPr>
      </w:pPr>
      <w:r w:rsidRPr="002E7E31">
        <w:rPr>
          <w:rFonts w:ascii="Arial" w:hAnsi="Arial" w:cs="Arial"/>
          <w:b/>
          <w:bCs/>
        </w:rPr>
        <w:t>Application Design:</w:t>
      </w:r>
      <w:r w:rsidRPr="002E7E31">
        <w:rPr>
          <w:rFonts w:ascii="Arial" w:hAnsi="Arial" w:cs="Arial"/>
        </w:rPr>
        <w:t xml:space="preserve"> Program-specific application questions will be developed within the PGMS framework. Common elements such as organizational information will leverage existing data portability and </w:t>
      </w:r>
      <w:r w:rsidR="00F92170" w:rsidRPr="002E7E31">
        <w:rPr>
          <w:rFonts w:ascii="Arial" w:hAnsi="Arial" w:cs="Arial"/>
        </w:rPr>
        <w:t>CALPADS</w:t>
      </w:r>
      <w:r w:rsidRPr="002E7E31">
        <w:rPr>
          <w:rFonts w:ascii="Arial" w:hAnsi="Arial" w:cs="Arial"/>
        </w:rPr>
        <w:t xml:space="preserve"> integration. Program-specific requirements will be captured through unique application sections designed to address statutory mandates.</w:t>
      </w:r>
    </w:p>
    <w:p w14:paraId="0007FEDE" w14:textId="164ACC74" w:rsidR="002E7E31" w:rsidRPr="002E7E31" w:rsidRDefault="002E7E31" w:rsidP="0058730E">
      <w:pPr>
        <w:spacing w:after="240" w:line="240" w:lineRule="auto"/>
        <w:rPr>
          <w:rFonts w:ascii="Arial" w:hAnsi="Arial" w:cs="Arial"/>
        </w:rPr>
      </w:pPr>
      <w:r w:rsidRPr="002E7E31">
        <w:rPr>
          <w:rFonts w:ascii="Arial" w:hAnsi="Arial" w:cs="Arial"/>
          <w:b/>
          <w:bCs/>
        </w:rPr>
        <w:t>System Configuration:</w:t>
      </w:r>
      <w:r w:rsidRPr="002E7E31">
        <w:rPr>
          <w:rFonts w:ascii="Arial" w:hAnsi="Arial" w:cs="Arial"/>
        </w:rPr>
        <w:t xml:space="preserve"> Technical staff will configure</w:t>
      </w:r>
      <w:r w:rsidR="00024BED">
        <w:rPr>
          <w:rFonts w:ascii="Arial" w:hAnsi="Arial" w:cs="Arial"/>
        </w:rPr>
        <w:t xml:space="preserve"> the</w:t>
      </w:r>
      <w:r w:rsidRPr="002E7E31">
        <w:rPr>
          <w:rFonts w:ascii="Arial" w:hAnsi="Arial" w:cs="Arial"/>
        </w:rPr>
        <w:t xml:space="preserve"> PGMS to support the new program including establishing user permissions, creating application workflows, configuring document filing requirements, establishing data connections to </w:t>
      </w:r>
      <w:r w:rsidR="00F92170" w:rsidRPr="002E7E31">
        <w:rPr>
          <w:rFonts w:ascii="Arial" w:hAnsi="Arial" w:cs="Arial"/>
        </w:rPr>
        <w:t>CALPADS</w:t>
      </w:r>
      <w:r w:rsidRPr="002E7E31">
        <w:rPr>
          <w:rFonts w:ascii="Arial" w:hAnsi="Arial" w:cs="Arial"/>
        </w:rPr>
        <w:t>, and developing reporting templates.</w:t>
      </w:r>
    </w:p>
    <w:p w14:paraId="4DC938CE" w14:textId="77777777" w:rsidR="002E7E31" w:rsidRPr="002E7E31" w:rsidRDefault="002E7E31" w:rsidP="0058730E">
      <w:pPr>
        <w:spacing w:after="240" w:line="240" w:lineRule="auto"/>
        <w:rPr>
          <w:rFonts w:ascii="Arial" w:hAnsi="Arial" w:cs="Arial"/>
        </w:rPr>
      </w:pPr>
      <w:r w:rsidRPr="002E7E31">
        <w:rPr>
          <w:rFonts w:ascii="Arial" w:hAnsi="Arial" w:cs="Arial"/>
          <w:b/>
          <w:bCs/>
        </w:rPr>
        <w:t>Testing and Training:</w:t>
      </w:r>
      <w:r w:rsidRPr="002E7E31">
        <w:rPr>
          <w:rFonts w:ascii="Arial" w:hAnsi="Arial" w:cs="Arial"/>
        </w:rPr>
        <w:t xml:space="preserve"> Pilot testing will be conducted with selected users to identify technical issues and usability concerns. Training materials addressing both universal PGMS functionality and program-specific requirements will be developed. Technical assistance resources will be prepared.</w:t>
      </w:r>
    </w:p>
    <w:p w14:paraId="3B950C7B" w14:textId="3B71E141" w:rsidR="002E7E31" w:rsidRPr="002E7E31" w:rsidRDefault="002E7E31" w:rsidP="0058730E">
      <w:pPr>
        <w:spacing w:after="240" w:line="240" w:lineRule="auto"/>
        <w:rPr>
          <w:rFonts w:ascii="Arial" w:hAnsi="Arial" w:cs="Arial"/>
        </w:rPr>
      </w:pPr>
      <w:r w:rsidRPr="002E7E31">
        <w:rPr>
          <w:rFonts w:ascii="Arial" w:hAnsi="Arial" w:cs="Arial"/>
          <w:b/>
          <w:bCs/>
        </w:rPr>
        <w:t>Implementation:</w:t>
      </w:r>
      <w:r w:rsidRPr="002E7E31">
        <w:rPr>
          <w:rFonts w:ascii="Arial" w:hAnsi="Arial" w:cs="Arial"/>
        </w:rPr>
        <w:t xml:space="preserve"> The new program will be launched before its first application cycle with adequate lead time for applicant preparation. Single sign-on functionality will enable immediate access for agencies already using </w:t>
      </w:r>
      <w:r w:rsidR="00024BED">
        <w:rPr>
          <w:rFonts w:ascii="Arial" w:hAnsi="Arial" w:cs="Arial"/>
        </w:rPr>
        <w:t xml:space="preserve">the </w:t>
      </w:r>
      <w:r w:rsidRPr="002E7E31">
        <w:rPr>
          <w:rFonts w:ascii="Arial" w:hAnsi="Arial" w:cs="Arial"/>
        </w:rPr>
        <w:t>PGMS for other programs.</w:t>
      </w:r>
    </w:p>
    <w:p w14:paraId="600CA366" w14:textId="77777777" w:rsidR="002E7E31" w:rsidRPr="002E7E31" w:rsidRDefault="002E7E31" w:rsidP="0058730E">
      <w:pPr>
        <w:spacing w:after="240" w:line="240" w:lineRule="auto"/>
        <w:rPr>
          <w:rFonts w:ascii="Arial" w:hAnsi="Arial" w:cs="Arial"/>
        </w:rPr>
      </w:pPr>
      <w:r w:rsidRPr="002E7E31">
        <w:rPr>
          <w:rFonts w:ascii="Arial" w:hAnsi="Arial" w:cs="Arial"/>
        </w:rPr>
        <w:t xml:space="preserve">Programs with selection processes similar to existing PGMS programs (competitive, continuation funding, non-competitive, or formula allocation) can leverage established </w:t>
      </w:r>
      <w:r w:rsidRPr="002E7E31">
        <w:rPr>
          <w:rFonts w:ascii="Arial" w:hAnsi="Arial" w:cs="Arial"/>
        </w:rPr>
        <w:lastRenderedPageBreak/>
        <w:t>platform functionality. Programs with unique requirements can be accommodated through new modules within the unified platform. The PGMS architecture supports flexible program addition without disrupting existing programs.</w:t>
      </w:r>
    </w:p>
    <w:p w14:paraId="5FE55C4A" w14:textId="2A4F2DED" w:rsidR="002E7E31" w:rsidRPr="002E7E31" w:rsidRDefault="002E7E31" w:rsidP="00A359E2">
      <w:pPr>
        <w:spacing w:before="240" w:after="240" w:line="240" w:lineRule="auto"/>
        <w:rPr>
          <w:rFonts w:ascii="Arial" w:hAnsi="Arial" w:cs="Arial"/>
        </w:rPr>
      </w:pPr>
      <w:r w:rsidRPr="002E7E31">
        <w:rPr>
          <w:rFonts w:ascii="Arial" w:hAnsi="Arial" w:cs="Arial"/>
        </w:rPr>
        <w:t>Future programs benefit immediately from single sign-on access, electronic document filing, consistent user interface, and established technical support infrastructure. This approach enables the C</w:t>
      </w:r>
      <w:r w:rsidR="002D6C79" w:rsidRPr="00B3647D">
        <w:rPr>
          <w:rFonts w:ascii="Arial" w:hAnsi="Arial" w:cs="Arial"/>
        </w:rPr>
        <w:t>DE</w:t>
      </w:r>
      <w:r w:rsidRPr="002E7E31">
        <w:rPr>
          <w:rFonts w:ascii="Arial" w:hAnsi="Arial" w:cs="Arial"/>
        </w:rPr>
        <w:t xml:space="preserve"> to implement new </w:t>
      </w:r>
      <w:r w:rsidR="002D6C79" w:rsidRPr="00B3647D">
        <w:rPr>
          <w:rFonts w:ascii="Arial" w:hAnsi="Arial" w:cs="Arial"/>
        </w:rPr>
        <w:t xml:space="preserve">CTE </w:t>
      </w:r>
      <w:r w:rsidRPr="002E7E31">
        <w:rPr>
          <w:rFonts w:ascii="Arial" w:hAnsi="Arial" w:cs="Arial"/>
        </w:rPr>
        <w:t xml:space="preserve">legislative initiatives efficiently while maintaining </w:t>
      </w:r>
      <w:r w:rsidR="009C11B8">
        <w:rPr>
          <w:rFonts w:ascii="Arial" w:hAnsi="Arial" w:cs="Arial"/>
        </w:rPr>
        <w:t xml:space="preserve">a </w:t>
      </w:r>
      <w:r w:rsidR="009C11B8" w:rsidRPr="002E7E31">
        <w:rPr>
          <w:rFonts w:ascii="Arial" w:hAnsi="Arial" w:cs="Arial"/>
        </w:rPr>
        <w:t>streamlined</w:t>
      </w:r>
      <w:r w:rsidRPr="002E7E31">
        <w:rPr>
          <w:rFonts w:ascii="Arial" w:hAnsi="Arial" w:cs="Arial"/>
        </w:rPr>
        <w:t xml:space="preserve"> experience for applicants managing multiple programs.</w:t>
      </w:r>
    </w:p>
    <w:p w14:paraId="212BEBA3" w14:textId="77777777" w:rsidR="002E7E31" w:rsidRPr="008850C5" w:rsidRDefault="002E7E31" w:rsidP="0058730E">
      <w:pPr>
        <w:pStyle w:val="Heading2"/>
        <w:spacing w:before="240" w:after="240" w:line="240" w:lineRule="auto"/>
        <w:jc w:val="left"/>
      </w:pPr>
      <w:bookmarkStart w:id="11" w:name="_Toc217466123"/>
      <w:r w:rsidRPr="008850C5">
        <w:t>Justification for Exclusion</w:t>
      </w:r>
      <w:bookmarkEnd w:id="11"/>
    </w:p>
    <w:p w14:paraId="585FF0D8" w14:textId="77777777" w:rsidR="00D9363F" w:rsidRDefault="00D9363F" w:rsidP="00A359E2">
      <w:pPr>
        <w:spacing w:before="240" w:after="240" w:line="240" w:lineRule="auto"/>
        <w:rPr>
          <w:rFonts w:ascii="Arial" w:hAnsi="Arial" w:cs="Arial"/>
        </w:rPr>
      </w:pPr>
      <w:r w:rsidRPr="008850C5">
        <w:rPr>
          <w:rFonts w:ascii="Arial" w:hAnsi="Arial" w:cs="Arial"/>
        </w:rPr>
        <w:t>AB 1</w:t>
      </w:r>
      <w:r w:rsidR="002E7E31" w:rsidRPr="008850C5">
        <w:rPr>
          <w:rFonts w:ascii="Arial" w:hAnsi="Arial" w:cs="Arial"/>
        </w:rPr>
        <w:t>21, Section 69, subdivision</w:t>
      </w:r>
      <w:r w:rsidRPr="008850C5">
        <w:rPr>
          <w:rFonts w:ascii="Arial" w:hAnsi="Arial" w:cs="Arial"/>
        </w:rPr>
        <w:t xml:space="preserve"> (e)(2) requests that if a grant or funding award identified in subdivision (b) is not included in the streamlined process described in paragraph (1), the justification for its exclusion.</w:t>
      </w:r>
    </w:p>
    <w:p w14:paraId="2CFBA156" w14:textId="40E3462A" w:rsidR="002E7E31" w:rsidRPr="002E7E31" w:rsidRDefault="00D9363F" w:rsidP="00A359E2">
      <w:pPr>
        <w:spacing w:before="240" w:after="240" w:line="240" w:lineRule="auto"/>
        <w:rPr>
          <w:rFonts w:ascii="Arial" w:hAnsi="Arial" w:cs="Arial"/>
        </w:rPr>
      </w:pPr>
      <w:r>
        <w:rPr>
          <w:rFonts w:ascii="Arial" w:hAnsi="Arial" w:cs="Arial"/>
        </w:rPr>
        <w:t xml:space="preserve">The </w:t>
      </w:r>
      <w:r w:rsidRPr="002E7E31">
        <w:rPr>
          <w:rFonts w:ascii="Arial" w:hAnsi="Arial" w:cs="Arial"/>
        </w:rPr>
        <w:t>K</w:t>
      </w:r>
      <w:r w:rsidR="00A91C26" w:rsidRPr="00B3647D">
        <w:rPr>
          <w:rFonts w:ascii="Arial" w:hAnsi="Arial" w:cs="Arial"/>
        </w:rPr>
        <w:t>–</w:t>
      </w:r>
      <w:r w:rsidR="009C11B8" w:rsidRPr="002E7E31">
        <w:rPr>
          <w:rFonts w:ascii="Arial" w:hAnsi="Arial" w:cs="Arial"/>
        </w:rPr>
        <w:t xml:space="preserve">12 </w:t>
      </w:r>
      <w:r w:rsidR="009C11B8">
        <w:rPr>
          <w:rFonts w:ascii="Arial" w:hAnsi="Arial" w:cs="Arial"/>
        </w:rPr>
        <w:t>Strong Workforce Program (</w:t>
      </w:r>
      <w:r w:rsidRPr="002E7E31">
        <w:rPr>
          <w:rFonts w:ascii="Arial" w:hAnsi="Arial" w:cs="Arial"/>
        </w:rPr>
        <w:t>S</w:t>
      </w:r>
      <w:r w:rsidRPr="00B3647D">
        <w:rPr>
          <w:rFonts w:ascii="Arial" w:hAnsi="Arial" w:cs="Arial"/>
        </w:rPr>
        <w:t>W</w:t>
      </w:r>
      <w:r w:rsidRPr="002E7E31">
        <w:rPr>
          <w:rFonts w:ascii="Arial" w:hAnsi="Arial" w:cs="Arial"/>
        </w:rPr>
        <w:t>P</w:t>
      </w:r>
      <w:r w:rsidR="009C11B8">
        <w:rPr>
          <w:rFonts w:ascii="Arial" w:hAnsi="Arial" w:cs="Arial"/>
        </w:rPr>
        <w:t xml:space="preserve">) </w:t>
      </w:r>
      <w:r>
        <w:rPr>
          <w:rFonts w:ascii="Arial" w:hAnsi="Arial" w:cs="Arial"/>
        </w:rPr>
        <w:t>mentioned in AB</w:t>
      </w:r>
      <w:r w:rsidR="00BD6458">
        <w:rPr>
          <w:rFonts w:ascii="Arial" w:hAnsi="Arial" w:cs="Arial"/>
        </w:rPr>
        <w:t xml:space="preserve"> 121</w:t>
      </w:r>
      <w:r>
        <w:rPr>
          <w:rFonts w:ascii="Arial" w:hAnsi="Arial" w:cs="Arial"/>
        </w:rPr>
        <w:t>, Section 6</w:t>
      </w:r>
      <w:r w:rsidR="00BD6458">
        <w:rPr>
          <w:rFonts w:ascii="Arial" w:hAnsi="Arial" w:cs="Arial"/>
        </w:rPr>
        <w:t>9</w:t>
      </w:r>
      <w:r>
        <w:rPr>
          <w:rFonts w:ascii="Arial" w:hAnsi="Arial" w:cs="Arial"/>
        </w:rPr>
        <w:t xml:space="preserve">, subdivision </w:t>
      </w:r>
      <w:r w:rsidR="002E7E31" w:rsidRPr="002E7E31">
        <w:rPr>
          <w:rFonts w:ascii="Arial" w:hAnsi="Arial" w:cs="Arial"/>
        </w:rPr>
        <w:t xml:space="preserve">(b) is excluded from the streamlining process described in this report because </w:t>
      </w:r>
      <w:r w:rsidR="002D6C79" w:rsidRPr="002E7E31">
        <w:rPr>
          <w:rFonts w:ascii="Arial" w:hAnsi="Arial" w:cs="Arial"/>
        </w:rPr>
        <w:t>K</w:t>
      </w:r>
      <w:r w:rsidR="002D6C79" w:rsidRPr="00B3647D">
        <w:rPr>
          <w:rFonts w:ascii="Arial" w:hAnsi="Arial" w:cs="Arial"/>
        </w:rPr>
        <w:t>–</w:t>
      </w:r>
      <w:r w:rsidR="002D6C79" w:rsidRPr="002E7E31">
        <w:rPr>
          <w:rFonts w:ascii="Arial" w:hAnsi="Arial" w:cs="Arial"/>
        </w:rPr>
        <w:t>12 S</w:t>
      </w:r>
      <w:r w:rsidR="002D6C79" w:rsidRPr="00B3647D">
        <w:rPr>
          <w:rFonts w:ascii="Arial" w:hAnsi="Arial" w:cs="Arial"/>
        </w:rPr>
        <w:t>W</w:t>
      </w:r>
      <w:r w:rsidR="002D6C79" w:rsidRPr="002E7E31">
        <w:rPr>
          <w:rFonts w:ascii="Arial" w:hAnsi="Arial" w:cs="Arial"/>
        </w:rPr>
        <w:t>P</w:t>
      </w:r>
      <w:r w:rsidR="002D6C79" w:rsidRPr="00B3647D">
        <w:rPr>
          <w:rFonts w:ascii="Arial" w:hAnsi="Arial" w:cs="Arial"/>
        </w:rPr>
        <w:t xml:space="preserve"> </w:t>
      </w:r>
      <w:r w:rsidR="002E7E31" w:rsidRPr="002E7E31">
        <w:rPr>
          <w:rFonts w:ascii="Arial" w:hAnsi="Arial" w:cs="Arial"/>
        </w:rPr>
        <w:t>is not administered by the C</w:t>
      </w:r>
      <w:r w:rsidR="002D6C79" w:rsidRPr="00B3647D">
        <w:rPr>
          <w:rFonts w:ascii="Arial" w:hAnsi="Arial" w:cs="Arial"/>
        </w:rPr>
        <w:t>DE</w:t>
      </w:r>
      <w:r w:rsidR="002E7E31" w:rsidRPr="002E7E31">
        <w:rPr>
          <w:rFonts w:ascii="Arial" w:hAnsi="Arial" w:cs="Arial"/>
        </w:rPr>
        <w:t>.</w:t>
      </w:r>
    </w:p>
    <w:p w14:paraId="4C6920E8" w14:textId="3D279B97" w:rsidR="002E7E31" w:rsidRPr="002E7E31" w:rsidRDefault="002D6C79" w:rsidP="00A359E2">
      <w:pPr>
        <w:spacing w:before="240" w:after="240" w:line="240" w:lineRule="auto"/>
        <w:rPr>
          <w:rFonts w:ascii="Arial" w:hAnsi="Arial" w:cs="Arial"/>
        </w:rPr>
      </w:pPr>
      <w:r w:rsidRPr="002E7E31">
        <w:rPr>
          <w:rFonts w:ascii="Arial" w:hAnsi="Arial" w:cs="Arial"/>
        </w:rPr>
        <w:t>K</w:t>
      </w:r>
      <w:r w:rsidRPr="00B3647D">
        <w:rPr>
          <w:rFonts w:ascii="Arial" w:hAnsi="Arial" w:cs="Arial"/>
        </w:rPr>
        <w:t>–</w:t>
      </w:r>
      <w:r w:rsidRPr="002E7E31">
        <w:rPr>
          <w:rFonts w:ascii="Arial" w:hAnsi="Arial" w:cs="Arial"/>
        </w:rPr>
        <w:t>12 S</w:t>
      </w:r>
      <w:r w:rsidRPr="00B3647D">
        <w:rPr>
          <w:rFonts w:ascii="Arial" w:hAnsi="Arial" w:cs="Arial"/>
        </w:rPr>
        <w:t>W</w:t>
      </w:r>
      <w:r w:rsidRPr="002E7E31">
        <w:rPr>
          <w:rFonts w:ascii="Arial" w:hAnsi="Arial" w:cs="Arial"/>
        </w:rPr>
        <w:t>P</w:t>
      </w:r>
      <w:r w:rsidRPr="00B3647D">
        <w:rPr>
          <w:rFonts w:ascii="Arial" w:hAnsi="Arial" w:cs="Arial"/>
        </w:rPr>
        <w:t xml:space="preserve"> </w:t>
      </w:r>
      <w:r w:rsidR="002E7E31" w:rsidRPr="002E7E31">
        <w:rPr>
          <w:rFonts w:ascii="Arial" w:hAnsi="Arial" w:cs="Arial"/>
        </w:rPr>
        <w:t>is administered by the California Community Colleges Chancellor</w:t>
      </w:r>
      <w:r w:rsidR="00F50FB5">
        <w:rPr>
          <w:rFonts w:ascii="Arial" w:hAnsi="Arial" w:cs="Arial"/>
        </w:rPr>
        <w:t>’</w:t>
      </w:r>
      <w:r w:rsidR="002E7E31" w:rsidRPr="002E7E31">
        <w:rPr>
          <w:rFonts w:ascii="Arial" w:hAnsi="Arial" w:cs="Arial"/>
        </w:rPr>
        <w:t>s Office in partnership with the C</w:t>
      </w:r>
      <w:r w:rsidRPr="00B3647D">
        <w:rPr>
          <w:rFonts w:ascii="Arial" w:hAnsi="Arial" w:cs="Arial"/>
        </w:rPr>
        <w:t>DE</w:t>
      </w:r>
      <w:r w:rsidR="002E7E31" w:rsidRPr="002E7E31">
        <w:rPr>
          <w:rFonts w:ascii="Arial" w:hAnsi="Arial" w:cs="Arial"/>
        </w:rPr>
        <w:t xml:space="preserve">, as established by </w:t>
      </w:r>
      <w:r w:rsidR="002E7E31" w:rsidRPr="002E7E31">
        <w:rPr>
          <w:rFonts w:ascii="Arial" w:hAnsi="Arial" w:cs="Arial"/>
          <w:i/>
          <w:iCs/>
        </w:rPr>
        <w:t>E</w:t>
      </w:r>
      <w:r w:rsidR="00024BED">
        <w:rPr>
          <w:rFonts w:ascii="Arial" w:hAnsi="Arial" w:cs="Arial"/>
          <w:i/>
          <w:iCs/>
        </w:rPr>
        <w:t>C</w:t>
      </w:r>
      <w:r w:rsidR="002E7E31" w:rsidRPr="002E7E31">
        <w:rPr>
          <w:rFonts w:ascii="Arial" w:hAnsi="Arial" w:cs="Arial"/>
        </w:rPr>
        <w:t xml:space="preserve"> Section 88827. The statute designates the Chancellor</w:t>
      </w:r>
      <w:r w:rsidR="00F50FB5">
        <w:rPr>
          <w:rFonts w:ascii="Arial" w:hAnsi="Arial" w:cs="Arial"/>
        </w:rPr>
        <w:t>’</w:t>
      </w:r>
      <w:r w:rsidR="002E7E31" w:rsidRPr="002E7E31">
        <w:rPr>
          <w:rFonts w:ascii="Arial" w:hAnsi="Arial" w:cs="Arial"/>
        </w:rPr>
        <w:t>s Office as the administering agency with authority over program implementation, application processes, and fund distribution.</w:t>
      </w:r>
    </w:p>
    <w:p w14:paraId="782034C0" w14:textId="79B3A50B" w:rsidR="002E7E31" w:rsidRPr="002E7E31" w:rsidRDefault="00024BED" w:rsidP="00A359E2">
      <w:pPr>
        <w:spacing w:before="240" w:after="240" w:line="240" w:lineRule="auto"/>
        <w:rPr>
          <w:rFonts w:ascii="Arial" w:hAnsi="Arial" w:cs="Arial"/>
        </w:rPr>
      </w:pPr>
      <w:r>
        <w:rPr>
          <w:rFonts w:ascii="Arial" w:hAnsi="Arial" w:cs="Arial"/>
        </w:rPr>
        <w:t xml:space="preserve">The </w:t>
      </w:r>
      <w:r w:rsidR="002D6C79" w:rsidRPr="002E7E31">
        <w:rPr>
          <w:rFonts w:ascii="Arial" w:hAnsi="Arial" w:cs="Arial"/>
        </w:rPr>
        <w:t>K</w:t>
      </w:r>
      <w:r w:rsidR="002D6C79" w:rsidRPr="00B3647D">
        <w:rPr>
          <w:rFonts w:ascii="Arial" w:hAnsi="Arial" w:cs="Arial"/>
        </w:rPr>
        <w:t>–</w:t>
      </w:r>
      <w:r w:rsidR="002D6C79" w:rsidRPr="002E7E31">
        <w:rPr>
          <w:rFonts w:ascii="Arial" w:hAnsi="Arial" w:cs="Arial"/>
        </w:rPr>
        <w:t>12 S</w:t>
      </w:r>
      <w:r w:rsidR="002D6C79" w:rsidRPr="00B3647D">
        <w:rPr>
          <w:rFonts w:ascii="Arial" w:hAnsi="Arial" w:cs="Arial"/>
        </w:rPr>
        <w:t>W</w:t>
      </w:r>
      <w:r w:rsidR="002D6C79" w:rsidRPr="002E7E31">
        <w:rPr>
          <w:rFonts w:ascii="Arial" w:hAnsi="Arial" w:cs="Arial"/>
        </w:rPr>
        <w:t>P</w:t>
      </w:r>
      <w:r w:rsidR="002D6C79" w:rsidRPr="00B3647D">
        <w:rPr>
          <w:rFonts w:ascii="Arial" w:hAnsi="Arial" w:cs="Arial"/>
        </w:rPr>
        <w:t xml:space="preserve"> o</w:t>
      </w:r>
      <w:r w:rsidR="002E7E31" w:rsidRPr="002E7E31">
        <w:rPr>
          <w:rFonts w:ascii="Arial" w:hAnsi="Arial" w:cs="Arial"/>
        </w:rPr>
        <w:t>perates through eight regional community college consortia aligned with California</w:t>
      </w:r>
      <w:r w:rsidR="00F50FB5">
        <w:rPr>
          <w:rFonts w:ascii="Arial" w:hAnsi="Arial" w:cs="Arial"/>
        </w:rPr>
        <w:t>’</w:t>
      </w:r>
      <w:r w:rsidR="002E7E31" w:rsidRPr="002E7E31">
        <w:rPr>
          <w:rFonts w:ascii="Arial" w:hAnsi="Arial" w:cs="Arial"/>
        </w:rPr>
        <w:t>s economic regions. Each consortium forms a K</w:t>
      </w:r>
      <w:r w:rsidRPr="00B3647D">
        <w:rPr>
          <w:rFonts w:ascii="Arial" w:hAnsi="Arial" w:cs="Arial"/>
        </w:rPr>
        <w:t>–</w:t>
      </w:r>
      <w:r w:rsidR="002E7E31" w:rsidRPr="002E7E31">
        <w:rPr>
          <w:rFonts w:ascii="Arial" w:hAnsi="Arial" w:cs="Arial"/>
        </w:rPr>
        <w:t>12 Selection Committee that reviews applications and makes funding decisions based on alignment with regional workforce priorities established in the consortium</w:t>
      </w:r>
      <w:r w:rsidR="00F50FB5">
        <w:rPr>
          <w:rFonts w:ascii="Arial" w:hAnsi="Arial" w:cs="Arial"/>
        </w:rPr>
        <w:t>’</w:t>
      </w:r>
      <w:r w:rsidR="002E7E31" w:rsidRPr="002E7E31">
        <w:rPr>
          <w:rFonts w:ascii="Arial" w:hAnsi="Arial" w:cs="Arial"/>
        </w:rPr>
        <w:t xml:space="preserve">s </w:t>
      </w:r>
      <w:r w:rsidR="00932C9C">
        <w:rPr>
          <w:rFonts w:ascii="Arial" w:hAnsi="Arial" w:cs="Arial"/>
        </w:rPr>
        <w:t>K</w:t>
      </w:r>
      <w:r w:rsidRPr="00B3647D">
        <w:rPr>
          <w:rFonts w:ascii="Arial" w:hAnsi="Arial" w:cs="Arial"/>
        </w:rPr>
        <w:t>–</w:t>
      </w:r>
      <w:r>
        <w:rPr>
          <w:rFonts w:ascii="Arial" w:hAnsi="Arial" w:cs="Arial"/>
        </w:rPr>
        <w:t>1</w:t>
      </w:r>
      <w:r w:rsidR="00932C9C">
        <w:rPr>
          <w:rFonts w:ascii="Arial" w:hAnsi="Arial" w:cs="Arial"/>
        </w:rPr>
        <w:t xml:space="preserve">2 </w:t>
      </w:r>
      <w:r w:rsidR="002E7E31" w:rsidRPr="002E7E31">
        <w:rPr>
          <w:rFonts w:ascii="Arial" w:hAnsi="Arial" w:cs="Arial"/>
        </w:rPr>
        <w:t>S</w:t>
      </w:r>
      <w:r w:rsidR="00932C9C">
        <w:rPr>
          <w:rFonts w:ascii="Arial" w:hAnsi="Arial" w:cs="Arial"/>
        </w:rPr>
        <w:t>WP</w:t>
      </w:r>
      <w:r w:rsidR="002E7E31" w:rsidRPr="002E7E31">
        <w:rPr>
          <w:rFonts w:ascii="Arial" w:hAnsi="Arial" w:cs="Arial"/>
        </w:rPr>
        <w:t xml:space="preserve"> regional plan. Applications are submitted through the NOVA system, which is managed by the Chancellor</w:t>
      </w:r>
      <w:r w:rsidR="00F50FB5">
        <w:rPr>
          <w:rFonts w:ascii="Arial" w:hAnsi="Arial" w:cs="Arial"/>
        </w:rPr>
        <w:t>’</w:t>
      </w:r>
      <w:r w:rsidR="002E7E31" w:rsidRPr="002E7E31">
        <w:rPr>
          <w:rFonts w:ascii="Arial" w:hAnsi="Arial" w:cs="Arial"/>
        </w:rPr>
        <w:t>s Office and integrated with community college data systems.</w:t>
      </w:r>
    </w:p>
    <w:p w14:paraId="0694AD1A" w14:textId="11E0A88B" w:rsidR="002E7E31" w:rsidRPr="002E7E31" w:rsidRDefault="00C83EED" w:rsidP="00A359E2">
      <w:pPr>
        <w:spacing w:before="240" w:after="240" w:line="240" w:lineRule="auto"/>
        <w:rPr>
          <w:rFonts w:ascii="Arial" w:hAnsi="Arial" w:cs="Arial"/>
        </w:rPr>
      </w:pPr>
      <w:r w:rsidRPr="00B3647D">
        <w:rPr>
          <w:rFonts w:ascii="Arial" w:hAnsi="Arial" w:cs="Arial"/>
        </w:rPr>
        <w:t xml:space="preserve">The </w:t>
      </w:r>
      <w:r w:rsidR="002E7E31" w:rsidRPr="002E7E31">
        <w:rPr>
          <w:rFonts w:ascii="Arial" w:hAnsi="Arial" w:cs="Arial"/>
        </w:rPr>
        <w:t>Chancellor</w:t>
      </w:r>
      <w:r w:rsidR="00F50FB5">
        <w:rPr>
          <w:rFonts w:ascii="Arial" w:hAnsi="Arial" w:cs="Arial"/>
        </w:rPr>
        <w:t>’</w:t>
      </w:r>
      <w:r w:rsidR="002E7E31" w:rsidRPr="002E7E31">
        <w:rPr>
          <w:rFonts w:ascii="Arial" w:hAnsi="Arial" w:cs="Arial"/>
        </w:rPr>
        <w:t>s Office maintains operational and technical control of</w:t>
      </w:r>
      <w:r w:rsidR="00E43D7D" w:rsidRPr="00B3647D">
        <w:rPr>
          <w:rFonts w:ascii="Arial" w:hAnsi="Arial" w:cs="Arial"/>
        </w:rPr>
        <w:t xml:space="preserve"> </w:t>
      </w:r>
      <w:r w:rsidR="00E43D7D" w:rsidRPr="002E7E31">
        <w:rPr>
          <w:rFonts w:ascii="Arial" w:hAnsi="Arial" w:cs="Arial"/>
        </w:rPr>
        <w:t>K</w:t>
      </w:r>
      <w:r w:rsidR="00E43D7D" w:rsidRPr="00B3647D">
        <w:rPr>
          <w:rFonts w:ascii="Arial" w:hAnsi="Arial" w:cs="Arial"/>
        </w:rPr>
        <w:t>–</w:t>
      </w:r>
      <w:r w:rsidR="00E43D7D" w:rsidRPr="002E7E31">
        <w:rPr>
          <w:rFonts w:ascii="Arial" w:hAnsi="Arial" w:cs="Arial"/>
        </w:rPr>
        <w:t>12 S</w:t>
      </w:r>
      <w:r w:rsidR="00E43D7D" w:rsidRPr="00B3647D">
        <w:rPr>
          <w:rFonts w:ascii="Arial" w:hAnsi="Arial" w:cs="Arial"/>
        </w:rPr>
        <w:t>W</w:t>
      </w:r>
      <w:r w:rsidR="00E43D7D" w:rsidRPr="002E7E31">
        <w:rPr>
          <w:rFonts w:ascii="Arial" w:hAnsi="Arial" w:cs="Arial"/>
        </w:rPr>
        <w:t>P</w:t>
      </w:r>
      <w:r w:rsidR="00E43D7D" w:rsidRPr="00B3647D">
        <w:rPr>
          <w:rFonts w:ascii="Arial" w:hAnsi="Arial" w:cs="Arial"/>
        </w:rPr>
        <w:t xml:space="preserve"> </w:t>
      </w:r>
      <w:r w:rsidR="002E7E31" w:rsidRPr="002E7E31">
        <w:rPr>
          <w:rFonts w:ascii="Arial" w:hAnsi="Arial" w:cs="Arial"/>
        </w:rPr>
        <w:t xml:space="preserve">application and award processes, and </w:t>
      </w:r>
      <w:r w:rsidRPr="00B3647D">
        <w:rPr>
          <w:rFonts w:ascii="Arial" w:hAnsi="Arial" w:cs="Arial"/>
        </w:rPr>
        <w:t>due</w:t>
      </w:r>
      <w:r w:rsidR="002E7E31" w:rsidRPr="002E7E31">
        <w:rPr>
          <w:rFonts w:ascii="Arial" w:hAnsi="Arial" w:cs="Arial"/>
        </w:rPr>
        <w:t xml:space="preserve"> </w:t>
      </w:r>
      <w:r w:rsidRPr="00B3647D">
        <w:rPr>
          <w:rFonts w:ascii="Arial" w:hAnsi="Arial" w:cs="Arial"/>
        </w:rPr>
        <w:t xml:space="preserve">to </w:t>
      </w:r>
      <w:r w:rsidR="002E7E31" w:rsidRPr="002E7E31">
        <w:rPr>
          <w:rFonts w:ascii="Arial" w:hAnsi="Arial" w:cs="Arial"/>
        </w:rPr>
        <w:t>the program</w:t>
      </w:r>
      <w:r w:rsidR="00F50FB5">
        <w:rPr>
          <w:rFonts w:ascii="Arial" w:hAnsi="Arial" w:cs="Arial"/>
        </w:rPr>
        <w:t>’</w:t>
      </w:r>
      <w:r w:rsidR="002E7E31" w:rsidRPr="002E7E31">
        <w:rPr>
          <w:rFonts w:ascii="Arial" w:hAnsi="Arial" w:cs="Arial"/>
        </w:rPr>
        <w:t>s regional structure requires flexibility for eight distinct consortia to implement approaches tailored to regional priorities,</w:t>
      </w:r>
      <w:r w:rsidR="001F2658">
        <w:rPr>
          <w:rFonts w:ascii="Arial" w:hAnsi="Arial" w:cs="Arial"/>
        </w:rPr>
        <w:t xml:space="preserve"> the</w:t>
      </w:r>
      <w:r w:rsidR="002E7E31" w:rsidRPr="002E7E31">
        <w:rPr>
          <w:rFonts w:ascii="Arial" w:hAnsi="Arial" w:cs="Arial"/>
        </w:rPr>
        <w:t xml:space="preserve"> </w:t>
      </w:r>
      <w:r w:rsidR="00E43D7D" w:rsidRPr="002E7E31">
        <w:rPr>
          <w:rFonts w:ascii="Arial" w:hAnsi="Arial" w:cs="Arial"/>
        </w:rPr>
        <w:t>K</w:t>
      </w:r>
      <w:r w:rsidR="00E43D7D" w:rsidRPr="00B3647D">
        <w:rPr>
          <w:rFonts w:ascii="Arial" w:hAnsi="Arial" w:cs="Arial"/>
        </w:rPr>
        <w:t>–</w:t>
      </w:r>
      <w:r w:rsidR="00E43D7D" w:rsidRPr="002E7E31">
        <w:rPr>
          <w:rFonts w:ascii="Arial" w:hAnsi="Arial" w:cs="Arial"/>
        </w:rPr>
        <w:t>12 S</w:t>
      </w:r>
      <w:r w:rsidR="00E43D7D" w:rsidRPr="00B3647D">
        <w:rPr>
          <w:rFonts w:ascii="Arial" w:hAnsi="Arial" w:cs="Arial"/>
        </w:rPr>
        <w:t>W</w:t>
      </w:r>
      <w:r w:rsidR="00E43D7D" w:rsidRPr="002E7E31">
        <w:rPr>
          <w:rFonts w:ascii="Arial" w:hAnsi="Arial" w:cs="Arial"/>
        </w:rPr>
        <w:t>P</w:t>
      </w:r>
      <w:r w:rsidR="00E43D7D" w:rsidRPr="00B3647D">
        <w:rPr>
          <w:rFonts w:ascii="Arial" w:hAnsi="Arial" w:cs="Arial"/>
        </w:rPr>
        <w:t xml:space="preserve"> </w:t>
      </w:r>
      <w:r w:rsidR="002E7E31" w:rsidRPr="002E7E31">
        <w:rPr>
          <w:rFonts w:ascii="Arial" w:hAnsi="Arial" w:cs="Arial"/>
        </w:rPr>
        <w:t>cannot be integrated into the C</w:t>
      </w:r>
      <w:r w:rsidR="00E43D7D" w:rsidRPr="00B3647D">
        <w:rPr>
          <w:rFonts w:ascii="Arial" w:hAnsi="Arial" w:cs="Arial"/>
        </w:rPr>
        <w:t>DE</w:t>
      </w:r>
      <w:r w:rsidR="002E7E31" w:rsidRPr="002E7E31">
        <w:rPr>
          <w:rFonts w:ascii="Arial" w:hAnsi="Arial" w:cs="Arial"/>
        </w:rPr>
        <w:t xml:space="preserve"> PGMS without fundamentally altering the program</w:t>
      </w:r>
      <w:r w:rsidR="00F50FB5">
        <w:rPr>
          <w:rFonts w:ascii="Arial" w:hAnsi="Arial" w:cs="Arial"/>
        </w:rPr>
        <w:t>’</w:t>
      </w:r>
      <w:r w:rsidR="002E7E31" w:rsidRPr="002E7E31">
        <w:rPr>
          <w:rFonts w:ascii="Arial" w:hAnsi="Arial" w:cs="Arial"/>
        </w:rPr>
        <w:t>s administrative structure and regional decision-making processes established in statute.</w:t>
      </w:r>
    </w:p>
    <w:p w14:paraId="10C181F5" w14:textId="2C6065F1" w:rsidR="002E7E31" w:rsidRPr="002E7E31" w:rsidRDefault="002E7E31" w:rsidP="00A359E2">
      <w:pPr>
        <w:spacing w:before="240" w:after="240" w:line="240" w:lineRule="auto"/>
        <w:rPr>
          <w:rFonts w:ascii="Arial" w:hAnsi="Arial" w:cs="Arial"/>
        </w:rPr>
      </w:pPr>
      <w:r w:rsidRPr="002E7E31">
        <w:rPr>
          <w:rFonts w:ascii="Arial" w:hAnsi="Arial" w:cs="Arial"/>
        </w:rPr>
        <w:t>The C</w:t>
      </w:r>
      <w:r w:rsidR="00E43D7D" w:rsidRPr="00B3647D">
        <w:rPr>
          <w:rFonts w:ascii="Arial" w:hAnsi="Arial" w:cs="Arial"/>
        </w:rPr>
        <w:t>DE</w:t>
      </w:r>
      <w:r w:rsidRPr="002E7E31">
        <w:rPr>
          <w:rFonts w:ascii="Arial" w:hAnsi="Arial" w:cs="Arial"/>
        </w:rPr>
        <w:t xml:space="preserve"> will continue to coordinate with the Chancellor</w:t>
      </w:r>
      <w:r w:rsidR="00F50FB5">
        <w:rPr>
          <w:rFonts w:ascii="Arial" w:hAnsi="Arial" w:cs="Arial"/>
        </w:rPr>
        <w:t>’</w:t>
      </w:r>
      <w:r w:rsidRPr="002E7E31">
        <w:rPr>
          <w:rFonts w:ascii="Arial" w:hAnsi="Arial" w:cs="Arial"/>
        </w:rPr>
        <w:t xml:space="preserve">s Office on alignment efforts where appropriate, including sharing information about </w:t>
      </w:r>
      <w:r w:rsidR="00C83EED" w:rsidRPr="00B3647D">
        <w:rPr>
          <w:rFonts w:ascii="Arial" w:hAnsi="Arial" w:cs="Arial"/>
        </w:rPr>
        <w:t>CTE</w:t>
      </w:r>
      <w:r w:rsidRPr="002E7E31">
        <w:rPr>
          <w:rFonts w:ascii="Arial" w:hAnsi="Arial" w:cs="Arial"/>
        </w:rPr>
        <w:t xml:space="preserve"> program activiti</w:t>
      </w:r>
      <w:r w:rsidR="00C83EED" w:rsidRPr="00B3647D">
        <w:rPr>
          <w:rFonts w:ascii="Arial" w:hAnsi="Arial" w:cs="Arial"/>
        </w:rPr>
        <w:t xml:space="preserve">es, application timelines, </w:t>
      </w:r>
      <w:r w:rsidRPr="002E7E31">
        <w:rPr>
          <w:rFonts w:ascii="Arial" w:hAnsi="Arial" w:cs="Arial"/>
        </w:rPr>
        <w:t xml:space="preserve">coordinating technical assistance where local educational agencies participate in both </w:t>
      </w:r>
      <w:r w:rsidR="00E43D7D" w:rsidRPr="002E7E31">
        <w:rPr>
          <w:rFonts w:ascii="Arial" w:hAnsi="Arial" w:cs="Arial"/>
        </w:rPr>
        <w:t>K</w:t>
      </w:r>
      <w:r w:rsidR="00E43D7D" w:rsidRPr="00B3647D">
        <w:rPr>
          <w:rFonts w:ascii="Arial" w:hAnsi="Arial" w:cs="Arial"/>
        </w:rPr>
        <w:t>–</w:t>
      </w:r>
      <w:r w:rsidR="00E43D7D" w:rsidRPr="002E7E31">
        <w:rPr>
          <w:rFonts w:ascii="Arial" w:hAnsi="Arial" w:cs="Arial"/>
        </w:rPr>
        <w:t>12 S</w:t>
      </w:r>
      <w:r w:rsidR="00E43D7D" w:rsidRPr="00B3647D">
        <w:rPr>
          <w:rFonts w:ascii="Arial" w:hAnsi="Arial" w:cs="Arial"/>
        </w:rPr>
        <w:t>W</w:t>
      </w:r>
      <w:r w:rsidR="00E43D7D" w:rsidRPr="002E7E31">
        <w:rPr>
          <w:rFonts w:ascii="Arial" w:hAnsi="Arial" w:cs="Arial"/>
        </w:rPr>
        <w:t>P</w:t>
      </w:r>
      <w:r w:rsidR="00E43D7D" w:rsidRPr="00B3647D">
        <w:rPr>
          <w:rFonts w:ascii="Arial" w:hAnsi="Arial" w:cs="Arial"/>
        </w:rPr>
        <w:t xml:space="preserve"> </w:t>
      </w:r>
      <w:r w:rsidRPr="002E7E31">
        <w:rPr>
          <w:rFonts w:ascii="Arial" w:hAnsi="Arial" w:cs="Arial"/>
        </w:rPr>
        <w:t>and C</w:t>
      </w:r>
      <w:r w:rsidR="00E43D7D" w:rsidRPr="00B3647D">
        <w:rPr>
          <w:rFonts w:ascii="Arial" w:hAnsi="Arial" w:cs="Arial"/>
        </w:rPr>
        <w:t>DE</w:t>
      </w:r>
      <w:r w:rsidRPr="002E7E31">
        <w:rPr>
          <w:rFonts w:ascii="Arial" w:hAnsi="Arial" w:cs="Arial"/>
        </w:rPr>
        <w:t xml:space="preserve">-administered programs, and collaborating on statewide </w:t>
      </w:r>
      <w:r w:rsidR="00E43D7D" w:rsidRPr="00B3647D">
        <w:rPr>
          <w:rFonts w:ascii="Arial" w:hAnsi="Arial" w:cs="Arial"/>
        </w:rPr>
        <w:t>CTE p</w:t>
      </w:r>
      <w:r w:rsidRPr="002E7E31">
        <w:rPr>
          <w:rFonts w:ascii="Arial" w:hAnsi="Arial" w:cs="Arial"/>
        </w:rPr>
        <w:t>riorities. However, these coordination activities do not extend to integration of</w:t>
      </w:r>
      <w:r w:rsidR="001F2658">
        <w:rPr>
          <w:rFonts w:ascii="Arial" w:hAnsi="Arial" w:cs="Arial"/>
        </w:rPr>
        <w:t xml:space="preserve"> the</w:t>
      </w:r>
      <w:r w:rsidRPr="002E7E31">
        <w:rPr>
          <w:rFonts w:ascii="Arial" w:hAnsi="Arial" w:cs="Arial"/>
        </w:rPr>
        <w:t xml:space="preserve"> </w:t>
      </w:r>
      <w:r w:rsidR="00E43D7D" w:rsidRPr="002E7E31">
        <w:rPr>
          <w:rFonts w:ascii="Arial" w:hAnsi="Arial" w:cs="Arial"/>
        </w:rPr>
        <w:t>K</w:t>
      </w:r>
      <w:r w:rsidR="00E43D7D" w:rsidRPr="00B3647D">
        <w:rPr>
          <w:rFonts w:ascii="Arial" w:hAnsi="Arial" w:cs="Arial"/>
        </w:rPr>
        <w:t>–</w:t>
      </w:r>
      <w:r w:rsidR="00E43D7D" w:rsidRPr="002E7E31">
        <w:rPr>
          <w:rFonts w:ascii="Arial" w:hAnsi="Arial" w:cs="Arial"/>
        </w:rPr>
        <w:t>12 S</w:t>
      </w:r>
      <w:r w:rsidR="00E43D7D" w:rsidRPr="00B3647D">
        <w:rPr>
          <w:rFonts w:ascii="Arial" w:hAnsi="Arial" w:cs="Arial"/>
        </w:rPr>
        <w:t>W</w:t>
      </w:r>
      <w:r w:rsidR="00E43D7D" w:rsidRPr="002E7E31">
        <w:rPr>
          <w:rFonts w:ascii="Arial" w:hAnsi="Arial" w:cs="Arial"/>
        </w:rPr>
        <w:t>P</w:t>
      </w:r>
      <w:r w:rsidR="00E43D7D" w:rsidRPr="00B3647D">
        <w:rPr>
          <w:rFonts w:ascii="Arial" w:hAnsi="Arial" w:cs="Arial"/>
        </w:rPr>
        <w:t xml:space="preserve"> </w:t>
      </w:r>
      <w:r w:rsidRPr="002E7E31">
        <w:rPr>
          <w:rFonts w:ascii="Arial" w:hAnsi="Arial" w:cs="Arial"/>
        </w:rPr>
        <w:t xml:space="preserve">into </w:t>
      </w:r>
      <w:r w:rsidR="00A91C26">
        <w:rPr>
          <w:rFonts w:ascii="Arial" w:hAnsi="Arial" w:cs="Arial"/>
        </w:rPr>
        <w:t xml:space="preserve">the </w:t>
      </w:r>
      <w:r w:rsidRPr="002E7E31">
        <w:rPr>
          <w:rFonts w:ascii="Arial" w:hAnsi="Arial" w:cs="Arial"/>
        </w:rPr>
        <w:t>C</w:t>
      </w:r>
      <w:r w:rsidR="00E43D7D" w:rsidRPr="00B3647D">
        <w:rPr>
          <w:rFonts w:ascii="Arial" w:hAnsi="Arial" w:cs="Arial"/>
        </w:rPr>
        <w:t>DE</w:t>
      </w:r>
      <w:r w:rsidRPr="002E7E31">
        <w:rPr>
          <w:rFonts w:ascii="Arial" w:hAnsi="Arial" w:cs="Arial"/>
        </w:rPr>
        <w:t xml:space="preserve"> application systems.</w:t>
      </w:r>
    </w:p>
    <w:p w14:paraId="18C2BFC6" w14:textId="77777777" w:rsidR="002E7E31" w:rsidRPr="002E7E31" w:rsidRDefault="002E7E31" w:rsidP="00A124FE">
      <w:pPr>
        <w:pStyle w:val="Heading2"/>
        <w:spacing w:before="360" w:after="240"/>
        <w:jc w:val="left"/>
      </w:pPr>
      <w:bookmarkStart w:id="12" w:name="_Toc217466124"/>
      <w:r w:rsidRPr="002E7E31">
        <w:lastRenderedPageBreak/>
        <w:t>Conclusion</w:t>
      </w:r>
      <w:bookmarkEnd w:id="12"/>
    </w:p>
    <w:p w14:paraId="0243E09B" w14:textId="704F82A3" w:rsidR="002E7E31" w:rsidRPr="002E7E31" w:rsidRDefault="002E7E31" w:rsidP="00A359E2">
      <w:pPr>
        <w:spacing w:before="240" w:after="240" w:line="240" w:lineRule="auto"/>
        <w:rPr>
          <w:rFonts w:ascii="Arial" w:hAnsi="Arial" w:cs="Arial"/>
        </w:rPr>
      </w:pPr>
      <w:r w:rsidRPr="002E7E31">
        <w:rPr>
          <w:rFonts w:ascii="Arial" w:hAnsi="Arial" w:cs="Arial"/>
        </w:rPr>
        <w:t>The C</w:t>
      </w:r>
      <w:r w:rsidR="002D6C79" w:rsidRPr="00B3647D">
        <w:rPr>
          <w:rFonts w:ascii="Arial" w:hAnsi="Arial" w:cs="Arial"/>
        </w:rPr>
        <w:t>DE</w:t>
      </w:r>
      <w:r w:rsidRPr="002E7E31">
        <w:rPr>
          <w:rFonts w:ascii="Arial" w:hAnsi="Arial" w:cs="Arial"/>
        </w:rPr>
        <w:t xml:space="preserve"> has determined that while a single universal application for all </w:t>
      </w:r>
      <w:r w:rsidR="00D62BC4">
        <w:rPr>
          <w:rFonts w:ascii="Arial" w:hAnsi="Arial" w:cs="Arial"/>
        </w:rPr>
        <w:t>CTE</w:t>
      </w:r>
      <w:r w:rsidRPr="002E7E31">
        <w:rPr>
          <w:rFonts w:ascii="Arial" w:hAnsi="Arial" w:cs="Arial"/>
        </w:rPr>
        <w:t xml:space="preserve"> programs is not feasible due to incompatible statutory requirements, significant streamlining can be achieved through continued migration of all programs to the P</w:t>
      </w:r>
      <w:r w:rsidR="002D6C79" w:rsidRPr="00B3647D">
        <w:rPr>
          <w:rFonts w:ascii="Arial" w:hAnsi="Arial" w:cs="Arial"/>
        </w:rPr>
        <w:t>GMS</w:t>
      </w:r>
      <w:r w:rsidRPr="002E7E31">
        <w:rPr>
          <w:rFonts w:ascii="Arial" w:hAnsi="Arial" w:cs="Arial"/>
        </w:rPr>
        <w:t>. C</w:t>
      </w:r>
      <w:r w:rsidR="002D6C79" w:rsidRPr="00B3647D">
        <w:rPr>
          <w:rFonts w:ascii="Arial" w:hAnsi="Arial" w:cs="Arial"/>
        </w:rPr>
        <w:t>PA</w:t>
      </w:r>
      <w:r w:rsidRPr="002E7E31">
        <w:rPr>
          <w:rFonts w:ascii="Arial" w:hAnsi="Arial" w:cs="Arial"/>
        </w:rPr>
        <w:t>s (all types), Perkins, and C</w:t>
      </w:r>
      <w:r w:rsidR="002D6C79" w:rsidRPr="00B3647D">
        <w:rPr>
          <w:rFonts w:ascii="Arial" w:hAnsi="Arial" w:cs="Arial"/>
        </w:rPr>
        <w:t>TEIG c</w:t>
      </w:r>
      <w:r w:rsidRPr="002E7E31">
        <w:rPr>
          <w:rFonts w:ascii="Arial" w:hAnsi="Arial" w:cs="Arial"/>
        </w:rPr>
        <w:t xml:space="preserve">urrently operate in </w:t>
      </w:r>
      <w:r w:rsidR="001F2658">
        <w:rPr>
          <w:rFonts w:ascii="Arial" w:hAnsi="Arial" w:cs="Arial"/>
        </w:rPr>
        <w:t xml:space="preserve">the </w:t>
      </w:r>
      <w:r w:rsidRPr="002E7E31">
        <w:rPr>
          <w:rFonts w:ascii="Arial" w:hAnsi="Arial" w:cs="Arial"/>
        </w:rPr>
        <w:t>PGMS. Additional programs will be incorporated through fiscal years 2026</w:t>
      </w:r>
      <w:r w:rsidR="002D6C79" w:rsidRPr="00B3647D">
        <w:rPr>
          <w:rFonts w:ascii="Arial" w:hAnsi="Arial" w:cs="Arial"/>
        </w:rPr>
        <w:t>–</w:t>
      </w:r>
      <w:r w:rsidRPr="002E7E31">
        <w:rPr>
          <w:rFonts w:ascii="Arial" w:hAnsi="Arial" w:cs="Arial"/>
        </w:rPr>
        <w:t>27 and 2027</w:t>
      </w:r>
      <w:r w:rsidR="002D6C79" w:rsidRPr="00B3647D">
        <w:rPr>
          <w:rFonts w:ascii="Arial" w:hAnsi="Arial" w:cs="Arial"/>
        </w:rPr>
        <w:t>–</w:t>
      </w:r>
      <w:r w:rsidRPr="002E7E31">
        <w:rPr>
          <w:rFonts w:ascii="Arial" w:hAnsi="Arial" w:cs="Arial"/>
        </w:rPr>
        <w:t xml:space="preserve">28, with </w:t>
      </w:r>
      <w:r w:rsidR="002D6C79" w:rsidRPr="00B3647D">
        <w:rPr>
          <w:rFonts w:ascii="Arial" w:hAnsi="Arial" w:cs="Arial"/>
        </w:rPr>
        <w:t>intended</w:t>
      </w:r>
      <w:r w:rsidRPr="002E7E31">
        <w:rPr>
          <w:rFonts w:ascii="Arial" w:hAnsi="Arial" w:cs="Arial"/>
        </w:rPr>
        <w:t xml:space="preserve"> implementation of all </w:t>
      </w:r>
      <w:r w:rsidR="002D6C79" w:rsidRPr="00B3647D">
        <w:rPr>
          <w:rFonts w:ascii="Arial" w:hAnsi="Arial" w:cs="Arial"/>
        </w:rPr>
        <w:t>CDE</w:t>
      </w:r>
      <w:r w:rsidRPr="002E7E31">
        <w:rPr>
          <w:rFonts w:ascii="Arial" w:hAnsi="Arial" w:cs="Arial"/>
        </w:rPr>
        <w:t xml:space="preserve">-administered </w:t>
      </w:r>
      <w:r w:rsidR="002D6C79" w:rsidRPr="00B3647D">
        <w:rPr>
          <w:rFonts w:ascii="Arial" w:hAnsi="Arial" w:cs="Arial"/>
        </w:rPr>
        <w:t>CTE pr</w:t>
      </w:r>
      <w:r w:rsidRPr="002E7E31">
        <w:rPr>
          <w:rFonts w:ascii="Arial" w:hAnsi="Arial" w:cs="Arial"/>
        </w:rPr>
        <w:t>ograms by the conclusion of 2027</w:t>
      </w:r>
      <w:r w:rsidR="002D6C79" w:rsidRPr="00B3647D">
        <w:rPr>
          <w:rFonts w:ascii="Arial" w:hAnsi="Arial" w:cs="Arial"/>
        </w:rPr>
        <w:t>–</w:t>
      </w:r>
      <w:r w:rsidRPr="002E7E31">
        <w:rPr>
          <w:rFonts w:ascii="Arial" w:hAnsi="Arial" w:cs="Arial"/>
        </w:rPr>
        <w:t>28.</w:t>
      </w:r>
    </w:p>
    <w:p w14:paraId="010C4D57" w14:textId="0A719438" w:rsidR="002E7E31" w:rsidRPr="002E7E31" w:rsidRDefault="002E7E31" w:rsidP="00A359E2">
      <w:pPr>
        <w:spacing w:before="240" w:after="240" w:line="240" w:lineRule="auto"/>
        <w:rPr>
          <w:rFonts w:ascii="Arial" w:hAnsi="Arial" w:cs="Arial"/>
        </w:rPr>
      </w:pPr>
      <w:r w:rsidRPr="002E7E31">
        <w:rPr>
          <w:rFonts w:ascii="Arial" w:hAnsi="Arial" w:cs="Arial"/>
        </w:rPr>
        <w:t xml:space="preserve">This approach provides substantial benefits to local educational agencies including single sign-on access across all programs, data integration with </w:t>
      </w:r>
      <w:r w:rsidR="00F92170" w:rsidRPr="002E7E31">
        <w:rPr>
          <w:rFonts w:ascii="Arial" w:hAnsi="Arial" w:cs="Arial"/>
        </w:rPr>
        <w:t>CALPADS</w:t>
      </w:r>
      <w:r w:rsidRPr="002E7E31">
        <w:rPr>
          <w:rFonts w:ascii="Arial" w:hAnsi="Arial" w:cs="Arial"/>
        </w:rPr>
        <w:t xml:space="preserve"> to reduce manual entry, electronic document filing, consistent user interface, and centralized technical support. Each program maintains its distinct application addressing specific statutory requirements while benefiting from the unified platform infrastructure.</w:t>
      </w:r>
    </w:p>
    <w:p w14:paraId="4FFFAA78" w14:textId="18B449D9" w:rsidR="002E7E31" w:rsidRPr="002E7E31" w:rsidRDefault="002E7E31" w:rsidP="00A359E2">
      <w:pPr>
        <w:spacing w:before="240" w:after="240" w:line="240" w:lineRule="auto"/>
        <w:rPr>
          <w:rFonts w:ascii="Arial" w:hAnsi="Arial" w:cs="Arial"/>
        </w:rPr>
      </w:pPr>
      <w:r w:rsidRPr="002E7E31">
        <w:rPr>
          <w:rFonts w:ascii="Arial" w:hAnsi="Arial" w:cs="Arial"/>
        </w:rPr>
        <w:t xml:space="preserve">The phased implementation schedule aligns with application cycles to minimize disruption and allows the </w:t>
      </w:r>
      <w:r w:rsidR="00C83EED" w:rsidRPr="00B3647D">
        <w:rPr>
          <w:rFonts w:ascii="Arial" w:hAnsi="Arial" w:cs="Arial"/>
        </w:rPr>
        <w:t>CDE</w:t>
      </w:r>
      <w:r w:rsidRPr="002E7E31">
        <w:rPr>
          <w:rFonts w:ascii="Arial" w:hAnsi="Arial" w:cs="Arial"/>
        </w:rPr>
        <w:t xml:space="preserve"> to incorporate lessons learned from each migration into subsequent implementations. The G</w:t>
      </w:r>
      <w:r w:rsidR="002D6C79" w:rsidRPr="00B3647D">
        <w:rPr>
          <w:rFonts w:ascii="Arial" w:hAnsi="Arial" w:cs="Arial"/>
        </w:rPr>
        <w:t xml:space="preserve">SPP </w:t>
      </w:r>
      <w:r w:rsidRPr="002E7E31">
        <w:rPr>
          <w:rFonts w:ascii="Arial" w:hAnsi="Arial" w:cs="Arial"/>
        </w:rPr>
        <w:t>integration in 2026</w:t>
      </w:r>
      <w:r w:rsidR="002D6C79" w:rsidRPr="00B3647D">
        <w:rPr>
          <w:rFonts w:ascii="Arial" w:hAnsi="Arial" w:cs="Arial"/>
        </w:rPr>
        <w:t>–</w:t>
      </w:r>
      <w:r w:rsidRPr="002E7E31">
        <w:rPr>
          <w:rFonts w:ascii="Arial" w:hAnsi="Arial" w:cs="Arial"/>
        </w:rPr>
        <w:t xml:space="preserve">27 will demonstrate the process for adding future programs to </w:t>
      </w:r>
      <w:r w:rsidR="001F2658">
        <w:rPr>
          <w:rFonts w:ascii="Arial" w:hAnsi="Arial" w:cs="Arial"/>
        </w:rPr>
        <w:t xml:space="preserve">the </w:t>
      </w:r>
      <w:r w:rsidRPr="002E7E31">
        <w:rPr>
          <w:rFonts w:ascii="Arial" w:hAnsi="Arial" w:cs="Arial"/>
        </w:rPr>
        <w:t>PGMS.</w:t>
      </w:r>
    </w:p>
    <w:p w14:paraId="1DAB8811" w14:textId="5AE21E07" w:rsidR="00B3647D" w:rsidRPr="00B3647D" w:rsidRDefault="002E7E31" w:rsidP="00A359E2">
      <w:pPr>
        <w:spacing w:before="240" w:after="240" w:line="240" w:lineRule="auto"/>
        <w:rPr>
          <w:rFonts w:ascii="Arial" w:hAnsi="Arial" w:cs="Arial"/>
        </w:rPr>
      </w:pPr>
      <w:r w:rsidRPr="002E7E31">
        <w:rPr>
          <w:rFonts w:ascii="Arial" w:hAnsi="Arial" w:cs="Arial"/>
        </w:rPr>
        <w:t>This implementation fulfills the legislative intent articulated in A</w:t>
      </w:r>
      <w:r w:rsidR="00D053A5">
        <w:rPr>
          <w:rFonts w:ascii="Arial" w:hAnsi="Arial" w:cs="Arial"/>
        </w:rPr>
        <w:t>B</w:t>
      </w:r>
      <w:r w:rsidRPr="002E7E31">
        <w:rPr>
          <w:rFonts w:ascii="Arial" w:hAnsi="Arial" w:cs="Arial"/>
        </w:rPr>
        <w:t xml:space="preserve"> 121, Section 69 to promote alignment and comprehensive planning across </w:t>
      </w:r>
      <w:r w:rsidR="002D6C79" w:rsidRPr="00B3647D">
        <w:rPr>
          <w:rFonts w:ascii="Arial" w:hAnsi="Arial" w:cs="Arial"/>
        </w:rPr>
        <w:t>CTE</w:t>
      </w:r>
      <w:r w:rsidRPr="002E7E31">
        <w:rPr>
          <w:rFonts w:ascii="Arial" w:hAnsi="Arial" w:cs="Arial"/>
        </w:rPr>
        <w:t xml:space="preserve"> programs to the greatest extent possible given statutory and operational constraints, while maintaining the individual program characteristics required by law.</w:t>
      </w:r>
    </w:p>
    <w:sectPr w:rsidR="00B3647D" w:rsidRPr="00B3647D" w:rsidSect="00823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EE8E" w14:textId="77777777" w:rsidR="002F7983" w:rsidRDefault="002F7983">
      <w:pPr>
        <w:spacing w:after="0" w:line="240" w:lineRule="auto"/>
      </w:pPr>
      <w:r>
        <w:separator/>
      </w:r>
    </w:p>
  </w:endnote>
  <w:endnote w:type="continuationSeparator" w:id="0">
    <w:p w14:paraId="7213058E" w14:textId="77777777" w:rsidR="002F7983" w:rsidRDefault="002F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3247"/>
      <w:docPartObj>
        <w:docPartGallery w:val="Page Numbers (Bottom of Page)"/>
        <w:docPartUnique/>
      </w:docPartObj>
    </w:sdtPr>
    <w:sdtEndPr>
      <w:rPr>
        <w:noProof/>
      </w:rPr>
    </w:sdtEndPr>
    <w:sdtContent>
      <w:p w14:paraId="04EE4AF3" w14:textId="77777777" w:rsidR="00252848" w:rsidRDefault="00252848">
        <w:pPr>
          <w:pStyle w:val="Footer"/>
          <w:jc w:val="center"/>
        </w:pPr>
        <w:r w:rsidRPr="006B284C">
          <w:rPr>
            <w:rFonts w:ascii="Arial" w:hAnsi="Arial" w:cs="Arial"/>
          </w:rPr>
          <w:fldChar w:fldCharType="begin"/>
        </w:r>
        <w:r w:rsidRPr="006B284C">
          <w:rPr>
            <w:rFonts w:ascii="Arial" w:hAnsi="Arial" w:cs="Arial"/>
          </w:rPr>
          <w:instrText xml:space="preserve"> PAGE   \* MERGEFORMAT </w:instrText>
        </w:r>
        <w:r w:rsidRPr="006B284C">
          <w:rPr>
            <w:rFonts w:ascii="Arial" w:hAnsi="Arial" w:cs="Arial"/>
          </w:rPr>
          <w:fldChar w:fldCharType="separate"/>
        </w:r>
        <w:r w:rsidRPr="006B284C">
          <w:rPr>
            <w:rFonts w:ascii="Arial" w:hAnsi="Arial" w:cs="Arial"/>
            <w:noProof/>
          </w:rPr>
          <w:t>2</w:t>
        </w:r>
        <w:r w:rsidRPr="006B284C">
          <w:rPr>
            <w:rFonts w:ascii="Arial" w:hAnsi="Arial" w:cs="Arial"/>
            <w:noProof/>
          </w:rPr>
          <w:fldChar w:fldCharType="end"/>
        </w:r>
      </w:p>
    </w:sdtContent>
  </w:sdt>
  <w:p w14:paraId="44BDFF61" w14:textId="77777777" w:rsidR="00252848" w:rsidRDefault="0025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584E" w14:textId="77777777" w:rsidR="002F7983" w:rsidRDefault="002F7983">
      <w:pPr>
        <w:spacing w:after="0" w:line="240" w:lineRule="auto"/>
      </w:pPr>
      <w:r>
        <w:separator/>
      </w:r>
    </w:p>
  </w:footnote>
  <w:footnote w:type="continuationSeparator" w:id="0">
    <w:p w14:paraId="6C07CA04" w14:textId="77777777" w:rsidR="002F7983" w:rsidRDefault="002F7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611F5"/>
    <w:multiLevelType w:val="hybridMultilevel"/>
    <w:tmpl w:val="B4801714"/>
    <w:lvl w:ilvl="0" w:tplc="C478CD62">
      <w:numFmt w:val="bullet"/>
      <w:lvlText w:val="-"/>
      <w:lvlJc w:val="left"/>
      <w:pPr>
        <w:ind w:left="420" w:hanging="360"/>
      </w:pPr>
      <w:rPr>
        <w:rFonts w:ascii="Arial" w:eastAsiaTheme="minorHAns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2266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7C"/>
    <w:rsid w:val="00024BED"/>
    <w:rsid w:val="000432D0"/>
    <w:rsid w:val="0007048E"/>
    <w:rsid w:val="00070B73"/>
    <w:rsid w:val="00085114"/>
    <w:rsid w:val="000A6148"/>
    <w:rsid w:val="000A6AD4"/>
    <w:rsid w:val="000E1434"/>
    <w:rsid w:val="000E1B14"/>
    <w:rsid w:val="000E7287"/>
    <w:rsid w:val="00102E91"/>
    <w:rsid w:val="00104353"/>
    <w:rsid w:val="001156A0"/>
    <w:rsid w:val="001174C4"/>
    <w:rsid w:val="00135F9F"/>
    <w:rsid w:val="0014367A"/>
    <w:rsid w:val="001459DB"/>
    <w:rsid w:val="00150D06"/>
    <w:rsid w:val="0015581A"/>
    <w:rsid w:val="001712FA"/>
    <w:rsid w:val="001842E3"/>
    <w:rsid w:val="00197DCB"/>
    <w:rsid w:val="001B13DC"/>
    <w:rsid w:val="001B7AAF"/>
    <w:rsid w:val="001D6CE7"/>
    <w:rsid w:val="001F2658"/>
    <w:rsid w:val="001F4ADC"/>
    <w:rsid w:val="001F77F8"/>
    <w:rsid w:val="0020134A"/>
    <w:rsid w:val="00213DB3"/>
    <w:rsid w:val="00230DF5"/>
    <w:rsid w:val="00251385"/>
    <w:rsid w:val="00252848"/>
    <w:rsid w:val="002557B9"/>
    <w:rsid w:val="00257786"/>
    <w:rsid w:val="00260CE7"/>
    <w:rsid w:val="0026277F"/>
    <w:rsid w:val="00262806"/>
    <w:rsid w:val="00274D21"/>
    <w:rsid w:val="00285054"/>
    <w:rsid w:val="0029015D"/>
    <w:rsid w:val="0029183A"/>
    <w:rsid w:val="00291E15"/>
    <w:rsid w:val="002A2885"/>
    <w:rsid w:val="002A2BF7"/>
    <w:rsid w:val="002A3883"/>
    <w:rsid w:val="002A4623"/>
    <w:rsid w:val="002A6C38"/>
    <w:rsid w:val="002B098A"/>
    <w:rsid w:val="002B2AA0"/>
    <w:rsid w:val="002B4919"/>
    <w:rsid w:val="002B7A4D"/>
    <w:rsid w:val="002C0C8A"/>
    <w:rsid w:val="002D0C4A"/>
    <w:rsid w:val="002D6C79"/>
    <w:rsid w:val="002E5E7F"/>
    <w:rsid w:val="002E7E31"/>
    <w:rsid w:val="002F129B"/>
    <w:rsid w:val="002F7983"/>
    <w:rsid w:val="0033197F"/>
    <w:rsid w:val="00341501"/>
    <w:rsid w:val="00341EB3"/>
    <w:rsid w:val="00345B55"/>
    <w:rsid w:val="003518B2"/>
    <w:rsid w:val="00355107"/>
    <w:rsid w:val="0037771D"/>
    <w:rsid w:val="00377F2F"/>
    <w:rsid w:val="0038312B"/>
    <w:rsid w:val="00383883"/>
    <w:rsid w:val="0039101C"/>
    <w:rsid w:val="00395AD0"/>
    <w:rsid w:val="003D672E"/>
    <w:rsid w:val="003E3E56"/>
    <w:rsid w:val="003E617B"/>
    <w:rsid w:val="003E6A1E"/>
    <w:rsid w:val="003E728F"/>
    <w:rsid w:val="003F7EC4"/>
    <w:rsid w:val="00420B97"/>
    <w:rsid w:val="004210F0"/>
    <w:rsid w:val="004447E2"/>
    <w:rsid w:val="00453A78"/>
    <w:rsid w:val="00453D2C"/>
    <w:rsid w:val="004604EE"/>
    <w:rsid w:val="0046489D"/>
    <w:rsid w:val="00470EE3"/>
    <w:rsid w:val="00472268"/>
    <w:rsid w:val="00481B65"/>
    <w:rsid w:val="00491361"/>
    <w:rsid w:val="004954C1"/>
    <w:rsid w:val="004B2940"/>
    <w:rsid w:val="004D3B42"/>
    <w:rsid w:val="004E5E19"/>
    <w:rsid w:val="005036DC"/>
    <w:rsid w:val="005061C1"/>
    <w:rsid w:val="00517D6A"/>
    <w:rsid w:val="00520E0E"/>
    <w:rsid w:val="00550CB7"/>
    <w:rsid w:val="005734A6"/>
    <w:rsid w:val="0058730E"/>
    <w:rsid w:val="005876FF"/>
    <w:rsid w:val="005963CD"/>
    <w:rsid w:val="005A2261"/>
    <w:rsid w:val="005B0328"/>
    <w:rsid w:val="005C0CAE"/>
    <w:rsid w:val="005C222D"/>
    <w:rsid w:val="005C5545"/>
    <w:rsid w:val="005D3747"/>
    <w:rsid w:val="005D7301"/>
    <w:rsid w:val="005E19AE"/>
    <w:rsid w:val="005E3279"/>
    <w:rsid w:val="005E41F7"/>
    <w:rsid w:val="005F48D1"/>
    <w:rsid w:val="005F6B82"/>
    <w:rsid w:val="00600A8E"/>
    <w:rsid w:val="00606B68"/>
    <w:rsid w:val="00607663"/>
    <w:rsid w:val="00616073"/>
    <w:rsid w:val="00630BAF"/>
    <w:rsid w:val="00631F08"/>
    <w:rsid w:val="0063277C"/>
    <w:rsid w:val="0063280B"/>
    <w:rsid w:val="00633560"/>
    <w:rsid w:val="0063628E"/>
    <w:rsid w:val="006429BC"/>
    <w:rsid w:val="00656A0E"/>
    <w:rsid w:val="00661351"/>
    <w:rsid w:val="0068139F"/>
    <w:rsid w:val="00681F65"/>
    <w:rsid w:val="00691448"/>
    <w:rsid w:val="0069329E"/>
    <w:rsid w:val="006A0199"/>
    <w:rsid w:val="006B284C"/>
    <w:rsid w:val="0070624F"/>
    <w:rsid w:val="0071313D"/>
    <w:rsid w:val="00713841"/>
    <w:rsid w:val="007171CF"/>
    <w:rsid w:val="00744DBB"/>
    <w:rsid w:val="00746550"/>
    <w:rsid w:val="00766C5A"/>
    <w:rsid w:val="00781304"/>
    <w:rsid w:val="00791A3F"/>
    <w:rsid w:val="007A339C"/>
    <w:rsid w:val="007A5C04"/>
    <w:rsid w:val="007C19DF"/>
    <w:rsid w:val="007C4621"/>
    <w:rsid w:val="007C6EF9"/>
    <w:rsid w:val="007E0BFA"/>
    <w:rsid w:val="007E25D5"/>
    <w:rsid w:val="007E3BB5"/>
    <w:rsid w:val="007F2B95"/>
    <w:rsid w:val="008130CD"/>
    <w:rsid w:val="008239D8"/>
    <w:rsid w:val="00823B14"/>
    <w:rsid w:val="008270FE"/>
    <w:rsid w:val="00830BA9"/>
    <w:rsid w:val="00834CC0"/>
    <w:rsid w:val="00835502"/>
    <w:rsid w:val="00837E32"/>
    <w:rsid w:val="0084661A"/>
    <w:rsid w:val="00855A3B"/>
    <w:rsid w:val="008651F5"/>
    <w:rsid w:val="00877EA9"/>
    <w:rsid w:val="008850C5"/>
    <w:rsid w:val="0088553D"/>
    <w:rsid w:val="008873D4"/>
    <w:rsid w:val="00894A15"/>
    <w:rsid w:val="008A538D"/>
    <w:rsid w:val="008A6E8E"/>
    <w:rsid w:val="008C051A"/>
    <w:rsid w:val="008C350A"/>
    <w:rsid w:val="008E2275"/>
    <w:rsid w:val="008F3361"/>
    <w:rsid w:val="0090430D"/>
    <w:rsid w:val="00921125"/>
    <w:rsid w:val="009301D2"/>
    <w:rsid w:val="00932902"/>
    <w:rsid w:val="00932C9C"/>
    <w:rsid w:val="00933453"/>
    <w:rsid w:val="00941030"/>
    <w:rsid w:val="0095159F"/>
    <w:rsid w:val="00951A36"/>
    <w:rsid w:val="00955A8C"/>
    <w:rsid w:val="00962A84"/>
    <w:rsid w:val="00965D4A"/>
    <w:rsid w:val="00970867"/>
    <w:rsid w:val="009A1C16"/>
    <w:rsid w:val="009A2337"/>
    <w:rsid w:val="009C11B8"/>
    <w:rsid w:val="009C2636"/>
    <w:rsid w:val="009D04DB"/>
    <w:rsid w:val="009D29EA"/>
    <w:rsid w:val="009D74B1"/>
    <w:rsid w:val="009E5FDD"/>
    <w:rsid w:val="00A03483"/>
    <w:rsid w:val="00A050DD"/>
    <w:rsid w:val="00A124FE"/>
    <w:rsid w:val="00A227C7"/>
    <w:rsid w:val="00A3404F"/>
    <w:rsid w:val="00A359E2"/>
    <w:rsid w:val="00A4785C"/>
    <w:rsid w:val="00A512AE"/>
    <w:rsid w:val="00A518B6"/>
    <w:rsid w:val="00A53E96"/>
    <w:rsid w:val="00A6154D"/>
    <w:rsid w:val="00A61E7F"/>
    <w:rsid w:val="00A663F6"/>
    <w:rsid w:val="00A7067A"/>
    <w:rsid w:val="00A84497"/>
    <w:rsid w:val="00A85D3D"/>
    <w:rsid w:val="00A91C26"/>
    <w:rsid w:val="00AA70E0"/>
    <w:rsid w:val="00AC0E45"/>
    <w:rsid w:val="00AC2D66"/>
    <w:rsid w:val="00AD2826"/>
    <w:rsid w:val="00AD397C"/>
    <w:rsid w:val="00B06E28"/>
    <w:rsid w:val="00B24741"/>
    <w:rsid w:val="00B33479"/>
    <w:rsid w:val="00B3647D"/>
    <w:rsid w:val="00B37DD9"/>
    <w:rsid w:val="00B5489B"/>
    <w:rsid w:val="00B625F8"/>
    <w:rsid w:val="00B81620"/>
    <w:rsid w:val="00B9070A"/>
    <w:rsid w:val="00B97AF5"/>
    <w:rsid w:val="00BA3B95"/>
    <w:rsid w:val="00BC0AC9"/>
    <w:rsid w:val="00BD01A0"/>
    <w:rsid w:val="00BD1BF0"/>
    <w:rsid w:val="00BD5F6B"/>
    <w:rsid w:val="00BD6458"/>
    <w:rsid w:val="00BE0184"/>
    <w:rsid w:val="00BE72F8"/>
    <w:rsid w:val="00BF101A"/>
    <w:rsid w:val="00C372EF"/>
    <w:rsid w:val="00C533AE"/>
    <w:rsid w:val="00C56DFC"/>
    <w:rsid w:val="00C6726B"/>
    <w:rsid w:val="00C75280"/>
    <w:rsid w:val="00C80CD0"/>
    <w:rsid w:val="00C83EED"/>
    <w:rsid w:val="00C841CC"/>
    <w:rsid w:val="00C858B8"/>
    <w:rsid w:val="00C91C7E"/>
    <w:rsid w:val="00CA29FC"/>
    <w:rsid w:val="00CA7FB1"/>
    <w:rsid w:val="00CC303B"/>
    <w:rsid w:val="00CE6160"/>
    <w:rsid w:val="00CE7E50"/>
    <w:rsid w:val="00D01A2E"/>
    <w:rsid w:val="00D032A8"/>
    <w:rsid w:val="00D053A5"/>
    <w:rsid w:val="00D10702"/>
    <w:rsid w:val="00D1416B"/>
    <w:rsid w:val="00D15B1D"/>
    <w:rsid w:val="00D17D80"/>
    <w:rsid w:val="00D20912"/>
    <w:rsid w:val="00D239B1"/>
    <w:rsid w:val="00D3075C"/>
    <w:rsid w:val="00D328CF"/>
    <w:rsid w:val="00D373B8"/>
    <w:rsid w:val="00D400A4"/>
    <w:rsid w:val="00D40CC0"/>
    <w:rsid w:val="00D62BC4"/>
    <w:rsid w:val="00D672ED"/>
    <w:rsid w:val="00D92743"/>
    <w:rsid w:val="00D9363F"/>
    <w:rsid w:val="00D97817"/>
    <w:rsid w:val="00DA3A0B"/>
    <w:rsid w:val="00DA3DF1"/>
    <w:rsid w:val="00DA747C"/>
    <w:rsid w:val="00DB2657"/>
    <w:rsid w:val="00DC4358"/>
    <w:rsid w:val="00DC6E5B"/>
    <w:rsid w:val="00DD3FB7"/>
    <w:rsid w:val="00DE10FF"/>
    <w:rsid w:val="00DE250B"/>
    <w:rsid w:val="00DE7015"/>
    <w:rsid w:val="00DF0497"/>
    <w:rsid w:val="00E261C4"/>
    <w:rsid w:val="00E26A6C"/>
    <w:rsid w:val="00E33F2F"/>
    <w:rsid w:val="00E37252"/>
    <w:rsid w:val="00E43D7D"/>
    <w:rsid w:val="00E510F4"/>
    <w:rsid w:val="00E56813"/>
    <w:rsid w:val="00E70061"/>
    <w:rsid w:val="00E75D1B"/>
    <w:rsid w:val="00E82DFC"/>
    <w:rsid w:val="00E96024"/>
    <w:rsid w:val="00EA4F15"/>
    <w:rsid w:val="00EB734C"/>
    <w:rsid w:val="00EC3514"/>
    <w:rsid w:val="00EC37AC"/>
    <w:rsid w:val="00EC7DF7"/>
    <w:rsid w:val="00ED709E"/>
    <w:rsid w:val="00ED71E3"/>
    <w:rsid w:val="00EE0A8F"/>
    <w:rsid w:val="00EE4A85"/>
    <w:rsid w:val="00EF7DDD"/>
    <w:rsid w:val="00F16688"/>
    <w:rsid w:val="00F2480F"/>
    <w:rsid w:val="00F44E3F"/>
    <w:rsid w:val="00F50FB5"/>
    <w:rsid w:val="00F54B40"/>
    <w:rsid w:val="00F60A17"/>
    <w:rsid w:val="00F6554D"/>
    <w:rsid w:val="00F744DC"/>
    <w:rsid w:val="00F763DF"/>
    <w:rsid w:val="00F85F1F"/>
    <w:rsid w:val="00F92170"/>
    <w:rsid w:val="00F921EB"/>
    <w:rsid w:val="00FB05FB"/>
    <w:rsid w:val="00FB2D52"/>
    <w:rsid w:val="00FC1F38"/>
    <w:rsid w:val="00FC46AD"/>
    <w:rsid w:val="00FC4F01"/>
    <w:rsid w:val="00FC7A3A"/>
    <w:rsid w:val="00FD1FEB"/>
    <w:rsid w:val="00FD4542"/>
    <w:rsid w:val="00FF62DF"/>
    <w:rsid w:val="016EF0B0"/>
    <w:rsid w:val="01C16B18"/>
    <w:rsid w:val="01E7D3FD"/>
    <w:rsid w:val="0231C36E"/>
    <w:rsid w:val="0265559D"/>
    <w:rsid w:val="02EF7DC2"/>
    <w:rsid w:val="0309B515"/>
    <w:rsid w:val="06D2245B"/>
    <w:rsid w:val="089E0F0E"/>
    <w:rsid w:val="08CEF57F"/>
    <w:rsid w:val="093635D0"/>
    <w:rsid w:val="0984CC74"/>
    <w:rsid w:val="0ABBC4B5"/>
    <w:rsid w:val="0B218FD3"/>
    <w:rsid w:val="0C7ECE3A"/>
    <w:rsid w:val="0D5CF584"/>
    <w:rsid w:val="0F29192D"/>
    <w:rsid w:val="0F98DF00"/>
    <w:rsid w:val="0FBC4BE7"/>
    <w:rsid w:val="10A763B8"/>
    <w:rsid w:val="112698E2"/>
    <w:rsid w:val="11F3493B"/>
    <w:rsid w:val="11FDB92A"/>
    <w:rsid w:val="123BBC58"/>
    <w:rsid w:val="1251994C"/>
    <w:rsid w:val="13918790"/>
    <w:rsid w:val="163C41BB"/>
    <w:rsid w:val="165F9A3E"/>
    <w:rsid w:val="16AD9B8D"/>
    <w:rsid w:val="17764068"/>
    <w:rsid w:val="1A6EB029"/>
    <w:rsid w:val="1AD93FF9"/>
    <w:rsid w:val="1B2664EB"/>
    <w:rsid w:val="1B4E2CA9"/>
    <w:rsid w:val="1BC5F769"/>
    <w:rsid w:val="1BCE4E81"/>
    <w:rsid w:val="1BFC275E"/>
    <w:rsid w:val="1C45043E"/>
    <w:rsid w:val="1C8DF968"/>
    <w:rsid w:val="1D83DF1D"/>
    <w:rsid w:val="1E9F6BA7"/>
    <w:rsid w:val="1ED64E86"/>
    <w:rsid w:val="1F18FB60"/>
    <w:rsid w:val="1F5D8F30"/>
    <w:rsid w:val="1FFACAF0"/>
    <w:rsid w:val="2010BEA1"/>
    <w:rsid w:val="21FAFB75"/>
    <w:rsid w:val="23336D56"/>
    <w:rsid w:val="24527DE9"/>
    <w:rsid w:val="25CB3E93"/>
    <w:rsid w:val="26978D97"/>
    <w:rsid w:val="269FA7FF"/>
    <w:rsid w:val="26A808A0"/>
    <w:rsid w:val="2834CC72"/>
    <w:rsid w:val="291F7F99"/>
    <w:rsid w:val="2974E441"/>
    <w:rsid w:val="2A0F244B"/>
    <w:rsid w:val="2AFA3CC2"/>
    <w:rsid w:val="2B052C4E"/>
    <w:rsid w:val="2C04580E"/>
    <w:rsid w:val="2C454179"/>
    <w:rsid w:val="2CAEB1D6"/>
    <w:rsid w:val="2E217446"/>
    <w:rsid w:val="2EDC1DCA"/>
    <w:rsid w:val="2EF514AA"/>
    <w:rsid w:val="3010DAE4"/>
    <w:rsid w:val="30C36C57"/>
    <w:rsid w:val="30FFBAB0"/>
    <w:rsid w:val="318962C7"/>
    <w:rsid w:val="32957827"/>
    <w:rsid w:val="32BA1B94"/>
    <w:rsid w:val="346D517E"/>
    <w:rsid w:val="349B0870"/>
    <w:rsid w:val="36801F3F"/>
    <w:rsid w:val="36B45994"/>
    <w:rsid w:val="376E6583"/>
    <w:rsid w:val="39724BB8"/>
    <w:rsid w:val="39D40601"/>
    <w:rsid w:val="3B0B5B07"/>
    <w:rsid w:val="3B18E181"/>
    <w:rsid w:val="3B2AB9E1"/>
    <w:rsid w:val="3BD44A77"/>
    <w:rsid w:val="3BE32A8F"/>
    <w:rsid w:val="3C50CF13"/>
    <w:rsid w:val="3D1C2BC0"/>
    <w:rsid w:val="3DCAAE23"/>
    <w:rsid w:val="3E353F5A"/>
    <w:rsid w:val="3E83D308"/>
    <w:rsid w:val="3EAAA2E1"/>
    <w:rsid w:val="400E7876"/>
    <w:rsid w:val="412A2F49"/>
    <w:rsid w:val="414BF3C5"/>
    <w:rsid w:val="41A1F134"/>
    <w:rsid w:val="41E80CE1"/>
    <w:rsid w:val="458BE350"/>
    <w:rsid w:val="47C0D3C0"/>
    <w:rsid w:val="47F5AE95"/>
    <w:rsid w:val="4A6C716E"/>
    <w:rsid w:val="4B938A64"/>
    <w:rsid w:val="4B9DB253"/>
    <w:rsid w:val="4BBAE399"/>
    <w:rsid w:val="4BC49F73"/>
    <w:rsid w:val="4C59B80B"/>
    <w:rsid w:val="4C672733"/>
    <w:rsid w:val="4D651ED3"/>
    <w:rsid w:val="4F05864D"/>
    <w:rsid w:val="4F6C19D0"/>
    <w:rsid w:val="4FC40F09"/>
    <w:rsid w:val="515DAF1F"/>
    <w:rsid w:val="52F34D69"/>
    <w:rsid w:val="52FD9323"/>
    <w:rsid w:val="5364B3EE"/>
    <w:rsid w:val="539F4EB3"/>
    <w:rsid w:val="57117506"/>
    <w:rsid w:val="576CE391"/>
    <w:rsid w:val="5800C212"/>
    <w:rsid w:val="581B0A57"/>
    <w:rsid w:val="58B3DAD5"/>
    <w:rsid w:val="58B3EF6F"/>
    <w:rsid w:val="58B8E646"/>
    <w:rsid w:val="59037E18"/>
    <w:rsid w:val="5929C352"/>
    <w:rsid w:val="59BBAE79"/>
    <w:rsid w:val="59E3E338"/>
    <w:rsid w:val="5BD95CBF"/>
    <w:rsid w:val="5BDC2495"/>
    <w:rsid w:val="5D83300E"/>
    <w:rsid w:val="5E3E1A1A"/>
    <w:rsid w:val="60D6C753"/>
    <w:rsid w:val="62A3B608"/>
    <w:rsid w:val="632814E6"/>
    <w:rsid w:val="63EAA9EB"/>
    <w:rsid w:val="644F2BD6"/>
    <w:rsid w:val="65180CC1"/>
    <w:rsid w:val="65B59D7C"/>
    <w:rsid w:val="6621A6E2"/>
    <w:rsid w:val="6938179E"/>
    <w:rsid w:val="69385875"/>
    <w:rsid w:val="69F48016"/>
    <w:rsid w:val="6A4487EF"/>
    <w:rsid w:val="6B34710E"/>
    <w:rsid w:val="6C268458"/>
    <w:rsid w:val="6C9B22A5"/>
    <w:rsid w:val="6CB449FA"/>
    <w:rsid w:val="6DABE7F0"/>
    <w:rsid w:val="6F0C2E7D"/>
    <w:rsid w:val="6F1C2376"/>
    <w:rsid w:val="6F2019E5"/>
    <w:rsid w:val="7085269C"/>
    <w:rsid w:val="71B9491A"/>
    <w:rsid w:val="71C7ACDB"/>
    <w:rsid w:val="7272726E"/>
    <w:rsid w:val="72AD79D6"/>
    <w:rsid w:val="72B67B47"/>
    <w:rsid w:val="73919478"/>
    <w:rsid w:val="757BFC7C"/>
    <w:rsid w:val="75EEE723"/>
    <w:rsid w:val="78AF6D8A"/>
    <w:rsid w:val="7AA90EDC"/>
    <w:rsid w:val="7C0C7D13"/>
    <w:rsid w:val="7CB331CF"/>
    <w:rsid w:val="7CF73877"/>
    <w:rsid w:val="7FC14401"/>
    <w:rsid w:val="7FD33D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0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688"/>
    <w:pPr>
      <w:pBdr>
        <w:top w:val="single" w:sz="24" w:space="1" w:color="auto"/>
        <w:left w:val="single" w:sz="24" w:space="4" w:color="auto"/>
        <w:bottom w:val="single" w:sz="24" w:space="1" w:color="auto"/>
        <w:right w:val="single" w:sz="24" w:space="4" w:color="auto"/>
      </w:pBdr>
      <w:spacing w:before="240" w:after="240" w:line="240" w:lineRule="auto"/>
      <w:jc w:val="center"/>
      <w:outlineLvl w:val="0"/>
    </w:pPr>
    <w:rPr>
      <w:rFonts w:ascii="Arial" w:eastAsia="Times New Roman" w:hAnsi="Arial" w:cs="Arial"/>
      <w:b/>
      <w:kern w:val="0"/>
      <w:sz w:val="28"/>
      <w:szCs w:val="28"/>
      <w14:ligatures w14:val="none"/>
    </w:rPr>
  </w:style>
  <w:style w:type="paragraph" w:styleId="Heading2">
    <w:name w:val="heading 2"/>
    <w:basedOn w:val="Normal"/>
    <w:next w:val="Normal"/>
    <w:link w:val="Heading2Char"/>
    <w:unhideWhenUsed/>
    <w:qFormat/>
    <w:rsid w:val="00C858B8"/>
    <w:pPr>
      <w:keepNext/>
      <w:keepLines/>
      <w:spacing w:before="160" w:after="80"/>
      <w:jc w:val="center"/>
      <w:outlineLvl w:val="1"/>
    </w:pPr>
    <w:rPr>
      <w:rFonts w:ascii="Arial" w:eastAsia="Times New Roman" w:hAnsi="Arial" w:cs="Arial"/>
      <w:b/>
      <w:bCs/>
      <w:sz w:val="28"/>
      <w:szCs w:val="28"/>
    </w:rPr>
  </w:style>
  <w:style w:type="paragraph" w:styleId="Heading3">
    <w:name w:val="heading 3"/>
    <w:basedOn w:val="Normal"/>
    <w:next w:val="Normal"/>
    <w:link w:val="Heading3Char"/>
    <w:autoRedefine/>
    <w:uiPriority w:val="9"/>
    <w:unhideWhenUsed/>
    <w:qFormat/>
    <w:rsid w:val="00A124FE"/>
    <w:pPr>
      <w:keepNext/>
      <w:keepLines/>
      <w:spacing w:before="360" w:after="240"/>
      <w:outlineLvl w:val="2"/>
    </w:pPr>
    <w:rPr>
      <w:rFonts w:ascii="Arial" w:eastAsiaTheme="majorEastAsia" w:hAnsi="Arial" w:cs="Arial"/>
      <w:b/>
      <w:bCs/>
      <w:sz w:val="26"/>
    </w:rPr>
  </w:style>
  <w:style w:type="paragraph" w:styleId="Heading4">
    <w:name w:val="heading 4"/>
    <w:basedOn w:val="Normal"/>
    <w:next w:val="Normal"/>
    <w:link w:val="Heading4Char"/>
    <w:uiPriority w:val="9"/>
    <w:semiHidden/>
    <w:unhideWhenUsed/>
    <w:qFormat/>
    <w:rsid w:val="0063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688"/>
    <w:rPr>
      <w:rFonts w:ascii="Arial" w:eastAsia="Times New Roman" w:hAnsi="Arial" w:cs="Arial"/>
      <w:b/>
      <w:kern w:val="0"/>
      <w:sz w:val="28"/>
      <w:szCs w:val="28"/>
      <w14:ligatures w14:val="none"/>
    </w:rPr>
  </w:style>
  <w:style w:type="character" w:customStyle="1" w:styleId="Heading2Char">
    <w:name w:val="Heading 2 Char"/>
    <w:basedOn w:val="DefaultParagraphFont"/>
    <w:link w:val="Heading2"/>
    <w:rsid w:val="00C858B8"/>
    <w:rPr>
      <w:rFonts w:ascii="Arial" w:eastAsia="Times New Roman" w:hAnsi="Arial" w:cs="Arial"/>
      <w:b/>
      <w:bCs/>
      <w:sz w:val="28"/>
      <w:szCs w:val="28"/>
    </w:rPr>
  </w:style>
  <w:style w:type="character" w:customStyle="1" w:styleId="Heading3Char">
    <w:name w:val="Heading 3 Char"/>
    <w:basedOn w:val="DefaultParagraphFont"/>
    <w:link w:val="Heading3"/>
    <w:uiPriority w:val="9"/>
    <w:rsid w:val="00A124FE"/>
    <w:rPr>
      <w:rFonts w:ascii="Arial" w:eastAsiaTheme="majorEastAsia" w:hAnsi="Arial" w:cs="Arial"/>
      <w:b/>
      <w:bCs/>
      <w:sz w:val="26"/>
    </w:rPr>
  </w:style>
  <w:style w:type="character" w:customStyle="1" w:styleId="Heading4Char">
    <w:name w:val="Heading 4 Char"/>
    <w:basedOn w:val="DefaultParagraphFont"/>
    <w:link w:val="Heading4"/>
    <w:uiPriority w:val="9"/>
    <w:semiHidden/>
    <w:rsid w:val="0063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7C"/>
    <w:rPr>
      <w:rFonts w:eastAsiaTheme="majorEastAsia" w:cstheme="majorBidi"/>
      <w:color w:val="272727" w:themeColor="text1" w:themeTint="D8"/>
    </w:rPr>
  </w:style>
  <w:style w:type="paragraph" w:styleId="Title">
    <w:name w:val="Title"/>
    <w:basedOn w:val="Normal"/>
    <w:next w:val="Normal"/>
    <w:link w:val="TitleChar"/>
    <w:uiPriority w:val="10"/>
    <w:qFormat/>
    <w:rsid w:val="0063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7C"/>
    <w:pPr>
      <w:spacing w:before="160"/>
      <w:jc w:val="center"/>
    </w:pPr>
    <w:rPr>
      <w:i/>
      <w:iCs/>
      <w:color w:val="404040" w:themeColor="text1" w:themeTint="BF"/>
    </w:rPr>
  </w:style>
  <w:style w:type="character" w:customStyle="1" w:styleId="QuoteChar">
    <w:name w:val="Quote Char"/>
    <w:basedOn w:val="DefaultParagraphFont"/>
    <w:link w:val="Quote"/>
    <w:uiPriority w:val="29"/>
    <w:rsid w:val="0063277C"/>
    <w:rPr>
      <w:i/>
      <w:iCs/>
      <w:color w:val="404040" w:themeColor="text1" w:themeTint="BF"/>
    </w:rPr>
  </w:style>
  <w:style w:type="paragraph" w:styleId="ListParagraph">
    <w:name w:val="List Paragraph"/>
    <w:basedOn w:val="Normal"/>
    <w:uiPriority w:val="34"/>
    <w:qFormat/>
    <w:rsid w:val="0063277C"/>
    <w:pPr>
      <w:ind w:left="720"/>
      <w:contextualSpacing/>
    </w:pPr>
  </w:style>
  <w:style w:type="character" w:styleId="IntenseEmphasis">
    <w:name w:val="Intense Emphasis"/>
    <w:basedOn w:val="DefaultParagraphFont"/>
    <w:uiPriority w:val="21"/>
    <w:qFormat/>
    <w:rsid w:val="0063277C"/>
    <w:rPr>
      <w:i/>
      <w:iCs/>
      <w:color w:val="0F4761" w:themeColor="accent1" w:themeShade="BF"/>
    </w:rPr>
  </w:style>
  <w:style w:type="paragraph" w:styleId="IntenseQuote">
    <w:name w:val="Intense Quote"/>
    <w:basedOn w:val="Normal"/>
    <w:next w:val="Normal"/>
    <w:link w:val="IntenseQuoteChar"/>
    <w:uiPriority w:val="30"/>
    <w:qFormat/>
    <w:rsid w:val="0063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7C"/>
    <w:rPr>
      <w:i/>
      <w:iCs/>
      <w:color w:val="0F4761" w:themeColor="accent1" w:themeShade="BF"/>
    </w:rPr>
  </w:style>
  <w:style w:type="character" w:styleId="IntenseReference">
    <w:name w:val="Intense Reference"/>
    <w:basedOn w:val="DefaultParagraphFont"/>
    <w:uiPriority w:val="32"/>
    <w:qFormat/>
    <w:rsid w:val="0063277C"/>
    <w:rPr>
      <w:b/>
      <w:bCs/>
      <w:smallCaps/>
      <w:color w:val="0F4761" w:themeColor="accent1" w:themeShade="BF"/>
      <w:spacing w:val="5"/>
    </w:rPr>
  </w:style>
  <w:style w:type="paragraph" w:styleId="Footer">
    <w:name w:val="footer"/>
    <w:basedOn w:val="Normal"/>
    <w:link w:val="FooterChar"/>
    <w:uiPriority w:val="99"/>
    <w:rsid w:val="00252848"/>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252848"/>
    <w:rPr>
      <w:rFonts w:ascii="Times New Roman" w:eastAsia="Times New Roman" w:hAnsi="Times New Roman" w:cs="Times New Roman"/>
      <w:kern w:val="0"/>
      <w14:ligatures w14:val="none"/>
    </w:rPr>
  </w:style>
  <w:style w:type="character" w:styleId="Hyperlink">
    <w:name w:val="Hyperlink"/>
    <w:uiPriority w:val="99"/>
    <w:rsid w:val="00C858B8"/>
    <w:rPr>
      <w:color w:val="0000FF"/>
      <w:u w:val="single"/>
    </w:rPr>
  </w:style>
  <w:style w:type="paragraph" w:styleId="Header">
    <w:name w:val="header"/>
    <w:basedOn w:val="Normal"/>
    <w:link w:val="HeaderChar"/>
    <w:rsid w:val="007E0BFA"/>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7E0BFA"/>
    <w:rPr>
      <w:rFonts w:ascii="Times New Roman" w:eastAsia="Times New Roman" w:hAnsi="Times New Roman" w:cs="Times New Roman"/>
      <w:kern w:val="0"/>
      <w14:ligatures w14:val="none"/>
    </w:rPr>
  </w:style>
  <w:style w:type="table" w:styleId="TableGrid">
    <w:name w:val="Table Grid"/>
    <w:basedOn w:val="TableNormal"/>
    <w:uiPriority w:val="39"/>
    <w:rsid w:val="0049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4785C"/>
    <w:pPr>
      <w:tabs>
        <w:tab w:val="right" w:leader="dot" w:pos="9350"/>
      </w:tabs>
      <w:spacing w:before="240" w:after="240"/>
      <w:ind w:left="240"/>
    </w:pPr>
  </w:style>
  <w:style w:type="paragraph" w:styleId="TOC3">
    <w:name w:val="toc 3"/>
    <w:basedOn w:val="Normal"/>
    <w:next w:val="Normal"/>
    <w:autoRedefine/>
    <w:uiPriority w:val="39"/>
    <w:unhideWhenUsed/>
    <w:rsid w:val="00B3647D"/>
    <w:pPr>
      <w:tabs>
        <w:tab w:val="right" w:leader="dot" w:pos="9350"/>
      </w:tabs>
      <w:spacing w:after="100"/>
      <w:ind w:left="480"/>
    </w:pPr>
    <w:rPr>
      <w:rFonts w:ascii="Arial" w:hAnsi="Arial" w:cs="Arial"/>
      <w:noProof/>
    </w:rPr>
  </w:style>
  <w:style w:type="character" w:styleId="UnresolvedMention">
    <w:name w:val="Unresolved Mention"/>
    <w:basedOn w:val="DefaultParagraphFont"/>
    <w:uiPriority w:val="99"/>
    <w:semiHidden/>
    <w:unhideWhenUsed/>
    <w:rsid w:val="008270FE"/>
    <w:rPr>
      <w:color w:val="605E5C"/>
      <w:shd w:val="clear" w:color="auto" w:fill="E1DFDD"/>
    </w:rPr>
  </w:style>
  <w:style w:type="paragraph" w:styleId="Revision">
    <w:name w:val="Revision"/>
    <w:hidden/>
    <w:uiPriority w:val="99"/>
    <w:semiHidden/>
    <w:rsid w:val="00DB2657"/>
    <w:pPr>
      <w:spacing w:after="0" w:line="240" w:lineRule="auto"/>
    </w:pPr>
  </w:style>
  <w:style w:type="character" w:styleId="CommentReference">
    <w:name w:val="annotation reference"/>
    <w:basedOn w:val="DefaultParagraphFont"/>
    <w:uiPriority w:val="99"/>
    <w:semiHidden/>
    <w:unhideWhenUsed/>
    <w:rsid w:val="00DB2657"/>
    <w:rPr>
      <w:sz w:val="16"/>
      <w:szCs w:val="16"/>
    </w:rPr>
  </w:style>
  <w:style w:type="paragraph" w:styleId="CommentText">
    <w:name w:val="annotation text"/>
    <w:basedOn w:val="Normal"/>
    <w:link w:val="CommentTextChar"/>
    <w:uiPriority w:val="99"/>
    <w:unhideWhenUsed/>
    <w:rsid w:val="00DB2657"/>
    <w:pPr>
      <w:spacing w:line="240" w:lineRule="auto"/>
    </w:pPr>
    <w:rPr>
      <w:sz w:val="20"/>
      <w:szCs w:val="20"/>
    </w:rPr>
  </w:style>
  <w:style w:type="character" w:customStyle="1" w:styleId="CommentTextChar">
    <w:name w:val="Comment Text Char"/>
    <w:basedOn w:val="DefaultParagraphFont"/>
    <w:link w:val="CommentText"/>
    <w:uiPriority w:val="99"/>
    <w:rsid w:val="00DB2657"/>
    <w:rPr>
      <w:sz w:val="20"/>
      <w:szCs w:val="20"/>
    </w:rPr>
  </w:style>
  <w:style w:type="paragraph" w:styleId="CommentSubject">
    <w:name w:val="annotation subject"/>
    <w:basedOn w:val="CommentText"/>
    <w:next w:val="CommentText"/>
    <w:link w:val="CommentSubjectChar"/>
    <w:uiPriority w:val="99"/>
    <w:semiHidden/>
    <w:unhideWhenUsed/>
    <w:rsid w:val="00DB2657"/>
    <w:rPr>
      <w:b/>
      <w:bCs/>
    </w:rPr>
  </w:style>
  <w:style w:type="character" w:customStyle="1" w:styleId="CommentSubjectChar">
    <w:name w:val="Comment Subject Char"/>
    <w:basedOn w:val="CommentTextChar"/>
    <w:link w:val="CommentSubject"/>
    <w:uiPriority w:val="99"/>
    <w:semiHidden/>
    <w:rsid w:val="00DB2657"/>
    <w:rPr>
      <w:b/>
      <w:bCs/>
      <w:sz w:val="20"/>
      <w:szCs w:val="20"/>
    </w:rPr>
  </w:style>
  <w:style w:type="character" w:styleId="FollowedHyperlink">
    <w:name w:val="FollowedHyperlink"/>
    <w:basedOn w:val="DefaultParagraphFont"/>
    <w:uiPriority w:val="99"/>
    <w:semiHidden/>
    <w:unhideWhenUsed/>
    <w:rsid w:val="003E72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ca.gov/ci/ct/gi/ctep25execsummar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ging.cde.ca.gov/ci/ct/gi/index.asp" TargetMode="External"/><Relationship Id="rId5" Type="http://schemas.openxmlformats.org/officeDocument/2006/relationships/footnotes" Target="footnotes.xml"/><Relationship Id="rId10" Type="http://schemas.openxmlformats.org/officeDocument/2006/relationships/hyperlink" Target="mailto:rmoran@cde.c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2970</Words>
  <Characters>19099</Characters>
  <Application>Microsoft Office Word</Application>
  <DocSecurity>0</DocSecurity>
  <Lines>434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Grant Streamlining Leg. Report - General Information (CA Dept of Education)</dc:title>
  <dc:subject>Report to the Legislature, the Department of Finance, and the State Board of Education: Streamlining of the Career Technical Education (CTE) Programs Overseen by the California Department of Education.</dc:subject>
  <dc:creator/>
  <cp:keywords/>
  <dc:description/>
  <cp:lastModifiedBy/>
  <cp:revision>1</cp:revision>
  <dcterms:created xsi:type="dcterms:W3CDTF">2026-03-03T17:44:00Z</dcterms:created>
  <dcterms:modified xsi:type="dcterms:W3CDTF">2026-03-03T20:23:00Z</dcterms:modified>
</cp:coreProperties>
</file>