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EFF0C" w14:textId="5F36672E" w:rsidR="005A5AD3" w:rsidRPr="00904448" w:rsidRDefault="005A5AD3" w:rsidP="005A5AD3">
      <w:pPr>
        <w:pStyle w:val="Header"/>
        <w:spacing w:after="0"/>
        <w:jc w:val="right"/>
        <w:rPr>
          <w:rFonts w:cs="Arial"/>
        </w:rPr>
      </w:pPr>
      <w:r w:rsidRPr="00904448">
        <w:rPr>
          <w:rFonts w:cs="Arial"/>
        </w:rPr>
        <w:t>California Workforce Pathways Joint Advisory Committee</w:t>
      </w:r>
    </w:p>
    <w:p w14:paraId="6B27CF93" w14:textId="3E0DAB6F" w:rsidR="005A5AD3" w:rsidRPr="00904448" w:rsidRDefault="005A5AD3" w:rsidP="005A5AD3">
      <w:pPr>
        <w:pStyle w:val="Header"/>
        <w:spacing w:after="120"/>
        <w:jc w:val="right"/>
        <w:rPr>
          <w:rFonts w:cs="Arial"/>
        </w:rPr>
      </w:pPr>
      <w:r w:rsidRPr="00904448">
        <w:rPr>
          <w:rFonts w:cs="Arial"/>
        </w:rPr>
        <w:t xml:space="preserve">Page </w:t>
      </w:r>
      <w:r w:rsidRPr="00904448">
        <w:rPr>
          <w:rFonts w:cs="Arial"/>
          <w:bCs/>
        </w:rPr>
        <w:fldChar w:fldCharType="begin"/>
      </w:r>
      <w:r w:rsidRPr="00904448">
        <w:rPr>
          <w:rFonts w:cs="Arial"/>
          <w:bCs/>
        </w:rPr>
        <w:instrText xml:space="preserve"> PAGE  \* Arabic  \* MERGEFORMAT </w:instrText>
      </w:r>
      <w:r w:rsidRPr="00904448">
        <w:rPr>
          <w:rFonts w:cs="Arial"/>
          <w:bCs/>
        </w:rPr>
        <w:fldChar w:fldCharType="separate"/>
      </w:r>
      <w:r w:rsidRPr="00904448">
        <w:rPr>
          <w:rFonts w:cs="Arial"/>
          <w:bCs/>
          <w:noProof/>
        </w:rPr>
        <w:t>1</w:t>
      </w:r>
      <w:r w:rsidRPr="00904448">
        <w:rPr>
          <w:rFonts w:cs="Arial"/>
          <w:bCs/>
        </w:rPr>
        <w:fldChar w:fldCharType="end"/>
      </w:r>
      <w:r w:rsidRPr="00904448">
        <w:rPr>
          <w:rFonts w:cs="Arial"/>
        </w:rPr>
        <w:t xml:space="preserve"> of</w:t>
      </w:r>
      <w:r w:rsidR="00CC3C0E" w:rsidRPr="00904448">
        <w:rPr>
          <w:rFonts w:cs="Arial"/>
        </w:rPr>
        <w:t xml:space="preserve"> </w:t>
      </w:r>
      <w:r w:rsidR="004000A8" w:rsidRPr="00904448">
        <w:rPr>
          <w:rFonts w:cs="Arial"/>
        </w:rPr>
        <w:t>3</w:t>
      </w:r>
    </w:p>
    <w:p w14:paraId="71532732" w14:textId="77777777" w:rsidR="00992087" w:rsidRPr="00904448" w:rsidRDefault="00992087" w:rsidP="00992087">
      <w:r w:rsidRPr="00904448">
        <w:rPr>
          <w:rFonts w:ascii="Times New Roman" w:hAnsi="Times New Roman"/>
          <w:noProof/>
        </w:rPr>
        <w:drawing>
          <wp:inline distT="0" distB="0" distL="0" distR="0" wp14:anchorId="6D6E7567" wp14:editId="5789FA13">
            <wp:extent cx="1232535" cy="1228725"/>
            <wp:effectExtent l="0" t="0" r="5715" b="9525"/>
            <wp:docPr id="3" name="Picture 3" descr="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904448">
        <w:tab/>
      </w:r>
      <w:r w:rsidRPr="00904448">
        <w:tab/>
      </w:r>
      <w:r w:rsidRPr="00904448">
        <w:tab/>
      </w:r>
      <w:r w:rsidRPr="00904448">
        <w:rPr>
          <w:rFonts w:ascii="Times New Roman" w:hAnsi="Times New Roman"/>
          <w:noProof/>
        </w:rPr>
        <w:drawing>
          <wp:inline distT="0" distB="0" distL="0" distR="0" wp14:anchorId="6D8712AE" wp14:editId="4D2DD4B2">
            <wp:extent cx="1169670" cy="1169670"/>
            <wp:effectExtent l="0" t="0" r="0" b="0"/>
            <wp:docPr id="4" name="Picture 4" descr="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904448">
        <w:tab/>
      </w:r>
      <w:r w:rsidRPr="00904448">
        <w:tab/>
      </w:r>
      <w:r w:rsidRPr="00904448">
        <w:tab/>
      </w:r>
      <w:r w:rsidRPr="00904448">
        <w:rPr>
          <w:rFonts w:ascii="Times New Roman" w:hAnsi="Times New Roman"/>
          <w:noProof/>
        </w:rPr>
        <w:drawing>
          <wp:inline distT="0" distB="0" distL="0" distR="0" wp14:anchorId="67B77D03" wp14:editId="4FFBD8A1">
            <wp:extent cx="1169670" cy="1169670"/>
            <wp:effectExtent l="0" t="0" r="0" b="0"/>
            <wp:docPr id="5" name="Picture 5" descr="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1E139F7A" w14:textId="77777777" w:rsidR="00992087" w:rsidRPr="00904448" w:rsidRDefault="00992087" w:rsidP="00B723BE"/>
    <w:p w14:paraId="71D9DDF7" w14:textId="77777777" w:rsidR="006E06C6" w:rsidRPr="00904448" w:rsidRDefault="006E06C6" w:rsidP="00FC1FCE">
      <w:pPr>
        <w:pStyle w:val="Heading1"/>
        <w:jc w:val="center"/>
        <w:rPr>
          <w:sz w:val="40"/>
          <w:szCs w:val="40"/>
        </w:rPr>
        <w:sectPr w:rsidR="006E06C6" w:rsidRPr="00904448" w:rsidSect="00743071">
          <w:headerReference w:type="first" r:id="rId11"/>
          <w:type w:val="continuous"/>
          <w:pgSz w:w="12240" w:h="15840"/>
          <w:pgMar w:top="720" w:right="1440" w:bottom="1440" w:left="1440" w:header="720" w:footer="720" w:gutter="0"/>
          <w:cols w:space="720"/>
          <w:docGrid w:linePitch="360"/>
        </w:sectPr>
      </w:pPr>
    </w:p>
    <w:p w14:paraId="75324A44" w14:textId="3DF2620F" w:rsidR="00B305A0" w:rsidRPr="00904448" w:rsidRDefault="00B305A0" w:rsidP="00F4270F">
      <w:pPr>
        <w:pStyle w:val="Heading1"/>
        <w:spacing w:after="240"/>
        <w:jc w:val="center"/>
        <w:rPr>
          <w:sz w:val="40"/>
          <w:szCs w:val="40"/>
        </w:rPr>
      </w:pPr>
      <w:r w:rsidRPr="00904448">
        <w:rPr>
          <w:sz w:val="40"/>
          <w:szCs w:val="40"/>
        </w:rPr>
        <w:t>California Workforce Pathways</w:t>
      </w:r>
      <w:r w:rsidRPr="00904448">
        <w:rPr>
          <w:sz w:val="40"/>
          <w:szCs w:val="40"/>
        </w:rPr>
        <w:br/>
        <w:t>Joint Advisory Committee</w:t>
      </w:r>
      <w:r w:rsidRPr="00904448">
        <w:rPr>
          <w:sz w:val="40"/>
          <w:szCs w:val="40"/>
        </w:rPr>
        <w:br/>
      </w:r>
      <w:r w:rsidR="004000A8" w:rsidRPr="00904448">
        <w:rPr>
          <w:sz w:val="40"/>
          <w:szCs w:val="40"/>
        </w:rPr>
        <w:t>April 26</w:t>
      </w:r>
      <w:r w:rsidR="00A45405" w:rsidRPr="00904448">
        <w:rPr>
          <w:sz w:val="40"/>
          <w:szCs w:val="40"/>
        </w:rPr>
        <w:t>, 202</w:t>
      </w:r>
      <w:r w:rsidR="00710EBF" w:rsidRPr="00904448">
        <w:rPr>
          <w:sz w:val="40"/>
          <w:szCs w:val="40"/>
        </w:rPr>
        <w:t>4</w:t>
      </w:r>
      <w:r w:rsidRPr="00904448">
        <w:rPr>
          <w:sz w:val="40"/>
          <w:szCs w:val="40"/>
        </w:rPr>
        <w:br/>
        <w:t>Agenda Item 01</w:t>
      </w:r>
    </w:p>
    <w:p w14:paraId="255812FB" w14:textId="4ED3E5EC" w:rsidR="00B305A0" w:rsidRPr="00904448" w:rsidRDefault="00B305A0" w:rsidP="00B305A0">
      <w:pPr>
        <w:jc w:val="center"/>
      </w:pPr>
      <w:r w:rsidRPr="00904448">
        <w:t>Posted by the California Department of Education</w:t>
      </w:r>
      <w:r w:rsidR="008804A3">
        <w:t xml:space="preserve"> – April 2024</w:t>
      </w:r>
    </w:p>
    <w:p w14:paraId="290071C2" w14:textId="77777777" w:rsidR="004000A8" w:rsidRPr="000E58A6" w:rsidRDefault="004000A8" w:rsidP="000E58A6">
      <w:pPr>
        <w:pStyle w:val="Heading2"/>
      </w:pPr>
      <w:r w:rsidRPr="000E58A6">
        <w:t>Subject</w:t>
      </w:r>
    </w:p>
    <w:p w14:paraId="1118DBF2" w14:textId="77777777" w:rsidR="004000A8" w:rsidRPr="00904448" w:rsidRDefault="004000A8" w:rsidP="004000A8">
      <w:r w:rsidRPr="00904448">
        <w:t xml:space="preserve">The </w:t>
      </w:r>
      <w:r w:rsidRPr="00904448">
        <w:rPr>
          <w:i/>
        </w:rPr>
        <w:t>Strengthening Career and Technical Education for the 21</w:t>
      </w:r>
      <w:r w:rsidRPr="00904448">
        <w:rPr>
          <w:i/>
          <w:vertAlign w:val="superscript"/>
        </w:rPr>
        <w:t>st</w:t>
      </w:r>
      <w:r w:rsidRPr="00904448">
        <w:rPr>
          <w:i/>
        </w:rPr>
        <w:t xml:space="preserve"> Century Act: </w:t>
      </w:r>
      <w:r w:rsidRPr="00904448">
        <w:t>Review and Approval of the Draft Updated Federal Perkins V State Plan.</w:t>
      </w:r>
    </w:p>
    <w:p w14:paraId="01BA9CCC" w14:textId="77777777" w:rsidR="004000A8" w:rsidRPr="00904448" w:rsidRDefault="004000A8" w:rsidP="000E58A6">
      <w:pPr>
        <w:pStyle w:val="Heading2"/>
      </w:pPr>
      <w:r w:rsidRPr="00904448">
        <w:t>Type of Action</w:t>
      </w:r>
    </w:p>
    <w:p w14:paraId="6F1DF554" w14:textId="77777777" w:rsidR="004000A8" w:rsidRPr="00904448" w:rsidRDefault="004000A8" w:rsidP="004000A8">
      <w:r w:rsidRPr="00904448">
        <w:t>Action, Information</w:t>
      </w:r>
    </w:p>
    <w:p w14:paraId="6B5992B3" w14:textId="77777777" w:rsidR="004000A8" w:rsidRPr="00904448" w:rsidRDefault="004000A8" w:rsidP="000E58A6">
      <w:pPr>
        <w:pStyle w:val="Heading2"/>
        <w:rPr>
          <w:sz w:val="28"/>
        </w:rPr>
      </w:pPr>
      <w:r w:rsidRPr="00904448">
        <w:t>Recommendation</w:t>
      </w:r>
    </w:p>
    <w:p w14:paraId="665DBF42" w14:textId="77777777" w:rsidR="004000A8" w:rsidRPr="00904448" w:rsidRDefault="004000A8" w:rsidP="004000A8">
      <w:r w:rsidRPr="00904448">
        <w:t>The California Department of Education (CDE) recommends that the State Board of Education (SBE) approve the Draft Updated Federal Perkins V State Plan and send the Plan to the Governor’s Office for approval.</w:t>
      </w:r>
    </w:p>
    <w:p w14:paraId="357F25E9" w14:textId="77777777" w:rsidR="004000A8" w:rsidRPr="00904448" w:rsidRDefault="004000A8" w:rsidP="000E58A6">
      <w:pPr>
        <w:pStyle w:val="Heading2"/>
      </w:pPr>
      <w:r w:rsidRPr="00904448">
        <w:t>Summary of the Issue(s)</w:t>
      </w:r>
    </w:p>
    <w:p w14:paraId="69DE3ACD" w14:textId="7CDDB8A7" w:rsidR="004000A8" w:rsidRPr="00904448" w:rsidRDefault="004000A8" w:rsidP="004000A8">
      <w:pPr>
        <w:rPr>
          <w:rFonts w:cs="Arial"/>
        </w:rPr>
      </w:pPr>
      <w:bookmarkStart w:id="0" w:name="_Hlk163604652"/>
      <w:r w:rsidRPr="00904448">
        <w:rPr>
          <w:rFonts w:cs="Arial"/>
        </w:rPr>
        <w:t xml:space="preserve">On July 31, 2018, the Federal </w:t>
      </w:r>
      <w:r w:rsidRPr="00904448">
        <w:rPr>
          <w:rFonts w:cs="Arial"/>
          <w:i/>
        </w:rPr>
        <w:t>Strengthening Career and Technical Education for the 21</w:t>
      </w:r>
      <w:r w:rsidRPr="00904448">
        <w:rPr>
          <w:rFonts w:cs="Arial"/>
          <w:i/>
          <w:vertAlign w:val="superscript"/>
        </w:rPr>
        <w:t>st</w:t>
      </w:r>
      <w:r w:rsidRPr="00904448">
        <w:rPr>
          <w:rFonts w:cs="Arial"/>
          <w:i/>
        </w:rPr>
        <w:t xml:space="preserve"> Century Act </w:t>
      </w:r>
      <w:r w:rsidRPr="00904448">
        <w:rPr>
          <w:rFonts w:cs="Arial"/>
        </w:rPr>
        <w:t>(Perkins V) was signed into law by President Trump, which reauthorized the Federal</w:t>
      </w:r>
      <w:r w:rsidRPr="00904448">
        <w:rPr>
          <w:rFonts w:cs="Arial"/>
          <w:i/>
        </w:rPr>
        <w:t xml:space="preserve"> Carl D. Perkins Career and Technical Education</w:t>
      </w:r>
      <w:r w:rsidRPr="00904448">
        <w:rPr>
          <w:rFonts w:cs="Arial"/>
        </w:rPr>
        <w:t xml:space="preserve"> Act </w:t>
      </w:r>
      <w:r w:rsidRPr="00904448">
        <w:rPr>
          <w:rFonts w:cs="Arial"/>
          <w:i/>
        </w:rPr>
        <w:t>of 2006</w:t>
      </w:r>
      <w:r w:rsidRPr="00904448">
        <w:rPr>
          <w:rFonts w:cs="Arial"/>
        </w:rPr>
        <w:t xml:space="preserve"> (Perkins IV). As part of the transition to Perkins V, California elected to develop and submit a one-year Transition Plan in May 2019, which t</w:t>
      </w:r>
      <w:r w:rsidRPr="00904448">
        <w:rPr>
          <w:rFonts w:cs="Arial"/>
          <w:shd w:val="clear" w:color="auto" w:fill="FFFFFF"/>
        </w:rPr>
        <w:t xml:space="preserve">he </w:t>
      </w:r>
      <w:r w:rsidRPr="00904448">
        <w:rPr>
          <w:rFonts w:cs="Arial"/>
        </w:rPr>
        <w:t xml:space="preserve">SBE approved at its May 8, 2019, meeting. On July 2, 2019, the CDE received notification from the U.S. Department of Education (ED) that the Transition Plan had been approved, and Perkins V funding for California was available beginning July 1, 2019. At the March 11, </w:t>
      </w:r>
      <w:proofErr w:type="gramStart"/>
      <w:r w:rsidRPr="00904448">
        <w:rPr>
          <w:rFonts w:cs="Arial"/>
        </w:rPr>
        <w:t>2020</w:t>
      </w:r>
      <w:proofErr w:type="gramEnd"/>
      <w:r w:rsidRPr="00904448">
        <w:rPr>
          <w:rFonts w:cs="Arial"/>
        </w:rPr>
        <w:t xml:space="preserve"> SBE meeting, the SBE approved a new Federal Perkins V State Plan covering the years 2020–24.</w:t>
      </w:r>
      <w:bookmarkEnd w:id="0"/>
      <w:r w:rsidRPr="00904448">
        <w:rPr>
          <w:rFonts w:cs="Arial"/>
        </w:rPr>
        <w:t xml:space="preserve"> </w:t>
      </w:r>
    </w:p>
    <w:p w14:paraId="0D82BE8A" w14:textId="77777777" w:rsidR="004000A8" w:rsidRPr="00904448" w:rsidRDefault="004000A8" w:rsidP="004000A8">
      <w:pPr>
        <w:rPr>
          <w:rFonts w:cs="Arial"/>
        </w:rPr>
      </w:pPr>
      <w:r w:rsidRPr="00904448">
        <w:rPr>
          <w:rFonts w:cs="Arial"/>
        </w:rPr>
        <w:lastRenderedPageBreak/>
        <w:t xml:space="preserve">In April 2023, the ED conducted a monitoring review visit for the Perkins V State Plan 2020–24. </w:t>
      </w:r>
      <w:bookmarkStart w:id="1" w:name="_Hlk163601739"/>
      <w:r w:rsidRPr="00904448">
        <w:rPr>
          <w:rFonts w:cs="Arial"/>
        </w:rPr>
        <w:t>The purpose of this visit was to determine the degree of compliance in meeting the Perkins V and related federal regulation requirements. During the review, ED identified eight compliance findings. While seven of the findings will be addressed through follow-up corrective actions by the CDE, one of the findings was related to a definition in the accountability requirements which requires an update to the Perkins V State Plan, which will cover the years 2024–27. Specifically, ED found that the definition of a “CTE Concentrator” in the Perkins V State Plan does not align with the federal statutory definition. The CDE's secondary CTE Concentrator definition was a minimum of 300- hours in CTE courses, which could require a student to complete three or four courses before they are counted in the CTE data. The CDE has updated the Perkins V State Plan by removing the 300-hour coursework requirement and aligning the CTE Concentrator definition with the federal statutory definition of the completion of at least two courses. The CDE also made non-substantive edits in the plan update that do not impact the administration of the funding.</w:t>
      </w:r>
    </w:p>
    <w:bookmarkEnd w:id="1"/>
    <w:p w14:paraId="6BD47578" w14:textId="4C4E0A3F" w:rsidR="004000A8" w:rsidRPr="00904448" w:rsidRDefault="004000A8" w:rsidP="004000A8">
      <w:r w:rsidRPr="00904448">
        <w:t>Federal law requires the Governor to approve the updated Perkins V State Plan for 2024–27, prior to submission to ED, and no later than May 10, 2024. The CDE requested and received written approval for an extension to submit the updated Perkins V State Plan to ED no later than June 20, 2024.</w:t>
      </w:r>
    </w:p>
    <w:p w14:paraId="50AB656B" w14:textId="77777777" w:rsidR="004000A8" w:rsidRPr="00904448" w:rsidRDefault="004000A8" w:rsidP="000E58A6">
      <w:pPr>
        <w:pStyle w:val="Heading2"/>
      </w:pPr>
      <w:r w:rsidRPr="00904448">
        <w:t>Brief History of Key Issues</w:t>
      </w:r>
    </w:p>
    <w:p w14:paraId="5A5E9834" w14:textId="77777777" w:rsidR="004000A8" w:rsidRPr="00904448" w:rsidRDefault="004000A8" w:rsidP="004000A8">
      <w:pPr>
        <w:pStyle w:val="Heading3"/>
        <w:spacing w:after="240"/>
      </w:pPr>
      <w:r w:rsidRPr="00904448">
        <w:t>Plan Updates and Public Comment</w:t>
      </w:r>
    </w:p>
    <w:p w14:paraId="7A01F707" w14:textId="77777777" w:rsidR="004000A8" w:rsidRPr="00904448" w:rsidRDefault="004000A8" w:rsidP="004000A8">
      <w:r w:rsidRPr="00904448">
        <w:t>During the development of the plan update, the California Community Colleges Chancellor’s Office and SBE staff were asked to provide suggestions for edits to the 2020-24 version of the Perkins V State Plan. The CDE incorporated the resulting edits, which were non-substantive in nature and do not impact the administration of the Perkins V funding, into the draft 2024-27 Plan. The 300-hour CTE Concentrator requirement removal was shared at the February 9, 2024, California Workforce Pathways Joint Advisory Committee (CWPJAC) meeting as an agenda item. Following the CWPJAC meeting, the CDE posted the 2020-24 version of the Perkins V State Plan for a 30-day public comment period.</w:t>
      </w:r>
    </w:p>
    <w:p w14:paraId="386EB636" w14:textId="0719F123" w:rsidR="004000A8" w:rsidRPr="00904448" w:rsidRDefault="004000A8" w:rsidP="004000A8">
      <w:pPr>
        <w:spacing w:line="259" w:lineRule="auto"/>
        <w:rPr>
          <w:szCs w:val="22"/>
        </w:rPr>
      </w:pPr>
      <w:r w:rsidRPr="00904448">
        <w:t xml:space="preserve">The CDE used the </w:t>
      </w:r>
      <w:hyperlink r:id="rId12" w:history="1">
        <w:r w:rsidRPr="00904448">
          <w:rPr>
            <w:rStyle w:val="Hyperlink"/>
          </w:rPr>
          <w:t>Path2work@cde.ca.gov</w:t>
        </w:r>
      </w:hyperlink>
      <w:r w:rsidRPr="00904448">
        <w:t xml:space="preserve"> email and developed a website which served as the portal for public comment, open from </w:t>
      </w:r>
      <w:r w:rsidRPr="00904448">
        <w:rPr>
          <w:szCs w:val="22"/>
        </w:rPr>
        <w:t>March 7, 2024, through April 7, 2024. After the public comment period closed, CDE staff organized the public comments by the prompts.</w:t>
      </w:r>
    </w:p>
    <w:p w14:paraId="0A511A66" w14:textId="54136516" w:rsidR="004000A8" w:rsidRPr="00904448" w:rsidRDefault="004000A8" w:rsidP="004000A8">
      <w:pPr>
        <w:spacing w:after="160" w:line="259" w:lineRule="auto"/>
      </w:pPr>
      <w:r w:rsidRPr="00904448">
        <w:rPr>
          <w:rFonts w:cs="Arial"/>
          <w:color w:val="000000"/>
        </w:rPr>
        <w:t>The Federal Perkins V State Plan is laid out as responses to a series of prompts. The Plan</w:t>
      </w:r>
      <w:r w:rsidRPr="00904448">
        <w:t xml:space="preserve"> responds to prompts in the following strands:</w:t>
      </w:r>
    </w:p>
    <w:p w14:paraId="646E7A4B" w14:textId="77777777" w:rsidR="004000A8" w:rsidRPr="00904448" w:rsidRDefault="004000A8" w:rsidP="003E16C0">
      <w:pPr>
        <w:pStyle w:val="ListParagraph"/>
        <w:numPr>
          <w:ilvl w:val="0"/>
          <w:numId w:val="24"/>
        </w:numPr>
        <w:spacing w:after="0" w:line="259" w:lineRule="auto"/>
      </w:pPr>
      <w:r w:rsidRPr="00904448">
        <w:t xml:space="preserve">Plan Development and Consultation </w:t>
      </w:r>
    </w:p>
    <w:p w14:paraId="7D5674C5" w14:textId="77777777" w:rsidR="004000A8" w:rsidRPr="00904448" w:rsidRDefault="004000A8" w:rsidP="003E16C0">
      <w:pPr>
        <w:pStyle w:val="ListParagraph"/>
        <w:numPr>
          <w:ilvl w:val="0"/>
          <w:numId w:val="24"/>
        </w:numPr>
        <w:spacing w:after="0" w:line="259" w:lineRule="auto"/>
      </w:pPr>
      <w:r w:rsidRPr="00904448">
        <w:t>Program Administration and Implementation</w:t>
      </w:r>
    </w:p>
    <w:p w14:paraId="78CAAE7C" w14:textId="77777777" w:rsidR="004000A8" w:rsidRPr="00904448" w:rsidRDefault="004000A8" w:rsidP="003E16C0">
      <w:pPr>
        <w:pStyle w:val="ListParagraph"/>
        <w:numPr>
          <w:ilvl w:val="0"/>
          <w:numId w:val="24"/>
        </w:numPr>
        <w:spacing w:after="0" w:line="259" w:lineRule="auto"/>
      </w:pPr>
      <w:r w:rsidRPr="00904448">
        <w:t>Meeting the Needs of Special Populations</w:t>
      </w:r>
    </w:p>
    <w:p w14:paraId="1294D43E" w14:textId="77777777" w:rsidR="004000A8" w:rsidRPr="003E16C0" w:rsidRDefault="004000A8" w:rsidP="003E16C0">
      <w:pPr>
        <w:pStyle w:val="ListParagraph"/>
        <w:numPr>
          <w:ilvl w:val="0"/>
          <w:numId w:val="24"/>
        </w:numPr>
        <w:spacing w:after="0" w:line="259" w:lineRule="auto"/>
        <w:rPr>
          <w:szCs w:val="22"/>
        </w:rPr>
      </w:pPr>
      <w:r w:rsidRPr="003E16C0">
        <w:rPr>
          <w:szCs w:val="22"/>
        </w:rPr>
        <w:t>Preparing Teachers and Faculty</w:t>
      </w:r>
    </w:p>
    <w:p w14:paraId="729F187A" w14:textId="77777777" w:rsidR="004000A8" w:rsidRPr="00904448" w:rsidRDefault="004000A8" w:rsidP="003E16C0">
      <w:pPr>
        <w:pStyle w:val="ListParagraph"/>
        <w:numPr>
          <w:ilvl w:val="0"/>
          <w:numId w:val="24"/>
        </w:numPr>
        <w:spacing w:after="0" w:line="259" w:lineRule="auto"/>
      </w:pPr>
      <w:r w:rsidRPr="00904448">
        <w:lastRenderedPageBreak/>
        <w:t>Fiscal Responsibility</w:t>
      </w:r>
    </w:p>
    <w:p w14:paraId="5C7AE4DF" w14:textId="77777777" w:rsidR="004000A8" w:rsidRPr="00904448" w:rsidRDefault="004000A8" w:rsidP="003E16C0">
      <w:pPr>
        <w:pStyle w:val="ListParagraph"/>
        <w:numPr>
          <w:ilvl w:val="0"/>
          <w:numId w:val="24"/>
        </w:numPr>
        <w:spacing w:line="259" w:lineRule="auto"/>
      </w:pPr>
      <w:r w:rsidRPr="00904448">
        <w:t>Accountability for Results</w:t>
      </w:r>
    </w:p>
    <w:p w14:paraId="0EFC2755" w14:textId="383493B5" w:rsidR="004000A8" w:rsidRPr="00904448" w:rsidRDefault="004000A8" w:rsidP="004000A8">
      <w:pPr>
        <w:spacing w:line="259" w:lineRule="auto"/>
      </w:pPr>
      <w:r w:rsidRPr="00904448">
        <w:t>After staff of the CDE reviewed the 11 public comments that were received, CDE incorporated them into the draft 2024–27 Plan where appropriate</w:t>
      </w:r>
      <w:r w:rsidRPr="00904448">
        <w:rPr>
          <w:szCs w:val="22"/>
        </w:rPr>
        <w:t>.</w:t>
      </w:r>
    </w:p>
    <w:p w14:paraId="7A7D9715" w14:textId="77777777" w:rsidR="004000A8" w:rsidRPr="00904448" w:rsidRDefault="004000A8" w:rsidP="000E58A6">
      <w:pPr>
        <w:pStyle w:val="Heading2"/>
      </w:pPr>
      <w:r w:rsidRPr="00904448">
        <w:t>Attachment(s)</w:t>
      </w:r>
    </w:p>
    <w:p w14:paraId="6925E27B" w14:textId="0E50A356" w:rsidR="002776A1" w:rsidRPr="00904448" w:rsidRDefault="004000A8" w:rsidP="00CB21E4">
      <w:pPr>
        <w:pStyle w:val="ListParagraph"/>
        <w:numPr>
          <w:ilvl w:val="0"/>
          <w:numId w:val="23"/>
        </w:numPr>
        <w:spacing w:before="360"/>
        <w:contextualSpacing w:val="0"/>
        <w:rPr>
          <w:rFonts w:cs="Arial"/>
          <w:color w:val="000000"/>
        </w:rPr>
      </w:pPr>
      <w:r w:rsidRPr="00904448">
        <w:rPr>
          <w:rFonts w:cs="Arial"/>
        </w:rPr>
        <w:t xml:space="preserve">Attachment 1: </w:t>
      </w:r>
      <w:r w:rsidRPr="00904448">
        <w:t>Draft Federal Perkins V State Plan</w:t>
      </w:r>
      <w:r w:rsidR="00904448">
        <w:t>.</w:t>
      </w:r>
      <w:r w:rsidRPr="00904448">
        <w:rPr>
          <w:rStyle w:val="Hyperlink"/>
          <w:rFonts w:eastAsiaTheme="majorEastAsia"/>
          <w:color w:val="auto"/>
          <w:u w:val="none"/>
        </w:rPr>
        <w:t xml:space="preserve"> (157 pages)</w:t>
      </w:r>
    </w:p>
    <w:sectPr w:rsidR="002776A1" w:rsidRPr="00904448" w:rsidSect="00743071">
      <w:headerReference w:type="default" r:id="rId13"/>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DA4FD" w14:textId="77777777" w:rsidR="00743071" w:rsidRDefault="00743071" w:rsidP="000E09DC">
      <w:r>
        <w:separator/>
      </w:r>
    </w:p>
  </w:endnote>
  <w:endnote w:type="continuationSeparator" w:id="0">
    <w:p w14:paraId="44DDF43C" w14:textId="77777777" w:rsidR="00743071" w:rsidRDefault="00743071" w:rsidP="000E09DC">
      <w:r>
        <w:continuationSeparator/>
      </w:r>
    </w:p>
  </w:endnote>
  <w:endnote w:type="continuationNotice" w:id="1">
    <w:p w14:paraId="287B8F83" w14:textId="77777777" w:rsidR="00743071" w:rsidRDefault="007430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201C3" w14:textId="77777777" w:rsidR="00743071" w:rsidRDefault="00743071" w:rsidP="000E09DC">
      <w:r>
        <w:separator/>
      </w:r>
    </w:p>
  </w:footnote>
  <w:footnote w:type="continuationSeparator" w:id="0">
    <w:p w14:paraId="632B081F" w14:textId="77777777" w:rsidR="00743071" w:rsidRDefault="00743071" w:rsidP="000E09DC">
      <w:r>
        <w:continuationSeparator/>
      </w:r>
    </w:p>
  </w:footnote>
  <w:footnote w:type="continuationNotice" w:id="1">
    <w:p w14:paraId="234A7E5E" w14:textId="77777777" w:rsidR="00743071" w:rsidRDefault="007430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50A13" w14:textId="77777777" w:rsidR="00BB2AAC" w:rsidRDefault="00BB2AAC" w:rsidP="007F578F">
    <w:pPr>
      <w:pStyle w:val="Header"/>
      <w:spacing w:after="0"/>
      <w:jc w:val="right"/>
      <w:rPr>
        <w:rFonts w:cs="Arial"/>
      </w:rPr>
    </w:pPr>
    <w:r>
      <w:rPr>
        <w:rFonts w:cs="Arial"/>
      </w:rPr>
      <w:t>California Workforce Pathways Joint Advisory Committee</w:t>
    </w:r>
  </w:p>
  <w:p w14:paraId="24E07749" w14:textId="77777777" w:rsidR="00BB2AAC" w:rsidRDefault="00BB2AAC" w:rsidP="007F578F">
    <w:pPr>
      <w:pStyle w:val="Header"/>
      <w:spacing w:after="0"/>
      <w:jc w:val="right"/>
      <w:rPr>
        <w:rFonts w:cs="Arial"/>
      </w:rPr>
    </w:pPr>
    <w:r>
      <w:rPr>
        <w:rFonts w:cs="Arial"/>
      </w:rPr>
      <w:t>cwpjac-mar20item01</w:t>
    </w:r>
  </w:p>
  <w:p w14:paraId="524CF313" w14:textId="77777777" w:rsidR="00BB2AAC" w:rsidRPr="007F578F" w:rsidRDefault="00BB2AAC" w:rsidP="007F578F">
    <w:pPr>
      <w:pStyle w:val="Header"/>
      <w:spacing w:after="120"/>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7</w:t>
    </w:r>
    <w:r w:rsidRPr="00CB2B58">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CD713" w14:textId="3A2B73AE" w:rsidR="00DF1CE6" w:rsidRDefault="00DF1CE6" w:rsidP="00DF1CE6">
    <w:pPr>
      <w:pStyle w:val="Header"/>
      <w:spacing w:after="0"/>
      <w:jc w:val="right"/>
      <w:rPr>
        <w:rFonts w:cs="Arial"/>
      </w:rPr>
    </w:pPr>
    <w:r w:rsidRPr="005D7730">
      <w:rPr>
        <w:rFonts w:cs="Arial"/>
      </w:rPr>
      <w:t>cwpjac-</w:t>
    </w:r>
    <w:r w:rsidR="00A45405">
      <w:rPr>
        <w:rFonts w:cs="Arial"/>
      </w:rPr>
      <w:t>feb2</w:t>
    </w:r>
    <w:r w:rsidR="00710EBF">
      <w:rPr>
        <w:rFonts w:cs="Arial"/>
      </w:rPr>
      <w:t>4</w:t>
    </w:r>
    <w:r w:rsidRPr="005D7730">
      <w:rPr>
        <w:rFonts w:cs="Arial"/>
      </w:rPr>
      <w:t>item01</w:t>
    </w:r>
  </w:p>
  <w:p w14:paraId="33F5C4FF" w14:textId="7DCC0C32" w:rsidR="00BB2AAC" w:rsidRPr="00CB2B58" w:rsidRDefault="00BB2AAC" w:rsidP="00DF1CE6">
    <w:pPr>
      <w:pStyle w:val="Header"/>
      <w:spacing w:after="0"/>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sidR="00340FC8">
      <w:rPr>
        <w:rFonts w:cs="Arial"/>
        <w:bCs/>
        <w:noProof/>
      </w:rPr>
      <w:t>2</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sidR="00340FC8">
      <w:rPr>
        <w:rFonts w:cs="Arial"/>
        <w:bCs/>
        <w:noProof/>
      </w:rPr>
      <w:t>2</w:t>
    </w:r>
    <w:r w:rsidRPr="00CB2B58">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D4976"/>
    <w:multiLevelType w:val="hybridMultilevel"/>
    <w:tmpl w:val="A792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5B62"/>
    <w:multiLevelType w:val="hybridMultilevel"/>
    <w:tmpl w:val="EA78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85DD8"/>
    <w:multiLevelType w:val="hybridMultilevel"/>
    <w:tmpl w:val="E1C6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E6E4F"/>
    <w:multiLevelType w:val="hybridMultilevel"/>
    <w:tmpl w:val="566A9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46881"/>
    <w:multiLevelType w:val="hybridMultilevel"/>
    <w:tmpl w:val="D9EE1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110332"/>
    <w:multiLevelType w:val="hybridMultilevel"/>
    <w:tmpl w:val="6658D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74728A"/>
    <w:multiLevelType w:val="hybridMultilevel"/>
    <w:tmpl w:val="CBF2A218"/>
    <w:lvl w:ilvl="0" w:tplc="077471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5F621A"/>
    <w:multiLevelType w:val="hybridMultilevel"/>
    <w:tmpl w:val="893C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152426"/>
    <w:multiLevelType w:val="hybridMultilevel"/>
    <w:tmpl w:val="1054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4614A4"/>
    <w:multiLevelType w:val="hybridMultilevel"/>
    <w:tmpl w:val="5B00A618"/>
    <w:lvl w:ilvl="0" w:tplc="07747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7AE52B7"/>
    <w:multiLevelType w:val="hybridMultilevel"/>
    <w:tmpl w:val="197E4A60"/>
    <w:lvl w:ilvl="0" w:tplc="D01EBEA2">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D8306C8"/>
    <w:multiLevelType w:val="hybridMultilevel"/>
    <w:tmpl w:val="B7FCD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D965EB4"/>
    <w:multiLevelType w:val="hybridMultilevel"/>
    <w:tmpl w:val="CB32E6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6EFF771C"/>
    <w:multiLevelType w:val="hybridMultilevel"/>
    <w:tmpl w:val="3344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00181E"/>
    <w:multiLevelType w:val="hybridMultilevel"/>
    <w:tmpl w:val="C2A25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8845DA"/>
    <w:multiLevelType w:val="hybridMultilevel"/>
    <w:tmpl w:val="CE4CE32C"/>
    <w:lvl w:ilvl="0" w:tplc="B22836E4">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3" w15:restartNumberingAfterBreak="0">
    <w:nsid w:val="7FEB29A2"/>
    <w:multiLevelType w:val="hybridMultilevel"/>
    <w:tmpl w:val="8F88E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10321260">
    <w:abstractNumId w:val="9"/>
  </w:num>
  <w:num w:numId="2" w16cid:durableId="1039937652">
    <w:abstractNumId w:val="16"/>
  </w:num>
  <w:num w:numId="3" w16cid:durableId="5791230">
    <w:abstractNumId w:val="6"/>
  </w:num>
  <w:num w:numId="4" w16cid:durableId="1421683299">
    <w:abstractNumId w:val="13"/>
  </w:num>
  <w:num w:numId="5" w16cid:durableId="1939487772">
    <w:abstractNumId w:val="14"/>
  </w:num>
  <w:num w:numId="6" w16cid:durableId="1256792208">
    <w:abstractNumId w:val="2"/>
  </w:num>
  <w:num w:numId="7" w16cid:durableId="782530632">
    <w:abstractNumId w:val="8"/>
  </w:num>
  <w:num w:numId="8" w16cid:durableId="1053041734">
    <w:abstractNumId w:val="23"/>
  </w:num>
  <w:num w:numId="9" w16cid:durableId="49306100">
    <w:abstractNumId w:val="7"/>
  </w:num>
  <w:num w:numId="10" w16cid:durableId="1096903931">
    <w:abstractNumId w:val="19"/>
  </w:num>
  <w:num w:numId="11" w16cid:durableId="481191507">
    <w:abstractNumId w:val="15"/>
  </w:num>
  <w:num w:numId="12" w16cid:durableId="419331508">
    <w:abstractNumId w:val="22"/>
  </w:num>
  <w:num w:numId="13" w16cid:durableId="2016036960">
    <w:abstractNumId w:val="17"/>
  </w:num>
  <w:num w:numId="14" w16cid:durableId="1974215084">
    <w:abstractNumId w:val="10"/>
  </w:num>
  <w:num w:numId="15" w16cid:durableId="1193571893">
    <w:abstractNumId w:val="3"/>
  </w:num>
  <w:num w:numId="16" w16cid:durableId="750397675">
    <w:abstractNumId w:val="12"/>
  </w:num>
  <w:num w:numId="17" w16cid:durableId="23530900">
    <w:abstractNumId w:val="0"/>
  </w:num>
  <w:num w:numId="18" w16cid:durableId="1268805023">
    <w:abstractNumId w:val="18"/>
  </w:num>
  <w:num w:numId="19" w16cid:durableId="1835563800">
    <w:abstractNumId w:val="20"/>
  </w:num>
  <w:num w:numId="20" w16cid:durableId="324819021">
    <w:abstractNumId w:val="1"/>
  </w:num>
  <w:num w:numId="21" w16cid:durableId="1711227627">
    <w:abstractNumId w:val="4"/>
  </w:num>
  <w:num w:numId="22" w16cid:durableId="349842809">
    <w:abstractNumId w:val="11"/>
  </w:num>
  <w:num w:numId="23" w16cid:durableId="2055691158">
    <w:abstractNumId w:val="21"/>
  </w:num>
  <w:num w:numId="24" w16cid:durableId="1586105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15F6"/>
    <w:rsid w:val="000040D5"/>
    <w:rsid w:val="00005942"/>
    <w:rsid w:val="00005A06"/>
    <w:rsid w:val="00017401"/>
    <w:rsid w:val="00021D5A"/>
    <w:rsid w:val="00023FDB"/>
    <w:rsid w:val="00024B4F"/>
    <w:rsid w:val="00025CF0"/>
    <w:rsid w:val="000324AD"/>
    <w:rsid w:val="00035519"/>
    <w:rsid w:val="00045B36"/>
    <w:rsid w:val="00060545"/>
    <w:rsid w:val="00077CF8"/>
    <w:rsid w:val="00086178"/>
    <w:rsid w:val="00087927"/>
    <w:rsid w:val="000954CE"/>
    <w:rsid w:val="000B497E"/>
    <w:rsid w:val="000C0A28"/>
    <w:rsid w:val="000C19E8"/>
    <w:rsid w:val="000C596F"/>
    <w:rsid w:val="000C5B93"/>
    <w:rsid w:val="000D1A5D"/>
    <w:rsid w:val="000D7D31"/>
    <w:rsid w:val="000E09DC"/>
    <w:rsid w:val="000E58A6"/>
    <w:rsid w:val="000E667C"/>
    <w:rsid w:val="000F3E73"/>
    <w:rsid w:val="001048F3"/>
    <w:rsid w:val="001079AC"/>
    <w:rsid w:val="0011528A"/>
    <w:rsid w:val="001163E3"/>
    <w:rsid w:val="00124F80"/>
    <w:rsid w:val="00130059"/>
    <w:rsid w:val="00133B2D"/>
    <w:rsid w:val="00133C69"/>
    <w:rsid w:val="00142B5F"/>
    <w:rsid w:val="00147FAD"/>
    <w:rsid w:val="0015101D"/>
    <w:rsid w:val="00156995"/>
    <w:rsid w:val="00157E33"/>
    <w:rsid w:val="001609A0"/>
    <w:rsid w:val="00162228"/>
    <w:rsid w:val="0016250D"/>
    <w:rsid w:val="0016787F"/>
    <w:rsid w:val="00172541"/>
    <w:rsid w:val="00175382"/>
    <w:rsid w:val="0018148D"/>
    <w:rsid w:val="00181B37"/>
    <w:rsid w:val="00184705"/>
    <w:rsid w:val="00194D47"/>
    <w:rsid w:val="001A0CA5"/>
    <w:rsid w:val="001A0F50"/>
    <w:rsid w:val="001A5A8C"/>
    <w:rsid w:val="001B3958"/>
    <w:rsid w:val="001B4258"/>
    <w:rsid w:val="001B79B9"/>
    <w:rsid w:val="001C09DC"/>
    <w:rsid w:val="001C3134"/>
    <w:rsid w:val="001C63C9"/>
    <w:rsid w:val="001D0686"/>
    <w:rsid w:val="001D4AD7"/>
    <w:rsid w:val="001D533E"/>
    <w:rsid w:val="001D78A1"/>
    <w:rsid w:val="001E1929"/>
    <w:rsid w:val="001E3C25"/>
    <w:rsid w:val="001E5709"/>
    <w:rsid w:val="00200B53"/>
    <w:rsid w:val="00205FAB"/>
    <w:rsid w:val="00206BA1"/>
    <w:rsid w:val="00216951"/>
    <w:rsid w:val="00223112"/>
    <w:rsid w:val="002256D8"/>
    <w:rsid w:val="00233881"/>
    <w:rsid w:val="00233D9D"/>
    <w:rsid w:val="00240B26"/>
    <w:rsid w:val="002471E4"/>
    <w:rsid w:val="00254212"/>
    <w:rsid w:val="002614A8"/>
    <w:rsid w:val="002712F0"/>
    <w:rsid w:val="00271438"/>
    <w:rsid w:val="00274F00"/>
    <w:rsid w:val="002776A1"/>
    <w:rsid w:val="00283AD3"/>
    <w:rsid w:val="00284091"/>
    <w:rsid w:val="0028647F"/>
    <w:rsid w:val="00291F9F"/>
    <w:rsid w:val="00293DAA"/>
    <w:rsid w:val="00295B88"/>
    <w:rsid w:val="002A4047"/>
    <w:rsid w:val="002A7F5D"/>
    <w:rsid w:val="002B4B14"/>
    <w:rsid w:val="002C3D71"/>
    <w:rsid w:val="002C5026"/>
    <w:rsid w:val="002C65BA"/>
    <w:rsid w:val="002D08FF"/>
    <w:rsid w:val="002D1A82"/>
    <w:rsid w:val="002D7C1E"/>
    <w:rsid w:val="002E4CB5"/>
    <w:rsid w:val="002E6FCA"/>
    <w:rsid w:val="002E7FA3"/>
    <w:rsid w:val="002F279B"/>
    <w:rsid w:val="002F5183"/>
    <w:rsid w:val="002F7F3A"/>
    <w:rsid w:val="00300EA4"/>
    <w:rsid w:val="003016AB"/>
    <w:rsid w:val="0031199C"/>
    <w:rsid w:val="00312921"/>
    <w:rsid w:val="00315131"/>
    <w:rsid w:val="00316BF3"/>
    <w:rsid w:val="0032131D"/>
    <w:rsid w:val="0032152A"/>
    <w:rsid w:val="003221A7"/>
    <w:rsid w:val="00324FA1"/>
    <w:rsid w:val="00326AB4"/>
    <w:rsid w:val="00327424"/>
    <w:rsid w:val="00330937"/>
    <w:rsid w:val="00334D7C"/>
    <w:rsid w:val="00340FC8"/>
    <w:rsid w:val="00342BE5"/>
    <w:rsid w:val="003439F3"/>
    <w:rsid w:val="00353BA6"/>
    <w:rsid w:val="00360A5D"/>
    <w:rsid w:val="00363520"/>
    <w:rsid w:val="003705FC"/>
    <w:rsid w:val="00375773"/>
    <w:rsid w:val="00384ACF"/>
    <w:rsid w:val="003965EE"/>
    <w:rsid w:val="003A02C8"/>
    <w:rsid w:val="003A4385"/>
    <w:rsid w:val="003B7681"/>
    <w:rsid w:val="003C1C56"/>
    <w:rsid w:val="003C7636"/>
    <w:rsid w:val="003C78E5"/>
    <w:rsid w:val="003C794C"/>
    <w:rsid w:val="003D0319"/>
    <w:rsid w:val="003D1ECD"/>
    <w:rsid w:val="003D3C7E"/>
    <w:rsid w:val="003E1283"/>
    <w:rsid w:val="003E16C0"/>
    <w:rsid w:val="003E1E8D"/>
    <w:rsid w:val="003E2EBA"/>
    <w:rsid w:val="003E4DF7"/>
    <w:rsid w:val="003F4243"/>
    <w:rsid w:val="004000A8"/>
    <w:rsid w:val="00400286"/>
    <w:rsid w:val="00406F50"/>
    <w:rsid w:val="00407E9B"/>
    <w:rsid w:val="004146CC"/>
    <w:rsid w:val="004203BC"/>
    <w:rsid w:val="00421B35"/>
    <w:rsid w:val="00425736"/>
    <w:rsid w:val="00430474"/>
    <w:rsid w:val="004416D0"/>
    <w:rsid w:val="00443019"/>
    <w:rsid w:val="004438A8"/>
    <w:rsid w:val="00444231"/>
    <w:rsid w:val="0044670C"/>
    <w:rsid w:val="00447884"/>
    <w:rsid w:val="00453BBA"/>
    <w:rsid w:val="004600C6"/>
    <w:rsid w:val="00467371"/>
    <w:rsid w:val="0046740E"/>
    <w:rsid w:val="00473D95"/>
    <w:rsid w:val="0047534A"/>
    <w:rsid w:val="00475560"/>
    <w:rsid w:val="00476C0D"/>
    <w:rsid w:val="004827DC"/>
    <w:rsid w:val="00486F90"/>
    <w:rsid w:val="00487650"/>
    <w:rsid w:val="00487784"/>
    <w:rsid w:val="00490C61"/>
    <w:rsid w:val="0049137B"/>
    <w:rsid w:val="00491FD0"/>
    <w:rsid w:val="004925A0"/>
    <w:rsid w:val="00494E1D"/>
    <w:rsid w:val="004A3226"/>
    <w:rsid w:val="004A4DE6"/>
    <w:rsid w:val="004A64F5"/>
    <w:rsid w:val="004C7697"/>
    <w:rsid w:val="004D10DB"/>
    <w:rsid w:val="004D28FD"/>
    <w:rsid w:val="004D3AFB"/>
    <w:rsid w:val="004D4737"/>
    <w:rsid w:val="004D55DD"/>
    <w:rsid w:val="004D641A"/>
    <w:rsid w:val="004D7487"/>
    <w:rsid w:val="004E029B"/>
    <w:rsid w:val="004E70AB"/>
    <w:rsid w:val="004F525E"/>
    <w:rsid w:val="0050182F"/>
    <w:rsid w:val="00513246"/>
    <w:rsid w:val="0051361E"/>
    <w:rsid w:val="005137A2"/>
    <w:rsid w:val="00513DC9"/>
    <w:rsid w:val="00516A9C"/>
    <w:rsid w:val="00517C00"/>
    <w:rsid w:val="00525AD8"/>
    <w:rsid w:val="00527B0E"/>
    <w:rsid w:val="00533114"/>
    <w:rsid w:val="00545423"/>
    <w:rsid w:val="00545730"/>
    <w:rsid w:val="0054645B"/>
    <w:rsid w:val="00551A21"/>
    <w:rsid w:val="00553F0D"/>
    <w:rsid w:val="005604C1"/>
    <w:rsid w:val="005727A3"/>
    <w:rsid w:val="0058196D"/>
    <w:rsid w:val="00585B3E"/>
    <w:rsid w:val="00596159"/>
    <w:rsid w:val="0059705D"/>
    <w:rsid w:val="00597F8C"/>
    <w:rsid w:val="005A0448"/>
    <w:rsid w:val="005A5AD3"/>
    <w:rsid w:val="005A68BD"/>
    <w:rsid w:val="005B25E2"/>
    <w:rsid w:val="005C5AD8"/>
    <w:rsid w:val="005D168A"/>
    <w:rsid w:val="005D1CDA"/>
    <w:rsid w:val="005D2454"/>
    <w:rsid w:val="005D5364"/>
    <w:rsid w:val="005D7730"/>
    <w:rsid w:val="005E2948"/>
    <w:rsid w:val="005F3035"/>
    <w:rsid w:val="005F49C8"/>
    <w:rsid w:val="0060013B"/>
    <w:rsid w:val="0060102E"/>
    <w:rsid w:val="00601453"/>
    <w:rsid w:val="0060147B"/>
    <w:rsid w:val="00601EB7"/>
    <w:rsid w:val="00603AC5"/>
    <w:rsid w:val="0060419C"/>
    <w:rsid w:val="006106E9"/>
    <w:rsid w:val="00612C3F"/>
    <w:rsid w:val="0062704E"/>
    <w:rsid w:val="00635BE1"/>
    <w:rsid w:val="006423D2"/>
    <w:rsid w:val="00644A4E"/>
    <w:rsid w:val="00654C28"/>
    <w:rsid w:val="00656FB0"/>
    <w:rsid w:val="00670F88"/>
    <w:rsid w:val="00672DE1"/>
    <w:rsid w:val="00677419"/>
    <w:rsid w:val="00683333"/>
    <w:rsid w:val="00691B49"/>
    <w:rsid w:val="00691F85"/>
    <w:rsid w:val="00692217"/>
    <w:rsid w:val="00692300"/>
    <w:rsid w:val="00693951"/>
    <w:rsid w:val="00694822"/>
    <w:rsid w:val="00696820"/>
    <w:rsid w:val="006A0B8B"/>
    <w:rsid w:val="006A53A5"/>
    <w:rsid w:val="006A6502"/>
    <w:rsid w:val="006A77AF"/>
    <w:rsid w:val="006B2111"/>
    <w:rsid w:val="006B2E43"/>
    <w:rsid w:val="006B7B01"/>
    <w:rsid w:val="006C2853"/>
    <w:rsid w:val="006C4B07"/>
    <w:rsid w:val="006C6989"/>
    <w:rsid w:val="006D0223"/>
    <w:rsid w:val="006E06C6"/>
    <w:rsid w:val="006E1827"/>
    <w:rsid w:val="006E738F"/>
    <w:rsid w:val="006F4539"/>
    <w:rsid w:val="006F7839"/>
    <w:rsid w:val="00706971"/>
    <w:rsid w:val="00710EBF"/>
    <w:rsid w:val="007111E8"/>
    <w:rsid w:val="007138C7"/>
    <w:rsid w:val="00715E7C"/>
    <w:rsid w:val="0071714D"/>
    <w:rsid w:val="00720DF9"/>
    <w:rsid w:val="00720F1A"/>
    <w:rsid w:val="00725135"/>
    <w:rsid w:val="00725E01"/>
    <w:rsid w:val="00726EDA"/>
    <w:rsid w:val="007313A3"/>
    <w:rsid w:val="007352D8"/>
    <w:rsid w:val="007428B8"/>
    <w:rsid w:val="00743071"/>
    <w:rsid w:val="00746164"/>
    <w:rsid w:val="007525B9"/>
    <w:rsid w:val="00752A1F"/>
    <w:rsid w:val="00757445"/>
    <w:rsid w:val="00761962"/>
    <w:rsid w:val="00762A9E"/>
    <w:rsid w:val="00762EE3"/>
    <w:rsid w:val="0076434E"/>
    <w:rsid w:val="00764EFF"/>
    <w:rsid w:val="007656AC"/>
    <w:rsid w:val="007728E6"/>
    <w:rsid w:val="00774A36"/>
    <w:rsid w:val="00776EAB"/>
    <w:rsid w:val="00780BB6"/>
    <w:rsid w:val="00790FAC"/>
    <w:rsid w:val="007912D8"/>
    <w:rsid w:val="007915AF"/>
    <w:rsid w:val="007A609D"/>
    <w:rsid w:val="007B05A7"/>
    <w:rsid w:val="007B23A9"/>
    <w:rsid w:val="007C029C"/>
    <w:rsid w:val="007C30FF"/>
    <w:rsid w:val="007C3A80"/>
    <w:rsid w:val="007C3AA1"/>
    <w:rsid w:val="007C5697"/>
    <w:rsid w:val="007C6CE7"/>
    <w:rsid w:val="007D1BB8"/>
    <w:rsid w:val="007D6A8F"/>
    <w:rsid w:val="007E0F0D"/>
    <w:rsid w:val="007F44D4"/>
    <w:rsid w:val="007F4913"/>
    <w:rsid w:val="007F4E79"/>
    <w:rsid w:val="007F5288"/>
    <w:rsid w:val="007F578F"/>
    <w:rsid w:val="007F58BC"/>
    <w:rsid w:val="008001EE"/>
    <w:rsid w:val="00801F43"/>
    <w:rsid w:val="008021A8"/>
    <w:rsid w:val="0080281F"/>
    <w:rsid w:val="00811610"/>
    <w:rsid w:val="00815871"/>
    <w:rsid w:val="00821BA0"/>
    <w:rsid w:val="00833E97"/>
    <w:rsid w:val="00834DF4"/>
    <w:rsid w:val="008354DB"/>
    <w:rsid w:val="00836828"/>
    <w:rsid w:val="0083730B"/>
    <w:rsid w:val="00840DAF"/>
    <w:rsid w:val="008412D1"/>
    <w:rsid w:val="00842AAB"/>
    <w:rsid w:val="00844C77"/>
    <w:rsid w:val="00846FBE"/>
    <w:rsid w:val="008473AA"/>
    <w:rsid w:val="00852584"/>
    <w:rsid w:val="00860A65"/>
    <w:rsid w:val="00862D4C"/>
    <w:rsid w:val="00874AD8"/>
    <w:rsid w:val="008761A6"/>
    <w:rsid w:val="008804A3"/>
    <w:rsid w:val="008833D0"/>
    <w:rsid w:val="00883D34"/>
    <w:rsid w:val="00884F7C"/>
    <w:rsid w:val="008909EE"/>
    <w:rsid w:val="00892D9D"/>
    <w:rsid w:val="008A310E"/>
    <w:rsid w:val="008A37B9"/>
    <w:rsid w:val="008B37FA"/>
    <w:rsid w:val="008C73C5"/>
    <w:rsid w:val="008D0BBA"/>
    <w:rsid w:val="008E1A98"/>
    <w:rsid w:val="008E26C6"/>
    <w:rsid w:val="008E59BD"/>
    <w:rsid w:val="008F0041"/>
    <w:rsid w:val="00900B5B"/>
    <w:rsid w:val="00904448"/>
    <w:rsid w:val="009075EE"/>
    <w:rsid w:val="0091117B"/>
    <w:rsid w:val="0091201D"/>
    <w:rsid w:val="009124D2"/>
    <w:rsid w:val="00915764"/>
    <w:rsid w:val="00917FE2"/>
    <w:rsid w:val="00920BF0"/>
    <w:rsid w:val="009267D1"/>
    <w:rsid w:val="009350D9"/>
    <w:rsid w:val="0093549B"/>
    <w:rsid w:val="0093592C"/>
    <w:rsid w:val="0094516B"/>
    <w:rsid w:val="0094795C"/>
    <w:rsid w:val="00966988"/>
    <w:rsid w:val="00970E26"/>
    <w:rsid w:val="00982EE4"/>
    <w:rsid w:val="0098462B"/>
    <w:rsid w:val="00985949"/>
    <w:rsid w:val="0099030A"/>
    <w:rsid w:val="00992087"/>
    <w:rsid w:val="009A43FB"/>
    <w:rsid w:val="009A5908"/>
    <w:rsid w:val="009B04E1"/>
    <w:rsid w:val="009B59DE"/>
    <w:rsid w:val="009C026E"/>
    <w:rsid w:val="009C0C67"/>
    <w:rsid w:val="009C339A"/>
    <w:rsid w:val="009D2BE7"/>
    <w:rsid w:val="009D476A"/>
    <w:rsid w:val="009D5028"/>
    <w:rsid w:val="009E0762"/>
    <w:rsid w:val="009E5C74"/>
    <w:rsid w:val="009F138F"/>
    <w:rsid w:val="009F13AD"/>
    <w:rsid w:val="009F1B53"/>
    <w:rsid w:val="009F2923"/>
    <w:rsid w:val="00A0083B"/>
    <w:rsid w:val="00A01FCE"/>
    <w:rsid w:val="00A07F42"/>
    <w:rsid w:val="00A10AF8"/>
    <w:rsid w:val="00A16315"/>
    <w:rsid w:val="00A17AFD"/>
    <w:rsid w:val="00A2134B"/>
    <w:rsid w:val="00A30B3C"/>
    <w:rsid w:val="00A315EE"/>
    <w:rsid w:val="00A34CFF"/>
    <w:rsid w:val="00A36194"/>
    <w:rsid w:val="00A3667A"/>
    <w:rsid w:val="00A37B18"/>
    <w:rsid w:val="00A45405"/>
    <w:rsid w:val="00A52FE0"/>
    <w:rsid w:val="00A61D8D"/>
    <w:rsid w:val="00A64034"/>
    <w:rsid w:val="00A6423D"/>
    <w:rsid w:val="00A65382"/>
    <w:rsid w:val="00A70856"/>
    <w:rsid w:val="00A73461"/>
    <w:rsid w:val="00A73D7C"/>
    <w:rsid w:val="00A84A4D"/>
    <w:rsid w:val="00A86E26"/>
    <w:rsid w:val="00AA3814"/>
    <w:rsid w:val="00AB28C3"/>
    <w:rsid w:val="00AC478D"/>
    <w:rsid w:val="00AC56C9"/>
    <w:rsid w:val="00AD0390"/>
    <w:rsid w:val="00AD24B2"/>
    <w:rsid w:val="00AE0DCA"/>
    <w:rsid w:val="00AE18F0"/>
    <w:rsid w:val="00AE39CC"/>
    <w:rsid w:val="00AE5D9B"/>
    <w:rsid w:val="00AE6543"/>
    <w:rsid w:val="00AF15FF"/>
    <w:rsid w:val="00AF58B9"/>
    <w:rsid w:val="00AF5E77"/>
    <w:rsid w:val="00AF5F3E"/>
    <w:rsid w:val="00AF7685"/>
    <w:rsid w:val="00B00BBF"/>
    <w:rsid w:val="00B00D73"/>
    <w:rsid w:val="00B07622"/>
    <w:rsid w:val="00B1655A"/>
    <w:rsid w:val="00B21AFB"/>
    <w:rsid w:val="00B234EA"/>
    <w:rsid w:val="00B25B65"/>
    <w:rsid w:val="00B27F8D"/>
    <w:rsid w:val="00B305A0"/>
    <w:rsid w:val="00B3276C"/>
    <w:rsid w:val="00B36280"/>
    <w:rsid w:val="00B400D9"/>
    <w:rsid w:val="00B52B3B"/>
    <w:rsid w:val="00B542D6"/>
    <w:rsid w:val="00B620B6"/>
    <w:rsid w:val="00B627D3"/>
    <w:rsid w:val="00B723BE"/>
    <w:rsid w:val="00B72C04"/>
    <w:rsid w:val="00B73601"/>
    <w:rsid w:val="00B81AA5"/>
    <w:rsid w:val="00B82705"/>
    <w:rsid w:val="00B83669"/>
    <w:rsid w:val="00B83D97"/>
    <w:rsid w:val="00B87539"/>
    <w:rsid w:val="00B904E5"/>
    <w:rsid w:val="00B91E2D"/>
    <w:rsid w:val="00BA1343"/>
    <w:rsid w:val="00BA7B12"/>
    <w:rsid w:val="00BB2AAC"/>
    <w:rsid w:val="00BB4B70"/>
    <w:rsid w:val="00BB7ABA"/>
    <w:rsid w:val="00BB7B73"/>
    <w:rsid w:val="00BC00D3"/>
    <w:rsid w:val="00BC6B71"/>
    <w:rsid w:val="00BC6F61"/>
    <w:rsid w:val="00BD0879"/>
    <w:rsid w:val="00BD36FC"/>
    <w:rsid w:val="00BD724A"/>
    <w:rsid w:val="00BE0DDB"/>
    <w:rsid w:val="00BE17C1"/>
    <w:rsid w:val="00BE3683"/>
    <w:rsid w:val="00BF4B86"/>
    <w:rsid w:val="00BF7D16"/>
    <w:rsid w:val="00C108F0"/>
    <w:rsid w:val="00C14089"/>
    <w:rsid w:val="00C144BC"/>
    <w:rsid w:val="00C24F70"/>
    <w:rsid w:val="00C250B0"/>
    <w:rsid w:val="00C257E7"/>
    <w:rsid w:val="00C26763"/>
    <w:rsid w:val="00C26DC3"/>
    <w:rsid w:val="00C27D57"/>
    <w:rsid w:val="00C32055"/>
    <w:rsid w:val="00C41F8E"/>
    <w:rsid w:val="00C5240A"/>
    <w:rsid w:val="00C54D0A"/>
    <w:rsid w:val="00C562B4"/>
    <w:rsid w:val="00C645F1"/>
    <w:rsid w:val="00C65078"/>
    <w:rsid w:val="00C671D7"/>
    <w:rsid w:val="00C731AC"/>
    <w:rsid w:val="00C82CBA"/>
    <w:rsid w:val="00C8400E"/>
    <w:rsid w:val="00C8646E"/>
    <w:rsid w:val="00C87CFA"/>
    <w:rsid w:val="00C90567"/>
    <w:rsid w:val="00C95185"/>
    <w:rsid w:val="00CA1BE4"/>
    <w:rsid w:val="00CA20B2"/>
    <w:rsid w:val="00CA6470"/>
    <w:rsid w:val="00CB2B58"/>
    <w:rsid w:val="00CB772B"/>
    <w:rsid w:val="00CC3C0E"/>
    <w:rsid w:val="00CC4C56"/>
    <w:rsid w:val="00CD1994"/>
    <w:rsid w:val="00CD31AB"/>
    <w:rsid w:val="00CD5C31"/>
    <w:rsid w:val="00CE0083"/>
    <w:rsid w:val="00CE1C84"/>
    <w:rsid w:val="00CF0249"/>
    <w:rsid w:val="00D11F11"/>
    <w:rsid w:val="00D13D25"/>
    <w:rsid w:val="00D16BB6"/>
    <w:rsid w:val="00D257A9"/>
    <w:rsid w:val="00D31F07"/>
    <w:rsid w:val="00D35816"/>
    <w:rsid w:val="00D44497"/>
    <w:rsid w:val="00D45A67"/>
    <w:rsid w:val="00D47DAB"/>
    <w:rsid w:val="00D5115F"/>
    <w:rsid w:val="00D62528"/>
    <w:rsid w:val="00D64280"/>
    <w:rsid w:val="00D657C2"/>
    <w:rsid w:val="00D7300A"/>
    <w:rsid w:val="00D73D41"/>
    <w:rsid w:val="00D823AE"/>
    <w:rsid w:val="00D8667C"/>
    <w:rsid w:val="00D86AB9"/>
    <w:rsid w:val="00D873D1"/>
    <w:rsid w:val="00D924CE"/>
    <w:rsid w:val="00DA18E0"/>
    <w:rsid w:val="00DA53A4"/>
    <w:rsid w:val="00DA7A75"/>
    <w:rsid w:val="00DB38DB"/>
    <w:rsid w:val="00DB4D69"/>
    <w:rsid w:val="00DC22E1"/>
    <w:rsid w:val="00DC7144"/>
    <w:rsid w:val="00DD3B75"/>
    <w:rsid w:val="00DE28E5"/>
    <w:rsid w:val="00DF1CE6"/>
    <w:rsid w:val="00DF2082"/>
    <w:rsid w:val="00DF320C"/>
    <w:rsid w:val="00E001AE"/>
    <w:rsid w:val="00E00317"/>
    <w:rsid w:val="00E00F26"/>
    <w:rsid w:val="00E038E9"/>
    <w:rsid w:val="00E06A3A"/>
    <w:rsid w:val="00E208D7"/>
    <w:rsid w:val="00E241B0"/>
    <w:rsid w:val="00E318C6"/>
    <w:rsid w:val="00E33BF7"/>
    <w:rsid w:val="00E3414A"/>
    <w:rsid w:val="00E347C7"/>
    <w:rsid w:val="00E3598B"/>
    <w:rsid w:val="00E403C5"/>
    <w:rsid w:val="00E4171A"/>
    <w:rsid w:val="00E43725"/>
    <w:rsid w:val="00E44F60"/>
    <w:rsid w:val="00E64BF3"/>
    <w:rsid w:val="00E65B8E"/>
    <w:rsid w:val="00E71982"/>
    <w:rsid w:val="00E74282"/>
    <w:rsid w:val="00E74E66"/>
    <w:rsid w:val="00E907B7"/>
    <w:rsid w:val="00E95275"/>
    <w:rsid w:val="00EA1B71"/>
    <w:rsid w:val="00EA48FC"/>
    <w:rsid w:val="00EA4A3E"/>
    <w:rsid w:val="00EA7D4F"/>
    <w:rsid w:val="00EB16F7"/>
    <w:rsid w:val="00EB28D6"/>
    <w:rsid w:val="00EC0B74"/>
    <w:rsid w:val="00EC168C"/>
    <w:rsid w:val="00EC504C"/>
    <w:rsid w:val="00EC5C83"/>
    <w:rsid w:val="00EC6F88"/>
    <w:rsid w:val="00ED0C13"/>
    <w:rsid w:val="00ED213D"/>
    <w:rsid w:val="00ED2E01"/>
    <w:rsid w:val="00ED4F9B"/>
    <w:rsid w:val="00EE0F98"/>
    <w:rsid w:val="00EE304F"/>
    <w:rsid w:val="00EF00F7"/>
    <w:rsid w:val="00EF0271"/>
    <w:rsid w:val="00EF3527"/>
    <w:rsid w:val="00F01D64"/>
    <w:rsid w:val="00F02600"/>
    <w:rsid w:val="00F139DB"/>
    <w:rsid w:val="00F177EC"/>
    <w:rsid w:val="00F23962"/>
    <w:rsid w:val="00F40510"/>
    <w:rsid w:val="00F410A0"/>
    <w:rsid w:val="00F4270F"/>
    <w:rsid w:val="00F635B6"/>
    <w:rsid w:val="00F665AC"/>
    <w:rsid w:val="00F70F31"/>
    <w:rsid w:val="00F7425C"/>
    <w:rsid w:val="00F74607"/>
    <w:rsid w:val="00F74A61"/>
    <w:rsid w:val="00F75455"/>
    <w:rsid w:val="00F777F2"/>
    <w:rsid w:val="00F80392"/>
    <w:rsid w:val="00F90BB6"/>
    <w:rsid w:val="00F93B62"/>
    <w:rsid w:val="00FA24BE"/>
    <w:rsid w:val="00FA7654"/>
    <w:rsid w:val="00FC1FCE"/>
    <w:rsid w:val="00FC2BA9"/>
    <w:rsid w:val="00FC5100"/>
    <w:rsid w:val="00FC5A4B"/>
    <w:rsid w:val="00FD5A7E"/>
    <w:rsid w:val="00FE3007"/>
    <w:rsid w:val="00FE4BD6"/>
    <w:rsid w:val="00FE5FD2"/>
    <w:rsid w:val="00FE74A0"/>
    <w:rsid w:val="00FF277C"/>
    <w:rsid w:val="1B2EE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FC4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B58"/>
    <w:pPr>
      <w:spacing w:after="24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0E58A6"/>
    <w:pPr>
      <w:keepNext/>
      <w:keepLines/>
      <w:spacing w:before="160" w:after="120"/>
      <w:outlineLvl w:val="1"/>
    </w:pPr>
    <w:rPr>
      <w:rFonts w:eastAsiaTheme="majorEastAsia" w:cstheme="majorBidi"/>
      <w:b/>
      <w:sz w:val="36"/>
      <w:szCs w:val="3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0E58A6"/>
    <w:rPr>
      <w:rFonts w:ascii="Arial" w:eastAsiaTheme="majorEastAsia" w:hAnsi="Arial" w:cstheme="majorBidi"/>
      <w:b/>
      <w:sz w:val="36"/>
      <w:szCs w:val="3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61962"/>
    <w:rPr>
      <w:sz w:val="16"/>
      <w:szCs w:val="16"/>
    </w:rPr>
  </w:style>
  <w:style w:type="paragraph" w:styleId="CommentText">
    <w:name w:val="annotation text"/>
    <w:basedOn w:val="Normal"/>
    <w:link w:val="CommentTextChar"/>
    <w:uiPriority w:val="99"/>
    <w:unhideWhenUsed/>
    <w:rsid w:val="0076196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761962"/>
    <w:rPr>
      <w:sz w:val="20"/>
      <w:szCs w:val="20"/>
    </w:rPr>
  </w:style>
  <w:style w:type="character" w:styleId="Emphasis">
    <w:name w:val="Emphasis"/>
    <w:basedOn w:val="DefaultParagraphFont"/>
    <w:uiPriority w:val="20"/>
    <w:qFormat/>
    <w:rsid w:val="00077CF8"/>
    <w:rPr>
      <w:i/>
      <w:iCs/>
    </w:rPr>
  </w:style>
  <w:style w:type="character" w:styleId="FollowedHyperlink">
    <w:name w:val="FollowedHyperlink"/>
    <w:basedOn w:val="DefaultParagraphFont"/>
    <w:uiPriority w:val="99"/>
    <w:semiHidden/>
    <w:unhideWhenUsed/>
    <w:rsid w:val="006106E9"/>
    <w:rPr>
      <w:color w:val="954F72" w:themeColor="followedHyperlink"/>
      <w:u w:val="single"/>
    </w:rPr>
  </w:style>
  <w:style w:type="table" w:styleId="TableGrid">
    <w:name w:val="Table Grid"/>
    <w:basedOn w:val="TableNormal"/>
    <w:uiPriority w:val="39"/>
    <w:rsid w:val="00791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3E97"/>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833E97"/>
    <w:rPr>
      <w:rFonts w:ascii="Arial" w:eastAsia="Times New Roman" w:hAnsi="Arial" w:cs="Times New Roman"/>
      <w:b/>
      <w:bCs/>
      <w:sz w:val="20"/>
      <w:szCs w:val="20"/>
    </w:rPr>
  </w:style>
  <w:style w:type="paragraph" w:styleId="NormalWeb">
    <w:name w:val="Normal (Web)"/>
    <w:basedOn w:val="Normal"/>
    <w:uiPriority w:val="99"/>
    <w:semiHidden/>
    <w:unhideWhenUsed/>
    <w:rsid w:val="00656FB0"/>
    <w:pPr>
      <w:spacing w:before="100" w:beforeAutospacing="1" w:after="100" w:afterAutospacing="1"/>
    </w:pPr>
    <w:rPr>
      <w:rFonts w:ascii="Times New Roman" w:hAnsi="Times New Roman"/>
    </w:rPr>
  </w:style>
  <w:style w:type="paragraph" w:styleId="Revision">
    <w:name w:val="Revision"/>
    <w:hidden/>
    <w:uiPriority w:val="99"/>
    <w:semiHidden/>
    <w:rsid w:val="006A0B8B"/>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BD0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5674">
      <w:bodyDiv w:val="1"/>
      <w:marLeft w:val="0"/>
      <w:marRight w:val="0"/>
      <w:marTop w:val="0"/>
      <w:marBottom w:val="0"/>
      <w:divBdr>
        <w:top w:val="none" w:sz="0" w:space="0" w:color="auto"/>
        <w:left w:val="none" w:sz="0" w:space="0" w:color="auto"/>
        <w:bottom w:val="none" w:sz="0" w:space="0" w:color="auto"/>
        <w:right w:val="none" w:sz="0" w:space="0" w:color="auto"/>
      </w:divBdr>
    </w:div>
    <w:div w:id="271061831">
      <w:bodyDiv w:val="1"/>
      <w:marLeft w:val="0"/>
      <w:marRight w:val="0"/>
      <w:marTop w:val="0"/>
      <w:marBottom w:val="0"/>
      <w:divBdr>
        <w:top w:val="none" w:sz="0" w:space="0" w:color="auto"/>
        <w:left w:val="none" w:sz="0" w:space="0" w:color="auto"/>
        <w:bottom w:val="none" w:sz="0" w:space="0" w:color="auto"/>
        <w:right w:val="none" w:sz="0" w:space="0" w:color="auto"/>
      </w:divBdr>
    </w:div>
    <w:div w:id="1159886399">
      <w:bodyDiv w:val="1"/>
      <w:marLeft w:val="0"/>
      <w:marRight w:val="0"/>
      <w:marTop w:val="0"/>
      <w:marBottom w:val="0"/>
      <w:divBdr>
        <w:top w:val="none" w:sz="0" w:space="0" w:color="auto"/>
        <w:left w:val="none" w:sz="0" w:space="0" w:color="auto"/>
        <w:bottom w:val="none" w:sz="0" w:space="0" w:color="auto"/>
        <w:right w:val="none" w:sz="0" w:space="0" w:color="auto"/>
      </w:divBdr>
    </w:div>
    <w:div w:id="184007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th2work@cde.c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C1A5D-FFDC-448F-90E9-512087B0E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CWPJAC April 2024 Agenda Item 01 - General Information (CA Dept of Education)</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April 2024 Agenda Item 01 - General Information (CA Dept of Education)</dc:title>
  <dc:subject>California Workforce Pathways Joint Advisory Committee (CWPJAC) Review and Approval of the Draft Updated Perkins V State Plan.</dc:subject>
  <dc:creator/>
  <cp:keywords/>
  <dc:description/>
  <cp:lastModifiedBy/>
  <cp:revision>1</cp:revision>
  <dcterms:created xsi:type="dcterms:W3CDTF">2024-04-25T18:50:00Z</dcterms:created>
  <dcterms:modified xsi:type="dcterms:W3CDTF">2024-04-25T18:52:00Z</dcterms:modified>
  <cp:category/>
</cp:coreProperties>
</file>