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1036" w14:textId="77777777" w:rsidR="003A0CCA" w:rsidRPr="001E269E" w:rsidRDefault="003A0CCA" w:rsidP="003A0CCA">
      <w:pPr>
        <w:rPr>
          <w:rFonts w:cs="Arial"/>
        </w:rPr>
      </w:pPr>
      <w:r w:rsidRPr="001E269E">
        <w:rPr>
          <w:rFonts w:cs="Arial"/>
          <w:noProof/>
        </w:rPr>
        <w:drawing>
          <wp:inline distT="0" distB="0" distL="0" distR="0" wp14:anchorId="5ED06D92" wp14:editId="7D0865D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4638915F" wp14:editId="032DCB7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0EE29767" wp14:editId="25D70CBC">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7F5BE33F" w14:textId="55940F85"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261782">
        <w:rPr>
          <w:rFonts w:cs="Arial"/>
          <w:sz w:val="40"/>
          <w:szCs w:val="40"/>
        </w:rPr>
        <w:t>July 11</w:t>
      </w:r>
      <w:r w:rsidR="005E2F1D" w:rsidRPr="001E269E">
        <w:rPr>
          <w:rFonts w:cs="Arial"/>
          <w:sz w:val="40"/>
          <w:szCs w:val="40"/>
        </w:rPr>
        <w:t>, 202</w:t>
      </w:r>
      <w:r w:rsidR="00261782">
        <w:rPr>
          <w:rFonts w:cs="Arial"/>
          <w:sz w:val="40"/>
          <w:szCs w:val="40"/>
        </w:rPr>
        <w:t>5</w:t>
      </w:r>
      <w:r w:rsidRPr="001E269E">
        <w:rPr>
          <w:rFonts w:cs="Arial"/>
          <w:sz w:val="40"/>
          <w:szCs w:val="40"/>
        </w:rPr>
        <w:br/>
        <w:t>Agenda Item</w:t>
      </w:r>
      <w:r w:rsidR="00920F1B">
        <w:rPr>
          <w:rFonts w:cs="Arial"/>
          <w:sz w:val="40"/>
          <w:szCs w:val="40"/>
        </w:rPr>
        <w:t xml:space="preserve"> 0</w:t>
      </w:r>
      <w:r w:rsidR="00261782">
        <w:rPr>
          <w:rFonts w:cs="Arial"/>
          <w:sz w:val="40"/>
          <w:szCs w:val="40"/>
        </w:rPr>
        <w:t>2</w:t>
      </w:r>
    </w:p>
    <w:p w14:paraId="0329DCDB" w14:textId="77777777" w:rsidR="003A0CCA" w:rsidRPr="001E269E" w:rsidRDefault="003A0CCA" w:rsidP="003A0CCA">
      <w:pPr>
        <w:jc w:val="center"/>
        <w:rPr>
          <w:rFonts w:cs="Arial"/>
        </w:rPr>
      </w:pPr>
      <w:r w:rsidRPr="001E269E">
        <w:rPr>
          <w:rFonts w:cs="Arial"/>
        </w:rPr>
        <w:t>Posted by the California Department of Education</w:t>
      </w:r>
    </w:p>
    <w:p w14:paraId="780A5F7F" w14:textId="77777777" w:rsidR="00144DF4" w:rsidRPr="001A50A1" w:rsidRDefault="00FC1FCE" w:rsidP="00AB0EDC">
      <w:pPr>
        <w:pStyle w:val="Heading2"/>
        <w:spacing w:before="360" w:after="240"/>
        <w:rPr>
          <w:rFonts w:cs="Arial"/>
          <w:sz w:val="36"/>
          <w:szCs w:val="36"/>
        </w:rPr>
      </w:pPr>
      <w:r w:rsidRPr="001A50A1">
        <w:rPr>
          <w:rFonts w:cs="Arial"/>
          <w:sz w:val="36"/>
          <w:szCs w:val="36"/>
        </w:rPr>
        <w:t>Subject</w:t>
      </w:r>
    </w:p>
    <w:p w14:paraId="798504D2" w14:textId="77777777" w:rsidR="00261782" w:rsidRPr="005E3A15" w:rsidRDefault="00261782" w:rsidP="00D81DB8">
      <w:pPr>
        <w:shd w:val="clear" w:color="auto" w:fill="FFFFFF"/>
        <w:spacing w:after="240"/>
        <w:rPr>
          <w:rFonts w:cs="Arial"/>
          <w:color w:val="000000"/>
        </w:rPr>
      </w:pPr>
      <w:r>
        <w:rPr>
          <w:rFonts w:cs="Arial"/>
          <w:color w:val="000000"/>
        </w:rPr>
        <w:t>Update on the Strengthening Career and Technical Education for the 21</w:t>
      </w:r>
      <w:r w:rsidRPr="00112757">
        <w:rPr>
          <w:rFonts w:cs="Arial"/>
          <w:color w:val="000000"/>
          <w:vertAlign w:val="superscript"/>
        </w:rPr>
        <w:t>st</w:t>
      </w:r>
      <w:r>
        <w:rPr>
          <w:rFonts w:cs="Arial"/>
          <w:color w:val="000000"/>
        </w:rPr>
        <w:t xml:space="preserve"> Century Act (Perkins V); Career Technical Education Incentive Grant (CTEIG), and the Kindergarten through Grade Twelve Strong Workforce Program (K12 SWP) grants for 2024–25.</w:t>
      </w:r>
    </w:p>
    <w:p w14:paraId="01D53E9B" w14:textId="77777777" w:rsidR="00FC1FCE" w:rsidRPr="001A50A1" w:rsidRDefault="00FC1FCE" w:rsidP="00AB0EDC">
      <w:pPr>
        <w:pStyle w:val="Heading2"/>
        <w:spacing w:before="360" w:after="240"/>
        <w:rPr>
          <w:rFonts w:cs="Arial"/>
          <w:sz w:val="36"/>
          <w:szCs w:val="36"/>
        </w:rPr>
      </w:pPr>
      <w:r w:rsidRPr="001A50A1">
        <w:rPr>
          <w:rFonts w:cs="Arial"/>
          <w:sz w:val="36"/>
          <w:szCs w:val="36"/>
        </w:rPr>
        <w:t>Type of Action</w:t>
      </w:r>
    </w:p>
    <w:p w14:paraId="6CCF817E" w14:textId="77777777" w:rsidR="00D61502" w:rsidRPr="001E269E" w:rsidRDefault="00144DF4" w:rsidP="00D61502">
      <w:pPr>
        <w:spacing w:after="240"/>
        <w:rPr>
          <w:rFonts w:cs="Arial"/>
        </w:rPr>
      </w:pPr>
      <w:r w:rsidRPr="001E269E">
        <w:rPr>
          <w:rFonts w:cs="Arial"/>
          <w:noProof/>
        </w:rPr>
        <w:t>Information</w:t>
      </w:r>
    </w:p>
    <w:p w14:paraId="6FA7C006" w14:textId="77777777" w:rsidR="00FC1FCE" w:rsidRPr="001A50A1" w:rsidRDefault="00FC1FCE" w:rsidP="00AB0EDC">
      <w:pPr>
        <w:pStyle w:val="Heading2"/>
        <w:spacing w:before="360" w:after="240"/>
        <w:rPr>
          <w:rFonts w:cs="Arial"/>
          <w:sz w:val="36"/>
          <w:szCs w:val="36"/>
        </w:rPr>
      </w:pPr>
      <w:r w:rsidRPr="001A50A1">
        <w:rPr>
          <w:rFonts w:cs="Arial"/>
          <w:sz w:val="36"/>
          <w:szCs w:val="36"/>
        </w:rPr>
        <w:t>Summary of the Issue(s)</w:t>
      </w:r>
    </w:p>
    <w:p w14:paraId="382349D7" w14:textId="77777777" w:rsidR="00006186" w:rsidRPr="00006186" w:rsidRDefault="00006186" w:rsidP="00D81DB8">
      <w:pPr>
        <w:spacing w:after="240"/>
        <w:rPr>
          <w:b/>
        </w:rPr>
      </w:pPr>
      <w:r w:rsidRPr="00006186">
        <w:t>This agenda item provides updates on the award process, grants awarded, braiding of the three career technical education (CTE) programs overseen by the California Department of Education (CDE) and the California Community Colleges Chancellor’s Office (CCCCO): K12 SWP, Perkins V, and CTEIG for fiscal year (FY) 2024–25.</w:t>
      </w:r>
    </w:p>
    <w:p w14:paraId="4C0CD6EF" w14:textId="77777777" w:rsidR="008448EE" w:rsidRPr="00D81DB8" w:rsidRDefault="008448EE" w:rsidP="008448EE">
      <w:pPr>
        <w:pStyle w:val="Heading3"/>
        <w:spacing w:before="240" w:after="240"/>
        <w:rPr>
          <w:sz w:val="28"/>
          <w:szCs w:val="28"/>
        </w:rPr>
      </w:pPr>
      <w:r w:rsidRPr="00D81DB8">
        <w:rPr>
          <w:sz w:val="28"/>
          <w:szCs w:val="28"/>
        </w:rPr>
        <w:t>K12 SWP</w:t>
      </w:r>
    </w:p>
    <w:p w14:paraId="59E00870" w14:textId="28F990F0" w:rsidR="00D81DB8" w:rsidRDefault="00CE6800" w:rsidP="00D81DB8">
      <w:pPr>
        <w:spacing w:after="240"/>
      </w:pPr>
      <w:r w:rsidRPr="00CE6800">
        <w:t>In summer 2018, the California legislature introduced the K12 SWP as an ongoing statewide funding opportunity. It is designed to support K–12 local education agencies (LEAs) in creating, improving, and expanding CTE courses, course sequences, programs of study, and pathways for students transitioning from secondary education to postsecondary education to living-wage employment.</w:t>
      </w:r>
      <w:r w:rsidR="00D81DB8">
        <w:br w:type="page"/>
      </w:r>
    </w:p>
    <w:p w14:paraId="668C854A" w14:textId="4BD08D7D" w:rsidR="008448EE" w:rsidRPr="00D81DB8" w:rsidRDefault="008448EE" w:rsidP="00D81DB8">
      <w:pPr>
        <w:pStyle w:val="Heading3"/>
        <w:rPr>
          <w:sz w:val="28"/>
          <w:szCs w:val="28"/>
        </w:rPr>
      </w:pPr>
      <w:r w:rsidRPr="00D81DB8">
        <w:rPr>
          <w:sz w:val="28"/>
          <w:szCs w:val="28"/>
        </w:rPr>
        <w:lastRenderedPageBreak/>
        <w:t>Perkins</w:t>
      </w:r>
      <w:r w:rsidR="00006186" w:rsidRPr="00D81DB8">
        <w:rPr>
          <w:sz w:val="28"/>
          <w:szCs w:val="28"/>
        </w:rPr>
        <w:t xml:space="preserve"> V</w:t>
      </w:r>
    </w:p>
    <w:p w14:paraId="7E95A127" w14:textId="3FDE974A" w:rsidR="008448EE" w:rsidRDefault="00006186" w:rsidP="00D81DB8">
      <w:pPr>
        <w:spacing w:after="240"/>
        <w:rPr>
          <w:rFonts w:cs="Arial"/>
        </w:rPr>
      </w:pPr>
      <w:r w:rsidRPr="00006186">
        <w:t xml:space="preserve">The Perkins V Act, a federal grant program that supports </w:t>
      </w:r>
      <w:r>
        <w:t>CTE</w:t>
      </w:r>
      <w:r w:rsidRPr="00006186">
        <w:t xml:space="preserve"> in California's schools, was reauthorized</w:t>
      </w:r>
      <w:r w:rsidR="008448EE">
        <w:t xml:space="preserve"> under </w:t>
      </w:r>
      <w:r w:rsidR="008448EE" w:rsidRPr="0017037E">
        <w:t>Public Law 115–224</w:t>
      </w:r>
      <w:r w:rsidR="008448EE">
        <w:t xml:space="preserve"> in 2019. California receives a portion of the Federal Award annually. For fiscal year 2024–25 the total award amount </w:t>
      </w:r>
      <w:r w:rsidR="008448EE" w:rsidRPr="0017037E">
        <w:t xml:space="preserve">was </w:t>
      </w:r>
      <w:r w:rsidR="008448EE" w:rsidRPr="0017037E">
        <w:rPr>
          <w:rFonts w:cs="Arial"/>
        </w:rPr>
        <w:t>$142,399,754</w:t>
      </w:r>
      <w:r w:rsidR="008448EE">
        <w:rPr>
          <w:rFonts w:cs="Arial"/>
        </w:rPr>
        <w:t>. Perkins has benchmarks for how funds can be distributed, and 85 percent of the funds must be distributed for the LEA awards. Therefore $121,039,792 was distributed between the CDE and the CCCCO for the distribution of grants.</w:t>
      </w:r>
    </w:p>
    <w:p w14:paraId="30842104" w14:textId="77777777" w:rsidR="008448EE" w:rsidRPr="00D81DB8" w:rsidRDefault="008448EE" w:rsidP="00D81DB8">
      <w:pPr>
        <w:pStyle w:val="Heading3"/>
        <w:spacing w:before="0" w:after="240"/>
        <w:rPr>
          <w:sz w:val="28"/>
          <w:szCs w:val="28"/>
        </w:rPr>
      </w:pPr>
      <w:r w:rsidRPr="00D81DB8">
        <w:rPr>
          <w:sz w:val="28"/>
          <w:szCs w:val="28"/>
        </w:rPr>
        <w:t>CTEIG</w:t>
      </w:r>
    </w:p>
    <w:p w14:paraId="57F35B9C" w14:textId="595ED7DC" w:rsidR="008448EE" w:rsidRDefault="008448EE" w:rsidP="00D81DB8">
      <w:pPr>
        <w:spacing w:after="240"/>
        <w:rPr>
          <w:rFonts w:cs="Arial"/>
          <w:bdr w:val="none" w:sz="0" w:space="0" w:color="auto" w:frame="1"/>
        </w:rPr>
      </w:pPr>
      <w:r w:rsidRPr="00EB26CA">
        <w:rPr>
          <w:rFonts w:cs="Arial"/>
          <w:bdr w:val="none" w:sz="0" w:space="0" w:color="auto" w:frame="1"/>
        </w:rPr>
        <w:t>The Budget Act of 2021 (A</w:t>
      </w:r>
      <w:r w:rsidR="00342AB5">
        <w:rPr>
          <w:rFonts w:cs="Arial"/>
          <w:bdr w:val="none" w:sz="0" w:space="0" w:color="auto" w:frame="1"/>
        </w:rPr>
        <w:t xml:space="preserve">ssembly </w:t>
      </w:r>
      <w:r w:rsidRPr="00EB26CA">
        <w:rPr>
          <w:rFonts w:cs="Arial"/>
          <w:bdr w:val="none" w:sz="0" w:space="0" w:color="auto" w:frame="1"/>
        </w:rPr>
        <w:t>B</w:t>
      </w:r>
      <w:r w:rsidR="00342AB5">
        <w:rPr>
          <w:rFonts w:cs="Arial"/>
          <w:bdr w:val="none" w:sz="0" w:space="0" w:color="auto" w:frame="1"/>
        </w:rPr>
        <w:t>ill</w:t>
      </w:r>
      <w:r w:rsidRPr="00EB26CA">
        <w:rPr>
          <w:rFonts w:cs="Arial"/>
          <w:bdr w:val="none" w:sz="0" w:space="0" w:color="auto" w:frame="1"/>
        </w:rPr>
        <w:t xml:space="preserve"> 130) amended </w:t>
      </w:r>
      <w:r w:rsidRPr="00EB26CA">
        <w:rPr>
          <w:rFonts w:cs="Arial"/>
          <w:i/>
          <w:bdr w:val="none" w:sz="0" w:space="0" w:color="auto" w:frame="1"/>
        </w:rPr>
        <w:t>E</w:t>
      </w:r>
      <w:r w:rsidR="00342AB5">
        <w:rPr>
          <w:rFonts w:cs="Arial"/>
          <w:i/>
          <w:bdr w:val="none" w:sz="0" w:space="0" w:color="auto" w:frame="1"/>
        </w:rPr>
        <w:t xml:space="preserve">ducation </w:t>
      </w:r>
      <w:r w:rsidRPr="00EB26CA">
        <w:rPr>
          <w:rFonts w:cs="Arial"/>
          <w:i/>
          <w:bdr w:val="none" w:sz="0" w:space="0" w:color="auto" w:frame="1"/>
        </w:rPr>
        <w:t>C</w:t>
      </w:r>
      <w:r w:rsidR="00342AB5">
        <w:rPr>
          <w:rFonts w:cs="Arial"/>
          <w:i/>
          <w:bdr w:val="none" w:sz="0" w:space="0" w:color="auto" w:frame="1"/>
        </w:rPr>
        <w:t>ode</w:t>
      </w:r>
      <w:r w:rsidRPr="00EB26CA">
        <w:rPr>
          <w:rFonts w:cs="Arial"/>
          <w:bdr w:val="none" w:sz="0" w:space="0" w:color="auto" w:frame="1"/>
        </w:rPr>
        <w:t xml:space="preserve"> sections </w:t>
      </w:r>
      <w:r w:rsidR="00006186">
        <w:rPr>
          <w:rFonts w:cs="Arial"/>
          <w:bdr w:val="none" w:sz="0" w:space="0" w:color="auto" w:frame="1"/>
        </w:rPr>
        <w:br/>
      </w:r>
      <w:r w:rsidRPr="00EB26CA">
        <w:rPr>
          <w:rFonts w:cs="Arial"/>
          <w:bdr w:val="none" w:sz="0" w:space="0" w:color="auto" w:frame="1"/>
        </w:rPr>
        <w:t xml:space="preserve">53070–53076.4 pertaining to the CTEIG Program and made available $300 million for the 2021–22 FY, and each FY thereafter. It also establishes that the applicant must encumber the proportional dollar-for dollar match (2:1) in the FY for which an applicant is applying to receive a grant under the program. In the event an applicant is unable to fully match the amount of funding that the allocation formula determines that they are eligible to receive, the applicant’s award must be reduced to the amount necessary for the applicant to meet the requirements of the law. </w:t>
      </w:r>
      <w:r>
        <w:rPr>
          <w:rFonts w:cs="Arial"/>
          <w:bdr w:val="none" w:sz="0" w:space="0" w:color="auto" w:frame="1"/>
        </w:rPr>
        <w:t>U</w:t>
      </w:r>
      <w:r w:rsidRPr="00EB26CA">
        <w:rPr>
          <w:rFonts w:cs="Arial"/>
          <w:bdr w:val="none" w:sz="0" w:space="0" w:color="auto" w:frame="1"/>
        </w:rPr>
        <w:t>nder no circumstances shall an applicant be awarded an amount higher than the amount that the allocation formula determines them to be eligible to receive under the program.</w:t>
      </w:r>
    </w:p>
    <w:p w14:paraId="1E5585A1" w14:textId="77777777" w:rsidR="004E74CA" w:rsidRPr="001A50A1" w:rsidRDefault="004E74CA" w:rsidP="00214E7F">
      <w:pPr>
        <w:pStyle w:val="Heading2"/>
        <w:spacing w:before="120" w:after="240"/>
        <w:rPr>
          <w:rFonts w:cs="Arial"/>
          <w:sz w:val="36"/>
          <w:szCs w:val="36"/>
        </w:rPr>
      </w:pPr>
      <w:r w:rsidRPr="001A50A1">
        <w:rPr>
          <w:rFonts w:cs="Arial"/>
          <w:sz w:val="36"/>
          <w:szCs w:val="36"/>
        </w:rPr>
        <w:t>Recommendation</w:t>
      </w:r>
    </w:p>
    <w:p w14:paraId="51F42E1B" w14:textId="77777777" w:rsidR="00D84A73" w:rsidRPr="001E269E" w:rsidRDefault="00D84A73" w:rsidP="00D84A73">
      <w:r w:rsidRPr="001E269E">
        <w:t xml:space="preserve">This is an information item only; there is no recommendation </w:t>
      </w:r>
      <w:proofErr w:type="gramStart"/>
      <w:r w:rsidRPr="001E269E">
        <w:t>at this time</w:t>
      </w:r>
      <w:proofErr w:type="gramEnd"/>
      <w:r w:rsidRPr="001E269E">
        <w:t>.</w:t>
      </w:r>
    </w:p>
    <w:p w14:paraId="1F9999A0" w14:textId="77777777" w:rsidR="00B7410C" w:rsidRPr="001A50A1" w:rsidRDefault="00F814C5" w:rsidP="00214E7F">
      <w:pPr>
        <w:pStyle w:val="Heading2"/>
        <w:spacing w:before="120" w:after="240"/>
        <w:rPr>
          <w:rFonts w:cs="Arial"/>
          <w:sz w:val="36"/>
          <w:szCs w:val="36"/>
        </w:rPr>
      </w:pPr>
      <w:r w:rsidRPr="001A50A1">
        <w:rPr>
          <w:rFonts w:cs="Arial"/>
          <w:sz w:val="36"/>
          <w:szCs w:val="36"/>
        </w:rPr>
        <w:t>Brief History of Key Issues</w:t>
      </w:r>
    </w:p>
    <w:p w14:paraId="291FACBA" w14:textId="1A54D55A" w:rsidR="00D80642" w:rsidRPr="00D81DB8" w:rsidRDefault="00D80642" w:rsidP="00D81DB8">
      <w:pPr>
        <w:pStyle w:val="Heading3"/>
        <w:rPr>
          <w:sz w:val="28"/>
          <w:szCs w:val="28"/>
        </w:rPr>
      </w:pPr>
      <w:r w:rsidRPr="00D81DB8">
        <w:rPr>
          <w:sz w:val="28"/>
          <w:szCs w:val="28"/>
        </w:rPr>
        <w:t>California Community Colleges Chancellor’s Office Grants</w:t>
      </w:r>
    </w:p>
    <w:p w14:paraId="23B57182" w14:textId="22EDDB77" w:rsidR="000A6BB8" w:rsidRPr="00D81DB8" w:rsidRDefault="000A6BB8" w:rsidP="00D81DB8">
      <w:pPr>
        <w:spacing w:after="240"/>
        <w:rPr>
          <w:b/>
          <w:bCs/>
          <w:highlight w:val="cyan"/>
        </w:rPr>
      </w:pPr>
      <w:r w:rsidRPr="00D81DB8">
        <w:rPr>
          <w:b/>
          <w:bCs/>
        </w:rPr>
        <w:t xml:space="preserve">The FY 2024–25 (Round </w:t>
      </w:r>
      <w:r w:rsidR="46507F28" w:rsidRPr="00D81DB8">
        <w:rPr>
          <w:b/>
          <w:bCs/>
        </w:rPr>
        <w:t>7</w:t>
      </w:r>
      <w:r w:rsidRPr="00D81DB8">
        <w:rPr>
          <w:b/>
          <w:bCs/>
        </w:rPr>
        <w:t>) K12 SWP Application Process and Awardees Granted</w:t>
      </w:r>
    </w:p>
    <w:p w14:paraId="117AC370" w14:textId="530030CB" w:rsidR="138073A4" w:rsidRDefault="138073A4" w:rsidP="00D81DB8">
      <w:pPr>
        <w:spacing w:after="240"/>
        <w:rPr>
          <w:rFonts w:eastAsia="Arial"/>
          <w:b/>
        </w:rPr>
      </w:pPr>
      <w:r w:rsidRPr="705334CF">
        <w:rPr>
          <w:rFonts w:eastAsia="Arial"/>
        </w:rPr>
        <w:t xml:space="preserve">For </w:t>
      </w:r>
      <w:bookmarkStart w:id="0" w:name="_Int_BlRb1bjE"/>
      <w:r w:rsidRPr="705334CF">
        <w:rPr>
          <w:rFonts w:eastAsia="Arial"/>
        </w:rPr>
        <w:t>the Round</w:t>
      </w:r>
      <w:bookmarkEnd w:id="0"/>
      <w:r w:rsidRPr="705334CF">
        <w:rPr>
          <w:rFonts w:eastAsia="Arial"/>
        </w:rPr>
        <w:t xml:space="preserve"> 7 FY 2024–25 allocations, the CCCCO received 293 K–12 SWP applications with a total request of $239,995,389 in funding. The CCCCO awarded 247 K–12 SWP applications for a total amount of $150,000,000</w:t>
      </w:r>
      <w:r w:rsidRPr="705334CF">
        <w:rPr>
          <w:rFonts w:eastAsia="Arial"/>
          <w:bCs/>
        </w:rPr>
        <w:t xml:space="preserve"> </w:t>
      </w:r>
      <w:r w:rsidRPr="705334CF">
        <w:rPr>
          <w:rFonts w:eastAsia="Arial"/>
        </w:rPr>
        <w:t>in funding.</w:t>
      </w:r>
    </w:p>
    <w:p w14:paraId="19AF860E" w14:textId="4BB39850" w:rsidR="000A49CA" w:rsidRPr="000A49CA" w:rsidRDefault="000A49CA" w:rsidP="00D81DB8">
      <w:pPr>
        <w:spacing w:after="240"/>
      </w:pPr>
      <w:r>
        <w:t>K12 SWP Grantees: 247</w:t>
      </w:r>
      <w:r w:rsidR="00671C74">
        <w:t xml:space="preserve"> (LEAs can apply for more than one grant; Individual LEAs count is 202)</w:t>
      </w:r>
    </w:p>
    <w:p w14:paraId="6ED54EA9" w14:textId="20E0EE34" w:rsidR="00D80642" w:rsidRPr="00D81DB8" w:rsidRDefault="00D80642" w:rsidP="00D81DB8">
      <w:pPr>
        <w:spacing w:after="240"/>
        <w:rPr>
          <w:b/>
          <w:bCs/>
        </w:rPr>
      </w:pPr>
      <w:r w:rsidRPr="00D81DB8">
        <w:rPr>
          <w:b/>
          <w:bCs/>
        </w:rPr>
        <w:t>The FY 2024–25 Perkins V Application Process for the CCCCO Awards</w:t>
      </w:r>
    </w:p>
    <w:p w14:paraId="34D9D712" w14:textId="15043CD9" w:rsidR="00672FC1" w:rsidRDefault="00672FC1" w:rsidP="00D81DB8">
      <w:pPr>
        <w:spacing w:after="240"/>
        <w:rPr>
          <w:rFonts w:cs="Arial"/>
        </w:rPr>
      </w:pPr>
      <w:r>
        <w:rPr>
          <w:rFonts w:cs="Arial"/>
        </w:rPr>
        <w:t>For FY 2024–25 the CCCCO received $61,380,172 from CDE that was</w:t>
      </w:r>
      <w:r w:rsidRPr="00806230">
        <w:t xml:space="preserve"> distributed </w:t>
      </w:r>
      <w:r>
        <w:t>to 72 community college districts</w:t>
      </w:r>
      <w:r w:rsidR="00167142">
        <w:t xml:space="preserve"> (CCD)</w:t>
      </w:r>
      <w:r>
        <w:t xml:space="preserve"> in California </w:t>
      </w:r>
      <w:r w:rsidRPr="00806230">
        <w:t xml:space="preserve">based upon the </w:t>
      </w:r>
      <w:r w:rsidRPr="00BE7003">
        <w:t>2022</w:t>
      </w:r>
      <w:r w:rsidR="00167142">
        <w:t>–</w:t>
      </w:r>
      <w:r w:rsidRPr="00BE7003">
        <w:t xml:space="preserve">23 unduplicated counts of students enrolled in CTE programs who met the </w:t>
      </w:r>
      <w:r w:rsidR="004D1768">
        <w:t>economically disadvantaged criteria (</w:t>
      </w:r>
      <w:hyperlink r:id="rId11" w:anchor="_Toc138178720" w:tooltip="Information on Economically Disadvantaged Criteria" w:history="1">
        <w:r w:rsidR="004D1768" w:rsidRPr="00067124">
          <w:rPr>
            <w:rStyle w:val="Hyperlink"/>
          </w:rPr>
          <w:t>https://www.calpassplus.org/Launchboard/SWP-MDD#_Toc138178720</w:t>
        </w:r>
      </w:hyperlink>
      <w:r w:rsidR="004D1768">
        <w:t xml:space="preserve"> </w:t>
      </w:r>
      <w:hyperlink r:id="rId12" w:anchor="_Toc138178720" w:tooltip="Information on Economically Disadvantaged" w:history="1">
        <w:r w:rsidRPr="00EB3633">
          <w:rPr>
            <w:rStyle w:val="Hyperlink"/>
          </w:rPr>
          <w:t>economically disadvantaged criteria</w:t>
        </w:r>
      </w:hyperlink>
      <w:r w:rsidR="004D1768">
        <w:t>).</w:t>
      </w:r>
      <w:r w:rsidRPr="00806230">
        <w:t xml:space="preserve"> </w:t>
      </w:r>
      <w:r>
        <w:t>The application</w:t>
      </w:r>
      <w:r>
        <w:rPr>
          <w:rFonts w:cs="Arial"/>
        </w:rPr>
        <w:t xml:space="preserve"> was released to LEAs in April 2024, with the due date for LEAs to submit completed applications by May 31, 2024. Memo was released to LEAs to inform them about the opening of the application with </w:t>
      </w:r>
      <w:r>
        <w:rPr>
          <w:rFonts w:cs="Arial"/>
        </w:rPr>
        <w:lastRenderedPageBreak/>
        <w:t>instruction on how to complete local applications containing plans to expend funds in the Chancellor’s Office NOVA system. July 1, 2024, marked the date that districts may begin obligating funds.</w:t>
      </w:r>
    </w:p>
    <w:p w14:paraId="3DF96038" w14:textId="11432A7D" w:rsidR="00167142" w:rsidRPr="003365B6" w:rsidRDefault="00167142" w:rsidP="00D81DB8">
      <w:pPr>
        <w:spacing w:after="240"/>
        <w:rPr>
          <w:b/>
          <w:bCs/>
        </w:rPr>
      </w:pPr>
      <w:r>
        <w:rPr>
          <w:rFonts w:cs="Arial"/>
        </w:rPr>
        <w:t>Perkins V Grantees Awarded (CCD): 72</w:t>
      </w:r>
    </w:p>
    <w:p w14:paraId="221A0F86" w14:textId="2246C23A" w:rsidR="003365B6" w:rsidRPr="00D81DB8" w:rsidRDefault="003365B6" w:rsidP="00214E7F">
      <w:pPr>
        <w:pStyle w:val="Heading3"/>
        <w:spacing w:before="0"/>
        <w:rPr>
          <w:sz w:val="28"/>
          <w:szCs w:val="28"/>
        </w:rPr>
      </w:pPr>
      <w:r w:rsidRPr="00D81DB8">
        <w:rPr>
          <w:sz w:val="28"/>
          <w:szCs w:val="28"/>
        </w:rPr>
        <w:t xml:space="preserve">California Department of Education </w:t>
      </w:r>
      <w:r w:rsidR="00332A74" w:rsidRPr="00D81DB8">
        <w:rPr>
          <w:sz w:val="28"/>
          <w:szCs w:val="28"/>
        </w:rPr>
        <w:t>G</w:t>
      </w:r>
      <w:r w:rsidRPr="00D81DB8">
        <w:rPr>
          <w:sz w:val="28"/>
          <w:szCs w:val="28"/>
        </w:rPr>
        <w:t>rants</w:t>
      </w:r>
    </w:p>
    <w:p w14:paraId="07A32803" w14:textId="09CB2A93" w:rsidR="00B810E2" w:rsidRPr="000A6BB8" w:rsidRDefault="00B810E2" w:rsidP="00D81DB8">
      <w:pPr>
        <w:spacing w:after="240"/>
        <w:rPr>
          <w:b/>
          <w:bCs/>
        </w:rPr>
      </w:pPr>
      <w:r w:rsidRPr="00B810E2">
        <w:rPr>
          <w:b/>
          <w:bCs/>
        </w:rPr>
        <w:t>The FY 202</w:t>
      </w:r>
      <w:r>
        <w:rPr>
          <w:b/>
          <w:bCs/>
        </w:rPr>
        <w:t>4</w:t>
      </w:r>
      <w:r w:rsidRPr="00B810E2">
        <w:rPr>
          <w:b/>
          <w:bCs/>
        </w:rPr>
        <w:t>–25 Perkins V Application Process for the CDE Awards</w:t>
      </w:r>
    </w:p>
    <w:p w14:paraId="5A2DA0C4" w14:textId="7CF4BDAA" w:rsidR="002B72C5" w:rsidRPr="002B72C5" w:rsidRDefault="00435DDE" w:rsidP="00D81DB8">
      <w:pPr>
        <w:spacing w:after="240"/>
      </w:pPr>
      <w:r>
        <w:t>Th</w:t>
      </w:r>
      <w:r w:rsidR="007B3673">
        <w:t xml:space="preserve">e </w:t>
      </w:r>
      <w:r w:rsidR="00167142">
        <w:t>LEAs</w:t>
      </w:r>
      <w:r w:rsidR="00837D13">
        <w:t xml:space="preserve"> who may </w:t>
      </w:r>
      <w:r w:rsidR="002B72C5" w:rsidRPr="002B72C5">
        <w:t>apply for Perkins V funding in California</w:t>
      </w:r>
      <w:r w:rsidR="00837D13">
        <w:t xml:space="preserve"> through the CDE</w:t>
      </w:r>
      <w:r w:rsidR="002B72C5" w:rsidRPr="002B72C5">
        <w:t xml:space="preserve"> </w:t>
      </w:r>
      <w:r w:rsidR="00837D13">
        <w:t xml:space="preserve">application process </w:t>
      </w:r>
      <w:r w:rsidR="002B72C5" w:rsidRPr="002B72C5">
        <w:t>include high school districts, charter high schools, county offices of education</w:t>
      </w:r>
      <w:r w:rsidR="005E13B9">
        <w:t xml:space="preserve"> (COEs)</w:t>
      </w:r>
      <w:r w:rsidR="002B72C5" w:rsidRPr="002B72C5">
        <w:t>, Regional Occupational Centers and Programs (ROCPs), adult schools</w:t>
      </w:r>
      <w:r w:rsidR="007B3673">
        <w:t>, and State Special Schools</w:t>
      </w:r>
      <w:r w:rsidR="00214E7F">
        <w:t xml:space="preserve"> (SSS)</w:t>
      </w:r>
      <w:r w:rsidR="002B72C5" w:rsidRPr="002B72C5">
        <w:t>. New applicants or those returning after an absence must submit an Intent to Apply form by January 31 for funding beginning the following July. All applicants are required to submit their full application annually through the P</w:t>
      </w:r>
      <w:r w:rsidR="00167142">
        <w:t>rogram</w:t>
      </w:r>
      <w:r w:rsidR="002B72C5" w:rsidRPr="002B72C5">
        <w:t xml:space="preserve"> Grant Management System (PGMS) by June 1, though applicants should confirm the exact deadline within PGMS each year. Applicants must meet eligibility requirements outlined in Sections 112, 131, or 132 of Perkins V, based on their institution type and program offerings.</w:t>
      </w:r>
    </w:p>
    <w:p w14:paraId="237D7179" w14:textId="738F2BA8" w:rsidR="002B72C5" w:rsidRPr="002B72C5" w:rsidRDefault="002B72C5" w:rsidP="00D81DB8">
      <w:pPr>
        <w:spacing w:after="240"/>
      </w:pPr>
      <w:r w:rsidRPr="002B72C5">
        <w:t xml:space="preserve">Following submission, an Education Programs Consultant/Assistant at the </w:t>
      </w:r>
      <w:r w:rsidR="00167142">
        <w:t>CDE</w:t>
      </w:r>
      <w:r w:rsidRPr="002B72C5">
        <w:t xml:space="preserve"> reviews each application for compliance with state and federal requirements. Upon approval, the Superintendent of the applying agency must certify the application's accuracy and completeness. The final step requires the Superintendent to sign the Grant Award Notification to</w:t>
      </w:r>
      <w:r w:rsidR="00167142">
        <w:t xml:space="preserve"> </w:t>
      </w:r>
      <w:r w:rsidRPr="002B72C5">
        <w:t>officially accept the grant terms, after which funds are disbursed</w:t>
      </w:r>
      <w:r w:rsidR="00167142">
        <w:t xml:space="preserve"> through a quarterly claims (reimbursement) method</w:t>
      </w:r>
      <w:r w:rsidRPr="002B72C5">
        <w:t xml:space="preserve">. This structured process ensures that Perkins V funding supports qualified agencies committed to strengthening </w:t>
      </w:r>
      <w:r w:rsidR="00167142">
        <w:t xml:space="preserve">CTE </w:t>
      </w:r>
      <w:r w:rsidRPr="002B72C5">
        <w:t>across California.</w:t>
      </w:r>
    </w:p>
    <w:p w14:paraId="6004BE1C" w14:textId="02CCEEFE" w:rsidR="009059C1" w:rsidRDefault="00AF61B3" w:rsidP="00D81DB8">
      <w:pPr>
        <w:spacing w:after="240"/>
        <w:contextualSpacing/>
        <w:rPr>
          <w:rFonts w:cs="Arial"/>
        </w:rPr>
      </w:pPr>
      <w:r>
        <w:rPr>
          <w:rFonts w:cs="Arial"/>
        </w:rPr>
        <w:t xml:space="preserve">Perkins V Grantees Awarded </w:t>
      </w:r>
      <w:r w:rsidR="00167142">
        <w:rPr>
          <w:rFonts w:cs="Arial"/>
        </w:rPr>
        <w:t>(</w:t>
      </w:r>
      <w:r w:rsidR="00214E7F">
        <w:rPr>
          <w:rFonts w:cs="Arial"/>
        </w:rPr>
        <w:t>Secondary/</w:t>
      </w:r>
      <w:r w:rsidR="00167142">
        <w:rPr>
          <w:rFonts w:cs="Arial"/>
        </w:rPr>
        <w:t>K–12)</w:t>
      </w:r>
      <w:r>
        <w:rPr>
          <w:rFonts w:cs="Arial"/>
        </w:rPr>
        <w:t>: 325</w:t>
      </w:r>
    </w:p>
    <w:p w14:paraId="3DE317C1" w14:textId="3C3FEC7F" w:rsidR="005C43CE" w:rsidRDefault="005C43CE" w:rsidP="00D81DB8">
      <w:pPr>
        <w:spacing w:after="240"/>
        <w:contextualSpacing/>
        <w:rPr>
          <w:rFonts w:cs="Arial"/>
        </w:rPr>
      </w:pPr>
      <w:r>
        <w:rPr>
          <w:rFonts w:cs="Arial"/>
        </w:rPr>
        <w:t>Perkins V Grantees Awarded (Adult Schools): 12</w:t>
      </w:r>
    </w:p>
    <w:p w14:paraId="457F4725" w14:textId="012FD36B" w:rsidR="005C43CE" w:rsidRDefault="005C43CE" w:rsidP="00D81DB8">
      <w:pPr>
        <w:spacing w:after="240"/>
        <w:rPr>
          <w:rFonts w:cs="Arial"/>
        </w:rPr>
      </w:pPr>
      <w:r>
        <w:rPr>
          <w:rFonts w:cs="Arial"/>
        </w:rPr>
        <w:t>Perkins V Grantees Awarded (SSS): 3</w:t>
      </w:r>
    </w:p>
    <w:p w14:paraId="2E8C805E" w14:textId="6689FA5C" w:rsidR="00BC70C9" w:rsidRPr="00D81DB8" w:rsidRDefault="003B11CA" w:rsidP="00D81DB8">
      <w:pPr>
        <w:spacing w:after="240"/>
        <w:rPr>
          <w:b/>
          <w:bCs/>
        </w:rPr>
      </w:pPr>
      <w:r w:rsidRPr="00D81DB8">
        <w:rPr>
          <w:b/>
          <w:bCs/>
        </w:rPr>
        <w:t>The</w:t>
      </w:r>
      <w:r w:rsidR="005F590E" w:rsidRPr="00D81DB8">
        <w:rPr>
          <w:b/>
          <w:bCs/>
        </w:rPr>
        <w:t xml:space="preserve"> FY</w:t>
      </w:r>
      <w:r w:rsidR="0003321E" w:rsidRPr="00D81DB8">
        <w:rPr>
          <w:b/>
          <w:bCs/>
        </w:rPr>
        <w:t xml:space="preserve"> </w:t>
      </w:r>
      <w:r w:rsidR="005F590E" w:rsidRPr="00D81DB8">
        <w:rPr>
          <w:b/>
          <w:bCs/>
        </w:rPr>
        <w:t>20</w:t>
      </w:r>
      <w:r w:rsidR="00EF2391" w:rsidRPr="00D81DB8">
        <w:rPr>
          <w:b/>
          <w:bCs/>
        </w:rPr>
        <w:t>2</w:t>
      </w:r>
      <w:r w:rsidR="003365B6" w:rsidRPr="00D81DB8">
        <w:rPr>
          <w:b/>
          <w:bCs/>
        </w:rPr>
        <w:t>4</w:t>
      </w:r>
      <w:r w:rsidR="00AB0F76" w:rsidRPr="00D81DB8">
        <w:rPr>
          <w:b/>
          <w:bCs/>
        </w:rPr>
        <w:t>–</w:t>
      </w:r>
      <w:r w:rsidR="005F590E" w:rsidRPr="00D81DB8">
        <w:rPr>
          <w:b/>
          <w:bCs/>
        </w:rPr>
        <w:t>2</w:t>
      </w:r>
      <w:r w:rsidR="003365B6" w:rsidRPr="00D81DB8">
        <w:rPr>
          <w:b/>
          <w:bCs/>
        </w:rPr>
        <w:t>5</w:t>
      </w:r>
      <w:r w:rsidR="00AB0F76" w:rsidRPr="00D81DB8">
        <w:rPr>
          <w:b/>
          <w:bCs/>
        </w:rPr>
        <w:t xml:space="preserve"> </w:t>
      </w:r>
      <w:r w:rsidR="005F590E" w:rsidRPr="00D81DB8">
        <w:rPr>
          <w:b/>
          <w:bCs/>
        </w:rPr>
        <w:t xml:space="preserve">CTEIG </w:t>
      </w:r>
      <w:r w:rsidR="00830417" w:rsidRPr="00D81DB8">
        <w:rPr>
          <w:b/>
          <w:bCs/>
        </w:rPr>
        <w:t>Application Process</w:t>
      </w:r>
    </w:p>
    <w:p w14:paraId="6527B822" w14:textId="24E83C01" w:rsidR="00A22D46" w:rsidRPr="00E936FC" w:rsidRDefault="00A22D46" w:rsidP="00D81DB8">
      <w:pPr>
        <w:pBdr>
          <w:top w:val="nil"/>
          <w:left w:val="nil"/>
          <w:bottom w:val="nil"/>
          <w:right w:val="nil"/>
          <w:between w:val="nil"/>
        </w:pBdr>
        <w:spacing w:after="240"/>
        <w:rPr>
          <w:color w:val="000000"/>
        </w:rPr>
      </w:pPr>
      <w:r w:rsidRPr="00E936FC">
        <w:rPr>
          <w:color w:val="000000"/>
        </w:rPr>
        <w:t xml:space="preserve">Per </w:t>
      </w:r>
      <w:r w:rsidRPr="00E936FC">
        <w:rPr>
          <w:i/>
          <w:color w:val="000000"/>
        </w:rPr>
        <w:t>EC</w:t>
      </w:r>
      <w:r w:rsidRPr="00E936FC">
        <w:rPr>
          <w:color w:val="000000"/>
        </w:rPr>
        <w:t xml:space="preserve"> Section 53072, a grant recipient may consist of one or more, or any combination, of the following</w:t>
      </w:r>
      <w:r>
        <w:rPr>
          <w:color w:val="000000"/>
        </w:rPr>
        <w:t xml:space="preserve">: </w:t>
      </w:r>
      <w:r w:rsidRPr="00E936FC">
        <w:rPr>
          <w:color w:val="000000"/>
        </w:rPr>
        <w:t>School Districts</w:t>
      </w:r>
      <w:r w:rsidR="005E13B9">
        <w:rPr>
          <w:color w:val="000000"/>
        </w:rPr>
        <w:t xml:space="preserve">, </w:t>
      </w:r>
      <w:r w:rsidRPr="00E936FC">
        <w:rPr>
          <w:color w:val="000000"/>
        </w:rPr>
        <w:t>COEs</w:t>
      </w:r>
      <w:r w:rsidR="005E13B9">
        <w:rPr>
          <w:color w:val="000000"/>
        </w:rPr>
        <w:t xml:space="preserve">, </w:t>
      </w:r>
      <w:bookmarkStart w:id="1" w:name="bookmark=id.lnxbz9" w:colFirst="0" w:colLast="0"/>
      <w:bookmarkEnd w:id="1"/>
      <w:r w:rsidRPr="00EB1AAB">
        <w:rPr>
          <w:color w:val="000000"/>
        </w:rPr>
        <w:t>Charter schools</w:t>
      </w:r>
      <w:r w:rsidR="005E13B9">
        <w:rPr>
          <w:color w:val="000000"/>
        </w:rPr>
        <w:t xml:space="preserve">, and ROPs </w:t>
      </w:r>
      <w:r w:rsidRPr="00E936FC">
        <w:rPr>
          <w:color w:val="000000"/>
        </w:rPr>
        <w:t>operated by a joint-powers agency (JPA) or a COE</w:t>
      </w:r>
      <w:r w:rsidR="005E13B9">
        <w:rPr>
          <w:color w:val="000000"/>
        </w:rPr>
        <w:t>.</w:t>
      </w:r>
    </w:p>
    <w:p w14:paraId="5F257442" w14:textId="145D484D" w:rsidR="00D5145A" w:rsidRDefault="00D5145A" w:rsidP="00D81DB8">
      <w:pPr>
        <w:tabs>
          <w:tab w:val="left" w:pos="1755"/>
        </w:tabs>
        <w:spacing w:after="240"/>
        <w:rPr>
          <w:rFonts w:cs="Arial"/>
        </w:rPr>
      </w:pPr>
      <w:r>
        <w:rPr>
          <w:rFonts w:cs="Arial"/>
        </w:rPr>
        <w:t>The FY 202</w:t>
      </w:r>
      <w:r w:rsidR="003365B6">
        <w:rPr>
          <w:rFonts w:cs="Arial"/>
        </w:rPr>
        <w:t>4</w:t>
      </w:r>
      <w:r>
        <w:rPr>
          <w:rFonts w:cs="Arial"/>
        </w:rPr>
        <w:t>–2</w:t>
      </w:r>
      <w:r w:rsidR="00A855D2">
        <w:rPr>
          <w:rFonts w:cs="Arial"/>
        </w:rPr>
        <w:t>5</w:t>
      </w:r>
      <w:r>
        <w:rPr>
          <w:rFonts w:cs="Arial"/>
        </w:rPr>
        <w:t xml:space="preserve"> CTEIG </w:t>
      </w:r>
      <w:r w:rsidR="006C268F">
        <w:rPr>
          <w:rFonts w:cs="Arial"/>
        </w:rPr>
        <w:t>Request for Applications (RFA)</w:t>
      </w:r>
      <w:r>
        <w:rPr>
          <w:rFonts w:cs="Arial"/>
        </w:rPr>
        <w:t xml:space="preserve"> was released to LEAs</w:t>
      </w:r>
      <w:r w:rsidR="00BD6651">
        <w:rPr>
          <w:rFonts w:cs="Arial"/>
        </w:rPr>
        <w:t xml:space="preserve"> </w:t>
      </w:r>
      <w:r w:rsidR="002B1D31">
        <w:rPr>
          <w:rFonts w:cs="Arial"/>
        </w:rPr>
        <w:t>i</w:t>
      </w:r>
      <w:r>
        <w:rPr>
          <w:rFonts w:cs="Arial"/>
        </w:rPr>
        <w:t>n A</w:t>
      </w:r>
      <w:r w:rsidR="002B1D31">
        <w:rPr>
          <w:rFonts w:cs="Arial"/>
        </w:rPr>
        <w:t>ugust</w:t>
      </w:r>
      <w:r>
        <w:rPr>
          <w:rFonts w:cs="Arial"/>
        </w:rPr>
        <w:t xml:space="preserve"> 202</w:t>
      </w:r>
      <w:r w:rsidR="00A855D2">
        <w:rPr>
          <w:rFonts w:cs="Arial"/>
        </w:rPr>
        <w:t>4</w:t>
      </w:r>
      <w:r w:rsidR="009059C1">
        <w:rPr>
          <w:rFonts w:cs="Arial"/>
        </w:rPr>
        <w:t xml:space="preserve"> (10A) and </w:t>
      </w:r>
      <w:r w:rsidR="2F4E4F5E" w:rsidRPr="705334CF">
        <w:rPr>
          <w:rFonts w:cs="Arial"/>
        </w:rPr>
        <w:t xml:space="preserve">January 2024 </w:t>
      </w:r>
      <w:r w:rsidR="009059C1">
        <w:rPr>
          <w:rFonts w:cs="Arial"/>
        </w:rPr>
        <w:t>(10B)</w:t>
      </w:r>
      <w:r w:rsidR="00BD6651">
        <w:rPr>
          <w:rFonts w:cs="Arial"/>
        </w:rPr>
        <w:t>,</w:t>
      </w:r>
      <w:r>
        <w:rPr>
          <w:rFonts w:cs="Arial"/>
        </w:rPr>
        <w:t xml:space="preserve"> with the due date for LEAs to submit completed applications by </w:t>
      </w:r>
      <w:r w:rsidR="002B1D31">
        <w:rPr>
          <w:rFonts w:cs="Arial"/>
        </w:rPr>
        <w:t xml:space="preserve">September </w:t>
      </w:r>
      <w:r w:rsidR="00A855D2">
        <w:rPr>
          <w:rFonts w:cs="Arial"/>
        </w:rPr>
        <w:t>2</w:t>
      </w:r>
      <w:r w:rsidR="002B1D31">
        <w:rPr>
          <w:rFonts w:cs="Arial"/>
        </w:rPr>
        <w:t>0</w:t>
      </w:r>
      <w:r>
        <w:rPr>
          <w:rFonts w:cs="Arial"/>
        </w:rPr>
        <w:t>, 202</w:t>
      </w:r>
      <w:r w:rsidR="00A855D2">
        <w:rPr>
          <w:rFonts w:cs="Arial"/>
        </w:rPr>
        <w:t>4</w:t>
      </w:r>
      <w:r w:rsidR="009059C1">
        <w:rPr>
          <w:rFonts w:cs="Arial"/>
        </w:rPr>
        <w:t xml:space="preserve">, and </w:t>
      </w:r>
      <w:r w:rsidR="4C92A967" w:rsidRPr="705334CF">
        <w:rPr>
          <w:rFonts w:cs="Arial"/>
        </w:rPr>
        <w:t>January 24, 2025,</w:t>
      </w:r>
      <w:r w:rsidR="009059C1">
        <w:rPr>
          <w:rFonts w:cs="Arial"/>
        </w:rPr>
        <w:t xml:space="preserve"> respectively</w:t>
      </w:r>
      <w:r>
        <w:rPr>
          <w:rFonts w:cs="Arial"/>
        </w:rPr>
        <w:t xml:space="preserve">. </w:t>
      </w:r>
      <w:bookmarkStart w:id="2" w:name="_Hlk68592475"/>
      <w:proofErr w:type="gramStart"/>
      <w:r w:rsidR="00BD6651">
        <w:rPr>
          <w:rFonts w:cs="Arial"/>
        </w:rPr>
        <w:t xml:space="preserve">The </w:t>
      </w:r>
      <w:r w:rsidR="00387218">
        <w:rPr>
          <w:rFonts w:cs="Arial"/>
        </w:rPr>
        <w:t>CDE</w:t>
      </w:r>
      <w:proofErr w:type="gramEnd"/>
      <w:r w:rsidR="00387218">
        <w:rPr>
          <w:rFonts w:cs="Arial"/>
        </w:rPr>
        <w:t xml:space="preserve"> </w:t>
      </w:r>
      <w:r w:rsidR="00A855D2">
        <w:rPr>
          <w:rFonts w:cs="Arial"/>
        </w:rPr>
        <w:t xml:space="preserve">posted </w:t>
      </w:r>
      <w:r w:rsidR="00387218">
        <w:rPr>
          <w:rFonts w:cs="Arial"/>
        </w:rPr>
        <w:t>webinars to provide LEAs with information on how to complete the RFA process and continues to provide</w:t>
      </w:r>
      <w:r w:rsidR="00874C9D">
        <w:rPr>
          <w:rFonts w:cs="Arial"/>
        </w:rPr>
        <w:t xml:space="preserve"> </w:t>
      </w:r>
      <w:r w:rsidR="5D696545" w:rsidRPr="705334CF">
        <w:rPr>
          <w:rFonts w:cs="Arial"/>
        </w:rPr>
        <w:t>technical assistance</w:t>
      </w:r>
      <w:r w:rsidR="00874C9D">
        <w:rPr>
          <w:rFonts w:cs="Arial"/>
        </w:rPr>
        <w:t xml:space="preserve"> </w:t>
      </w:r>
      <w:r w:rsidR="00387218">
        <w:rPr>
          <w:rFonts w:cs="Arial"/>
        </w:rPr>
        <w:t>to LEAs who contact CDE’s CTEIG Regional Consultants.</w:t>
      </w:r>
    </w:p>
    <w:p w14:paraId="00A7AB3F" w14:textId="625ADA10" w:rsidR="00A855D2" w:rsidRPr="00954991" w:rsidRDefault="009828B4" w:rsidP="00D81DB8">
      <w:pPr>
        <w:widowControl w:val="0"/>
        <w:tabs>
          <w:tab w:val="left" w:pos="1080"/>
        </w:tabs>
        <w:spacing w:after="240"/>
        <w:rPr>
          <w:rStyle w:val="Hyperlink"/>
        </w:rPr>
      </w:pPr>
      <w:r w:rsidRPr="705334CF">
        <w:rPr>
          <w:color w:val="000000" w:themeColor="text1"/>
        </w:rPr>
        <w:t xml:space="preserve">The CDE carefully screens all applications received by the due date for compliance with </w:t>
      </w:r>
      <w:r w:rsidRPr="705334CF">
        <w:rPr>
          <w:color w:val="000000" w:themeColor="text1"/>
        </w:rPr>
        <w:lastRenderedPageBreak/>
        <w:t>all requirements stated in th</w:t>
      </w:r>
      <w:r w:rsidR="0098254B" w:rsidRPr="705334CF">
        <w:rPr>
          <w:color w:val="000000" w:themeColor="text1"/>
        </w:rPr>
        <w:t xml:space="preserve">e </w:t>
      </w:r>
      <w:r w:rsidRPr="705334CF">
        <w:rPr>
          <w:color w:val="000000" w:themeColor="text1"/>
        </w:rPr>
        <w:t>RFA. Only fully completed applications w</w:t>
      </w:r>
      <w:r w:rsidR="0098254B" w:rsidRPr="705334CF">
        <w:rPr>
          <w:color w:val="000000" w:themeColor="text1"/>
        </w:rPr>
        <w:t>ere</w:t>
      </w:r>
      <w:r w:rsidRPr="705334CF">
        <w:rPr>
          <w:color w:val="000000" w:themeColor="text1"/>
        </w:rPr>
        <w:t xml:space="preserve"> considered eligible for advancement to be read and scored. </w:t>
      </w:r>
      <w:r w:rsidR="00A855D2" w:rsidRPr="00954991">
        <w:t xml:space="preserve">All </w:t>
      </w:r>
      <w:r w:rsidR="00F905C9">
        <w:t xml:space="preserve">complete </w:t>
      </w:r>
      <w:r w:rsidR="00A855D2" w:rsidRPr="00954991">
        <w:t>applicants were reviewed and evaluated by a team of scorers using criteria set forth in the rubric and provided in the Request for Applications (RFA), which can be found on the CTEIG 202</w:t>
      </w:r>
      <w:r w:rsidR="00A855D2">
        <w:t>4</w:t>
      </w:r>
      <w:r w:rsidR="00A855D2" w:rsidRPr="00954991">
        <w:t>–2</w:t>
      </w:r>
      <w:r w:rsidR="00A855D2">
        <w:t>5</w:t>
      </w:r>
      <w:r w:rsidR="00A855D2" w:rsidRPr="00954991">
        <w:t xml:space="preserve"> RFA web page at </w:t>
      </w:r>
      <w:hyperlink r:id="rId13" w:tooltip="CTEIG RFA">
        <w:r w:rsidR="00A855D2" w:rsidRPr="705334CF">
          <w:rPr>
            <w:rStyle w:val="Hyperlink"/>
          </w:rPr>
          <w:t>https://www.cde.ca.gov/fg/fo/r17/cteig24rfa.asp</w:t>
        </w:r>
      </w:hyperlink>
      <w:r w:rsidR="743C4A94">
        <w:t>.</w:t>
      </w:r>
    </w:p>
    <w:p w14:paraId="69647CE1" w14:textId="08E1466C" w:rsidR="00A855D2" w:rsidRDefault="00AF61B3" w:rsidP="00EC1129">
      <w:pPr>
        <w:spacing w:after="240"/>
      </w:pPr>
      <w:r>
        <w:rPr>
          <w:b/>
          <w:bCs/>
        </w:rPr>
        <w:t xml:space="preserve">CTEIG Grantees Awarded: </w:t>
      </w:r>
      <w:r w:rsidRPr="00AF61B3">
        <w:t>439</w:t>
      </w:r>
    </w:p>
    <w:p w14:paraId="49A21C3A" w14:textId="767ED078" w:rsidR="005A1126" w:rsidRPr="00D81DB8" w:rsidRDefault="00214E7F" w:rsidP="00214E7F">
      <w:pPr>
        <w:pStyle w:val="Heading3"/>
        <w:spacing w:before="0" w:after="240"/>
        <w:rPr>
          <w:sz w:val="28"/>
          <w:szCs w:val="28"/>
        </w:rPr>
      </w:pPr>
      <w:r>
        <w:rPr>
          <w:sz w:val="28"/>
          <w:szCs w:val="28"/>
        </w:rPr>
        <w:t xml:space="preserve">K-12 </w:t>
      </w:r>
      <w:r w:rsidR="00B810E2" w:rsidRPr="00D81DB8">
        <w:rPr>
          <w:sz w:val="28"/>
          <w:szCs w:val="28"/>
        </w:rPr>
        <w:t>Awardee</w:t>
      </w:r>
      <w:r>
        <w:rPr>
          <w:sz w:val="28"/>
          <w:szCs w:val="28"/>
        </w:rPr>
        <w:t>s</w:t>
      </w:r>
      <w:r w:rsidR="00B810E2" w:rsidRPr="00D81DB8">
        <w:rPr>
          <w:sz w:val="28"/>
          <w:szCs w:val="28"/>
        </w:rPr>
        <w:t xml:space="preserve"> </w:t>
      </w:r>
      <w:r w:rsidR="005A1126" w:rsidRPr="00D81DB8">
        <w:rPr>
          <w:sz w:val="28"/>
          <w:szCs w:val="28"/>
        </w:rPr>
        <w:t xml:space="preserve">Braiding of </w:t>
      </w:r>
      <w:r w:rsidR="005A1126" w:rsidRPr="00D81DB8">
        <w:rPr>
          <w:bCs/>
          <w:sz w:val="28"/>
          <w:szCs w:val="28"/>
        </w:rPr>
        <w:t>Funds</w:t>
      </w:r>
      <w:r w:rsidR="005A1126" w:rsidRPr="00D81DB8">
        <w:rPr>
          <w:sz w:val="28"/>
          <w:szCs w:val="28"/>
        </w:rPr>
        <w:t>:</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table reflects which grantees received various combinations of the three grants: Perkins, CTEIG, and K12 SWP"/>
      </w:tblPr>
      <w:tblGrid>
        <w:gridCol w:w="3325"/>
        <w:gridCol w:w="2755"/>
        <w:gridCol w:w="2755"/>
      </w:tblGrid>
      <w:tr w:rsidR="00A175F2" w:rsidRPr="001E28E8" w14:paraId="375A87EE" w14:textId="76C15E10" w:rsidTr="001F3DF0">
        <w:trPr>
          <w:cantSplit/>
          <w:trHeight w:val="310"/>
          <w:tblHeader/>
        </w:trPr>
        <w:tc>
          <w:tcPr>
            <w:tcW w:w="3325" w:type="dxa"/>
            <w:noWrap/>
            <w:vAlign w:val="center"/>
            <w:hideMark/>
          </w:tcPr>
          <w:p w14:paraId="1019583B" w14:textId="7A108C9E" w:rsidR="00A175F2" w:rsidRPr="001E28E8" w:rsidRDefault="00A175F2" w:rsidP="001E28E8">
            <w:pPr>
              <w:jc w:val="center"/>
              <w:rPr>
                <w:rFonts w:cs="Arial"/>
                <w:b/>
                <w:bCs/>
                <w:color w:val="000000"/>
              </w:rPr>
            </w:pPr>
            <w:r w:rsidRPr="705334CF">
              <w:rPr>
                <w:rFonts w:cs="Arial"/>
                <w:b/>
                <w:color w:val="000000" w:themeColor="text1"/>
              </w:rPr>
              <w:t>Grant Combination</w:t>
            </w:r>
            <w:r w:rsidR="00D73A33">
              <w:rPr>
                <w:rFonts w:cs="Arial"/>
                <w:b/>
                <w:color w:val="000000" w:themeColor="text1"/>
              </w:rPr>
              <w:t>s</w:t>
            </w:r>
            <w:r w:rsidR="00214E7F">
              <w:rPr>
                <w:rFonts w:cs="Arial"/>
                <w:b/>
                <w:color w:val="000000" w:themeColor="text1"/>
              </w:rPr>
              <w:t>*</w:t>
            </w:r>
          </w:p>
        </w:tc>
        <w:tc>
          <w:tcPr>
            <w:tcW w:w="2755" w:type="dxa"/>
          </w:tcPr>
          <w:p w14:paraId="34BEC480" w14:textId="0A027D98" w:rsidR="00A175F2" w:rsidRPr="001E28E8" w:rsidRDefault="00A175F2" w:rsidP="001E28E8">
            <w:pPr>
              <w:jc w:val="center"/>
              <w:rPr>
                <w:rFonts w:cs="Arial"/>
                <w:b/>
                <w:bCs/>
                <w:color w:val="000000"/>
              </w:rPr>
            </w:pPr>
            <w:r w:rsidRPr="705334CF">
              <w:rPr>
                <w:rFonts w:cs="Arial"/>
                <w:b/>
                <w:color w:val="000000" w:themeColor="text1"/>
              </w:rPr>
              <w:t>LEAs Awarded</w:t>
            </w:r>
            <w:r>
              <w:rPr>
                <w:rFonts w:cs="Arial"/>
                <w:b/>
                <w:color w:val="000000" w:themeColor="text1"/>
              </w:rPr>
              <w:t xml:space="preserve"> </w:t>
            </w:r>
            <w:r w:rsidR="00D73A33">
              <w:rPr>
                <w:rFonts w:cs="Arial"/>
                <w:b/>
                <w:color w:val="000000" w:themeColor="text1"/>
              </w:rPr>
              <w:t>(</w:t>
            </w:r>
            <w:r>
              <w:rPr>
                <w:rFonts w:cs="Arial"/>
                <w:b/>
                <w:color w:val="000000" w:themeColor="text1"/>
              </w:rPr>
              <w:t>without Duplication</w:t>
            </w:r>
            <w:r w:rsidR="00D73A33">
              <w:rPr>
                <w:rFonts w:cs="Arial"/>
                <w:b/>
                <w:color w:val="000000" w:themeColor="text1"/>
              </w:rPr>
              <w:t>)</w:t>
            </w:r>
          </w:p>
        </w:tc>
        <w:tc>
          <w:tcPr>
            <w:tcW w:w="2755" w:type="dxa"/>
          </w:tcPr>
          <w:p w14:paraId="7342935B" w14:textId="151DFB41" w:rsidR="00A175F2" w:rsidRPr="705334CF" w:rsidRDefault="00A175F2" w:rsidP="001E28E8">
            <w:pPr>
              <w:jc w:val="center"/>
              <w:rPr>
                <w:rFonts w:cs="Arial"/>
                <w:b/>
                <w:color w:val="000000" w:themeColor="text1"/>
              </w:rPr>
            </w:pPr>
            <w:r>
              <w:rPr>
                <w:rFonts w:cs="Arial"/>
                <w:b/>
                <w:color w:val="000000" w:themeColor="text1"/>
              </w:rPr>
              <w:t xml:space="preserve">LEAs Awarded </w:t>
            </w:r>
            <w:r w:rsidR="00D73A33">
              <w:rPr>
                <w:rFonts w:cs="Arial"/>
                <w:b/>
                <w:color w:val="000000" w:themeColor="text1"/>
              </w:rPr>
              <w:br/>
              <w:t>(</w:t>
            </w:r>
            <w:r>
              <w:rPr>
                <w:rFonts w:cs="Arial"/>
                <w:b/>
                <w:color w:val="000000" w:themeColor="text1"/>
              </w:rPr>
              <w:t>with Duplication</w:t>
            </w:r>
            <w:r w:rsidR="00D73A33">
              <w:rPr>
                <w:rFonts w:cs="Arial"/>
                <w:b/>
                <w:color w:val="000000" w:themeColor="text1"/>
              </w:rPr>
              <w:t>)</w:t>
            </w:r>
          </w:p>
        </w:tc>
      </w:tr>
      <w:tr w:rsidR="00A175F2" w:rsidRPr="001E28E8" w14:paraId="09650E93" w14:textId="5CA9154F" w:rsidTr="001F3DF0">
        <w:trPr>
          <w:cantSplit/>
          <w:trHeight w:val="320"/>
        </w:trPr>
        <w:tc>
          <w:tcPr>
            <w:tcW w:w="3325" w:type="dxa"/>
            <w:noWrap/>
            <w:vAlign w:val="center"/>
          </w:tcPr>
          <w:p w14:paraId="796482D0" w14:textId="131FBD3F" w:rsidR="00A175F2" w:rsidRPr="001E28E8" w:rsidRDefault="00A175F2" w:rsidP="001E28E8">
            <w:pPr>
              <w:rPr>
                <w:rFonts w:cs="Arial"/>
                <w:color w:val="000000"/>
              </w:rPr>
            </w:pPr>
            <w:r w:rsidRPr="705334CF">
              <w:rPr>
                <w:rFonts w:cs="Arial"/>
                <w:color w:val="000000" w:themeColor="text1"/>
              </w:rPr>
              <w:t>All Three Grants</w:t>
            </w:r>
          </w:p>
        </w:tc>
        <w:tc>
          <w:tcPr>
            <w:tcW w:w="2755" w:type="dxa"/>
          </w:tcPr>
          <w:p w14:paraId="1FFB5E80" w14:textId="43ABCB90" w:rsidR="00A175F2" w:rsidRDefault="00A175F2" w:rsidP="001E28E8">
            <w:pPr>
              <w:jc w:val="center"/>
              <w:rPr>
                <w:rFonts w:cs="Arial"/>
                <w:color w:val="000000"/>
              </w:rPr>
            </w:pPr>
            <w:r w:rsidRPr="705334CF">
              <w:rPr>
                <w:rFonts w:cs="Arial"/>
                <w:color w:val="000000" w:themeColor="text1"/>
              </w:rPr>
              <w:t>94</w:t>
            </w:r>
          </w:p>
        </w:tc>
        <w:tc>
          <w:tcPr>
            <w:tcW w:w="2755" w:type="dxa"/>
          </w:tcPr>
          <w:p w14:paraId="5DA36638" w14:textId="77FC3AFA" w:rsidR="00A175F2" w:rsidRPr="705334CF" w:rsidRDefault="009363A6" w:rsidP="00A175F2">
            <w:pPr>
              <w:jc w:val="center"/>
              <w:rPr>
                <w:rFonts w:cs="Arial"/>
                <w:color w:val="000000" w:themeColor="text1"/>
              </w:rPr>
            </w:pPr>
            <w:r>
              <w:rPr>
                <w:rFonts w:cs="Arial"/>
                <w:color w:val="000000" w:themeColor="text1"/>
              </w:rPr>
              <w:t>N/A</w:t>
            </w:r>
          </w:p>
        </w:tc>
      </w:tr>
      <w:tr w:rsidR="00A175F2" w:rsidRPr="001E28E8" w14:paraId="389118B1" w14:textId="7D161B41" w:rsidTr="001F3DF0">
        <w:trPr>
          <w:cantSplit/>
          <w:trHeight w:val="320"/>
        </w:trPr>
        <w:tc>
          <w:tcPr>
            <w:tcW w:w="3325" w:type="dxa"/>
            <w:noWrap/>
            <w:vAlign w:val="center"/>
          </w:tcPr>
          <w:p w14:paraId="14120BB7" w14:textId="08874E59" w:rsidR="00A175F2" w:rsidRPr="705334CF" w:rsidRDefault="00A175F2" w:rsidP="00470459">
            <w:pPr>
              <w:rPr>
                <w:rFonts w:cs="Arial"/>
                <w:color w:val="000000" w:themeColor="text1"/>
              </w:rPr>
            </w:pPr>
            <w:r>
              <w:rPr>
                <w:rFonts w:cs="Arial"/>
                <w:color w:val="000000" w:themeColor="text1"/>
              </w:rPr>
              <w:t xml:space="preserve">Both </w:t>
            </w:r>
            <w:r w:rsidRPr="705334CF">
              <w:rPr>
                <w:rFonts w:cs="Arial"/>
                <w:color w:val="000000" w:themeColor="text1"/>
              </w:rPr>
              <w:t>Perkins and CTEIG</w:t>
            </w:r>
          </w:p>
        </w:tc>
        <w:tc>
          <w:tcPr>
            <w:tcW w:w="2755" w:type="dxa"/>
          </w:tcPr>
          <w:p w14:paraId="13582BB2" w14:textId="67EF8182" w:rsidR="00A175F2" w:rsidRPr="705334CF" w:rsidRDefault="00A175F2" w:rsidP="00470459">
            <w:pPr>
              <w:jc w:val="center"/>
              <w:rPr>
                <w:rFonts w:cs="Arial"/>
                <w:color w:val="000000" w:themeColor="text1"/>
              </w:rPr>
            </w:pPr>
            <w:r w:rsidRPr="705334CF">
              <w:rPr>
                <w:rFonts w:cs="Arial"/>
                <w:color w:val="000000" w:themeColor="text1"/>
              </w:rPr>
              <w:t>139</w:t>
            </w:r>
            <w:r w:rsidR="00214E7F">
              <w:rPr>
                <w:rFonts w:cs="Arial"/>
                <w:color w:val="000000" w:themeColor="text1"/>
              </w:rPr>
              <w:t>*</w:t>
            </w:r>
            <w:r>
              <w:rPr>
                <w:rFonts w:cs="Arial"/>
                <w:color w:val="000000" w:themeColor="text1"/>
              </w:rPr>
              <w:t>*</w:t>
            </w:r>
          </w:p>
        </w:tc>
        <w:tc>
          <w:tcPr>
            <w:tcW w:w="2755" w:type="dxa"/>
          </w:tcPr>
          <w:p w14:paraId="54209834" w14:textId="19E62019" w:rsidR="00A175F2" w:rsidRPr="705334CF" w:rsidRDefault="002D7947" w:rsidP="00470459">
            <w:pPr>
              <w:jc w:val="center"/>
              <w:rPr>
                <w:rFonts w:cs="Arial"/>
                <w:color w:val="000000" w:themeColor="text1"/>
              </w:rPr>
            </w:pPr>
            <w:r>
              <w:rPr>
                <w:rFonts w:cs="Arial"/>
                <w:color w:val="000000" w:themeColor="text1"/>
              </w:rPr>
              <w:t>233</w:t>
            </w:r>
          </w:p>
        </w:tc>
      </w:tr>
      <w:tr w:rsidR="00A175F2" w:rsidRPr="001E28E8" w14:paraId="0E728E24" w14:textId="28AC4C65" w:rsidTr="001F3DF0">
        <w:trPr>
          <w:cantSplit/>
          <w:trHeight w:val="320"/>
        </w:trPr>
        <w:tc>
          <w:tcPr>
            <w:tcW w:w="3325" w:type="dxa"/>
            <w:noWrap/>
            <w:vAlign w:val="center"/>
          </w:tcPr>
          <w:p w14:paraId="35A5B86E" w14:textId="457E5171" w:rsidR="00A175F2" w:rsidRPr="705334CF" w:rsidRDefault="00A175F2" w:rsidP="00470459">
            <w:pPr>
              <w:rPr>
                <w:rFonts w:cs="Arial"/>
                <w:color w:val="000000" w:themeColor="text1"/>
              </w:rPr>
            </w:pPr>
            <w:r>
              <w:rPr>
                <w:rFonts w:cs="Arial"/>
                <w:color w:val="000000" w:themeColor="text1"/>
              </w:rPr>
              <w:t xml:space="preserve">Both </w:t>
            </w:r>
            <w:r w:rsidRPr="705334CF">
              <w:rPr>
                <w:rFonts w:cs="Arial"/>
                <w:color w:val="000000" w:themeColor="text1"/>
              </w:rPr>
              <w:t>CTEIG and K12 SWP</w:t>
            </w:r>
          </w:p>
        </w:tc>
        <w:tc>
          <w:tcPr>
            <w:tcW w:w="2755" w:type="dxa"/>
          </w:tcPr>
          <w:p w14:paraId="31A1276F" w14:textId="6A4838A8" w:rsidR="00A175F2" w:rsidRPr="705334CF" w:rsidRDefault="00A175F2" w:rsidP="00470459">
            <w:pPr>
              <w:jc w:val="center"/>
              <w:rPr>
                <w:rFonts w:cs="Arial"/>
                <w:color w:val="000000" w:themeColor="text1"/>
              </w:rPr>
            </w:pPr>
            <w:r w:rsidRPr="705334CF">
              <w:rPr>
                <w:rFonts w:cs="Arial"/>
                <w:color w:val="000000" w:themeColor="text1"/>
              </w:rPr>
              <w:t>56</w:t>
            </w:r>
            <w:r>
              <w:rPr>
                <w:rFonts w:cs="Arial"/>
                <w:color w:val="000000" w:themeColor="text1"/>
              </w:rPr>
              <w:t>*</w:t>
            </w:r>
            <w:r w:rsidR="00214E7F">
              <w:rPr>
                <w:rFonts w:cs="Arial"/>
                <w:color w:val="000000" w:themeColor="text1"/>
              </w:rPr>
              <w:t>*</w:t>
            </w:r>
          </w:p>
        </w:tc>
        <w:tc>
          <w:tcPr>
            <w:tcW w:w="2755" w:type="dxa"/>
          </w:tcPr>
          <w:p w14:paraId="74FB981E" w14:textId="06E9EE3A" w:rsidR="00A175F2" w:rsidRPr="705334CF" w:rsidRDefault="009363A6" w:rsidP="00470459">
            <w:pPr>
              <w:jc w:val="center"/>
              <w:rPr>
                <w:rFonts w:cs="Arial"/>
                <w:color w:val="000000" w:themeColor="text1"/>
              </w:rPr>
            </w:pPr>
            <w:r>
              <w:rPr>
                <w:rFonts w:cs="Arial"/>
                <w:color w:val="000000" w:themeColor="text1"/>
              </w:rPr>
              <w:t>150</w:t>
            </w:r>
          </w:p>
        </w:tc>
      </w:tr>
      <w:tr w:rsidR="00A175F2" w:rsidRPr="001E28E8" w14:paraId="5212DDF0" w14:textId="743A0D05" w:rsidTr="001F3DF0">
        <w:trPr>
          <w:cantSplit/>
          <w:trHeight w:val="320"/>
        </w:trPr>
        <w:tc>
          <w:tcPr>
            <w:tcW w:w="3325" w:type="dxa"/>
            <w:noWrap/>
            <w:vAlign w:val="center"/>
          </w:tcPr>
          <w:p w14:paraId="436A03E1" w14:textId="280ADC4C" w:rsidR="00A175F2" w:rsidRPr="705334CF" w:rsidRDefault="00A175F2" w:rsidP="00470459">
            <w:pPr>
              <w:rPr>
                <w:rFonts w:cs="Arial"/>
                <w:color w:val="000000" w:themeColor="text1"/>
              </w:rPr>
            </w:pPr>
            <w:r>
              <w:rPr>
                <w:rFonts w:cs="Arial"/>
                <w:color w:val="000000" w:themeColor="text1"/>
              </w:rPr>
              <w:t xml:space="preserve">Both </w:t>
            </w:r>
            <w:r w:rsidRPr="705334CF">
              <w:rPr>
                <w:rFonts w:cs="Arial"/>
                <w:color w:val="000000" w:themeColor="text1"/>
              </w:rPr>
              <w:t>Perkins and K12 SWP</w:t>
            </w:r>
          </w:p>
        </w:tc>
        <w:tc>
          <w:tcPr>
            <w:tcW w:w="2755" w:type="dxa"/>
          </w:tcPr>
          <w:p w14:paraId="55239B8A" w14:textId="6FB27C77" w:rsidR="00A175F2" w:rsidRPr="705334CF" w:rsidRDefault="00A175F2" w:rsidP="00470459">
            <w:pPr>
              <w:jc w:val="center"/>
              <w:rPr>
                <w:rFonts w:cs="Arial"/>
                <w:color w:val="000000" w:themeColor="text1"/>
              </w:rPr>
            </w:pPr>
            <w:r w:rsidRPr="705334CF">
              <w:rPr>
                <w:rFonts w:cs="Arial"/>
                <w:color w:val="000000" w:themeColor="text1"/>
              </w:rPr>
              <w:t>12</w:t>
            </w:r>
            <w:r>
              <w:rPr>
                <w:rFonts w:cs="Arial"/>
                <w:color w:val="000000" w:themeColor="text1"/>
              </w:rPr>
              <w:t>*</w:t>
            </w:r>
            <w:r w:rsidR="00214E7F">
              <w:rPr>
                <w:rFonts w:cs="Arial"/>
                <w:color w:val="000000" w:themeColor="text1"/>
              </w:rPr>
              <w:t>*</w:t>
            </w:r>
          </w:p>
        </w:tc>
        <w:tc>
          <w:tcPr>
            <w:tcW w:w="2755" w:type="dxa"/>
          </w:tcPr>
          <w:p w14:paraId="72126BE7" w14:textId="1CA178B6" w:rsidR="00A175F2" w:rsidRPr="705334CF" w:rsidRDefault="009363A6" w:rsidP="00470459">
            <w:pPr>
              <w:jc w:val="center"/>
              <w:rPr>
                <w:rFonts w:cs="Arial"/>
                <w:color w:val="000000" w:themeColor="text1"/>
              </w:rPr>
            </w:pPr>
            <w:r>
              <w:rPr>
                <w:rFonts w:cs="Arial"/>
                <w:color w:val="000000" w:themeColor="text1"/>
              </w:rPr>
              <w:t>106</w:t>
            </w:r>
          </w:p>
        </w:tc>
      </w:tr>
      <w:tr w:rsidR="00A175F2" w:rsidRPr="001E28E8" w14:paraId="2AFA0C33" w14:textId="390C8D16" w:rsidTr="001F3DF0">
        <w:trPr>
          <w:cantSplit/>
          <w:trHeight w:val="320"/>
        </w:trPr>
        <w:tc>
          <w:tcPr>
            <w:tcW w:w="3325" w:type="dxa"/>
            <w:noWrap/>
            <w:vAlign w:val="center"/>
          </w:tcPr>
          <w:p w14:paraId="6D9765FB" w14:textId="6059EE8C" w:rsidR="00A175F2" w:rsidRPr="705334CF" w:rsidRDefault="00A175F2" w:rsidP="00470459">
            <w:pPr>
              <w:rPr>
                <w:rFonts w:cs="Arial"/>
                <w:color w:val="000000" w:themeColor="text1"/>
              </w:rPr>
            </w:pPr>
            <w:r w:rsidRPr="705334CF">
              <w:rPr>
                <w:rFonts w:cs="Arial"/>
                <w:color w:val="000000" w:themeColor="text1"/>
              </w:rPr>
              <w:t>O</w:t>
            </w:r>
            <w:r>
              <w:rPr>
                <w:rFonts w:cs="Arial"/>
                <w:color w:val="000000" w:themeColor="text1"/>
              </w:rPr>
              <w:t>nly</w:t>
            </w:r>
            <w:r w:rsidRPr="705334CF">
              <w:rPr>
                <w:rFonts w:cs="Arial"/>
                <w:color w:val="000000" w:themeColor="text1"/>
              </w:rPr>
              <w:t xml:space="preserve"> K12 SWP</w:t>
            </w:r>
          </w:p>
        </w:tc>
        <w:tc>
          <w:tcPr>
            <w:tcW w:w="2755" w:type="dxa"/>
          </w:tcPr>
          <w:p w14:paraId="643045FE" w14:textId="3A5AC413" w:rsidR="00A175F2" w:rsidRPr="705334CF" w:rsidRDefault="00A175F2" w:rsidP="00470459">
            <w:pPr>
              <w:jc w:val="center"/>
              <w:rPr>
                <w:rFonts w:cs="Arial"/>
                <w:color w:val="000000" w:themeColor="text1"/>
              </w:rPr>
            </w:pPr>
            <w:r w:rsidRPr="705334CF">
              <w:rPr>
                <w:rFonts w:cs="Arial"/>
                <w:color w:val="000000" w:themeColor="text1"/>
              </w:rPr>
              <w:t>41</w:t>
            </w:r>
          </w:p>
        </w:tc>
        <w:tc>
          <w:tcPr>
            <w:tcW w:w="2755" w:type="dxa"/>
          </w:tcPr>
          <w:p w14:paraId="318D4F19" w14:textId="3A683EBC" w:rsidR="00A175F2" w:rsidRPr="705334CF" w:rsidRDefault="009363A6" w:rsidP="00470459">
            <w:pPr>
              <w:jc w:val="center"/>
              <w:rPr>
                <w:rFonts w:cs="Arial"/>
                <w:color w:val="000000" w:themeColor="text1"/>
              </w:rPr>
            </w:pPr>
            <w:r>
              <w:rPr>
                <w:rFonts w:cs="Arial"/>
                <w:color w:val="000000" w:themeColor="text1"/>
              </w:rPr>
              <w:t>N/A</w:t>
            </w:r>
          </w:p>
        </w:tc>
      </w:tr>
      <w:tr w:rsidR="00A175F2" w:rsidRPr="001E28E8" w14:paraId="7A34002C" w14:textId="30FBB32E" w:rsidTr="001F3DF0">
        <w:trPr>
          <w:cantSplit/>
          <w:trHeight w:val="320"/>
        </w:trPr>
        <w:tc>
          <w:tcPr>
            <w:tcW w:w="3325" w:type="dxa"/>
            <w:noWrap/>
            <w:vAlign w:val="center"/>
          </w:tcPr>
          <w:p w14:paraId="594873A7" w14:textId="2388FACA" w:rsidR="00A175F2" w:rsidRPr="705334CF" w:rsidRDefault="00A175F2" w:rsidP="00470459">
            <w:pPr>
              <w:rPr>
                <w:rFonts w:cs="Arial"/>
                <w:color w:val="000000" w:themeColor="text1"/>
              </w:rPr>
            </w:pPr>
            <w:r w:rsidRPr="705334CF">
              <w:rPr>
                <w:rFonts w:cs="Arial"/>
                <w:color w:val="000000" w:themeColor="text1"/>
              </w:rPr>
              <w:t>O</w:t>
            </w:r>
            <w:r>
              <w:rPr>
                <w:rFonts w:cs="Arial"/>
                <w:color w:val="000000" w:themeColor="text1"/>
              </w:rPr>
              <w:t>nly</w:t>
            </w:r>
            <w:r w:rsidRPr="705334CF">
              <w:rPr>
                <w:rFonts w:cs="Arial"/>
                <w:color w:val="000000" w:themeColor="text1"/>
              </w:rPr>
              <w:t xml:space="preserve"> Perkins</w:t>
            </w:r>
          </w:p>
        </w:tc>
        <w:tc>
          <w:tcPr>
            <w:tcW w:w="2755" w:type="dxa"/>
          </w:tcPr>
          <w:p w14:paraId="4B89A2B6" w14:textId="2FCD043D" w:rsidR="00A175F2" w:rsidRPr="705334CF" w:rsidRDefault="00A175F2" w:rsidP="00470459">
            <w:pPr>
              <w:jc w:val="center"/>
              <w:rPr>
                <w:rFonts w:cs="Arial"/>
                <w:color w:val="000000" w:themeColor="text1"/>
              </w:rPr>
            </w:pPr>
            <w:r w:rsidRPr="705334CF">
              <w:rPr>
                <w:rFonts w:cs="Arial"/>
                <w:color w:val="000000" w:themeColor="text1"/>
              </w:rPr>
              <w:t>82</w:t>
            </w:r>
          </w:p>
        </w:tc>
        <w:tc>
          <w:tcPr>
            <w:tcW w:w="2755" w:type="dxa"/>
          </w:tcPr>
          <w:p w14:paraId="4315C21A" w14:textId="40B3EC2F" w:rsidR="00A175F2" w:rsidRPr="705334CF" w:rsidRDefault="009363A6" w:rsidP="00470459">
            <w:pPr>
              <w:jc w:val="center"/>
              <w:rPr>
                <w:rFonts w:cs="Arial"/>
                <w:color w:val="000000" w:themeColor="text1"/>
              </w:rPr>
            </w:pPr>
            <w:r>
              <w:rPr>
                <w:rFonts w:cs="Arial"/>
                <w:color w:val="000000" w:themeColor="text1"/>
              </w:rPr>
              <w:t>N/A</w:t>
            </w:r>
          </w:p>
        </w:tc>
      </w:tr>
      <w:tr w:rsidR="00A175F2" w:rsidRPr="001E28E8" w14:paraId="40519D07" w14:textId="7F70D606" w:rsidTr="001F3DF0">
        <w:trPr>
          <w:cantSplit/>
          <w:trHeight w:val="320"/>
        </w:trPr>
        <w:tc>
          <w:tcPr>
            <w:tcW w:w="3325" w:type="dxa"/>
            <w:noWrap/>
            <w:vAlign w:val="center"/>
          </w:tcPr>
          <w:p w14:paraId="41044A42" w14:textId="50C17B58" w:rsidR="00A175F2" w:rsidRPr="705334CF" w:rsidRDefault="00A175F2" w:rsidP="00470459">
            <w:pPr>
              <w:rPr>
                <w:rFonts w:cs="Arial"/>
                <w:color w:val="000000" w:themeColor="text1"/>
              </w:rPr>
            </w:pPr>
            <w:r w:rsidRPr="705334CF">
              <w:rPr>
                <w:rFonts w:cs="Arial"/>
                <w:color w:val="000000" w:themeColor="text1"/>
              </w:rPr>
              <w:t>O</w:t>
            </w:r>
            <w:r>
              <w:rPr>
                <w:rFonts w:cs="Arial"/>
                <w:color w:val="000000" w:themeColor="text1"/>
              </w:rPr>
              <w:t>nly</w:t>
            </w:r>
            <w:r w:rsidRPr="705334CF">
              <w:rPr>
                <w:rFonts w:cs="Arial"/>
                <w:color w:val="000000" w:themeColor="text1"/>
              </w:rPr>
              <w:t xml:space="preserve"> CTEIG</w:t>
            </w:r>
          </w:p>
        </w:tc>
        <w:tc>
          <w:tcPr>
            <w:tcW w:w="2755" w:type="dxa"/>
          </w:tcPr>
          <w:p w14:paraId="5CA1A55C" w14:textId="6382D1AF" w:rsidR="00A175F2" w:rsidRPr="705334CF" w:rsidRDefault="00A175F2" w:rsidP="00470459">
            <w:pPr>
              <w:jc w:val="center"/>
              <w:rPr>
                <w:rFonts w:cs="Arial"/>
                <w:color w:val="000000" w:themeColor="text1"/>
              </w:rPr>
            </w:pPr>
            <w:r w:rsidRPr="705334CF">
              <w:rPr>
                <w:rFonts w:cs="Arial"/>
                <w:color w:val="000000" w:themeColor="text1"/>
              </w:rPr>
              <w:t>148</w:t>
            </w:r>
          </w:p>
        </w:tc>
        <w:tc>
          <w:tcPr>
            <w:tcW w:w="2755" w:type="dxa"/>
          </w:tcPr>
          <w:p w14:paraId="26CF9ED7" w14:textId="1A602543" w:rsidR="00A175F2" w:rsidRPr="705334CF" w:rsidRDefault="009363A6" w:rsidP="00470459">
            <w:pPr>
              <w:jc w:val="center"/>
              <w:rPr>
                <w:rFonts w:cs="Arial"/>
                <w:color w:val="000000" w:themeColor="text1"/>
              </w:rPr>
            </w:pPr>
            <w:r>
              <w:rPr>
                <w:rFonts w:cs="Arial"/>
                <w:color w:val="000000" w:themeColor="text1"/>
              </w:rPr>
              <w:t>N/A</w:t>
            </w:r>
          </w:p>
        </w:tc>
      </w:tr>
    </w:tbl>
    <w:bookmarkEnd w:id="2"/>
    <w:p w14:paraId="02F20FDB" w14:textId="37377181" w:rsidR="00214E7F" w:rsidRPr="008E5C68" w:rsidRDefault="008E5C68" w:rsidP="00214E7F">
      <w:pPr>
        <w:spacing w:before="120" w:after="240"/>
        <w:rPr>
          <w:rFonts w:cs="Arial"/>
        </w:rPr>
      </w:pPr>
      <w:r w:rsidRPr="008E5C68">
        <w:rPr>
          <w:rFonts w:cs="Arial"/>
        </w:rPr>
        <w:t>*</w:t>
      </w:r>
      <w:r w:rsidR="00214E7F" w:rsidRPr="00214E7F">
        <w:rPr>
          <w:rFonts w:cs="Arial"/>
        </w:rPr>
        <w:t>Grantees in this table are K–12 grant recipients only. These figures do not include the CCD, Adult Schools, or SSS.</w:t>
      </w:r>
      <w:r w:rsidR="00214E7F">
        <w:rPr>
          <w:rFonts w:cs="Arial"/>
        </w:rPr>
        <w:br/>
        <w:t>**</w:t>
      </w:r>
      <w:r w:rsidRPr="008E5C68">
        <w:rPr>
          <w:rFonts w:cs="Arial"/>
        </w:rPr>
        <w:t xml:space="preserve">These figures do not include the 94 who received all three. For a full overlap count please </w:t>
      </w:r>
      <w:r w:rsidR="009363A6">
        <w:rPr>
          <w:rFonts w:cs="Arial"/>
        </w:rPr>
        <w:t>refer to column three “LEAs Awarded with Duplication”</w:t>
      </w:r>
      <w:r w:rsidR="00214E7F">
        <w:rPr>
          <w:rFonts w:cs="Arial"/>
        </w:rPr>
        <w:t>.</w:t>
      </w:r>
    </w:p>
    <w:p w14:paraId="2BFA36EC" w14:textId="162A34EA" w:rsidR="003E4DF7" w:rsidRPr="001E269E" w:rsidRDefault="003E4DF7" w:rsidP="00214E7F">
      <w:pPr>
        <w:pStyle w:val="Heading2"/>
        <w:spacing w:before="0" w:after="240"/>
        <w:rPr>
          <w:rFonts w:cs="Arial"/>
          <w:sz w:val="36"/>
          <w:szCs w:val="36"/>
        </w:rPr>
      </w:pPr>
      <w:r w:rsidRPr="001E269E">
        <w:rPr>
          <w:rFonts w:cs="Arial"/>
          <w:sz w:val="36"/>
          <w:szCs w:val="36"/>
        </w:rPr>
        <w:t>Fiscal Analysis</w:t>
      </w:r>
    </w:p>
    <w:p w14:paraId="11C45FD1" w14:textId="77777777" w:rsidR="00DC65BD" w:rsidRDefault="00C72AD1" w:rsidP="00C72AD1">
      <w:pPr>
        <w:spacing w:after="240"/>
        <w:rPr>
          <w:rFonts w:cs="Arial"/>
        </w:rPr>
      </w:pPr>
      <w:r w:rsidRPr="001E269E">
        <w:rPr>
          <w:rFonts w:cs="Arial"/>
        </w:rPr>
        <w:t>Funding a</w:t>
      </w:r>
      <w:r w:rsidR="00DC65BD">
        <w:rPr>
          <w:rFonts w:cs="Arial"/>
        </w:rPr>
        <w:t xml:space="preserve">warded to </w:t>
      </w:r>
      <w:r w:rsidRPr="001E269E">
        <w:rPr>
          <w:rFonts w:cs="Arial"/>
        </w:rPr>
        <w:t>eligible recipients under</w:t>
      </w:r>
      <w:r w:rsidR="00DC65BD">
        <w:rPr>
          <w:rFonts w:cs="Arial"/>
        </w:rPr>
        <w:t xml:space="preserve"> each grant is as follows:</w:t>
      </w:r>
    </w:p>
    <w:p w14:paraId="49DCB2CB" w14:textId="43002B35" w:rsidR="00DC65BD" w:rsidRPr="00D620DE" w:rsidRDefault="00DC65BD" w:rsidP="00D620DE">
      <w:pPr>
        <w:pStyle w:val="ListParagraph"/>
        <w:numPr>
          <w:ilvl w:val="0"/>
          <w:numId w:val="29"/>
        </w:numPr>
        <w:spacing w:after="240"/>
        <w:rPr>
          <w:rFonts w:cs="Arial"/>
          <w:b/>
          <w:bCs/>
        </w:rPr>
      </w:pPr>
      <w:r w:rsidRPr="00D620DE">
        <w:rPr>
          <w:rFonts w:cs="Arial"/>
          <w:b/>
          <w:bCs/>
        </w:rPr>
        <w:t xml:space="preserve">CTEIG: </w:t>
      </w:r>
      <w:r w:rsidR="00C44F3C" w:rsidRPr="00D620DE">
        <w:rPr>
          <w:rFonts w:cs="Arial"/>
        </w:rPr>
        <w:t>$</w:t>
      </w:r>
      <w:r w:rsidR="00D0124A" w:rsidRPr="00D0124A">
        <w:rPr>
          <w:rFonts w:cs="Arial"/>
        </w:rPr>
        <w:t>29</w:t>
      </w:r>
      <w:r w:rsidR="004E55E8">
        <w:rPr>
          <w:rFonts w:cs="Arial"/>
        </w:rPr>
        <w:t>6</w:t>
      </w:r>
      <w:r w:rsidR="00D0124A">
        <w:rPr>
          <w:rFonts w:cs="Arial"/>
        </w:rPr>
        <w:t>,</w:t>
      </w:r>
      <w:r w:rsidR="004E55E8">
        <w:rPr>
          <w:rFonts w:cs="Arial"/>
        </w:rPr>
        <w:t>664</w:t>
      </w:r>
      <w:r w:rsidR="00D0124A">
        <w:rPr>
          <w:rFonts w:cs="Arial"/>
        </w:rPr>
        <w:t>,</w:t>
      </w:r>
      <w:r w:rsidR="004E55E8">
        <w:rPr>
          <w:rFonts w:cs="Arial"/>
        </w:rPr>
        <w:t>06</w:t>
      </w:r>
      <w:r w:rsidR="00D0124A" w:rsidRPr="00D0124A">
        <w:rPr>
          <w:rFonts w:cs="Arial"/>
        </w:rPr>
        <w:t>7</w:t>
      </w:r>
      <w:r w:rsidR="00C44F3C" w:rsidRPr="00D620DE">
        <w:rPr>
          <w:rFonts w:cs="Arial"/>
        </w:rPr>
        <w:t xml:space="preserve"> (43</w:t>
      </w:r>
      <w:r w:rsidR="00D0124A">
        <w:rPr>
          <w:rFonts w:cs="Arial"/>
        </w:rPr>
        <w:t>9</w:t>
      </w:r>
      <w:r w:rsidR="00C44F3C" w:rsidRPr="00D620DE">
        <w:rPr>
          <w:rFonts w:cs="Arial"/>
        </w:rPr>
        <w:t xml:space="preserve"> grantees)</w:t>
      </w:r>
    </w:p>
    <w:p w14:paraId="0D64F943" w14:textId="57B10030" w:rsidR="00D620DE" w:rsidRPr="00D620DE" w:rsidRDefault="00DC65BD" w:rsidP="00D620DE">
      <w:pPr>
        <w:pStyle w:val="ListParagraph"/>
        <w:numPr>
          <w:ilvl w:val="0"/>
          <w:numId w:val="29"/>
        </w:numPr>
        <w:spacing w:after="240"/>
        <w:rPr>
          <w:rFonts w:cs="Arial"/>
          <w:b/>
          <w:bCs/>
        </w:rPr>
      </w:pPr>
      <w:r w:rsidRPr="00D620DE">
        <w:rPr>
          <w:rFonts w:cs="Arial"/>
          <w:b/>
          <w:bCs/>
        </w:rPr>
        <w:t>Perkins V (CDE):</w:t>
      </w:r>
    </w:p>
    <w:p w14:paraId="28B0D43F" w14:textId="73E1A253" w:rsidR="00DC65BD" w:rsidRDefault="00D620DE" w:rsidP="00D620DE">
      <w:pPr>
        <w:pStyle w:val="ListParagraph"/>
        <w:numPr>
          <w:ilvl w:val="1"/>
          <w:numId w:val="29"/>
        </w:numPr>
        <w:spacing w:after="240"/>
        <w:rPr>
          <w:rFonts w:cs="Arial"/>
        </w:rPr>
      </w:pPr>
      <w:r w:rsidRPr="00D620DE">
        <w:rPr>
          <w:rFonts w:cs="Arial"/>
          <w:b/>
          <w:bCs/>
        </w:rPr>
        <w:t>Secondary</w:t>
      </w:r>
      <w:r w:rsidR="00214E7F">
        <w:rPr>
          <w:rFonts w:cs="Arial"/>
          <w:b/>
          <w:bCs/>
        </w:rPr>
        <w:t xml:space="preserve"> (K</w:t>
      </w:r>
      <w:r w:rsidR="00214E7F" w:rsidRPr="00214E7F">
        <w:rPr>
          <w:rFonts w:cs="Arial"/>
          <w:b/>
          <w:bCs/>
        </w:rPr>
        <w:t>–</w:t>
      </w:r>
      <w:r w:rsidR="00214E7F">
        <w:rPr>
          <w:rFonts w:cs="Arial"/>
          <w:b/>
          <w:bCs/>
        </w:rPr>
        <w:t>12):</w:t>
      </w:r>
      <w:r w:rsidR="00D0124A">
        <w:rPr>
          <w:rFonts w:cs="Arial"/>
          <w:b/>
          <w:bCs/>
        </w:rPr>
        <w:t xml:space="preserve"> </w:t>
      </w:r>
      <w:r w:rsidR="00D0124A" w:rsidRPr="00D0124A">
        <w:rPr>
          <w:rFonts w:cs="Arial"/>
        </w:rPr>
        <w:t xml:space="preserve">$54,446,749 </w:t>
      </w:r>
      <w:r w:rsidR="00C44F3C" w:rsidRPr="00D620DE">
        <w:rPr>
          <w:rFonts w:cs="Arial"/>
        </w:rPr>
        <w:t>(3</w:t>
      </w:r>
      <w:r>
        <w:rPr>
          <w:rFonts w:cs="Arial"/>
        </w:rPr>
        <w:t>25</w:t>
      </w:r>
      <w:r w:rsidR="00D0124A">
        <w:rPr>
          <w:rFonts w:cs="Arial"/>
        </w:rPr>
        <w:t xml:space="preserve"> grantees</w:t>
      </w:r>
      <w:r>
        <w:rPr>
          <w:rFonts w:cs="Arial"/>
        </w:rPr>
        <w:t>)</w:t>
      </w:r>
    </w:p>
    <w:p w14:paraId="72D43419" w14:textId="67ED39BA" w:rsidR="00D0124A" w:rsidRDefault="00D0124A" w:rsidP="00D620DE">
      <w:pPr>
        <w:pStyle w:val="ListParagraph"/>
        <w:numPr>
          <w:ilvl w:val="1"/>
          <w:numId w:val="29"/>
        </w:numPr>
        <w:spacing w:after="240"/>
        <w:rPr>
          <w:rFonts w:cs="Arial"/>
        </w:rPr>
      </w:pPr>
      <w:r>
        <w:rPr>
          <w:rFonts w:cs="Arial"/>
          <w:b/>
          <w:bCs/>
        </w:rPr>
        <w:t xml:space="preserve">Adult Schools: </w:t>
      </w:r>
      <w:r w:rsidRPr="00D0124A">
        <w:rPr>
          <w:rFonts w:cs="Arial"/>
        </w:rPr>
        <w:t>$</w:t>
      </w:r>
      <w:r>
        <w:rPr>
          <w:rFonts w:cs="Arial"/>
        </w:rPr>
        <w:t xml:space="preserve"> 3,871,311 (12 grantees)</w:t>
      </w:r>
    </w:p>
    <w:p w14:paraId="62E24E37" w14:textId="3BEF9C46" w:rsidR="005C43CE" w:rsidRPr="00D620DE" w:rsidRDefault="005C43CE" w:rsidP="005C43CE">
      <w:pPr>
        <w:pStyle w:val="ListParagraph"/>
        <w:numPr>
          <w:ilvl w:val="1"/>
          <w:numId w:val="29"/>
        </w:numPr>
        <w:spacing w:after="240"/>
        <w:rPr>
          <w:rFonts w:cs="Arial"/>
        </w:rPr>
      </w:pPr>
      <w:r>
        <w:rPr>
          <w:rFonts w:cs="Arial"/>
          <w:b/>
          <w:bCs/>
        </w:rPr>
        <w:t>State Special Schools:</w:t>
      </w:r>
      <w:r>
        <w:rPr>
          <w:rFonts w:cs="Arial"/>
        </w:rPr>
        <w:t xml:space="preserve"> </w:t>
      </w:r>
      <w:r w:rsidRPr="005C43CE">
        <w:rPr>
          <w:rFonts w:cs="Arial"/>
        </w:rPr>
        <w:t>$475,000 (3 grantees)</w:t>
      </w:r>
    </w:p>
    <w:p w14:paraId="60DD421C" w14:textId="45B02B38" w:rsidR="00DC65BD" w:rsidRPr="00AB361A" w:rsidRDefault="00DC65BD" w:rsidP="00D620DE">
      <w:pPr>
        <w:pStyle w:val="ListParagraph"/>
        <w:numPr>
          <w:ilvl w:val="0"/>
          <w:numId w:val="29"/>
        </w:numPr>
        <w:spacing w:after="240"/>
        <w:rPr>
          <w:rFonts w:cs="Arial"/>
          <w:b/>
          <w:bCs/>
        </w:rPr>
      </w:pPr>
      <w:r w:rsidRPr="00AB361A">
        <w:rPr>
          <w:rFonts w:cs="Arial"/>
          <w:b/>
          <w:bCs/>
        </w:rPr>
        <w:t>Perkins V (CCCCO):</w:t>
      </w:r>
      <w:r w:rsidRPr="00AB361A">
        <w:rPr>
          <w:rFonts w:cs="Arial"/>
        </w:rPr>
        <w:t xml:space="preserve"> </w:t>
      </w:r>
      <w:r w:rsidR="00D0124A" w:rsidRPr="00AB361A">
        <w:rPr>
          <w:rFonts w:cs="Arial"/>
        </w:rPr>
        <w:t>$</w:t>
      </w:r>
      <w:r w:rsidR="00E8570A" w:rsidRPr="00AB361A">
        <w:rPr>
          <w:rFonts w:cs="Arial"/>
        </w:rPr>
        <w:t>61,380,172</w:t>
      </w:r>
      <w:r w:rsidR="00D0124A" w:rsidRPr="00AB361A">
        <w:rPr>
          <w:rFonts w:cs="Arial"/>
        </w:rPr>
        <w:t xml:space="preserve"> (</w:t>
      </w:r>
      <w:r w:rsidR="00E8570A" w:rsidRPr="00AB361A">
        <w:rPr>
          <w:rFonts w:cs="Arial"/>
        </w:rPr>
        <w:t xml:space="preserve">72 </w:t>
      </w:r>
      <w:r w:rsidR="00D0124A" w:rsidRPr="00AB361A">
        <w:rPr>
          <w:rFonts w:cs="Arial"/>
        </w:rPr>
        <w:t>Grantees)</w:t>
      </w:r>
    </w:p>
    <w:p w14:paraId="3919BD39" w14:textId="4C080063" w:rsidR="00C72AD1" w:rsidRPr="00AB361A" w:rsidRDefault="00DC65BD" w:rsidP="00D620DE">
      <w:pPr>
        <w:pStyle w:val="ListParagraph"/>
        <w:numPr>
          <w:ilvl w:val="0"/>
          <w:numId w:val="29"/>
        </w:numPr>
        <w:spacing w:after="240"/>
        <w:rPr>
          <w:rFonts w:cs="Arial"/>
          <w:b/>
          <w:bCs/>
        </w:rPr>
      </w:pPr>
      <w:r w:rsidRPr="00AB361A">
        <w:rPr>
          <w:rFonts w:cs="Arial"/>
          <w:b/>
          <w:bCs/>
        </w:rPr>
        <w:t xml:space="preserve">K12 SWP: </w:t>
      </w:r>
      <w:r w:rsidR="00D0124A" w:rsidRPr="00AB361A">
        <w:rPr>
          <w:rFonts w:cs="Arial"/>
        </w:rPr>
        <w:t>$150,000,000 (</w:t>
      </w:r>
      <w:r w:rsidR="00B64F67" w:rsidRPr="00AB361A">
        <w:rPr>
          <w:rFonts w:cs="Arial"/>
        </w:rPr>
        <w:t xml:space="preserve">247 </w:t>
      </w:r>
      <w:r w:rsidR="00D0124A" w:rsidRPr="00AB361A">
        <w:rPr>
          <w:rFonts w:cs="Arial"/>
        </w:rPr>
        <w:t>grantees)</w:t>
      </w:r>
    </w:p>
    <w:p w14:paraId="2B7D041B" w14:textId="77777777" w:rsidR="00406F50" w:rsidRPr="00BA585F" w:rsidRDefault="00406F50" w:rsidP="00214E7F">
      <w:pPr>
        <w:pStyle w:val="Heading2"/>
        <w:spacing w:before="0" w:after="240"/>
        <w:rPr>
          <w:rFonts w:cs="Arial"/>
          <w:bCs/>
          <w:sz w:val="36"/>
          <w:szCs w:val="36"/>
        </w:rPr>
      </w:pPr>
      <w:r w:rsidRPr="001E269E">
        <w:rPr>
          <w:rFonts w:cs="Arial"/>
          <w:sz w:val="36"/>
          <w:szCs w:val="36"/>
        </w:rPr>
        <w:t>Attachment(s)</w:t>
      </w:r>
    </w:p>
    <w:p w14:paraId="761355D3" w14:textId="474984B0" w:rsidR="00191509" w:rsidRDefault="00BA585F" w:rsidP="00B1539A">
      <w:pPr>
        <w:spacing w:after="240"/>
        <w:rPr>
          <w:rFonts w:cs="Arial"/>
          <w:b/>
          <w:bCs/>
        </w:rPr>
      </w:pPr>
      <w:r w:rsidRPr="00BA585F">
        <w:rPr>
          <w:rFonts w:cs="Arial"/>
          <w:b/>
          <w:bCs/>
        </w:rPr>
        <w:t>Attachment 1:</w:t>
      </w:r>
      <w:r w:rsidR="009A6DAA" w:rsidRPr="009A6DAA">
        <w:rPr>
          <w:rFonts w:cs="Arial"/>
          <w:b/>
          <w:bCs/>
          <w:sz w:val="32"/>
          <w:szCs w:val="32"/>
        </w:rPr>
        <w:t xml:space="preserve"> </w:t>
      </w:r>
      <w:r w:rsidR="009A6DAA" w:rsidRPr="009A6DAA">
        <w:rPr>
          <w:rFonts w:cs="Arial"/>
        </w:rPr>
        <w:t>Fiscal Year 2024–25: Grant Comparison by Grant Type (with County Names)</w:t>
      </w:r>
      <w:r>
        <w:rPr>
          <w:rFonts w:cs="Arial"/>
          <w:b/>
          <w:bCs/>
        </w:rPr>
        <w:t xml:space="preserve"> </w:t>
      </w:r>
      <w:r w:rsidRPr="00BA585F">
        <w:rPr>
          <w:rFonts w:cs="Arial"/>
        </w:rPr>
        <w:t>(20 pages)</w:t>
      </w:r>
    </w:p>
    <w:p w14:paraId="7474D2D7" w14:textId="1F7AF5BD" w:rsidR="00BA585F" w:rsidRPr="00BA585F" w:rsidRDefault="00BA585F" w:rsidP="00B1539A">
      <w:pPr>
        <w:spacing w:after="240"/>
        <w:rPr>
          <w:rFonts w:cs="Arial"/>
          <w:b/>
          <w:bCs/>
        </w:rPr>
      </w:pPr>
      <w:r>
        <w:rPr>
          <w:rFonts w:cs="Arial"/>
          <w:b/>
          <w:bCs/>
        </w:rPr>
        <w:t xml:space="preserve">Attachment 2: </w:t>
      </w:r>
      <w:r w:rsidR="00731298" w:rsidRPr="00731298">
        <w:rPr>
          <w:rFonts w:cs="Arial"/>
        </w:rPr>
        <w:t xml:space="preserve">Fiscal Year 2024–25: Grantee Counts Broken Down by County (with County Numbers) </w:t>
      </w:r>
      <w:r w:rsidRPr="00BA585F">
        <w:rPr>
          <w:rFonts w:cs="Arial"/>
        </w:rPr>
        <w:t>(2 pages)</w:t>
      </w:r>
    </w:p>
    <w:sectPr w:rsidR="00BA585F" w:rsidRPr="00BA585F" w:rsidSect="00E12B59">
      <w:headerReference w:type="even" r:id="rId14"/>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BC80" w14:textId="77777777" w:rsidR="00D73568" w:rsidRDefault="00D73568" w:rsidP="000E09DC">
      <w:r>
        <w:separator/>
      </w:r>
    </w:p>
  </w:endnote>
  <w:endnote w:type="continuationSeparator" w:id="0">
    <w:p w14:paraId="41EE4D94" w14:textId="77777777" w:rsidR="00D73568" w:rsidRDefault="00D7356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424E" w14:textId="77777777" w:rsidR="00D73568" w:rsidRDefault="00D73568" w:rsidP="000E09DC">
      <w:r>
        <w:separator/>
      </w:r>
    </w:p>
  </w:footnote>
  <w:footnote w:type="continuationSeparator" w:id="0">
    <w:p w14:paraId="100FD5DF" w14:textId="77777777" w:rsidR="00D73568" w:rsidRDefault="00D73568"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AC5B" w14:textId="77777777" w:rsidR="00937C6E" w:rsidRPr="00AA6EC1" w:rsidRDefault="00937C6E" w:rsidP="00E12B59">
    <w:pPr>
      <w:pStyle w:val="Header"/>
      <w:jc w:val="right"/>
      <w:rPr>
        <w:rFonts w:cs="Arial"/>
      </w:rPr>
    </w:pPr>
    <w:r>
      <w:rPr>
        <w:rFonts w:cs="Arial"/>
      </w:rPr>
      <w:t>cwpjac-nov20item02</w:t>
    </w:r>
  </w:p>
  <w:p w14:paraId="3877EA4A" w14:textId="77777777"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9713" w14:textId="77777777" w:rsidR="00937C6E" w:rsidRPr="001A50A1" w:rsidRDefault="00937C6E" w:rsidP="00E12B59">
    <w:pPr>
      <w:pStyle w:val="Header"/>
      <w:jc w:val="right"/>
      <w:rPr>
        <w:rFonts w:cs="Arial"/>
      </w:rPr>
    </w:pPr>
    <w:r w:rsidRPr="001A50A1">
      <w:rPr>
        <w:rFonts w:cs="Arial"/>
      </w:rPr>
      <w:t>cwpjac-</w:t>
    </w:r>
    <w:r w:rsidR="00EB1B7C">
      <w:rPr>
        <w:rFonts w:cs="Arial"/>
      </w:rPr>
      <w:t>feb23</w:t>
    </w:r>
    <w:r w:rsidRPr="001A50A1">
      <w:rPr>
        <w:rFonts w:cs="Arial"/>
      </w:rPr>
      <w:t>item0</w:t>
    </w:r>
    <w:r w:rsidR="00BB6B8B">
      <w:rPr>
        <w:rFonts w:cs="Arial"/>
      </w:rPr>
      <w:t>3</w:t>
    </w:r>
  </w:p>
  <w:p w14:paraId="53DAAD0F" w14:textId="77777777"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E33A"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44A9CEF5" w14:textId="4D56BC0E" w:rsidR="00937C6E" w:rsidRPr="001A50A1" w:rsidRDefault="00937C6E" w:rsidP="003A0CCA">
    <w:pPr>
      <w:pStyle w:val="Header"/>
      <w:jc w:val="right"/>
      <w:rPr>
        <w:rFonts w:cs="Arial"/>
      </w:rPr>
    </w:pPr>
    <w:r w:rsidRPr="001A50A1">
      <w:rPr>
        <w:rFonts w:cs="Arial"/>
      </w:rPr>
      <w:t>cwpjac-</w:t>
    </w:r>
    <w:r w:rsidR="00261782">
      <w:rPr>
        <w:rFonts w:cs="Arial"/>
      </w:rPr>
      <w:t>july</w:t>
    </w:r>
    <w:r w:rsidR="00324A30">
      <w:rPr>
        <w:rFonts w:cs="Arial"/>
      </w:rPr>
      <w:t>2</w:t>
    </w:r>
    <w:r w:rsidR="00261782">
      <w:rPr>
        <w:rFonts w:cs="Arial"/>
      </w:rPr>
      <w:t>5</w:t>
    </w:r>
    <w:r w:rsidRPr="001A50A1">
      <w:rPr>
        <w:rFonts w:cs="Arial"/>
      </w:rPr>
      <w:t>item0</w:t>
    </w:r>
    <w:r w:rsidR="00261782">
      <w:rPr>
        <w:rFonts w:cs="Arial"/>
      </w:rPr>
      <w:t>2</w:t>
    </w:r>
  </w:p>
  <w:p w14:paraId="41757142" w14:textId="77777777"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6F730A3"/>
    <w:multiLevelType w:val="hybridMultilevel"/>
    <w:tmpl w:val="3CBAF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05DE0"/>
    <w:multiLevelType w:val="multilevel"/>
    <w:tmpl w:val="4AC6F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624671">
    <w:abstractNumId w:val="13"/>
  </w:num>
  <w:num w:numId="2" w16cid:durableId="395789302">
    <w:abstractNumId w:val="25"/>
  </w:num>
  <w:num w:numId="3" w16cid:durableId="2140762161">
    <w:abstractNumId w:val="9"/>
  </w:num>
  <w:num w:numId="4" w16cid:durableId="536624650">
    <w:abstractNumId w:val="20"/>
  </w:num>
  <w:num w:numId="5" w16cid:durableId="590548576">
    <w:abstractNumId w:val="23"/>
  </w:num>
  <w:num w:numId="6" w16cid:durableId="1282346288">
    <w:abstractNumId w:val="2"/>
  </w:num>
  <w:num w:numId="7" w16cid:durableId="1640458497">
    <w:abstractNumId w:val="12"/>
  </w:num>
  <w:num w:numId="8" w16cid:durableId="929855516">
    <w:abstractNumId w:val="3"/>
  </w:num>
  <w:num w:numId="9" w16cid:durableId="1565067665">
    <w:abstractNumId w:val="26"/>
  </w:num>
  <w:num w:numId="10" w16cid:durableId="1591769797">
    <w:abstractNumId w:val="27"/>
  </w:num>
  <w:num w:numId="11" w16cid:durableId="1635477005">
    <w:abstractNumId w:val="8"/>
  </w:num>
  <w:num w:numId="12" w16cid:durableId="736242173">
    <w:abstractNumId w:val="6"/>
  </w:num>
  <w:num w:numId="13" w16cid:durableId="1777795516">
    <w:abstractNumId w:val="5"/>
  </w:num>
  <w:num w:numId="14" w16cid:durableId="1379626266">
    <w:abstractNumId w:val="14"/>
  </w:num>
  <w:num w:numId="15" w16cid:durableId="8221775">
    <w:abstractNumId w:val="11"/>
  </w:num>
  <w:num w:numId="16" w16cid:durableId="723866890">
    <w:abstractNumId w:val="16"/>
  </w:num>
  <w:num w:numId="17" w16cid:durableId="1757895608">
    <w:abstractNumId w:val="28"/>
  </w:num>
  <w:num w:numId="18" w16cid:durableId="721179071">
    <w:abstractNumId w:val="21"/>
  </w:num>
  <w:num w:numId="19" w16cid:durableId="1676036637">
    <w:abstractNumId w:val="10"/>
  </w:num>
  <w:num w:numId="20" w16cid:durableId="717125285">
    <w:abstractNumId w:val="0"/>
  </w:num>
  <w:num w:numId="21" w16cid:durableId="598606562">
    <w:abstractNumId w:val="4"/>
  </w:num>
  <w:num w:numId="22" w16cid:durableId="1803688211">
    <w:abstractNumId w:val="7"/>
  </w:num>
  <w:num w:numId="23" w16cid:durableId="1077705233">
    <w:abstractNumId w:val="17"/>
  </w:num>
  <w:num w:numId="24" w16cid:durableId="1585140441">
    <w:abstractNumId w:val="22"/>
  </w:num>
  <w:num w:numId="25" w16cid:durableId="946810510">
    <w:abstractNumId w:val="24"/>
  </w:num>
  <w:num w:numId="26" w16cid:durableId="553322363">
    <w:abstractNumId w:val="15"/>
  </w:num>
  <w:num w:numId="27" w16cid:durableId="689838830">
    <w:abstractNumId w:val="1"/>
  </w:num>
  <w:num w:numId="28" w16cid:durableId="1490093039">
    <w:abstractNumId w:val="18"/>
  </w:num>
  <w:num w:numId="29" w16cid:durableId="691297377">
    <w:abstractNumId w:val="19"/>
  </w:num>
  <w:num w:numId="30" w16cid:durableId="1996370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186"/>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5143"/>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49CA"/>
    <w:rsid w:val="000A6BB8"/>
    <w:rsid w:val="000A746C"/>
    <w:rsid w:val="000B0905"/>
    <w:rsid w:val="000B1226"/>
    <w:rsid w:val="000B3903"/>
    <w:rsid w:val="000B5C2B"/>
    <w:rsid w:val="000B7883"/>
    <w:rsid w:val="000C1D49"/>
    <w:rsid w:val="000C3068"/>
    <w:rsid w:val="000C5DCF"/>
    <w:rsid w:val="000C63B6"/>
    <w:rsid w:val="000C6E48"/>
    <w:rsid w:val="000D32C6"/>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6E01"/>
    <w:rsid w:val="001472F4"/>
    <w:rsid w:val="00157690"/>
    <w:rsid w:val="001626F1"/>
    <w:rsid w:val="00164061"/>
    <w:rsid w:val="00164C5A"/>
    <w:rsid w:val="00167017"/>
    <w:rsid w:val="00167142"/>
    <w:rsid w:val="00167E35"/>
    <w:rsid w:val="0017037E"/>
    <w:rsid w:val="001721C9"/>
    <w:rsid w:val="00172323"/>
    <w:rsid w:val="00172D7F"/>
    <w:rsid w:val="001731F3"/>
    <w:rsid w:val="0017400C"/>
    <w:rsid w:val="00174E98"/>
    <w:rsid w:val="00180C36"/>
    <w:rsid w:val="0018148D"/>
    <w:rsid w:val="001814FC"/>
    <w:rsid w:val="001825ED"/>
    <w:rsid w:val="0018266E"/>
    <w:rsid w:val="001828D0"/>
    <w:rsid w:val="0018691F"/>
    <w:rsid w:val="00191480"/>
    <w:rsid w:val="00191509"/>
    <w:rsid w:val="00194775"/>
    <w:rsid w:val="00194D47"/>
    <w:rsid w:val="00195E52"/>
    <w:rsid w:val="001974C8"/>
    <w:rsid w:val="001A0CA5"/>
    <w:rsid w:val="001A12B0"/>
    <w:rsid w:val="001A1458"/>
    <w:rsid w:val="001A50A1"/>
    <w:rsid w:val="001A53C0"/>
    <w:rsid w:val="001B0EF5"/>
    <w:rsid w:val="001B33BC"/>
    <w:rsid w:val="001B3958"/>
    <w:rsid w:val="001B67DD"/>
    <w:rsid w:val="001C27A1"/>
    <w:rsid w:val="001C280A"/>
    <w:rsid w:val="001C3DC0"/>
    <w:rsid w:val="001C48C1"/>
    <w:rsid w:val="001C4C02"/>
    <w:rsid w:val="001C4D24"/>
    <w:rsid w:val="001C644F"/>
    <w:rsid w:val="001C7DF6"/>
    <w:rsid w:val="001D0408"/>
    <w:rsid w:val="001D138A"/>
    <w:rsid w:val="001D1BCA"/>
    <w:rsid w:val="001D5632"/>
    <w:rsid w:val="001D6903"/>
    <w:rsid w:val="001E01E9"/>
    <w:rsid w:val="001E1929"/>
    <w:rsid w:val="001E269E"/>
    <w:rsid w:val="001E28E8"/>
    <w:rsid w:val="001F0B57"/>
    <w:rsid w:val="001F3D3F"/>
    <w:rsid w:val="001F3DF0"/>
    <w:rsid w:val="001F7E45"/>
    <w:rsid w:val="00202B99"/>
    <w:rsid w:val="0020468C"/>
    <w:rsid w:val="00205533"/>
    <w:rsid w:val="00210872"/>
    <w:rsid w:val="00210D0F"/>
    <w:rsid w:val="00212525"/>
    <w:rsid w:val="00214E7F"/>
    <w:rsid w:val="00217419"/>
    <w:rsid w:val="00217FC3"/>
    <w:rsid w:val="0022016E"/>
    <w:rsid w:val="002204BB"/>
    <w:rsid w:val="00221598"/>
    <w:rsid w:val="002219C8"/>
    <w:rsid w:val="00223112"/>
    <w:rsid w:val="0022495E"/>
    <w:rsid w:val="002256AC"/>
    <w:rsid w:val="00225A48"/>
    <w:rsid w:val="00227FDF"/>
    <w:rsid w:val="00231862"/>
    <w:rsid w:val="0023256F"/>
    <w:rsid w:val="00232AD0"/>
    <w:rsid w:val="00240B26"/>
    <w:rsid w:val="0024129C"/>
    <w:rsid w:val="00243C5F"/>
    <w:rsid w:val="00245750"/>
    <w:rsid w:val="00246406"/>
    <w:rsid w:val="0025363B"/>
    <w:rsid w:val="0026062D"/>
    <w:rsid w:val="00261782"/>
    <w:rsid w:val="00261992"/>
    <w:rsid w:val="00267499"/>
    <w:rsid w:val="00267828"/>
    <w:rsid w:val="002717C0"/>
    <w:rsid w:val="002722A8"/>
    <w:rsid w:val="0028059B"/>
    <w:rsid w:val="00285BBA"/>
    <w:rsid w:val="00285DA0"/>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1D31"/>
    <w:rsid w:val="002B278B"/>
    <w:rsid w:val="002B4B14"/>
    <w:rsid w:val="002B72C5"/>
    <w:rsid w:val="002C5BE9"/>
    <w:rsid w:val="002C68E1"/>
    <w:rsid w:val="002C6CF7"/>
    <w:rsid w:val="002C7F6C"/>
    <w:rsid w:val="002D13AD"/>
    <w:rsid w:val="002D1A82"/>
    <w:rsid w:val="002D7947"/>
    <w:rsid w:val="002D7DA4"/>
    <w:rsid w:val="002E0B94"/>
    <w:rsid w:val="002E1B69"/>
    <w:rsid w:val="002E30CC"/>
    <w:rsid w:val="002E4CB5"/>
    <w:rsid w:val="002E54A3"/>
    <w:rsid w:val="002E6FCA"/>
    <w:rsid w:val="002F1DAE"/>
    <w:rsid w:val="002F279B"/>
    <w:rsid w:val="002F3981"/>
    <w:rsid w:val="00303123"/>
    <w:rsid w:val="00304C3F"/>
    <w:rsid w:val="003075EE"/>
    <w:rsid w:val="00311725"/>
    <w:rsid w:val="00311776"/>
    <w:rsid w:val="003140AF"/>
    <w:rsid w:val="003141EF"/>
    <w:rsid w:val="00315131"/>
    <w:rsid w:val="0031775D"/>
    <w:rsid w:val="00322932"/>
    <w:rsid w:val="00323795"/>
    <w:rsid w:val="00324A30"/>
    <w:rsid w:val="00324B8B"/>
    <w:rsid w:val="00325F59"/>
    <w:rsid w:val="00327179"/>
    <w:rsid w:val="00330624"/>
    <w:rsid w:val="003311CD"/>
    <w:rsid w:val="00331A2F"/>
    <w:rsid w:val="00332A74"/>
    <w:rsid w:val="00333888"/>
    <w:rsid w:val="00335D04"/>
    <w:rsid w:val="003365B6"/>
    <w:rsid w:val="00337F11"/>
    <w:rsid w:val="00341CE3"/>
    <w:rsid w:val="00342AB5"/>
    <w:rsid w:val="00343E81"/>
    <w:rsid w:val="00346E58"/>
    <w:rsid w:val="00347FBF"/>
    <w:rsid w:val="003627EA"/>
    <w:rsid w:val="00362E36"/>
    <w:rsid w:val="00363520"/>
    <w:rsid w:val="00364387"/>
    <w:rsid w:val="0036578A"/>
    <w:rsid w:val="003666D8"/>
    <w:rsid w:val="00366CE0"/>
    <w:rsid w:val="003705FC"/>
    <w:rsid w:val="00371ED1"/>
    <w:rsid w:val="0037413D"/>
    <w:rsid w:val="00382CE5"/>
    <w:rsid w:val="00383464"/>
    <w:rsid w:val="00383A23"/>
    <w:rsid w:val="00384ACF"/>
    <w:rsid w:val="00384B74"/>
    <w:rsid w:val="00386532"/>
    <w:rsid w:val="00386C2E"/>
    <w:rsid w:val="00387218"/>
    <w:rsid w:val="003942E6"/>
    <w:rsid w:val="0039556E"/>
    <w:rsid w:val="00396705"/>
    <w:rsid w:val="003A0CCA"/>
    <w:rsid w:val="003A3BDD"/>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23DD"/>
    <w:rsid w:val="00413B6D"/>
    <w:rsid w:val="0041680C"/>
    <w:rsid w:val="00417D07"/>
    <w:rsid w:val="004203BC"/>
    <w:rsid w:val="004207DC"/>
    <w:rsid w:val="00430B32"/>
    <w:rsid w:val="004319E4"/>
    <w:rsid w:val="004325CA"/>
    <w:rsid w:val="00432E90"/>
    <w:rsid w:val="00433DD0"/>
    <w:rsid w:val="00434163"/>
    <w:rsid w:val="00434ED0"/>
    <w:rsid w:val="004354F4"/>
    <w:rsid w:val="00435DDE"/>
    <w:rsid w:val="00437684"/>
    <w:rsid w:val="00441C65"/>
    <w:rsid w:val="00444B95"/>
    <w:rsid w:val="00444FA3"/>
    <w:rsid w:val="00446683"/>
    <w:rsid w:val="0044670C"/>
    <w:rsid w:val="00447742"/>
    <w:rsid w:val="00452D68"/>
    <w:rsid w:val="00453038"/>
    <w:rsid w:val="00454BB1"/>
    <w:rsid w:val="004571E1"/>
    <w:rsid w:val="004629C9"/>
    <w:rsid w:val="00466299"/>
    <w:rsid w:val="004667E3"/>
    <w:rsid w:val="0047045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376F"/>
    <w:rsid w:val="004C20C0"/>
    <w:rsid w:val="004C301B"/>
    <w:rsid w:val="004C3487"/>
    <w:rsid w:val="004C57F7"/>
    <w:rsid w:val="004C6AC7"/>
    <w:rsid w:val="004D1768"/>
    <w:rsid w:val="004D2954"/>
    <w:rsid w:val="004D2A97"/>
    <w:rsid w:val="004D46CB"/>
    <w:rsid w:val="004E029B"/>
    <w:rsid w:val="004E15E5"/>
    <w:rsid w:val="004E55E8"/>
    <w:rsid w:val="004E74CA"/>
    <w:rsid w:val="004F1080"/>
    <w:rsid w:val="004F2C82"/>
    <w:rsid w:val="004F532F"/>
    <w:rsid w:val="004F6259"/>
    <w:rsid w:val="004F7AB4"/>
    <w:rsid w:val="00501703"/>
    <w:rsid w:val="00502181"/>
    <w:rsid w:val="00504F7D"/>
    <w:rsid w:val="0050768D"/>
    <w:rsid w:val="005077C7"/>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76062"/>
    <w:rsid w:val="005859C2"/>
    <w:rsid w:val="00585CC0"/>
    <w:rsid w:val="00586F79"/>
    <w:rsid w:val="00587A1D"/>
    <w:rsid w:val="00590C90"/>
    <w:rsid w:val="0059193D"/>
    <w:rsid w:val="0059735B"/>
    <w:rsid w:val="005A1126"/>
    <w:rsid w:val="005A3D23"/>
    <w:rsid w:val="005A776D"/>
    <w:rsid w:val="005B18B3"/>
    <w:rsid w:val="005B328C"/>
    <w:rsid w:val="005B4A8A"/>
    <w:rsid w:val="005B5FF9"/>
    <w:rsid w:val="005B7B1C"/>
    <w:rsid w:val="005C04D5"/>
    <w:rsid w:val="005C161E"/>
    <w:rsid w:val="005C2D5A"/>
    <w:rsid w:val="005C407C"/>
    <w:rsid w:val="005C43CE"/>
    <w:rsid w:val="005C4645"/>
    <w:rsid w:val="005D0467"/>
    <w:rsid w:val="005D2A3B"/>
    <w:rsid w:val="005D3564"/>
    <w:rsid w:val="005D7B92"/>
    <w:rsid w:val="005E13B9"/>
    <w:rsid w:val="005E2F1D"/>
    <w:rsid w:val="005E7340"/>
    <w:rsid w:val="005F0EC0"/>
    <w:rsid w:val="005F53D7"/>
    <w:rsid w:val="005F590E"/>
    <w:rsid w:val="005F7611"/>
    <w:rsid w:val="00600842"/>
    <w:rsid w:val="00601378"/>
    <w:rsid w:val="006034C8"/>
    <w:rsid w:val="00604843"/>
    <w:rsid w:val="00605707"/>
    <w:rsid w:val="0060576F"/>
    <w:rsid w:val="0060622D"/>
    <w:rsid w:val="00606403"/>
    <w:rsid w:val="00612B8C"/>
    <w:rsid w:val="006142FF"/>
    <w:rsid w:val="0061717F"/>
    <w:rsid w:val="006173DF"/>
    <w:rsid w:val="0062025C"/>
    <w:rsid w:val="00627626"/>
    <w:rsid w:val="00631A90"/>
    <w:rsid w:val="00633411"/>
    <w:rsid w:val="0063446F"/>
    <w:rsid w:val="00641BC4"/>
    <w:rsid w:val="0064436F"/>
    <w:rsid w:val="0064744D"/>
    <w:rsid w:val="00650E83"/>
    <w:rsid w:val="00653359"/>
    <w:rsid w:val="006553BA"/>
    <w:rsid w:val="006560B3"/>
    <w:rsid w:val="00657100"/>
    <w:rsid w:val="00663BBC"/>
    <w:rsid w:val="00665786"/>
    <w:rsid w:val="00670BE9"/>
    <w:rsid w:val="00671363"/>
    <w:rsid w:val="00671C74"/>
    <w:rsid w:val="0067247F"/>
    <w:rsid w:val="00672FC1"/>
    <w:rsid w:val="00676E6B"/>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91"/>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3C1E"/>
    <w:rsid w:val="006F58C8"/>
    <w:rsid w:val="006F71B1"/>
    <w:rsid w:val="00700F50"/>
    <w:rsid w:val="00701851"/>
    <w:rsid w:val="00702A82"/>
    <w:rsid w:val="007032BD"/>
    <w:rsid w:val="0070334E"/>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298"/>
    <w:rsid w:val="007313A3"/>
    <w:rsid w:val="00731CCB"/>
    <w:rsid w:val="007362A5"/>
    <w:rsid w:val="00736694"/>
    <w:rsid w:val="00740368"/>
    <w:rsid w:val="00740ABA"/>
    <w:rsid w:val="007428B8"/>
    <w:rsid w:val="00743245"/>
    <w:rsid w:val="00743FF4"/>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3673"/>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40CD"/>
    <w:rsid w:val="008165D1"/>
    <w:rsid w:val="00824C9E"/>
    <w:rsid w:val="008262CC"/>
    <w:rsid w:val="0082774A"/>
    <w:rsid w:val="00827E27"/>
    <w:rsid w:val="00827F39"/>
    <w:rsid w:val="008301CE"/>
    <w:rsid w:val="00830417"/>
    <w:rsid w:val="00832A5D"/>
    <w:rsid w:val="00837D13"/>
    <w:rsid w:val="008418C7"/>
    <w:rsid w:val="008422FD"/>
    <w:rsid w:val="00842498"/>
    <w:rsid w:val="008448EE"/>
    <w:rsid w:val="00851085"/>
    <w:rsid w:val="00853183"/>
    <w:rsid w:val="00853937"/>
    <w:rsid w:val="0085676E"/>
    <w:rsid w:val="008626B5"/>
    <w:rsid w:val="008628EF"/>
    <w:rsid w:val="008634E7"/>
    <w:rsid w:val="008657B5"/>
    <w:rsid w:val="00867693"/>
    <w:rsid w:val="0087214B"/>
    <w:rsid w:val="00874C9D"/>
    <w:rsid w:val="008763AC"/>
    <w:rsid w:val="00883D95"/>
    <w:rsid w:val="00886D61"/>
    <w:rsid w:val="0088746E"/>
    <w:rsid w:val="00890227"/>
    <w:rsid w:val="008903CD"/>
    <w:rsid w:val="008909EE"/>
    <w:rsid w:val="00893768"/>
    <w:rsid w:val="00894388"/>
    <w:rsid w:val="008946E7"/>
    <w:rsid w:val="0089685C"/>
    <w:rsid w:val="00897DDD"/>
    <w:rsid w:val="008A069A"/>
    <w:rsid w:val="008A0B7D"/>
    <w:rsid w:val="008A1535"/>
    <w:rsid w:val="008A3519"/>
    <w:rsid w:val="008A603B"/>
    <w:rsid w:val="008A7C8A"/>
    <w:rsid w:val="008B34B7"/>
    <w:rsid w:val="008B355F"/>
    <w:rsid w:val="008C0560"/>
    <w:rsid w:val="008C4C7A"/>
    <w:rsid w:val="008C5CCD"/>
    <w:rsid w:val="008C73C6"/>
    <w:rsid w:val="008C7D65"/>
    <w:rsid w:val="008D4CE5"/>
    <w:rsid w:val="008D6B3D"/>
    <w:rsid w:val="008E2C3A"/>
    <w:rsid w:val="008E5C68"/>
    <w:rsid w:val="008E71B8"/>
    <w:rsid w:val="008F0C94"/>
    <w:rsid w:val="008F151E"/>
    <w:rsid w:val="008F3A2B"/>
    <w:rsid w:val="008F6EB4"/>
    <w:rsid w:val="00900BAB"/>
    <w:rsid w:val="00901149"/>
    <w:rsid w:val="00901D24"/>
    <w:rsid w:val="00903224"/>
    <w:rsid w:val="00904EA8"/>
    <w:rsid w:val="009059C1"/>
    <w:rsid w:val="0091117B"/>
    <w:rsid w:val="00917C6D"/>
    <w:rsid w:val="00920F1B"/>
    <w:rsid w:val="009229C0"/>
    <w:rsid w:val="00924664"/>
    <w:rsid w:val="009249B0"/>
    <w:rsid w:val="0092675E"/>
    <w:rsid w:val="0093189D"/>
    <w:rsid w:val="00932350"/>
    <w:rsid w:val="00932AEE"/>
    <w:rsid w:val="009347A8"/>
    <w:rsid w:val="00935E33"/>
    <w:rsid w:val="009363A6"/>
    <w:rsid w:val="00937C6E"/>
    <w:rsid w:val="00940D4F"/>
    <w:rsid w:val="00943AED"/>
    <w:rsid w:val="00945D79"/>
    <w:rsid w:val="0094755F"/>
    <w:rsid w:val="009533BA"/>
    <w:rsid w:val="00955E39"/>
    <w:rsid w:val="00960922"/>
    <w:rsid w:val="00964BB4"/>
    <w:rsid w:val="00964C6B"/>
    <w:rsid w:val="00966015"/>
    <w:rsid w:val="00966F4D"/>
    <w:rsid w:val="00967C05"/>
    <w:rsid w:val="00970D21"/>
    <w:rsid w:val="00970FB0"/>
    <w:rsid w:val="00972CF1"/>
    <w:rsid w:val="009757CE"/>
    <w:rsid w:val="00980EB5"/>
    <w:rsid w:val="0098161C"/>
    <w:rsid w:val="0098254B"/>
    <w:rsid w:val="009828B4"/>
    <w:rsid w:val="00983709"/>
    <w:rsid w:val="00984558"/>
    <w:rsid w:val="00990C3A"/>
    <w:rsid w:val="009918FA"/>
    <w:rsid w:val="00992087"/>
    <w:rsid w:val="009923C9"/>
    <w:rsid w:val="009933A3"/>
    <w:rsid w:val="00993D2E"/>
    <w:rsid w:val="009A143F"/>
    <w:rsid w:val="009A2104"/>
    <w:rsid w:val="009A30B4"/>
    <w:rsid w:val="009A32D9"/>
    <w:rsid w:val="009A6DAA"/>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E0551"/>
    <w:rsid w:val="009E0AF8"/>
    <w:rsid w:val="009E0F94"/>
    <w:rsid w:val="009E48AA"/>
    <w:rsid w:val="009E5763"/>
    <w:rsid w:val="009E69FF"/>
    <w:rsid w:val="00A0083C"/>
    <w:rsid w:val="00A02190"/>
    <w:rsid w:val="00A040E1"/>
    <w:rsid w:val="00A07F42"/>
    <w:rsid w:val="00A10EBF"/>
    <w:rsid w:val="00A11FF5"/>
    <w:rsid w:val="00A12EFA"/>
    <w:rsid w:val="00A148D8"/>
    <w:rsid w:val="00A14CA6"/>
    <w:rsid w:val="00A16315"/>
    <w:rsid w:val="00A175F2"/>
    <w:rsid w:val="00A22D46"/>
    <w:rsid w:val="00A3048B"/>
    <w:rsid w:val="00A307EC"/>
    <w:rsid w:val="00A30B3C"/>
    <w:rsid w:val="00A30F75"/>
    <w:rsid w:val="00A338CA"/>
    <w:rsid w:val="00A406EA"/>
    <w:rsid w:val="00A41DA3"/>
    <w:rsid w:val="00A42B59"/>
    <w:rsid w:val="00A44021"/>
    <w:rsid w:val="00A44D83"/>
    <w:rsid w:val="00A44E9D"/>
    <w:rsid w:val="00A46CA9"/>
    <w:rsid w:val="00A47F19"/>
    <w:rsid w:val="00A55A35"/>
    <w:rsid w:val="00A60996"/>
    <w:rsid w:val="00A63624"/>
    <w:rsid w:val="00A63824"/>
    <w:rsid w:val="00A64FE4"/>
    <w:rsid w:val="00A738D2"/>
    <w:rsid w:val="00A77C5F"/>
    <w:rsid w:val="00A80653"/>
    <w:rsid w:val="00A80D3C"/>
    <w:rsid w:val="00A83645"/>
    <w:rsid w:val="00A84813"/>
    <w:rsid w:val="00A855D2"/>
    <w:rsid w:val="00A87356"/>
    <w:rsid w:val="00A90833"/>
    <w:rsid w:val="00A908B6"/>
    <w:rsid w:val="00A910A6"/>
    <w:rsid w:val="00A95AC7"/>
    <w:rsid w:val="00A96C70"/>
    <w:rsid w:val="00A970C5"/>
    <w:rsid w:val="00AA018F"/>
    <w:rsid w:val="00AB0863"/>
    <w:rsid w:val="00AB0EDC"/>
    <w:rsid w:val="00AB0F76"/>
    <w:rsid w:val="00AB361A"/>
    <w:rsid w:val="00AB3E61"/>
    <w:rsid w:val="00AB47B6"/>
    <w:rsid w:val="00AB6497"/>
    <w:rsid w:val="00AC1C8D"/>
    <w:rsid w:val="00AD1BF8"/>
    <w:rsid w:val="00AD1E5E"/>
    <w:rsid w:val="00AD1E77"/>
    <w:rsid w:val="00AD489B"/>
    <w:rsid w:val="00AD6644"/>
    <w:rsid w:val="00AE502C"/>
    <w:rsid w:val="00AE5591"/>
    <w:rsid w:val="00AE58A9"/>
    <w:rsid w:val="00AE5D9B"/>
    <w:rsid w:val="00AE6BBC"/>
    <w:rsid w:val="00AE7553"/>
    <w:rsid w:val="00AE7C23"/>
    <w:rsid w:val="00AF0408"/>
    <w:rsid w:val="00AF4B30"/>
    <w:rsid w:val="00AF61B3"/>
    <w:rsid w:val="00AF641B"/>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27CA6"/>
    <w:rsid w:val="00B3179B"/>
    <w:rsid w:val="00B3659C"/>
    <w:rsid w:val="00B40246"/>
    <w:rsid w:val="00B40E8F"/>
    <w:rsid w:val="00B410B7"/>
    <w:rsid w:val="00B434AB"/>
    <w:rsid w:val="00B43AE4"/>
    <w:rsid w:val="00B43F85"/>
    <w:rsid w:val="00B4571C"/>
    <w:rsid w:val="00B46F06"/>
    <w:rsid w:val="00B53EAA"/>
    <w:rsid w:val="00B601C4"/>
    <w:rsid w:val="00B617B2"/>
    <w:rsid w:val="00B64F67"/>
    <w:rsid w:val="00B65CF0"/>
    <w:rsid w:val="00B65D8C"/>
    <w:rsid w:val="00B6696F"/>
    <w:rsid w:val="00B71EF8"/>
    <w:rsid w:val="00B723BE"/>
    <w:rsid w:val="00B73D87"/>
    <w:rsid w:val="00B7410C"/>
    <w:rsid w:val="00B74290"/>
    <w:rsid w:val="00B75379"/>
    <w:rsid w:val="00B753D9"/>
    <w:rsid w:val="00B8031B"/>
    <w:rsid w:val="00B80383"/>
    <w:rsid w:val="00B810E2"/>
    <w:rsid w:val="00B817F4"/>
    <w:rsid w:val="00B82705"/>
    <w:rsid w:val="00B85450"/>
    <w:rsid w:val="00B86B44"/>
    <w:rsid w:val="00B87FEC"/>
    <w:rsid w:val="00B91194"/>
    <w:rsid w:val="00B93CAB"/>
    <w:rsid w:val="00B97471"/>
    <w:rsid w:val="00B97F42"/>
    <w:rsid w:val="00BA137B"/>
    <w:rsid w:val="00BA1476"/>
    <w:rsid w:val="00BA2A1A"/>
    <w:rsid w:val="00BA4046"/>
    <w:rsid w:val="00BA585F"/>
    <w:rsid w:val="00BA6A96"/>
    <w:rsid w:val="00BB03E6"/>
    <w:rsid w:val="00BB1368"/>
    <w:rsid w:val="00BB15CF"/>
    <w:rsid w:val="00BB2D11"/>
    <w:rsid w:val="00BB4EF5"/>
    <w:rsid w:val="00BB56E7"/>
    <w:rsid w:val="00BB6B8B"/>
    <w:rsid w:val="00BC1530"/>
    <w:rsid w:val="00BC1FA2"/>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38C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4F3C"/>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6FC1"/>
    <w:rsid w:val="00C97DB0"/>
    <w:rsid w:val="00CA0810"/>
    <w:rsid w:val="00CA2D14"/>
    <w:rsid w:val="00CA3510"/>
    <w:rsid w:val="00CA422A"/>
    <w:rsid w:val="00CA5D4C"/>
    <w:rsid w:val="00CA60A5"/>
    <w:rsid w:val="00CB0B8A"/>
    <w:rsid w:val="00CB211C"/>
    <w:rsid w:val="00CB4511"/>
    <w:rsid w:val="00CB64DD"/>
    <w:rsid w:val="00CC0894"/>
    <w:rsid w:val="00CC0DDE"/>
    <w:rsid w:val="00CC0E7B"/>
    <w:rsid w:val="00CC5BD2"/>
    <w:rsid w:val="00CD02A8"/>
    <w:rsid w:val="00CD1627"/>
    <w:rsid w:val="00CD391A"/>
    <w:rsid w:val="00CD789A"/>
    <w:rsid w:val="00CD7FB1"/>
    <w:rsid w:val="00CE0500"/>
    <w:rsid w:val="00CE1911"/>
    <w:rsid w:val="00CE1C84"/>
    <w:rsid w:val="00CE3317"/>
    <w:rsid w:val="00CE676A"/>
    <w:rsid w:val="00CE6800"/>
    <w:rsid w:val="00CE739E"/>
    <w:rsid w:val="00CF0123"/>
    <w:rsid w:val="00CF182F"/>
    <w:rsid w:val="00CF1A9B"/>
    <w:rsid w:val="00CF2DD0"/>
    <w:rsid w:val="00CF358E"/>
    <w:rsid w:val="00CF3741"/>
    <w:rsid w:val="00CF7842"/>
    <w:rsid w:val="00D0124A"/>
    <w:rsid w:val="00D01DBB"/>
    <w:rsid w:val="00D03D1F"/>
    <w:rsid w:val="00D0404D"/>
    <w:rsid w:val="00D04236"/>
    <w:rsid w:val="00D0471B"/>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0DE"/>
    <w:rsid w:val="00D62324"/>
    <w:rsid w:val="00D66A6D"/>
    <w:rsid w:val="00D7084C"/>
    <w:rsid w:val="00D70D38"/>
    <w:rsid w:val="00D7184F"/>
    <w:rsid w:val="00D71FC4"/>
    <w:rsid w:val="00D72DD8"/>
    <w:rsid w:val="00D73568"/>
    <w:rsid w:val="00D73A33"/>
    <w:rsid w:val="00D742D3"/>
    <w:rsid w:val="00D7489A"/>
    <w:rsid w:val="00D75664"/>
    <w:rsid w:val="00D80642"/>
    <w:rsid w:val="00D81928"/>
    <w:rsid w:val="00D81B79"/>
    <w:rsid w:val="00D81DB8"/>
    <w:rsid w:val="00D82C7B"/>
    <w:rsid w:val="00D84A73"/>
    <w:rsid w:val="00D85512"/>
    <w:rsid w:val="00D8667C"/>
    <w:rsid w:val="00D86AB9"/>
    <w:rsid w:val="00D875D0"/>
    <w:rsid w:val="00D90C07"/>
    <w:rsid w:val="00D926A5"/>
    <w:rsid w:val="00D928A5"/>
    <w:rsid w:val="00D92BA9"/>
    <w:rsid w:val="00D94794"/>
    <w:rsid w:val="00D94A3B"/>
    <w:rsid w:val="00D95FAB"/>
    <w:rsid w:val="00D96824"/>
    <w:rsid w:val="00DA0FB1"/>
    <w:rsid w:val="00DA211B"/>
    <w:rsid w:val="00DA62A1"/>
    <w:rsid w:val="00DA7A99"/>
    <w:rsid w:val="00DB20E9"/>
    <w:rsid w:val="00DB4A36"/>
    <w:rsid w:val="00DB4A4C"/>
    <w:rsid w:val="00DB4AD1"/>
    <w:rsid w:val="00DB6B17"/>
    <w:rsid w:val="00DC056F"/>
    <w:rsid w:val="00DC3431"/>
    <w:rsid w:val="00DC65BD"/>
    <w:rsid w:val="00DD3C49"/>
    <w:rsid w:val="00DD4BD9"/>
    <w:rsid w:val="00DE2AFC"/>
    <w:rsid w:val="00DE3AAE"/>
    <w:rsid w:val="00DE42CF"/>
    <w:rsid w:val="00DE4AD3"/>
    <w:rsid w:val="00DE633B"/>
    <w:rsid w:val="00DF0E99"/>
    <w:rsid w:val="00DF2079"/>
    <w:rsid w:val="00DF5DA5"/>
    <w:rsid w:val="00DF6B12"/>
    <w:rsid w:val="00E01464"/>
    <w:rsid w:val="00E024EC"/>
    <w:rsid w:val="00E02DCF"/>
    <w:rsid w:val="00E038E9"/>
    <w:rsid w:val="00E07BA3"/>
    <w:rsid w:val="00E1004B"/>
    <w:rsid w:val="00E11B88"/>
    <w:rsid w:val="00E12B59"/>
    <w:rsid w:val="00E15CC7"/>
    <w:rsid w:val="00E17B80"/>
    <w:rsid w:val="00E223A0"/>
    <w:rsid w:val="00E245B7"/>
    <w:rsid w:val="00E24E02"/>
    <w:rsid w:val="00E27ECF"/>
    <w:rsid w:val="00E27F54"/>
    <w:rsid w:val="00E30228"/>
    <w:rsid w:val="00E32FD1"/>
    <w:rsid w:val="00E34E23"/>
    <w:rsid w:val="00E3618F"/>
    <w:rsid w:val="00E41F38"/>
    <w:rsid w:val="00E420D3"/>
    <w:rsid w:val="00E43F6B"/>
    <w:rsid w:val="00E45F94"/>
    <w:rsid w:val="00E45FE4"/>
    <w:rsid w:val="00E506D2"/>
    <w:rsid w:val="00E51AF7"/>
    <w:rsid w:val="00E5637B"/>
    <w:rsid w:val="00E5690D"/>
    <w:rsid w:val="00E56BDF"/>
    <w:rsid w:val="00E578D0"/>
    <w:rsid w:val="00E60842"/>
    <w:rsid w:val="00E630E9"/>
    <w:rsid w:val="00E63429"/>
    <w:rsid w:val="00E63B56"/>
    <w:rsid w:val="00E64805"/>
    <w:rsid w:val="00E65B25"/>
    <w:rsid w:val="00E66CC9"/>
    <w:rsid w:val="00E67355"/>
    <w:rsid w:val="00E7052E"/>
    <w:rsid w:val="00E73478"/>
    <w:rsid w:val="00E75249"/>
    <w:rsid w:val="00E75A30"/>
    <w:rsid w:val="00E75F4F"/>
    <w:rsid w:val="00E760D6"/>
    <w:rsid w:val="00E7710A"/>
    <w:rsid w:val="00E82D3C"/>
    <w:rsid w:val="00E8380C"/>
    <w:rsid w:val="00E8570A"/>
    <w:rsid w:val="00E87462"/>
    <w:rsid w:val="00E912C7"/>
    <w:rsid w:val="00E91680"/>
    <w:rsid w:val="00E94D26"/>
    <w:rsid w:val="00E9592E"/>
    <w:rsid w:val="00EA050D"/>
    <w:rsid w:val="00EA0CEF"/>
    <w:rsid w:val="00EA7D4F"/>
    <w:rsid w:val="00EB16F7"/>
    <w:rsid w:val="00EB1B7C"/>
    <w:rsid w:val="00EB4CE5"/>
    <w:rsid w:val="00EB630C"/>
    <w:rsid w:val="00EB6E7E"/>
    <w:rsid w:val="00EB7510"/>
    <w:rsid w:val="00EC0250"/>
    <w:rsid w:val="00EC1129"/>
    <w:rsid w:val="00EC504C"/>
    <w:rsid w:val="00EC5A6F"/>
    <w:rsid w:val="00EC6B6F"/>
    <w:rsid w:val="00EC700C"/>
    <w:rsid w:val="00EC7D2A"/>
    <w:rsid w:val="00ED1F9D"/>
    <w:rsid w:val="00ED38D6"/>
    <w:rsid w:val="00ED42A8"/>
    <w:rsid w:val="00ED5B28"/>
    <w:rsid w:val="00EE3906"/>
    <w:rsid w:val="00EE4F2A"/>
    <w:rsid w:val="00EE563D"/>
    <w:rsid w:val="00EE7A32"/>
    <w:rsid w:val="00EF1183"/>
    <w:rsid w:val="00EF1FC0"/>
    <w:rsid w:val="00EF2391"/>
    <w:rsid w:val="00EF4790"/>
    <w:rsid w:val="00EF5763"/>
    <w:rsid w:val="00EF57C4"/>
    <w:rsid w:val="00EF6153"/>
    <w:rsid w:val="00F03FD8"/>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1522"/>
    <w:rsid w:val="00F52F73"/>
    <w:rsid w:val="00F54ACB"/>
    <w:rsid w:val="00F5637D"/>
    <w:rsid w:val="00F60DC8"/>
    <w:rsid w:val="00F61CBA"/>
    <w:rsid w:val="00F621DC"/>
    <w:rsid w:val="00F70169"/>
    <w:rsid w:val="00F75E4C"/>
    <w:rsid w:val="00F76DC0"/>
    <w:rsid w:val="00F778D4"/>
    <w:rsid w:val="00F802EF"/>
    <w:rsid w:val="00F814C5"/>
    <w:rsid w:val="00F839B3"/>
    <w:rsid w:val="00F905C9"/>
    <w:rsid w:val="00F92721"/>
    <w:rsid w:val="00F932A4"/>
    <w:rsid w:val="00F97606"/>
    <w:rsid w:val="00F9769F"/>
    <w:rsid w:val="00FA10A0"/>
    <w:rsid w:val="00FA6A74"/>
    <w:rsid w:val="00FA6E93"/>
    <w:rsid w:val="00FA7613"/>
    <w:rsid w:val="00FB1DF9"/>
    <w:rsid w:val="00FB3E56"/>
    <w:rsid w:val="00FB6E97"/>
    <w:rsid w:val="00FC19BD"/>
    <w:rsid w:val="00FC1F9D"/>
    <w:rsid w:val="00FC1FCE"/>
    <w:rsid w:val="00FC2674"/>
    <w:rsid w:val="00FC73BB"/>
    <w:rsid w:val="00FD059B"/>
    <w:rsid w:val="00FD2FD5"/>
    <w:rsid w:val="00FD4D0C"/>
    <w:rsid w:val="00FD5AD8"/>
    <w:rsid w:val="00FD6F32"/>
    <w:rsid w:val="00FD7BA7"/>
    <w:rsid w:val="00FE3007"/>
    <w:rsid w:val="00FE4BD6"/>
    <w:rsid w:val="00FE6531"/>
    <w:rsid w:val="00FF277C"/>
    <w:rsid w:val="00FF32F8"/>
    <w:rsid w:val="00FF43DB"/>
    <w:rsid w:val="00FF6FD0"/>
    <w:rsid w:val="00FF79CE"/>
    <w:rsid w:val="138073A4"/>
    <w:rsid w:val="1D7972BA"/>
    <w:rsid w:val="2F4E4F5E"/>
    <w:rsid w:val="2F6FA92F"/>
    <w:rsid w:val="42402EDB"/>
    <w:rsid w:val="42F75C56"/>
    <w:rsid w:val="46507F28"/>
    <w:rsid w:val="49AD6EDF"/>
    <w:rsid w:val="4C92A967"/>
    <w:rsid w:val="50C6C79F"/>
    <w:rsid w:val="59568957"/>
    <w:rsid w:val="5D696545"/>
    <w:rsid w:val="5F302026"/>
    <w:rsid w:val="605A7157"/>
    <w:rsid w:val="60DDFD5E"/>
    <w:rsid w:val="705334CF"/>
    <w:rsid w:val="743C4A94"/>
    <w:rsid w:val="74CE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31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5871">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365787963">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759830749">
      <w:bodyDiv w:val="1"/>
      <w:marLeft w:val="0"/>
      <w:marRight w:val="0"/>
      <w:marTop w:val="0"/>
      <w:marBottom w:val="0"/>
      <w:divBdr>
        <w:top w:val="none" w:sz="0" w:space="0" w:color="auto"/>
        <w:left w:val="none" w:sz="0" w:space="0" w:color="auto"/>
        <w:bottom w:val="none" w:sz="0" w:space="0" w:color="auto"/>
        <w:right w:val="none" w:sz="0" w:space="0" w:color="auto"/>
      </w:divBdr>
      <w:divsChild>
        <w:div w:id="253364722">
          <w:marLeft w:val="0"/>
          <w:marRight w:val="0"/>
          <w:marTop w:val="0"/>
          <w:marBottom w:val="0"/>
          <w:divBdr>
            <w:top w:val="none" w:sz="0" w:space="0" w:color="auto"/>
            <w:left w:val="none" w:sz="0" w:space="0" w:color="auto"/>
            <w:bottom w:val="none" w:sz="0" w:space="0" w:color="auto"/>
            <w:right w:val="none" w:sz="0" w:space="0" w:color="auto"/>
          </w:divBdr>
        </w:div>
        <w:div w:id="388963374">
          <w:marLeft w:val="0"/>
          <w:marRight w:val="0"/>
          <w:marTop w:val="0"/>
          <w:marBottom w:val="0"/>
          <w:divBdr>
            <w:top w:val="none" w:sz="0" w:space="0" w:color="auto"/>
            <w:left w:val="none" w:sz="0" w:space="0" w:color="auto"/>
            <w:bottom w:val="none" w:sz="0" w:space="0" w:color="auto"/>
            <w:right w:val="none" w:sz="0" w:space="0" w:color="auto"/>
          </w:divBdr>
        </w:div>
      </w:divsChild>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59678358">
      <w:bodyDiv w:val="1"/>
      <w:marLeft w:val="0"/>
      <w:marRight w:val="0"/>
      <w:marTop w:val="0"/>
      <w:marBottom w:val="0"/>
      <w:divBdr>
        <w:top w:val="none" w:sz="0" w:space="0" w:color="auto"/>
        <w:left w:val="none" w:sz="0" w:space="0" w:color="auto"/>
        <w:bottom w:val="none" w:sz="0" w:space="0" w:color="auto"/>
        <w:right w:val="none" w:sz="0" w:space="0" w:color="auto"/>
      </w:divBdr>
      <w:divsChild>
        <w:div w:id="671033932">
          <w:marLeft w:val="0"/>
          <w:marRight w:val="0"/>
          <w:marTop w:val="0"/>
          <w:marBottom w:val="0"/>
          <w:divBdr>
            <w:top w:val="none" w:sz="0" w:space="0" w:color="auto"/>
            <w:left w:val="none" w:sz="0" w:space="0" w:color="auto"/>
            <w:bottom w:val="none" w:sz="0" w:space="0" w:color="auto"/>
            <w:right w:val="none" w:sz="0" w:space="0" w:color="auto"/>
          </w:divBdr>
        </w:div>
        <w:div w:id="711804538">
          <w:marLeft w:val="0"/>
          <w:marRight w:val="0"/>
          <w:marTop w:val="0"/>
          <w:marBottom w:val="0"/>
          <w:divBdr>
            <w:top w:val="none" w:sz="0" w:space="0" w:color="auto"/>
            <w:left w:val="none" w:sz="0" w:space="0" w:color="auto"/>
            <w:bottom w:val="none" w:sz="0" w:space="0" w:color="auto"/>
            <w:right w:val="none" w:sz="0" w:space="0" w:color="auto"/>
          </w:divBdr>
        </w:div>
      </w:divsChild>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730226503">
      <w:bodyDiv w:val="1"/>
      <w:marLeft w:val="0"/>
      <w:marRight w:val="0"/>
      <w:marTop w:val="0"/>
      <w:marBottom w:val="0"/>
      <w:divBdr>
        <w:top w:val="none" w:sz="0" w:space="0" w:color="auto"/>
        <w:left w:val="none" w:sz="0" w:space="0" w:color="auto"/>
        <w:bottom w:val="none" w:sz="0" w:space="0" w:color="auto"/>
        <w:right w:val="none" w:sz="0" w:space="0" w:color="auto"/>
      </w:divBdr>
    </w:div>
    <w:div w:id="1852642922">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962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de.ca.gov/fg/fo/r17/cteig24rf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passplus.org/Launchboard/SWP-M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passplus.org/Launchboard/SWP-MD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26AB-97FB-406C-9AAE-7E3C8F7A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CWPJAC July 2025 Agenda Item 02 - General Information (CA Dept of Education)</vt:lpstr>
    </vt:vector>
  </TitlesOfParts>
  <Company/>
  <LinksUpToDate>false</LinksUpToDate>
  <CharactersWithSpaces>8218</CharactersWithSpaces>
  <SharedDoc>false</SharedDoc>
  <HLinks>
    <vt:vector size="12" baseType="variant">
      <vt:variant>
        <vt:i4>8323110</vt:i4>
      </vt:variant>
      <vt:variant>
        <vt:i4>3</vt:i4>
      </vt:variant>
      <vt:variant>
        <vt:i4>0</vt:i4>
      </vt:variant>
      <vt:variant>
        <vt:i4>5</vt:i4>
      </vt:variant>
      <vt:variant>
        <vt:lpwstr>https://www.cde.ca.gov/fg/fo/r17/cteig24rfa.asp</vt:lpwstr>
      </vt:variant>
      <vt:variant>
        <vt:lpwstr/>
      </vt:variant>
      <vt:variant>
        <vt:i4>2621440</vt:i4>
      </vt:variant>
      <vt:variant>
        <vt:i4>0</vt:i4>
      </vt:variant>
      <vt:variant>
        <vt:i4>0</vt:i4>
      </vt:variant>
      <vt:variant>
        <vt:i4>5</vt:i4>
      </vt:variant>
      <vt:variant>
        <vt:lpwstr>https://www.calpassplus.org/Launchboard/SWP-MDD</vt:lpwstr>
      </vt:variant>
      <vt:variant>
        <vt:lpwstr>_Toc138178720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2025 Agenda Item 02 - General Information (CA Dept of Education)</dc:title>
  <dc:subject>California Workforce Pathways Joint Advisory Committee (CWPJAC) update on Strengthening Career and Technical Education for the 21st Century Act; Career Technical Education Incentive Grant, and Kindergarten to Grade Twelve Strong Workforce Program.</dc:subject>
  <dc:creator/>
  <cp:keywords/>
  <dc:description/>
  <cp:lastModifiedBy/>
  <cp:revision>1</cp:revision>
  <dcterms:created xsi:type="dcterms:W3CDTF">2025-07-08T23:39:00Z</dcterms:created>
  <dcterms:modified xsi:type="dcterms:W3CDTF">2025-07-09T18:49:00Z</dcterms:modified>
</cp:coreProperties>
</file>