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E3316" w:rsidRDefault="002D1C8D">
      <w:r>
        <w:rPr>
          <w:noProof/>
        </w:rPr>
        <w:drawing>
          <wp:inline distT="0" distB="0" distL="0" distR="0" wp14:anchorId="6E637C03" wp14:editId="3F107A09">
            <wp:extent cx="1266825" cy="1266825"/>
            <wp:effectExtent l="0" t="0" r="0" b="0"/>
            <wp:docPr id="1582032229" name="image3.jpg" descr="Seal for the State Board of California "/>
            <wp:cNvGraphicFramePr/>
            <a:graphic xmlns:a="http://schemas.openxmlformats.org/drawingml/2006/main">
              <a:graphicData uri="http://schemas.openxmlformats.org/drawingml/2006/picture">
                <pic:pic xmlns:pic="http://schemas.openxmlformats.org/drawingml/2006/picture">
                  <pic:nvPicPr>
                    <pic:cNvPr id="1582032229" name="image3.jpg" descr="Seal for the State Board of California "/>
                    <pic:cNvPicPr preferRelativeResize="0"/>
                  </pic:nvPicPr>
                  <pic:blipFill>
                    <a:blip r:embed="rId7"/>
                    <a:srcRect/>
                    <a:stretch>
                      <a:fillRect/>
                    </a:stretch>
                  </pic:blipFill>
                  <pic:spPr>
                    <a:xfrm>
                      <a:off x="0" y="0"/>
                      <a:ext cx="1266825" cy="1266825"/>
                    </a:xfrm>
                    <a:prstGeom prst="rect">
                      <a:avLst/>
                    </a:prstGeom>
                    <a:ln/>
                  </pic:spPr>
                </pic:pic>
              </a:graphicData>
            </a:graphic>
          </wp:inline>
        </w:drawing>
      </w:r>
      <w:r>
        <w:tab/>
      </w:r>
      <w:r>
        <w:tab/>
      </w:r>
      <w:r>
        <w:tab/>
      </w:r>
      <w:r>
        <w:rPr>
          <w:noProof/>
        </w:rPr>
        <w:drawing>
          <wp:inline distT="0" distB="0" distL="0" distR="0" wp14:anchorId="0FB27DA3" wp14:editId="4D8A838C">
            <wp:extent cx="1169670" cy="1169670"/>
            <wp:effectExtent l="0" t="0" r="0" b="0"/>
            <wp:docPr id="1582032231" name="image2.png" descr="Seal for the California Department of Education."/>
            <wp:cNvGraphicFramePr/>
            <a:graphic xmlns:a="http://schemas.openxmlformats.org/drawingml/2006/main">
              <a:graphicData uri="http://schemas.openxmlformats.org/drawingml/2006/picture">
                <pic:pic xmlns:pic="http://schemas.openxmlformats.org/drawingml/2006/picture">
                  <pic:nvPicPr>
                    <pic:cNvPr id="0" name="image2.png" descr="Seal for the California Department of Education."/>
                    <pic:cNvPicPr preferRelativeResize="0"/>
                  </pic:nvPicPr>
                  <pic:blipFill>
                    <a:blip r:embed="rId8"/>
                    <a:srcRect/>
                    <a:stretch>
                      <a:fillRect/>
                    </a:stretch>
                  </pic:blipFill>
                  <pic:spPr>
                    <a:xfrm rot="10800000">
                      <a:off x="0" y="0"/>
                      <a:ext cx="1169670" cy="1169670"/>
                    </a:xfrm>
                    <a:prstGeom prst="rect">
                      <a:avLst/>
                    </a:prstGeom>
                    <a:ln/>
                  </pic:spPr>
                </pic:pic>
              </a:graphicData>
            </a:graphic>
          </wp:inline>
        </w:drawing>
      </w:r>
      <w:r>
        <w:tab/>
      </w:r>
      <w:r>
        <w:tab/>
      </w:r>
      <w:r>
        <w:tab/>
      </w:r>
      <w:r>
        <w:rPr>
          <w:noProof/>
        </w:rPr>
        <w:drawing>
          <wp:inline distT="0" distB="0" distL="0" distR="0" wp14:anchorId="55E56794" wp14:editId="5CC36AD0">
            <wp:extent cx="1169670" cy="1169670"/>
            <wp:effectExtent l="0" t="0" r="0" b="0"/>
            <wp:docPr id="1582032230" name="image1.png" descr="Seal for the California Community Colleges Chancellor's Office."/>
            <wp:cNvGraphicFramePr/>
            <a:graphic xmlns:a="http://schemas.openxmlformats.org/drawingml/2006/main">
              <a:graphicData uri="http://schemas.openxmlformats.org/drawingml/2006/picture">
                <pic:pic xmlns:pic="http://schemas.openxmlformats.org/drawingml/2006/picture">
                  <pic:nvPicPr>
                    <pic:cNvPr id="0" name="image1.png" descr="Seal for the California Community Colleges Chancellor's Office."/>
                    <pic:cNvPicPr preferRelativeResize="0"/>
                  </pic:nvPicPr>
                  <pic:blipFill>
                    <a:blip r:embed="rId9"/>
                    <a:srcRect/>
                    <a:stretch>
                      <a:fillRect/>
                    </a:stretch>
                  </pic:blipFill>
                  <pic:spPr>
                    <a:xfrm>
                      <a:off x="0" y="0"/>
                      <a:ext cx="1169670" cy="1169670"/>
                    </a:xfrm>
                    <a:prstGeom prst="rect">
                      <a:avLst/>
                    </a:prstGeom>
                    <a:ln/>
                  </pic:spPr>
                </pic:pic>
              </a:graphicData>
            </a:graphic>
          </wp:inline>
        </w:drawing>
      </w:r>
    </w:p>
    <w:p w14:paraId="00000002" w14:textId="77777777" w:rsidR="007E3316" w:rsidRDefault="007E3316">
      <w:pPr>
        <w:sectPr w:rsidR="007E3316">
          <w:headerReference w:type="default" r:id="rId10"/>
          <w:headerReference w:type="first" r:id="rId11"/>
          <w:pgSz w:w="12240" w:h="15840"/>
          <w:pgMar w:top="720" w:right="1440" w:bottom="1440" w:left="1440" w:header="720" w:footer="720" w:gutter="0"/>
          <w:pgNumType w:start="1"/>
          <w:cols w:space="720"/>
        </w:sectPr>
      </w:pPr>
    </w:p>
    <w:p w14:paraId="00000003" w14:textId="677C3317" w:rsidR="007E3316" w:rsidRPr="005C508E" w:rsidRDefault="002D1C8D">
      <w:pPr>
        <w:pStyle w:val="Heading1"/>
        <w:spacing w:after="240"/>
        <w:jc w:val="center"/>
        <w:rPr>
          <w:sz w:val="40"/>
          <w:szCs w:val="40"/>
        </w:rPr>
      </w:pPr>
      <w:r>
        <w:rPr>
          <w:sz w:val="40"/>
          <w:szCs w:val="40"/>
        </w:rPr>
        <w:t>California Workforce Pathways</w:t>
      </w:r>
      <w:r>
        <w:rPr>
          <w:sz w:val="40"/>
          <w:szCs w:val="40"/>
        </w:rPr>
        <w:br/>
        <w:t>Joint Advisory Committee</w:t>
      </w:r>
      <w:r>
        <w:rPr>
          <w:sz w:val="40"/>
          <w:szCs w:val="40"/>
        </w:rPr>
        <w:br/>
        <w:t>March 13, 2026</w:t>
      </w:r>
      <w:r>
        <w:rPr>
          <w:sz w:val="40"/>
          <w:szCs w:val="40"/>
        </w:rPr>
        <w:br/>
        <w:t xml:space="preserve">Agenda Item </w:t>
      </w:r>
      <w:r w:rsidR="005C508E" w:rsidRPr="005C508E">
        <w:rPr>
          <w:sz w:val="40"/>
          <w:szCs w:val="40"/>
        </w:rPr>
        <w:t>0</w:t>
      </w:r>
      <w:r w:rsidR="005C508E">
        <w:rPr>
          <w:sz w:val="40"/>
          <w:szCs w:val="40"/>
        </w:rPr>
        <w:t>4</w:t>
      </w:r>
    </w:p>
    <w:p w14:paraId="00000004" w14:textId="77777777" w:rsidR="007E3316" w:rsidRDefault="002D1C8D">
      <w:pPr>
        <w:pStyle w:val="Heading2"/>
        <w:spacing w:before="360" w:after="240"/>
        <w:rPr>
          <w:b w:val="0"/>
          <w:bCs w:val="0"/>
          <w:sz w:val="36"/>
          <w:szCs w:val="36"/>
        </w:rPr>
      </w:pPr>
      <w:r>
        <w:rPr>
          <w:sz w:val="36"/>
          <w:szCs w:val="36"/>
        </w:rPr>
        <w:t>Subject</w:t>
      </w:r>
    </w:p>
    <w:p w14:paraId="00000005" w14:textId="5B21CE0F" w:rsidR="007E3316" w:rsidRDefault="005C508E">
      <w:pPr>
        <w:spacing w:after="480"/>
      </w:pPr>
      <w:r w:rsidRPr="005C508E">
        <w:t>Cradle to Career – Informational Session.</w:t>
      </w:r>
    </w:p>
    <w:p w14:paraId="00000006" w14:textId="77777777" w:rsidR="007E3316" w:rsidRDefault="002D1C8D">
      <w:pPr>
        <w:pStyle w:val="Heading2"/>
        <w:spacing w:before="360" w:after="240"/>
        <w:rPr>
          <w:sz w:val="36"/>
          <w:szCs w:val="36"/>
        </w:rPr>
      </w:pPr>
      <w:r>
        <w:rPr>
          <w:sz w:val="36"/>
          <w:szCs w:val="36"/>
        </w:rPr>
        <w:t>Type of Action</w:t>
      </w:r>
    </w:p>
    <w:p w14:paraId="00000007" w14:textId="77777777" w:rsidR="007E3316" w:rsidRDefault="002D1C8D">
      <w:pPr>
        <w:rPr>
          <w:highlight w:val="yellow"/>
        </w:rPr>
      </w:pPr>
      <w:r>
        <w:t>Information</w:t>
      </w:r>
    </w:p>
    <w:p w14:paraId="00000008" w14:textId="77777777" w:rsidR="007E3316" w:rsidRDefault="002D1C8D">
      <w:pPr>
        <w:pStyle w:val="Heading2"/>
        <w:spacing w:before="360" w:after="240"/>
        <w:rPr>
          <w:sz w:val="36"/>
          <w:szCs w:val="36"/>
        </w:rPr>
      </w:pPr>
      <w:r>
        <w:rPr>
          <w:sz w:val="36"/>
          <w:szCs w:val="36"/>
        </w:rPr>
        <w:t>Summary of the Issue(s)</w:t>
      </w:r>
    </w:p>
    <w:p w14:paraId="00000009" w14:textId="77777777" w:rsidR="007E3316" w:rsidRDefault="002D1C8D">
      <w:pPr>
        <w:spacing w:after="120"/>
      </w:pPr>
      <w:r>
        <w:t xml:space="preserve">This information item will be a follow-up presentation by leadership from the California Department of Education’s (CDE) Education Data Management Division joined by leadership from the California College Guidance Initiative (CCGI). The presentation will review the legislation authorizing the CCGI and then transition to the CCGI who will provide an in-depth presentation on the statewide scaling of the use of student-friendly tools, referred to as operational tools in statute, provided through the CCGI platform, CaliforniaColleges.edu. CCGI will highlight how data from CDE as well as partner local educational agencies (LEAs) supports California public schools and students with free, one-stop resources for career assessment and exploration; college, career, and financial aid knowledge development; post-secondary planning; and application integrations. </w:t>
      </w:r>
    </w:p>
    <w:p w14:paraId="0000000A" w14:textId="77777777" w:rsidR="007E3316" w:rsidRDefault="002D1C8D">
      <w:pPr>
        <w:pStyle w:val="Heading2"/>
        <w:spacing w:before="299" w:after="299"/>
        <w:rPr>
          <w:sz w:val="36"/>
          <w:szCs w:val="36"/>
        </w:rPr>
      </w:pPr>
      <w:r>
        <w:rPr>
          <w:sz w:val="36"/>
          <w:szCs w:val="36"/>
        </w:rPr>
        <w:t>Brief History of Key Issues</w:t>
      </w:r>
    </w:p>
    <w:p w14:paraId="0000000B" w14:textId="26B57FD4" w:rsidR="007E3316" w:rsidRDefault="002D1C8D">
      <w:pPr>
        <w:spacing w:after="160" w:line="259" w:lineRule="auto"/>
      </w:pPr>
      <w:r>
        <w:t xml:space="preserve">The CCGI was written into California </w:t>
      </w:r>
      <w:r>
        <w:rPr>
          <w:i/>
          <w:iCs/>
        </w:rPr>
        <w:t>E</w:t>
      </w:r>
      <w:r w:rsidR="005C508E">
        <w:rPr>
          <w:i/>
          <w:iCs/>
        </w:rPr>
        <w:t xml:space="preserve">ducation </w:t>
      </w:r>
      <w:r>
        <w:rPr>
          <w:i/>
          <w:iCs/>
        </w:rPr>
        <w:t>C</w:t>
      </w:r>
      <w:r w:rsidR="005C508E">
        <w:rPr>
          <w:i/>
          <w:iCs/>
        </w:rPr>
        <w:t xml:space="preserve">ode </w:t>
      </w:r>
      <w:r w:rsidR="005C508E" w:rsidRPr="005C508E">
        <w:t>(</w:t>
      </w:r>
      <w:r w:rsidR="005C508E">
        <w:rPr>
          <w:i/>
          <w:iCs/>
        </w:rPr>
        <w:t>EC</w:t>
      </w:r>
      <w:r w:rsidR="005C508E" w:rsidRPr="005C508E">
        <w:t>)</w:t>
      </w:r>
      <w:r>
        <w:rPr>
          <w:i/>
          <w:iCs/>
        </w:rPr>
        <w:t xml:space="preserve"> </w:t>
      </w:r>
      <w:r>
        <w:t xml:space="preserve">Section 60900.5 as an authorized provider of an institutional service to all California School Districts and as part of the state’s efforts to provide free college and career planning for pupils in grades </w:t>
      </w:r>
      <w:r>
        <w:lastRenderedPageBreak/>
        <w:t>6 to 12, make the college and financial aid application process a more streamlined experience for students and the educators who support them (</w:t>
      </w:r>
      <w:r>
        <w:rPr>
          <w:i/>
          <w:iCs/>
        </w:rPr>
        <w:t xml:space="preserve">EC </w:t>
      </w:r>
      <w:r>
        <w:t>Section 60900.5(a)), and create new tools related to career and technical education pathways (</w:t>
      </w:r>
      <w:r>
        <w:rPr>
          <w:i/>
          <w:iCs/>
        </w:rPr>
        <w:t xml:space="preserve">EC </w:t>
      </w:r>
      <w:r>
        <w:t>Section 60900.5(g)(12)). The CDE is a key partner of both the C2C Data System and the CCGI by providing data to both systems.</w:t>
      </w:r>
    </w:p>
    <w:p w14:paraId="0000000C" w14:textId="77777777" w:rsidR="007E3316" w:rsidRDefault="002D1C8D">
      <w:pPr>
        <w:pStyle w:val="Heading2"/>
        <w:spacing w:before="299" w:after="299"/>
      </w:pPr>
      <w:r>
        <w:rPr>
          <w:sz w:val="36"/>
          <w:szCs w:val="36"/>
        </w:rPr>
        <w:t>Attachment(s)</w:t>
      </w:r>
    </w:p>
    <w:p w14:paraId="0000000D" w14:textId="77777777" w:rsidR="007E3316" w:rsidRDefault="002D1C8D">
      <w:pPr>
        <w:spacing w:after="480"/>
      </w:pPr>
      <w:r>
        <w:t>None</w:t>
      </w:r>
    </w:p>
    <w:sectPr w:rsidR="007E3316">
      <w:headerReference w:type="default" r:id="rId12"/>
      <w:footerReference w:type="default" r:id="rId1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DBF07" w14:textId="77777777" w:rsidR="00131BD5" w:rsidRDefault="00131BD5">
      <w:pPr>
        <w:spacing w:after="0"/>
      </w:pPr>
      <w:r>
        <w:separator/>
      </w:r>
    </w:p>
  </w:endnote>
  <w:endnote w:type="continuationSeparator" w:id="0">
    <w:p w14:paraId="638AA802" w14:textId="77777777" w:rsidR="00131BD5" w:rsidRDefault="00131B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7F715CF-91FE-4C61-B557-8C1AF04EE83E}"/>
  </w:font>
  <w:font w:name="Calibri">
    <w:panose1 w:val="020F0502020204030204"/>
    <w:charset w:val="00"/>
    <w:family w:val="swiss"/>
    <w:pitch w:val="variable"/>
    <w:sig w:usb0="E4002EFF" w:usb1="C200247B" w:usb2="00000009" w:usb3="00000000" w:csb0="000001FF" w:csb1="00000000"/>
    <w:embedRegular r:id="rId2" w:fontKey="{D7F79FD6-214C-4A38-86E0-8230B900F8E6}"/>
  </w:font>
  <w:font w:name="Calibri Light">
    <w:panose1 w:val="020F0302020204030204"/>
    <w:charset w:val="00"/>
    <w:family w:val="swiss"/>
    <w:pitch w:val="variable"/>
    <w:sig w:usb0="E4002EFF" w:usb1="C200247B" w:usb2="00000009" w:usb3="00000000" w:csb0="000001FF" w:csb1="00000000"/>
    <w:embedRegular r:id="rId3" w:fontKey="{8416E410-0004-4326-A9DF-C05B4398FB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7E3316" w:rsidRDefault="007E331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4E77E" w14:textId="77777777" w:rsidR="00131BD5" w:rsidRDefault="00131BD5">
      <w:pPr>
        <w:spacing w:after="0"/>
      </w:pPr>
      <w:r>
        <w:separator/>
      </w:r>
    </w:p>
  </w:footnote>
  <w:footnote w:type="continuationSeparator" w:id="0">
    <w:p w14:paraId="05ED0FA3" w14:textId="77777777" w:rsidR="00131BD5" w:rsidRDefault="00131B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E" w14:textId="77777777" w:rsidR="007E3316" w:rsidRDefault="002D1C8D">
    <w:pPr>
      <w:pBdr>
        <w:top w:val="nil"/>
        <w:left w:val="nil"/>
        <w:bottom w:val="nil"/>
        <w:right w:val="nil"/>
        <w:between w:val="nil"/>
      </w:pBdr>
      <w:tabs>
        <w:tab w:val="center" w:pos="4680"/>
        <w:tab w:val="right" w:pos="9360"/>
      </w:tabs>
      <w:spacing w:after="0"/>
      <w:jc w:val="right"/>
      <w:rPr>
        <w:color w:val="000000"/>
      </w:rPr>
    </w:pPr>
    <w:r>
      <w:rPr>
        <w:color w:val="000000"/>
      </w:rPr>
      <w:t>California Workforce Pathways Joint Advisory Committee</w:t>
    </w:r>
  </w:p>
  <w:p w14:paraId="0000000F" w14:textId="3C62A86F" w:rsidR="007E3316" w:rsidRDefault="002D1C8D">
    <w:pPr>
      <w:pBdr>
        <w:top w:val="nil"/>
        <w:left w:val="nil"/>
        <w:bottom w:val="nil"/>
        <w:right w:val="nil"/>
        <w:between w:val="nil"/>
      </w:pBdr>
      <w:tabs>
        <w:tab w:val="center" w:pos="4680"/>
        <w:tab w:val="right" w:pos="9360"/>
      </w:tabs>
      <w:spacing w:after="0"/>
      <w:jc w:val="right"/>
      <w:rPr>
        <w:color w:val="000000"/>
      </w:rPr>
    </w:pPr>
    <w:r>
      <w:rPr>
        <w:color w:val="000000"/>
      </w:rPr>
      <w:t>cwpjac-</w:t>
    </w:r>
    <w:sdt>
      <w:sdtPr>
        <w:tag w:val="goog_rdk_1"/>
        <w:id w:val="-262169842"/>
      </w:sdtPr>
      <w:sdtEndPr/>
      <w:sdtContent>
        <w:r w:rsidR="00962341">
          <w:t>mar</w:t>
        </w:r>
        <w:r w:rsidR="000523F3">
          <w:t>13</w:t>
        </w:r>
      </w:sdtContent>
    </w:sdt>
    <w:r>
      <w:rPr>
        <w:color w:val="000000"/>
      </w:rPr>
      <w:t>item</w:t>
    </w:r>
    <w:r w:rsidR="005C508E">
      <w:rPr>
        <w:color w:val="000000"/>
      </w:rPr>
      <w:t>04</w:t>
    </w:r>
  </w:p>
  <w:p w14:paraId="00000010" w14:textId="43FB5981" w:rsidR="007E3316" w:rsidRDefault="002D1C8D">
    <w:pPr>
      <w:pBdr>
        <w:top w:val="nil"/>
        <w:left w:val="nil"/>
        <w:bottom w:val="nil"/>
        <w:right w:val="nil"/>
        <w:between w:val="nil"/>
      </w:pBdr>
      <w:tabs>
        <w:tab w:val="center" w:pos="4680"/>
        <w:tab w:val="right" w:pos="9360"/>
      </w:tabs>
      <w:spacing w:after="120"/>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2C7BFE">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2C7BFE">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77777777" w:rsidR="007E3316" w:rsidRDefault="002D1C8D">
    <w:pPr>
      <w:pBdr>
        <w:top w:val="nil"/>
        <w:left w:val="nil"/>
        <w:bottom w:val="nil"/>
        <w:right w:val="nil"/>
        <w:between w:val="nil"/>
      </w:pBdr>
      <w:tabs>
        <w:tab w:val="center" w:pos="4680"/>
        <w:tab w:val="right" w:pos="9360"/>
      </w:tabs>
      <w:spacing w:after="0"/>
      <w:jc w:val="right"/>
      <w:rPr>
        <w:color w:val="000000"/>
      </w:rPr>
    </w:pPr>
    <w:r>
      <w:rPr>
        <w:color w:val="000000"/>
      </w:rPr>
      <w:t>California Workforce Pathways Joint Advisory Committee</w:t>
    </w:r>
  </w:p>
  <w:p w14:paraId="00000012" w14:textId="77777777" w:rsidR="007E3316" w:rsidRDefault="002D1C8D">
    <w:pPr>
      <w:pBdr>
        <w:top w:val="nil"/>
        <w:left w:val="nil"/>
        <w:bottom w:val="nil"/>
        <w:right w:val="nil"/>
        <w:between w:val="nil"/>
      </w:pBdr>
      <w:tabs>
        <w:tab w:val="center" w:pos="4680"/>
        <w:tab w:val="right" w:pos="9360"/>
      </w:tabs>
      <w:spacing w:after="0"/>
      <w:jc w:val="right"/>
      <w:rPr>
        <w:color w:val="000000"/>
      </w:rPr>
    </w:pPr>
    <w:r>
      <w:rPr>
        <w:color w:val="000000"/>
      </w:rPr>
      <w:t>cwpjac-mar20item01</w:t>
    </w:r>
  </w:p>
  <w:p w14:paraId="00000013" w14:textId="77777777" w:rsidR="007E3316" w:rsidRDefault="002D1C8D">
    <w:pPr>
      <w:pBdr>
        <w:top w:val="nil"/>
        <w:left w:val="nil"/>
        <w:bottom w:val="nil"/>
        <w:right w:val="nil"/>
        <w:between w:val="nil"/>
      </w:pBdr>
      <w:tabs>
        <w:tab w:val="center" w:pos="4680"/>
        <w:tab w:val="right" w:pos="9360"/>
      </w:tabs>
      <w:spacing w:after="120"/>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16B81" w14:textId="77777777" w:rsidR="000523F3" w:rsidRDefault="000523F3" w:rsidP="000523F3">
    <w:pPr>
      <w:pBdr>
        <w:top w:val="nil"/>
        <w:left w:val="nil"/>
        <w:bottom w:val="nil"/>
        <w:right w:val="nil"/>
        <w:between w:val="nil"/>
      </w:pBdr>
      <w:tabs>
        <w:tab w:val="center" w:pos="4680"/>
        <w:tab w:val="right" w:pos="9360"/>
      </w:tabs>
      <w:spacing w:after="0"/>
      <w:jc w:val="right"/>
      <w:rPr>
        <w:color w:val="000000"/>
      </w:rPr>
    </w:pPr>
    <w:r>
      <w:rPr>
        <w:color w:val="000000"/>
      </w:rPr>
      <w:t>cwpjac-</w:t>
    </w:r>
    <w:sdt>
      <w:sdtPr>
        <w:tag w:val="goog_rdk_1"/>
        <w:id w:val="-1620068158"/>
      </w:sdtPr>
      <w:sdtEndPr/>
      <w:sdtContent>
        <w:r>
          <w:t>mar13</w:t>
        </w:r>
      </w:sdtContent>
    </w:sdt>
    <w:r>
      <w:rPr>
        <w:color w:val="000000"/>
      </w:rPr>
      <w:t>itemXX</w:t>
    </w:r>
  </w:p>
  <w:p w14:paraId="00000015" w14:textId="142208EB" w:rsidR="007E3316" w:rsidRDefault="002D1C8D">
    <w:pPr>
      <w:pBdr>
        <w:top w:val="nil"/>
        <w:left w:val="nil"/>
        <w:bottom w:val="nil"/>
        <w:right w:val="nil"/>
        <w:between w:val="nil"/>
      </w:pBdr>
      <w:tabs>
        <w:tab w:val="center" w:pos="4680"/>
        <w:tab w:val="right" w:pos="9360"/>
      </w:tabs>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2C7BFE">
      <w:rPr>
        <w:noProof/>
        <w:color w:val="000000"/>
      </w:rPr>
      <w:t>2</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2C7BFE">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316"/>
    <w:rsid w:val="000523F3"/>
    <w:rsid w:val="00131BD5"/>
    <w:rsid w:val="002259CC"/>
    <w:rsid w:val="002A70F1"/>
    <w:rsid w:val="002C7BFE"/>
    <w:rsid w:val="002D1C8D"/>
    <w:rsid w:val="003A728E"/>
    <w:rsid w:val="005C508E"/>
    <w:rsid w:val="00635E9C"/>
    <w:rsid w:val="007E3316"/>
    <w:rsid w:val="00962341"/>
    <w:rsid w:val="00962A71"/>
    <w:rsid w:val="00CE17D2"/>
    <w:rsid w:val="00D3501A"/>
    <w:rsid w:val="00EB0D27"/>
    <w:rsid w:val="00FD3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A8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120"/>
      <w:outlineLvl w:val="0"/>
    </w:pPr>
    <w:rPr>
      <w:b/>
      <w:bCs/>
      <w:sz w:val="32"/>
      <w:szCs w:val="32"/>
    </w:rPr>
  </w:style>
  <w:style w:type="paragraph" w:styleId="Heading2">
    <w:name w:val="heading 2"/>
    <w:basedOn w:val="Normal"/>
    <w:next w:val="Normal"/>
    <w:link w:val="Heading2Char"/>
    <w:uiPriority w:val="9"/>
    <w:unhideWhenUsed/>
    <w:qFormat/>
    <w:pPr>
      <w:keepNext/>
      <w:keepLines/>
      <w:spacing w:before="160" w:after="120"/>
      <w:outlineLvl w:val="1"/>
    </w:pPr>
    <w:rPr>
      <w:b/>
      <w:bCs/>
      <w:sz w:val="26"/>
      <w:szCs w:val="26"/>
    </w:rPr>
  </w:style>
  <w:style w:type="paragraph" w:styleId="Heading3">
    <w:name w:val="heading 3"/>
    <w:basedOn w:val="Normal"/>
    <w:next w:val="Normal"/>
    <w:link w:val="Heading3Char"/>
    <w:uiPriority w:val="9"/>
    <w:semiHidden/>
    <w:unhideWhenUsed/>
    <w:qFormat/>
    <w:pPr>
      <w:keepNext/>
      <w:keepLines/>
      <w:spacing w:before="160" w:after="120"/>
      <w:outlineLvl w:val="2"/>
    </w:pPr>
    <w:rPr>
      <w:b/>
      <w:bCs/>
    </w:rPr>
  </w:style>
  <w:style w:type="paragraph" w:styleId="Heading4">
    <w:name w:val="heading 4"/>
    <w:basedOn w:val="Normal"/>
    <w:next w:val="Normal"/>
    <w:link w:val="Heading4Char"/>
    <w:uiPriority w:val="9"/>
    <w:semiHidden/>
    <w:unhideWhenUsed/>
    <w:qFormat/>
    <w:pPr>
      <w:keepNext/>
      <w:keepLines/>
      <w:spacing w:before="160" w:after="120"/>
      <w:outlineLvl w:val="3"/>
    </w:pPr>
    <w:rPr>
      <w:i/>
      <w:iCs/>
    </w:rPr>
  </w:style>
  <w:style w:type="paragraph" w:styleId="Heading5">
    <w:name w:val="heading 5"/>
    <w:basedOn w:val="Normal"/>
    <w:next w:val="Normal"/>
    <w:link w:val="Heading5Char"/>
    <w:uiPriority w:val="9"/>
    <w:semiHidden/>
    <w:unhideWhenUsed/>
    <w:qFormat/>
    <w:pPr>
      <w:keepNext/>
      <w:keepLines/>
      <w:spacing w:before="40"/>
      <w:outlineLvl w:val="4"/>
    </w:pPr>
  </w:style>
  <w:style w:type="paragraph" w:styleId="Heading6">
    <w:name w:val="heading 6"/>
    <w:basedOn w:val="Normal"/>
    <w:next w:val="Normal"/>
    <w:link w:val="Heading6Char"/>
    <w:uiPriority w:val="9"/>
    <w:semiHidden/>
    <w:unhideWhenUsed/>
    <w:qFormat/>
    <w:pPr>
      <w:keepNext/>
      <w:keepLines/>
      <w:spacing w:before="40"/>
      <w:outlineLvl w:val="5"/>
    </w:p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20" w:after="120"/>
    </w:pPr>
    <w:rPr>
      <w:sz w:val="56"/>
      <w:szCs w:val="56"/>
    </w:rPr>
  </w:style>
  <w:style w:type="character" w:customStyle="1" w:styleId="Heading1Char">
    <w:name w:val="Heading 1 Char"/>
    <w:basedOn w:val="DefaultParagraphFont"/>
    <w:link w:val="Heading1"/>
    <w:rsid w:val="007428B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7428B8"/>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7428B8"/>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7428B8"/>
    <w:rPr>
      <w:rFonts w:ascii="Arial" w:eastAsiaTheme="majorEastAsia" w:hAnsi="Arial" w:cstheme="majorBidi"/>
      <w:i/>
      <w:iCs/>
      <w:sz w:val="24"/>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7428B8"/>
    <w:rPr>
      <w:rFonts w:ascii="Arial" w:eastAsiaTheme="majorEastAsia" w:hAnsi="Arial" w:cstheme="majorBidi"/>
      <w:sz w:val="24"/>
    </w:rPr>
  </w:style>
  <w:style w:type="paragraph" w:styleId="NoSpacing">
    <w:name w:val="No Spacing"/>
    <w:uiPriority w:val="1"/>
    <w:qFormat/>
    <w:rsid w:val="007428B8"/>
    <w:pPr>
      <w:spacing w:after="0"/>
    </w:p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761962"/>
    <w:rPr>
      <w:sz w:val="16"/>
      <w:szCs w:val="16"/>
    </w:rPr>
  </w:style>
  <w:style w:type="paragraph" w:styleId="CommentText">
    <w:name w:val="annotation text"/>
    <w:basedOn w:val="Normal"/>
    <w:link w:val="CommentTextChar"/>
    <w:uiPriority w:val="99"/>
    <w:semiHidden/>
    <w:unhideWhenUsed/>
    <w:rsid w:val="00761962"/>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61962"/>
    <w:rPr>
      <w:sz w:val="20"/>
      <w:szCs w:val="20"/>
    </w:rPr>
  </w:style>
  <w:style w:type="character" w:styleId="Emphasis">
    <w:name w:val="Emphasis"/>
    <w:basedOn w:val="DefaultParagraphFont"/>
    <w:uiPriority w:val="20"/>
    <w:qFormat/>
    <w:rsid w:val="00077CF8"/>
    <w:rPr>
      <w:i/>
      <w:iCs/>
    </w:rPr>
  </w:style>
  <w:style w:type="character" w:styleId="FollowedHyperlink">
    <w:name w:val="FollowedHyperlink"/>
    <w:basedOn w:val="DefaultParagraphFont"/>
    <w:uiPriority w:val="99"/>
    <w:semiHidden/>
    <w:unhideWhenUsed/>
    <w:rsid w:val="006106E9"/>
    <w:rPr>
      <w:color w:val="954F72" w:themeColor="followedHyperlink"/>
      <w:u w:val="single"/>
    </w:rPr>
  </w:style>
  <w:style w:type="table" w:styleId="TableGrid">
    <w:name w:val="Table Grid"/>
    <w:basedOn w:val="TableNormal"/>
    <w:uiPriority w:val="39"/>
    <w:rsid w:val="007915A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33E97"/>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833E97"/>
    <w:rPr>
      <w:rFonts w:ascii="Arial" w:eastAsia="Times New Roman" w:hAnsi="Arial" w:cs="Times New Roman"/>
      <w:b/>
      <w:bCs/>
      <w:sz w:val="20"/>
      <w:szCs w:val="20"/>
    </w:rPr>
  </w:style>
  <w:style w:type="paragraph" w:styleId="NormalWeb">
    <w:name w:val="Normal (Web)"/>
    <w:basedOn w:val="Normal"/>
    <w:uiPriority w:val="99"/>
    <w:semiHidden/>
    <w:unhideWhenUsed/>
    <w:rsid w:val="00656FB0"/>
    <w:pPr>
      <w:spacing w:before="100" w:beforeAutospacing="1" w:after="100" w:afterAutospacing="1"/>
    </w:pPr>
    <w:rPr>
      <w:rFonts w:ascii="Times New Roman" w:hAnsi="Times New Roman"/>
    </w:rPr>
  </w:style>
  <w:style w:type="paragraph" w:styleId="Revision">
    <w:name w:val="Revision"/>
    <w:hidden/>
    <w:uiPriority w:val="99"/>
    <w:semiHidden/>
    <w:rsid w:val="006A0B8B"/>
    <w:pPr>
      <w:spacing w:after="0"/>
    </w:pPr>
    <w:rPr>
      <w:rFonts w:eastAsia="Times New Roman" w:cs="Times New Roman"/>
    </w:rPr>
  </w:style>
  <w:style w:type="character" w:customStyle="1" w:styleId="UnresolvedMention1">
    <w:name w:val="Unresolved Mention1"/>
    <w:basedOn w:val="DefaultParagraphFont"/>
    <w:uiPriority w:val="99"/>
    <w:semiHidden/>
    <w:unhideWhenUsed/>
    <w:rsid w:val="00BD0879"/>
    <w:rPr>
      <w:color w:val="605E5C"/>
      <w:shd w:val="clear" w:color="auto" w:fill="E1DFDD"/>
    </w:rPr>
  </w:style>
  <w:style w:type="paragraph" w:styleId="FootnoteText">
    <w:name w:val="footnote text"/>
    <w:basedOn w:val="Normal"/>
    <w:uiPriority w:val="99"/>
    <w:unhideWhenUsed/>
    <w:rsid w:val="39970AF9"/>
    <w:pPr>
      <w:spacing w:after="0"/>
    </w:pPr>
    <w:rPr>
      <w:sz w:val="20"/>
      <w:szCs w:val="20"/>
    </w:rPr>
  </w:style>
  <w:style w:type="character" w:styleId="FootnoteReference">
    <w:name w:val="footnote reference"/>
    <w:basedOn w:val="DefaultParagraphFont"/>
    <w:uiPriority w:val="99"/>
    <w:semiHidden/>
    <w:unhideWhenUsed/>
    <w:rPr>
      <w:vertAlign w:val="superscript"/>
    </w:rPr>
  </w:style>
  <w:style w:type="character" w:styleId="UnresolvedMention">
    <w:name w:val="Unresolved Mention"/>
    <w:basedOn w:val="DefaultParagraphFont"/>
    <w:uiPriority w:val="99"/>
    <w:semiHidden/>
    <w:unhideWhenUsed/>
    <w:rsid w:val="001967C0"/>
    <w:rPr>
      <w:color w:val="605E5C"/>
      <w:shd w:val="clear" w:color="auto" w:fill="E1DFDD"/>
    </w:rPr>
  </w:style>
  <w:style w:type="paragraph" w:styleId="Subtitle">
    <w:name w:val="Subtitle"/>
    <w:basedOn w:val="Normal"/>
    <w:next w:val="Normal"/>
    <w:link w:val="SubtitleChar"/>
    <w:uiPriority w:val="11"/>
    <w:qFormat/>
    <w:rPr>
      <w:color w:val="5A5A5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ZGSuuSjaZ0awiVPH94YFn1o5WA==">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47756d1-84d9-430d-b956-66542fd91f66}" enabled="0" method="" siteId="{847756d1-84d9-430d-b956-66542fd91f66}"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1483</Characters>
  <Application>Microsoft Office Word</Application>
  <DocSecurity>0</DocSecurity>
  <Lines>33</Lines>
  <Paragraphs>12</Paragraphs>
  <ScaleCrop>false</ScaleCrop>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CWPJAC March 2026 Agenda Item 04 - General Information (CA Dept of Education)</dc:title>
  <dc:subject>Cradle to Career – Informational Session for the California Workforce Pathways Joint Advisory Committee (CWPJAC).</dc:subject>
  <dc:creator/>
  <cp:lastModifiedBy/>
  <cp:revision>1</cp:revision>
  <dcterms:created xsi:type="dcterms:W3CDTF">2026-03-11T21:25:00Z</dcterms:created>
  <dcterms:modified xsi:type="dcterms:W3CDTF">2026-03-11T21:26:00Z</dcterms:modified>
</cp:coreProperties>
</file>