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95DF" w14:textId="77777777" w:rsidR="00992087" w:rsidRPr="000C4891" w:rsidRDefault="00992087" w:rsidP="00C412E3">
      <w:pPr>
        <w:spacing w:after="240"/>
      </w:pPr>
      <w:r w:rsidRPr="000C4891">
        <w:rPr>
          <w:rFonts w:ascii="Times New Roman" w:hAnsi="Times New Roman"/>
          <w:noProof/>
        </w:rPr>
        <w:drawing>
          <wp:inline distT="0" distB="0" distL="0" distR="0" wp14:anchorId="29B8FCE2" wp14:editId="38CA20CD">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D5922E0" wp14:editId="1F9BD361">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808E836" wp14:editId="48C12D64">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6F451FE" w14:textId="77777777" w:rsidR="00992087" w:rsidRPr="000C4891" w:rsidRDefault="00992087" w:rsidP="00C412E3">
      <w:pPr>
        <w:spacing w:after="240"/>
      </w:pPr>
    </w:p>
    <w:p w14:paraId="45FA7023" w14:textId="77777777" w:rsidR="006E06C6" w:rsidRPr="000C4891" w:rsidRDefault="006E06C6" w:rsidP="00C412E3">
      <w:pPr>
        <w:pStyle w:val="Heading1"/>
        <w:spacing w:after="240"/>
        <w:jc w:val="center"/>
        <w:rPr>
          <w:sz w:val="40"/>
          <w:szCs w:val="40"/>
        </w:rPr>
        <w:sectPr w:rsidR="006E06C6" w:rsidRPr="000C4891" w:rsidSect="0091117B">
          <w:headerReference w:type="default" r:id="rId10"/>
          <w:type w:val="continuous"/>
          <w:pgSz w:w="12240" w:h="15840"/>
          <w:pgMar w:top="720" w:right="1440" w:bottom="1440" w:left="1440" w:header="720" w:footer="720" w:gutter="0"/>
          <w:cols w:space="720"/>
          <w:docGrid w:linePitch="360"/>
        </w:sectPr>
      </w:pPr>
    </w:p>
    <w:p w14:paraId="33ACDA03" w14:textId="319E336B" w:rsidR="00FC1FCE" w:rsidRPr="000C4891" w:rsidRDefault="00B00D73" w:rsidP="00C412E3">
      <w:pPr>
        <w:pStyle w:val="Heading1"/>
        <w:spacing w:before="480" w:after="240"/>
        <w:jc w:val="center"/>
        <w:rPr>
          <w:sz w:val="40"/>
          <w:szCs w:val="40"/>
        </w:rPr>
      </w:pPr>
      <w:r w:rsidRPr="000C4891">
        <w:rPr>
          <w:sz w:val="40"/>
          <w:szCs w:val="40"/>
        </w:rPr>
        <w:t xml:space="preserve">California Workforce Pathways </w:t>
      </w:r>
      <w:r w:rsidR="006C586B">
        <w:rPr>
          <w:sz w:val="40"/>
          <w:szCs w:val="40"/>
        </w:rPr>
        <w:br/>
      </w:r>
      <w:r w:rsidRPr="000C4891">
        <w:rPr>
          <w:sz w:val="40"/>
          <w:szCs w:val="40"/>
        </w:rPr>
        <w:t>Joint Advisory Committee</w:t>
      </w:r>
      <w:r w:rsidR="00693951" w:rsidRPr="000C4891">
        <w:rPr>
          <w:sz w:val="40"/>
          <w:szCs w:val="40"/>
        </w:rPr>
        <w:br/>
      </w:r>
      <w:r w:rsidR="00F30E32">
        <w:rPr>
          <w:sz w:val="40"/>
          <w:szCs w:val="40"/>
        </w:rPr>
        <w:t>March</w:t>
      </w:r>
      <w:r w:rsidR="00634F6C">
        <w:rPr>
          <w:sz w:val="40"/>
          <w:szCs w:val="40"/>
        </w:rPr>
        <w:t xml:space="preserve"> 13,</w:t>
      </w:r>
      <w:r w:rsidR="00F30E32">
        <w:rPr>
          <w:sz w:val="40"/>
          <w:szCs w:val="40"/>
        </w:rPr>
        <w:t xml:space="preserve"> 2026</w:t>
      </w:r>
      <w:r w:rsidR="006C586B">
        <w:rPr>
          <w:sz w:val="40"/>
          <w:szCs w:val="40"/>
        </w:rPr>
        <w:br/>
      </w:r>
      <w:r w:rsidR="0091117B" w:rsidRPr="000C4891">
        <w:rPr>
          <w:sz w:val="40"/>
          <w:szCs w:val="40"/>
        </w:rPr>
        <w:t>Agenda</w:t>
      </w:r>
      <w:r w:rsidR="00677419" w:rsidRPr="000C4891">
        <w:rPr>
          <w:sz w:val="40"/>
          <w:szCs w:val="40"/>
        </w:rPr>
        <w:t xml:space="preserve"> </w:t>
      </w:r>
      <w:r w:rsidR="00FC1FCE" w:rsidRPr="000C4891">
        <w:rPr>
          <w:sz w:val="40"/>
          <w:szCs w:val="40"/>
        </w:rPr>
        <w:t>Item</w:t>
      </w:r>
      <w:r w:rsidR="00E55EA9">
        <w:rPr>
          <w:sz w:val="40"/>
          <w:szCs w:val="40"/>
        </w:rPr>
        <w:t xml:space="preserve"> </w:t>
      </w:r>
      <w:r w:rsidR="00AE0651" w:rsidRPr="000C4891">
        <w:rPr>
          <w:sz w:val="40"/>
          <w:szCs w:val="40"/>
        </w:rPr>
        <w:t>0</w:t>
      </w:r>
      <w:r w:rsidR="00F30E32">
        <w:rPr>
          <w:sz w:val="40"/>
          <w:szCs w:val="40"/>
        </w:rPr>
        <w:t>5</w:t>
      </w:r>
    </w:p>
    <w:p w14:paraId="09348321" w14:textId="1E1F04BB" w:rsidR="00FC1FCE" w:rsidRPr="000C4891" w:rsidRDefault="00FC1FCE" w:rsidP="00C412E3">
      <w:pPr>
        <w:pStyle w:val="Heading2"/>
        <w:tabs>
          <w:tab w:val="left" w:pos="7118"/>
        </w:tabs>
        <w:spacing w:before="240" w:after="240"/>
        <w:rPr>
          <w:sz w:val="36"/>
          <w:szCs w:val="36"/>
        </w:rPr>
      </w:pPr>
      <w:r w:rsidRPr="000C4891">
        <w:rPr>
          <w:sz w:val="36"/>
          <w:szCs w:val="36"/>
        </w:rPr>
        <w:t>Subject</w:t>
      </w:r>
    </w:p>
    <w:p w14:paraId="543DBD38" w14:textId="087CE749" w:rsidR="00F30E32" w:rsidRPr="00D61864" w:rsidRDefault="00CD775B" w:rsidP="00C412E3">
      <w:pPr>
        <w:spacing w:after="240"/>
      </w:pPr>
      <w:r w:rsidRPr="00CD775B">
        <w:t>Overview of the Workforce Innovation and Opportunity Act, Adult Education and Family Literacy Act, Title II portion of the Unified Strategic Workforce Development Plan 2024–27 Midcycle Modifications</w:t>
      </w:r>
      <w:r w:rsidR="00F30E32" w:rsidRPr="00D61864">
        <w:t>.</w:t>
      </w:r>
    </w:p>
    <w:p w14:paraId="4ABB159E" w14:textId="77777777" w:rsidR="00FC1FCE" w:rsidRPr="000C4891" w:rsidRDefault="00FC1FCE" w:rsidP="00C412E3">
      <w:pPr>
        <w:pStyle w:val="Heading2"/>
        <w:spacing w:before="240" w:after="240"/>
        <w:rPr>
          <w:sz w:val="36"/>
          <w:szCs w:val="36"/>
        </w:rPr>
      </w:pPr>
      <w:r w:rsidRPr="000C4891">
        <w:rPr>
          <w:sz w:val="36"/>
          <w:szCs w:val="36"/>
        </w:rPr>
        <w:t>Type of Action</w:t>
      </w:r>
    </w:p>
    <w:p w14:paraId="0639319B" w14:textId="77777777" w:rsidR="00D61502" w:rsidRPr="000C4891" w:rsidRDefault="000A1DBA" w:rsidP="00C412E3">
      <w:pPr>
        <w:spacing w:after="240"/>
      </w:pPr>
      <w:r w:rsidRPr="000C4891">
        <w:rPr>
          <w:noProof/>
        </w:rPr>
        <w:t>Information</w:t>
      </w:r>
    </w:p>
    <w:p w14:paraId="5B30CDAA" w14:textId="77777777" w:rsidR="00FC1FCE" w:rsidRPr="000C4891" w:rsidRDefault="00FC1FCE" w:rsidP="00C412E3">
      <w:pPr>
        <w:pStyle w:val="Heading2"/>
        <w:spacing w:before="240" w:after="240"/>
        <w:rPr>
          <w:sz w:val="36"/>
          <w:szCs w:val="36"/>
        </w:rPr>
      </w:pPr>
      <w:r w:rsidRPr="000C4891">
        <w:rPr>
          <w:sz w:val="36"/>
          <w:szCs w:val="36"/>
        </w:rPr>
        <w:t>Summary of the Issue(s)</w:t>
      </w:r>
    </w:p>
    <w:p w14:paraId="476E36A9" w14:textId="77777777" w:rsidR="00F30E32" w:rsidRPr="00D61864" w:rsidRDefault="00F30E32" w:rsidP="00C412E3">
      <w:pPr>
        <w:spacing w:after="240"/>
      </w:pPr>
      <w:r w:rsidRPr="00D61864">
        <w:t xml:space="preserve">The federal Workforce Innovation and Opportunity Act (WIOA) of 2014 requires the Governor, via the California Workforce Development Board (CWDB), and in coordination with WIOA core program offices, operated by the California Department of Education (CDE), the Employment Development Department (EDD), and the Department of Rehabilitation (DOR), to jointly submit a Unified Strategic Workforce Development Plan (State Plan) to the U.S. Department of Labor (DOL) and the U.S. Department of Education (ED). An update to the plan is required by March 20, 2026. </w:t>
      </w:r>
    </w:p>
    <w:p w14:paraId="7A4EE219" w14:textId="6A33BF9E" w:rsidR="000324AD" w:rsidRPr="000C4891" w:rsidRDefault="00F30E32" w:rsidP="00C412E3">
      <w:pPr>
        <w:spacing w:after="240"/>
      </w:pPr>
      <w:r w:rsidRPr="00D61864">
        <w:t xml:space="preserve">The CDE is responsible for the WIOA Title II: Adult Education and Family Literacy Act (Title II: AEFLA) programs. The draft Two-Year Modification of the WIOA State Plan for Program Years 2024–27 was posted for public comment by EDD on January 12, 2026; the public comment period ended on February 11, 2026, with comments incorporated into the draft modifications of the current State Plan. The modified Title II: AEFLA plan is presented in this item for the March 2026 State Board of Education (SBE) meeting. </w:t>
      </w:r>
      <w:r w:rsidRPr="00D61864">
        <w:lastRenderedPageBreak/>
        <w:t>After obtaining SBE approval of the WIOA State Plan midcycle modifications of the Title II: AEFLA portion, it will then be submitted to the DOL.</w:t>
      </w:r>
    </w:p>
    <w:p w14:paraId="3F44D623" w14:textId="77777777" w:rsidR="003E4DF7" w:rsidRPr="000C4891" w:rsidRDefault="003E4DF7" w:rsidP="00C412E3">
      <w:pPr>
        <w:pStyle w:val="Heading2"/>
        <w:spacing w:before="240" w:after="240"/>
        <w:rPr>
          <w:sz w:val="36"/>
          <w:szCs w:val="36"/>
        </w:rPr>
      </w:pPr>
      <w:r w:rsidRPr="000C4891">
        <w:rPr>
          <w:sz w:val="36"/>
          <w:szCs w:val="36"/>
        </w:rPr>
        <w:t>Recommendation</w:t>
      </w:r>
    </w:p>
    <w:p w14:paraId="4ED7DCB3" w14:textId="0FFDA916" w:rsidR="003E4DF7" w:rsidRPr="000C4891" w:rsidRDefault="00537C82" w:rsidP="00C412E3">
      <w:pPr>
        <w:spacing w:after="240"/>
      </w:pPr>
      <w:r>
        <w:t>Staff</w:t>
      </w:r>
      <w:r w:rsidR="00DD3FAD" w:rsidRPr="000C4891">
        <w:t xml:space="preserve"> </w:t>
      </w:r>
      <w:r w:rsidR="00F30E32" w:rsidRPr="000C4891">
        <w:t>recommend</w:t>
      </w:r>
      <w:r w:rsidR="003E4DF7" w:rsidRPr="000C4891">
        <w:t xml:space="preserve"> that the </w:t>
      </w:r>
      <w:r w:rsidR="00677419" w:rsidRPr="000C4891">
        <w:t xml:space="preserve">California Workforce Pathways Joint Advisory Committee </w:t>
      </w:r>
      <w:r w:rsidR="00E57B20" w:rsidRPr="000C4891">
        <w:t xml:space="preserve">provide </w:t>
      </w:r>
      <w:r w:rsidR="00F30E32">
        <w:t xml:space="preserve">actively participate in the next WIOA State Plan develop by providing </w:t>
      </w:r>
      <w:r w:rsidR="00E57B20" w:rsidRPr="000C4891">
        <w:t>input and feedbac</w:t>
      </w:r>
      <w:r w:rsidR="00F30E32">
        <w:t>k</w:t>
      </w:r>
      <w:r w:rsidR="00E57B20" w:rsidRPr="000C4891">
        <w:t>.</w:t>
      </w:r>
      <w:r w:rsidR="00DD3FAD" w:rsidRPr="000C4891">
        <w:t xml:space="preserve"> This may include identifying opportunities for alignment between th</w:t>
      </w:r>
      <w:r w:rsidR="000A1DBA" w:rsidRPr="000C4891">
        <w:t xml:space="preserve">e </w:t>
      </w:r>
      <w:r w:rsidR="00F30E32">
        <w:t>WIOA State</w:t>
      </w:r>
      <w:r w:rsidR="000A1DBA" w:rsidRPr="000C4891">
        <w:rPr>
          <w:rFonts w:cs="Arial"/>
          <w:shd w:val="clear" w:color="auto" w:fill="FFFFFF"/>
        </w:rPr>
        <w:t xml:space="preserve"> Plan </w:t>
      </w:r>
      <w:r w:rsidR="000A1DBA" w:rsidRPr="000C4891">
        <w:t xml:space="preserve">and </w:t>
      </w:r>
      <w:r w:rsidR="00CC19C4">
        <w:t>the</w:t>
      </w:r>
      <w:r w:rsidR="000A1DBA" w:rsidRPr="000C4891">
        <w:t xml:space="preserve"> Perkins V State P</w:t>
      </w:r>
      <w:r w:rsidR="00DD3FAD" w:rsidRPr="000C4891">
        <w:t>lan</w:t>
      </w:r>
      <w:r w:rsidR="00F30E32">
        <w:t xml:space="preserve"> or the development of a Combined State Plan. </w:t>
      </w:r>
    </w:p>
    <w:p w14:paraId="4A3A8CA7" w14:textId="77777777" w:rsidR="00F40510" w:rsidRPr="000C4891" w:rsidRDefault="003E4DF7" w:rsidP="00C412E3">
      <w:pPr>
        <w:pStyle w:val="Heading2"/>
        <w:spacing w:before="240" w:after="240"/>
        <w:rPr>
          <w:sz w:val="36"/>
          <w:szCs w:val="36"/>
        </w:rPr>
      </w:pPr>
      <w:r w:rsidRPr="000C4891">
        <w:rPr>
          <w:sz w:val="36"/>
          <w:szCs w:val="36"/>
        </w:rPr>
        <w:t>Brief History of Key Issues</w:t>
      </w:r>
    </w:p>
    <w:p w14:paraId="16EB5B55" w14:textId="77777777" w:rsidR="00F30E32" w:rsidRPr="00D61864" w:rsidRDefault="00F30E32" w:rsidP="00C412E3">
      <w:pPr>
        <w:spacing w:after="240"/>
        <w:rPr>
          <w:rFonts w:cs="Arial"/>
        </w:rPr>
      </w:pPr>
      <w:r w:rsidRPr="00D61864">
        <w:rPr>
          <w:rFonts w:cs="Arial"/>
        </w:rPr>
        <w:t xml:space="preserve">On July 22, 2014, President Obama signed into law the WIOA, which includes the reauthorization of Title II: AEFLA of 1998–2004. The WIOA </w:t>
      </w:r>
      <w:r w:rsidRPr="00D61864">
        <w:rPr>
          <w:rFonts w:cs="Arial"/>
          <w:shd w:val="clear" w:color="auto" w:fill="FFFFFF"/>
        </w:rPr>
        <w:t xml:space="preserve">is designed to help job seekers access employment, education, and support services to succeed in the modern labor market. The law will also encourage workforce development programs to help match employers with skilled workers needed to compete in the global economy. The </w:t>
      </w:r>
      <w:r w:rsidRPr="00D61864">
        <w:rPr>
          <w:rFonts w:cs="Arial"/>
        </w:rPr>
        <w:t xml:space="preserve">WIOA requires states to plan across </w:t>
      </w:r>
      <w:r w:rsidRPr="00D61864">
        <w:t>core programs</w:t>
      </w:r>
      <w:r w:rsidRPr="00D61864">
        <w:rPr>
          <w:rFonts w:cs="Arial"/>
        </w:rPr>
        <w:t xml:space="preserve"> and include this planning process in their unified or combined state plan modifications. California’s approved unified plan includes </w:t>
      </w:r>
      <w:r w:rsidRPr="00D61864">
        <w:t>core programs operated by the CDE, the EDD, and the DOR.</w:t>
      </w:r>
      <w:r w:rsidRPr="00D61864">
        <w:rPr>
          <w:rFonts w:cs="Arial"/>
        </w:rPr>
        <w:t xml:space="preserve"> The core programs responsible under this law are:</w:t>
      </w:r>
    </w:p>
    <w:p w14:paraId="5E1B8C9E" w14:textId="77777777" w:rsidR="00F30E32" w:rsidRPr="00D61864" w:rsidRDefault="00F30E32" w:rsidP="00C412E3">
      <w:pPr>
        <w:numPr>
          <w:ilvl w:val="0"/>
          <w:numId w:val="21"/>
        </w:numPr>
        <w:autoSpaceDE w:val="0"/>
        <w:autoSpaceDN w:val="0"/>
        <w:adjustRightInd w:val="0"/>
        <w:spacing w:after="240"/>
        <w:rPr>
          <w:rFonts w:cs="Arial"/>
        </w:rPr>
      </w:pPr>
      <w:r w:rsidRPr="00D61864">
        <w:rPr>
          <w:rFonts w:cs="Arial"/>
        </w:rPr>
        <w:t xml:space="preserve">Dislocated Worker Adult Program and Youth Program (Title I of WIOA): Title I </w:t>
      </w:r>
      <w:r w:rsidRPr="00D61864">
        <w:rPr>
          <w:rFonts w:cs="Arial"/>
          <w:shd w:val="clear" w:color="auto" w:fill="FFFFFF"/>
        </w:rPr>
        <w:t>provides job search, education, and training activities for individuals seeking to gain or improve their employment prospects, and establishes the One-Stop delivery system, known as America’s Job Centers of California (AJCC). In addition, Title I of WIOA establishes the governing structure and the performance accountability for all programs authorized under WIOA.</w:t>
      </w:r>
    </w:p>
    <w:p w14:paraId="61EE60D7" w14:textId="77777777" w:rsidR="00F30E32" w:rsidRPr="00D61864" w:rsidRDefault="00F30E32" w:rsidP="00C412E3">
      <w:pPr>
        <w:pStyle w:val="ListParagraph"/>
        <w:numPr>
          <w:ilvl w:val="0"/>
          <w:numId w:val="21"/>
        </w:numPr>
        <w:shd w:val="clear" w:color="auto" w:fill="FFFFFF"/>
        <w:tabs>
          <w:tab w:val="left" w:pos="9160"/>
          <w:tab w:val="left" w:pos="10076"/>
          <w:tab w:val="left" w:pos="10992"/>
          <w:tab w:val="left" w:pos="11908"/>
          <w:tab w:val="left" w:pos="12824"/>
          <w:tab w:val="left" w:pos="13740"/>
          <w:tab w:val="left" w:pos="14656"/>
        </w:tabs>
        <w:spacing w:after="240"/>
        <w:contextualSpacing w:val="0"/>
        <w:rPr>
          <w:rFonts w:cs="Arial"/>
          <w:i/>
          <w:lang w:val="en"/>
        </w:rPr>
      </w:pPr>
      <w:r w:rsidRPr="00D61864">
        <w:rPr>
          <w:rFonts w:cs="Arial"/>
        </w:rPr>
        <w:t>Title II: AEFLA is focused on assisting:</w:t>
      </w:r>
    </w:p>
    <w:p w14:paraId="1105F0F9" w14:textId="77777777" w:rsidR="00F30E32" w:rsidRPr="00D61864" w:rsidRDefault="00F30E32" w:rsidP="00C412E3">
      <w:pPr>
        <w:pStyle w:val="ListParagraph"/>
        <w:numPr>
          <w:ilvl w:val="1"/>
          <w:numId w:val="21"/>
        </w:numPr>
        <w:spacing w:after="240"/>
        <w:contextualSpacing w:val="0"/>
        <w:rPr>
          <w:rFonts w:cs="Arial"/>
        </w:rPr>
      </w:pPr>
      <w:r w:rsidRPr="00D61864">
        <w:rPr>
          <w:rFonts w:cs="Arial"/>
          <w:lang w:val="en"/>
        </w:rPr>
        <w:t>Adults become literate and obtain the knowledge and skills necessary for employment and economic self-sufficiency;</w:t>
      </w:r>
    </w:p>
    <w:p w14:paraId="2BFA4445" w14:textId="77777777" w:rsidR="00F30E32" w:rsidRPr="00D61864" w:rsidRDefault="00F30E32" w:rsidP="00C412E3">
      <w:pPr>
        <w:pStyle w:val="ListParagraph"/>
        <w:numPr>
          <w:ilvl w:val="1"/>
          <w:numId w:val="21"/>
        </w:numPr>
        <w:shd w:val="clear" w:color="auto" w:fill="FFFFFF"/>
        <w:tabs>
          <w:tab w:val="left" w:pos="9160"/>
          <w:tab w:val="left" w:pos="10076"/>
          <w:tab w:val="left" w:pos="10992"/>
          <w:tab w:val="left" w:pos="11908"/>
          <w:tab w:val="left" w:pos="12824"/>
          <w:tab w:val="left" w:pos="13740"/>
          <w:tab w:val="left" w:pos="14656"/>
        </w:tabs>
        <w:spacing w:after="240"/>
        <w:contextualSpacing w:val="0"/>
        <w:rPr>
          <w:rFonts w:cs="Arial"/>
          <w:lang w:val="en"/>
        </w:rPr>
      </w:pPr>
      <w:r w:rsidRPr="00D61864">
        <w:rPr>
          <w:rFonts w:cs="Arial"/>
          <w:lang w:val="en"/>
        </w:rPr>
        <w:t>Adults who are parents or family members obtain the education and skills that are necessary to becoming full partners in the educational development of their children and lead to sustainable improvements in the economic opportunities for their family;</w:t>
      </w:r>
    </w:p>
    <w:p w14:paraId="3B19CD4E" w14:textId="77777777" w:rsidR="00F30E32" w:rsidRPr="00D61864" w:rsidRDefault="00F30E32" w:rsidP="00C412E3">
      <w:pPr>
        <w:pStyle w:val="ListParagraph"/>
        <w:numPr>
          <w:ilvl w:val="1"/>
          <w:numId w:val="21"/>
        </w:numPr>
        <w:shd w:val="clear" w:color="auto" w:fill="FFFFFF" w:themeFill="background1"/>
        <w:tabs>
          <w:tab w:val="left" w:pos="10076"/>
          <w:tab w:val="left" w:pos="10992"/>
          <w:tab w:val="left" w:pos="11908"/>
          <w:tab w:val="left" w:pos="12824"/>
          <w:tab w:val="left" w:pos="13740"/>
          <w:tab w:val="left" w:pos="14656"/>
        </w:tabs>
        <w:spacing w:after="240"/>
        <w:contextualSpacing w:val="0"/>
        <w:rPr>
          <w:rFonts w:cs="Arial"/>
        </w:rPr>
      </w:pPr>
      <w:r w:rsidRPr="00D61864">
        <w:rPr>
          <w:rFonts w:cs="Arial"/>
        </w:rPr>
        <w:t>Adults in attaining a secondary school diploma and in the transition to postsecondary education and training, including through career pathways; and</w:t>
      </w:r>
    </w:p>
    <w:p w14:paraId="67E5F2B0" w14:textId="77777777" w:rsidR="00F30E32" w:rsidRPr="00D61864" w:rsidRDefault="00F30E32" w:rsidP="00C412E3">
      <w:pPr>
        <w:pStyle w:val="ListParagraph"/>
        <w:numPr>
          <w:ilvl w:val="1"/>
          <w:numId w:val="21"/>
        </w:numPr>
        <w:shd w:val="clear" w:color="auto" w:fill="FFFFFF" w:themeFill="background1"/>
        <w:tabs>
          <w:tab w:val="left" w:pos="10076"/>
          <w:tab w:val="left" w:pos="10992"/>
          <w:tab w:val="left" w:pos="11908"/>
          <w:tab w:val="left" w:pos="12824"/>
          <w:tab w:val="left" w:pos="13740"/>
          <w:tab w:val="left" w:pos="14656"/>
        </w:tabs>
        <w:spacing w:after="240"/>
        <w:contextualSpacing w:val="0"/>
        <w:rPr>
          <w:rFonts w:cs="Arial"/>
        </w:rPr>
      </w:pPr>
      <w:r w:rsidRPr="00D61864">
        <w:rPr>
          <w:rFonts w:cs="Arial"/>
        </w:rPr>
        <w:t xml:space="preserve">Immigrants and other individuals who are English language learners in improving their reading, writing, speaking and comprehension skills in English, and mathematics skills, and to acquire an understanding of the </w:t>
      </w:r>
      <w:r w:rsidRPr="00D61864">
        <w:rPr>
          <w:rFonts w:cs="Arial"/>
        </w:rPr>
        <w:lastRenderedPageBreak/>
        <w:t>American system of government, individual freedom, and the responsibilities of citizenship.</w:t>
      </w:r>
    </w:p>
    <w:p w14:paraId="7B9C4378" w14:textId="77777777" w:rsidR="00F30E32" w:rsidRPr="00D61864" w:rsidRDefault="00F30E32" w:rsidP="00C412E3">
      <w:pPr>
        <w:numPr>
          <w:ilvl w:val="0"/>
          <w:numId w:val="21"/>
        </w:numPr>
        <w:autoSpaceDE w:val="0"/>
        <w:autoSpaceDN w:val="0"/>
        <w:adjustRightInd w:val="0"/>
        <w:spacing w:after="240"/>
        <w:rPr>
          <w:rFonts w:cs="Arial"/>
        </w:rPr>
      </w:pPr>
      <w:r w:rsidRPr="00D61864">
        <w:rPr>
          <w:rFonts w:cs="Arial"/>
        </w:rPr>
        <w:t xml:space="preserve">Wagner-Peyser Act Program (Title III): </w:t>
      </w:r>
      <w:r w:rsidRPr="00D61864">
        <w:rPr>
          <w:rFonts w:cs="Arial"/>
          <w:shd w:val="clear" w:color="auto" w:fill="FFFFFF"/>
        </w:rPr>
        <w:t>The </w:t>
      </w:r>
      <w:r w:rsidRPr="00D61864">
        <w:rPr>
          <w:rFonts w:eastAsiaTheme="majorEastAsia" w:cs="Arial"/>
          <w:shd w:val="clear" w:color="auto" w:fill="FFFFFF"/>
        </w:rPr>
        <w:t xml:space="preserve">Wagner-Peyser Act of 1933 </w:t>
      </w:r>
      <w:r w:rsidRPr="00D61864">
        <w:rPr>
          <w:rFonts w:cs="Arial"/>
          <w:shd w:val="clear" w:color="auto" w:fill="FFFFFF"/>
        </w:rPr>
        <w:t>established a nationwide system of public employment offices, known as the Employment Service. The Employment Service seeks to improve the functioning of the nation's labor markets by bringing together individuals seeking employment with employers seeking workers. In 2014, the Wagner-Peyser Act was amended under Title III of WIOA. Specifically, the Employment Service under WIOA builds upon the previous workforce reforms, requires colocation of the employment service offices into the AJCCs, and aligns performance accountability indicators with other federal workforce programs.</w:t>
      </w:r>
    </w:p>
    <w:p w14:paraId="34D54443" w14:textId="77777777" w:rsidR="00F30E32" w:rsidRPr="00D61864" w:rsidRDefault="00F30E32" w:rsidP="00C412E3">
      <w:pPr>
        <w:numPr>
          <w:ilvl w:val="0"/>
          <w:numId w:val="21"/>
        </w:numPr>
        <w:autoSpaceDE w:val="0"/>
        <w:autoSpaceDN w:val="0"/>
        <w:adjustRightInd w:val="0"/>
        <w:spacing w:after="240"/>
        <w:rPr>
          <w:rFonts w:cs="Arial"/>
        </w:rPr>
      </w:pPr>
      <w:r w:rsidRPr="00D61864">
        <w:rPr>
          <w:rFonts w:cs="Arial"/>
        </w:rPr>
        <w:t xml:space="preserve">Vocational Rehabilitation Program (Title IV): This program is administered by the DOR. </w:t>
      </w:r>
      <w:r w:rsidRPr="00D61864">
        <w:rPr>
          <w:rFonts w:cs="Arial"/>
          <w:shd w:val="clear" w:color="auto" w:fill="FFFFFF"/>
        </w:rPr>
        <w:t>California works in partnership with consumers and other stakeholders to provide services and advocacy, resulting in employment, independent living, and equality for individuals with disabilities.</w:t>
      </w:r>
    </w:p>
    <w:p w14:paraId="74A886F1" w14:textId="77777777" w:rsidR="00F30E32" w:rsidRPr="00D61864" w:rsidRDefault="00F30E32" w:rsidP="00C412E3">
      <w:pPr>
        <w:autoSpaceDE w:val="0"/>
        <w:autoSpaceDN w:val="0"/>
        <w:adjustRightInd w:val="0"/>
        <w:spacing w:after="240"/>
        <w:rPr>
          <w:rFonts w:cs="Arial"/>
        </w:rPr>
      </w:pPr>
      <w:r w:rsidRPr="00D61864">
        <w:rPr>
          <w:rFonts w:cs="Arial"/>
        </w:rPr>
        <w:t>In California, the competitive Title II: AEFLA grant provides funding to 217 sub-grantees. Of these, 172 are adult education programs within a local educational agency or a county office of education, 13 are community-based organizations, 22 are community colleges (non-credit programs), 4 are libraries, 1 coalition of 5 local educational agencies and 1 community college, 1 joint powers authority, and 1 county sheriff’s office. The California Department of Corrections and Rehabilitation and Department of Developmental Services, and the Department of State Hospitals are also sub-grantees of WIOA Title II funds.</w:t>
      </w:r>
    </w:p>
    <w:p w14:paraId="004DCC22" w14:textId="77777777" w:rsidR="00F30E32" w:rsidRPr="00D61864" w:rsidRDefault="00F30E32" w:rsidP="00C412E3">
      <w:pPr>
        <w:spacing w:after="240"/>
        <w:rPr>
          <w:rFonts w:eastAsiaTheme="minorEastAsia"/>
          <w:iCs/>
        </w:rPr>
      </w:pPr>
      <w:r w:rsidRPr="00D61864">
        <w:t xml:space="preserve">The first California State Plan was approved by the DOL and ED in October 2016. The WIOA requires that states review their plans every two years and update their state plan strategies, based on changes in the labor market and economic conditions or other factors affecting the implementation of the state plan. </w:t>
      </w:r>
      <w:r w:rsidRPr="00D61864">
        <w:rPr>
          <w:rFonts w:eastAsiaTheme="minorEastAsia"/>
          <w:iCs/>
        </w:rPr>
        <w:t>It is required that the public be given 30 days to comment on the modified California State Plan. The public comment period ended on February 11, 2026. Based on public comments, no revisions were needed to the Title II: AEFLA modified plan.</w:t>
      </w:r>
    </w:p>
    <w:p w14:paraId="3905A97A" w14:textId="29438211" w:rsidR="00B0416C" w:rsidRDefault="00F30E32" w:rsidP="00B0416C">
      <w:pPr>
        <w:spacing w:after="240"/>
      </w:pPr>
      <w:r w:rsidRPr="00D61864">
        <w:rPr>
          <w:rFonts w:eastAsiaTheme="minorEastAsia"/>
          <w:iCs/>
        </w:rPr>
        <w:t xml:space="preserve">The proposed updates to the Title II: AEFLA component of the WIOA State Plan are non-substantive in nature and do not reflect any changes in policy. The modifications to the Title II: AEFLA component include changing verb tense from future to present or past and the addition of the next WIOA Title II: AEFLA request for application which will include the opportunity for sub-recipients to receive performance funding for Adult Basic and Secondary Education students in Integrated Education and Training. </w:t>
      </w:r>
      <w:r w:rsidRPr="00D61864">
        <w:t xml:space="preserve">The full draft State Plan may be accessed on the CWDB WIOA Unified Strategic Workforce Development Plan (Draft) web page at </w:t>
      </w:r>
      <w:hyperlink r:id="rId11" w:tooltip="https://cwdb.ca.gov/cwdb-home/reports/ca-unified-strategic-workforce-development-plan/" w:history="1">
        <w:r w:rsidRPr="00D61864">
          <w:rPr>
            <w:rStyle w:val="Hyperlink"/>
            <w:rFonts w:eastAsiaTheme="majorEastAsia"/>
          </w:rPr>
          <w:t>CA Unified Strategic Workforce Development Plan (California Workplace Development Board)</w:t>
        </w:r>
      </w:hyperlink>
      <w:r w:rsidRPr="00D61864">
        <w:t>.</w:t>
      </w:r>
      <w:r w:rsidR="00B0416C">
        <w:br w:type="page"/>
      </w:r>
    </w:p>
    <w:p w14:paraId="6CA8D273" w14:textId="56D2EA67" w:rsidR="003E4DF7" w:rsidRPr="000C4891" w:rsidRDefault="00F30E32" w:rsidP="00C412E3">
      <w:pPr>
        <w:spacing w:after="240"/>
        <w:rPr>
          <w:rFonts w:cs="Arial"/>
        </w:rPr>
      </w:pPr>
      <w:r w:rsidRPr="00D61864">
        <w:lastRenderedPageBreak/>
        <w:t xml:space="preserve">Per the United States Department of Education’s Office of Career, Technical, and Adult Education (OCTAE) Program Memorandum OCTAE 26-1 and the DOL’s Employment and Training Administration (ETA) Advisory Training and Employment Guidance Letter (TEGL) No. 07-25 state plan modifications must be submitted by March 3, 2026. Staff from the CWDB have received an extension of this deadline. Upon approval by the SBE, CDE staff will </w:t>
      </w:r>
      <w:r>
        <w:t>upload</w:t>
      </w:r>
      <w:r w:rsidRPr="00D61864">
        <w:t xml:space="preserve"> the Title II: AEFLA section of the State Plan via the WIOA State Plan Portal (Portal). Once all sections are completed, staff from the CWDB will submit the entire State </w:t>
      </w:r>
      <w:proofErr w:type="gramStart"/>
      <w:r w:rsidRPr="00D61864">
        <w:t>Plan,</w:t>
      </w:r>
      <w:proofErr w:type="gramEnd"/>
      <w:r w:rsidRPr="00D61864">
        <w:t xml:space="preserve"> on the Governor’s behalf. The federal government will review and provide a decision within 90 days, as required by section 102(c)(2)(B) and (3)(B) of WIOA. CDE staff will be alerted via email if there are any questions, clarifications, or required changes to the Title II: AEFLA section. CDE staff will be given a timeline to complete the changes. Once the federal government approves the modifications to the State Plan, CWDB and all Titles are alerted via e-mail. The State Plan modifications will go into effect July 1, 2026.</w:t>
      </w:r>
      <w:r w:rsidR="00DD3FAD" w:rsidRPr="000C4891">
        <w:t xml:space="preserve"> </w:t>
      </w:r>
    </w:p>
    <w:p w14:paraId="239E79B2" w14:textId="77777777" w:rsidR="003E4DF7" w:rsidRPr="000C4891" w:rsidRDefault="003E4DF7" w:rsidP="00C412E3">
      <w:pPr>
        <w:pStyle w:val="Heading2"/>
        <w:spacing w:before="240" w:after="240"/>
        <w:rPr>
          <w:sz w:val="36"/>
          <w:szCs w:val="36"/>
        </w:rPr>
      </w:pPr>
      <w:r w:rsidRPr="000C4891">
        <w:rPr>
          <w:sz w:val="36"/>
          <w:szCs w:val="36"/>
        </w:rPr>
        <w:t xml:space="preserve">Summary of Previous </w:t>
      </w:r>
      <w:r w:rsidR="00677419" w:rsidRPr="000C4891">
        <w:rPr>
          <w:sz w:val="36"/>
          <w:szCs w:val="36"/>
        </w:rPr>
        <w:t>California Workforce Pathways Joint Advisory Committee</w:t>
      </w:r>
      <w:r w:rsidRPr="000C4891">
        <w:rPr>
          <w:sz w:val="36"/>
          <w:szCs w:val="36"/>
        </w:rPr>
        <w:t xml:space="preserve"> Discussion</w:t>
      </w:r>
      <w:r w:rsidR="00677419" w:rsidRPr="000C4891">
        <w:rPr>
          <w:sz w:val="36"/>
          <w:szCs w:val="36"/>
        </w:rPr>
        <w:t>(s)</w:t>
      </w:r>
      <w:r w:rsidRPr="000C4891">
        <w:rPr>
          <w:sz w:val="36"/>
          <w:szCs w:val="36"/>
        </w:rPr>
        <w:t xml:space="preserve"> and Action</w:t>
      </w:r>
      <w:r w:rsidR="00677419" w:rsidRPr="000C4891">
        <w:rPr>
          <w:sz w:val="36"/>
          <w:szCs w:val="36"/>
        </w:rPr>
        <w:t>(s)</w:t>
      </w:r>
    </w:p>
    <w:p w14:paraId="11AF5525" w14:textId="60E5E126" w:rsidR="003E4DF7" w:rsidRPr="000C4891" w:rsidRDefault="00F30E32" w:rsidP="00C412E3">
      <w:pPr>
        <w:spacing w:after="240"/>
        <w:rPr>
          <w:b/>
        </w:rPr>
      </w:pPr>
      <w:r>
        <w:t>Dr. Carolyn Zachry</w:t>
      </w:r>
      <w:r w:rsidR="001A7180" w:rsidRPr="000C4891">
        <w:t>,</w:t>
      </w:r>
      <w:r>
        <w:t xml:space="preserve"> Education Administrator/State Director from the Adult Education Office at the CDE</w:t>
      </w:r>
      <w:r w:rsidR="00FA1796" w:rsidRPr="000C4891">
        <w:t xml:space="preserve"> provided an update on California’s Unified Strategic Workforce Plan to the California Workforce Pathways Joint Advisory Committee at its </w:t>
      </w:r>
      <w:r>
        <w:t>February 2024</w:t>
      </w:r>
      <w:r w:rsidR="00FA1796" w:rsidRPr="000C4891">
        <w:t xml:space="preserve"> meeting.</w:t>
      </w:r>
    </w:p>
    <w:p w14:paraId="0E6217C1" w14:textId="77777777" w:rsidR="003E4DF7" w:rsidRPr="000C4891" w:rsidRDefault="003E4DF7" w:rsidP="00C412E3">
      <w:pPr>
        <w:pStyle w:val="Heading2"/>
        <w:spacing w:before="240" w:after="240"/>
        <w:rPr>
          <w:sz w:val="36"/>
          <w:szCs w:val="36"/>
        </w:rPr>
      </w:pPr>
      <w:r w:rsidRPr="000C4891">
        <w:rPr>
          <w:sz w:val="36"/>
          <w:szCs w:val="36"/>
        </w:rPr>
        <w:t>Fiscal Analysis (as appropriate)</w:t>
      </w:r>
    </w:p>
    <w:p w14:paraId="36865422" w14:textId="5357ED9C" w:rsidR="00877234" w:rsidRPr="000C651E" w:rsidRDefault="00F30E32" w:rsidP="00C412E3">
      <w:pPr>
        <w:spacing w:after="240"/>
      </w:pPr>
      <w:r w:rsidRPr="0059282A">
        <w:rPr>
          <w:rFonts w:cs="Arial"/>
        </w:rPr>
        <w:t>As the largest state in the country, with the largest population targeted by the programs within the WIOA, California averages approximately 20 percent of the funds allocated to these federal programs. The CDE’s responsibility, which includes most of the programs within WIOA, requires full legal and fiduciary management to execute these programs. This includes submitting all required documents and reports, along with meeting the timelines established by federal legislation.</w:t>
      </w:r>
    </w:p>
    <w:p w14:paraId="02F0A122" w14:textId="77777777" w:rsidR="00406F50" w:rsidRPr="000C4891" w:rsidRDefault="00406F50" w:rsidP="00C412E3">
      <w:pPr>
        <w:pStyle w:val="Heading2"/>
        <w:spacing w:before="240" w:after="240"/>
        <w:rPr>
          <w:sz w:val="36"/>
          <w:szCs w:val="36"/>
        </w:rPr>
      </w:pPr>
      <w:r w:rsidRPr="000C4891">
        <w:rPr>
          <w:sz w:val="36"/>
          <w:szCs w:val="36"/>
        </w:rPr>
        <w:t>Attachment(s)</w:t>
      </w:r>
    </w:p>
    <w:p w14:paraId="646249E0" w14:textId="77777777" w:rsidR="00DD3FAD" w:rsidRPr="00C33DF8" w:rsidRDefault="00AE0651" w:rsidP="00C412E3">
      <w:pPr>
        <w:spacing w:after="240"/>
        <w:rPr>
          <w:rFonts w:cs="Arial"/>
          <w:color w:val="000000"/>
          <w:lang w:val="en"/>
        </w:rPr>
      </w:pPr>
      <w:r w:rsidRPr="000C4891">
        <w:rPr>
          <w:rFonts w:cs="Arial"/>
          <w:color w:val="000000"/>
          <w:lang w:val="en"/>
        </w:rPr>
        <w:t>None.</w:t>
      </w:r>
    </w:p>
    <w:sectPr w:rsidR="00DD3FAD" w:rsidRPr="00C33DF8"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1A72" w14:textId="77777777" w:rsidR="00254D64" w:rsidRDefault="00254D64" w:rsidP="000E09DC">
      <w:r>
        <w:separator/>
      </w:r>
    </w:p>
  </w:endnote>
  <w:endnote w:type="continuationSeparator" w:id="0">
    <w:p w14:paraId="3C3380B4" w14:textId="77777777" w:rsidR="00254D64" w:rsidRDefault="00254D64"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D056" w14:textId="77777777" w:rsidR="00254D64" w:rsidRDefault="00254D64" w:rsidP="000E09DC">
      <w:r>
        <w:separator/>
      </w:r>
    </w:p>
  </w:footnote>
  <w:footnote w:type="continuationSeparator" w:id="0">
    <w:p w14:paraId="41B4613E" w14:textId="77777777" w:rsidR="00254D64" w:rsidRDefault="00254D64"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00F3" w14:textId="77777777" w:rsidR="007C3AA1" w:rsidRDefault="00C54D0A" w:rsidP="007C3AA1">
    <w:pPr>
      <w:pStyle w:val="Header"/>
      <w:jc w:val="right"/>
      <w:rPr>
        <w:rFonts w:cs="Arial"/>
      </w:rPr>
    </w:pPr>
    <w:r>
      <w:rPr>
        <w:rFonts w:cs="Arial"/>
      </w:rPr>
      <w:t>California Workforce Pathways Joint Advisory Committee</w:t>
    </w:r>
  </w:p>
  <w:p w14:paraId="2A9521F3" w14:textId="4171B307" w:rsidR="00677419" w:rsidRPr="00AE0651" w:rsidRDefault="00696B59" w:rsidP="007C3AA1">
    <w:pPr>
      <w:pStyle w:val="Header"/>
      <w:jc w:val="right"/>
      <w:rPr>
        <w:rFonts w:cs="Arial"/>
        <w:color w:val="000000" w:themeColor="text1"/>
      </w:rPr>
    </w:pPr>
    <w:r w:rsidRPr="00AE0651">
      <w:rPr>
        <w:rFonts w:cs="Arial"/>
        <w:color w:val="000000" w:themeColor="text1"/>
      </w:rPr>
      <w:t>cwpjac-</w:t>
    </w:r>
    <w:r w:rsidR="00F30E32">
      <w:rPr>
        <w:rFonts w:cs="Arial"/>
        <w:color w:val="000000" w:themeColor="text1"/>
      </w:rPr>
      <w:t>mar26</w:t>
    </w:r>
    <w:r w:rsidR="00AE0651" w:rsidRPr="00AE0651">
      <w:rPr>
        <w:rFonts w:cs="Arial"/>
        <w:color w:val="000000" w:themeColor="text1"/>
      </w:rPr>
      <w:t>item0</w:t>
    </w:r>
    <w:r w:rsidR="0059282A">
      <w:rPr>
        <w:rFonts w:cs="Arial"/>
        <w:color w:val="000000" w:themeColor="text1"/>
      </w:rPr>
      <w:t>5</w:t>
    </w:r>
  </w:p>
  <w:p w14:paraId="36443F8B" w14:textId="77777777" w:rsidR="00194D47" w:rsidRDefault="00194D47"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1</w:t>
    </w:r>
    <w:r w:rsidRPr="000E09DC">
      <w:rPr>
        <w:rFonts w:cs="Arial"/>
        <w:noProof/>
      </w:rPr>
      <w:fldChar w:fldCharType="end"/>
    </w:r>
    <w:r w:rsidRPr="000E09DC">
      <w:rPr>
        <w:rFonts w:cs="Arial"/>
      </w:rPr>
      <w:t xml:space="preserve"> of </w:t>
    </w:r>
    <w:r w:rsidR="00AE0651">
      <w:rPr>
        <w:rFonts w:cs="Arial"/>
      </w:rPr>
      <w:t>4</w:t>
    </w:r>
  </w:p>
  <w:p w14:paraId="73469049" w14:textId="77777777" w:rsidR="00194D47" w:rsidRPr="00527B0E" w:rsidRDefault="00194D47"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5CEF" w14:textId="5909BDF8" w:rsidR="00C54D0A" w:rsidRDefault="00C54D0A" w:rsidP="00C54D0A">
    <w:pPr>
      <w:pStyle w:val="Header"/>
      <w:jc w:val="right"/>
      <w:rPr>
        <w:rFonts w:cs="Arial"/>
      </w:rPr>
    </w:pPr>
    <w:r>
      <w:rPr>
        <w:rFonts w:cs="Arial"/>
      </w:rPr>
      <w:t>cwpjac</w:t>
    </w:r>
    <w:r w:rsidR="00E64AF6">
      <w:rPr>
        <w:rFonts w:cs="Arial"/>
      </w:rPr>
      <w:t>-</w:t>
    </w:r>
    <w:r w:rsidR="00BD5D71">
      <w:rPr>
        <w:rFonts w:cs="Arial"/>
      </w:rPr>
      <w:t>mar26</w:t>
    </w:r>
    <w:r w:rsidRPr="00AE0651">
      <w:rPr>
        <w:rFonts w:cs="Arial"/>
        <w:color w:val="000000" w:themeColor="text1"/>
      </w:rPr>
      <w:t>item</w:t>
    </w:r>
    <w:r w:rsidR="00AE0651" w:rsidRPr="00AE0651">
      <w:rPr>
        <w:rFonts w:cs="Arial"/>
        <w:color w:val="000000" w:themeColor="text1"/>
      </w:rPr>
      <w:t>0</w:t>
    </w:r>
    <w:r w:rsidR="00BD5D71">
      <w:rPr>
        <w:rFonts w:cs="Arial"/>
        <w:color w:val="000000" w:themeColor="text1"/>
      </w:rPr>
      <w:t>5</w:t>
    </w:r>
  </w:p>
  <w:p w14:paraId="5BCEDF84" w14:textId="77777777" w:rsidR="00C54D0A" w:rsidRDefault="00C54D0A"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4</w:t>
    </w:r>
    <w:r w:rsidRPr="000E09DC">
      <w:rPr>
        <w:rFonts w:cs="Arial"/>
        <w:noProof/>
      </w:rPr>
      <w:fldChar w:fldCharType="end"/>
    </w:r>
    <w:r w:rsidRPr="000E09DC">
      <w:rPr>
        <w:rFonts w:cs="Arial"/>
      </w:rPr>
      <w:t xml:space="preserve"> of </w:t>
    </w:r>
    <w:r w:rsidR="00AE0651">
      <w:rPr>
        <w:rFonts w:cs="Arial"/>
      </w:rPr>
      <w:t>4</w:t>
    </w:r>
  </w:p>
  <w:p w14:paraId="2A61A89D" w14:textId="77777777" w:rsidR="00194D47" w:rsidRPr="00527B0E" w:rsidRDefault="00194D47" w:rsidP="000E09DC">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5D1D"/>
    <w:multiLevelType w:val="hybridMultilevel"/>
    <w:tmpl w:val="F750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CF5298"/>
    <w:multiLevelType w:val="hybridMultilevel"/>
    <w:tmpl w:val="D82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C21D6"/>
    <w:multiLevelType w:val="hybridMultilevel"/>
    <w:tmpl w:val="783C0E22"/>
    <w:lvl w:ilvl="0" w:tplc="A852F000">
      <w:start w:val="5"/>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90219"/>
    <w:multiLevelType w:val="hybridMultilevel"/>
    <w:tmpl w:val="B720FB7A"/>
    <w:lvl w:ilvl="0" w:tplc="D4962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94CD7"/>
    <w:multiLevelType w:val="hybridMultilevel"/>
    <w:tmpl w:val="2C786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7823FDE">
      <w:start w:val="1"/>
      <w:numFmt w:val="upp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463B7"/>
    <w:multiLevelType w:val="hybridMultilevel"/>
    <w:tmpl w:val="6A20ABC6"/>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A4532A"/>
    <w:multiLevelType w:val="hybridMultilevel"/>
    <w:tmpl w:val="8EC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E209D"/>
    <w:multiLevelType w:val="hybridMultilevel"/>
    <w:tmpl w:val="C258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24249"/>
    <w:multiLevelType w:val="hybridMultilevel"/>
    <w:tmpl w:val="E97A7380"/>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8315D"/>
    <w:multiLevelType w:val="hybridMultilevel"/>
    <w:tmpl w:val="FE84D07E"/>
    <w:lvl w:ilvl="0" w:tplc="3206641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22853"/>
    <w:multiLevelType w:val="hybridMultilevel"/>
    <w:tmpl w:val="660C4634"/>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87E21"/>
    <w:multiLevelType w:val="hybridMultilevel"/>
    <w:tmpl w:val="019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51740D"/>
    <w:multiLevelType w:val="hybridMultilevel"/>
    <w:tmpl w:val="FD8ECCBA"/>
    <w:lvl w:ilvl="0" w:tplc="04090001">
      <w:start w:val="1"/>
      <w:numFmt w:val="bullet"/>
      <w:lvlText w:val=""/>
      <w:lvlJc w:val="left"/>
      <w:pPr>
        <w:ind w:left="1080" w:hanging="720"/>
      </w:pPr>
      <w:rPr>
        <w:rFonts w:ascii="Symbol" w:hAnsi="Symbol" w:hint="default"/>
      </w:rPr>
    </w:lvl>
    <w:lvl w:ilvl="1" w:tplc="B97EBCBC">
      <w:start w:val="5"/>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F5476"/>
    <w:multiLevelType w:val="hybridMultilevel"/>
    <w:tmpl w:val="D85C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528947">
    <w:abstractNumId w:val="9"/>
  </w:num>
  <w:num w:numId="2" w16cid:durableId="1983151745">
    <w:abstractNumId w:val="18"/>
  </w:num>
  <w:num w:numId="3" w16cid:durableId="1681661513">
    <w:abstractNumId w:val="3"/>
  </w:num>
  <w:num w:numId="4" w16cid:durableId="1106079738">
    <w:abstractNumId w:val="14"/>
  </w:num>
  <w:num w:numId="5" w16cid:durableId="551814915">
    <w:abstractNumId w:val="15"/>
  </w:num>
  <w:num w:numId="6" w16cid:durableId="163401418">
    <w:abstractNumId w:val="0"/>
  </w:num>
  <w:num w:numId="7" w16cid:durableId="1563634782">
    <w:abstractNumId w:val="5"/>
  </w:num>
  <w:num w:numId="8" w16cid:durableId="574390122">
    <w:abstractNumId w:val="2"/>
  </w:num>
  <w:num w:numId="9" w16cid:durableId="1934586453">
    <w:abstractNumId w:val="11"/>
  </w:num>
  <w:num w:numId="10" w16cid:durableId="1388845754">
    <w:abstractNumId w:val="10"/>
  </w:num>
  <w:num w:numId="11" w16cid:durableId="1148861998">
    <w:abstractNumId w:val="20"/>
  </w:num>
  <w:num w:numId="12" w16cid:durableId="1865551840">
    <w:abstractNumId w:val="12"/>
  </w:num>
  <w:num w:numId="13" w16cid:durableId="1405954214">
    <w:abstractNumId w:val="16"/>
  </w:num>
  <w:num w:numId="14" w16cid:durableId="1138261234">
    <w:abstractNumId w:val="8"/>
  </w:num>
  <w:num w:numId="15" w16cid:durableId="421610737">
    <w:abstractNumId w:val="4"/>
  </w:num>
  <w:num w:numId="16" w16cid:durableId="268851347">
    <w:abstractNumId w:val="19"/>
  </w:num>
  <w:num w:numId="17" w16cid:durableId="2003461767">
    <w:abstractNumId w:val="1"/>
  </w:num>
  <w:num w:numId="18" w16cid:durableId="1910770231">
    <w:abstractNumId w:val="13"/>
  </w:num>
  <w:num w:numId="19" w16cid:durableId="1309551097">
    <w:abstractNumId w:val="17"/>
  </w:num>
  <w:num w:numId="20" w16cid:durableId="32926736">
    <w:abstractNumId w:val="6"/>
  </w:num>
  <w:num w:numId="21" w16cid:durableId="939069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24AD"/>
    <w:rsid w:val="00033B4B"/>
    <w:rsid w:val="000A1DBA"/>
    <w:rsid w:val="000B74E5"/>
    <w:rsid w:val="000C4891"/>
    <w:rsid w:val="000C6646"/>
    <w:rsid w:val="000E09DC"/>
    <w:rsid w:val="001048F3"/>
    <w:rsid w:val="00130059"/>
    <w:rsid w:val="00163CA1"/>
    <w:rsid w:val="0018148D"/>
    <w:rsid w:val="00194D47"/>
    <w:rsid w:val="001A0CA5"/>
    <w:rsid w:val="001A5F58"/>
    <w:rsid w:val="001A7180"/>
    <w:rsid w:val="001B3958"/>
    <w:rsid w:val="001E1929"/>
    <w:rsid w:val="00223112"/>
    <w:rsid w:val="00240B26"/>
    <w:rsid w:val="00254D64"/>
    <w:rsid w:val="00271A12"/>
    <w:rsid w:val="002A70F1"/>
    <w:rsid w:val="002B4B14"/>
    <w:rsid w:val="002C1106"/>
    <w:rsid w:val="002C3DD0"/>
    <w:rsid w:val="002C47E2"/>
    <w:rsid w:val="002D1A82"/>
    <w:rsid w:val="002D5768"/>
    <w:rsid w:val="002E1B29"/>
    <w:rsid w:val="002E4CB5"/>
    <w:rsid w:val="002E6FCA"/>
    <w:rsid w:val="002F279B"/>
    <w:rsid w:val="00315131"/>
    <w:rsid w:val="00363520"/>
    <w:rsid w:val="003705FC"/>
    <w:rsid w:val="00384ACF"/>
    <w:rsid w:val="003C3552"/>
    <w:rsid w:val="003D1ECD"/>
    <w:rsid w:val="003E1E8D"/>
    <w:rsid w:val="003E4DF7"/>
    <w:rsid w:val="004052ED"/>
    <w:rsid w:val="00406F50"/>
    <w:rsid w:val="00407E9B"/>
    <w:rsid w:val="004203BC"/>
    <w:rsid w:val="004342F4"/>
    <w:rsid w:val="0044670C"/>
    <w:rsid w:val="00450FB3"/>
    <w:rsid w:val="0047534A"/>
    <w:rsid w:val="00482779"/>
    <w:rsid w:val="004B3C52"/>
    <w:rsid w:val="004E029B"/>
    <w:rsid w:val="00500763"/>
    <w:rsid w:val="00501703"/>
    <w:rsid w:val="00515A93"/>
    <w:rsid w:val="00517C00"/>
    <w:rsid w:val="00527B0E"/>
    <w:rsid w:val="00537C82"/>
    <w:rsid w:val="00555CC5"/>
    <w:rsid w:val="0059282A"/>
    <w:rsid w:val="005C3511"/>
    <w:rsid w:val="00624DB7"/>
    <w:rsid w:val="00634F6C"/>
    <w:rsid w:val="00677419"/>
    <w:rsid w:val="00692300"/>
    <w:rsid w:val="00693951"/>
    <w:rsid w:val="00696B59"/>
    <w:rsid w:val="006B2111"/>
    <w:rsid w:val="006C586B"/>
    <w:rsid w:val="006D0223"/>
    <w:rsid w:val="006D4A45"/>
    <w:rsid w:val="006D4E20"/>
    <w:rsid w:val="006E06C6"/>
    <w:rsid w:val="00726EDA"/>
    <w:rsid w:val="007313A3"/>
    <w:rsid w:val="007428B8"/>
    <w:rsid w:val="00746164"/>
    <w:rsid w:val="00780BB6"/>
    <w:rsid w:val="007C327B"/>
    <w:rsid w:val="007C3AA1"/>
    <w:rsid w:val="007C4FFE"/>
    <w:rsid w:val="007C5697"/>
    <w:rsid w:val="007D6A8F"/>
    <w:rsid w:val="007E3BB2"/>
    <w:rsid w:val="008106ED"/>
    <w:rsid w:val="008138EA"/>
    <w:rsid w:val="00843637"/>
    <w:rsid w:val="00877234"/>
    <w:rsid w:val="008909EE"/>
    <w:rsid w:val="0091117B"/>
    <w:rsid w:val="00970B72"/>
    <w:rsid w:val="00992087"/>
    <w:rsid w:val="009A347B"/>
    <w:rsid w:val="009B04E1"/>
    <w:rsid w:val="009B49B1"/>
    <w:rsid w:val="009C6E66"/>
    <w:rsid w:val="009D5028"/>
    <w:rsid w:val="009F29D1"/>
    <w:rsid w:val="00A07F42"/>
    <w:rsid w:val="00A148D8"/>
    <w:rsid w:val="00A16315"/>
    <w:rsid w:val="00A222CE"/>
    <w:rsid w:val="00A24F1C"/>
    <w:rsid w:val="00A30B3C"/>
    <w:rsid w:val="00A853A5"/>
    <w:rsid w:val="00AE0651"/>
    <w:rsid w:val="00AE5D9B"/>
    <w:rsid w:val="00B00D73"/>
    <w:rsid w:val="00B0416C"/>
    <w:rsid w:val="00B652A3"/>
    <w:rsid w:val="00B723BE"/>
    <w:rsid w:val="00B82705"/>
    <w:rsid w:val="00B84BD6"/>
    <w:rsid w:val="00BD5D71"/>
    <w:rsid w:val="00BD7622"/>
    <w:rsid w:val="00C020C6"/>
    <w:rsid w:val="00C27D57"/>
    <w:rsid w:val="00C33DF8"/>
    <w:rsid w:val="00C412E3"/>
    <w:rsid w:val="00C41E4F"/>
    <w:rsid w:val="00C54D0A"/>
    <w:rsid w:val="00C70064"/>
    <w:rsid w:val="00C82CBA"/>
    <w:rsid w:val="00CC19C4"/>
    <w:rsid w:val="00CD775B"/>
    <w:rsid w:val="00CE1C84"/>
    <w:rsid w:val="00D46023"/>
    <w:rsid w:val="00D47DAB"/>
    <w:rsid w:val="00D5115F"/>
    <w:rsid w:val="00D60F14"/>
    <w:rsid w:val="00D61502"/>
    <w:rsid w:val="00D8667C"/>
    <w:rsid w:val="00D86AB9"/>
    <w:rsid w:val="00D91306"/>
    <w:rsid w:val="00DB1900"/>
    <w:rsid w:val="00DD3FAD"/>
    <w:rsid w:val="00DF0ACA"/>
    <w:rsid w:val="00E038E9"/>
    <w:rsid w:val="00E120F9"/>
    <w:rsid w:val="00E55EA9"/>
    <w:rsid w:val="00E57B20"/>
    <w:rsid w:val="00E64AF6"/>
    <w:rsid w:val="00EA7D4F"/>
    <w:rsid w:val="00EB16F7"/>
    <w:rsid w:val="00EC504C"/>
    <w:rsid w:val="00EF1BC1"/>
    <w:rsid w:val="00F22252"/>
    <w:rsid w:val="00F2570A"/>
    <w:rsid w:val="00F27167"/>
    <w:rsid w:val="00F30E32"/>
    <w:rsid w:val="00F40510"/>
    <w:rsid w:val="00FA1796"/>
    <w:rsid w:val="00FC1BDE"/>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6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1DBA"/>
    <w:rPr>
      <w:sz w:val="16"/>
      <w:szCs w:val="16"/>
    </w:rPr>
  </w:style>
  <w:style w:type="paragraph" w:styleId="CommentText">
    <w:name w:val="annotation text"/>
    <w:basedOn w:val="Normal"/>
    <w:link w:val="CommentTextChar"/>
    <w:uiPriority w:val="99"/>
    <w:semiHidden/>
    <w:unhideWhenUsed/>
    <w:rsid w:val="000A1DBA"/>
    <w:rPr>
      <w:sz w:val="20"/>
      <w:szCs w:val="20"/>
    </w:rPr>
  </w:style>
  <w:style w:type="character" w:customStyle="1" w:styleId="CommentTextChar">
    <w:name w:val="Comment Text Char"/>
    <w:basedOn w:val="DefaultParagraphFont"/>
    <w:link w:val="CommentText"/>
    <w:uiPriority w:val="99"/>
    <w:semiHidden/>
    <w:rsid w:val="000A1D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1DBA"/>
    <w:rPr>
      <w:b/>
      <w:bCs/>
    </w:rPr>
  </w:style>
  <w:style w:type="character" w:customStyle="1" w:styleId="CommentSubjectChar">
    <w:name w:val="Comment Subject Char"/>
    <w:basedOn w:val="CommentTextChar"/>
    <w:link w:val="CommentSubject"/>
    <w:uiPriority w:val="99"/>
    <w:semiHidden/>
    <w:rsid w:val="000A1DB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7180"/>
    <w:rPr>
      <w:color w:val="954F72" w:themeColor="followedHyperlink"/>
      <w:u w:val="single"/>
    </w:rPr>
  </w:style>
  <w:style w:type="paragraph" w:styleId="NormalWeb">
    <w:name w:val="Normal (Web)"/>
    <w:basedOn w:val="Normal"/>
    <w:uiPriority w:val="99"/>
    <w:unhideWhenUsed/>
    <w:rsid w:val="002E1B29"/>
    <w:rPr>
      <w:rFonts w:ascii="Times New Roman" w:eastAsiaTheme="minorHAnsi" w:hAnsi="Times New Roman"/>
    </w:rPr>
  </w:style>
  <w:style w:type="character" w:styleId="UnresolvedMention">
    <w:name w:val="Unresolved Mention"/>
    <w:basedOn w:val="DefaultParagraphFont"/>
    <w:uiPriority w:val="99"/>
    <w:semiHidden/>
    <w:unhideWhenUsed/>
    <w:rsid w:val="0087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191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9055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db.ca.gov/cwdb-home/reports/ca-unified-strategic-workforce-development-plan/"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CWPJAC March 2026 Agenda Item 05 - General Information (CA Dept of Education)</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2026 Agenda Item 05 - General Information (CA Dept of Education)</dc:title>
  <dc:subject>Overview of the Workforce Innovation and Opportunity Act, Adult Education and Family Literacy Act, Unified Strategic Workforce Development Plan 2024–27 Midcycle Modifications for the California Workforce Pathways Joint Advisory Committee (CWPJAC).</dc:subject>
  <dc:creator/>
  <cp:keywords/>
  <dc:description/>
  <cp:lastModifiedBy/>
  <cp:revision>1</cp:revision>
  <dcterms:created xsi:type="dcterms:W3CDTF">2026-03-11T21:36:00Z</dcterms:created>
  <dcterms:modified xsi:type="dcterms:W3CDTF">2026-03-12T16:01:00Z</dcterms:modified>
</cp:coreProperties>
</file>