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79E" w:rsidRDefault="0055479E" w:rsidP="001F21ED">
      <w:pPr>
        <w:pStyle w:val="Heading1"/>
        <w:spacing w:before="0" w:after="0"/>
        <w:jc w:val="center"/>
        <w:rPr>
          <w:rFonts w:cs="Arial"/>
          <w:szCs w:val="24"/>
        </w:rPr>
      </w:pPr>
      <w:bookmarkStart w:id="0" w:name="_GoBack"/>
      <w:bookmarkEnd w:id="0"/>
      <w:r>
        <w:rPr>
          <w:rFonts w:cs="Arial"/>
          <w:szCs w:val="24"/>
        </w:rPr>
        <w:t>California Department of education</w:t>
      </w:r>
    </w:p>
    <w:p w:rsidR="0055479E" w:rsidRPr="0055479E" w:rsidRDefault="0055479E" w:rsidP="0055479E">
      <w:pPr>
        <w:jc w:val="center"/>
      </w:pPr>
      <w:r>
        <w:t>February 12, 2019</w:t>
      </w:r>
    </w:p>
    <w:p w:rsidR="002A0944" w:rsidRDefault="002A0944" w:rsidP="001F21ED">
      <w:pPr>
        <w:pStyle w:val="Heading1"/>
        <w:spacing w:before="0" w:after="0"/>
        <w:jc w:val="center"/>
        <w:rPr>
          <w:rFonts w:cs="Arial"/>
          <w:szCs w:val="24"/>
        </w:rPr>
      </w:pPr>
      <w:r>
        <w:rPr>
          <w:rFonts w:cs="Arial"/>
          <w:szCs w:val="24"/>
        </w:rPr>
        <w:t xml:space="preserve">Summary of </w:t>
      </w:r>
      <w:r w:rsidR="00533638" w:rsidRPr="00A2016D">
        <w:rPr>
          <w:rFonts w:cs="Arial"/>
          <w:szCs w:val="24"/>
        </w:rPr>
        <w:t xml:space="preserve">Public </w:t>
      </w:r>
      <w:r w:rsidR="001E0EB4" w:rsidRPr="00A2016D">
        <w:rPr>
          <w:rFonts w:cs="Arial"/>
          <w:szCs w:val="24"/>
        </w:rPr>
        <w:t>Feedback on</w:t>
      </w:r>
      <w:r w:rsidR="00533638" w:rsidRPr="00A2016D">
        <w:rPr>
          <w:rFonts w:cs="Arial"/>
          <w:szCs w:val="24"/>
        </w:rPr>
        <w:t xml:space="preserve"> the </w:t>
      </w:r>
    </w:p>
    <w:p w:rsidR="001F3F1B" w:rsidRPr="00A2016D" w:rsidRDefault="00533638" w:rsidP="002A0944">
      <w:pPr>
        <w:pStyle w:val="Heading1"/>
        <w:spacing w:before="0"/>
        <w:jc w:val="center"/>
        <w:rPr>
          <w:rFonts w:cs="Arial"/>
          <w:szCs w:val="24"/>
        </w:rPr>
      </w:pPr>
      <w:r w:rsidRPr="00A2016D">
        <w:rPr>
          <w:rFonts w:cs="Arial"/>
          <w:szCs w:val="24"/>
        </w:rPr>
        <w:t>Guiding Policy Principles to Support K–14+ Pathways</w:t>
      </w:r>
    </w:p>
    <w:p w:rsidR="00B5670B" w:rsidRPr="00A2016D" w:rsidRDefault="00B5670B" w:rsidP="00B5670B">
      <w:pPr>
        <w:rPr>
          <w:rFonts w:cs="Arial"/>
        </w:rPr>
      </w:pPr>
      <w:r w:rsidRPr="00A2016D">
        <w:rPr>
          <w:rFonts w:cs="Arial"/>
        </w:rPr>
        <w:t xml:space="preserve">The public feedback window for the </w:t>
      </w:r>
      <w:r w:rsidRPr="00A2016D">
        <w:rPr>
          <w:rFonts w:cs="Arial"/>
          <w:i/>
        </w:rPr>
        <w:t xml:space="preserve">Guiding Policy Principles to Support K–14+ Pathways </w:t>
      </w:r>
      <w:r w:rsidRPr="00A2016D">
        <w:rPr>
          <w:rFonts w:cs="Arial"/>
        </w:rPr>
        <w:t>opened on August 24, 2018</w:t>
      </w:r>
      <w:r w:rsidR="001E43D9">
        <w:rPr>
          <w:rFonts w:cs="Arial"/>
        </w:rPr>
        <w:t>,</w:t>
      </w:r>
      <w:r w:rsidRPr="00A2016D">
        <w:rPr>
          <w:rFonts w:cs="Arial"/>
        </w:rPr>
        <w:t xml:space="preserve"> and closed on November 30, 2018. All </w:t>
      </w:r>
      <w:r w:rsidR="001E0EB4" w:rsidRPr="00A2016D">
        <w:rPr>
          <w:rFonts w:cs="Arial"/>
        </w:rPr>
        <w:t>comments</w:t>
      </w:r>
      <w:r w:rsidRPr="00A2016D">
        <w:rPr>
          <w:rFonts w:cs="Arial"/>
        </w:rPr>
        <w:t xml:space="preserve"> were obtained through a survey administered by the California Department of Education (CDE). The CDE received </w:t>
      </w:r>
      <w:r w:rsidR="001E0EB4" w:rsidRPr="00A2016D">
        <w:rPr>
          <w:rFonts w:cs="Arial"/>
        </w:rPr>
        <w:t>feedback from 46 commenters</w:t>
      </w:r>
      <w:r w:rsidRPr="00A2016D">
        <w:rPr>
          <w:rFonts w:cs="Arial"/>
        </w:rPr>
        <w:t xml:space="preserve">. One </w:t>
      </w:r>
      <w:r w:rsidR="001E0EB4" w:rsidRPr="00A2016D">
        <w:rPr>
          <w:rFonts w:cs="Arial"/>
        </w:rPr>
        <w:t>commenter</w:t>
      </w:r>
      <w:r w:rsidRPr="00A2016D">
        <w:rPr>
          <w:rFonts w:cs="Arial"/>
        </w:rPr>
        <w:t xml:space="preserve"> was removed because it was determined to be spam, this document contains </w:t>
      </w:r>
      <w:r w:rsidR="001E0EB4" w:rsidRPr="00A2016D">
        <w:rPr>
          <w:rFonts w:cs="Arial"/>
        </w:rPr>
        <w:t>comments from the remaining 45 commenters</w:t>
      </w:r>
      <w:r w:rsidRPr="00A2016D">
        <w:rPr>
          <w:rFonts w:cs="Arial"/>
        </w:rPr>
        <w:t xml:space="preserve">. </w:t>
      </w:r>
      <w:r w:rsidR="001E0EB4" w:rsidRPr="00A2016D">
        <w:rPr>
          <w:rFonts w:cs="Arial"/>
        </w:rPr>
        <w:t>All comments will be shared with the</w:t>
      </w:r>
      <w:r w:rsidR="006C3FCC" w:rsidRPr="00A2016D">
        <w:rPr>
          <w:rFonts w:cs="Arial"/>
        </w:rPr>
        <w:t xml:space="preserve"> Guiding Policy Principles revision team, and the</w:t>
      </w:r>
      <w:r w:rsidR="001E0EB4" w:rsidRPr="00A2016D">
        <w:rPr>
          <w:rFonts w:cs="Arial"/>
        </w:rPr>
        <w:t xml:space="preserve"> team(s) developing the Strengthening Career and Technical Education for the 21st Century Act (Perkins V) transition and state plan.</w:t>
      </w:r>
    </w:p>
    <w:p w:rsidR="00B5670B" w:rsidRPr="00A2016D" w:rsidRDefault="00B5670B" w:rsidP="00B5670B">
      <w:pPr>
        <w:pStyle w:val="Heading2"/>
        <w:rPr>
          <w:rFonts w:cs="Arial"/>
          <w:szCs w:val="24"/>
        </w:rPr>
      </w:pPr>
      <w:r w:rsidRPr="00A2016D">
        <w:rPr>
          <w:rFonts w:cs="Arial"/>
          <w:szCs w:val="24"/>
        </w:rPr>
        <w:t>Preamble</w:t>
      </w:r>
    </w:p>
    <w:tbl>
      <w:tblPr>
        <w:tblStyle w:val="GridTable1Light"/>
        <w:tblW w:w="9360" w:type="dxa"/>
        <w:tblLook w:val="0420" w:firstRow="1" w:lastRow="0" w:firstColumn="0" w:lastColumn="0" w:noHBand="0" w:noVBand="1"/>
        <w:tblDescription w:val="This table shows comments that the CDE recieved on the Guiding Policy Principles with the commenter's information and the CDE's response and/or action."/>
      </w:tblPr>
      <w:tblGrid>
        <w:gridCol w:w="3168"/>
        <w:gridCol w:w="6192"/>
      </w:tblGrid>
      <w:tr w:rsidR="00F82F6F" w:rsidRPr="00DA7C23" w:rsidTr="001F21ED">
        <w:trPr>
          <w:cnfStyle w:val="100000000000" w:firstRow="1" w:lastRow="0" w:firstColumn="0" w:lastColumn="0" w:oddVBand="0" w:evenVBand="0" w:oddHBand="0" w:evenHBand="0" w:firstRowFirstColumn="0" w:firstRowLastColumn="0" w:lastRowFirstColumn="0" w:lastRowLastColumn="0"/>
          <w:cantSplit/>
          <w:tblHeader/>
        </w:trPr>
        <w:tc>
          <w:tcPr>
            <w:tcW w:w="3168" w:type="dxa"/>
            <w:shd w:val="clear" w:color="auto" w:fill="D9D9D9" w:themeFill="background1" w:themeFillShade="D9"/>
            <w:vAlign w:val="center"/>
          </w:tcPr>
          <w:p w:rsidR="00F82F6F" w:rsidRPr="00DA7C23" w:rsidRDefault="00F82F6F" w:rsidP="00FA5574">
            <w:pPr>
              <w:spacing w:before="60" w:after="60"/>
              <w:jc w:val="center"/>
              <w:rPr>
                <w:rFonts w:cs="Arial"/>
              </w:rPr>
            </w:pPr>
            <w:r w:rsidRPr="00DA7C23">
              <w:rPr>
                <w:rFonts w:cs="Arial"/>
              </w:rPr>
              <w:t>Commenter</w:t>
            </w:r>
          </w:p>
        </w:tc>
        <w:tc>
          <w:tcPr>
            <w:tcW w:w="6192" w:type="dxa"/>
            <w:shd w:val="clear" w:color="auto" w:fill="D9D9D9" w:themeFill="background1" w:themeFillShade="D9"/>
            <w:vAlign w:val="center"/>
          </w:tcPr>
          <w:p w:rsidR="00F82F6F" w:rsidRPr="00DA7C23" w:rsidRDefault="00F82F6F" w:rsidP="00FA5574">
            <w:pPr>
              <w:spacing w:before="60" w:after="60"/>
              <w:jc w:val="center"/>
              <w:rPr>
                <w:rFonts w:cs="Arial"/>
              </w:rPr>
            </w:pPr>
            <w:r w:rsidRPr="00DA7C23">
              <w:rPr>
                <w:rFonts w:cs="Arial"/>
              </w:rPr>
              <w:t>Comment</w:t>
            </w:r>
          </w:p>
        </w:tc>
      </w:tr>
      <w:tr w:rsidR="00F82F6F" w:rsidRPr="00DA7C23" w:rsidTr="001F21ED">
        <w:trPr>
          <w:cantSplit/>
        </w:trPr>
        <w:tc>
          <w:tcPr>
            <w:tcW w:w="3168" w:type="dxa"/>
            <w:vAlign w:val="center"/>
          </w:tcPr>
          <w:p w:rsidR="00F82F6F" w:rsidRPr="00DA7C23" w:rsidRDefault="00F82F6F" w:rsidP="000945C3">
            <w:pPr>
              <w:spacing w:before="120" w:after="120"/>
              <w:rPr>
                <w:rFonts w:cs="Arial"/>
                <w:color w:val="000000"/>
              </w:rPr>
            </w:pPr>
            <w:r w:rsidRPr="00DA7C23">
              <w:rPr>
                <w:rFonts w:cs="Arial"/>
                <w:color w:val="000000"/>
              </w:rPr>
              <w:t>Valerie Backus, Career Technical Education (CTE) Coordinator, Murrieta Valley Unified School District (USD)</w:t>
            </w:r>
          </w:p>
        </w:tc>
        <w:tc>
          <w:tcPr>
            <w:tcW w:w="6192" w:type="dxa"/>
            <w:vAlign w:val="center"/>
          </w:tcPr>
          <w:p w:rsidR="00F82F6F" w:rsidRPr="00DA7C23" w:rsidRDefault="00F82F6F" w:rsidP="00394D3D">
            <w:pPr>
              <w:spacing w:before="120" w:after="120"/>
              <w:rPr>
                <w:rFonts w:cs="Arial"/>
                <w:color w:val="000000"/>
              </w:rPr>
            </w:pPr>
            <w:r w:rsidRPr="00DA7C23">
              <w:rPr>
                <w:rFonts w:cs="Arial"/>
                <w:color w:val="000000"/>
              </w:rPr>
              <w:t>It's concise and clear. Please remember that in our focus of [Kindergarten through Grade Fourteen] "K-14," 12/14ths of the population is [Kindergarten through Grade Twelve] K-12. Community Colleges are a significantly smaller fraction of the students being served and K-12s need to be able to drive more of the conversation (and funding).</w:t>
            </w:r>
          </w:p>
        </w:tc>
      </w:tr>
      <w:tr w:rsidR="00F82F6F" w:rsidRPr="00DA7C23" w:rsidTr="001F21ED">
        <w:trPr>
          <w:cantSplit/>
        </w:trPr>
        <w:tc>
          <w:tcPr>
            <w:tcW w:w="3168" w:type="dxa"/>
            <w:vAlign w:val="center"/>
          </w:tcPr>
          <w:p w:rsidR="00F82F6F" w:rsidRPr="00DA7C23" w:rsidRDefault="00F82F6F" w:rsidP="00394D3D">
            <w:pPr>
              <w:spacing w:before="120" w:after="120"/>
              <w:rPr>
                <w:rFonts w:cs="Arial"/>
              </w:rPr>
            </w:pPr>
            <w:r w:rsidRPr="00DA7C23">
              <w:rPr>
                <w:rFonts w:cs="Arial"/>
                <w:color w:val="000000"/>
              </w:rPr>
              <w:t xml:space="preserve">Matt </w:t>
            </w:r>
            <w:proofErr w:type="spellStart"/>
            <w:r w:rsidRPr="00DA7C23">
              <w:rPr>
                <w:rFonts w:cs="Arial"/>
                <w:color w:val="000000"/>
              </w:rPr>
              <w:t>Baffunno</w:t>
            </w:r>
            <w:proofErr w:type="spellEnd"/>
            <w:r w:rsidRPr="00DA7C23">
              <w:rPr>
                <w:rFonts w:cs="Arial"/>
                <w:color w:val="000000"/>
              </w:rPr>
              <w:t>, Agriculture (Ag.) Department Head, Perkins Coordinator</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Very Good.</w:t>
            </w:r>
          </w:p>
        </w:tc>
      </w:tr>
      <w:tr w:rsidR="00F82F6F" w:rsidRPr="00DA7C23" w:rsidTr="001F21ED">
        <w:trPr>
          <w:cantSplit/>
        </w:trPr>
        <w:tc>
          <w:tcPr>
            <w:tcW w:w="3168" w:type="dxa"/>
            <w:vAlign w:val="center"/>
          </w:tcPr>
          <w:p w:rsidR="00F82F6F" w:rsidRPr="00DA7C23" w:rsidRDefault="00F82F6F" w:rsidP="00C76300">
            <w:pPr>
              <w:spacing w:before="120" w:after="120"/>
              <w:rPr>
                <w:rFonts w:cs="Arial"/>
                <w:color w:val="000000"/>
              </w:rPr>
            </w:pPr>
            <w:r w:rsidRPr="00DA7C23">
              <w:rPr>
                <w:rFonts w:cs="Arial"/>
                <w:color w:val="000000"/>
              </w:rPr>
              <w:t xml:space="preserve">Gina </w:t>
            </w:r>
            <w:proofErr w:type="spellStart"/>
            <w:r w:rsidRPr="00DA7C23">
              <w:rPr>
                <w:rFonts w:cs="Arial"/>
                <w:color w:val="000000"/>
              </w:rPr>
              <w:t>Boster</w:t>
            </w:r>
            <w:proofErr w:type="spellEnd"/>
            <w:r w:rsidRPr="00DA7C23">
              <w:rPr>
                <w:rFonts w:cs="Arial"/>
                <w:color w:val="000000"/>
              </w:rPr>
              <w:t>, Director, CTE, Corona-Norco USD</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It works. I find it a bit wordy.</w:t>
            </w:r>
          </w:p>
        </w:tc>
      </w:tr>
      <w:tr w:rsidR="00F82F6F" w:rsidRPr="00DA7C23" w:rsidTr="001F21ED">
        <w:trPr>
          <w:cantSplit/>
        </w:trPr>
        <w:tc>
          <w:tcPr>
            <w:tcW w:w="3168" w:type="dxa"/>
            <w:vAlign w:val="center"/>
          </w:tcPr>
          <w:p w:rsidR="00F82F6F" w:rsidRPr="00DA7C23" w:rsidRDefault="00F82F6F" w:rsidP="00394D3D">
            <w:pPr>
              <w:spacing w:before="120" w:after="120"/>
              <w:rPr>
                <w:rFonts w:cs="Arial"/>
              </w:rPr>
            </w:pPr>
            <w:r w:rsidRPr="00DA7C23">
              <w:rPr>
                <w:rFonts w:cs="Arial"/>
              </w:rPr>
              <w:lastRenderedPageBreak/>
              <w:t>Eryn Bowers, Teacher, Manteca USD</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This survey doesn’t have an “Other” area... When will the push for CTE be a-g recognized and count as a major category?  I’ve done my fair share of asking around how often people who work use Art.  I’m willing to bet we will have the same results if you asked everybody on the committee for [Workforce Pathways Joint Advisory Committee] WPJAC. We need to push and have a-g change their policy to better serve our students to be career and college ready. Seems like we are continuously making improvements to better serve the students of California and not everyone all students can take advantage of this opportunity because they have to take certain courses for the [University of California] UC system. Thank you for your time.</w:t>
            </w:r>
          </w:p>
        </w:tc>
      </w:tr>
      <w:tr w:rsidR="00F82F6F" w:rsidRPr="00DA7C23" w:rsidTr="001F21ED">
        <w:trPr>
          <w:cantSplit/>
        </w:trPr>
        <w:tc>
          <w:tcPr>
            <w:tcW w:w="3168" w:type="dxa"/>
            <w:vAlign w:val="center"/>
          </w:tcPr>
          <w:p w:rsidR="00F82F6F" w:rsidRPr="00DA7C23" w:rsidRDefault="00F82F6F" w:rsidP="00394D3D">
            <w:pPr>
              <w:spacing w:before="120" w:after="120"/>
              <w:rPr>
                <w:rFonts w:cs="Arial"/>
              </w:rPr>
            </w:pPr>
            <w:r w:rsidRPr="00DA7C23">
              <w:rPr>
                <w:rFonts w:cs="Arial"/>
              </w:rPr>
              <w:t xml:space="preserve">Lisa Castillo, District Director of College and Career, Cutler </w:t>
            </w:r>
            <w:proofErr w:type="spellStart"/>
            <w:r w:rsidRPr="00DA7C23">
              <w:rPr>
                <w:rFonts w:cs="Arial"/>
              </w:rPr>
              <w:t>Orosi</w:t>
            </w:r>
            <w:proofErr w:type="spellEnd"/>
            <w:r w:rsidRPr="00DA7C23">
              <w:rPr>
                <w:rFonts w:cs="Arial"/>
              </w:rPr>
              <w:t xml:space="preserve"> Joint USD</w:t>
            </w:r>
          </w:p>
        </w:tc>
        <w:tc>
          <w:tcPr>
            <w:tcW w:w="6192" w:type="dxa"/>
            <w:vAlign w:val="center"/>
          </w:tcPr>
          <w:p w:rsidR="00F82F6F" w:rsidRPr="00DA7C23" w:rsidRDefault="00F82F6F" w:rsidP="00DA7C23">
            <w:pPr>
              <w:spacing w:before="120" w:after="120"/>
              <w:rPr>
                <w:rFonts w:cs="Arial"/>
                <w:color w:val="000000"/>
              </w:rPr>
            </w:pPr>
            <w:r w:rsidRPr="00DA7C23">
              <w:rPr>
                <w:rFonts w:cs="Arial"/>
                <w:color w:val="000000"/>
              </w:rPr>
              <w:t>Preamble #2 should also include collaborative partnerships and identified shared outcomes with industry and workforce partners or be a separate #3.</w:t>
            </w:r>
          </w:p>
        </w:tc>
      </w:tr>
      <w:tr w:rsidR="00F82F6F" w:rsidRPr="00DA7C23" w:rsidTr="001F21ED">
        <w:trPr>
          <w:cantSplit/>
        </w:trPr>
        <w:tc>
          <w:tcPr>
            <w:tcW w:w="3168" w:type="dxa"/>
            <w:vAlign w:val="center"/>
          </w:tcPr>
          <w:p w:rsidR="00F82F6F" w:rsidRPr="00DA7C23" w:rsidRDefault="00F82F6F" w:rsidP="00394D3D">
            <w:pPr>
              <w:spacing w:before="120" w:after="120"/>
              <w:rPr>
                <w:rFonts w:cs="Arial"/>
              </w:rPr>
            </w:pPr>
            <w:r w:rsidRPr="00DA7C23">
              <w:rPr>
                <w:rFonts w:cs="Arial"/>
              </w:rPr>
              <w:t>Chuck Christie, Board Member, Yucaipa-Calimesa Joint USD/Colton-Redlands-Yucaipa Regional Occupational Program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Idealistic, but moving in the right direction. Meaningful collaboration is complex and will depend on strategic allocation of resources best designed to meet regional pathway effectiveness and efficiency of limited State and local resources.</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proofErr w:type="spellStart"/>
            <w:r w:rsidRPr="00DA7C23">
              <w:rPr>
                <w:rFonts w:cs="Arial"/>
              </w:rPr>
              <w:t>Jewyl</w:t>
            </w:r>
            <w:proofErr w:type="spellEnd"/>
            <w:r w:rsidRPr="00DA7C23">
              <w:rPr>
                <w:rFonts w:cs="Arial"/>
              </w:rPr>
              <w:t xml:space="preserve"> Clarke, Integrated Curriculum Coordinator, San Diego County Office of Education</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If the goal is high quality, the three areas of work don't seem to meet that as there is no listed focus in the preamble on instructional practice. (Only infrastructure, alignment and transition are listed).  However, this does seem to be addressed in the sections below.</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Kimberly Dalton, Director of Human Resources, Long Beach USD</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"1) signaling the infrastructure needs"--This seems unclear. Does this mean working with industry to determine expanding job markets and possible programs and classes to prepare for those needed jobs?</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Lisa Decker, Coordinator of State and Federal Programs, CTE Administration</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The goal is applicable and somewhat measurable. The principal of continuous improvement is vital to this program when so many schools are discontinuing the CTE programs.</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lastRenderedPageBreak/>
              <w:t xml:space="preserve">Anna </w:t>
            </w:r>
            <w:proofErr w:type="spellStart"/>
            <w:r w:rsidRPr="00DA7C23">
              <w:rPr>
                <w:rFonts w:cs="Arial"/>
              </w:rPr>
              <w:t>Fontus</w:t>
            </w:r>
            <w:proofErr w:type="spellEnd"/>
            <w:r w:rsidRPr="00DA7C23">
              <w:rPr>
                <w:rFonts w:cs="Arial"/>
              </w:rPr>
              <w:t>, Policy Manager, Linked Learning Alliance</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It would be great to connect this work to goals for students and the economy. When trying to address workforce shortages and discuss skilled worker pipelines, stakeholders rarely look to high school career pathways as a starting point. Given the investment by the state, it may be prudent to clarify that these educational programs are being built to serve and empower students, but to also provide employers with great workers.</w:t>
            </w:r>
          </w:p>
        </w:tc>
      </w:tr>
      <w:tr w:rsidR="00F82F6F" w:rsidRPr="00DA7C23" w:rsidTr="001F21ED">
        <w:trPr>
          <w:cantSplit/>
        </w:trPr>
        <w:tc>
          <w:tcPr>
            <w:tcW w:w="3168" w:type="dxa"/>
            <w:vAlign w:val="center"/>
          </w:tcPr>
          <w:p w:rsidR="00F82F6F" w:rsidRPr="00DA7C23" w:rsidRDefault="00F82F6F" w:rsidP="00394D3D">
            <w:pPr>
              <w:spacing w:before="120" w:after="120"/>
              <w:rPr>
                <w:rFonts w:cs="Arial"/>
              </w:rPr>
            </w:pPr>
            <w:r w:rsidRPr="00DA7C23">
              <w:rPr>
                <w:rFonts w:cs="Arial"/>
              </w:rPr>
              <w:t>Cynthia Gleason, Principal, Fontana Adult School-Fontana USD</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3) Reinforcing student supports during critical transitions leading into high school, community college, and beyond. Is this statement inclusive of students whose transition includes adult education? (See also Guiding Policy 1 and 2, and Essential Elements 11.)</w:t>
            </w:r>
          </w:p>
        </w:tc>
      </w:tr>
      <w:tr w:rsidR="00F82F6F" w:rsidRPr="00DA7C23" w:rsidTr="001F21ED">
        <w:trPr>
          <w:cantSplit/>
        </w:trPr>
        <w:tc>
          <w:tcPr>
            <w:tcW w:w="3168" w:type="dxa"/>
            <w:vAlign w:val="center"/>
          </w:tcPr>
          <w:p w:rsidR="00F82F6F" w:rsidRPr="00DA7C23" w:rsidRDefault="00F82F6F" w:rsidP="00394D3D">
            <w:pPr>
              <w:spacing w:before="120" w:after="120"/>
              <w:rPr>
                <w:rFonts w:cs="Arial"/>
              </w:rPr>
            </w:pPr>
            <w:r w:rsidRPr="00DA7C23">
              <w:rPr>
                <w:rFonts w:cs="Arial"/>
              </w:rPr>
              <w:t>Kathy Hamilton, Director, College and Career Connections, Elk Grove USD</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Looks good.</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Thomas Hanson, Administration, Mission Valley Regional Occupational Program (ROP)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If the goal of the WPJAC is to build connected, equitable, accessible, and high-quality K-14+ college and career pathways, I would recommend keeping communication to the field as simple as possible, even though each of these attributes is likely very complex on the local level. What you are going to find in this survey effort is as many different responses as responders to many of these prompts. The chunks of material may be too complex, or too big, or both. I would suggest providing a variety of program models for the field to study and try to emulate - with data correlations to support goals.</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 xml:space="preserve">James </w:t>
            </w:r>
            <w:proofErr w:type="spellStart"/>
            <w:r w:rsidRPr="00DA7C23">
              <w:rPr>
                <w:rFonts w:cs="Arial"/>
              </w:rPr>
              <w:t>Hattar</w:t>
            </w:r>
            <w:proofErr w:type="spellEnd"/>
            <w:r w:rsidRPr="00DA7C23">
              <w:rPr>
                <w:rFonts w:cs="Arial"/>
              </w:rPr>
              <w:t>, Community Recruiter (Teacher on Assignment),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Providing support from middle school to community college. Equity in the pathway offerings and internships opportunities throughout.</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Elena Hernandez, Peer Coach Leader,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It is essential to provide support and resources for cross-system collaboration. Ensuring equity in pathway offerings helps to improve and maintain high quality education for all.</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lastRenderedPageBreak/>
              <w:t>Crystal Hickey, Advisor,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Support from all levels from elementary to high school levels. Focusing on key pressure points for supporting cross-system collaboration: Student Support.</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Charlie Hoffman, Superintendent, 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 xml:space="preserve">The very first paragraph seems to assume that the desired quality level programs do not exist, or are very rare. This line of thought seems to permeate and pollute the entire roll out, including comments made by presenters at various </w:t>
            </w:r>
            <w:proofErr w:type="spellStart"/>
            <w:r w:rsidRPr="00DA7C23">
              <w:rPr>
                <w:rFonts w:cs="Arial"/>
                <w:color w:val="000000"/>
              </w:rPr>
              <w:t>convenings</w:t>
            </w:r>
            <w:proofErr w:type="spellEnd"/>
            <w:r w:rsidRPr="00DA7C23">
              <w:rPr>
                <w:rFonts w:cs="Arial"/>
                <w:color w:val="000000"/>
              </w:rPr>
              <w:t xml:space="preserve"> regarding the Grant program.</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Stephanie Houston, Superintendent,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Collaboration for the purpose of improving educational and economic outcomes is complex. Communication, identification of common goals and shared outcome measurements, require that all partners feel mutually respected and accountable. It is imperative that the WPJAC create the conditions that will support leadership, trust, and commitment to keeping students first in practices. Leadership must operate from a place of shared purpose and trust of each other’s intentions.</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Daphne Hunter, ASL/CTE Teacher,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Create a framework that provides early career exploration starting prior to student enrollment in high school; like while in middle school and introduce or involve local stakeholders to be part of creating and expanding current pathways, job shadowing opportunities and even internships.</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Jennifer Johnson, Principal, Education</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It is very general and overarching.</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 xml:space="preserve">Laura </w:t>
            </w:r>
            <w:proofErr w:type="spellStart"/>
            <w:r w:rsidRPr="00DA7C23">
              <w:rPr>
                <w:rFonts w:cs="Arial"/>
              </w:rPr>
              <w:t>Koger</w:t>
            </w:r>
            <w:proofErr w:type="spellEnd"/>
            <w:r w:rsidRPr="00DA7C23">
              <w:rPr>
                <w:rFonts w:cs="Arial"/>
              </w:rPr>
              <w:t>,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Infrastructure needs to be addressed would be the modifying of silos that are historical in education regarding elementary, middle and high schools and post-secondary training. It is essential to provide support for cross-system collaboration.</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 xml:space="preserve">Mark </w:t>
            </w:r>
            <w:proofErr w:type="spellStart"/>
            <w:r w:rsidRPr="00DA7C23">
              <w:rPr>
                <w:rFonts w:cs="Arial"/>
              </w:rPr>
              <w:t>Lushenko</w:t>
            </w:r>
            <w:proofErr w:type="spellEnd"/>
            <w:r w:rsidRPr="00DA7C23">
              <w:rPr>
                <w:rFonts w:cs="Arial"/>
              </w:rPr>
              <w:t>, CTE Teacher</w:t>
            </w:r>
          </w:p>
        </w:tc>
        <w:tc>
          <w:tcPr>
            <w:tcW w:w="6192" w:type="dxa"/>
            <w:vAlign w:val="center"/>
          </w:tcPr>
          <w:p w:rsidR="00F82F6F" w:rsidRPr="00DA7C23" w:rsidRDefault="00F82F6F" w:rsidP="002A210C">
            <w:pPr>
              <w:spacing w:before="120" w:after="120"/>
              <w:rPr>
                <w:rFonts w:cs="Arial"/>
                <w:color w:val="000000"/>
              </w:rPr>
            </w:pPr>
            <w:r w:rsidRPr="00DA7C23">
              <w:rPr>
                <w:rFonts w:cs="Arial"/>
                <w:color w:val="000000"/>
              </w:rPr>
              <w:t>Change the first sentence to:  The California WPJAC reconvened in 2017.  Remove passive voice in the second sentence.  Remove the phrase "as necessary" at the end--it is not necessary.</w:t>
            </w:r>
          </w:p>
        </w:tc>
      </w:tr>
      <w:tr w:rsidR="00F82F6F" w:rsidRPr="00DA7C23" w:rsidTr="001F21ED">
        <w:trPr>
          <w:cantSplit/>
        </w:trPr>
        <w:tc>
          <w:tcPr>
            <w:tcW w:w="3168" w:type="dxa"/>
            <w:vAlign w:val="center"/>
          </w:tcPr>
          <w:p w:rsidR="00F82F6F" w:rsidRPr="00DA7C23" w:rsidRDefault="00F82F6F" w:rsidP="00394D3D">
            <w:pPr>
              <w:spacing w:before="120" w:after="120"/>
              <w:rPr>
                <w:rFonts w:cs="Arial"/>
              </w:rPr>
            </w:pPr>
            <w:r w:rsidRPr="00DA7C23">
              <w:rPr>
                <w:rFonts w:cs="Arial"/>
              </w:rPr>
              <w:lastRenderedPageBreak/>
              <w:t>Wendy Mayea, Assistant Director of Student Support, Simi Valley USD</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 agree with the needs identified.</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Adele McClain, Coordinator of 2 schools and field team member for Adult Education Block Grant (AEBG), member of VVCAERC</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Administrators must be reaching out to local employers and start-up companies to assess vacancies. County information is too vague and is often unrealistic for rural providers to create meaningful pathways to sustainable employment. In our Consortia Hesperia Adult School has the best model for pathways using programs on the local [Eligible Training Provider List] ETPL list.</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 xml:space="preserve">Christopher </w:t>
            </w:r>
            <w:proofErr w:type="spellStart"/>
            <w:r w:rsidRPr="00DA7C23">
              <w:rPr>
                <w:rFonts w:cs="Arial"/>
              </w:rPr>
              <w:t>Mcclung</w:t>
            </w:r>
            <w:proofErr w:type="spellEnd"/>
            <w:r w:rsidRPr="00DA7C23">
              <w:rPr>
                <w:rFonts w:cs="Arial"/>
              </w:rPr>
              <w:t>, Curriculum Developer,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Create a structure that supports a streamlined cradle to career path for students. The structure would include career exploration, development of skills across multiple education experiences and connect students to industry professional with guidance and community.</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Wendy McClung, Teacher,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Creating a framework that allows for education directly related to the student's career pathway that is cross-cultural, encourages student involvement in the community and industry outreaches or practices, and encourages mentorship through critical transitions.</w:t>
            </w:r>
          </w:p>
        </w:tc>
      </w:tr>
      <w:tr w:rsidR="00F82F6F" w:rsidRPr="00DA7C23" w:rsidTr="001F21ED">
        <w:trPr>
          <w:cantSplit/>
        </w:trPr>
        <w:tc>
          <w:tcPr>
            <w:tcW w:w="3168" w:type="dxa"/>
            <w:vAlign w:val="center"/>
          </w:tcPr>
          <w:p w:rsidR="00F82F6F" w:rsidRPr="00DA7C23" w:rsidRDefault="00F82F6F" w:rsidP="00C76300">
            <w:pPr>
              <w:spacing w:before="120" w:after="120"/>
              <w:rPr>
                <w:rFonts w:cs="Arial"/>
              </w:rPr>
            </w:pPr>
            <w:r w:rsidRPr="00DA7C23">
              <w:rPr>
                <w:rFonts w:cs="Arial"/>
              </w:rPr>
              <w:t xml:space="preserve">Lynn </w:t>
            </w:r>
            <w:proofErr w:type="spellStart"/>
            <w:r w:rsidRPr="00DA7C23">
              <w:rPr>
                <w:rFonts w:cs="Arial"/>
              </w:rPr>
              <w:t>McConville</w:t>
            </w:r>
            <w:proofErr w:type="spellEnd"/>
            <w:r w:rsidRPr="00DA7C23">
              <w:rPr>
                <w:rFonts w:cs="Arial"/>
              </w:rPr>
              <w:t>, Assistant Principal, CTAE, Poway USD</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Agree with the focus on equity, accessibility, and alignment across systems. Thank you for adding the words 'student-centered delivery of service'.  Focus should be on [Kindergarten through Grade Sixteen] K-16+.  Less focus should be placed on immediate employment, particularly at the younger grades and more on exploration, transferable skills and a well-rounded education that allows students to find the right education, career and the ability to advance in that career. Collaboration across systems (K-16+) needs to take this into account so that students have success depending on individual maturity and needs, with the necessary tools to transition successfully. Give LEAs and partners time - regional collaboration takes time and resources and should be supported.</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Brian Miller, Principal, Kern High School District/Regional Occupational Center</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Preamble is appropriate and reflective of the intent of the principles.</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lastRenderedPageBreak/>
              <w:t xml:space="preserve">Esteban </w:t>
            </w:r>
            <w:proofErr w:type="spellStart"/>
            <w:r w:rsidRPr="00DA7C23">
              <w:rPr>
                <w:rFonts w:cs="Arial"/>
              </w:rPr>
              <w:t>Monge</w:t>
            </w:r>
            <w:proofErr w:type="spellEnd"/>
            <w:r w:rsidRPr="00DA7C23">
              <w:rPr>
                <w:rFonts w:cs="Arial"/>
              </w:rPr>
              <w:t>, Work-Based Learning Specialist, Grossmont Union High School District</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 believe that students should have access to CTE pathways and have multiple entry points within a pathway. There needs to be a clear definition in defining a pathway completer. Collaboration across systems takes a lot of time and resources which often time creates a barrier for collaboration. If Collaboration across K-14 will require a cohesive mechanism for moving students along the system to ensure they can make an easy transition post K-12 education.</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Alma Orozco, Employment Placement Specialist,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Creating a framework that introduces career exploration starting at the elementary school level.</w:t>
            </w:r>
          </w:p>
        </w:tc>
      </w:tr>
      <w:tr w:rsidR="00F82F6F" w:rsidRPr="00DA7C23" w:rsidTr="001F21ED">
        <w:trPr>
          <w:cantSplit/>
        </w:trPr>
        <w:tc>
          <w:tcPr>
            <w:tcW w:w="3168" w:type="dxa"/>
            <w:vAlign w:val="center"/>
          </w:tcPr>
          <w:p w:rsidR="00F82F6F" w:rsidRPr="00DA7C23" w:rsidRDefault="00F82F6F" w:rsidP="00C76300">
            <w:pPr>
              <w:spacing w:before="120" w:after="120"/>
              <w:rPr>
                <w:rFonts w:cs="Arial"/>
              </w:rPr>
            </w:pPr>
            <w:proofErr w:type="spellStart"/>
            <w:r w:rsidRPr="00DA7C23">
              <w:rPr>
                <w:rFonts w:cs="Arial"/>
              </w:rPr>
              <w:t>Carmita</w:t>
            </w:r>
            <w:proofErr w:type="spellEnd"/>
            <w:r w:rsidRPr="00DA7C23">
              <w:rPr>
                <w:rFonts w:cs="Arial"/>
              </w:rPr>
              <w:t xml:space="preserve"> Pena, Coordinator of College &amp; Careers, Woodlake USD</w:t>
            </w:r>
          </w:p>
        </w:tc>
        <w:tc>
          <w:tcPr>
            <w:tcW w:w="6192" w:type="dxa"/>
            <w:vAlign w:val="center"/>
          </w:tcPr>
          <w:p w:rsidR="00F82F6F" w:rsidRPr="00DA7C23" w:rsidRDefault="00F82F6F" w:rsidP="006C3FCC">
            <w:pPr>
              <w:spacing w:before="120" w:after="120"/>
              <w:rPr>
                <w:rFonts w:cs="Arial"/>
                <w:color w:val="000000"/>
              </w:rPr>
            </w:pPr>
            <w:r w:rsidRPr="00DA7C23">
              <w:rPr>
                <w:rFonts w:cs="Arial"/>
                <w:color w:val="000000"/>
              </w:rPr>
              <w:t>It's great that it is tied to postsecondary programs. This alignment is much needed.</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 xml:space="preserve">Carol </w:t>
            </w:r>
            <w:proofErr w:type="spellStart"/>
            <w:r w:rsidRPr="00DA7C23">
              <w:rPr>
                <w:rFonts w:cs="Arial"/>
              </w:rPr>
              <w:t>Perea</w:t>
            </w:r>
            <w:proofErr w:type="spellEnd"/>
            <w:r w:rsidRPr="00DA7C23">
              <w:rPr>
                <w:rFonts w:cs="Arial"/>
              </w:rPr>
              <w:t>, CTE Instructor- Business Communication</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10 "Signaling the" seems an awkward choice of words for identifying or recognizing infrastructure needs, I know the definition means bring about action but it is not commonly used language structure. In 3) reinforcing student supports....would read more appropriate if it were simply student support. As written it sounds like duct tape being put on crutches. Is it intentional to only have Community Colleges in #3?   Suggestion- 3) reinforcing student support during critical transition periods leading from middle school to high school and high school to college and beyond.</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Irene Perez, Teacher, Business/ROP Teacher</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This sounds great in theory and on paper. However, my experience has been that counselors and teachers at the high school level promote [Advanced Placement] AP classes above everything else. We need many paths to get the correct career and skills for all students.</w:t>
            </w:r>
          </w:p>
        </w:tc>
      </w:tr>
      <w:tr w:rsidR="00F82F6F" w:rsidRPr="00DA7C23" w:rsidTr="001F21ED">
        <w:trPr>
          <w:cantSplit/>
        </w:trPr>
        <w:tc>
          <w:tcPr>
            <w:tcW w:w="3168" w:type="dxa"/>
            <w:vAlign w:val="center"/>
          </w:tcPr>
          <w:p w:rsidR="00F82F6F" w:rsidRPr="00DA7C23" w:rsidRDefault="00F82F6F" w:rsidP="00C76300">
            <w:pPr>
              <w:spacing w:before="120" w:after="120"/>
              <w:rPr>
                <w:rFonts w:cs="Arial"/>
              </w:rPr>
            </w:pPr>
            <w:r w:rsidRPr="00DA7C23">
              <w:rPr>
                <w:rFonts w:cs="Arial"/>
              </w:rPr>
              <w:t>Steve Pinning, Director, Linked Learning &amp; CTE, Palm Springs USD/District CTE Administration</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Not clear what is meant by "signaling the infrastructure needs." in number 2 on the list consider adding "and supporting" in addition to promoting regional and local educational efforts for alignment.</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lastRenderedPageBreak/>
              <w:t xml:space="preserve">Deidra </w:t>
            </w:r>
            <w:proofErr w:type="spellStart"/>
            <w:r w:rsidRPr="00DA7C23">
              <w:rPr>
                <w:rFonts w:cs="Arial"/>
              </w:rPr>
              <w:t>Puentes</w:t>
            </w:r>
            <w:proofErr w:type="spellEnd"/>
            <w:r w:rsidRPr="00DA7C23">
              <w:rPr>
                <w:rFonts w:cs="Arial"/>
              </w:rPr>
              <w:t>, Community Recruiter- Teacher on Assignment,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 develop a process that will identify best practices in regional and local alignment across all education levels, and evaluate the success of current student support systems. These results will assist in the identification of common infrastructure needs across the state and enable the development of a systemic approach to meeting those needs.</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Brooke Quinones, Executive Administration Assistant, CRY-ROP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What about shared outcome and accountability?</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Sheryl Ryder, Executive Director, Career Development, Placer County Office of Education</w:t>
            </w:r>
          </w:p>
        </w:tc>
        <w:tc>
          <w:tcPr>
            <w:tcW w:w="6192" w:type="dxa"/>
            <w:vAlign w:val="center"/>
          </w:tcPr>
          <w:p w:rsidR="00F82F6F" w:rsidRPr="00DA7C23" w:rsidRDefault="00F82F6F" w:rsidP="00136944">
            <w:pPr>
              <w:spacing w:before="120" w:after="120"/>
              <w:rPr>
                <w:rFonts w:cs="Arial"/>
                <w:color w:val="000000"/>
              </w:rPr>
            </w:pPr>
            <w:r w:rsidRPr="00DA7C23">
              <w:rPr>
                <w:rFonts w:cs="Arial"/>
                <w:color w:val="000000"/>
              </w:rPr>
              <w:t>The Preamble is committee centric. It focuses on the members' thinking processes, rather than just the agreed upon overarching goals. Some sentences can be omitted: "Several common themes have emerged from the work of the California WPJAC since it reconvened in 2017."; "points raised to the WPJAC members since 2017…" It does not highlight industry or community involvement, nor does it include Adult Ed.</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 xml:space="preserve">Brigitte </w:t>
            </w:r>
            <w:proofErr w:type="spellStart"/>
            <w:r w:rsidRPr="00DA7C23">
              <w:rPr>
                <w:rFonts w:cs="Arial"/>
              </w:rPr>
              <w:t>Sarraf</w:t>
            </w:r>
            <w:proofErr w:type="spellEnd"/>
            <w:r w:rsidRPr="00DA7C23">
              <w:rPr>
                <w:rFonts w:cs="Arial"/>
              </w:rPr>
              <w:t>, Director of Assessment and Evaluation, Administrator</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Ok as stated.</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Ed Schmalzel, Principal, Clovis Adult Education</w:t>
            </w:r>
          </w:p>
        </w:tc>
        <w:tc>
          <w:tcPr>
            <w:tcW w:w="6192" w:type="dxa"/>
            <w:vAlign w:val="center"/>
          </w:tcPr>
          <w:p w:rsidR="00F82F6F" w:rsidRPr="00DA7C23" w:rsidRDefault="00F82F6F" w:rsidP="00136944">
            <w:pPr>
              <w:spacing w:before="120" w:after="120"/>
              <w:rPr>
                <w:rFonts w:cs="Arial"/>
                <w:color w:val="000000"/>
              </w:rPr>
            </w:pPr>
            <w:r w:rsidRPr="00DA7C23">
              <w:rPr>
                <w:rFonts w:cs="Arial"/>
                <w:color w:val="000000"/>
              </w:rPr>
              <w:t>Overall report is well-written and an easy read. Absence of adult education is concerning.  No mention of adult ed. I cannot tell if we belong in K-14+ or not. Hopefully we are part of these principles and can be part of the solution.</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Raelynn Sharp, CTE Project Specialist, Sacramento County Office of Education</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The document is titled Guiding Policy Principles to Support K-14+ Pathways, yet there is no mention of elementary or middle grades. Career exploration needs to begin in elementary grades and pathway programs AND career exploration must be available in middle grades. 9th grade is too late to begin the exploration process.</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lastRenderedPageBreak/>
              <w:t xml:space="preserve">Teri </w:t>
            </w:r>
            <w:proofErr w:type="spellStart"/>
            <w:r w:rsidRPr="00DA7C23">
              <w:rPr>
                <w:rFonts w:cs="Arial"/>
              </w:rPr>
              <w:t>Sprecco</w:t>
            </w:r>
            <w:proofErr w:type="spellEnd"/>
            <w:r w:rsidRPr="00DA7C23">
              <w:rPr>
                <w:rFonts w:cs="Arial"/>
              </w:rPr>
              <w:t>, Director II, College &amp; Career Readiness, Grossmont Union High School District</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 appreciate the focus on equity, accessibility, and alignment across systems. However, we must keep in mind where the students are in the pipeline to ensure their developmental needs are addressed. For example: At the high school level, CTE is focused more broadly on preparing students with academic, technical, and work-ready skills, not just immediate employment. Collaboration across systems needs to take this into account so that students have success where they are, with the necessary tools to transition successfully. Regional collaboration takes time and resources and should be supported with ongoing funding. Accountability measures need to be aligned and consistent.</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 xml:space="preserve">Emilio </w:t>
            </w:r>
            <w:proofErr w:type="spellStart"/>
            <w:r w:rsidRPr="00DA7C23">
              <w:rPr>
                <w:rFonts w:cs="Arial"/>
              </w:rPr>
              <w:t>Urioste</w:t>
            </w:r>
            <w:proofErr w:type="spellEnd"/>
            <w:r w:rsidRPr="00DA7C23">
              <w:rPr>
                <w:rFonts w:cs="Arial"/>
              </w:rPr>
              <w:t>, Director Adult Education, Burbank Adult School</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The Preamble is riddled with vague terms. This statement should be direct and easy to comprehend. Paragraph two is especially awkward and vague.</w:t>
            </w:r>
          </w:p>
        </w:tc>
      </w:tr>
      <w:tr w:rsidR="00F82F6F" w:rsidRPr="00DA7C23" w:rsidTr="001F21ED">
        <w:trPr>
          <w:cantSplit/>
        </w:trPr>
        <w:tc>
          <w:tcPr>
            <w:tcW w:w="3168" w:type="dxa"/>
            <w:vAlign w:val="center"/>
          </w:tcPr>
          <w:p w:rsidR="00F82F6F" w:rsidRPr="00DA7C23" w:rsidRDefault="00F82F6F" w:rsidP="00FA5574">
            <w:pPr>
              <w:spacing w:before="120" w:after="120"/>
              <w:rPr>
                <w:rFonts w:cs="Arial"/>
              </w:rPr>
            </w:pPr>
            <w:r w:rsidRPr="00DA7C23">
              <w:rPr>
                <w:rFonts w:cs="Arial"/>
              </w:rPr>
              <w:t xml:space="preserve">Tracie </w:t>
            </w:r>
            <w:proofErr w:type="spellStart"/>
            <w:r w:rsidRPr="00DA7C23">
              <w:rPr>
                <w:rFonts w:cs="Arial"/>
              </w:rPr>
              <w:t>Zerpoli</w:t>
            </w:r>
            <w:proofErr w:type="spellEnd"/>
            <w:r w:rsidRPr="00DA7C23">
              <w:rPr>
                <w:rFonts w:cs="Arial"/>
              </w:rPr>
              <w:t>, Superintendent, CAROCP</w:t>
            </w:r>
          </w:p>
        </w:tc>
        <w:tc>
          <w:tcPr>
            <w:tcW w:w="6192" w:type="dxa"/>
            <w:vAlign w:val="center"/>
          </w:tcPr>
          <w:p w:rsidR="00F82F6F" w:rsidRPr="00DA7C23" w:rsidRDefault="00F82F6F" w:rsidP="00FA5574">
            <w:pPr>
              <w:spacing w:before="120" w:after="120"/>
              <w:rPr>
                <w:rFonts w:cs="Arial"/>
                <w:color w:val="000000"/>
              </w:rPr>
            </w:pPr>
            <w:r w:rsidRPr="00DA7C23">
              <w:rPr>
                <w:rFonts w:cs="Arial"/>
                <w:color w:val="000000"/>
              </w:rPr>
              <w:t>It is not clear, provide more detail.  For example, what does signaling the infrastructure needs?  Of who, what and where? Or What salient points were raised to the WPJAC?</w:t>
            </w:r>
          </w:p>
        </w:tc>
      </w:tr>
    </w:tbl>
    <w:p w:rsidR="00533638" w:rsidRPr="00A2016D" w:rsidRDefault="00533638" w:rsidP="00533638">
      <w:pPr>
        <w:pStyle w:val="Heading2"/>
        <w:rPr>
          <w:rFonts w:cs="Arial"/>
          <w:szCs w:val="20"/>
        </w:rPr>
      </w:pPr>
      <w:r w:rsidRPr="00A2016D">
        <w:rPr>
          <w:rFonts w:cs="Arial"/>
          <w:szCs w:val="20"/>
        </w:rPr>
        <w:t>Guiding Policy Principles</w:t>
      </w:r>
    </w:p>
    <w:tbl>
      <w:tblPr>
        <w:tblStyle w:val="GridTable1Light"/>
        <w:tblW w:w="9360" w:type="dxa"/>
        <w:tblLook w:val="0420" w:firstRow="1" w:lastRow="0" w:firstColumn="0" w:lastColumn="0" w:noHBand="0" w:noVBand="1"/>
        <w:tblDescription w:val="This table shows comments that the CDE recieved on the Guiding Policy Principles with the commenter's information and the CDE's response and/or action."/>
      </w:tblPr>
      <w:tblGrid>
        <w:gridCol w:w="3168"/>
        <w:gridCol w:w="6192"/>
      </w:tblGrid>
      <w:tr w:rsidR="00F82F6F" w:rsidRPr="00DA7C23" w:rsidTr="001F21ED">
        <w:trPr>
          <w:cnfStyle w:val="100000000000" w:firstRow="1" w:lastRow="0" w:firstColumn="0" w:lastColumn="0" w:oddVBand="0" w:evenVBand="0" w:oddHBand="0" w:evenHBand="0" w:firstRowFirstColumn="0" w:firstRowLastColumn="0" w:lastRowFirstColumn="0" w:lastRowLastColumn="0"/>
          <w:cantSplit/>
          <w:tblHeader/>
        </w:trPr>
        <w:tc>
          <w:tcPr>
            <w:tcW w:w="3168" w:type="dxa"/>
            <w:shd w:val="clear" w:color="auto" w:fill="D9D9D9" w:themeFill="background1" w:themeFillShade="D9"/>
            <w:vAlign w:val="center"/>
          </w:tcPr>
          <w:p w:rsidR="00F82F6F" w:rsidRPr="00DA7C23" w:rsidRDefault="00F82F6F" w:rsidP="0041053B">
            <w:pPr>
              <w:spacing w:before="60" w:after="60"/>
              <w:jc w:val="center"/>
              <w:rPr>
                <w:rFonts w:cs="Arial"/>
              </w:rPr>
            </w:pPr>
            <w:r w:rsidRPr="00DA7C23">
              <w:rPr>
                <w:rFonts w:cs="Arial"/>
              </w:rPr>
              <w:t>Commenter</w:t>
            </w:r>
          </w:p>
        </w:tc>
        <w:tc>
          <w:tcPr>
            <w:tcW w:w="6192" w:type="dxa"/>
            <w:shd w:val="clear" w:color="auto" w:fill="D9D9D9" w:themeFill="background1" w:themeFillShade="D9"/>
            <w:vAlign w:val="center"/>
          </w:tcPr>
          <w:p w:rsidR="00F82F6F" w:rsidRPr="00DA7C23" w:rsidRDefault="00F82F6F" w:rsidP="0041053B">
            <w:pPr>
              <w:spacing w:before="60" w:after="60"/>
              <w:jc w:val="center"/>
              <w:rPr>
                <w:rFonts w:cs="Arial"/>
              </w:rPr>
            </w:pPr>
            <w:r w:rsidRPr="00DA7C23">
              <w:rPr>
                <w:rFonts w:cs="Arial"/>
              </w:rPr>
              <w:t>Comment</w:t>
            </w:r>
          </w:p>
        </w:tc>
      </w:tr>
      <w:tr w:rsidR="00F82F6F" w:rsidRPr="00DA7C23" w:rsidTr="001F21ED">
        <w:trPr>
          <w:cantSplit/>
        </w:trPr>
        <w:tc>
          <w:tcPr>
            <w:tcW w:w="3168" w:type="dxa"/>
            <w:vAlign w:val="center"/>
          </w:tcPr>
          <w:p w:rsidR="00F82F6F" w:rsidRPr="00DA7C23" w:rsidRDefault="00F82F6F" w:rsidP="00C76300">
            <w:pPr>
              <w:spacing w:before="120" w:after="120"/>
              <w:rPr>
                <w:rFonts w:cs="Arial"/>
                <w:color w:val="000000"/>
              </w:rPr>
            </w:pPr>
            <w:r w:rsidRPr="00DA7C23">
              <w:rPr>
                <w:rFonts w:cs="Arial"/>
                <w:color w:val="000000"/>
              </w:rPr>
              <w:t>Valerie Backus, CTE Coordinator, Murrieta Valley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policy principals seem very education sector focused.  There is little to evidence industry and business is involved in these principles.  Also, Advance CTE has done much of the same thing in their Putting Learner Success first (</w:t>
            </w:r>
            <w:hyperlink r:id="rId8" w:tooltip="Putting Learner Success First Web page." w:history="1">
              <w:r w:rsidRPr="00DA7C23">
                <w:rPr>
                  <w:rStyle w:val="Hyperlink"/>
                  <w:rFonts w:cs="Arial"/>
                </w:rPr>
                <w:t>https://careertech.org/vision</w:t>
              </w:r>
            </w:hyperlink>
            <w:r w:rsidRPr="00DA7C23">
              <w:rPr>
                <w:rFonts w:cs="Arial"/>
                <w:color w:val="000000"/>
              </w:rPr>
              <w:t>).  While it's nice to have "The California Way," there are others who have beaten the path already and it’s a good path.  If we are to align systems and resources, we should align with the national work being done.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color w:val="000000"/>
              </w:rPr>
              <w:t xml:space="preserve">Matt </w:t>
            </w:r>
            <w:proofErr w:type="spellStart"/>
            <w:r w:rsidRPr="00DA7C23">
              <w:rPr>
                <w:rFonts w:cs="Arial"/>
                <w:color w:val="000000"/>
              </w:rPr>
              <w:t>Baffunno</w:t>
            </w:r>
            <w:proofErr w:type="spellEnd"/>
            <w:r w:rsidRPr="00DA7C23">
              <w:rPr>
                <w:rFonts w:cs="Arial"/>
                <w:color w:val="000000"/>
              </w:rPr>
              <w:t>, Ag. Department Head, Perkins Coordinator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Good points.</w:t>
            </w:r>
          </w:p>
        </w:tc>
      </w:tr>
      <w:tr w:rsidR="00F82F6F" w:rsidRPr="00DA7C23" w:rsidTr="001F21ED">
        <w:trPr>
          <w:cantSplit/>
        </w:trPr>
        <w:tc>
          <w:tcPr>
            <w:tcW w:w="3168" w:type="dxa"/>
            <w:vAlign w:val="center"/>
          </w:tcPr>
          <w:p w:rsidR="00F82F6F" w:rsidRPr="00DA7C23" w:rsidRDefault="00F82F6F" w:rsidP="004A5BA9">
            <w:pPr>
              <w:spacing w:before="120" w:after="120"/>
              <w:rPr>
                <w:rFonts w:cs="Arial"/>
                <w:color w:val="000000"/>
              </w:rPr>
            </w:pPr>
            <w:r w:rsidRPr="00DA7C23">
              <w:rPr>
                <w:rFonts w:cs="Arial"/>
                <w:color w:val="000000"/>
              </w:rPr>
              <w:lastRenderedPageBreak/>
              <w:t xml:space="preserve">Gina </w:t>
            </w:r>
            <w:proofErr w:type="spellStart"/>
            <w:r w:rsidRPr="00DA7C23">
              <w:rPr>
                <w:rFonts w:cs="Arial"/>
                <w:color w:val="000000"/>
              </w:rPr>
              <w:t>Boster</w:t>
            </w:r>
            <w:proofErr w:type="spellEnd"/>
            <w:r w:rsidRPr="00DA7C23">
              <w:rPr>
                <w:rFonts w:cs="Arial"/>
                <w:color w:val="000000"/>
              </w:rPr>
              <w:t>, Director, CTE, Corona-Norco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 believe you have hit all the key points of a high quality CTE program.</w:t>
            </w:r>
          </w:p>
        </w:tc>
      </w:tr>
      <w:tr w:rsidR="00F82F6F" w:rsidRPr="00DA7C23" w:rsidTr="001F21ED">
        <w:trPr>
          <w:cantSplit/>
        </w:trPr>
        <w:tc>
          <w:tcPr>
            <w:tcW w:w="3168" w:type="dxa"/>
            <w:vAlign w:val="center"/>
          </w:tcPr>
          <w:p w:rsidR="00F82F6F" w:rsidRPr="00DA7C23" w:rsidRDefault="00F82F6F" w:rsidP="00C76300">
            <w:pPr>
              <w:spacing w:before="120" w:after="120"/>
              <w:rPr>
                <w:rFonts w:cs="Arial"/>
              </w:rPr>
            </w:pPr>
            <w:r w:rsidRPr="00DA7C23">
              <w:rPr>
                <w:rFonts w:cs="Arial"/>
              </w:rPr>
              <w:t>Eryn Bowers, Teacher, Manteca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Should it be career and college?</w:t>
            </w:r>
          </w:p>
        </w:tc>
      </w:tr>
      <w:tr w:rsidR="00F82F6F" w:rsidRPr="00DA7C23" w:rsidTr="001F21ED">
        <w:trPr>
          <w:cantSplit/>
        </w:trPr>
        <w:tc>
          <w:tcPr>
            <w:tcW w:w="3168" w:type="dxa"/>
            <w:vAlign w:val="center"/>
          </w:tcPr>
          <w:p w:rsidR="00F82F6F" w:rsidRPr="00DA7C23" w:rsidRDefault="00F82F6F" w:rsidP="00C76300">
            <w:pPr>
              <w:spacing w:before="120" w:after="120"/>
              <w:rPr>
                <w:rFonts w:cs="Arial"/>
              </w:rPr>
            </w:pPr>
            <w:r w:rsidRPr="00DA7C23">
              <w:rPr>
                <w:rFonts w:cs="Arial"/>
              </w:rPr>
              <w:t xml:space="preserve">Lisa Castillo, District Director of College and Career, Cutler </w:t>
            </w:r>
            <w:proofErr w:type="spellStart"/>
            <w:r w:rsidRPr="00DA7C23">
              <w:rPr>
                <w:rFonts w:cs="Arial"/>
              </w:rPr>
              <w:t>Orosi</w:t>
            </w:r>
            <w:proofErr w:type="spellEnd"/>
            <w:r w:rsidRPr="00DA7C23">
              <w:rPr>
                <w:rFonts w:cs="Arial"/>
              </w:rPr>
              <w:t xml:space="preserve"> Joint USD</w:t>
            </w:r>
          </w:p>
        </w:tc>
        <w:tc>
          <w:tcPr>
            <w:tcW w:w="6192" w:type="dxa"/>
            <w:vAlign w:val="center"/>
          </w:tcPr>
          <w:p w:rsidR="00F82F6F" w:rsidRPr="00DA7C23" w:rsidRDefault="00F82F6F" w:rsidP="004A5BA9">
            <w:pPr>
              <w:spacing w:before="120" w:after="120"/>
              <w:rPr>
                <w:rFonts w:cs="Arial"/>
                <w:color w:val="000000"/>
              </w:rPr>
            </w:pPr>
            <w:r w:rsidRPr="00DA7C23">
              <w:rPr>
                <w:rFonts w:cs="Arial"/>
                <w:color w:val="000000"/>
              </w:rPr>
              <w:t>#1 should include "Employability Skills Set" and Industry specific CTE skill set. They are different and both critical to developing the whole student for college and or career.</w:t>
            </w:r>
          </w:p>
        </w:tc>
      </w:tr>
      <w:tr w:rsidR="00F82F6F" w:rsidRPr="00DA7C23" w:rsidTr="001F21ED">
        <w:trPr>
          <w:cantSplit/>
        </w:trPr>
        <w:tc>
          <w:tcPr>
            <w:tcW w:w="3168" w:type="dxa"/>
            <w:vAlign w:val="center"/>
          </w:tcPr>
          <w:p w:rsidR="00F82F6F" w:rsidRPr="00DA7C23" w:rsidRDefault="00F82F6F" w:rsidP="00C76300">
            <w:pPr>
              <w:spacing w:before="120" w:after="120"/>
              <w:rPr>
                <w:rFonts w:cs="Arial"/>
              </w:rPr>
            </w:pPr>
            <w:r w:rsidRPr="00DA7C23">
              <w:rPr>
                <w:rFonts w:cs="Arial"/>
              </w:rPr>
              <w:t>Chuck Christie, Board Member, Yucaipa-Calimesa Joint USD/CRY-ROP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 xml:space="preserve">The principles are individually sound as ideals, and especially if we assume unlimited funding. The limited and inadequate funding currently at play will likely lead to winners and losers regionally, and between the </w:t>
            </w:r>
            <w:proofErr w:type="gramStart"/>
            <w:r w:rsidRPr="00DA7C23">
              <w:rPr>
                <w:rFonts w:cs="Arial"/>
                <w:color w:val="000000"/>
              </w:rPr>
              <w:t>competition</w:t>
            </w:r>
            <w:proofErr w:type="gramEnd"/>
            <w:r w:rsidRPr="00DA7C23">
              <w:rPr>
                <w:rFonts w:cs="Arial"/>
                <w:color w:val="000000"/>
              </w:rPr>
              <w:t xml:space="preserve"> among guiding policy principles.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Kimberly Dalton, Director of Human Resources, LBUSD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"A priority is to pivot towards purposeful integration of the student experience across systems and into college and career"--Pivot indicates a change but for someone outside of the Pathway system it leads to questions which are not answered in this section. I recommend removing "to pivot towards.  #5 says "ensure state priorities and direction lead the state plan"--Are these priorities focused on future jobs and the preparation for these jobs?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Paul </w:t>
            </w:r>
            <w:proofErr w:type="spellStart"/>
            <w:r w:rsidRPr="00DA7C23">
              <w:rPr>
                <w:rFonts w:cs="Arial"/>
              </w:rPr>
              <w:t>Dautremont</w:t>
            </w:r>
            <w:proofErr w:type="spellEnd"/>
            <w:r w:rsidRPr="00DA7C23">
              <w:rPr>
                <w:rFonts w:cs="Arial"/>
              </w:rPr>
              <w:t>, Director, College &amp; Career Readiness,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Looks good.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Lisa Decker, Coordinator of State and Federal Programs, CTE Administration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guiding principles are comprehensive but how will they be implemented? What will that look like and how will it be measured?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Anna </w:t>
            </w:r>
            <w:proofErr w:type="spellStart"/>
            <w:r w:rsidRPr="00DA7C23">
              <w:rPr>
                <w:rFonts w:cs="Arial"/>
              </w:rPr>
              <w:t>Fontus</w:t>
            </w:r>
            <w:proofErr w:type="spellEnd"/>
            <w:r w:rsidRPr="00DA7C23">
              <w:rPr>
                <w:rFonts w:cs="Arial"/>
              </w:rPr>
              <w:t>, Policy Manager, Linked Learning Alliance</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 xml:space="preserve">This section begins with a reference to college AND career pathways, but the end of the sentence separates educational progression from meaningful employment. If we want these programs to truly open as many doors as possible for students, they need to be prepared for both "tracks". To accomplish this, there needs to be a call to action for schools/districts to provide equitable access to programs to complete the a-g sequence and develop industry specific skills while in high school. It is also worth emphasizing that while this document and portions of the CDE website refer to "college and career" pathways/programs, the majority of career pathways still focus on providing a CTE sequence. </w:t>
            </w:r>
          </w:p>
        </w:tc>
      </w:tr>
      <w:tr w:rsidR="00F82F6F" w:rsidRPr="00DA7C23" w:rsidTr="001F21ED">
        <w:trPr>
          <w:cantSplit/>
        </w:trPr>
        <w:tc>
          <w:tcPr>
            <w:tcW w:w="3168" w:type="dxa"/>
            <w:vAlign w:val="center"/>
          </w:tcPr>
          <w:p w:rsidR="00F82F6F" w:rsidRPr="00DA7C23" w:rsidRDefault="00F82F6F" w:rsidP="00C76300">
            <w:pPr>
              <w:spacing w:before="120" w:after="120"/>
              <w:rPr>
                <w:rFonts w:cs="Arial"/>
              </w:rPr>
            </w:pPr>
            <w:r w:rsidRPr="00DA7C23">
              <w:rPr>
                <w:rFonts w:cs="Arial"/>
              </w:rPr>
              <w:t>Cynthia Gleason, Principal, Fontana Adult School-Fontana USD</w:t>
            </w:r>
          </w:p>
        </w:tc>
        <w:tc>
          <w:tcPr>
            <w:tcW w:w="6192" w:type="dxa"/>
            <w:vAlign w:val="center"/>
          </w:tcPr>
          <w:p w:rsidR="00F82F6F" w:rsidRPr="00DA7C23" w:rsidRDefault="00F82F6F" w:rsidP="00DA7C23">
            <w:pPr>
              <w:spacing w:before="120" w:after="120"/>
              <w:rPr>
                <w:rFonts w:cs="Arial"/>
                <w:color w:val="000000"/>
              </w:rPr>
            </w:pPr>
            <w:r w:rsidRPr="00DA7C23">
              <w:rPr>
                <w:rFonts w:cs="Arial"/>
                <w:color w:val="000000"/>
              </w:rPr>
              <w:t>5. Ensure that State Priorities and Direction Lead the State Plan with opportunities in Perkins leveraged to assist in accomplishing the state goals and objectives, also known as “the California Way.”</w:t>
            </w:r>
            <w:r w:rsidR="00DA7C23" w:rsidRPr="00DA7C23">
              <w:rPr>
                <w:rFonts w:cs="Arial"/>
                <w:color w:val="000000"/>
              </w:rPr>
              <w:t xml:space="preserve"> </w:t>
            </w:r>
            <w:r w:rsidRPr="00DA7C23">
              <w:rPr>
                <w:rFonts w:cs="Arial"/>
                <w:color w:val="000000"/>
              </w:rPr>
              <w:t>Could the last portion, "also known as "the California Way."" be left off?  Is that official language that will be used to refer to the State Plan?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Kathy Hamilton, Director, College and Career Connections, Elk Grove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Looks good.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Thomas Hanson, Administration, Mission Valley 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Just in the first five guiding policies, there is a lot to consider.  The trouble is the state has not funded existing systems to always meet these priority goals, and the systems have been grossly underfunded at that.  A competitive funding environment is not likely the way to achieve all these goals for all students - more evidence of an under-funding.</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James </w:t>
            </w:r>
            <w:proofErr w:type="spellStart"/>
            <w:r w:rsidRPr="00DA7C23">
              <w:rPr>
                <w:rFonts w:cs="Arial"/>
              </w:rPr>
              <w:t>Hattar</w:t>
            </w:r>
            <w:proofErr w:type="spellEnd"/>
            <w:r w:rsidRPr="00DA7C23">
              <w:rPr>
                <w:rFonts w:cs="Arial"/>
              </w:rPr>
              <w:t>, Community Recruiter (Teacher on Assignment), CRY-ROP</w:t>
            </w:r>
          </w:p>
        </w:tc>
        <w:tc>
          <w:tcPr>
            <w:tcW w:w="6192" w:type="dxa"/>
            <w:vAlign w:val="center"/>
          </w:tcPr>
          <w:p w:rsidR="00F82F6F" w:rsidRPr="00DA7C23" w:rsidRDefault="00F82F6F" w:rsidP="004A5BA9">
            <w:pPr>
              <w:spacing w:before="120" w:after="120"/>
              <w:rPr>
                <w:rFonts w:cs="Arial"/>
                <w:color w:val="000000"/>
              </w:rPr>
            </w:pPr>
            <w:r w:rsidRPr="00DA7C23">
              <w:rPr>
                <w:rFonts w:cs="Arial"/>
                <w:color w:val="000000"/>
              </w:rPr>
              <w:t>Expand the introduction of CTE into middle schools. Inform parents about the importance of CTE in their child's future and in their community.</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Elena Hernandez, Peer Coach Leader,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True equity and access means that districts do not have to compete for funds. Award funds in an effort to build better pathways that provide opportunities on all levels (elementary, middle, high, continuation, &amp; adult).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Crystal Hickey, Advisor,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Focus on Student-Centered Delivery of Services, promoting and giving student access by learning beyond the classroom structure. Delivering options through virtual learning, and online courses connecting with industry sectors. Promote CTE classes available for students.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Charlie Hoffman, Superintendent, 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Again, where programs exist that contain and embody these desired principles, the grant program should support and sustain them, not devalue and force contrived expense by assuming that these desired principles do not exist or are very rare. This line of reinventing the wheel everywhere thinking permeates this entire document which will limit the opportunity for high quality program providers to meaningfully pursue grant funds if it restricts use of the funds to the creation of news programs and program expenses.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Stephanie Houston, Superintendent,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Ensure that the student voice is in the room when decisions are being made by the WPJAC. The goals of equity, access, system alignment, building capacity and support of state priorities are indeed important. However, setting those goals within the back drop of a competitive funding environment that is painfully underfunded by design, sends mixed messages. If these elements are priorities, then fund them fully, and do not set up districts and regions with winners and losers based on their ability to win competitive funds.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Daphne Hunter, ASL/CTE Teacher,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Promotion of equity and access to all students to have the opportunity to choose from multiple CTE programs representing all industry sectors regardless of zip code.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Jennifer Johnson, Principal,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All five principles are important. Equity and access also needs to address students of poverty and eliminating gaps to both college and career paths.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Laura </w:t>
            </w:r>
            <w:proofErr w:type="spellStart"/>
            <w:r w:rsidRPr="00DA7C23">
              <w:rPr>
                <w:rFonts w:cs="Arial"/>
              </w:rPr>
              <w:t>Koger</w:t>
            </w:r>
            <w:proofErr w:type="spellEnd"/>
            <w:r w:rsidRPr="00DA7C23">
              <w:rPr>
                <w:rFonts w:cs="Arial"/>
              </w:rPr>
              <w: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Promote Equity and Access by eliminating institutional barriers and achievement gaps for all students to realize their educational and career aspirations: Expand the introduction of CTE into the middle schools, Provide on-line introductions into CTE pathways for middle school students and parents, and Educate parents regarding the opportunities CTE education provides students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Wendy Mayea, Assistant Director of Student Support, Simi Valley USD</w:t>
            </w:r>
          </w:p>
        </w:tc>
        <w:tc>
          <w:tcPr>
            <w:tcW w:w="6192" w:type="dxa"/>
            <w:vAlign w:val="center"/>
          </w:tcPr>
          <w:p w:rsidR="00F82F6F" w:rsidRPr="00DA7C23" w:rsidRDefault="00F82F6F" w:rsidP="00136944">
            <w:pPr>
              <w:spacing w:after="0"/>
              <w:rPr>
                <w:rFonts w:cs="Arial"/>
                <w:color w:val="000000"/>
              </w:rPr>
            </w:pPr>
            <w:r w:rsidRPr="00DA7C23">
              <w:rPr>
                <w:rFonts w:cs="Arial"/>
                <w:color w:val="000000"/>
              </w:rPr>
              <w:t>The accountability model for districts is ever changing and communication about these changes needs to be consistent between the vision for CTE, state documentation and measurements, [California Longitudinal Pupil Achievement Data System] CALPADS training and communication, and county as we work to providing High Quality Pathways.  There needs to be a four year plan by which pathways stabilize for this to be a realized model. With "flexibility" at the state, unclear expectations and destabilization have been occurring, equating to unclear and unrealized goals.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Adele McClain, Coordinator of 2 schools and field team member for AEBG, member of VVCAERC</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Policies and principals need to take into account that those clients with the greatest need (the least education) should be granted payment points based on their progression towards eligibility to CTE classes.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Christopher </w:t>
            </w:r>
            <w:proofErr w:type="spellStart"/>
            <w:r w:rsidRPr="00DA7C23">
              <w:rPr>
                <w:rFonts w:cs="Arial"/>
              </w:rPr>
              <w:t>Mcclung</w:t>
            </w:r>
            <w:proofErr w:type="spellEnd"/>
            <w:r w:rsidRPr="00DA7C23">
              <w:rPr>
                <w:rFonts w:cs="Arial"/>
              </w:rPr>
              <w:t>, Curriculum Developer,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committee’s efforts must be always student-centered. The committee must also focus on aligning the different educational agencies and systems to provide access and equity to all students from K-14+.</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Wendy McClung, Teacher,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Education must be focused on individual learning styles and needs, focusing more on socioemotional development and applicable real-life skill building. These real-life learning experiences must begin in elementary school in order to prepare the students for the critical thinking skills needed for higher learning and career readiness.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Lynn </w:t>
            </w:r>
            <w:proofErr w:type="spellStart"/>
            <w:r w:rsidRPr="00DA7C23">
              <w:rPr>
                <w:rFonts w:cs="Arial"/>
              </w:rPr>
              <w:t>McConville</w:t>
            </w:r>
            <w:proofErr w:type="spellEnd"/>
            <w:r w:rsidRPr="00DA7C23">
              <w:rPr>
                <w:rFonts w:cs="Arial"/>
              </w:rPr>
              <w:t>, Assistant Principal, CTAE, Poway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Principles are valuable concepts. Thank you for adding the words 'student-centered delivery of service'. The principles should allow for flexibility in local implementation, with defined accountability measures and expected outcomes. Long-term success for our economy will be based on our students developing skills that transfer as industry changes, not discrete skills for a particular career pathway. Stakeholder input from the district level should be solicited as these guidelines are developed. Common accountability measures need to be age appropriate. Not sure I understand what the "California Way" is.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Brian Miller, Principal, Kern High School District/Regional Occupational Center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We have made great strides in career pathway development the past four years. Relationships between K-</w:t>
            </w:r>
            <w:proofErr w:type="gramStart"/>
            <w:r w:rsidRPr="00DA7C23">
              <w:rPr>
                <w:rFonts w:cs="Arial"/>
                <w:color w:val="000000"/>
              </w:rPr>
              <w:t>14+</w:t>
            </w:r>
            <w:proofErr w:type="gramEnd"/>
            <w:r w:rsidRPr="00DA7C23">
              <w:rPr>
                <w:rFonts w:cs="Arial"/>
                <w:color w:val="000000"/>
              </w:rPr>
              <w:t xml:space="preserve"> partners are at an all-time high and trending upward. In order to be successful in truly creating programs that have a student-centered delivery focus and are aligned to workforce needs we must get have better access to data across K-12, community college, 4 year schools, and the workforce. This is the only way that we will be able to measure whether or not the work that is being done will be successful. I think this focus is reflected in the systems alignment language, but I am not convinced that there is the urgency that is needed at the state level to get this systems aligned and give us at the local level access to the data that we need.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Esteban </w:t>
            </w:r>
            <w:proofErr w:type="spellStart"/>
            <w:r w:rsidRPr="00DA7C23">
              <w:rPr>
                <w:rFonts w:cs="Arial"/>
              </w:rPr>
              <w:t>Monge</w:t>
            </w:r>
            <w:proofErr w:type="spellEnd"/>
            <w:r w:rsidRPr="00DA7C23">
              <w:rPr>
                <w:rFonts w:cs="Arial"/>
              </w:rPr>
              <w:t>, Work-Based Learning Specialist,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California has a very diverse business sector and many opportunities exist on a regional level only. It is important to consider that labor markets can quickly change therefore, CTE pathways must me allowed the freedom to adapt to labor market trends by working closely with affiliated Economic Development Councils. Guidelines also need to have very clear accountability measure so that districts can have a clear focus when delivering long-term strategic plans. If our business sectors change, there needs to be mechanisms, support and funding to restructure a district’s CTE pathways.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Alma Orozco, Employment Placement Specialist,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Creating a system that aligns and collaborates between multiple agencies and that strives for continuous improvement.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proofErr w:type="spellStart"/>
            <w:r w:rsidRPr="00DA7C23">
              <w:rPr>
                <w:rFonts w:cs="Arial"/>
              </w:rPr>
              <w:lastRenderedPageBreak/>
              <w:t>Carmita</w:t>
            </w:r>
            <w:proofErr w:type="spellEnd"/>
            <w:r w:rsidRPr="00DA7C23">
              <w:rPr>
                <w:rFonts w:cs="Arial"/>
              </w:rPr>
              <w:t xml:space="preserve"> Pena, Coordinator of College &amp; Careers, Woodlake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state priorities need to be looked at and modified to include credentialed teachers who have single subject credentials but teach a pathway course to count as a high quality CTE pathway program.  This is a dilemma for many districts who, under the guidelines of "No Child Left Behind" were no longer hiring CTE credentialed teachers.  It does not make sense that a single subject credentialed teacher who has taught Art for over 15 year and has a 3 sequence course pathway cannot count as a highly qualified pathway.  These are some of the discussions that need to take place at the state level.</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Carol </w:t>
            </w:r>
            <w:proofErr w:type="spellStart"/>
            <w:r w:rsidRPr="00DA7C23">
              <w:rPr>
                <w:rFonts w:cs="Arial"/>
              </w:rPr>
              <w:t>Perea</w:t>
            </w:r>
            <w:proofErr w:type="spellEnd"/>
            <w:r w:rsidRPr="00DA7C23">
              <w:rPr>
                <w:rFonts w:cs="Arial"/>
              </w:rPr>
              <w:t>, CTE Instructor- Business Communication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3) What do "economic regions" have to do with system alignment....  4) Support Continuous Improvement, leave "the" out. And what "components?" what are those?? Leave that word out.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Irene Perez, Teacher, Business/ROP Teacher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 think these are honorable goals. I hope they can be achieved. My experience has been that my classes were not seen as classes that "kids going to college" should take. Even though I taught budgeting, writing a resume, interviewing skills, entrepreneurship, management, marketing and more. I also brought in guest speakers from industry to speak on a variety of subjects; and to be judges to students who created their own businesses.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Steve Pinning, Director, Linked Learning &amp; CTE, Palm Springs USD/District CTE Administration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In Number 5 ...leveraged to assist in accomplishing the state goals and objectives... Maybe specify the state goals and objectives. As stated now it is wide open. Overall, I like these as guiding policies.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Deidra </w:t>
            </w:r>
            <w:proofErr w:type="spellStart"/>
            <w:r w:rsidRPr="00DA7C23">
              <w:rPr>
                <w:rFonts w:cs="Arial"/>
              </w:rPr>
              <w:t>Puentes</w:t>
            </w:r>
            <w:proofErr w:type="spellEnd"/>
            <w:r w:rsidRPr="00DA7C23">
              <w:rPr>
                <w:rFonts w:cs="Arial"/>
              </w:rPr>
              <w:t>, Community Recruiter- Teacher on Assignment,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Ensure that all stakeholders are using the same definition for the Guiding Policy Principles. This will enable the WPJAC to provide a clear and consistent message across the state regarding the needs and expected outcomes for each of the Guiding Policy Principles. For example, how will Student-Centered Delivery of Services be measured, what are the specific benchmarks that should be present to demonstrate that it is happening across the state, regardless of where a student attends school?</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Brooke Quinones, Executive Administration Assistant,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CTE needs to be specifically stated. Promoting equity and access are priority however without fully funded programs there isn't support for all students.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Sheryl Ryder, Executive Director, Career Development, Placer County Office of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Replace "pivot toward" with "ensure."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Brigitte </w:t>
            </w:r>
            <w:proofErr w:type="spellStart"/>
            <w:r w:rsidRPr="00DA7C23">
              <w:rPr>
                <w:rFonts w:cs="Arial"/>
              </w:rPr>
              <w:t>Sarraf</w:t>
            </w:r>
            <w:proofErr w:type="spellEnd"/>
            <w:r w:rsidRPr="00DA7C23">
              <w:rPr>
                <w:rFonts w:cs="Arial"/>
              </w:rPr>
              <w:t>, Director of Assessment and Evaluation, Administrator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OK as stated.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Raelynn Sharp, CTE Project Specialist, Sacramento County Office of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Principle B - Promoting equity and access is important. It's also important to recognize and address the fact that in many schools, CTE courses are "dumping grounds" for special pops, under performing, and problem or difficult students. Often the value of CTE courses is not recognized by site administration, counselors or both. Principle E - Most people have never heard of "the California Way" much less know what it means.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Teri </w:t>
            </w:r>
            <w:proofErr w:type="spellStart"/>
            <w:r w:rsidRPr="00DA7C23">
              <w:rPr>
                <w:rFonts w:cs="Arial"/>
              </w:rPr>
              <w:t>Sprecco</w:t>
            </w:r>
            <w:proofErr w:type="spellEnd"/>
            <w:r w:rsidRPr="00DA7C23">
              <w:rPr>
                <w:rFonts w:cs="Arial"/>
              </w:rPr>
              <w:t>, Director II, College &amp; Career Readiness,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Principles are valuable concepts. California is a big state with diverse regions and populations. The guidelines developed to implement these principles need to be clear and manageable. They should be based on student needs, as well as the on regional workforce demands, while allowing for flexibility in local implementation. Labor Market changes over time. Long-term success for our economy will be based on our students developing skills that transfer as industry changes. Stakeholder input from the district level should be solicited as these guidelines are developed. This input needs to be incorporated to ensure that guidelines are reasonable and manageable at the district level. Common accountability measures need to be age appropriate.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Emilio </w:t>
            </w:r>
            <w:proofErr w:type="spellStart"/>
            <w:r w:rsidRPr="00DA7C23">
              <w:rPr>
                <w:rFonts w:cs="Arial"/>
              </w:rPr>
              <w:t>Urioste</w:t>
            </w:r>
            <w:proofErr w:type="spellEnd"/>
            <w:r w:rsidRPr="00DA7C23">
              <w:rPr>
                <w:rFonts w:cs="Arial"/>
              </w:rPr>
              <w:t>, Director Adult Education, Burbank Adult School</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bolded terms are very helpful to the reader. Much more direct than the preamble.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Tracie </w:t>
            </w:r>
            <w:proofErr w:type="spellStart"/>
            <w:r w:rsidRPr="00DA7C23">
              <w:rPr>
                <w:rFonts w:cs="Arial"/>
              </w:rPr>
              <w:t>Zerpoli</w:t>
            </w:r>
            <w:proofErr w:type="spellEnd"/>
            <w:r w:rsidRPr="00DA7C23">
              <w:rPr>
                <w:rFonts w:cs="Arial"/>
              </w:rPr>
              <w:t>, Superintendent, CAROCP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Excellent, most all of the principals are clear and defined well.  Number 4 could use more explanation.  It is very close to number 3.  Also “The California Way" is not well defined.  Is it different from the National Way?  I believe you are missing some very important principles like, making sure we create a data system that can capture REAL data of what happens to our students when they leave us and also what about business and industry they are key to our success. What do they want?  How do we align our programs to their needs?</w:t>
            </w:r>
          </w:p>
        </w:tc>
      </w:tr>
    </w:tbl>
    <w:p w:rsidR="00533638" w:rsidRPr="00A2016D" w:rsidRDefault="00533638" w:rsidP="00533638">
      <w:pPr>
        <w:pStyle w:val="Heading2"/>
        <w:rPr>
          <w:rFonts w:cs="Arial"/>
          <w:szCs w:val="20"/>
        </w:rPr>
      </w:pPr>
      <w:r w:rsidRPr="00A2016D">
        <w:rPr>
          <w:rFonts w:cs="Arial"/>
          <w:szCs w:val="20"/>
        </w:rPr>
        <w:t>Essential Elements</w:t>
      </w:r>
    </w:p>
    <w:tbl>
      <w:tblPr>
        <w:tblStyle w:val="GridTable1Light"/>
        <w:tblW w:w="9360" w:type="dxa"/>
        <w:tblLook w:val="0420" w:firstRow="1" w:lastRow="0" w:firstColumn="0" w:lastColumn="0" w:noHBand="0" w:noVBand="1"/>
        <w:tblDescription w:val="This table shows comments that the CDE recieved on the Guiding Policy Principles with the commenter's information and the CDE's response and/or action."/>
      </w:tblPr>
      <w:tblGrid>
        <w:gridCol w:w="3168"/>
        <w:gridCol w:w="6192"/>
      </w:tblGrid>
      <w:tr w:rsidR="00F82F6F" w:rsidRPr="00DA7C23" w:rsidTr="001F21ED">
        <w:trPr>
          <w:cnfStyle w:val="100000000000" w:firstRow="1" w:lastRow="0" w:firstColumn="0" w:lastColumn="0" w:oddVBand="0" w:evenVBand="0" w:oddHBand="0" w:evenHBand="0" w:firstRowFirstColumn="0" w:firstRowLastColumn="0" w:lastRowFirstColumn="0" w:lastRowLastColumn="0"/>
          <w:cantSplit/>
          <w:tblHeader/>
        </w:trPr>
        <w:tc>
          <w:tcPr>
            <w:tcW w:w="3168" w:type="dxa"/>
            <w:shd w:val="clear" w:color="auto" w:fill="D9D9D9" w:themeFill="background1" w:themeFillShade="D9"/>
            <w:vAlign w:val="center"/>
          </w:tcPr>
          <w:p w:rsidR="00F82F6F" w:rsidRPr="00DA7C23" w:rsidRDefault="00F82F6F" w:rsidP="0041053B">
            <w:pPr>
              <w:spacing w:before="60" w:after="60"/>
              <w:jc w:val="center"/>
              <w:rPr>
                <w:rFonts w:cs="Arial"/>
              </w:rPr>
            </w:pPr>
            <w:r w:rsidRPr="00DA7C23">
              <w:rPr>
                <w:rFonts w:cs="Arial"/>
              </w:rPr>
              <w:t>Commenter</w:t>
            </w:r>
          </w:p>
        </w:tc>
        <w:tc>
          <w:tcPr>
            <w:tcW w:w="6192" w:type="dxa"/>
            <w:shd w:val="clear" w:color="auto" w:fill="D9D9D9" w:themeFill="background1" w:themeFillShade="D9"/>
            <w:vAlign w:val="center"/>
          </w:tcPr>
          <w:p w:rsidR="00F82F6F" w:rsidRPr="00DA7C23" w:rsidRDefault="00F82F6F" w:rsidP="0041053B">
            <w:pPr>
              <w:spacing w:before="60" w:after="60"/>
              <w:jc w:val="center"/>
              <w:rPr>
                <w:rFonts w:cs="Arial"/>
              </w:rPr>
            </w:pPr>
            <w:r w:rsidRPr="00DA7C23">
              <w:rPr>
                <w:rFonts w:cs="Arial"/>
              </w:rPr>
              <w:t>Comment</w:t>
            </w:r>
          </w:p>
        </w:tc>
      </w:tr>
      <w:tr w:rsidR="00F82F6F" w:rsidRPr="00DA7C23" w:rsidTr="001F21ED">
        <w:trPr>
          <w:cantSplit/>
        </w:trPr>
        <w:tc>
          <w:tcPr>
            <w:tcW w:w="3168" w:type="dxa"/>
            <w:vAlign w:val="center"/>
          </w:tcPr>
          <w:p w:rsidR="00F82F6F" w:rsidRPr="00DA7C23" w:rsidRDefault="00F82F6F" w:rsidP="000945C3">
            <w:pPr>
              <w:spacing w:before="120" w:after="120"/>
              <w:rPr>
                <w:rFonts w:cs="Arial"/>
                <w:color w:val="000000"/>
              </w:rPr>
            </w:pPr>
            <w:r w:rsidRPr="00DA7C23">
              <w:rPr>
                <w:rFonts w:cs="Arial"/>
                <w:color w:val="000000"/>
              </w:rPr>
              <w:t xml:space="preserve">Valerie Backus, CTE Coordinator, Murrieta Valley </w:t>
            </w:r>
            <w:r w:rsidRPr="00DA7C23">
              <w:rPr>
                <w:rFonts w:cs="Arial"/>
              </w:rPr>
              <w:t>USD</w:t>
            </w:r>
          </w:p>
        </w:tc>
        <w:tc>
          <w:tcPr>
            <w:tcW w:w="6192" w:type="dxa"/>
            <w:vAlign w:val="center"/>
          </w:tcPr>
          <w:p w:rsidR="00F82F6F" w:rsidRPr="00DA7C23" w:rsidRDefault="00F82F6F" w:rsidP="00136944">
            <w:pPr>
              <w:spacing w:after="0"/>
              <w:rPr>
                <w:rFonts w:cs="Arial"/>
                <w:color w:val="000000"/>
              </w:rPr>
            </w:pPr>
            <w:r w:rsidRPr="00DA7C23">
              <w:rPr>
                <w:rFonts w:cs="Arial"/>
                <w:color w:val="000000"/>
              </w:rPr>
              <w:t xml:space="preserve">Is this akin to the K-12 11 elements of </w:t>
            </w:r>
            <w:r w:rsidR="001F21ED" w:rsidRPr="00DA7C23">
              <w:rPr>
                <w:rFonts w:cs="Arial"/>
                <w:color w:val="000000"/>
              </w:rPr>
              <w:t>a</w:t>
            </w:r>
            <w:r w:rsidRPr="00DA7C23">
              <w:rPr>
                <w:rFonts w:cs="Arial"/>
                <w:color w:val="000000"/>
              </w:rPr>
              <w:t xml:space="preserve"> high-quality (HQ) CTE model? If not, why?  How will the two be aligned, especially considering all the work that's been done in K-12 as they use the self-review tool provided by the CDE? And again, where is the industry, [Employment Development Department] EDD, labor market input as part of this ultimate alignment?  Also, how are we aligning to the national system (</w:t>
            </w:r>
            <w:hyperlink r:id="rId9" w:tooltip="Common Career Technical Core (CCTC) Alignment Study Web page." w:history="1">
              <w:r w:rsidRPr="00DA7C23">
                <w:rPr>
                  <w:rStyle w:val="Hyperlink"/>
                  <w:rFonts w:cs="Arial"/>
                </w:rPr>
                <w:t>https://careertech.org/cctc-alignment-study</w:t>
              </w:r>
            </w:hyperlink>
            <w:r w:rsidRPr="00DA7C23">
              <w:rPr>
                <w:rFonts w:cs="Arial"/>
                <w:color w:val="000000"/>
              </w:rPr>
              <w: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color w:val="000000"/>
              </w:rPr>
              <w:t xml:space="preserve">Matt </w:t>
            </w:r>
            <w:proofErr w:type="spellStart"/>
            <w:r w:rsidRPr="00DA7C23">
              <w:rPr>
                <w:rFonts w:cs="Arial"/>
                <w:color w:val="000000"/>
              </w:rPr>
              <w:t>Baffunno</w:t>
            </w:r>
            <w:proofErr w:type="spellEnd"/>
            <w:r w:rsidRPr="00DA7C23">
              <w:rPr>
                <w:rFonts w:cs="Arial"/>
                <w:color w:val="000000"/>
              </w:rPr>
              <w:t>, Ag. Department Head, Perkins Coordinator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Looks good.</w:t>
            </w:r>
          </w:p>
        </w:tc>
      </w:tr>
      <w:tr w:rsidR="00F82F6F" w:rsidRPr="00DA7C23" w:rsidTr="001F21ED">
        <w:trPr>
          <w:cantSplit/>
        </w:trPr>
        <w:tc>
          <w:tcPr>
            <w:tcW w:w="3168" w:type="dxa"/>
            <w:vAlign w:val="center"/>
          </w:tcPr>
          <w:p w:rsidR="00F82F6F" w:rsidRPr="00DA7C23" w:rsidRDefault="00F82F6F" w:rsidP="004A5BA9">
            <w:pPr>
              <w:spacing w:before="120" w:after="120"/>
              <w:rPr>
                <w:rFonts w:cs="Arial"/>
                <w:color w:val="000000"/>
              </w:rPr>
            </w:pPr>
            <w:r w:rsidRPr="00DA7C23">
              <w:rPr>
                <w:rFonts w:cs="Arial"/>
                <w:color w:val="000000"/>
              </w:rPr>
              <w:t xml:space="preserve">Gina </w:t>
            </w:r>
            <w:proofErr w:type="spellStart"/>
            <w:r w:rsidRPr="00DA7C23">
              <w:rPr>
                <w:rFonts w:cs="Arial"/>
                <w:color w:val="000000"/>
              </w:rPr>
              <w:t>Boster</w:t>
            </w:r>
            <w:proofErr w:type="spellEnd"/>
            <w:r w:rsidRPr="00DA7C23">
              <w:rPr>
                <w:rFonts w:cs="Arial"/>
                <w:color w:val="000000"/>
              </w:rPr>
              <w:t>, Director, CTE, Corona-Norco USD</w:t>
            </w:r>
          </w:p>
        </w:tc>
        <w:tc>
          <w:tcPr>
            <w:tcW w:w="6192" w:type="dxa"/>
            <w:vAlign w:val="center"/>
          </w:tcPr>
          <w:p w:rsidR="00F82F6F" w:rsidRPr="00DA7C23" w:rsidRDefault="00F82F6F" w:rsidP="00136944">
            <w:pPr>
              <w:spacing w:before="120" w:after="120"/>
              <w:rPr>
                <w:rFonts w:cs="Arial"/>
                <w:color w:val="000000"/>
              </w:rPr>
            </w:pPr>
            <w:r w:rsidRPr="00DA7C23">
              <w:rPr>
                <w:rFonts w:cs="Arial"/>
                <w:color w:val="000000"/>
              </w:rPr>
              <w:t>#2 Why are only two sub groups identified? Should the language more closely align to the [Local Control and Accountability Plan] LCAP?  #4 Does this include the State Superintendent of Instruction? #5 is very thorough - good. #7 Need to promote more communication between CDE and CTC for proper teacher credentialing and the State’s accountability system. #8 The system needs to do a better job of promoting/requiring K-12, community colleges, and 4 year college to collaborate.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Lisa Castillo, District Director of College and Career, Cutler </w:t>
            </w:r>
            <w:proofErr w:type="spellStart"/>
            <w:r w:rsidRPr="00DA7C23">
              <w:rPr>
                <w:rFonts w:cs="Arial"/>
              </w:rPr>
              <w:t>Orosi</w:t>
            </w:r>
            <w:proofErr w:type="spellEnd"/>
            <w:r w:rsidRPr="00DA7C23">
              <w:rPr>
                <w:rFonts w:cs="Arial"/>
              </w:rPr>
              <w:t xml:space="preserve"> Joint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 xml:space="preserve">Use language from service review tool. Simple. Districts have to report this to all stakeholders at advisory board meetings, parents, community, and school boards. #5 Add certifications to badging and credentials #9 Every CTE teacher has the appropriate credential for teaching the subject(s) assigned as well as documented employment experience outside of education in the program area taught - This needs to be revisited because when [California Career Pathways Trust] CCPT 1/2 funds came about the purpose was to establish industry specific pathways and academies. Many districts partnered with Project Lead the Way and sent content specific math/science teachers to receive professional development, training and certification- very rigorous and costly.  </w:t>
            </w:r>
          </w:p>
        </w:tc>
      </w:tr>
      <w:tr w:rsidR="00F82F6F" w:rsidRPr="00DA7C23" w:rsidTr="001F21ED">
        <w:trPr>
          <w:cantSplit/>
        </w:trPr>
        <w:tc>
          <w:tcPr>
            <w:tcW w:w="3168" w:type="dxa"/>
            <w:vAlign w:val="center"/>
          </w:tcPr>
          <w:p w:rsidR="00F82F6F" w:rsidRPr="00DA7C23" w:rsidRDefault="00F82F6F" w:rsidP="00C76300">
            <w:pPr>
              <w:spacing w:before="120" w:after="120"/>
              <w:rPr>
                <w:rFonts w:cs="Arial"/>
              </w:rPr>
            </w:pPr>
            <w:r w:rsidRPr="00DA7C23">
              <w:rPr>
                <w:rFonts w:cs="Arial"/>
              </w:rPr>
              <w:t>Chuck Christie, Board Member, Yucaipa-Calimesa Joint USD/CRY-ROP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"Essential Elements..." are on target and can provide incremental improvement to current practice.  However, without major funding increases attainment of the objectives are likely to be highly limited.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proofErr w:type="spellStart"/>
            <w:r w:rsidRPr="00DA7C23">
              <w:rPr>
                <w:rFonts w:cs="Arial"/>
              </w:rPr>
              <w:t>Jewyl</w:t>
            </w:r>
            <w:proofErr w:type="spellEnd"/>
            <w:r w:rsidRPr="00DA7C23">
              <w:rPr>
                <w:rFonts w:cs="Arial"/>
              </w:rPr>
              <w:t xml:space="preserve"> Clarke, Integrated Curriculum Coordinator, San Diego County Office of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These do not match the 11 elements currently part of the self-studies in K-12 CTE. There is no reason to have two separate lists of essential elements of a high quality pathway, so either these should be based on the current 11 element self-study or replace the current elements (however that leaves a few key elements out that districts have been working on), or else you could potentially rename this. It seems to be very confusing to have two different lists of the 11 elements of a high quality pathway.</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Kimberly Dalton, Director of Human Resources, LBUSD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This section is clear and expands upon what the actions will be throughout the system.</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Paul </w:t>
            </w:r>
            <w:proofErr w:type="spellStart"/>
            <w:r w:rsidRPr="00DA7C23">
              <w:rPr>
                <w:rFonts w:cs="Arial"/>
              </w:rPr>
              <w:t>Dautremont</w:t>
            </w:r>
            <w:proofErr w:type="spellEnd"/>
            <w:r w:rsidRPr="00DA7C23">
              <w:rPr>
                <w:rFonts w:cs="Arial"/>
              </w:rPr>
              <w:t>, Director, College &amp; Career Readiness,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Looks good.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Jamie Davenport, CTE Curriculum Specialist,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 would like to see something included in this section regarding increasing the level of state support for [California Partnership academies] CPAs and Linked Learning pathways as they are both proven models for rigorous, integrated curriculum that effectively incorporates work based learning. The school-within-a-school structure of a CPA is specifically designed to offer additional support to at-risk students and is therefore, focused specifically on increasing both equity and access. CPAs have a proven track record of graduating students at a higher rate and effectively preparing them for post-secondary opportunities, and this should be acknowledged. Consistent (and even increased) funding for both CPAs and Linked Learning Pathways should play a central role.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Lisa Decker, Coordinator of State and Federal Programs, CTE Administration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Will this become the new self-evaluation tool and replace the old one? It looks very similar to the existing document.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Anna </w:t>
            </w:r>
            <w:proofErr w:type="spellStart"/>
            <w:r w:rsidRPr="00DA7C23">
              <w:rPr>
                <w:rFonts w:cs="Arial"/>
              </w:rPr>
              <w:t>Fontus</w:t>
            </w:r>
            <w:proofErr w:type="spellEnd"/>
            <w:r w:rsidRPr="00DA7C23">
              <w:rPr>
                <w:rFonts w:cs="Arial"/>
              </w:rPr>
              <w:t>, Policy Manager, Linked Learning Alliance</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Again, this definition assumes that programs are already integrating college and career preparation. This section should make a clear call to action for districts to offer supports for all students to be successful in a four year college AND a living wage job placement. The first element discusses systemic barriers to a successful college and career system--one of the barriers is a separation of these two modes of preparation.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Cynthia Gleason, Principal, Fontana Adult School-Fontana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1. Appreciate the language "multiple entry points". 7. " (including, but not limited to, for students who are part-time, face barriers to learning, need academic or cultural supports, transportation, child care, or financial aid)"  Should the word "for" be removed between "to," and "students"? 8. "Ensures equity and access for all students." Will this include adult learners at adult schools operated on the K-12 side?   11. "This includes but is not limited to K–12 Education, Adult Education” Appreciate the inclusion of AE.  Does this mean K-12 adult school are eligible for inclusion in district Perkins plans and may receive funding as well?</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Kathy Hamilton, Director, College and Career Connections, Elk Grove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Looks good.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Thomas Hanson, Administration, Mission Valley 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 am aware of many of my biases working in a [Joint Powers Authorities] JPA/ROP, but I really do think the best way to provide these high quality elements in programming is through ROPs that have always been able to focus on how to do this work as a highest priority and central mission. This is just not true for other CTE systems that are internally at conflict with delivering core content - which is commonly the K-12 district's main priority. I think the list of HQ elements is great - you should focus on how and who is best designed to deliver them.</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James </w:t>
            </w:r>
            <w:proofErr w:type="spellStart"/>
            <w:r w:rsidRPr="00DA7C23">
              <w:rPr>
                <w:rFonts w:cs="Arial"/>
              </w:rPr>
              <w:t>Hattar</w:t>
            </w:r>
            <w:proofErr w:type="spellEnd"/>
            <w:r w:rsidRPr="00DA7C23">
              <w:rPr>
                <w:rFonts w:cs="Arial"/>
              </w:rPr>
              <w:t>, Community Recruiter (Teacher on Assignment),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Building student interests through programs that allow students to discover engaging career pathways.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Elena Hernandez, Peer Coach Leader,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High-Quality, Integrated Curriculum and Instruction informed by labor market information, student interest, technology, industry standards, and real-world engagement through relevant work-based learning opportunities is essential to prepare students. Labor market information needs to be broadly communicated through all levels of K-14 starting in elementary school. Families need to be educated as to the opportunities, both regional and global that are unseen in their own neighborhoods and beyond the scope of their direct experience in the workforce.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Crystal Hickey, Advisor,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High-quality, Integrated Curriculum and Instruction - Rigorous programs should be supported to guide students through courses (online, virtual, job shadow etc.) Real work-based learning opportunities is justified to support and prepare our students.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Charlie Hoffman, Superintendent, 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essential elements for HQ CTE are right on target. LEAs that offer programs that meet this definition should be supported by this grant with the opportunity to simply sustain their HQ CTE programs/pathways in order that that they may serve as models for LEAs that seek to develop such programs/pathways.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Stephanie Houston, Superintendent, CRY-ROP</w:t>
            </w:r>
          </w:p>
        </w:tc>
        <w:tc>
          <w:tcPr>
            <w:tcW w:w="6192" w:type="dxa"/>
            <w:vAlign w:val="center"/>
          </w:tcPr>
          <w:p w:rsidR="00F82F6F" w:rsidRPr="00DA7C23" w:rsidRDefault="00F82F6F" w:rsidP="004A5BA9">
            <w:pPr>
              <w:spacing w:before="120" w:after="120"/>
              <w:rPr>
                <w:rFonts w:cs="Arial"/>
                <w:color w:val="000000"/>
              </w:rPr>
            </w:pPr>
            <w:r w:rsidRPr="00DA7C23">
              <w:rPr>
                <w:rFonts w:cs="Arial"/>
                <w:color w:val="000000"/>
              </w:rPr>
              <w:t>The essential elements of a high-quality college and career pathway are on point. However, CTE in support of college and career pathways continues to fall further and further behind industry standards. In the past, education drove workforce and economic development. Now education is not able to keep pace with workforce innovation. Since there is not adequate funding for education as a whole and certainly woefully underfunded CTE programs, absent an intentional investment in CTE, in a non-competitive environment, the goals will be nothing more than words on paper. We must invest green dollars, not just lip service, and create commitment to true accountability for the elements.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Daphne Hunter, ASL/CTE Teacher,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Establishing high quality, integrated curriculum and instruction, based on real world experience and industry standards and relevant learning opportunities is essential to prepare students to transition into college and/or the workplace. That is an on-going goal; however, not fully realized and some CTE programs are still behind due to lacking the funding necessary to make this a reality. Therefore, accountability will need to be just as important in its implementation.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Jennifer Johnson, Principal, Education</w:t>
            </w:r>
          </w:p>
        </w:tc>
        <w:tc>
          <w:tcPr>
            <w:tcW w:w="6192" w:type="dxa"/>
            <w:vAlign w:val="center"/>
          </w:tcPr>
          <w:p w:rsidR="00F82F6F" w:rsidRPr="00DA7C23" w:rsidRDefault="00F82F6F" w:rsidP="005D4749">
            <w:pPr>
              <w:spacing w:before="120" w:after="120"/>
              <w:rPr>
                <w:rFonts w:cs="Arial"/>
                <w:color w:val="000000"/>
              </w:rPr>
            </w:pPr>
            <w:r w:rsidRPr="00DA7C23">
              <w:rPr>
                <w:rFonts w:cs="Arial"/>
                <w:color w:val="000000"/>
              </w:rPr>
              <w:t>While all 11 must be in place, the most essential element is funding that is consistent and has local control at each level. Allowing one level of the education system to control the funding or part of the funding stream for others will be problematic.</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Laura </w:t>
            </w:r>
            <w:proofErr w:type="spellStart"/>
            <w:r w:rsidRPr="00DA7C23">
              <w:rPr>
                <w:rFonts w:cs="Arial"/>
              </w:rPr>
              <w:t>Koger</w:t>
            </w:r>
            <w:proofErr w:type="spellEnd"/>
            <w:r w:rsidRPr="00DA7C23">
              <w:rPr>
                <w:rFonts w:cs="Arial"/>
              </w:rPr>
              <w: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Career Exploration is essential to providing post-secondary training for all students. Up-to-date technology is pivotal as it provides students the opportunity to take on-line coursework, viral fieldtrips, and work-based learning opportunities. Innovative technology may become a valuable marketing tool for CTE.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Wendy Mayea, Assistant Director of Student Support, Simi Valley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 liked these as a former administrator at a demonstration site, school of choice. Ensure state accountability measurements are consistent with these elements without placing additional burden on classroom teachers by having to do extra work outside of the classroom to receive funding.</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Adele McClain, Coordinator of 2 schools and field team member for AEBG, member of VVCAERC</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Pathways should be led by the local employer's needs. Training must be sequential with work language content embedded in instruction. Internships must be offered to accelerate learning.</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Christopher </w:t>
            </w:r>
            <w:proofErr w:type="spellStart"/>
            <w:r w:rsidRPr="00DA7C23">
              <w:rPr>
                <w:rFonts w:cs="Arial"/>
              </w:rPr>
              <w:t>Mcclung</w:t>
            </w:r>
            <w:proofErr w:type="spellEnd"/>
            <w:r w:rsidRPr="00DA7C23">
              <w:rPr>
                <w:rFonts w:cs="Arial"/>
              </w:rPr>
              <w:t>, Curriculum Developer, CRY-ROP</w:t>
            </w:r>
          </w:p>
        </w:tc>
        <w:tc>
          <w:tcPr>
            <w:tcW w:w="6192" w:type="dxa"/>
            <w:vAlign w:val="center"/>
          </w:tcPr>
          <w:p w:rsidR="00F82F6F" w:rsidRPr="00DA7C23" w:rsidRDefault="00F82F6F" w:rsidP="0041053B">
            <w:pPr>
              <w:spacing w:before="120" w:after="120"/>
              <w:rPr>
                <w:rFonts w:cs="Arial"/>
              </w:rPr>
            </w:pPr>
            <w:r w:rsidRPr="00DA7C23">
              <w:rPr>
                <w:rFonts w:cs="Arial"/>
              </w:rPr>
              <w:t>Cross-system alignment by the committee of educational agencies and systems must result in high-quality, integrated, and data-driven opportunities for all students K-14+ with a focus on continuous improvement. Streamlining these pathways via a K-14+ cross-system will provide the access and equity for all students to be able and receive high-quality career and exploration and instruction.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Wendy McClung, Teacher, CRY-ROP</w:t>
            </w:r>
          </w:p>
        </w:tc>
        <w:tc>
          <w:tcPr>
            <w:tcW w:w="6192" w:type="dxa"/>
            <w:vAlign w:val="center"/>
          </w:tcPr>
          <w:p w:rsidR="00F82F6F" w:rsidRPr="00DA7C23" w:rsidRDefault="00F82F6F" w:rsidP="005D376B">
            <w:pPr>
              <w:spacing w:before="120" w:after="120"/>
              <w:rPr>
                <w:rFonts w:cs="Arial"/>
                <w:color w:val="000000"/>
              </w:rPr>
            </w:pPr>
            <w:r w:rsidRPr="00DA7C23">
              <w:rPr>
                <w:rFonts w:cs="Arial"/>
                <w:color w:val="000000"/>
              </w:rPr>
              <w:t>Student-Centered Delivery of Services: education, as it stands, is a one-size-fits-all approach to learning. There must be equity in learning that allows mentorship, student leadership, and student voice in the educational process.  Students who are given choices, support, and can find their "why" for reaching their goal will have intrinsic motivation to do so.</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Lynn </w:t>
            </w:r>
            <w:proofErr w:type="spellStart"/>
            <w:r w:rsidRPr="00DA7C23">
              <w:rPr>
                <w:rFonts w:cs="Arial"/>
              </w:rPr>
              <w:t>McConville</w:t>
            </w:r>
            <w:proofErr w:type="spellEnd"/>
            <w:r w:rsidRPr="00DA7C23">
              <w:rPr>
                <w:rFonts w:cs="Arial"/>
              </w:rPr>
              <w:t>, Assistant Principal, CTAE, Poway USD</w:t>
            </w:r>
          </w:p>
        </w:tc>
        <w:tc>
          <w:tcPr>
            <w:tcW w:w="6192" w:type="dxa"/>
            <w:vAlign w:val="center"/>
          </w:tcPr>
          <w:p w:rsidR="00F82F6F" w:rsidRPr="00DA7C23" w:rsidRDefault="00F82F6F" w:rsidP="005D376B">
            <w:pPr>
              <w:spacing w:before="120" w:after="120"/>
              <w:rPr>
                <w:rFonts w:cs="Arial"/>
                <w:color w:val="000000"/>
              </w:rPr>
            </w:pPr>
            <w:r w:rsidRPr="00DA7C23">
              <w:rPr>
                <w:rFonts w:cs="Arial"/>
                <w:color w:val="000000"/>
              </w:rPr>
              <w:t>The Essential Elements are well written and align to the 11 elements of high quality that most have been working towards for years. The CA State Plan should be developed to assist districts in implementing quality pathways and remove unnecessary barriers and rigid interpretations. Local input should be incorporated and valued.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Brian Miller, Principal, Kern High School District/Regional Occupational Center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language is appropriate and reflective of what we have all been focusing on in regards to high quality programs. Again though, we must have better access to quality and robust data at both the micro and macro levels. The state should take the lead on this and not leave it to be done at the local level.</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Esteban </w:t>
            </w:r>
            <w:proofErr w:type="spellStart"/>
            <w:r w:rsidRPr="00DA7C23">
              <w:rPr>
                <w:rFonts w:cs="Arial"/>
              </w:rPr>
              <w:t>Monge</w:t>
            </w:r>
            <w:proofErr w:type="spellEnd"/>
            <w:r w:rsidRPr="00DA7C23">
              <w:rPr>
                <w:rFonts w:cs="Arial"/>
              </w:rPr>
              <w:t>, Work-Based Learning Specialist,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 xml:space="preserve">If the focus is student centered, more articulation needs to occur, especially in sectors such as healthcare, since they have been </w:t>
            </w:r>
            <w:proofErr w:type="gramStart"/>
            <w:r w:rsidRPr="00DA7C23">
              <w:rPr>
                <w:rFonts w:cs="Arial"/>
                <w:color w:val="000000"/>
              </w:rPr>
              <w:t>very</w:t>
            </w:r>
            <w:proofErr w:type="gramEnd"/>
            <w:r w:rsidRPr="00DA7C23">
              <w:rPr>
                <w:rFonts w:cs="Arial"/>
                <w:color w:val="000000"/>
              </w:rPr>
              <w:t xml:space="preserve"> regimented in their course sequences. Student data needs to be more readily available for educators to see where and how access and achievement gaps are presented in their classrooms. In order for this to occur, there needs to be more training for teachers to not only identify achievement gaps in their classes but how to incorporate interventions. The CTE credentialed process need to be readdressed in order to recruit individuals from industry to step into the classroom or their needs to be less restrictive requirements for the CTE credentialing process.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Alma Orozco, Employment Placement Specialist,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With access to innovative technologies, students can have high-quality faculty, curriculum, and resources to support them in their academics.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proofErr w:type="spellStart"/>
            <w:r w:rsidRPr="00DA7C23">
              <w:rPr>
                <w:rFonts w:cs="Arial"/>
              </w:rPr>
              <w:t>Carmita</w:t>
            </w:r>
            <w:proofErr w:type="spellEnd"/>
            <w:r w:rsidRPr="00DA7C23">
              <w:rPr>
                <w:rFonts w:cs="Arial"/>
              </w:rPr>
              <w:t xml:space="preserve"> Pena, Coordinator of College &amp; Careers, Woodlake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It's great that you have tied into the 11 essential elements as this is a great tool that is used to evaluate our pathways. An area of need would be the relevant work industry information that focus on employer’s needs. This is an area that we struggle in. We have industry partners that we collaborate with and sit on our advisory board. They listen to what we are doing for Project Based Learning and they assist by working with students or participating in the final student showcase as a judge/evaluate. This has been a great connection for our students. Our dilemma is that we would like more feedback from employers as we coordinate and plan the projects so that we make sure we are teaching our students what they need to know.</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Carol </w:t>
            </w:r>
            <w:proofErr w:type="spellStart"/>
            <w:r w:rsidRPr="00DA7C23">
              <w:rPr>
                <w:rFonts w:cs="Arial"/>
              </w:rPr>
              <w:t>Perea</w:t>
            </w:r>
            <w:proofErr w:type="spellEnd"/>
            <w:r w:rsidRPr="00DA7C23">
              <w:rPr>
                <w:rFonts w:cs="Arial"/>
              </w:rPr>
              <w:t>, CTE Instructor- Business Communication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1) "Removal institutional”? Mean removal of institutional 4) CONFUSING- trying to put too much into it. This whole statement is poorly worded. 5) 8TH LINE “Seamless student experience”. Maybe seamless academic or educational experience, to avoid unnecessary repeating... 6) 3rd line "the key field talent" leave "the" out, just other field talent. 6) 1st line Provided by or demonstrated by. Not "informed by". The use of the word supports is off putting. Student Support can be plural. Also career Exploration and student support are two separate entities not one “Are essential components"  "individualized support" 8) "outcome" based not outcomes. Stackable badges are not industry based.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Irene Perez, Teacher, Business/ROP Teacher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These are excellent! But, how will these be accomplished? That is the question that needs to be addressed. Since I was a business teacher and ROP teacher for over 20 years, I would like to be part of the solution. If counselors keep putting 'those kids" into these classes, it will not be access for all. Counselors and teachers need to see that these classes are valuable. When I retired, all my classes were eliminated and AP classes were put in their place instead. This happened after a parent spoke up at a parent meeting and stated that every student should be taught the skills that I am teaching in my classes.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Steve Pinning, Director, Linked Learning &amp; CTE, Palm Springs USD/District CTE Administration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Typo in number 1, second line...incorporates the removal OF institutional or systemic... Number 5, High Quality, Integrated Curriculum and Instruction. I hope we are not moving toward requiring formal integration of CTE and academic content as with CPAs or Linked Learning. While these are great and we have several of both in our district, we also have rich CTE pathways not formally tied to academic courses. I want to be sure we don't lose the ability to run CTE sequences. Clarify now you define integrated curriculum and instruction. This sounds like Linked Learning Alliance input. Like the concept but not always a functional choice in all settings.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Deidra </w:t>
            </w:r>
            <w:proofErr w:type="spellStart"/>
            <w:r w:rsidRPr="00DA7C23">
              <w:rPr>
                <w:rFonts w:cs="Arial"/>
              </w:rPr>
              <w:t>Puentes</w:t>
            </w:r>
            <w:proofErr w:type="spellEnd"/>
            <w:r w:rsidRPr="00DA7C23">
              <w:rPr>
                <w:rFonts w:cs="Arial"/>
              </w:rPr>
              <w:t>, Community Recruiter- Teacher on Assignment,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Increased collaboration between all stakeholders is a must to ensure that the implementation of High-Quality College and Career Pathways. This collaboration will increase the alignment of curriculum across all levels of education that will address the needs of the local and regional labor markets.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Brooke Quinones, Executive Administration Assistant,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elements are there but student opportunities are still going to be limited if the resources are restricted by funding.</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Sheryl Ryder, Executive Director, Career Development, Placer County Office of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CTE community has focused on the 11 Elements of HQ CTE over the past several years. These Essential Elements do address most of them in a different way. CTEIG legislation also calls out HQ CTE with different language. Will there be a crosswalk or an alignment of language? Student data collection systems need to be fixed for accurate measures. ACCESS -- will there be an effort to utilize online tools to reach small/rural schools and students? No mention of proper CTE teacher credentialing.</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Brigitte </w:t>
            </w:r>
            <w:proofErr w:type="spellStart"/>
            <w:r w:rsidRPr="00DA7C23">
              <w:rPr>
                <w:rFonts w:cs="Arial"/>
              </w:rPr>
              <w:t>Sarraf</w:t>
            </w:r>
            <w:proofErr w:type="spellEnd"/>
            <w:r w:rsidRPr="00DA7C23">
              <w:rPr>
                <w:rFonts w:cs="Arial"/>
              </w:rPr>
              <w:t>, Director of Assessment and Evaluation, Administrator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Pertaining to #4, not sure that this is comprehensible as written.  Leadership at all levels is key and central to the mission of a establishing a High-Quality College and Career Pathway, however, the statement lacks in providing clear directions. Too general!!</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Raelynn Sharp, CTE Project Specialist, Sacramento County Office of Education</w:t>
            </w:r>
          </w:p>
        </w:tc>
        <w:tc>
          <w:tcPr>
            <w:tcW w:w="6192" w:type="dxa"/>
            <w:vAlign w:val="center"/>
          </w:tcPr>
          <w:p w:rsidR="00F82F6F" w:rsidRPr="00DA7C23" w:rsidRDefault="00F82F6F" w:rsidP="000D2EF6">
            <w:pPr>
              <w:spacing w:before="120" w:after="120"/>
              <w:rPr>
                <w:rFonts w:cs="Arial"/>
                <w:color w:val="000000"/>
              </w:rPr>
            </w:pPr>
            <w:r w:rsidRPr="00DA7C23">
              <w:rPr>
                <w:rFonts w:cs="Arial"/>
                <w:color w:val="000000"/>
              </w:rPr>
              <w:t>Element C - As a parent of a high school student, I have found that counselors are unaware of or do not know much about CTE programs at their own schools. Counselors are almost always carry an extremely unreasonable number of students in their caseload. Element D - Leadership is very important. CDE currently recognizes only 6 CTSOs. There are other, very good organizations that have the ability to better serve the leadership needs of pathway students than just the "blessed six". Element F - CTE faculty should have professional experience in the field that they teach &amp; do annual externships in their field. If a teacher holds a Single Subject [Industrial and Technology Education] ITE credential he CAN teach in 6 different sectors- that doesn't mean he SHOULD teach those sectors.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Teri </w:t>
            </w:r>
            <w:proofErr w:type="spellStart"/>
            <w:r w:rsidRPr="00DA7C23">
              <w:rPr>
                <w:rFonts w:cs="Arial"/>
              </w:rPr>
              <w:t>Sprecco</w:t>
            </w:r>
            <w:proofErr w:type="spellEnd"/>
            <w:r w:rsidRPr="00DA7C23">
              <w:rPr>
                <w:rFonts w:cs="Arial"/>
              </w:rPr>
              <w:t>, Director II, College &amp; Career Readiness,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Essential Elements reflect key components for high quality pathways. The CA State Plan should be developed to assist districts in implementing quality pathways and remove unnecessary barriers and rigid interpretations. Examples of where changes could be made: CDE support for districts in learning and continual improvement, Ongoing and consistent funding for CTE with a reasonable application/reporting process, Allowing for ongoing professional development as an option to the required industry hours for the CTE credential Flexible leadership development based on local needs, An accountability system that is manageable, consistent across funding, and that gives district the information they need to meet their student and regional needs.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Emilio </w:t>
            </w:r>
            <w:proofErr w:type="spellStart"/>
            <w:r w:rsidRPr="00DA7C23">
              <w:rPr>
                <w:rFonts w:cs="Arial"/>
              </w:rPr>
              <w:t>Urioste</w:t>
            </w:r>
            <w:proofErr w:type="spellEnd"/>
            <w:r w:rsidRPr="00DA7C23">
              <w:rPr>
                <w:rFonts w:cs="Arial"/>
              </w:rPr>
              <w:t>, Director Adult Education, Burbank Adult School</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Nicely done for the most part. The bolded terms are very helpful to the reader. Good explanation of the elements. On Number 5, High Quality, Integrated Curriculum and Instruction...remove "cross-system strategies like". Just say...Courses and programs may be designed to use dual-enrollment and/or dual credit with community colleges...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Tracie </w:t>
            </w:r>
            <w:proofErr w:type="spellStart"/>
            <w:r w:rsidRPr="00DA7C23">
              <w:rPr>
                <w:rFonts w:cs="Arial"/>
              </w:rPr>
              <w:t>Zerpoli</w:t>
            </w:r>
            <w:proofErr w:type="spellEnd"/>
            <w:r w:rsidRPr="00DA7C23">
              <w:rPr>
                <w:rFonts w:cs="Arial"/>
              </w:rPr>
              <w:t>, Superintendent, CAROCP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 am not sure why this is different from the 11 elements of a high quality CTE program that we have been using for several years in CA. We absolutely need to be consistent. When we change things it confuses people. Please use the 11 elements that have already been developed. This is important!! Also we continue to speak about data, but both CALPADS and Cal-PASS are NOT working or reliable.</w:t>
            </w:r>
          </w:p>
        </w:tc>
      </w:tr>
    </w:tbl>
    <w:p w:rsidR="00533638" w:rsidRPr="00A2016D" w:rsidRDefault="00533638" w:rsidP="00533638">
      <w:pPr>
        <w:pStyle w:val="Heading2"/>
        <w:rPr>
          <w:rFonts w:cs="Arial"/>
          <w:szCs w:val="20"/>
        </w:rPr>
      </w:pPr>
      <w:r w:rsidRPr="00A2016D">
        <w:rPr>
          <w:rFonts w:cs="Arial"/>
          <w:szCs w:val="20"/>
        </w:rPr>
        <w:t>Working Norms</w:t>
      </w:r>
    </w:p>
    <w:tbl>
      <w:tblPr>
        <w:tblStyle w:val="GridTable1Light"/>
        <w:tblW w:w="9360" w:type="dxa"/>
        <w:tblLook w:val="0420" w:firstRow="1" w:lastRow="0" w:firstColumn="0" w:lastColumn="0" w:noHBand="0" w:noVBand="1"/>
        <w:tblDescription w:val="This table shows comments that the CDE recieved on the Guiding Policy Principles with the commenter's information and the CDE's response and/or action."/>
      </w:tblPr>
      <w:tblGrid>
        <w:gridCol w:w="3168"/>
        <w:gridCol w:w="6192"/>
      </w:tblGrid>
      <w:tr w:rsidR="00F82F6F" w:rsidRPr="00DA7C23" w:rsidTr="001F21ED">
        <w:trPr>
          <w:cnfStyle w:val="100000000000" w:firstRow="1" w:lastRow="0" w:firstColumn="0" w:lastColumn="0" w:oddVBand="0" w:evenVBand="0" w:oddHBand="0" w:evenHBand="0" w:firstRowFirstColumn="0" w:firstRowLastColumn="0" w:lastRowFirstColumn="0" w:lastRowLastColumn="0"/>
          <w:cantSplit/>
          <w:tblHeader/>
        </w:trPr>
        <w:tc>
          <w:tcPr>
            <w:tcW w:w="3168" w:type="dxa"/>
            <w:shd w:val="clear" w:color="auto" w:fill="D9D9D9" w:themeFill="background1" w:themeFillShade="D9"/>
            <w:vAlign w:val="center"/>
          </w:tcPr>
          <w:p w:rsidR="00F82F6F" w:rsidRPr="00DA7C23" w:rsidRDefault="00F82F6F" w:rsidP="0041053B">
            <w:pPr>
              <w:spacing w:before="60" w:after="60"/>
              <w:jc w:val="center"/>
              <w:rPr>
                <w:rFonts w:cs="Arial"/>
              </w:rPr>
            </w:pPr>
            <w:r w:rsidRPr="00DA7C23">
              <w:rPr>
                <w:rFonts w:cs="Arial"/>
              </w:rPr>
              <w:t>Commenter</w:t>
            </w:r>
          </w:p>
        </w:tc>
        <w:tc>
          <w:tcPr>
            <w:tcW w:w="6192" w:type="dxa"/>
            <w:shd w:val="clear" w:color="auto" w:fill="D9D9D9" w:themeFill="background1" w:themeFillShade="D9"/>
            <w:vAlign w:val="center"/>
          </w:tcPr>
          <w:p w:rsidR="00F82F6F" w:rsidRPr="00DA7C23" w:rsidRDefault="00F82F6F" w:rsidP="0041053B">
            <w:pPr>
              <w:spacing w:before="60" w:after="60"/>
              <w:jc w:val="center"/>
              <w:rPr>
                <w:rFonts w:cs="Arial"/>
              </w:rPr>
            </w:pPr>
            <w:r w:rsidRPr="00DA7C23">
              <w:rPr>
                <w:rFonts w:cs="Arial"/>
              </w:rPr>
              <w:t>Comment</w:t>
            </w:r>
          </w:p>
        </w:tc>
      </w:tr>
      <w:tr w:rsidR="00F82F6F" w:rsidRPr="00DA7C23" w:rsidTr="001F21ED">
        <w:trPr>
          <w:cantSplit/>
        </w:trPr>
        <w:tc>
          <w:tcPr>
            <w:tcW w:w="3168" w:type="dxa"/>
            <w:vAlign w:val="center"/>
          </w:tcPr>
          <w:p w:rsidR="00F82F6F" w:rsidRPr="00DA7C23" w:rsidRDefault="00F82F6F" w:rsidP="000945C3">
            <w:pPr>
              <w:spacing w:before="120" w:after="120"/>
              <w:rPr>
                <w:rFonts w:cs="Arial"/>
                <w:color w:val="000000"/>
              </w:rPr>
            </w:pPr>
            <w:r w:rsidRPr="00DA7C23">
              <w:rPr>
                <w:rFonts w:cs="Arial"/>
                <w:color w:val="000000"/>
              </w:rPr>
              <w:t xml:space="preserve">Valerie Backus, CTE Coordinator, Murrieta Valley </w:t>
            </w:r>
            <w:r w:rsidRPr="00DA7C23">
              <w:rPr>
                <w:rFonts w:cs="Arial"/>
              </w:rPr>
              <w:t>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goal should be to coordinate our resources for student success that directly translates to students supplying workforce demands in high skill, high wage, and high demand careers. The goals listed seem to aim to procure funding for the community colleges rather than student success because of K-14.</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color w:val="000000"/>
              </w:rPr>
              <w:lastRenderedPageBreak/>
              <w:t xml:space="preserve">Matt </w:t>
            </w:r>
            <w:proofErr w:type="spellStart"/>
            <w:r w:rsidRPr="00DA7C23">
              <w:rPr>
                <w:rFonts w:cs="Arial"/>
                <w:color w:val="000000"/>
              </w:rPr>
              <w:t>Baffunno</w:t>
            </w:r>
            <w:proofErr w:type="spellEnd"/>
            <w:r w:rsidRPr="00DA7C23">
              <w:rPr>
                <w:rFonts w:cs="Arial"/>
                <w:color w:val="000000"/>
              </w:rPr>
              <w:t>, Ag. Department Head, Perkins Coordinator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Really good norms.</w:t>
            </w:r>
          </w:p>
        </w:tc>
      </w:tr>
      <w:tr w:rsidR="00F82F6F" w:rsidRPr="00DA7C23" w:rsidTr="001F21ED">
        <w:trPr>
          <w:cantSplit/>
        </w:trPr>
        <w:tc>
          <w:tcPr>
            <w:tcW w:w="3168" w:type="dxa"/>
            <w:vAlign w:val="center"/>
          </w:tcPr>
          <w:p w:rsidR="00F82F6F" w:rsidRPr="00DA7C23" w:rsidRDefault="00F82F6F" w:rsidP="004A5BA9">
            <w:pPr>
              <w:spacing w:before="120" w:after="120"/>
              <w:rPr>
                <w:rFonts w:cs="Arial"/>
                <w:color w:val="000000"/>
              </w:rPr>
            </w:pPr>
            <w:r w:rsidRPr="00DA7C23">
              <w:rPr>
                <w:rFonts w:cs="Arial"/>
                <w:color w:val="000000"/>
              </w:rPr>
              <w:t xml:space="preserve">Gina </w:t>
            </w:r>
            <w:proofErr w:type="spellStart"/>
            <w:r w:rsidRPr="00DA7C23">
              <w:rPr>
                <w:rFonts w:cs="Arial"/>
                <w:color w:val="000000"/>
              </w:rPr>
              <w:t>Boster</w:t>
            </w:r>
            <w:proofErr w:type="spellEnd"/>
            <w:r w:rsidRPr="00DA7C23">
              <w:rPr>
                <w:rFonts w:cs="Arial"/>
                <w:color w:val="000000"/>
              </w:rPr>
              <w:t>, Director, CTE, Corona-Norco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Thorough, but who is in charge?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Lisa Castillo, District Director of College and Career, Cutler </w:t>
            </w:r>
            <w:proofErr w:type="spellStart"/>
            <w:r w:rsidRPr="00DA7C23">
              <w:rPr>
                <w:rFonts w:cs="Arial"/>
              </w:rPr>
              <w:t>Orosi</w:t>
            </w:r>
            <w:proofErr w:type="spellEnd"/>
            <w:r w:rsidRPr="00DA7C23">
              <w:rPr>
                <w:rFonts w:cs="Arial"/>
              </w:rPr>
              <w:t xml:space="preserve"> Joint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Good.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Chuck Christie, Board Member, Yucaipa-Calimesa Joint USD/CRY-ROP</w:t>
            </w:r>
          </w:p>
        </w:tc>
        <w:tc>
          <w:tcPr>
            <w:tcW w:w="6192" w:type="dxa"/>
            <w:vAlign w:val="center"/>
          </w:tcPr>
          <w:p w:rsidR="00F82F6F" w:rsidRPr="00DA7C23" w:rsidRDefault="00F82F6F" w:rsidP="0005155E">
            <w:pPr>
              <w:spacing w:before="120" w:after="120"/>
              <w:rPr>
                <w:rFonts w:cs="Arial"/>
                <w:color w:val="000000"/>
              </w:rPr>
            </w:pPr>
            <w:r w:rsidRPr="00DA7C23">
              <w:rPr>
                <w:rFonts w:cs="Arial"/>
                <w:color w:val="000000"/>
              </w:rPr>
              <w:t>The working norms appear instrumental to obtaining our long term goals but only to the extent that we continue to have a neutral, committed coordinating structure, such as the WPJAC. We have a long way to go.</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proofErr w:type="spellStart"/>
            <w:r w:rsidRPr="00DA7C23">
              <w:rPr>
                <w:rFonts w:cs="Arial"/>
              </w:rPr>
              <w:t>Jewyl</w:t>
            </w:r>
            <w:proofErr w:type="spellEnd"/>
            <w:r w:rsidRPr="00DA7C23">
              <w:rPr>
                <w:rFonts w:cs="Arial"/>
              </w:rPr>
              <w:t xml:space="preserve"> Clarke, Integrated Curriculum Coordinator, San Diego County Office of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relationship should extend to family, community, and industry engagement.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Kimberly Dalton, Director of Human Resources, LBUSD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Many of the items seem more like tasks than norms.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Paul </w:t>
            </w:r>
            <w:proofErr w:type="spellStart"/>
            <w:r w:rsidRPr="00DA7C23">
              <w:rPr>
                <w:rFonts w:cs="Arial"/>
              </w:rPr>
              <w:t>Dautremont</w:t>
            </w:r>
            <w:proofErr w:type="spellEnd"/>
            <w:r w:rsidRPr="00DA7C23">
              <w:rPr>
                <w:rFonts w:cs="Arial"/>
              </w:rPr>
              <w:t>, Director, College &amp; Career Readiness,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Item number six is critically important and I feel ties back to norms #2 and #5. We all need to continue to advocate for ongoing dedicated funding for CTE; a manageable and reasonable application and reporting process; common metrics across CTE funding that is age appropriate; and flexibility for local implementation based on regional needs.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Lisa Decker, Coordinator of State and Federal Programs, CTE Administration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working norms seem applicable and valuable. We live in an isolated area and it is often difficult to hire and retain qualified CTE teachers. It is also difficult to establish industry partnerships.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Anna </w:t>
            </w:r>
            <w:proofErr w:type="spellStart"/>
            <w:r w:rsidRPr="00DA7C23">
              <w:rPr>
                <w:rFonts w:cs="Arial"/>
              </w:rPr>
              <w:t>Fontus</w:t>
            </w:r>
            <w:proofErr w:type="spellEnd"/>
            <w:r w:rsidRPr="00DA7C23">
              <w:rPr>
                <w:rFonts w:cs="Arial"/>
              </w:rPr>
              <w:t>, Policy Manager, Linked Learning Alliance</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#6 could incorporate a wish for further development and integration of the college and career pathway system.</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Cynthia Gleason, Principal, Fontana Adult School-Fontana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Would this include the existing consortiums created statewide connecting community college and K-12 adult education programs as well as other agencies?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Kathy Hamilton, Director, College and Career Connections, Elk Grove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Looks good.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Thomas Hanson, Administration, Mission Valley ROP</w:t>
            </w:r>
          </w:p>
        </w:tc>
        <w:tc>
          <w:tcPr>
            <w:tcW w:w="6192" w:type="dxa"/>
            <w:vAlign w:val="center"/>
          </w:tcPr>
          <w:p w:rsidR="00F82F6F" w:rsidRPr="00DA7C23" w:rsidRDefault="00F82F6F" w:rsidP="00CB3D6D">
            <w:pPr>
              <w:spacing w:before="120" w:after="120"/>
              <w:rPr>
                <w:rFonts w:cs="Arial"/>
                <w:color w:val="000000"/>
              </w:rPr>
            </w:pPr>
            <w:r w:rsidRPr="00DA7C23">
              <w:rPr>
                <w:rFonts w:cs="Arial"/>
                <w:color w:val="000000"/>
              </w:rPr>
              <w:t>How would all the attributes of these relationships be managed/evaluated/validated? Each one of the entities in a given region could and likely will have slightly differing views on how to accomplish part or all of these mutually-beneficial benchmarks. These relationships would require a lot of guidance and care.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James </w:t>
            </w:r>
            <w:proofErr w:type="spellStart"/>
            <w:r w:rsidRPr="00DA7C23">
              <w:rPr>
                <w:rFonts w:cs="Arial"/>
              </w:rPr>
              <w:t>Hattar</w:t>
            </w:r>
            <w:proofErr w:type="spellEnd"/>
            <w:r w:rsidRPr="00DA7C23">
              <w:rPr>
                <w:rFonts w:cs="Arial"/>
              </w:rPr>
              <w:t>, Community Recruiter (Teacher on Assignment),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To build mutually beneficial relationships through a shared vision and mission.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Elena Hernandez, Peer Coach Leader,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Coordination of systems, strengthen partnerships, solid communication, culture building, sustainability, shared mission and vision.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Crystal Hickey, Advisor,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Must have the same working standards and vision to create a set goal and maximize the use of shared resources. A higher level of communication between all agencies: workforce, education, etc.</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Charlie Hoffman, Superintendent, 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While these are appropriate and desirable norms, the section seems to assume that the desirable relationships do not exist, or are rare. At our ROP, 100% of our courses provide either Dual Enrollment or Articulation credit opportunities in pathway courses that align to documented local workforce needs. The grant should support this relationship by providing funds to simply sustain the pathway courses that will cease to exist without funding from the grant, rather than assuming that something new must always be built, everywhere.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Stephanie Houston, Superintendent,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 xml:space="preserve">The norms support the five conditions of collective impact. However, there is no mention of the need for a backbone organization. If the WPJAC is intended to be the backbone organization of this extremely macro-level collective impact partnership, then there must be a commitment that the WPJAC serves as a neutral, coordinating entity that convenes stakeholder and manages activity. The WPJAC must hold the vision, support aligned activities, establish shared measurement practices, build public will, advance policy and mobilize funding. Characteristics of a strong backbone organization include: well established and respected; proven track record; politically neutral; invested in long-term economic vitality of the state.  </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Daphne Hunter, ASL/CTE Teacher,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Communication needs to begin by inviting all the educational agencies, work-force agencies, and employers to the table with a list of their programs, resources, and currently offered opportunities, vision and mission statements, so they have an understanding what each group has to contribute and create a shared vision, mission and further strengthen their partnership. Continue to keep communication open, frequent and intentional as they share resources, build a new culture amongst them as they coordinate their systems and reach the community's students to take full advantage of what this alliance offers.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Jennifer Johnson, Principal,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Alignment, commitment and stability are important as a student moves through the various levels. Community partners and work force development agencies and non-profits will play key roles. Building a model program that can be duplicated to serve the needs of specific reasons, based on their economic forecasts and priorities, is essential.</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Laura </w:t>
            </w:r>
            <w:proofErr w:type="spellStart"/>
            <w:r w:rsidRPr="00DA7C23">
              <w:rPr>
                <w:rFonts w:cs="Arial"/>
              </w:rPr>
              <w:t>Koger</w:t>
            </w:r>
            <w:proofErr w:type="spellEnd"/>
            <w:r w:rsidRPr="00DA7C23">
              <w:rPr>
                <w:rFonts w:cs="Arial"/>
              </w:rPr>
              <w: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Frequent, Open, and Intentional Communication between educational agencies, workforce agencies and employers that is student centered is vital to the expansion of CTE. System alignment will insure the success of students in the "cradle to career” vision shared in California.</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Wendy Mayea, Assistant Director of Student Support, Simi Valley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Seems as though state is looking not only for schools to partner with businesses for student experience, but now also to include funding from businesses. State needs to consider consistent funding of CTE programs if they want them to be successful as opposed to expecting teachers to build partnerships that also include fundraising from their business partners. It goes back to the max workload a teacher can handle.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Adele McClain, Coordinator of 2 schools and field team member for AEBG, member of VVCAERC</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Quarterly meetings with employers, educational providers, and meaningful partners need to be maintained so that courses and pathways remain relevant and well maintained and supported.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Christopher </w:t>
            </w:r>
            <w:proofErr w:type="spellStart"/>
            <w:r w:rsidRPr="00DA7C23">
              <w:rPr>
                <w:rFonts w:cs="Arial"/>
              </w:rPr>
              <w:t>Mcclung</w:t>
            </w:r>
            <w:proofErr w:type="spellEnd"/>
            <w:r w:rsidRPr="00DA7C23">
              <w:rPr>
                <w:rFonts w:cs="Arial"/>
              </w:rPr>
              <w:t>, Curriculum Developer,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working norms must guide the committee to deliver a student-centered K-14+ system through an “interdependent implementation of systems” and “frequent, open, and intentional communication between educational agencies, workforce agencies, and employers.”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Wendy McClung, Teacher,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Both the educational system and workforce must share the same "why" when it comes to being focused on incoming students. There must be regular communication between the two sectors and a common interest in the student outcome. At this time there appears to be a gap between these areas as there is not much in the way of mutual benefit for the workforce to take on a minor and train them.</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Lynn </w:t>
            </w:r>
            <w:proofErr w:type="spellStart"/>
            <w:r w:rsidRPr="00DA7C23">
              <w:rPr>
                <w:rFonts w:cs="Arial"/>
              </w:rPr>
              <w:t>McConville</w:t>
            </w:r>
            <w:proofErr w:type="spellEnd"/>
            <w:r w:rsidRPr="00DA7C23">
              <w:rPr>
                <w:rFonts w:cs="Arial"/>
              </w:rPr>
              <w:t>, Assistant Principal, CTAE, Poway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Collaboration across agencies takes time and resources and needs dedicated personnel to support and maintain these efforts. The norms are well written and expansion of the dissemination and replication of models and practices that work should be demonstrated and emphasized.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Brian Miller, Principal, Kern High School District/Regional Occupational Center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Appropriate and reflective of how we should be working together.</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Esteban </w:t>
            </w:r>
            <w:proofErr w:type="spellStart"/>
            <w:r w:rsidRPr="00DA7C23">
              <w:rPr>
                <w:rFonts w:cs="Arial"/>
              </w:rPr>
              <w:t>Monge</w:t>
            </w:r>
            <w:proofErr w:type="spellEnd"/>
            <w:r w:rsidRPr="00DA7C23">
              <w:rPr>
                <w:rFonts w:cs="Arial"/>
              </w:rPr>
              <w:t>, Work-Based Learning Specialist, Grossmont Union High School District</w:t>
            </w:r>
          </w:p>
        </w:tc>
        <w:tc>
          <w:tcPr>
            <w:tcW w:w="6192" w:type="dxa"/>
            <w:vAlign w:val="center"/>
          </w:tcPr>
          <w:p w:rsidR="00F82F6F" w:rsidRPr="00DA7C23" w:rsidRDefault="00F82F6F" w:rsidP="00E60640">
            <w:pPr>
              <w:spacing w:before="120" w:after="120"/>
              <w:rPr>
                <w:rFonts w:cs="Arial"/>
                <w:color w:val="000000"/>
              </w:rPr>
            </w:pPr>
            <w:r w:rsidRPr="00DA7C23">
              <w:rPr>
                <w:rFonts w:cs="Arial"/>
                <w:color w:val="000000"/>
              </w:rPr>
              <w:t>Coordinated work between agencies takes a lot of time and resources (funds). What is the state proposing to help facilitate this type of collaboration? There needs to be more regional collaboration between K-14 and higher education institutions. CTE needs to be at the same table as AP and [International Baccalaureate] IB credit, to achieve this, administrators and counselors need to value and allocate resources to CTE.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Alma Orozco, Employment Placement Specialist,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CRY-ROP and its partnered districts have created ongoing alliances to help sustain funding and mutual agreements. Through such partnerships, it has helped improve program outcomes and shared mission and vision.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proofErr w:type="spellStart"/>
            <w:r w:rsidRPr="00DA7C23">
              <w:rPr>
                <w:rFonts w:cs="Arial"/>
              </w:rPr>
              <w:t>Carmita</w:t>
            </w:r>
            <w:proofErr w:type="spellEnd"/>
            <w:r w:rsidRPr="00DA7C23">
              <w:rPr>
                <w:rFonts w:cs="Arial"/>
              </w:rPr>
              <w:t xml:space="preserve"> Pena, Coordinator of College &amp; Careers, Woodlake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norms fit well.</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Irene Perez, Teacher, Business/ROP Teacher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 think this document is on the right track. It is also important that we have "buy-in" from everyone at the school level from the Superintendent to the instructional aides.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Steve Pinning, Director, Linked Learning &amp; CTE, Palm Springs USD/District CTE Administration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Opening line wording missing the work "to" I believe. "The working norms are designed TO help guide..."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Deidra </w:t>
            </w:r>
            <w:proofErr w:type="spellStart"/>
            <w:r w:rsidRPr="00DA7C23">
              <w:rPr>
                <w:rFonts w:cs="Arial"/>
              </w:rPr>
              <w:t>Puentes</w:t>
            </w:r>
            <w:proofErr w:type="spellEnd"/>
            <w:r w:rsidRPr="00DA7C23">
              <w:rPr>
                <w:rFonts w:cs="Arial"/>
              </w:rPr>
              <w:t>, Community Recruiter- Teacher on Assignment,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Communication of a clear message is key to the development and sustainability of a mutually beneficial relationship across all stakeholders. WPJAC will need to clearly define their role to all stakeholders to ensure the timely actions that is consistent with the collective input from all stakeholders.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Brooke Quinones, Executive Administration Assistant,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Yes, these norms are all necessary, but how will the work be done?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Sheryl Ryder, Executive Director, Career Development, Placer County Office of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While I agree with the working norms, some of them have not been adhered to by the committee. For example -- the [California Community Colleges Chancellor’s Office] CCCCO rolled out their change from CTE to "Career Education" without communicating with the rest of the members. Data collection challenges are still being explored at this late date. CCCCO representatives do not always include CDE representatives when announcing SWP information.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Brigitte </w:t>
            </w:r>
            <w:proofErr w:type="spellStart"/>
            <w:r w:rsidRPr="00DA7C23">
              <w:rPr>
                <w:rFonts w:cs="Arial"/>
              </w:rPr>
              <w:t>Sarraf</w:t>
            </w:r>
            <w:proofErr w:type="spellEnd"/>
            <w:r w:rsidRPr="00DA7C23">
              <w:rPr>
                <w:rFonts w:cs="Arial"/>
              </w:rPr>
              <w:t>, Director of Assessment and Evaluation, Administrator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 like this!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Raelynn Sharp, CTE Project Specialist, Sacramento County Office of Education</w:t>
            </w:r>
          </w:p>
        </w:tc>
        <w:tc>
          <w:tcPr>
            <w:tcW w:w="6192" w:type="dxa"/>
            <w:vAlign w:val="center"/>
          </w:tcPr>
          <w:p w:rsidR="00F82F6F" w:rsidRPr="00DA7C23" w:rsidRDefault="00F82F6F" w:rsidP="00E60640">
            <w:pPr>
              <w:spacing w:before="120" w:after="120"/>
              <w:rPr>
                <w:rFonts w:cs="Arial"/>
                <w:color w:val="000000"/>
              </w:rPr>
            </w:pPr>
            <w:r w:rsidRPr="00DA7C23">
              <w:rPr>
                <w:rFonts w:cs="Arial"/>
                <w:color w:val="000000"/>
              </w:rPr>
              <w:t>These are good working norms. California educators and local education agencies should stop working in silos and begin to work, as much as possible, collaboratively and regionally.</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Teri </w:t>
            </w:r>
            <w:proofErr w:type="spellStart"/>
            <w:r w:rsidRPr="00DA7C23">
              <w:rPr>
                <w:rFonts w:cs="Arial"/>
              </w:rPr>
              <w:t>Sprecco</w:t>
            </w:r>
            <w:proofErr w:type="spellEnd"/>
            <w:r w:rsidRPr="00DA7C23">
              <w:rPr>
                <w:rFonts w:cs="Arial"/>
              </w:rPr>
              <w:t>, Director II, College &amp; Career Readiness,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key to these norms is the term, “Mutually-Beneficial Intersegmental Relationship,” for all partners. Regional collaboration across agencies should be focused on the common goal of preparing our students to be successful while they are with us, and as they transition to the next level. Each agency and partner will come into the collaboration with their own wish list of what they want from the funding and the collaboration. We need to start with our common goal in mind, develop an understanding of our partners’ needs, and then focus our collaboration on the “sweet spot’ that best meets our common goal. Again, real collaboration across agencies takes time and resources and needs dedicated personnel to support and maintain these efforts.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Emilio </w:t>
            </w:r>
            <w:proofErr w:type="spellStart"/>
            <w:r w:rsidRPr="00DA7C23">
              <w:rPr>
                <w:rFonts w:cs="Arial"/>
              </w:rPr>
              <w:t>Urioste</w:t>
            </w:r>
            <w:proofErr w:type="spellEnd"/>
            <w:r w:rsidRPr="00DA7C23">
              <w:rPr>
                <w:rFonts w:cs="Arial"/>
              </w:rPr>
              <w:t>, Director Adult Education, Burbank Adult School</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Having norms is a good idea. On number two, do not bold A Mindset Shift is not a norm and if it is that is a vague and useless norm. The norm is coordination of planning and Interdependent Implementation Systems. Number six, Commitment is not a norm and should not be bolded.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Tracie </w:t>
            </w:r>
            <w:proofErr w:type="spellStart"/>
            <w:r w:rsidRPr="00DA7C23">
              <w:rPr>
                <w:rFonts w:cs="Arial"/>
              </w:rPr>
              <w:t>Zerpoli</w:t>
            </w:r>
            <w:proofErr w:type="spellEnd"/>
            <w:r w:rsidRPr="00DA7C23">
              <w:rPr>
                <w:rFonts w:cs="Arial"/>
              </w:rPr>
              <w:t>, Superintendent, CAROCP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2, 3, 4 are not clear. What exactly are you trying to say? If you want the field to follow these norms they have to be crystal clear. Use language that is understandable to all and they should not be ambiguous. Number 1 and 6 are understandable and can be followed.</w:t>
            </w:r>
          </w:p>
        </w:tc>
      </w:tr>
    </w:tbl>
    <w:p w:rsidR="00533638" w:rsidRPr="00A2016D" w:rsidRDefault="00533638" w:rsidP="00533638">
      <w:pPr>
        <w:pStyle w:val="Heading2"/>
        <w:rPr>
          <w:rFonts w:cs="Arial"/>
          <w:szCs w:val="20"/>
        </w:rPr>
      </w:pPr>
      <w:r w:rsidRPr="00A2016D">
        <w:rPr>
          <w:rFonts w:cs="Arial"/>
          <w:szCs w:val="20"/>
        </w:rPr>
        <w:t>Glossary</w:t>
      </w:r>
    </w:p>
    <w:tbl>
      <w:tblPr>
        <w:tblStyle w:val="GridTable1Light"/>
        <w:tblW w:w="9360" w:type="dxa"/>
        <w:tblLook w:val="0420" w:firstRow="1" w:lastRow="0" w:firstColumn="0" w:lastColumn="0" w:noHBand="0" w:noVBand="1"/>
        <w:tblDescription w:val="This table shows comments that the CDE recieved on the Guiding Policy Principles with the commenter's information and the CDE's response and/or action."/>
      </w:tblPr>
      <w:tblGrid>
        <w:gridCol w:w="3168"/>
        <w:gridCol w:w="6192"/>
      </w:tblGrid>
      <w:tr w:rsidR="00F82F6F" w:rsidRPr="00DA7C23" w:rsidTr="001F21ED">
        <w:trPr>
          <w:cnfStyle w:val="100000000000" w:firstRow="1" w:lastRow="0" w:firstColumn="0" w:lastColumn="0" w:oddVBand="0" w:evenVBand="0" w:oddHBand="0" w:evenHBand="0" w:firstRowFirstColumn="0" w:firstRowLastColumn="0" w:lastRowFirstColumn="0" w:lastRowLastColumn="0"/>
          <w:cantSplit/>
          <w:tblHeader/>
        </w:trPr>
        <w:tc>
          <w:tcPr>
            <w:tcW w:w="3168" w:type="dxa"/>
            <w:shd w:val="clear" w:color="auto" w:fill="D9D9D9" w:themeFill="background1" w:themeFillShade="D9"/>
            <w:vAlign w:val="center"/>
          </w:tcPr>
          <w:p w:rsidR="00F82F6F" w:rsidRPr="00DA7C23" w:rsidRDefault="00F82F6F" w:rsidP="0041053B">
            <w:pPr>
              <w:spacing w:before="60" w:after="60"/>
              <w:jc w:val="center"/>
              <w:rPr>
                <w:rFonts w:cs="Arial"/>
              </w:rPr>
            </w:pPr>
            <w:r w:rsidRPr="00DA7C23">
              <w:rPr>
                <w:rFonts w:cs="Arial"/>
              </w:rPr>
              <w:t>Commenter</w:t>
            </w:r>
          </w:p>
        </w:tc>
        <w:tc>
          <w:tcPr>
            <w:tcW w:w="6192" w:type="dxa"/>
            <w:shd w:val="clear" w:color="auto" w:fill="D9D9D9" w:themeFill="background1" w:themeFillShade="D9"/>
            <w:vAlign w:val="center"/>
          </w:tcPr>
          <w:p w:rsidR="00F82F6F" w:rsidRPr="00DA7C23" w:rsidRDefault="00F82F6F" w:rsidP="0041053B">
            <w:pPr>
              <w:spacing w:before="60" w:after="60"/>
              <w:jc w:val="center"/>
              <w:rPr>
                <w:rFonts w:cs="Arial"/>
              </w:rPr>
            </w:pPr>
            <w:r w:rsidRPr="00DA7C23">
              <w:rPr>
                <w:rFonts w:cs="Arial"/>
              </w:rPr>
              <w:t>Comment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color w:val="000000"/>
              </w:rPr>
              <w:t xml:space="preserve">Matt </w:t>
            </w:r>
            <w:proofErr w:type="spellStart"/>
            <w:r w:rsidRPr="00DA7C23">
              <w:rPr>
                <w:rFonts w:cs="Arial"/>
                <w:color w:val="000000"/>
              </w:rPr>
              <w:t>Baffunno</w:t>
            </w:r>
            <w:proofErr w:type="spellEnd"/>
            <w:r w:rsidRPr="00DA7C23">
              <w:rPr>
                <w:rFonts w:cs="Arial"/>
                <w:color w:val="000000"/>
              </w:rPr>
              <w:t>, Ag. Department Head, Perkins Coordinator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Great list of terms.</w:t>
            </w:r>
          </w:p>
        </w:tc>
      </w:tr>
      <w:tr w:rsidR="00F82F6F" w:rsidRPr="00DA7C23" w:rsidTr="001F21ED">
        <w:trPr>
          <w:cantSplit/>
        </w:trPr>
        <w:tc>
          <w:tcPr>
            <w:tcW w:w="3168" w:type="dxa"/>
            <w:vAlign w:val="center"/>
          </w:tcPr>
          <w:p w:rsidR="00F82F6F" w:rsidRPr="00DA7C23" w:rsidRDefault="00F82F6F" w:rsidP="004A5BA9">
            <w:pPr>
              <w:spacing w:before="120" w:after="120"/>
              <w:rPr>
                <w:rFonts w:cs="Arial"/>
                <w:color w:val="000000"/>
              </w:rPr>
            </w:pPr>
            <w:r w:rsidRPr="00DA7C23">
              <w:rPr>
                <w:rFonts w:cs="Arial"/>
                <w:color w:val="000000"/>
              </w:rPr>
              <w:t xml:space="preserve">Gina </w:t>
            </w:r>
            <w:proofErr w:type="spellStart"/>
            <w:r w:rsidRPr="00DA7C23">
              <w:rPr>
                <w:rFonts w:cs="Arial"/>
                <w:color w:val="000000"/>
              </w:rPr>
              <w:t>Boster</w:t>
            </w:r>
            <w:proofErr w:type="spellEnd"/>
            <w:r w:rsidRPr="00DA7C23">
              <w:rPr>
                <w:rFonts w:cs="Arial"/>
                <w:color w:val="000000"/>
              </w:rPr>
              <w:t>, Director, CTE, Corona-Norco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Looks appropriate.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Eryn Bowers, Teacher, Manteca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Everything looks great and easy reading. Aligns with our business department beliefs where I teach at and my previous school.</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Lisa Castillo, District Director of College and Career, Cutler </w:t>
            </w:r>
            <w:proofErr w:type="spellStart"/>
            <w:r w:rsidRPr="00DA7C23">
              <w:rPr>
                <w:rFonts w:cs="Arial"/>
              </w:rPr>
              <w:t>Orosi</w:t>
            </w:r>
            <w:proofErr w:type="spellEnd"/>
            <w:r w:rsidRPr="00DA7C23">
              <w:rPr>
                <w:rFonts w:cs="Arial"/>
              </w:rPr>
              <w:t xml:space="preserve"> Joint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Terms to add:  Mindset Shift to what? Be explicit, Work Based Learning, What are the states "Student Outcomes" every district has their own how does this align to state student outcomes - once again using these resources to share with all stakeholders:  Parents, community, staff, students, industry partners, Recognized Certifications career pathway completer, Define difference between Workforce Pathway vs Career Pathway, vs Career Pathway academy, dual enrollment. Will you be providing Spanish materials?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Kimberly Dalton, Director of Human Resources, LBUSD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Glossary is informative.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Paul </w:t>
            </w:r>
            <w:proofErr w:type="spellStart"/>
            <w:r w:rsidRPr="00DA7C23">
              <w:rPr>
                <w:rFonts w:cs="Arial"/>
              </w:rPr>
              <w:t>Dautremont</w:t>
            </w:r>
            <w:proofErr w:type="spellEnd"/>
            <w:r w:rsidRPr="00DA7C23">
              <w:rPr>
                <w:rFonts w:cs="Arial"/>
              </w:rPr>
              <w:t>, Director, College &amp; Career Readiness,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Looks good.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Lisa Decker, Coordinator of State and Federal Programs, CTE Administration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glossary defines terms in simple to read language. It is helpful to have these terms defined in respect to this document.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Anna </w:t>
            </w:r>
            <w:proofErr w:type="spellStart"/>
            <w:r w:rsidRPr="00DA7C23">
              <w:rPr>
                <w:rFonts w:cs="Arial"/>
              </w:rPr>
              <w:t>Fontus</w:t>
            </w:r>
            <w:proofErr w:type="spellEnd"/>
            <w:r w:rsidRPr="00DA7C23">
              <w:rPr>
                <w:rFonts w:cs="Arial"/>
              </w:rPr>
              <w:t>, Policy Manager, Linked Learning Alliance</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 think 21st century skills, and perhaps the differences between certificate, credential, and program completion might be valuable. Perhaps this section will be flushed out once specific data metrics are approved.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Cynthia Gleason, Principal, Fontana Adult School-Fontana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Socioeconomically Disadvantaged has statements related to K-12 and the lunch program, and college, however, it does not appear to include language related to adult education programs offered through K-12 districts. System Alignment does not specifically call out adult education associated with K-12 districts. Will these students be included as they would have a very immediate impact on the workforce as well as on their children since they are filling gaps, completing certificate programs leading to employment via adult education?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Kathy Hamilton, Director, College and Career Connections, Elk Grove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Looks good.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Thomas Hanson, Administration, Mission Valley 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Funding at levels that lift California from 48th to at least 20th in the country would be a start - I am reading a glossary which includes a definition for "all students" and immediately throws out the "deep responsibility to ensure that each and every student...." language. California public schools are almost 50th in funding - it can almost not get any worse for the state's children. Why would we even bother with definitions about gap, access, equality, SED, and student centeredness when lawmakers won't adequately FUND the programs?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James </w:t>
            </w:r>
            <w:proofErr w:type="spellStart"/>
            <w:r w:rsidRPr="00DA7C23">
              <w:rPr>
                <w:rFonts w:cs="Arial"/>
              </w:rPr>
              <w:t>Hattar</w:t>
            </w:r>
            <w:proofErr w:type="spellEnd"/>
            <w:r w:rsidRPr="00DA7C23">
              <w:rPr>
                <w:rFonts w:cs="Arial"/>
              </w:rPr>
              <w:t>, Community Recruiter (Teacher on Assignment),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Glossary of terms ensures comprehensive definitions for all members when collaborating to create workforce opportunities for students.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Elena Hernandez, Peer Coach Leader,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glossary of terms creates a common language between all stakeholders and provides clear definitions for accomplishing tasks and goals.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Crystal Hickey, Advisor,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As we are committed to the higher level learning for all students there should be a commitment to ongoing funding to allow the ongoing support for all students.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Charlie Hoffman, Superintendent, 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On target. However much of this already exists in many LEAs and does not need to be remanufactured for this grant, but should be sustained by this grant.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Stephanie Houston, Superintendent,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All of the elements in the glossary require funding support. Education in California is underfunded. CTE funding is set up as competitive, creating winner and loser regions. If we are committed to serving ALL STUDENTS, with equality, equity, in a student-centered, aligned system, then there must be a commitment to ongoing, reliable, and funding.</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Daphne Hunter, ASL/CTE Teacher,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glossary of terms is necessary to create valuable dialogue while communicating, making communication clear, concise, efficient and effective. Then the important decisions can be made due to the collective awareness gained by "speaking the same language" will support access and work on diminishing the attainment gap.</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Jennifer Johnson, Principal,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Well done.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Laura </w:t>
            </w:r>
            <w:proofErr w:type="spellStart"/>
            <w:r w:rsidRPr="00DA7C23">
              <w:rPr>
                <w:rFonts w:cs="Arial"/>
              </w:rPr>
              <w:t>Koger</w:t>
            </w:r>
            <w:proofErr w:type="spellEnd"/>
            <w:r w:rsidRPr="00DA7C23">
              <w:rPr>
                <w:rFonts w:cs="Arial"/>
              </w:rPr>
              <w: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glossary provides comprehensive definitions for the terms. The terms will allow clear communication between stakeholders for accomplishing common goals for all students.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Mark </w:t>
            </w:r>
            <w:proofErr w:type="spellStart"/>
            <w:r w:rsidRPr="00DA7C23">
              <w:rPr>
                <w:rFonts w:cs="Arial"/>
              </w:rPr>
              <w:t>Lushenko</w:t>
            </w:r>
            <w:proofErr w:type="spellEnd"/>
            <w:r w:rsidRPr="00DA7C23">
              <w:rPr>
                <w:rFonts w:cs="Arial"/>
              </w:rPr>
              <w:t>, CTE Teacher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Under "Access": access should not be defined as responsiveness. Access is not responsiveness. Under "All Students" don't say "each and every student". Just say "every student". Please stop saying "21st century education"--all K-12 students were already born in the 21st century and are receiving education in the century that they were born. Using the term only shows the 20th century thinking of the document writer(s). Under "System Alignment" you seem to mix plurals with "education and training system"--perhaps "systems" is a better fit.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Wendy Mayea, Assistant Director of Student Support, Simi Valley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It would seem the glossary is provided for a community of broader users outside of the Workforce Commission. However the rest of the document is quite technical that it may lack relevance to the everyday user. Hope all this feedback helps.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Christopher </w:t>
            </w:r>
            <w:proofErr w:type="spellStart"/>
            <w:r w:rsidRPr="00DA7C23">
              <w:rPr>
                <w:rFonts w:cs="Arial"/>
              </w:rPr>
              <w:t>Mcclung</w:t>
            </w:r>
            <w:proofErr w:type="spellEnd"/>
            <w:r w:rsidRPr="00DA7C23">
              <w:rPr>
                <w:rFonts w:cs="Arial"/>
              </w:rPr>
              <w:t>, Curriculum Developer,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Glossary of terms ensures all committee members are speaking the same language when collaborating to create workforce opportunities for all students.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Wendy McClung, Teacher,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These are all lofty and admirable goals defined here. I want to know where the funding will come from to support them. Can we add language that explains the options for viable and long-term funding options?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Lynn </w:t>
            </w:r>
            <w:proofErr w:type="spellStart"/>
            <w:r w:rsidRPr="00DA7C23">
              <w:rPr>
                <w:rFonts w:cs="Arial"/>
              </w:rPr>
              <w:t>McConville</w:t>
            </w:r>
            <w:proofErr w:type="spellEnd"/>
            <w:r w:rsidRPr="00DA7C23">
              <w:rPr>
                <w:rFonts w:cs="Arial"/>
              </w:rPr>
              <w:t>, Assistant Principal, CTAE, Poway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Well written, no additional comment.</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Brian Miller, Principal, Kern High School District/Regional Occupational Center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Include something about "data systems &amp; easy access to data" in the System Alignment definition.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Esteban </w:t>
            </w:r>
            <w:proofErr w:type="spellStart"/>
            <w:r w:rsidRPr="00DA7C23">
              <w:rPr>
                <w:rFonts w:cs="Arial"/>
              </w:rPr>
              <w:t>Monge</w:t>
            </w:r>
            <w:proofErr w:type="spellEnd"/>
            <w:r w:rsidRPr="00DA7C23">
              <w:rPr>
                <w:rFonts w:cs="Arial"/>
              </w:rPr>
              <w:t>, Work-Based Learning Specialist,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All of the terms seem relevant and appropriate.</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Alma Orozco, Employment Placement Specialist,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glossary of terms provides a mutual understanding between all stakeholders.</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proofErr w:type="spellStart"/>
            <w:r w:rsidRPr="00DA7C23">
              <w:rPr>
                <w:rFonts w:cs="Arial"/>
              </w:rPr>
              <w:t>Carmita</w:t>
            </w:r>
            <w:proofErr w:type="spellEnd"/>
            <w:r w:rsidRPr="00DA7C23">
              <w:rPr>
                <w:rFonts w:cs="Arial"/>
              </w:rPr>
              <w:t xml:space="preserve"> Pena, Coordinator of College &amp; Careers, Woodlake USD</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Helpful.</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Irene Perez, Teacher, Business/ROP Teacher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Good start on the Glossary.</w:t>
            </w:r>
          </w:p>
        </w:tc>
      </w:tr>
      <w:tr w:rsidR="00F82F6F" w:rsidRPr="00DA7C23" w:rsidTr="001F21ED">
        <w:trPr>
          <w:cantSplit/>
        </w:trPr>
        <w:tc>
          <w:tcPr>
            <w:tcW w:w="3168" w:type="dxa"/>
            <w:vAlign w:val="center"/>
          </w:tcPr>
          <w:p w:rsidR="00F82F6F" w:rsidRPr="00DA7C23" w:rsidRDefault="00F82F6F" w:rsidP="00C76300">
            <w:pPr>
              <w:spacing w:before="120" w:after="120"/>
              <w:rPr>
                <w:rFonts w:cs="Arial"/>
              </w:rPr>
            </w:pPr>
            <w:r w:rsidRPr="00DA7C23">
              <w:rPr>
                <w:rFonts w:cs="Arial"/>
              </w:rPr>
              <w:lastRenderedPageBreak/>
              <w:t>Steve Pinning, Director, Linked Learning &amp; CTE, Palm Springs USD/District CTE Administration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 xml:space="preserve">Define "Regional." There is a lot of debate on what this means. In today's mobile society, kids can go virtually anywhere to enter a career. In the Coachella Valley, opportunities for high wage growth careers exist but are limited. If we limit "Region" to the desert region we look at service industry, agriculture and healthcare as our primary growth industries. The service and Ag. </w:t>
            </w:r>
            <w:proofErr w:type="gramStart"/>
            <w:r w:rsidRPr="00DA7C23">
              <w:rPr>
                <w:rFonts w:cs="Arial"/>
                <w:color w:val="000000"/>
              </w:rPr>
              <w:t>are</w:t>
            </w:r>
            <w:proofErr w:type="gramEnd"/>
            <w:r w:rsidRPr="00DA7C23">
              <w:rPr>
                <w:rFonts w:cs="Arial"/>
                <w:color w:val="000000"/>
              </w:rPr>
              <w:t xml:space="preserve"> largely low wage. Our students go to post-secondary opportunities across the state and nation. What is regional? This has impact on the new K-12 CTE funding coming through the CCCCO.</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Deidra </w:t>
            </w:r>
            <w:proofErr w:type="spellStart"/>
            <w:r w:rsidRPr="00DA7C23">
              <w:rPr>
                <w:rFonts w:cs="Arial"/>
              </w:rPr>
              <w:t>Puentes</w:t>
            </w:r>
            <w:proofErr w:type="spellEnd"/>
            <w:r w:rsidRPr="00DA7C23">
              <w:rPr>
                <w:rFonts w:cs="Arial"/>
              </w:rPr>
              <w:t>, Community Recruiter- Teacher on Assignment,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Many of the terms that are key to all stakeholders having a firm understanding of their meanings are defined in a very broad manner. While these terms are very common among stakeholders the perception and interpretation of each are left up to the individual who is reading/using the term. This can cause issues with communication among all stakeholders due to the uniqueness of each region.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Brooke Quinones, Executive Administration Assistant, CRY-ROP</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What about funding, sustainability, dual enrollment (articulation).</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Sheryl Ryder, Executive Director, Career Development, Placer County Office of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I'm not sure if these definitions should be part of this documents, but the field needs clarity on: Program of Study, Pathway, CTE Course, Leadership, Work-based Learning, Dual Enrollment, and Skilled Faculty.</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Brigitte </w:t>
            </w:r>
            <w:proofErr w:type="spellStart"/>
            <w:r w:rsidRPr="00DA7C23">
              <w:rPr>
                <w:rFonts w:cs="Arial"/>
              </w:rPr>
              <w:t>Sarraf</w:t>
            </w:r>
            <w:proofErr w:type="spellEnd"/>
            <w:r w:rsidRPr="00DA7C23">
              <w:rPr>
                <w:rFonts w:cs="Arial"/>
              </w:rPr>
              <w:t>, Director of Assessment and Evaluation, Administrator</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OK as stated.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Ed Schmalzel, Principal, Clovis Adult Education</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Thank you.</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Teri </w:t>
            </w:r>
            <w:proofErr w:type="spellStart"/>
            <w:r w:rsidRPr="00DA7C23">
              <w:rPr>
                <w:rFonts w:cs="Arial"/>
              </w:rPr>
              <w:t>Sprecco</w:t>
            </w:r>
            <w:proofErr w:type="spellEnd"/>
            <w:r w:rsidRPr="00DA7C23">
              <w:rPr>
                <w:rFonts w:cs="Arial"/>
              </w:rPr>
              <w:t>, Director II, College &amp; Career Readiness, Grossmont Union High School District</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The glossary seems clear and current. My only recommendation would be to add a definition for, “Public Workforce System,” and to explain how quality online CTE options would be offered and accessed.</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lastRenderedPageBreak/>
              <w:t xml:space="preserve">Emilio </w:t>
            </w:r>
            <w:proofErr w:type="spellStart"/>
            <w:r w:rsidRPr="00DA7C23">
              <w:rPr>
                <w:rFonts w:cs="Arial"/>
              </w:rPr>
              <w:t>Urioste</w:t>
            </w:r>
            <w:proofErr w:type="spellEnd"/>
            <w:r w:rsidRPr="00DA7C23">
              <w:rPr>
                <w:rFonts w:cs="Arial"/>
              </w:rPr>
              <w:t>, Director Adult Education, Burbank Adult School</w:t>
            </w:r>
          </w:p>
        </w:tc>
        <w:tc>
          <w:tcPr>
            <w:tcW w:w="6192" w:type="dxa"/>
            <w:vAlign w:val="center"/>
          </w:tcPr>
          <w:p w:rsidR="00F82F6F" w:rsidRPr="00DA7C23" w:rsidRDefault="00F82F6F" w:rsidP="0041053B">
            <w:pPr>
              <w:spacing w:before="120" w:after="120"/>
              <w:rPr>
                <w:rFonts w:cs="Arial"/>
                <w:color w:val="000000"/>
              </w:rPr>
            </w:pPr>
            <w:r w:rsidRPr="00DA7C23">
              <w:rPr>
                <w:rFonts w:cs="Arial"/>
                <w:color w:val="000000"/>
              </w:rPr>
              <w:t>This glossary omits many of the terms utilized in this document that warrant a definition. Why is All Students a term?  I would scrap this glossary and generate one that contains many of the terms that need definition such as dual-enrollment. I know what it means but do all of the readers? Another would be stackable badging.</w:t>
            </w:r>
          </w:p>
        </w:tc>
      </w:tr>
      <w:tr w:rsidR="00F82F6F" w:rsidRPr="00DA7C23" w:rsidTr="001F21ED">
        <w:trPr>
          <w:cantSplit/>
        </w:trPr>
        <w:tc>
          <w:tcPr>
            <w:tcW w:w="3168" w:type="dxa"/>
            <w:vAlign w:val="center"/>
          </w:tcPr>
          <w:p w:rsidR="00F82F6F" w:rsidRPr="00DA7C23" w:rsidRDefault="00F82F6F" w:rsidP="0041053B">
            <w:pPr>
              <w:spacing w:before="120" w:after="120"/>
              <w:rPr>
                <w:rFonts w:cs="Arial"/>
              </w:rPr>
            </w:pPr>
            <w:r w:rsidRPr="00DA7C23">
              <w:rPr>
                <w:rFonts w:cs="Arial"/>
              </w:rPr>
              <w:t xml:space="preserve">Tracie </w:t>
            </w:r>
            <w:proofErr w:type="spellStart"/>
            <w:r w:rsidRPr="00DA7C23">
              <w:rPr>
                <w:rFonts w:cs="Arial"/>
              </w:rPr>
              <w:t>Zerpoli</w:t>
            </w:r>
            <w:proofErr w:type="spellEnd"/>
            <w:r w:rsidRPr="00DA7C23">
              <w:rPr>
                <w:rFonts w:cs="Arial"/>
              </w:rPr>
              <w:t>, Superintendent, CAROCP</w:t>
            </w:r>
          </w:p>
        </w:tc>
        <w:tc>
          <w:tcPr>
            <w:tcW w:w="6192" w:type="dxa"/>
            <w:vAlign w:val="center"/>
          </w:tcPr>
          <w:p w:rsidR="00F82F6F" w:rsidRPr="00DA7C23" w:rsidRDefault="00F82F6F" w:rsidP="000945C3">
            <w:pPr>
              <w:spacing w:before="120" w:after="120"/>
              <w:rPr>
                <w:rFonts w:cs="Arial"/>
                <w:color w:val="000000"/>
              </w:rPr>
            </w:pPr>
            <w:r w:rsidRPr="00DA7C23">
              <w:rPr>
                <w:rFonts w:cs="Arial"/>
                <w:color w:val="000000"/>
              </w:rPr>
              <w:t>Excellent! I would add more terms, i.e. ego system, career pathway, cross-system alignment, California Way, etc. I appreciate the effort that has gone in producing this document as well as the WPJAC. Thank you.</w:t>
            </w:r>
          </w:p>
        </w:tc>
      </w:tr>
    </w:tbl>
    <w:p w:rsidR="00533638" w:rsidRPr="00A2016D" w:rsidRDefault="00533638" w:rsidP="00533638">
      <w:pPr>
        <w:rPr>
          <w:rFonts w:cs="Arial"/>
          <w:sz w:val="20"/>
          <w:szCs w:val="20"/>
        </w:rPr>
      </w:pPr>
    </w:p>
    <w:sectPr w:rsidR="00533638" w:rsidRPr="00A2016D" w:rsidSect="00F82F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7C3" w:rsidRDefault="002627C3" w:rsidP="00B5670B">
      <w:pPr>
        <w:spacing w:after="0"/>
      </w:pPr>
      <w:r>
        <w:separator/>
      </w:r>
    </w:p>
  </w:endnote>
  <w:endnote w:type="continuationSeparator" w:id="0">
    <w:p w:rsidR="002627C3" w:rsidRDefault="002627C3" w:rsidP="00B567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7C3" w:rsidRDefault="002627C3" w:rsidP="00B5670B">
      <w:pPr>
        <w:spacing w:after="0"/>
      </w:pPr>
      <w:r>
        <w:separator/>
      </w:r>
    </w:p>
  </w:footnote>
  <w:footnote w:type="continuationSeparator" w:id="0">
    <w:p w:rsidR="002627C3" w:rsidRDefault="002627C3" w:rsidP="00B567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944" w:rsidRDefault="002A0944" w:rsidP="002A0944">
    <w:pPr>
      <w:pStyle w:val="Header"/>
      <w:jc w:val="right"/>
    </w:pPr>
    <w:proofErr w:type="gramStart"/>
    <w:r>
      <w:t>cwpjac-feb19item01</w:t>
    </w:r>
    <w:proofErr w:type="gramEnd"/>
  </w:p>
  <w:p w:rsidR="002A0944" w:rsidRDefault="002A0944" w:rsidP="002A0944">
    <w:pPr>
      <w:pStyle w:val="Header"/>
      <w:jc w:val="right"/>
    </w:pPr>
    <w:r>
      <w:t>Attachment 1</w:t>
    </w:r>
  </w:p>
  <w:sdt>
    <w:sdtPr>
      <w:id w:val="1525437613"/>
      <w:docPartObj>
        <w:docPartGallery w:val="Page Numbers (Top of Page)"/>
        <w:docPartUnique/>
      </w:docPartObj>
    </w:sdtPr>
    <w:sdtEndPr/>
    <w:sdtContent>
      <w:p w:rsidR="002A0944" w:rsidRPr="002A0944" w:rsidRDefault="002A0944" w:rsidP="001F21ED">
        <w:pPr>
          <w:pStyle w:val="Footer"/>
          <w:spacing w:after="120"/>
          <w:jc w:val="right"/>
        </w:pPr>
        <w:r w:rsidRPr="002A0944">
          <w:t xml:space="preserve">Page </w:t>
        </w:r>
        <w:r w:rsidRPr="002A0944">
          <w:rPr>
            <w:bCs/>
          </w:rPr>
          <w:fldChar w:fldCharType="begin"/>
        </w:r>
        <w:r w:rsidRPr="002A0944">
          <w:rPr>
            <w:bCs/>
          </w:rPr>
          <w:instrText xml:space="preserve"> PAGE </w:instrText>
        </w:r>
        <w:r w:rsidRPr="002A0944">
          <w:rPr>
            <w:bCs/>
          </w:rPr>
          <w:fldChar w:fldCharType="separate"/>
        </w:r>
        <w:r w:rsidR="0055479E">
          <w:rPr>
            <w:bCs/>
            <w:noProof/>
          </w:rPr>
          <w:t>1</w:t>
        </w:r>
        <w:r w:rsidRPr="002A0944">
          <w:rPr>
            <w:bCs/>
          </w:rPr>
          <w:fldChar w:fldCharType="end"/>
        </w:r>
        <w:r w:rsidRPr="002A0944">
          <w:t xml:space="preserve"> of </w:t>
        </w:r>
        <w:r w:rsidRPr="002A0944">
          <w:rPr>
            <w:bCs/>
          </w:rPr>
          <w:fldChar w:fldCharType="begin"/>
        </w:r>
        <w:r w:rsidRPr="002A0944">
          <w:rPr>
            <w:bCs/>
          </w:rPr>
          <w:instrText xml:space="preserve"> NUMPAGES  </w:instrText>
        </w:r>
        <w:r w:rsidRPr="002A0944">
          <w:rPr>
            <w:bCs/>
          </w:rPr>
          <w:fldChar w:fldCharType="separate"/>
        </w:r>
        <w:r w:rsidR="0055479E">
          <w:rPr>
            <w:bCs/>
            <w:noProof/>
          </w:rPr>
          <w:t>37</w:t>
        </w:r>
        <w:r w:rsidRPr="002A0944">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724F"/>
    <w:multiLevelType w:val="hybridMultilevel"/>
    <w:tmpl w:val="248A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38"/>
    <w:rsid w:val="00042F9D"/>
    <w:rsid w:val="0005155E"/>
    <w:rsid w:val="000555A2"/>
    <w:rsid w:val="000945C3"/>
    <w:rsid w:val="000A643D"/>
    <w:rsid w:val="000C64D2"/>
    <w:rsid w:val="000C696E"/>
    <w:rsid w:val="000D2EF6"/>
    <w:rsid w:val="0010496D"/>
    <w:rsid w:val="00120133"/>
    <w:rsid w:val="00136944"/>
    <w:rsid w:val="001B3407"/>
    <w:rsid w:val="001E0EB4"/>
    <w:rsid w:val="001E43D9"/>
    <w:rsid w:val="001E5658"/>
    <w:rsid w:val="001F21ED"/>
    <w:rsid w:val="001F3F1B"/>
    <w:rsid w:val="0020455D"/>
    <w:rsid w:val="00206C49"/>
    <w:rsid w:val="00217930"/>
    <w:rsid w:val="00227C2B"/>
    <w:rsid w:val="00244863"/>
    <w:rsid w:val="002557D5"/>
    <w:rsid w:val="002627C3"/>
    <w:rsid w:val="002A0944"/>
    <w:rsid w:val="002A210C"/>
    <w:rsid w:val="002E6DF4"/>
    <w:rsid w:val="0031044F"/>
    <w:rsid w:val="00320ED7"/>
    <w:rsid w:val="003503F1"/>
    <w:rsid w:val="00394D3D"/>
    <w:rsid w:val="0041053B"/>
    <w:rsid w:val="00457327"/>
    <w:rsid w:val="00472B55"/>
    <w:rsid w:val="004A5BA9"/>
    <w:rsid w:val="004C0191"/>
    <w:rsid w:val="004C202B"/>
    <w:rsid w:val="004E07F8"/>
    <w:rsid w:val="004F74D1"/>
    <w:rsid w:val="00533638"/>
    <w:rsid w:val="0055479E"/>
    <w:rsid w:val="005B430B"/>
    <w:rsid w:val="005C0487"/>
    <w:rsid w:val="005D376B"/>
    <w:rsid w:val="005D4749"/>
    <w:rsid w:val="006324FB"/>
    <w:rsid w:val="006A163D"/>
    <w:rsid w:val="006C3FCC"/>
    <w:rsid w:val="00703DB8"/>
    <w:rsid w:val="007426AE"/>
    <w:rsid w:val="007A0667"/>
    <w:rsid w:val="007D4CC8"/>
    <w:rsid w:val="007D675C"/>
    <w:rsid w:val="00855C19"/>
    <w:rsid w:val="0085608B"/>
    <w:rsid w:val="008D5DFB"/>
    <w:rsid w:val="009368EB"/>
    <w:rsid w:val="009A468F"/>
    <w:rsid w:val="009E3D10"/>
    <w:rsid w:val="00A2016D"/>
    <w:rsid w:val="00A314F4"/>
    <w:rsid w:val="00A7742E"/>
    <w:rsid w:val="00A903FC"/>
    <w:rsid w:val="00AB4D7C"/>
    <w:rsid w:val="00AD586F"/>
    <w:rsid w:val="00B0127E"/>
    <w:rsid w:val="00B32CF7"/>
    <w:rsid w:val="00B5670B"/>
    <w:rsid w:val="00B67A85"/>
    <w:rsid w:val="00BD6113"/>
    <w:rsid w:val="00C4048C"/>
    <w:rsid w:val="00C67FE2"/>
    <w:rsid w:val="00C73027"/>
    <w:rsid w:val="00C76300"/>
    <w:rsid w:val="00CB3D6D"/>
    <w:rsid w:val="00D31D60"/>
    <w:rsid w:val="00D46F75"/>
    <w:rsid w:val="00DA50D5"/>
    <w:rsid w:val="00DA7C23"/>
    <w:rsid w:val="00E10507"/>
    <w:rsid w:val="00E209C2"/>
    <w:rsid w:val="00E60640"/>
    <w:rsid w:val="00E86BDA"/>
    <w:rsid w:val="00EC1C12"/>
    <w:rsid w:val="00F10B97"/>
    <w:rsid w:val="00F82F6F"/>
    <w:rsid w:val="00FA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D4C52-F813-48BE-B33F-883B0BF0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7D5"/>
    <w:pPr>
      <w:spacing w:after="240"/>
    </w:pPr>
  </w:style>
  <w:style w:type="paragraph" w:styleId="Heading1">
    <w:name w:val="heading 1"/>
    <w:basedOn w:val="Normal"/>
    <w:next w:val="Normal"/>
    <w:link w:val="Heading1Char"/>
    <w:uiPriority w:val="9"/>
    <w:qFormat/>
    <w:rsid w:val="002557D5"/>
    <w:pPr>
      <w:keepNext/>
      <w:keepLines/>
      <w:spacing w:before="24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2557D5"/>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557D5"/>
    <w:pPr>
      <w:keepNext/>
      <w:keepLines/>
      <w:spacing w:before="40"/>
      <w:outlineLvl w:val="2"/>
    </w:pPr>
    <w:rPr>
      <w:rFonts w:eastAsiaTheme="majorEastAsia" w:cstheme="majorBidi"/>
    </w:rPr>
  </w:style>
  <w:style w:type="paragraph" w:styleId="Heading4">
    <w:name w:val="heading 4"/>
    <w:basedOn w:val="Normal"/>
    <w:next w:val="Normal"/>
    <w:link w:val="Heading4Char"/>
    <w:uiPriority w:val="9"/>
    <w:unhideWhenUsed/>
    <w:qFormat/>
    <w:rsid w:val="002557D5"/>
    <w:pPr>
      <w:keepNext/>
      <w:keepLines/>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2557D5"/>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D5"/>
    <w:rPr>
      <w:rFonts w:eastAsiaTheme="majorEastAsia" w:cstheme="majorBidi"/>
      <w:b/>
      <w:caps/>
      <w:szCs w:val="32"/>
    </w:rPr>
  </w:style>
  <w:style w:type="character" w:customStyle="1" w:styleId="Heading2Char">
    <w:name w:val="Heading 2 Char"/>
    <w:basedOn w:val="DefaultParagraphFont"/>
    <w:link w:val="Heading2"/>
    <w:uiPriority w:val="9"/>
    <w:rsid w:val="002557D5"/>
    <w:rPr>
      <w:rFonts w:eastAsiaTheme="majorEastAsia" w:cstheme="majorBidi"/>
      <w:b/>
      <w:szCs w:val="26"/>
    </w:rPr>
  </w:style>
  <w:style w:type="paragraph" w:styleId="Title">
    <w:name w:val="Title"/>
    <w:basedOn w:val="Normal"/>
    <w:next w:val="Normal"/>
    <w:link w:val="TitleChar"/>
    <w:uiPriority w:val="10"/>
    <w:qFormat/>
    <w:rsid w:val="002557D5"/>
    <w:pPr>
      <w:spacing w:before="240"/>
      <w:contextualSpacing/>
    </w:pPr>
    <w:rPr>
      <w:rFonts w:eastAsiaTheme="majorEastAsia" w:cstheme="majorBidi"/>
      <w:b/>
      <w:caps/>
      <w:spacing w:val="-10"/>
      <w:kern w:val="28"/>
      <w:sz w:val="40"/>
      <w:szCs w:val="56"/>
    </w:rPr>
  </w:style>
  <w:style w:type="character" w:customStyle="1" w:styleId="TitleChar">
    <w:name w:val="Title Char"/>
    <w:basedOn w:val="DefaultParagraphFont"/>
    <w:link w:val="Title"/>
    <w:uiPriority w:val="10"/>
    <w:rsid w:val="002557D5"/>
    <w:rPr>
      <w:rFonts w:eastAsiaTheme="majorEastAsia" w:cstheme="majorBidi"/>
      <w:b/>
      <w:caps/>
      <w:spacing w:val="-10"/>
      <w:kern w:val="28"/>
      <w:sz w:val="40"/>
      <w:szCs w:val="56"/>
    </w:rPr>
  </w:style>
  <w:style w:type="paragraph" w:styleId="NoSpacing">
    <w:name w:val="No Spacing"/>
    <w:uiPriority w:val="1"/>
    <w:qFormat/>
    <w:rsid w:val="00AD586F"/>
  </w:style>
  <w:style w:type="character" w:customStyle="1" w:styleId="Heading3Char">
    <w:name w:val="Heading 3 Char"/>
    <w:basedOn w:val="DefaultParagraphFont"/>
    <w:link w:val="Heading3"/>
    <w:uiPriority w:val="9"/>
    <w:rsid w:val="002557D5"/>
    <w:rPr>
      <w:rFonts w:eastAsiaTheme="majorEastAsia" w:cstheme="majorBidi"/>
    </w:rPr>
  </w:style>
  <w:style w:type="character" w:customStyle="1" w:styleId="Heading4Char">
    <w:name w:val="Heading 4 Char"/>
    <w:basedOn w:val="DefaultParagraphFont"/>
    <w:link w:val="Heading4"/>
    <w:uiPriority w:val="9"/>
    <w:rsid w:val="002557D5"/>
    <w:rPr>
      <w:rFonts w:eastAsiaTheme="majorEastAsia" w:cstheme="majorBidi"/>
      <w:iCs/>
    </w:rPr>
  </w:style>
  <w:style w:type="character" w:customStyle="1" w:styleId="Heading5Char">
    <w:name w:val="Heading 5 Char"/>
    <w:basedOn w:val="DefaultParagraphFont"/>
    <w:link w:val="Heading5"/>
    <w:uiPriority w:val="9"/>
    <w:semiHidden/>
    <w:rsid w:val="002557D5"/>
    <w:rPr>
      <w:rFonts w:eastAsiaTheme="majorEastAsia" w:cstheme="majorBidi"/>
    </w:rPr>
  </w:style>
  <w:style w:type="character" w:styleId="IntenseEmphasis">
    <w:name w:val="Intense Emphasis"/>
    <w:basedOn w:val="DefaultParagraphFont"/>
    <w:uiPriority w:val="21"/>
    <w:qFormat/>
    <w:rsid w:val="002557D5"/>
    <w:rPr>
      <w:i/>
      <w:iCs/>
      <w:color w:val="auto"/>
    </w:rPr>
  </w:style>
  <w:style w:type="paragraph" w:styleId="IntenseQuote">
    <w:name w:val="Intense Quote"/>
    <w:basedOn w:val="Normal"/>
    <w:next w:val="Normal"/>
    <w:link w:val="IntenseQuoteChar"/>
    <w:uiPriority w:val="30"/>
    <w:qFormat/>
    <w:rsid w:val="002557D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557D5"/>
    <w:rPr>
      <w:i/>
      <w:iCs/>
    </w:rPr>
  </w:style>
  <w:style w:type="character" w:styleId="IntenseReference">
    <w:name w:val="Intense Reference"/>
    <w:basedOn w:val="DefaultParagraphFont"/>
    <w:uiPriority w:val="32"/>
    <w:qFormat/>
    <w:rsid w:val="002557D5"/>
    <w:rPr>
      <w:b/>
      <w:bCs/>
      <w:smallCaps/>
      <w:color w:val="auto"/>
      <w:spacing w:val="5"/>
    </w:rPr>
  </w:style>
  <w:style w:type="table" w:styleId="TableGrid">
    <w:name w:val="Table Grid"/>
    <w:basedOn w:val="TableNormal"/>
    <w:uiPriority w:val="39"/>
    <w:rsid w:val="0053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363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5670B"/>
    <w:pPr>
      <w:tabs>
        <w:tab w:val="center" w:pos="4680"/>
        <w:tab w:val="right" w:pos="9360"/>
      </w:tabs>
      <w:spacing w:after="0"/>
    </w:pPr>
  </w:style>
  <w:style w:type="character" w:customStyle="1" w:styleId="HeaderChar">
    <w:name w:val="Header Char"/>
    <w:basedOn w:val="DefaultParagraphFont"/>
    <w:link w:val="Header"/>
    <w:uiPriority w:val="99"/>
    <w:rsid w:val="00B5670B"/>
  </w:style>
  <w:style w:type="paragraph" w:styleId="Footer">
    <w:name w:val="footer"/>
    <w:basedOn w:val="Normal"/>
    <w:link w:val="FooterChar"/>
    <w:uiPriority w:val="99"/>
    <w:unhideWhenUsed/>
    <w:rsid w:val="00B5670B"/>
    <w:pPr>
      <w:tabs>
        <w:tab w:val="center" w:pos="4680"/>
        <w:tab w:val="right" w:pos="9360"/>
      </w:tabs>
      <w:spacing w:after="0"/>
    </w:pPr>
  </w:style>
  <w:style w:type="character" w:customStyle="1" w:styleId="FooterChar">
    <w:name w:val="Footer Char"/>
    <w:basedOn w:val="DefaultParagraphFont"/>
    <w:link w:val="Footer"/>
    <w:uiPriority w:val="99"/>
    <w:rsid w:val="00B5670B"/>
  </w:style>
  <w:style w:type="character" w:styleId="Hyperlink">
    <w:name w:val="Hyperlink"/>
    <w:basedOn w:val="DefaultParagraphFont"/>
    <w:uiPriority w:val="99"/>
    <w:unhideWhenUsed/>
    <w:rsid w:val="00A314F4"/>
    <w:rPr>
      <w:color w:val="0563C1" w:themeColor="hyperlink"/>
      <w:u w:val="single"/>
    </w:rPr>
  </w:style>
  <w:style w:type="paragraph" w:styleId="ListParagraph">
    <w:name w:val="List Paragraph"/>
    <w:basedOn w:val="Normal"/>
    <w:uiPriority w:val="34"/>
    <w:qFormat/>
    <w:rsid w:val="00FA5574"/>
    <w:pPr>
      <w:ind w:left="720"/>
      <w:contextualSpacing/>
    </w:pPr>
  </w:style>
  <w:style w:type="character" w:styleId="FollowedHyperlink">
    <w:name w:val="FollowedHyperlink"/>
    <w:basedOn w:val="DefaultParagraphFont"/>
    <w:uiPriority w:val="99"/>
    <w:semiHidden/>
    <w:unhideWhenUsed/>
    <w:rsid w:val="00DA7C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0775">
      <w:bodyDiv w:val="1"/>
      <w:marLeft w:val="0"/>
      <w:marRight w:val="0"/>
      <w:marTop w:val="0"/>
      <w:marBottom w:val="0"/>
      <w:divBdr>
        <w:top w:val="none" w:sz="0" w:space="0" w:color="auto"/>
        <w:left w:val="none" w:sz="0" w:space="0" w:color="auto"/>
        <w:bottom w:val="none" w:sz="0" w:space="0" w:color="auto"/>
        <w:right w:val="none" w:sz="0" w:space="0" w:color="auto"/>
      </w:divBdr>
    </w:div>
    <w:div w:id="18970391">
      <w:bodyDiv w:val="1"/>
      <w:marLeft w:val="0"/>
      <w:marRight w:val="0"/>
      <w:marTop w:val="0"/>
      <w:marBottom w:val="0"/>
      <w:divBdr>
        <w:top w:val="none" w:sz="0" w:space="0" w:color="auto"/>
        <w:left w:val="none" w:sz="0" w:space="0" w:color="auto"/>
        <w:bottom w:val="none" w:sz="0" w:space="0" w:color="auto"/>
        <w:right w:val="none" w:sz="0" w:space="0" w:color="auto"/>
      </w:divBdr>
    </w:div>
    <w:div w:id="19087034">
      <w:bodyDiv w:val="1"/>
      <w:marLeft w:val="0"/>
      <w:marRight w:val="0"/>
      <w:marTop w:val="0"/>
      <w:marBottom w:val="0"/>
      <w:divBdr>
        <w:top w:val="none" w:sz="0" w:space="0" w:color="auto"/>
        <w:left w:val="none" w:sz="0" w:space="0" w:color="auto"/>
        <w:bottom w:val="none" w:sz="0" w:space="0" w:color="auto"/>
        <w:right w:val="none" w:sz="0" w:space="0" w:color="auto"/>
      </w:divBdr>
    </w:div>
    <w:div w:id="21588716">
      <w:bodyDiv w:val="1"/>
      <w:marLeft w:val="0"/>
      <w:marRight w:val="0"/>
      <w:marTop w:val="0"/>
      <w:marBottom w:val="0"/>
      <w:divBdr>
        <w:top w:val="none" w:sz="0" w:space="0" w:color="auto"/>
        <w:left w:val="none" w:sz="0" w:space="0" w:color="auto"/>
        <w:bottom w:val="none" w:sz="0" w:space="0" w:color="auto"/>
        <w:right w:val="none" w:sz="0" w:space="0" w:color="auto"/>
      </w:divBdr>
    </w:div>
    <w:div w:id="21824122">
      <w:bodyDiv w:val="1"/>
      <w:marLeft w:val="0"/>
      <w:marRight w:val="0"/>
      <w:marTop w:val="0"/>
      <w:marBottom w:val="0"/>
      <w:divBdr>
        <w:top w:val="none" w:sz="0" w:space="0" w:color="auto"/>
        <w:left w:val="none" w:sz="0" w:space="0" w:color="auto"/>
        <w:bottom w:val="none" w:sz="0" w:space="0" w:color="auto"/>
        <w:right w:val="none" w:sz="0" w:space="0" w:color="auto"/>
      </w:divBdr>
    </w:div>
    <w:div w:id="26218851">
      <w:bodyDiv w:val="1"/>
      <w:marLeft w:val="0"/>
      <w:marRight w:val="0"/>
      <w:marTop w:val="0"/>
      <w:marBottom w:val="0"/>
      <w:divBdr>
        <w:top w:val="none" w:sz="0" w:space="0" w:color="auto"/>
        <w:left w:val="none" w:sz="0" w:space="0" w:color="auto"/>
        <w:bottom w:val="none" w:sz="0" w:space="0" w:color="auto"/>
        <w:right w:val="none" w:sz="0" w:space="0" w:color="auto"/>
      </w:divBdr>
    </w:div>
    <w:div w:id="28726917">
      <w:bodyDiv w:val="1"/>
      <w:marLeft w:val="0"/>
      <w:marRight w:val="0"/>
      <w:marTop w:val="0"/>
      <w:marBottom w:val="0"/>
      <w:divBdr>
        <w:top w:val="none" w:sz="0" w:space="0" w:color="auto"/>
        <w:left w:val="none" w:sz="0" w:space="0" w:color="auto"/>
        <w:bottom w:val="none" w:sz="0" w:space="0" w:color="auto"/>
        <w:right w:val="none" w:sz="0" w:space="0" w:color="auto"/>
      </w:divBdr>
    </w:div>
    <w:div w:id="30032356">
      <w:bodyDiv w:val="1"/>
      <w:marLeft w:val="0"/>
      <w:marRight w:val="0"/>
      <w:marTop w:val="0"/>
      <w:marBottom w:val="0"/>
      <w:divBdr>
        <w:top w:val="none" w:sz="0" w:space="0" w:color="auto"/>
        <w:left w:val="none" w:sz="0" w:space="0" w:color="auto"/>
        <w:bottom w:val="none" w:sz="0" w:space="0" w:color="auto"/>
        <w:right w:val="none" w:sz="0" w:space="0" w:color="auto"/>
      </w:divBdr>
    </w:div>
    <w:div w:id="43987180">
      <w:bodyDiv w:val="1"/>
      <w:marLeft w:val="0"/>
      <w:marRight w:val="0"/>
      <w:marTop w:val="0"/>
      <w:marBottom w:val="0"/>
      <w:divBdr>
        <w:top w:val="none" w:sz="0" w:space="0" w:color="auto"/>
        <w:left w:val="none" w:sz="0" w:space="0" w:color="auto"/>
        <w:bottom w:val="none" w:sz="0" w:space="0" w:color="auto"/>
        <w:right w:val="none" w:sz="0" w:space="0" w:color="auto"/>
      </w:divBdr>
    </w:div>
    <w:div w:id="52897343">
      <w:bodyDiv w:val="1"/>
      <w:marLeft w:val="0"/>
      <w:marRight w:val="0"/>
      <w:marTop w:val="0"/>
      <w:marBottom w:val="0"/>
      <w:divBdr>
        <w:top w:val="none" w:sz="0" w:space="0" w:color="auto"/>
        <w:left w:val="none" w:sz="0" w:space="0" w:color="auto"/>
        <w:bottom w:val="none" w:sz="0" w:space="0" w:color="auto"/>
        <w:right w:val="none" w:sz="0" w:space="0" w:color="auto"/>
      </w:divBdr>
    </w:div>
    <w:div w:id="73472698">
      <w:bodyDiv w:val="1"/>
      <w:marLeft w:val="0"/>
      <w:marRight w:val="0"/>
      <w:marTop w:val="0"/>
      <w:marBottom w:val="0"/>
      <w:divBdr>
        <w:top w:val="none" w:sz="0" w:space="0" w:color="auto"/>
        <w:left w:val="none" w:sz="0" w:space="0" w:color="auto"/>
        <w:bottom w:val="none" w:sz="0" w:space="0" w:color="auto"/>
        <w:right w:val="none" w:sz="0" w:space="0" w:color="auto"/>
      </w:divBdr>
    </w:div>
    <w:div w:id="94206086">
      <w:bodyDiv w:val="1"/>
      <w:marLeft w:val="0"/>
      <w:marRight w:val="0"/>
      <w:marTop w:val="0"/>
      <w:marBottom w:val="0"/>
      <w:divBdr>
        <w:top w:val="none" w:sz="0" w:space="0" w:color="auto"/>
        <w:left w:val="none" w:sz="0" w:space="0" w:color="auto"/>
        <w:bottom w:val="none" w:sz="0" w:space="0" w:color="auto"/>
        <w:right w:val="none" w:sz="0" w:space="0" w:color="auto"/>
      </w:divBdr>
    </w:div>
    <w:div w:id="99225710">
      <w:bodyDiv w:val="1"/>
      <w:marLeft w:val="0"/>
      <w:marRight w:val="0"/>
      <w:marTop w:val="0"/>
      <w:marBottom w:val="0"/>
      <w:divBdr>
        <w:top w:val="none" w:sz="0" w:space="0" w:color="auto"/>
        <w:left w:val="none" w:sz="0" w:space="0" w:color="auto"/>
        <w:bottom w:val="none" w:sz="0" w:space="0" w:color="auto"/>
        <w:right w:val="none" w:sz="0" w:space="0" w:color="auto"/>
      </w:divBdr>
    </w:div>
    <w:div w:id="116998238">
      <w:bodyDiv w:val="1"/>
      <w:marLeft w:val="0"/>
      <w:marRight w:val="0"/>
      <w:marTop w:val="0"/>
      <w:marBottom w:val="0"/>
      <w:divBdr>
        <w:top w:val="none" w:sz="0" w:space="0" w:color="auto"/>
        <w:left w:val="none" w:sz="0" w:space="0" w:color="auto"/>
        <w:bottom w:val="none" w:sz="0" w:space="0" w:color="auto"/>
        <w:right w:val="none" w:sz="0" w:space="0" w:color="auto"/>
      </w:divBdr>
    </w:div>
    <w:div w:id="119037261">
      <w:bodyDiv w:val="1"/>
      <w:marLeft w:val="0"/>
      <w:marRight w:val="0"/>
      <w:marTop w:val="0"/>
      <w:marBottom w:val="0"/>
      <w:divBdr>
        <w:top w:val="none" w:sz="0" w:space="0" w:color="auto"/>
        <w:left w:val="none" w:sz="0" w:space="0" w:color="auto"/>
        <w:bottom w:val="none" w:sz="0" w:space="0" w:color="auto"/>
        <w:right w:val="none" w:sz="0" w:space="0" w:color="auto"/>
      </w:divBdr>
    </w:div>
    <w:div w:id="133062278">
      <w:bodyDiv w:val="1"/>
      <w:marLeft w:val="0"/>
      <w:marRight w:val="0"/>
      <w:marTop w:val="0"/>
      <w:marBottom w:val="0"/>
      <w:divBdr>
        <w:top w:val="none" w:sz="0" w:space="0" w:color="auto"/>
        <w:left w:val="none" w:sz="0" w:space="0" w:color="auto"/>
        <w:bottom w:val="none" w:sz="0" w:space="0" w:color="auto"/>
        <w:right w:val="none" w:sz="0" w:space="0" w:color="auto"/>
      </w:divBdr>
    </w:div>
    <w:div w:id="134876160">
      <w:bodyDiv w:val="1"/>
      <w:marLeft w:val="0"/>
      <w:marRight w:val="0"/>
      <w:marTop w:val="0"/>
      <w:marBottom w:val="0"/>
      <w:divBdr>
        <w:top w:val="none" w:sz="0" w:space="0" w:color="auto"/>
        <w:left w:val="none" w:sz="0" w:space="0" w:color="auto"/>
        <w:bottom w:val="none" w:sz="0" w:space="0" w:color="auto"/>
        <w:right w:val="none" w:sz="0" w:space="0" w:color="auto"/>
      </w:divBdr>
    </w:div>
    <w:div w:id="144249290">
      <w:bodyDiv w:val="1"/>
      <w:marLeft w:val="0"/>
      <w:marRight w:val="0"/>
      <w:marTop w:val="0"/>
      <w:marBottom w:val="0"/>
      <w:divBdr>
        <w:top w:val="none" w:sz="0" w:space="0" w:color="auto"/>
        <w:left w:val="none" w:sz="0" w:space="0" w:color="auto"/>
        <w:bottom w:val="none" w:sz="0" w:space="0" w:color="auto"/>
        <w:right w:val="none" w:sz="0" w:space="0" w:color="auto"/>
      </w:divBdr>
    </w:div>
    <w:div w:id="155532043">
      <w:bodyDiv w:val="1"/>
      <w:marLeft w:val="0"/>
      <w:marRight w:val="0"/>
      <w:marTop w:val="0"/>
      <w:marBottom w:val="0"/>
      <w:divBdr>
        <w:top w:val="none" w:sz="0" w:space="0" w:color="auto"/>
        <w:left w:val="none" w:sz="0" w:space="0" w:color="auto"/>
        <w:bottom w:val="none" w:sz="0" w:space="0" w:color="auto"/>
        <w:right w:val="none" w:sz="0" w:space="0" w:color="auto"/>
      </w:divBdr>
    </w:div>
    <w:div w:id="194462436">
      <w:bodyDiv w:val="1"/>
      <w:marLeft w:val="0"/>
      <w:marRight w:val="0"/>
      <w:marTop w:val="0"/>
      <w:marBottom w:val="0"/>
      <w:divBdr>
        <w:top w:val="none" w:sz="0" w:space="0" w:color="auto"/>
        <w:left w:val="none" w:sz="0" w:space="0" w:color="auto"/>
        <w:bottom w:val="none" w:sz="0" w:space="0" w:color="auto"/>
        <w:right w:val="none" w:sz="0" w:space="0" w:color="auto"/>
      </w:divBdr>
    </w:div>
    <w:div w:id="200173291">
      <w:bodyDiv w:val="1"/>
      <w:marLeft w:val="0"/>
      <w:marRight w:val="0"/>
      <w:marTop w:val="0"/>
      <w:marBottom w:val="0"/>
      <w:divBdr>
        <w:top w:val="none" w:sz="0" w:space="0" w:color="auto"/>
        <w:left w:val="none" w:sz="0" w:space="0" w:color="auto"/>
        <w:bottom w:val="none" w:sz="0" w:space="0" w:color="auto"/>
        <w:right w:val="none" w:sz="0" w:space="0" w:color="auto"/>
      </w:divBdr>
    </w:div>
    <w:div w:id="210197531">
      <w:bodyDiv w:val="1"/>
      <w:marLeft w:val="0"/>
      <w:marRight w:val="0"/>
      <w:marTop w:val="0"/>
      <w:marBottom w:val="0"/>
      <w:divBdr>
        <w:top w:val="none" w:sz="0" w:space="0" w:color="auto"/>
        <w:left w:val="none" w:sz="0" w:space="0" w:color="auto"/>
        <w:bottom w:val="none" w:sz="0" w:space="0" w:color="auto"/>
        <w:right w:val="none" w:sz="0" w:space="0" w:color="auto"/>
      </w:divBdr>
    </w:div>
    <w:div w:id="235559620">
      <w:bodyDiv w:val="1"/>
      <w:marLeft w:val="0"/>
      <w:marRight w:val="0"/>
      <w:marTop w:val="0"/>
      <w:marBottom w:val="0"/>
      <w:divBdr>
        <w:top w:val="none" w:sz="0" w:space="0" w:color="auto"/>
        <w:left w:val="none" w:sz="0" w:space="0" w:color="auto"/>
        <w:bottom w:val="none" w:sz="0" w:space="0" w:color="auto"/>
        <w:right w:val="none" w:sz="0" w:space="0" w:color="auto"/>
      </w:divBdr>
    </w:div>
    <w:div w:id="237789841">
      <w:bodyDiv w:val="1"/>
      <w:marLeft w:val="0"/>
      <w:marRight w:val="0"/>
      <w:marTop w:val="0"/>
      <w:marBottom w:val="0"/>
      <w:divBdr>
        <w:top w:val="none" w:sz="0" w:space="0" w:color="auto"/>
        <w:left w:val="none" w:sz="0" w:space="0" w:color="auto"/>
        <w:bottom w:val="none" w:sz="0" w:space="0" w:color="auto"/>
        <w:right w:val="none" w:sz="0" w:space="0" w:color="auto"/>
      </w:divBdr>
    </w:div>
    <w:div w:id="243615228">
      <w:bodyDiv w:val="1"/>
      <w:marLeft w:val="0"/>
      <w:marRight w:val="0"/>
      <w:marTop w:val="0"/>
      <w:marBottom w:val="0"/>
      <w:divBdr>
        <w:top w:val="none" w:sz="0" w:space="0" w:color="auto"/>
        <w:left w:val="none" w:sz="0" w:space="0" w:color="auto"/>
        <w:bottom w:val="none" w:sz="0" w:space="0" w:color="auto"/>
        <w:right w:val="none" w:sz="0" w:space="0" w:color="auto"/>
      </w:divBdr>
    </w:div>
    <w:div w:id="244265834">
      <w:bodyDiv w:val="1"/>
      <w:marLeft w:val="0"/>
      <w:marRight w:val="0"/>
      <w:marTop w:val="0"/>
      <w:marBottom w:val="0"/>
      <w:divBdr>
        <w:top w:val="none" w:sz="0" w:space="0" w:color="auto"/>
        <w:left w:val="none" w:sz="0" w:space="0" w:color="auto"/>
        <w:bottom w:val="none" w:sz="0" w:space="0" w:color="auto"/>
        <w:right w:val="none" w:sz="0" w:space="0" w:color="auto"/>
      </w:divBdr>
    </w:div>
    <w:div w:id="248317078">
      <w:bodyDiv w:val="1"/>
      <w:marLeft w:val="0"/>
      <w:marRight w:val="0"/>
      <w:marTop w:val="0"/>
      <w:marBottom w:val="0"/>
      <w:divBdr>
        <w:top w:val="none" w:sz="0" w:space="0" w:color="auto"/>
        <w:left w:val="none" w:sz="0" w:space="0" w:color="auto"/>
        <w:bottom w:val="none" w:sz="0" w:space="0" w:color="auto"/>
        <w:right w:val="none" w:sz="0" w:space="0" w:color="auto"/>
      </w:divBdr>
    </w:div>
    <w:div w:id="259415267">
      <w:bodyDiv w:val="1"/>
      <w:marLeft w:val="0"/>
      <w:marRight w:val="0"/>
      <w:marTop w:val="0"/>
      <w:marBottom w:val="0"/>
      <w:divBdr>
        <w:top w:val="none" w:sz="0" w:space="0" w:color="auto"/>
        <w:left w:val="none" w:sz="0" w:space="0" w:color="auto"/>
        <w:bottom w:val="none" w:sz="0" w:space="0" w:color="auto"/>
        <w:right w:val="none" w:sz="0" w:space="0" w:color="auto"/>
      </w:divBdr>
    </w:div>
    <w:div w:id="303583442">
      <w:bodyDiv w:val="1"/>
      <w:marLeft w:val="0"/>
      <w:marRight w:val="0"/>
      <w:marTop w:val="0"/>
      <w:marBottom w:val="0"/>
      <w:divBdr>
        <w:top w:val="none" w:sz="0" w:space="0" w:color="auto"/>
        <w:left w:val="none" w:sz="0" w:space="0" w:color="auto"/>
        <w:bottom w:val="none" w:sz="0" w:space="0" w:color="auto"/>
        <w:right w:val="none" w:sz="0" w:space="0" w:color="auto"/>
      </w:divBdr>
    </w:div>
    <w:div w:id="306786880">
      <w:bodyDiv w:val="1"/>
      <w:marLeft w:val="0"/>
      <w:marRight w:val="0"/>
      <w:marTop w:val="0"/>
      <w:marBottom w:val="0"/>
      <w:divBdr>
        <w:top w:val="none" w:sz="0" w:space="0" w:color="auto"/>
        <w:left w:val="none" w:sz="0" w:space="0" w:color="auto"/>
        <w:bottom w:val="none" w:sz="0" w:space="0" w:color="auto"/>
        <w:right w:val="none" w:sz="0" w:space="0" w:color="auto"/>
      </w:divBdr>
    </w:div>
    <w:div w:id="312564136">
      <w:bodyDiv w:val="1"/>
      <w:marLeft w:val="0"/>
      <w:marRight w:val="0"/>
      <w:marTop w:val="0"/>
      <w:marBottom w:val="0"/>
      <w:divBdr>
        <w:top w:val="none" w:sz="0" w:space="0" w:color="auto"/>
        <w:left w:val="none" w:sz="0" w:space="0" w:color="auto"/>
        <w:bottom w:val="none" w:sz="0" w:space="0" w:color="auto"/>
        <w:right w:val="none" w:sz="0" w:space="0" w:color="auto"/>
      </w:divBdr>
    </w:div>
    <w:div w:id="331302572">
      <w:bodyDiv w:val="1"/>
      <w:marLeft w:val="0"/>
      <w:marRight w:val="0"/>
      <w:marTop w:val="0"/>
      <w:marBottom w:val="0"/>
      <w:divBdr>
        <w:top w:val="none" w:sz="0" w:space="0" w:color="auto"/>
        <w:left w:val="none" w:sz="0" w:space="0" w:color="auto"/>
        <w:bottom w:val="none" w:sz="0" w:space="0" w:color="auto"/>
        <w:right w:val="none" w:sz="0" w:space="0" w:color="auto"/>
      </w:divBdr>
    </w:div>
    <w:div w:id="336659756">
      <w:bodyDiv w:val="1"/>
      <w:marLeft w:val="0"/>
      <w:marRight w:val="0"/>
      <w:marTop w:val="0"/>
      <w:marBottom w:val="0"/>
      <w:divBdr>
        <w:top w:val="none" w:sz="0" w:space="0" w:color="auto"/>
        <w:left w:val="none" w:sz="0" w:space="0" w:color="auto"/>
        <w:bottom w:val="none" w:sz="0" w:space="0" w:color="auto"/>
        <w:right w:val="none" w:sz="0" w:space="0" w:color="auto"/>
      </w:divBdr>
    </w:div>
    <w:div w:id="344333605">
      <w:bodyDiv w:val="1"/>
      <w:marLeft w:val="0"/>
      <w:marRight w:val="0"/>
      <w:marTop w:val="0"/>
      <w:marBottom w:val="0"/>
      <w:divBdr>
        <w:top w:val="none" w:sz="0" w:space="0" w:color="auto"/>
        <w:left w:val="none" w:sz="0" w:space="0" w:color="auto"/>
        <w:bottom w:val="none" w:sz="0" w:space="0" w:color="auto"/>
        <w:right w:val="none" w:sz="0" w:space="0" w:color="auto"/>
      </w:divBdr>
    </w:div>
    <w:div w:id="348992735">
      <w:bodyDiv w:val="1"/>
      <w:marLeft w:val="0"/>
      <w:marRight w:val="0"/>
      <w:marTop w:val="0"/>
      <w:marBottom w:val="0"/>
      <w:divBdr>
        <w:top w:val="none" w:sz="0" w:space="0" w:color="auto"/>
        <w:left w:val="none" w:sz="0" w:space="0" w:color="auto"/>
        <w:bottom w:val="none" w:sz="0" w:space="0" w:color="auto"/>
        <w:right w:val="none" w:sz="0" w:space="0" w:color="auto"/>
      </w:divBdr>
    </w:div>
    <w:div w:id="368654650">
      <w:bodyDiv w:val="1"/>
      <w:marLeft w:val="0"/>
      <w:marRight w:val="0"/>
      <w:marTop w:val="0"/>
      <w:marBottom w:val="0"/>
      <w:divBdr>
        <w:top w:val="none" w:sz="0" w:space="0" w:color="auto"/>
        <w:left w:val="none" w:sz="0" w:space="0" w:color="auto"/>
        <w:bottom w:val="none" w:sz="0" w:space="0" w:color="auto"/>
        <w:right w:val="none" w:sz="0" w:space="0" w:color="auto"/>
      </w:divBdr>
    </w:div>
    <w:div w:id="369064458">
      <w:bodyDiv w:val="1"/>
      <w:marLeft w:val="0"/>
      <w:marRight w:val="0"/>
      <w:marTop w:val="0"/>
      <w:marBottom w:val="0"/>
      <w:divBdr>
        <w:top w:val="none" w:sz="0" w:space="0" w:color="auto"/>
        <w:left w:val="none" w:sz="0" w:space="0" w:color="auto"/>
        <w:bottom w:val="none" w:sz="0" w:space="0" w:color="auto"/>
        <w:right w:val="none" w:sz="0" w:space="0" w:color="auto"/>
      </w:divBdr>
    </w:div>
    <w:div w:id="380791039">
      <w:bodyDiv w:val="1"/>
      <w:marLeft w:val="0"/>
      <w:marRight w:val="0"/>
      <w:marTop w:val="0"/>
      <w:marBottom w:val="0"/>
      <w:divBdr>
        <w:top w:val="none" w:sz="0" w:space="0" w:color="auto"/>
        <w:left w:val="none" w:sz="0" w:space="0" w:color="auto"/>
        <w:bottom w:val="none" w:sz="0" w:space="0" w:color="auto"/>
        <w:right w:val="none" w:sz="0" w:space="0" w:color="auto"/>
      </w:divBdr>
    </w:div>
    <w:div w:id="383871897">
      <w:bodyDiv w:val="1"/>
      <w:marLeft w:val="0"/>
      <w:marRight w:val="0"/>
      <w:marTop w:val="0"/>
      <w:marBottom w:val="0"/>
      <w:divBdr>
        <w:top w:val="none" w:sz="0" w:space="0" w:color="auto"/>
        <w:left w:val="none" w:sz="0" w:space="0" w:color="auto"/>
        <w:bottom w:val="none" w:sz="0" w:space="0" w:color="auto"/>
        <w:right w:val="none" w:sz="0" w:space="0" w:color="auto"/>
      </w:divBdr>
    </w:div>
    <w:div w:id="399789439">
      <w:bodyDiv w:val="1"/>
      <w:marLeft w:val="0"/>
      <w:marRight w:val="0"/>
      <w:marTop w:val="0"/>
      <w:marBottom w:val="0"/>
      <w:divBdr>
        <w:top w:val="none" w:sz="0" w:space="0" w:color="auto"/>
        <w:left w:val="none" w:sz="0" w:space="0" w:color="auto"/>
        <w:bottom w:val="none" w:sz="0" w:space="0" w:color="auto"/>
        <w:right w:val="none" w:sz="0" w:space="0" w:color="auto"/>
      </w:divBdr>
    </w:div>
    <w:div w:id="405499616">
      <w:bodyDiv w:val="1"/>
      <w:marLeft w:val="0"/>
      <w:marRight w:val="0"/>
      <w:marTop w:val="0"/>
      <w:marBottom w:val="0"/>
      <w:divBdr>
        <w:top w:val="none" w:sz="0" w:space="0" w:color="auto"/>
        <w:left w:val="none" w:sz="0" w:space="0" w:color="auto"/>
        <w:bottom w:val="none" w:sz="0" w:space="0" w:color="auto"/>
        <w:right w:val="none" w:sz="0" w:space="0" w:color="auto"/>
      </w:divBdr>
    </w:div>
    <w:div w:id="413480219">
      <w:bodyDiv w:val="1"/>
      <w:marLeft w:val="0"/>
      <w:marRight w:val="0"/>
      <w:marTop w:val="0"/>
      <w:marBottom w:val="0"/>
      <w:divBdr>
        <w:top w:val="none" w:sz="0" w:space="0" w:color="auto"/>
        <w:left w:val="none" w:sz="0" w:space="0" w:color="auto"/>
        <w:bottom w:val="none" w:sz="0" w:space="0" w:color="auto"/>
        <w:right w:val="none" w:sz="0" w:space="0" w:color="auto"/>
      </w:divBdr>
    </w:div>
    <w:div w:id="415639849">
      <w:bodyDiv w:val="1"/>
      <w:marLeft w:val="0"/>
      <w:marRight w:val="0"/>
      <w:marTop w:val="0"/>
      <w:marBottom w:val="0"/>
      <w:divBdr>
        <w:top w:val="none" w:sz="0" w:space="0" w:color="auto"/>
        <w:left w:val="none" w:sz="0" w:space="0" w:color="auto"/>
        <w:bottom w:val="none" w:sz="0" w:space="0" w:color="auto"/>
        <w:right w:val="none" w:sz="0" w:space="0" w:color="auto"/>
      </w:divBdr>
    </w:div>
    <w:div w:id="424571559">
      <w:bodyDiv w:val="1"/>
      <w:marLeft w:val="0"/>
      <w:marRight w:val="0"/>
      <w:marTop w:val="0"/>
      <w:marBottom w:val="0"/>
      <w:divBdr>
        <w:top w:val="none" w:sz="0" w:space="0" w:color="auto"/>
        <w:left w:val="none" w:sz="0" w:space="0" w:color="auto"/>
        <w:bottom w:val="none" w:sz="0" w:space="0" w:color="auto"/>
        <w:right w:val="none" w:sz="0" w:space="0" w:color="auto"/>
      </w:divBdr>
    </w:div>
    <w:div w:id="452947776">
      <w:bodyDiv w:val="1"/>
      <w:marLeft w:val="0"/>
      <w:marRight w:val="0"/>
      <w:marTop w:val="0"/>
      <w:marBottom w:val="0"/>
      <w:divBdr>
        <w:top w:val="none" w:sz="0" w:space="0" w:color="auto"/>
        <w:left w:val="none" w:sz="0" w:space="0" w:color="auto"/>
        <w:bottom w:val="none" w:sz="0" w:space="0" w:color="auto"/>
        <w:right w:val="none" w:sz="0" w:space="0" w:color="auto"/>
      </w:divBdr>
    </w:div>
    <w:div w:id="467555759">
      <w:bodyDiv w:val="1"/>
      <w:marLeft w:val="0"/>
      <w:marRight w:val="0"/>
      <w:marTop w:val="0"/>
      <w:marBottom w:val="0"/>
      <w:divBdr>
        <w:top w:val="none" w:sz="0" w:space="0" w:color="auto"/>
        <w:left w:val="none" w:sz="0" w:space="0" w:color="auto"/>
        <w:bottom w:val="none" w:sz="0" w:space="0" w:color="auto"/>
        <w:right w:val="none" w:sz="0" w:space="0" w:color="auto"/>
      </w:divBdr>
    </w:div>
    <w:div w:id="469252320">
      <w:bodyDiv w:val="1"/>
      <w:marLeft w:val="0"/>
      <w:marRight w:val="0"/>
      <w:marTop w:val="0"/>
      <w:marBottom w:val="0"/>
      <w:divBdr>
        <w:top w:val="none" w:sz="0" w:space="0" w:color="auto"/>
        <w:left w:val="none" w:sz="0" w:space="0" w:color="auto"/>
        <w:bottom w:val="none" w:sz="0" w:space="0" w:color="auto"/>
        <w:right w:val="none" w:sz="0" w:space="0" w:color="auto"/>
      </w:divBdr>
    </w:div>
    <w:div w:id="474687796">
      <w:bodyDiv w:val="1"/>
      <w:marLeft w:val="0"/>
      <w:marRight w:val="0"/>
      <w:marTop w:val="0"/>
      <w:marBottom w:val="0"/>
      <w:divBdr>
        <w:top w:val="none" w:sz="0" w:space="0" w:color="auto"/>
        <w:left w:val="none" w:sz="0" w:space="0" w:color="auto"/>
        <w:bottom w:val="none" w:sz="0" w:space="0" w:color="auto"/>
        <w:right w:val="none" w:sz="0" w:space="0" w:color="auto"/>
      </w:divBdr>
    </w:div>
    <w:div w:id="481506099">
      <w:bodyDiv w:val="1"/>
      <w:marLeft w:val="0"/>
      <w:marRight w:val="0"/>
      <w:marTop w:val="0"/>
      <w:marBottom w:val="0"/>
      <w:divBdr>
        <w:top w:val="none" w:sz="0" w:space="0" w:color="auto"/>
        <w:left w:val="none" w:sz="0" w:space="0" w:color="auto"/>
        <w:bottom w:val="none" w:sz="0" w:space="0" w:color="auto"/>
        <w:right w:val="none" w:sz="0" w:space="0" w:color="auto"/>
      </w:divBdr>
    </w:div>
    <w:div w:id="499004400">
      <w:bodyDiv w:val="1"/>
      <w:marLeft w:val="0"/>
      <w:marRight w:val="0"/>
      <w:marTop w:val="0"/>
      <w:marBottom w:val="0"/>
      <w:divBdr>
        <w:top w:val="none" w:sz="0" w:space="0" w:color="auto"/>
        <w:left w:val="none" w:sz="0" w:space="0" w:color="auto"/>
        <w:bottom w:val="none" w:sz="0" w:space="0" w:color="auto"/>
        <w:right w:val="none" w:sz="0" w:space="0" w:color="auto"/>
      </w:divBdr>
    </w:div>
    <w:div w:id="524297097">
      <w:bodyDiv w:val="1"/>
      <w:marLeft w:val="0"/>
      <w:marRight w:val="0"/>
      <w:marTop w:val="0"/>
      <w:marBottom w:val="0"/>
      <w:divBdr>
        <w:top w:val="none" w:sz="0" w:space="0" w:color="auto"/>
        <w:left w:val="none" w:sz="0" w:space="0" w:color="auto"/>
        <w:bottom w:val="none" w:sz="0" w:space="0" w:color="auto"/>
        <w:right w:val="none" w:sz="0" w:space="0" w:color="auto"/>
      </w:divBdr>
    </w:div>
    <w:div w:id="527059771">
      <w:bodyDiv w:val="1"/>
      <w:marLeft w:val="0"/>
      <w:marRight w:val="0"/>
      <w:marTop w:val="0"/>
      <w:marBottom w:val="0"/>
      <w:divBdr>
        <w:top w:val="none" w:sz="0" w:space="0" w:color="auto"/>
        <w:left w:val="none" w:sz="0" w:space="0" w:color="auto"/>
        <w:bottom w:val="none" w:sz="0" w:space="0" w:color="auto"/>
        <w:right w:val="none" w:sz="0" w:space="0" w:color="auto"/>
      </w:divBdr>
    </w:div>
    <w:div w:id="527452271">
      <w:bodyDiv w:val="1"/>
      <w:marLeft w:val="0"/>
      <w:marRight w:val="0"/>
      <w:marTop w:val="0"/>
      <w:marBottom w:val="0"/>
      <w:divBdr>
        <w:top w:val="none" w:sz="0" w:space="0" w:color="auto"/>
        <w:left w:val="none" w:sz="0" w:space="0" w:color="auto"/>
        <w:bottom w:val="none" w:sz="0" w:space="0" w:color="auto"/>
        <w:right w:val="none" w:sz="0" w:space="0" w:color="auto"/>
      </w:divBdr>
    </w:div>
    <w:div w:id="536043771">
      <w:bodyDiv w:val="1"/>
      <w:marLeft w:val="0"/>
      <w:marRight w:val="0"/>
      <w:marTop w:val="0"/>
      <w:marBottom w:val="0"/>
      <w:divBdr>
        <w:top w:val="none" w:sz="0" w:space="0" w:color="auto"/>
        <w:left w:val="none" w:sz="0" w:space="0" w:color="auto"/>
        <w:bottom w:val="none" w:sz="0" w:space="0" w:color="auto"/>
        <w:right w:val="none" w:sz="0" w:space="0" w:color="auto"/>
      </w:divBdr>
    </w:div>
    <w:div w:id="542061524">
      <w:bodyDiv w:val="1"/>
      <w:marLeft w:val="0"/>
      <w:marRight w:val="0"/>
      <w:marTop w:val="0"/>
      <w:marBottom w:val="0"/>
      <w:divBdr>
        <w:top w:val="none" w:sz="0" w:space="0" w:color="auto"/>
        <w:left w:val="none" w:sz="0" w:space="0" w:color="auto"/>
        <w:bottom w:val="none" w:sz="0" w:space="0" w:color="auto"/>
        <w:right w:val="none" w:sz="0" w:space="0" w:color="auto"/>
      </w:divBdr>
    </w:div>
    <w:div w:id="552501247">
      <w:bodyDiv w:val="1"/>
      <w:marLeft w:val="0"/>
      <w:marRight w:val="0"/>
      <w:marTop w:val="0"/>
      <w:marBottom w:val="0"/>
      <w:divBdr>
        <w:top w:val="none" w:sz="0" w:space="0" w:color="auto"/>
        <w:left w:val="none" w:sz="0" w:space="0" w:color="auto"/>
        <w:bottom w:val="none" w:sz="0" w:space="0" w:color="auto"/>
        <w:right w:val="none" w:sz="0" w:space="0" w:color="auto"/>
      </w:divBdr>
    </w:div>
    <w:div w:id="562643128">
      <w:bodyDiv w:val="1"/>
      <w:marLeft w:val="0"/>
      <w:marRight w:val="0"/>
      <w:marTop w:val="0"/>
      <w:marBottom w:val="0"/>
      <w:divBdr>
        <w:top w:val="none" w:sz="0" w:space="0" w:color="auto"/>
        <w:left w:val="none" w:sz="0" w:space="0" w:color="auto"/>
        <w:bottom w:val="none" w:sz="0" w:space="0" w:color="auto"/>
        <w:right w:val="none" w:sz="0" w:space="0" w:color="auto"/>
      </w:divBdr>
    </w:div>
    <w:div w:id="567761595">
      <w:bodyDiv w:val="1"/>
      <w:marLeft w:val="0"/>
      <w:marRight w:val="0"/>
      <w:marTop w:val="0"/>
      <w:marBottom w:val="0"/>
      <w:divBdr>
        <w:top w:val="none" w:sz="0" w:space="0" w:color="auto"/>
        <w:left w:val="none" w:sz="0" w:space="0" w:color="auto"/>
        <w:bottom w:val="none" w:sz="0" w:space="0" w:color="auto"/>
        <w:right w:val="none" w:sz="0" w:space="0" w:color="auto"/>
      </w:divBdr>
    </w:div>
    <w:div w:id="567806428">
      <w:bodyDiv w:val="1"/>
      <w:marLeft w:val="0"/>
      <w:marRight w:val="0"/>
      <w:marTop w:val="0"/>
      <w:marBottom w:val="0"/>
      <w:divBdr>
        <w:top w:val="none" w:sz="0" w:space="0" w:color="auto"/>
        <w:left w:val="none" w:sz="0" w:space="0" w:color="auto"/>
        <w:bottom w:val="none" w:sz="0" w:space="0" w:color="auto"/>
        <w:right w:val="none" w:sz="0" w:space="0" w:color="auto"/>
      </w:divBdr>
    </w:div>
    <w:div w:id="568854505">
      <w:bodyDiv w:val="1"/>
      <w:marLeft w:val="0"/>
      <w:marRight w:val="0"/>
      <w:marTop w:val="0"/>
      <w:marBottom w:val="0"/>
      <w:divBdr>
        <w:top w:val="none" w:sz="0" w:space="0" w:color="auto"/>
        <w:left w:val="none" w:sz="0" w:space="0" w:color="auto"/>
        <w:bottom w:val="none" w:sz="0" w:space="0" w:color="auto"/>
        <w:right w:val="none" w:sz="0" w:space="0" w:color="auto"/>
      </w:divBdr>
    </w:div>
    <w:div w:id="584651541">
      <w:bodyDiv w:val="1"/>
      <w:marLeft w:val="0"/>
      <w:marRight w:val="0"/>
      <w:marTop w:val="0"/>
      <w:marBottom w:val="0"/>
      <w:divBdr>
        <w:top w:val="none" w:sz="0" w:space="0" w:color="auto"/>
        <w:left w:val="none" w:sz="0" w:space="0" w:color="auto"/>
        <w:bottom w:val="none" w:sz="0" w:space="0" w:color="auto"/>
        <w:right w:val="none" w:sz="0" w:space="0" w:color="auto"/>
      </w:divBdr>
    </w:div>
    <w:div w:id="593585772">
      <w:bodyDiv w:val="1"/>
      <w:marLeft w:val="0"/>
      <w:marRight w:val="0"/>
      <w:marTop w:val="0"/>
      <w:marBottom w:val="0"/>
      <w:divBdr>
        <w:top w:val="none" w:sz="0" w:space="0" w:color="auto"/>
        <w:left w:val="none" w:sz="0" w:space="0" w:color="auto"/>
        <w:bottom w:val="none" w:sz="0" w:space="0" w:color="auto"/>
        <w:right w:val="none" w:sz="0" w:space="0" w:color="auto"/>
      </w:divBdr>
    </w:div>
    <w:div w:id="598752995">
      <w:bodyDiv w:val="1"/>
      <w:marLeft w:val="0"/>
      <w:marRight w:val="0"/>
      <w:marTop w:val="0"/>
      <w:marBottom w:val="0"/>
      <w:divBdr>
        <w:top w:val="none" w:sz="0" w:space="0" w:color="auto"/>
        <w:left w:val="none" w:sz="0" w:space="0" w:color="auto"/>
        <w:bottom w:val="none" w:sz="0" w:space="0" w:color="auto"/>
        <w:right w:val="none" w:sz="0" w:space="0" w:color="auto"/>
      </w:divBdr>
    </w:div>
    <w:div w:id="602957886">
      <w:bodyDiv w:val="1"/>
      <w:marLeft w:val="0"/>
      <w:marRight w:val="0"/>
      <w:marTop w:val="0"/>
      <w:marBottom w:val="0"/>
      <w:divBdr>
        <w:top w:val="none" w:sz="0" w:space="0" w:color="auto"/>
        <w:left w:val="none" w:sz="0" w:space="0" w:color="auto"/>
        <w:bottom w:val="none" w:sz="0" w:space="0" w:color="auto"/>
        <w:right w:val="none" w:sz="0" w:space="0" w:color="auto"/>
      </w:divBdr>
    </w:div>
    <w:div w:id="606617532">
      <w:bodyDiv w:val="1"/>
      <w:marLeft w:val="0"/>
      <w:marRight w:val="0"/>
      <w:marTop w:val="0"/>
      <w:marBottom w:val="0"/>
      <w:divBdr>
        <w:top w:val="none" w:sz="0" w:space="0" w:color="auto"/>
        <w:left w:val="none" w:sz="0" w:space="0" w:color="auto"/>
        <w:bottom w:val="none" w:sz="0" w:space="0" w:color="auto"/>
        <w:right w:val="none" w:sz="0" w:space="0" w:color="auto"/>
      </w:divBdr>
    </w:div>
    <w:div w:id="621807449">
      <w:bodyDiv w:val="1"/>
      <w:marLeft w:val="0"/>
      <w:marRight w:val="0"/>
      <w:marTop w:val="0"/>
      <w:marBottom w:val="0"/>
      <w:divBdr>
        <w:top w:val="none" w:sz="0" w:space="0" w:color="auto"/>
        <w:left w:val="none" w:sz="0" w:space="0" w:color="auto"/>
        <w:bottom w:val="none" w:sz="0" w:space="0" w:color="auto"/>
        <w:right w:val="none" w:sz="0" w:space="0" w:color="auto"/>
      </w:divBdr>
    </w:div>
    <w:div w:id="630015916">
      <w:bodyDiv w:val="1"/>
      <w:marLeft w:val="0"/>
      <w:marRight w:val="0"/>
      <w:marTop w:val="0"/>
      <w:marBottom w:val="0"/>
      <w:divBdr>
        <w:top w:val="none" w:sz="0" w:space="0" w:color="auto"/>
        <w:left w:val="none" w:sz="0" w:space="0" w:color="auto"/>
        <w:bottom w:val="none" w:sz="0" w:space="0" w:color="auto"/>
        <w:right w:val="none" w:sz="0" w:space="0" w:color="auto"/>
      </w:divBdr>
    </w:div>
    <w:div w:id="630719669">
      <w:bodyDiv w:val="1"/>
      <w:marLeft w:val="0"/>
      <w:marRight w:val="0"/>
      <w:marTop w:val="0"/>
      <w:marBottom w:val="0"/>
      <w:divBdr>
        <w:top w:val="none" w:sz="0" w:space="0" w:color="auto"/>
        <w:left w:val="none" w:sz="0" w:space="0" w:color="auto"/>
        <w:bottom w:val="none" w:sz="0" w:space="0" w:color="auto"/>
        <w:right w:val="none" w:sz="0" w:space="0" w:color="auto"/>
      </w:divBdr>
    </w:div>
    <w:div w:id="633750815">
      <w:bodyDiv w:val="1"/>
      <w:marLeft w:val="0"/>
      <w:marRight w:val="0"/>
      <w:marTop w:val="0"/>
      <w:marBottom w:val="0"/>
      <w:divBdr>
        <w:top w:val="none" w:sz="0" w:space="0" w:color="auto"/>
        <w:left w:val="none" w:sz="0" w:space="0" w:color="auto"/>
        <w:bottom w:val="none" w:sz="0" w:space="0" w:color="auto"/>
        <w:right w:val="none" w:sz="0" w:space="0" w:color="auto"/>
      </w:divBdr>
    </w:div>
    <w:div w:id="654846025">
      <w:bodyDiv w:val="1"/>
      <w:marLeft w:val="0"/>
      <w:marRight w:val="0"/>
      <w:marTop w:val="0"/>
      <w:marBottom w:val="0"/>
      <w:divBdr>
        <w:top w:val="none" w:sz="0" w:space="0" w:color="auto"/>
        <w:left w:val="none" w:sz="0" w:space="0" w:color="auto"/>
        <w:bottom w:val="none" w:sz="0" w:space="0" w:color="auto"/>
        <w:right w:val="none" w:sz="0" w:space="0" w:color="auto"/>
      </w:divBdr>
    </w:div>
    <w:div w:id="657000939">
      <w:bodyDiv w:val="1"/>
      <w:marLeft w:val="0"/>
      <w:marRight w:val="0"/>
      <w:marTop w:val="0"/>
      <w:marBottom w:val="0"/>
      <w:divBdr>
        <w:top w:val="none" w:sz="0" w:space="0" w:color="auto"/>
        <w:left w:val="none" w:sz="0" w:space="0" w:color="auto"/>
        <w:bottom w:val="none" w:sz="0" w:space="0" w:color="auto"/>
        <w:right w:val="none" w:sz="0" w:space="0" w:color="auto"/>
      </w:divBdr>
    </w:div>
    <w:div w:id="657609332">
      <w:bodyDiv w:val="1"/>
      <w:marLeft w:val="0"/>
      <w:marRight w:val="0"/>
      <w:marTop w:val="0"/>
      <w:marBottom w:val="0"/>
      <w:divBdr>
        <w:top w:val="none" w:sz="0" w:space="0" w:color="auto"/>
        <w:left w:val="none" w:sz="0" w:space="0" w:color="auto"/>
        <w:bottom w:val="none" w:sz="0" w:space="0" w:color="auto"/>
        <w:right w:val="none" w:sz="0" w:space="0" w:color="auto"/>
      </w:divBdr>
    </w:div>
    <w:div w:id="691224081">
      <w:bodyDiv w:val="1"/>
      <w:marLeft w:val="0"/>
      <w:marRight w:val="0"/>
      <w:marTop w:val="0"/>
      <w:marBottom w:val="0"/>
      <w:divBdr>
        <w:top w:val="none" w:sz="0" w:space="0" w:color="auto"/>
        <w:left w:val="none" w:sz="0" w:space="0" w:color="auto"/>
        <w:bottom w:val="none" w:sz="0" w:space="0" w:color="auto"/>
        <w:right w:val="none" w:sz="0" w:space="0" w:color="auto"/>
      </w:divBdr>
    </w:div>
    <w:div w:id="697585724">
      <w:bodyDiv w:val="1"/>
      <w:marLeft w:val="0"/>
      <w:marRight w:val="0"/>
      <w:marTop w:val="0"/>
      <w:marBottom w:val="0"/>
      <w:divBdr>
        <w:top w:val="none" w:sz="0" w:space="0" w:color="auto"/>
        <w:left w:val="none" w:sz="0" w:space="0" w:color="auto"/>
        <w:bottom w:val="none" w:sz="0" w:space="0" w:color="auto"/>
        <w:right w:val="none" w:sz="0" w:space="0" w:color="auto"/>
      </w:divBdr>
    </w:div>
    <w:div w:id="707145921">
      <w:bodyDiv w:val="1"/>
      <w:marLeft w:val="0"/>
      <w:marRight w:val="0"/>
      <w:marTop w:val="0"/>
      <w:marBottom w:val="0"/>
      <w:divBdr>
        <w:top w:val="none" w:sz="0" w:space="0" w:color="auto"/>
        <w:left w:val="none" w:sz="0" w:space="0" w:color="auto"/>
        <w:bottom w:val="none" w:sz="0" w:space="0" w:color="auto"/>
        <w:right w:val="none" w:sz="0" w:space="0" w:color="auto"/>
      </w:divBdr>
    </w:div>
    <w:div w:id="723212534">
      <w:bodyDiv w:val="1"/>
      <w:marLeft w:val="0"/>
      <w:marRight w:val="0"/>
      <w:marTop w:val="0"/>
      <w:marBottom w:val="0"/>
      <w:divBdr>
        <w:top w:val="none" w:sz="0" w:space="0" w:color="auto"/>
        <w:left w:val="none" w:sz="0" w:space="0" w:color="auto"/>
        <w:bottom w:val="none" w:sz="0" w:space="0" w:color="auto"/>
        <w:right w:val="none" w:sz="0" w:space="0" w:color="auto"/>
      </w:divBdr>
    </w:div>
    <w:div w:id="726414158">
      <w:bodyDiv w:val="1"/>
      <w:marLeft w:val="0"/>
      <w:marRight w:val="0"/>
      <w:marTop w:val="0"/>
      <w:marBottom w:val="0"/>
      <w:divBdr>
        <w:top w:val="none" w:sz="0" w:space="0" w:color="auto"/>
        <w:left w:val="none" w:sz="0" w:space="0" w:color="auto"/>
        <w:bottom w:val="none" w:sz="0" w:space="0" w:color="auto"/>
        <w:right w:val="none" w:sz="0" w:space="0" w:color="auto"/>
      </w:divBdr>
    </w:div>
    <w:div w:id="743335644">
      <w:bodyDiv w:val="1"/>
      <w:marLeft w:val="0"/>
      <w:marRight w:val="0"/>
      <w:marTop w:val="0"/>
      <w:marBottom w:val="0"/>
      <w:divBdr>
        <w:top w:val="none" w:sz="0" w:space="0" w:color="auto"/>
        <w:left w:val="none" w:sz="0" w:space="0" w:color="auto"/>
        <w:bottom w:val="none" w:sz="0" w:space="0" w:color="auto"/>
        <w:right w:val="none" w:sz="0" w:space="0" w:color="auto"/>
      </w:divBdr>
    </w:div>
    <w:div w:id="745226313">
      <w:bodyDiv w:val="1"/>
      <w:marLeft w:val="0"/>
      <w:marRight w:val="0"/>
      <w:marTop w:val="0"/>
      <w:marBottom w:val="0"/>
      <w:divBdr>
        <w:top w:val="none" w:sz="0" w:space="0" w:color="auto"/>
        <w:left w:val="none" w:sz="0" w:space="0" w:color="auto"/>
        <w:bottom w:val="none" w:sz="0" w:space="0" w:color="auto"/>
        <w:right w:val="none" w:sz="0" w:space="0" w:color="auto"/>
      </w:divBdr>
    </w:div>
    <w:div w:id="748581161">
      <w:bodyDiv w:val="1"/>
      <w:marLeft w:val="0"/>
      <w:marRight w:val="0"/>
      <w:marTop w:val="0"/>
      <w:marBottom w:val="0"/>
      <w:divBdr>
        <w:top w:val="none" w:sz="0" w:space="0" w:color="auto"/>
        <w:left w:val="none" w:sz="0" w:space="0" w:color="auto"/>
        <w:bottom w:val="none" w:sz="0" w:space="0" w:color="auto"/>
        <w:right w:val="none" w:sz="0" w:space="0" w:color="auto"/>
      </w:divBdr>
    </w:div>
    <w:div w:id="763233144">
      <w:bodyDiv w:val="1"/>
      <w:marLeft w:val="0"/>
      <w:marRight w:val="0"/>
      <w:marTop w:val="0"/>
      <w:marBottom w:val="0"/>
      <w:divBdr>
        <w:top w:val="none" w:sz="0" w:space="0" w:color="auto"/>
        <w:left w:val="none" w:sz="0" w:space="0" w:color="auto"/>
        <w:bottom w:val="none" w:sz="0" w:space="0" w:color="auto"/>
        <w:right w:val="none" w:sz="0" w:space="0" w:color="auto"/>
      </w:divBdr>
    </w:div>
    <w:div w:id="774714528">
      <w:bodyDiv w:val="1"/>
      <w:marLeft w:val="0"/>
      <w:marRight w:val="0"/>
      <w:marTop w:val="0"/>
      <w:marBottom w:val="0"/>
      <w:divBdr>
        <w:top w:val="none" w:sz="0" w:space="0" w:color="auto"/>
        <w:left w:val="none" w:sz="0" w:space="0" w:color="auto"/>
        <w:bottom w:val="none" w:sz="0" w:space="0" w:color="auto"/>
        <w:right w:val="none" w:sz="0" w:space="0" w:color="auto"/>
      </w:divBdr>
    </w:div>
    <w:div w:id="782114288">
      <w:bodyDiv w:val="1"/>
      <w:marLeft w:val="0"/>
      <w:marRight w:val="0"/>
      <w:marTop w:val="0"/>
      <w:marBottom w:val="0"/>
      <w:divBdr>
        <w:top w:val="none" w:sz="0" w:space="0" w:color="auto"/>
        <w:left w:val="none" w:sz="0" w:space="0" w:color="auto"/>
        <w:bottom w:val="none" w:sz="0" w:space="0" w:color="auto"/>
        <w:right w:val="none" w:sz="0" w:space="0" w:color="auto"/>
      </w:divBdr>
    </w:div>
    <w:div w:id="811558550">
      <w:bodyDiv w:val="1"/>
      <w:marLeft w:val="0"/>
      <w:marRight w:val="0"/>
      <w:marTop w:val="0"/>
      <w:marBottom w:val="0"/>
      <w:divBdr>
        <w:top w:val="none" w:sz="0" w:space="0" w:color="auto"/>
        <w:left w:val="none" w:sz="0" w:space="0" w:color="auto"/>
        <w:bottom w:val="none" w:sz="0" w:space="0" w:color="auto"/>
        <w:right w:val="none" w:sz="0" w:space="0" w:color="auto"/>
      </w:divBdr>
    </w:div>
    <w:div w:id="818570207">
      <w:bodyDiv w:val="1"/>
      <w:marLeft w:val="0"/>
      <w:marRight w:val="0"/>
      <w:marTop w:val="0"/>
      <w:marBottom w:val="0"/>
      <w:divBdr>
        <w:top w:val="none" w:sz="0" w:space="0" w:color="auto"/>
        <w:left w:val="none" w:sz="0" w:space="0" w:color="auto"/>
        <w:bottom w:val="none" w:sz="0" w:space="0" w:color="auto"/>
        <w:right w:val="none" w:sz="0" w:space="0" w:color="auto"/>
      </w:divBdr>
    </w:div>
    <w:div w:id="849099880">
      <w:bodyDiv w:val="1"/>
      <w:marLeft w:val="0"/>
      <w:marRight w:val="0"/>
      <w:marTop w:val="0"/>
      <w:marBottom w:val="0"/>
      <w:divBdr>
        <w:top w:val="none" w:sz="0" w:space="0" w:color="auto"/>
        <w:left w:val="none" w:sz="0" w:space="0" w:color="auto"/>
        <w:bottom w:val="none" w:sz="0" w:space="0" w:color="auto"/>
        <w:right w:val="none" w:sz="0" w:space="0" w:color="auto"/>
      </w:divBdr>
    </w:div>
    <w:div w:id="853155919">
      <w:bodyDiv w:val="1"/>
      <w:marLeft w:val="0"/>
      <w:marRight w:val="0"/>
      <w:marTop w:val="0"/>
      <w:marBottom w:val="0"/>
      <w:divBdr>
        <w:top w:val="none" w:sz="0" w:space="0" w:color="auto"/>
        <w:left w:val="none" w:sz="0" w:space="0" w:color="auto"/>
        <w:bottom w:val="none" w:sz="0" w:space="0" w:color="auto"/>
        <w:right w:val="none" w:sz="0" w:space="0" w:color="auto"/>
      </w:divBdr>
    </w:div>
    <w:div w:id="859466513">
      <w:bodyDiv w:val="1"/>
      <w:marLeft w:val="0"/>
      <w:marRight w:val="0"/>
      <w:marTop w:val="0"/>
      <w:marBottom w:val="0"/>
      <w:divBdr>
        <w:top w:val="none" w:sz="0" w:space="0" w:color="auto"/>
        <w:left w:val="none" w:sz="0" w:space="0" w:color="auto"/>
        <w:bottom w:val="none" w:sz="0" w:space="0" w:color="auto"/>
        <w:right w:val="none" w:sz="0" w:space="0" w:color="auto"/>
      </w:divBdr>
    </w:div>
    <w:div w:id="865600049">
      <w:bodyDiv w:val="1"/>
      <w:marLeft w:val="0"/>
      <w:marRight w:val="0"/>
      <w:marTop w:val="0"/>
      <w:marBottom w:val="0"/>
      <w:divBdr>
        <w:top w:val="none" w:sz="0" w:space="0" w:color="auto"/>
        <w:left w:val="none" w:sz="0" w:space="0" w:color="auto"/>
        <w:bottom w:val="none" w:sz="0" w:space="0" w:color="auto"/>
        <w:right w:val="none" w:sz="0" w:space="0" w:color="auto"/>
      </w:divBdr>
    </w:div>
    <w:div w:id="866798578">
      <w:bodyDiv w:val="1"/>
      <w:marLeft w:val="0"/>
      <w:marRight w:val="0"/>
      <w:marTop w:val="0"/>
      <w:marBottom w:val="0"/>
      <w:divBdr>
        <w:top w:val="none" w:sz="0" w:space="0" w:color="auto"/>
        <w:left w:val="none" w:sz="0" w:space="0" w:color="auto"/>
        <w:bottom w:val="none" w:sz="0" w:space="0" w:color="auto"/>
        <w:right w:val="none" w:sz="0" w:space="0" w:color="auto"/>
      </w:divBdr>
    </w:div>
    <w:div w:id="871261351">
      <w:bodyDiv w:val="1"/>
      <w:marLeft w:val="0"/>
      <w:marRight w:val="0"/>
      <w:marTop w:val="0"/>
      <w:marBottom w:val="0"/>
      <w:divBdr>
        <w:top w:val="none" w:sz="0" w:space="0" w:color="auto"/>
        <w:left w:val="none" w:sz="0" w:space="0" w:color="auto"/>
        <w:bottom w:val="none" w:sz="0" w:space="0" w:color="auto"/>
        <w:right w:val="none" w:sz="0" w:space="0" w:color="auto"/>
      </w:divBdr>
    </w:div>
    <w:div w:id="880752901">
      <w:bodyDiv w:val="1"/>
      <w:marLeft w:val="0"/>
      <w:marRight w:val="0"/>
      <w:marTop w:val="0"/>
      <w:marBottom w:val="0"/>
      <w:divBdr>
        <w:top w:val="none" w:sz="0" w:space="0" w:color="auto"/>
        <w:left w:val="none" w:sz="0" w:space="0" w:color="auto"/>
        <w:bottom w:val="none" w:sz="0" w:space="0" w:color="auto"/>
        <w:right w:val="none" w:sz="0" w:space="0" w:color="auto"/>
      </w:divBdr>
    </w:div>
    <w:div w:id="881747853">
      <w:bodyDiv w:val="1"/>
      <w:marLeft w:val="0"/>
      <w:marRight w:val="0"/>
      <w:marTop w:val="0"/>
      <w:marBottom w:val="0"/>
      <w:divBdr>
        <w:top w:val="none" w:sz="0" w:space="0" w:color="auto"/>
        <w:left w:val="none" w:sz="0" w:space="0" w:color="auto"/>
        <w:bottom w:val="none" w:sz="0" w:space="0" w:color="auto"/>
        <w:right w:val="none" w:sz="0" w:space="0" w:color="auto"/>
      </w:divBdr>
    </w:div>
    <w:div w:id="886529865">
      <w:bodyDiv w:val="1"/>
      <w:marLeft w:val="0"/>
      <w:marRight w:val="0"/>
      <w:marTop w:val="0"/>
      <w:marBottom w:val="0"/>
      <w:divBdr>
        <w:top w:val="none" w:sz="0" w:space="0" w:color="auto"/>
        <w:left w:val="none" w:sz="0" w:space="0" w:color="auto"/>
        <w:bottom w:val="none" w:sz="0" w:space="0" w:color="auto"/>
        <w:right w:val="none" w:sz="0" w:space="0" w:color="auto"/>
      </w:divBdr>
    </w:div>
    <w:div w:id="886842903">
      <w:bodyDiv w:val="1"/>
      <w:marLeft w:val="0"/>
      <w:marRight w:val="0"/>
      <w:marTop w:val="0"/>
      <w:marBottom w:val="0"/>
      <w:divBdr>
        <w:top w:val="none" w:sz="0" w:space="0" w:color="auto"/>
        <w:left w:val="none" w:sz="0" w:space="0" w:color="auto"/>
        <w:bottom w:val="none" w:sz="0" w:space="0" w:color="auto"/>
        <w:right w:val="none" w:sz="0" w:space="0" w:color="auto"/>
      </w:divBdr>
    </w:div>
    <w:div w:id="894589621">
      <w:bodyDiv w:val="1"/>
      <w:marLeft w:val="0"/>
      <w:marRight w:val="0"/>
      <w:marTop w:val="0"/>
      <w:marBottom w:val="0"/>
      <w:divBdr>
        <w:top w:val="none" w:sz="0" w:space="0" w:color="auto"/>
        <w:left w:val="none" w:sz="0" w:space="0" w:color="auto"/>
        <w:bottom w:val="none" w:sz="0" w:space="0" w:color="auto"/>
        <w:right w:val="none" w:sz="0" w:space="0" w:color="auto"/>
      </w:divBdr>
    </w:div>
    <w:div w:id="906499194">
      <w:bodyDiv w:val="1"/>
      <w:marLeft w:val="0"/>
      <w:marRight w:val="0"/>
      <w:marTop w:val="0"/>
      <w:marBottom w:val="0"/>
      <w:divBdr>
        <w:top w:val="none" w:sz="0" w:space="0" w:color="auto"/>
        <w:left w:val="none" w:sz="0" w:space="0" w:color="auto"/>
        <w:bottom w:val="none" w:sz="0" w:space="0" w:color="auto"/>
        <w:right w:val="none" w:sz="0" w:space="0" w:color="auto"/>
      </w:divBdr>
    </w:div>
    <w:div w:id="913123982">
      <w:bodyDiv w:val="1"/>
      <w:marLeft w:val="0"/>
      <w:marRight w:val="0"/>
      <w:marTop w:val="0"/>
      <w:marBottom w:val="0"/>
      <w:divBdr>
        <w:top w:val="none" w:sz="0" w:space="0" w:color="auto"/>
        <w:left w:val="none" w:sz="0" w:space="0" w:color="auto"/>
        <w:bottom w:val="none" w:sz="0" w:space="0" w:color="auto"/>
        <w:right w:val="none" w:sz="0" w:space="0" w:color="auto"/>
      </w:divBdr>
    </w:div>
    <w:div w:id="924529874">
      <w:bodyDiv w:val="1"/>
      <w:marLeft w:val="0"/>
      <w:marRight w:val="0"/>
      <w:marTop w:val="0"/>
      <w:marBottom w:val="0"/>
      <w:divBdr>
        <w:top w:val="none" w:sz="0" w:space="0" w:color="auto"/>
        <w:left w:val="none" w:sz="0" w:space="0" w:color="auto"/>
        <w:bottom w:val="none" w:sz="0" w:space="0" w:color="auto"/>
        <w:right w:val="none" w:sz="0" w:space="0" w:color="auto"/>
      </w:divBdr>
    </w:div>
    <w:div w:id="930091305">
      <w:bodyDiv w:val="1"/>
      <w:marLeft w:val="0"/>
      <w:marRight w:val="0"/>
      <w:marTop w:val="0"/>
      <w:marBottom w:val="0"/>
      <w:divBdr>
        <w:top w:val="none" w:sz="0" w:space="0" w:color="auto"/>
        <w:left w:val="none" w:sz="0" w:space="0" w:color="auto"/>
        <w:bottom w:val="none" w:sz="0" w:space="0" w:color="auto"/>
        <w:right w:val="none" w:sz="0" w:space="0" w:color="auto"/>
      </w:divBdr>
    </w:div>
    <w:div w:id="930165096">
      <w:bodyDiv w:val="1"/>
      <w:marLeft w:val="0"/>
      <w:marRight w:val="0"/>
      <w:marTop w:val="0"/>
      <w:marBottom w:val="0"/>
      <w:divBdr>
        <w:top w:val="none" w:sz="0" w:space="0" w:color="auto"/>
        <w:left w:val="none" w:sz="0" w:space="0" w:color="auto"/>
        <w:bottom w:val="none" w:sz="0" w:space="0" w:color="auto"/>
        <w:right w:val="none" w:sz="0" w:space="0" w:color="auto"/>
      </w:divBdr>
    </w:div>
    <w:div w:id="931936232">
      <w:bodyDiv w:val="1"/>
      <w:marLeft w:val="0"/>
      <w:marRight w:val="0"/>
      <w:marTop w:val="0"/>
      <w:marBottom w:val="0"/>
      <w:divBdr>
        <w:top w:val="none" w:sz="0" w:space="0" w:color="auto"/>
        <w:left w:val="none" w:sz="0" w:space="0" w:color="auto"/>
        <w:bottom w:val="none" w:sz="0" w:space="0" w:color="auto"/>
        <w:right w:val="none" w:sz="0" w:space="0" w:color="auto"/>
      </w:divBdr>
    </w:div>
    <w:div w:id="935211288">
      <w:bodyDiv w:val="1"/>
      <w:marLeft w:val="0"/>
      <w:marRight w:val="0"/>
      <w:marTop w:val="0"/>
      <w:marBottom w:val="0"/>
      <w:divBdr>
        <w:top w:val="none" w:sz="0" w:space="0" w:color="auto"/>
        <w:left w:val="none" w:sz="0" w:space="0" w:color="auto"/>
        <w:bottom w:val="none" w:sz="0" w:space="0" w:color="auto"/>
        <w:right w:val="none" w:sz="0" w:space="0" w:color="auto"/>
      </w:divBdr>
    </w:div>
    <w:div w:id="962882941">
      <w:bodyDiv w:val="1"/>
      <w:marLeft w:val="0"/>
      <w:marRight w:val="0"/>
      <w:marTop w:val="0"/>
      <w:marBottom w:val="0"/>
      <w:divBdr>
        <w:top w:val="none" w:sz="0" w:space="0" w:color="auto"/>
        <w:left w:val="none" w:sz="0" w:space="0" w:color="auto"/>
        <w:bottom w:val="none" w:sz="0" w:space="0" w:color="auto"/>
        <w:right w:val="none" w:sz="0" w:space="0" w:color="auto"/>
      </w:divBdr>
    </w:div>
    <w:div w:id="972445491">
      <w:bodyDiv w:val="1"/>
      <w:marLeft w:val="0"/>
      <w:marRight w:val="0"/>
      <w:marTop w:val="0"/>
      <w:marBottom w:val="0"/>
      <w:divBdr>
        <w:top w:val="none" w:sz="0" w:space="0" w:color="auto"/>
        <w:left w:val="none" w:sz="0" w:space="0" w:color="auto"/>
        <w:bottom w:val="none" w:sz="0" w:space="0" w:color="auto"/>
        <w:right w:val="none" w:sz="0" w:space="0" w:color="auto"/>
      </w:divBdr>
    </w:div>
    <w:div w:id="981154975">
      <w:bodyDiv w:val="1"/>
      <w:marLeft w:val="0"/>
      <w:marRight w:val="0"/>
      <w:marTop w:val="0"/>
      <w:marBottom w:val="0"/>
      <w:divBdr>
        <w:top w:val="none" w:sz="0" w:space="0" w:color="auto"/>
        <w:left w:val="none" w:sz="0" w:space="0" w:color="auto"/>
        <w:bottom w:val="none" w:sz="0" w:space="0" w:color="auto"/>
        <w:right w:val="none" w:sz="0" w:space="0" w:color="auto"/>
      </w:divBdr>
    </w:div>
    <w:div w:id="988557927">
      <w:bodyDiv w:val="1"/>
      <w:marLeft w:val="0"/>
      <w:marRight w:val="0"/>
      <w:marTop w:val="0"/>
      <w:marBottom w:val="0"/>
      <w:divBdr>
        <w:top w:val="none" w:sz="0" w:space="0" w:color="auto"/>
        <w:left w:val="none" w:sz="0" w:space="0" w:color="auto"/>
        <w:bottom w:val="none" w:sz="0" w:space="0" w:color="auto"/>
        <w:right w:val="none" w:sz="0" w:space="0" w:color="auto"/>
      </w:divBdr>
    </w:div>
    <w:div w:id="993726114">
      <w:bodyDiv w:val="1"/>
      <w:marLeft w:val="0"/>
      <w:marRight w:val="0"/>
      <w:marTop w:val="0"/>
      <w:marBottom w:val="0"/>
      <w:divBdr>
        <w:top w:val="none" w:sz="0" w:space="0" w:color="auto"/>
        <w:left w:val="none" w:sz="0" w:space="0" w:color="auto"/>
        <w:bottom w:val="none" w:sz="0" w:space="0" w:color="auto"/>
        <w:right w:val="none" w:sz="0" w:space="0" w:color="auto"/>
      </w:divBdr>
    </w:div>
    <w:div w:id="1002704714">
      <w:bodyDiv w:val="1"/>
      <w:marLeft w:val="0"/>
      <w:marRight w:val="0"/>
      <w:marTop w:val="0"/>
      <w:marBottom w:val="0"/>
      <w:divBdr>
        <w:top w:val="none" w:sz="0" w:space="0" w:color="auto"/>
        <w:left w:val="none" w:sz="0" w:space="0" w:color="auto"/>
        <w:bottom w:val="none" w:sz="0" w:space="0" w:color="auto"/>
        <w:right w:val="none" w:sz="0" w:space="0" w:color="auto"/>
      </w:divBdr>
    </w:div>
    <w:div w:id="1004089364">
      <w:bodyDiv w:val="1"/>
      <w:marLeft w:val="0"/>
      <w:marRight w:val="0"/>
      <w:marTop w:val="0"/>
      <w:marBottom w:val="0"/>
      <w:divBdr>
        <w:top w:val="none" w:sz="0" w:space="0" w:color="auto"/>
        <w:left w:val="none" w:sz="0" w:space="0" w:color="auto"/>
        <w:bottom w:val="none" w:sz="0" w:space="0" w:color="auto"/>
        <w:right w:val="none" w:sz="0" w:space="0" w:color="auto"/>
      </w:divBdr>
    </w:div>
    <w:div w:id="1033506565">
      <w:bodyDiv w:val="1"/>
      <w:marLeft w:val="0"/>
      <w:marRight w:val="0"/>
      <w:marTop w:val="0"/>
      <w:marBottom w:val="0"/>
      <w:divBdr>
        <w:top w:val="none" w:sz="0" w:space="0" w:color="auto"/>
        <w:left w:val="none" w:sz="0" w:space="0" w:color="auto"/>
        <w:bottom w:val="none" w:sz="0" w:space="0" w:color="auto"/>
        <w:right w:val="none" w:sz="0" w:space="0" w:color="auto"/>
      </w:divBdr>
    </w:div>
    <w:div w:id="1036001932">
      <w:bodyDiv w:val="1"/>
      <w:marLeft w:val="0"/>
      <w:marRight w:val="0"/>
      <w:marTop w:val="0"/>
      <w:marBottom w:val="0"/>
      <w:divBdr>
        <w:top w:val="none" w:sz="0" w:space="0" w:color="auto"/>
        <w:left w:val="none" w:sz="0" w:space="0" w:color="auto"/>
        <w:bottom w:val="none" w:sz="0" w:space="0" w:color="auto"/>
        <w:right w:val="none" w:sz="0" w:space="0" w:color="auto"/>
      </w:divBdr>
    </w:div>
    <w:div w:id="1038047437">
      <w:bodyDiv w:val="1"/>
      <w:marLeft w:val="0"/>
      <w:marRight w:val="0"/>
      <w:marTop w:val="0"/>
      <w:marBottom w:val="0"/>
      <w:divBdr>
        <w:top w:val="none" w:sz="0" w:space="0" w:color="auto"/>
        <w:left w:val="none" w:sz="0" w:space="0" w:color="auto"/>
        <w:bottom w:val="none" w:sz="0" w:space="0" w:color="auto"/>
        <w:right w:val="none" w:sz="0" w:space="0" w:color="auto"/>
      </w:divBdr>
    </w:div>
    <w:div w:id="1041126574">
      <w:bodyDiv w:val="1"/>
      <w:marLeft w:val="0"/>
      <w:marRight w:val="0"/>
      <w:marTop w:val="0"/>
      <w:marBottom w:val="0"/>
      <w:divBdr>
        <w:top w:val="none" w:sz="0" w:space="0" w:color="auto"/>
        <w:left w:val="none" w:sz="0" w:space="0" w:color="auto"/>
        <w:bottom w:val="none" w:sz="0" w:space="0" w:color="auto"/>
        <w:right w:val="none" w:sz="0" w:space="0" w:color="auto"/>
      </w:divBdr>
    </w:div>
    <w:div w:id="1053042432">
      <w:bodyDiv w:val="1"/>
      <w:marLeft w:val="0"/>
      <w:marRight w:val="0"/>
      <w:marTop w:val="0"/>
      <w:marBottom w:val="0"/>
      <w:divBdr>
        <w:top w:val="none" w:sz="0" w:space="0" w:color="auto"/>
        <w:left w:val="none" w:sz="0" w:space="0" w:color="auto"/>
        <w:bottom w:val="none" w:sz="0" w:space="0" w:color="auto"/>
        <w:right w:val="none" w:sz="0" w:space="0" w:color="auto"/>
      </w:divBdr>
    </w:div>
    <w:div w:id="1072317491">
      <w:bodyDiv w:val="1"/>
      <w:marLeft w:val="0"/>
      <w:marRight w:val="0"/>
      <w:marTop w:val="0"/>
      <w:marBottom w:val="0"/>
      <w:divBdr>
        <w:top w:val="none" w:sz="0" w:space="0" w:color="auto"/>
        <w:left w:val="none" w:sz="0" w:space="0" w:color="auto"/>
        <w:bottom w:val="none" w:sz="0" w:space="0" w:color="auto"/>
        <w:right w:val="none" w:sz="0" w:space="0" w:color="auto"/>
      </w:divBdr>
    </w:div>
    <w:div w:id="1073158945">
      <w:bodyDiv w:val="1"/>
      <w:marLeft w:val="0"/>
      <w:marRight w:val="0"/>
      <w:marTop w:val="0"/>
      <w:marBottom w:val="0"/>
      <w:divBdr>
        <w:top w:val="none" w:sz="0" w:space="0" w:color="auto"/>
        <w:left w:val="none" w:sz="0" w:space="0" w:color="auto"/>
        <w:bottom w:val="none" w:sz="0" w:space="0" w:color="auto"/>
        <w:right w:val="none" w:sz="0" w:space="0" w:color="auto"/>
      </w:divBdr>
    </w:div>
    <w:div w:id="1078673253">
      <w:bodyDiv w:val="1"/>
      <w:marLeft w:val="0"/>
      <w:marRight w:val="0"/>
      <w:marTop w:val="0"/>
      <w:marBottom w:val="0"/>
      <w:divBdr>
        <w:top w:val="none" w:sz="0" w:space="0" w:color="auto"/>
        <w:left w:val="none" w:sz="0" w:space="0" w:color="auto"/>
        <w:bottom w:val="none" w:sz="0" w:space="0" w:color="auto"/>
        <w:right w:val="none" w:sz="0" w:space="0" w:color="auto"/>
      </w:divBdr>
    </w:div>
    <w:div w:id="1084109937">
      <w:bodyDiv w:val="1"/>
      <w:marLeft w:val="0"/>
      <w:marRight w:val="0"/>
      <w:marTop w:val="0"/>
      <w:marBottom w:val="0"/>
      <w:divBdr>
        <w:top w:val="none" w:sz="0" w:space="0" w:color="auto"/>
        <w:left w:val="none" w:sz="0" w:space="0" w:color="auto"/>
        <w:bottom w:val="none" w:sz="0" w:space="0" w:color="auto"/>
        <w:right w:val="none" w:sz="0" w:space="0" w:color="auto"/>
      </w:divBdr>
    </w:div>
    <w:div w:id="1084493868">
      <w:bodyDiv w:val="1"/>
      <w:marLeft w:val="0"/>
      <w:marRight w:val="0"/>
      <w:marTop w:val="0"/>
      <w:marBottom w:val="0"/>
      <w:divBdr>
        <w:top w:val="none" w:sz="0" w:space="0" w:color="auto"/>
        <w:left w:val="none" w:sz="0" w:space="0" w:color="auto"/>
        <w:bottom w:val="none" w:sz="0" w:space="0" w:color="auto"/>
        <w:right w:val="none" w:sz="0" w:space="0" w:color="auto"/>
      </w:divBdr>
    </w:div>
    <w:div w:id="1116876432">
      <w:bodyDiv w:val="1"/>
      <w:marLeft w:val="0"/>
      <w:marRight w:val="0"/>
      <w:marTop w:val="0"/>
      <w:marBottom w:val="0"/>
      <w:divBdr>
        <w:top w:val="none" w:sz="0" w:space="0" w:color="auto"/>
        <w:left w:val="none" w:sz="0" w:space="0" w:color="auto"/>
        <w:bottom w:val="none" w:sz="0" w:space="0" w:color="auto"/>
        <w:right w:val="none" w:sz="0" w:space="0" w:color="auto"/>
      </w:divBdr>
    </w:div>
    <w:div w:id="1121459353">
      <w:bodyDiv w:val="1"/>
      <w:marLeft w:val="0"/>
      <w:marRight w:val="0"/>
      <w:marTop w:val="0"/>
      <w:marBottom w:val="0"/>
      <w:divBdr>
        <w:top w:val="none" w:sz="0" w:space="0" w:color="auto"/>
        <w:left w:val="none" w:sz="0" w:space="0" w:color="auto"/>
        <w:bottom w:val="none" w:sz="0" w:space="0" w:color="auto"/>
        <w:right w:val="none" w:sz="0" w:space="0" w:color="auto"/>
      </w:divBdr>
    </w:div>
    <w:div w:id="1160460961">
      <w:bodyDiv w:val="1"/>
      <w:marLeft w:val="0"/>
      <w:marRight w:val="0"/>
      <w:marTop w:val="0"/>
      <w:marBottom w:val="0"/>
      <w:divBdr>
        <w:top w:val="none" w:sz="0" w:space="0" w:color="auto"/>
        <w:left w:val="none" w:sz="0" w:space="0" w:color="auto"/>
        <w:bottom w:val="none" w:sz="0" w:space="0" w:color="auto"/>
        <w:right w:val="none" w:sz="0" w:space="0" w:color="auto"/>
      </w:divBdr>
    </w:div>
    <w:div w:id="1160997156">
      <w:bodyDiv w:val="1"/>
      <w:marLeft w:val="0"/>
      <w:marRight w:val="0"/>
      <w:marTop w:val="0"/>
      <w:marBottom w:val="0"/>
      <w:divBdr>
        <w:top w:val="none" w:sz="0" w:space="0" w:color="auto"/>
        <w:left w:val="none" w:sz="0" w:space="0" w:color="auto"/>
        <w:bottom w:val="none" w:sz="0" w:space="0" w:color="auto"/>
        <w:right w:val="none" w:sz="0" w:space="0" w:color="auto"/>
      </w:divBdr>
    </w:div>
    <w:div w:id="1169710413">
      <w:bodyDiv w:val="1"/>
      <w:marLeft w:val="0"/>
      <w:marRight w:val="0"/>
      <w:marTop w:val="0"/>
      <w:marBottom w:val="0"/>
      <w:divBdr>
        <w:top w:val="none" w:sz="0" w:space="0" w:color="auto"/>
        <w:left w:val="none" w:sz="0" w:space="0" w:color="auto"/>
        <w:bottom w:val="none" w:sz="0" w:space="0" w:color="auto"/>
        <w:right w:val="none" w:sz="0" w:space="0" w:color="auto"/>
      </w:divBdr>
    </w:div>
    <w:div w:id="1176457123">
      <w:bodyDiv w:val="1"/>
      <w:marLeft w:val="0"/>
      <w:marRight w:val="0"/>
      <w:marTop w:val="0"/>
      <w:marBottom w:val="0"/>
      <w:divBdr>
        <w:top w:val="none" w:sz="0" w:space="0" w:color="auto"/>
        <w:left w:val="none" w:sz="0" w:space="0" w:color="auto"/>
        <w:bottom w:val="none" w:sz="0" w:space="0" w:color="auto"/>
        <w:right w:val="none" w:sz="0" w:space="0" w:color="auto"/>
      </w:divBdr>
    </w:div>
    <w:div w:id="1176847859">
      <w:bodyDiv w:val="1"/>
      <w:marLeft w:val="0"/>
      <w:marRight w:val="0"/>
      <w:marTop w:val="0"/>
      <w:marBottom w:val="0"/>
      <w:divBdr>
        <w:top w:val="none" w:sz="0" w:space="0" w:color="auto"/>
        <w:left w:val="none" w:sz="0" w:space="0" w:color="auto"/>
        <w:bottom w:val="none" w:sz="0" w:space="0" w:color="auto"/>
        <w:right w:val="none" w:sz="0" w:space="0" w:color="auto"/>
      </w:divBdr>
    </w:div>
    <w:div w:id="1191148131">
      <w:bodyDiv w:val="1"/>
      <w:marLeft w:val="0"/>
      <w:marRight w:val="0"/>
      <w:marTop w:val="0"/>
      <w:marBottom w:val="0"/>
      <w:divBdr>
        <w:top w:val="none" w:sz="0" w:space="0" w:color="auto"/>
        <w:left w:val="none" w:sz="0" w:space="0" w:color="auto"/>
        <w:bottom w:val="none" w:sz="0" w:space="0" w:color="auto"/>
        <w:right w:val="none" w:sz="0" w:space="0" w:color="auto"/>
      </w:divBdr>
    </w:div>
    <w:div w:id="1193958724">
      <w:bodyDiv w:val="1"/>
      <w:marLeft w:val="0"/>
      <w:marRight w:val="0"/>
      <w:marTop w:val="0"/>
      <w:marBottom w:val="0"/>
      <w:divBdr>
        <w:top w:val="none" w:sz="0" w:space="0" w:color="auto"/>
        <w:left w:val="none" w:sz="0" w:space="0" w:color="auto"/>
        <w:bottom w:val="none" w:sz="0" w:space="0" w:color="auto"/>
        <w:right w:val="none" w:sz="0" w:space="0" w:color="auto"/>
      </w:divBdr>
    </w:div>
    <w:div w:id="1196579036">
      <w:bodyDiv w:val="1"/>
      <w:marLeft w:val="0"/>
      <w:marRight w:val="0"/>
      <w:marTop w:val="0"/>
      <w:marBottom w:val="0"/>
      <w:divBdr>
        <w:top w:val="none" w:sz="0" w:space="0" w:color="auto"/>
        <w:left w:val="none" w:sz="0" w:space="0" w:color="auto"/>
        <w:bottom w:val="none" w:sz="0" w:space="0" w:color="auto"/>
        <w:right w:val="none" w:sz="0" w:space="0" w:color="auto"/>
      </w:divBdr>
    </w:div>
    <w:div w:id="1203443969">
      <w:bodyDiv w:val="1"/>
      <w:marLeft w:val="0"/>
      <w:marRight w:val="0"/>
      <w:marTop w:val="0"/>
      <w:marBottom w:val="0"/>
      <w:divBdr>
        <w:top w:val="none" w:sz="0" w:space="0" w:color="auto"/>
        <w:left w:val="none" w:sz="0" w:space="0" w:color="auto"/>
        <w:bottom w:val="none" w:sz="0" w:space="0" w:color="auto"/>
        <w:right w:val="none" w:sz="0" w:space="0" w:color="auto"/>
      </w:divBdr>
    </w:div>
    <w:div w:id="1211458202">
      <w:bodyDiv w:val="1"/>
      <w:marLeft w:val="0"/>
      <w:marRight w:val="0"/>
      <w:marTop w:val="0"/>
      <w:marBottom w:val="0"/>
      <w:divBdr>
        <w:top w:val="none" w:sz="0" w:space="0" w:color="auto"/>
        <w:left w:val="none" w:sz="0" w:space="0" w:color="auto"/>
        <w:bottom w:val="none" w:sz="0" w:space="0" w:color="auto"/>
        <w:right w:val="none" w:sz="0" w:space="0" w:color="auto"/>
      </w:divBdr>
    </w:div>
    <w:div w:id="1223372553">
      <w:bodyDiv w:val="1"/>
      <w:marLeft w:val="0"/>
      <w:marRight w:val="0"/>
      <w:marTop w:val="0"/>
      <w:marBottom w:val="0"/>
      <w:divBdr>
        <w:top w:val="none" w:sz="0" w:space="0" w:color="auto"/>
        <w:left w:val="none" w:sz="0" w:space="0" w:color="auto"/>
        <w:bottom w:val="none" w:sz="0" w:space="0" w:color="auto"/>
        <w:right w:val="none" w:sz="0" w:space="0" w:color="auto"/>
      </w:divBdr>
    </w:div>
    <w:div w:id="1229536931">
      <w:bodyDiv w:val="1"/>
      <w:marLeft w:val="0"/>
      <w:marRight w:val="0"/>
      <w:marTop w:val="0"/>
      <w:marBottom w:val="0"/>
      <w:divBdr>
        <w:top w:val="none" w:sz="0" w:space="0" w:color="auto"/>
        <w:left w:val="none" w:sz="0" w:space="0" w:color="auto"/>
        <w:bottom w:val="none" w:sz="0" w:space="0" w:color="auto"/>
        <w:right w:val="none" w:sz="0" w:space="0" w:color="auto"/>
      </w:divBdr>
    </w:div>
    <w:div w:id="1241989050">
      <w:bodyDiv w:val="1"/>
      <w:marLeft w:val="0"/>
      <w:marRight w:val="0"/>
      <w:marTop w:val="0"/>
      <w:marBottom w:val="0"/>
      <w:divBdr>
        <w:top w:val="none" w:sz="0" w:space="0" w:color="auto"/>
        <w:left w:val="none" w:sz="0" w:space="0" w:color="auto"/>
        <w:bottom w:val="none" w:sz="0" w:space="0" w:color="auto"/>
        <w:right w:val="none" w:sz="0" w:space="0" w:color="auto"/>
      </w:divBdr>
    </w:div>
    <w:div w:id="1247567498">
      <w:bodyDiv w:val="1"/>
      <w:marLeft w:val="0"/>
      <w:marRight w:val="0"/>
      <w:marTop w:val="0"/>
      <w:marBottom w:val="0"/>
      <w:divBdr>
        <w:top w:val="none" w:sz="0" w:space="0" w:color="auto"/>
        <w:left w:val="none" w:sz="0" w:space="0" w:color="auto"/>
        <w:bottom w:val="none" w:sz="0" w:space="0" w:color="auto"/>
        <w:right w:val="none" w:sz="0" w:space="0" w:color="auto"/>
      </w:divBdr>
    </w:div>
    <w:div w:id="1247955426">
      <w:bodyDiv w:val="1"/>
      <w:marLeft w:val="0"/>
      <w:marRight w:val="0"/>
      <w:marTop w:val="0"/>
      <w:marBottom w:val="0"/>
      <w:divBdr>
        <w:top w:val="none" w:sz="0" w:space="0" w:color="auto"/>
        <w:left w:val="none" w:sz="0" w:space="0" w:color="auto"/>
        <w:bottom w:val="none" w:sz="0" w:space="0" w:color="auto"/>
        <w:right w:val="none" w:sz="0" w:space="0" w:color="auto"/>
      </w:divBdr>
    </w:div>
    <w:div w:id="1248030597">
      <w:bodyDiv w:val="1"/>
      <w:marLeft w:val="0"/>
      <w:marRight w:val="0"/>
      <w:marTop w:val="0"/>
      <w:marBottom w:val="0"/>
      <w:divBdr>
        <w:top w:val="none" w:sz="0" w:space="0" w:color="auto"/>
        <w:left w:val="none" w:sz="0" w:space="0" w:color="auto"/>
        <w:bottom w:val="none" w:sz="0" w:space="0" w:color="auto"/>
        <w:right w:val="none" w:sz="0" w:space="0" w:color="auto"/>
      </w:divBdr>
    </w:div>
    <w:div w:id="1278415110">
      <w:bodyDiv w:val="1"/>
      <w:marLeft w:val="0"/>
      <w:marRight w:val="0"/>
      <w:marTop w:val="0"/>
      <w:marBottom w:val="0"/>
      <w:divBdr>
        <w:top w:val="none" w:sz="0" w:space="0" w:color="auto"/>
        <w:left w:val="none" w:sz="0" w:space="0" w:color="auto"/>
        <w:bottom w:val="none" w:sz="0" w:space="0" w:color="auto"/>
        <w:right w:val="none" w:sz="0" w:space="0" w:color="auto"/>
      </w:divBdr>
    </w:div>
    <w:div w:id="1293250080">
      <w:bodyDiv w:val="1"/>
      <w:marLeft w:val="0"/>
      <w:marRight w:val="0"/>
      <w:marTop w:val="0"/>
      <w:marBottom w:val="0"/>
      <w:divBdr>
        <w:top w:val="none" w:sz="0" w:space="0" w:color="auto"/>
        <w:left w:val="none" w:sz="0" w:space="0" w:color="auto"/>
        <w:bottom w:val="none" w:sz="0" w:space="0" w:color="auto"/>
        <w:right w:val="none" w:sz="0" w:space="0" w:color="auto"/>
      </w:divBdr>
    </w:div>
    <w:div w:id="1295208844">
      <w:bodyDiv w:val="1"/>
      <w:marLeft w:val="0"/>
      <w:marRight w:val="0"/>
      <w:marTop w:val="0"/>
      <w:marBottom w:val="0"/>
      <w:divBdr>
        <w:top w:val="none" w:sz="0" w:space="0" w:color="auto"/>
        <w:left w:val="none" w:sz="0" w:space="0" w:color="auto"/>
        <w:bottom w:val="none" w:sz="0" w:space="0" w:color="auto"/>
        <w:right w:val="none" w:sz="0" w:space="0" w:color="auto"/>
      </w:divBdr>
    </w:div>
    <w:div w:id="1323510531">
      <w:bodyDiv w:val="1"/>
      <w:marLeft w:val="0"/>
      <w:marRight w:val="0"/>
      <w:marTop w:val="0"/>
      <w:marBottom w:val="0"/>
      <w:divBdr>
        <w:top w:val="none" w:sz="0" w:space="0" w:color="auto"/>
        <w:left w:val="none" w:sz="0" w:space="0" w:color="auto"/>
        <w:bottom w:val="none" w:sz="0" w:space="0" w:color="auto"/>
        <w:right w:val="none" w:sz="0" w:space="0" w:color="auto"/>
      </w:divBdr>
    </w:div>
    <w:div w:id="1341346135">
      <w:bodyDiv w:val="1"/>
      <w:marLeft w:val="0"/>
      <w:marRight w:val="0"/>
      <w:marTop w:val="0"/>
      <w:marBottom w:val="0"/>
      <w:divBdr>
        <w:top w:val="none" w:sz="0" w:space="0" w:color="auto"/>
        <w:left w:val="none" w:sz="0" w:space="0" w:color="auto"/>
        <w:bottom w:val="none" w:sz="0" w:space="0" w:color="auto"/>
        <w:right w:val="none" w:sz="0" w:space="0" w:color="auto"/>
      </w:divBdr>
    </w:div>
    <w:div w:id="1358041873">
      <w:bodyDiv w:val="1"/>
      <w:marLeft w:val="0"/>
      <w:marRight w:val="0"/>
      <w:marTop w:val="0"/>
      <w:marBottom w:val="0"/>
      <w:divBdr>
        <w:top w:val="none" w:sz="0" w:space="0" w:color="auto"/>
        <w:left w:val="none" w:sz="0" w:space="0" w:color="auto"/>
        <w:bottom w:val="none" w:sz="0" w:space="0" w:color="auto"/>
        <w:right w:val="none" w:sz="0" w:space="0" w:color="auto"/>
      </w:divBdr>
    </w:div>
    <w:div w:id="1366716459">
      <w:bodyDiv w:val="1"/>
      <w:marLeft w:val="0"/>
      <w:marRight w:val="0"/>
      <w:marTop w:val="0"/>
      <w:marBottom w:val="0"/>
      <w:divBdr>
        <w:top w:val="none" w:sz="0" w:space="0" w:color="auto"/>
        <w:left w:val="none" w:sz="0" w:space="0" w:color="auto"/>
        <w:bottom w:val="none" w:sz="0" w:space="0" w:color="auto"/>
        <w:right w:val="none" w:sz="0" w:space="0" w:color="auto"/>
      </w:divBdr>
    </w:div>
    <w:div w:id="1366981376">
      <w:bodyDiv w:val="1"/>
      <w:marLeft w:val="0"/>
      <w:marRight w:val="0"/>
      <w:marTop w:val="0"/>
      <w:marBottom w:val="0"/>
      <w:divBdr>
        <w:top w:val="none" w:sz="0" w:space="0" w:color="auto"/>
        <w:left w:val="none" w:sz="0" w:space="0" w:color="auto"/>
        <w:bottom w:val="none" w:sz="0" w:space="0" w:color="auto"/>
        <w:right w:val="none" w:sz="0" w:space="0" w:color="auto"/>
      </w:divBdr>
    </w:div>
    <w:div w:id="1389063348">
      <w:bodyDiv w:val="1"/>
      <w:marLeft w:val="0"/>
      <w:marRight w:val="0"/>
      <w:marTop w:val="0"/>
      <w:marBottom w:val="0"/>
      <w:divBdr>
        <w:top w:val="none" w:sz="0" w:space="0" w:color="auto"/>
        <w:left w:val="none" w:sz="0" w:space="0" w:color="auto"/>
        <w:bottom w:val="none" w:sz="0" w:space="0" w:color="auto"/>
        <w:right w:val="none" w:sz="0" w:space="0" w:color="auto"/>
      </w:divBdr>
    </w:div>
    <w:div w:id="1400708101">
      <w:bodyDiv w:val="1"/>
      <w:marLeft w:val="0"/>
      <w:marRight w:val="0"/>
      <w:marTop w:val="0"/>
      <w:marBottom w:val="0"/>
      <w:divBdr>
        <w:top w:val="none" w:sz="0" w:space="0" w:color="auto"/>
        <w:left w:val="none" w:sz="0" w:space="0" w:color="auto"/>
        <w:bottom w:val="none" w:sz="0" w:space="0" w:color="auto"/>
        <w:right w:val="none" w:sz="0" w:space="0" w:color="auto"/>
      </w:divBdr>
    </w:div>
    <w:div w:id="1402175233">
      <w:bodyDiv w:val="1"/>
      <w:marLeft w:val="0"/>
      <w:marRight w:val="0"/>
      <w:marTop w:val="0"/>
      <w:marBottom w:val="0"/>
      <w:divBdr>
        <w:top w:val="none" w:sz="0" w:space="0" w:color="auto"/>
        <w:left w:val="none" w:sz="0" w:space="0" w:color="auto"/>
        <w:bottom w:val="none" w:sz="0" w:space="0" w:color="auto"/>
        <w:right w:val="none" w:sz="0" w:space="0" w:color="auto"/>
      </w:divBdr>
    </w:div>
    <w:div w:id="1442261482">
      <w:bodyDiv w:val="1"/>
      <w:marLeft w:val="0"/>
      <w:marRight w:val="0"/>
      <w:marTop w:val="0"/>
      <w:marBottom w:val="0"/>
      <w:divBdr>
        <w:top w:val="none" w:sz="0" w:space="0" w:color="auto"/>
        <w:left w:val="none" w:sz="0" w:space="0" w:color="auto"/>
        <w:bottom w:val="none" w:sz="0" w:space="0" w:color="auto"/>
        <w:right w:val="none" w:sz="0" w:space="0" w:color="auto"/>
      </w:divBdr>
    </w:div>
    <w:div w:id="1445732457">
      <w:bodyDiv w:val="1"/>
      <w:marLeft w:val="0"/>
      <w:marRight w:val="0"/>
      <w:marTop w:val="0"/>
      <w:marBottom w:val="0"/>
      <w:divBdr>
        <w:top w:val="none" w:sz="0" w:space="0" w:color="auto"/>
        <w:left w:val="none" w:sz="0" w:space="0" w:color="auto"/>
        <w:bottom w:val="none" w:sz="0" w:space="0" w:color="auto"/>
        <w:right w:val="none" w:sz="0" w:space="0" w:color="auto"/>
      </w:divBdr>
    </w:div>
    <w:div w:id="1447846311">
      <w:bodyDiv w:val="1"/>
      <w:marLeft w:val="0"/>
      <w:marRight w:val="0"/>
      <w:marTop w:val="0"/>
      <w:marBottom w:val="0"/>
      <w:divBdr>
        <w:top w:val="none" w:sz="0" w:space="0" w:color="auto"/>
        <w:left w:val="none" w:sz="0" w:space="0" w:color="auto"/>
        <w:bottom w:val="none" w:sz="0" w:space="0" w:color="auto"/>
        <w:right w:val="none" w:sz="0" w:space="0" w:color="auto"/>
      </w:divBdr>
    </w:div>
    <w:div w:id="1455370035">
      <w:bodyDiv w:val="1"/>
      <w:marLeft w:val="0"/>
      <w:marRight w:val="0"/>
      <w:marTop w:val="0"/>
      <w:marBottom w:val="0"/>
      <w:divBdr>
        <w:top w:val="none" w:sz="0" w:space="0" w:color="auto"/>
        <w:left w:val="none" w:sz="0" w:space="0" w:color="auto"/>
        <w:bottom w:val="none" w:sz="0" w:space="0" w:color="auto"/>
        <w:right w:val="none" w:sz="0" w:space="0" w:color="auto"/>
      </w:divBdr>
    </w:div>
    <w:div w:id="1460027446">
      <w:bodyDiv w:val="1"/>
      <w:marLeft w:val="0"/>
      <w:marRight w:val="0"/>
      <w:marTop w:val="0"/>
      <w:marBottom w:val="0"/>
      <w:divBdr>
        <w:top w:val="none" w:sz="0" w:space="0" w:color="auto"/>
        <w:left w:val="none" w:sz="0" w:space="0" w:color="auto"/>
        <w:bottom w:val="none" w:sz="0" w:space="0" w:color="auto"/>
        <w:right w:val="none" w:sz="0" w:space="0" w:color="auto"/>
      </w:divBdr>
    </w:div>
    <w:div w:id="1473256133">
      <w:bodyDiv w:val="1"/>
      <w:marLeft w:val="0"/>
      <w:marRight w:val="0"/>
      <w:marTop w:val="0"/>
      <w:marBottom w:val="0"/>
      <w:divBdr>
        <w:top w:val="none" w:sz="0" w:space="0" w:color="auto"/>
        <w:left w:val="none" w:sz="0" w:space="0" w:color="auto"/>
        <w:bottom w:val="none" w:sz="0" w:space="0" w:color="auto"/>
        <w:right w:val="none" w:sz="0" w:space="0" w:color="auto"/>
      </w:divBdr>
    </w:div>
    <w:div w:id="1500585755">
      <w:bodyDiv w:val="1"/>
      <w:marLeft w:val="0"/>
      <w:marRight w:val="0"/>
      <w:marTop w:val="0"/>
      <w:marBottom w:val="0"/>
      <w:divBdr>
        <w:top w:val="none" w:sz="0" w:space="0" w:color="auto"/>
        <w:left w:val="none" w:sz="0" w:space="0" w:color="auto"/>
        <w:bottom w:val="none" w:sz="0" w:space="0" w:color="auto"/>
        <w:right w:val="none" w:sz="0" w:space="0" w:color="auto"/>
      </w:divBdr>
    </w:div>
    <w:div w:id="1503740013">
      <w:bodyDiv w:val="1"/>
      <w:marLeft w:val="0"/>
      <w:marRight w:val="0"/>
      <w:marTop w:val="0"/>
      <w:marBottom w:val="0"/>
      <w:divBdr>
        <w:top w:val="none" w:sz="0" w:space="0" w:color="auto"/>
        <w:left w:val="none" w:sz="0" w:space="0" w:color="auto"/>
        <w:bottom w:val="none" w:sz="0" w:space="0" w:color="auto"/>
        <w:right w:val="none" w:sz="0" w:space="0" w:color="auto"/>
      </w:divBdr>
    </w:div>
    <w:div w:id="1513566362">
      <w:bodyDiv w:val="1"/>
      <w:marLeft w:val="0"/>
      <w:marRight w:val="0"/>
      <w:marTop w:val="0"/>
      <w:marBottom w:val="0"/>
      <w:divBdr>
        <w:top w:val="none" w:sz="0" w:space="0" w:color="auto"/>
        <w:left w:val="none" w:sz="0" w:space="0" w:color="auto"/>
        <w:bottom w:val="none" w:sz="0" w:space="0" w:color="auto"/>
        <w:right w:val="none" w:sz="0" w:space="0" w:color="auto"/>
      </w:divBdr>
    </w:div>
    <w:div w:id="1520043667">
      <w:bodyDiv w:val="1"/>
      <w:marLeft w:val="0"/>
      <w:marRight w:val="0"/>
      <w:marTop w:val="0"/>
      <w:marBottom w:val="0"/>
      <w:divBdr>
        <w:top w:val="none" w:sz="0" w:space="0" w:color="auto"/>
        <w:left w:val="none" w:sz="0" w:space="0" w:color="auto"/>
        <w:bottom w:val="none" w:sz="0" w:space="0" w:color="auto"/>
        <w:right w:val="none" w:sz="0" w:space="0" w:color="auto"/>
      </w:divBdr>
    </w:div>
    <w:div w:id="1525821656">
      <w:bodyDiv w:val="1"/>
      <w:marLeft w:val="0"/>
      <w:marRight w:val="0"/>
      <w:marTop w:val="0"/>
      <w:marBottom w:val="0"/>
      <w:divBdr>
        <w:top w:val="none" w:sz="0" w:space="0" w:color="auto"/>
        <w:left w:val="none" w:sz="0" w:space="0" w:color="auto"/>
        <w:bottom w:val="none" w:sz="0" w:space="0" w:color="auto"/>
        <w:right w:val="none" w:sz="0" w:space="0" w:color="auto"/>
      </w:divBdr>
    </w:div>
    <w:div w:id="1526944691">
      <w:bodyDiv w:val="1"/>
      <w:marLeft w:val="0"/>
      <w:marRight w:val="0"/>
      <w:marTop w:val="0"/>
      <w:marBottom w:val="0"/>
      <w:divBdr>
        <w:top w:val="none" w:sz="0" w:space="0" w:color="auto"/>
        <w:left w:val="none" w:sz="0" w:space="0" w:color="auto"/>
        <w:bottom w:val="none" w:sz="0" w:space="0" w:color="auto"/>
        <w:right w:val="none" w:sz="0" w:space="0" w:color="auto"/>
      </w:divBdr>
    </w:div>
    <w:div w:id="1528985728">
      <w:bodyDiv w:val="1"/>
      <w:marLeft w:val="0"/>
      <w:marRight w:val="0"/>
      <w:marTop w:val="0"/>
      <w:marBottom w:val="0"/>
      <w:divBdr>
        <w:top w:val="none" w:sz="0" w:space="0" w:color="auto"/>
        <w:left w:val="none" w:sz="0" w:space="0" w:color="auto"/>
        <w:bottom w:val="none" w:sz="0" w:space="0" w:color="auto"/>
        <w:right w:val="none" w:sz="0" w:space="0" w:color="auto"/>
      </w:divBdr>
    </w:div>
    <w:div w:id="1535120284">
      <w:bodyDiv w:val="1"/>
      <w:marLeft w:val="0"/>
      <w:marRight w:val="0"/>
      <w:marTop w:val="0"/>
      <w:marBottom w:val="0"/>
      <w:divBdr>
        <w:top w:val="none" w:sz="0" w:space="0" w:color="auto"/>
        <w:left w:val="none" w:sz="0" w:space="0" w:color="auto"/>
        <w:bottom w:val="none" w:sz="0" w:space="0" w:color="auto"/>
        <w:right w:val="none" w:sz="0" w:space="0" w:color="auto"/>
      </w:divBdr>
    </w:div>
    <w:div w:id="1544632314">
      <w:bodyDiv w:val="1"/>
      <w:marLeft w:val="0"/>
      <w:marRight w:val="0"/>
      <w:marTop w:val="0"/>
      <w:marBottom w:val="0"/>
      <w:divBdr>
        <w:top w:val="none" w:sz="0" w:space="0" w:color="auto"/>
        <w:left w:val="none" w:sz="0" w:space="0" w:color="auto"/>
        <w:bottom w:val="none" w:sz="0" w:space="0" w:color="auto"/>
        <w:right w:val="none" w:sz="0" w:space="0" w:color="auto"/>
      </w:divBdr>
    </w:div>
    <w:div w:id="1545018390">
      <w:bodyDiv w:val="1"/>
      <w:marLeft w:val="0"/>
      <w:marRight w:val="0"/>
      <w:marTop w:val="0"/>
      <w:marBottom w:val="0"/>
      <w:divBdr>
        <w:top w:val="none" w:sz="0" w:space="0" w:color="auto"/>
        <w:left w:val="none" w:sz="0" w:space="0" w:color="auto"/>
        <w:bottom w:val="none" w:sz="0" w:space="0" w:color="auto"/>
        <w:right w:val="none" w:sz="0" w:space="0" w:color="auto"/>
      </w:divBdr>
    </w:div>
    <w:div w:id="1546940072">
      <w:bodyDiv w:val="1"/>
      <w:marLeft w:val="0"/>
      <w:marRight w:val="0"/>
      <w:marTop w:val="0"/>
      <w:marBottom w:val="0"/>
      <w:divBdr>
        <w:top w:val="none" w:sz="0" w:space="0" w:color="auto"/>
        <w:left w:val="none" w:sz="0" w:space="0" w:color="auto"/>
        <w:bottom w:val="none" w:sz="0" w:space="0" w:color="auto"/>
        <w:right w:val="none" w:sz="0" w:space="0" w:color="auto"/>
      </w:divBdr>
    </w:div>
    <w:div w:id="1551065043">
      <w:bodyDiv w:val="1"/>
      <w:marLeft w:val="0"/>
      <w:marRight w:val="0"/>
      <w:marTop w:val="0"/>
      <w:marBottom w:val="0"/>
      <w:divBdr>
        <w:top w:val="none" w:sz="0" w:space="0" w:color="auto"/>
        <w:left w:val="none" w:sz="0" w:space="0" w:color="auto"/>
        <w:bottom w:val="none" w:sz="0" w:space="0" w:color="auto"/>
        <w:right w:val="none" w:sz="0" w:space="0" w:color="auto"/>
      </w:divBdr>
    </w:div>
    <w:div w:id="1561405837">
      <w:bodyDiv w:val="1"/>
      <w:marLeft w:val="0"/>
      <w:marRight w:val="0"/>
      <w:marTop w:val="0"/>
      <w:marBottom w:val="0"/>
      <w:divBdr>
        <w:top w:val="none" w:sz="0" w:space="0" w:color="auto"/>
        <w:left w:val="none" w:sz="0" w:space="0" w:color="auto"/>
        <w:bottom w:val="none" w:sz="0" w:space="0" w:color="auto"/>
        <w:right w:val="none" w:sz="0" w:space="0" w:color="auto"/>
      </w:divBdr>
    </w:div>
    <w:div w:id="1579830346">
      <w:bodyDiv w:val="1"/>
      <w:marLeft w:val="0"/>
      <w:marRight w:val="0"/>
      <w:marTop w:val="0"/>
      <w:marBottom w:val="0"/>
      <w:divBdr>
        <w:top w:val="none" w:sz="0" w:space="0" w:color="auto"/>
        <w:left w:val="none" w:sz="0" w:space="0" w:color="auto"/>
        <w:bottom w:val="none" w:sz="0" w:space="0" w:color="auto"/>
        <w:right w:val="none" w:sz="0" w:space="0" w:color="auto"/>
      </w:divBdr>
    </w:div>
    <w:div w:id="1590038907">
      <w:bodyDiv w:val="1"/>
      <w:marLeft w:val="0"/>
      <w:marRight w:val="0"/>
      <w:marTop w:val="0"/>
      <w:marBottom w:val="0"/>
      <w:divBdr>
        <w:top w:val="none" w:sz="0" w:space="0" w:color="auto"/>
        <w:left w:val="none" w:sz="0" w:space="0" w:color="auto"/>
        <w:bottom w:val="none" w:sz="0" w:space="0" w:color="auto"/>
        <w:right w:val="none" w:sz="0" w:space="0" w:color="auto"/>
      </w:divBdr>
    </w:div>
    <w:div w:id="1593394550">
      <w:bodyDiv w:val="1"/>
      <w:marLeft w:val="0"/>
      <w:marRight w:val="0"/>
      <w:marTop w:val="0"/>
      <w:marBottom w:val="0"/>
      <w:divBdr>
        <w:top w:val="none" w:sz="0" w:space="0" w:color="auto"/>
        <w:left w:val="none" w:sz="0" w:space="0" w:color="auto"/>
        <w:bottom w:val="none" w:sz="0" w:space="0" w:color="auto"/>
        <w:right w:val="none" w:sz="0" w:space="0" w:color="auto"/>
      </w:divBdr>
    </w:div>
    <w:div w:id="1595824157">
      <w:bodyDiv w:val="1"/>
      <w:marLeft w:val="0"/>
      <w:marRight w:val="0"/>
      <w:marTop w:val="0"/>
      <w:marBottom w:val="0"/>
      <w:divBdr>
        <w:top w:val="none" w:sz="0" w:space="0" w:color="auto"/>
        <w:left w:val="none" w:sz="0" w:space="0" w:color="auto"/>
        <w:bottom w:val="none" w:sz="0" w:space="0" w:color="auto"/>
        <w:right w:val="none" w:sz="0" w:space="0" w:color="auto"/>
      </w:divBdr>
    </w:div>
    <w:div w:id="1596480791">
      <w:bodyDiv w:val="1"/>
      <w:marLeft w:val="0"/>
      <w:marRight w:val="0"/>
      <w:marTop w:val="0"/>
      <w:marBottom w:val="0"/>
      <w:divBdr>
        <w:top w:val="none" w:sz="0" w:space="0" w:color="auto"/>
        <w:left w:val="none" w:sz="0" w:space="0" w:color="auto"/>
        <w:bottom w:val="none" w:sz="0" w:space="0" w:color="auto"/>
        <w:right w:val="none" w:sz="0" w:space="0" w:color="auto"/>
      </w:divBdr>
    </w:div>
    <w:div w:id="1629361888">
      <w:bodyDiv w:val="1"/>
      <w:marLeft w:val="0"/>
      <w:marRight w:val="0"/>
      <w:marTop w:val="0"/>
      <w:marBottom w:val="0"/>
      <w:divBdr>
        <w:top w:val="none" w:sz="0" w:space="0" w:color="auto"/>
        <w:left w:val="none" w:sz="0" w:space="0" w:color="auto"/>
        <w:bottom w:val="none" w:sz="0" w:space="0" w:color="auto"/>
        <w:right w:val="none" w:sz="0" w:space="0" w:color="auto"/>
      </w:divBdr>
    </w:div>
    <w:div w:id="1639526625">
      <w:bodyDiv w:val="1"/>
      <w:marLeft w:val="0"/>
      <w:marRight w:val="0"/>
      <w:marTop w:val="0"/>
      <w:marBottom w:val="0"/>
      <w:divBdr>
        <w:top w:val="none" w:sz="0" w:space="0" w:color="auto"/>
        <w:left w:val="none" w:sz="0" w:space="0" w:color="auto"/>
        <w:bottom w:val="none" w:sz="0" w:space="0" w:color="auto"/>
        <w:right w:val="none" w:sz="0" w:space="0" w:color="auto"/>
      </w:divBdr>
    </w:div>
    <w:div w:id="1651448332">
      <w:bodyDiv w:val="1"/>
      <w:marLeft w:val="0"/>
      <w:marRight w:val="0"/>
      <w:marTop w:val="0"/>
      <w:marBottom w:val="0"/>
      <w:divBdr>
        <w:top w:val="none" w:sz="0" w:space="0" w:color="auto"/>
        <w:left w:val="none" w:sz="0" w:space="0" w:color="auto"/>
        <w:bottom w:val="none" w:sz="0" w:space="0" w:color="auto"/>
        <w:right w:val="none" w:sz="0" w:space="0" w:color="auto"/>
      </w:divBdr>
    </w:div>
    <w:div w:id="1651639848">
      <w:bodyDiv w:val="1"/>
      <w:marLeft w:val="0"/>
      <w:marRight w:val="0"/>
      <w:marTop w:val="0"/>
      <w:marBottom w:val="0"/>
      <w:divBdr>
        <w:top w:val="none" w:sz="0" w:space="0" w:color="auto"/>
        <w:left w:val="none" w:sz="0" w:space="0" w:color="auto"/>
        <w:bottom w:val="none" w:sz="0" w:space="0" w:color="auto"/>
        <w:right w:val="none" w:sz="0" w:space="0" w:color="auto"/>
      </w:divBdr>
    </w:div>
    <w:div w:id="1658530732">
      <w:bodyDiv w:val="1"/>
      <w:marLeft w:val="0"/>
      <w:marRight w:val="0"/>
      <w:marTop w:val="0"/>
      <w:marBottom w:val="0"/>
      <w:divBdr>
        <w:top w:val="none" w:sz="0" w:space="0" w:color="auto"/>
        <w:left w:val="none" w:sz="0" w:space="0" w:color="auto"/>
        <w:bottom w:val="none" w:sz="0" w:space="0" w:color="auto"/>
        <w:right w:val="none" w:sz="0" w:space="0" w:color="auto"/>
      </w:divBdr>
    </w:div>
    <w:div w:id="1667434961">
      <w:bodyDiv w:val="1"/>
      <w:marLeft w:val="0"/>
      <w:marRight w:val="0"/>
      <w:marTop w:val="0"/>
      <w:marBottom w:val="0"/>
      <w:divBdr>
        <w:top w:val="none" w:sz="0" w:space="0" w:color="auto"/>
        <w:left w:val="none" w:sz="0" w:space="0" w:color="auto"/>
        <w:bottom w:val="none" w:sz="0" w:space="0" w:color="auto"/>
        <w:right w:val="none" w:sz="0" w:space="0" w:color="auto"/>
      </w:divBdr>
    </w:div>
    <w:div w:id="1670907834">
      <w:bodyDiv w:val="1"/>
      <w:marLeft w:val="0"/>
      <w:marRight w:val="0"/>
      <w:marTop w:val="0"/>
      <w:marBottom w:val="0"/>
      <w:divBdr>
        <w:top w:val="none" w:sz="0" w:space="0" w:color="auto"/>
        <w:left w:val="none" w:sz="0" w:space="0" w:color="auto"/>
        <w:bottom w:val="none" w:sz="0" w:space="0" w:color="auto"/>
        <w:right w:val="none" w:sz="0" w:space="0" w:color="auto"/>
      </w:divBdr>
    </w:div>
    <w:div w:id="1695305728">
      <w:bodyDiv w:val="1"/>
      <w:marLeft w:val="0"/>
      <w:marRight w:val="0"/>
      <w:marTop w:val="0"/>
      <w:marBottom w:val="0"/>
      <w:divBdr>
        <w:top w:val="none" w:sz="0" w:space="0" w:color="auto"/>
        <w:left w:val="none" w:sz="0" w:space="0" w:color="auto"/>
        <w:bottom w:val="none" w:sz="0" w:space="0" w:color="auto"/>
        <w:right w:val="none" w:sz="0" w:space="0" w:color="auto"/>
      </w:divBdr>
    </w:div>
    <w:div w:id="1703821168">
      <w:bodyDiv w:val="1"/>
      <w:marLeft w:val="0"/>
      <w:marRight w:val="0"/>
      <w:marTop w:val="0"/>
      <w:marBottom w:val="0"/>
      <w:divBdr>
        <w:top w:val="none" w:sz="0" w:space="0" w:color="auto"/>
        <w:left w:val="none" w:sz="0" w:space="0" w:color="auto"/>
        <w:bottom w:val="none" w:sz="0" w:space="0" w:color="auto"/>
        <w:right w:val="none" w:sz="0" w:space="0" w:color="auto"/>
      </w:divBdr>
    </w:div>
    <w:div w:id="1707756616">
      <w:bodyDiv w:val="1"/>
      <w:marLeft w:val="0"/>
      <w:marRight w:val="0"/>
      <w:marTop w:val="0"/>
      <w:marBottom w:val="0"/>
      <w:divBdr>
        <w:top w:val="none" w:sz="0" w:space="0" w:color="auto"/>
        <w:left w:val="none" w:sz="0" w:space="0" w:color="auto"/>
        <w:bottom w:val="none" w:sz="0" w:space="0" w:color="auto"/>
        <w:right w:val="none" w:sz="0" w:space="0" w:color="auto"/>
      </w:divBdr>
    </w:div>
    <w:div w:id="1709378946">
      <w:bodyDiv w:val="1"/>
      <w:marLeft w:val="0"/>
      <w:marRight w:val="0"/>
      <w:marTop w:val="0"/>
      <w:marBottom w:val="0"/>
      <w:divBdr>
        <w:top w:val="none" w:sz="0" w:space="0" w:color="auto"/>
        <w:left w:val="none" w:sz="0" w:space="0" w:color="auto"/>
        <w:bottom w:val="none" w:sz="0" w:space="0" w:color="auto"/>
        <w:right w:val="none" w:sz="0" w:space="0" w:color="auto"/>
      </w:divBdr>
    </w:div>
    <w:div w:id="1730420229">
      <w:bodyDiv w:val="1"/>
      <w:marLeft w:val="0"/>
      <w:marRight w:val="0"/>
      <w:marTop w:val="0"/>
      <w:marBottom w:val="0"/>
      <w:divBdr>
        <w:top w:val="none" w:sz="0" w:space="0" w:color="auto"/>
        <w:left w:val="none" w:sz="0" w:space="0" w:color="auto"/>
        <w:bottom w:val="none" w:sz="0" w:space="0" w:color="auto"/>
        <w:right w:val="none" w:sz="0" w:space="0" w:color="auto"/>
      </w:divBdr>
    </w:div>
    <w:div w:id="1732651026">
      <w:bodyDiv w:val="1"/>
      <w:marLeft w:val="0"/>
      <w:marRight w:val="0"/>
      <w:marTop w:val="0"/>
      <w:marBottom w:val="0"/>
      <w:divBdr>
        <w:top w:val="none" w:sz="0" w:space="0" w:color="auto"/>
        <w:left w:val="none" w:sz="0" w:space="0" w:color="auto"/>
        <w:bottom w:val="none" w:sz="0" w:space="0" w:color="auto"/>
        <w:right w:val="none" w:sz="0" w:space="0" w:color="auto"/>
      </w:divBdr>
    </w:div>
    <w:div w:id="1758793065">
      <w:bodyDiv w:val="1"/>
      <w:marLeft w:val="0"/>
      <w:marRight w:val="0"/>
      <w:marTop w:val="0"/>
      <w:marBottom w:val="0"/>
      <w:divBdr>
        <w:top w:val="none" w:sz="0" w:space="0" w:color="auto"/>
        <w:left w:val="none" w:sz="0" w:space="0" w:color="auto"/>
        <w:bottom w:val="none" w:sz="0" w:space="0" w:color="auto"/>
        <w:right w:val="none" w:sz="0" w:space="0" w:color="auto"/>
      </w:divBdr>
    </w:div>
    <w:div w:id="1769041052">
      <w:bodyDiv w:val="1"/>
      <w:marLeft w:val="0"/>
      <w:marRight w:val="0"/>
      <w:marTop w:val="0"/>
      <w:marBottom w:val="0"/>
      <w:divBdr>
        <w:top w:val="none" w:sz="0" w:space="0" w:color="auto"/>
        <w:left w:val="none" w:sz="0" w:space="0" w:color="auto"/>
        <w:bottom w:val="none" w:sz="0" w:space="0" w:color="auto"/>
        <w:right w:val="none" w:sz="0" w:space="0" w:color="auto"/>
      </w:divBdr>
    </w:div>
    <w:div w:id="1776706506">
      <w:bodyDiv w:val="1"/>
      <w:marLeft w:val="0"/>
      <w:marRight w:val="0"/>
      <w:marTop w:val="0"/>
      <w:marBottom w:val="0"/>
      <w:divBdr>
        <w:top w:val="none" w:sz="0" w:space="0" w:color="auto"/>
        <w:left w:val="none" w:sz="0" w:space="0" w:color="auto"/>
        <w:bottom w:val="none" w:sz="0" w:space="0" w:color="auto"/>
        <w:right w:val="none" w:sz="0" w:space="0" w:color="auto"/>
      </w:divBdr>
    </w:div>
    <w:div w:id="1777870996">
      <w:bodyDiv w:val="1"/>
      <w:marLeft w:val="0"/>
      <w:marRight w:val="0"/>
      <w:marTop w:val="0"/>
      <w:marBottom w:val="0"/>
      <w:divBdr>
        <w:top w:val="none" w:sz="0" w:space="0" w:color="auto"/>
        <w:left w:val="none" w:sz="0" w:space="0" w:color="auto"/>
        <w:bottom w:val="none" w:sz="0" w:space="0" w:color="auto"/>
        <w:right w:val="none" w:sz="0" w:space="0" w:color="auto"/>
      </w:divBdr>
    </w:div>
    <w:div w:id="1778675696">
      <w:bodyDiv w:val="1"/>
      <w:marLeft w:val="0"/>
      <w:marRight w:val="0"/>
      <w:marTop w:val="0"/>
      <w:marBottom w:val="0"/>
      <w:divBdr>
        <w:top w:val="none" w:sz="0" w:space="0" w:color="auto"/>
        <w:left w:val="none" w:sz="0" w:space="0" w:color="auto"/>
        <w:bottom w:val="none" w:sz="0" w:space="0" w:color="auto"/>
        <w:right w:val="none" w:sz="0" w:space="0" w:color="auto"/>
      </w:divBdr>
    </w:div>
    <w:div w:id="1781680003">
      <w:bodyDiv w:val="1"/>
      <w:marLeft w:val="0"/>
      <w:marRight w:val="0"/>
      <w:marTop w:val="0"/>
      <w:marBottom w:val="0"/>
      <w:divBdr>
        <w:top w:val="none" w:sz="0" w:space="0" w:color="auto"/>
        <w:left w:val="none" w:sz="0" w:space="0" w:color="auto"/>
        <w:bottom w:val="none" w:sz="0" w:space="0" w:color="auto"/>
        <w:right w:val="none" w:sz="0" w:space="0" w:color="auto"/>
      </w:divBdr>
    </w:div>
    <w:div w:id="1787043946">
      <w:bodyDiv w:val="1"/>
      <w:marLeft w:val="0"/>
      <w:marRight w:val="0"/>
      <w:marTop w:val="0"/>
      <w:marBottom w:val="0"/>
      <w:divBdr>
        <w:top w:val="none" w:sz="0" w:space="0" w:color="auto"/>
        <w:left w:val="none" w:sz="0" w:space="0" w:color="auto"/>
        <w:bottom w:val="none" w:sz="0" w:space="0" w:color="auto"/>
        <w:right w:val="none" w:sz="0" w:space="0" w:color="auto"/>
      </w:divBdr>
    </w:div>
    <w:div w:id="1793211661">
      <w:bodyDiv w:val="1"/>
      <w:marLeft w:val="0"/>
      <w:marRight w:val="0"/>
      <w:marTop w:val="0"/>
      <w:marBottom w:val="0"/>
      <w:divBdr>
        <w:top w:val="none" w:sz="0" w:space="0" w:color="auto"/>
        <w:left w:val="none" w:sz="0" w:space="0" w:color="auto"/>
        <w:bottom w:val="none" w:sz="0" w:space="0" w:color="auto"/>
        <w:right w:val="none" w:sz="0" w:space="0" w:color="auto"/>
      </w:divBdr>
    </w:div>
    <w:div w:id="1794708737">
      <w:bodyDiv w:val="1"/>
      <w:marLeft w:val="0"/>
      <w:marRight w:val="0"/>
      <w:marTop w:val="0"/>
      <w:marBottom w:val="0"/>
      <w:divBdr>
        <w:top w:val="none" w:sz="0" w:space="0" w:color="auto"/>
        <w:left w:val="none" w:sz="0" w:space="0" w:color="auto"/>
        <w:bottom w:val="none" w:sz="0" w:space="0" w:color="auto"/>
        <w:right w:val="none" w:sz="0" w:space="0" w:color="auto"/>
      </w:divBdr>
    </w:div>
    <w:div w:id="1795827716">
      <w:bodyDiv w:val="1"/>
      <w:marLeft w:val="0"/>
      <w:marRight w:val="0"/>
      <w:marTop w:val="0"/>
      <w:marBottom w:val="0"/>
      <w:divBdr>
        <w:top w:val="none" w:sz="0" w:space="0" w:color="auto"/>
        <w:left w:val="none" w:sz="0" w:space="0" w:color="auto"/>
        <w:bottom w:val="none" w:sz="0" w:space="0" w:color="auto"/>
        <w:right w:val="none" w:sz="0" w:space="0" w:color="auto"/>
      </w:divBdr>
    </w:div>
    <w:div w:id="1798598116">
      <w:bodyDiv w:val="1"/>
      <w:marLeft w:val="0"/>
      <w:marRight w:val="0"/>
      <w:marTop w:val="0"/>
      <w:marBottom w:val="0"/>
      <w:divBdr>
        <w:top w:val="none" w:sz="0" w:space="0" w:color="auto"/>
        <w:left w:val="none" w:sz="0" w:space="0" w:color="auto"/>
        <w:bottom w:val="none" w:sz="0" w:space="0" w:color="auto"/>
        <w:right w:val="none" w:sz="0" w:space="0" w:color="auto"/>
      </w:divBdr>
    </w:div>
    <w:div w:id="1804152646">
      <w:bodyDiv w:val="1"/>
      <w:marLeft w:val="0"/>
      <w:marRight w:val="0"/>
      <w:marTop w:val="0"/>
      <w:marBottom w:val="0"/>
      <w:divBdr>
        <w:top w:val="none" w:sz="0" w:space="0" w:color="auto"/>
        <w:left w:val="none" w:sz="0" w:space="0" w:color="auto"/>
        <w:bottom w:val="none" w:sz="0" w:space="0" w:color="auto"/>
        <w:right w:val="none" w:sz="0" w:space="0" w:color="auto"/>
      </w:divBdr>
    </w:div>
    <w:div w:id="1805194480">
      <w:bodyDiv w:val="1"/>
      <w:marLeft w:val="0"/>
      <w:marRight w:val="0"/>
      <w:marTop w:val="0"/>
      <w:marBottom w:val="0"/>
      <w:divBdr>
        <w:top w:val="none" w:sz="0" w:space="0" w:color="auto"/>
        <w:left w:val="none" w:sz="0" w:space="0" w:color="auto"/>
        <w:bottom w:val="none" w:sz="0" w:space="0" w:color="auto"/>
        <w:right w:val="none" w:sz="0" w:space="0" w:color="auto"/>
      </w:divBdr>
    </w:div>
    <w:div w:id="1814054100">
      <w:bodyDiv w:val="1"/>
      <w:marLeft w:val="0"/>
      <w:marRight w:val="0"/>
      <w:marTop w:val="0"/>
      <w:marBottom w:val="0"/>
      <w:divBdr>
        <w:top w:val="none" w:sz="0" w:space="0" w:color="auto"/>
        <w:left w:val="none" w:sz="0" w:space="0" w:color="auto"/>
        <w:bottom w:val="none" w:sz="0" w:space="0" w:color="auto"/>
        <w:right w:val="none" w:sz="0" w:space="0" w:color="auto"/>
      </w:divBdr>
    </w:div>
    <w:div w:id="1819302686">
      <w:bodyDiv w:val="1"/>
      <w:marLeft w:val="0"/>
      <w:marRight w:val="0"/>
      <w:marTop w:val="0"/>
      <w:marBottom w:val="0"/>
      <w:divBdr>
        <w:top w:val="none" w:sz="0" w:space="0" w:color="auto"/>
        <w:left w:val="none" w:sz="0" w:space="0" w:color="auto"/>
        <w:bottom w:val="none" w:sz="0" w:space="0" w:color="auto"/>
        <w:right w:val="none" w:sz="0" w:space="0" w:color="auto"/>
      </w:divBdr>
    </w:div>
    <w:div w:id="1821842762">
      <w:bodyDiv w:val="1"/>
      <w:marLeft w:val="0"/>
      <w:marRight w:val="0"/>
      <w:marTop w:val="0"/>
      <w:marBottom w:val="0"/>
      <w:divBdr>
        <w:top w:val="none" w:sz="0" w:space="0" w:color="auto"/>
        <w:left w:val="none" w:sz="0" w:space="0" w:color="auto"/>
        <w:bottom w:val="none" w:sz="0" w:space="0" w:color="auto"/>
        <w:right w:val="none" w:sz="0" w:space="0" w:color="auto"/>
      </w:divBdr>
    </w:div>
    <w:div w:id="1832717499">
      <w:bodyDiv w:val="1"/>
      <w:marLeft w:val="0"/>
      <w:marRight w:val="0"/>
      <w:marTop w:val="0"/>
      <w:marBottom w:val="0"/>
      <w:divBdr>
        <w:top w:val="none" w:sz="0" w:space="0" w:color="auto"/>
        <w:left w:val="none" w:sz="0" w:space="0" w:color="auto"/>
        <w:bottom w:val="none" w:sz="0" w:space="0" w:color="auto"/>
        <w:right w:val="none" w:sz="0" w:space="0" w:color="auto"/>
      </w:divBdr>
    </w:div>
    <w:div w:id="1834905094">
      <w:bodyDiv w:val="1"/>
      <w:marLeft w:val="0"/>
      <w:marRight w:val="0"/>
      <w:marTop w:val="0"/>
      <w:marBottom w:val="0"/>
      <w:divBdr>
        <w:top w:val="none" w:sz="0" w:space="0" w:color="auto"/>
        <w:left w:val="none" w:sz="0" w:space="0" w:color="auto"/>
        <w:bottom w:val="none" w:sz="0" w:space="0" w:color="auto"/>
        <w:right w:val="none" w:sz="0" w:space="0" w:color="auto"/>
      </w:divBdr>
    </w:div>
    <w:div w:id="1838108393">
      <w:bodyDiv w:val="1"/>
      <w:marLeft w:val="0"/>
      <w:marRight w:val="0"/>
      <w:marTop w:val="0"/>
      <w:marBottom w:val="0"/>
      <w:divBdr>
        <w:top w:val="none" w:sz="0" w:space="0" w:color="auto"/>
        <w:left w:val="none" w:sz="0" w:space="0" w:color="auto"/>
        <w:bottom w:val="none" w:sz="0" w:space="0" w:color="auto"/>
        <w:right w:val="none" w:sz="0" w:space="0" w:color="auto"/>
      </w:divBdr>
    </w:div>
    <w:div w:id="1843817714">
      <w:bodyDiv w:val="1"/>
      <w:marLeft w:val="0"/>
      <w:marRight w:val="0"/>
      <w:marTop w:val="0"/>
      <w:marBottom w:val="0"/>
      <w:divBdr>
        <w:top w:val="none" w:sz="0" w:space="0" w:color="auto"/>
        <w:left w:val="none" w:sz="0" w:space="0" w:color="auto"/>
        <w:bottom w:val="none" w:sz="0" w:space="0" w:color="auto"/>
        <w:right w:val="none" w:sz="0" w:space="0" w:color="auto"/>
      </w:divBdr>
    </w:div>
    <w:div w:id="1847671599">
      <w:bodyDiv w:val="1"/>
      <w:marLeft w:val="0"/>
      <w:marRight w:val="0"/>
      <w:marTop w:val="0"/>
      <w:marBottom w:val="0"/>
      <w:divBdr>
        <w:top w:val="none" w:sz="0" w:space="0" w:color="auto"/>
        <w:left w:val="none" w:sz="0" w:space="0" w:color="auto"/>
        <w:bottom w:val="none" w:sz="0" w:space="0" w:color="auto"/>
        <w:right w:val="none" w:sz="0" w:space="0" w:color="auto"/>
      </w:divBdr>
    </w:div>
    <w:div w:id="1851526462">
      <w:bodyDiv w:val="1"/>
      <w:marLeft w:val="0"/>
      <w:marRight w:val="0"/>
      <w:marTop w:val="0"/>
      <w:marBottom w:val="0"/>
      <w:divBdr>
        <w:top w:val="none" w:sz="0" w:space="0" w:color="auto"/>
        <w:left w:val="none" w:sz="0" w:space="0" w:color="auto"/>
        <w:bottom w:val="none" w:sz="0" w:space="0" w:color="auto"/>
        <w:right w:val="none" w:sz="0" w:space="0" w:color="auto"/>
      </w:divBdr>
    </w:div>
    <w:div w:id="1869641146">
      <w:bodyDiv w:val="1"/>
      <w:marLeft w:val="0"/>
      <w:marRight w:val="0"/>
      <w:marTop w:val="0"/>
      <w:marBottom w:val="0"/>
      <w:divBdr>
        <w:top w:val="none" w:sz="0" w:space="0" w:color="auto"/>
        <w:left w:val="none" w:sz="0" w:space="0" w:color="auto"/>
        <w:bottom w:val="none" w:sz="0" w:space="0" w:color="auto"/>
        <w:right w:val="none" w:sz="0" w:space="0" w:color="auto"/>
      </w:divBdr>
    </w:div>
    <w:div w:id="1873303436">
      <w:bodyDiv w:val="1"/>
      <w:marLeft w:val="0"/>
      <w:marRight w:val="0"/>
      <w:marTop w:val="0"/>
      <w:marBottom w:val="0"/>
      <w:divBdr>
        <w:top w:val="none" w:sz="0" w:space="0" w:color="auto"/>
        <w:left w:val="none" w:sz="0" w:space="0" w:color="auto"/>
        <w:bottom w:val="none" w:sz="0" w:space="0" w:color="auto"/>
        <w:right w:val="none" w:sz="0" w:space="0" w:color="auto"/>
      </w:divBdr>
    </w:div>
    <w:div w:id="1874222851">
      <w:bodyDiv w:val="1"/>
      <w:marLeft w:val="0"/>
      <w:marRight w:val="0"/>
      <w:marTop w:val="0"/>
      <w:marBottom w:val="0"/>
      <w:divBdr>
        <w:top w:val="none" w:sz="0" w:space="0" w:color="auto"/>
        <w:left w:val="none" w:sz="0" w:space="0" w:color="auto"/>
        <w:bottom w:val="none" w:sz="0" w:space="0" w:color="auto"/>
        <w:right w:val="none" w:sz="0" w:space="0" w:color="auto"/>
      </w:divBdr>
    </w:div>
    <w:div w:id="1889223873">
      <w:bodyDiv w:val="1"/>
      <w:marLeft w:val="0"/>
      <w:marRight w:val="0"/>
      <w:marTop w:val="0"/>
      <w:marBottom w:val="0"/>
      <w:divBdr>
        <w:top w:val="none" w:sz="0" w:space="0" w:color="auto"/>
        <w:left w:val="none" w:sz="0" w:space="0" w:color="auto"/>
        <w:bottom w:val="none" w:sz="0" w:space="0" w:color="auto"/>
        <w:right w:val="none" w:sz="0" w:space="0" w:color="auto"/>
      </w:divBdr>
    </w:div>
    <w:div w:id="1900090021">
      <w:bodyDiv w:val="1"/>
      <w:marLeft w:val="0"/>
      <w:marRight w:val="0"/>
      <w:marTop w:val="0"/>
      <w:marBottom w:val="0"/>
      <w:divBdr>
        <w:top w:val="none" w:sz="0" w:space="0" w:color="auto"/>
        <w:left w:val="none" w:sz="0" w:space="0" w:color="auto"/>
        <w:bottom w:val="none" w:sz="0" w:space="0" w:color="auto"/>
        <w:right w:val="none" w:sz="0" w:space="0" w:color="auto"/>
      </w:divBdr>
    </w:div>
    <w:div w:id="1901357693">
      <w:bodyDiv w:val="1"/>
      <w:marLeft w:val="0"/>
      <w:marRight w:val="0"/>
      <w:marTop w:val="0"/>
      <w:marBottom w:val="0"/>
      <w:divBdr>
        <w:top w:val="none" w:sz="0" w:space="0" w:color="auto"/>
        <w:left w:val="none" w:sz="0" w:space="0" w:color="auto"/>
        <w:bottom w:val="none" w:sz="0" w:space="0" w:color="auto"/>
        <w:right w:val="none" w:sz="0" w:space="0" w:color="auto"/>
      </w:divBdr>
    </w:div>
    <w:div w:id="1901481459">
      <w:bodyDiv w:val="1"/>
      <w:marLeft w:val="0"/>
      <w:marRight w:val="0"/>
      <w:marTop w:val="0"/>
      <w:marBottom w:val="0"/>
      <w:divBdr>
        <w:top w:val="none" w:sz="0" w:space="0" w:color="auto"/>
        <w:left w:val="none" w:sz="0" w:space="0" w:color="auto"/>
        <w:bottom w:val="none" w:sz="0" w:space="0" w:color="auto"/>
        <w:right w:val="none" w:sz="0" w:space="0" w:color="auto"/>
      </w:divBdr>
    </w:div>
    <w:div w:id="1914780462">
      <w:bodyDiv w:val="1"/>
      <w:marLeft w:val="0"/>
      <w:marRight w:val="0"/>
      <w:marTop w:val="0"/>
      <w:marBottom w:val="0"/>
      <w:divBdr>
        <w:top w:val="none" w:sz="0" w:space="0" w:color="auto"/>
        <w:left w:val="none" w:sz="0" w:space="0" w:color="auto"/>
        <w:bottom w:val="none" w:sz="0" w:space="0" w:color="auto"/>
        <w:right w:val="none" w:sz="0" w:space="0" w:color="auto"/>
      </w:divBdr>
    </w:div>
    <w:div w:id="1927303136">
      <w:bodyDiv w:val="1"/>
      <w:marLeft w:val="0"/>
      <w:marRight w:val="0"/>
      <w:marTop w:val="0"/>
      <w:marBottom w:val="0"/>
      <w:divBdr>
        <w:top w:val="none" w:sz="0" w:space="0" w:color="auto"/>
        <w:left w:val="none" w:sz="0" w:space="0" w:color="auto"/>
        <w:bottom w:val="none" w:sz="0" w:space="0" w:color="auto"/>
        <w:right w:val="none" w:sz="0" w:space="0" w:color="auto"/>
      </w:divBdr>
    </w:div>
    <w:div w:id="1928423779">
      <w:bodyDiv w:val="1"/>
      <w:marLeft w:val="0"/>
      <w:marRight w:val="0"/>
      <w:marTop w:val="0"/>
      <w:marBottom w:val="0"/>
      <w:divBdr>
        <w:top w:val="none" w:sz="0" w:space="0" w:color="auto"/>
        <w:left w:val="none" w:sz="0" w:space="0" w:color="auto"/>
        <w:bottom w:val="none" w:sz="0" w:space="0" w:color="auto"/>
        <w:right w:val="none" w:sz="0" w:space="0" w:color="auto"/>
      </w:divBdr>
    </w:div>
    <w:div w:id="1940679843">
      <w:bodyDiv w:val="1"/>
      <w:marLeft w:val="0"/>
      <w:marRight w:val="0"/>
      <w:marTop w:val="0"/>
      <w:marBottom w:val="0"/>
      <w:divBdr>
        <w:top w:val="none" w:sz="0" w:space="0" w:color="auto"/>
        <w:left w:val="none" w:sz="0" w:space="0" w:color="auto"/>
        <w:bottom w:val="none" w:sz="0" w:space="0" w:color="auto"/>
        <w:right w:val="none" w:sz="0" w:space="0" w:color="auto"/>
      </w:divBdr>
    </w:div>
    <w:div w:id="1964069091">
      <w:bodyDiv w:val="1"/>
      <w:marLeft w:val="0"/>
      <w:marRight w:val="0"/>
      <w:marTop w:val="0"/>
      <w:marBottom w:val="0"/>
      <w:divBdr>
        <w:top w:val="none" w:sz="0" w:space="0" w:color="auto"/>
        <w:left w:val="none" w:sz="0" w:space="0" w:color="auto"/>
        <w:bottom w:val="none" w:sz="0" w:space="0" w:color="auto"/>
        <w:right w:val="none" w:sz="0" w:space="0" w:color="auto"/>
      </w:divBdr>
    </w:div>
    <w:div w:id="1987394946">
      <w:bodyDiv w:val="1"/>
      <w:marLeft w:val="0"/>
      <w:marRight w:val="0"/>
      <w:marTop w:val="0"/>
      <w:marBottom w:val="0"/>
      <w:divBdr>
        <w:top w:val="none" w:sz="0" w:space="0" w:color="auto"/>
        <w:left w:val="none" w:sz="0" w:space="0" w:color="auto"/>
        <w:bottom w:val="none" w:sz="0" w:space="0" w:color="auto"/>
        <w:right w:val="none" w:sz="0" w:space="0" w:color="auto"/>
      </w:divBdr>
    </w:div>
    <w:div w:id="1999259098">
      <w:bodyDiv w:val="1"/>
      <w:marLeft w:val="0"/>
      <w:marRight w:val="0"/>
      <w:marTop w:val="0"/>
      <w:marBottom w:val="0"/>
      <w:divBdr>
        <w:top w:val="none" w:sz="0" w:space="0" w:color="auto"/>
        <w:left w:val="none" w:sz="0" w:space="0" w:color="auto"/>
        <w:bottom w:val="none" w:sz="0" w:space="0" w:color="auto"/>
        <w:right w:val="none" w:sz="0" w:space="0" w:color="auto"/>
      </w:divBdr>
    </w:div>
    <w:div w:id="2013601368">
      <w:bodyDiv w:val="1"/>
      <w:marLeft w:val="0"/>
      <w:marRight w:val="0"/>
      <w:marTop w:val="0"/>
      <w:marBottom w:val="0"/>
      <w:divBdr>
        <w:top w:val="none" w:sz="0" w:space="0" w:color="auto"/>
        <w:left w:val="none" w:sz="0" w:space="0" w:color="auto"/>
        <w:bottom w:val="none" w:sz="0" w:space="0" w:color="auto"/>
        <w:right w:val="none" w:sz="0" w:space="0" w:color="auto"/>
      </w:divBdr>
    </w:div>
    <w:div w:id="2013995612">
      <w:bodyDiv w:val="1"/>
      <w:marLeft w:val="0"/>
      <w:marRight w:val="0"/>
      <w:marTop w:val="0"/>
      <w:marBottom w:val="0"/>
      <w:divBdr>
        <w:top w:val="none" w:sz="0" w:space="0" w:color="auto"/>
        <w:left w:val="none" w:sz="0" w:space="0" w:color="auto"/>
        <w:bottom w:val="none" w:sz="0" w:space="0" w:color="auto"/>
        <w:right w:val="none" w:sz="0" w:space="0" w:color="auto"/>
      </w:divBdr>
    </w:div>
    <w:div w:id="2020739280">
      <w:bodyDiv w:val="1"/>
      <w:marLeft w:val="0"/>
      <w:marRight w:val="0"/>
      <w:marTop w:val="0"/>
      <w:marBottom w:val="0"/>
      <w:divBdr>
        <w:top w:val="none" w:sz="0" w:space="0" w:color="auto"/>
        <w:left w:val="none" w:sz="0" w:space="0" w:color="auto"/>
        <w:bottom w:val="none" w:sz="0" w:space="0" w:color="auto"/>
        <w:right w:val="none" w:sz="0" w:space="0" w:color="auto"/>
      </w:divBdr>
    </w:div>
    <w:div w:id="2028798194">
      <w:bodyDiv w:val="1"/>
      <w:marLeft w:val="0"/>
      <w:marRight w:val="0"/>
      <w:marTop w:val="0"/>
      <w:marBottom w:val="0"/>
      <w:divBdr>
        <w:top w:val="none" w:sz="0" w:space="0" w:color="auto"/>
        <w:left w:val="none" w:sz="0" w:space="0" w:color="auto"/>
        <w:bottom w:val="none" w:sz="0" w:space="0" w:color="auto"/>
        <w:right w:val="none" w:sz="0" w:space="0" w:color="auto"/>
      </w:divBdr>
    </w:div>
    <w:div w:id="2039501751">
      <w:bodyDiv w:val="1"/>
      <w:marLeft w:val="0"/>
      <w:marRight w:val="0"/>
      <w:marTop w:val="0"/>
      <w:marBottom w:val="0"/>
      <w:divBdr>
        <w:top w:val="none" w:sz="0" w:space="0" w:color="auto"/>
        <w:left w:val="none" w:sz="0" w:space="0" w:color="auto"/>
        <w:bottom w:val="none" w:sz="0" w:space="0" w:color="auto"/>
        <w:right w:val="none" w:sz="0" w:space="0" w:color="auto"/>
      </w:divBdr>
    </w:div>
    <w:div w:id="2043937181">
      <w:bodyDiv w:val="1"/>
      <w:marLeft w:val="0"/>
      <w:marRight w:val="0"/>
      <w:marTop w:val="0"/>
      <w:marBottom w:val="0"/>
      <w:divBdr>
        <w:top w:val="none" w:sz="0" w:space="0" w:color="auto"/>
        <w:left w:val="none" w:sz="0" w:space="0" w:color="auto"/>
        <w:bottom w:val="none" w:sz="0" w:space="0" w:color="auto"/>
        <w:right w:val="none" w:sz="0" w:space="0" w:color="auto"/>
      </w:divBdr>
    </w:div>
    <w:div w:id="2052998655">
      <w:bodyDiv w:val="1"/>
      <w:marLeft w:val="0"/>
      <w:marRight w:val="0"/>
      <w:marTop w:val="0"/>
      <w:marBottom w:val="0"/>
      <w:divBdr>
        <w:top w:val="none" w:sz="0" w:space="0" w:color="auto"/>
        <w:left w:val="none" w:sz="0" w:space="0" w:color="auto"/>
        <w:bottom w:val="none" w:sz="0" w:space="0" w:color="auto"/>
        <w:right w:val="none" w:sz="0" w:space="0" w:color="auto"/>
      </w:divBdr>
    </w:div>
    <w:div w:id="2054570562">
      <w:bodyDiv w:val="1"/>
      <w:marLeft w:val="0"/>
      <w:marRight w:val="0"/>
      <w:marTop w:val="0"/>
      <w:marBottom w:val="0"/>
      <w:divBdr>
        <w:top w:val="none" w:sz="0" w:space="0" w:color="auto"/>
        <w:left w:val="none" w:sz="0" w:space="0" w:color="auto"/>
        <w:bottom w:val="none" w:sz="0" w:space="0" w:color="auto"/>
        <w:right w:val="none" w:sz="0" w:space="0" w:color="auto"/>
      </w:divBdr>
    </w:div>
    <w:div w:id="2057731328">
      <w:bodyDiv w:val="1"/>
      <w:marLeft w:val="0"/>
      <w:marRight w:val="0"/>
      <w:marTop w:val="0"/>
      <w:marBottom w:val="0"/>
      <w:divBdr>
        <w:top w:val="none" w:sz="0" w:space="0" w:color="auto"/>
        <w:left w:val="none" w:sz="0" w:space="0" w:color="auto"/>
        <w:bottom w:val="none" w:sz="0" w:space="0" w:color="auto"/>
        <w:right w:val="none" w:sz="0" w:space="0" w:color="auto"/>
      </w:divBdr>
    </w:div>
    <w:div w:id="2063094572">
      <w:bodyDiv w:val="1"/>
      <w:marLeft w:val="0"/>
      <w:marRight w:val="0"/>
      <w:marTop w:val="0"/>
      <w:marBottom w:val="0"/>
      <w:divBdr>
        <w:top w:val="none" w:sz="0" w:space="0" w:color="auto"/>
        <w:left w:val="none" w:sz="0" w:space="0" w:color="auto"/>
        <w:bottom w:val="none" w:sz="0" w:space="0" w:color="auto"/>
        <w:right w:val="none" w:sz="0" w:space="0" w:color="auto"/>
      </w:divBdr>
    </w:div>
    <w:div w:id="2085175833">
      <w:bodyDiv w:val="1"/>
      <w:marLeft w:val="0"/>
      <w:marRight w:val="0"/>
      <w:marTop w:val="0"/>
      <w:marBottom w:val="0"/>
      <w:divBdr>
        <w:top w:val="none" w:sz="0" w:space="0" w:color="auto"/>
        <w:left w:val="none" w:sz="0" w:space="0" w:color="auto"/>
        <w:bottom w:val="none" w:sz="0" w:space="0" w:color="auto"/>
        <w:right w:val="none" w:sz="0" w:space="0" w:color="auto"/>
      </w:divBdr>
    </w:div>
    <w:div w:id="2086874446">
      <w:bodyDiv w:val="1"/>
      <w:marLeft w:val="0"/>
      <w:marRight w:val="0"/>
      <w:marTop w:val="0"/>
      <w:marBottom w:val="0"/>
      <w:divBdr>
        <w:top w:val="none" w:sz="0" w:space="0" w:color="auto"/>
        <w:left w:val="none" w:sz="0" w:space="0" w:color="auto"/>
        <w:bottom w:val="none" w:sz="0" w:space="0" w:color="auto"/>
        <w:right w:val="none" w:sz="0" w:space="0" w:color="auto"/>
      </w:divBdr>
    </w:div>
    <w:div w:id="2130464598">
      <w:bodyDiv w:val="1"/>
      <w:marLeft w:val="0"/>
      <w:marRight w:val="0"/>
      <w:marTop w:val="0"/>
      <w:marBottom w:val="0"/>
      <w:divBdr>
        <w:top w:val="none" w:sz="0" w:space="0" w:color="auto"/>
        <w:left w:val="none" w:sz="0" w:space="0" w:color="auto"/>
        <w:bottom w:val="none" w:sz="0" w:space="0" w:color="auto"/>
        <w:right w:val="none" w:sz="0" w:space="0" w:color="auto"/>
      </w:divBdr>
    </w:div>
    <w:div w:id="21387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tech.org/vi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reertech.org/cctc-alignment-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AB9F8-67E3-4D2E-94A9-E6C367B8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10612</Words>
  <Characters>60490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CA Department of Education</Company>
  <LinksUpToDate>false</LinksUpToDate>
  <CharactersWithSpaces>70961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WPJAC February 2019 Agenda Item 01 Attachment 1 - Career Technical Education (CA Dept of Education)</dc:title>
  <dc:subject>Summary of public feedback on Guiding Policy Principles to Support K–14+ Pathways.</dc:subject>
  <dc:creator>Lisa Reimers</dc:creator>
  <cp:keywords/>
  <dc:description/>
  <cp:lastModifiedBy>Samuel Lee</cp:lastModifiedBy>
  <cp:revision>5</cp:revision>
  <dcterms:created xsi:type="dcterms:W3CDTF">2019-02-12T15:56:00Z</dcterms:created>
  <dcterms:modified xsi:type="dcterms:W3CDTF">2019-02-12T16:58:00Z</dcterms:modified>
</cp:coreProperties>
</file>