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9C868" w14:textId="77777777" w:rsidR="003A0CCA" w:rsidRPr="003311CD" w:rsidRDefault="003A0CCA" w:rsidP="003A0CCA">
      <w:pPr>
        <w:rPr>
          <w:rFonts w:cs="Arial"/>
        </w:rPr>
      </w:pPr>
      <w:r w:rsidRPr="003311CD">
        <w:rPr>
          <w:rFonts w:cs="Arial"/>
          <w:noProof/>
        </w:rPr>
        <w:drawing>
          <wp:inline distT="0" distB="0" distL="0" distR="0" wp14:anchorId="0E1D5C6B" wp14:editId="176F273A">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1E4091F2" wp14:editId="2E2BBB65">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EC0DA4C" wp14:editId="27836FD3">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049FB99" w14:textId="77777777"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3B11CA" w:rsidRPr="003311CD">
        <w:rPr>
          <w:rFonts w:cs="Arial"/>
          <w:sz w:val="40"/>
          <w:szCs w:val="40"/>
        </w:rPr>
        <w:t>November 20</w:t>
      </w:r>
      <w:r w:rsidR="00AF0408" w:rsidRPr="003311CD">
        <w:rPr>
          <w:rFonts w:cs="Arial"/>
          <w:sz w:val="40"/>
          <w:szCs w:val="40"/>
        </w:rPr>
        <w:t xml:space="preserve">, </w:t>
      </w:r>
      <w:r w:rsidRPr="003311CD">
        <w:rPr>
          <w:rFonts w:cs="Arial"/>
          <w:sz w:val="40"/>
          <w:szCs w:val="40"/>
        </w:rPr>
        <w:t>2020</w:t>
      </w:r>
      <w:r w:rsidRPr="003311CD">
        <w:rPr>
          <w:rFonts w:cs="Arial"/>
          <w:sz w:val="40"/>
          <w:szCs w:val="40"/>
        </w:rPr>
        <w:br/>
        <w:t xml:space="preserve">Agenda Item </w:t>
      </w:r>
      <w:r w:rsidR="00DA7A99" w:rsidRPr="003311CD">
        <w:rPr>
          <w:rFonts w:cs="Arial"/>
          <w:sz w:val="40"/>
          <w:szCs w:val="40"/>
        </w:rPr>
        <w:t>02</w:t>
      </w:r>
    </w:p>
    <w:p w14:paraId="5145F0CD" w14:textId="77777777" w:rsidR="003A0CCA" w:rsidRPr="003311CD" w:rsidRDefault="003A0CCA" w:rsidP="003A0CCA">
      <w:pPr>
        <w:jc w:val="center"/>
        <w:rPr>
          <w:rFonts w:cs="Arial"/>
        </w:rPr>
      </w:pPr>
      <w:r w:rsidRPr="003311CD">
        <w:rPr>
          <w:rFonts w:cs="Arial"/>
        </w:rPr>
        <w:t>Posted by the California Department of Education</w:t>
      </w:r>
    </w:p>
    <w:p w14:paraId="0333C89C" w14:textId="77777777" w:rsidR="00144DF4" w:rsidRPr="003311CD" w:rsidRDefault="00FC1FCE" w:rsidP="00D370A0">
      <w:pPr>
        <w:pStyle w:val="Heading2"/>
        <w:spacing w:before="480" w:after="240"/>
        <w:rPr>
          <w:rFonts w:cs="Arial"/>
          <w:sz w:val="36"/>
          <w:szCs w:val="36"/>
        </w:rPr>
      </w:pPr>
      <w:r w:rsidRPr="003311CD">
        <w:rPr>
          <w:rFonts w:cs="Arial"/>
          <w:sz w:val="36"/>
          <w:szCs w:val="36"/>
        </w:rPr>
        <w:t>Subject</w:t>
      </w:r>
    </w:p>
    <w:p w14:paraId="74A3BDDE" w14:textId="17624CA8" w:rsidR="00F25602" w:rsidRPr="003311CD" w:rsidRDefault="000D35C8" w:rsidP="00CE3317">
      <w:pPr>
        <w:spacing w:after="240"/>
        <w:rPr>
          <w:rFonts w:cs="Arial"/>
        </w:rPr>
      </w:pPr>
      <w:r w:rsidRPr="003311CD">
        <w:rPr>
          <w:rFonts w:cs="Arial"/>
        </w:rPr>
        <w:t>The Career Technical Education Incentive Grant</w:t>
      </w:r>
      <w:r w:rsidR="009A32D9" w:rsidRPr="003311CD">
        <w:rPr>
          <w:rFonts w:cs="Arial"/>
        </w:rPr>
        <w:t xml:space="preserve"> (CTEIG)</w:t>
      </w:r>
      <w:r w:rsidRPr="003311CD">
        <w:rPr>
          <w:rFonts w:cs="Arial"/>
        </w:rPr>
        <w:t xml:space="preserve"> and the Kindergarten through Grade Twelve Strong Workforce Program</w:t>
      </w:r>
      <w:r w:rsidR="009A32D9" w:rsidRPr="003311CD">
        <w:rPr>
          <w:rFonts w:cs="Arial"/>
        </w:rPr>
        <w:t xml:space="preserve"> (K–12 SWP)</w:t>
      </w:r>
      <w:r w:rsidR="00FC2674" w:rsidRPr="003311CD">
        <w:rPr>
          <w:rFonts w:cs="Arial"/>
        </w:rPr>
        <w:t>:</w:t>
      </w:r>
      <w:r w:rsidR="00BC70C9" w:rsidRPr="003311CD">
        <w:rPr>
          <w:rFonts w:cs="Arial"/>
        </w:rPr>
        <w:t xml:space="preserve"> </w:t>
      </w:r>
      <w:r w:rsidR="00FC2674" w:rsidRPr="003311CD">
        <w:rPr>
          <w:rFonts w:cs="Arial"/>
        </w:rPr>
        <w:t>U</w:t>
      </w:r>
      <w:r w:rsidR="003C79E6" w:rsidRPr="003311CD">
        <w:rPr>
          <w:rFonts w:cs="Arial"/>
        </w:rPr>
        <w:t>pdate</w:t>
      </w:r>
      <w:r w:rsidR="00BC70C9" w:rsidRPr="003311CD">
        <w:rPr>
          <w:rFonts w:cs="Arial"/>
        </w:rPr>
        <w:t xml:space="preserve"> </w:t>
      </w:r>
      <w:r w:rsidR="00FC2674" w:rsidRPr="003311CD">
        <w:rPr>
          <w:rFonts w:cs="Arial"/>
        </w:rPr>
        <w:t xml:space="preserve">on </w:t>
      </w:r>
      <w:r w:rsidR="003C79E6" w:rsidRPr="003311CD">
        <w:rPr>
          <w:rFonts w:cs="Arial"/>
        </w:rPr>
        <w:t xml:space="preserve">the </w:t>
      </w:r>
      <w:r w:rsidR="00EE4F2A" w:rsidRPr="003311CD">
        <w:rPr>
          <w:rFonts w:cs="Arial"/>
        </w:rPr>
        <w:t>2020</w:t>
      </w:r>
      <w:r w:rsidR="000C3068" w:rsidRPr="003311CD">
        <w:rPr>
          <w:rFonts w:cs="Arial"/>
        </w:rPr>
        <w:t>–</w:t>
      </w:r>
      <w:r w:rsidR="00EE4F2A" w:rsidRPr="003311CD">
        <w:rPr>
          <w:rFonts w:cs="Arial"/>
        </w:rPr>
        <w:t xml:space="preserve">21 </w:t>
      </w:r>
      <w:r w:rsidR="009A32D9" w:rsidRPr="003311CD">
        <w:rPr>
          <w:rFonts w:cs="Arial"/>
        </w:rPr>
        <w:t>CTEIG</w:t>
      </w:r>
      <w:r w:rsidR="00A406EA" w:rsidRPr="003311CD">
        <w:rPr>
          <w:rFonts w:cs="Arial"/>
        </w:rPr>
        <w:t xml:space="preserve"> </w:t>
      </w:r>
      <w:r w:rsidR="00FC2674" w:rsidRPr="003311CD">
        <w:rPr>
          <w:rFonts w:cs="Arial"/>
        </w:rPr>
        <w:t>F</w:t>
      </w:r>
      <w:r w:rsidR="003B11CA" w:rsidRPr="003311CD">
        <w:rPr>
          <w:rFonts w:cs="Arial"/>
        </w:rPr>
        <w:t xml:space="preserve">unding </w:t>
      </w:r>
      <w:r w:rsidR="00FC2674" w:rsidRPr="003311CD">
        <w:rPr>
          <w:rFonts w:cs="Arial"/>
        </w:rPr>
        <w:t>A</w:t>
      </w:r>
      <w:r w:rsidR="003B11CA" w:rsidRPr="003311CD">
        <w:rPr>
          <w:rFonts w:cs="Arial"/>
        </w:rPr>
        <w:t>llocations</w:t>
      </w:r>
      <w:r w:rsidR="00EE4F2A" w:rsidRPr="003311CD">
        <w:rPr>
          <w:rFonts w:cs="Arial"/>
        </w:rPr>
        <w:t>,</w:t>
      </w:r>
      <w:r w:rsidR="009A32D9" w:rsidRPr="003311CD">
        <w:rPr>
          <w:rFonts w:cs="Arial"/>
        </w:rPr>
        <w:t xml:space="preserve"> the 2020</w:t>
      </w:r>
      <w:r w:rsidR="002717C0" w:rsidRPr="003311CD">
        <w:rPr>
          <w:rFonts w:cs="Arial"/>
        </w:rPr>
        <w:t>–</w:t>
      </w:r>
      <w:r w:rsidR="009A32D9" w:rsidRPr="003311CD">
        <w:rPr>
          <w:rFonts w:cs="Arial"/>
        </w:rPr>
        <w:t xml:space="preserve">21 K–12 SWP </w:t>
      </w:r>
      <w:r w:rsidR="00FC2674" w:rsidRPr="003311CD">
        <w:rPr>
          <w:rFonts w:cs="Arial"/>
        </w:rPr>
        <w:t>A</w:t>
      </w:r>
      <w:r w:rsidR="009A32D9" w:rsidRPr="003311CD">
        <w:rPr>
          <w:rFonts w:cs="Arial"/>
        </w:rPr>
        <w:t>pplication</w:t>
      </w:r>
      <w:r w:rsidR="00EE4F2A" w:rsidRPr="003311CD">
        <w:rPr>
          <w:rFonts w:cs="Arial"/>
        </w:rPr>
        <w:t xml:space="preserve">, </w:t>
      </w:r>
      <w:r w:rsidR="003C79E6" w:rsidRPr="003311CD">
        <w:rPr>
          <w:rFonts w:cs="Arial"/>
        </w:rPr>
        <w:t xml:space="preserve">the </w:t>
      </w:r>
      <w:r w:rsidR="00832A5D" w:rsidRPr="003311CD">
        <w:rPr>
          <w:rFonts w:cs="Arial"/>
        </w:rPr>
        <w:t>M</w:t>
      </w:r>
      <w:r w:rsidR="00E66CC9" w:rsidRPr="003311CD">
        <w:rPr>
          <w:rFonts w:cs="Arial"/>
        </w:rPr>
        <w:t xml:space="preserve">emorandum </w:t>
      </w:r>
      <w:r w:rsidR="00EE4F2A" w:rsidRPr="003311CD">
        <w:rPr>
          <w:rFonts w:cs="Arial"/>
        </w:rPr>
        <w:t xml:space="preserve">of </w:t>
      </w:r>
      <w:r w:rsidR="00832A5D" w:rsidRPr="003311CD">
        <w:rPr>
          <w:rFonts w:cs="Arial"/>
        </w:rPr>
        <w:t>U</w:t>
      </w:r>
      <w:r w:rsidR="00E66CC9" w:rsidRPr="003311CD">
        <w:rPr>
          <w:rFonts w:cs="Arial"/>
        </w:rPr>
        <w:t xml:space="preserve">nderstanding </w:t>
      </w:r>
      <w:r w:rsidR="00832A5D" w:rsidRPr="003311CD">
        <w:rPr>
          <w:rFonts w:cs="Arial"/>
        </w:rPr>
        <w:t xml:space="preserve">(MOU) </w:t>
      </w:r>
      <w:r w:rsidR="00BC70C9" w:rsidRPr="003311CD">
        <w:rPr>
          <w:rFonts w:cs="Arial"/>
        </w:rPr>
        <w:t xml:space="preserve">on </w:t>
      </w:r>
      <w:r w:rsidR="00FC2674" w:rsidRPr="003311CD">
        <w:rPr>
          <w:rFonts w:cs="Arial"/>
        </w:rPr>
        <w:t>D</w:t>
      </w:r>
      <w:r w:rsidR="003C79E6" w:rsidRPr="003311CD">
        <w:rPr>
          <w:rFonts w:cs="Arial"/>
        </w:rPr>
        <w:t xml:space="preserve">ata </w:t>
      </w:r>
      <w:r w:rsidR="00FC2674" w:rsidRPr="003311CD">
        <w:rPr>
          <w:rFonts w:cs="Arial"/>
        </w:rPr>
        <w:t>S</w:t>
      </w:r>
      <w:r w:rsidR="003C79E6" w:rsidRPr="003311CD">
        <w:rPr>
          <w:rFonts w:cs="Arial"/>
        </w:rPr>
        <w:t>haring</w:t>
      </w:r>
      <w:r w:rsidR="00EE4F2A" w:rsidRPr="003311CD">
        <w:rPr>
          <w:rFonts w:cs="Arial"/>
        </w:rPr>
        <w:t xml:space="preserve">, and </w:t>
      </w:r>
      <w:r w:rsidR="00FC2674" w:rsidRPr="003311CD">
        <w:rPr>
          <w:rFonts w:cs="Arial"/>
        </w:rPr>
        <w:t>2020 R</w:t>
      </w:r>
      <w:r w:rsidR="003C79E6" w:rsidRPr="003311CD">
        <w:rPr>
          <w:rFonts w:cs="Arial"/>
        </w:rPr>
        <w:t xml:space="preserve">ecommendations </w:t>
      </w:r>
      <w:r w:rsidR="00EE4F2A" w:rsidRPr="003311CD">
        <w:rPr>
          <w:rFonts w:cs="Arial"/>
        </w:rPr>
        <w:t xml:space="preserve">on </w:t>
      </w:r>
      <w:r w:rsidR="00FC2674" w:rsidRPr="003311CD">
        <w:rPr>
          <w:rFonts w:cs="Arial"/>
        </w:rPr>
        <w:t>D</w:t>
      </w:r>
      <w:r w:rsidR="003C79E6" w:rsidRPr="003311CD">
        <w:rPr>
          <w:rFonts w:cs="Arial"/>
        </w:rPr>
        <w:t xml:space="preserve">ata </w:t>
      </w:r>
      <w:r w:rsidR="00FC2674" w:rsidRPr="003311CD">
        <w:rPr>
          <w:rFonts w:cs="Arial"/>
        </w:rPr>
        <w:t>M</w:t>
      </w:r>
      <w:r w:rsidR="003C79E6" w:rsidRPr="003311CD">
        <w:rPr>
          <w:rFonts w:cs="Arial"/>
        </w:rPr>
        <w:t>etrics</w:t>
      </w:r>
      <w:r w:rsidR="00AF7183" w:rsidRPr="003311CD">
        <w:rPr>
          <w:rFonts w:cs="Arial"/>
        </w:rPr>
        <w:t>.</w:t>
      </w:r>
    </w:p>
    <w:p w14:paraId="48B7EC81" w14:textId="77777777" w:rsidR="00FC1FCE" w:rsidRPr="003311CD" w:rsidRDefault="00FC1FCE" w:rsidP="003A0CCA">
      <w:pPr>
        <w:pStyle w:val="Heading2"/>
        <w:spacing w:before="480" w:after="240"/>
        <w:rPr>
          <w:rFonts w:cs="Arial"/>
          <w:sz w:val="36"/>
          <w:szCs w:val="36"/>
        </w:rPr>
      </w:pPr>
      <w:r w:rsidRPr="003311CD">
        <w:rPr>
          <w:rFonts w:cs="Arial"/>
          <w:sz w:val="36"/>
          <w:szCs w:val="36"/>
        </w:rPr>
        <w:t>Type of Action</w:t>
      </w:r>
    </w:p>
    <w:p w14:paraId="52F8EF32" w14:textId="77777777" w:rsidR="00D61502" w:rsidRPr="003311CD" w:rsidRDefault="00144DF4" w:rsidP="00D61502">
      <w:pPr>
        <w:spacing w:after="240"/>
        <w:rPr>
          <w:rFonts w:cs="Arial"/>
        </w:rPr>
      </w:pPr>
      <w:r w:rsidRPr="003311CD">
        <w:rPr>
          <w:rFonts w:cs="Arial"/>
          <w:noProof/>
        </w:rPr>
        <w:t>Information</w:t>
      </w:r>
      <w:r w:rsidR="00EE4F2A" w:rsidRPr="003311CD">
        <w:rPr>
          <w:rFonts w:cs="Arial"/>
          <w:noProof/>
        </w:rPr>
        <w:t>, Action</w:t>
      </w:r>
    </w:p>
    <w:p w14:paraId="32FD454E" w14:textId="77777777" w:rsidR="00FC1FCE" w:rsidRPr="003311CD" w:rsidRDefault="00FC1FCE" w:rsidP="003A0CCA">
      <w:pPr>
        <w:pStyle w:val="Heading2"/>
        <w:spacing w:before="480" w:after="240"/>
        <w:rPr>
          <w:rFonts w:cs="Arial"/>
          <w:sz w:val="36"/>
          <w:szCs w:val="36"/>
        </w:rPr>
      </w:pPr>
      <w:r w:rsidRPr="003311CD">
        <w:rPr>
          <w:rFonts w:cs="Arial"/>
          <w:sz w:val="36"/>
          <w:szCs w:val="36"/>
        </w:rPr>
        <w:t>Summary of the Issue(s)</w:t>
      </w:r>
    </w:p>
    <w:p w14:paraId="395889A4" w14:textId="77777777" w:rsidR="00167E35" w:rsidRPr="003311CD" w:rsidRDefault="00BC70C9" w:rsidP="007051E8">
      <w:pPr>
        <w:tabs>
          <w:tab w:val="left" w:pos="1755"/>
        </w:tabs>
        <w:spacing w:after="240"/>
        <w:rPr>
          <w:rFonts w:cs="Arial"/>
        </w:rPr>
      </w:pPr>
      <w:r w:rsidRPr="003311CD">
        <w:rPr>
          <w:rFonts w:cs="Arial"/>
        </w:rPr>
        <w:t xml:space="preserve">This agenda item </w:t>
      </w:r>
      <w:r w:rsidR="00E60842" w:rsidRPr="003311CD">
        <w:rPr>
          <w:rFonts w:cs="Arial"/>
        </w:rPr>
        <w:t>provides</w:t>
      </w:r>
      <w:r w:rsidRPr="003311CD">
        <w:rPr>
          <w:rFonts w:cs="Arial"/>
        </w:rPr>
        <w:t xml:space="preserve"> updates on various aspects of the CTEIG and K–12 SWP programs</w:t>
      </w:r>
      <w:r w:rsidR="00167E35" w:rsidRPr="003311CD">
        <w:rPr>
          <w:rFonts w:cs="Arial"/>
        </w:rPr>
        <w:t>, including:</w:t>
      </w:r>
    </w:p>
    <w:p w14:paraId="14A53D49" w14:textId="31238E91" w:rsidR="00167E35" w:rsidRPr="003311CD" w:rsidRDefault="00F814C5" w:rsidP="005859C2">
      <w:pPr>
        <w:pStyle w:val="ListParagraph"/>
        <w:numPr>
          <w:ilvl w:val="0"/>
          <w:numId w:val="12"/>
        </w:numPr>
        <w:tabs>
          <w:tab w:val="left" w:pos="1755"/>
        </w:tabs>
        <w:spacing w:after="240"/>
        <w:contextualSpacing w:val="0"/>
        <w:rPr>
          <w:rFonts w:cs="Arial"/>
        </w:rPr>
      </w:pPr>
      <w:r w:rsidRPr="003311CD">
        <w:rPr>
          <w:rFonts w:cs="Arial"/>
        </w:rPr>
        <w:t>T</w:t>
      </w:r>
      <w:r w:rsidR="00BC70C9" w:rsidRPr="003311CD">
        <w:rPr>
          <w:rFonts w:cs="Arial"/>
        </w:rPr>
        <w:t>he F</w:t>
      </w:r>
      <w:r w:rsidR="0003321E" w:rsidRPr="003311CD">
        <w:rPr>
          <w:rFonts w:cs="Arial"/>
        </w:rPr>
        <w:t xml:space="preserve">iscal Year (FY) </w:t>
      </w:r>
      <w:r w:rsidR="00BC70C9" w:rsidRPr="003311CD">
        <w:rPr>
          <w:rFonts w:cs="Arial"/>
        </w:rPr>
        <w:t>2020</w:t>
      </w:r>
      <w:r w:rsidR="00935E33" w:rsidRPr="003311CD">
        <w:rPr>
          <w:rFonts w:cs="Arial"/>
        </w:rPr>
        <w:t>–</w:t>
      </w:r>
      <w:r w:rsidR="00BC70C9" w:rsidRPr="003311CD">
        <w:rPr>
          <w:rFonts w:cs="Arial"/>
        </w:rPr>
        <w:t xml:space="preserve">21 CTEIG </w:t>
      </w:r>
      <w:r w:rsidR="003B11CA" w:rsidRPr="003311CD">
        <w:rPr>
          <w:rFonts w:cs="Arial"/>
        </w:rPr>
        <w:t>funding allocations</w:t>
      </w:r>
    </w:p>
    <w:p w14:paraId="222CD1CB" w14:textId="77777777" w:rsidR="003B11CA" w:rsidRPr="003311CD" w:rsidRDefault="003B11CA" w:rsidP="005859C2">
      <w:pPr>
        <w:pStyle w:val="ListParagraph"/>
        <w:numPr>
          <w:ilvl w:val="0"/>
          <w:numId w:val="12"/>
        </w:numPr>
        <w:tabs>
          <w:tab w:val="left" w:pos="1755"/>
        </w:tabs>
        <w:spacing w:after="240"/>
        <w:contextualSpacing w:val="0"/>
        <w:rPr>
          <w:rFonts w:cs="Arial"/>
        </w:rPr>
      </w:pPr>
      <w:r w:rsidRPr="003311CD">
        <w:rPr>
          <w:rFonts w:cs="Arial"/>
        </w:rPr>
        <w:t>The FY 2020–21 K–12 SWP application process</w:t>
      </w:r>
    </w:p>
    <w:p w14:paraId="2C791C09" w14:textId="3C2119BB" w:rsidR="00167E35" w:rsidRPr="003311CD" w:rsidRDefault="00F814C5" w:rsidP="005859C2">
      <w:pPr>
        <w:pStyle w:val="ListParagraph"/>
        <w:numPr>
          <w:ilvl w:val="0"/>
          <w:numId w:val="12"/>
        </w:numPr>
        <w:tabs>
          <w:tab w:val="left" w:pos="1755"/>
        </w:tabs>
        <w:spacing w:after="240"/>
        <w:contextualSpacing w:val="0"/>
        <w:rPr>
          <w:rFonts w:cs="Arial"/>
        </w:rPr>
      </w:pPr>
      <w:r w:rsidRPr="003311CD">
        <w:rPr>
          <w:rFonts w:cs="Arial"/>
        </w:rPr>
        <w:t>T</w:t>
      </w:r>
      <w:r w:rsidR="00BC70C9" w:rsidRPr="003311CD">
        <w:rPr>
          <w:rFonts w:cs="Arial"/>
        </w:rPr>
        <w:t xml:space="preserve">he </w:t>
      </w:r>
      <w:r w:rsidR="00832A5D" w:rsidRPr="003311CD">
        <w:rPr>
          <w:rFonts w:cs="Arial"/>
        </w:rPr>
        <w:t>MOU</w:t>
      </w:r>
      <w:r w:rsidR="00BC70C9" w:rsidRPr="003311CD">
        <w:rPr>
          <w:rFonts w:cs="Arial"/>
        </w:rPr>
        <w:t xml:space="preserve"> regarding the sharing of data between</w:t>
      </w:r>
      <w:r w:rsidR="0003321E" w:rsidRPr="003311CD">
        <w:rPr>
          <w:rFonts w:cs="Arial"/>
        </w:rPr>
        <w:t xml:space="preserve"> the</w:t>
      </w:r>
      <w:r w:rsidR="00BC70C9" w:rsidRPr="003311CD">
        <w:rPr>
          <w:rFonts w:cs="Arial"/>
        </w:rPr>
        <w:t xml:space="preserve"> </w:t>
      </w:r>
      <w:r w:rsidR="006D3B36" w:rsidRPr="003311CD">
        <w:rPr>
          <w:rFonts w:cs="Arial"/>
        </w:rPr>
        <w:t>California Department of Education (</w:t>
      </w:r>
      <w:r w:rsidR="00BC70C9" w:rsidRPr="003311CD">
        <w:rPr>
          <w:rFonts w:cs="Arial"/>
        </w:rPr>
        <w:t>CDE</w:t>
      </w:r>
      <w:r w:rsidR="006D3B36" w:rsidRPr="003311CD">
        <w:rPr>
          <w:rFonts w:cs="Arial"/>
        </w:rPr>
        <w:t>)</w:t>
      </w:r>
      <w:r w:rsidR="00BC70C9" w:rsidRPr="003311CD">
        <w:rPr>
          <w:rFonts w:cs="Arial"/>
        </w:rPr>
        <w:t xml:space="preserve"> and the </w:t>
      </w:r>
      <w:r w:rsidR="006D3B36" w:rsidRPr="003311CD">
        <w:rPr>
          <w:rFonts w:cs="Arial"/>
        </w:rPr>
        <w:t>California Community Colleges Chancellor’s Office (</w:t>
      </w:r>
      <w:r w:rsidR="00BC70C9" w:rsidRPr="003311CD">
        <w:rPr>
          <w:rFonts w:cs="Arial"/>
        </w:rPr>
        <w:t>CCCCO</w:t>
      </w:r>
      <w:r w:rsidR="006D3B36" w:rsidRPr="003311CD">
        <w:rPr>
          <w:rFonts w:cs="Arial"/>
        </w:rPr>
        <w:t>)</w:t>
      </w:r>
    </w:p>
    <w:p w14:paraId="3D353D17" w14:textId="441002C2" w:rsidR="00167E35" w:rsidRPr="003311CD" w:rsidRDefault="00FC2674" w:rsidP="00641BC4">
      <w:pPr>
        <w:pStyle w:val="ListParagraph"/>
        <w:numPr>
          <w:ilvl w:val="0"/>
          <w:numId w:val="12"/>
        </w:numPr>
        <w:tabs>
          <w:tab w:val="left" w:pos="1755"/>
        </w:tabs>
        <w:spacing w:after="240"/>
        <w:rPr>
          <w:rFonts w:cs="Arial"/>
        </w:rPr>
      </w:pPr>
      <w:r w:rsidRPr="003311CD">
        <w:rPr>
          <w:rFonts w:cs="Arial"/>
        </w:rPr>
        <w:lastRenderedPageBreak/>
        <w:t xml:space="preserve">2020 </w:t>
      </w:r>
      <w:r w:rsidR="00832A5D" w:rsidRPr="003311CD">
        <w:rPr>
          <w:rFonts w:cs="Arial"/>
        </w:rPr>
        <w:t>Re</w:t>
      </w:r>
      <w:r w:rsidRPr="003311CD">
        <w:rPr>
          <w:rFonts w:cs="Arial"/>
        </w:rPr>
        <w:t xml:space="preserve">commendations for </w:t>
      </w:r>
      <w:r w:rsidR="003C79E6" w:rsidRPr="003311CD">
        <w:rPr>
          <w:rFonts w:cs="Arial"/>
        </w:rPr>
        <w:t xml:space="preserve">the </w:t>
      </w:r>
      <w:r w:rsidR="00E60842" w:rsidRPr="003311CD">
        <w:rPr>
          <w:rFonts w:cs="Arial"/>
        </w:rPr>
        <w:t xml:space="preserve">CTEIG and </w:t>
      </w:r>
      <w:r w:rsidR="003C79E6" w:rsidRPr="003311CD">
        <w:rPr>
          <w:rFonts w:cs="Arial"/>
        </w:rPr>
        <w:t xml:space="preserve">the </w:t>
      </w:r>
      <w:r w:rsidR="00E60842" w:rsidRPr="003311CD">
        <w:rPr>
          <w:rFonts w:cs="Arial"/>
        </w:rPr>
        <w:t>K–12 SWP data metrics</w:t>
      </w:r>
    </w:p>
    <w:p w14:paraId="3E75818F" w14:textId="77777777" w:rsidR="004E74CA" w:rsidRPr="003311CD" w:rsidRDefault="004E74CA" w:rsidP="004E74CA">
      <w:pPr>
        <w:pStyle w:val="Heading2"/>
        <w:spacing w:before="480" w:after="240"/>
        <w:rPr>
          <w:rFonts w:cs="Arial"/>
          <w:sz w:val="36"/>
          <w:szCs w:val="36"/>
        </w:rPr>
      </w:pPr>
      <w:r w:rsidRPr="003311CD">
        <w:rPr>
          <w:rFonts w:cs="Arial"/>
          <w:sz w:val="36"/>
          <w:szCs w:val="36"/>
        </w:rPr>
        <w:t>Recommendation</w:t>
      </w:r>
    </w:p>
    <w:p w14:paraId="3CF81B7F" w14:textId="6E9843CC" w:rsidR="007C62BA" w:rsidRPr="003311CD" w:rsidRDefault="004E74CA" w:rsidP="004E74CA">
      <w:pPr>
        <w:spacing w:after="240"/>
        <w:rPr>
          <w:rFonts w:cs="Arial"/>
        </w:rPr>
      </w:pPr>
      <w:r w:rsidRPr="003311CD">
        <w:rPr>
          <w:rFonts w:cs="Arial"/>
        </w:rPr>
        <w:t xml:space="preserve">The </w:t>
      </w:r>
      <w:r w:rsidR="000A136F" w:rsidRPr="003311CD">
        <w:rPr>
          <w:rFonts w:cs="Arial"/>
        </w:rPr>
        <w:t xml:space="preserve">CDE and CCCCO </w:t>
      </w:r>
      <w:r w:rsidRPr="003311CD">
        <w:rPr>
          <w:rFonts w:cs="Arial"/>
        </w:rPr>
        <w:t>staff recommend that the C</w:t>
      </w:r>
      <w:r w:rsidR="00F75E4C" w:rsidRPr="003311CD">
        <w:rPr>
          <w:rFonts w:cs="Arial"/>
        </w:rPr>
        <w:t xml:space="preserve">alifornia </w:t>
      </w:r>
      <w:r w:rsidRPr="003311CD">
        <w:rPr>
          <w:rFonts w:cs="Arial"/>
        </w:rPr>
        <w:t>W</w:t>
      </w:r>
      <w:r w:rsidR="00F75E4C" w:rsidRPr="003311CD">
        <w:rPr>
          <w:rFonts w:cs="Arial"/>
        </w:rPr>
        <w:t xml:space="preserve">orkforce </w:t>
      </w:r>
      <w:r w:rsidRPr="003311CD">
        <w:rPr>
          <w:rFonts w:cs="Arial"/>
        </w:rPr>
        <w:t>P</w:t>
      </w:r>
      <w:r w:rsidR="00F75E4C" w:rsidRPr="003311CD">
        <w:rPr>
          <w:rFonts w:cs="Arial"/>
        </w:rPr>
        <w:t xml:space="preserve">athways </w:t>
      </w:r>
      <w:r w:rsidRPr="003311CD">
        <w:rPr>
          <w:rFonts w:cs="Arial"/>
        </w:rPr>
        <w:t>J</w:t>
      </w:r>
      <w:r w:rsidR="00F75E4C" w:rsidRPr="003311CD">
        <w:rPr>
          <w:rFonts w:cs="Arial"/>
        </w:rPr>
        <w:t xml:space="preserve">oint </w:t>
      </w:r>
      <w:r w:rsidRPr="003311CD">
        <w:rPr>
          <w:rFonts w:cs="Arial"/>
        </w:rPr>
        <w:t>A</w:t>
      </w:r>
      <w:r w:rsidR="00F75E4C" w:rsidRPr="003311CD">
        <w:rPr>
          <w:rFonts w:cs="Arial"/>
        </w:rPr>
        <w:t xml:space="preserve">dvisory </w:t>
      </w:r>
      <w:r w:rsidRPr="003311CD">
        <w:rPr>
          <w:rFonts w:cs="Arial"/>
        </w:rPr>
        <w:t>C</w:t>
      </w:r>
      <w:r w:rsidR="00F75E4C" w:rsidRPr="003311CD">
        <w:rPr>
          <w:rFonts w:cs="Arial"/>
        </w:rPr>
        <w:t>ommittee (CWPJAC)</w:t>
      </w:r>
      <w:r w:rsidRPr="003311CD">
        <w:rPr>
          <w:rFonts w:cs="Arial"/>
        </w:rPr>
        <w:t xml:space="preserve"> review and approve </w:t>
      </w:r>
      <w:r w:rsidR="00205533" w:rsidRPr="003311CD">
        <w:rPr>
          <w:rFonts w:cs="Arial"/>
        </w:rPr>
        <w:t xml:space="preserve">a phased approach </w:t>
      </w:r>
      <w:r w:rsidR="00FC2674" w:rsidRPr="003311CD">
        <w:rPr>
          <w:rFonts w:cs="Arial"/>
        </w:rPr>
        <w:t>for</w:t>
      </w:r>
      <w:r w:rsidR="00205533" w:rsidRPr="003311CD">
        <w:rPr>
          <w:rFonts w:cs="Arial"/>
        </w:rPr>
        <w:t xml:space="preserve"> </w:t>
      </w:r>
      <w:r w:rsidR="001D0408" w:rsidRPr="003311CD">
        <w:rPr>
          <w:rFonts w:cs="Arial"/>
        </w:rPr>
        <w:t>refining and updating</w:t>
      </w:r>
      <w:r w:rsidR="00205533" w:rsidRPr="003311CD">
        <w:rPr>
          <w:rFonts w:cs="Arial"/>
        </w:rPr>
        <w:t xml:space="preserve"> of </w:t>
      </w:r>
      <w:r w:rsidR="003C79E6" w:rsidRPr="003311CD">
        <w:rPr>
          <w:rFonts w:cs="Arial"/>
        </w:rPr>
        <w:t xml:space="preserve">the </w:t>
      </w:r>
      <w:r w:rsidR="00205533" w:rsidRPr="003311CD">
        <w:rPr>
          <w:rFonts w:cs="Arial"/>
        </w:rPr>
        <w:t xml:space="preserve">CTEIG and </w:t>
      </w:r>
      <w:r w:rsidR="003C79E6" w:rsidRPr="003311CD">
        <w:rPr>
          <w:rFonts w:cs="Arial"/>
        </w:rPr>
        <w:t xml:space="preserve">the </w:t>
      </w:r>
      <w:r w:rsidR="00205533" w:rsidRPr="003311CD">
        <w:rPr>
          <w:rFonts w:cs="Arial"/>
        </w:rPr>
        <w:t>K–12 SWP data</w:t>
      </w:r>
      <w:r w:rsidR="005D0467" w:rsidRPr="003311CD">
        <w:rPr>
          <w:rFonts w:cs="Arial"/>
        </w:rPr>
        <w:t xml:space="preserve"> metrics.</w:t>
      </w:r>
      <w:r w:rsidR="00DE3AAE" w:rsidRPr="003311CD">
        <w:rPr>
          <w:rFonts w:cs="Arial"/>
        </w:rPr>
        <w:t xml:space="preserve"> </w:t>
      </w:r>
      <w:r w:rsidR="005D0467" w:rsidRPr="003311CD">
        <w:rPr>
          <w:rFonts w:cs="Arial"/>
        </w:rPr>
        <w:t>S</w:t>
      </w:r>
      <w:r w:rsidR="005B328C" w:rsidRPr="003311CD">
        <w:rPr>
          <w:rFonts w:cs="Arial"/>
        </w:rPr>
        <w:t>pecifically</w:t>
      </w:r>
      <w:r w:rsidR="005D0467" w:rsidRPr="003311CD">
        <w:rPr>
          <w:rFonts w:cs="Arial"/>
        </w:rPr>
        <w:t>,</w:t>
      </w:r>
      <w:r w:rsidR="00413B6D" w:rsidRPr="003311CD">
        <w:rPr>
          <w:rFonts w:cs="Arial"/>
        </w:rPr>
        <w:t xml:space="preserve"> </w:t>
      </w:r>
      <w:r w:rsidR="005D0467" w:rsidRPr="003311CD">
        <w:rPr>
          <w:rFonts w:cs="Arial"/>
        </w:rPr>
        <w:t>staff</w:t>
      </w:r>
      <w:r w:rsidR="005B328C" w:rsidRPr="003311CD">
        <w:rPr>
          <w:rFonts w:cs="Arial"/>
        </w:rPr>
        <w:t xml:space="preserve"> </w:t>
      </w:r>
      <w:r w:rsidR="00413B6D" w:rsidRPr="003311CD">
        <w:rPr>
          <w:rFonts w:cs="Arial"/>
        </w:rPr>
        <w:t xml:space="preserve">are recommending that there be no change to </w:t>
      </w:r>
      <w:r w:rsidR="005B328C" w:rsidRPr="003311CD">
        <w:rPr>
          <w:rFonts w:cs="Arial"/>
        </w:rPr>
        <w:t xml:space="preserve">the CTEIG and the K–12 SWP data metrics </w:t>
      </w:r>
      <w:r w:rsidR="000A136F" w:rsidRPr="003311CD">
        <w:rPr>
          <w:rFonts w:cs="Arial"/>
        </w:rPr>
        <w:t>for this year</w:t>
      </w:r>
      <w:r w:rsidR="00832A5D" w:rsidRPr="003311CD">
        <w:rPr>
          <w:rFonts w:cs="Arial"/>
        </w:rPr>
        <w:t>.</w:t>
      </w:r>
      <w:r w:rsidRPr="003311CD">
        <w:rPr>
          <w:rFonts w:cs="Arial"/>
        </w:rPr>
        <w:t xml:space="preserve"> </w:t>
      </w:r>
      <w:r w:rsidR="00984558" w:rsidRPr="003311CD">
        <w:rPr>
          <w:rFonts w:cs="Arial"/>
        </w:rPr>
        <w:t>Also, the CWPJAC is being asked to permit</w:t>
      </w:r>
      <w:r w:rsidRPr="003311CD">
        <w:rPr>
          <w:rFonts w:cs="Arial"/>
        </w:rPr>
        <w:t xml:space="preserve"> staff to make any necessary, non-substantive clarifying edits </w:t>
      </w:r>
      <w:r w:rsidR="00587A1D" w:rsidRPr="003311CD">
        <w:rPr>
          <w:rFonts w:cs="Arial"/>
        </w:rPr>
        <w:t>on this phased approach which is included in</w:t>
      </w:r>
      <w:r w:rsidR="00984558" w:rsidRPr="003311CD">
        <w:rPr>
          <w:rFonts w:cs="Arial"/>
        </w:rPr>
        <w:t xml:space="preserve"> </w:t>
      </w:r>
      <w:r w:rsidR="00587A1D" w:rsidRPr="003311CD">
        <w:rPr>
          <w:rFonts w:cs="Arial"/>
        </w:rPr>
        <w:t xml:space="preserve">a Legislative Report on the </w:t>
      </w:r>
      <w:r w:rsidR="00984558" w:rsidRPr="003311CD">
        <w:rPr>
          <w:rFonts w:cs="Arial"/>
        </w:rPr>
        <w:t xml:space="preserve">CTEIG and the K–12 SWP </w:t>
      </w:r>
      <w:r w:rsidR="00587A1D" w:rsidRPr="003311CD">
        <w:rPr>
          <w:rFonts w:cs="Arial"/>
        </w:rPr>
        <w:t>programs and submitted</w:t>
      </w:r>
      <w:r w:rsidR="00FC2674" w:rsidRPr="003311CD">
        <w:rPr>
          <w:rFonts w:cs="Arial"/>
        </w:rPr>
        <w:t xml:space="preserve"> to the Department of Finance</w:t>
      </w:r>
      <w:r w:rsidR="003B101D" w:rsidRPr="003311CD">
        <w:rPr>
          <w:rFonts w:cs="Arial"/>
        </w:rPr>
        <w:t xml:space="preserve"> (DOF)</w:t>
      </w:r>
      <w:r w:rsidR="00FC2674" w:rsidRPr="003311CD">
        <w:rPr>
          <w:rFonts w:cs="Arial"/>
        </w:rPr>
        <w:t xml:space="preserve">, the policy and fiscal committees of the Legislature, and the Governor, as specified in </w:t>
      </w:r>
      <w:r w:rsidR="00FC2674" w:rsidRPr="003311CD">
        <w:rPr>
          <w:rFonts w:cs="Arial"/>
          <w:i/>
        </w:rPr>
        <w:t>Education Code</w:t>
      </w:r>
      <w:r w:rsidR="00FC2674" w:rsidRPr="003311CD">
        <w:rPr>
          <w:rFonts w:cs="Arial"/>
        </w:rPr>
        <w:t xml:space="preserve"> </w:t>
      </w:r>
      <w:r w:rsidR="007C5597" w:rsidRPr="003311CD">
        <w:rPr>
          <w:rFonts w:cs="Arial"/>
        </w:rPr>
        <w:t>(</w:t>
      </w:r>
      <w:r w:rsidR="007C5597" w:rsidRPr="003311CD">
        <w:rPr>
          <w:rFonts w:cs="Arial"/>
          <w:i/>
        </w:rPr>
        <w:t>EC</w:t>
      </w:r>
      <w:r w:rsidR="007C5597" w:rsidRPr="003311CD">
        <w:rPr>
          <w:rFonts w:cs="Arial"/>
        </w:rPr>
        <w:t xml:space="preserve">) </w:t>
      </w:r>
      <w:r w:rsidR="00FC2674" w:rsidRPr="003311CD">
        <w:rPr>
          <w:rFonts w:cs="Arial"/>
        </w:rPr>
        <w:t>sections 53071</w:t>
      </w:r>
      <w:r w:rsidR="00791042" w:rsidRPr="003311CD">
        <w:rPr>
          <w:rFonts w:cs="Arial"/>
        </w:rPr>
        <w:t xml:space="preserve"> and 88828</w:t>
      </w:r>
      <w:r w:rsidR="004F6259" w:rsidRPr="003311CD">
        <w:rPr>
          <w:rFonts w:cs="Arial"/>
        </w:rPr>
        <w:t>.</w:t>
      </w:r>
    </w:p>
    <w:p w14:paraId="1543BB18" w14:textId="77777777" w:rsidR="00B7410C" w:rsidRPr="003311CD" w:rsidRDefault="00F814C5" w:rsidP="005859C2">
      <w:pPr>
        <w:pStyle w:val="Heading2"/>
        <w:spacing w:before="480" w:after="240"/>
        <w:rPr>
          <w:rFonts w:cs="Arial"/>
          <w:sz w:val="36"/>
          <w:szCs w:val="36"/>
        </w:rPr>
      </w:pPr>
      <w:r w:rsidRPr="003311CD">
        <w:rPr>
          <w:rFonts w:cs="Arial"/>
          <w:sz w:val="36"/>
          <w:szCs w:val="36"/>
        </w:rPr>
        <w:t>Brief History of Key Issues</w:t>
      </w:r>
    </w:p>
    <w:p w14:paraId="626D4708" w14:textId="462386E1" w:rsidR="003C79E6" w:rsidRPr="003311CD" w:rsidRDefault="008C0560" w:rsidP="00AE6BBC">
      <w:pPr>
        <w:spacing w:after="240"/>
      </w:pPr>
      <w:r w:rsidRPr="003311CD">
        <w:t>The CTEIG was originally established by the Budget Act of 2015 with a one-time investment of $900 million to cover a three-year span</w:t>
      </w:r>
      <w:r w:rsidR="004A3BD0" w:rsidRPr="003311CD">
        <w:t>,</w:t>
      </w:r>
      <w:r w:rsidRPr="003311CD">
        <w:t xml:space="preserve"> and </w:t>
      </w:r>
      <w:r w:rsidR="003C79E6" w:rsidRPr="003311CD">
        <w:t xml:space="preserve">acted </w:t>
      </w:r>
      <w:r w:rsidRPr="003311CD">
        <w:t xml:space="preserve">as a bridge for local educational agencies (LEAs) </w:t>
      </w:r>
      <w:r w:rsidR="003C79E6" w:rsidRPr="003311CD">
        <w:t xml:space="preserve">to support career technical education (CTE) programs </w:t>
      </w:r>
      <w:r w:rsidRPr="003311CD">
        <w:t xml:space="preserve">until the </w:t>
      </w:r>
      <w:r w:rsidR="003B101D" w:rsidRPr="003311CD">
        <w:t>L</w:t>
      </w:r>
      <w:r w:rsidRPr="003311CD">
        <w:t xml:space="preserve">ocal </w:t>
      </w:r>
      <w:r w:rsidR="003B101D" w:rsidRPr="003311CD">
        <w:t>C</w:t>
      </w:r>
      <w:r w:rsidRPr="003311CD">
        <w:t xml:space="preserve">ontrol </w:t>
      </w:r>
      <w:r w:rsidR="003B101D" w:rsidRPr="003311CD">
        <w:t>F</w:t>
      </w:r>
      <w:r w:rsidRPr="003311CD">
        <w:t>u</w:t>
      </w:r>
      <w:r w:rsidR="00832A5D" w:rsidRPr="003311CD">
        <w:t xml:space="preserve">nding </w:t>
      </w:r>
      <w:r w:rsidR="003B101D" w:rsidRPr="003311CD">
        <w:t>F</w:t>
      </w:r>
      <w:r w:rsidR="00832A5D" w:rsidRPr="003311CD">
        <w:t>ormula was fully funded.</w:t>
      </w:r>
    </w:p>
    <w:p w14:paraId="760F4BDA" w14:textId="3D101789"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 xml:space="preserve">CTEIG and the K–12 SWP companion state programs were </w:t>
      </w:r>
      <w:r w:rsidRPr="003311CD">
        <w:rPr>
          <w:rFonts w:cs="Arial"/>
        </w:rPr>
        <w:t>allocated</w:t>
      </w:r>
      <w:r w:rsidR="00AE6BBC" w:rsidRPr="003311CD">
        <w:rPr>
          <w:rFonts w:cs="Arial"/>
        </w:rPr>
        <w:t xml:space="preserve"> </w:t>
      </w:r>
      <w:r w:rsidR="00AE6BBC" w:rsidRPr="003311CD">
        <w:t>$300 million</w:t>
      </w:r>
      <w:r w:rsidRPr="003311CD">
        <w:t>, to be shared</w:t>
      </w:r>
      <w:r w:rsidR="00AE6BBC" w:rsidRPr="003311CD">
        <w:t xml:space="preserve"> equally between the CTEIG and K–12 SWP</w:t>
      </w:r>
      <w:r w:rsidRPr="003311CD">
        <w:t>, in ongoing funds</w:t>
      </w:r>
      <w:r w:rsidR="00AE6BBC" w:rsidRPr="003311CD">
        <w:t>. An additional $13.5 million was provided annually to establish technical assistance providers and workforce pathway coordinators in support of both state initiatives.</w:t>
      </w:r>
      <w:r w:rsidR="007159C8" w:rsidRPr="003311CD">
        <w:rPr>
          <w:rFonts w:cs="Arial"/>
        </w:rPr>
        <w:t xml:space="preserve"> </w:t>
      </w:r>
      <w:r w:rsidR="00AE6BBC" w:rsidRPr="003311CD">
        <w:rPr>
          <w:rFonts w:cs="Arial"/>
        </w:rPr>
        <w:t>The CTEIG and the K–12 SWP are administered by the CDE and the CCCCO, respectively</w:t>
      </w:r>
      <w:r w:rsidR="00AE6BBC" w:rsidRPr="003311CD">
        <w:t>.</w:t>
      </w:r>
    </w:p>
    <w:p w14:paraId="43DDF39D" w14:textId="42D1FEB5" w:rsidR="00F75E4C" w:rsidRPr="003311CD" w:rsidRDefault="00F75E4C" w:rsidP="00F75E4C">
      <w:pPr>
        <w:tabs>
          <w:tab w:val="left" w:pos="1755"/>
        </w:tabs>
        <w:spacing w:after="240"/>
        <w:rPr>
          <w:rFonts w:cs="Arial"/>
        </w:rPr>
      </w:pPr>
      <w:r w:rsidRPr="003311CD">
        <w:rPr>
          <w:rFonts w:cs="Arial"/>
        </w:rPr>
        <w:t xml:space="preserve">The CWPJAC, per </w:t>
      </w:r>
      <w:r w:rsidR="004A3BD0" w:rsidRPr="003311CD">
        <w:rPr>
          <w:rFonts w:cs="Arial"/>
        </w:rPr>
        <w:t xml:space="preserve">California </w:t>
      </w:r>
      <w:r w:rsidRPr="003311CD">
        <w:rPr>
          <w:rFonts w:cs="Arial"/>
          <w:i/>
        </w:rPr>
        <w:t xml:space="preserve">EC </w:t>
      </w:r>
      <w:r w:rsidRPr="003311CD">
        <w:rPr>
          <w:rFonts w:cs="Arial"/>
        </w:rPr>
        <w:t xml:space="preserve">sections 53071 and 88828, has the responsibility for making recommendations regarding the use of metrics for the CTEIG and the K–12 SWP to the </w:t>
      </w:r>
      <w:r w:rsidR="005C2D5A" w:rsidRPr="003311CD">
        <w:rPr>
          <w:rFonts w:cs="Arial"/>
        </w:rPr>
        <w:t>DOF</w:t>
      </w:r>
      <w:r w:rsidRPr="003311CD">
        <w:rPr>
          <w:rFonts w:cs="Arial"/>
        </w:rPr>
        <w:t>, the Governor, and appropriate policy and fiscal committees of the Legislature regarding whether:</w:t>
      </w:r>
    </w:p>
    <w:p w14:paraId="34D7ACF8"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The data metrics remain the most appropriate metrics to measure and evaluate program outcomes for both new and renewal applicants.</w:t>
      </w:r>
    </w:p>
    <w:p w14:paraId="51138541"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Other metrics should be included.</w:t>
      </w:r>
    </w:p>
    <w:p w14:paraId="74EBDC50" w14:textId="77777777" w:rsidR="004A3BD0" w:rsidRPr="003311CD" w:rsidRDefault="004A3BD0" w:rsidP="0078733C">
      <w:pPr>
        <w:tabs>
          <w:tab w:val="left" w:pos="1755"/>
        </w:tabs>
        <w:spacing w:after="240"/>
        <w:rPr>
          <w:rFonts w:cs="Arial"/>
        </w:rPr>
      </w:pPr>
      <w:r w:rsidRPr="003311CD">
        <w:rPr>
          <w:rFonts w:cs="Arial"/>
        </w:rPr>
        <w:t>These recommendations are due by November 30 each year.</w:t>
      </w:r>
    </w:p>
    <w:p w14:paraId="176FD0C4" w14:textId="03E53511" w:rsidR="00BC70C9" w:rsidRPr="003311CD" w:rsidRDefault="003B11CA" w:rsidP="007051E8">
      <w:pPr>
        <w:tabs>
          <w:tab w:val="left" w:pos="1755"/>
        </w:tabs>
        <w:spacing w:after="240"/>
        <w:rPr>
          <w:rFonts w:cs="Arial"/>
          <w:b/>
        </w:rPr>
      </w:pPr>
      <w:r w:rsidRPr="003311CD">
        <w:rPr>
          <w:rFonts w:cs="Arial"/>
          <w:b/>
        </w:rPr>
        <w:t>The</w:t>
      </w:r>
      <w:r w:rsidR="005F590E" w:rsidRPr="003311CD">
        <w:rPr>
          <w:rFonts w:cs="Arial"/>
          <w:b/>
        </w:rPr>
        <w:t xml:space="preserve"> FY</w:t>
      </w:r>
      <w:r w:rsidR="0003321E" w:rsidRPr="003311CD">
        <w:rPr>
          <w:rFonts w:cs="Arial"/>
          <w:b/>
        </w:rPr>
        <w:t xml:space="preserve"> </w:t>
      </w:r>
      <w:r w:rsidR="005F590E" w:rsidRPr="003311CD">
        <w:rPr>
          <w:rFonts w:cs="Arial"/>
          <w:b/>
        </w:rPr>
        <w:t>2020</w:t>
      </w:r>
      <w:r w:rsidR="0003321E" w:rsidRPr="003311CD">
        <w:rPr>
          <w:rFonts w:cs="Arial"/>
          <w:b/>
        </w:rPr>
        <w:t>–</w:t>
      </w:r>
      <w:r w:rsidR="005F590E" w:rsidRPr="003311CD">
        <w:rPr>
          <w:rFonts w:cs="Arial"/>
          <w:b/>
        </w:rPr>
        <w:t xml:space="preserve">21 CTEIG </w:t>
      </w:r>
      <w:r w:rsidRPr="003311CD">
        <w:rPr>
          <w:rFonts w:cs="Arial"/>
          <w:b/>
        </w:rPr>
        <w:t>Funding Allocation</w:t>
      </w:r>
    </w:p>
    <w:p w14:paraId="37A8B1AA" w14:textId="2D63AE99" w:rsidR="00205533" w:rsidRPr="003311CD" w:rsidRDefault="00205533" w:rsidP="00205533">
      <w:pPr>
        <w:spacing w:after="240"/>
        <w:rPr>
          <w:rFonts w:cs="Arial"/>
        </w:rPr>
      </w:pPr>
      <w:r w:rsidRPr="003311CD">
        <w:rPr>
          <w:rFonts w:cs="Arial"/>
        </w:rPr>
        <w:t>For the CT</w:t>
      </w:r>
      <w:r w:rsidR="00FC2674" w:rsidRPr="003311CD">
        <w:rPr>
          <w:rFonts w:cs="Arial"/>
        </w:rPr>
        <w:t>E</w:t>
      </w:r>
      <w:r w:rsidRPr="003311CD">
        <w:rPr>
          <w:rFonts w:cs="Arial"/>
        </w:rPr>
        <w:t xml:space="preserve">IG program, </w:t>
      </w:r>
      <w:r w:rsidRPr="003311CD">
        <w:rPr>
          <w:rFonts w:cs="Arial"/>
          <w:i/>
        </w:rPr>
        <w:t>EC</w:t>
      </w:r>
      <w:r w:rsidRPr="003311CD">
        <w:rPr>
          <w:rFonts w:cs="Arial"/>
        </w:rPr>
        <w:t xml:space="preserve"> 53076(a) requires the Superintendent to determ</w:t>
      </w:r>
      <w:r w:rsidR="00832A5D" w:rsidRPr="003311CD">
        <w:rPr>
          <w:rFonts w:cs="Arial"/>
        </w:rPr>
        <w:t>ine, in collaboration with the Executive D</w:t>
      </w:r>
      <w:r w:rsidRPr="003311CD">
        <w:rPr>
          <w:rFonts w:cs="Arial"/>
        </w:rPr>
        <w:t xml:space="preserve">irector of the </w:t>
      </w:r>
      <w:r w:rsidR="00E66CC9" w:rsidRPr="003311CD">
        <w:rPr>
          <w:rFonts w:cs="Arial"/>
        </w:rPr>
        <w:t>State Board of Education (SBE)</w:t>
      </w:r>
      <w:r w:rsidRPr="003311CD">
        <w:rPr>
          <w:rFonts w:cs="Arial"/>
        </w:rPr>
        <w:t xml:space="preserve">, and make public at a regularly scheduled meeting of the </w:t>
      </w:r>
      <w:r w:rsidR="00E66CC9" w:rsidRPr="003311CD">
        <w:rPr>
          <w:rFonts w:cs="Arial"/>
        </w:rPr>
        <w:t>SBE</w:t>
      </w:r>
      <w:r w:rsidRPr="003311CD">
        <w:rPr>
          <w:rFonts w:cs="Arial"/>
        </w:rPr>
        <w:t xml:space="preserve">, the allocation formula, </w:t>
      </w:r>
      <w:r w:rsidRPr="003311CD">
        <w:rPr>
          <w:rFonts w:cs="Arial"/>
        </w:rPr>
        <w:lastRenderedPageBreak/>
        <w:t xml:space="preserve">specific funding amounts, the purposes for which grant funds may be used, allowable and nonallowable expenditures, and the number of grants to be awarded. </w:t>
      </w:r>
      <w:r w:rsidR="008626B5" w:rsidRPr="003311CD">
        <w:rPr>
          <w:rFonts w:cs="Arial"/>
        </w:rPr>
        <w:t>The SBE item on the CTEIG funding allocation has been postponed to the January 2021 SBE meeting.</w:t>
      </w:r>
    </w:p>
    <w:p w14:paraId="5DB4A504" w14:textId="77777777" w:rsidR="00157690" w:rsidRPr="003311CD" w:rsidRDefault="00157690" w:rsidP="00157690">
      <w:pPr>
        <w:tabs>
          <w:tab w:val="left" w:pos="1755"/>
        </w:tabs>
        <w:spacing w:after="240"/>
        <w:rPr>
          <w:rFonts w:cs="Arial"/>
          <w:b/>
        </w:rPr>
      </w:pPr>
      <w:r w:rsidRPr="003311CD">
        <w:rPr>
          <w:rFonts w:cs="Arial"/>
          <w:b/>
        </w:rPr>
        <w:t>An Update of the FY 2020–21 K</w:t>
      </w:r>
      <w:r w:rsidR="008903CD" w:rsidRPr="003311CD">
        <w:rPr>
          <w:rFonts w:cs="Arial"/>
          <w:b/>
        </w:rPr>
        <w:t>–</w:t>
      </w:r>
      <w:r w:rsidRPr="003311CD">
        <w:rPr>
          <w:rFonts w:cs="Arial"/>
          <w:b/>
        </w:rPr>
        <w:t>12 SWP Application Process</w:t>
      </w:r>
    </w:p>
    <w:p w14:paraId="762B779F" w14:textId="642DF687" w:rsidR="00BC6620" w:rsidRPr="003311CD" w:rsidRDefault="00BC6620" w:rsidP="00BC6620">
      <w:pPr>
        <w:spacing w:after="160" w:line="256" w:lineRule="auto"/>
        <w:rPr>
          <w:rFonts w:cs="Arial"/>
        </w:rPr>
      </w:pPr>
      <w:r w:rsidRPr="003311CD">
        <w:rPr>
          <w:rFonts w:cs="Arial"/>
        </w:rPr>
        <w:t>The CCCCO will provide an update regarding the K</w:t>
      </w:r>
      <w:r w:rsidR="00C11AFA" w:rsidRPr="003311CD">
        <w:rPr>
          <w:rFonts w:cs="Arial"/>
        </w:rPr>
        <w:t>–</w:t>
      </w:r>
      <w:r w:rsidRPr="003311CD">
        <w:rPr>
          <w:rFonts w:cs="Arial"/>
        </w:rPr>
        <w:t>12 SWP</w:t>
      </w:r>
      <w:r w:rsidR="00832A5D" w:rsidRPr="003311CD">
        <w:rPr>
          <w:rFonts w:cs="Arial"/>
        </w:rPr>
        <w:t xml:space="preserve"> application process for Round Three,</w:t>
      </w:r>
      <w:r w:rsidRPr="003311CD">
        <w:rPr>
          <w:rFonts w:cs="Arial"/>
        </w:rPr>
        <w:t xml:space="preserve"> as well as </w:t>
      </w:r>
      <w:r w:rsidR="00C11AFA" w:rsidRPr="003311CD">
        <w:rPr>
          <w:rFonts w:cs="Arial"/>
        </w:rPr>
        <w:t>an</w:t>
      </w:r>
      <w:r w:rsidRPr="003311CD">
        <w:rPr>
          <w:rFonts w:cs="Arial"/>
        </w:rPr>
        <w:t xml:space="preserve"> update about the interim data collection efforts and initial analysis of t</w:t>
      </w:r>
      <w:r w:rsidR="00832A5D" w:rsidRPr="003311CD">
        <w:rPr>
          <w:rFonts w:cs="Arial"/>
        </w:rPr>
        <w:t xml:space="preserve">he data collected </w:t>
      </w:r>
      <w:r w:rsidR="009A143F" w:rsidRPr="003311CD">
        <w:rPr>
          <w:rFonts w:cs="Arial"/>
        </w:rPr>
        <w:t xml:space="preserve">on </w:t>
      </w:r>
      <w:r w:rsidR="00832A5D" w:rsidRPr="003311CD">
        <w:rPr>
          <w:rFonts w:cs="Arial"/>
        </w:rPr>
        <w:t>Round One program participants.</w:t>
      </w:r>
    </w:p>
    <w:p w14:paraId="7C99018C" w14:textId="77777777" w:rsidR="00C635C8" w:rsidRPr="003311CD" w:rsidRDefault="00C635C8" w:rsidP="00195E52">
      <w:pPr>
        <w:spacing w:after="160" w:line="259" w:lineRule="auto"/>
        <w:rPr>
          <w:rFonts w:cs="Arial"/>
          <w:b/>
        </w:rPr>
      </w:pPr>
      <w:r w:rsidRPr="003311CD">
        <w:rPr>
          <w:rFonts w:cs="Arial"/>
          <w:b/>
        </w:rPr>
        <w:t>The CTEIG and K–12 SWP MOU</w:t>
      </w:r>
    </w:p>
    <w:p w14:paraId="14DD628E" w14:textId="676F6E4D" w:rsidR="009757CE" w:rsidRPr="003311CD" w:rsidRDefault="000E57F5" w:rsidP="00195E52">
      <w:pPr>
        <w:pStyle w:val="NormalWeb"/>
        <w:spacing w:after="240"/>
        <w:rPr>
          <w:rFonts w:ascii="Arial" w:hAnsi="Arial" w:cs="Arial"/>
          <w:color w:val="000000"/>
        </w:rPr>
      </w:pPr>
      <w:r w:rsidRPr="003311CD">
        <w:rPr>
          <w:rFonts w:ascii="Arial" w:hAnsi="Arial" w:cs="Arial"/>
        </w:rPr>
        <w:t xml:space="preserve">Discussions about the creation of </w:t>
      </w:r>
      <w:r w:rsidR="00E66CC9" w:rsidRPr="003311CD">
        <w:rPr>
          <w:rFonts w:ascii="Arial" w:hAnsi="Arial" w:cs="Arial"/>
        </w:rPr>
        <w:t xml:space="preserve">the </w:t>
      </w:r>
      <w:r w:rsidRPr="003311CD">
        <w:rPr>
          <w:rFonts w:ascii="Arial" w:hAnsi="Arial" w:cs="Arial"/>
        </w:rPr>
        <w:t xml:space="preserve">CTEIG and </w:t>
      </w:r>
      <w:r w:rsidR="00E66CC9" w:rsidRPr="003311CD">
        <w:rPr>
          <w:rFonts w:ascii="Arial" w:hAnsi="Arial" w:cs="Arial"/>
        </w:rPr>
        <w:t xml:space="preserve">the </w:t>
      </w:r>
      <w:r w:rsidR="00832A5D" w:rsidRPr="003311CD">
        <w:rPr>
          <w:rFonts w:ascii="Arial" w:hAnsi="Arial" w:cs="Arial"/>
        </w:rPr>
        <w:t xml:space="preserve">K–12 SWP data sharing </w:t>
      </w:r>
      <w:r w:rsidRPr="003311CD">
        <w:rPr>
          <w:rFonts w:ascii="Arial" w:hAnsi="Arial" w:cs="Arial"/>
        </w:rPr>
        <w:t>MOU are currently underway.</w:t>
      </w:r>
      <w:r w:rsidR="00783F32" w:rsidRPr="003311CD">
        <w:rPr>
          <w:rFonts w:ascii="Arial" w:hAnsi="Arial" w:cs="Arial"/>
          <w:color w:val="000000"/>
        </w:rPr>
        <w:t xml:space="preserve"> </w:t>
      </w:r>
      <w:r w:rsidR="00E75F4F" w:rsidRPr="003311CD">
        <w:rPr>
          <w:rFonts w:ascii="Arial" w:hAnsi="Arial" w:cs="Arial"/>
          <w:color w:val="000000"/>
        </w:rPr>
        <w:t xml:space="preserve">The CDE Analysis, Measurement, </w:t>
      </w:r>
      <w:r w:rsidR="001B67DD" w:rsidRPr="003311CD">
        <w:rPr>
          <w:rFonts w:ascii="Arial" w:hAnsi="Arial" w:cs="Arial"/>
          <w:color w:val="000000"/>
        </w:rPr>
        <w:t xml:space="preserve">and </w:t>
      </w:r>
      <w:r w:rsidR="00E75F4F" w:rsidRPr="003311CD">
        <w:rPr>
          <w:rFonts w:ascii="Arial" w:hAnsi="Arial" w:cs="Arial"/>
          <w:color w:val="000000"/>
        </w:rPr>
        <w:t>Accountability</w:t>
      </w:r>
      <w:r w:rsidR="001B67DD" w:rsidRPr="003311CD">
        <w:rPr>
          <w:rFonts w:ascii="Arial" w:hAnsi="Arial" w:cs="Arial"/>
          <w:color w:val="000000"/>
        </w:rPr>
        <w:t xml:space="preserve"> Reporting</w:t>
      </w:r>
      <w:r w:rsidR="00E75F4F" w:rsidRPr="003311CD">
        <w:rPr>
          <w:rFonts w:ascii="Arial" w:hAnsi="Arial" w:cs="Arial"/>
          <w:color w:val="000000"/>
        </w:rPr>
        <w:t xml:space="preserve"> Division and the CDE Legal Office have committed to expediting the execution of this new MOU with </w:t>
      </w:r>
      <w:r w:rsidR="001B67DD" w:rsidRPr="003311CD">
        <w:rPr>
          <w:rFonts w:ascii="Arial" w:hAnsi="Arial" w:cs="Arial"/>
          <w:color w:val="000000"/>
        </w:rPr>
        <w:t xml:space="preserve">the </w:t>
      </w:r>
      <w:r w:rsidR="00E75F4F" w:rsidRPr="003311CD">
        <w:rPr>
          <w:rFonts w:ascii="Arial" w:hAnsi="Arial" w:cs="Arial"/>
          <w:color w:val="000000"/>
        </w:rPr>
        <w:t>CCCCO</w:t>
      </w:r>
      <w:r w:rsidR="007A7605" w:rsidRPr="003311CD">
        <w:rPr>
          <w:rFonts w:ascii="Arial" w:hAnsi="Arial" w:cs="Arial"/>
          <w:color w:val="000000"/>
        </w:rPr>
        <w:t xml:space="preserve">. </w:t>
      </w:r>
      <w:r w:rsidR="003B101D" w:rsidRPr="003311CD">
        <w:rPr>
          <w:rFonts w:ascii="Arial" w:hAnsi="Arial" w:cs="Arial"/>
          <w:color w:val="000000"/>
        </w:rPr>
        <w:t xml:space="preserve">The </w:t>
      </w:r>
      <w:r w:rsidRPr="003311CD">
        <w:rPr>
          <w:rFonts w:ascii="Arial" w:hAnsi="Arial" w:cs="Arial"/>
        </w:rPr>
        <w:t xml:space="preserve">expectation is that the </w:t>
      </w:r>
      <w:r w:rsidR="00F13ECC" w:rsidRPr="003311CD">
        <w:rPr>
          <w:rFonts w:ascii="Arial" w:hAnsi="Arial" w:cs="Arial"/>
        </w:rPr>
        <w:t>M</w:t>
      </w:r>
      <w:r w:rsidRPr="003311CD">
        <w:rPr>
          <w:rFonts w:ascii="Arial" w:hAnsi="Arial" w:cs="Arial"/>
        </w:rPr>
        <w:t xml:space="preserve">OU will be in place </w:t>
      </w:r>
      <w:r w:rsidR="00F13ECC" w:rsidRPr="003311CD">
        <w:rPr>
          <w:rFonts w:ascii="Arial" w:hAnsi="Arial" w:cs="Arial"/>
        </w:rPr>
        <w:t>by the next CTE data collection cycle</w:t>
      </w:r>
      <w:r w:rsidR="007A1FCC" w:rsidRPr="003311CD">
        <w:rPr>
          <w:rFonts w:ascii="Arial" w:hAnsi="Arial" w:cs="Arial"/>
        </w:rPr>
        <w:t>,</w:t>
      </w:r>
      <w:r w:rsidR="00633411" w:rsidRPr="003311CD">
        <w:rPr>
          <w:rFonts w:ascii="Arial" w:hAnsi="Arial" w:cs="Arial"/>
        </w:rPr>
        <w:t xml:space="preserve"> which will begin in January</w:t>
      </w:r>
      <w:r w:rsidR="00BB1368" w:rsidRPr="003311CD">
        <w:rPr>
          <w:rFonts w:ascii="Arial" w:hAnsi="Arial" w:cs="Arial"/>
        </w:rPr>
        <w:t xml:space="preserve"> 2021</w:t>
      </w:r>
      <w:r w:rsidR="007A1FCC" w:rsidRPr="003311CD">
        <w:rPr>
          <w:rFonts w:ascii="Arial" w:hAnsi="Arial" w:cs="Arial"/>
        </w:rPr>
        <w:t>,</w:t>
      </w:r>
      <w:r w:rsidR="00633411" w:rsidRPr="003311CD">
        <w:rPr>
          <w:rFonts w:ascii="Arial" w:hAnsi="Arial" w:cs="Arial"/>
        </w:rPr>
        <w:t xml:space="preserve"> and ends in March of 202</w:t>
      </w:r>
      <w:r w:rsidR="007A1FCC" w:rsidRPr="003311CD">
        <w:rPr>
          <w:rFonts w:ascii="Arial" w:hAnsi="Arial" w:cs="Arial"/>
        </w:rPr>
        <w:t>1.</w:t>
      </w:r>
    </w:p>
    <w:p w14:paraId="0C1A9D75" w14:textId="77777777" w:rsidR="00D75664" w:rsidRPr="003311CD" w:rsidRDefault="00D75664" w:rsidP="00D75664">
      <w:pPr>
        <w:tabs>
          <w:tab w:val="left" w:pos="1755"/>
        </w:tabs>
        <w:spacing w:after="240"/>
        <w:rPr>
          <w:rFonts w:cs="Arial"/>
          <w:b/>
        </w:rPr>
      </w:pPr>
      <w:r w:rsidRPr="003311CD">
        <w:rPr>
          <w:rFonts w:cs="Arial"/>
          <w:b/>
        </w:rPr>
        <w:t>The CTEIG and K–12 SWP</w:t>
      </w:r>
      <w:r w:rsidR="00E7710A" w:rsidRPr="003311CD">
        <w:rPr>
          <w:rFonts w:cs="Arial"/>
          <w:b/>
        </w:rPr>
        <w:t xml:space="preserve"> Metrics</w:t>
      </w:r>
    </w:p>
    <w:p w14:paraId="17B3F12F" w14:textId="6C5E76AD" w:rsidR="00474761" w:rsidRPr="003311CD" w:rsidRDefault="00474761" w:rsidP="00783F32">
      <w:pPr>
        <w:spacing w:after="240"/>
        <w:rPr>
          <w:rFonts w:cs="Arial"/>
        </w:rPr>
      </w:pPr>
      <w:r w:rsidRPr="003311CD">
        <w:rPr>
          <w:rFonts w:cs="Arial"/>
        </w:rPr>
        <w:t>During the September 25, 2020</w:t>
      </w:r>
      <w:r w:rsidR="00587A1D" w:rsidRPr="003311CD">
        <w:rPr>
          <w:rFonts w:cs="Arial"/>
        </w:rPr>
        <w:t xml:space="preserve"> </w:t>
      </w:r>
      <w:r w:rsidRPr="003311CD">
        <w:rPr>
          <w:rFonts w:cs="Arial"/>
        </w:rPr>
        <w:t>CWPJAC meeting</w:t>
      </w:r>
      <w:r w:rsidR="00587A1D" w:rsidRPr="003311CD">
        <w:rPr>
          <w:rFonts w:cs="Arial"/>
        </w:rPr>
        <w:t>,</w:t>
      </w:r>
      <w:r w:rsidRPr="003311CD">
        <w:rPr>
          <w:rFonts w:cs="Arial"/>
        </w:rPr>
        <w:t xml:space="preserve"> members provided valuable feedback on potential changes to the metrics. The members were particularly concerned that staff not make any changes to the metrics that would result in going against the primary intent of </w:t>
      </w:r>
      <w:r w:rsidR="00371ED1" w:rsidRPr="003311CD">
        <w:rPr>
          <w:rFonts w:cs="Arial"/>
        </w:rPr>
        <w:t xml:space="preserve">either </w:t>
      </w:r>
      <w:r w:rsidRPr="003311CD">
        <w:rPr>
          <w:rFonts w:cs="Arial"/>
        </w:rPr>
        <w:t xml:space="preserve">the CTEIG </w:t>
      </w:r>
      <w:r w:rsidR="00371ED1" w:rsidRPr="003311CD">
        <w:rPr>
          <w:rFonts w:cs="Arial"/>
        </w:rPr>
        <w:t>or</w:t>
      </w:r>
      <w:r w:rsidRPr="003311CD">
        <w:rPr>
          <w:rFonts w:cs="Arial"/>
        </w:rPr>
        <w:t xml:space="preserve"> the K–12 SWP legislation</w:t>
      </w:r>
      <w:r w:rsidR="00AD1E77" w:rsidRPr="003311CD">
        <w:rPr>
          <w:rFonts w:cs="Arial"/>
        </w:rPr>
        <w:t>,</w:t>
      </w:r>
      <w:r w:rsidRPr="003311CD">
        <w:rPr>
          <w:rFonts w:cs="Arial"/>
        </w:rPr>
        <w:t xml:space="preserve"> and asked </w:t>
      </w:r>
      <w:r w:rsidR="000A136F" w:rsidRPr="003311CD">
        <w:rPr>
          <w:rFonts w:cs="Arial"/>
        </w:rPr>
        <w:t>CCCCO and CDE staff to review the proposed recommendations taking into consideration the legislative intent of the CTEIG and K</w:t>
      </w:r>
      <w:r w:rsidR="009B3A84" w:rsidRPr="003311CD">
        <w:rPr>
          <w:rFonts w:cs="Arial"/>
        </w:rPr>
        <w:t>–</w:t>
      </w:r>
      <w:r w:rsidR="000A136F" w:rsidRPr="003311CD">
        <w:rPr>
          <w:rFonts w:cs="Arial"/>
        </w:rPr>
        <w:t>12 SWP statutes with regard to the data metrics.</w:t>
      </w:r>
    </w:p>
    <w:p w14:paraId="415D6055" w14:textId="3EFD686F" w:rsidR="000A136F" w:rsidRPr="003311CD" w:rsidRDefault="001626F1" w:rsidP="00783F32">
      <w:pPr>
        <w:spacing w:after="240"/>
        <w:rPr>
          <w:rFonts w:cs="Arial"/>
        </w:rPr>
      </w:pPr>
      <w:r w:rsidRPr="003311CD">
        <w:rPr>
          <w:rFonts w:cs="Arial"/>
        </w:rPr>
        <w:t xml:space="preserve">As part of the review, staff also reexamined the approaches to data collection, methodology, and translating the metrics into functional measures. Any proposed recommendations to the data metrics </w:t>
      </w:r>
      <w:r w:rsidR="00E420D3" w:rsidRPr="003311CD">
        <w:rPr>
          <w:rFonts w:cs="Arial"/>
        </w:rPr>
        <w:t>are</w:t>
      </w:r>
      <w:r w:rsidRPr="003311CD">
        <w:rPr>
          <w:rFonts w:cs="Arial"/>
        </w:rPr>
        <w:t xml:space="preserve"> the responsibility of the CDE</w:t>
      </w:r>
      <w:r w:rsidR="000C5DCF" w:rsidRPr="003311CD">
        <w:rPr>
          <w:rFonts w:cs="Arial"/>
        </w:rPr>
        <w:t>, which</w:t>
      </w:r>
      <w:r w:rsidRPr="003311CD">
        <w:rPr>
          <w:rFonts w:cs="Arial"/>
        </w:rPr>
        <w:t xml:space="preserve"> is done through a</w:t>
      </w:r>
      <w:r w:rsidR="000C5DCF" w:rsidRPr="003311CD">
        <w:rPr>
          <w:rFonts w:cs="Arial"/>
        </w:rPr>
        <w:t>n annual</w:t>
      </w:r>
      <w:r w:rsidRPr="003311CD">
        <w:rPr>
          <w:rFonts w:cs="Arial"/>
        </w:rPr>
        <w:t xml:space="preserve"> legislative report</w:t>
      </w:r>
      <w:r w:rsidR="007E135C" w:rsidRPr="003311CD">
        <w:rPr>
          <w:rFonts w:cs="Arial"/>
        </w:rPr>
        <w:t xml:space="preserve"> to the DOF</w:t>
      </w:r>
      <w:r w:rsidR="000C5DCF" w:rsidRPr="003311CD">
        <w:rPr>
          <w:rFonts w:cs="Arial"/>
        </w:rPr>
        <w:t>.</w:t>
      </w:r>
      <w:r w:rsidRPr="003311CD">
        <w:rPr>
          <w:rFonts w:cs="Arial"/>
        </w:rPr>
        <w:t xml:space="preserve"> </w:t>
      </w:r>
      <w:r w:rsidR="007E135C" w:rsidRPr="003311CD">
        <w:rPr>
          <w:rFonts w:cs="Arial"/>
        </w:rPr>
        <w:t xml:space="preserve">Therefore, </w:t>
      </w:r>
      <w:r w:rsidR="00E420D3" w:rsidRPr="003311CD">
        <w:rPr>
          <w:rFonts w:cs="Arial"/>
        </w:rPr>
        <w:t xml:space="preserve">the </w:t>
      </w:r>
      <w:r w:rsidR="007E135C" w:rsidRPr="003311CD">
        <w:rPr>
          <w:rFonts w:cs="Arial"/>
        </w:rPr>
        <w:t xml:space="preserve">CDE also consulted </w:t>
      </w:r>
      <w:r w:rsidR="00FB1DF9" w:rsidRPr="003311CD">
        <w:rPr>
          <w:rFonts w:cs="Arial"/>
        </w:rPr>
        <w:t>the DOF with regard to how any proposed changes to the CTEIG and K</w:t>
      </w:r>
      <w:r w:rsidR="00E420D3" w:rsidRPr="003311CD">
        <w:rPr>
          <w:rFonts w:cs="Arial"/>
        </w:rPr>
        <w:t>–</w:t>
      </w:r>
      <w:r w:rsidR="00FB1DF9" w:rsidRPr="003311CD">
        <w:rPr>
          <w:rFonts w:cs="Arial"/>
        </w:rPr>
        <w:t>12 SWP metrics should be put forward.</w:t>
      </w:r>
      <w:r w:rsidR="00743245" w:rsidRPr="003311CD">
        <w:rPr>
          <w:rFonts w:cs="Arial"/>
        </w:rPr>
        <w:t xml:space="preserve"> </w:t>
      </w:r>
      <w:r w:rsidR="00E420D3" w:rsidRPr="003311CD">
        <w:rPr>
          <w:rFonts w:cs="Arial"/>
        </w:rPr>
        <w:t xml:space="preserve">The </w:t>
      </w:r>
      <w:r w:rsidR="00743245" w:rsidRPr="003311CD">
        <w:rPr>
          <w:rFonts w:cs="Arial"/>
        </w:rPr>
        <w:t>CDE and CCCCO staff also consulted with State Board of Education (SBE) staff regarding placing the CTEIG and K</w:t>
      </w:r>
      <w:r w:rsidR="00E420D3" w:rsidRPr="003311CD">
        <w:rPr>
          <w:rFonts w:cs="Arial"/>
        </w:rPr>
        <w:t>–</w:t>
      </w:r>
      <w:r w:rsidR="00743245" w:rsidRPr="003311CD">
        <w:rPr>
          <w:rFonts w:cs="Arial"/>
        </w:rPr>
        <w:t>12 SWP metrics with the context of the CWPJAC</w:t>
      </w:r>
      <w:r w:rsidR="00E420D3" w:rsidRPr="003311CD">
        <w:rPr>
          <w:rFonts w:cs="Arial"/>
        </w:rPr>
        <w:t>’s</w:t>
      </w:r>
      <w:r w:rsidR="00743245" w:rsidRPr="003311CD">
        <w:rPr>
          <w:rFonts w:cs="Arial"/>
        </w:rPr>
        <w:t xml:space="preserve"> </w:t>
      </w:r>
      <w:r w:rsidR="00743245" w:rsidRPr="003311CD">
        <w:rPr>
          <w:rFonts w:cs="Arial"/>
          <w:i/>
        </w:rPr>
        <w:t xml:space="preserve">Guiding </w:t>
      </w:r>
      <w:r w:rsidR="000C5DCF" w:rsidRPr="003311CD">
        <w:rPr>
          <w:rFonts w:cs="Arial"/>
          <w:i/>
        </w:rPr>
        <w:t>Policy Principles</w:t>
      </w:r>
      <w:r w:rsidR="00E420D3" w:rsidRPr="003311CD">
        <w:rPr>
          <w:rFonts w:cs="Arial"/>
          <w:i/>
        </w:rPr>
        <w:t xml:space="preserve"> to Support Student-Centered K–14+ Pathways </w:t>
      </w:r>
      <w:r w:rsidR="00E420D3" w:rsidRPr="003311CD">
        <w:rPr>
          <w:rFonts w:cs="Arial"/>
        </w:rPr>
        <w:t>(</w:t>
      </w:r>
      <w:r w:rsidR="00E420D3" w:rsidRPr="003311CD">
        <w:rPr>
          <w:rFonts w:cs="Arial"/>
          <w:i/>
        </w:rPr>
        <w:t>Guiding Policy Principles</w:t>
      </w:r>
      <w:r w:rsidR="00E420D3" w:rsidRPr="003311CD">
        <w:rPr>
          <w:rFonts w:cs="Arial"/>
        </w:rPr>
        <w:t>)</w:t>
      </w:r>
      <w:r w:rsidR="00743245" w:rsidRPr="003311CD">
        <w:rPr>
          <w:rFonts w:cs="Arial"/>
        </w:rPr>
        <w:t>.</w:t>
      </w:r>
    </w:p>
    <w:p w14:paraId="78CB0D57" w14:textId="0889ECDB" w:rsidR="00DB4A36" w:rsidRPr="003311CD" w:rsidRDefault="00DB4A36" w:rsidP="00DB4A36">
      <w:pPr>
        <w:spacing w:before="240" w:after="240"/>
        <w:rPr>
          <w:rFonts w:cs="Arial"/>
          <w:b/>
        </w:rPr>
      </w:pPr>
      <w:r w:rsidRPr="003311CD">
        <w:rPr>
          <w:rFonts w:cs="Arial"/>
          <w:b/>
        </w:rPr>
        <w:t xml:space="preserve">Differences in the Legislative Requirements in </w:t>
      </w:r>
      <w:r w:rsidR="00E420D3" w:rsidRPr="003311CD">
        <w:rPr>
          <w:rFonts w:cs="Arial"/>
          <w:b/>
        </w:rPr>
        <w:t xml:space="preserve">the </w:t>
      </w:r>
      <w:r w:rsidRPr="003311CD">
        <w:rPr>
          <w:rFonts w:cs="Arial"/>
          <w:b/>
        </w:rPr>
        <w:t>CTEIG and K–12 SWP Data Metrics</w:t>
      </w:r>
    </w:p>
    <w:p w14:paraId="741749FF" w14:textId="536E99A8" w:rsidR="00783F32" w:rsidRPr="003311CD" w:rsidRDefault="0003321E" w:rsidP="00783F32">
      <w:pPr>
        <w:spacing w:after="240"/>
        <w:rPr>
          <w:rFonts w:cs="Arial"/>
        </w:rPr>
      </w:pPr>
      <w:r w:rsidRPr="003311CD">
        <w:rPr>
          <w:rFonts w:cs="Arial"/>
          <w:i/>
        </w:rPr>
        <w:t>EC</w:t>
      </w:r>
      <w:r w:rsidRPr="003311CD">
        <w:rPr>
          <w:rFonts w:cs="Arial"/>
        </w:rPr>
        <w:t xml:space="preserve"> </w:t>
      </w:r>
      <w:r w:rsidR="00E7710A" w:rsidRPr="003311CD">
        <w:rPr>
          <w:rFonts w:cs="Arial"/>
        </w:rPr>
        <w:t>Section 53071 (c)(11)(B) defines the metrics required for collection as part of the CTEIG</w:t>
      </w:r>
      <w:r w:rsidR="003F2DB6" w:rsidRPr="003311CD">
        <w:rPr>
          <w:rFonts w:cs="Arial"/>
        </w:rPr>
        <w:t xml:space="preserve"> program</w:t>
      </w:r>
      <w:r w:rsidR="00791042" w:rsidRPr="003311CD">
        <w:rPr>
          <w:rFonts w:cs="Arial"/>
        </w:rPr>
        <w:t xml:space="preserve">, and </w:t>
      </w:r>
      <w:r w:rsidR="00791042" w:rsidRPr="003311CD">
        <w:rPr>
          <w:rFonts w:cs="Arial"/>
          <w:i/>
        </w:rPr>
        <w:t>EC</w:t>
      </w:r>
      <w:r w:rsidR="00791042" w:rsidRPr="003311CD">
        <w:rPr>
          <w:rFonts w:cs="Arial"/>
        </w:rPr>
        <w:t xml:space="preserve"> Section 88828 defines the metrics required for collection as part of the K</w:t>
      </w:r>
      <w:r w:rsidR="00C70170" w:rsidRPr="003311CD">
        <w:rPr>
          <w:rFonts w:cs="Arial"/>
        </w:rPr>
        <w:t>–</w:t>
      </w:r>
      <w:r w:rsidR="00791042" w:rsidRPr="003311CD">
        <w:rPr>
          <w:rFonts w:cs="Arial"/>
        </w:rPr>
        <w:t>12 SWP</w:t>
      </w:r>
      <w:r w:rsidR="00E7710A" w:rsidRPr="003311CD">
        <w:rPr>
          <w:rFonts w:cs="Arial"/>
        </w:rPr>
        <w:t xml:space="preserve">. </w:t>
      </w:r>
      <w:r w:rsidR="00783F32" w:rsidRPr="003311CD">
        <w:rPr>
          <w:rFonts w:cs="Arial"/>
        </w:rPr>
        <w:t xml:space="preserve">Legislation authorizing both the CTEIG and </w:t>
      </w:r>
      <w:r w:rsidR="00E66CC9" w:rsidRPr="003311CD">
        <w:rPr>
          <w:rFonts w:cs="Arial"/>
        </w:rPr>
        <w:t xml:space="preserve">the </w:t>
      </w:r>
      <w:r w:rsidR="00783F32" w:rsidRPr="003311CD">
        <w:rPr>
          <w:rFonts w:cs="Arial"/>
        </w:rPr>
        <w:t>K–12 SWP program state the following:</w:t>
      </w:r>
    </w:p>
    <w:p w14:paraId="3C7EBA31" w14:textId="39FBFF6A" w:rsidR="00783F32" w:rsidRPr="003311CD" w:rsidRDefault="00783F32" w:rsidP="00783F32">
      <w:pPr>
        <w:spacing w:after="240"/>
        <w:ind w:left="720" w:right="720"/>
        <w:rPr>
          <w:rFonts w:cs="Arial"/>
          <w:szCs w:val="22"/>
          <w:bdr w:val="none" w:sz="0" w:space="0" w:color="auto" w:frame="1"/>
          <w:lang w:val="en"/>
        </w:rPr>
      </w:pPr>
      <w:r w:rsidRPr="003311CD">
        <w:rPr>
          <w:rFonts w:cs="Arial"/>
          <w:szCs w:val="22"/>
          <w:bdr w:val="none" w:sz="0" w:space="0" w:color="auto" w:frame="1"/>
          <w:lang w:val="en"/>
        </w:rPr>
        <w:lastRenderedPageBreak/>
        <w:t>Data reported pursuant to this paragraph shall include, but not be limited to, the quality indicators described in the California State Plan for Career Technical Education required by the federal Strengthening Career and Technical Education for the 21st Century Act (Perkins V), and each of the following metrics</w:t>
      </w:r>
      <w:r w:rsidR="00E420D3" w:rsidRPr="003311CD">
        <w:rPr>
          <w:rFonts w:cs="Arial"/>
          <w:szCs w:val="22"/>
          <w:bdr w:val="none" w:sz="0" w:space="0" w:color="auto" w:frame="1"/>
          <w:lang w:val="en"/>
        </w:rPr>
        <w:t>.</w:t>
      </w:r>
    </w:p>
    <w:p w14:paraId="61ECF600" w14:textId="54D1742E" w:rsidR="003B101D" w:rsidRPr="003311CD" w:rsidRDefault="00303123" w:rsidP="00303123">
      <w:pPr>
        <w:spacing w:after="240"/>
        <w:ind w:right="720"/>
        <w:rPr>
          <w:rFonts w:cs="Arial"/>
          <w:szCs w:val="22"/>
          <w:bdr w:val="none" w:sz="0" w:space="0" w:color="auto" w:frame="1"/>
          <w:lang w:val="en"/>
        </w:rPr>
      </w:pPr>
      <w:r w:rsidRPr="003311CD">
        <w:rPr>
          <w:rFonts w:cs="Arial"/>
          <w:szCs w:val="22"/>
          <w:bdr w:val="none" w:sz="0" w:space="0" w:color="auto" w:frame="1"/>
          <w:lang w:val="en"/>
        </w:rPr>
        <w:t xml:space="preserve">The following is a side-by-side </w:t>
      </w:r>
      <w:r w:rsidR="00801A7A" w:rsidRPr="003311CD">
        <w:rPr>
          <w:rFonts w:cs="Arial"/>
          <w:szCs w:val="22"/>
          <w:bdr w:val="none" w:sz="0" w:space="0" w:color="auto" w:frame="1"/>
          <w:lang w:val="en"/>
        </w:rPr>
        <w:t>comparison</w:t>
      </w:r>
      <w:r w:rsidRPr="003311CD">
        <w:rPr>
          <w:rFonts w:cs="Arial"/>
          <w:szCs w:val="22"/>
          <w:bdr w:val="none" w:sz="0" w:space="0" w:color="auto" w:frame="1"/>
          <w:lang w:val="en"/>
        </w:rPr>
        <w:t xml:space="preserve"> of the required CTEIG and K</w:t>
      </w:r>
      <w:r w:rsidR="003B101D" w:rsidRPr="003311CD">
        <w:rPr>
          <w:rFonts w:cs="Arial"/>
          <w:szCs w:val="22"/>
          <w:bdr w:val="none" w:sz="0" w:space="0" w:color="auto" w:frame="1"/>
          <w:lang w:val="en"/>
        </w:rPr>
        <w:t>–</w:t>
      </w:r>
      <w:r w:rsidRPr="003311CD">
        <w:rPr>
          <w:rFonts w:cs="Arial"/>
          <w:szCs w:val="22"/>
          <w:bdr w:val="none" w:sz="0" w:space="0" w:color="auto" w:frame="1"/>
          <w:lang w:val="en"/>
        </w:rPr>
        <w:t xml:space="preserve">12 SWP data metrics as listed in </w:t>
      </w:r>
      <w:r w:rsidRPr="003311CD">
        <w:rPr>
          <w:rFonts w:cs="Arial"/>
          <w:i/>
          <w:szCs w:val="22"/>
          <w:bdr w:val="none" w:sz="0" w:space="0" w:color="auto" w:frame="1"/>
          <w:lang w:val="en"/>
        </w:rPr>
        <w:t>EC</w:t>
      </w:r>
      <w:r w:rsidR="00C70170" w:rsidRPr="003311CD">
        <w:rPr>
          <w:rFonts w:cs="Arial"/>
          <w:szCs w:val="22"/>
          <w:bdr w:val="none" w:sz="0" w:space="0" w:color="auto" w:frame="1"/>
          <w:lang w:val="en"/>
        </w:rPr>
        <w:t xml:space="preserve"> sections </w:t>
      </w:r>
      <w:r w:rsidRPr="003311CD">
        <w:rPr>
          <w:rFonts w:cs="Arial"/>
          <w:szCs w:val="22"/>
          <w:bdr w:val="none" w:sz="0" w:space="0" w:color="auto" w:frame="1"/>
          <w:lang w:val="en"/>
        </w:rPr>
        <w:t>53071 and 888</w:t>
      </w:r>
      <w:r w:rsidR="008262CC" w:rsidRPr="003311CD">
        <w:rPr>
          <w:rFonts w:cs="Arial"/>
          <w:szCs w:val="22"/>
          <w:bdr w:val="none" w:sz="0" w:space="0" w:color="auto" w:frame="1"/>
          <w:lang w:val="en"/>
        </w:rPr>
        <w:t>28.</w:t>
      </w:r>
    </w:p>
    <w:tbl>
      <w:tblPr>
        <w:tblStyle w:val="ListTable3"/>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ata Metrics Table"/>
      </w:tblPr>
      <w:tblGrid>
        <w:gridCol w:w="4752"/>
        <w:gridCol w:w="4752"/>
      </w:tblGrid>
      <w:tr w:rsidR="008262CC" w:rsidRPr="003311CD" w14:paraId="3DAF99CF" w14:textId="77777777" w:rsidTr="0022188B">
        <w:trPr>
          <w:cnfStyle w:val="100000000000" w:firstRow="1" w:lastRow="0" w:firstColumn="0" w:lastColumn="0" w:oddVBand="0" w:evenVBand="0" w:oddHBand="0" w:evenHBand="0" w:firstRowFirstColumn="0" w:firstRowLastColumn="0" w:lastRowFirstColumn="0" w:lastRowLastColumn="0"/>
          <w:cantSplit/>
          <w:trHeight w:val="920"/>
          <w:tblHeader/>
        </w:trPr>
        <w:tc>
          <w:tcPr>
            <w:cnfStyle w:val="001000000100" w:firstRow="0" w:lastRow="0" w:firstColumn="1" w:lastColumn="0" w:oddVBand="0" w:evenVBand="0" w:oddHBand="0" w:evenHBand="0" w:firstRowFirstColumn="1" w:firstRowLastColumn="0" w:lastRowFirstColumn="0" w:lastRowLastColumn="0"/>
            <w:tcW w:w="4752" w:type="dxa"/>
            <w:tcBorders>
              <w:bottom w:val="none" w:sz="0" w:space="0" w:color="auto"/>
              <w:right w:val="none" w:sz="0" w:space="0" w:color="auto"/>
            </w:tcBorders>
            <w:vAlign w:val="center"/>
            <w:hideMark/>
          </w:tcPr>
          <w:p w14:paraId="0DE5F04B" w14:textId="2C578BBF" w:rsidR="008262CC" w:rsidRPr="003311CD" w:rsidRDefault="008262CC" w:rsidP="00801A7A">
            <w:pPr>
              <w:spacing w:before="60" w:after="60"/>
              <w:jc w:val="center"/>
              <w:rPr>
                <w:rFonts w:cs="Arial"/>
                <w:b w:val="0"/>
                <w:bCs w:val="0"/>
              </w:rPr>
            </w:pPr>
            <w:r w:rsidRPr="003311CD">
              <w:rPr>
                <w:rFonts w:cs="Arial"/>
              </w:rPr>
              <w:t>CTEIG</w:t>
            </w:r>
            <w:r w:rsidRPr="003311CD">
              <w:rPr>
                <w:rFonts w:cs="Arial"/>
              </w:rPr>
              <w:br/>
            </w:r>
            <w:r w:rsidR="003B101D" w:rsidRPr="003311CD">
              <w:rPr>
                <w:rFonts w:cs="Arial"/>
                <w:i/>
              </w:rPr>
              <w:t>EC</w:t>
            </w:r>
            <w:r w:rsidRPr="003311CD">
              <w:rPr>
                <w:rFonts w:cs="Arial"/>
              </w:rPr>
              <w:t xml:space="preserve"> Section 53071(c)(11)(B)(i-vi)</w:t>
            </w:r>
          </w:p>
        </w:tc>
        <w:tc>
          <w:tcPr>
            <w:tcW w:w="4752" w:type="dxa"/>
            <w:vAlign w:val="center"/>
            <w:hideMark/>
          </w:tcPr>
          <w:p w14:paraId="49402A9D" w14:textId="463DEE54" w:rsidR="008262CC" w:rsidRPr="003311CD" w:rsidRDefault="008262CC" w:rsidP="00801A7A">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3311CD">
              <w:rPr>
                <w:rFonts w:cs="Arial"/>
              </w:rPr>
              <w:t>K</w:t>
            </w:r>
            <w:r w:rsidR="003B101D" w:rsidRPr="003311CD">
              <w:rPr>
                <w:rFonts w:cs="Arial"/>
              </w:rPr>
              <w:t>–</w:t>
            </w:r>
            <w:r w:rsidRPr="003311CD">
              <w:rPr>
                <w:rFonts w:cs="Arial"/>
              </w:rPr>
              <w:t>12 SWP</w:t>
            </w:r>
            <w:r w:rsidRPr="003311CD">
              <w:rPr>
                <w:rFonts w:cs="Arial"/>
              </w:rPr>
              <w:br/>
            </w:r>
            <w:r w:rsidR="003B101D" w:rsidRPr="003311CD">
              <w:rPr>
                <w:rFonts w:cs="Arial"/>
                <w:i/>
              </w:rPr>
              <w:t>EC</w:t>
            </w:r>
            <w:r w:rsidRPr="003311CD">
              <w:rPr>
                <w:rFonts w:cs="Arial"/>
              </w:rPr>
              <w:t xml:space="preserve"> Section 88828(d)(8)(B)(i-v)</w:t>
            </w:r>
          </w:p>
        </w:tc>
      </w:tr>
      <w:tr w:rsidR="008262CC" w:rsidRPr="003311CD" w14:paraId="71688170" w14:textId="77777777" w:rsidTr="0022188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4752" w:type="dxa"/>
            <w:tcBorders>
              <w:top w:val="none" w:sz="0" w:space="0" w:color="auto"/>
              <w:bottom w:val="none" w:sz="0" w:space="0" w:color="auto"/>
              <w:right w:val="none" w:sz="0" w:space="0" w:color="auto"/>
            </w:tcBorders>
            <w:vAlign w:val="center"/>
            <w:hideMark/>
          </w:tcPr>
          <w:p w14:paraId="14AC6CB3" w14:textId="77777777" w:rsidR="008262CC" w:rsidRPr="003311CD" w:rsidRDefault="008262CC" w:rsidP="00801A7A">
            <w:pPr>
              <w:spacing w:before="60" w:after="60"/>
              <w:rPr>
                <w:rFonts w:cs="Arial"/>
                <w:color w:val="000000"/>
              </w:rPr>
            </w:pPr>
            <w:r w:rsidRPr="003311CD">
              <w:rPr>
                <w:rFonts w:cs="Arial"/>
                <w:color w:val="000000"/>
              </w:rPr>
              <w:t>(i) The high school graduation rate.</w:t>
            </w:r>
          </w:p>
        </w:tc>
        <w:tc>
          <w:tcPr>
            <w:tcW w:w="4752" w:type="dxa"/>
            <w:tcBorders>
              <w:top w:val="none" w:sz="0" w:space="0" w:color="auto"/>
              <w:bottom w:val="none" w:sz="0" w:space="0" w:color="auto"/>
            </w:tcBorders>
            <w:vAlign w:val="center"/>
            <w:hideMark/>
          </w:tcPr>
          <w:p w14:paraId="35D2C1FB" w14:textId="77777777" w:rsidR="008262CC" w:rsidRPr="003311CD" w:rsidRDefault="008262CC" w:rsidP="00801A7A">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rPr>
            </w:pPr>
            <w:r w:rsidRPr="003311CD">
              <w:rPr>
                <w:rFonts w:cs="Arial"/>
                <w:color w:val="000000"/>
              </w:rPr>
              <w:t>(i) The high school graduation rate.</w:t>
            </w:r>
          </w:p>
        </w:tc>
      </w:tr>
      <w:tr w:rsidR="008262CC" w:rsidRPr="003311CD" w14:paraId="57E6DD2C" w14:textId="77777777" w:rsidTr="0022188B">
        <w:trPr>
          <w:cantSplit/>
          <w:trHeight w:val="288"/>
        </w:trPr>
        <w:tc>
          <w:tcPr>
            <w:cnfStyle w:val="001000000000" w:firstRow="0" w:lastRow="0" w:firstColumn="1" w:lastColumn="0" w:oddVBand="0" w:evenVBand="0" w:oddHBand="0" w:evenHBand="0" w:firstRowFirstColumn="0" w:firstRowLastColumn="0" w:lastRowFirstColumn="0" w:lastRowLastColumn="0"/>
            <w:tcW w:w="4752" w:type="dxa"/>
            <w:tcBorders>
              <w:right w:val="none" w:sz="0" w:space="0" w:color="auto"/>
            </w:tcBorders>
            <w:vAlign w:val="center"/>
            <w:hideMark/>
          </w:tcPr>
          <w:p w14:paraId="513A9BEC" w14:textId="77777777" w:rsidR="008262CC" w:rsidRPr="003311CD" w:rsidRDefault="008262CC" w:rsidP="00801A7A">
            <w:pPr>
              <w:spacing w:before="60" w:after="60"/>
              <w:rPr>
                <w:rFonts w:cs="Arial"/>
                <w:color w:val="000000"/>
              </w:rPr>
            </w:pPr>
            <w:r w:rsidRPr="003311CD">
              <w:rPr>
                <w:rFonts w:cs="Arial"/>
                <w:color w:val="000000"/>
              </w:rPr>
              <w:t>(ii) The number of pupils completing career technical education coursework.</w:t>
            </w:r>
          </w:p>
        </w:tc>
        <w:tc>
          <w:tcPr>
            <w:tcW w:w="4752" w:type="dxa"/>
            <w:tcBorders>
              <w:bottom w:val="single" w:sz="4" w:space="0" w:color="auto"/>
            </w:tcBorders>
            <w:vAlign w:val="center"/>
            <w:hideMark/>
          </w:tcPr>
          <w:p w14:paraId="507C9ED9" w14:textId="77777777" w:rsidR="008262CC" w:rsidRPr="003311CD" w:rsidRDefault="008262CC" w:rsidP="00801A7A">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311CD">
              <w:rPr>
                <w:rFonts w:cs="Arial"/>
                <w:color w:val="000000"/>
              </w:rPr>
              <w:t>(ii) The number of pupils completing career technical education coursework.</w:t>
            </w:r>
          </w:p>
        </w:tc>
      </w:tr>
      <w:tr w:rsidR="008262CC" w:rsidRPr="003311CD" w14:paraId="3793E544" w14:textId="77777777" w:rsidTr="0022188B">
        <w:trPr>
          <w:cnfStyle w:val="000000100000" w:firstRow="0" w:lastRow="0" w:firstColumn="0" w:lastColumn="0" w:oddVBand="0" w:evenVBand="0" w:oddHBand="1" w:evenHBand="0" w:firstRowFirstColumn="0" w:firstRowLastColumn="0" w:lastRowFirstColumn="0" w:lastRowLastColumn="0"/>
          <w:cantSplit/>
          <w:trHeight w:val="1008"/>
        </w:trPr>
        <w:tc>
          <w:tcPr>
            <w:cnfStyle w:val="001000000000" w:firstRow="0" w:lastRow="0" w:firstColumn="1" w:lastColumn="0" w:oddVBand="0" w:evenVBand="0" w:oddHBand="0" w:evenHBand="0" w:firstRowFirstColumn="0" w:firstRowLastColumn="0" w:lastRowFirstColumn="0" w:lastRowLastColumn="0"/>
            <w:tcW w:w="4752" w:type="dxa"/>
            <w:tcBorders>
              <w:top w:val="none" w:sz="0" w:space="0" w:color="auto"/>
              <w:bottom w:val="none" w:sz="0" w:space="0" w:color="auto"/>
              <w:right w:val="none" w:sz="0" w:space="0" w:color="auto"/>
            </w:tcBorders>
            <w:vAlign w:val="center"/>
            <w:hideMark/>
          </w:tcPr>
          <w:p w14:paraId="4EBFC1DE" w14:textId="0D3376A3" w:rsidR="008262CC" w:rsidRPr="003311CD" w:rsidRDefault="008262CC" w:rsidP="00801A7A">
            <w:pPr>
              <w:spacing w:before="60" w:after="60"/>
              <w:rPr>
                <w:rFonts w:cs="Arial"/>
                <w:color w:val="000000"/>
              </w:rPr>
            </w:pPr>
            <w:r w:rsidRPr="003311CD">
              <w:rPr>
                <w:rFonts w:cs="Arial"/>
                <w:color w:val="000000"/>
              </w:rPr>
              <w:t>(iii) The number of pupils meeting academic and career-readiness standards as defined in the College/Career Indicator</w:t>
            </w:r>
            <w:r w:rsidR="003B101D" w:rsidRPr="003311CD">
              <w:rPr>
                <w:rFonts w:cs="Arial"/>
                <w:color w:val="000000"/>
              </w:rPr>
              <w:t xml:space="preserve"> (CCI)</w:t>
            </w:r>
            <w:r w:rsidRPr="003311CD">
              <w:rPr>
                <w:rFonts w:cs="Arial"/>
                <w:color w:val="000000"/>
              </w:rPr>
              <w:t xml:space="preserve"> associated with the California School Dashboard.</w:t>
            </w:r>
          </w:p>
        </w:tc>
        <w:tc>
          <w:tcPr>
            <w:tcW w:w="4752" w:type="dxa"/>
            <w:tcBorders>
              <w:top w:val="none" w:sz="0" w:space="0" w:color="auto"/>
              <w:bottom w:val="none" w:sz="0" w:space="0" w:color="auto"/>
            </w:tcBorders>
            <w:shd w:val="pct15" w:color="auto" w:fill="auto"/>
            <w:vAlign w:val="center"/>
            <w:hideMark/>
          </w:tcPr>
          <w:p w14:paraId="2D7D362B" w14:textId="3DE45AE3" w:rsidR="008262CC" w:rsidRPr="003311CD" w:rsidRDefault="008262CC" w:rsidP="00801A7A">
            <w:pPr>
              <w:spacing w:before="60" w:after="60"/>
              <w:jc w:val="center"/>
              <w:cnfStyle w:val="000000100000" w:firstRow="0" w:lastRow="0" w:firstColumn="0" w:lastColumn="0" w:oddVBand="0" w:evenVBand="0" w:oddHBand="1" w:evenHBand="0" w:firstRowFirstColumn="0" w:firstRowLastColumn="0" w:lastRowFirstColumn="0" w:lastRowLastColumn="0"/>
              <w:rPr>
                <w:rFonts w:cs="Arial"/>
                <w:b/>
                <w:bCs/>
              </w:rPr>
            </w:pPr>
            <w:r w:rsidRPr="003311CD">
              <w:rPr>
                <w:rFonts w:cs="Arial"/>
                <w:b/>
                <w:bCs/>
              </w:rPr>
              <w:t>No correlating metric listed in the K</w:t>
            </w:r>
            <w:r w:rsidR="003B101D" w:rsidRPr="003311CD">
              <w:rPr>
                <w:rFonts w:cs="Arial"/>
                <w:b/>
                <w:bCs/>
              </w:rPr>
              <w:t>–</w:t>
            </w:r>
            <w:r w:rsidRPr="003311CD">
              <w:rPr>
                <w:rFonts w:cs="Arial"/>
                <w:b/>
                <w:bCs/>
              </w:rPr>
              <w:t>12 SWP statute</w:t>
            </w:r>
            <w:r w:rsidR="00791042" w:rsidRPr="003311CD">
              <w:rPr>
                <w:rFonts w:cs="Arial"/>
                <w:b/>
                <w:bCs/>
              </w:rPr>
              <w:t>.</w:t>
            </w:r>
          </w:p>
        </w:tc>
      </w:tr>
      <w:tr w:rsidR="008262CC" w:rsidRPr="003311CD" w14:paraId="36056F8D" w14:textId="77777777" w:rsidTr="0022188B">
        <w:trPr>
          <w:cantSplit/>
          <w:trHeight w:val="864"/>
        </w:trPr>
        <w:tc>
          <w:tcPr>
            <w:cnfStyle w:val="001000000000" w:firstRow="0" w:lastRow="0" w:firstColumn="1" w:lastColumn="0" w:oddVBand="0" w:evenVBand="0" w:oddHBand="0" w:evenHBand="0" w:firstRowFirstColumn="0" w:firstRowLastColumn="0" w:lastRowFirstColumn="0" w:lastRowLastColumn="0"/>
            <w:tcW w:w="4752" w:type="dxa"/>
            <w:tcBorders>
              <w:right w:val="none" w:sz="0" w:space="0" w:color="auto"/>
            </w:tcBorders>
            <w:vAlign w:val="center"/>
            <w:hideMark/>
          </w:tcPr>
          <w:p w14:paraId="3FCF2CC8" w14:textId="77777777" w:rsidR="008262CC" w:rsidRPr="003311CD" w:rsidRDefault="008262CC" w:rsidP="00801A7A">
            <w:pPr>
              <w:spacing w:before="60" w:after="60"/>
              <w:rPr>
                <w:rFonts w:cs="Arial"/>
                <w:color w:val="000000"/>
              </w:rPr>
            </w:pPr>
            <w:r w:rsidRPr="003311CD">
              <w:rPr>
                <w:rFonts w:cs="Arial"/>
                <w:color w:val="000000"/>
              </w:rPr>
              <w:t>(iv) The number of pupils obtaining an industry-recognized credential, certificate, license, or other measure of technical skill attainment.</w:t>
            </w:r>
          </w:p>
        </w:tc>
        <w:tc>
          <w:tcPr>
            <w:tcW w:w="4752" w:type="dxa"/>
            <w:vAlign w:val="center"/>
            <w:hideMark/>
          </w:tcPr>
          <w:p w14:paraId="09F5CEA6" w14:textId="77777777" w:rsidR="008262CC" w:rsidRPr="003311CD" w:rsidRDefault="008262CC" w:rsidP="00801A7A">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311CD">
              <w:rPr>
                <w:rFonts w:cs="Arial"/>
                <w:color w:val="000000"/>
              </w:rPr>
              <w:t>(iii) The number of pupils obtaining an industry-recognized credential, certificate, license, or other measure of technical skill attainment.</w:t>
            </w:r>
          </w:p>
        </w:tc>
      </w:tr>
      <w:tr w:rsidR="008262CC" w:rsidRPr="003311CD" w14:paraId="2CB8AC1F" w14:textId="77777777" w:rsidTr="0022188B">
        <w:trPr>
          <w:cnfStyle w:val="000000100000" w:firstRow="0" w:lastRow="0" w:firstColumn="0" w:lastColumn="0" w:oddVBand="0" w:evenVBand="0" w:oddHBand="1" w:evenHBand="0" w:firstRowFirstColumn="0" w:firstRowLastColumn="0" w:lastRowFirstColumn="0" w:lastRowLastColumn="0"/>
          <w:cantSplit/>
          <w:trHeight w:val="720"/>
        </w:trPr>
        <w:tc>
          <w:tcPr>
            <w:cnfStyle w:val="001000000000" w:firstRow="0" w:lastRow="0" w:firstColumn="1" w:lastColumn="0" w:oddVBand="0" w:evenVBand="0" w:oddHBand="0" w:evenHBand="0" w:firstRowFirstColumn="0" w:firstRowLastColumn="0" w:lastRowFirstColumn="0" w:lastRowLastColumn="0"/>
            <w:tcW w:w="4752" w:type="dxa"/>
            <w:tcBorders>
              <w:top w:val="none" w:sz="0" w:space="0" w:color="auto"/>
              <w:bottom w:val="none" w:sz="0" w:space="0" w:color="auto"/>
              <w:right w:val="none" w:sz="0" w:space="0" w:color="auto"/>
            </w:tcBorders>
            <w:vAlign w:val="center"/>
            <w:hideMark/>
          </w:tcPr>
          <w:p w14:paraId="09954560" w14:textId="77777777" w:rsidR="008262CC" w:rsidRPr="003311CD" w:rsidRDefault="008262CC" w:rsidP="00801A7A">
            <w:pPr>
              <w:spacing w:before="60" w:after="60"/>
              <w:rPr>
                <w:rFonts w:cs="Arial"/>
                <w:color w:val="000000"/>
              </w:rPr>
            </w:pPr>
            <w:r w:rsidRPr="003311CD">
              <w:rPr>
                <w:rFonts w:cs="Arial"/>
                <w:color w:val="000000"/>
              </w:rPr>
              <w:t>(v) The number of former pupils employed and the types of businesses in which they are employed.</w:t>
            </w:r>
          </w:p>
        </w:tc>
        <w:tc>
          <w:tcPr>
            <w:tcW w:w="4752" w:type="dxa"/>
            <w:tcBorders>
              <w:top w:val="none" w:sz="0" w:space="0" w:color="auto"/>
              <w:bottom w:val="none" w:sz="0" w:space="0" w:color="auto"/>
            </w:tcBorders>
            <w:vAlign w:val="center"/>
            <w:hideMark/>
          </w:tcPr>
          <w:p w14:paraId="3E931C7D" w14:textId="77777777" w:rsidR="008262CC" w:rsidRPr="003311CD" w:rsidRDefault="008262CC" w:rsidP="00801A7A">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rPr>
            </w:pPr>
            <w:r w:rsidRPr="003311CD">
              <w:rPr>
                <w:rFonts w:cs="Arial"/>
                <w:color w:val="000000"/>
              </w:rPr>
              <w:t>(iv) The number of former pupils employed and the types of businesses in which they are employed.</w:t>
            </w:r>
          </w:p>
        </w:tc>
      </w:tr>
      <w:tr w:rsidR="008262CC" w:rsidRPr="003311CD" w14:paraId="3272A8AC" w14:textId="77777777" w:rsidTr="0022188B">
        <w:trPr>
          <w:cantSplit/>
          <w:trHeight w:val="1872"/>
        </w:trPr>
        <w:tc>
          <w:tcPr>
            <w:cnfStyle w:val="001000000000" w:firstRow="0" w:lastRow="0" w:firstColumn="1" w:lastColumn="0" w:oddVBand="0" w:evenVBand="0" w:oddHBand="0" w:evenHBand="0" w:firstRowFirstColumn="0" w:firstRowLastColumn="0" w:lastRowFirstColumn="0" w:lastRowLastColumn="0"/>
            <w:tcW w:w="4752" w:type="dxa"/>
            <w:tcBorders>
              <w:right w:val="none" w:sz="0" w:space="0" w:color="auto"/>
            </w:tcBorders>
            <w:vAlign w:val="center"/>
            <w:hideMark/>
          </w:tcPr>
          <w:p w14:paraId="43AFEA64" w14:textId="58FB65FB" w:rsidR="008262CC" w:rsidRPr="003311CD" w:rsidRDefault="008262CC" w:rsidP="00801A7A">
            <w:pPr>
              <w:spacing w:before="60" w:after="60"/>
              <w:rPr>
                <w:rFonts w:cs="Arial"/>
                <w:color w:val="000000"/>
              </w:rPr>
            </w:pPr>
            <w:r w:rsidRPr="003311CD">
              <w:rPr>
                <w:rFonts w:cs="Arial"/>
                <w:color w:val="000000"/>
              </w:rPr>
              <w:t>(vi) The number of former pupils enrolled in each of the following:</w:t>
            </w:r>
            <w:r w:rsidRPr="003311CD">
              <w:rPr>
                <w:rFonts w:cs="Arial"/>
                <w:color w:val="000000"/>
              </w:rPr>
              <w:br/>
              <w:t>(I) A postsecondary educational institution.</w:t>
            </w:r>
            <w:r w:rsidRPr="003311CD">
              <w:rPr>
                <w:rFonts w:cs="Arial"/>
                <w:color w:val="000000"/>
              </w:rPr>
              <w:br/>
              <w:t>(II) A state apprenticeship program.</w:t>
            </w:r>
            <w:r w:rsidRPr="003311CD">
              <w:rPr>
                <w:rFonts w:cs="Arial"/>
                <w:color w:val="000000"/>
              </w:rPr>
              <w:br/>
            </w:r>
            <w:r w:rsidRPr="003311CD">
              <w:rPr>
                <w:rFonts w:cs="Arial"/>
              </w:rPr>
              <w:t>(III) A form of job training other than a state apprenticeship program.</w:t>
            </w:r>
          </w:p>
        </w:tc>
        <w:tc>
          <w:tcPr>
            <w:tcW w:w="4752" w:type="dxa"/>
            <w:vAlign w:val="center"/>
            <w:hideMark/>
          </w:tcPr>
          <w:p w14:paraId="4EBFE2F5" w14:textId="77777777" w:rsidR="008262CC" w:rsidRPr="003311CD" w:rsidRDefault="008262CC" w:rsidP="00801A7A">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rPr>
            </w:pPr>
            <w:r w:rsidRPr="003311CD">
              <w:rPr>
                <w:rFonts w:cs="Arial"/>
                <w:color w:val="000000"/>
              </w:rPr>
              <w:t>(v) The number of former pupils enrolled in each of the following:</w:t>
            </w:r>
            <w:r w:rsidRPr="003311CD">
              <w:rPr>
                <w:rFonts w:cs="Arial"/>
                <w:color w:val="000000"/>
              </w:rPr>
              <w:br/>
              <w:t xml:space="preserve">(I) A postsecondary educational institution, </w:t>
            </w:r>
            <w:r w:rsidRPr="003311CD">
              <w:rPr>
                <w:rFonts w:cs="Arial"/>
              </w:rPr>
              <w:t>disaggregated by public, private nonprofit, and private for-profit institutions.</w:t>
            </w:r>
            <w:r w:rsidRPr="003311CD">
              <w:rPr>
                <w:rFonts w:cs="Arial"/>
              </w:rPr>
              <w:br/>
              <w:t>(II) A state apprenticeship program.</w:t>
            </w:r>
            <w:r w:rsidRPr="003311CD">
              <w:rPr>
                <w:rFonts w:cs="Arial"/>
              </w:rPr>
              <w:br/>
              <w:t>(III) Another form of job training.</w:t>
            </w:r>
          </w:p>
        </w:tc>
      </w:tr>
    </w:tbl>
    <w:p w14:paraId="7B58FB68" w14:textId="4497C74E" w:rsidR="008262CC" w:rsidRPr="003311CD" w:rsidRDefault="008262CC" w:rsidP="0060622D">
      <w:pPr>
        <w:pStyle w:val="ListParagraph"/>
        <w:numPr>
          <w:ilvl w:val="0"/>
          <w:numId w:val="25"/>
        </w:numPr>
        <w:spacing w:before="240" w:after="240" w:line="259" w:lineRule="auto"/>
        <w:ind w:left="360"/>
        <w:contextualSpacing w:val="0"/>
        <w:rPr>
          <w:rFonts w:cs="Arial"/>
        </w:rPr>
      </w:pPr>
      <w:r w:rsidRPr="003311CD">
        <w:rPr>
          <w:rFonts w:cs="Arial"/>
        </w:rPr>
        <w:t>Currently, there are six metrics listed for CTEIG and five metrics for K</w:t>
      </w:r>
      <w:r w:rsidR="003B101D" w:rsidRPr="003311CD">
        <w:rPr>
          <w:rFonts w:cs="Arial"/>
        </w:rPr>
        <w:t>–</w:t>
      </w:r>
      <w:r w:rsidRPr="003311CD">
        <w:rPr>
          <w:rFonts w:cs="Arial"/>
        </w:rPr>
        <w:t xml:space="preserve">12 SWP. Specifically, CTEIG metric number three – </w:t>
      </w:r>
      <w:r w:rsidRPr="003311CD">
        <w:rPr>
          <w:rFonts w:cs="Arial"/>
          <w:i/>
        </w:rPr>
        <w:t>EC</w:t>
      </w:r>
      <w:r w:rsidRPr="003311CD">
        <w:rPr>
          <w:rFonts w:cs="Arial"/>
        </w:rPr>
        <w:t xml:space="preserve"> Section 53071(c)(11)(B)(iii) – is not listed in the K</w:t>
      </w:r>
      <w:r w:rsidR="003B101D" w:rsidRPr="003311CD">
        <w:rPr>
          <w:rFonts w:cs="Arial"/>
        </w:rPr>
        <w:t>–</w:t>
      </w:r>
      <w:r w:rsidRPr="003311CD">
        <w:rPr>
          <w:rFonts w:cs="Arial"/>
        </w:rPr>
        <w:t>12 SWP statute.</w:t>
      </w:r>
    </w:p>
    <w:p w14:paraId="7E1614F3" w14:textId="78D6D4C4" w:rsidR="008262CC" w:rsidRPr="003311CD" w:rsidRDefault="008262CC" w:rsidP="00726342">
      <w:pPr>
        <w:pStyle w:val="ListParagraph"/>
        <w:numPr>
          <w:ilvl w:val="0"/>
          <w:numId w:val="25"/>
        </w:numPr>
        <w:spacing w:after="240" w:line="259" w:lineRule="auto"/>
        <w:ind w:left="360"/>
        <w:contextualSpacing w:val="0"/>
        <w:rPr>
          <w:rFonts w:cs="Arial"/>
        </w:rPr>
      </w:pPr>
      <w:r w:rsidRPr="003311CD">
        <w:rPr>
          <w:rFonts w:cs="Arial"/>
        </w:rPr>
        <w:t xml:space="preserve">CTEIG metric number six – </w:t>
      </w:r>
      <w:r w:rsidRPr="003311CD">
        <w:rPr>
          <w:rFonts w:cs="Arial"/>
          <w:i/>
        </w:rPr>
        <w:t>EC</w:t>
      </w:r>
      <w:r w:rsidRPr="003311CD">
        <w:rPr>
          <w:rFonts w:cs="Arial"/>
        </w:rPr>
        <w:t xml:space="preserve"> Section 53071(c)(11)(B)(vi) – and K</w:t>
      </w:r>
      <w:r w:rsidR="003B101D" w:rsidRPr="003311CD">
        <w:rPr>
          <w:rFonts w:cs="Arial"/>
        </w:rPr>
        <w:t>–</w:t>
      </w:r>
      <w:r w:rsidRPr="003311CD">
        <w:rPr>
          <w:rFonts w:cs="Arial"/>
        </w:rPr>
        <w:t xml:space="preserve">12 SWP metric number </w:t>
      </w:r>
      <w:r w:rsidR="003B101D" w:rsidRPr="003311CD">
        <w:rPr>
          <w:rFonts w:cs="Arial"/>
        </w:rPr>
        <w:t>five</w:t>
      </w:r>
      <w:r w:rsidRPr="003311CD">
        <w:rPr>
          <w:rFonts w:cs="Arial"/>
        </w:rPr>
        <w:t xml:space="preserve"> – </w:t>
      </w:r>
      <w:r w:rsidRPr="003311CD">
        <w:rPr>
          <w:rFonts w:cs="Arial"/>
          <w:i/>
        </w:rPr>
        <w:t>EC</w:t>
      </w:r>
      <w:r w:rsidRPr="003311CD">
        <w:rPr>
          <w:rFonts w:cs="Arial"/>
        </w:rPr>
        <w:t xml:space="preserve"> Section 88828(d)(8)(B)(v) are virtually similar with two important differences.</w:t>
      </w:r>
    </w:p>
    <w:p w14:paraId="3F87F636" w14:textId="77777777" w:rsidR="003B101D" w:rsidRPr="003311CD" w:rsidRDefault="008262CC" w:rsidP="00726342">
      <w:pPr>
        <w:pStyle w:val="ListParagraph"/>
        <w:numPr>
          <w:ilvl w:val="0"/>
          <w:numId w:val="27"/>
        </w:numPr>
        <w:spacing w:after="240" w:line="259" w:lineRule="auto"/>
        <w:contextualSpacing w:val="0"/>
        <w:rPr>
          <w:rFonts w:cs="Arial"/>
        </w:rPr>
      </w:pPr>
      <w:r w:rsidRPr="003311CD">
        <w:rPr>
          <w:rFonts w:cs="Arial"/>
        </w:rPr>
        <w:lastRenderedPageBreak/>
        <w:t>The first sub-subparagraph (I) in both CTEIG metric six and K</w:t>
      </w:r>
      <w:r w:rsidR="003B101D" w:rsidRPr="003311CD">
        <w:rPr>
          <w:rFonts w:cs="Arial"/>
        </w:rPr>
        <w:t>–</w:t>
      </w:r>
      <w:r w:rsidRPr="003311CD">
        <w:rPr>
          <w:rFonts w:cs="Arial"/>
        </w:rPr>
        <w:t xml:space="preserve">12 SWP metric </w:t>
      </w:r>
      <w:r w:rsidR="003B101D" w:rsidRPr="003311CD">
        <w:rPr>
          <w:rFonts w:cs="Arial"/>
        </w:rPr>
        <w:t>five</w:t>
      </w:r>
      <w:r w:rsidRPr="003311CD">
        <w:rPr>
          <w:rFonts w:cs="Arial"/>
        </w:rPr>
        <w:t xml:space="preserve"> are similar; however, the K</w:t>
      </w:r>
      <w:r w:rsidR="003B101D" w:rsidRPr="003311CD">
        <w:rPr>
          <w:rFonts w:cs="Arial"/>
        </w:rPr>
        <w:t>–</w:t>
      </w:r>
      <w:r w:rsidRPr="003311CD">
        <w:rPr>
          <w:rFonts w:cs="Arial"/>
        </w:rPr>
        <w:t>12 version disaggregates the number of former pupils enrolled in a postsecondary educational institution by public, private non-profit, and private for-profit institutions. The same CTEIG metric does NOT disaggregate this compound metric.</w:t>
      </w:r>
    </w:p>
    <w:p w14:paraId="07563420" w14:textId="52CDDC36" w:rsidR="008262CC" w:rsidRPr="003311CD" w:rsidRDefault="008262CC" w:rsidP="00726342">
      <w:pPr>
        <w:pStyle w:val="ListParagraph"/>
        <w:numPr>
          <w:ilvl w:val="0"/>
          <w:numId w:val="27"/>
        </w:numPr>
        <w:spacing w:after="240" w:line="259" w:lineRule="auto"/>
        <w:contextualSpacing w:val="0"/>
        <w:rPr>
          <w:rFonts w:cs="Arial"/>
        </w:rPr>
      </w:pPr>
      <w:r w:rsidRPr="003311CD">
        <w:rPr>
          <w:rFonts w:cs="Arial"/>
        </w:rPr>
        <w:t>The third sub-subparagraph (III) in both the CTEIG metric six and K</w:t>
      </w:r>
      <w:r w:rsidR="003B101D" w:rsidRPr="003311CD">
        <w:rPr>
          <w:rFonts w:cs="Arial"/>
        </w:rPr>
        <w:t>–</w:t>
      </w:r>
      <w:r w:rsidRPr="003311CD">
        <w:rPr>
          <w:rFonts w:cs="Arial"/>
        </w:rPr>
        <w:t xml:space="preserve">12 SWP metric </w:t>
      </w:r>
      <w:r w:rsidR="003B101D" w:rsidRPr="003311CD">
        <w:rPr>
          <w:rFonts w:cs="Arial"/>
        </w:rPr>
        <w:t>five</w:t>
      </w:r>
      <w:r w:rsidRPr="003311CD">
        <w:rPr>
          <w:rFonts w:cs="Arial"/>
        </w:rPr>
        <w:t xml:space="preserve"> are similar; however, the CTEIG statute specifies another form of job training “other than a state apprenticeship program</w:t>
      </w:r>
      <w:r w:rsidR="00587A1D" w:rsidRPr="003311CD">
        <w:rPr>
          <w:rFonts w:cs="Arial"/>
        </w:rPr>
        <w:t>,</w:t>
      </w:r>
      <w:r w:rsidRPr="003311CD">
        <w:rPr>
          <w:rFonts w:cs="Arial"/>
        </w:rPr>
        <w:t>” while the K</w:t>
      </w:r>
      <w:r w:rsidR="003B101D" w:rsidRPr="003311CD">
        <w:rPr>
          <w:rFonts w:cs="Arial"/>
        </w:rPr>
        <w:t>–</w:t>
      </w:r>
      <w:r w:rsidRPr="003311CD">
        <w:rPr>
          <w:rFonts w:cs="Arial"/>
        </w:rPr>
        <w:t>12 SWP statute states “another form of job training.” While the distinction in the CTEIG metric could suggest that those pupils enrolled in another form of job training “other than a state apprenticeship program” could, under a strict literal interpretation, also be include</w:t>
      </w:r>
      <w:r w:rsidR="003B101D" w:rsidRPr="003311CD">
        <w:rPr>
          <w:rFonts w:cs="Arial"/>
        </w:rPr>
        <w:t>d</w:t>
      </w:r>
      <w:r w:rsidRPr="003311CD">
        <w:rPr>
          <w:rFonts w:cs="Arial"/>
        </w:rPr>
        <w:t xml:space="preserve"> in the count for sub-subparagraph one (I) of the compound metric total, they are essentially asking the same question in a different way.</w:t>
      </w:r>
    </w:p>
    <w:p w14:paraId="241FFAF7" w14:textId="7BFE9617" w:rsidR="0010668C" w:rsidRPr="003311CD" w:rsidRDefault="0010668C" w:rsidP="0010668C">
      <w:pPr>
        <w:tabs>
          <w:tab w:val="left" w:pos="8640"/>
        </w:tabs>
        <w:spacing w:after="240"/>
        <w:ind w:right="720"/>
        <w:rPr>
          <w:rFonts w:cs="Arial"/>
          <w:szCs w:val="22"/>
          <w:bdr w:val="none" w:sz="0" w:space="0" w:color="auto" w:frame="1"/>
          <w:lang w:val="en"/>
        </w:rPr>
      </w:pPr>
      <w:r w:rsidRPr="003311CD">
        <w:rPr>
          <w:rFonts w:cs="Arial"/>
          <w:szCs w:val="22"/>
          <w:bdr w:val="none" w:sz="0" w:space="0" w:color="auto" w:frame="1"/>
          <w:lang w:val="en"/>
        </w:rPr>
        <w:t>Looking ahead, it is possible to reconcile the differences between the CTEIG and K</w:t>
      </w:r>
      <w:r w:rsidR="00726342" w:rsidRPr="003311CD">
        <w:rPr>
          <w:rFonts w:cs="Arial"/>
          <w:szCs w:val="22"/>
          <w:bdr w:val="none" w:sz="0" w:space="0" w:color="auto" w:frame="1"/>
          <w:lang w:val="en"/>
        </w:rPr>
        <w:t>–</w:t>
      </w:r>
      <w:r w:rsidRPr="003311CD">
        <w:rPr>
          <w:rFonts w:cs="Arial"/>
          <w:szCs w:val="22"/>
          <w:bdr w:val="none" w:sz="0" w:space="0" w:color="auto" w:frame="1"/>
          <w:lang w:val="en"/>
        </w:rPr>
        <w:t>12 SWP statutes</w:t>
      </w:r>
      <w:r w:rsidR="00F21C74" w:rsidRPr="003311CD">
        <w:rPr>
          <w:rFonts w:cs="Arial"/>
          <w:szCs w:val="22"/>
          <w:bdr w:val="none" w:sz="0" w:space="0" w:color="auto" w:frame="1"/>
          <w:lang w:val="en"/>
        </w:rPr>
        <w:t xml:space="preserve">, and once </w:t>
      </w:r>
      <w:r w:rsidR="00726342" w:rsidRPr="003311CD">
        <w:rPr>
          <w:rFonts w:cs="Arial"/>
          <w:szCs w:val="22"/>
          <w:bdr w:val="none" w:sz="0" w:space="0" w:color="auto" w:frame="1"/>
          <w:lang w:val="en"/>
        </w:rPr>
        <w:t>completed</w:t>
      </w:r>
      <w:r w:rsidR="00F21C74" w:rsidRPr="003311CD">
        <w:rPr>
          <w:rFonts w:cs="Arial"/>
          <w:szCs w:val="22"/>
          <w:bdr w:val="none" w:sz="0" w:space="0" w:color="auto" w:frame="1"/>
          <w:lang w:val="en"/>
        </w:rPr>
        <w:t>,</w:t>
      </w:r>
      <w:r w:rsidRPr="003311CD">
        <w:rPr>
          <w:rFonts w:cs="Arial"/>
          <w:szCs w:val="22"/>
          <w:bdr w:val="none" w:sz="0" w:space="0" w:color="auto" w:frame="1"/>
          <w:lang w:val="en"/>
        </w:rPr>
        <w:t xml:space="preserve"> create a future recommendation</w:t>
      </w:r>
      <w:r w:rsidR="00605707" w:rsidRPr="003311CD">
        <w:rPr>
          <w:rFonts w:cs="Arial"/>
          <w:szCs w:val="22"/>
          <w:bdr w:val="none" w:sz="0" w:space="0" w:color="auto" w:frame="1"/>
          <w:lang w:val="en"/>
        </w:rPr>
        <w:t xml:space="preserve"> once </w:t>
      </w:r>
      <w:r w:rsidR="0024129C" w:rsidRPr="003311CD">
        <w:rPr>
          <w:rFonts w:cs="Arial"/>
          <w:szCs w:val="22"/>
          <w:bdr w:val="none" w:sz="0" w:space="0" w:color="auto" w:frame="1"/>
          <w:lang w:val="en"/>
        </w:rPr>
        <w:t>data collection</w:t>
      </w:r>
      <w:r w:rsidR="00F13DD8" w:rsidRPr="003311CD">
        <w:rPr>
          <w:rFonts w:cs="Arial"/>
          <w:szCs w:val="22"/>
          <w:bdr w:val="none" w:sz="0" w:space="0" w:color="auto" w:frame="1"/>
          <w:lang w:val="en"/>
        </w:rPr>
        <w:t xml:space="preserve"> approaches methodological considerations, and the creation of functional measures </w:t>
      </w:r>
      <w:r w:rsidR="0069737A" w:rsidRPr="003311CD">
        <w:rPr>
          <w:rFonts w:cs="Arial"/>
          <w:szCs w:val="22"/>
          <w:bdr w:val="none" w:sz="0" w:space="0" w:color="auto" w:frame="1"/>
          <w:lang w:val="en"/>
        </w:rPr>
        <w:t>are</w:t>
      </w:r>
      <w:r w:rsidR="00F13DD8" w:rsidRPr="003311CD">
        <w:rPr>
          <w:rFonts w:cs="Arial"/>
          <w:szCs w:val="22"/>
          <w:bdr w:val="none" w:sz="0" w:space="0" w:color="auto" w:frame="1"/>
          <w:lang w:val="en"/>
        </w:rPr>
        <w:t xml:space="preserve"> set in place</w:t>
      </w:r>
      <w:r w:rsidRPr="003311CD">
        <w:rPr>
          <w:rFonts w:cs="Arial"/>
          <w:szCs w:val="22"/>
          <w:bdr w:val="none" w:sz="0" w:space="0" w:color="auto" w:frame="1"/>
          <w:lang w:val="en"/>
        </w:rPr>
        <w:t>.</w:t>
      </w:r>
    </w:p>
    <w:p w14:paraId="67A2EAF5" w14:textId="42C34AE0" w:rsidR="00F21C74" w:rsidRPr="003311CD" w:rsidRDefault="002E54A3" w:rsidP="00F70169">
      <w:pPr>
        <w:spacing w:after="240"/>
        <w:rPr>
          <w:rFonts w:cs="Arial"/>
        </w:rPr>
      </w:pPr>
      <w:r w:rsidRPr="003311CD">
        <w:rPr>
          <w:rFonts w:cs="Arial"/>
          <w:b/>
        </w:rPr>
        <w:t>Operationalizing the CTEIG and K</w:t>
      </w:r>
      <w:r w:rsidR="00726342" w:rsidRPr="003311CD">
        <w:rPr>
          <w:rFonts w:cs="Arial"/>
          <w:b/>
        </w:rPr>
        <w:t>–</w:t>
      </w:r>
      <w:r w:rsidRPr="003311CD">
        <w:rPr>
          <w:rFonts w:cs="Arial"/>
          <w:b/>
        </w:rPr>
        <w:t>12 SWP Metrics</w:t>
      </w:r>
    </w:p>
    <w:p w14:paraId="7275EF2B" w14:textId="6B2BAE81" w:rsidR="002E54A3" w:rsidRPr="003311CD" w:rsidRDefault="00AE7C23" w:rsidP="002E54A3">
      <w:pPr>
        <w:spacing w:after="240"/>
        <w:rPr>
          <w:rFonts w:cs="Arial"/>
        </w:rPr>
      </w:pPr>
      <w:r w:rsidRPr="003311CD">
        <w:rPr>
          <w:rFonts w:cs="Arial"/>
        </w:rPr>
        <w:t>A</w:t>
      </w:r>
      <w:r w:rsidR="002E54A3" w:rsidRPr="003311CD">
        <w:rPr>
          <w:rFonts w:cs="Arial"/>
        </w:rPr>
        <w:t xml:space="preserve"> key effort made by CTE program</w:t>
      </w:r>
      <w:r w:rsidR="00726342" w:rsidRPr="003311CD">
        <w:rPr>
          <w:rFonts w:cs="Arial"/>
        </w:rPr>
        <w:t>s</w:t>
      </w:r>
      <w:r w:rsidR="00AD1E77" w:rsidRPr="003311CD">
        <w:rPr>
          <w:rFonts w:cs="Arial"/>
        </w:rPr>
        <w:t>,</w:t>
      </w:r>
      <w:r w:rsidR="002E54A3" w:rsidRPr="003311CD">
        <w:rPr>
          <w:rFonts w:cs="Arial"/>
        </w:rPr>
        <w:t xml:space="preserve"> and the data offices within </w:t>
      </w:r>
      <w:r w:rsidR="00726342" w:rsidRPr="003311CD">
        <w:rPr>
          <w:rFonts w:cs="Arial"/>
        </w:rPr>
        <w:t xml:space="preserve">the </w:t>
      </w:r>
      <w:r w:rsidR="002E54A3" w:rsidRPr="003311CD">
        <w:rPr>
          <w:rFonts w:cs="Arial"/>
        </w:rPr>
        <w:t>CDE</w:t>
      </w:r>
      <w:r w:rsidR="00AD1E77" w:rsidRPr="003311CD">
        <w:rPr>
          <w:rFonts w:cs="Arial"/>
        </w:rPr>
        <w:t>,</w:t>
      </w:r>
      <w:r w:rsidR="002E54A3" w:rsidRPr="003311CD">
        <w:rPr>
          <w:rFonts w:cs="Arial"/>
        </w:rPr>
        <w:t xml:space="preserve"> was to make the collection of CTE data</w:t>
      </w:r>
      <w:r w:rsidR="00726342" w:rsidRPr="003311CD">
        <w:rPr>
          <w:rFonts w:cs="Arial"/>
        </w:rPr>
        <w:t xml:space="preserve"> uniform</w:t>
      </w:r>
      <w:r w:rsidRPr="003311CD">
        <w:rPr>
          <w:rFonts w:cs="Arial"/>
        </w:rPr>
        <w:t xml:space="preserve">. Through much discussion, the data required to operationalize </w:t>
      </w:r>
      <w:r w:rsidR="00726342" w:rsidRPr="003311CD">
        <w:rPr>
          <w:rFonts w:cs="Arial"/>
        </w:rPr>
        <w:t xml:space="preserve">the </w:t>
      </w:r>
      <w:r w:rsidRPr="003311CD">
        <w:rPr>
          <w:rFonts w:cs="Arial"/>
        </w:rPr>
        <w:t>CTEIG and K</w:t>
      </w:r>
      <w:r w:rsidR="00726342" w:rsidRPr="003311CD">
        <w:rPr>
          <w:rFonts w:cs="Arial"/>
        </w:rPr>
        <w:t>–</w:t>
      </w:r>
      <w:r w:rsidRPr="003311CD">
        <w:rPr>
          <w:rFonts w:cs="Arial"/>
        </w:rPr>
        <w:t xml:space="preserve">12 SWP Metrics (and for that matter </w:t>
      </w:r>
      <w:r w:rsidR="00F408F3" w:rsidRPr="003311CD">
        <w:rPr>
          <w:rFonts w:cs="Arial"/>
        </w:rPr>
        <w:t>Perkins V</w:t>
      </w:r>
      <w:r w:rsidRPr="003311CD">
        <w:rPr>
          <w:rFonts w:cs="Arial"/>
        </w:rPr>
        <w:t>)</w:t>
      </w:r>
      <w:r w:rsidR="00C70170" w:rsidRPr="003311CD">
        <w:rPr>
          <w:rFonts w:cs="Arial"/>
        </w:rPr>
        <w:t>,</w:t>
      </w:r>
      <w:r w:rsidR="00F408F3" w:rsidRPr="003311CD">
        <w:rPr>
          <w:rFonts w:cs="Arial"/>
        </w:rPr>
        <w:t xml:space="preserve"> will now </w:t>
      </w:r>
      <w:r w:rsidR="00726342" w:rsidRPr="003311CD">
        <w:rPr>
          <w:rFonts w:cs="Arial"/>
        </w:rPr>
        <w:t xml:space="preserve">be collected </w:t>
      </w:r>
      <w:r w:rsidR="00F408F3" w:rsidRPr="003311CD">
        <w:rPr>
          <w:rFonts w:cs="Arial"/>
        </w:rPr>
        <w:t>within the California Longitudinal Achievement Data System (CALPADS)</w:t>
      </w:r>
      <w:r w:rsidR="00FD6F32" w:rsidRPr="003311CD">
        <w:rPr>
          <w:rFonts w:cs="Arial"/>
        </w:rPr>
        <w:t>. S</w:t>
      </w:r>
      <w:r w:rsidR="00F408F3" w:rsidRPr="003311CD">
        <w:rPr>
          <w:rFonts w:cs="Arial"/>
        </w:rPr>
        <w:t>tarting with the 2019–20 data collection period</w:t>
      </w:r>
      <w:r w:rsidR="00FD6F32" w:rsidRPr="003311CD">
        <w:rPr>
          <w:rFonts w:cs="Arial"/>
        </w:rPr>
        <w:t xml:space="preserve">, </w:t>
      </w:r>
      <w:r w:rsidR="00726342" w:rsidRPr="003311CD">
        <w:rPr>
          <w:rFonts w:cs="Arial"/>
        </w:rPr>
        <w:t xml:space="preserve">the </w:t>
      </w:r>
      <w:r w:rsidR="00FD6F32" w:rsidRPr="003311CD">
        <w:rPr>
          <w:rFonts w:cs="Arial"/>
        </w:rPr>
        <w:t>CALPADS</w:t>
      </w:r>
      <w:r w:rsidR="00164061" w:rsidRPr="003311CD">
        <w:rPr>
          <w:rFonts w:cs="Arial"/>
        </w:rPr>
        <w:t xml:space="preserve"> w</w:t>
      </w:r>
      <w:r w:rsidR="0069737A" w:rsidRPr="003311CD">
        <w:rPr>
          <w:rFonts w:cs="Arial"/>
        </w:rPr>
        <w:t>ill</w:t>
      </w:r>
      <w:r w:rsidR="00164061" w:rsidRPr="003311CD">
        <w:rPr>
          <w:rFonts w:cs="Arial"/>
        </w:rPr>
        <w:t xml:space="preserve"> house all data that permits the operationalization of the CTEIG and K</w:t>
      </w:r>
      <w:r w:rsidR="00726342" w:rsidRPr="003311CD">
        <w:rPr>
          <w:rFonts w:cs="Arial"/>
        </w:rPr>
        <w:t>–</w:t>
      </w:r>
      <w:r w:rsidR="00164061" w:rsidRPr="003311CD">
        <w:rPr>
          <w:rFonts w:cs="Arial"/>
        </w:rPr>
        <w:t>12 SWP Metrics</w:t>
      </w:r>
      <w:r w:rsidR="00F408F3" w:rsidRPr="003311CD">
        <w:rPr>
          <w:rFonts w:cs="Arial"/>
        </w:rPr>
        <w:t>.</w:t>
      </w:r>
    </w:p>
    <w:p w14:paraId="0295F0BB" w14:textId="351CA264" w:rsidR="006A3829" w:rsidRPr="003311CD" w:rsidRDefault="006A3829" w:rsidP="00164061">
      <w:pPr>
        <w:spacing w:after="240"/>
        <w:rPr>
          <w:rFonts w:cs="Arial"/>
        </w:rPr>
      </w:pPr>
      <w:r w:rsidRPr="003311CD">
        <w:rPr>
          <w:rFonts w:cs="Arial"/>
        </w:rPr>
        <w:t>In addition to a single source for data collection, the methodology proposed to operationalize the CTEIG and K</w:t>
      </w:r>
      <w:r w:rsidR="00726342" w:rsidRPr="003311CD">
        <w:rPr>
          <w:rFonts w:cs="Arial"/>
        </w:rPr>
        <w:t>–</w:t>
      </w:r>
      <w:r w:rsidRPr="003311CD">
        <w:rPr>
          <w:rFonts w:cs="Arial"/>
        </w:rPr>
        <w:t>12 SWP metrics</w:t>
      </w:r>
      <w:r w:rsidR="00C23DEE" w:rsidRPr="003311CD">
        <w:rPr>
          <w:rFonts w:cs="Arial"/>
        </w:rPr>
        <w:t xml:space="preserve"> will be the same </w:t>
      </w:r>
      <w:r w:rsidR="00726342" w:rsidRPr="003311CD">
        <w:rPr>
          <w:rFonts w:cs="Arial"/>
        </w:rPr>
        <w:t>as what</w:t>
      </w:r>
      <w:r w:rsidR="00C23DEE" w:rsidRPr="003311CD">
        <w:rPr>
          <w:rFonts w:cs="Arial"/>
        </w:rPr>
        <w:t xml:space="preserve"> is being currently used for developing the career measures under </w:t>
      </w:r>
      <w:r w:rsidR="00726342" w:rsidRPr="003311CD">
        <w:rPr>
          <w:rFonts w:cs="Arial"/>
        </w:rPr>
        <w:t xml:space="preserve">the </w:t>
      </w:r>
      <w:r w:rsidR="0060622D" w:rsidRPr="003311CD">
        <w:rPr>
          <w:rFonts w:cs="Arial"/>
        </w:rPr>
        <w:t>CCI</w:t>
      </w:r>
      <w:r w:rsidR="00C23DEE" w:rsidRPr="003311CD">
        <w:rPr>
          <w:rFonts w:cs="Arial"/>
        </w:rPr>
        <w:t xml:space="preserve"> and the California Accountability Dashboard. By doing</w:t>
      </w:r>
      <w:r w:rsidR="00726342" w:rsidRPr="003311CD">
        <w:rPr>
          <w:rFonts w:cs="Arial"/>
        </w:rPr>
        <w:t xml:space="preserve"> so</w:t>
      </w:r>
      <w:r w:rsidR="00C23DEE" w:rsidRPr="003311CD">
        <w:rPr>
          <w:rFonts w:cs="Arial"/>
        </w:rPr>
        <w:t xml:space="preserve">, it enables consistency in measurement across several state and federal programs and </w:t>
      </w:r>
      <w:r w:rsidR="00C70170" w:rsidRPr="003311CD">
        <w:rPr>
          <w:rFonts w:cs="Arial"/>
        </w:rPr>
        <w:t>makes</w:t>
      </w:r>
      <w:r w:rsidR="00C23DEE" w:rsidRPr="003311CD">
        <w:rPr>
          <w:rFonts w:cs="Arial"/>
        </w:rPr>
        <w:t xml:space="preserve"> comparative analyses possible.</w:t>
      </w:r>
    </w:p>
    <w:p w14:paraId="3192D365" w14:textId="26E85766" w:rsidR="00164061" w:rsidRPr="003311CD" w:rsidRDefault="00B73D87" w:rsidP="00164061">
      <w:pPr>
        <w:spacing w:after="240"/>
        <w:rPr>
          <w:rFonts w:cs="Arial"/>
        </w:rPr>
      </w:pPr>
      <w:r w:rsidRPr="003311CD">
        <w:rPr>
          <w:rFonts w:cs="Arial"/>
        </w:rPr>
        <w:t xml:space="preserve">Using a single source of data collection and consistent methodology permits applying common measurement approaches for </w:t>
      </w:r>
      <w:r w:rsidR="00164061" w:rsidRPr="003311CD">
        <w:rPr>
          <w:rFonts w:cs="Arial"/>
        </w:rPr>
        <w:t>the CTEIG and K</w:t>
      </w:r>
      <w:r w:rsidR="00DA62A1" w:rsidRPr="003311CD">
        <w:rPr>
          <w:rFonts w:cs="Arial"/>
        </w:rPr>
        <w:t>–</w:t>
      </w:r>
      <w:r w:rsidR="00164061" w:rsidRPr="003311CD">
        <w:rPr>
          <w:rFonts w:cs="Arial"/>
        </w:rPr>
        <w:t xml:space="preserve">12 SWP </w:t>
      </w:r>
      <w:r w:rsidR="006A3829" w:rsidRPr="003311CD">
        <w:rPr>
          <w:rFonts w:cs="Arial"/>
        </w:rPr>
        <w:t>m</w:t>
      </w:r>
      <w:r w:rsidR="00164061" w:rsidRPr="003311CD">
        <w:rPr>
          <w:rFonts w:cs="Arial"/>
        </w:rPr>
        <w:t>etrics</w:t>
      </w:r>
      <w:r w:rsidR="00AD1E77" w:rsidRPr="003311CD">
        <w:rPr>
          <w:rFonts w:cs="Arial"/>
        </w:rPr>
        <w:t>,</w:t>
      </w:r>
      <w:r w:rsidR="00164061" w:rsidRPr="003311CD">
        <w:rPr>
          <w:rFonts w:cs="Arial"/>
        </w:rPr>
        <w:t xml:space="preserve"> </w:t>
      </w:r>
      <w:r w:rsidRPr="003311CD">
        <w:rPr>
          <w:rFonts w:cs="Arial"/>
        </w:rPr>
        <w:t>and allows each</w:t>
      </w:r>
      <w:r w:rsidR="00164061" w:rsidRPr="003311CD">
        <w:rPr>
          <w:rFonts w:cs="Arial"/>
        </w:rPr>
        <w:t xml:space="preserve"> metric </w:t>
      </w:r>
      <w:r w:rsidRPr="003311CD">
        <w:rPr>
          <w:rFonts w:cs="Arial"/>
        </w:rPr>
        <w:t xml:space="preserve">to </w:t>
      </w:r>
      <w:r w:rsidR="00164061" w:rsidRPr="003311CD">
        <w:rPr>
          <w:rFonts w:cs="Arial"/>
        </w:rPr>
        <w:t>be expressed numerically. The numerical expression is generally an absolute number or a percentage. For an indicator to be expressed as a percentage, there has to be a numerator and a denominator. Further, an indicator permits the setting of a baseline</w:t>
      </w:r>
      <w:r w:rsidR="00C70170" w:rsidRPr="003311CD">
        <w:rPr>
          <w:rFonts w:cs="Arial"/>
        </w:rPr>
        <w:t>,</w:t>
      </w:r>
      <w:r w:rsidR="00164061" w:rsidRPr="003311CD">
        <w:rPr>
          <w:rFonts w:cs="Arial"/>
        </w:rPr>
        <w:t xml:space="preserve"> as well as a target to be achieved in the future. Moreover, for every refined and updated CTEIG and K–12 SWP metric, and associated indicators, each metric should also be disaggregated by race/ethnicity and special population level</w:t>
      </w:r>
      <w:r w:rsidR="00C70170" w:rsidRPr="003311CD">
        <w:rPr>
          <w:rFonts w:cs="Arial"/>
        </w:rPr>
        <w:t xml:space="preserve"> data</w:t>
      </w:r>
      <w:r w:rsidR="00AD1E77" w:rsidRPr="003311CD">
        <w:rPr>
          <w:rFonts w:cs="Arial"/>
        </w:rPr>
        <w:t>.</w:t>
      </w:r>
    </w:p>
    <w:p w14:paraId="54EDAD83" w14:textId="60FA5F8F" w:rsidR="006A3829" w:rsidRPr="003311CD" w:rsidRDefault="006A3829" w:rsidP="006A3829">
      <w:pPr>
        <w:spacing w:after="240"/>
        <w:rPr>
          <w:rFonts w:cs="Arial"/>
        </w:rPr>
      </w:pPr>
      <w:r w:rsidRPr="003311CD">
        <w:rPr>
          <w:rFonts w:cs="Arial"/>
        </w:rPr>
        <w:lastRenderedPageBreak/>
        <w:t xml:space="preserve">Therefore, with a more robust set of data being collected in </w:t>
      </w:r>
      <w:r w:rsidR="00AD1E77" w:rsidRPr="003311CD">
        <w:rPr>
          <w:rFonts w:cs="Arial"/>
        </w:rPr>
        <w:t>s</w:t>
      </w:r>
      <w:r w:rsidRPr="003311CD">
        <w:rPr>
          <w:rFonts w:cs="Arial"/>
        </w:rPr>
        <w:t>pring 2021, the CDE is able to perform a variety of data runs beginning summer 2021</w:t>
      </w:r>
      <w:r w:rsidR="00297C98" w:rsidRPr="003311CD">
        <w:rPr>
          <w:rFonts w:cs="Arial"/>
        </w:rPr>
        <w:t xml:space="preserve">. </w:t>
      </w:r>
      <w:r w:rsidRPr="003311CD">
        <w:rPr>
          <w:rFonts w:cs="Arial"/>
        </w:rPr>
        <w:t xml:space="preserve">These data runs were not possible up until now </w:t>
      </w:r>
      <w:r w:rsidR="0069737A" w:rsidRPr="003311CD">
        <w:rPr>
          <w:rFonts w:cs="Arial"/>
        </w:rPr>
        <w:t xml:space="preserve">due to </w:t>
      </w:r>
      <w:r w:rsidR="00C70170" w:rsidRPr="003311CD">
        <w:rPr>
          <w:rFonts w:cs="Arial"/>
        </w:rPr>
        <w:t>varied</w:t>
      </w:r>
      <w:r w:rsidRPr="003311CD">
        <w:rPr>
          <w:rFonts w:cs="Arial"/>
        </w:rPr>
        <w:t xml:space="preserve"> data collection methods, inconsistent methodologies, and measurement approaches that were not made explicit. Attachment 1 provides a road map for how the CDE will go about developing data runs by identifying the indicators that need to measured. Moreover, these data runs should permit staff to </w:t>
      </w:r>
      <w:r w:rsidR="00DA0FB1" w:rsidRPr="003311CD">
        <w:rPr>
          <w:rFonts w:cs="Arial"/>
        </w:rPr>
        <w:t>refine and update indicators</w:t>
      </w:r>
      <w:r w:rsidRPr="003311CD">
        <w:rPr>
          <w:rFonts w:cs="Arial"/>
        </w:rPr>
        <w:t xml:space="preserve"> </w:t>
      </w:r>
      <w:r w:rsidR="00DA62A1" w:rsidRPr="003311CD">
        <w:rPr>
          <w:rFonts w:cs="Arial"/>
        </w:rPr>
        <w:t xml:space="preserve">as </w:t>
      </w:r>
      <w:r w:rsidR="00DA0FB1" w:rsidRPr="003311CD">
        <w:rPr>
          <w:rFonts w:cs="Arial"/>
        </w:rPr>
        <w:t xml:space="preserve">more data becomes </w:t>
      </w:r>
      <w:r w:rsidR="00807AE4" w:rsidRPr="003311CD">
        <w:rPr>
          <w:rFonts w:cs="Arial"/>
        </w:rPr>
        <w:t>available i</w:t>
      </w:r>
      <w:r w:rsidR="00DA0FB1" w:rsidRPr="003311CD">
        <w:rPr>
          <w:rFonts w:cs="Arial"/>
        </w:rPr>
        <w:t xml:space="preserve">n future </w:t>
      </w:r>
      <w:r w:rsidRPr="003311CD">
        <w:rPr>
          <w:rFonts w:cs="Arial"/>
        </w:rPr>
        <w:t>academic year cycles.</w:t>
      </w:r>
    </w:p>
    <w:p w14:paraId="5B8F246C" w14:textId="0DCC0A19" w:rsidR="00807AE4" w:rsidRPr="003311CD" w:rsidRDefault="00807AE4" w:rsidP="00807AE4">
      <w:pPr>
        <w:spacing w:after="240"/>
        <w:rPr>
          <w:rFonts w:cs="Arial"/>
          <w:i/>
        </w:rPr>
      </w:pPr>
      <w:r w:rsidRPr="003311CD">
        <w:rPr>
          <w:rFonts w:cs="Arial"/>
          <w:b/>
        </w:rPr>
        <w:t>CTEIG and K</w:t>
      </w:r>
      <w:r w:rsidR="00DA62A1" w:rsidRPr="003311CD">
        <w:rPr>
          <w:rFonts w:cs="Arial"/>
          <w:b/>
        </w:rPr>
        <w:t>–</w:t>
      </w:r>
      <w:r w:rsidRPr="003311CD">
        <w:rPr>
          <w:rFonts w:cs="Arial"/>
          <w:b/>
        </w:rPr>
        <w:t xml:space="preserve">12 SWP Metrics and the CWPJAC </w:t>
      </w:r>
      <w:r w:rsidRPr="003311CD">
        <w:rPr>
          <w:rFonts w:cs="Arial"/>
          <w:b/>
          <w:i/>
        </w:rPr>
        <w:t>Guiding Policy Principles</w:t>
      </w:r>
    </w:p>
    <w:p w14:paraId="64751046" w14:textId="640D4A16" w:rsidR="00164061" w:rsidRPr="003311CD" w:rsidRDefault="00807AE4" w:rsidP="002E54A3">
      <w:pPr>
        <w:spacing w:after="240"/>
        <w:rPr>
          <w:rFonts w:cs="Arial"/>
        </w:rPr>
      </w:pPr>
      <w:r w:rsidRPr="003311CD">
        <w:rPr>
          <w:rFonts w:cs="Arial"/>
        </w:rPr>
        <w:t xml:space="preserve">The CWPJAC </w:t>
      </w:r>
      <w:r w:rsidR="00B43F85" w:rsidRPr="003311CD">
        <w:rPr>
          <w:rFonts w:cs="Arial"/>
        </w:rPr>
        <w:t xml:space="preserve">would like the </w:t>
      </w:r>
      <w:r w:rsidR="00740368" w:rsidRPr="003311CD">
        <w:rPr>
          <w:rFonts w:cs="Arial"/>
        </w:rPr>
        <w:t xml:space="preserve">operationalization of the </w:t>
      </w:r>
      <w:r w:rsidR="00B43F85" w:rsidRPr="003311CD">
        <w:rPr>
          <w:rFonts w:cs="Arial"/>
        </w:rPr>
        <w:t>CTEIG and K</w:t>
      </w:r>
      <w:r w:rsidR="00DA62A1" w:rsidRPr="003311CD">
        <w:rPr>
          <w:rFonts w:cs="Arial"/>
        </w:rPr>
        <w:t>–</w:t>
      </w:r>
      <w:r w:rsidR="00B43F85" w:rsidRPr="003311CD">
        <w:rPr>
          <w:rFonts w:cs="Arial"/>
        </w:rPr>
        <w:t xml:space="preserve">12 SWP metrics </w:t>
      </w:r>
      <w:r w:rsidR="00DA62A1" w:rsidRPr="003311CD">
        <w:rPr>
          <w:rFonts w:cs="Arial"/>
        </w:rPr>
        <w:t>t</w:t>
      </w:r>
      <w:r w:rsidR="00E12B59" w:rsidRPr="003311CD">
        <w:rPr>
          <w:rFonts w:cs="Arial"/>
        </w:rPr>
        <w:t>o</w:t>
      </w:r>
      <w:r w:rsidR="00DA62A1" w:rsidRPr="003311CD">
        <w:rPr>
          <w:rFonts w:cs="Arial"/>
        </w:rPr>
        <w:t xml:space="preserve"> </w:t>
      </w:r>
      <w:r w:rsidR="00740368" w:rsidRPr="003311CD">
        <w:rPr>
          <w:rFonts w:cs="Arial"/>
        </w:rPr>
        <w:t xml:space="preserve">reflect the </w:t>
      </w:r>
      <w:r w:rsidRPr="003311CD">
        <w:rPr>
          <w:rFonts w:cs="Arial"/>
          <w:i/>
        </w:rPr>
        <w:t>Guiding Policy Principles</w:t>
      </w:r>
      <w:r w:rsidRPr="003311CD">
        <w:rPr>
          <w:rFonts w:cs="Arial"/>
        </w:rPr>
        <w:t xml:space="preserve"> </w:t>
      </w:r>
      <w:r w:rsidR="00740368" w:rsidRPr="003311CD">
        <w:rPr>
          <w:rFonts w:cs="Arial"/>
        </w:rPr>
        <w:t xml:space="preserve">and the 12 Essential Elements of a College and Career Pathway. Currently, the CTEIG statute lists 11 Essential Elements that were developed under </w:t>
      </w:r>
      <w:r w:rsidR="00DA62A1" w:rsidRPr="003311CD">
        <w:rPr>
          <w:rFonts w:cs="Arial"/>
        </w:rPr>
        <w:t>the</w:t>
      </w:r>
      <w:r w:rsidR="00740368" w:rsidRPr="003311CD">
        <w:rPr>
          <w:rFonts w:cs="Arial"/>
        </w:rPr>
        <w:t xml:space="preserve"> previous State Plan for CTE</w:t>
      </w:r>
      <w:r w:rsidR="0069737A" w:rsidRPr="003311CD">
        <w:rPr>
          <w:rFonts w:cs="Arial"/>
        </w:rPr>
        <w:t xml:space="preserve"> which expired in 2012</w:t>
      </w:r>
      <w:r w:rsidR="00740368" w:rsidRPr="003311CD">
        <w:rPr>
          <w:rFonts w:cs="Arial"/>
        </w:rPr>
        <w:t xml:space="preserve">. The </w:t>
      </w:r>
      <w:r w:rsidR="0069737A" w:rsidRPr="003311CD">
        <w:rPr>
          <w:rFonts w:cs="Arial"/>
        </w:rPr>
        <w:t xml:space="preserve">11 Essential Elements </w:t>
      </w:r>
      <w:r w:rsidR="00740368" w:rsidRPr="003311CD">
        <w:rPr>
          <w:rFonts w:cs="Arial"/>
        </w:rPr>
        <w:t>would have to be replaced by the 12 Essential Elements in the CTEIG legislation</w:t>
      </w:r>
      <w:r w:rsidR="006D1A68" w:rsidRPr="003311CD">
        <w:rPr>
          <w:rFonts w:cs="Arial"/>
        </w:rPr>
        <w:t xml:space="preserve">. </w:t>
      </w:r>
      <w:r w:rsidR="000F7B5E" w:rsidRPr="003311CD">
        <w:rPr>
          <w:rFonts w:cs="Arial"/>
        </w:rPr>
        <w:t xml:space="preserve">How and when the CWPJAC </w:t>
      </w:r>
      <w:r w:rsidR="000F7B5E" w:rsidRPr="003311CD">
        <w:rPr>
          <w:rFonts w:cs="Arial"/>
          <w:i/>
        </w:rPr>
        <w:t>Guiding Policy Principles</w:t>
      </w:r>
      <w:r w:rsidR="000F7B5E" w:rsidRPr="003311CD">
        <w:rPr>
          <w:rFonts w:cs="Arial"/>
        </w:rPr>
        <w:t xml:space="preserve"> will be reflected in the CTEIG and K–12 SWP statutes is a decision that will be determined jointly by SBE, CDE, and CCCCO staff</w:t>
      </w:r>
      <w:r w:rsidR="0061717F" w:rsidRPr="003311CD">
        <w:rPr>
          <w:rFonts w:cs="Arial"/>
        </w:rPr>
        <w:t xml:space="preserve"> </w:t>
      </w:r>
      <w:r w:rsidR="00CC0DDE" w:rsidRPr="003311CD">
        <w:rPr>
          <w:rFonts w:cs="Arial"/>
        </w:rPr>
        <w:t>and proposed as a future recommendation to the CWPJAC</w:t>
      </w:r>
      <w:r w:rsidR="000F7B5E" w:rsidRPr="003311CD">
        <w:rPr>
          <w:rFonts w:cs="Arial"/>
        </w:rPr>
        <w:t>. In the meantime, CDE staff has recognized the need to provide the field with strong professional development and implementation guidance around the CWPJAC</w:t>
      </w:r>
      <w:r w:rsidR="00DA62A1" w:rsidRPr="003311CD">
        <w:rPr>
          <w:rFonts w:cs="Arial"/>
        </w:rPr>
        <w:t>’s</w:t>
      </w:r>
      <w:r w:rsidR="000F7B5E" w:rsidRPr="003311CD">
        <w:rPr>
          <w:rFonts w:cs="Arial"/>
        </w:rPr>
        <w:t xml:space="preserve"> </w:t>
      </w:r>
      <w:r w:rsidR="000F7B5E" w:rsidRPr="003311CD">
        <w:rPr>
          <w:rFonts w:cs="Arial"/>
          <w:i/>
        </w:rPr>
        <w:t>Guiding Policy Principles</w:t>
      </w:r>
      <w:r w:rsidR="000F7B5E" w:rsidRPr="003311CD">
        <w:rPr>
          <w:rFonts w:cs="Arial"/>
        </w:rPr>
        <w:t>.</w:t>
      </w:r>
    </w:p>
    <w:p w14:paraId="1970378B" w14:textId="42B6F75E" w:rsidR="00AB47B6" w:rsidRPr="003311CD" w:rsidRDefault="003F1C66" w:rsidP="00F70169">
      <w:pPr>
        <w:spacing w:after="240"/>
        <w:rPr>
          <w:rFonts w:cs="Arial"/>
          <w:b/>
        </w:rPr>
      </w:pPr>
      <w:r w:rsidRPr="003311CD">
        <w:rPr>
          <w:rFonts w:cs="Arial"/>
          <w:b/>
        </w:rPr>
        <w:t xml:space="preserve">Shifting to a Phased Approach </w:t>
      </w:r>
      <w:r w:rsidR="00491A3C" w:rsidRPr="003311CD">
        <w:rPr>
          <w:rFonts w:cs="Arial"/>
          <w:b/>
        </w:rPr>
        <w:t xml:space="preserve">for </w:t>
      </w:r>
      <w:r w:rsidRPr="003311CD">
        <w:rPr>
          <w:rFonts w:cs="Arial"/>
          <w:b/>
        </w:rPr>
        <w:t>Making</w:t>
      </w:r>
      <w:r w:rsidR="00AB47B6" w:rsidRPr="003311CD">
        <w:rPr>
          <w:rFonts w:cs="Arial"/>
          <w:b/>
        </w:rPr>
        <w:t xml:space="preserve"> Recommendations to the CWPJAC</w:t>
      </w:r>
    </w:p>
    <w:p w14:paraId="163FE53E" w14:textId="6DCFEFA3" w:rsidR="009E0551" w:rsidRPr="003311CD" w:rsidRDefault="005C2D5A" w:rsidP="00F70169">
      <w:pPr>
        <w:spacing w:after="240"/>
        <w:rPr>
          <w:rFonts w:cs="Arial"/>
        </w:rPr>
      </w:pPr>
      <w:r w:rsidRPr="003311CD">
        <w:rPr>
          <w:rFonts w:cs="Arial"/>
        </w:rPr>
        <w:t xml:space="preserve">California </w:t>
      </w:r>
      <w:r w:rsidRPr="003311CD">
        <w:rPr>
          <w:rFonts w:cs="Arial"/>
          <w:i/>
        </w:rPr>
        <w:t>EC</w:t>
      </w:r>
      <w:r w:rsidR="00F70169" w:rsidRPr="003311CD">
        <w:rPr>
          <w:rFonts w:cs="Arial"/>
        </w:rPr>
        <w:t xml:space="preserve"> </w:t>
      </w:r>
      <w:r w:rsidRPr="003311CD">
        <w:rPr>
          <w:rFonts w:cs="Arial"/>
        </w:rPr>
        <w:t>S</w:t>
      </w:r>
      <w:r w:rsidR="00F70169" w:rsidRPr="003311CD">
        <w:rPr>
          <w:rFonts w:cs="Arial"/>
        </w:rPr>
        <w:t xml:space="preserve">ection 53070 </w:t>
      </w:r>
      <w:r w:rsidR="009A143F" w:rsidRPr="003311CD">
        <w:rPr>
          <w:rFonts w:cs="Arial"/>
        </w:rPr>
        <w:t xml:space="preserve">requires </w:t>
      </w:r>
      <w:r w:rsidR="00F70169" w:rsidRPr="003311CD">
        <w:rPr>
          <w:rFonts w:cs="Arial"/>
        </w:rPr>
        <w:t xml:space="preserve">the CWPJAC </w:t>
      </w:r>
      <w:r w:rsidR="009A143F" w:rsidRPr="003311CD">
        <w:rPr>
          <w:rFonts w:cs="Arial"/>
        </w:rPr>
        <w:t xml:space="preserve">to </w:t>
      </w:r>
      <w:r w:rsidR="00F70169" w:rsidRPr="003311CD">
        <w:rPr>
          <w:rFonts w:cs="Arial"/>
        </w:rPr>
        <w:t xml:space="preserve">make </w:t>
      </w:r>
      <w:r w:rsidR="009A143F" w:rsidRPr="003311CD">
        <w:rPr>
          <w:rFonts w:cs="Arial"/>
        </w:rPr>
        <w:t xml:space="preserve">annual </w:t>
      </w:r>
      <w:r w:rsidR="00F70169" w:rsidRPr="003311CD">
        <w:rPr>
          <w:rFonts w:cs="Arial"/>
        </w:rPr>
        <w:t>recommendations to the DOF</w:t>
      </w:r>
      <w:r w:rsidR="009A143F" w:rsidRPr="003311CD">
        <w:rPr>
          <w:rFonts w:cs="Arial"/>
        </w:rPr>
        <w:t>, the fiscal and program committees of the Legislature</w:t>
      </w:r>
      <w:r w:rsidR="0069737A" w:rsidRPr="003311CD">
        <w:rPr>
          <w:rFonts w:cs="Arial"/>
        </w:rPr>
        <w:t>,</w:t>
      </w:r>
      <w:r w:rsidR="009A143F" w:rsidRPr="003311CD">
        <w:rPr>
          <w:rFonts w:cs="Arial"/>
        </w:rPr>
        <w:t xml:space="preserve"> and the Governor</w:t>
      </w:r>
      <w:r w:rsidR="00F70169" w:rsidRPr="003311CD">
        <w:rPr>
          <w:rFonts w:cs="Arial"/>
        </w:rPr>
        <w:t xml:space="preserve"> on </w:t>
      </w:r>
      <w:r w:rsidR="009A143F" w:rsidRPr="003311CD">
        <w:rPr>
          <w:rFonts w:cs="Arial"/>
        </w:rPr>
        <w:t xml:space="preserve">data </w:t>
      </w:r>
      <w:r w:rsidR="00F70169" w:rsidRPr="003311CD">
        <w:rPr>
          <w:rFonts w:cs="Arial"/>
        </w:rPr>
        <w:t>metrics</w:t>
      </w:r>
      <w:r w:rsidR="00DA62A1" w:rsidRPr="003311CD">
        <w:rPr>
          <w:rFonts w:cs="Arial"/>
        </w:rPr>
        <w:t xml:space="preserve">. </w:t>
      </w:r>
      <w:r w:rsidR="00167017" w:rsidRPr="003311CD">
        <w:rPr>
          <w:rFonts w:cs="Arial"/>
        </w:rPr>
        <w:t>After the September 25, 2020 CWPJAC meeting, CDE staff spoke with DOF staff who strongly recommended taking a phased approach to making recommendations.</w:t>
      </w:r>
      <w:r w:rsidR="00764C25" w:rsidRPr="003311CD">
        <w:rPr>
          <w:rFonts w:cs="Arial"/>
        </w:rPr>
        <w:t xml:space="preserve"> To fully develop a phased approach, staff shifted away from outlining and </w:t>
      </w:r>
      <w:r w:rsidR="00BA6A96" w:rsidRPr="003311CD">
        <w:rPr>
          <w:rFonts w:cs="Arial"/>
        </w:rPr>
        <w:t>describing</w:t>
      </w:r>
      <w:r w:rsidR="00764C25" w:rsidRPr="003311CD">
        <w:rPr>
          <w:rFonts w:cs="Arial"/>
        </w:rPr>
        <w:t xml:space="preserve"> changes via a Microsoft Excel document called the Matrix of Metrics, to providing the </w:t>
      </w:r>
      <w:r w:rsidR="00DA62A1" w:rsidRPr="003311CD">
        <w:rPr>
          <w:rFonts w:cs="Arial"/>
        </w:rPr>
        <w:t>described</w:t>
      </w:r>
      <w:r w:rsidR="00764C25" w:rsidRPr="003311CD">
        <w:rPr>
          <w:rFonts w:cs="Arial"/>
        </w:rPr>
        <w:t xml:space="preserve"> changes more concisely in a table format.</w:t>
      </w:r>
    </w:p>
    <w:p w14:paraId="2E2DE7CC" w14:textId="66840FE9" w:rsidR="00CA5D4C" w:rsidRPr="003311CD" w:rsidRDefault="009E0551" w:rsidP="009E0551">
      <w:pPr>
        <w:spacing w:after="240"/>
        <w:rPr>
          <w:rFonts w:cs="Arial"/>
        </w:rPr>
      </w:pPr>
      <w:r w:rsidRPr="003311CD">
        <w:rPr>
          <w:rFonts w:cs="Arial"/>
        </w:rPr>
        <w:t>Attachment 1 describes the operationalizing of CTEIG and K</w:t>
      </w:r>
      <w:r w:rsidR="00DA62A1" w:rsidRPr="003311CD">
        <w:rPr>
          <w:rFonts w:cs="Arial"/>
        </w:rPr>
        <w:t>–</w:t>
      </w:r>
      <w:r w:rsidRPr="003311CD">
        <w:rPr>
          <w:rFonts w:cs="Arial"/>
        </w:rPr>
        <w:t>12</w:t>
      </w:r>
      <w:r w:rsidR="00DA62A1" w:rsidRPr="003311CD">
        <w:rPr>
          <w:rFonts w:cs="Arial"/>
        </w:rPr>
        <w:t xml:space="preserve"> </w:t>
      </w:r>
      <w:r w:rsidRPr="003311CD">
        <w:rPr>
          <w:rFonts w:cs="Arial"/>
        </w:rPr>
        <w:t>SWP metrics in three phases. Each of the phases is closely aligned to the work that has been completed by CDE program and data staff with regard to a uniform data collection approach, making methodology consistent across state and federal programs, and develop</w:t>
      </w:r>
      <w:r w:rsidR="007E0724" w:rsidRPr="003311CD">
        <w:rPr>
          <w:rFonts w:cs="Arial"/>
        </w:rPr>
        <w:t>ing</w:t>
      </w:r>
      <w:r w:rsidRPr="003311CD">
        <w:rPr>
          <w:rFonts w:cs="Arial"/>
        </w:rPr>
        <w:t xml:space="preserve"> measurable indicators with precision.</w:t>
      </w:r>
    </w:p>
    <w:p w14:paraId="676C1C9B" w14:textId="5D292105" w:rsidR="00CA5D4C" w:rsidRPr="003311CD" w:rsidRDefault="009E0551" w:rsidP="009E0551">
      <w:pPr>
        <w:spacing w:after="240"/>
        <w:rPr>
          <w:rFonts w:cs="Arial"/>
        </w:rPr>
      </w:pPr>
      <w:r w:rsidRPr="003311CD">
        <w:rPr>
          <w:rFonts w:cs="Arial"/>
        </w:rPr>
        <w:t xml:space="preserve">Phase </w:t>
      </w:r>
      <w:r w:rsidR="00AD1E77" w:rsidRPr="003311CD">
        <w:rPr>
          <w:rFonts w:cs="Arial"/>
        </w:rPr>
        <w:t>I</w:t>
      </w:r>
      <w:r w:rsidRPr="003311CD">
        <w:rPr>
          <w:rFonts w:cs="Arial"/>
        </w:rPr>
        <w:t xml:space="preserve"> reflects those indicators that can be currently obtained from</w:t>
      </w:r>
      <w:r w:rsidR="00DA62A1" w:rsidRPr="003311CD">
        <w:rPr>
          <w:rFonts w:cs="Arial"/>
        </w:rPr>
        <w:t xml:space="preserve"> the</w:t>
      </w:r>
      <w:r w:rsidRPr="003311CD">
        <w:rPr>
          <w:rFonts w:cs="Arial"/>
        </w:rPr>
        <w:t xml:space="preserve"> CALPADS</w:t>
      </w:r>
      <w:r w:rsidR="0061717F" w:rsidRPr="003311CD">
        <w:rPr>
          <w:rFonts w:cs="Arial"/>
        </w:rPr>
        <w:t xml:space="preserve"> and will </w:t>
      </w:r>
      <w:r w:rsidR="007E0724" w:rsidRPr="003311CD">
        <w:rPr>
          <w:rFonts w:cs="Arial"/>
        </w:rPr>
        <w:t xml:space="preserve">be </w:t>
      </w:r>
      <w:r w:rsidR="0061717F" w:rsidRPr="003311CD">
        <w:rPr>
          <w:rFonts w:cs="Arial"/>
        </w:rPr>
        <w:t xml:space="preserve">made available in </w:t>
      </w:r>
      <w:r w:rsidR="007E0724" w:rsidRPr="003311CD">
        <w:rPr>
          <w:rFonts w:cs="Arial"/>
        </w:rPr>
        <w:t>s</w:t>
      </w:r>
      <w:r w:rsidR="0061717F" w:rsidRPr="003311CD">
        <w:rPr>
          <w:rFonts w:cs="Arial"/>
        </w:rPr>
        <w:t>ummer 2021</w:t>
      </w:r>
      <w:r w:rsidRPr="003311CD">
        <w:rPr>
          <w:rFonts w:cs="Arial"/>
        </w:rPr>
        <w:t xml:space="preserve">; Phase II indicators </w:t>
      </w:r>
      <w:r w:rsidR="0061717F" w:rsidRPr="003311CD">
        <w:rPr>
          <w:rFonts w:cs="Arial"/>
        </w:rPr>
        <w:t xml:space="preserve">will also be obtained in </w:t>
      </w:r>
      <w:r w:rsidR="007E0724" w:rsidRPr="003311CD">
        <w:rPr>
          <w:rFonts w:cs="Arial"/>
        </w:rPr>
        <w:t>s</w:t>
      </w:r>
      <w:r w:rsidR="0061717F" w:rsidRPr="003311CD">
        <w:rPr>
          <w:rFonts w:cs="Arial"/>
        </w:rPr>
        <w:t>ummer 2021</w:t>
      </w:r>
      <w:r w:rsidR="00E32FD1" w:rsidRPr="003311CD">
        <w:rPr>
          <w:rFonts w:cs="Arial"/>
        </w:rPr>
        <w:t xml:space="preserve">. </w:t>
      </w:r>
      <w:r w:rsidR="0061717F" w:rsidRPr="003311CD">
        <w:rPr>
          <w:rFonts w:cs="Arial"/>
        </w:rPr>
        <w:t xml:space="preserve">The time frame of </w:t>
      </w:r>
      <w:r w:rsidR="007E0724" w:rsidRPr="003311CD">
        <w:rPr>
          <w:rFonts w:cs="Arial"/>
        </w:rPr>
        <w:t>s</w:t>
      </w:r>
      <w:r w:rsidR="0061717F" w:rsidRPr="003311CD">
        <w:rPr>
          <w:rFonts w:cs="Arial"/>
        </w:rPr>
        <w:t xml:space="preserve">ummer 2021 is suggested because </w:t>
      </w:r>
      <w:r w:rsidRPr="003311CD">
        <w:rPr>
          <w:rFonts w:cs="Arial"/>
        </w:rPr>
        <w:t xml:space="preserve">data is </w:t>
      </w:r>
      <w:r w:rsidR="0061717F" w:rsidRPr="003311CD">
        <w:rPr>
          <w:rFonts w:cs="Arial"/>
        </w:rPr>
        <w:t xml:space="preserve">being </w:t>
      </w:r>
      <w:r w:rsidRPr="003311CD">
        <w:rPr>
          <w:rFonts w:cs="Arial"/>
        </w:rPr>
        <w:t xml:space="preserve">submitted by LEAs in </w:t>
      </w:r>
      <w:r w:rsidR="007E0724" w:rsidRPr="003311CD">
        <w:rPr>
          <w:rFonts w:cs="Arial"/>
        </w:rPr>
        <w:t>s</w:t>
      </w:r>
      <w:r w:rsidRPr="003311CD">
        <w:rPr>
          <w:rFonts w:cs="Arial"/>
        </w:rPr>
        <w:t xml:space="preserve">pring 2021. However, Phase III indicators </w:t>
      </w:r>
      <w:r w:rsidR="008F3A2B" w:rsidRPr="003311CD">
        <w:rPr>
          <w:rFonts w:cs="Arial"/>
        </w:rPr>
        <w:t>are</w:t>
      </w:r>
      <w:r w:rsidRPr="003311CD">
        <w:rPr>
          <w:rFonts w:cs="Arial"/>
        </w:rPr>
        <w:t xml:space="preserve"> contingent on the progress</w:t>
      </w:r>
      <w:r w:rsidR="00DA62A1" w:rsidRPr="003311CD">
        <w:rPr>
          <w:rFonts w:cs="Arial"/>
        </w:rPr>
        <w:t xml:space="preserve"> the</w:t>
      </w:r>
      <w:r w:rsidRPr="003311CD">
        <w:rPr>
          <w:rFonts w:cs="Arial"/>
        </w:rPr>
        <w:t xml:space="preserve"> CDE makes on the career indicators within the CCI. How those are going to be developed </w:t>
      </w:r>
      <w:r w:rsidR="007E0724" w:rsidRPr="003311CD">
        <w:rPr>
          <w:rFonts w:cs="Arial"/>
        </w:rPr>
        <w:t>is</w:t>
      </w:r>
      <w:r w:rsidRPr="003311CD">
        <w:rPr>
          <w:rFonts w:cs="Arial"/>
        </w:rPr>
        <w:t xml:space="preserve"> under discussion between CDE program and data offices.</w:t>
      </w:r>
      <w:r w:rsidR="0061717F" w:rsidRPr="003311CD">
        <w:rPr>
          <w:rFonts w:cs="Arial"/>
        </w:rPr>
        <w:t xml:space="preserve"> The expectation is that Phase III indicators will be available in </w:t>
      </w:r>
      <w:r w:rsidR="007E0724" w:rsidRPr="003311CD">
        <w:rPr>
          <w:rFonts w:cs="Arial"/>
        </w:rPr>
        <w:t>s</w:t>
      </w:r>
      <w:r w:rsidR="0061717F" w:rsidRPr="003311CD">
        <w:rPr>
          <w:rFonts w:cs="Arial"/>
        </w:rPr>
        <w:t>ummer 2022.</w:t>
      </w:r>
    </w:p>
    <w:p w14:paraId="2F270FC3" w14:textId="04A94B92" w:rsidR="009E0551" w:rsidRPr="003311CD" w:rsidRDefault="009E0551" w:rsidP="009E0551">
      <w:pPr>
        <w:spacing w:after="240"/>
        <w:rPr>
          <w:rFonts w:cs="Arial"/>
        </w:rPr>
      </w:pPr>
      <w:r w:rsidRPr="003311CD">
        <w:rPr>
          <w:rFonts w:cs="Arial"/>
        </w:rPr>
        <w:lastRenderedPageBreak/>
        <w:t>Overall, being able to operationalize the different CTEIG and K</w:t>
      </w:r>
      <w:r w:rsidR="00DA62A1" w:rsidRPr="003311CD">
        <w:rPr>
          <w:rFonts w:cs="Arial"/>
        </w:rPr>
        <w:t>–</w:t>
      </w:r>
      <w:r w:rsidRPr="003311CD">
        <w:rPr>
          <w:rFonts w:cs="Arial"/>
        </w:rPr>
        <w:t xml:space="preserve">12 SWP metrics into specific indicators should permit CDE staff to conduct a variety of data runs to assess the legislative intent of the CTEIG and K–12 SWP statutes/legislations. More broadly, the phased approach allows for quantitative and qualitative measures that better reflect the CWPJAC </w:t>
      </w:r>
      <w:r w:rsidRPr="003311CD">
        <w:rPr>
          <w:rFonts w:cs="Arial"/>
          <w:i/>
        </w:rPr>
        <w:t>Guiding Policy Principles</w:t>
      </w:r>
      <w:r w:rsidRPr="003311CD">
        <w:rPr>
          <w:rFonts w:cs="Arial"/>
        </w:rPr>
        <w:t xml:space="preserve"> and the</w:t>
      </w:r>
      <w:r w:rsidR="00E12B59" w:rsidRPr="003311CD">
        <w:rPr>
          <w:rFonts w:cs="Arial"/>
        </w:rPr>
        <w:t xml:space="preserve"> </w:t>
      </w:r>
      <w:r w:rsidRPr="003311CD">
        <w:rPr>
          <w:rFonts w:cs="Arial"/>
        </w:rPr>
        <w:t>12 Essential Elements.</w:t>
      </w:r>
    </w:p>
    <w:p w14:paraId="33240B82" w14:textId="336EDB11" w:rsidR="009E0551" w:rsidRPr="003311CD" w:rsidRDefault="009E0551" w:rsidP="009E0551">
      <w:pPr>
        <w:spacing w:after="240"/>
        <w:rPr>
          <w:rFonts w:cs="Arial"/>
        </w:rPr>
      </w:pPr>
      <w:r w:rsidRPr="003311CD">
        <w:rPr>
          <w:rFonts w:cs="Arial"/>
        </w:rPr>
        <w:t xml:space="preserve">Additionally, because Perkins V is supplemental to the CTEIG and the K–12 SWP, it is important that the data metrics align so that data is being measured consistently for benchmarking student achievement/progress. Both the CTEIG and the K–12 SWP release annual applications and provide funds to eligible grantees from nearly the same set of LEAs, which shows approximately 80 percent overlap, and hence creates an opportunity to continue to work </w:t>
      </w:r>
      <w:r w:rsidR="00DA62A1" w:rsidRPr="003311CD">
        <w:rPr>
          <w:rFonts w:cs="Arial"/>
        </w:rPr>
        <w:t>on</w:t>
      </w:r>
      <w:r w:rsidRPr="003311CD">
        <w:rPr>
          <w:rFonts w:cs="Arial"/>
        </w:rPr>
        <w:t xml:space="preserve"> align</w:t>
      </w:r>
      <w:r w:rsidR="00DA62A1" w:rsidRPr="003311CD">
        <w:rPr>
          <w:rFonts w:cs="Arial"/>
        </w:rPr>
        <w:t>ing</w:t>
      </w:r>
      <w:r w:rsidRPr="003311CD">
        <w:rPr>
          <w:rFonts w:cs="Arial"/>
        </w:rPr>
        <w:t xml:space="preserve"> and streamlin</w:t>
      </w:r>
      <w:r w:rsidR="00DA62A1" w:rsidRPr="003311CD">
        <w:rPr>
          <w:rFonts w:cs="Arial"/>
        </w:rPr>
        <w:t>ing</w:t>
      </w:r>
      <w:r w:rsidRPr="003311CD">
        <w:rPr>
          <w:rFonts w:cs="Arial"/>
        </w:rPr>
        <w:t xml:space="preserve"> the application process for these two grant programs. The alignment would require clarity around the role, purpose, and intent of the CTEIG and the K–12 SWP statutes and the phased approach permits a more deliberate discussion among SBE, CDE, and CCCCO staff</w:t>
      </w:r>
      <w:r w:rsidR="00731CCB" w:rsidRPr="003311CD">
        <w:rPr>
          <w:rFonts w:cs="Arial"/>
        </w:rPr>
        <w:t>, with periodic consultation with the DOF</w:t>
      </w:r>
      <w:r w:rsidRPr="003311CD">
        <w:rPr>
          <w:rFonts w:cs="Arial"/>
        </w:rPr>
        <w:t>.</w:t>
      </w:r>
    </w:p>
    <w:p w14:paraId="7299BADA" w14:textId="77777777" w:rsidR="00E91680" w:rsidRPr="003311CD" w:rsidRDefault="00E91680" w:rsidP="00E91680">
      <w:pPr>
        <w:spacing w:after="240"/>
        <w:rPr>
          <w:rFonts w:cs="Arial"/>
          <w:b/>
        </w:rPr>
      </w:pPr>
      <w:r w:rsidRPr="003311CD">
        <w:rPr>
          <w:rFonts w:cs="Arial"/>
          <w:b/>
        </w:rPr>
        <w:t>Proposed Recommendation</w:t>
      </w:r>
    </w:p>
    <w:p w14:paraId="0EA2311D" w14:textId="0CB93596" w:rsidR="00E91680" w:rsidRPr="003311CD" w:rsidRDefault="00DA62A1" w:rsidP="00E420D3">
      <w:pPr>
        <w:spacing w:after="240"/>
        <w:rPr>
          <w:rFonts w:cs="Arial"/>
          <w:b/>
          <w:bCs/>
          <w:color w:val="FF0000"/>
        </w:rPr>
      </w:pPr>
      <w:r w:rsidRPr="003311CD">
        <w:rPr>
          <w:rFonts w:cs="Arial"/>
        </w:rPr>
        <w:t xml:space="preserve">The </w:t>
      </w:r>
      <w:r w:rsidR="00E91680" w:rsidRPr="003311CD">
        <w:rPr>
          <w:rFonts w:cs="Arial"/>
        </w:rPr>
        <w:t>CDE and CCCCO staff are recommending there be no change to the CTEIG and K</w:t>
      </w:r>
      <w:r w:rsidRPr="003311CD">
        <w:rPr>
          <w:rFonts w:cs="Arial"/>
        </w:rPr>
        <w:t>–</w:t>
      </w:r>
      <w:r w:rsidR="00E91680" w:rsidRPr="003311CD">
        <w:rPr>
          <w:rFonts w:cs="Arial"/>
        </w:rPr>
        <w:t>12 SWP data metrics</w:t>
      </w:r>
      <w:r w:rsidRPr="003311CD">
        <w:rPr>
          <w:rFonts w:cs="Arial"/>
        </w:rPr>
        <w:t xml:space="preserve"> at this time,</w:t>
      </w:r>
      <w:r w:rsidR="00E91680" w:rsidRPr="003311CD">
        <w:rPr>
          <w:rFonts w:cs="Arial"/>
        </w:rPr>
        <w:t xml:space="preserve"> but is recommending the adoption of a phased approach described above to operationalizing the CTEIG and K</w:t>
      </w:r>
      <w:r w:rsidR="00E12B59" w:rsidRPr="003311CD">
        <w:rPr>
          <w:rFonts w:cs="Arial"/>
        </w:rPr>
        <w:t>–</w:t>
      </w:r>
      <w:r w:rsidR="00E91680" w:rsidRPr="003311CD">
        <w:rPr>
          <w:rFonts w:cs="Arial"/>
        </w:rPr>
        <w:t xml:space="preserve">12 SWP metrics. </w:t>
      </w:r>
      <w:r w:rsidR="007D78AF" w:rsidRPr="003311CD">
        <w:rPr>
          <w:rFonts w:cs="Arial"/>
        </w:rPr>
        <w:t xml:space="preserve">Attachment 1, </w:t>
      </w:r>
      <w:r w:rsidR="00E91680" w:rsidRPr="003311CD">
        <w:rPr>
          <w:rFonts w:cs="Arial"/>
        </w:rPr>
        <w:t xml:space="preserve">Appendix </w:t>
      </w:r>
      <w:r w:rsidR="007D78AF" w:rsidRPr="003311CD">
        <w:rPr>
          <w:rFonts w:cs="Arial"/>
        </w:rPr>
        <w:t xml:space="preserve">A </w:t>
      </w:r>
      <w:r w:rsidR="00E91680" w:rsidRPr="003311CD">
        <w:rPr>
          <w:rFonts w:cs="Arial"/>
        </w:rPr>
        <w:t>provides a road map for how the current CTEIG and K</w:t>
      </w:r>
      <w:r w:rsidR="00E12B59" w:rsidRPr="003311CD">
        <w:rPr>
          <w:rFonts w:cs="Arial"/>
        </w:rPr>
        <w:t>–</w:t>
      </w:r>
      <w:r w:rsidR="00E91680" w:rsidRPr="003311CD">
        <w:rPr>
          <w:rFonts w:cs="Arial"/>
        </w:rPr>
        <w:t xml:space="preserve">12 SWP data metrics can </w:t>
      </w:r>
      <w:r w:rsidR="00CC0DDE" w:rsidRPr="003311CD">
        <w:rPr>
          <w:rFonts w:cs="Arial"/>
        </w:rPr>
        <w:t xml:space="preserve">potentially </w:t>
      </w:r>
      <w:r w:rsidR="00E91680" w:rsidRPr="003311CD">
        <w:rPr>
          <w:rFonts w:cs="Arial"/>
        </w:rPr>
        <w:t xml:space="preserve">be changed in future legislation. </w:t>
      </w:r>
      <w:r w:rsidR="0069737A" w:rsidRPr="003311CD">
        <w:rPr>
          <w:rFonts w:cs="Arial"/>
        </w:rPr>
        <w:t>By using the phased approach</w:t>
      </w:r>
      <w:r w:rsidR="00296542" w:rsidRPr="003311CD">
        <w:rPr>
          <w:rFonts w:cs="Arial"/>
        </w:rPr>
        <w:t>,</w:t>
      </w:r>
      <w:r w:rsidR="00E91680" w:rsidRPr="003311CD">
        <w:rPr>
          <w:rFonts w:cs="Arial"/>
        </w:rPr>
        <w:t xml:space="preserve"> the metrics do not change but are first operationalized and then refined and updated as data collection improv</w:t>
      </w:r>
      <w:r w:rsidR="00296542" w:rsidRPr="003311CD">
        <w:rPr>
          <w:rFonts w:cs="Arial"/>
        </w:rPr>
        <w:t>e</w:t>
      </w:r>
      <w:r w:rsidR="00E12B59" w:rsidRPr="003311CD">
        <w:rPr>
          <w:rFonts w:cs="Arial"/>
        </w:rPr>
        <w:t>s</w:t>
      </w:r>
      <w:r w:rsidR="00E91680" w:rsidRPr="003311CD">
        <w:rPr>
          <w:rFonts w:cs="Arial"/>
        </w:rPr>
        <w:t xml:space="preserve"> and methodology becomes even more precise.</w:t>
      </w:r>
    </w:p>
    <w:p w14:paraId="4E5DB829" w14:textId="6160FB8A" w:rsidR="007D78AF" w:rsidRPr="003311CD" w:rsidRDefault="007D78AF" w:rsidP="001D6903">
      <w:pPr>
        <w:spacing w:after="240"/>
        <w:rPr>
          <w:rFonts w:cs="Arial"/>
          <w:b/>
        </w:rPr>
      </w:pPr>
      <w:r w:rsidRPr="003311CD">
        <w:rPr>
          <w:rFonts w:cs="Arial"/>
          <w:b/>
        </w:rPr>
        <w:t>Moving Forward</w:t>
      </w:r>
    </w:p>
    <w:p w14:paraId="414AAB83" w14:textId="216A7FAA" w:rsidR="00993D2E" w:rsidRPr="003311CD" w:rsidRDefault="001D6903" w:rsidP="001D6903">
      <w:pPr>
        <w:spacing w:after="240"/>
        <w:rPr>
          <w:rFonts w:cs="Arial"/>
        </w:rPr>
      </w:pPr>
      <w:r w:rsidRPr="003311CD">
        <w:rPr>
          <w:rFonts w:cs="Arial"/>
        </w:rPr>
        <w:t>The main reason for recommending the phased approach is to continue the work with those indicators that are already developed under the CCI or under Perkins V. The CCI is currently used as an indicator on the California Accountability Dashboard. Once career indicators are more fully developed under the CCI, subsequent phases will add more indicators that define the CTEIG and the K–12 SWP metrics.</w:t>
      </w:r>
    </w:p>
    <w:p w14:paraId="4C2EDB72" w14:textId="49C0071A" w:rsidR="001D6903" w:rsidRPr="003311CD" w:rsidRDefault="001D6903" w:rsidP="001D6903">
      <w:pPr>
        <w:spacing w:after="240"/>
        <w:rPr>
          <w:rFonts w:cs="Arial"/>
        </w:rPr>
      </w:pPr>
      <w:r w:rsidRPr="003311CD">
        <w:rPr>
          <w:rFonts w:cs="Arial"/>
        </w:rPr>
        <w:t xml:space="preserve">By adopting this recommendation, staff </w:t>
      </w:r>
      <w:r w:rsidR="00296542" w:rsidRPr="003311CD">
        <w:rPr>
          <w:rFonts w:cs="Arial"/>
        </w:rPr>
        <w:t>will</w:t>
      </w:r>
      <w:r w:rsidRPr="003311CD">
        <w:rPr>
          <w:rFonts w:cs="Arial"/>
        </w:rPr>
        <w:t xml:space="preserve"> use the CALPADS to operationalize the metrics using a common methodological approach </w:t>
      </w:r>
      <w:r w:rsidR="00993D2E" w:rsidRPr="003311CD">
        <w:rPr>
          <w:rFonts w:cs="Arial"/>
        </w:rPr>
        <w:t xml:space="preserve">(described more fully in Attachment 1) </w:t>
      </w:r>
      <w:r w:rsidRPr="003311CD">
        <w:rPr>
          <w:rFonts w:cs="Arial"/>
        </w:rPr>
        <w:t xml:space="preserve">to develop, refine, and update the underlying indicators. Thus, the overall intent of proposing the recommendation of a phased approach </w:t>
      </w:r>
      <w:r w:rsidR="00296542" w:rsidRPr="003311CD">
        <w:rPr>
          <w:rFonts w:cs="Arial"/>
        </w:rPr>
        <w:t>is to</w:t>
      </w:r>
      <w:r w:rsidRPr="003311CD">
        <w:rPr>
          <w:rFonts w:cs="Arial"/>
        </w:rPr>
        <w:t xml:space="preserve"> enable staff to fully describe the engagement, achievement, and transition of CTE students in grade seven through grade twelve, and beyond, which is the basic legislative intent of the two statutes.</w:t>
      </w:r>
    </w:p>
    <w:p w14:paraId="323FD620" w14:textId="77777777" w:rsidR="003E4DF7" w:rsidRPr="003311CD" w:rsidRDefault="003E4DF7" w:rsidP="003A0CCA">
      <w:pPr>
        <w:pStyle w:val="Heading2"/>
        <w:spacing w:before="480" w:after="240"/>
        <w:rPr>
          <w:rFonts w:cs="Arial"/>
          <w:sz w:val="36"/>
          <w:szCs w:val="36"/>
        </w:rPr>
      </w:pPr>
      <w:r w:rsidRPr="003311CD">
        <w:rPr>
          <w:rFonts w:cs="Arial"/>
          <w:sz w:val="36"/>
          <w:szCs w:val="36"/>
        </w:rPr>
        <w:lastRenderedPageBreak/>
        <w:t xml:space="preserve">Summary of Previous </w:t>
      </w:r>
      <w:r w:rsidR="0003321E" w:rsidRPr="003311CD">
        <w:rPr>
          <w:rFonts w:cs="Arial"/>
          <w:sz w:val="36"/>
          <w:szCs w:val="36"/>
        </w:rPr>
        <w:t xml:space="preserve">CWPJAC </w:t>
      </w:r>
      <w:r w:rsidRPr="003311CD">
        <w:rPr>
          <w:rFonts w:cs="Arial"/>
          <w:sz w:val="36"/>
          <w:szCs w:val="36"/>
        </w:rPr>
        <w:t>Discussion</w:t>
      </w:r>
      <w:r w:rsidR="00677419" w:rsidRPr="003311CD">
        <w:rPr>
          <w:rFonts w:cs="Arial"/>
          <w:sz w:val="36"/>
          <w:szCs w:val="36"/>
        </w:rPr>
        <w:t>(s)</w:t>
      </w:r>
      <w:r w:rsidRPr="003311CD">
        <w:rPr>
          <w:rFonts w:cs="Arial"/>
          <w:sz w:val="36"/>
          <w:szCs w:val="36"/>
        </w:rPr>
        <w:t xml:space="preserve"> and Action</w:t>
      </w:r>
      <w:r w:rsidR="00677419" w:rsidRPr="003311CD">
        <w:rPr>
          <w:rFonts w:cs="Arial"/>
          <w:sz w:val="36"/>
          <w:szCs w:val="36"/>
        </w:rPr>
        <w:t>(s)</w:t>
      </w:r>
    </w:p>
    <w:p w14:paraId="5606536E" w14:textId="77777777" w:rsidR="004C3487" w:rsidRPr="003311CD" w:rsidRDefault="004C3487" w:rsidP="004C3487">
      <w:pPr>
        <w:tabs>
          <w:tab w:val="left" w:pos="1770"/>
        </w:tabs>
        <w:spacing w:after="240"/>
        <w:rPr>
          <w:rFonts w:cs="Arial"/>
          <w:b/>
          <w:color w:val="000000" w:themeColor="text1"/>
        </w:rPr>
      </w:pPr>
      <w:r w:rsidRPr="003311CD">
        <w:rPr>
          <w:rFonts w:cs="Arial"/>
          <w:b/>
        </w:rPr>
        <w:t xml:space="preserve">September 25, 2020: </w:t>
      </w:r>
      <w:r w:rsidRPr="003311CD">
        <w:rPr>
          <w:rFonts w:cs="Arial"/>
        </w:rPr>
        <w:t xml:space="preserve">The </w:t>
      </w:r>
      <w:r w:rsidRPr="003311CD">
        <w:rPr>
          <w:rFonts w:cs="Arial"/>
          <w:color w:val="000000" w:themeColor="text1"/>
        </w:rPr>
        <w:t>CDE presented an update to the CTEIG application</w:t>
      </w:r>
      <w:r w:rsidR="00832A5D" w:rsidRPr="003311CD">
        <w:rPr>
          <w:rFonts w:cs="Arial"/>
          <w:color w:val="000000" w:themeColor="text1"/>
        </w:rPr>
        <w:t>,</w:t>
      </w:r>
      <w:r w:rsidRPr="003311CD">
        <w:rPr>
          <w:rFonts w:cs="Arial"/>
          <w:color w:val="000000" w:themeColor="text1"/>
        </w:rPr>
        <w:t xml:space="preserve"> </w:t>
      </w:r>
      <w:r w:rsidR="00606403" w:rsidRPr="003311CD">
        <w:rPr>
          <w:rFonts w:cs="Arial"/>
          <w:color w:val="000000" w:themeColor="text1"/>
        </w:rPr>
        <w:t xml:space="preserve">and </w:t>
      </w:r>
      <w:r w:rsidRPr="003311CD">
        <w:rPr>
          <w:rFonts w:cs="Arial"/>
          <w:color w:val="000000" w:themeColor="text1"/>
        </w:rPr>
        <w:t>the CCCCO</w:t>
      </w:r>
      <w:r w:rsidR="00606403" w:rsidRPr="003311CD">
        <w:rPr>
          <w:rFonts w:cs="Arial"/>
          <w:color w:val="000000" w:themeColor="text1"/>
        </w:rPr>
        <w:t xml:space="preserve"> provided an update</w:t>
      </w:r>
      <w:r w:rsidRPr="003311CD">
        <w:rPr>
          <w:rFonts w:cs="Arial"/>
          <w:color w:val="000000" w:themeColor="text1"/>
        </w:rPr>
        <w:t xml:space="preserve"> on the status of the </w:t>
      </w:r>
      <w:r w:rsidR="00BB4EF5" w:rsidRPr="003311CD">
        <w:rPr>
          <w:rFonts w:cs="Arial"/>
          <w:color w:val="000000" w:themeColor="text1"/>
        </w:rPr>
        <w:t>K</w:t>
      </w:r>
      <w:r w:rsidR="00BE712B" w:rsidRPr="003311CD">
        <w:rPr>
          <w:rFonts w:cs="Arial"/>
          <w:color w:val="000000" w:themeColor="text1"/>
        </w:rPr>
        <w:t>–</w:t>
      </w:r>
      <w:r w:rsidRPr="003311CD">
        <w:rPr>
          <w:rFonts w:cs="Arial"/>
          <w:color w:val="000000" w:themeColor="text1"/>
        </w:rPr>
        <w:t xml:space="preserve">12 SWP application process. </w:t>
      </w:r>
      <w:r w:rsidR="00BB4EF5" w:rsidRPr="003311CD">
        <w:rPr>
          <w:rFonts w:cs="Arial"/>
          <w:color w:val="000000" w:themeColor="text1"/>
        </w:rPr>
        <w:t>Staff presented summary data reports</w:t>
      </w:r>
      <w:r w:rsidR="00606403" w:rsidRPr="003311CD">
        <w:rPr>
          <w:rFonts w:cs="Arial"/>
          <w:color w:val="000000" w:themeColor="text1"/>
        </w:rPr>
        <w:t xml:space="preserve">, </w:t>
      </w:r>
      <w:r w:rsidR="00842498" w:rsidRPr="003311CD">
        <w:rPr>
          <w:rFonts w:cs="Arial"/>
          <w:color w:val="000000" w:themeColor="text1"/>
        </w:rPr>
        <w:t>a status report of</w:t>
      </w:r>
      <w:r w:rsidR="00BB4EF5" w:rsidRPr="003311CD">
        <w:rPr>
          <w:rFonts w:cs="Arial"/>
          <w:color w:val="000000" w:themeColor="text1"/>
        </w:rPr>
        <w:t xml:space="preserve">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842498" w:rsidRPr="003311CD">
        <w:rPr>
          <w:rFonts w:cs="Arial"/>
          <w:color w:val="000000" w:themeColor="text1"/>
        </w:rPr>
        <w:t xml:space="preserve">Data </w:t>
      </w:r>
      <w:r w:rsidR="00BB4EF5" w:rsidRPr="003311CD">
        <w:rPr>
          <w:rFonts w:cs="Arial"/>
          <w:color w:val="000000" w:themeColor="text1"/>
        </w:rPr>
        <w:t>MOU</w:t>
      </w:r>
      <w:r w:rsidR="00842498" w:rsidRPr="003311CD">
        <w:rPr>
          <w:rFonts w:cs="Arial"/>
          <w:color w:val="000000" w:themeColor="text1"/>
        </w:rPr>
        <w:t>,</w:t>
      </w:r>
      <w:r w:rsidR="00606403" w:rsidRPr="003311CD">
        <w:rPr>
          <w:rFonts w:cs="Arial"/>
          <w:color w:val="000000" w:themeColor="text1"/>
        </w:rPr>
        <w:t xml:space="preserve"> and </w:t>
      </w:r>
      <w:r w:rsidR="00842498" w:rsidRPr="003311CD">
        <w:rPr>
          <w:rFonts w:cs="Arial"/>
          <w:color w:val="000000" w:themeColor="text1"/>
        </w:rPr>
        <w:t xml:space="preserve">recommended </w:t>
      </w:r>
      <w:r w:rsidR="00606403" w:rsidRPr="003311CD">
        <w:rPr>
          <w:rFonts w:cs="Arial"/>
          <w:color w:val="000000" w:themeColor="text1"/>
        </w:rPr>
        <w:t>revisions</w:t>
      </w:r>
      <w:r w:rsidR="00BB4EF5" w:rsidRPr="003311CD">
        <w:rPr>
          <w:rFonts w:cs="Arial"/>
          <w:color w:val="000000" w:themeColor="text1"/>
        </w:rPr>
        <w:t xml:space="preserve"> to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606403" w:rsidRPr="003311CD">
        <w:rPr>
          <w:rFonts w:cs="Arial"/>
          <w:color w:val="000000" w:themeColor="text1"/>
        </w:rPr>
        <w:t>Matrix of Metrics.</w:t>
      </w:r>
    </w:p>
    <w:p w14:paraId="4BBB7994" w14:textId="77777777" w:rsidR="00227FDF" w:rsidRPr="003311CD" w:rsidRDefault="00227FDF" w:rsidP="00CE3317">
      <w:pPr>
        <w:tabs>
          <w:tab w:val="left" w:pos="1770"/>
        </w:tabs>
        <w:spacing w:after="240"/>
        <w:rPr>
          <w:rFonts w:cs="Arial"/>
          <w:b/>
          <w:color w:val="000000" w:themeColor="text1"/>
        </w:rPr>
      </w:pPr>
      <w:r w:rsidRPr="003311CD">
        <w:rPr>
          <w:rFonts w:cs="Arial"/>
          <w:b/>
        </w:rPr>
        <w:t xml:space="preserve">July 10, 2020: </w:t>
      </w:r>
      <w:r w:rsidRPr="003311CD">
        <w:rPr>
          <w:rFonts w:cs="Arial"/>
        </w:rPr>
        <w:t xml:space="preserve">The </w:t>
      </w:r>
      <w:r w:rsidRPr="003311CD">
        <w:rPr>
          <w:rFonts w:cs="Arial"/>
          <w:color w:val="000000" w:themeColor="text1"/>
        </w:rPr>
        <w:t>CDE presented a 12 Essential Elements of a High-Quality College and Career Pathway Framework document. The Framework document will be used to develop a new CTEIG CTE Program Self-Evaluation.</w:t>
      </w:r>
      <w:r w:rsidRPr="003311CD">
        <w:rPr>
          <w:rFonts w:cs="Arial"/>
          <w:b/>
          <w:color w:val="000000" w:themeColor="text1"/>
        </w:rPr>
        <w:t xml:space="preserve"> </w:t>
      </w:r>
      <w:r w:rsidRPr="003311CD">
        <w:rPr>
          <w:rFonts w:cs="Arial"/>
        </w:rPr>
        <w:t xml:space="preserve">The CCCCO presented how the </w:t>
      </w:r>
      <w:r w:rsidR="00BE712B" w:rsidRPr="003311CD">
        <w:rPr>
          <w:rFonts w:cs="Arial"/>
        </w:rPr>
        <w:t>Guiding Policy Principles to Support Student-Centered K–14+ Pathways (</w:t>
      </w:r>
      <w:r w:rsidRPr="003311CD">
        <w:rPr>
          <w:rFonts w:cs="Arial"/>
          <w:i/>
        </w:rPr>
        <w:t>Guiding Policy Principles</w:t>
      </w:r>
      <w:r w:rsidR="00BE712B" w:rsidRPr="003311CD">
        <w:rPr>
          <w:rFonts w:cs="Arial"/>
          <w:i/>
        </w:rPr>
        <w:t>)</w:t>
      </w:r>
      <w:r w:rsidRPr="003311CD">
        <w:rPr>
          <w:rFonts w:cs="Arial"/>
          <w:i/>
        </w:rPr>
        <w:t xml:space="preserve"> </w:t>
      </w:r>
      <w:r w:rsidRPr="003311CD">
        <w:rPr>
          <w:rFonts w:cs="Arial"/>
        </w:rPr>
        <w:t>have been intentionally incorporated into the K–12 SWP application</w:t>
      </w:r>
      <w:r w:rsidR="00606403" w:rsidRPr="003311CD">
        <w:rPr>
          <w:rFonts w:cs="Arial"/>
        </w:rPr>
        <w:t>.</w:t>
      </w:r>
    </w:p>
    <w:p w14:paraId="7233FBB4" w14:textId="77777777" w:rsidR="008D6B3D" w:rsidRPr="003311CD" w:rsidRDefault="008D6B3D" w:rsidP="00CE3317">
      <w:pPr>
        <w:spacing w:after="240"/>
        <w:rPr>
          <w:rFonts w:cs="Arial"/>
        </w:rPr>
      </w:pPr>
      <w:r w:rsidRPr="003311CD">
        <w:rPr>
          <w:rFonts w:cs="Arial"/>
          <w:b/>
        </w:rPr>
        <w:t xml:space="preserve">January 31, 2020: </w:t>
      </w:r>
      <w:r w:rsidRPr="003311CD">
        <w:rPr>
          <w:rFonts w:cs="Arial"/>
        </w:rPr>
        <w:t>The CW</w:t>
      </w:r>
      <w:r w:rsidR="00D370A0" w:rsidRPr="003311CD">
        <w:rPr>
          <w:rFonts w:cs="Arial"/>
        </w:rPr>
        <w:t>P</w:t>
      </w:r>
      <w:r w:rsidRPr="003311CD">
        <w:rPr>
          <w:rFonts w:cs="Arial"/>
        </w:rPr>
        <w:t xml:space="preserve">JAC </w:t>
      </w:r>
      <w:r w:rsidR="00BB15CF" w:rsidRPr="003311CD">
        <w:rPr>
          <w:rFonts w:cs="Arial"/>
        </w:rPr>
        <w:t>reviewed an</w:t>
      </w:r>
      <w:r w:rsidRPr="003311CD">
        <w:rPr>
          <w:rFonts w:cs="Arial"/>
        </w:rPr>
        <w:t xml:space="preserve"> updated Matrix of Metrics, an overview of both the CTEIG and K</w:t>
      </w:r>
      <w:r w:rsidR="00D82C7B" w:rsidRPr="003311CD">
        <w:rPr>
          <w:rFonts w:cs="Arial"/>
        </w:rPr>
        <w:t>–</w:t>
      </w:r>
      <w:r w:rsidRPr="003311CD">
        <w:rPr>
          <w:rFonts w:cs="Arial"/>
        </w:rPr>
        <w:t xml:space="preserve">12 SWP </w:t>
      </w:r>
      <w:r w:rsidR="00D82C7B" w:rsidRPr="003311CD">
        <w:rPr>
          <w:rFonts w:cs="Arial"/>
        </w:rPr>
        <w:t>FY</w:t>
      </w:r>
      <w:r w:rsidRPr="003311CD">
        <w:rPr>
          <w:rFonts w:cs="Arial"/>
        </w:rPr>
        <w:t xml:space="preserve"> 2019</w:t>
      </w:r>
      <w:r w:rsidR="00D82C7B" w:rsidRPr="003311CD">
        <w:rPr>
          <w:rFonts w:cs="Arial"/>
        </w:rPr>
        <w:t>–</w:t>
      </w:r>
      <w:r w:rsidRPr="003311CD">
        <w:rPr>
          <w:rFonts w:cs="Arial"/>
        </w:rPr>
        <w:t>20 grant processes, and the 2018–19</w:t>
      </w:r>
      <w:r w:rsidR="0003321E" w:rsidRPr="003311CD">
        <w:rPr>
          <w:rFonts w:cs="Arial"/>
        </w:rPr>
        <w:t xml:space="preserve"> CTE</w:t>
      </w:r>
      <w:r w:rsidRPr="003311CD">
        <w:rPr>
          <w:rFonts w:cs="Arial"/>
        </w:rPr>
        <w:t xml:space="preserve"> Postsecondary Status of CTE Completers Survey Template.</w:t>
      </w:r>
    </w:p>
    <w:p w14:paraId="4F4C1988" w14:textId="77777777" w:rsidR="008D6B3D" w:rsidRPr="003311CD" w:rsidRDefault="008D6B3D" w:rsidP="00CE3317">
      <w:pPr>
        <w:spacing w:after="240"/>
        <w:rPr>
          <w:rFonts w:cs="Arial"/>
        </w:rPr>
      </w:pPr>
      <w:r w:rsidRPr="003311CD">
        <w:rPr>
          <w:rFonts w:cs="Arial"/>
          <w:b/>
        </w:rPr>
        <w:t xml:space="preserve">November 7, 2019: </w:t>
      </w:r>
      <w:r w:rsidRPr="003311CD">
        <w:rPr>
          <w:rFonts w:cs="Arial"/>
        </w:rPr>
        <w:t>The CWPJAC approved the Matrix of Metrics</w:t>
      </w:r>
      <w:r w:rsidR="00BB15CF" w:rsidRPr="003311CD">
        <w:rPr>
          <w:rFonts w:cs="Arial"/>
        </w:rPr>
        <w:t xml:space="preserve"> revisions</w:t>
      </w:r>
      <w:r w:rsidR="00606403" w:rsidRPr="003311CD">
        <w:rPr>
          <w:rFonts w:cs="Arial"/>
        </w:rPr>
        <w:t xml:space="preserve"> </w:t>
      </w:r>
      <w:r w:rsidR="00BB15CF" w:rsidRPr="003311CD">
        <w:rPr>
          <w:rFonts w:cs="Arial"/>
        </w:rPr>
        <w:t xml:space="preserve">which incorporated </w:t>
      </w:r>
      <w:r w:rsidRPr="003311CD">
        <w:rPr>
          <w:rFonts w:cs="Arial"/>
        </w:rPr>
        <w:t xml:space="preserve">the </w:t>
      </w:r>
      <w:r w:rsidR="00121964" w:rsidRPr="003311CD">
        <w:rPr>
          <w:rFonts w:cs="Arial"/>
        </w:rPr>
        <w:t xml:space="preserve">requirements of </w:t>
      </w:r>
      <w:r w:rsidRPr="003311CD">
        <w:rPr>
          <w:rFonts w:cs="Arial"/>
        </w:rPr>
        <w:t>Perkins V language</w:t>
      </w:r>
      <w:r w:rsidR="00606403" w:rsidRPr="003311CD">
        <w:rPr>
          <w:rFonts w:cs="Arial"/>
        </w:rPr>
        <w:t>.</w:t>
      </w:r>
    </w:p>
    <w:p w14:paraId="357C5B09" w14:textId="77777777" w:rsidR="008D6B3D" w:rsidRPr="003311CD" w:rsidRDefault="008D6B3D" w:rsidP="00CE3317">
      <w:pPr>
        <w:spacing w:after="240"/>
        <w:rPr>
          <w:rFonts w:cs="Arial"/>
        </w:rPr>
      </w:pPr>
      <w:r w:rsidRPr="003311CD">
        <w:rPr>
          <w:rFonts w:cs="Arial"/>
          <w:b/>
        </w:rPr>
        <w:t xml:space="preserve">October 11, 2019: </w:t>
      </w:r>
      <w:r w:rsidRPr="003311CD">
        <w:rPr>
          <w:rFonts w:cs="Arial"/>
        </w:rPr>
        <w:t xml:space="preserve">The CWPJAC </w:t>
      </w:r>
      <w:r w:rsidR="00BB15CF" w:rsidRPr="003311CD">
        <w:rPr>
          <w:rFonts w:cs="Arial"/>
        </w:rPr>
        <w:t>received</w:t>
      </w:r>
      <w:r w:rsidRPr="003311CD">
        <w:rPr>
          <w:rFonts w:cs="Arial"/>
        </w:rPr>
        <w:t xml:space="preserve"> an overview of the K–12 SWP metrics and the sources of information including an introduction to </w:t>
      </w:r>
      <w:r w:rsidR="00CA60A5" w:rsidRPr="003311CD">
        <w:rPr>
          <w:rFonts w:cs="Arial"/>
        </w:rPr>
        <w:t>the new K–12 SWP</w:t>
      </w:r>
      <w:r w:rsidRPr="003311CD">
        <w:rPr>
          <w:rFonts w:cs="Arial"/>
        </w:rPr>
        <w:t xml:space="preserve"> Dashboard</w:t>
      </w:r>
      <w:r w:rsidR="008C73C6" w:rsidRPr="003311CD">
        <w:rPr>
          <w:rFonts w:cs="Arial"/>
        </w:rPr>
        <w:t xml:space="preserve"> within the CCCCO</w:t>
      </w:r>
      <w:r w:rsidR="00121964" w:rsidRPr="003311CD">
        <w:rPr>
          <w:rFonts w:cs="Arial"/>
        </w:rPr>
        <w:t>’</w:t>
      </w:r>
      <w:r w:rsidR="008C73C6" w:rsidRPr="003311CD">
        <w:rPr>
          <w:rFonts w:cs="Arial"/>
        </w:rPr>
        <w:t>s Launchboard</w:t>
      </w:r>
      <w:r w:rsidRPr="003311CD">
        <w:rPr>
          <w:rFonts w:cs="Arial"/>
        </w:rPr>
        <w:t xml:space="preserve">. A memo </w:t>
      </w:r>
      <w:r w:rsidR="0059735B" w:rsidRPr="003311CD">
        <w:rPr>
          <w:rFonts w:cs="Arial"/>
        </w:rPr>
        <w:t xml:space="preserve">was </w:t>
      </w:r>
      <w:r w:rsidRPr="003311CD">
        <w:rPr>
          <w:rFonts w:cs="Arial"/>
        </w:rPr>
        <w:t>sent to the CWPJAC updating the source and methodology of data to be collected for the CTEIG.</w:t>
      </w:r>
    </w:p>
    <w:p w14:paraId="7EBD3FEF" w14:textId="77777777" w:rsidR="008D6B3D" w:rsidRPr="003311CD" w:rsidRDefault="008D6B3D" w:rsidP="00CE3317">
      <w:pPr>
        <w:spacing w:after="240"/>
        <w:rPr>
          <w:rFonts w:cs="Arial"/>
        </w:rPr>
      </w:pPr>
      <w:r w:rsidRPr="003311CD">
        <w:rPr>
          <w:rFonts w:cs="Arial"/>
          <w:b/>
        </w:rPr>
        <w:t xml:space="preserve">September 13, 2019: </w:t>
      </w:r>
      <w:r w:rsidRPr="003311CD">
        <w:rPr>
          <w:rFonts w:cs="Arial"/>
        </w:rPr>
        <w:t xml:space="preserve">The CWPJAC </w:t>
      </w:r>
      <w:r w:rsidR="00BB15CF" w:rsidRPr="003311CD">
        <w:rPr>
          <w:rFonts w:cs="Arial"/>
        </w:rPr>
        <w:t>reviewed</w:t>
      </w:r>
      <w:r w:rsidRPr="003311CD">
        <w:rPr>
          <w:rFonts w:cs="Arial"/>
        </w:rPr>
        <w:t xml:space="preserve"> the changes that were made to the </w:t>
      </w:r>
      <w:r w:rsidR="00D82C7B" w:rsidRPr="003311CD">
        <w:rPr>
          <w:rFonts w:cs="Arial"/>
        </w:rPr>
        <w:t xml:space="preserve">FY </w:t>
      </w:r>
      <w:r w:rsidRPr="003311CD">
        <w:rPr>
          <w:rFonts w:cs="Arial"/>
        </w:rPr>
        <w:t>2019–20 CTEIG application and an overview of the K–12 SWP and its objectives.</w:t>
      </w:r>
    </w:p>
    <w:p w14:paraId="3D4AA198" w14:textId="77777777" w:rsidR="008D6B3D" w:rsidRPr="003311CD" w:rsidRDefault="008D6B3D" w:rsidP="00CE3317">
      <w:pPr>
        <w:spacing w:after="240"/>
        <w:rPr>
          <w:rFonts w:cs="Arial"/>
        </w:rPr>
      </w:pPr>
      <w:r w:rsidRPr="003311CD">
        <w:rPr>
          <w:rFonts w:cs="Arial"/>
          <w:b/>
        </w:rPr>
        <w:t xml:space="preserve">July 12, 2019: </w:t>
      </w:r>
      <w:r w:rsidRPr="003311CD">
        <w:rPr>
          <w:rFonts w:cs="Arial"/>
        </w:rPr>
        <w:t>The CWPJAC received information regarding the common planning, and objectives from the CTEIG and K–12 SWP teams</w:t>
      </w:r>
      <w:r w:rsidR="00BB15CF" w:rsidRPr="003311CD">
        <w:rPr>
          <w:rFonts w:cs="Arial"/>
        </w:rPr>
        <w:t>, including t</w:t>
      </w:r>
      <w:r w:rsidRPr="003311CD">
        <w:rPr>
          <w:rFonts w:cs="Arial"/>
        </w:rPr>
        <w:t>he first full set of data from the FY 2017–18 CTEIG</w:t>
      </w:r>
      <w:r w:rsidR="00BB15CF" w:rsidRPr="003311CD">
        <w:rPr>
          <w:rFonts w:cs="Arial"/>
        </w:rPr>
        <w:t>, and reviewed b</w:t>
      </w:r>
      <w:r w:rsidRPr="003311CD">
        <w:rPr>
          <w:rFonts w:cs="Arial"/>
        </w:rPr>
        <w:t>oth the CTEIG and K–12 SWP metrics.</w:t>
      </w:r>
    </w:p>
    <w:p w14:paraId="7326221A" w14:textId="77777777" w:rsidR="008D6B3D" w:rsidRPr="003311CD" w:rsidRDefault="008D6B3D" w:rsidP="00CE3317">
      <w:pPr>
        <w:spacing w:after="240"/>
        <w:rPr>
          <w:rFonts w:cs="Arial"/>
        </w:rPr>
      </w:pPr>
      <w:r w:rsidRPr="003311CD">
        <w:rPr>
          <w:rFonts w:cs="Arial"/>
          <w:b/>
        </w:rPr>
        <w:t>May 29, 2019:</w:t>
      </w:r>
      <w:r w:rsidRPr="003311CD">
        <w:rPr>
          <w:rFonts w:cs="Arial"/>
        </w:rPr>
        <w:t xml:space="preserve"> The CWPJAC received an update on the CTEIG and the K–12 SWP activities.</w:t>
      </w:r>
    </w:p>
    <w:p w14:paraId="18F73024" w14:textId="77777777" w:rsidR="008D6B3D" w:rsidRPr="003311CD" w:rsidRDefault="008D6B3D" w:rsidP="00CE3317">
      <w:pPr>
        <w:spacing w:after="240"/>
        <w:rPr>
          <w:rFonts w:cs="Arial"/>
        </w:rPr>
      </w:pPr>
      <w:r w:rsidRPr="003311CD">
        <w:rPr>
          <w:rFonts w:cs="Arial"/>
          <w:b/>
        </w:rPr>
        <w:t>February 19, 2019:</w:t>
      </w:r>
      <w:r w:rsidRPr="003311CD">
        <w:rPr>
          <w:rFonts w:cs="Arial"/>
        </w:rPr>
        <w:t xml:space="preserve"> The CWPJAC received an update on the CTEIG and the K–12 SWP, including a brief demonstration of the NOVA platform.</w:t>
      </w:r>
    </w:p>
    <w:p w14:paraId="5DFE8FBF" w14:textId="77777777" w:rsidR="008D6B3D" w:rsidRPr="003311CD" w:rsidRDefault="008D6B3D" w:rsidP="00CE3317">
      <w:pPr>
        <w:spacing w:after="240"/>
        <w:rPr>
          <w:rFonts w:cs="Arial"/>
        </w:rPr>
      </w:pPr>
      <w:r w:rsidRPr="003311CD">
        <w:rPr>
          <w:rFonts w:cs="Arial"/>
          <w:b/>
        </w:rPr>
        <w:t>January 11, 2019:</w:t>
      </w:r>
      <w:r w:rsidRPr="003311CD">
        <w:rPr>
          <w:rFonts w:cs="Arial"/>
        </w:rPr>
        <w:t xml:space="preserve"> The CWPJAC received an update on the CTEIG and the K–12 SWP, including information on the December 19, 2018</w:t>
      </w:r>
      <w:r w:rsidR="0003321E" w:rsidRPr="003311CD">
        <w:rPr>
          <w:rFonts w:cs="Arial"/>
        </w:rPr>
        <w:t>,</w:t>
      </w:r>
      <w:r w:rsidRPr="003311CD">
        <w:rPr>
          <w:rFonts w:cs="Arial"/>
        </w:rPr>
        <w:t xml:space="preserve"> release of the CTEIG</w:t>
      </w:r>
      <w:r w:rsidR="00D82C7B" w:rsidRPr="003311CD">
        <w:rPr>
          <w:rFonts w:cs="Arial"/>
        </w:rPr>
        <w:t xml:space="preserve"> </w:t>
      </w:r>
      <w:r w:rsidR="00736694" w:rsidRPr="003311CD">
        <w:rPr>
          <w:rFonts w:cs="Arial"/>
        </w:rPr>
        <w:t>R</w:t>
      </w:r>
      <w:r w:rsidR="00832A5D" w:rsidRPr="003311CD">
        <w:rPr>
          <w:rFonts w:cs="Arial"/>
        </w:rPr>
        <w:t xml:space="preserve">equest for </w:t>
      </w:r>
      <w:r w:rsidR="00736694" w:rsidRPr="003311CD">
        <w:rPr>
          <w:rFonts w:cs="Arial"/>
        </w:rPr>
        <w:t>A</w:t>
      </w:r>
      <w:r w:rsidR="00832A5D" w:rsidRPr="003311CD">
        <w:rPr>
          <w:rFonts w:cs="Arial"/>
        </w:rPr>
        <w:t>pplications (RFA)</w:t>
      </w:r>
      <w:r w:rsidRPr="003311CD">
        <w:rPr>
          <w:rFonts w:cs="Arial"/>
        </w:rPr>
        <w:t xml:space="preserve">, the development of the RFA for the K–12 SWP, and the regional information meetings held around the </w:t>
      </w:r>
      <w:r w:rsidR="00D82C7B" w:rsidRPr="003311CD">
        <w:rPr>
          <w:rFonts w:cs="Arial"/>
        </w:rPr>
        <w:t>s</w:t>
      </w:r>
      <w:r w:rsidRPr="003311CD">
        <w:rPr>
          <w:rFonts w:cs="Arial"/>
        </w:rPr>
        <w:t>tate.</w:t>
      </w:r>
    </w:p>
    <w:p w14:paraId="09DD74D9" w14:textId="77777777" w:rsidR="008D6B3D" w:rsidRPr="003311CD" w:rsidRDefault="008D6B3D" w:rsidP="00CE3317">
      <w:pPr>
        <w:spacing w:after="240"/>
        <w:rPr>
          <w:rFonts w:cs="Arial"/>
        </w:rPr>
      </w:pPr>
      <w:r w:rsidRPr="003311CD">
        <w:rPr>
          <w:rFonts w:cs="Arial"/>
          <w:b/>
        </w:rPr>
        <w:t xml:space="preserve">December 14, 2018: </w:t>
      </w:r>
      <w:r w:rsidRPr="003311CD">
        <w:rPr>
          <w:rFonts w:cs="Arial"/>
        </w:rPr>
        <w:t xml:space="preserve">Final review and approval of the metric recommendations for both the CTEIG and the K–12 SWP was unanimously approved by the CWPJAC. Final </w:t>
      </w:r>
      <w:r w:rsidRPr="003311CD">
        <w:rPr>
          <w:rFonts w:cs="Arial"/>
        </w:rPr>
        <w:lastRenderedPageBreak/>
        <w:t xml:space="preserve">recommendations were submitted to the </w:t>
      </w:r>
      <w:r w:rsidR="005C2D5A" w:rsidRPr="003311CD">
        <w:rPr>
          <w:rFonts w:cs="Arial"/>
        </w:rPr>
        <w:t xml:space="preserve">DOF </w:t>
      </w:r>
      <w:r w:rsidRPr="003311CD">
        <w:rPr>
          <w:rFonts w:cs="Arial"/>
        </w:rPr>
        <w:t>for consideration and were reflected in the January 2019 budget proposal language.</w:t>
      </w:r>
    </w:p>
    <w:p w14:paraId="0FD84FDF" w14:textId="77777777" w:rsidR="008D6B3D" w:rsidRPr="003311CD" w:rsidRDefault="008D6B3D" w:rsidP="00CE3317">
      <w:pPr>
        <w:spacing w:after="240"/>
        <w:rPr>
          <w:rFonts w:cs="Arial"/>
        </w:rPr>
      </w:pPr>
      <w:r w:rsidRPr="003311CD">
        <w:rPr>
          <w:rFonts w:cs="Arial"/>
          <w:b/>
        </w:rPr>
        <w:t>November 26, 2018:</w:t>
      </w:r>
      <w:r w:rsidRPr="003311CD">
        <w:rPr>
          <w:rFonts w:cs="Arial"/>
        </w:rPr>
        <w:t xml:space="preserve"> The CDE and CCCCO staff provided an in-depth review of proposed metrics, and their alignment to the CWPJAC</w:t>
      </w:r>
      <w:r w:rsidR="00AF0408" w:rsidRPr="003311CD">
        <w:rPr>
          <w:rFonts w:cs="Arial"/>
        </w:rPr>
        <w:t xml:space="preserve">’s </w:t>
      </w:r>
      <w:r w:rsidR="00AF0408" w:rsidRPr="003311CD">
        <w:rPr>
          <w:rFonts w:cs="Arial"/>
          <w:i/>
        </w:rPr>
        <w:t>Guiding Policy Principles</w:t>
      </w:r>
      <w:r w:rsidR="00AF0408" w:rsidRPr="003311CD">
        <w:rPr>
          <w:rFonts w:cs="Arial"/>
        </w:rPr>
        <w:t xml:space="preserve"> </w:t>
      </w:r>
      <w:r w:rsidRPr="003311CD">
        <w:rPr>
          <w:rFonts w:cs="Arial"/>
        </w:rPr>
        <w:t>document. Based on direction from the CWPJAC, the CDE and CCCCO staff revised the proposed metrics to operationalize the data, as well as provide information on the source of data collection.</w:t>
      </w:r>
    </w:p>
    <w:p w14:paraId="787CE9D6" w14:textId="77777777" w:rsidR="00AF0408" w:rsidRPr="003311CD" w:rsidRDefault="008D6B3D" w:rsidP="00CE3317">
      <w:pPr>
        <w:spacing w:after="240"/>
        <w:rPr>
          <w:rFonts w:cs="Arial"/>
          <w:b/>
        </w:rPr>
      </w:pPr>
      <w:r w:rsidRPr="003311CD">
        <w:rPr>
          <w:rFonts w:cs="Arial"/>
          <w:b/>
        </w:rPr>
        <w:t>September 28, 2018:</w:t>
      </w:r>
      <w:r w:rsidRPr="003311CD">
        <w:rPr>
          <w:rFonts w:cs="Arial"/>
        </w:rPr>
        <w:t xml:space="preserve"> The CDE and CCCCO staff jointly presented an initial overview of the CTEIG and the K–12 SWP metrics and received feedback, guidance</w:t>
      </w:r>
      <w:r w:rsidR="0003321E" w:rsidRPr="003311CD">
        <w:rPr>
          <w:rFonts w:cs="Arial"/>
        </w:rPr>
        <w:t>,</w:t>
      </w:r>
      <w:r w:rsidRPr="003311CD">
        <w:rPr>
          <w:rFonts w:cs="Arial"/>
        </w:rPr>
        <w:t xml:space="preserve"> and direction on appropriate metrics for measuring CTE program quality and student achievement in </w:t>
      </w:r>
      <w:r w:rsidR="00832A5D" w:rsidRPr="003311CD">
        <w:rPr>
          <w:rFonts w:cs="Arial"/>
        </w:rPr>
        <w:t>K–14</w:t>
      </w:r>
      <w:r w:rsidRPr="003311CD">
        <w:rPr>
          <w:rFonts w:cs="Arial"/>
        </w:rPr>
        <w:t xml:space="preserve"> CTE programs.</w:t>
      </w:r>
    </w:p>
    <w:p w14:paraId="6B23B00C" w14:textId="77777777" w:rsidR="003E4DF7" w:rsidRPr="003311CD" w:rsidRDefault="003E4DF7" w:rsidP="003A0CCA">
      <w:pPr>
        <w:pStyle w:val="Heading2"/>
        <w:spacing w:before="480" w:after="240"/>
        <w:rPr>
          <w:rFonts w:cs="Arial"/>
          <w:sz w:val="36"/>
          <w:szCs w:val="36"/>
        </w:rPr>
      </w:pPr>
      <w:r w:rsidRPr="003311CD">
        <w:rPr>
          <w:rFonts w:cs="Arial"/>
          <w:sz w:val="36"/>
          <w:szCs w:val="36"/>
        </w:rPr>
        <w:t>Fiscal Analysis (as appropriate)</w:t>
      </w:r>
    </w:p>
    <w:p w14:paraId="5325BF8F" w14:textId="77777777" w:rsidR="00C72AD1" w:rsidRPr="003311CD" w:rsidRDefault="00C72AD1" w:rsidP="00C72AD1">
      <w:pPr>
        <w:spacing w:after="240"/>
        <w:rPr>
          <w:rFonts w:cs="Arial"/>
          <w:b/>
        </w:rPr>
      </w:pPr>
      <w:r w:rsidRPr="003311CD">
        <w:rPr>
          <w:rFonts w:cs="Arial"/>
        </w:rPr>
        <w:t xml:space="preserve">Funding available to eligible recipients under the CTEIG </w:t>
      </w:r>
      <w:r w:rsidR="00A80653" w:rsidRPr="003311CD">
        <w:rPr>
          <w:rFonts w:cs="Arial"/>
        </w:rPr>
        <w:t>i</w:t>
      </w:r>
      <w:r w:rsidRPr="003311CD">
        <w:rPr>
          <w:rFonts w:cs="Arial"/>
        </w:rPr>
        <w:t xml:space="preserve">s $150 million </w:t>
      </w:r>
      <w:r w:rsidR="00AF0408" w:rsidRPr="003311CD">
        <w:rPr>
          <w:rFonts w:cs="Arial"/>
        </w:rPr>
        <w:t>for the program year (PY) 20</w:t>
      </w:r>
      <w:r w:rsidR="00B46F06" w:rsidRPr="003311CD">
        <w:rPr>
          <w:rFonts w:cs="Arial"/>
        </w:rPr>
        <w:t>20</w:t>
      </w:r>
      <w:r w:rsidR="00AF0408" w:rsidRPr="003311CD">
        <w:rPr>
          <w:rFonts w:cs="Arial"/>
        </w:rPr>
        <w:t>–2</w:t>
      </w:r>
      <w:r w:rsidR="00B46F06" w:rsidRPr="003311CD">
        <w:rPr>
          <w:rFonts w:cs="Arial"/>
        </w:rPr>
        <w:t>1</w:t>
      </w:r>
      <w:r w:rsidRPr="003311CD">
        <w:rPr>
          <w:rFonts w:cs="Arial"/>
        </w:rPr>
        <w:t>, and</w:t>
      </w:r>
      <w:r w:rsidR="00586F79" w:rsidRPr="003311CD">
        <w:rPr>
          <w:rFonts w:cs="Arial"/>
        </w:rPr>
        <w:t xml:space="preserve"> </w:t>
      </w:r>
      <w:r w:rsidR="00D25FCD" w:rsidRPr="003311CD">
        <w:rPr>
          <w:rFonts w:cs="Arial"/>
        </w:rPr>
        <w:t>f</w:t>
      </w:r>
      <w:r w:rsidRPr="003311CD">
        <w:rPr>
          <w:rFonts w:cs="Arial"/>
        </w:rPr>
        <w:t>unding available under the K–12 SWP</w:t>
      </w:r>
      <w:r w:rsidR="00A80653" w:rsidRPr="003311CD">
        <w:rPr>
          <w:rFonts w:cs="Arial"/>
        </w:rPr>
        <w:t xml:space="preserve"> i</w:t>
      </w:r>
      <w:r w:rsidRPr="003311CD">
        <w:rPr>
          <w:rFonts w:cs="Arial"/>
        </w:rPr>
        <w:t xml:space="preserve">s $150 million </w:t>
      </w:r>
      <w:r w:rsidR="00AF0408" w:rsidRPr="003311CD">
        <w:rPr>
          <w:rFonts w:cs="Arial"/>
        </w:rPr>
        <w:t>for PY 20</w:t>
      </w:r>
      <w:r w:rsidR="00B46F06" w:rsidRPr="003311CD">
        <w:rPr>
          <w:rFonts w:cs="Arial"/>
        </w:rPr>
        <w:t>20</w:t>
      </w:r>
      <w:r w:rsidR="00AF0408" w:rsidRPr="003311CD">
        <w:rPr>
          <w:rFonts w:cs="Arial"/>
        </w:rPr>
        <w:t>–2</w:t>
      </w:r>
      <w:r w:rsidR="00B46F06" w:rsidRPr="003311CD">
        <w:rPr>
          <w:rFonts w:cs="Arial"/>
        </w:rPr>
        <w:t>1</w:t>
      </w:r>
      <w:r w:rsidR="00D25FCD" w:rsidRPr="003311CD">
        <w:rPr>
          <w:rFonts w:cs="Arial"/>
        </w:rPr>
        <w:t xml:space="preserve"> for</w:t>
      </w:r>
      <w:r w:rsidRPr="003311CD">
        <w:rPr>
          <w:rFonts w:cs="Arial"/>
        </w:rPr>
        <w:t xml:space="preserve"> eligible recipients. </w:t>
      </w:r>
      <w:r w:rsidR="001C3DC0" w:rsidRPr="003311CD">
        <w:rPr>
          <w:rFonts w:cs="Arial"/>
        </w:rPr>
        <w:t>In addition,</w:t>
      </w:r>
      <w:r w:rsidRPr="003311CD">
        <w:rPr>
          <w:rFonts w:cs="Arial"/>
        </w:rPr>
        <w:t xml:space="preserve"> $1</w:t>
      </w:r>
      <w:r w:rsidR="00AD489B" w:rsidRPr="003311CD">
        <w:rPr>
          <w:rFonts w:cs="Arial"/>
        </w:rPr>
        <w:t>3.5</w:t>
      </w:r>
      <w:r w:rsidRPr="003311CD">
        <w:rPr>
          <w:rFonts w:cs="Arial"/>
        </w:rPr>
        <w:t xml:space="preserve"> million</w:t>
      </w:r>
      <w:r w:rsidR="00A14CA6" w:rsidRPr="003311CD">
        <w:rPr>
          <w:rFonts w:cs="Arial"/>
        </w:rPr>
        <w:t xml:space="preserve"> </w:t>
      </w:r>
      <w:r w:rsidR="00A80653" w:rsidRPr="003311CD">
        <w:rPr>
          <w:rFonts w:cs="Arial"/>
        </w:rPr>
        <w:t>i</w:t>
      </w:r>
      <w:r w:rsidR="00AF0408" w:rsidRPr="003311CD">
        <w:rPr>
          <w:rFonts w:cs="Arial"/>
        </w:rPr>
        <w:t>s</w:t>
      </w:r>
      <w:r w:rsidRPr="003311CD">
        <w:rPr>
          <w:rFonts w:cs="Arial"/>
        </w:rPr>
        <w:t xml:space="preserve"> </w:t>
      </w:r>
      <w:r w:rsidR="00EA0CEF" w:rsidRPr="003311CD">
        <w:rPr>
          <w:rFonts w:cs="Arial"/>
        </w:rPr>
        <w:t xml:space="preserve">provided </w:t>
      </w:r>
      <w:r w:rsidR="00B40246" w:rsidRPr="003311CD">
        <w:rPr>
          <w:rFonts w:cs="Arial"/>
        </w:rPr>
        <w:t xml:space="preserve">to support </w:t>
      </w:r>
      <w:r w:rsidR="002D7DA4" w:rsidRPr="003311CD">
        <w:rPr>
          <w:rFonts w:cs="Arial"/>
        </w:rPr>
        <w:t xml:space="preserve">eight </w:t>
      </w:r>
      <w:r w:rsidRPr="003311CD">
        <w:rPr>
          <w:rFonts w:cs="Arial"/>
        </w:rPr>
        <w:t xml:space="preserve">K–14 </w:t>
      </w:r>
      <w:r w:rsidR="00D82C7B" w:rsidRPr="003311CD">
        <w:rPr>
          <w:rFonts w:cs="Arial"/>
        </w:rPr>
        <w:t>Technical Assistance Providers</w:t>
      </w:r>
      <w:r w:rsidR="00B40246" w:rsidRPr="003311CD">
        <w:rPr>
          <w:rFonts w:cs="Arial"/>
        </w:rPr>
        <w:t xml:space="preserve"> and </w:t>
      </w:r>
      <w:r w:rsidR="002D7DA4" w:rsidRPr="003311CD">
        <w:rPr>
          <w:rFonts w:cs="Arial"/>
        </w:rPr>
        <w:t xml:space="preserve">72 </w:t>
      </w:r>
      <w:r w:rsidR="00B40246" w:rsidRPr="003311CD">
        <w:rPr>
          <w:rFonts w:cs="Arial"/>
        </w:rPr>
        <w:t xml:space="preserve">workforce </w:t>
      </w:r>
      <w:r w:rsidR="00121964" w:rsidRPr="003311CD">
        <w:rPr>
          <w:rFonts w:cs="Arial"/>
        </w:rPr>
        <w:t xml:space="preserve">pathway </w:t>
      </w:r>
      <w:r w:rsidR="00B40246" w:rsidRPr="003311CD">
        <w:rPr>
          <w:rFonts w:cs="Arial"/>
        </w:rPr>
        <w:t>coordinators</w:t>
      </w:r>
      <w:r w:rsidRPr="003311CD">
        <w:rPr>
          <w:rFonts w:cs="Arial"/>
        </w:rPr>
        <w:t xml:space="preserve"> </w:t>
      </w:r>
      <w:r w:rsidR="00B40246" w:rsidRPr="003311CD">
        <w:rPr>
          <w:rFonts w:cs="Arial"/>
        </w:rPr>
        <w:t>for</w:t>
      </w:r>
      <w:r w:rsidRPr="003311CD">
        <w:rPr>
          <w:rFonts w:cs="Arial"/>
        </w:rPr>
        <w:t xml:space="preserve"> both CTEIG and K–12 SWP initiatives.</w:t>
      </w:r>
    </w:p>
    <w:p w14:paraId="6A32ACE2" w14:textId="77777777" w:rsidR="00406F50" w:rsidRPr="003311CD" w:rsidRDefault="00406F50" w:rsidP="003A0CCA">
      <w:pPr>
        <w:pStyle w:val="Heading2"/>
        <w:spacing w:before="480" w:after="240"/>
        <w:rPr>
          <w:rFonts w:cs="Arial"/>
          <w:sz w:val="36"/>
          <w:szCs w:val="36"/>
        </w:rPr>
      </w:pPr>
      <w:r w:rsidRPr="003311CD">
        <w:rPr>
          <w:rFonts w:cs="Arial"/>
          <w:sz w:val="36"/>
          <w:szCs w:val="36"/>
        </w:rPr>
        <w:t>Attachment(s)</w:t>
      </w:r>
    </w:p>
    <w:p w14:paraId="351F556F" w14:textId="6FB34714" w:rsidR="00191509" w:rsidRPr="00A406EA" w:rsidRDefault="00191509" w:rsidP="00C11AFA">
      <w:pPr>
        <w:shd w:val="clear" w:color="auto" w:fill="FFFFFF"/>
        <w:ind w:right="720"/>
        <w:textAlignment w:val="baseline"/>
        <w:rPr>
          <w:rFonts w:cs="Arial"/>
        </w:rPr>
      </w:pPr>
      <w:r w:rsidRPr="003311CD">
        <w:rPr>
          <w:rFonts w:cs="Arial"/>
          <w:b/>
        </w:rPr>
        <w:t xml:space="preserve">Attachment </w:t>
      </w:r>
      <w:r w:rsidR="000A05A6" w:rsidRPr="003311CD">
        <w:rPr>
          <w:rFonts w:cs="Arial"/>
          <w:b/>
        </w:rPr>
        <w:t>1</w:t>
      </w:r>
      <w:r w:rsidRPr="003311CD">
        <w:rPr>
          <w:rFonts w:cs="Arial"/>
          <w:b/>
        </w:rPr>
        <w:t>:</w:t>
      </w:r>
      <w:r w:rsidRPr="003311CD">
        <w:rPr>
          <w:rFonts w:cs="Arial"/>
        </w:rPr>
        <w:t xml:space="preserve"> </w:t>
      </w:r>
      <w:r w:rsidR="00A63624" w:rsidRPr="003311CD">
        <w:rPr>
          <w:rFonts w:cs="Arial"/>
        </w:rPr>
        <w:t xml:space="preserve">Recommending Operationalizing the Career Technical Education Incentive Grant and Kindergarten Through Grade Twelve Strong Workforce Program Data Metrics </w:t>
      </w:r>
      <w:r w:rsidRPr="003311CD">
        <w:rPr>
          <w:rFonts w:cs="Arial"/>
        </w:rPr>
        <w:t>(</w:t>
      </w:r>
      <w:r w:rsidR="00B817F4" w:rsidRPr="003311CD">
        <w:rPr>
          <w:rFonts w:cs="Arial"/>
        </w:rPr>
        <w:t>8</w:t>
      </w:r>
      <w:r w:rsidRPr="003311CD">
        <w:rPr>
          <w:rFonts w:cs="Arial"/>
        </w:rPr>
        <w:t xml:space="preserve"> pages)</w:t>
      </w:r>
    </w:p>
    <w:sectPr w:rsidR="00191509" w:rsidRPr="00A406EA" w:rsidSect="006723D1">
      <w:headerReference w:type="even" r:id="rId11"/>
      <w:headerReference w:type="default" r:id="rId12"/>
      <w:headerReference w:type="first" r:id="rId13"/>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633CC" w14:textId="77777777" w:rsidR="006723D1" w:rsidRDefault="006723D1" w:rsidP="000E09DC">
      <w:r>
        <w:separator/>
      </w:r>
    </w:p>
  </w:endnote>
  <w:endnote w:type="continuationSeparator" w:id="0">
    <w:p w14:paraId="1768D209" w14:textId="77777777" w:rsidR="006723D1" w:rsidRDefault="006723D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95A1E" w14:textId="77777777" w:rsidR="006723D1" w:rsidRDefault="006723D1" w:rsidP="000E09DC">
      <w:r>
        <w:separator/>
      </w:r>
    </w:p>
  </w:footnote>
  <w:footnote w:type="continuationSeparator" w:id="0">
    <w:p w14:paraId="32CB3543" w14:textId="77777777" w:rsidR="006723D1" w:rsidRDefault="006723D1"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196CF" w14:textId="77777777" w:rsidR="00E12B59" w:rsidRPr="00AA6EC1" w:rsidRDefault="00E12B59" w:rsidP="00E12B59">
    <w:pPr>
      <w:pStyle w:val="Header"/>
      <w:jc w:val="right"/>
      <w:rPr>
        <w:rFonts w:cs="Arial"/>
      </w:rPr>
    </w:pPr>
    <w:r>
      <w:rPr>
        <w:rFonts w:cs="Arial"/>
      </w:rPr>
      <w:t>cwpjac-nov20item02</w:t>
    </w:r>
  </w:p>
  <w:p w14:paraId="3F579CAF" w14:textId="0F463E93" w:rsidR="00E12B59" w:rsidRDefault="00E12B5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861B" w14:textId="77777777" w:rsidR="00E12B59" w:rsidRPr="00AA6EC1" w:rsidRDefault="00E12B59" w:rsidP="00E12B59">
    <w:pPr>
      <w:pStyle w:val="Header"/>
      <w:jc w:val="right"/>
      <w:rPr>
        <w:rFonts w:cs="Arial"/>
      </w:rPr>
    </w:pPr>
    <w:r>
      <w:rPr>
        <w:rFonts w:cs="Arial"/>
      </w:rPr>
      <w:t>cwpjac-nov20item02</w:t>
    </w:r>
  </w:p>
  <w:p w14:paraId="14C6EC6A" w14:textId="12F9CF5A" w:rsidR="00D7489A" w:rsidRPr="00E12B59" w:rsidRDefault="00E12B5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DB599" w14:textId="77777777" w:rsidR="00D7489A" w:rsidRDefault="00D7489A" w:rsidP="003A0CCA">
    <w:pPr>
      <w:pStyle w:val="Header"/>
      <w:jc w:val="right"/>
      <w:rPr>
        <w:rFonts w:cs="Arial"/>
      </w:rPr>
    </w:pPr>
    <w:r>
      <w:rPr>
        <w:rFonts w:cs="Arial"/>
      </w:rPr>
      <w:t>California Workforce Pathways Joint Advisory Committee</w:t>
    </w:r>
  </w:p>
  <w:p w14:paraId="7E2CAC02" w14:textId="35BD74D5" w:rsidR="00D7489A" w:rsidRPr="00AA6EC1" w:rsidRDefault="00D7489A" w:rsidP="003A0CCA">
    <w:pPr>
      <w:pStyle w:val="Header"/>
      <w:jc w:val="right"/>
      <w:rPr>
        <w:rFonts w:cs="Arial"/>
      </w:rPr>
    </w:pPr>
    <w:r>
      <w:rPr>
        <w:rFonts w:cs="Arial"/>
      </w:rPr>
      <w:t>cwpjac-</w:t>
    </w:r>
    <w:r w:rsidR="00842498">
      <w:rPr>
        <w:rFonts w:cs="Arial"/>
      </w:rPr>
      <w:t>nov</w:t>
    </w:r>
    <w:r>
      <w:rPr>
        <w:rFonts w:cs="Arial"/>
      </w:rPr>
      <w:t>2</w:t>
    </w:r>
    <w:r w:rsidR="003C79E6">
      <w:rPr>
        <w:rFonts w:cs="Arial"/>
      </w:rPr>
      <w:t>0</w:t>
    </w:r>
    <w:r>
      <w:rPr>
        <w:rFonts w:cs="Arial"/>
      </w:rPr>
      <w:t>item02</w:t>
    </w:r>
  </w:p>
  <w:p w14:paraId="12CFCBA1" w14:textId="77777777" w:rsidR="00D7489A" w:rsidRDefault="00D7489A"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7159C8">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7159C8">
      <w:rPr>
        <w:rFonts w:cs="Arial"/>
        <w:bCs/>
        <w:noProof/>
      </w:rPr>
      <w:t>7</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886282">
    <w:abstractNumId w:val="13"/>
  </w:num>
  <w:num w:numId="2" w16cid:durableId="294063058">
    <w:abstractNumId w:val="23"/>
  </w:num>
  <w:num w:numId="3" w16cid:durableId="1084959785">
    <w:abstractNumId w:val="9"/>
  </w:num>
  <w:num w:numId="4" w16cid:durableId="1742214478">
    <w:abstractNumId w:val="18"/>
  </w:num>
  <w:num w:numId="5" w16cid:durableId="1604342014">
    <w:abstractNumId w:val="21"/>
  </w:num>
  <w:num w:numId="6" w16cid:durableId="645547587">
    <w:abstractNumId w:val="2"/>
  </w:num>
  <w:num w:numId="7" w16cid:durableId="876771342">
    <w:abstractNumId w:val="12"/>
  </w:num>
  <w:num w:numId="8" w16cid:durableId="2042126117">
    <w:abstractNumId w:val="3"/>
  </w:num>
  <w:num w:numId="9" w16cid:durableId="1650592135">
    <w:abstractNumId w:val="24"/>
  </w:num>
  <w:num w:numId="10" w16cid:durableId="1780028990">
    <w:abstractNumId w:val="25"/>
  </w:num>
  <w:num w:numId="11" w16cid:durableId="1017776327">
    <w:abstractNumId w:val="8"/>
  </w:num>
  <w:num w:numId="12" w16cid:durableId="792291385">
    <w:abstractNumId w:val="6"/>
  </w:num>
  <w:num w:numId="13" w16cid:durableId="26299945">
    <w:abstractNumId w:val="5"/>
  </w:num>
  <w:num w:numId="14" w16cid:durableId="1756366201">
    <w:abstractNumId w:val="14"/>
  </w:num>
  <w:num w:numId="15" w16cid:durableId="1662391167">
    <w:abstractNumId w:val="11"/>
  </w:num>
  <w:num w:numId="16" w16cid:durableId="157039777">
    <w:abstractNumId w:val="16"/>
  </w:num>
  <w:num w:numId="17" w16cid:durableId="2109228824">
    <w:abstractNumId w:val="26"/>
  </w:num>
  <w:num w:numId="18" w16cid:durableId="1186822160">
    <w:abstractNumId w:val="19"/>
  </w:num>
  <w:num w:numId="19" w16cid:durableId="2121096643">
    <w:abstractNumId w:val="10"/>
  </w:num>
  <w:num w:numId="20" w16cid:durableId="689141728">
    <w:abstractNumId w:val="0"/>
  </w:num>
  <w:num w:numId="21" w16cid:durableId="153493958">
    <w:abstractNumId w:val="4"/>
  </w:num>
  <w:num w:numId="22" w16cid:durableId="2031255116">
    <w:abstractNumId w:val="7"/>
  </w:num>
  <w:num w:numId="23" w16cid:durableId="1051661017">
    <w:abstractNumId w:val="17"/>
  </w:num>
  <w:num w:numId="24" w16cid:durableId="1011102254">
    <w:abstractNumId w:val="20"/>
  </w:num>
  <w:num w:numId="25" w16cid:durableId="1344472729">
    <w:abstractNumId w:val="22"/>
  </w:num>
  <w:num w:numId="26" w16cid:durableId="1014112938">
    <w:abstractNumId w:val="15"/>
  </w:num>
  <w:num w:numId="27" w16cid:durableId="210032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20B59"/>
    <w:rsid w:val="0002235C"/>
    <w:rsid w:val="000324AD"/>
    <w:rsid w:val="0003321E"/>
    <w:rsid w:val="000334CD"/>
    <w:rsid w:val="000401C9"/>
    <w:rsid w:val="000435B8"/>
    <w:rsid w:val="00046EE9"/>
    <w:rsid w:val="000578FF"/>
    <w:rsid w:val="000621AF"/>
    <w:rsid w:val="00062765"/>
    <w:rsid w:val="00062D3F"/>
    <w:rsid w:val="00063275"/>
    <w:rsid w:val="00067290"/>
    <w:rsid w:val="000705EA"/>
    <w:rsid w:val="00073372"/>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35C8"/>
    <w:rsid w:val="000E09DC"/>
    <w:rsid w:val="000E11D9"/>
    <w:rsid w:val="000E57F5"/>
    <w:rsid w:val="000F03CE"/>
    <w:rsid w:val="000F225D"/>
    <w:rsid w:val="000F2A7C"/>
    <w:rsid w:val="000F3DCA"/>
    <w:rsid w:val="000F4F6F"/>
    <w:rsid w:val="000F7B5E"/>
    <w:rsid w:val="00101CBB"/>
    <w:rsid w:val="001048F3"/>
    <w:rsid w:val="0010668C"/>
    <w:rsid w:val="00106AFB"/>
    <w:rsid w:val="00112E7B"/>
    <w:rsid w:val="00115A04"/>
    <w:rsid w:val="001170AB"/>
    <w:rsid w:val="00121964"/>
    <w:rsid w:val="00130059"/>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31F3"/>
    <w:rsid w:val="0017400C"/>
    <w:rsid w:val="00180C36"/>
    <w:rsid w:val="0018148D"/>
    <w:rsid w:val="001814FC"/>
    <w:rsid w:val="001825ED"/>
    <w:rsid w:val="001828D0"/>
    <w:rsid w:val="00191509"/>
    <w:rsid w:val="00194775"/>
    <w:rsid w:val="00194D47"/>
    <w:rsid w:val="00195E52"/>
    <w:rsid w:val="001A0CA5"/>
    <w:rsid w:val="001A12B0"/>
    <w:rsid w:val="001A53C0"/>
    <w:rsid w:val="001B0EF5"/>
    <w:rsid w:val="001B33BC"/>
    <w:rsid w:val="001B3958"/>
    <w:rsid w:val="001B67DD"/>
    <w:rsid w:val="001C280A"/>
    <w:rsid w:val="001C3DC0"/>
    <w:rsid w:val="001C48C1"/>
    <w:rsid w:val="001C4C02"/>
    <w:rsid w:val="001C4D24"/>
    <w:rsid w:val="001D0408"/>
    <w:rsid w:val="001D138A"/>
    <w:rsid w:val="001D1BCA"/>
    <w:rsid w:val="001D6903"/>
    <w:rsid w:val="001E01E9"/>
    <w:rsid w:val="001E1929"/>
    <w:rsid w:val="001F0B57"/>
    <w:rsid w:val="001F3D3F"/>
    <w:rsid w:val="0020468C"/>
    <w:rsid w:val="00205533"/>
    <w:rsid w:val="00210872"/>
    <w:rsid w:val="00210D0F"/>
    <w:rsid w:val="00212525"/>
    <w:rsid w:val="00217419"/>
    <w:rsid w:val="00217FC3"/>
    <w:rsid w:val="0022016E"/>
    <w:rsid w:val="002204BB"/>
    <w:rsid w:val="00221598"/>
    <w:rsid w:val="0022188B"/>
    <w:rsid w:val="002219C8"/>
    <w:rsid w:val="00223112"/>
    <w:rsid w:val="002256AC"/>
    <w:rsid w:val="00227FDF"/>
    <w:rsid w:val="00231862"/>
    <w:rsid w:val="0023256F"/>
    <w:rsid w:val="00240B26"/>
    <w:rsid w:val="0024129C"/>
    <w:rsid w:val="00243C5F"/>
    <w:rsid w:val="00246406"/>
    <w:rsid w:val="0025363B"/>
    <w:rsid w:val="0026062D"/>
    <w:rsid w:val="00267499"/>
    <w:rsid w:val="00267828"/>
    <w:rsid w:val="002717C0"/>
    <w:rsid w:val="002722A8"/>
    <w:rsid w:val="0028059B"/>
    <w:rsid w:val="00285BBA"/>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F1DAE"/>
    <w:rsid w:val="002F279B"/>
    <w:rsid w:val="002F3981"/>
    <w:rsid w:val="00303123"/>
    <w:rsid w:val="00304C3F"/>
    <w:rsid w:val="00311725"/>
    <w:rsid w:val="00311776"/>
    <w:rsid w:val="003140AF"/>
    <w:rsid w:val="003141EF"/>
    <w:rsid w:val="00315131"/>
    <w:rsid w:val="00323795"/>
    <w:rsid w:val="00324B8B"/>
    <w:rsid w:val="00325F59"/>
    <w:rsid w:val="00330624"/>
    <w:rsid w:val="003311CD"/>
    <w:rsid w:val="00331A2F"/>
    <w:rsid w:val="00337F11"/>
    <w:rsid w:val="00341CE3"/>
    <w:rsid w:val="00343E81"/>
    <w:rsid w:val="00346E58"/>
    <w:rsid w:val="00347FBF"/>
    <w:rsid w:val="003627EA"/>
    <w:rsid w:val="00363520"/>
    <w:rsid w:val="0036578A"/>
    <w:rsid w:val="003666D8"/>
    <w:rsid w:val="003705FC"/>
    <w:rsid w:val="00371ED1"/>
    <w:rsid w:val="0037413D"/>
    <w:rsid w:val="00382CE5"/>
    <w:rsid w:val="00383464"/>
    <w:rsid w:val="00383A23"/>
    <w:rsid w:val="00384ACF"/>
    <w:rsid w:val="00384B74"/>
    <w:rsid w:val="00386C2E"/>
    <w:rsid w:val="003942E6"/>
    <w:rsid w:val="0039556E"/>
    <w:rsid w:val="00396705"/>
    <w:rsid w:val="003A0CCA"/>
    <w:rsid w:val="003A60F9"/>
    <w:rsid w:val="003A6A84"/>
    <w:rsid w:val="003A74FC"/>
    <w:rsid w:val="003B0B17"/>
    <w:rsid w:val="003B101D"/>
    <w:rsid w:val="003B11CA"/>
    <w:rsid w:val="003B37A0"/>
    <w:rsid w:val="003B4154"/>
    <w:rsid w:val="003B6254"/>
    <w:rsid w:val="003C2049"/>
    <w:rsid w:val="003C79E6"/>
    <w:rsid w:val="003D1ECD"/>
    <w:rsid w:val="003E0AFD"/>
    <w:rsid w:val="003E1E8D"/>
    <w:rsid w:val="003E32E3"/>
    <w:rsid w:val="003E4DF7"/>
    <w:rsid w:val="003E7EEC"/>
    <w:rsid w:val="003F0300"/>
    <w:rsid w:val="003F1C66"/>
    <w:rsid w:val="003F2DB6"/>
    <w:rsid w:val="003F4814"/>
    <w:rsid w:val="003F7CD4"/>
    <w:rsid w:val="0040468B"/>
    <w:rsid w:val="00406DAD"/>
    <w:rsid w:val="00406F50"/>
    <w:rsid w:val="00407E9B"/>
    <w:rsid w:val="004107D0"/>
    <w:rsid w:val="00413B6D"/>
    <w:rsid w:val="0041680C"/>
    <w:rsid w:val="004203BC"/>
    <w:rsid w:val="004207DC"/>
    <w:rsid w:val="00430B32"/>
    <w:rsid w:val="004319E4"/>
    <w:rsid w:val="004325CA"/>
    <w:rsid w:val="00432E90"/>
    <w:rsid w:val="00433DD0"/>
    <w:rsid w:val="00434163"/>
    <w:rsid w:val="00434ED0"/>
    <w:rsid w:val="004354F4"/>
    <w:rsid w:val="00437684"/>
    <w:rsid w:val="00444B95"/>
    <w:rsid w:val="00444FA3"/>
    <w:rsid w:val="0044670C"/>
    <w:rsid w:val="00447742"/>
    <w:rsid w:val="00453038"/>
    <w:rsid w:val="00454BB1"/>
    <w:rsid w:val="00470968"/>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1A3C"/>
    <w:rsid w:val="0049399F"/>
    <w:rsid w:val="00496759"/>
    <w:rsid w:val="004A3A16"/>
    <w:rsid w:val="004A3BD0"/>
    <w:rsid w:val="004A76DC"/>
    <w:rsid w:val="004B376F"/>
    <w:rsid w:val="004C20C0"/>
    <w:rsid w:val="004C301B"/>
    <w:rsid w:val="004C3487"/>
    <w:rsid w:val="004C57F7"/>
    <w:rsid w:val="004D2954"/>
    <w:rsid w:val="004D2A97"/>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40670"/>
    <w:rsid w:val="00543A49"/>
    <w:rsid w:val="0054640F"/>
    <w:rsid w:val="005466A4"/>
    <w:rsid w:val="00550B91"/>
    <w:rsid w:val="005531EC"/>
    <w:rsid w:val="00553ABA"/>
    <w:rsid w:val="00555C92"/>
    <w:rsid w:val="00555CC5"/>
    <w:rsid w:val="00557D10"/>
    <w:rsid w:val="00562413"/>
    <w:rsid w:val="0056668F"/>
    <w:rsid w:val="005705A5"/>
    <w:rsid w:val="00570D75"/>
    <w:rsid w:val="0057128D"/>
    <w:rsid w:val="005727BD"/>
    <w:rsid w:val="0057351F"/>
    <w:rsid w:val="00582605"/>
    <w:rsid w:val="005859C2"/>
    <w:rsid w:val="00585CC0"/>
    <w:rsid w:val="00586F79"/>
    <w:rsid w:val="00587A1D"/>
    <w:rsid w:val="0059193D"/>
    <w:rsid w:val="0059735B"/>
    <w:rsid w:val="005A776D"/>
    <w:rsid w:val="005B18B3"/>
    <w:rsid w:val="005B328C"/>
    <w:rsid w:val="005B4A8A"/>
    <w:rsid w:val="005B5FF9"/>
    <w:rsid w:val="005B7B1C"/>
    <w:rsid w:val="005C04D5"/>
    <w:rsid w:val="005C2D5A"/>
    <w:rsid w:val="005C407C"/>
    <w:rsid w:val="005C4645"/>
    <w:rsid w:val="005D0467"/>
    <w:rsid w:val="005D2A3B"/>
    <w:rsid w:val="005D3564"/>
    <w:rsid w:val="005E7340"/>
    <w:rsid w:val="005F590E"/>
    <w:rsid w:val="005F7611"/>
    <w:rsid w:val="00600842"/>
    <w:rsid w:val="00601378"/>
    <w:rsid w:val="006034C8"/>
    <w:rsid w:val="00604843"/>
    <w:rsid w:val="00605707"/>
    <w:rsid w:val="0060576F"/>
    <w:rsid w:val="0060622D"/>
    <w:rsid w:val="00606403"/>
    <w:rsid w:val="006142FF"/>
    <w:rsid w:val="0061717F"/>
    <w:rsid w:val="0062025C"/>
    <w:rsid w:val="00627626"/>
    <w:rsid w:val="00633411"/>
    <w:rsid w:val="0063446F"/>
    <w:rsid w:val="00641BC4"/>
    <w:rsid w:val="0064436F"/>
    <w:rsid w:val="0064744D"/>
    <w:rsid w:val="00653359"/>
    <w:rsid w:val="006553BA"/>
    <w:rsid w:val="006560B3"/>
    <w:rsid w:val="00657100"/>
    <w:rsid w:val="00665786"/>
    <w:rsid w:val="00670BE9"/>
    <w:rsid w:val="00671363"/>
    <w:rsid w:val="006723D1"/>
    <w:rsid w:val="0067247F"/>
    <w:rsid w:val="00677419"/>
    <w:rsid w:val="0068567F"/>
    <w:rsid w:val="00692300"/>
    <w:rsid w:val="00693094"/>
    <w:rsid w:val="00693951"/>
    <w:rsid w:val="00696B59"/>
    <w:rsid w:val="0069737A"/>
    <w:rsid w:val="006A3829"/>
    <w:rsid w:val="006A4E4D"/>
    <w:rsid w:val="006A5099"/>
    <w:rsid w:val="006B09DA"/>
    <w:rsid w:val="006B185B"/>
    <w:rsid w:val="006B2111"/>
    <w:rsid w:val="006B324B"/>
    <w:rsid w:val="006B42A6"/>
    <w:rsid w:val="006B68B7"/>
    <w:rsid w:val="006B6BD9"/>
    <w:rsid w:val="006B76D1"/>
    <w:rsid w:val="006C2404"/>
    <w:rsid w:val="006C6310"/>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127CF"/>
    <w:rsid w:val="007129A9"/>
    <w:rsid w:val="00712D5B"/>
    <w:rsid w:val="007159C8"/>
    <w:rsid w:val="00716933"/>
    <w:rsid w:val="00716F41"/>
    <w:rsid w:val="00722AFA"/>
    <w:rsid w:val="00726342"/>
    <w:rsid w:val="0072680E"/>
    <w:rsid w:val="00726EDA"/>
    <w:rsid w:val="007313A3"/>
    <w:rsid w:val="00731CCB"/>
    <w:rsid w:val="007362A5"/>
    <w:rsid w:val="00736694"/>
    <w:rsid w:val="00740368"/>
    <w:rsid w:val="00740ABA"/>
    <w:rsid w:val="007428B8"/>
    <w:rsid w:val="00743245"/>
    <w:rsid w:val="00746164"/>
    <w:rsid w:val="007475B7"/>
    <w:rsid w:val="00752071"/>
    <w:rsid w:val="00754D9E"/>
    <w:rsid w:val="0075603A"/>
    <w:rsid w:val="00760008"/>
    <w:rsid w:val="00760937"/>
    <w:rsid w:val="0076439B"/>
    <w:rsid w:val="00764C25"/>
    <w:rsid w:val="00774050"/>
    <w:rsid w:val="00780BB6"/>
    <w:rsid w:val="00780D78"/>
    <w:rsid w:val="00783F32"/>
    <w:rsid w:val="007866CC"/>
    <w:rsid w:val="0078733C"/>
    <w:rsid w:val="00790810"/>
    <w:rsid w:val="00791042"/>
    <w:rsid w:val="00793FD2"/>
    <w:rsid w:val="0079698A"/>
    <w:rsid w:val="007A1FCC"/>
    <w:rsid w:val="007A7605"/>
    <w:rsid w:val="007A7A5E"/>
    <w:rsid w:val="007B0102"/>
    <w:rsid w:val="007B12FA"/>
    <w:rsid w:val="007B19E0"/>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390B"/>
    <w:rsid w:val="007F3A41"/>
    <w:rsid w:val="007F419D"/>
    <w:rsid w:val="00801A7A"/>
    <w:rsid w:val="00807AE4"/>
    <w:rsid w:val="00811CEB"/>
    <w:rsid w:val="0081409D"/>
    <w:rsid w:val="008165D1"/>
    <w:rsid w:val="008262CC"/>
    <w:rsid w:val="0082774A"/>
    <w:rsid w:val="00827E27"/>
    <w:rsid w:val="00827F39"/>
    <w:rsid w:val="008301CE"/>
    <w:rsid w:val="00832A5D"/>
    <w:rsid w:val="008418C7"/>
    <w:rsid w:val="008422FD"/>
    <w:rsid w:val="00842498"/>
    <w:rsid w:val="00851085"/>
    <w:rsid w:val="008626B5"/>
    <w:rsid w:val="008634E7"/>
    <w:rsid w:val="008657B5"/>
    <w:rsid w:val="00867693"/>
    <w:rsid w:val="0087214B"/>
    <w:rsid w:val="008763AC"/>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900BAB"/>
    <w:rsid w:val="00903224"/>
    <w:rsid w:val="00904EA8"/>
    <w:rsid w:val="0091117B"/>
    <w:rsid w:val="00924664"/>
    <w:rsid w:val="0093189D"/>
    <w:rsid w:val="00932AEE"/>
    <w:rsid w:val="009347A8"/>
    <w:rsid w:val="00935E33"/>
    <w:rsid w:val="00940D4F"/>
    <w:rsid w:val="00943AED"/>
    <w:rsid w:val="00945D79"/>
    <w:rsid w:val="0094755F"/>
    <w:rsid w:val="009533BA"/>
    <w:rsid w:val="00955E39"/>
    <w:rsid w:val="00964C6B"/>
    <w:rsid w:val="00966F4D"/>
    <w:rsid w:val="00967C05"/>
    <w:rsid w:val="00970D21"/>
    <w:rsid w:val="00970FB0"/>
    <w:rsid w:val="009757CE"/>
    <w:rsid w:val="00980EB5"/>
    <w:rsid w:val="00983709"/>
    <w:rsid w:val="00984558"/>
    <w:rsid w:val="00992087"/>
    <w:rsid w:val="009923C9"/>
    <w:rsid w:val="009933A3"/>
    <w:rsid w:val="00993D2E"/>
    <w:rsid w:val="009A143F"/>
    <w:rsid w:val="009A2104"/>
    <w:rsid w:val="009A30B4"/>
    <w:rsid w:val="009A32D9"/>
    <w:rsid w:val="009B02E6"/>
    <w:rsid w:val="009B04E1"/>
    <w:rsid w:val="009B1108"/>
    <w:rsid w:val="009B1D61"/>
    <w:rsid w:val="009B3A84"/>
    <w:rsid w:val="009B422C"/>
    <w:rsid w:val="009B43B3"/>
    <w:rsid w:val="009C33AF"/>
    <w:rsid w:val="009C55C9"/>
    <w:rsid w:val="009C6DF0"/>
    <w:rsid w:val="009D5028"/>
    <w:rsid w:val="009D59D9"/>
    <w:rsid w:val="009D652E"/>
    <w:rsid w:val="009E0551"/>
    <w:rsid w:val="009E0AF8"/>
    <w:rsid w:val="009E0F94"/>
    <w:rsid w:val="00A0083C"/>
    <w:rsid w:val="00A07F42"/>
    <w:rsid w:val="00A10EBF"/>
    <w:rsid w:val="00A11FF5"/>
    <w:rsid w:val="00A148D8"/>
    <w:rsid w:val="00A14CA6"/>
    <w:rsid w:val="00A16315"/>
    <w:rsid w:val="00A3048B"/>
    <w:rsid w:val="00A307EC"/>
    <w:rsid w:val="00A30B3C"/>
    <w:rsid w:val="00A30F75"/>
    <w:rsid w:val="00A406EA"/>
    <w:rsid w:val="00A41DA3"/>
    <w:rsid w:val="00A42B59"/>
    <w:rsid w:val="00A44021"/>
    <w:rsid w:val="00A44D83"/>
    <w:rsid w:val="00A47F19"/>
    <w:rsid w:val="00A55A35"/>
    <w:rsid w:val="00A60996"/>
    <w:rsid w:val="00A63624"/>
    <w:rsid w:val="00A738D2"/>
    <w:rsid w:val="00A77C5F"/>
    <w:rsid w:val="00A80653"/>
    <w:rsid w:val="00A80D3C"/>
    <w:rsid w:val="00A83645"/>
    <w:rsid w:val="00A84813"/>
    <w:rsid w:val="00A87356"/>
    <w:rsid w:val="00A90833"/>
    <w:rsid w:val="00A908B6"/>
    <w:rsid w:val="00A910A6"/>
    <w:rsid w:val="00A95AC7"/>
    <w:rsid w:val="00A96C70"/>
    <w:rsid w:val="00A970C5"/>
    <w:rsid w:val="00AA018F"/>
    <w:rsid w:val="00AB3E61"/>
    <w:rsid w:val="00AB47B6"/>
    <w:rsid w:val="00AB6497"/>
    <w:rsid w:val="00AC1C8D"/>
    <w:rsid w:val="00AD1BF8"/>
    <w:rsid w:val="00AD1E5E"/>
    <w:rsid w:val="00AD1E77"/>
    <w:rsid w:val="00AD489B"/>
    <w:rsid w:val="00AE58A9"/>
    <w:rsid w:val="00AE5D9B"/>
    <w:rsid w:val="00AE6BBC"/>
    <w:rsid w:val="00AE7553"/>
    <w:rsid w:val="00AE7C23"/>
    <w:rsid w:val="00AF0408"/>
    <w:rsid w:val="00AF4B30"/>
    <w:rsid w:val="00AF7183"/>
    <w:rsid w:val="00AF7C84"/>
    <w:rsid w:val="00B00D73"/>
    <w:rsid w:val="00B02D60"/>
    <w:rsid w:val="00B04BD5"/>
    <w:rsid w:val="00B04EFD"/>
    <w:rsid w:val="00B114B5"/>
    <w:rsid w:val="00B11D66"/>
    <w:rsid w:val="00B15189"/>
    <w:rsid w:val="00B1634D"/>
    <w:rsid w:val="00B1638D"/>
    <w:rsid w:val="00B218D4"/>
    <w:rsid w:val="00B21CD1"/>
    <w:rsid w:val="00B2410E"/>
    <w:rsid w:val="00B24609"/>
    <w:rsid w:val="00B255D0"/>
    <w:rsid w:val="00B257FE"/>
    <w:rsid w:val="00B3179B"/>
    <w:rsid w:val="00B40246"/>
    <w:rsid w:val="00B40E8F"/>
    <w:rsid w:val="00B410B7"/>
    <w:rsid w:val="00B434AB"/>
    <w:rsid w:val="00B43AE4"/>
    <w:rsid w:val="00B43F85"/>
    <w:rsid w:val="00B4571C"/>
    <w:rsid w:val="00B46F06"/>
    <w:rsid w:val="00B601C4"/>
    <w:rsid w:val="00B617B2"/>
    <w:rsid w:val="00B65D8C"/>
    <w:rsid w:val="00B6696F"/>
    <w:rsid w:val="00B71EF8"/>
    <w:rsid w:val="00B723BE"/>
    <w:rsid w:val="00B73D87"/>
    <w:rsid w:val="00B7410C"/>
    <w:rsid w:val="00B74290"/>
    <w:rsid w:val="00B75379"/>
    <w:rsid w:val="00B8031B"/>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C1530"/>
    <w:rsid w:val="00BC55DA"/>
    <w:rsid w:val="00BC6620"/>
    <w:rsid w:val="00BC70C9"/>
    <w:rsid w:val="00BD68FE"/>
    <w:rsid w:val="00BE4ED8"/>
    <w:rsid w:val="00BE5EC4"/>
    <w:rsid w:val="00BE712B"/>
    <w:rsid w:val="00BF058E"/>
    <w:rsid w:val="00BF0F85"/>
    <w:rsid w:val="00BF67B9"/>
    <w:rsid w:val="00BF7FE2"/>
    <w:rsid w:val="00C00B7D"/>
    <w:rsid w:val="00C0289A"/>
    <w:rsid w:val="00C02EB5"/>
    <w:rsid w:val="00C05A1C"/>
    <w:rsid w:val="00C1016E"/>
    <w:rsid w:val="00C10675"/>
    <w:rsid w:val="00C11AFA"/>
    <w:rsid w:val="00C170A1"/>
    <w:rsid w:val="00C17F5D"/>
    <w:rsid w:val="00C20F6E"/>
    <w:rsid w:val="00C23DEE"/>
    <w:rsid w:val="00C24087"/>
    <w:rsid w:val="00C27D57"/>
    <w:rsid w:val="00C30DAE"/>
    <w:rsid w:val="00C33479"/>
    <w:rsid w:val="00C338C7"/>
    <w:rsid w:val="00C33943"/>
    <w:rsid w:val="00C359CA"/>
    <w:rsid w:val="00C405B1"/>
    <w:rsid w:val="00C41281"/>
    <w:rsid w:val="00C41339"/>
    <w:rsid w:val="00C421CE"/>
    <w:rsid w:val="00C458D7"/>
    <w:rsid w:val="00C522A3"/>
    <w:rsid w:val="00C54D0A"/>
    <w:rsid w:val="00C60E0D"/>
    <w:rsid w:val="00C635C8"/>
    <w:rsid w:val="00C70170"/>
    <w:rsid w:val="00C71674"/>
    <w:rsid w:val="00C72AD1"/>
    <w:rsid w:val="00C75201"/>
    <w:rsid w:val="00C77532"/>
    <w:rsid w:val="00C827B3"/>
    <w:rsid w:val="00C82CBA"/>
    <w:rsid w:val="00C87131"/>
    <w:rsid w:val="00C878F7"/>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C0DDE"/>
    <w:rsid w:val="00CC0E7B"/>
    <w:rsid w:val="00CC5BD2"/>
    <w:rsid w:val="00CD02A8"/>
    <w:rsid w:val="00CD1627"/>
    <w:rsid w:val="00CD391A"/>
    <w:rsid w:val="00CD7FB1"/>
    <w:rsid w:val="00CE1C84"/>
    <w:rsid w:val="00CE3317"/>
    <w:rsid w:val="00CE676A"/>
    <w:rsid w:val="00CE739E"/>
    <w:rsid w:val="00CF182F"/>
    <w:rsid w:val="00CF1A9B"/>
    <w:rsid w:val="00CF2DD0"/>
    <w:rsid w:val="00CF358E"/>
    <w:rsid w:val="00D01DBB"/>
    <w:rsid w:val="00D03D1F"/>
    <w:rsid w:val="00D0404D"/>
    <w:rsid w:val="00D04236"/>
    <w:rsid w:val="00D12098"/>
    <w:rsid w:val="00D1797A"/>
    <w:rsid w:val="00D25FCD"/>
    <w:rsid w:val="00D316CB"/>
    <w:rsid w:val="00D33086"/>
    <w:rsid w:val="00D336F8"/>
    <w:rsid w:val="00D33AF9"/>
    <w:rsid w:val="00D36A80"/>
    <w:rsid w:val="00D36E64"/>
    <w:rsid w:val="00D370A0"/>
    <w:rsid w:val="00D43921"/>
    <w:rsid w:val="00D44132"/>
    <w:rsid w:val="00D47DAB"/>
    <w:rsid w:val="00D5115F"/>
    <w:rsid w:val="00D61502"/>
    <w:rsid w:val="00D62324"/>
    <w:rsid w:val="00D7084C"/>
    <w:rsid w:val="00D70D38"/>
    <w:rsid w:val="00D7184F"/>
    <w:rsid w:val="00D72DD8"/>
    <w:rsid w:val="00D742D3"/>
    <w:rsid w:val="00D7489A"/>
    <w:rsid w:val="00D75664"/>
    <w:rsid w:val="00D81928"/>
    <w:rsid w:val="00D81B79"/>
    <w:rsid w:val="00D82C7B"/>
    <w:rsid w:val="00D85512"/>
    <w:rsid w:val="00D8667C"/>
    <w:rsid w:val="00D86AB9"/>
    <w:rsid w:val="00D90C07"/>
    <w:rsid w:val="00D926A5"/>
    <w:rsid w:val="00D928A5"/>
    <w:rsid w:val="00D92BA9"/>
    <w:rsid w:val="00D94794"/>
    <w:rsid w:val="00D94A3B"/>
    <w:rsid w:val="00DA0FB1"/>
    <w:rsid w:val="00DA62A1"/>
    <w:rsid w:val="00DA7A99"/>
    <w:rsid w:val="00DB20E9"/>
    <w:rsid w:val="00DB4A36"/>
    <w:rsid w:val="00DB4A4C"/>
    <w:rsid w:val="00DB4AD1"/>
    <w:rsid w:val="00DB6B17"/>
    <w:rsid w:val="00DC3431"/>
    <w:rsid w:val="00DD3C49"/>
    <w:rsid w:val="00DE2AFC"/>
    <w:rsid w:val="00DE3AAE"/>
    <w:rsid w:val="00DE42CF"/>
    <w:rsid w:val="00DE4AD3"/>
    <w:rsid w:val="00DE633B"/>
    <w:rsid w:val="00DF0E99"/>
    <w:rsid w:val="00DF2079"/>
    <w:rsid w:val="00E01464"/>
    <w:rsid w:val="00E024EC"/>
    <w:rsid w:val="00E02DCF"/>
    <w:rsid w:val="00E038E9"/>
    <w:rsid w:val="00E07BA3"/>
    <w:rsid w:val="00E12B59"/>
    <w:rsid w:val="00E15CC7"/>
    <w:rsid w:val="00E17B80"/>
    <w:rsid w:val="00E245B7"/>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7A32"/>
    <w:rsid w:val="00EF1FC0"/>
    <w:rsid w:val="00EF5763"/>
    <w:rsid w:val="00EF57C4"/>
    <w:rsid w:val="00F060F0"/>
    <w:rsid w:val="00F13DD8"/>
    <w:rsid w:val="00F13ECC"/>
    <w:rsid w:val="00F16A29"/>
    <w:rsid w:val="00F21C74"/>
    <w:rsid w:val="00F24A9C"/>
    <w:rsid w:val="00F25602"/>
    <w:rsid w:val="00F26119"/>
    <w:rsid w:val="00F32ED9"/>
    <w:rsid w:val="00F347E0"/>
    <w:rsid w:val="00F40510"/>
    <w:rsid w:val="00F408F3"/>
    <w:rsid w:val="00F46B0E"/>
    <w:rsid w:val="00F54ACB"/>
    <w:rsid w:val="00F5637D"/>
    <w:rsid w:val="00F61CBA"/>
    <w:rsid w:val="00F70169"/>
    <w:rsid w:val="00F75E4C"/>
    <w:rsid w:val="00F76DC0"/>
    <w:rsid w:val="00F778D4"/>
    <w:rsid w:val="00F802EF"/>
    <w:rsid w:val="00F814C5"/>
    <w:rsid w:val="00F839B3"/>
    <w:rsid w:val="00F92721"/>
    <w:rsid w:val="00F932A4"/>
    <w:rsid w:val="00F9769F"/>
    <w:rsid w:val="00FA6A74"/>
    <w:rsid w:val="00FA6E93"/>
    <w:rsid w:val="00FA7613"/>
    <w:rsid w:val="00FB1DF9"/>
    <w:rsid w:val="00FB6E97"/>
    <w:rsid w:val="00FC1FCE"/>
    <w:rsid w:val="00FC2674"/>
    <w:rsid w:val="00FC73BB"/>
    <w:rsid w:val="00FD059B"/>
    <w:rsid w:val="00FD4D0C"/>
    <w:rsid w:val="00FD5AD8"/>
    <w:rsid w:val="00FD6F32"/>
    <w:rsid w:val="00FD7BA7"/>
    <w:rsid w:val="00FE3007"/>
    <w:rsid w:val="00FE4BD6"/>
    <w:rsid w:val="00FE6531"/>
    <w:rsid w:val="00FF277C"/>
    <w:rsid w:val="00FF32F8"/>
    <w:rsid w:val="00FF43DB"/>
    <w:rsid w:val="00FF6FD0"/>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C6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F271-8A93-4504-8600-27163BAE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CWPJAC November 2020 Agenda Item 02 - Career Technical Education (CA Dept of Education)</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2020 Agenda Item 02 - General Information (CA Dept of Education)</dc:title>
  <dc:subject>California Worforce Pathways Joint Advisory Committee (CWPJAC) Career Technical Education (CTE) Initiatives: Update on CTE Incentive Grant and K-12 Strong Workforce Program and Data Metrics.</dc:subject>
  <dc:creator/>
  <cp:keywords/>
  <dc:description/>
  <cp:lastModifiedBy/>
  <cp:revision>1</cp:revision>
  <dcterms:created xsi:type="dcterms:W3CDTF">2024-04-10T17:15:00Z</dcterms:created>
  <dcterms:modified xsi:type="dcterms:W3CDTF">2024-04-10T17:21:00Z</dcterms:modified>
</cp:coreProperties>
</file>