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C8CE50" w14:textId="129FAC88" w:rsidR="00CB3DB8" w:rsidRDefault="00CB3DB8" w:rsidP="00CB3DB8">
      <w:pPr>
        <w:spacing w:after="480"/>
        <w:rPr>
          <w:b/>
        </w:rPr>
      </w:pPr>
      <w:bookmarkStart w:id="0" w:name="_GoBack"/>
      <w:bookmarkEnd w:id="0"/>
      <w:r w:rsidRPr="002A6FD2">
        <w:rPr>
          <w:rFonts w:cs="Arial"/>
          <w:b/>
        </w:rPr>
        <w:t>California Department of Education</w:t>
      </w:r>
    </w:p>
    <w:p w14:paraId="57F8BCB6" w14:textId="77777777" w:rsidR="00057A96" w:rsidRPr="00CB3DB8" w:rsidRDefault="00005FFA" w:rsidP="00CB3DB8">
      <w:pPr>
        <w:spacing w:after="480"/>
        <w:rPr>
          <w:b/>
        </w:rPr>
      </w:pPr>
      <w:r w:rsidRPr="00CB3DB8">
        <w:rPr>
          <w:b/>
        </w:rPr>
        <w:t>ITEM ADDENDUM</w:t>
      </w:r>
    </w:p>
    <w:p w14:paraId="7C6C7BEA" w14:textId="409B191B" w:rsidR="00057A96" w:rsidRPr="00005FFA" w:rsidRDefault="00005FFA" w:rsidP="00005FFA">
      <w:pPr>
        <w:spacing w:after="360"/>
        <w:ind w:left="1440" w:hanging="1440"/>
      </w:pPr>
      <w:r w:rsidRPr="00005FFA">
        <w:rPr>
          <w:b/>
        </w:rPr>
        <w:t>DATE:</w:t>
      </w:r>
      <w:r>
        <w:tab/>
      </w:r>
      <w:r w:rsidR="00B5379A">
        <w:t xml:space="preserve">November </w:t>
      </w:r>
      <w:r w:rsidR="005128EB">
        <w:t>19, 20</w:t>
      </w:r>
      <w:r w:rsidR="00B5379A">
        <w:t>19</w:t>
      </w:r>
    </w:p>
    <w:p w14:paraId="68DAAC21" w14:textId="100CDE55" w:rsidR="00057A96" w:rsidRPr="00005FFA" w:rsidRDefault="00005FFA" w:rsidP="00005FFA">
      <w:pPr>
        <w:spacing w:after="360"/>
        <w:ind w:left="1440" w:hanging="1440"/>
      </w:pPr>
      <w:r>
        <w:rPr>
          <w:b/>
        </w:rPr>
        <w:t>TO:</w:t>
      </w:r>
      <w:r>
        <w:rPr>
          <w:b/>
        </w:rPr>
        <w:tab/>
      </w:r>
      <w:r w:rsidR="00057A96" w:rsidRPr="00005FFA">
        <w:t xml:space="preserve">MEMBERS, </w:t>
      </w:r>
      <w:r w:rsidR="00B5379A">
        <w:t>California Workforce Pathways Joint Advisory Committee</w:t>
      </w:r>
    </w:p>
    <w:p w14:paraId="280A4C06" w14:textId="54A7E24B" w:rsidR="00057A96" w:rsidRPr="00005FFA" w:rsidRDefault="00057A96" w:rsidP="00005FFA">
      <w:pPr>
        <w:spacing w:after="360"/>
        <w:ind w:left="1440" w:hanging="1440"/>
      </w:pPr>
      <w:r w:rsidRPr="00005FFA">
        <w:rPr>
          <w:b/>
        </w:rPr>
        <w:t>FROM:</w:t>
      </w:r>
      <w:r w:rsidRPr="00005FFA">
        <w:rPr>
          <w:b/>
        </w:rPr>
        <w:tab/>
      </w:r>
      <w:r w:rsidR="00B5379A">
        <w:t>Pradeep Kotamraju</w:t>
      </w:r>
      <w:r w:rsidRPr="00005FFA">
        <w:t xml:space="preserve">, </w:t>
      </w:r>
      <w:r w:rsidR="00B5379A">
        <w:t>Division Director, Career and Co</w:t>
      </w:r>
      <w:r w:rsidR="005128EB">
        <w:t>llege Transition Division</w:t>
      </w:r>
      <w:r w:rsidR="00B5379A">
        <w:t>, Cal</w:t>
      </w:r>
      <w:r w:rsidR="005128EB">
        <w:t>ifornia Department of Education</w:t>
      </w:r>
    </w:p>
    <w:p w14:paraId="2E135A72" w14:textId="10C7B8FE" w:rsidR="00057A96" w:rsidRPr="00CB3DB8" w:rsidRDefault="00057A96" w:rsidP="00CB3DB8">
      <w:pPr>
        <w:pStyle w:val="Heading1"/>
        <w:rPr>
          <w:rFonts w:ascii="Arial" w:hAnsi="Arial" w:cs="Arial"/>
          <w:sz w:val="24"/>
          <w:szCs w:val="24"/>
        </w:rPr>
      </w:pPr>
      <w:r w:rsidRPr="00CB3DB8">
        <w:rPr>
          <w:rFonts w:ascii="Arial" w:hAnsi="Arial" w:cs="Arial"/>
          <w:b/>
          <w:color w:val="auto"/>
          <w:sz w:val="24"/>
          <w:szCs w:val="24"/>
        </w:rPr>
        <w:t>SUBJECT:</w:t>
      </w:r>
      <w:r w:rsidRPr="00CB3DB8">
        <w:rPr>
          <w:rFonts w:ascii="Arial" w:hAnsi="Arial" w:cs="Arial"/>
          <w:b/>
          <w:color w:val="auto"/>
          <w:sz w:val="24"/>
          <w:szCs w:val="24"/>
        </w:rPr>
        <w:tab/>
      </w:r>
      <w:r w:rsidRPr="00CB3DB8">
        <w:rPr>
          <w:rFonts w:ascii="Arial" w:hAnsi="Arial" w:cs="Arial"/>
          <w:color w:val="auto"/>
          <w:sz w:val="24"/>
          <w:szCs w:val="24"/>
        </w:rPr>
        <w:t xml:space="preserve">Item </w:t>
      </w:r>
      <w:r w:rsidR="00B5379A" w:rsidRPr="00CB3DB8">
        <w:rPr>
          <w:rFonts w:ascii="Arial" w:hAnsi="Arial" w:cs="Arial"/>
          <w:color w:val="auto"/>
          <w:sz w:val="24"/>
          <w:szCs w:val="24"/>
        </w:rPr>
        <w:t>1</w:t>
      </w:r>
      <w:r w:rsidRPr="00CB3DB8">
        <w:rPr>
          <w:rFonts w:ascii="Arial" w:hAnsi="Arial" w:cs="Arial"/>
          <w:color w:val="auto"/>
          <w:sz w:val="24"/>
          <w:szCs w:val="24"/>
        </w:rPr>
        <w:t xml:space="preserve"> – </w:t>
      </w:r>
      <w:r w:rsidR="007873B2" w:rsidRPr="00CB3DB8">
        <w:rPr>
          <w:rFonts w:ascii="Arial" w:hAnsi="Arial" w:cs="Arial"/>
          <w:color w:val="auto"/>
          <w:sz w:val="24"/>
          <w:szCs w:val="24"/>
          <w:lang w:val="en"/>
        </w:rPr>
        <w:t xml:space="preserve">Update on the Development of the </w:t>
      </w:r>
      <w:r w:rsidR="005128EB" w:rsidRPr="00CB3DB8">
        <w:rPr>
          <w:rFonts w:ascii="Arial" w:hAnsi="Arial" w:cs="Arial"/>
          <w:color w:val="auto"/>
          <w:sz w:val="24"/>
          <w:szCs w:val="24"/>
          <w:lang w:val="en"/>
        </w:rPr>
        <w:t xml:space="preserve">draft </w:t>
      </w:r>
      <w:r w:rsidR="007873B2" w:rsidRPr="00CB3DB8">
        <w:rPr>
          <w:rFonts w:ascii="Arial" w:hAnsi="Arial" w:cs="Arial"/>
          <w:color w:val="auto"/>
          <w:sz w:val="24"/>
          <w:szCs w:val="24"/>
          <w:lang w:val="en"/>
        </w:rPr>
        <w:t xml:space="preserve">California </w:t>
      </w:r>
      <w:r w:rsidR="00B5379A" w:rsidRPr="00CB3DB8">
        <w:rPr>
          <w:rFonts w:ascii="Arial" w:hAnsi="Arial" w:cs="Arial"/>
          <w:color w:val="auto"/>
          <w:sz w:val="24"/>
          <w:szCs w:val="24"/>
          <w:lang w:val="en"/>
        </w:rPr>
        <w:t>Perkins V State Plan</w:t>
      </w:r>
      <w:r w:rsidR="005128EB" w:rsidRPr="00CB3DB8">
        <w:rPr>
          <w:rFonts w:ascii="Arial" w:hAnsi="Arial" w:cs="Arial"/>
          <w:color w:val="auto"/>
          <w:sz w:val="24"/>
          <w:szCs w:val="24"/>
          <w:lang w:val="en"/>
        </w:rPr>
        <w:t>.</w:t>
      </w:r>
    </w:p>
    <w:p w14:paraId="3781A034" w14:textId="77777777" w:rsidR="007873B2" w:rsidRPr="00764702" w:rsidRDefault="00005FFA" w:rsidP="00CB3DB8">
      <w:pPr>
        <w:pStyle w:val="Heading2"/>
        <w:spacing w:before="360" w:line="360" w:lineRule="auto"/>
        <w:rPr>
          <w:sz w:val="36"/>
        </w:rPr>
      </w:pPr>
      <w:r w:rsidRPr="00764702">
        <w:rPr>
          <w:sz w:val="36"/>
        </w:rPr>
        <w:t>Summary o</w:t>
      </w:r>
      <w:r w:rsidR="00057A96" w:rsidRPr="00764702">
        <w:rPr>
          <w:sz w:val="36"/>
        </w:rPr>
        <w:t>f Key Issues</w:t>
      </w:r>
    </w:p>
    <w:p w14:paraId="726D1D6B" w14:textId="074F2F97" w:rsidR="00764702" w:rsidRPr="00593B30" w:rsidRDefault="007873B2" w:rsidP="00C45636">
      <w:pPr>
        <w:spacing w:after="240"/>
      </w:pPr>
      <w:r w:rsidRPr="00593B30">
        <w:t xml:space="preserve">This Item Addendum provides proposed </w:t>
      </w:r>
      <w:r w:rsidR="001D739F" w:rsidRPr="00593B30">
        <w:t xml:space="preserve">revised </w:t>
      </w:r>
      <w:r w:rsidRPr="00593B30">
        <w:t xml:space="preserve">language </w:t>
      </w:r>
      <w:r w:rsidR="001D739F" w:rsidRPr="00593B30">
        <w:t xml:space="preserve">for </w:t>
      </w:r>
      <w:r w:rsidRPr="00593B30">
        <w:t xml:space="preserve">the </w:t>
      </w:r>
      <w:r w:rsidR="00B5379A">
        <w:t>Strengthening Career and Technical Education for the 21</w:t>
      </w:r>
      <w:r w:rsidR="00B5379A" w:rsidRPr="0024777F">
        <w:rPr>
          <w:vertAlign w:val="superscript"/>
        </w:rPr>
        <w:t>st</w:t>
      </w:r>
      <w:r w:rsidR="00B5379A">
        <w:t xml:space="preserve"> Century Act (</w:t>
      </w:r>
      <w:r w:rsidR="00B5379A" w:rsidRPr="00AD2B44">
        <w:t>Perkins V</w:t>
      </w:r>
      <w:r w:rsidR="00B5379A">
        <w:t>)</w:t>
      </w:r>
      <w:r w:rsidR="00B5379A" w:rsidRPr="00AD2B44">
        <w:t xml:space="preserve"> </w:t>
      </w:r>
      <w:r w:rsidRPr="00593B30">
        <w:t>State Plan t</w:t>
      </w:r>
      <w:r w:rsidR="00B5379A">
        <w:t>hat the California Workforce Pathways Joint Advisory Committee (CWPJAC)</w:t>
      </w:r>
      <w:r w:rsidRPr="00593B30">
        <w:t xml:space="preserve"> will conside</w:t>
      </w:r>
      <w:r w:rsidR="00B5379A">
        <w:t>r for approval at the November</w:t>
      </w:r>
      <w:r w:rsidR="005128EB">
        <w:t xml:space="preserve"> 25,</w:t>
      </w:r>
      <w:r w:rsidR="00B5379A">
        <w:t xml:space="preserve"> 2019</w:t>
      </w:r>
      <w:r w:rsidRPr="00593B30">
        <w:t xml:space="preserve"> meeting.</w:t>
      </w:r>
    </w:p>
    <w:p w14:paraId="5DFB72AE" w14:textId="1E8EC2D8" w:rsidR="00764702" w:rsidRDefault="00764702" w:rsidP="00764702">
      <w:r w:rsidRPr="00593B30">
        <w:t xml:space="preserve">Due to </w:t>
      </w:r>
      <w:r w:rsidR="00B25A2D">
        <w:t>the timing of posting this Item Addendum</w:t>
      </w:r>
      <w:r w:rsidR="005128EB">
        <w:t>,</w:t>
      </w:r>
      <w:r w:rsidR="00B25A2D">
        <w:t xml:space="preserve"> the week of the </w:t>
      </w:r>
      <w:r w:rsidR="00B5379A">
        <w:t>CWPJAC</w:t>
      </w:r>
      <w:r w:rsidR="00B25A2D">
        <w:t xml:space="preserve"> meeting</w:t>
      </w:r>
      <w:r w:rsidR="00B5379A">
        <w:t>, the CDE</w:t>
      </w:r>
      <w:r w:rsidRPr="00593B30">
        <w:t xml:space="preserve"> </w:t>
      </w:r>
      <w:r w:rsidR="00B25A2D">
        <w:t>will modify the recommendation included in the Item. Specifically, the CDE</w:t>
      </w:r>
      <w:r w:rsidR="00BF210C">
        <w:t xml:space="preserve"> will</w:t>
      </w:r>
      <w:r w:rsidR="00B25A2D">
        <w:t xml:space="preserve"> </w:t>
      </w:r>
      <w:r w:rsidRPr="00593B30">
        <w:t xml:space="preserve">recommend that the </w:t>
      </w:r>
      <w:r w:rsidR="00B5379A">
        <w:t>CWPJAC</w:t>
      </w:r>
      <w:r w:rsidRPr="00593B30">
        <w:t xml:space="preserve"> </w:t>
      </w:r>
      <w:r w:rsidR="005128EB">
        <w:t>approve including this language into the Perkins V State Plan before it is opened for public comment.</w:t>
      </w:r>
    </w:p>
    <w:p w14:paraId="346A6A33" w14:textId="77777777" w:rsidR="009753B3" w:rsidRPr="005128EB" w:rsidRDefault="0027114A" w:rsidP="005128EB">
      <w:pPr>
        <w:pStyle w:val="Heading2"/>
        <w:spacing w:before="240" w:line="360" w:lineRule="auto"/>
        <w:rPr>
          <w:sz w:val="36"/>
        </w:rPr>
      </w:pPr>
      <w:r w:rsidRPr="005128EB">
        <w:rPr>
          <w:sz w:val="36"/>
        </w:rPr>
        <w:t>Overview</w:t>
      </w:r>
      <w:r w:rsidR="00FC42BA" w:rsidRPr="005128EB">
        <w:rPr>
          <w:sz w:val="36"/>
        </w:rPr>
        <w:t xml:space="preserve"> of </w:t>
      </w:r>
      <w:r w:rsidRPr="005128EB">
        <w:rPr>
          <w:sz w:val="36"/>
        </w:rPr>
        <w:t>Items</w:t>
      </w:r>
    </w:p>
    <w:p w14:paraId="1BD2C9CA" w14:textId="2081BF8B" w:rsidR="00FC42BA" w:rsidRDefault="00477222" w:rsidP="00152E32">
      <w:pPr>
        <w:spacing w:after="240"/>
        <w:rPr>
          <w:rFonts w:cs="Arial"/>
        </w:rPr>
      </w:pPr>
      <w:r>
        <w:rPr>
          <w:rFonts w:cs="Arial"/>
        </w:rPr>
        <w:t xml:space="preserve">The </w:t>
      </w:r>
      <w:r w:rsidR="000125CF">
        <w:rPr>
          <w:rFonts w:cs="Arial"/>
        </w:rPr>
        <w:t>CDE</w:t>
      </w:r>
      <w:r>
        <w:rPr>
          <w:rFonts w:cs="Arial"/>
        </w:rPr>
        <w:t xml:space="preserve"> </w:t>
      </w:r>
      <w:r w:rsidR="005128EB">
        <w:rPr>
          <w:rFonts w:cs="Arial"/>
        </w:rPr>
        <w:t>proposes the following revisions to the draft California Perkins V State Plan.</w:t>
      </w:r>
    </w:p>
    <w:p w14:paraId="50F266CB" w14:textId="1EDD18C6" w:rsidR="00B5379A" w:rsidRPr="005128EB" w:rsidRDefault="00B5379A" w:rsidP="005128EB">
      <w:pPr>
        <w:pStyle w:val="Heading3"/>
        <w:spacing w:before="240" w:after="240"/>
        <w:rPr>
          <w:rFonts w:ascii="Arial" w:hAnsi="Arial" w:cs="Arial"/>
          <w:b/>
          <w:color w:val="auto"/>
          <w:sz w:val="28"/>
        </w:rPr>
      </w:pPr>
      <w:r w:rsidRPr="005128EB">
        <w:rPr>
          <w:rFonts w:ascii="Arial" w:hAnsi="Arial" w:cs="Arial"/>
          <w:b/>
          <w:color w:val="auto"/>
          <w:sz w:val="28"/>
        </w:rPr>
        <w:t>Replacement of current language</w:t>
      </w:r>
    </w:p>
    <w:p w14:paraId="7E5E5827" w14:textId="77777777" w:rsidR="00B5379A" w:rsidRPr="00AD2B44" w:rsidRDefault="00B5379A" w:rsidP="00B5379A">
      <w:pPr>
        <w:spacing w:after="240"/>
        <w:rPr>
          <w:b/>
        </w:rPr>
      </w:pPr>
      <w:r w:rsidRPr="00AD2B44">
        <w:rPr>
          <w:b/>
        </w:rPr>
        <w:t>Current language</w:t>
      </w:r>
      <w:r>
        <w:rPr>
          <w:b/>
        </w:rPr>
        <w:t xml:space="preserve"> </w:t>
      </w:r>
      <w:r w:rsidRPr="00EB2DB7">
        <w:rPr>
          <w:b/>
        </w:rPr>
        <w:t xml:space="preserve">on page </w:t>
      </w:r>
      <w:r>
        <w:rPr>
          <w:b/>
        </w:rPr>
        <w:t>148–149</w:t>
      </w:r>
      <w:r w:rsidRPr="00EB2DB7">
        <w:rPr>
          <w:b/>
        </w:rPr>
        <w:t xml:space="preserve"> (Attachment 1), or page 104 (Attachment 2):</w:t>
      </w:r>
    </w:p>
    <w:p w14:paraId="0468CB47" w14:textId="77777777" w:rsidR="00B5379A" w:rsidRDefault="00B5379A" w:rsidP="00B5379A">
      <w:pPr>
        <w:spacing w:after="240"/>
      </w:pPr>
      <w:r>
        <w:t>“</w:t>
      </w:r>
      <w:r w:rsidRPr="00AD2B44">
        <w:t xml:space="preserve">Program monitoring visits and scheduled program reviews are used by the </w:t>
      </w:r>
      <w:r>
        <w:t xml:space="preserve">California Department of Education (CDE) </w:t>
      </w:r>
      <w:r w:rsidRPr="00AD2B44">
        <w:t xml:space="preserve">and the </w:t>
      </w:r>
      <w:r>
        <w:t>California Community Colleges Chancellor’s Office (</w:t>
      </w:r>
      <w:r w:rsidRPr="00AD2B44">
        <w:t>CCCCO</w:t>
      </w:r>
      <w:r>
        <w:t>)</w:t>
      </w:r>
      <w:r w:rsidRPr="00AD2B44">
        <w:t xml:space="preserve"> to determine eligible recipients’ compliance with all </w:t>
      </w:r>
      <w:r>
        <w:t>Strengthening Career and technical Education for the 21</w:t>
      </w:r>
      <w:r w:rsidRPr="0024777F">
        <w:rPr>
          <w:vertAlign w:val="superscript"/>
        </w:rPr>
        <w:t>st</w:t>
      </w:r>
      <w:r>
        <w:t xml:space="preserve"> Century Act (</w:t>
      </w:r>
      <w:r w:rsidRPr="00AD2B44">
        <w:t>Perkins V</w:t>
      </w:r>
      <w:r>
        <w:t>)</w:t>
      </w:r>
      <w:r w:rsidRPr="00AD2B44">
        <w:t xml:space="preserve"> Section 135 requirements, including offering </w:t>
      </w:r>
      <w:r>
        <w:t>programs of study (</w:t>
      </w:r>
      <w:r w:rsidRPr="00AD2B44">
        <w:t>POS</w:t>
      </w:r>
      <w:r>
        <w:t>)</w:t>
      </w:r>
      <w:r w:rsidRPr="00AD2B44">
        <w:t xml:space="preserve"> that are of sufficient size, scope, and quality to move the needle, as reported by the state-determined performance levels.</w:t>
      </w:r>
      <w:r>
        <w:t>”</w:t>
      </w:r>
    </w:p>
    <w:p w14:paraId="434B270E" w14:textId="77777777" w:rsidR="00B5379A" w:rsidRPr="00EB2DB7" w:rsidRDefault="00B5379A" w:rsidP="00B5379A">
      <w:pPr>
        <w:spacing w:before="240" w:after="240"/>
        <w:rPr>
          <w:b/>
        </w:rPr>
      </w:pPr>
      <w:r w:rsidRPr="00EB2DB7">
        <w:rPr>
          <w:b/>
        </w:rPr>
        <w:t>Replace with:</w:t>
      </w:r>
    </w:p>
    <w:p w14:paraId="352609C5" w14:textId="77777777" w:rsidR="00B5379A" w:rsidRPr="00AD2B44" w:rsidRDefault="00B5379A" w:rsidP="00B5379A">
      <w:pPr>
        <w:spacing w:after="240"/>
      </w:pPr>
      <w:r>
        <w:lastRenderedPageBreak/>
        <w:t>“</w:t>
      </w:r>
      <w:r w:rsidRPr="00AD2B44">
        <w:t>Program monitoring visits and scheduled program reviews are used by the CDE and the CCCCO to determine eligible recipients’ compliance with all Perkins V Section 135 requirements, including offering programs of sufficient size, scope, and quality to be effective.</w:t>
      </w:r>
      <w:r>
        <w:t>”</w:t>
      </w:r>
    </w:p>
    <w:p w14:paraId="0F51A190" w14:textId="0F214E79" w:rsidR="00B5379A" w:rsidRPr="00AD2B44" w:rsidRDefault="00B5379A" w:rsidP="00B5379A">
      <w:pPr>
        <w:spacing w:after="240"/>
      </w:pPr>
      <w:r w:rsidRPr="00AD2B44">
        <w:t xml:space="preserve">Federal Program Monitoring (FPM) for Perkins </w:t>
      </w:r>
      <w:r>
        <w:t xml:space="preserve">V </w:t>
      </w:r>
      <w:r w:rsidRPr="00AD2B44">
        <w:t xml:space="preserve">is done in concurrence with other federally monitored programs. The CDE has an FPM </w:t>
      </w:r>
      <w:r>
        <w:t>O</w:t>
      </w:r>
      <w:r w:rsidRPr="00AD2B44">
        <w:t xml:space="preserve">ffice which works with all other federal program offices to ensure that FPMs are being done on a consistent and compliant basis. The </w:t>
      </w:r>
      <w:r>
        <w:t>Career Technical Education (</w:t>
      </w:r>
      <w:r w:rsidRPr="00AD2B44">
        <w:t>CTE</w:t>
      </w:r>
      <w:r>
        <w:t>)</w:t>
      </w:r>
      <w:r w:rsidRPr="00AD2B44">
        <w:t xml:space="preserve"> Leadership Office (CTELO)</w:t>
      </w:r>
      <w:r>
        <w:t>,</w:t>
      </w:r>
      <w:r w:rsidRPr="00AD2B44">
        <w:t xml:space="preserve"> within </w:t>
      </w:r>
      <w:r>
        <w:t xml:space="preserve">the </w:t>
      </w:r>
      <w:r w:rsidR="005128EB">
        <w:t>Career and College Transition Division (</w:t>
      </w:r>
      <w:r w:rsidRPr="00AD2B44">
        <w:t>CCTD</w:t>
      </w:r>
      <w:r w:rsidR="005128EB">
        <w:t>)</w:t>
      </w:r>
      <w:r>
        <w:t>,</w:t>
      </w:r>
      <w:r w:rsidRPr="00AD2B44">
        <w:t xml:space="preserve"> specifically works with the FPM office wit</w:t>
      </w:r>
      <w:r>
        <w:t>h regard to Perkins V monitoring.</w:t>
      </w:r>
    </w:p>
    <w:p w14:paraId="49AFC05E" w14:textId="77777777" w:rsidR="00B5379A" w:rsidRPr="00AD2B44" w:rsidRDefault="00B5379A" w:rsidP="00B5379A">
      <w:pPr>
        <w:spacing w:after="240"/>
      </w:pPr>
      <w:r>
        <w:t xml:space="preserve">The </w:t>
      </w:r>
      <w:r w:rsidRPr="00AD2B44">
        <w:t xml:space="preserve">FPM Office divides all </w:t>
      </w:r>
      <w:r>
        <w:t>local educational agencies (</w:t>
      </w:r>
      <w:r w:rsidRPr="00AD2B44">
        <w:t>LEAs</w:t>
      </w:r>
      <w:r>
        <w:t>)</w:t>
      </w:r>
      <w:r w:rsidRPr="00AD2B44">
        <w:t xml:space="preserve"> into one of four cohorts: A, B, C, and D. Each year one cohort is used to select on-site reviews, and another is used to select online reviews. The cohorts </w:t>
      </w:r>
      <w:r>
        <w:t>that are</w:t>
      </w:r>
      <w:r w:rsidRPr="00AD2B44">
        <w:t xml:space="preserve"> chosen cycle in turn from year to year. LEAs are selected by the CTELO administrator based on a variety of risk factors, including size of the program, performance on state assessments, rates of poverty and high needs students, unspent funds, late spend</w:t>
      </w:r>
      <w:r>
        <w:t>ing</w:t>
      </w:r>
      <w:r w:rsidRPr="00AD2B44">
        <w:t xml:space="preserve">, findings in past FPMs, and time since </w:t>
      </w:r>
      <w:r>
        <w:t xml:space="preserve">their </w:t>
      </w:r>
      <w:r w:rsidRPr="00AD2B44">
        <w:t>last FPM.</w:t>
      </w:r>
    </w:p>
    <w:p w14:paraId="7673B2AF" w14:textId="77777777" w:rsidR="00B5379A" w:rsidRPr="00AD2B44" w:rsidRDefault="00B5379A" w:rsidP="00B5379A">
      <w:pPr>
        <w:spacing w:after="240"/>
      </w:pPr>
      <w:r w:rsidRPr="00AD2B44">
        <w:t xml:space="preserve">The FPM Office notifies LEAs of their selection for FPM and coordinates an annual training for all selected FPMs to help them prepare for their review. In addition, CTELO </w:t>
      </w:r>
      <w:r>
        <w:t>c</w:t>
      </w:r>
      <w:r w:rsidRPr="00AD2B44">
        <w:t>onsultants contact LEAs and begin to work with them to prepare for the visit including a review of the</w:t>
      </w:r>
      <w:r>
        <w:t>ir</w:t>
      </w:r>
      <w:r w:rsidRPr="00AD2B44">
        <w:t xml:space="preserve"> local application plan as evidence in preparation for the on-site visit by </w:t>
      </w:r>
      <w:r>
        <w:t>a</w:t>
      </w:r>
      <w:r w:rsidRPr="00AD2B44">
        <w:t xml:space="preserve"> CTELO </w:t>
      </w:r>
      <w:r>
        <w:t>c</w:t>
      </w:r>
      <w:r w:rsidRPr="00AD2B44">
        <w:t>onsultant. An FPM</w:t>
      </w:r>
      <w:r>
        <w:t xml:space="preserve"> visit</w:t>
      </w:r>
      <w:r w:rsidRPr="00AD2B44">
        <w:t xml:space="preserve"> is typically a </w:t>
      </w:r>
      <w:r>
        <w:t>week long, with the first day as an</w:t>
      </w:r>
      <w:r w:rsidRPr="00AD2B44">
        <w:t xml:space="preserve"> overview of strength and weakness garnered thus far from the online review of evidence and a preview of the upcoming site visitations. The CTELO </w:t>
      </w:r>
      <w:r>
        <w:t>c</w:t>
      </w:r>
      <w:r w:rsidRPr="00AD2B44">
        <w:t xml:space="preserve">onsultant </w:t>
      </w:r>
      <w:r>
        <w:t xml:space="preserve">will </w:t>
      </w:r>
      <w:r w:rsidRPr="00AD2B44">
        <w:t>then visit one or two sites per day in order to further investigate and communicate those strengths and weaknesses, the difference between minimum requirements</w:t>
      </w:r>
      <w:r>
        <w:t>,</w:t>
      </w:r>
      <w:r w:rsidRPr="00AD2B44">
        <w:t xml:space="preserve"> best practices, and possible findings. The last day is spent reviewing and clarifying actual findings</w:t>
      </w:r>
      <w:r>
        <w:t>,</w:t>
      </w:r>
      <w:r w:rsidRPr="00AD2B44">
        <w:t xml:space="preserve"> and the timeline for resolution</w:t>
      </w:r>
      <w:r>
        <w:t>s</w:t>
      </w:r>
      <w:r w:rsidRPr="00AD2B44">
        <w:t>. While it is anticipated the</w:t>
      </w:r>
      <w:r>
        <w:t xml:space="preserve"> </w:t>
      </w:r>
      <w:r w:rsidRPr="00AD2B44">
        <w:t>FPM</w:t>
      </w:r>
      <w:r>
        <w:t>s</w:t>
      </w:r>
      <w:r w:rsidRPr="00AD2B44">
        <w:t xml:space="preserve"> will not markedly change under Perkins V, CTELO consultants will have to include the </w:t>
      </w:r>
      <w:r>
        <w:t>comprehensive local needs assessment (</w:t>
      </w:r>
      <w:r w:rsidRPr="00AD2B44">
        <w:t>CLNA</w:t>
      </w:r>
      <w:r>
        <w:t>)</w:t>
      </w:r>
      <w:r w:rsidRPr="00AD2B44">
        <w:t>, and how it feeds into the local application plan as part of their federal monitoring review process.</w:t>
      </w:r>
    </w:p>
    <w:p w14:paraId="4F9AC9ED" w14:textId="77777777" w:rsidR="00B5379A" w:rsidRPr="005128EB" w:rsidRDefault="00B5379A" w:rsidP="005128EB">
      <w:pPr>
        <w:pStyle w:val="Heading3"/>
        <w:spacing w:before="240" w:after="240"/>
        <w:rPr>
          <w:rFonts w:ascii="Arial" w:hAnsi="Arial" w:cs="Arial"/>
          <w:b/>
          <w:color w:val="auto"/>
          <w:sz w:val="28"/>
        </w:rPr>
      </w:pPr>
      <w:r w:rsidRPr="005128EB">
        <w:rPr>
          <w:rFonts w:ascii="Arial" w:hAnsi="Arial" w:cs="Arial"/>
          <w:b/>
          <w:color w:val="auto"/>
          <w:sz w:val="28"/>
        </w:rPr>
        <w:t>Inclusion of Additional Language</w:t>
      </w:r>
    </w:p>
    <w:p w14:paraId="004167BC" w14:textId="77777777" w:rsidR="00B5379A" w:rsidRPr="00AD2B44" w:rsidRDefault="00B5379A" w:rsidP="00B5379A">
      <w:pPr>
        <w:spacing w:after="240"/>
        <w:rPr>
          <w:b/>
        </w:rPr>
      </w:pPr>
      <w:r>
        <w:rPr>
          <w:b/>
        </w:rPr>
        <w:t xml:space="preserve">Insert the </w:t>
      </w:r>
      <w:r w:rsidRPr="00AD2B44">
        <w:rPr>
          <w:b/>
        </w:rPr>
        <w:t>following on page 169 (Attachment 1), or page 116 (Attachment 2)</w:t>
      </w:r>
      <w:r>
        <w:rPr>
          <w:b/>
        </w:rPr>
        <w:t xml:space="preserve"> </w:t>
      </w:r>
      <w:r w:rsidRPr="00AD2B44">
        <w:rPr>
          <w:b/>
        </w:rPr>
        <w:t xml:space="preserve">after the paragraph that begins with “Finally, both state and federal funds have been used to provide…” </w:t>
      </w:r>
    </w:p>
    <w:p w14:paraId="68355A95" w14:textId="77777777" w:rsidR="00B5379A" w:rsidRPr="00AD2B44" w:rsidRDefault="00B5379A" w:rsidP="00B5379A">
      <w:pPr>
        <w:spacing w:after="240"/>
      </w:pPr>
      <w:r w:rsidRPr="00AD2B44">
        <w:t xml:space="preserve">The lack of CTE credentialed teachers in the state of California has been a growing concern among policymakers, </w:t>
      </w:r>
      <w:r>
        <w:t>Kindergarten through Grade Twelve (</w:t>
      </w:r>
      <w:r w:rsidRPr="00AD2B44">
        <w:t>K</w:t>
      </w:r>
      <w:r>
        <w:t>–</w:t>
      </w:r>
      <w:r w:rsidRPr="00AD2B44">
        <w:t>12</w:t>
      </w:r>
      <w:r>
        <w:t>)</w:t>
      </w:r>
      <w:r w:rsidRPr="00AD2B44">
        <w:t xml:space="preserve"> administrators, business and industry experts, and the general public. In June 2018, the California Commiss</w:t>
      </w:r>
      <w:r>
        <w:t>ion on Teacher Credentialing (C</w:t>
      </w:r>
      <w:r w:rsidRPr="00AD2B44">
        <w:t>TC) authorized a</w:t>
      </w:r>
      <w:r>
        <w:t>n independent</w:t>
      </w:r>
      <w:r w:rsidRPr="00AD2B44">
        <w:t xml:space="preserve"> work group to be formed for the purpose of pro</w:t>
      </w:r>
      <w:r>
        <w:t>viding recommendations to the C</w:t>
      </w:r>
      <w:r w:rsidRPr="00AD2B44">
        <w:t xml:space="preserve">TC. The work group </w:t>
      </w:r>
      <w:r>
        <w:t>was a joint effort led by the C</w:t>
      </w:r>
      <w:r w:rsidRPr="00AD2B44">
        <w:t xml:space="preserve">TC and </w:t>
      </w:r>
      <w:r>
        <w:t xml:space="preserve">the </w:t>
      </w:r>
      <w:r w:rsidRPr="00AD2B44">
        <w:t>CCTD within the C</w:t>
      </w:r>
      <w:r>
        <w:t xml:space="preserve">DE, with </w:t>
      </w:r>
      <w:r>
        <w:lastRenderedPageBreak/>
        <w:t>assistance of the West</w:t>
      </w:r>
      <w:r w:rsidRPr="00AD2B44">
        <w:t xml:space="preserve">Ed Comprehensive Center. Consisting of stakeholders from the field, the work group came together for four meetings during the </w:t>
      </w:r>
      <w:r>
        <w:t>s</w:t>
      </w:r>
      <w:r w:rsidRPr="00AD2B44">
        <w:t>pring of 2019. Stakeholders included current CTE practitioners including administrators, credentialing analysts, teachers, faculty, industry</w:t>
      </w:r>
      <w:r>
        <w:t>,</w:t>
      </w:r>
      <w:r w:rsidRPr="00AD2B44">
        <w:t xml:space="preserve"> and</w:t>
      </w:r>
      <w:r>
        <w:t xml:space="preserve"> CTC members.</w:t>
      </w:r>
      <w:r w:rsidRPr="00AD2B44">
        <w:t xml:space="preserve"> </w:t>
      </w:r>
      <w:r>
        <w:t>The workgroup</w:t>
      </w:r>
      <w:r w:rsidRPr="00AD2B44">
        <w:t xml:space="preserve"> provided to the </w:t>
      </w:r>
      <w:r w:rsidRPr="0007159E">
        <w:t>CTC a report on the effort for moving CTE teacher credentialing in California forward at its September</w:t>
      </w:r>
      <w:r w:rsidRPr="00AD2B44">
        <w:t xml:space="preserve"> 27, 2019 meeting</w:t>
      </w:r>
      <w:r w:rsidRPr="003B27BD">
        <w:rPr>
          <w:vertAlign w:val="superscript"/>
        </w:rPr>
        <w:footnoteReference w:id="1"/>
      </w:r>
      <w:r w:rsidRPr="00AD2B44">
        <w:t>.</w:t>
      </w:r>
    </w:p>
    <w:p w14:paraId="0BA3C5A8" w14:textId="77777777" w:rsidR="00B5379A" w:rsidRPr="00AD2B44" w:rsidRDefault="00B5379A" w:rsidP="00B5379A">
      <w:pPr>
        <w:spacing w:after="240"/>
      </w:pPr>
      <w:r w:rsidRPr="0007159E">
        <w:t>The following recommendations, on behalf of the work group, were presented to the full C</w:t>
      </w:r>
      <w:r>
        <w:t>TC</w:t>
      </w:r>
      <w:r w:rsidRPr="0007159E">
        <w:t>:</w:t>
      </w:r>
    </w:p>
    <w:p w14:paraId="24E2636C" w14:textId="77777777" w:rsidR="00B5379A" w:rsidRDefault="00B5379A" w:rsidP="00B5379A">
      <w:pPr>
        <w:pStyle w:val="ListParagraph"/>
        <w:numPr>
          <w:ilvl w:val="0"/>
          <w:numId w:val="14"/>
        </w:numPr>
        <w:spacing w:after="240" w:line="259" w:lineRule="auto"/>
        <w:contextualSpacing w:val="0"/>
      </w:pPr>
      <w:r>
        <w:t xml:space="preserve">The </w:t>
      </w:r>
      <w:r w:rsidRPr="00AD2B44">
        <w:t xml:space="preserve">CTC and </w:t>
      </w:r>
      <w:r>
        <w:t xml:space="preserve">the </w:t>
      </w:r>
      <w:r w:rsidRPr="00AD2B44">
        <w:t xml:space="preserve">CDE would work together to create and promote clear and consistent statewide guidance on allowable industry work experience toward the current 3000-hour requirement. </w:t>
      </w:r>
    </w:p>
    <w:p w14:paraId="1C0CF237" w14:textId="77777777" w:rsidR="00B5379A" w:rsidRPr="00AD2B44" w:rsidRDefault="00B5379A" w:rsidP="00B5379A">
      <w:pPr>
        <w:pStyle w:val="ListParagraph"/>
        <w:numPr>
          <w:ilvl w:val="0"/>
          <w:numId w:val="14"/>
        </w:numPr>
        <w:spacing w:after="240" w:line="259" w:lineRule="auto"/>
        <w:contextualSpacing w:val="0"/>
      </w:pPr>
      <w:r>
        <w:t xml:space="preserve">The </w:t>
      </w:r>
      <w:r w:rsidRPr="00AD2B44">
        <w:t>CTC w</w:t>
      </w:r>
      <w:r>
        <w:t>ill</w:t>
      </w:r>
      <w:r w:rsidRPr="00AD2B44">
        <w:t xml:space="preserve"> collaborate with industry partners and veteran CTE educators to develop industry-informed competencies deemed necessary to effective teaching in a CTE context. </w:t>
      </w:r>
      <w:r>
        <w:t>The work group</w:t>
      </w:r>
      <w:r w:rsidRPr="00AD2B44">
        <w:t xml:space="preserve"> recommended that this work begin with four of the fifteen industry sectors closely related to the career areas of Science, Technology, Engineering and Math (STEM):</w:t>
      </w:r>
    </w:p>
    <w:p w14:paraId="37B4E280" w14:textId="77777777" w:rsidR="00B5379A" w:rsidRPr="00AD2B44" w:rsidRDefault="00B5379A" w:rsidP="00B5379A">
      <w:pPr>
        <w:pStyle w:val="ListParagraph"/>
        <w:numPr>
          <w:ilvl w:val="0"/>
          <w:numId w:val="13"/>
        </w:numPr>
        <w:spacing w:after="240" w:line="259" w:lineRule="auto"/>
        <w:ind w:left="1800"/>
        <w:contextualSpacing w:val="0"/>
      </w:pPr>
      <w:r w:rsidRPr="00AD2B44">
        <w:t>Engineering and Architecture,</w:t>
      </w:r>
    </w:p>
    <w:p w14:paraId="31621D05" w14:textId="77777777" w:rsidR="00B5379A" w:rsidRPr="00AD2B44" w:rsidRDefault="00B5379A" w:rsidP="00B5379A">
      <w:pPr>
        <w:pStyle w:val="ListParagraph"/>
        <w:numPr>
          <w:ilvl w:val="0"/>
          <w:numId w:val="13"/>
        </w:numPr>
        <w:spacing w:after="240" w:line="259" w:lineRule="auto"/>
        <w:ind w:left="1800"/>
        <w:contextualSpacing w:val="0"/>
      </w:pPr>
      <w:r w:rsidRPr="00AD2B44">
        <w:t>Health Science and Medical Technology,</w:t>
      </w:r>
    </w:p>
    <w:p w14:paraId="1C001E76" w14:textId="77777777" w:rsidR="00B5379A" w:rsidRPr="00AD2B44" w:rsidRDefault="00B5379A" w:rsidP="00B5379A">
      <w:pPr>
        <w:pStyle w:val="ListParagraph"/>
        <w:numPr>
          <w:ilvl w:val="0"/>
          <w:numId w:val="13"/>
        </w:numPr>
        <w:spacing w:after="240" w:line="259" w:lineRule="auto"/>
        <w:ind w:left="1800"/>
        <w:contextualSpacing w:val="0"/>
      </w:pPr>
      <w:r w:rsidRPr="00AD2B44">
        <w:t>Information and Communication Technologies,</w:t>
      </w:r>
    </w:p>
    <w:p w14:paraId="4B9D5FF2" w14:textId="77777777" w:rsidR="00B5379A" w:rsidRPr="00AD2B44" w:rsidRDefault="00B5379A" w:rsidP="00B5379A">
      <w:pPr>
        <w:pStyle w:val="ListParagraph"/>
        <w:numPr>
          <w:ilvl w:val="0"/>
          <w:numId w:val="13"/>
        </w:numPr>
        <w:spacing w:after="240" w:line="259" w:lineRule="auto"/>
        <w:ind w:left="1800"/>
        <w:contextualSpacing w:val="0"/>
      </w:pPr>
      <w:r w:rsidRPr="00AD2B44">
        <w:t>Energy, Environment and Utilities.</w:t>
      </w:r>
    </w:p>
    <w:p w14:paraId="6F76A0E6" w14:textId="7557DD9E" w:rsidR="00B5379A" w:rsidRPr="00FB7E92" w:rsidRDefault="00B5379A" w:rsidP="00B5379A">
      <w:pPr>
        <w:spacing w:after="240"/>
      </w:pPr>
      <w:r w:rsidRPr="00AD2B44">
        <w:t xml:space="preserve">These two recommendations were being proposed to the Commission because they were within the purview of the Commission and include efforts that staff could begin work on shortly. Further information on both recommendations is provided </w:t>
      </w:r>
      <w:r w:rsidR="00FB7E92">
        <w:t xml:space="preserve">on the CTC’s webpage at, </w:t>
      </w:r>
      <w:r w:rsidR="00FB7E92">
        <w:rPr>
          <w:b/>
        </w:rPr>
        <w:t>[INSERT LINK]</w:t>
      </w:r>
      <w:r w:rsidR="00FB7E92">
        <w:t>.</w:t>
      </w:r>
    </w:p>
    <w:p w14:paraId="2CD04FE0" w14:textId="72532F7B" w:rsidR="00057A96" w:rsidRDefault="00057A96" w:rsidP="005128EB">
      <w:pPr>
        <w:pStyle w:val="Heading2"/>
        <w:spacing w:before="240" w:after="240" w:line="360" w:lineRule="auto"/>
        <w:rPr>
          <w:sz w:val="36"/>
        </w:rPr>
      </w:pPr>
      <w:r w:rsidRPr="00005FFA">
        <w:rPr>
          <w:sz w:val="36"/>
        </w:rPr>
        <w:t>Attachment(s)</w:t>
      </w:r>
    </w:p>
    <w:p w14:paraId="7C5188A0" w14:textId="5EF36792" w:rsidR="005128EB" w:rsidRPr="005128EB" w:rsidRDefault="005128EB" w:rsidP="005128EB">
      <w:r>
        <w:t>None.</w:t>
      </w:r>
    </w:p>
    <w:sectPr w:rsidR="005128EB" w:rsidRPr="005128EB" w:rsidSect="005128EB">
      <w:headerReference w:type="default" r:id="rId7"/>
      <w:headerReference w:type="first" r:id="rId8"/>
      <w:type w:val="continuous"/>
      <w:pgSz w:w="12240" w:h="15840"/>
      <w:pgMar w:top="72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AC962" w14:textId="77777777" w:rsidR="004E1010" w:rsidRDefault="004E1010" w:rsidP="004B7313">
      <w:r>
        <w:separator/>
      </w:r>
    </w:p>
  </w:endnote>
  <w:endnote w:type="continuationSeparator" w:id="0">
    <w:p w14:paraId="03086018" w14:textId="77777777" w:rsidR="004E1010" w:rsidRDefault="004E1010" w:rsidP="004B7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22F95" w14:textId="77777777" w:rsidR="004E1010" w:rsidRDefault="004E1010" w:rsidP="004B7313">
      <w:r>
        <w:separator/>
      </w:r>
    </w:p>
  </w:footnote>
  <w:footnote w:type="continuationSeparator" w:id="0">
    <w:p w14:paraId="7BB2CBDB" w14:textId="77777777" w:rsidR="004E1010" w:rsidRDefault="004E1010" w:rsidP="004B7313">
      <w:r>
        <w:continuationSeparator/>
      </w:r>
    </w:p>
  </w:footnote>
  <w:footnote w:id="1">
    <w:p w14:paraId="78BCE200" w14:textId="77777777" w:rsidR="00B5379A" w:rsidRPr="00AD2B44" w:rsidRDefault="00B5379A" w:rsidP="00B5379A">
      <w:pPr>
        <w:pStyle w:val="FootnoteText"/>
        <w:spacing w:after="120"/>
        <w:rPr>
          <w:sz w:val="24"/>
          <w:szCs w:val="24"/>
        </w:rPr>
      </w:pPr>
      <w:r>
        <w:rPr>
          <w:rStyle w:val="FootnoteReference"/>
        </w:rPr>
        <w:footnoteRef/>
      </w:r>
      <w:r>
        <w:t xml:space="preserve"> </w:t>
      </w:r>
      <w:r w:rsidRPr="00AD2B44">
        <w:rPr>
          <w:sz w:val="24"/>
          <w:szCs w:val="24"/>
        </w:rPr>
        <w:t xml:space="preserve">The full agenda item, along with report is available at </w:t>
      </w:r>
      <w:hyperlink r:id="rId1" w:tgtFrame="_blank" w:tooltip="Link to the CTC's agenda" w:history="1">
        <w:r w:rsidRPr="00AD2B44">
          <w:rPr>
            <w:rFonts w:cs="Arial"/>
            <w:color w:val="0000FF"/>
            <w:sz w:val="24"/>
            <w:szCs w:val="24"/>
            <w:u w:val="single"/>
          </w:rPr>
          <w:t>https://www.ctc.ca.gov/docs/default-so</w:t>
        </w:r>
        <w:r w:rsidRPr="00AD2B44">
          <w:rPr>
            <w:rFonts w:cs="Arial"/>
            <w:color w:val="0000FF"/>
            <w:sz w:val="24"/>
            <w:szCs w:val="24"/>
            <w:u w:val="single"/>
          </w:rPr>
          <w:t>u</w:t>
        </w:r>
        <w:r w:rsidRPr="00AD2B44">
          <w:rPr>
            <w:rFonts w:cs="Arial"/>
            <w:color w:val="0000FF"/>
            <w:sz w:val="24"/>
            <w:szCs w:val="24"/>
            <w:u w:val="single"/>
          </w:rPr>
          <w:t>rce/commission/agendas/2019-09/2019-09-5g.pdf?sfvrsn=2</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0F385" w14:textId="77777777" w:rsidR="005128EB" w:rsidRDefault="005128EB" w:rsidP="005128EB">
    <w:pPr>
      <w:pStyle w:val="Header"/>
      <w:jc w:val="right"/>
    </w:pPr>
    <w:r>
      <w:t>addendum01-nov25item01</w:t>
    </w:r>
  </w:p>
  <w:p w14:paraId="542B20C3" w14:textId="77777777" w:rsidR="005128EB" w:rsidRDefault="005128EB" w:rsidP="005128EB">
    <w:pPr>
      <w:pStyle w:val="Header"/>
      <w:spacing w:after="240"/>
      <w:jc w:val="right"/>
      <w:rPr>
        <w:b/>
        <w:bCs/>
      </w:rPr>
    </w:pPr>
    <w:r w:rsidRPr="004B7313">
      <w:t xml:space="preserve">Page </w:t>
    </w:r>
    <w:r w:rsidRPr="004B7313">
      <w:rPr>
        <w:bCs/>
      </w:rPr>
      <w:fldChar w:fldCharType="begin"/>
    </w:r>
    <w:r w:rsidRPr="004B7313">
      <w:rPr>
        <w:bCs/>
      </w:rPr>
      <w:instrText xml:space="preserve"> PAGE  \* Arabic  \* MERGEFORMAT </w:instrText>
    </w:r>
    <w:r w:rsidRPr="004B7313">
      <w:rPr>
        <w:bCs/>
      </w:rPr>
      <w:fldChar w:fldCharType="separate"/>
    </w:r>
    <w:r w:rsidR="00CB3DB8">
      <w:rPr>
        <w:bCs/>
        <w:noProof/>
      </w:rPr>
      <w:t>1</w:t>
    </w:r>
    <w:r w:rsidRPr="004B7313">
      <w:rPr>
        <w:bCs/>
      </w:rPr>
      <w:fldChar w:fldCharType="end"/>
    </w:r>
    <w:r w:rsidRPr="004B7313">
      <w:t xml:space="preserve"> of </w:t>
    </w:r>
    <w:r w:rsidRPr="004B7313">
      <w:rPr>
        <w:bCs/>
      </w:rPr>
      <w:fldChar w:fldCharType="begin"/>
    </w:r>
    <w:r w:rsidRPr="004B7313">
      <w:rPr>
        <w:bCs/>
      </w:rPr>
      <w:instrText xml:space="preserve"> NUMPAGES  \* Arabic  \* MERGEFORMAT </w:instrText>
    </w:r>
    <w:r w:rsidRPr="004B7313">
      <w:rPr>
        <w:bCs/>
      </w:rPr>
      <w:fldChar w:fldCharType="separate"/>
    </w:r>
    <w:r w:rsidR="00CB3DB8">
      <w:rPr>
        <w:bCs/>
        <w:noProof/>
      </w:rPr>
      <w:t>3</w:t>
    </w:r>
    <w:r w:rsidRPr="004B7313">
      <w:rPr>
        <w:bC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60B0D" w14:textId="4DB838CF" w:rsidR="00B5379A" w:rsidRDefault="00B5379A" w:rsidP="00B5379A">
    <w:pPr>
      <w:pStyle w:val="Header"/>
      <w:jc w:val="right"/>
    </w:pPr>
    <w:r>
      <w:t>addendum01-nov25item01</w:t>
    </w:r>
  </w:p>
  <w:p w14:paraId="1DD2D84D" w14:textId="77777777" w:rsidR="00B5379A" w:rsidRDefault="00B5379A" w:rsidP="00B5379A">
    <w:pPr>
      <w:pStyle w:val="Header"/>
      <w:spacing w:after="240"/>
      <w:jc w:val="right"/>
      <w:rPr>
        <w:b/>
        <w:bCs/>
      </w:rPr>
    </w:pPr>
    <w:r w:rsidRPr="004B7313">
      <w:t xml:space="preserve">Page </w:t>
    </w:r>
    <w:r w:rsidRPr="004B7313">
      <w:rPr>
        <w:bCs/>
      </w:rPr>
      <w:fldChar w:fldCharType="begin"/>
    </w:r>
    <w:r w:rsidRPr="004B7313">
      <w:rPr>
        <w:bCs/>
      </w:rPr>
      <w:instrText xml:space="preserve"> PAGE  \* Arabic  \* MERGEFORMAT </w:instrText>
    </w:r>
    <w:r w:rsidRPr="004B7313">
      <w:rPr>
        <w:bCs/>
      </w:rPr>
      <w:fldChar w:fldCharType="separate"/>
    </w:r>
    <w:r w:rsidR="005128EB">
      <w:rPr>
        <w:bCs/>
        <w:noProof/>
      </w:rPr>
      <w:t>1</w:t>
    </w:r>
    <w:r w:rsidRPr="004B7313">
      <w:rPr>
        <w:bCs/>
      </w:rPr>
      <w:fldChar w:fldCharType="end"/>
    </w:r>
    <w:r w:rsidRPr="004B7313">
      <w:t xml:space="preserve"> of </w:t>
    </w:r>
    <w:r w:rsidRPr="004B7313">
      <w:rPr>
        <w:bCs/>
      </w:rPr>
      <w:fldChar w:fldCharType="begin"/>
    </w:r>
    <w:r w:rsidRPr="004B7313">
      <w:rPr>
        <w:bCs/>
      </w:rPr>
      <w:instrText xml:space="preserve"> NUMPAGES  \* Arabic  \* MERGEFORMAT </w:instrText>
    </w:r>
    <w:r w:rsidRPr="004B7313">
      <w:rPr>
        <w:bCs/>
      </w:rPr>
      <w:fldChar w:fldCharType="separate"/>
    </w:r>
    <w:r w:rsidR="005128EB">
      <w:rPr>
        <w:bCs/>
        <w:noProof/>
      </w:rPr>
      <w:t>4</w:t>
    </w:r>
    <w:r w:rsidRPr="004B7313">
      <w:rPr>
        <w:bC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13837"/>
    <w:multiLevelType w:val="hybridMultilevel"/>
    <w:tmpl w:val="BD88AC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Symbo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Symbol"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BEC1375"/>
    <w:multiLevelType w:val="hybridMultilevel"/>
    <w:tmpl w:val="7E3AE59C"/>
    <w:lvl w:ilvl="0" w:tplc="6CFA4F82">
      <w:start w:val="5"/>
      <w:numFmt w:val="upperLetter"/>
      <w:lvlText w:val="%1."/>
      <w:lvlJc w:val="left"/>
      <w:pPr>
        <w:ind w:left="720" w:hanging="360"/>
      </w:pPr>
      <w:rPr>
        <w:rFonts w:ascii="Times New Roman" w:eastAsia="Calibri" w:hAnsi="Times New Roman" w:cs="Times New Roman" w:hint="default"/>
        <w:b/>
      </w:rPr>
    </w:lvl>
    <w:lvl w:ilvl="1" w:tplc="F274D1BA">
      <w:start w:val="1"/>
      <w:numFmt w:val="decimal"/>
      <w:lvlText w:val="%2."/>
      <w:lvlJc w:val="left"/>
      <w:pPr>
        <w:ind w:left="1440" w:hanging="360"/>
      </w:pPr>
      <w:rPr>
        <w:rFonts w:ascii="Times New Roman" w:hAnsi="Times New Roman" w:cs="Times New Roman" w:hint="default"/>
        <w:b w:val="0"/>
      </w:rPr>
    </w:lvl>
    <w:lvl w:ilvl="2" w:tplc="63681316">
      <w:start w:val="6"/>
      <w:numFmt w:val="lowerRoman"/>
      <w:lvlText w:val="%3."/>
      <w:lvlJc w:val="right"/>
      <w:pPr>
        <w:ind w:left="2700" w:hanging="720"/>
      </w:pPr>
      <w:rPr>
        <w:rFonts w:hint="default"/>
      </w:rPr>
    </w:lvl>
    <w:lvl w:ilvl="3" w:tplc="3E2C6E3E">
      <w:start w:val="1"/>
      <w:numFmt w:val="lowerLetter"/>
      <w:lvlText w:val="%4."/>
      <w:lvlJc w:val="left"/>
      <w:pPr>
        <w:ind w:left="3060" w:hanging="360"/>
      </w:pPr>
      <w:rPr>
        <w:rFonts w:ascii="Times New Roman" w:hAnsi="Times New Roman" w:cs="Times New Roman" w:hint="default"/>
      </w:rPr>
    </w:lvl>
    <w:lvl w:ilvl="4" w:tplc="A5342F28">
      <w:start w:val="1"/>
      <w:numFmt w:val="decimal"/>
      <w:lvlText w:val="%5."/>
      <w:lvlJc w:val="left"/>
      <w:pPr>
        <w:ind w:left="3600" w:hanging="360"/>
      </w:pPr>
      <w:rPr>
        <w:rFonts w:ascii="Times New Roman"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2F30CB"/>
    <w:multiLevelType w:val="hybridMultilevel"/>
    <w:tmpl w:val="2042D0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FD4777A"/>
    <w:multiLevelType w:val="hybridMultilevel"/>
    <w:tmpl w:val="BC9EB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A45722"/>
    <w:multiLevelType w:val="hybridMultilevel"/>
    <w:tmpl w:val="0D3C0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010190"/>
    <w:multiLevelType w:val="hybridMultilevel"/>
    <w:tmpl w:val="3ACE6C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6A826B1"/>
    <w:multiLevelType w:val="hybridMultilevel"/>
    <w:tmpl w:val="1728AF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35A40F1C"/>
    <w:multiLevelType w:val="hybridMultilevel"/>
    <w:tmpl w:val="CDA23F3A"/>
    <w:lvl w:ilvl="0" w:tplc="B6BCC740">
      <w:start w:val="4"/>
      <w:numFmt w:val="lowerLetter"/>
      <w:lvlText w:val="%1."/>
      <w:lvlJc w:val="left"/>
      <w:pPr>
        <w:ind w:left="30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170FD2"/>
    <w:multiLevelType w:val="hybridMultilevel"/>
    <w:tmpl w:val="22DA5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147453"/>
    <w:multiLevelType w:val="hybridMultilevel"/>
    <w:tmpl w:val="A80429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Symbo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Symbol"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60E61320"/>
    <w:multiLevelType w:val="hybridMultilevel"/>
    <w:tmpl w:val="F0E63610"/>
    <w:lvl w:ilvl="0" w:tplc="04090001">
      <w:start w:val="1"/>
      <w:numFmt w:val="bullet"/>
      <w:lvlText w:val=""/>
      <w:lvlJc w:val="left"/>
      <w:pPr>
        <w:ind w:left="6840" w:hanging="360"/>
      </w:pPr>
      <w:rPr>
        <w:rFonts w:ascii="Symbol" w:hAnsi="Symbol" w:hint="default"/>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11">
    <w:nsid w:val="6AF924CA"/>
    <w:multiLevelType w:val="hybridMultilevel"/>
    <w:tmpl w:val="405201E0"/>
    <w:lvl w:ilvl="0" w:tplc="37FC35AE">
      <w:start w:val="1"/>
      <w:numFmt w:val="decimal"/>
      <w:lvlText w:val="%1."/>
      <w:lvlJc w:val="left"/>
      <w:pPr>
        <w:ind w:left="39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3056B9"/>
    <w:multiLevelType w:val="hybridMultilevel"/>
    <w:tmpl w:val="7E3AE59C"/>
    <w:lvl w:ilvl="0" w:tplc="6CFA4F82">
      <w:start w:val="5"/>
      <w:numFmt w:val="upperLetter"/>
      <w:lvlText w:val="%1."/>
      <w:lvlJc w:val="left"/>
      <w:pPr>
        <w:ind w:left="720" w:hanging="360"/>
      </w:pPr>
      <w:rPr>
        <w:rFonts w:ascii="Times New Roman" w:eastAsia="Calibri" w:hAnsi="Times New Roman" w:cs="Times New Roman" w:hint="default"/>
        <w:b/>
      </w:rPr>
    </w:lvl>
    <w:lvl w:ilvl="1" w:tplc="F274D1BA">
      <w:start w:val="1"/>
      <w:numFmt w:val="decimal"/>
      <w:lvlText w:val="%2."/>
      <w:lvlJc w:val="left"/>
      <w:pPr>
        <w:ind w:left="1440" w:hanging="360"/>
      </w:pPr>
      <w:rPr>
        <w:rFonts w:ascii="Times New Roman" w:hAnsi="Times New Roman" w:cs="Times New Roman" w:hint="default"/>
        <w:b w:val="0"/>
      </w:rPr>
    </w:lvl>
    <w:lvl w:ilvl="2" w:tplc="63681316">
      <w:start w:val="6"/>
      <w:numFmt w:val="lowerRoman"/>
      <w:lvlText w:val="%3."/>
      <w:lvlJc w:val="right"/>
      <w:pPr>
        <w:ind w:left="2700" w:hanging="720"/>
      </w:pPr>
      <w:rPr>
        <w:rFonts w:hint="default"/>
      </w:rPr>
    </w:lvl>
    <w:lvl w:ilvl="3" w:tplc="3E2C6E3E">
      <w:start w:val="1"/>
      <w:numFmt w:val="lowerLetter"/>
      <w:lvlText w:val="%4."/>
      <w:lvlJc w:val="left"/>
      <w:pPr>
        <w:ind w:left="3060" w:hanging="360"/>
      </w:pPr>
      <w:rPr>
        <w:rFonts w:ascii="Times New Roman" w:hAnsi="Times New Roman" w:cs="Times New Roman" w:hint="default"/>
      </w:rPr>
    </w:lvl>
    <w:lvl w:ilvl="4" w:tplc="A5342F28">
      <w:start w:val="1"/>
      <w:numFmt w:val="decimal"/>
      <w:lvlText w:val="%5."/>
      <w:lvlJc w:val="left"/>
      <w:pPr>
        <w:ind w:left="3600" w:hanging="360"/>
      </w:pPr>
      <w:rPr>
        <w:rFonts w:ascii="Times New Roman"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1D39D1"/>
    <w:multiLevelType w:val="multilevel"/>
    <w:tmpl w:val="776A7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7"/>
  </w:num>
  <w:num w:numId="3">
    <w:abstractNumId w:val="10"/>
  </w:num>
  <w:num w:numId="4">
    <w:abstractNumId w:val="9"/>
  </w:num>
  <w:num w:numId="5">
    <w:abstractNumId w:val="0"/>
  </w:num>
  <w:num w:numId="6">
    <w:abstractNumId w:val="3"/>
  </w:num>
  <w:num w:numId="7">
    <w:abstractNumId w:val="2"/>
  </w:num>
  <w:num w:numId="8">
    <w:abstractNumId w:val="6"/>
  </w:num>
  <w:num w:numId="9">
    <w:abstractNumId w:val="13"/>
  </w:num>
  <w:num w:numId="10">
    <w:abstractNumId w:val="1"/>
  </w:num>
  <w:num w:numId="11">
    <w:abstractNumId w:val="11"/>
  </w:num>
  <w:num w:numId="12">
    <w:abstractNumId w:val="5"/>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A96"/>
    <w:rsid w:val="00005FFA"/>
    <w:rsid w:val="000125CF"/>
    <w:rsid w:val="00053B2A"/>
    <w:rsid w:val="0005462D"/>
    <w:rsid w:val="00057A96"/>
    <w:rsid w:val="00062FBB"/>
    <w:rsid w:val="00077927"/>
    <w:rsid w:val="0009606B"/>
    <w:rsid w:val="0009612F"/>
    <w:rsid w:val="000D6220"/>
    <w:rsid w:val="00116201"/>
    <w:rsid w:val="00121E1E"/>
    <w:rsid w:val="0013004B"/>
    <w:rsid w:val="00146E45"/>
    <w:rsid w:val="00152E32"/>
    <w:rsid w:val="0016173B"/>
    <w:rsid w:val="001648E9"/>
    <w:rsid w:val="00184DEF"/>
    <w:rsid w:val="001C3BC9"/>
    <w:rsid w:val="001D739F"/>
    <w:rsid w:val="0022303F"/>
    <w:rsid w:val="002408E4"/>
    <w:rsid w:val="0027114A"/>
    <w:rsid w:val="0029286A"/>
    <w:rsid w:val="002948F3"/>
    <w:rsid w:val="002A5642"/>
    <w:rsid w:val="002E7826"/>
    <w:rsid w:val="00321D49"/>
    <w:rsid w:val="00322C00"/>
    <w:rsid w:val="00325EAA"/>
    <w:rsid w:val="00327857"/>
    <w:rsid w:val="003504E0"/>
    <w:rsid w:val="00364C1F"/>
    <w:rsid w:val="00366B36"/>
    <w:rsid w:val="00384F4A"/>
    <w:rsid w:val="003C3507"/>
    <w:rsid w:val="003E3B94"/>
    <w:rsid w:val="00410CB8"/>
    <w:rsid w:val="00471CE7"/>
    <w:rsid w:val="00472306"/>
    <w:rsid w:val="00477222"/>
    <w:rsid w:val="004A577E"/>
    <w:rsid w:val="004B7313"/>
    <w:rsid w:val="004D7E4B"/>
    <w:rsid w:val="004E1010"/>
    <w:rsid w:val="004E121C"/>
    <w:rsid w:val="004F08EC"/>
    <w:rsid w:val="004F6600"/>
    <w:rsid w:val="005128EB"/>
    <w:rsid w:val="0051479B"/>
    <w:rsid w:val="00524E1A"/>
    <w:rsid w:val="0054334A"/>
    <w:rsid w:val="005600D4"/>
    <w:rsid w:val="0056095A"/>
    <w:rsid w:val="005671B7"/>
    <w:rsid w:val="00593B30"/>
    <w:rsid w:val="005B1325"/>
    <w:rsid w:val="005B5BDA"/>
    <w:rsid w:val="005C0BFA"/>
    <w:rsid w:val="005D600A"/>
    <w:rsid w:val="005E4F26"/>
    <w:rsid w:val="00623D35"/>
    <w:rsid w:val="00626629"/>
    <w:rsid w:val="006332BB"/>
    <w:rsid w:val="00634976"/>
    <w:rsid w:val="006356A7"/>
    <w:rsid w:val="00671854"/>
    <w:rsid w:val="00681207"/>
    <w:rsid w:val="0069159D"/>
    <w:rsid w:val="006D64BB"/>
    <w:rsid w:val="00711F06"/>
    <w:rsid w:val="00742C77"/>
    <w:rsid w:val="00764702"/>
    <w:rsid w:val="00780727"/>
    <w:rsid w:val="00784578"/>
    <w:rsid w:val="007873B2"/>
    <w:rsid w:val="007A2653"/>
    <w:rsid w:val="008213F2"/>
    <w:rsid w:val="008343E8"/>
    <w:rsid w:val="00861B97"/>
    <w:rsid w:val="0087760D"/>
    <w:rsid w:val="008905B8"/>
    <w:rsid w:val="008A6BC8"/>
    <w:rsid w:val="008B0D8F"/>
    <w:rsid w:val="008D2B05"/>
    <w:rsid w:val="00925455"/>
    <w:rsid w:val="00927359"/>
    <w:rsid w:val="009347C7"/>
    <w:rsid w:val="0095326B"/>
    <w:rsid w:val="00962D21"/>
    <w:rsid w:val="00963290"/>
    <w:rsid w:val="009753B3"/>
    <w:rsid w:val="009B6D5B"/>
    <w:rsid w:val="009C22E0"/>
    <w:rsid w:val="009C7DB5"/>
    <w:rsid w:val="00A11875"/>
    <w:rsid w:val="00A37E4E"/>
    <w:rsid w:val="00A46421"/>
    <w:rsid w:val="00A476A2"/>
    <w:rsid w:val="00A8277A"/>
    <w:rsid w:val="00AB4C92"/>
    <w:rsid w:val="00AE089D"/>
    <w:rsid w:val="00AF3956"/>
    <w:rsid w:val="00B25A2D"/>
    <w:rsid w:val="00B5379A"/>
    <w:rsid w:val="00B94C9A"/>
    <w:rsid w:val="00BE3168"/>
    <w:rsid w:val="00BF210C"/>
    <w:rsid w:val="00BF7F32"/>
    <w:rsid w:val="00C2667A"/>
    <w:rsid w:val="00C420BB"/>
    <w:rsid w:val="00C45636"/>
    <w:rsid w:val="00C933CD"/>
    <w:rsid w:val="00CB3DB8"/>
    <w:rsid w:val="00CC5474"/>
    <w:rsid w:val="00CF576A"/>
    <w:rsid w:val="00D42F7B"/>
    <w:rsid w:val="00D81E7D"/>
    <w:rsid w:val="00DC5FAA"/>
    <w:rsid w:val="00DD0EB1"/>
    <w:rsid w:val="00E32FDC"/>
    <w:rsid w:val="00E67737"/>
    <w:rsid w:val="00E75BE7"/>
    <w:rsid w:val="00E95FE3"/>
    <w:rsid w:val="00EB2AF5"/>
    <w:rsid w:val="00EC3FF1"/>
    <w:rsid w:val="00EF567C"/>
    <w:rsid w:val="00F34EDF"/>
    <w:rsid w:val="00F37CA7"/>
    <w:rsid w:val="00F654EB"/>
    <w:rsid w:val="00F75A09"/>
    <w:rsid w:val="00F9472D"/>
    <w:rsid w:val="00FA05BE"/>
    <w:rsid w:val="00FB7E92"/>
    <w:rsid w:val="00FC42BA"/>
    <w:rsid w:val="00FD20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E547B4"/>
  <w15:chartTrackingRefBased/>
  <w15:docId w15:val="{D8193D93-5ABD-436C-9EDD-771A4720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A96"/>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005FF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7A96"/>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873B2"/>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356A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057A96"/>
    <w:rPr>
      <w:rFonts w:ascii="Arial" w:eastAsiaTheme="majorEastAsia" w:hAnsi="Arial" w:cstheme="majorBidi"/>
      <w:b/>
      <w:sz w:val="26"/>
      <w:szCs w:val="26"/>
    </w:rPr>
  </w:style>
  <w:style w:type="character" w:customStyle="1" w:styleId="Heading1Char">
    <w:name w:val="Heading 1 Char"/>
    <w:basedOn w:val="DefaultParagraphFont"/>
    <w:link w:val="Heading1"/>
    <w:uiPriority w:val="9"/>
    <w:rsid w:val="00005FF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7873B2"/>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7873B2"/>
    <w:pPr>
      <w:spacing w:after="0" w:line="240" w:lineRule="auto"/>
    </w:pPr>
    <w:rPr>
      <w:rFonts w:ascii="Arial" w:hAnsi="Arial"/>
      <w:sz w:val="24"/>
    </w:rPr>
  </w:style>
  <w:style w:type="character" w:styleId="Hyperlink">
    <w:name w:val="Hyperlink"/>
    <w:basedOn w:val="DefaultParagraphFont"/>
    <w:uiPriority w:val="99"/>
    <w:unhideWhenUsed/>
    <w:rsid w:val="00FC42BA"/>
    <w:rPr>
      <w:color w:val="0563C1" w:themeColor="hyperlink"/>
      <w:u w:val="single"/>
    </w:rPr>
  </w:style>
  <w:style w:type="character" w:styleId="CommentReference">
    <w:name w:val="annotation reference"/>
    <w:basedOn w:val="DefaultParagraphFont"/>
    <w:uiPriority w:val="99"/>
    <w:unhideWhenUsed/>
    <w:rsid w:val="00FC42BA"/>
    <w:rPr>
      <w:sz w:val="16"/>
      <w:szCs w:val="16"/>
    </w:rPr>
  </w:style>
  <w:style w:type="paragraph" w:styleId="CommentText">
    <w:name w:val="annotation text"/>
    <w:basedOn w:val="Normal"/>
    <w:link w:val="CommentTextChar"/>
    <w:uiPriority w:val="99"/>
    <w:semiHidden/>
    <w:unhideWhenUsed/>
    <w:rsid w:val="00FC42BA"/>
    <w:rPr>
      <w:sz w:val="20"/>
      <w:szCs w:val="20"/>
    </w:rPr>
  </w:style>
  <w:style w:type="character" w:customStyle="1" w:styleId="CommentTextChar">
    <w:name w:val="Comment Text Char"/>
    <w:basedOn w:val="DefaultParagraphFont"/>
    <w:link w:val="CommentText"/>
    <w:uiPriority w:val="99"/>
    <w:semiHidden/>
    <w:rsid w:val="00FC42BA"/>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FC42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2B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FC42BA"/>
    <w:rPr>
      <w:b/>
      <w:bCs/>
    </w:rPr>
  </w:style>
  <w:style w:type="character" w:customStyle="1" w:styleId="CommentSubjectChar">
    <w:name w:val="Comment Subject Char"/>
    <w:basedOn w:val="CommentTextChar"/>
    <w:link w:val="CommentSubject"/>
    <w:uiPriority w:val="99"/>
    <w:semiHidden/>
    <w:rsid w:val="00FC42BA"/>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6356A7"/>
    <w:rPr>
      <w:rFonts w:asciiTheme="majorHAnsi" w:eastAsiaTheme="majorEastAsia" w:hAnsiTheme="majorHAnsi" w:cstheme="majorBidi"/>
      <w:i/>
      <w:iCs/>
      <w:color w:val="2E74B5" w:themeColor="accent1" w:themeShade="BF"/>
      <w:sz w:val="24"/>
      <w:szCs w:val="24"/>
    </w:rPr>
  </w:style>
  <w:style w:type="paragraph" w:styleId="ListParagraph">
    <w:name w:val="List Paragraph"/>
    <w:basedOn w:val="Normal"/>
    <w:uiPriority w:val="34"/>
    <w:qFormat/>
    <w:rsid w:val="0095326B"/>
    <w:pPr>
      <w:ind w:left="720"/>
      <w:contextualSpacing/>
    </w:pPr>
  </w:style>
  <w:style w:type="paragraph" w:styleId="Header">
    <w:name w:val="header"/>
    <w:basedOn w:val="Normal"/>
    <w:link w:val="HeaderChar"/>
    <w:uiPriority w:val="99"/>
    <w:unhideWhenUsed/>
    <w:rsid w:val="004B7313"/>
    <w:pPr>
      <w:tabs>
        <w:tab w:val="center" w:pos="4680"/>
        <w:tab w:val="right" w:pos="9360"/>
      </w:tabs>
    </w:pPr>
  </w:style>
  <w:style w:type="character" w:customStyle="1" w:styleId="HeaderChar">
    <w:name w:val="Header Char"/>
    <w:basedOn w:val="DefaultParagraphFont"/>
    <w:link w:val="Header"/>
    <w:uiPriority w:val="99"/>
    <w:rsid w:val="004B7313"/>
    <w:rPr>
      <w:rFonts w:ascii="Arial" w:eastAsia="Times New Roman" w:hAnsi="Arial" w:cs="Times New Roman"/>
      <w:sz w:val="24"/>
      <w:szCs w:val="24"/>
    </w:rPr>
  </w:style>
  <w:style w:type="paragraph" w:styleId="Footer">
    <w:name w:val="footer"/>
    <w:basedOn w:val="Normal"/>
    <w:link w:val="FooterChar"/>
    <w:uiPriority w:val="99"/>
    <w:unhideWhenUsed/>
    <w:rsid w:val="004B7313"/>
    <w:pPr>
      <w:tabs>
        <w:tab w:val="center" w:pos="4680"/>
        <w:tab w:val="right" w:pos="9360"/>
      </w:tabs>
    </w:pPr>
  </w:style>
  <w:style w:type="character" w:customStyle="1" w:styleId="FooterChar">
    <w:name w:val="Footer Char"/>
    <w:basedOn w:val="DefaultParagraphFont"/>
    <w:link w:val="Footer"/>
    <w:uiPriority w:val="99"/>
    <w:rsid w:val="004B7313"/>
    <w:rPr>
      <w:rFonts w:ascii="Arial" w:eastAsia="Times New Roman" w:hAnsi="Arial" w:cs="Times New Roman"/>
      <w:sz w:val="24"/>
      <w:szCs w:val="24"/>
    </w:rPr>
  </w:style>
  <w:style w:type="table" w:styleId="TableGrid">
    <w:name w:val="Table Grid"/>
    <w:basedOn w:val="TableNormal"/>
    <w:uiPriority w:val="39"/>
    <w:rsid w:val="005E4F26"/>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AF3956"/>
    <w:rPr>
      <w:i/>
      <w:iCs/>
    </w:rPr>
  </w:style>
  <w:style w:type="paragraph" w:styleId="FootnoteText">
    <w:name w:val="footnote text"/>
    <w:basedOn w:val="Normal"/>
    <w:link w:val="FootnoteTextChar"/>
    <w:uiPriority w:val="99"/>
    <w:semiHidden/>
    <w:unhideWhenUsed/>
    <w:rsid w:val="00B5379A"/>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B5379A"/>
    <w:rPr>
      <w:rFonts w:ascii="Arial" w:hAnsi="Arial"/>
      <w:sz w:val="20"/>
      <w:szCs w:val="20"/>
    </w:rPr>
  </w:style>
  <w:style w:type="character" w:styleId="FootnoteReference">
    <w:name w:val="footnote reference"/>
    <w:basedOn w:val="DefaultParagraphFont"/>
    <w:uiPriority w:val="99"/>
    <w:semiHidden/>
    <w:unhideWhenUsed/>
    <w:rsid w:val="00B537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8998">
      <w:bodyDiv w:val="1"/>
      <w:marLeft w:val="0"/>
      <w:marRight w:val="0"/>
      <w:marTop w:val="0"/>
      <w:marBottom w:val="0"/>
      <w:divBdr>
        <w:top w:val="none" w:sz="0" w:space="0" w:color="auto"/>
        <w:left w:val="none" w:sz="0" w:space="0" w:color="auto"/>
        <w:bottom w:val="none" w:sz="0" w:space="0" w:color="auto"/>
        <w:right w:val="none" w:sz="0" w:space="0" w:color="auto"/>
      </w:divBdr>
    </w:div>
    <w:div w:id="1394813756">
      <w:bodyDiv w:val="1"/>
      <w:marLeft w:val="0"/>
      <w:marRight w:val="0"/>
      <w:marTop w:val="0"/>
      <w:marBottom w:val="0"/>
      <w:divBdr>
        <w:top w:val="none" w:sz="0" w:space="0" w:color="auto"/>
        <w:left w:val="none" w:sz="0" w:space="0" w:color="auto"/>
        <w:bottom w:val="none" w:sz="0" w:space="0" w:color="auto"/>
        <w:right w:val="none" w:sz="0" w:space="0" w:color="auto"/>
      </w:divBdr>
    </w:div>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tc.ca.gov/docs/default-source/commission/agendas/2019-09/2019-09-5g.pdf?sfvrs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March 2018 Agenda Item 04 Addendum 1 - Meeting Agendas (CA State Board of Education)</vt:lpstr>
    </vt:vector>
  </TitlesOfParts>
  <Company>CA Department of Education</Company>
  <LinksUpToDate>false</LinksUpToDate>
  <CharactersWithSpaces>6334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2019 Item 01 Addendum 1 - General Information (CA State Board of Education)</dc:title>
  <dc:subject>Item 1 – Update on the Development of the draft California Perkins V State Plan.</dc:subject>
  <dc:creator>Kathleen Souza</dc:creator>
  <cp:keywords/>
  <dc:description/>
  <cp:lastModifiedBy>Windows User</cp:lastModifiedBy>
  <cp:revision>2</cp:revision>
  <cp:lastPrinted>2018-03-08T01:21:00Z</cp:lastPrinted>
  <dcterms:created xsi:type="dcterms:W3CDTF">2019-11-20T16:40:00Z</dcterms:created>
  <dcterms:modified xsi:type="dcterms:W3CDTF">2019-11-20T16:40:00Z</dcterms:modified>
</cp:coreProperties>
</file>