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B5AE4" w14:textId="77777777" w:rsidR="003A0CCA" w:rsidRPr="00DB6B17" w:rsidRDefault="003A0CCA" w:rsidP="003A0CCA">
      <w:pPr>
        <w:rPr>
          <w:rFonts w:cs="Arial"/>
        </w:rPr>
      </w:pPr>
      <w:r w:rsidRPr="00DB6B17">
        <w:rPr>
          <w:rFonts w:cs="Arial"/>
          <w:noProof/>
        </w:rPr>
        <w:drawing>
          <wp:inline distT="0" distB="0" distL="0" distR="0" wp14:anchorId="5964B7D5" wp14:editId="07ED4BF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DB6B17">
        <w:rPr>
          <w:rFonts w:cs="Arial"/>
        </w:rPr>
        <w:tab/>
      </w:r>
      <w:r w:rsidRPr="00DB6B17">
        <w:rPr>
          <w:rFonts w:cs="Arial"/>
        </w:rPr>
        <w:tab/>
      </w:r>
      <w:r w:rsidRPr="00DB6B17">
        <w:rPr>
          <w:rFonts w:cs="Arial"/>
        </w:rPr>
        <w:tab/>
      </w:r>
      <w:r w:rsidRPr="00DB6B17">
        <w:rPr>
          <w:rFonts w:cs="Arial"/>
          <w:noProof/>
        </w:rPr>
        <w:drawing>
          <wp:inline distT="0" distB="0" distL="0" distR="0" wp14:anchorId="3588C1B6" wp14:editId="5A7C41AD">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DB6B17">
        <w:rPr>
          <w:rFonts w:cs="Arial"/>
        </w:rPr>
        <w:tab/>
      </w:r>
      <w:r w:rsidRPr="00DB6B17">
        <w:rPr>
          <w:rFonts w:cs="Arial"/>
        </w:rPr>
        <w:tab/>
      </w:r>
      <w:r w:rsidRPr="00DB6B17">
        <w:rPr>
          <w:rFonts w:cs="Arial"/>
        </w:rPr>
        <w:tab/>
      </w:r>
      <w:r w:rsidRPr="00DB6B17">
        <w:rPr>
          <w:rFonts w:cs="Arial"/>
          <w:noProof/>
        </w:rPr>
        <w:drawing>
          <wp:inline distT="0" distB="0" distL="0" distR="0" wp14:anchorId="6BF06C87" wp14:editId="0180595A">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346AA9B5" w14:textId="72C1C19F" w:rsidR="003A0CCA" w:rsidRPr="00DB6B17" w:rsidRDefault="003A0CCA" w:rsidP="003A0CCA">
      <w:pPr>
        <w:pStyle w:val="Heading1"/>
        <w:spacing w:before="480" w:after="240"/>
        <w:jc w:val="center"/>
        <w:rPr>
          <w:rFonts w:cs="Arial"/>
          <w:sz w:val="40"/>
          <w:szCs w:val="40"/>
        </w:rPr>
      </w:pPr>
      <w:r w:rsidRPr="00DB6B17">
        <w:rPr>
          <w:rFonts w:cs="Arial"/>
          <w:sz w:val="40"/>
          <w:szCs w:val="40"/>
        </w:rPr>
        <w:t>California Workforce Pathways</w:t>
      </w:r>
      <w:r w:rsidRPr="00DB6B17">
        <w:rPr>
          <w:rFonts w:cs="Arial"/>
          <w:sz w:val="40"/>
          <w:szCs w:val="40"/>
        </w:rPr>
        <w:br/>
        <w:t>Joint Advisory Committee</w:t>
      </w:r>
      <w:r w:rsidRPr="00DB6B17">
        <w:rPr>
          <w:rFonts w:cs="Arial"/>
          <w:sz w:val="40"/>
          <w:szCs w:val="40"/>
        </w:rPr>
        <w:br/>
      </w:r>
      <w:r w:rsidR="00EE4F2A" w:rsidRPr="00DB6B17">
        <w:rPr>
          <w:rFonts w:cs="Arial"/>
          <w:sz w:val="40"/>
          <w:szCs w:val="40"/>
        </w:rPr>
        <w:t>September 25</w:t>
      </w:r>
      <w:r w:rsidR="00AF0408" w:rsidRPr="00DB6B17">
        <w:rPr>
          <w:rFonts w:cs="Arial"/>
          <w:sz w:val="40"/>
          <w:szCs w:val="40"/>
        </w:rPr>
        <w:t xml:space="preserve">, </w:t>
      </w:r>
      <w:r w:rsidRPr="00DB6B17">
        <w:rPr>
          <w:rFonts w:cs="Arial"/>
          <w:sz w:val="40"/>
          <w:szCs w:val="40"/>
        </w:rPr>
        <w:t>2020</w:t>
      </w:r>
      <w:r w:rsidRPr="00DB6B17">
        <w:rPr>
          <w:rFonts w:cs="Arial"/>
          <w:sz w:val="40"/>
          <w:szCs w:val="40"/>
        </w:rPr>
        <w:br/>
        <w:t xml:space="preserve">Agenda Item </w:t>
      </w:r>
      <w:r w:rsidR="00DA7A99" w:rsidRPr="00DB6B17">
        <w:rPr>
          <w:rFonts w:cs="Arial"/>
          <w:sz w:val="40"/>
          <w:szCs w:val="40"/>
        </w:rPr>
        <w:t>02</w:t>
      </w:r>
    </w:p>
    <w:p w14:paraId="7AFD462A" w14:textId="72376B91" w:rsidR="003A0CCA" w:rsidRPr="00DB6B17" w:rsidRDefault="003A0CCA" w:rsidP="003A0CCA">
      <w:pPr>
        <w:jc w:val="center"/>
        <w:rPr>
          <w:rFonts w:cs="Arial"/>
        </w:rPr>
      </w:pPr>
      <w:r w:rsidRPr="00DB6B17">
        <w:rPr>
          <w:rFonts w:cs="Arial"/>
        </w:rPr>
        <w:t>Posted by the California Department of Education</w:t>
      </w:r>
    </w:p>
    <w:p w14:paraId="135731DD" w14:textId="3D667C9F" w:rsidR="00144DF4" w:rsidRPr="00DB6B17" w:rsidRDefault="00FC1FCE" w:rsidP="00D370A0">
      <w:pPr>
        <w:pStyle w:val="Heading2"/>
        <w:spacing w:before="480" w:after="240"/>
        <w:rPr>
          <w:rFonts w:cs="Arial"/>
          <w:sz w:val="36"/>
          <w:szCs w:val="36"/>
        </w:rPr>
      </w:pPr>
      <w:r w:rsidRPr="00DB6B17">
        <w:rPr>
          <w:rFonts w:cs="Arial"/>
          <w:sz w:val="36"/>
          <w:szCs w:val="36"/>
        </w:rPr>
        <w:t>Subject</w:t>
      </w:r>
    </w:p>
    <w:p w14:paraId="47688192" w14:textId="7B646D61" w:rsidR="00F25602" w:rsidRPr="00DB6B17" w:rsidRDefault="000D35C8" w:rsidP="00CE3317">
      <w:pPr>
        <w:spacing w:after="240"/>
        <w:rPr>
          <w:rFonts w:cs="Arial"/>
        </w:rPr>
      </w:pPr>
      <w:r w:rsidRPr="00DB6B17">
        <w:rPr>
          <w:rFonts w:cs="Arial"/>
        </w:rPr>
        <w:t>The Career Technical Education Incentive Grant</w:t>
      </w:r>
      <w:r w:rsidR="009A32D9" w:rsidRPr="00DB6B17">
        <w:rPr>
          <w:rFonts w:cs="Arial"/>
        </w:rPr>
        <w:t xml:space="preserve"> (CTEIG)</w:t>
      </w:r>
      <w:r w:rsidRPr="00DB6B17">
        <w:rPr>
          <w:rFonts w:cs="Arial"/>
        </w:rPr>
        <w:t xml:space="preserve"> and the Kindergarten through Grade Twelve Strong Workforce Program</w:t>
      </w:r>
      <w:r w:rsidR="009A32D9" w:rsidRPr="00DB6B17">
        <w:rPr>
          <w:rFonts w:cs="Arial"/>
        </w:rPr>
        <w:t xml:space="preserve"> (K–12 SWP)</w:t>
      </w:r>
      <w:r w:rsidR="00BC70C9" w:rsidRPr="00DB6B17">
        <w:rPr>
          <w:rFonts w:cs="Arial"/>
        </w:rPr>
        <w:t xml:space="preserve"> Updates: The</w:t>
      </w:r>
      <w:r w:rsidR="00510FED" w:rsidRPr="00DB6B17">
        <w:rPr>
          <w:rFonts w:cs="Arial"/>
        </w:rPr>
        <w:t xml:space="preserve"> </w:t>
      </w:r>
      <w:r w:rsidR="00EE4F2A" w:rsidRPr="00DB6B17">
        <w:rPr>
          <w:rFonts w:cs="Arial"/>
        </w:rPr>
        <w:t>2020</w:t>
      </w:r>
      <w:r w:rsidR="000C3068" w:rsidRPr="00DB6B17">
        <w:rPr>
          <w:rFonts w:cs="Arial"/>
        </w:rPr>
        <w:t>–</w:t>
      </w:r>
      <w:r w:rsidR="00EE4F2A" w:rsidRPr="00DB6B17">
        <w:rPr>
          <w:rFonts w:cs="Arial"/>
        </w:rPr>
        <w:t xml:space="preserve">21 </w:t>
      </w:r>
      <w:r w:rsidR="009A32D9" w:rsidRPr="00DB6B17">
        <w:rPr>
          <w:rFonts w:cs="Arial"/>
        </w:rPr>
        <w:t>CTEIG</w:t>
      </w:r>
      <w:r w:rsidR="00A406EA" w:rsidRPr="00DB6B17">
        <w:rPr>
          <w:rFonts w:cs="Arial"/>
        </w:rPr>
        <w:t xml:space="preserve"> </w:t>
      </w:r>
      <w:r w:rsidR="00EE4F2A" w:rsidRPr="00DB6B17">
        <w:rPr>
          <w:rFonts w:cs="Arial"/>
        </w:rPr>
        <w:t>Application,</w:t>
      </w:r>
      <w:r w:rsidR="009A32D9" w:rsidRPr="00DB6B17">
        <w:rPr>
          <w:rFonts w:cs="Arial"/>
        </w:rPr>
        <w:t xml:space="preserve"> the 2020</w:t>
      </w:r>
      <w:r w:rsidR="002717C0" w:rsidRPr="00DB6B17">
        <w:rPr>
          <w:rFonts w:cs="Arial"/>
        </w:rPr>
        <w:t>–</w:t>
      </w:r>
      <w:r w:rsidR="009A32D9" w:rsidRPr="00DB6B17">
        <w:rPr>
          <w:rFonts w:cs="Arial"/>
        </w:rPr>
        <w:t>21 K–12 SWP application,</w:t>
      </w:r>
      <w:r w:rsidR="00EE4F2A" w:rsidRPr="00DB6B17">
        <w:rPr>
          <w:rFonts w:cs="Arial"/>
        </w:rPr>
        <w:t xml:space="preserve"> Data Reports, Memorandum of Understanding</w:t>
      </w:r>
      <w:r w:rsidR="00BC70C9" w:rsidRPr="00DB6B17">
        <w:rPr>
          <w:rFonts w:cs="Arial"/>
        </w:rPr>
        <w:t xml:space="preserve"> on Data Sharing</w:t>
      </w:r>
      <w:r w:rsidR="00EE4F2A" w:rsidRPr="00DB6B17">
        <w:rPr>
          <w:rFonts w:cs="Arial"/>
        </w:rPr>
        <w:t>, and Recommendations on Data Metrics</w:t>
      </w:r>
      <w:r w:rsidR="00AF7183" w:rsidRPr="00DB6B17">
        <w:rPr>
          <w:rFonts w:cs="Arial"/>
        </w:rPr>
        <w:t>.</w:t>
      </w:r>
    </w:p>
    <w:p w14:paraId="1320B278" w14:textId="77777777" w:rsidR="00FC1FCE" w:rsidRPr="00DB6B17" w:rsidRDefault="00FC1FCE" w:rsidP="003A0CCA">
      <w:pPr>
        <w:pStyle w:val="Heading2"/>
        <w:spacing w:before="480" w:after="240"/>
        <w:rPr>
          <w:rFonts w:cs="Arial"/>
          <w:sz w:val="36"/>
          <w:szCs w:val="36"/>
        </w:rPr>
      </w:pPr>
      <w:r w:rsidRPr="00DB6B17">
        <w:rPr>
          <w:rFonts w:cs="Arial"/>
          <w:sz w:val="36"/>
          <w:szCs w:val="36"/>
        </w:rPr>
        <w:t>Type of Action</w:t>
      </w:r>
    </w:p>
    <w:p w14:paraId="686B6E7F" w14:textId="313916D9" w:rsidR="00D61502" w:rsidRPr="00DB6B17" w:rsidRDefault="00144DF4" w:rsidP="00D61502">
      <w:pPr>
        <w:spacing w:after="240"/>
        <w:rPr>
          <w:rFonts w:cs="Arial"/>
        </w:rPr>
      </w:pPr>
      <w:r w:rsidRPr="00DB6B17">
        <w:rPr>
          <w:rFonts w:cs="Arial"/>
          <w:noProof/>
        </w:rPr>
        <w:t>Information</w:t>
      </w:r>
      <w:r w:rsidR="00EE4F2A" w:rsidRPr="00DB6B17">
        <w:rPr>
          <w:rFonts w:cs="Arial"/>
          <w:noProof/>
        </w:rPr>
        <w:t>, Action</w:t>
      </w:r>
    </w:p>
    <w:p w14:paraId="7C7AF438" w14:textId="77777777" w:rsidR="00FC1FCE" w:rsidRPr="00DB6B17" w:rsidRDefault="00FC1FCE" w:rsidP="003A0CCA">
      <w:pPr>
        <w:pStyle w:val="Heading2"/>
        <w:spacing w:before="480" w:after="240"/>
        <w:rPr>
          <w:rFonts w:cs="Arial"/>
          <w:sz w:val="36"/>
          <w:szCs w:val="36"/>
        </w:rPr>
      </w:pPr>
      <w:r w:rsidRPr="00DB6B17">
        <w:rPr>
          <w:rFonts w:cs="Arial"/>
          <w:sz w:val="36"/>
          <w:szCs w:val="36"/>
        </w:rPr>
        <w:t>Summary of the Issue(s)</w:t>
      </w:r>
    </w:p>
    <w:p w14:paraId="7E0F2621" w14:textId="7EF825F7" w:rsidR="00167E35" w:rsidRPr="00DB6B17" w:rsidRDefault="00BC70C9" w:rsidP="007051E8">
      <w:pPr>
        <w:tabs>
          <w:tab w:val="left" w:pos="1755"/>
        </w:tabs>
        <w:spacing w:after="240"/>
        <w:rPr>
          <w:rFonts w:cs="Arial"/>
        </w:rPr>
      </w:pPr>
      <w:r w:rsidRPr="00DB6B17">
        <w:rPr>
          <w:rFonts w:cs="Arial"/>
        </w:rPr>
        <w:t xml:space="preserve">This agenda item </w:t>
      </w:r>
      <w:r w:rsidR="00E60842" w:rsidRPr="00DB6B17">
        <w:rPr>
          <w:rFonts w:cs="Arial"/>
        </w:rPr>
        <w:t>provides</w:t>
      </w:r>
      <w:r w:rsidRPr="00DB6B17">
        <w:rPr>
          <w:rFonts w:cs="Arial"/>
        </w:rPr>
        <w:t xml:space="preserve"> updates on various aspects of the CTEIG and K–12 SWP programs</w:t>
      </w:r>
      <w:r w:rsidR="00167E35" w:rsidRPr="00DB6B17">
        <w:rPr>
          <w:rFonts w:cs="Arial"/>
        </w:rPr>
        <w:t>, including:</w:t>
      </w:r>
    </w:p>
    <w:p w14:paraId="1A749C86" w14:textId="4F1B50A0" w:rsidR="00167E35" w:rsidRPr="00DB6B17" w:rsidRDefault="00F814C5" w:rsidP="005859C2">
      <w:pPr>
        <w:pStyle w:val="ListParagraph"/>
        <w:numPr>
          <w:ilvl w:val="0"/>
          <w:numId w:val="12"/>
        </w:numPr>
        <w:tabs>
          <w:tab w:val="left" w:pos="1755"/>
        </w:tabs>
        <w:spacing w:after="240"/>
        <w:contextualSpacing w:val="0"/>
        <w:rPr>
          <w:rFonts w:cs="Arial"/>
        </w:rPr>
      </w:pPr>
      <w:r w:rsidRPr="00DB6B17">
        <w:rPr>
          <w:rFonts w:cs="Arial"/>
        </w:rPr>
        <w:t>T</w:t>
      </w:r>
      <w:r w:rsidR="00BC70C9" w:rsidRPr="00DB6B17">
        <w:rPr>
          <w:rFonts w:cs="Arial"/>
        </w:rPr>
        <w:t>he F</w:t>
      </w:r>
      <w:r w:rsidR="0003321E" w:rsidRPr="00DB6B17">
        <w:rPr>
          <w:rFonts w:cs="Arial"/>
        </w:rPr>
        <w:t xml:space="preserve">iscal Year (FY) </w:t>
      </w:r>
      <w:r w:rsidR="00BC70C9" w:rsidRPr="00DB6B17">
        <w:rPr>
          <w:rFonts w:cs="Arial"/>
        </w:rPr>
        <w:t>2020</w:t>
      </w:r>
      <w:r w:rsidR="00935E33" w:rsidRPr="00DB6B17">
        <w:rPr>
          <w:rFonts w:cs="Arial"/>
        </w:rPr>
        <w:t>–</w:t>
      </w:r>
      <w:r w:rsidR="00BC70C9" w:rsidRPr="00DB6B17">
        <w:rPr>
          <w:rFonts w:cs="Arial"/>
        </w:rPr>
        <w:t xml:space="preserve">21 CTEIG </w:t>
      </w:r>
      <w:r w:rsidR="009A32D9" w:rsidRPr="00DB6B17">
        <w:rPr>
          <w:rFonts w:cs="Arial"/>
        </w:rPr>
        <w:t>and the K–12 SWP application process</w:t>
      </w:r>
      <w:r w:rsidR="005859C2" w:rsidRPr="00DB6B17">
        <w:rPr>
          <w:rFonts w:cs="Arial"/>
        </w:rPr>
        <w:t>.</w:t>
      </w:r>
    </w:p>
    <w:p w14:paraId="21ECEE9F" w14:textId="4261C420" w:rsidR="00167E35" w:rsidRPr="00DB6B17" w:rsidRDefault="00E60842" w:rsidP="005859C2">
      <w:pPr>
        <w:pStyle w:val="ListParagraph"/>
        <w:numPr>
          <w:ilvl w:val="0"/>
          <w:numId w:val="12"/>
        </w:numPr>
        <w:tabs>
          <w:tab w:val="left" w:pos="1755"/>
        </w:tabs>
        <w:spacing w:after="240"/>
        <w:contextualSpacing w:val="0"/>
        <w:rPr>
          <w:rFonts w:cs="Arial"/>
        </w:rPr>
      </w:pPr>
      <w:r w:rsidRPr="00DB6B17">
        <w:rPr>
          <w:rFonts w:cs="Arial"/>
        </w:rPr>
        <w:t>A</w:t>
      </w:r>
      <w:r w:rsidR="00BC70C9" w:rsidRPr="00DB6B17">
        <w:rPr>
          <w:rFonts w:cs="Arial"/>
        </w:rPr>
        <w:t xml:space="preserve"> series of summary data reports on the CTEIG and K–12 SWP programs</w:t>
      </w:r>
      <w:r w:rsidR="00167E35" w:rsidRPr="00DB6B17">
        <w:rPr>
          <w:rFonts w:cs="Arial"/>
        </w:rPr>
        <w:t>,</w:t>
      </w:r>
      <w:r w:rsidR="00BC70C9" w:rsidRPr="00DB6B17">
        <w:rPr>
          <w:rFonts w:cs="Arial"/>
        </w:rPr>
        <w:t xml:space="preserve"> using charts and graphs.</w:t>
      </w:r>
    </w:p>
    <w:p w14:paraId="6089B266" w14:textId="1191BA5C" w:rsidR="00167E35" w:rsidRPr="00DB6B17" w:rsidRDefault="00F814C5" w:rsidP="005859C2">
      <w:pPr>
        <w:pStyle w:val="ListParagraph"/>
        <w:numPr>
          <w:ilvl w:val="0"/>
          <w:numId w:val="12"/>
        </w:numPr>
        <w:tabs>
          <w:tab w:val="left" w:pos="1755"/>
        </w:tabs>
        <w:spacing w:after="240"/>
        <w:contextualSpacing w:val="0"/>
        <w:rPr>
          <w:rFonts w:cs="Arial"/>
        </w:rPr>
      </w:pPr>
      <w:r w:rsidRPr="00DB6B17">
        <w:rPr>
          <w:rFonts w:cs="Arial"/>
        </w:rPr>
        <w:t>T</w:t>
      </w:r>
      <w:r w:rsidR="00BC70C9" w:rsidRPr="00DB6B17">
        <w:rPr>
          <w:rFonts w:cs="Arial"/>
        </w:rPr>
        <w:t>he Memorandum of Understanding (MOU) regarding the sharing of data between</w:t>
      </w:r>
      <w:r w:rsidR="0003321E" w:rsidRPr="00DB6B17">
        <w:rPr>
          <w:rFonts w:cs="Arial"/>
        </w:rPr>
        <w:t xml:space="preserve"> the</w:t>
      </w:r>
      <w:r w:rsidR="00BC70C9" w:rsidRPr="00DB6B17">
        <w:rPr>
          <w:rFonts w:cs="Arial"/>
        </w:rPr>
        <w:t xml:space="preserve"> </w:t>
      </w:r>
      <w:r w:rsidR="006D3B36" w:rsidRPr="00DB6B17">
        <w:rPr>
          <w:rFonts w:cs="Arial"/>
        </w:rPr>
        <w:t>California Department of Education (</w:t>
      </w:r>
      <w:r w:rsidR="00BC70C9" w:rsidRPr="00DB6B17">
        <w:rPr>
          <w:rFonts w:cs="Arial"/>
        </w:rPr>
        <w:t>CDE</w:t>
      </w:r>
      <w:r w:rsidR="006D3B36" w:rsidRPr="00DB6B17">
        <w:rPr>
          <w:rFonts w:cs="Arial"/>
        </w:rPr>
        <w:t>)</w:t>
      </w:r>
      <w:r w:rsidR="00BC70C9" w:rsidRPr="00DB6B17">
        <w:rPr>
          <w:rFonts w:cs="Arial"/>
        </w:rPr>
        <w:t xml:space="preserve"> and the </w:t>
      </w:r>
      <w:r w:rsidR="006D3B36" w:rsidRPr="00DB6B17">
        <w:rPr>
          <w:rFonts w:cs="Arial"/>
        </w:rPr>
        <w:t>California Community Colleges Chancellor’s Office (</w:t>
      </w:r>
      <w:r w:rsidR="00BC70C9" w:rsidRPr="00DB6B17">
        <w:rPr>
          <w:rFonts w:cs="Arial"/>
        </w:rPr>
        <w:t>CCCCO</w:t>
      </w:r>
      <w:r w:rsidR="006D3B36" w:rsidRPr="00DB6B17">
        <w:rPr>
          <w:rFonts w:cs="Arial"/>
        </w:rPr>
        <w:t>)</w:t>
      </w:r>
      <w:r w:rsidR="00BC70C9" w:rsidRPr="00DB6B17">
        <w:rPr>
          <w:rFonts w:cs="Arial"/>
        </w:rPr>
        <w:t>.</w:t>
      </w:r>
    </w:p>
    <w:p w14:paraId="122EE1A2" w14:textId="4C5E5F67" w:rsidR="00167E35" w:rsidRPr="00DB6B17" w:rsidRDefault="00167E35" w:rsidP="00641BC4">
      <w:pPr>
        <w:pStyle w:val="ListParagraph"/>
        <w:numPr>
          <w:ilvl w:val="0"/>
          <w:numId w:val="12"/>
        </w:numPr>
        <w:tabs>
          <w:tab w:val="left" w:pos="1755"/>
        </w:tabs>
        <w:spacing w:after="240"/>
        <w:rPr>
          <w:rFonts w:cs="Arial"/>
        </w:rPr>
      </w:pPr>
      <w:r w:rsidRPr="00DB6B17">
        <w:rPr>
          <w:rFonts w:cs="Arial"/>
        </w:rPr>
        <w:lastRenderedPageBreak/>
        <w:t>R</w:t>
      </w:r>
      <w:r w:rsidR="004E74CA" w:rsidRPr="00DB6B17">
        <w:rPr>
          <w:rFonts w:cs="Arial"/>
        </w:rPr>
        <w:t>evisions to</w:t>
      </w:r>
      <w:r w:rsidRPr="00DB6B17">
        <w:rPr>
          <w:rFonts w:cs="Arial"/>
        </w:rPr>
        <w:t xml:space="preserve"> </w:t>
      </w:r>
      <w:r w:rsidR="00E60842" w:rsidRPr="00DB6B17">
        <w:rPr>
          <w:rFonts w:cs="Arial"/>
        </w:rPr>
        <w:t>CTEIG and K–12 SWP data metrics</w:t>
      </w:r>
      <w:r w:rsidRPr="00DB6B17">
        <w:rPr>
          <w:rFonts w:cs="Arial"/>
        </w:rPr>
        <w:t>.</w:t>
      </w:r>
    </w:p>
    <w:p w14:paraId="567E3642" w14:textId="06C30828" w:rsidR="004E74CA" w:rsidRPr="00DB6B17" w:rsidRDefault="004E74CA" w:rsidP="004E74CA">
      <w:pPr>
        <w:pStyle w:val="Heading2"/>
        <w:spacing w:before="480" w:after="240"/>
        <w:rPr>
          <w:rFonts w:cs="Arial"/>
          <w:sz w:val="36"/>
          <w:szCs w:val="36"/>
        </w:rPr>
      </w:pPr>
      <w:r w:rsidRPr="00DB6B17">
        <w:rPr>
          <w:rFonts w:cs="Arial"/>
          <w:sz w:val="36"/>
          <w:szCs w:val="36"/>
        </w:rPr>
        <w:t>Recommendation</w:t>
      </w:r>
    </w:p>
    <w:p w14:paraId="7BD8B4C2" w14:textId="4CC9BE53" w:rsidR="007C62BA" w:rsidRPr="00DB6B17" w:rsidRDefault="004E74CA" w:rsidP="004E74CA">
      <w:pPr>
        <w:spacing w:after="240"/>
        <w:rPr>
          <w:rFonts w:cs="Arial"/>
        </w:rPr>
      </w:pPr>
      <w:r w:rsidRPr="00DB6B17">
        <w:rPr>
          <w:rFonts w:cs="Arial"/>
        </w:rPr>
        <w:t xml:space="preserve">The staff of the CDE and </w:t>
      </w:r>
      <w:r w:rsidR="00347FBF" w:rsidRPr="00DB6B17">
        <w:rPr>
          <w:rFonts w:cs="Arial"/>
        </w:rPr>
        <w:t xml:space="preserve">the </w:t>
      </w:r>
      <w:r w:rsidRPr="00DB6B17">
        <w:rPr>
          <w:rFonts w:cs="Arial"/>
        </w:rPr>
        <w:t>CCCCO recommend that the C</w:t>
      </w:r>
      <w:r w:rsidR="00F75E4C" w:rsidRPr="00DB6B17">
        <w:rPr>
          <w:rFonts w:cs="Arial"/>
        </w:rPr>
        <w:t xml:space="preserve">alifornia </w:t>
      </w:r>
      <w:r w:rsidRPr="00DB6B17">
        <w:rPr>
          <w:rFonts w:cs="Arial"/>
        </w:rPr>
        <w:t>W</w:t>
      </w:r>
      <w:r w:rsidR="00F75E4C" w:rsidRPr="00DB6B17">
        <w:rPr>
          <w:rFonts w:cs="Arial"/>
        </w:rPr>
        <w:t xml:space="preserve">orkforce </w:t>
      </w:r>
      <w:r w:rsidRPr="00DB6B17">
        <w:rPr>
          <w:rFonts w:cs="Arial"/>
        </w:rPr>
        <w:t>P</w:t>
      </w:r>
      <w:r w:rsidR="00F75E4C" w:rsidRPr="00DB6B17">
        <w:rPr>
          <w:rFonts w:cs="Arial"/>
        </w:rPr>
        <w:t xml:space="preserve">athways </w:t>
      </w:r>
      <w:r w:rsidRPr="00DB6B17">
        <w:rPr>
          <w:rFonts w:cs="Arial"/>
        </w:rPr>
        <w:t>J</w:t>
      </w:r>
      <w:r w:rsidR="00F75E4C" w:rsidRPr="00DB6B17">
        <w:rPr>
          <w:rFonts w:cs="Arial"/>
        </w:rPr>
        <w:t xml:space="preserve">oint </w:t>
      </w:r>
      <w:r w:rsidRPr="00DB6B17">
        <w:rPr>
          <w:rFonts w:cs="Arial"/>
        </w:rPr>
        <w:t>A</w:t>
      </w:r>
      <w:r w:rsidR="00F75E4C" w:rsidRPr="00DB6B17">
        <w:rPr>
          <w:rFonts w:cs="Arial"/>
        </w:rPr>
        <w:t xml:space="preserve">dvisory </w:t>
      </w:r>
      <w:r w:rsidRPr="00DB6B17">
        <w:rPr>
          <w:rFonts w:cs="Arial"/>
        </w:rPr>
        <w:t>C</w:t>
      </w:r>
      <w:r w:rsidR="00F75E4C" w:rsidRPr="00DB6B17">
        <w:rPr>
          <w:rFonts w:cs="Arial"/>
        </w:rPr>
        <w:t>ommittee (CWPJAC)</w:t>
      </w:r>
      <w:r w:rsidRPr="00DB6B17">
        <w:rPr>
          <w:rFonts w:cs="Arial"/>
        </w:rPr>
        <w:t xml:space="preserve"> review and approve the revisions in </w:t>
      </w:r>
      <w:r w:rsidR="00F814C5" w:rsidRPr="00DB6B17">
        <w:rPr>
          <w:rFonts w:cs="Arial"/>
        </w:rPr>
        <w:t>the 2020</w:t>
      </w:r>
      <w:r w:rsidRPr="00DB6B17">
        <w:rPr>
          <w:rFonts w:cs="Arial"/>
        </w:rPr>
        <w:t xml:space="preserve"> Matrix of Metrics (Attachment 3), and to allow staff to make any necessary, non-substantive clarifying edits to the Matrix of Metrics.</w:t>
      </w:r>
    </w:p>
    <w:p w14:paraId="32C6AAA1" w14:textId="35A267AD" w:rsidR="00B7410C" w:rsidRPr="00DB6B17" w:rsidRDefault="00F814C5" w:rsidP="005859C2">
      <w:pPr>
        <w:pStyle w:val="Heading2"/>
        <w:spacing w:before="480" w:after="240"/>
        <w:rPr>
          <w:rFonts w:cs="Arial"/>
          <w:sz w:val="36"/>
          <w:szCs w:val="36"/>
        </w:rPr>
      </w:pPr>
      <w:r w:rsidRPr="00DB6B17">
        <w:rPr>
          <w:rFonts w:cs="Arial"/>
          <w:sz w:val="36"/>
          <w:szCs w:val="36"/>
        </w:rPr>
        <w:t>Brief History of Key Issues</w:t>
      </w:r>
    </w:p>
    <w:p w14:paraId="5E6E31CA" w14:textId="77777777" w:rsidR="00AE6BBC" w:rsidRPr="00DB6B17" w:rsidRDefault="008C0560" w:rsidP="00AE6BBC">
      <w:pPr>
        <w:spacing w:after="240"/>
        <w:rPr>
          <w:rFonts w:cs="Arial"/>
        </w:rPr>
      </w:pPr>
      <w:r w:rsidRPr="00DB6B17">
        <w:t>The CTEIG was originally established by the Budget Act of 2015 with a one-time investment of $900 million to cover a three-year span</w:t>
      </w:r>
      <w:r w:rsidR="004A3BD0" w:rsidRPr="00DB6B17">
        <w:t>,</w:t>
      </w:r>
      <w:r w:rsidRPr="00DB6B17">
        <w:t xml:space="preserve"> and as a bridge for local educational agencies (LEAs) until the local control funding formula was fully funded. </w:t>
      </w:r>
      <w:r w:rsidR="00AE6BBC" w:rsidRPr="00DB6B17">
        <w:rPr>
          <w:rFonts w:cs="Arial"/>
        </w:rPr>
        <w:t xml:space="preserve">The CTEIG and the K–12 SWP companion state programs were enacted by the 2018 Budget Act; </w:t>
      </w:r>
      <w:r w:rsidR="00AE6BBC" w:rsidRPr="00DB6B17">
        <w:t>$300 million was allocated equally between the CTEIG and K–12 SWP. An additional $13.5 million was provided annually to establish technical assistance providers and workforce pathway coordinators in support of both state initiatives.</w:t>
      </w:r>
    </w:p>
    <w:p w14:paraId="327033F0" w14:textId="447903D3" w:rsidR="008C0560" w:rsidRPr="00DB6B17" w:rsidRDefault="00AE6BBC" w:rsidP="0078733C">
      <w:pPr>
        <w:spacing w:after="240"/>
        <w:rPr>
          <w:rFonts w:cs="Arial"/>
        </w:rPr>
      </w:pPr>
      <w:r w:rsidRPr="00DB6B17">
        <w:rPr>
          <w:rFonts w:cs="Arial"/>
        </w:rPr>
        <w:t>The CTEIG and the K–12 SWP are administered by the CDE and the CCCCO, respectively</w:t>
      </w:r>
      <w:r w:rsidRPr="00DB6B17">
        <w:t xml:space="preserve">. </w:t>
      </w:r>
      <w:r w:rsidR="008C0560" w:rsidRPr="00DB6B17">
        <w:t xml:space="preserve"> </w:t>
      </w:r>
    </w:p>
    <w:p w14:paraId="7DB43574" w14:textId="2C9A402A" w:rsidR="00F75E4C" w:rsidRPr="00DB6B17" w:rsidRDefault="00F75E4C" w:rsidP="00F75E4C">
      <w:pPr>
        <w:tabs>
          <w:tab w:val="left" w:pos="1755"/>
        </w:tabs>
        <w:spacing w:after="240"/>
        <w:rPr>
          <w:rFonts w:cs="Arial"/>
        </w:rPr>
      </w:pPr>
      <w:r w:rsidRPr="00DB6B17">
        <w:rPr>
          <w:rFonts w:cs="Arial"/>
        </w:rPr>
        <w:t xml:space="preserve">The CWPJAC, per </w:t>
      </w:r>
      <w:r w:rsidR="004A3BD0" w:rsidRPr="00DB6B17">
        <w:rPr>
          <w:rFonts w:cs="Arial"/>
        </w:rPr>
        <w:t xml:space="preserve">California </w:t>
      </w:r>
      <w:r w:rsidRPr="00DB6B17">
        <w:rPr>
          <w:rFonts w:cs="Arial"/>
          <w:i/>
        </w:rPr>
        <w:t>Education Code</w:t>
      </w:r>
      <w:r w:rsidRPr="00DB6B17">
        <w:rPr>
          <w:rFonts w:cs="Arial"/>
        </w:rPr>
        <w:t xml:space="preserve"> (</w:t>
      </w:r>
      <w:r w:rsidRPr="00DB6B17">
        <w:rPr>
          <w:rFonts w:cs="Arial"/>
          <w:i/>
        </w:rPr>
        <w:t>EC</w:t>
      </w:r>
      <w:r w:rsidRPr="00DB6B17">
        <w:rPr>
          <w:rFonts w:cs="Arial"/>
        </w:rPr>
        <w:t>)</w:t>
      </w:r>
      <w:r w:rsidRPr="00DB6B17">
        <w:rPr>
          <w:rFonts w:cs="Arial"/>
          <w:i/>
        </w:rPr>
        <w:t xml:space="preserve"> </w:t>
      </w:r>
      <w:r w:rsidRPr="00DB6B17">
        <w:rPr>
          <w:rFonts w:cs="Arial"/>
        </w:rPr>
        <w:t>sections 53071 and 88828, has the responsibility for making recommendations regarding the use of metrics for the CTEIG and the K–12 SWP to the Department of Finance, the Governor, and appropriate policy and fiscal committees of the Legislature regarding whether:</w:t>
      </w:r>
    </w:p>
    <w:p w14:paraId="057394A9" w14:textId="77777777" w:rsidR="00F75E4C" w:rsidRPr="00DB6B17" w:rsidRDefault="00F75E4C" w:rsidP="00F75E4C">
      <w:pPr>
        <w:pStyle w:val="ListParagraph"/>
        <w:numPr>
          <w:ilvl w:val="0"/>
          <w:numId w:val="15"/>
        </w:numPr>
        <w:tabs>
          <w:tab w:val="left" w:pos="1755"/>
        </w:tabs>
        <w:spacing w:after="240"/>
        <w:ind w:left="720"/>
        <w:contextualSpacing w:val="0"/>
        <w:rPr>
          <w:rFonts w:cs="Arial"/>
        </w:rPr>
      </w:pPr>
      <w:r w:rsidRPr="00DB6B17">
        <w:rPr>
          <w:rFonts w:cs="Arial"/>
        </w:rPr>
        <w:t>The data metrics remain the most appropriate metrics to measure and evaluate program outcomes for both new and renewal applicants.</w:t>
      </w:r>
    </w:p>
    <w:p w14:paraId="3E1AD210" w14:textId="3CF5F4D9" w:rsidR="00F75E4C" w:rsidRPr="00DB6B17" w:rsidRDefault="00F75E4C" w:rsidP="00F75E4C">
      <w:pPr>
        <w:pStyle w:val="ListParagraph"/>
        <w:numPr>
          <w:ilvl w:val="0"/>
          <w:numId w:val="15"/>
        </w:numPr>
        <w:tabs>
          <w:tab w:val="left" w:pos="1755"/>
        </w:tabs>
        <w:spacing w:after="240"/>
        <w:ind w:left="720"/>
        <w:contextualSpacing w:val="0"/>
        <w:rPr>
          <w:rFonts w:cs="Arial"/>
        </w:rPr>
      </w:pPr>
      <w:r w:rsidRPr="00DB6B17">
        <w:rPr>
          <w:rFonts w:cs="Arial"/>
        </w:rPr>
        <w:t>Other metrics should be included.</w:t>
      </w:r>
    </w:p>
    <w:p w14:paraId="42BEFD34" w14:textId="21C90A18" w:rsidR="004A3BD0" w:rsidRPr="00DB6B17" w:rsidRDefault="004A3BD0" w:rsidP="0078733C">
      <w:pPr>
        <w:tabs>
          <w:tab w:val="left" w:pos="1755"/>
        </w:tabs>
        <w:spacing w:after="240"/>
        <w:rPr>
          <w:rFonts w:cs="Arial"/>
        </w:rPr>
      </w:pPr>
      <w:r w:rsidRPr="00DB6B17">
        <w:rPr>
          <w:rFonts w:cs="Arial"/>
        </w:rPr>
        <w:t>These recommendations are due by November 30 each year.</w:t>
      </w:r>
    </w:p>
    <w:p w14:paraId="1A6475B8" w14:textId="74C132CC" w:rsidR="00BC70C9" w:rsidRPr="00DB6B17" w:rsidRDefault="005F590E" w:rsidP="007051E8">
      <w:pPr>
        <w:tabs>
          <w:tab w:val="left" w:pos="1755"/>
        </w:tabs>
        <w:spacing w:after="240"/>
        <w:rPr>
          <w:rFonts w:cs="Arial"/>
          <w:b/>
        </w:rPr>
      </w:pPr>
      <w:r w:rsidRPr="00DB6B17">
        <w:rPr>
          <w:rFonts w:cs="Arial"/>
          <w:b/>
        </w:rPr>
        <w:t>An Update of the FY</w:t>
      </w:r>
      <w:r w:rsidR="0003321E" w:rsidRPr="00DB6B17">
        <w:rPr>
          <w:rFonts w:cs="Arial"/>
          <w:b/>
        </w:rPr>
        <w:t xml:space="preserve"> </w:t>
      </w:r>
      <w:r w:rsidRPr="00DB6B17">
        <w:rPr>
          <w:rFonts w:cs="Arial"/>
          <w:b/>
        </w:rPr>
        <w:t>2020</w:t>
      </w:r>
      <w:r w:rsidR="0003321E" w:rsidRPr="00DB6B17">
        <w:rPr>
          <w:rFonts w:cs="Arial"/>
          <w:b/>
        </w:rPr>
        <w:t>–</w:t>
      </w:r>
      <w:r w:rsidRPr="00DB6B17">
        <w:rPr>
          <w:rFonts w:cs="Arial"/>
          <w:b/>
        </w:rPr>
        <w:t>21 CTEIG Application Process</w:t>
      </w:r>
    </w:p>
    <w:p w14:paraId="7CEA87F3" w14:textId="09E44917" w:rsidR="00432E90" w:rsidRPr="00DB6B17" w:rsidRDefault="00432E90" w:rsidP="00BE5EC4">
      <w:pPr>
        <w:tabs>
          <w:tab w:val="left" w:pos="1755"/>
        </w:tabs>
        <w:spacing w:after="240"/>
        <w:rPr>
          <w:rFonts w:cs="Arial"/>
        </w:rPr>
      </w:pPr>
      <w:r w:rsidRPr="00DB6B17">
        <w:rPr>
          <w:rFonts w:cs="Arial"/>
        </w:rPr>
        <w:t>During the FY</w:t>
      </w:r>
      <w:r w:rsidR="00C30DAE" w:rsidRPr="00DB6B17">
        <w:rPr>
          <w:rFonts w:cs="Arial"/>
        </w:rPr>
        <w:t xml:space="preserve"> </w:t>
      </w:r>
      <w:r w:rsidRPr="00DB6B17">
        <w:rPr>
          <w:rFonts w:cs="Arial"/>
        </w:rPr>
        <w:t>2019</w:t>
      </w:r>
      <w:r w:rsidR="00C30DAE" w:rsidRPr="00DB6B17">
        <w:rPr>
          <w:rFonts w:cs="Arial"/>
        </w:rPr>
        <w:t>–</w:t>
      </w:r>
      <w:r w:rsidRPr="00DB6B17">
        <w:rPr>
          <w:rFonts w:cs="Arial"/>
        </w:rPr>
        <w:t xml:space="preserve">20 CTEIG grant cycle application process, issues </w:t>
      </w:r>
      <w:r w:rsidR="004F2C82" w:rsidRPr="00DB6B17">
        <w:rPr>
          <w:rFonts w:cs="Arial"/>
        </w:rPr>
        <w:t>a</w:t>
      </w:r>
      <w:r w:rsidRPr="00DB6B17">
        <w:rPr>
          <w:rFonts w:cs="Arial"/>
        </w:rPr>
        <w:t>rose regarding the following:</w:t>
      </w:r>
    </w:p>
    <w:p w14:paraId="6C012FC9" w14:textId="332B436C" w:rsidR="00432E90" w:rsidRPr="00DB6B17" w:rsidRDefault="00432E90" w:rsidP="008903CD">
      <w:pPr>
        <w:pStyle w:val="ListParagraph"/>
        <w:numPr>
          <w:ilvl w:val="0"/>
          <w:numId w:val="10"/>
        </w:numPr>
        <w:tabs>
          <w:tab w:val="left" w:pos="1755"/>
        </w:tabs>
        <w:spacing w:after="240"/>
        <w:ind w:left="778"/>
        <w:contextualSpacing w:val="0"/>
        <w:rPr>
          <w:rFonts w:cs="Arial"/>
        </w:rPr>
      </w:pPr>
      <w:r w:rsidRPr="00DB6B17">
        <w:rPr>
          <w:rFonts w:cs="Arial"/>
        </w:rPr>
        <w:t xml:space="preserve">Average daily attendance (ADA) categories used (small, medium, </w:t>
      </w:r>
      <w:r w:rsidR="00C30DAE" w:rsidRPr="00DB6B17">
        <w:rPr>
          <w:rFonts w:cs="Arial"/>
        </w:rPr>
        <w:t xml:space="preserve">and </w:t>
      </w:r>
      <w:r w:rsidRPr="00DB6B17">
        <w:rPr>
          <w:rFonts w:cs="Arial"/>
        </w:rPr>
        <w:t>large) were different from ones used in the FY</w:t>
      </w:r>
      <w:r w:rsidR="00C30DAE" w:rsidRPr="00DB6B17">
        <w:rPr>
          <w:rFonts w:cs="Arial"/>
        </w:rPr>
        <w:t xml:space="preserve"> </w:t>
      </w:r>
      <w:r w:rsidRPr="00DB6B17">
        <w:rPr>
          <w:rFonts w:cs="Arial"/>
        </w:rPr>
        <w:t>2018</w:t>
      </w:r>
      <w:r w:rsidR="00C30DAE" w:rsidRPr="00DB6B17">
        <w:rPr>
          <w:rFonts w:cs="Arial"/>
        </w:rPr>
        <w:t>–</w:t>
      </w:r>
      <w:r w:rsidRPr="00DB6B17">
        <w:rPr>
          <w:rFonts w:cs="Arial"/>
        </w:rPr>
        <w:t>19 grant cycle</w:t>
      </w:r>
      <w:r w:rsidR="004F2C82" w:rsidRPr="00DB6B17">
        <w:rPr>
          <w:rFonts w:cs="Arial"/>
        </w:rPr>
        <w:t>,</w:t>
      </w:r>
      <w:r w:rsidRPr="00DB6B17">
        <w:rPr>
          <w:rFonts w:cs="Arial"/>
        </w:rPr>
        <w:t xml:space="preserve"> leading to confusion among LEAs on the awarding of the grants.</w:t>
      </w:r>
    </w:p>
    <w:p w14:paraId="5A381371" w14:textId="5439B1E8" w:rsidR="00FA7613" w:rsidRPr="00DB6B17" w:rsidRDefault="00FA7613" w:rsidP="004F2C82">
      <w:pPr>
        <w:pStyle w:val="ListParagraph"/>
        <w:numPr>
          <w:ilvl w:val="0"/>
          <w:numId w:val="10"/>
        </w:numPr>
        <w:tabs>
          <w:tab w:val="left" w:pos="1755"/>
        </w:tabs>
        <w:spacing w:after="240"/>
        <w:ind w:left="778"/>
        <w:contextualSpacing w:val="0"/>
        <w:rPr>
          <w:rFonts w:cs="Arial"/>
        </w:rPr>
      </w:pPr>
      <w:r w:rsidRPr="00DB6B17">
        <w:rPr>
          <w:rFonts w:cs="Arial"/>
        </w:rPr>
        <w:t>An error was made in the addition of ADA for two LEAs.</w:t>
      </w:r>
    </w:p>
    <w:p w14:paraId="188708E0" w14:textId="338ECECF" w:rsidR="001C4C02" w:rsidRPr="00DB6B17" w:rsidRDefault="001C4C02" w:rsidP="00432E90">
      <w:pPr>
        <w:pStyle w:val="ListParagraph"/>
        <w:numPr>
          <w:ilvl w:val="0"/>
          <w:numId w:val="10"/>
        </w:numPr>
        <w:tabs>
          <w:tab w:val="left" w:pos="1755"/>
        </w:tabs>
        <w:spacing w:after="240"/>
        <w:rPr>
          <w:rFonts w:cs="Arial"/>
          <w:strike/>
        </w:rPr>
      </w:pPr>
      <w:r w:rsidRPr="00DB6B17">
        <w:rPr>
          <w:rFonts w:cs="Arial"/>
        </w:rPr>
        <w:lastRenderedPageBreak/>
        <w:t>The evaluation</w:t>
      </w:r>
      <w:r w:rsidR="00E60842" w:rsidRPr="00DB6B17">
        <w:rPr>
          <w:rFonts w:cs="Arial"/>
        </w:rPr>
        <w:t xml:space="preserve"> criteria for</w:t>
      </w:r>
      <w:r w:rsidRPr="00DB6B17">
        <w:rPr>
          <w:rFonts w:cs="Arial"/>
        </w:rPr>
        <w:t xml:space="preserve"> renewal grant applications was not applied</w:t>
      </w:r>
      <w:r w:rsidR="00585CC0" w:rsidRPr="00DB6B17">
        <w:rPr>
          <w:rFonts w:cs="Arial"/>
        </w:rPr>
        <w:t xml:space="preserve"> due to the lack of data</w:t>
      </w:r>
      <w:r w:rsidR="008903CD" w:rsidRPr="00DB6B17">
        <w:rPr>
          <w:rFonts w:cs="Arial"/>
        </w:rPr>
        <w:t>.</w:t>
      </w:r>
    </w:p>
    <w:p w14:paraId="123F382F" w14:textId="00EAE12C" w:rsidR="00BE5EC4" w:rsidRPr="00DB6B17" w:rsidRDefault="001C4C02" w:rsidP="00BE5EC4">
      <w:pPr>
        <w:tabs>
          <w:tab w:val="left" w:pos="1755"/>
        </w:tabs>
        <w:spacing w:after="240"/>
        <w:rPr>
          <w:rFonts w:cs="Arial"/>
        </w:rPr>
      </w:pPr>
      <w:r w:rsidRPr="00DB6B17">
        <w:rPr>
          <w:rFonts w:cs="Arial"/>
        </w:rPr>
        <w:t>The above issues have been addressed in the FY</w:t>
      </w:r>
      <w:r w:rsidR="00C30DAE" w:rsidRPr="00DB6B17">
        <w:rPr>
          <w:rFonts w:cs="Arial"/>
        </w:rPr>
        <w:t xml:space="preserve"> </w:t>
      </w:r>
      <w:r w:rsidRPr="00DB6B17">
        <w:rPr>
          <w:rFonts w:cs="Arial"/>
        </w:rPr>
        <w:t>2020</w:t>
      </w:r>
      <w:r w:rsidR="00C30DAE" w:rsidRPr="00DB6B17">
        <w:rPr>
          <w:rFonts w:cs="Arial"/>
        </w:rPr>
        <w:t>–</w:t>
      </w:r>
      <w:r w:rsidRPr="00DB6B17">
        <w:rPr>
          <w:rFonts w:cs="Arial"/>
        </w:rPr>
        <w:t xml:space="preserve">21 CTEIG Request for Applications (RFA), which </w:t>
      </w:r>
      <w:r w:rsidR="00BE5EC4" w:rsidRPr="00DB6B17">
        <w:rPr>
          <w:rFonts w:cs="Arial"/>
        </w:rPr>
        <w:t xml:space="preserve">was released </w:t>
      </w:r>
      <w:r w:rsidR="00C30DAE" w:rsidRPr="00DB6B17">
        <w:rPr>
          <w:rFonts w:cs="Arial"/>
        </w:rPr>
        <w:t xml:space="preserve">to </w:t>
      </w:r>
      <w:r w:rsidRPr="00DB6B17">
        <w:rPr>
          <w:rFonts w:cs="Arial"/>
        </w:rPr>
        <w:t>LEAs</w:t>
      </w:r>
      <w:r w:rsidR="00BE5EC4" w:rsidRPr="00DB6B17">
        <w:rPr>
          <w:rFonts w:cs="Arial"/>
        </w:rPr>
        <w:t xml:space="preserve"> in August 2020</w:t>
      </w:r>
      <w:r w:rsidR="00347FBF" w:rsidRPr="00DB6B17">
        <w:rPr>
          <w:rFonts w:cs="Arial"/>
        </w:rPr>
        <w:t>,</w:t>
      </w:r>
      <w:r w:rsidR="00FA7613" w:rsidRPr="00DB6B17">
        <w:rPr>
          <w:rFonts w:cs="Arial"/>
        </w:rPr>
        <w:t xml:space="preserve"> and can be found </w:t>
      </w:r>
      <w:r w:rsidR="00347FBF" w:rsidRPr="00DB6B17">
        <w:rPr>
          <w:rFonts w:cs="Arial"/>
        </w:rPr>
        <w:t xml:space="preserve">on the </w:t>
      </w:r>
      <w:hyperlink r:id="rId11" w:history="1">
        <w:r w:rsidR="004C301B" w:rsidRPr="00F17B9D">
          <w:rPr>
            <w:rStyle w:val="Hyperlink"/>
            <w:rFonts w:cs="Arial"/>
          </w:rPr>
          <w:t>CTEIG RFA web page</w:t>
        </w:r>
      </w:hyperlink>
      <w:r w:rsidR="00BE5EC4" w:rsidRPr="00DB6B17">
        <w:rPr>
          <w:rFonts w:cs="Arial"/>
        </w:rPr>
        <w:t xml:space="preserve">. The application due date </w:t>
      </w:r>
      <w:r w:rsidR="00194775" w:rsidRPr="00DB6B17">
        <w:rPr>
          <w:rFonts w:cs="Arial"/>
        </w:rPr>
        <w:t>i</w:t>
      </w:r>
      <w:r w:rsidR="00BE5EC4" w:rsidRPr="00DB6B17">
        <w:rPr>
          <w:rFonts w:cs="Arial"/>
        </w:rPr>
        <w:t>s September 17, 2020.</w:t>
      </w:r>
      <w:r w:rsidR="002717C0" w:rsidRPr="00DB6B17">
        <w:rPr>
          <w:rStyle w:val="CommentReference"/>
        </w:rPr>
        <w:t xml:space="preserve"> </w:t>
      </w:r>
      <w:r w:rsidR="002717C0" w:rsidRPr="00DB6B17">
        <w:rPr>
          <w:rFonts w:cs="Arial"/>
        </w:rPr>
        <w:t>B</w:t>
      </w:r>
      <w:r w:rsidR="00FA7613" w:rsidRPr="00DB6B17">
        <w:rPr>
          <w:rFonts w:cs="Arial"/>
        </w:rPr>
        <w:t>y the time the CWPJAC holds its September 25, 2020</w:t>
      </w:r>
      <w:r w:rsidR="002717C0" w:rsidRPr="00DB6B17">
        <w:rPr>
          <w:rFonts w:cs="Arial"/>
        </w:rPr>
        <w:t>,</w:t>
      </w:r>
      <w:r w:rsidR="00FA7613" w:rsidRPr="00DB6B17">
        <w:rPr>
          <w:rFonts w:cs="Arial"/>
        </w:rPr>
        <w:t xml:space="preserve"> meeting, the application review process will be underway</w:t>
      </w:r>
      <w:r w:rsidR="00BE5EC4" w:rsidRPr="00DB6B17">
        <w:rPr>
          <w:rFonts w:cs="Arial"/>
        </w:rPr>
        <w:t xml:space="preserve"> and the successful grantee list will be presented to the State Board of Education (SBE) at its November 2020 meeting.</w:t>
      </w:r>
    </w:p>
    <w:p w14:paraId="281A8C52" w14:textId="4814DCB6" w:rsidR="004207DC" w:rsidRPr="00DB6B17" w:rsidRDefault="004207DC" w:rsidP="0070334E">
      <w:pPr>
        <w:spacing w:after="240"/>
        <w:rPr>
          <w:rFonts w:cs="Arial"/>
        </w:rPr>
      </w:pPr>
      <w:r w:rsidRPr="00DB6B17">
        <w:rPr>
          <w:rFonts w:cs="Arial"/>
        </w:rPr>
        <w:t>Based on the review of the last grant cycle, t</w:t>
      </w:r>
      <w:r w:rsidR="002F3981" w:rsidRPr="00DB6B17">
        <w:rPr>
          <w:rFonts w:cs="Arial"/>
        </w:rPr>
        <w:t xml:space="preserve">he above issues were addressed in the following manner. </w:t>
      </w:r>
      <w:r w:rsidRPr="00DB6B17">
        <w:rPr>
          <w:rFonts w:cs="Arial"/>
        </w:rPr>
        <w:t xml:space="preserve">One, it </w:t>
      </w:r>
      <w:r w:rsidR="00384B74" w:rsidRPr="00DB6B17">
        <w:rPr>
          <w:rFonts w:cs="Arial"/>
        </w:rPr>
        <w:t xml:space="preserve">was determined to continue using the three categories of </w:t>
      </w:r>
      <w:r w:rsidRPr="00DB6B17">
        <w:rPr>
          <w:rFonts w:cs="Arial"/>
        </w:rPr>
        <w:t xml:space="preserve">ADA </w:t>
      </w:r>
      <w:r w:rsidR="00384B74" w:rsidRPr="00DB6B17">
        <w:rPr>
          <w:rFonts w:cs="Arial"/>
        </w:rPr>
        <w:t>for the formula allocations as written in the CTEIG legislation. This legislation includes LEAs with ADA less tha</w:t>
      </w:r>
      <w:r w:rsidR="00C30DAE" w:rsidRPr="00DB6B17">
        <w:rPr>
          <w:rFonts w:cs="Arial"/>
        </w:rPr>
        <w:t>n</w:t>
      </w:r>
      <w:r w:rsidR="00384B74" w:rsidRPr="00DB6B17">
        <w:rPr>
          <w:rFonts w:cs="Arial"/>
        </w:rPr>
        <w:t xml:space="preserve"> 140 (small); LEAs with 141</w:t>
      </w:r>
      <w:r w:rsidR="00C30DAE" w:rsidRPr="00DB6B17">
        <w:rPr>
          <w:rFonts w:cs="Arial"/>
        </w:rPr>
        <w:t>–</w:t>
      </w:r>
      <w:r w:rsidR="00384B74" w:rsidRPr="00DB6B17">
        <w:rPr>
          <w:rFonts w:cs="Arial"/>
        </w:rPr>
        <w:t>550 ADA (medium); and LEAs with 500 and more ADA (large).</w:t>
      </w:r>
      <w:r w:rsidR="00E60842" w:rsidRPr="00DB6B17">
        <w:rPr>
          <w:rFonts w:cs="Arial"/>
        </w:rPr>
        <w:t xml:space="preserve"> Use of the three categories will be widely communicated to the field in a series of webinars and through technical assistance during the application period.</w:t>
      </w:r>
    </w:p>
    <w:p w14:paraId="5062CA03" w14:textId="4BBB4362" w:rsidR="004207DC" w:rsidRPr="00DB6B17" w:rsidRDefault="004207DC" w:rsidP="0070334E">
      <w:pPr>
        <w:spacing w:after="240"/>
        <w:rPr>
          <w:rFonts w:cs="Arial"/>
        </w:rPr>
      </w:pPr>
      <w:r w:rsidRPr="00DB6B17">
        <w:rPr>
          <w:rFonts w:cs="Arial"/>
        </w:rPr>
        <w:t>Two, between the FY</w:t>
      </w:r>
      <w:r w:rsidR="00C30DAE" w:rsidRPr="00DB6B17">
        <w:rPr>
          <w:rFonts w:cs="Arial"/>
        </w:rPr>
        <w:t xml:space="preserve"> </w:t>
      </w:r>
      <w:r w:rsidRPr="00DB6B17">
        <w:rPr>
          <w:rFonts w:cs="Arial"/>
        </w:rPr>
        <w:t>2019</w:t>
      </w:r>
      <w:r w:rsidR="00C30DAE" w:rsidRPr="00DB6B17">
        <w:rPr>
          <w:rFonts w:cs="Arial"/>
        </w:rPr>
        <w:t>–</w:t>
      </w:r>
      <w:r w:rsidRPr="00DB6B17">
        <w:rPr>
          <w:rFonts w:cs="Arial"/>
        </w:rPr>
        <w:t>20 grant cycle and the FY</w:t>
      </w:r>
      <w:r w:rsidR="00C30DAE" w:rsidRPr="00DB6B17">
        <w:rPr>
          <w:rFonts w:cs="Arial"/>
        </w:rPr>
        <w:t xml:space="preserve"> </w:t>
      </w:r>
      <w:r w:rsidRPr="00DB6B17">
        <w:rPr>
          <w:rFonts w:cs="Arial"/>
        </w:rPr>
        <w:t>2020</w:t>
      </w:r>
      <w:r w:rsidR="00C30DAE" w:rsidRPr="00DB6B17">
        <w:rPr>
          <w:rFonts w:cs="Arial"/>
        </w:rPr>
        <w:t>–</w:t>
      </w:r>
      <w:r w:rsidRPr="00DB6B17">
        <w:rPr>
          <w:rFonts w:cs="Arial"/>
        </w:rPr>
        <w:t xml:space="preserve">21 grant cycle, </w:t>
      </w:r>
      <w:r w:rsidR="000C63B6" w:rsidRPr="00DB6B17">
        <w:rPr>
          <w:rFonts w:cs="Arial"/>
        </w:rPr>
        <w:t>the Career and College Transition Division (CCTD) within</w:t>
      </w:r>
      <w:r w:rsidR="006D3B36" w:rsidRPr="00DB6B17">
        <w:rPr>
          <w:rFonts w:cs="Arial"/>
        </w:rPr>
        <w:t xml:space="preserve"> the</w:t>
      </w:r>
      <w:r w:rsidR="000C63B6" w:rsidRPr="00DB6B17">
        <w:rPr>
          <w:rFonts w:cs="Arial"/>
        </w:rPr>
        <w:t xml:space="preserve"> CDE</w:t>
      </w:r>
      <w:r w:rsidR="004C301B" w:rsidRPr="00DB6B17">
        <w:rPr>
          <w:rFonts w:cs="Arial"/>
        </w:rPr>
        <w:t>,</w:t>
      </w:r>
      <w:r w:rsidR="000C63B6" w:rsidRPr="00DB6B17">
        <w:rPr>
          <w:rFonts w:cs="Arial"/>
        </w:rPr>
        <w:t xml:space="preserve"> has identified a team </w:t>
      </w:r>
      <w:r w:rsidR="00B601C4" w:rsidRPr="00DB6B17">
        <w:rPr>
          <w:rFonts w:cs="Arial"/>
        </w:rPr>
        <w:t xml:space="preserve">that has been trained on the allocation formula </w:t>
      </w:r>
      <w:r w:rsidR="000C63B6" w:rsidRPr="00DB6B17">
        <w:rPr>
          <w:rFonts w:cs="Arial"/>
        </w:rPr>
        <w:t xml:space="preserve">to ensure that </w:t>
      </w:r>
      <w:r w:rsidR="00B601C4" w:rsidRPr="00DB6B17">
        <w:rPr>
          <w:rFonts w:cs="Arial"/>
        </w:rPr>
        <w:t>it</w:t>
      </w:r>
      <w:r w:rsidR="000C63B6" w:rsidRPr="00DB6B17">
        <w:rPr>
          <w:rFonts w:cs="Arial"/>
        </w:rPr>
        <w:t xml:space="preserve"> will be applied accurately </w:t>
      </w:r>
      <w:r w:rsidR="00B601C4" w:rsidRPr="00DB6B17">
        <w:rPr>
          <w:rFonts w:cs="Arial"/>
        </w:rPr>
        <w:t>during the current CTEIG grant cycle.</w:t>
      </w:r>
    </w:p>
    <w:p w14:paraId="2C9E7459" w14:textId="1FDA80E0" w:rsidR="0070334E" w:rsidRPr="00DB6B17" w:rsidRDefault="004207DC" w:rsidP="0070334E">
      <w:pPr>
        <w:spacing w:after="240"/>
        <w:rPr>
          <w:rFonts w:cs="Arial"/>
          <w:bCs/>
          <w:color w:val="000000"/>
          <w:bdr w:val="none" w:sz="0" w:space="0" w:color="auto" w:frame="1"/>
          <w:lang w:val="en"/>
        </w:rPr>
      </w:pPr>
      <w:r w:rsidRPr="00DB6B17">
        <w:rPr>
          <w:rFonts w:cs="Arial"/>
        </w:rPr>
        <w:t xml:space="preserve">Three, the </w:t>
      </w:r>
      <w:r w:rsidR="004D2A97" w:rsidRPr="00DB6B17">
        <w:rPr>
          <w:rFonts w:cs="Arial"/>
        </w:rPr>
        <w:t xml:space="preserve">updated application </w:t>
      </w:r>
      <w:r w:rsidR="00384B74" w:rsidRPr="00DB6B17">
        <w:rPr>
          <w:rFonts w:cs="Arial"/>
        </w:rPr>
        <w:t xml:space="preserve">now </w:t>
      </w:r>
      <w:r w:rsidR="004D2A97" w:rsidRPr="00DB6B17">
        <w:rPr>
          <w:rFonts w:cs="Arial"/>
        </w:rPr>
        <w:t>distinguishes between renewal and new applications. Renewal applicants are only required to update the information they</w:t>
      </w:r>
      <w:r w:rsidR="004A3BD0" w:rsidRPr="00DB6B17">
        <w:rPr>
          <w:rFonts w:cs="Arial"/>
        </w:rPr>
        <w:t xml:space="preserve"> </w:t>
      </w:r>
      <w:r w:rsidR="004D2A97" w:rsidRPr="00DB6B17">
        <w:rPr>
          <w:rFonts w:cs="Arial"/>
        </w:rPr>
        <w:t>provided on their 20</w:t>
      </w:r>
      <w:r w:rsidR="00C0289A" w:rsidRPr="00DB6B17">
        <w:rPr>
          <w:rFonts w:cs="Arial"/>
        </w:rPr>
        <w:t>19</w:t>
      </w:r>
      <w:r w:rsidR="004D2A97" w:rsidRPr="00DB6B17">
        <w:rPr>
          <w:rFonts w:cs="Arial"/>
        </w:rPr>
        <w:t>–</w:t>
      </w:r>
      <w:r w:rsidR="00C0289A" w:rsidRPr="00DB6B17">
        <w:rPr>
          <w:rFonts w:cs="Arial"/>
        </w:rPr>
        <w:t>20</w:t>
      </w:r>
      <w:r w:rsidR="004D2A97" w:rsidRPr="00DB6B17">
        <w:rPr>
          <w:rFonts w:cs="Arial"/>
        </w:rPr>
        <w:t xml:space="preserve"> applications. </w:t>
      </w:r>
      <w:r w:rsidR="00526679" w:rsidRPr="00DB6B17">
        <w:rPr>
          <w:rFonts w:cs="Arial"/>
        </w:rPr>
        <w:t xml:space="preserve">Additionally, </w:t>
      </w:r>
      <w:r w:rsidR="00627626" w:rsidRPr="00DB6B17">
        <w:rPr>
          <w:rFonts w:cs="Arial"/>
        </w:rPr>
        <w:t>applicants were made aware</w:t>
      </w:r>
      <w:r w:rsidR="00512CAA" w:rsidRPr="00DB6B17">
        <w:rPr>
          <w:rFonts w:cs="Arial"/>
        </w:rPr>
        <w:t xml:space="preserve"> in</w:t>
      </w:r>
      <w:r w:rsidR="00AE7553" w:rsidRPr="00DB6B17">
        <w:rPr>
          <w:rFonts w:cs="Arial"/>
        </w:rPr>
        <w:t xml:space="preserve"> the CTEIG FY</w:t>
      </w:r>
      <w:r w:rsidR="00C30DAE" w:rsidRPr="00DB6B17">
        <w:rPr>
          <w:rFonts w:cs="Arial"/>
        </w:rPr>
        <w:t xml:space="preserve"> </w:t>
      </w:r>
      <w:r w:rsidR="00AE7553" w:rsidRPr="00DB6B17">
        <w:rPr>
          <w:rFonts w:cs="Arial"/>
        </w:rPr>
        <w:t>2020</w:t>
      </w:r>
      <w:r w:rsidR="00C30DAE" w:rsidRPr="00DB6B17">
        <w:rPr>
          <w:rFonts w:cs="Arial"/>
        </w:rPr>
        <w:t>–</w:t>
      </w:r>
      <w:r w:rsidR="00AE7553" w:rsidRPr="00DB6B17">
        <w:rPr>
          <w:rFonts w:cs="Arial"/>
        </w:rPr>
        <w:t>21 RFA</w:t>
      </w:r>
      <w:r w:rsidR="00627626" w:rsidRPr="00DB6B17">
        <w:rPr>
          <w:rFonts w:cs="Arial"/>
        </w:rPr>
        <w:t xml:space="preserve"> of the use of data metr</w:t>
      </w:r>
      <w:r w:rsidR="00A60996" w:rsidRPr="00DB6B17">
        <w:rPr>
          <w:rFonts w:cs="Arial"/>
        </w:rPr>
        <w:t xml:space="preserve">ics to determine the eligibility of renewal grants as stipulated under </w:t>
      </w:r>
      <w:hyperlink r:id="rId12" w:tooltip="EC Section 53073 (b)(1)" w:history="1">
        <w:r w:rsidR="00A60996" w:rsidRPr="00DB6B17">
          <w:rPr>
            <w:rStyle w:val="Hyperlink"/>
            <w:rFonts w:cs="Arial"/>
            <w:i/>
          </w:rPr>
          <w:t xml:space="preserve">EC </w:t>
        </w:r>
        <w:r w:rsidR="00A60996" w:rsidRPr="00DB6B17">
          <w:rPr>
            <w:rStyle w:val="Hyperlink"/>
            <w:rFonts w:cs="Arial"/>
          </w:rPr>
          <w:t>Section 53073</w:t>
        </w:r>
      </w:hyperlink>
      <w:r w:rsidR="00046EE9" w:rsidRPr="00DB6B17">
        <w:rPr>
          <w:rStyle w:val="Hyperlink"/>
          <w:rFonts w:cs="Arial"/>
        </w:rPr>
        <w:t xml:space="preserve"> (b)(1)</w:t>
      </w:r>
      <w:r w:rsidR="0070334E" w:rsidRPr="00DB6B17">
        <w:rPr>
          <w:rStyle w:val="Hyperlink"/>
          <w:rFonts w:cs="Arial"/>
          <w:color w:val="auto"/>
          <w:u w:val="none"/>
        </w:rPr>
        <w:t xml:space="preserve">, which </w:t>
      </w:r>
      <w:r w:rsidR="0070334E" w:rsidRPr="00DB6B17">
        <w:rPr>
          <w:rFonts w:cs="Arial"/>
          <w:bCs/>
          <w:color w:val="000000"/>
          <w:bdr w:val="none" w:sz="0" w:space="0" w:color="auto" w:frame="1"/>
          <w:lang w:val="en"/>
        </w:rPr>
        <w:t xml:space="preserve">requires </w:t>
      </w:r>
      <w:r w:rsidR="0003321E" w:rsidRPr="00DB6B17">
        <w:rPr>
          <w:rFonts w:cs="Arial"/>
          <w:bCs/>
          <w:color w:val="000000"/>
          <w:bdr w:val="none" w:sz="0" w:space="0" w:color="auto" w:frame="1"/>
          <w:lang w:val="en"/>
        </w:rPr>
        <w:t xml:space="preserve">the </w:t>
      </w:r>
      <w:r w:rsidR="0070334E" w:rsidRPr="00DB6B17">
        <w:rPr>
          <w:rFonts w:cs="Arial"/>
          <w:bCs/>
          <w:color w:val="000000"/>
          <w:bdr w:val="none" w:sz="0" w:space="0" w:color="auto" w:frame="1"/>
          <w:lang w:val="en"/>
        </w:rPr>
        <w:t>CDE, in collaboration with the SBE, to determine</w:t>
      </w:r>
      <w:r w:rsidR="00046EE9" w:rsidRPr="00DB6B17">
        <w:rPr>
          <w:rFonts w:cs="Arial"/>
          <w:bCs/>
          <w:color w:val="000000"/>
          <w:bdr w:val="none" w:sz="0" w:space="0" w:color="auto" w:frame="1"/>
          <w:lang w:val="en"/>
        </w:rPr>
        <w:t xml:space="preserve"> reporting requirements and</w:t>
      </w:r>
      <w:r w:rsidR="0070334E" w:rsidRPr="00DB6B17">
        <w:rPr>
          <w:rFonts w:cs="Arial"/>
          <w:bCs/>
          <w:color w:val="000000"/>
          <w:bdr w:val="none" w:sz="0" w:space="0" w:color="auto" w:frame="1"/>
          <w:lang w:val="en"/>
        </w:rPr>
        <w:t xml:space="preserve"> renewal grant </w:t>
      </w:r>
      <w:r w:rsidR="00046EE9" w:rsidRPr="00DB6B17">
        <w:rPr>
          <w:rFonts w:cs="Arial"/>
          <w:bCs/>
          <w:color w:val="000000"/>
          <w:bdr w:val="none" w:sz="0" w:space="0" w:color="auto" w:frame="1"/>
          <w:lang w:val="en"/>
        </w:rPr>
        <w:t>eligibility</w:t>
      </w:r>
      <w:r w:rsidR="0070334E" w:rsidRPr="00DB6B17">
        <w:rPr>
          <w:rFonts w:cs="Arial"/>
          <w:bCs/>
          <w:color w:val="000000"/>
          <w:bdr w:val="none" w:sz="0" w:space="0" w:color="auto" w:frame="1"/>
          <w:lang w:val="en"/>
        </w:rPr>
        <w:t xml:space="preserve">. </w:t>
      </w:r>
      <w:r w:rsidR="00E60842" w:rsidRPr="00DB6B17">
        <w:rPr>
          <w:rFonts w:cs="Arial"/>
        </w:rPr>
        <w:t>New applicants must complete the application in full.</w:t>
      </w:r>
    </w:p>
    <w:p w14:paraId="22B4AFB7" w14:textId="717CA6AC" w:rsidR="00C0289A" w:rsidRPr="00DB6B17" w:rsidRDefault="00AE7553" w:rsidP="008D4CE5">
      <w:pPr>
        <w:spacing w:after="240"/>
        <w:rPr>
          <w:rFonts w:eastAsia="Arial" w:cs="Arial"/>
        </w:rPr>
      </w:pPr>
      <w:r w:rsidRPr="00DB6B17">
        <w:rPr>
          <w:rFonts w:cs="Arial"/>
          <w:bCs/>
        </w:rPr>
        <w:t>In addition, the</w:t>
      </w:r>
      <w:r w:rsidR="007F419D" w:rsidRPr="00DB6B17">
        <w:rPr>
          <w:rFonts w:cs="Arial"/>
          <w:bCs/>
        </w:rPr>
        <w:t xml:space="preserve"> CDE requires the LEAs applying for the CTEIG to </w:t>
      </w:r>
      <w:r w:rsidR="006D70A4" w:rsidRPr="00DB6B17">
        <w:rPr>
          <w:rFonts w:cs="Arial"/>
          <w:bCs/>
        </w:rPr>
        <w:t>meet the minimum eligibility requirements</w:t>
      </w:r>
      <w:r w:rsidR="00046EE9" w:rsidRPr="00DB6B17">
        <w:rPr>
          <w:rFonts w:cs="Arial"/>
          <w:bCs/>
        </w:rPr>
        <w:t>,</w:t>
      </w:r>
      <w:r w:rsidR="007F419D" w:rsidRPr="00DB6B17">
        <w:rPr>
          <w:rFonts w:cs="Arial"/>
          <w:bCs/>
        </w:rPr>
        <w:t xml:space="preserve"> </w:t>
      </w:r>
      <w:r w:rsidR="006D70A4" w:rsidRPr="00DB6B17">
        <w:rPr>
          <w:rFonts w:cs="Arial"/>
          <w:bCs/>
        </w:rPr>
        <w:t xml:space="preserve">as specified in </w:t>
      </w:r>
      <w:hyperlink r:id="rId13" w:tooltip="EC Section 53071" w:history="1">
        <w:r w:rsidR="006D70A4" w:rsidRPr="00DB6B17">
          <w:rPr>
            <w:rStyle w:val="Hyperlink"/>
            <w:rFonts w:cs="Arial"/>
            <w:i/>
          </w:rPr>
          <w:t xml:space="preserve">EC </w:t>
        </w:r>
        <w:r w:rsidR="006D70A4" w:rsidRPr="00DB6B17">
          <w:rPr>
            <w:rStyle w:val="Hyperlink"/>
            <w:rFonts w:cs="Arial"/>
          </w:rPr>
          <w:t>Section 53071</w:t>
        </w:r>
      </w:hyperlink>
      <w:r w:rsidR="006D70A4" w:rsidRPr="00DB6B17">
        <w:rPr>
          <w:rStyle w:val="Hyperlink"/>
          <w:rFonts w:cs="Arial"/>
          <w:color w:val="auto"/>
          <w:u w:val="none"/>
        </w:rPr>
        <w:t xml:space="preserve">, by completing </w:t>
      </w:r>
      <w:r w:rsidR="007F419D" w:rsidRPr="00DB6B17">
        <w:rPr>
          <w:rFonts w:cs="Arial"/>
          <w:bCs/>
        </w:rPr>
        <w:t xml:space="preserve">the High-Quality </w:t>
      </w:r>
      <w:r w:rsidR="0003321E" w:rsidRPr="00DB6B17">
        <w:rPr>
          <w:rFonts w:cs="Arial"/>
          <w:bCs/>
        </w:rPr>
        <w:t>Career Technical Education (CTE)</w:t>
      </w:r>
      <w:r w:rsidR="007F419D" w:rsidRPr="00DB6B17">
        <w:rPr>
          <w:rFonts w:cs="Arial"/>
          <w:bCs/>
        </w:rPr>
        <w:t xml:space="preserve"> Program Self-Evaluation and Plan</w:t>
      </w:r>
      <w:r w:rsidR="006D70A4" w:rsidRPr="00DB6B17">
        <w:rPr>
          <w:rStyle w:val="Hyperlink"/>
          <w:rFonts w:cs="Arial"/>
          <w:color w:val="auto"/>
          <w:u w:val="none"/>
        </w:rPr>
        <w:t xml:space="preserve">. </w:t>
      </w:r>
      <w:r w:rsidR="00C0289A" w:rsidRPr="00DB6B17">
        <w:rPr>
          <w:rFonts w:eastAsia="Arial" w:cs="Arial"/>
          <w:bCs/>
        </w:rPr>
        <w:t xml:space="preserve">An attachment </w:t>
      </w:r>
      <w:r w:rsidR="00E60842" w:rsidRPr="00DB6B17">
        <w:rPr>
          <w:rFonts w:eastAsia="Arial" w:cs="Arial"/>
          <w:bCs/>
        </w:rPr>
        <w:t>to</w:t>
      </w:r>
      <w:r w:rsidRPr="00DB6B17">
        <w:rPr>
          <w:rFonts w:eastAsia="Arial" w:cs="Arial"/>
          <w:bCs/>
        </w:rPr>
        <w:t xml:space="preserve"> the RFA lists and explains</w:t>
      </w:r>
      <w:r w:rsidR="00C0289A" w:rsidRPr="00DB6B17">
        <w:rPr>
          <w:rFonts w:eastAsia="Arial" w:cs="Arial"/>
        </w:rPr>
        <w:t xml:space="preserve"> the </w:t>
      </w:r>
      <w:r w:rsidR="00C0289A" w:rsidRPr="00DB6B17">
        <w:rPr>
          <w:rFonts w:eastAsia="Arial" w:cs="Arial"/>
          <w:bCs/>
        </w:rPr>
        <w:t>12 Essential Elements</w:t>
      </w:r>
      <w:r w:rsidR="00C0289A" w:rsidRPr="00DB6B17">
        <w:rPr>
          <w:rFonts w:eastAsia="Arial" w:cs="Arial"/>
          <w:bCs/>
          <w:color w:val="000000"/>
          <w:lang w:val="en"/>
        </w:rPr>
        <w:t xml:space="preserve"> of a High-Quality Career and College Pathway</w:t>
      </w:r>
      <w:r w:rsidR="00C0289A" w:rsidRPr="00DB6B17">
        <w:rPr>
          <w:rFonts w:eastAsia="Arial" w:cs="Arial"/>
        </w:rPr>
        <w:t xml:space="preserve"> for the applicant’s consideration.</w:t>
      </w:r>
      <w:r w:rsidR="002717C0" w:rsidRPr="00DB6B17">
        <w:rPr>
          <w:rFonts w:eastAsia="Arial" w:cs="Arial"/>
        </w:rPr>
        <w:t xml:space="preserve"> </w:t>
      </w:r>
      <w:r w:rsidR="00C0289A" w:rsidRPr="00DB6B17">
        <w:rPr>
          <w:rFonts w:eastAsia="Arial" w:cs="Arial"/>
        </w:rPr>
        <w:t>The 12 Essential Elements of a High-Quality College and Career Pathway ensure the building of connected, equitable, accessible, and high-quality college and career pathways for all students</w:t>
      </w:r>
      <w:r w:rsidRPr="00DB6B17">
        <w:rPr>
          <w:rFonts w:eastAsia="Arial" w:cs="Arial"/>
        </w:rPr>
        <w:t xml:space="preserve"> </w:t>
      </w:r>
      <w:r w:rsidR="00E60842" w:rsidRPr="00DB6B17">
        <w:rPr>
          <w:rFonts w:eastAsia="Arial" w:cs="Arial"/>
        </w:rPr>
        <w:t xml:space="preserve">and is located </w:t>
      </w:r>
      <w:r w:rsidR="002717C0" w:rsidRPr="00DB6B17">
        <w:rPr>
          <w:rFonts w:eastAsia="Arial" w:cs="Arial"/>
        </w:rPr>
        <w:t xml:space="preserve">on the </w:t>
      </w:r>
      <w:r w:rsidR="00F17B9D">
        <w:rPr>
          <w:rFonts w:eastAsia="Arial" w:cs="Arial"/>
        </w:rPr>
        <w:fldChar w:fldCharType="begin"/>
      </w:r>
      <w:r w:rsidR="00F17B9D">
        <w:rPr>
          <w:rFonts w:eastAsia="Arial" w:cs="Arial"/>
        </w:rPr>
        <w:instrText>HYPERLINK "https://www.cde.ca.gov/ci/ct/gi/guidingpps.asp"</w:instrText>
      </w:r>
      <w:r w:rsidR="00F17B9D">
        <w:rPr>
          <w:rFonts w:eastAsia="Arial" w:cs="Arial"/>
        </w:rPr>
      </w:r>
      <w:r w:rsidR="00F17B9D">
        <w:rPr>
          <w:rFonts w:eastAsia="Arial" w:cs="Arial"/>
        </w:rPr>
        <w:fldChar w:fldCharType="separate"/>
      </w:r>
      <w:r w:rsidR="002717C0" w:rsidRPr="00F17B9D">
        <w:rPr>
          <w:rStyle w:val="Hyperlink"/>
          <w:rFonts w:eastAsia="Arial" w:cs="Arial"/>
        </w:rPr>
        <w:t>Workforce Pathways Guiding Policy Principles web page</w:t>
      </w:r>
      <w:r w:rsidR="00F17B9D">
        <w:rPr>
          <w:rFonts w:eastAsia="Arial" w:cs="Arial"/>
        </w:rPr>
        <w:fldChar w:fldCharType="end"/>
      </w:r>
      <w:r w:rsidR="00C0289A" w:rsidRPr="00DB6B17">
        <w:rPr>
          <w:rFonts w:eastAsia="Arial" w:cs="Arial"/>
        </w:rPr>
        <w:t>.</w:t>
      </w:r>
    </w:p>
    <w:p w14:paraId="1B5EEC6E" w14:textId="63912CD6" w:rsidR="00E5637B" w:rsidRPr="00DB6B17" w:rsidRDefault="00BF7FE2" w:rsidP="00CE3317">
      <w:pPr>
        <w:spacing w:after="240"/>
        <w:rPr>
          <w:rFonts w:cs="Arial"/>
        </w:rPr>
      </w:pPr>
      <w:r w:rsidRPr="00DB6B17">
        <w:rPr>
          <w:rStyle w:val="Hyperlink"/>
          <w:rFonts w:cs="Arial"/>
          <w:color w:val="auto"/>
          <w:u w:val="none"/>
        </w:rPr>
        <w:t xml:space="preserve">Applicants were also provided </w:t>
      </w:r>
      <w:r w:rsidR="00E60842" w:rsidRPr="00DB6B17">
        <w:rPr>
          <w:rStyle w:val="Hyperlink"/>
          <w:rFonts w:cs="Arial"/>
          <w:color w:val="auto"/>
          <w:u w:val="none"/>
        </w:rPr>
        <w:t xml:space="preserve">guidance </w:t>
      </w:r>
      <w:r w:rsidRPr="00DB6B17">
        <w:rPr>
          <w:rStyle w:val="Hyperlink"/>
          <w:rFonts w:cs="Arial"/>
          <w:color w:val="auto"/>
          <w:u w:val="none"/>
        </w:rPr>
        <w:t>o</w:t>
      </w:r>
      <w:r w:rsidR="00E60842" w:rsidRPr="00DB6B17">
        <w:rPr>
          <w:rStyle w:val="Hyperlink"/>
          <w:rFonts w:cs="Arial"/>
          <w:color w:val="auto"/>
          <w:u w:val="none"/>
        </w:rPr>
        <w:t>n</w:t>
      </w:r>
      <w:r w:rsidRPr="00DB6B17">
        <w:rPr>
          <w:rStyle w:val="Hyperlink"/>
          <w:rFonts w:cs="Arial"/>
          <w:color w:val="auto"/>
          <w:u w:val="none"/>
        </w:rPr>
        <w:t xml:space="preserve"> how to seek technical assistance with regard to completing the applications. </w:t>
      </w:r>
      <w:r w:rsidR="00E5637B" w:rsidRPr="00DB6B17">
        <w:rPr>
          <w:rFonts w:cs="Arial"/>
        </w:rPr>
        <w:t xml:space="preserve">The </w:t>
      </w:r>
      <w:r w:rsidR="003F2DB6" w:rsidRPr="00DB6B17">
        <w:rPr>
          <w:rFonts w:cs="Arial"/>
        </w:rPr>
        <w:t>resources</w:t>
      </w:r>
      <w:r w:rsidR="00E5637B" w:rsidRPr="00DB6B17">
        <w:rPr>
          <w:rFonts w:cs="Arial"/>
        </w:rPr>
        <w:t xml:space="preserve"> provided</w:t>
      </w:r>
      <w:r w:rsidR="007127CF" w:rsidRPr="00DB6B17">
        <w:rPr>
          <w:rFonts w:cs="Arial"/>
        </w:rPr>
        <w:t xml:space="preserve"> </w:t>
      </w:r>
      <w:r w:rsidR="00E5637B" w:rsidRPr="00DB6B17">
        <w:rPr>
          <w:rFonts w:cs="Arial"/>
        </w:rPr>
        <w:t xml:space="preserve">included </w:t>
      </w:r>
      <w:r w:rsidR="007127CF" w:rsidRPr="00DB6B17">
        <w:rPr>
          <w:rFonts w:cs="Arial"/>
        </w:rPr>
        <w:t xml:space="preserve">CDE Consultants and Technical Assistance Providers with associated </w:t>
      </w:r>
      <w:r w:rsidR="00C24087" w:rsidRPr="00DB6B17">
        <w:rPr>
          <w:rFonts w:cs="Arial"/>
        </w:rPr>
        <w:t xml:space="preserve">Workforce </w:t>
      </w:r>
      <w:r w:rsidR="007127CF" w:rsidRPr="00DB6B17">
        <w:rPr>
          <w:rFonts w:cs="Arial"/>
        </w:rPr>
        <w:t>Pathway Coordinators that are available to provide applicant</w:t>
      </w:r>
      <w:r w:rsidR="00C24087" w:rsidRPr="00DB6B17">
        <w:rPr>
          <w:rFonts w:cs="Arial"/>
        </w:rPr>
        <w:t>s</w:t>
      </w:r>
      <w:r w:rsidR="007127CF" w:rsidRPr="00DB6B17">
        <w:rPr>
          <w:rFonts w:cs="Arial"/>
        </w:rPr>
        <w:t xml:space="preserve"> with technical assistance in completing the RFA</w:t>
      </w:r>
      <w:r w:rsidR="00C24087" w:rsidRPr="00DB6B17">
        <w:rPr>
          <w:rFonts w:cs="Arial"/>
        </w:rPr>
        <w:t>,</w:t>
      </w:r>
      <w:r w:rsidR="003F2DB6" w:rsidRPr="00DB6B17">
        <w:rPr>
          <w:rFonts w:cs="Arial"/>
        </w:rPr>
        <w:t xml:space="preserve"> and a Frequently Asked Questions </w:t>
      </w:r>
      <w:r w:rsidR="007A1FCC" w:rsidRPr="00DB6B17">
        <w:rPr>
          <w:rFonts w:cs="Arial"/>
        </w:rPr>
        <w:t xml:space="preserve">(FAQs) web </w:t>
      </w:r>
      <w:r w:rsidR="003F2DB6" w:rsidRPr="00DB6B17">
        <w:rPr>
          <w:rFonts w:cs="Arial"/>
        </w:rPr>
        <w:t>page which will be updated periodically throughout the application period.</w:t>
      </w:r>
    </w:p>
    <w:p w14:paraId="5119C479" w14:textId="416FEF1B" w:rsidR="00137F11" w:rsidRPr="00DB6B17" w:rsidRDefault="003F2DB6" w:rsidP="00CE3317">
      <w:pPr>
        <w:spacing w:after="240"/>
        <w:rPr>
          <w:rFonts w:cs="Arial"/>
        </w:rPr>
      </w:pPr>
      <w:r w:rsidRPr="00DB6B17">
        <w:rPr>
          <w:rFonts w:cs="Arial"/>
        </w:rPr>
        <w:lastRenderedPageBreak/>
        <w:t>A series of webinars</w:t>
      </w:r>
      <w:r w:rsidR="00112E7B" w:rsidRPr="00DB6B17">
        <w:rPr>
          <w:rFonts w:cs="Arial"/>
        </w:rPr>
        <w:t xml:space="preserve"> </w:t>
      </w:r>
      <w:r w:rsidR="00137F11" w:rsidRPr="00DB6B17">
        <w:rPr>
          <w:rFonts w:cs="Arial"/>
        </w:rPr>
        <w:t>were</w:t>
      </w:r>
      <w:r w:rsidR="00112E7B" w:rsidRPr="00DB6B17">
        <w:rPr>
          <w:rFonts w:cs="Arial"/>
        </w:rPr>
        <w:t xml:space="preserve"> hosted </w:t>
      </w:r>
      <w:r w:rsidR="00137F11" w:rsidRPr="00DB6B17">
        <w:rPr>
          <w:rFonts w:cs="Arial"/>
        </w:rPr>
        <w:t xml:space="preserve">by </w:t>
      </w:r>
      <w:r w:rsidR="008165D1" w:rsidRPr="00DB6B17">
        <w:rPr>
          <w:rFonts w:cs="Arial"/>
        </w:rPr>
        <w:t xml:space="preserve">the </w:t>
      </w:r>
      <w:r w:rsidR="00137F11" w:rsidRPr="00DB6B17">
        <w:rPr>
          <w:rFonts w:cs="Arial"/>
        </w:rPr>
        <w:t>CDE on the following dates:</w:t>
      </w:r>
    </w:p>
    <w:p w14:paraId="7FB29CD9" w14:textId="2C8C59A7" w:rsidR="004F1080" w:rsidRPr="00DB6B17" w:rsidRDefault="004F1080" w:rsidP="004F1080">
      <w:pPr>
        <w:spacing w:after="240"/>
        <w:rPr>
          <w:rFonts w:cs="Arial"/>
        </w:rPr>
      </w:pPr>
      <w:r w:rsidRPr="00DB6B17">
        <w:rPr>
          <w:rFonts w:cs="Arial"/>
        </w:rPr>
        <w:t>Thursday, August 27, 2020, from 3:00</w:t>
      </w:r>
      <w:r w:rsidR="008165D1" w:rsidRPr="00DB6B17">
        <w:rPr>
          <w:rFonts w:cs="Arial"/>
        </w:rPr>
        <w:t xml:space="preserve"> </w:t>
      </w:r>
      <w:r w:rsidRPr="00DB6B17">
        <w:rPr>
          <w:rFonts w:cs="Arial"/>
        </w:rPr>
        <w:t>p.m. to 4:00</w:t>
      </w:r>
      <w:r w:rsidR="00F75E4C" w:rsidRPr="00DB6B17">
        <w:rPr>
          <w:rFonts w:cs="Arial"/>
        </w:rPr>
        <w:t xml:space="preserve"> </w:t>
      </w:r>
      <w:r w:rsidRPr="00DB6B17">
        <w:rPr>
          <w:rFonts w:cs="Arial"/>
        </w:rPr>
        <w:t>p.m.</w:t>
      </w:r>
    </w:p>
    <w:p w14:paraId="02382653" w14:textId="4643A7E2" w:rsidR="004F1080" w:rsidRPr="00DB6B17" w:rsidRDefault="004F1080" w:rsidP="004F1080">
      <w:pPr>
        <w:spacing w:after="240"/>
        <w:rPr>
          <w:rFonts w:cs="Arial"/>
        </w:rPr>
      </w:pPr>
      <w:r w:rsidRPr="00DB6B17">
        <w:rPr>
          <w:rFonts w:cs="Arial"/>
        </w:rPr>
        <w:t>Thursday, September 3, 2020, from 11:00</w:t>
      </w:r>
      <w:r w:rsidR="008165D1" w:rsidRPr="00DB6B17">
        <w:rPr>
          <w:rFonts w:cs="Arial"/>
        </w:rPr>
        <w:t xml:space="preserve"> </w:t>
      </w:r>
      <w:r w:rsidRPr="00DB6B17">
        <w:rPr>
          <w:rFonts w:cs="Arial"/>
        </w:rPr>
        <w:t>a.m. to 12:00</w:t>
      </w:r>
      <w:r w:rsidR="00F75E4C" w:rsidRPr="00DB6B17">
        <w:rPr>
          <w:rFonts w:cs="Arial"/>
        </w:rPr>
        <w:t xml:space="preserve"> </w:t>
      </w:r>
      <w:r w:rsidRPr="00DB6B17">
        <w:rPr>
          <w:rFonts w:cs="Arial"/>
        </w:rPr>
        <w:t>p.m.</w:t>
      </w:r>
    </w:p>
    <w:p w14:paraId="3F22EA6F" w14:textId="28658F89" w:rsidR="004F1080" w:rsidRPr="00DB6B17" w:rsidRDefault="004F1080" w:rsidP="004F1080">
      <w:pPr>
        <w:spacing w:after="240"/>
        <w:rPr>
          <w:rFonts w:cs="Arial"/>
        </w:rPr>
      </w:pPr>
      <w:r w:rsidRPr="00DB6B17">
        <w:rPr>
          <w:rFonts w:cs="Arial"/>
        </w:rPr>
        <w:t xml:space="preserve">Thursday, September </w:t>
      </w:r>
      <w:r w:rsidR="0078733C" w:rsidRPr="00DB6B17">
        <w:rPr>
          <w:rFonts w:cs="Arial"/>
        </w:rPr>
        <w:t>10</w:t>
      </w:r>
      <w:r w:rsidRPr="00DB6B17">
        <w:rPr>
          <w:rFonts w:cs="Arial"/>
        </w:rPr>
        <w:t>, 2020, from.</w:t>
      </w:r>
      <w:r w:rsidR="0078733C" w:rsidRPr="00DB6B17">
        <w:rPr>
          <w:rFonts w:cs="Arial"/>
        </w:rPr>
        <w:t xml:space="preserve"> 3:00</w:t>
      </w:r>
      <w:r w:rsidR="008165D1" w:rsidRPr="00DB6B17">
        <w:rPr>
          <w:rFonts w:cs="Arial"/>
        </w:rPr>
        <w:t xml:space="preserve"> </w:t>
      </w:r>
      <w:r w:rsidR="0078733C" w:rsidRPr="00DB6B17">
        <w:rPr>
          <w:rFonts w:cs="Arial"/>
        </w:rPr>
        <w:t>p.m. to 4:00 p.m.</w:t>
      </w:r>
    </w:p>
    <w:p w14:paraId="11EC77EB" w14:textId="7151322A" w:rsidR="00137F11" w:rsidRPr="00DB6B17" w:rsidRDefault="00F75E4C" w:rsidP="00CE3317">
      <w:pPr>
        <w:spacing w:after="240"/>
        <w:rPr>
          <w:rFonts w:cs="Arial"/>
        </w:rPr>
      </w:pPr>
      <w:r w:rsidRPr="00DB6B17">
        <w:rPr>
          <w:rFonts w:cs="Arial"/>
        </w:rPr>
        <w:t>In addition to</w:t>
      </w:r>
      <w:r w:rsidR="00137F11" w:rsidRPr="00DB6B17">
        <w:rPr>
          <w:rFonts w:cs="Arial"/>
        </w:rPr>
        <w:t xml:space="preserve"> the above webinars, </w:t>
      </w:r>
      <w:r w:rsidR="002717C0" w:rsidRPr="00DB6B17">
        <w:rPr>
          <w:rFonts w:cs="Arial"/>
        </w:rPr>
        <w:t xml:space="preserve">the </w:t>
      </w:r>
      <w:r w:rsidR="00137F11" w:rsidRPr="00DB6B17">
        <w:rPr>
          <w:rFonts w:cs="Arial"/>
        </w:rPr>
        <w:t xml:space="preserve">CDE created </w:t>
      </w:r>
      <w:r w:rsidR="007A1FCC" w:rsidRPr="00DB6B17">
        <w:rPr>
          <w:rFonts w:cs="Arial"/>
        </w:rPr>
        <w:t xml:space="preserve">a </w:t>
      </w:r>
      <w:r w:rsidR="007A1FCC" w:rsidRPr="00F17B9D">
        <w:rPr>
          <w:rFonts w:cs="Arial"/>
          <w:strike/>
        </w:rPr>
        <w:t>F</w:t>
      </w:r>
      <w:r w:rsidRPr="00F17B9D">
        <w:rPr>
          <w:rFonts w:cs="Arial"/>
          <w:strike/>
        </w:rPr>
        <w:t>AQs</w:t>
      </w:r>
      <w:r w:rsidR="00137F11" w:rsidRPr="00F17B9D">
        <w:rPr>
          <w:rFonts w:cs="Arial"/>
          <w:strike/>
        </w:rPr>
        <w:t xml:space="preserve"> </w:t>
      </w:r>
      <w:r w:rsidR="002717C0" w:rsidRPr="00F17B9D">
        <w:rPr>
          <w:rFonts w:cs="Arial"/>
          <w:strike/>
        </w:rPr>
        <w:t>web page</w:t>
      </w:r>
      <w:r w:rsidR="00F17B9D">
        <w:rPr>
          <w:rFonts w:cs="Arial"/>
        </w:rPr>
        <w:t xml:space="preserve"> [Link is no longer valid]</w:t>
      </w:r>
      <w:r w:rsidR="00137F11" w:rsidRPr="00DB6B17">
        <w:rPr>
          <w:rFonts w:cs="Arial"/>
        </w:rPr>
        <w:t>.</w:t>
      </w:r>
    </w:p>
    <w:p w14:paraId="1C65AB02" w14:textId="222E0137" w:rsidR="00157690" w:rsidRPr="00DB6B17" w:rsidRDefault="00157690" w:rsidP="00157690">
      <w:pPr>
        <w:tabs>
          <w:tab w:val="left" w:pos="1755"/>
        </w:tabs>
        <w:spacing w:after="240"/>
        <w:rPr>
          <w:rFonts w:cs="Arial"/>
          <w:b/>
        </w:rPr>
      </w:pPr>
      <w:r w:rsidRPr="00DB6B17">
        <w:rPr>
          <w:rFonts w:cs="Arial"/>
          <w:b/>
        </w:rPr>
        <w:t>An Update of the FY 2020–21 K</w:t>
      </w:r>
      <w:r w:rsidR="008903CD" w:rsidRPr="00DB6B17">
        <w:rPr>
          <w:rFonts w:cs="Arial"/>
          <w:b/>
        </w:rPr>
        <w:t>–</w:t>
      </w:r>
      <w:r w:rsidRPr="00DB6B17">
        <w:rPr>
          <w:rFonts w:cs="Arial"/>
          <w:b/>
        </w:rPr>
        <w:t>12 SWP Application Process</w:t>
      </w:r>
    </w:p>
    <w:p w14:paraId="4B627D17" w14:textId="6A0E78B5" w:rsidR="00157690" w:rsidRPr="00DB6B17" w:rsidRDefault="00157690" w:rsidP="008903CD">
      <w:pPr>
        <w:spacing w:after="240"/>
        <w:rPr>
          <w:rFonts w:cs="Arial"/>
        </w:rPr>
      </w:pPr>
      <w:r w:rsidRPr="00DB6B17">
        <w:t xml:space="preserve">Round </w:t>
      </w:r>
      <w:r w:rsidR="0025363B" w:rsidRPr="00DB6B17">
        <w:t>t</w:t>
      </w:r>
      <w:r w:rsidR="002717C0" w:rsidRPr="00DB6B17">
        <w:t>hree of the</w:t>
      </w:r>
      <w:r w:rsidRPr="00DB6B17">
        <w:t xml:space="preserve"> </w:t>
      </w:r>
      <w:r w:rsidR="004A3BD0" w:rsidRPr="00DB6B17">
        <w:rPr>
          <w:rFonts w:cs="Arial"/>
        </w:rPr>
        <w:t>FY 2020–21 K–12 SWP</w:t>
      </w:r>
      <w:r w:rsidR="004A3BD0" w:rsidRPr="00DB6B17">
        <w:rPr>
          <w:rFonts w:cs="Arial"/>
          <w:b/>
        </w:rPr>
        <w:t xml:space="preserve"> </w:t>
      </w:r>
      <w:r w:rsidRPr="00DB6B17">
        <w:t xml:space="preserve">application is currently open and is available </w:t>
      </w:r>
      <w:r w:rsidR="004C301B" w:rsidRPr="00DB6B17">
        <w:t>on the</w:t>
      </w:r>
      <w:r w:rsidR="00F17B9D">
        <w:fldChar w:fldCharType="begin"/>
      </w:r>
      <w:r w:rsidR="00F17B9D">
        <w:instrText>HYPERLINK "https://www.cccco.edu/About-Us/Chancellors-Office/Divisions/Workforce-and-Economic-Development/K12-Strong-Workforce/K12-SWP-Request-for-Applications"</w:instrText>
      </w:r>
      <w:r w:rsidR="00F17B9D">
        <w:fldChar w:fldCharType="separate"/>
      </w:r>
      <w:r w:rsidR="004C301B" w:rsidRPr="00F17B9D">
        <w:rPr>
          <w:rStyle w:val="Hyperlink"/>
        </w:rPr>
        <w:t xml:space="preserve"> CCCCO’s K–12 RFA web page</w:t>
      </w:r>
      <w:r w:rsidR="00F17B9D">
        <w:fldChar w:fldCharType="end"/>
      </w:r>
      <w:r w:rsidR="008903CD" w:rsidRPr="00DB6B17">
        <w:t>.</w:t>
      </w:r>
    </w:p>
    <w:p w14:paraId="53F00C0F" w14:textId="3EECB3AF" w:rsidR="00157690" w:rsidRPr="00DB6B17" w:rsidRDefault="00157690" w:rsidP="00CE3317">
      <w:pPr>
        <w:spacing w:after="240"/>
        <w:rPr>
          <w:rFonts w:cs="Arial"/>
        </w:rPr>
      </w:pPr>
      <w:r w:rsidRPr="00DB6B17">
        <w:rPr>
          <w:rFonts w:cs="Arial"/>
        </w:rPr>
        <w:t>The following table indicates key dates in the application process:</w:t>
      </w:r>
    </w:p>
    <w:tbl>
      <w:tblPr>
        <w:tblStyle w:val="GridTable1Light"/>
        <w:tblW w:w="9870" w:type="dxa"/>
        <w:tblLook w:val="04A0" w:firstRow="1" w:lastRow="0" w:firstColumn="1" w:lastColumn="0" w:noHBand="0" w:noVBand="1"/>
      </w:tblPr>
      <w:tblGrid>
        <w:gridCol w:w="3593"/>
        <w:gridCol w:w="6277"/>
      </w:tblGrid>
      <w:tr w:rsidR="00157690" w:rsidRPr="00DB6B17" w14:paraId="1EB3E7AA" w14:textId="77777777" w:rsidTr="00B617B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hideMark/>
          </w:tcPr>
          <w:p w14:paraId="1CAC2347" w14:textId="77777777" w:rsidR="00157690" w:rsidRPr="00DB6B17" w:rsidRDefault="00157690">
            <w:pPr>
              <w:pStyle w:val="TableHeaderRow"/>
              <w:rPr>
                <w:rFonts w:ascii="Arial" w:hAnsi="Arial" w:cs="Arial"/>
                <w:b/>
                <w:bCs/>
                <w:color w:val="auto"/>
              </w:rPr>
            </w:pPr>
            <w:r w:rsidRPr="00DB6B17">
              <w:rPr>
                <w:rFonts w:ascii="Arial" w:hAnsi="Arial" w:cs="Arial"/>
                <w:b/>
                <w:color w:val="auto"/>
              </w:rPr>
              <w:t>Date</w:t>
            </w:r>
          </w:p>
        </w:tc>
        <w:tc>
          <w:tcPr>
            <w:tcW w:w="0" w:type="dxa"/>
            <w:hideMark/>
          </w:tcPr>
          <w:p w14:paraId="12D2091A" w14:textId="77777777" w:rsidR="00157690" w:rsidRPr="00DB6B17" w:rsidRDefault="00157690">
            <w:pPr>
              <w:pStyle w:val="TableHeaderRow"/>
              <w:cnfStyle w:val="100000000000" w:firstRow="1" w:lastRow="0" w:firstColumn="0" w:lastColumn="0" w:oddVBand="0" w:evenVBand="0" w:oddHBand="0" w:evenHBand="0" w:firstRowFirstColumn="0" w:firstRowLastColumn="0" w:lastRowFirstColumn="0" w:lastRowLastColumn="0"/>
              <w:rPr>
                <w:rFonts w:ascii="Arial" w:hAnsi="Arial" w:cs="Arial"/>
                <w:b/>
                <w:bCs/>
                <w:color w:val="auto"/>
              </w:rPr>
            </w:pPr>
            <w:r w:rsidRPr="00DB6B17">
              <w:rPr>
                <w:rFonts w:ascii="Arial" w:hAnsi="Arial" w:cs="Arial"/>
                <w:b/>
                <w:color w:val="auto"/>
              </w:rPr>
              <w:t>Event</w:t>
            </w:r>
          </w:p>
        </w:tc>
      </w:tr>
      <w:tr w:rsidR="00157690" w:rsidRPr="00DB6B17" w14:paraId="1B55ABA6"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6CB2797" w14:textId="77777777" w:rsidR="00157690" w:rsidRPr="00DB6B17" w:rsidRDefault="00157690">
            <w:pPr>
              <w:pStyle w:val="TableCategoryText"/>
              <w:rPr>
                <w:b/>
                <w:bCs/>
                <w:color w:val="auto"/>
              </w:rPr>
            </w:pPr>
            <w:r w:rsidRPr="00DB6B17">
              <w:rPr>
                <w:b/>
                <w:color w:val="auto"/>
              </w:rPr>
              <w:t>August 27 – October 16, 2020</w:t>
            </w:r>
          </w:p>
        </w:tc>
        <w:tc>
          <w:tcPr>
            <w:tcW w:w="0" w:type="dxa"/>
            <w:hideMark/>
          </w:tcPr>
          <w:p w14:paraId="6ABACCF4" w14:textId="783C0BC5"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8903CD" w:rsidRPr="00DB6B17">
              <w:rPr>
                <w:color w:val="auto"/>
              </w:rPr>
              <w:t>–</w:t>
            </w:r>
            <w:r w:rsidRPr="00DB6B17">
              <w:rPr>
                <w:color w:val="auto"/>
              </w:rPr>
              <w:t xml:space="preserve">12 SWP Online Application submission window in NOVA </w:t>
            </w:r>
          </w:p>
        </w:tc>
      </w:tr>
      <w:tr w:rsidR="00157690" w:rsidRPr="00DB6B17" w14:paraId="2F255893"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0A6AE36" w14:textId="77777777" w:rsidR="00157690" w:rsidRPr="00DB6B17" w:rsidRDefault="00157690">
            <w:pPr>
              <w:pStyle w:val="TableCategoryText"/>
              <w:rPr>
                <w:b/>
                <w:bCs/>
                <w:color w:val="auto"/>
              </w:rPr>
            </w:pPr>
            <w:r w:rsidRPr="00DB6B17">
              <w:rPr>
                <w:b/>
                <w:color w:val="auto"/>
              </w:rPr>
              <w:t>September 2, 2020</w:t>
            </w:r>
          </w:p>
        </w:tc>
        <w:tc>
          <w:tcPr>
            <w:tcW w:w="0" w:type="dxa"/>
            <w:hideMark/>
          </w:tcPr>
          <w:p w14:paraId="55761C37" w14:textId="77777777"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Bidders’ Conference Webinar</w:t>
            </w:r>
          </w:p>
        </w:tc>
      </w:tr>
      <w:tr w:rsidR="00157690" w:rsidRPr="00DB6B17" w14:paraId="2E8C66DF"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6C3DD23" w14:textId="77777777" w:rsidR="00157690" w:rsidRPr="00DB6B17" w:rsidRDefault="00157690">
            <w:pPr>
              <w:pStyle w:val="TableCategoryText"/>
              <w:rPr>
                <w:b/>
                <w:bCs/>
                <w:color w:val="auto"/>
              </w:rPr>
            </w:pPr>
            <w:r w:rsidRPr="00DB6B17">
              <w:rPr>
                <w:b/>
                <w:color w:val="auto"/>
              </w:rPr>
              <w:t>September 2020</w:t>
            </w:r>
          </w:p>
        </w:tc>
        <w:tc>
          <w:tcPr>
            <w:tcW w:w="0" w:type="dxa"/>
            <w:hideMark/>
          </w:tcPr>
          <w:p w14:paraId="63076A78" w14:textId="77777777"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Regional Engagement Information Sessions</w:t>
            </w:r>
          </w:p>
        </w:tc>
      </w:tr>
      <w:tr w:rsidR="00157690" w:rsidRPr="00DB6B17" w14:paraId="4F1F328A"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B53345B" w14:textId="77777777" w:rsidR="00157690" w:rsidRPr="00DB6B17" w:rsidRDefault="00157690">
            <w:pPr>
              <w:pStyle w:val="TableCategoryText"/>
              <w:rPr>
                <w:b/>
                <w:bCs/>
                <w:color w:val="auto"/>
              </w:rPr>
            </w:pPr>
            <w:r w:rsidRPr="00DB6B17">
              <w:rPr>
                <w:b/>
                <w:color w:val="auto"/>
              </w:rPr>
              <w:t>September 18, 2020</w:t>
            </w:r>
          </w:p>
        </w:tc>
        <w:tc>
          <w:tcPr>
            <w:tcW w:w="0" w:type="dxa"/>
            <w:hideMark/>
          </w:tcPr>
          <w:p w14:paraId="220C5B81" w14:textId="77777777"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NOVA platform applicant training</w:t>
            </w:r>
          </w:p>
        </w:tc>
      </w:tr>
      <w:tr w:rsidR="00157690" w:rsidRPr="00DB6B17" w14:paraId="29EF61E8"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AE2A754" w14:textId="77777777" w:rsidR="00157690" w:rsidRPr="00DB6B17" w:rsidRDefault="00157690">
            <w:pPr>
              <w:pStyle w:val="TableCategoryText"/>
              <w:rPr>
                <w:b/>
                <w:bCs/>
                <w:color w:val="auto"/>
              </w:rPr>
            </w:pPr>
            <w:r w:rsidRPr="00DB6B17">
              <w:rPr>
                <w:b/>
                <w:color w:val="auto"/>
              </w:rPr>
              <w:t>September 30, 2020</w:t>
            </w:r>
          </w:p>
        </w:tc>
        <w:tc>
          <w:tcPr>
            <w:tcW w:w="0" w:type="dxa"/>
            <w:hideMark/>
          </w:tcPr>
          <w:p w14:paraId="643A417E" w14:textId="77777777"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 xml:space="preserve">Questions Submission Deadline to </w:t>
            </w:r>
            <w:hyperlink r:id="rId14" w:history="1">
              <w:r w:rsidRPr="00DB6B17">
                <w:rPr>
                  <w:rStyle w:val="Hyperlink"/>
                  <w:rFonts w:eastAsiaTheme="majorEastAsia" w:cs="Times New Roman"/>
                </w:rPr>
                <w:t>K12SWP@cccco.edu</w:t>
              </w:r>
            </w:hyperlink>
          </w:p>
        </w:tc>
      </w:tr>
      <w:tr w:rsidR="00157690" w:rsidRPr="00DB6B17" w14:paraId="237277D0"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F8BC0AB" w14:textId="77777777" w:rsidR="00157690" w:rsidRPr="00DB6B17" w:rsidRDefault="00157690">
            <w:pPr>
              <w:pStyle w:val="TableCategoryText"/>
              <w:rPr>
                <w:b/>
                <w:bCs/>
                <w:color w:val="auto"/>
              </w:rPr>
            </w:pPr>
            <w:r w:rsidRPr="00DB6B17">
              <w:rPr>
                <w:b/>
                <w:color w:val="auto"/>
              </w:rPr>
              <w:t>October 16, 2020</w:t>
            </w:r>
          </w:p>
        </w:tc>
        <w:tc>
          <w:tcPr>
            <w:tcW w:w="0" w:type="dxa"/>
            <w:hideMark/>
          </w:tcPr>
          <w:p w14:paraId="0F6B5397" w14:textId="372C0DF1"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4C301B" w:rsidRPr="00DB6B17">
              <w:rPr>
                <w:color w:val="auto"/>
              </w:rPr>
              <w:t>–</w:t>
            </w:r>
            <w:r w:rsidRPr="00DB6B17">
              <w:rPr>
                <w:color w:val="auto"/>
              </w:rPr>
              <w:t>12 SWP Applications due in NOVA system</w:t>
            </w:r>
          </w:p>
        </w:tc>
      </w:tr>
      <w:tr w:rsidR="00157690" w:rsidRPr="00DB6B17" w14:paraId="7FD052E0"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96B23A0" w14:textId="77777777" w:rsidR="00157690" w:rsidRPr="00DB6B17" w:rsidRDefault="00157690">
            <w:pPr>
              <w:pStyle w:val="TableCategoryText"/>
              <w:rPr>
                <w:b/>
                <w:bCs/>
                <w:color w:val="auto"/>
              </w:rPr>
            </w:pPr>
            <w:r w:rsidRPr="00DB6B17">
              <w:rPr>
                <w:b/>
                <w:color w:val="auto"/>
              </w:rPr>
              <w:t>October 19 – November 20, 2020</w:t>
            </w:r>
          </w:p>
        </w:tc>
        <w:tc>
          <w:tcPr>
            <w:tcW w:w="0" w:type="dxa"/>
            <w:hideMark/>
          </w:tcPr>
          <w:p w14:paraId="1E42B2C1" w14:textId="0CFE28C9"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4C301B" w:rsidRPr="00DB6B17">
              <w:rPr>
                <w:color w:val="auto"/>
              </w:rPr>
              <w:t>–</w:t>
            </w:r>
            <w:r w:rsidRPr="00DB6B17">
              <w:rPr>
                <w:color w:val="auto"/>
              </w:rPr>
              <w:t xml:space="preserve">12 </w:t>
            </w:r>
            <w:r w:rsidR="00A55A35" w:rsidRPr="00DB6B17">
              <w:rPr>
                <w:color w:val="auto"/>
              </w:rPr>
              <w:t>SWP</w:t>
            </w:r>
            <w:r w:rsidR="00E578D0" w:rsidRPr="00DB6B17">
              <w:rPr>
                <w:color w:val="auto"/>
              </w:rPr>
              <w:t xml:space="preserve"> </w:t>
            </w:r>
            <w:r w:rsidRPr="00DB6B17">
              <w:rPr>
                <w:color w:val="auto"/>
              </w:rPr>
              <w:t>Selection Committees review applications and submit nominations of proposed grantees</w:t>
            </w:r>
          </w:p>
        </w:tc>
      </w:tr>
      <w:tr w:rsidR="00157690" w:rsidRPr="00DB6B17" w14:paraId="632E3C82"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608677D" w14:textId="77777777" w:rsidR="00157690" w:rsidRPr="00DB6B17" w:rsidRDefault="00157690">
            <w:pPr>
              <w:pStyle w:val="TableCategoryText"/>
              <w:rPr>
                <w:b/>
                <w:bCs/>
                <w:color w:val="auto"/>
              </w:rPr>
            </w:pPr>
            <w:r w:rsidRPr="00DB6B17">
              <w:rPr>
                <w:b/>
                <w:color w:val="auto"/>
              </w:rPr>
              <w:t>November 25, 2020</w:t>
            </w:r>
          </w:p>
        </w:tc>
        <w:tc>
          <w:tcPr>
            <w:tcW w:w="0" w:type="dxa"/>
            <w:hideMark/>
          </w:tcPr>
          <w:p w14:paraId="3B771A06" w14:textId="477483E4"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4C301B" w:rsidRPr="00DB6B17">
              <w:rPr>
                <w:color w:val="auto"/>
              </w:rPr>
              <w:t>–</w:t>
            </w:r>
            <w:r w:rsidRPr="00DB6B17">
              <w:rPr>
                <w:color w:val="auto"/>
              </w:rPr>
              <w:t>12 SWP preliminary awards announced</w:t>
            </w:r>
          </w:p>
        </w:tc>
      </w:tr>
      <w:tr w:rsidR="00157690" w:rsidRPr="00DB6B17" w14:paraId="2102FA2A"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FD42961" w14:textId="77777777" w:rsidR="00157690" w:rsidRPr="00DB6B17" w:rsidRDefault="00157690">
            <w:pPr>
              <w:pStyle w:val="TableCategoryText"/>
              <w:rPr>
                <w:b/>
                <w:bCs/>
                <w:color w:val="auto"/>
              </w:rPr>
            </w:pPr>
            <w:r w:rsidRPr="00DB6B17">
              <w:rPr>
                <w:b/>
                <w:color w:val="auto"/>
              </w:rPr>
              <w:t>December 9, 2020</w:t>
            </w:r>
          </w:p>
        </w:tc>
        <w:tc>
          <w:tcPr>
            <w:tcW w:w="0" w:type="dxa"/>
            <w:hideMark/>
          </w:tcPr>
          <w:p w14:paraId="09446C7F" w14:textId="77777777"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Appeals due to SWP Regional Consortium</w:t>
            </w:r>
          </w:p>
        </w:tc>
      </w:tr>
      <w:tr w:rsidR="00157690" w:rsidRPr="00DB6B17" w14:paraId="2F386090"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A43CF50" w14:textId="77777777" w:rsidR="00157690" w:rsidRPr="00DB6B17" w:rsidRDefault="00157690">
            <w:pPr>
              <w:pStyle w:val="TableCategoryText"/>
              <w:rPr>
                <w:b/>
                <w:bCs/>
                <w:color w:val="auto"/>
              </w:rPr>
            </w:pPr>
            <w:r w:rsidRPr="00DB6B17">
              <w:rPr>
                <w:b/>
                <w:color w:val="auto"/>
              </w:rPr>
              <w:t>January 15, 2021</w:t>
            </w:r>
          </w:p>
        </w:tc>
        <w:tc>
          <w:tcPr>
            <w:tcW w:w="0" w:type="dxa"/>
            <w:hideMark/>
          </w:tcPr>
          <w:p w14:paraId="6674F06D" w14:textId="77777777" w:rsidR="00157690" w:rsidRPr="00DB6B17" w:rsidRDefault="00157690" w:rsidP="00C00B7D">
            <w:pPr>
              <w:pStyle w:val="TableBodyText"/>
              <w:cnfStyle w:val="000000000000" w:firstRow="0" w:lastRow="0" w:firstColumn="0" w:lastColumn="0" w:oddVBand="0" w:evenVBand="0" w:oddHBand="0" w:evenHBand="0" w:firstRowFirstColumn="0" w:firstRowLastColumn="0" w:lastRowFirstColumn="0" w:lastRowLastColumn="0"/>
            </w:pPr>
            <w:r w:rsidRPr="00DB6B17">
              <w:rPr>
                <w:color w:val="auto"/>
              </w:rPr>
              <w:t>SWP Regional Consortia communicate intent to award funds to LEAs and initiate subcontract process</w:t>
            </w:r>
          </w:p>
        </w:tc>
      </w:tr>
      <w:tr w:rsidR="00157690" w:rsidRPr="00DB6B17" w14:paraId="679F4BD4"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20DD3B6C" w14:textId="77777777" w:rsidR="00157690" w:rsidRPr="00DB6B17" w:rsidRDefault="00157690">
            <w:pPr>
              <w:pStyle w:val="TableCategoryText"/>
              <w:rPr>
                <w:b/>
                <w:bCs/>
                <w:color w:val="auto"/>
              </w:rPr>
            </w:pPr>
            <w:r w:rsidRPr="00DB6B17">
              <w:rPr>
                <w:b/>
                <w:color w:val="auto"/>
              </w:rPr>
              <w:t>January 2021</w:t>
            </w:r>
          </w:p>
        </w:tc>
        <w:tc>
          <w:tcPr>
            <w:tcW w:w="0" w:type="dxa"/>
            <w:hideMark/>
          </w:tcPr>
          <w:p w14:paraId="623D602B" w14:textId="59A7C829"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6B42A6" w:rsidRPr="00DB6B17">
              <w:rPr>
                <w:color w:val="auto"/>
              </w:rPr>
              <w:t>–</w:t>
            </w:r>
            <w:r w:rsidRPr="00DB6B17">
              <w:rPr>
                <w:color w:val="auto"/>
              </w:rPr>
              <w:t>12 SWP project term begins</w:t>
            </w:r>
          </w:p>
        </w:tc>
      </w:tr>
      <w:tr w:rsidR="00157690" w:rsidRPr="00DB6B17" w14:paraId="21469C81" w14:textId="77777777" w:rsidTr="00B617B2">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652CE7AB" w14:textId="77777777" w:rsidR="00157690" w:rsidRPr="00DB6B17" w:rsidRDefault="00157690">
            <w:pPr>
              <w:pStyle w:val="TableCategoryText"/>
              <w:rPr>
                <w:b/>
                <w:bCs/>
                <w:color w:val="auto"/>
              </w:rPr>
            </w:pPr>
            <w:r w:rsidRPr="00DB6B17">
              <w:rPr>
                <w:b/>
                <w:color w:val="auto"/>
              </w:rPr>
              <w:t>June 2023</w:t>
            </w:r>
          </w:p>
        </w:tc>
        <w:tc>
          <w:tcPr>
            <w:tcW w:w="0" w:type="dxa"/>
            <w:hideMark/>
          </w:tcPr>
          <w:p w14:paraId="06C07B4B" w14:textId="14B6C186" w:rsidR="00157690" w:rsidRPr="00DB6B17" w:rsidRDefault="00157690">
            <w:pPr>
              <w:pStyle w:val="TableBodyText"/>
              <w:cnfStyle w:val="000000000000" w:firstRow="0" w:lastRow="0" w:firstColumn="0" w:lastColumn="0" w:oddVBand="0" w:evenVBand="0" w:oddHBand="0" w:evenHBand="0" w:firstRowFirstColumn="0" w:firstRowLastColumn="0" w:lastRowFirstColumn="0" w:lastRowLastColumn="0"/>
              <w:rPr>
                <w:color w:val="auto"/>
              </w:rPr>
            </w:pPr>
            <w:r w:rsidRPr="00DB6B17">
              <w:rPr>
                <w:color w:val="auto"/>
              </w:rPr>
              <w:t>K</w:t>
            </w:r>
            <w:r w:rsidR="006B42A6" w:rsidRPr="00DB6B17">
              <w:rPr>
                <w:color w:val="auto"/>
              </w:rPr>
              <w:t>–</w:t>
            </w:r>
            <w:r w:rsidRPr="00DB6B17">
              <w:rPr>
                <w:color w:val="auto"/>
              </w:rPr>
              <w:t>12 SWP project term ends</w:t>
            </w:r>
          </w:p>
        </w:tc>
      </w:tr>
    </w:tbl>
    <w:p w14:paraId="2B6C4C3D" w14:textId="77777777" w:rsidR="001B67DD" w:rsidRPr="00DB6B17" w:rsidRDefault="001B67DD">
      <w:pPr>
        <w:spacing w:after="160" w:line="259" w:lineRule="auto"/>
      </w:pPr>
      <w:r w:rsidRPr="00DB6B17">
        <w:br w:type="page"/>
      </w:r>
    </w:p>
    <w:p w14:paraId="39CA5CF9" w14:textId="6F18D8BD" w:rsidR="00231862" w:rsidRPr="00DB6B17" w:rsidRDefault="00A77C5F" w:rsidP="00B617B2">
      <w:pPr>
        <w:spacing w:after="240"/>
      </w:pPr>
      <w:r w:rsidRPr="00DB6B17">
        <w:lastRenderedPageBreak/>
        <w:t xml:space="preserve">The CCCCO will present an update about the </w:t>
      </w:r>
      <w:r w:rsidR="001B67DD" w:rsidRPr="00DB6B17">
        <w:t>K–12 SWP –</w:t>
      </w:r>
      <w:r w:rsidRPr="00DB6B17">
        <w:t xml:space="preserve"> </w:t>
      </w:r>
      <w:r w:rsidR="001B67DD" w:rsidRPr="00DB6B17">
        <w:t>Round Three</w:t>
      </w:r>
      <w:r w:rsidRPr="00DB6B17">
        <w:t xml:space="preserve"> application cycle</w:t>
      </w:r>
      <w:r w:rsidR="001B67DD" w:rsidRPr="00DB6B17">
        <w:t>,</w:t>
      </w:r>
      <w:r w:rsidRPr="00DB6B17">
        <w:t xml:space="preserve"> including a timeline of events as well as changes made in this round of funding. In addition, </w:t>
      </w:r>
      <w:proofErr w:type="gramStart"/>
      <w:r w:rsidRPr="00DB6B17">
        <w:t>the C</w:t>
      </w:r>
      <w:r w:rsidR="001B67DD" w:rsidRPr="00DB6B17">
        <w:t>CCC</w:t>
      </w:r>
      <w:r w:rsidRPr="00DB6B17">
        <w:t>O</w:t>
      </w:r>
      <w:proofErr w:type="gramEnd"/>
      <w:r w:rsidRPr="00DB6B17">
        <w:t xml:space="preserve"> will share the </w:t>
      </w:r>
      <w:hyperlink r:id="rId15" w:history="1">
        <w:r w:rsidRPr="00F17B9D">
          <w:rPr>
            <w:rStyle w:val="Hyperlink"/>
          </w:rPr>
          <w:t>interim measures survey</w:t>
        </w:r>
      </w:hyperlink>
      <w:r w:rsidRPr="00DB6B17">
        <w:t xml:space="preserve"> that is being used to collect data that allows </w:t>
      </w:r>
      <w:r w:rsidR="00F75E4C" w:rsidRPr="00DB6B17">
        <w:t>CCCCO staff</w:t>
      </w:r>
      <w:r w:rsidRPr="00DB6B17">
        <w:t xml:space="preserve"> to improve understanding of the impact of the grant over the course of the funding cycle.</w:t>
      </w:r>
      <w:r w:rsidR="00F17B9D">
        <w:t xml:space="preserve"> An</w:t>
      </w:r>
      <w:r w:rsidR="00231862" w:rsidRPr="00DB6B17">
        <w:t xml:space="preserve"> </w:t>
      </w:r>
      <w:hyperlink r:id="rId16" w:history="1">
        <w:r w:rsidR="00231862" w:rsidRPr="00F17B9D">
          <w:rPr>
            <w:rStyle w:val="Hyperlink"/>
          </w:rPr>
          <w:t>instructional guide for the survey</w:t>
        </w:r>
      </w:hyperlink>
      <w:r w:rsidR="00F17B9D">
        <w:t xml:space="preserve"> is available</w:t>
      </w:r>
      <w:r w:rsidR="00231862" w:rsidRPr="00DB6B17">
        <w:t>.</w:t>
      </w:r>
    </w:p>
    <w:p w14:paraId="76975E70" w14:textId="235D7EFF" w:rsidR="00A77C5F" w:rsidRPr="00DB6B17" w:rsidRDefault="00A77C5F" w:rsidP="001B67DD">
      <w:r w:rsidRPr="00DB6B17">
        <w:t xml:space="preserve">The information is being collected via a survey that aligns with the NOVA data system for financial reporting. This allows the CCCCO to glean knowledge about specific approaches being executed in the field. This information will allow </w:t>
      </w:r>
      <w:r w:rsidR="00F75E4C" w:rsidRPr="00DB6B17">
        <w:t>the CCCCO</w:t>
      </w:r>
      <w:r w:rsidRPr="00DB6B17">
        <w:t xml:space="preserve"> to measure effectiveness, scalability and continuously improve program outcomes.</w:t>
      </w:r>
    </w:p>
    <w:p w14:paraId="2C8685F6" w14:textId="3FCE09A1" w:rsidR="005705A5" w:rsidRPr="00DB6B17" w:rsidRDefault="00E5637B" w:rsidP="003E7EEC">
      <w:pPr>
        <w:tabs>
          <w:tab w:val="left" w:pos="1755"/>
        </w:tabs>
        <w:spacing w:before="480" w:after="240"/>
        <w:rPr>
          <w:rFonts w:cs="Arial"/>
          <w:b/>
        </w:rPr>
      </w:pPr>
      <w:r w:rsidRPr="00DB6B17">
        <w:rPr>
          <w:rFonts w:cs="Arial"/>
          <w:b/>
        </w:rPr>
        <w:t>CTEIG and K</w:t>
      </w:r>
      <w:r w:rsidR="0003321E" w:rsidRPr="00DB6B17">
        <w:rPr>
          <w:rFonts w:cs="Arial"/>
          <w:b/>
        </w:rPr>
        <w:t>–</w:t>
      </w:r>
      <w:r w:rsidRPr="00DB6B17">
        <w:rPr>
          <w:rFonts w:cs="Arial"/>
          <w:b/>
        </w:rPr>
        <w:t>12 SWP Data Reports</w:t>
      </w:r>
    </w:p>
    <w:p w14:paraId="658E9644" w14:textId="781E3E6D" w:rsidR="00C635C8" w:rsidRPr="00DB6B17" w:rsidRDefault="006D1CEF" w:rsidP="00CE3317">
      <w:pPr>
        <w:spacing w:after="240"/>
        <w:rPr>
          <w:rFonts w:cs="Arial"/>
        </w:rPr>
      </w:pPr>
      <w:r w:rsidRPr="00DB6B17">
        <w:rPr>
          <w:rFonts w:cs="Arial"/>
        </w:rPr>
        <w:t>CWPJAC members requested that CDE and CCCCO staff present quantitative and qualitative data regarding the implementation of the CTEIG and K–12 SWP. CDE and CCCCO staff gathered data from several sources to create summary reports on several facets of the implementation of the two programs</w:t>
      </w:r>
      <w:r w:rsidR="0003321E" w:rsidRPr="00DB6B17">
        <w:rPr>
          <w:rFonts w:cs="Arial"/>
        </w:rPr>
        <w:t>.</w:t>
      </w:r>
      <w:r w:rsidR="008301CE" w:rsidRPr="00DB6B17">
        <w:rPr>
          <w:rFonts w:cs="Arial"/>
        </w:rPr>
        <w:t xml:space="preserve"> Attachment 1 presents the summary data along with a description of the sources of data and the methodology</w:t>
      </w:r>
      <w:r w:rsidR="00F75E4C" w:rsidRPr="00DB6B17">
        <w:rPr>
          <w:rFonts w:cs="Arial"/>
        </w:rPr>
        <w:t>.</w:t>
      </w:r>
    </w:p>
    <w:p w14:paraId="0CC8E32F" w14:textId="78BE0513" w:rsidR="00B93CAB" w:rsidRPr="00DB6B17" w:rsidRDefault="00C635C8" w:rsidP="00CE3317">
      <w:pPr>
        <w:spacing w:after="240"/>
        <w:rPr>
          <w:rFonts w:cs="Arial"/>
        </w:rPr>
      </w:pPr>
      <w:r w:rsidRPr="00DB6B17">
        <w:rPr>
          <w:rFonts w:cs="Arial"/>
        </w:rPr>
        <w:t xml:space="preserve">The CTEIG was created in 2015, and the K–12 SWP began in 2018. </w:t>
      </w:r>
      <w:r w:rsidR="00C71674" w:rsidRPr="00DB6B17">
        <w:rPr>
          <w:rFonts w:cs="Arial"/>
        </w:rPr>
        <w:t xml:space="preserve">Full data collection for CTE </w:t>
      </w:r>
      <w:r w:rsidR="00940D4F" w:rsidRPr="00DB6B17">
        <w:rPr>
          <w:rFonts w:cs="Arial"/>
        </w:rPr>
        <w:t>in the California Longitudinal Achievement Data System (CALPADS) began in FY</w:t>
      </w:r>
      <w:r w:rsidR="00D04236" w:rsidRPr="00DB6B17">
        <w:rPr>
          <w:rFonts w:cs="Arial"/>
        </w:rPr>
        <w:t xml:space="preserve"> </w:t>
      </w:r>
      <w:r w:rsidR="00940D4F" w:rsidRPr="00DB6B17">
        <w:rPr>
          <w:rFonts w:cs="Arial"/>
        </w:rPr>
        <w:t>2018</w:t>
      </w:r>
      <w:r w:rsidR="00D04236" w:rsidRPr="00DB6B17">
        <w:rPr>
          <w:rFonts w:cs="Arial"/>
        </w:rPr>
        <w:t>–</w:t>
      </w:r>
      <w:r w:rsidR="00940D4F" w:rsidRPr="00DB6B17">
        <w:rPr>
          <w:rFonts w:cs="Arial"/>
        </w:rPr>
        <w:t xml:space="preserve">19. </w:t>
      </w:r>
      <w:r w:rsidRPr="00DB6B17">
        <w:rPr>
          <w:rFonts w:cs="Arial"/>
        </w:rPr>
        <w:t xml:space="preserve">For the 2018–19 academic year, some of the data metrics were collected in CALPADS, but other metrics </w:t>
      </w:r>
      <w:r w:rsidR="003F2DB6" w:rsidRPr="00DB6B17">
        <w:rPr>
          <w:rFonts w:cs="Arial"/>
        </w:rPr>
        <w:t>were collected using</w:t>
      </w:r>
      <w:r w:rsidRPr="00DB6B17">
        <w:rPr>
          <w:rFonts w:cs="Arial"/>
        </w:rPr>
        <w:t xml:space="preserve"> </w:t>
      </w:r>
      <w:r w:rsidR="00967C05" w:rsidRPr="00DB6B17">
        <w:rPr>
          <w:rFonts w:cs="Arial"/>
        </w:rPr>
        <w:t>a</w:t>
      </w:r>
      <w:r w:rsidR="003B4154" w:rsidRPr="00DB6B17">
        <w:rPr>
          <w:rFonts w:cs="Arial"/>
        </w:rPr>
        <w:t>n annual</w:t>
      </w:r>
      <w:r w:rsidR="00967C05" w:rsidRPr="00DB6B17">
        <w:rPr>
          <w:rFonts w:cs="Arial"/>
        </w:rPr>
        <w:t xml:space="preserve"> survey</w:t>
      </w:r>
      <w:r w:rsidRPr="00DB6B17">
        <w:rPr>
          <w:rFonts w:cs="Arial"/>
        </w:rPr>
        <w:t xml:space="preserve">. Attachment 2 shows this mixed approach and provides summary data for the 2018–19 CTEIG grantees. In 2019, within the CDE, the </w:t>
      </w:r>
      <w:r w:rsidR="003F2DB6" w:rsidRPr="00DB6B17">
        <w:rPr>
          <w:rFonts w:cs="Arial"/>
        </w:rPr>
        <w:t xml:space="preserve">CCTD </w:t>
      </w:r>
      <w:r w:rsidRPr="00DB6B17">
        <w:rPr>
          <w:rFonts w:cs="Arial"/>
        </w:rPr>
        <w:t>began discussions with the different divisions responsible for LEA data collection</w:t>
      </w:r>
      <w:r w:rsidR="003B4154" w:rsidRPr="00DB6B17">
        <w:rPr>
          <w:rFonts w:cs="Arial"/>
        </w:rPr>
        <w:t xml:space="preserve"> to explore the possibility of using</w:t>
      </w:r>
      <w:r w:rsidRPr="00DB6B17">
        <w:rPr>
          <w:rFonts w:cs="Arial"/>
        </w:rPr>
        <w:t xml:space="preserve"> a single process for getting information on the CTEIG and the K–12 SWP data metrics. </w:t>
      </w:r>
      <w:r w:rsidR="00967C05" w:rsidRPr="00DB6B17">
        <w:rPr>
          <w:rFonts w:cs="Arial"/>
        </w:rPr>
        <w:t xml:space="preserve">Moving forward, </w:t>
      </w:r>
      <w:r w:rsidRPr="00DB6B17">
        <w:rPr>
          <w:rFonts w:cs="Arial"/>
        </w:rPr>
        <w:t xml:space="preserve">all CTEIG and K–12 SWP data metrics will be collected within CALPADS </w:t>
      </w:r>
      <w:r w:rsidR="003B4154" w:rsidRPr="00DB6B17">
        <w:rPr>
          <w:rFonts w:cs="Arial"/>
        </w:rPr>
        <w:t xml:space="preserve">starting with </w:t>
      </w:r>
      <w:r w:rsidRPr="00DB6B17">
        <w:rPr>
          <w:rFonts w:cs="Arial"/>
        </w:rPr>
        <w:t>the 2019–20 data collection period</w:t>
      </w:r>
      <w:r w:rsidR="008301CE" w:rsidRPr="00DB6B17">
        <w:rPr>
          <w:rFonts w:cs="Arial"/>
        </w:rPr>
        <w:t>.</w:t>
      </w:r>
    </w:p>
    <w:p w14:paraId="533476B2" w14:textId="55A5FB58" w:rsidR="00020B59" w:rsidRPr="00DB6B17" w:rsidRDefault="00967C05" w:rsidP="00CE3317">
      <w:pPr>
        <w:spacing w:after="240"/>
        <w:rPr>
          <w:rFonts w:cs="Arial"/>
        </w:rPr>
      </w:pPr>
      <w:r w:rsidRPr="00DB6B17">
        <w:rPr>
          <w:rFonts w:cs="Arial"/>
        </w:rPr>
        <w:t xml:space="preserve">The general purpose for presenting the summary data is to show how </w:t>
      </w:r>
      <w:r w:rsidR="00D04236" w:rsidRPr="00DB6B17">
        <w:rPr>
          <w:rFonts w:cs="Arial"/>
        </w:rPr>
        <w:t xml:space="preserve">the </w:t>
      </w:r>
      <w:r w:rsidRPr="00DB6B17">
        <w:rPr>
          <w:rFonts w:cs="Arial"/>
        </w:rPr>
        <w:t>CDE and CCCCO have developed a process for creating baseline data</w:t>
      </w:r>
      <w:r w:rsidR="00020B59" w:rsidRPr="00DB6B17">
        <w:rPr>
          <w:rFonts w:cs="Arial"/>
        </w:rPr>
        <w:t xml:space="preserve"> that includes:</w:t>
      </w:r>
    </w:p>
    <w:p w14:paraId="0D134B1E" w14:textId="20C7EB9C" w:rsidR="00020B59" w:rsidRPr="00DB6B17" w:rsidRDefault="00020B59" w:rsidP="004F2C82">
      <w:pPr>
        <w:pStyle w:val="ListParagraph"/>
        <w:numPr>
          <w:ilvl w:val="0"/>
          <w:numId w:val="11"/>
        </w:numPr>
        <w:spacing w:after="240"/>
        <w:ind w:left="778"/>
        <w:contextualSpacing w:val="0"/>
        <w:rPr>
          <w:rFonts w:cs="Arial"/>
        </w:rPr>
      </w:pPr>
      <w:r w:rsidRPr="00DB6B17">
        <w:rPr>
          <w:rFonts w:cs="Arial"/>
        </w:rPr>
        <w:t>Sel</w:t>
      </w:r>
      <w:r w:rsidR="009C33AF" w:rsidRPr="00DB6B17">
        <w:rPr>
          <w:rFonts w:cs="Arial"/>
        </w:rPr>
        <w:t xml:space="preserve">f-evaluation </w:t>
      </w:r>
      <w:r w:rsidR="003B4154" w:rsidRPr="00DB6B17">
        <w:rPr>
          <w:rFonts w:cs="Arial"/>
        </w:rPr>
        <w:t xml:space="preserve">information provided </w:t>
      </w:r>
      <w:r w:rsidRPr="00DB6B17">
        <w:rPr>
          <w:rFonts w:cs="Arial"/>
        </w:rPr>
        <w:t>by CTEIG grantees across two fiscal years</w:t>
      </w:r>
      <w:r w:rsidR="00D04236" w:rsidRPr="00DB6B17">
        <w:rPr>
          <w:rFonts w:cs="Arial"/>
        </w:rPr>
        <w:t>,</w:t>
      </w:r>
      <w:r w:rsidRPr="00DB6B17">
        <w:rPr>
          <w:rFonts w:cs="Arial"/>
        </w:rPr>
        <w:t xml:space="preserve"> FY</w:t>
      </w:r>
      <w:r w:rsidR="00D04236" w:rsidRPr="00DB6B17">
        <w:rPr>
          <w:rFonts w:cs="Arial"/>
        </w:rPr>
        <w:t xml:space="preserve"> </w:t>
      </w:r>
      <w:r w:rsidRPr="00DB6B17">
        <w:rPr>
          <w:rFonts w:cs="Arial"/>
        </w:rPr>
        <w:t>2018</w:t>
      </w:r>
      <w:r w:rsidR="00D04236" w:rsidRPr="00DB6B17">
        <w:rPr>
          <w:rFonts w:cs="Arial"/>
        </w:rPr>
        <w:t>–</w:t>
      </w:r>
      <w:r w:rsidRPr="00DB6B17">
        <w:rPr>
          <w:rFonts w:cs="Arial"/>
        </w:rPr>
        <w:t>19 and FY 2019</w:t>
      </w:r>
      <w:r w:rsidR="00D04236" w:rsidRPr="00DB6B17">
        <w:rPr>
          <w:rFonts w:cs="Arial"/>
        </w:rPr>
        <w:t>–</w:t>
      </w:r>
      <w:r w:rsidRPr="00DB6B17">
        <w:rPr>
          <w:rFonts w:cs="Arial"/>
        </w:rPr>
        <w:t>20;</w:t>
      </w:r>
    </w:p>
    <w:p w14:paraId="4F53988B" w14:textId="43F4C77D" w:rsidR="00020B59" w:rsidRPr="00DB6B17" w:rsidRDefault="00020B59" w:rsidP="004F2C82">
      <w:pPr>
        <w:pStyle w:val="ListParagraph"/>
        <w:numPr>
          <w:ilvl w:val="0"/>
          <w:numId w:val="11"/>
        </w:numPr>
        <w:spacing w:after="240"/>
        <w:ind w:left="778"/>
        <w:contextualSpacing w:val="0"/>
        <w:rPr>
          <w:rFonts w:cs="Arial"/>
        </w:rPr>
      </w:pPr>
      <w:r w:rsidRPr="00DB6B17">
        <w:rPr>
          <w:rFonts w:cs="Arial"/>
        </w:rPr>
        <w:t>A distribution of CTEIG expenditures (actual and proposed) for FY</w:t>
      </w:r>
      <w:r w:rsidR="00D04236" w:rsidRPr="00DB6B17">
        <w:rPr>
          <w:rFonts w:cs="Arial"/>
        </w:rPr>
        <w:t xml:space="preserve"> </w:t>
      </w:r>
      <w:r w:rsidRPr="00DB6B17">
        <w:rPr>
          <w:rFonts w:cs="Arial"/>
        </w:rPr>
        <w:t>2017</w:t>
      </w:r>
      <w:r w:rsidR="00D04236" w:rsidRPr="00DB6B17">
        <w:rPr>
          <w:rFonts w:cs="Arial"/>
        </w:rPr>
        <w:t>–</w:t>
      </w:r>
      <w:r w:rsidRPr="00DB6B17">
        <w:rPr>
          <w:rFonts w:cs="Arial"/>
        </w:rPr>
        <w:t>18 and FY</w:t>
      </w:r>
      <w:r w:rsidR="00D04236" w:rsidRPr="00DB6B17">
        <w:rPr>
          <w:rFonts w:cs="Arial"/>
        </w:rPr>
        <w:t xml:space="preserve"> </w:t>
      </w:r>
      <w:r w:rsidRPr="00DB6B17">
        <w:rPr>
          <w:rFonts w:cs="Arial"/>
        </w:rPr>
        <w:t>2018</w:t>
      </w:r>
      <w:r w:rsidR="00D04236" w:rsidRPr="00DB6B17">
        <w:rPr>
          <w:rFonts w:cs="Arial"/>
        </w:rPr>
        <w:t>–</w:t>
      </w:r>
      <w:r w:rsidRPr="00DB6B17">
        <w:rPr>
          <w:rFonts w:cs="Arial"/>
        </w:rPr>
        <w:t>19;</w:t>
      </w:r>
      <w:r w:rsidR="00D04236" w:rsidRPr="00DB6B17">
        <w:rPr>
          <w:rFonts w:cs="Arial"/>
        </w:rPr>
        <w:t xml:space="preserve"> and</w:t>
      </w:r>
    </w:p>
    <w:p w14:paraId="34BBD3D8" w14:textId="2B41AA45" w:rsidR="00C635C8" w:rsidRPr="00DB6B17" w:rsidRDefault="00020B59" w:rsidP="004F2C82">
      <w:pPr>
        <w:pStyle w:val="ListParagraph"/>
        <w:numPr>
          <w:ilvl w:val="0"/>
          <w:numId w:val="11"/>
        </w:numPr>
        <w:spacing w:after="240"/>
        <w:rPr>
          <w:rFonts w:cs="Arial"/>
        </w:rPr>
      </w:pPr>
      <w:r w:rsidRPr="00DB6B17">
        <w:rPr>
          <w:rFonts w:cs="Arial"/>
        </w:rPr>
        <w:t>Data</w:t>
      </w:r>
      <w:r w:rsidR="00F839B3" w:rsidRPr="00DB6B17">
        <w:rPr>
          <w:rFonts w:cs="Arial"/>
        </w:rPr>
        <w:t xml:space="preserve">, where available </w:t>
      </w:r>
      <w:r w:rsidRPr="00DB6B17">
        <w:rPr>
          <w:rFonts w:cs="Arial"/>
        </w:rPr>
        <w:t xml:space="preserve">on CTEIG and </w:t>
      </w:r>
      <w:r w:rsidR="005727BD" w:rsidRPr="00DB6B17">
        <w:rPr>
          <w:rFonts w:cs="Arial"/>
        </w:rPr>
        <w:t xml:space="preserve">K–12 SWP </w:t>
      </w:r>
      <w:r w:rsidRPr="00DB6B17">
        <w:rPr>
          <w:rFonts w:cs="Arial"/>
        </w:rPr>
        <w:t>metrics (as differentiated by</w:t>
      </w:r>
      <w:r w:rsidR="00F839B3" w:rsidRPr="00DB6B17">
        <w:rPr>
          <w:rFonts w:cs="Arial"/>
        </w:rPr>
        <w:t xml:space="preserve"> the County District School</w:t>
      </w:r>
      <w:r w:rsidR="0014120C" w:rsidRPr="00DB6B17">
        <w:rPr>
          <w:rFonts w:cs="Arial"/>
        </w:rPr>
        <w:t xml:space="preserve"> </w:t>
      </w:r>
      <w:r w:rsidR="00F839B3" w:rsidRPr="00DB6B17">
        <w:rPr>
          <w:rFonts w:cs="Arial"/>
        </w:rPr>
        <w:t>code</w:t>
      </w:r>
      <w:r w:rsidR="0014120C" w:rsidRPr="00DB6B17">
        <w:rPr>
          <w:rFonts w:cs="Arial"/>
        </w:rPr>
        <w:t>)</w:t>
      </w:r>
      <w:r w:rsidR="00F839B3" w:rsidRPr="00DB6B17">
        <w:rPr>
          <w:rFonts w:cs="Arial"/>
        </w:rPr>
        <w:t>.</w:t>
      </w:r>
    </w:p>
    <w:p w14:paraId="2CE9A1A9" w14:textId="3D69B231" w:rsidR="005727BD" w:rsidRPr="00DB6B17" w:rsidRDefault="00F839B3" w:rsidP="00CE3317">
      <w:pPr>
        <w:spacing w:after="240"/>
        <w:rPr>
          <w:rFonts w:cs="Arial"/>
        </w:rPr>
      </w:pPr>
      <w:r w:rsidRPr="00DB6B17">
        <w:rPr>
          <w:rFonts w:cs="Arial"/>
        </w:rPr>
        <w:t>In reviewing the data presented in Attachment 1, CWPJAC members should consider the following</w:t>
      </w:r>
      <w:r w:rsidR="0025363B" w:rsidRPr="00DB6B17">
        <w:rPr>
          <w:rFonts w:cs="Arial"/>
        </w:rPr>
        <w:t>: o</w:t>
      </w:r>
      <w:r w:rsidR="005727BD" w:rsidRPr="00DB6B17">
        <w:rPr>
          <w:rFonts w:cs="Arial"/>
        </w:rPr>
        <w:t>ne, the data presented uses qualitative data available for CTEIG grantees; sample data extracted from CALPAD</w:t>
      </w:r>
      <w:r w:rsidR="009B1D61" w:rsidRPr="00DB6B17">
        <w:rPr>
          <w:rFonts w:cs="Arial"/>
        </w:rPr>
        <w:t>S</w:t>
      </w:r>
      <w:r w:rsidR="005727BD" w:rsidRPr="00DB6B17">
        <w:rPr>
          <w:rFonts w:cs="Arial"/>
        </w:rPr>
        <w:t>; combined data from the survey and CALPADS, and CTE data entered by LEAs into CALPAD</w:t>
      </w:r>
      <w:r w:rsidR="009B1D61" w:rsidRPr="00DB6B17">
        <w:rPr>
          <w:rFonts w:cs="Arial"/>
        </w:rPr>
        <w:t>S</w:t>
      </w:r>
      <w:r w:rsidR="0025363B" w:rsidRPr="00DB6B17">
        <w:rPr>
          <w:rFonts w:cs="Arial"/>
        </w:rPr>
        <w:t>; t</w:t>
      </w:r>
      <w:r w:rsidR="005727BD" w:rsidRPr="00DB6B17">
        <w:rPr>
          <w:rFonts w:cs="Arial"/>
        </w:rPr>
        <w:t>wo</w:t>
      </w:r>
      <w:r w:rsidRPr="00DB6B17">
        <w:rPr>
          <w:rFonts w:cs="Arial"/>
        </w:rPr>
        <w:t xml:space="preserve">, the </w:t>
      </w:r>
      <w:r w:rsidR="008B34B7" w:rsidRPr="00DB6B17">
        <w:rPr>
          <w:rFonts w:cs="Arial"/>
        </w:rPr>
        <w:t xml:space="preserve">eligible </w:t>
      </w:r>
      <w:r w:rsidRPr="00DB6B17">
        <w:rPr>
          <w:rFonts w:cs="Arial"/>
        </w:rPr>
        <w:t xml:space="preserve">applicants </w:t>
      </w:r>
      <w:r w:rsidRPr="00DB6B17">
        <w:rPr>
          <w:rFonts w:cs="Arial"/>
        </w:rPr>
        <w:lastRenderedPageBreak/>
        <w:t xml:space="preserve">and grantees for CTEIG and </w:t>
      </w:r>
      <w:r w:rsidR="005727BD" w:rsidRPr="00DB6B17">
        <w:rPr>
          <w:rFonts w:cs="Arial"/>
        </w:rPr>
        <w:t>K–12 SWP</w:t>
      </w:r>
      <w:r w:rsidR="008B34B7" w:rsidRPr="00DB6B17">
        <w:rPr>
          <w:rFonts w:cs="Arial"/>
        </w:rPr>
        <w:t xml:space="preserve"> are potentially the same LEAs</w:t>
      </w:r>
      <w:r w:rsidR="0025363B" w:rsidRPr="00DB6B17">
        <w:rPr>
          <w:rFonts w:cs="Arial"/>
        </w:rPr>
        <w:t>; and</w:t>
      </w:r>
      <w:r w:rsidR="008B34B7" w:rsidRPr="00DB6B17">
        <w:rPr>
          <w:rFonts w:cs="Arial"/>
        </w:rPr>
        <w:t xml:space="preserve"> </w:t>
      </w:r>
      <w:r w:rsidR="0025363B" w:rsidRPr="00DB6B17">
        <w:rPr>
          <w:rFonts w:cs="Arial"/>
        </w:rPr>
        <w:t>t</w:t>
      </w:r>
      <w:r w:rsidR="005727BD" w:rsidRPr="00DB6B17">
        <w:rPr>
          <w:rFonts w:cs="Arial"/>
        </w:rPr>
        <w:t>hree</w:t>
      </w:r>
      <w:r w:rsidR="008B34B7" w:rsidRPr="00DB6B17">
        <w:rPr>
          <w:rFonts w:cs="Arial"/>
        </w:rPr>
        <w:t>, the CTEIG and K</w:t>
      </w:r>
      <w:r w:rsidR="00D04236" w:rsidRPr="00DB6B17">
        <w:rPr>
          <w:rFonts w:cs="Arial"/>
        </w:rPr>
        <w:t>–</w:t>
      </w:r>
      <w:r w:rsidR="008B34B7" w:rsidRPr="00DB6B17">
        <w:rPr>
          <w:rFonts w:cs="Arial"/>
        </w:rPr>
        <w:t>12</w:t>
      </w:r>
      <w:r w:rsidR="00D04236" w:rsidRPr="00DB6B17">
        <w:rPr>
          <w:rFonts w:cs="Arial"/>
        </w:rPr>
        <w:t xml:space="preserve"> </w:t>
      </w:r>
      <w:r w:rsidR="008B34B7" w:rsidRPr="00DB6B17">
        <w:rPr>
          <w:rFonts w:cs="Arial"/>
        </w:rPr>
        <w:t>SWP legislation require</w:t>
      </w:r>
      <w:r w:rsidR="0025363B" w:rsidRPr="00DB6B17">
        <w:rPr>
          <w:rFonts w:cs="Arial"/>
        </w:rPr>
        <w:t>s</w:t>
      </w:r>
      <w:r w:rsidR="008B34B7" w:rsidRPr="00DB6B17">
        <w:rPr>
          <w:rFonts w:cs="Arial"/>
        </w:rPr>
        <w:t xml:space="preserve"> the collection of the same set of metrics</w:t>
      </w:r>
      <w:r w:rsidR="0025363B" w:rsidRPr="00DB6B17">
        <w:rPr>
          <w:rFonts w:cs="Arial"/>
        </w:rPr>
        <w:t>. T</w:t>
      </w:r>
      <w:r w:rsidR="008B34B7" w:rsidRPr="00DB6B17">
        <w:rPr>
          <w:rFonts w:cs="Arial"/>
        </w:rPr>
        <w:t>he survey and CALPADS collection</w:t>
      </w:r>
      <w:r w:rsidR="00106AFB" w:rsidRPr="00DB6B17">
        <w:rPr>
          <w:rFonts w:cs="Arial"/>
        </w:rPr>
        <w:t xml:space="preserve"> of the metrics show the commonalities across </w:t>
      </w:r>
      <w:r w:rsidR="00CE739E" w:rsidRPr="00DB6B17">
        <w:rPr>
          <w:rFonts w:cs="Arial"/>
        </w:rPr>
        <w:t>both state initiatives</w:t>
      </w:r>
      <w:r w:rsidR="00106AFB" w:rsidRPr="00DB6B17">
        <w:rPr>
          <w:rFonts w:cs="Arial"/>
        </w:rPr>
        <w:t>.</w:t>
      </w:r>
    </w:p>
    <w:p w14:paraId="77C40CEA" w14:textId="40E48BB8" w:rsidR="00F839B3" w:rsidRPr="00DB6B17" w:rsidRDefault="005727BD" w:rsidP="007A1FCC">
      <w:pPr>
        <w:spacing w:after="240"/>
        <w:rPr>
          <w:rFonts w:cs="Arial"/>
        </w:rPr>
      </w:pPr>
      <w:r w:rsidRPr="00DB6B17">
        <w:rPr>
          <w:rFonts w:cs="Arial"/>
        </w:rPr>
        <w:t xml:space="preserve">Taken together, the data presented builds the rationale for why the metrics as indicated within </w:t>
      </w:r>
      <w:r w:rsidR="003F2DB6" w:rsidRPr="00DB6B17">
        <w:rPr>
          <w:rFonts w:cs="Arial"/>
        </w:rPr>
        <w:t xml:space="preserve">legislation for the </w:t>
      </w:r>
      <w:r w:rsidRPr="00DB6B17">
        <w:rPr>
          <w:rFonts w:cs="Arial"/>
        </w:rPr>
        <w:t>CTEIG and K–12 SWP require revision</w:t>
      </w:r>
      <w:r w:rsidR="005A776D" w:rsidRPr="00DB6B17">
        <w:rPr>
          <w:rFonts w:cs="Arial"/>
        </w:rPr>
        <w:t xml:space="preserve">. Also, the ability to find areas of data alignment across </w:t>
      </w:r>
      <w:r w:rsidR="00E63B56" w:rsidRPr="00DB6B17">
        <w:rPr>
          <w:rFonts w:cs="Arial"/>
        </w:rPr>
        <w:t>both</w:t>
      </w:r>
      <w:r w:rsidR="003F2DB6" w:rsidRPr="00DB6B17">
        <w:rPr>
          <w:rFonts w:cs="Arial"/>
        </w:rPr>
        <w:t xml:space="preserve"> program</w:t>
      </w:r>
      <w:r w:rsidR="005A776D" w:rsidRPr="00DB6B17">
        <w:rPr>
          <w:rFonts w:cs="Arial"/>
        </w:rPr>
        <w:t>s</w:t>
      </w:r>
      <w:r w:rsidR="007B19E0" w:rsidRPr="00DB6B17">
        <w:rPr>
          <w:rFonts w:cs="Arial"/>
        </w:rPr>
        <w:t xml:space="preserve"> </w:t>
      </w:r>
      <w:r w:rsidR="005A776D" w:rsidRPr="00DB6B17">
        <w:rPr>
          <w:rFonts w:cs="Arial"/>
        </w:rPr>
        <w:t>sets the stage for a more comprehensive MOU</w:t>
      </w:r>
      <w:r w:rsidR="00E63B56" w:rsidRPr="00DB6B17">
        <w:rPr>
          <w:rFonts w:cs="Arial"/>
        </w:rPr>
        <w:t xml:space="preserve"> between</w:t>
      </w:r>
      <w:r w:rsidR="007A1FCC" w:rsidRPr="00DB6B17">
        <w:rPr>
          <w:rFonts w:cs="Arial"/>
        </w:rPr>
        <w:t xml:space="preserve"> the</w:t>
      </w:r>
      <w:r w:rsidR="00E63B56" w:rsidRPr="00DB6B17">
        <w:rPr>
          <w:rFonts w:cs="Arial"/>
        </w:rPr>
        <w:t xml:space="preserve"> CDE and CCCCO</w:t>
      </w:r>
      <w:r w:rsidR="005A776D" w:rsidRPr="00DB6B17">
        <w:rPr>
          <w:rFonts w:cs="Arial"/>
        </w:rPr>
        <w:t>. Last but not least, as more longitudinal CALPADS data becomes available</w:t>
      </w:r>
      <w:r w:rsidR="00633411" w:rsidRPr="00DB6B17">
        <w:rPr>
          <w:rFonts w:cs="Arial"/>
        </w:rPr>
        <w:t xml:space="preserve"> it </w:t>
      </w:r>
      <w:r w:rsidR="00E63B56" w:rsidRPr="00DB6B17">
        <w:rPr>
          <w:rFonts w:cs="Arial"/>
        </w:rPr>
        <w:t>will enable the evaluation of</w:t>
      </w:r>
      <w:r w:rsidR="005A776D" w:rsidRPr="00DB6B17">
        <w:rPr>
          <w:rFonts w:cs="Arial"/>
        </w:rPr>
        <w:t xml:space="preserve"> how CTEIG renewal grant</w:t>
      </w:r>
      <w:r w:rsidR="00E63B56" w:rsidRPr="00DB6B17">
        <w:rPr>
          <w:rFonts w:cs="Arial"/>
        </w:rPr>
        <w:t xml:space="preserve"> application</w:t>
      </w:r>
      <w:r w:rsidR="005A776D" w:rsidRPr="00DB6B17">
        <w:rPr>
          <w:rFonts w:cs="Arial"/>
        </w:rPr>
        <w:t xml:space="preserve">s can be assessed </w:t>
      </w:r>
      <w:r w:rsidR="00633411" w:rsidRPr="00DB6B17">
        <w:rPr>
          <w:rFonts w:cs="Arial"/>
        </w:rPr>
        <w:t>as</w:t>
      </w:r>
      <w:r w:rsidR="00E63B56" w:rsidRPr="00DB6B17">
        <w:rPr>
          <w:rFonts w:cs="Arial"/>
        </w:rPr>
        <w:t xml:space="preserve"> envisioned by statute</w:t>
      </w:r>
      <w:r w:rsidR="005A776D" w:rsidRPr="00DB6B17">
        <w:rPr>
          <w:rFonts w:cs="Arial"/>
        </w:rPr>
        <w:t>.</w:t>
      </w:r>
    </w:p>
    <w:p w14:paraId="798F11CC" w14:textId="7FF651B3" w:rsidR="00C635C8" w:rsidRPr="00DB6B17" w:rsidRDefault="00C635C8" w:rsidP="00195E52">
      <w:pPr>
        <w:spacing w:after="160" w:line="259" w:lineRule="auto"/>
        <w:rPr>
          <w:rFonts w:cs="Arial"/>
          <w:b/>
        </w:rPr>
      </w:pPr>
      <w:r w:rsidRPr="00DB6B17">
        <w:rPr>
          <w:rFonts w:cs="Arial"/>
          <w:b/>
        </w:rPr>
        <w:t>The CTEIG and K–12 SWP MOU</w:t>
      </w:r>
    </w:p>
    <w:p w14:paraId="3D230903" w14:textId="47C50420" w:rsidR="00E75F4F" w:rsidRPr="00DB6B17" w:rsidRDefault="0025363B" w:rsidP="007051E8">
      <w:pPr>
        <w:tabs>
          <w:tab w:val="left" w:pos="1755"/>
        </w:tabs>
        <w:spacing w:after="240"/>
        <w:rPr>
          <w:rFonts w:cs="Arial"/>
        </w:rPr>
      </w:pPr>
      <w:r w:rsidRPr="00DB6B17">
        <w:rPr>
          <w:rFonts w:cs="Arial"/>
        </w:rPr>
        <w:t>T</w:t>
      </w:r>
      <w:r w:rsidR="002717C0" w:rsidRPr="00DB6B17">
        <w:rPr>
          <w:rFonts w:cs="Arial"/>
        </w:rPr>
        <w:t xml:space="preserve">he </w:t>
      </w:r>
      <w:r w:rsidR="00243C5F" w:rsidRPr="00DB6B17">
        <w:rPr>
          <w:rFonts w:cs="Arial"/>
        </w:rPr>
        <w:t xml:space="preserve">CALPADS </w:t>
      </w:r>
      <w:r w:rsidR="00CE676A" w:rsidRPr="00DB6B17">
        <w:rPr>
          <w:rFonts w:cs="Arial"/>
        </w:rPr>
        <w:t>is a CDE</w:t>
      </w:r>
      <w:r w:rsidR="003F2DB6" w:rsidRPr="00DB6B17">
        <w:rPr>
          <w:rFonts w:cs="Arial"/>
        </w:rPr>
        <w:t>-based</w:t>
      </w:r>
      <w:r w:rsidR="00CE676A" w:rsidRPr="00DB6B17">
        <w:rPr>
          <w:rFonts w:cs="Arial"/>
        </w:rPr>
        <w:t xml:space="preserve"> data collection system</w:t>
      </w:r>
      <w:r w:rsidRPr="00DB6B17">
        <w:rPr>
          <w:rFonts w:cs="Arial"/>
        </w:rPr>
        <w:t>.</w:t>
      </w:r>
      <w:r w:rsidR="00CE676A" w:rsidRPr="00DB6B17">
        <w:rPr>
          <w:rFonts w:cs="Arial"/>
        </w:rPr>
        <w:t xml:space="preserve"> </w:t>
      </w:r>
      <w:r w:rsidRPr="00DB6B17">
        <w:rPr>
          <w:rFonts w:cs="Arial"/>
        </w:rPr>
        <w:t>T</w:t>
      </w:r>
      <w:r w:rsidR="00CE676A" w:rsidRPr="00DB6B17">
        <w:rPr>
          <w:rFonts w:cs="Arial"/>
        </w:rPr>
        <w:t xml:space="preserve">he </w:t>
      </w:r>
      <w:r w:rsidRPr="00DB6B17">
        <w:rPr>
          <w:rFonts w:cs="Arial"/>
        </w:rPr>
        <w:t xml:space="preserve">law authorizing CTEIG and the K-12 SWP requires the CDE to share LEA data with the CCCCO. </w:t>
      </w:r>
      <w:r w:rsidR="00FB6E97" w:rsidRPr="00DB6B17">
        <w:rPr>
          <w:rFonts w:cs="Arial"/>
        </w:rPr>
        <w:t>T</w:t>
      </w:r>
      <w:r w:rsidR="003F2DB6" w:rsidRPr="00DB6B17">
        <w:rPr>
          <w:rFonts w:cs="Arial"/>
        </w:rPr>
        <w:t>herefore</w:t>
      </w:r>
      <w:r w:rsidR="00FB6E97" w:rsidRPr="00DB6B17">
        <w:rPr>
          <w:rFonts w:cs="Arial"/>
        </w:rPr>
        <w:t>,</w:t>
      </w:r>
      <w:r w:rsidR="003F2DB6" w:rsidRPr="00DB6B17">
        <w:rPr>
          <w:rFonts w:cs="Arial"/>
        </w:rPr>
        <w:t xml:space="preserve"> a </w:t>
      </w:r>
      <w:r w:rsidR="00B218D4" w:rsidRPr="00DB6B17">
        <w:rPr>
          <w:rFonts w:cs="Arial"/>
        </w:rPr>
        <w:t xml:space="preserve">discussion to create an MOU </w:t>
      </w:r>
      <w:r w:rsidR="00FB6E97" w:rsidRPr="00DB6B17">
        <w:rPr>
          <w:rFonts w:cs="Arial"/>
        </w:rPr>
        <w:t xml:space="preserve">specific </w:t>
      </w:r>
      <w:r w:rsidR="003F2DB6" w:rsidRPr="00DB6B17">
        <w:rPr>
          <w:rFonts w:cs="Arial"/>
        </w:rPr>
        <w:t xml:space="preserve">for </w:t>
      </w:r>
      <w:r w:rsidR="00FB6E97" w:rsidRPr="00DB6B17">
        <w:rPr>
          <w:rFonts w:cs="Arial"/>
        </w:rPr>
        <w:t xml:space="preserve">these </w:t>
      </w:r>
      <w:r w:rsidR="003F2DB6" w:rsidRPr="00DB6B17">
        <w:rPr>
          <w:rFonts w:cs="Arial"/>
        </w:rPr>
        <w:t xml:space="preserve">data sharing </w:t>
      </w:r>
      <w:r w:rsidR="00FB6E97" w:rsidRPr="00DB6B17">
        <w:rPr>
          <w:rFonts w:cs="Arial"/>
        </w:rPr>
        <w:t xml:space="preserve">needs </w:t>
      </w:r>
      <w:r w:rsidR="003F2DB6" w:rsidRPr="00DB6B17">
        <w:rPr>
          <w:rFonts w:cs="Arial"/>
        </w:rPr>
        <w:t>began</w:t>
      </w:r>
      <w:r w:rsidR="00B218D4" w:rsidRPr="00DB6B17">
        <w:rPr>
          <w:rFonts w:cs="Arial"/>
        </w:rPr>
        <w:t xml:space="preserve">. </w:t>
      </w:r>
      <w:r w:rsidR="00CE676A" w:rsidRPr="00DB6B17">
        <w:rPr>
          <w:rFonts w:cs="Arial"/>
        </w:rPr>
        <w:t xml:space="preserve">The CDE and CCCCO have </w:t>
      </w:r>
      <w:r w:rsidR="00B218D4" w:rsidRPr="00DB6B17">
        <w:rPr>
          <w:rFonts w:cs="Arial"/>
        </w:rPr>
        <w:t xml:space="preserve">in existence current </w:t>
      </w:r>
      <w:r w:rsidR="00CE676A" w:rsidRPr="00DB6B17">
        <w:rPr>
          <w:rFonts w:cs="Arial"/>
        </w:rPr>
        <w:t>MOUs around data sharing.</w:t>
      </w:r>
      <w:r w:rsidR="00E5690D" w:rsidRPr="00DB6B17">
        <w:rPr>
          <w:rFonts w:cs="Arial"/>
        </w:rPr>
        <w:t xml:space="preserve"> </w:t>
      </w:r>
      <w:r w:rsidR="00CE676A" w:rsidRPr="00DB6B17">
        <w:rPr>
          <w:rFonts w:cs="Arial"/>
        </w:rPr>
        <w:t>Initially the discussion of data sharing centered on whether it was appropriate to have this new request</w:t>
      </w:r>
      <w:r w:rsidR="00B218D4" w:rsidRPr="00DB6B17">
        <w:rPr>
          <w:rFonts w:cs="Arial"/>
        </w:rPr>
        <w:t xml:space="preserve"> for data sharing be included with an already existing master data sharing agreement. </w:t>
      </w:r>
    </w:p>
    <w:p w14:paraId="47251A60" w14:textId="74A78B19" w:rsidR="00E75F4F" w:rsidRPr="00DB6B17" w:rsidRDefault="000E57F5" w:rsidP="00195E52">
      <w:pPr>
        <w:pStyle w:val="NormalWeb"/>
        <w:spacing w:after="240"/>
        <w:rPr>
          <w:rFonts w:ascii="Arial" w:hAnsi="Arial" w:cs="Arial"/>
          <w:color w:val="000000"/>
        </w:rPr>
      </w:pPr>
      <w:r w:rsidRPr="00DB6B17">
        <w:rPr>
          <w:rFonts w:ascii="Arial" w:hAnsi="Arial" w:cs="Arial"/>
        </w:rPr>
        <w:t xml:space="preserve">Discussions about the creation of this CTEIG and K–12 SWP data sharing MOU are currently underway. </w:t>
      </w:r>
      <w:r w:rsidR="00E75F4F" w:rsidRPr="00DB6B17">
        <w:rPr>
          <w:rFonts w:ascii="Arial" w:hAnsi="Arial" w:cs="Arial"/>
          <w:color w:val="000000"/>
        </w:rPr>
        <w:t>Initially, the expectation was that the CTEIG/K</w:t>
      </w:r>
      <w:r w:rsidR="001B67DD" w:rsidRPr="00DB6B17">
        <w:rPr>
          <w:rFonts w:ascii="Arial" w:hAnsi="Arial" w:cs="Arial"/>
          <w:color w:val="000000"/>
        </w:rPr>
        <w:t>–</w:t>
      </w:r>
      <w:r w:rsidR="00E75F4F" w:rsidRPr="00DB6B17">
        <w:rPr>
          <w:rFonts w:ascii="Arial" w:hAnsi="Arial" w:cs="Arial"/>
          <w:color w:val="000000"/>
        </w:rPr>
        <w:t>12 SWP MOU</w:t>
      </w:r>
      <w:r w:rsidR="001B67DD" w:rsidRPr="00DB6B17">
        <w:rPr>
          <w:rFonts w:ascii="Arial" w:hAnsi="Arial" w:cs="Arial"/>
          <w:color w:val="000000"/>
        </w:rPr>
        <w:t xml:space="preserve"> </w:t>
      </w:r>
      <w:r w:rsidR="00E75F4F" w:rsidRPr="00DB6B17">
        <w:rPr>
          <w:rFonts w:ascii="Arial" w:hAnsi="Arial" w:cs="Arial"/>
          <w:color w:val="000000"/>
        </w:rPr>
        <w:t xml:space="preserve">could be folded into the existing MOU that </w:t>
      </w:r>
      <w:r w:rsidR="001B67DD" w:rsidRPr="00DB6B17">
        <w:rPr>
          <w:rFonts w:ascii="Arial" w:hAnsi="Arial" w:cs="Arial"/>
          <w:color w:val="000000"/>
        </w:rPr>
        <w:t xml:space="preserve">the </w:t>
      </w:r>
      <w:r w:rsidR="00E75F4F" w:rsidRPr="00DB6B17">
        <w:rPr>
          <w:rFonts w:ascii="Arial" w:hAnsi="Arial" w:cs="Arial"/>
          <w:color w:val="000000"/>
        </w:rPr>
        <w:t xml:space="preserve">CDE has with </w:t>
      </w:r>
      <w:r w:rsidR="001B67DD" w:rsidRPr="00DB6B17">
        <w:rPr>
          <w:rFonts w:ascii="Arial" w:hAnsi="Arial" w:cs="Arial"/>
          <w:color w:val="000000"/>
        </w:rPr>
        <w:t xml:space="preserve">the </w:t>
      </w:r>
      <w:r w:rsidR="00E75F4F" w:rsidRPr="00DB6B17">
        <w:rPr>
          <w:rFonts w:ascii="Arial" w:hAnsi="Arial" w:cs="Arial"/>
          <w:color w:val="000000"/>
        </w:rPr>
        <w:t>CCCCO.</w:t>
      </w:r>
      <w:r w:rsidR="0022016E" w:rsidRPr="00DB6B17">
        <w:rPr>
          <w:rFonts w:ascii="Arial" w:hAnsi="Arial" w:cs="Arial"/>
          <w:color w:val="000000"/>
        </w:rPr>
        <w:t xml:space="preserve"> </w:t>
      </w:r>
      <w:r w:rsidR="00AB6497" w:rsidRPr="00DB6B17">
        <w:rPr>
          <w:rFonts w:ascii="Arial" w:hAnsi="Arial" w:cs="Arial"/>
          <w:color w:val="000000"/>
        </w:rPr>
        <w:t>However, CDE Legal recommended pursuing a new and separate MOU for these projects since</w:t>
      </w:r>
      <w:r w:rsidR="0022016E" w:rsidRPr="00DB6B17">
        <w:rPr>
          <w:rFonts w:ascii="Arial" w:hAnsi="Arial" w:cs="Arial"/>
          <w:color w:val="000000"/>
        </w:rPr>
        <w:t xml:space="preserve"> </w:t>
      </w:r>
      <w:r w:rsidR="00E75F4F" w:rsidRPr="00DB6B17">
        <w:rPr>
          <w:rFonts w:ascii="Arial" w:hAnsi="Arial" w:cs="Arial"/>
          <w:color w:val="000000"/>
        </w:rPr>
        <w:t>the underlying</w:t>
      </w:r>
      <w:r w:rsidR="0022016E" w:rsidRPr="00DB6B17">
        <w:rPr>
          <w:rFonts w:ascii="Arial" w:hAnsi="Arial" w:cs="Arial"/>
          <w:color w:val="000000"/>
        </w:rPr>
        <w:t xml:space="preserve"> </w:t>
      </w:r>
      <w:r w:rsidR="00E75F4F" w:rsidRPr="00DB6B17">
        <w:rPr>
          <w:rFonts w:ascii="Arial" w:hAnsi="Arial" w:cs="Arial"/>
          <w:color w:val="000000"/>
        </w:rPr>
        <w:t>legislation, the data elements required in the data exchange, and the common and more narrowly-focused student population of interest</w:t>
      </w:r>
      <w:r w:rsidR="00AB6497" w:rsidRPr="00DB6B17">
        <w:rPr>
          <w:rFonts w:ascii="Arial" w:hAnsi="Arial" w:cs="Arial"/>
          <w:color w:val="000000"/>
        </w:rPr>
        <w:t xml:space="preserve"> (</w:t>
      </w:r>
      <w:r w:rsidR="00E75F4F" w:rsidRPr="00DB6B17">
        <w:rPr>
          <w:rFonts w:ascii="Arial" w:hAnsi="Arial" w:cs="Arial"/>
          <w:color w:val="000000"/>
        </w:rPr>
        <w:t>high school CTE student</w:t>
      </w:r>
      <w:r w:rsidR="00AB6497" w:rsidRPr="00DB6B17">
        <w:rPr>
          <w:rFonts w:ascii="Arial" w:hAnsi="Arial" w:cs="Arial"/>
          <w:color w:val="000000"/>
        </w:rPr>
        <w:t>s)</w:t>
      </w:r>
      <w:r w:rsidR="00E75F4F" w:rsidRPr="00DB6B17">
        <w:rPr>
          <w:rFonts w:ascii="Arial" w:hAnsi="Arial" w:cs="Arial"/>
          <w:color w:val="000000"/>
        </w:rPr>
        <w:t xml:space="preserve"> involved in CTEIG/K</w:t>
      </w:r>
      <w:r w:rsidR="001B67DD" w:rsidRPr="00DB6B17">
        <w:rPr>
          <w:rFonts w:ascii="Arial" w:hAnsi="Arial" w:cs="Arial"/>
          <w:color w:val="000000"/>
        </w:rPr>
        <w:t>–</w:t>
      </w:r>
      <w:r w:rsidR="00E75F4F" w:rsidRPr="00DB6B17">
        <w:rPr>
          <w:rFonts w:ascii="Arial" w:hAnsi="Arial" w:cs="Arial"/>
          <w:color w:val="000000"/>
        </w:rPr>
        <w:t xml:space="preserve">12 SWP work were different from what was covered in </w:t>
      </w:r>
      <w:r w:rsidR="009757CE" w:rsidRPr="00DB6B17">
        <w:rPr>
          <w:rFonts w:ascii="Arial" w:hAnsi="Arial" w:cs="Arial"/>
          <w:color w:val="000000"/>
        </w:rPr>
        <w:t>the curre</w:t>
      </w:r>
      <w:r w:rsidR="00AB6497" w:rsidRPr="00DB6B17">
        <w:rPr>
          <w:rFonts w:ascii="Arial" w:hAnsi="Arial" w:cs="Arial"/>
          <w:color w:val="000000"/>
        </w:rPr>
        <w:t>nt</w:t>
      </w:r>
      <w:r w:rsidR="00E75F4F" w:rsidRPr="00DB6B17">
        <w:rPr>
          <w:rFonts w:ascii="Arial" w:hAnsi="Arial" w:cs="Arial"/>
          <w:color w:val="000000"/>
        </w:rPr>
        <w:t xml:space="preserve"> MOU</w:t>
      </w:r>
      <w:r w:rsidR="00AB6497" w:rsidRPr="00DB6B17">
        <w:rPr>
          <w:rFonts w:ascii="Arial" w:hAnsi="Arial" w:cs="Arial"/>
          <w:color w:val="000000"/>
        </w:rPr>
        <w:t>.</w:t>
      </w:r>
    </w:p>
    <w:p w14:paraId="38FEEF11" w14:textId="6A5C0C25" w:rsidR="009757CE" w:rsidRPr="00DB6B17" w:rsidRDefault="00E75F4F" w:rsidP="00195E52">
      <w:pPr>
        <w:pStyle w:val="NormalWeb"/>
        <w:spacing w:after="240"/>
        <w:rPr>
          <w:rFonts w:cs="Arial"/>
          <w:color w:val="000000"/>
        </w:rPr>
      </w:pPr>
      <w:r w:rsidRPr="00DB6B17">
        <w:rPr>
          <w:rFonts w:ascii="Arial" w:hAnsi="Arial" w:cs="Arial"/>
          <w:color w:val="000000"/>
        </w:rPr>
        <w:t xml:space="preserve">The CDE Analysis, Measurement, </w:t>
      </w:r>
      <w:r w:rsidR="001B67DD" w:rsidRPr="00DB6B17">
        <w:rPr>
          <w:rFonts w:ascii="Arial" w:hAnsi="Arial" w:cs="Arial"/>
          <w:color w:val="000000"/>
        </w:rPr>
        <w:t xml:space="preserve">and </w:t>
      </w:r>
      <w:r w:rsidRPr="00DB6B17">
        <w:rPr>
          <w:rFonts w:ascii="Arial" w:hAnsi="Arial" w:cs="Arial"/>
          <w:color w:val="000000"/>
        </w:rPr>
        <w:t>Accountability</w:t>
      </w:r>
      <w:r w:rsidR="001B67DD" w:rsidRPr="00DB6B17">
        <w:rPr>
          <w:rFonts w:ascii="Arial" w:hAnsi="Arial" w:cs="Arial"/>
          <w:color w:val="000000"/>
        </w:rPr>
        <w:t xml:space="preserve"> Reporting</w:t>
      </w:r>
      <w:r w:rsidRPr="00DB6B17">
        <w:rPr>
          <w:rFonts w:ascii="Arial" w:hAnsi="Arial" w:cs="Arial"/>
          <w:color w:val="000000"/>
        </w:rPr>
        <w:t xml:space="preserve"> Division and the CDE Legal Office have committed to expediting the execution of this new MOU with </w:t>
      </w:r>
      <w:r w:rsidR="001B67DD" w:rsidRPr="00DB6B17">
        <w:rPr>
          <w:rFonts w:ascii="Arial" w:hAnsi="Arial" w:cs="Arial"/>
          <w:color w:val="000000"/>
        </w:rPr>
        <w:t xml:space="preserve">the </w:t>
      </w:r>
      <w:r w:rsidRPr="00DB6B17">
        <w:rPr>
          <w:rFonts w:ascii="Arial" w:hAnsi="Arial" w:cs="Arial"/>
          <w:color w:val="000000"/>
        </w:rPr>
        <w:t>CCCCO and have already sent a draft document to CCCCO leadership for their review and input.</w:t>
      </w:r>
      <w:r w:rsidR="0022016E" w:rsidRPr="00DB6B17">
        <w:rPr>
          <w:rFonts w:ascii="Arial" w:hAnsi="Arial" w:cs="Arial"/>
          <w:color w:val="000000"/>
        </w:rPr>
        <w:t xml:space="preserve"> </w:t>
      </w:r>
      <w:r w:rsidR="000E57F5" w:rsidRPr="00DB6B17">
        <w:rPr>
          <w:rFonts w:ascii="Arial" w:hAnsi="Arial" w:cs="Arial"/>
        </w:rPr>
        <w:t xml:space="preserve">The expectation is that the </w:t>
      </w:r>
      <w:r w:rsidR="00F13ECC" w:rsidRPr="00DB6B17">
        <w:rPr>
          <w:rFonts w:ascii="Arial" w:hAnsi="Arial" w:cs="Arial"/>
        </w:rPr>
        <w:t>M</w:t>
      </w:r>
      <w:r w:rsidR="000E57F5" w:rsidRPr="00DB6B17">
        <w:rPr>
          <w:rFonts w:ascii="Arial" w:hAnsi="Arial" w:cs="Arial"/>
        </w:rPr>
        <w:t xml:space="preserve">OU will be in place </w:t>
      </w:r>
      <w:r w:rsidR="00F13ECC" w:rsidRPr="00DB6B17">
        <w:rPr>
          <w:rFonts w:ascii="Arial" w:hAnsi="Arial" w:cs="Arial"/>
        </w:rPr>
        <w:t>by the next CTE data collection cycle</w:t>
      </w:r>
      <w:r w:rsidR="007A1FCC" w:rsidRPr="00DB6B17">
        <w:rPr>
          <w:rFonts w:ascii="Arial" w:hAnsi="Arial" w:cs="Arial"/>
        </w:rPr>
        <w:t>,</w:t>
      </w:r>
      <w:r w:rsidR="00633411" w:rsidRPr="00DB6B17">
        <w:rPr>
          <w:rFonts w:ascii="Arial" w:hAnsi="Arial" w:cs="Arial"/>
        </w:rPr>
        <w:t xml:space="preserve"> which will begin in January</w:t>
      </w:r>
      <w:r w:rsidR="00BB1368" w:rsidRPr="00DB6B17">
        <w:rPr>
          <w:rFonts w:ascii="Arial" w:hAnsi="Arial" w:cs="Arial"/>
        </w:rPr>
        <w:t xml:space="preserve"> 2021</w:t>
      </w:r>
      <w:r w:rsidR="007A1FCC" w:rsidRPr="00DB6B17">
        <w:rPr>
          <w:rFonts w:ascii="Arial" w:hAnsi="Arial" w:cs="Arial"/>
        </w:rPr>
        <w:t>,</w:t>
      </w:r>
      <w:r w:rsidR="00633411" w:rsidRPr="00DB6B17">
        <w:rPr>
          <w:rFonts w:ascii="Arial" w:hAnsi="Arial" w:cs="Arial"/>
        </w:rPr>
        <w:t xml:space="preserve"> and ends in March of 202</w:t>
      </w:r>
      <w:r w:rsidR="007A1FCC" w:rsidRPr="00DB6B17">
        <w:rPr>
          <w:rFonts w:ascii="Arial" w:hAnsi="Arial" w:cs="Arial"/>
        </w:rPr>
        <w:t>1.</w:t>
      </w:r>
    </w:p>
    <w:p w14:paraId="70FC8EF4" w14:textId="6C2C4C12" w:rsidR="00D75664" w:rsidRPr="00DB6B17" w:rsidRDefault="00D75664" w:rsidP="00D75664">
      <w:pPr>
        <w:tabs>
          <w:tab w:val="left" w:pos="1755"/>
        </w:tabs>
        <w:spacing w:after="240"/>
        <w:rPr>
          <w:rFonts w:cs="Arial"/>
          <w:b/>
        </w:rPr>
      </w:pPr>
      <w:r w:rsidRPr="00DB6B17">
        <w:rPr>
          <w:rFonts w:cs="Arial"/>
          <w:b/>
        </w:rPr>
        <w:t>The CTEIG and K–12 SWP</w:t>
      </w:r>
      <w:r w:rsidR="00E7710A" w:rsidRPr="00DB6B17">
        <w:rPr>
          <w:rFonts w:cs="Arial"/>
          <w:b/>
        </w:rPr>
        <w:t xml:space="preserve"> Matrix of Metrics</w:t>
      </w:r>
    </w:p>
    <w:p w14:paraId="7239EDF4" w14:textId="02FA2C77" w:rsidR="00E7710A" w:rsidRPr="00DB6B17" w:rsidRDefault="0003321E" w:rsidP="00337F11">
      <w:pPr>
        <w:spacing w:after="240"/>
        <w:rPr>
          <w:rFonts w:cs="Arial"/>
        </w:rPr>
      </w:pPr>
      <w:r w:rsidRPr="00DB6B17">
        <w:rPr>
          <w:rFonts w:cs="Arial"/>
          <w:i/>
        </w:rPr>
        <w:t>EC</w:t>
      </w:r>
      <w:r w:rsidRPr="00DB6B17">
        <w:rPr>
          <w:rFonts w:cs="Arial"/>
        </w:rPr>
        <w:t xml:space="preserve"> </w:t>
      </w:r>
      <w:r w:rsidR="00E7710A" w:rsidRPr="00DB6B17">
        <w:rPr>
          <w:rFonts w:cs="Arial"/>
        </w:rPr>
        <w:t>Section 53071 (c)(11)(B) defines the metrics required for collection as part of the CTEIG</w:t>
      </w:r>
      <w:r w:rsidR="003F2DB6" w:rsidRPr="00DB6B17">
        <w:rPr>
          <w:rFonts w:cs="Arial"/>
        </w:rPr>
        <w:t xml:space="preserve"> program</w:t>
      </w:r>
      <w:r w:rsidR="00E7710A" w:rsidRPr="00DB6B17">
        <w:rPr>
          <w:rFonts w:cs="Arial"/>
        </w:rPr>
        <w:t xml:space="preserve">. As described earlier, collection </w:t>
      </w:r>
      <w:r w:rsidR="002B0B00" w:rsidRPr="00DB6B17">
        <w:rPr>
          <w:rFonts w:cs="Arial"/>
        </w:rPr>
        <w:t>of these metrics has been uneven, some being collected with CALPADS</w:t>
      </w:r>
      <w:r w:rsidR="00EC5A6F" w:rsidRPr="00DB6B17">
        <w:rPr>
          <w:rFonts w:cs="Arial"/>
        </w:rPr>
        <w:t xml:space="preserve"> using the Postsecondary Status file, </w:t>
      </w:r>
      <w:r w:rsidR="002B0B00" w:rsidRPr="00DB6B17">
        <w:rPr>
          <w:rFonts w:cs="Arial"/>
        </w:rPr>
        <w:t>and the other through a Snap Survey</w:t>
      </w:r>
      <w:r w:rsidR="00EC5A6F" w:rsidRPr="00DB6B17">
        <w:rPr>
          <w:rFonts w:cs="Arial"/>
        </w:rPr>
        <w:t>.</w:t>
      </w:r>
      <w:r w:rsidR="00337F11" w:rsidRPr="00DB6B17">
        <w:rPr>
          <w:rFonts w:cs="Arial"/>
        </w:rPr>
        <w:t xml:space="preserve"> </w:t>
      </w:r>
      <w:r w:rsidR="002B0B00" w:rsidRPr="00DB6B17">
        <w:rPr>
          <w:rFonts w:cs="Arial"/>
        </w:rPr>
        <w:t xml:space="preserve">The survey is provided as Attachment 2. </w:t>
      </w:r>
      <w:r w:rsidR="00093BF4" w:rsidRPr="00DB6B17">
        <w:rPr>
          <w:rFonts w:cs="Arial"/>
        </w:rPr>
        <w:t>The CTEIG and K–12 SWP metrics</w:t>
      </w:r>
      <w:r w:rsidR="00093BF4" w:rsidRPr="00DB6B17">
        <w:rPr>
          <w:rFonts w:cs="Arial"/>
          <w:bdr w:val="none" w:sz="0" w:space="0" w:color="auto" w:frame="1"/>
          <w:lang w:val="en"/>
        </w:rPr>
        <w:t xml:space="preserve"> (see the list below) have been used as the basis for the developing the survey in Attachment 2. </w:t>
      </w:r>
      <w:r w:rsidR="002B0B00" w:rsidRPr="00DB6B17">
        <w:rPr>
          <w:rFonts w:cs="Arial"/>
          <w:bdr w:val="none" w:sz="0" w:space="0" w:color="auto" w:frame="1"/>
          <w:lang w:val="en"/>
        </w:rPr>
        <w:t>The data shown in Attachment 1 is a combination of data from CALPADS and the Snap Survey</w:t>
      </w:r>
      <w:r w:rsidR="00A41DA3" w:rsidRPr="00DB6B17">
        <w:rPr>
          <w:rFonts w:cs="Arial"/>
          <w:bdr w:val="none" w:sz="0" w:space="0" w:color="auto" w:frame="1"/>
          <w:lang w:val="en"/>
        </w:rPr>
        <w:t xml:space="preserve"> and will be presented to CWPJAC members as a basis for discussing revisions in the </w:t>
      </w:r>
      <w:r w:rsidR="00A41DA3" w:rsidRPr="00DB6B17">
        <w:rPr>
          <w:rFonts w:cs="Arial"/>
        </w:rPr>
        <w:t>CTEIG and K–12 SWP metrics.</w:t>
      </w:r>
      <w:r w:rsidR="00EE3906" w:rsidRPr="00DB6B17">
        <w:rPr>
          <w:rFonts w:cs="Arial"/>
        </w:rPr>
        <w:t xml:space="preserve"> The Matrix of Metrics </w:t>
      </w:r>
      <w:r w:rsidR="0067247F" w:rsidRPr="00DB6B17">
        <w:rPr>
          <w:rFonts w:cs="Arial"/>
        </w:rPr>
        <w:t xml:space="preserve">is </w:t>
      </w:r>
      <w:r w:rsidR="003F2DB6" w:rsidRPr="00DB6B17">
        <w:rPr>
          <w:rFonts w:cs="Arial"/>
        </w:rPr>
        <w:t>included</w:t>
      </w:r>
      <w:r w:rsidR="0067247F" w:rsidRPr="00DB6B17">
        <w:rPr>
          <w:rFonts w:cs="Arial"/>
        </w:rPr>
        <w:t xml:space="preserve"> as Attachment 3.</w:t>
      </w:r>
    </w:p>
    <w:p w14:paraId="16751976" w14:textId="06CF7615" w:rsidR="007129A9" w:rsidRPr="00DB6B17" w:rsidRDefault="00E578D0" w:rsidP="00337F11">
      <w:pPr>
        <w:spacing w:after="240"/>
        <w:rPr>
          <w:rFonts w:cs="Arial"/>
        </w:rPr>
      </w:pPr>
      <w:r w:rsidRPr="00DB6B17">
        <w:rPr>
          <w:rFonts w:cs="Arial"/>
        </w:rPr>
        <w:lastRenderedPageBreak/>
        <w:t>Legislation authorizing b</w:t>
      </w:r>
      <w:r w:rsidR="007129A9" w:rsidRPr="00DB6B17">
        <w:rPr>
          <w:rFonts w:cs="Arial"/>
        </w:rPr>
        <w:t xml:space="preserve">oth the CTEIG and K–12 SWP </w:t>
      </w:r>
      <w:r w:rsidRPr="00DB6B17">
        <w:rPr>
          <w:rFonts w:cs="Arial"/>
        </w:rPr>
        <w:t>program</w:t>
      </w:r>
      <w:r w:rsidR="007129A9" w:rsidRPr="00DB6B17">
        <w:rPr>
          <w:rFonts w:cs="Arial"/>
        </w:rPr>
        <w:t xml:space="preserve"> state</w:t>
      </w:r>
      <w:r w:rsidRPr="00DB6B17">
        <w:rPr>
          <w:rFonts w:cs="Arial"/>
        </w:rPr>
        <w:t>s</w:t>
      </w:r>
      <w:r w:rsidR="007129A9" w:rsidRPr="00DB6B17">
        <w:rPr>
          <w:rFonts w:cs="Arial"/>
        </w:rPr>
        <w:t xml:space="preserve"> the following:</w:t>
      </w:r>
    </w:p>
    <w:p w14:paraId="7382EF86" w14:textId="48C85BAF" w:rsidR="007129A9" w:rsidRPr="00DB6B17" w:rsidRDefault="007129A9" w:rsidP="008903CD">
      <w:pPr>
        <w:spacing w:after="240"/>
        <w:ind w:left="720" w:right="720"/>
        <w:rPr>
          <w:rFonts w:cs="Arial"/>
          <w:szCs w:val="22"/>
          <w:bdr w:val="none" w:sz="0" w:space="0" w:color="auto" w:frame="1"/>
          <w:lang w:val="en"/>
        </w:rPr>
      </w:pPr>
      <w:r w:rsidRPr="00DB6B17">
        <w:rPr>
          <w:rFonts w:cs="Arial"/>
          <w:i/>
          <w:szCs w:val="22"/>
          <w:bdr w:val="none" w:sz="0" w:space="0" w:color="auto" w:frame="1"/>
          <w:lang w:val="en"/>
        </w:rPr>
        <w:t>Data reported pursuant to this paragraph shall include, but not be limited to, the quality indicators described in the California State Plan for Career Technical Education required by the federal Strengthening Career and Technical Education for the 21st Century Act (Perkins V), and each of the following metrics</w:t>
      </w:r>
      <w:r w:rsidRPr="00DB6B17">
        <w:rPr>
          <w:rFonts w:cs="Arial"/>
          <w:szCs w:val="22"/>
          <w:bdr w:val="none" w:sz="0" w:space="0" w:color="auto" w:frame="1"/>
          <w:lang w:val="en"/>
        </w:rPr>
        <w:t xml:space="preserve"> [EC53071 and EC 88828]</w:t>
      </w:r>
      <w:r w:rsidR="00A44021" w:rsidRPr="00DB6B17">
        <w:rPr>
          <w:rFonts w:cs="Arial"/>
          <w:szCs w:val="22"/>
          <w:bdr w:val="none" w:sz="0" w:space="0" w:color="auto" w:frame="1"/>
          <w:lang w:val="en"/>
        </w:rPr>
        <w:t>:</w:t>
      </w:r>
    </w:p>
    <w:p w14:paraId="3EF7E6E1" w14:textId="4CB2B78E"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(i)The high school graduation rate.</w:t>
      </w:r>
    </w:p>
    <w:p w14:paraId="47611397" w14:textId="7F38A7CF"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(ii)The number of pupils completing career technical education coursework.</w:t>
      </w:r>
    </w:p>
    <w:p w14:paraId="72395720" w14:textId="3B8ABF9D"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(iii)The number of pupils meeting academic and career-readiness standards as defined in the College/Career Indicator associated with the California School Dashboard.</w:t>
      </w:r>
    </w:p>
    <w:p w14:paraId="1CD06D93" w14:textId="529377C6"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(iv)The number of pupils obtaining an industry-recognized credential, certificate, license, or other measure of technical skill attainment.</w:t>
      </w:r>
    </w:p>
    <w:p w14:paraId="03085921" w14:textId="7E66C75C"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(v)The number of former pupils employed and the types of businesses in which they are employed.</w:t>
      </w:r>
    </w:p>
    <w:p w14:paraId="724FE75B" w14:textId="47FB0BDC"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(vi)The number of former pupils enrolled in each of the following:</w:t>
      </w:r>
    </w:p>
    <w:p w14:paraId="7E6B79E1" w14:textId="0502BF15"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(I)A postsecondary educational institution.</w:t>
      </w:r>
    </w:p>
    <w:p w14:paraId="7C2FAC30" w14:textId="55693908" w:rsidR="00A44021" w:rsidRPr="00DB6B17" w:rsidRDefault="00A44021" w:rsidP="008903CD">
      <w:pPr>
        <w:shd w:val="clear" w:color="auto" w:fill="FFFFFF"/>
        <w:ind w:left="720" w:right="720"/>
        <w:textAlignment w:val="baseline"/>
        <w:rPr>
          <w:rFonts w:cs="Arial"/>
          <w:szCs w:val="22"/>
          <w:bdr w:val="none" w:sz="0" w:space="0" w:color="auto" w:frame="1"/>
          <w:lang w:val="en"/>
        </w:rPr>
      </w:pPr>
      <w:r w:rsidRPr="00DB6B17">
        <w:rPr>
          <w:rFonts w:cs="Arial"/>
          <w:szCs w:val="22"/>
          <w:bdr w:val="none" w:sz="0" w:space="0" w:color="auto" w:frame="1"/>
          <w:lang w:val="en"/>
        </w:rPr>
        <w:t>(II)A state apprenticeship program.</w:t>
      </w:r>
    </w:p>
    <w:p w14:paraId="023F94E8" w14:textId="75BFA90C" w:rsidR="009B1108" w:rsidRPr="00DB6B17" w:rsidRDefault="00A44021" w:rsidP="008903CD">
      <w:pPr>
        <w:shd w:val="clear" w:color="auto" w:fill="FFFFFF"/>
        <w:spacing w:after="240"/>
        <w:ind w:left="720" w:right="720"/>
        <w:textAlignment w:val="baseline"/>
        <w:rPr>
          <w:rFonts w:cs="Arial"/>
          <w:sz w:val="28"/>
        </w:rPr>
      </w:pPr>
      <w:r w:rsidRPr="00DB6B17">
        <w:rPr>
          <w:rFonts w:cs="Arial"/>
          <w:szCs w:val="22"/>
          <w:bdr w:val="none" w:sz="0" w:space="0" w:color="auto" w:frame="1"/>
          <w:lang w:val="en"/>
        </w:rPr>
        <w:t>(III)A form of job training other than a state apprenticeship program</w:t>
      </w:r>
      <w:r w:rsidR="0036578A" w:rsidRPr="00DB6B17">
        <w:rPr>
          <w:rFonts w:cs="Arial"/>
          <w:szCs w:val="22"/>
          <w:bdr w:val="none" w:sz="0" w:space="0" w:color="auto" w:frame="1"/>
          <w:lang w:val="en"/>
        </w:rPr>
        <w:t>.</w:t>
      </w:r>
    </w:p>
    <w:p w14:paraId="20056B82" w14:textId="3ECCBC9B" w:rsidR="00EF57C4" w:rsidRPr="00DB6B17" w:rsidRDefault="00A44021" w:rsidP="001721C9">
      <w:pPr>
        <w:spacing w:after="240"/>
        <w:rPr>
          <w:rFonts w:cs="Arial"/>
        </w:rPr>
      </w:pPr>
      <w:r w:rsidRPr="00DB6B17">
        <w:rPr>
          <w:rFonts w:cs="Arial"/>
        </w:rPr>
        <w:t xml:space="preserve">The Matrix of Metrics is a Microsoft Excel document </w:t>
      </w:r>
      <w:r w:rsidR="00C10675" w:rsidRPr="00DB6B17">
        <w:rPr>
          <w:rFonts w:cs="Arial"/>
        </w:rPr>
        <w:t xml:space="preserve">(Attachment 3) </w:t>
      </w:r>
      <w:r w:rsidRPr="00DB6B17">
        <w:rPr>
          <w:rFonts w:cs="Arial"/>
        </w:rPr>
        <w:t xml:space="preserve">that presents how measures for the above indicators are </w:t>
      </w:r>
      <w:r w:rsidR="00093BF4" w:rsidRPr="00DB6B17">
        <w:rPr>
          <w:rFonts w:cs="Arial"/>
        </w:rPr>
        <w:t>being developed</w:t>
      </w:r>
      <w:r w:rsidR="008657B5" w:rsidRPr="00DB6B17">
        <w:rPr>
          <w:rFonts w:cs="Arial"/>
        </w:rPr>
        <w:t xml:space="preserve">. </w:t>
      </w:r>
      <w:r w:rsidR="007B12FA" w:rsidRPr="00DB6B17">
        <w:rPr>
          <w:rFonts w:cs="Arial"/>
        </w:rPr>
        <w:t xml:space="preserve">The purpose of the document is </w:t>
      </w:r>
      <w:r w:rsidR="000F4F6F" w:rsidRPr="00DB6B17">
        <w:rPr>
          <w:rFonts w:cs="Arial"/>
        </w:rPr>
        <w:t xml:space="preserve">to </w:t>
      </w:r>
      <w:r w:rsidR="007B12FA" w:rsidRPr="00DB6B17">
        <w:rPr>
          <w:rFonts w:cs="Arial"/>
        </w:rPr>
        <w:t xml:space="preserve">recommend changes </w:t>
      </w:r>
      <w:r w:rsidR="000F4F6F" w:rsidRPr="00DB6B17">
        <w:rPr>
          <w:rFonts w:cs="Arial"/>
        </w:rPr>
        <w:t>for each of the metrics</w:t>
      </w:r>
      <w:r w:rsidR="007B12FA" w:rsidRPr="00DB6B17">
        <w:rPr>
          <w:rFonts w:cs="Arial"/>
        </w:rPr>
        <w:t xml:space="preserve"> by adding more precision to the </w:t>
      </w:r>
      <w:r w:rsidR="002E1B69" w:rsidRPr="00DB6B17">
        <w:rPr>
          <w:rFonts w:cs="Arial"/>
        </w:rPr>
        <w:t xml:space="preserve">definition, </w:t>
      </w:r>
      <w:r w:rsidR="00A970C5" w:rsidRPr="00DB6B17">
        <w:rPr>
          <w:rFonts w:cs="Arial"/>
        </w:rPr>
        <w:t xml:space="preserve">suggesting a uniform </w:t>
      </w:r>
      <w:r w:rsidR="000F4F6F" w:rsidRPr="00DB6B17">
        <w:rPr>
          <w:rFonts w:cs="Arial"/>
        </w:rPr>
        <w:t>source of data</w:t>
      </w:r>
      <w:r w:rsidR="00A970C5" w:rsidRPr="00DB6B17">
        <w:rPr>
          <w:rFonts w:cs="Arial"/>
        </w:rPr>
        <w:t xml:space="preserve"> collection</w:t>
      </w:r>
      <w:r w:rsidR="002E1B69" w:rsidRPr="00DB6B17">
        <w:rPr>
          <w:rFonts w:cs="Arial"/>
        </w:rPr>
        <w:t>,</w:t>
      </w:r>
      <w:r w:rsidR="000F4F6F" w:rsidRPr="00DB6B17">
        <w:rPr>
          <w:rFonts w:cs="Arial"/>
        </w:rPr>
        <w:t xml:space="preserve"> </w:t>
      </w:r>
      <w:r w:rsidR="00A970C5" w:rsidRPr="00DB6B17">
        <w:rPr>
          <w:rFonts w:cs="Arial"/>
        </w:rPr>
        <w:t xml:space="preserve">adopting a common </w:t>
      </w:r>
      <w:r w:rsidR="007B12FA" w:rsidRPr="00DB6B17">
        <w:rPr>
          <w:rFonts w:cs="Arial"/>
        </w:rPr>
        <w:t>methodology</w:t>
      </w:r>
      <w:r w:rsidR="002E1B69" w:rsidRPr="00DB6B17">
        <w:rPr>
          <w:rFonts w:cs="Arial"/>
        </w:rPr>
        <w:t xml:space="preserve"> for the development of each metric</w:t>
      </w:r>
      <w:r w:rsidR="00A970C5" w:rsidRPr="00DB6B17">
        <w:rPr>
          <w:rFonts w:cs="Arial"/>
        </w:rPr>
        <w:t xml:space="preserve">, and describing measurement approaches that generalized applications. Additionally, a recommendation is put forward that the CTEIG and the K–12 SWP </w:t>
      </w:r>
      <w:r w:rsidR="00E73478" w:rsidRPr="00DB6B17">
        <w:rPr>
          <w:rFonts w:cs="Arial"/>
        </w:rPr>
        <w:t>c</w:t>
      </w:r>
      <w:r w:rsidR="00A970C5" w:rsidRPr="00DB6B17">
        <w:rPr>
          <w:rFonts w:cs="Arial"/>
        </w:rPr>
        <w:t>omponents of the Metrics of Metrics</w:t>
      </w:r>
      <w:r w:rsidR="00E73478" w:rsidRPr="00DB6B17">
        <w:rPr>
          <w:rFonts w:cs="Arial"/>
        </w:rPr>
        <w:t xml:space="preserve"> be identical.</w:t>
      </w:r>
    </w:p>
    <w:p w14:paraId="1D0FE623" w14:textId="77777777" w:rsidR="00325F59" w:rsidRPr="00DB6B17" w:rsidRDefault="00325F59" w:rsidP="00325F59">
      <w:pPr>
        <w:spacing w:after="240"/>
        <w:rPr>
          <w:rFonts w:cs="Arial"/>
          <w:b/>
        </w:rPr>
      </w:pPr>
      <w:r w:rsidRPr="00DB6B17">
        <w:rPr>
          <w:rFonts w:cs="Arial"/>
          <w:b/>
        </w:rPr>
        <w:t>Rationale for Revising the Matrix of Metrics</w:t>
      </w:r>
    </w:p>
    <w:p w14:paraId="58D5CC6A" w14:textId="4E6B085F" w:rsidR="00512D98" w:rsidRPr="00DB6B17" w:rsidRDefault="00325F59" w:rsidP="001721C9">
      <w:pPr>
        <w:spacing w:after="240"/>
        <w:rPr>
          <w:rFonts w:cs="Arial"/>
        </w:rPr>
      </w:pPr>
      <w:r w:rsidRPr="00DB6B17">
        <w:rPr>
          <w:rFonts w:cs="Arial"/>
        </w:rPr>
        <w:t xml:space="preserve">The proposed recommendations to the CTEIG and the K–12 SWP metrics focus on </w:t>
      </w:r>
      <w:r w:rsidR="00E578D0" w:rsidRPr="00DB6B17">
        <w:rPr>
          <w:rFonts w:cs="Arial"/>
        </w:rPr>
        <w:t>the definition of each metric</w:t>
      </w:r>
      <w:r w:rsidRPr="00DB6B17">
        <w:rPr>
          <w:rFonts w:cs="Arial"/>
        </w:rPr>
        <w:t xml:space="preserve">, the source on which the data collection is based, a refinement in the methodology, and specificity regarding measurement approaches. Each </w:t>
      </w:r>
      <w:r w:rsidR="00AB3E61" w:rsidRPr="00DB6B17">
        <w:rPr>
          <w:rFonts w:cs="Arial"/>
        </w:rPr>
        <w:t xml:space="preserve">recommendation </w:t>
      </w:r>
      <w:r w:rsidR="00E578D0" w:rsidRPr="00DB6B17">
        <w:rPr>
          <w:rFonts w:cs="Arial"/>
        </w:rPr>
        <w:t xml:space="preserve">serves </w:t>
      </w:r>
      <w:r w:rsidRPr="00DB6B17">
        <w:rPr>
          <w:rFonts w:cs="Arial"/>
        </w:rPr>
        <w:t xml:space="preserve">to provide a rationale for why changes to the CTEIG and the K–12 SWP metrics </w:t>
      </w:r>
      <w:r w:rsidR="00195E52" w:rsidRPr="00DB6B17">
        <w:rPr>
          <w:rFonts w:cs="Arial"/>
        </w:rPr>
        <w:t>are</w:t>
      </w:r>
      <w:r w:rsidRPr="00DB6B17">
        <w:rPr>
          <w:rFonts w:cs="Arial"/>
        </w:rPr>
        <w:t xml:space="preserve"> </w:t>
      </w:r>
      <w:r w:rsidR="00E578D0" w:rsidRPr="00DB6B17">
        <w:rPr>
          <w:rFonts w:cs="Arial"/>
        </w:rPr>
        <w:t>proposed</w:t>
      </w:r>
      <w:r w:rsidRPr="00DB6B17">
        <w:rPr>
          <w:rFonts w:cs="Arial"/>
        </w:rPr>
        <w:t>.</w:t>
      </w:r>
    </w:p>
    <w:p w14:paraId="7B2D120E" w14:textId="77777777" w:rsidR="00512D98" w:rsidRPr="00DB6B17" w:rsidRDefault="00512D98">
      <w:pPr>
        <w:spacing w:after="160" w:line="259" w:lineRule="auto"/>
        <w:rPr>
          <w:rFonts w:cs="Arial"/>
        </w:rPr>
      </w:pPr>
      <w:r w:rsidRPr="00DB6B17">
        <w:rPr>
          <w:rFonts w:cs="Arial"/>
        </w:rPr>
        <w:br w:type="page"/>
      </w:r>
    </w:p>
    <w:p w14:paraId="7C92912B" w14:textId="382381EC" w:rsidR="00EF57C4" w:rsidRPr="00DB6B17" w:rsidRDefault="00EF57C4" w:rsidP="001721C9">
      <w:pPr>
        <w:spacing w:after="240"/>
        <w:rPr>
          <w:rFonts w:cs="Arial"/>
          <w:b/>
        </w:rPr>
      </w:pPr>
      <w:r w:rsidRPr="00DB6B17">
        <w:rPr>
          <w:rFonts w:cs="Arial"/>
          <w:b/>
        </w:rPr>
        <w:lastRenderedPageBreak/>
        <w:t xml:space="preserve">Precision </w:t>
      </w:r>
      <w:r w:rsidR="001B0EF5" w:rsidRPr="00DB6B17">
        <w:rPr>
          <w:rFonts w:cs="Arial"/>
          <w:b/>
        </w:rPr>
        <w:t xml:space="preserve">and Specificity </w:t>
      </w:r>
      <w:r w:rsidRPr="00DB6B17">
        <w:rPr>
          <w:rFonts w:cs="Arial"/>
          <w:b/>
        </w:rPr>
        <w:t xml:space="preserve">Regarding CTEIG and the K–12 SWP </w:t>
      </w:r>
      <w:r w:rsidR="00AB3E61" w:rsidRPr="00DB6B17">
        <w:rPr>
          <w:rFonts w:cs="Arial"/>
          <w:b/>
        </w:rPr>
        <w:t>M</w:t>
      </w:r>
      <w:r w:rsidRPr="00DB6B17">
        <w:rPr>
          <w:rFonts w:cs="Arial"/>
          <w:b/>
        </w:rPr>
        <w:t>etrics</w:t>
      </w:r>
    </w:p>
    <w:p w14:paraId="25D51C78" w14:textId="1E0A5B04" w:rsidR="001B0EF5" w:rsidRPr="00DB6B17" w:rsidRDefault="001B0EF5" w:rsidP="001B0EF5">
      <w:pPr>
        <w:spacing w:after="240"/>
        <w:rPr>
          <w:rFonts w:cs="Arial"/>
        </w:rPr>
      </w:pPr>
      <w:r w:rsidRPr="00DB6B17">
        <w:rPr>
          <w:rFonts w:cs="Arial"/>
        </w:rPr>
        <w:t xml:space="preserve">The above list of six broad metrics, some having some sub-parts to them, have been translated into </w:t>
      </w:r>
      <w:r w:rsidR="003E0AFD" w:rsidRPr="00DB6B17">
        <w:rPr>
          <w:rFonts w:cs="Arial"/>
        </w:rPr>
        <w:t>nine</w:t>
      </w:r>
      <w:r w:rsidRPr="00DB6B17">
        <w:rPr>
          <w:rFonts w:cs="Arial"/>
        </w:rPr>
        <w:t xml:space="preserve"> separate indicators that can now be precisely defined and measured. An indicator can be expressed as an absolute number or as a percentage. For an indicator to be expressed as a percentage, there has to be a numerator and a denominator. Further, an indicator permits the setting of a baseline as well as a target to be achieved in the future. Attachment 3 shows the </w:t>
      </w:r>
      <w:r w:rsidR="003E0AFD" w:rsidRPr="00DB6B17">
        <w:rPr>
          <w:rFonts w:cs="Arial"/>
        </w:rPr>
        <w:t>nine</w:t>
      </w:r>
      <w:r w:rsidRPr="00DB6B17">
        <w:rPr>
          <w:rFonts w:cs="Arial"/>
        </w:rPr>
        <w:t xml:space="preserve"> indicators (Columns B and H, Rows 3</w:t>
      </w:r>
      <w:r w:rsidR="00512D98" w:rsidRPr="00DB6B17">
        <w:rPr>
          <w:rFonts w:cs="Arial"/>
        </w:rPr>
        <w:t>–</w:t>
      </w:r>
      <w:r w:rsidRPr="00DB6B17">
        <w:rPr>
          <w:rFonts w:cs="Arial"/>
        </w:rPr>
        <w:t>11), which are the numerators that define the CTEIG and the K–12 SWP indicators.</w:t>
      </w:r>
    </w:p>
    <w:p w14:paraId="7BB1EDE0" w14:textId="12F81097" w:rsidR="001B0EF5" w:rsidRPr="00DB6B17" w:rsidRDefault="001B0EF5" w:rsidP="001B0EF5">
      <w:pPr>
        <w:spacing w:after="240"/>
        <w:rPr>
          <w:rFonts w:cs="Arial"/>
        </w:rPr>
      </w:pPr>
      <w:r w:rsidRPr="00DB6B17">
        <w:rPr>
          <w:rFonts w:cs="Arial"/>
        </w:rPr>
        <w:t>The denominator, which is metric (ii) above</w:t>
      </w:r>
      <w:r w:rsidR="00AE6BBC" w:rsidRPr="00DB6B17">
        <w:rPr>
          <w:rFonts w:cs="Arial"/>
        </w:rPr>
        <w:t>,</w:t>
      </w:r>
      <w:r w:rsidRPr="00DB6B17">
        <w:rPr>
          <w:rFonts w:cs="Arial"/>
        </w:rPr>
        <w:t xml:space="preserve"> is shown Row 2, Columns B and H, Attachment 3, and is common to all </w:t>
      </w:r>
      <w:r w:rsidR="00AD1BF8" w:rsidRPr="00DB6B17">
        <w:rPr>
          <w:rFonts w:cs="Arial"/>
        </w:rPr>
        <w:t>nine</w:t>
      </w:r>
      <w:r w:rsidRPr="00DB6B17">
        <w:rPr>
          <w:rFonts w:cs="Arial"/>
        </w:rPr>
        <w:t xml:space="preserve"> indicators. It is the unduplicated aggregate count of students in the adjusted cohort for the graduating class, where the LEA has identified the student as having completed at least one CTE pathway within the four years of the graduating cohort. </w:t>
      </w:r>
      <w:r w:rsidR="00550B91" w:rsidRPr="00DB6B17">
        <w:rPr>
          <w:rFonts w:cs="Arial"/>
        </w:rPr>
        <w:t>Completion of a CTE industry pathway is a component of the College</w:t>
      </w:r>
      <w:r w:rsidR="002204BB" w:rsidRPr="00DB6B17">
        <w:rPr>
          <w:rFonts w:cs="Arial"/>
        </w:rPr>
        <w:t>/</w:t>
      </w:r>
      <w:r w:rsidR="00550B91" w:rsidRPr="00DB6B17">
        <w:rPr>
          <w:rFonts w:cs="Arial"/>
        </w:rPr>
        <w:t>Career Indicator</w:t>
      </w:r>
      <w:r w:rsidR="002204BB" w:rsidRPr="00DB6B17">
        <w:rPr>
          <w:rFonts w:cs="Arial"/>
        </w:rPr>
        <w:t xml:space="preserve"> (CCI)</w:t>
      </w:r>
      <w:r w:rsidR="00550B91" w:rsidRPr="00DB6B17">
        <w:rPr>
          <w:rFonts w:cs="Arial"/>
        </w:rPr>
        <w:t xml:space="preserve"> as defined in the California Accountability Dashboard. This denominator is also the Perkins V Concentrator definition as described in the federal Perkins V State Plan and serves as denominator for all secondary Perkins V accountability indicators. Further explanation is provided in the methodology columns (Attachment 3, columns E and J).</w:t>
      </w:r>
    </w:p>
    <w:p w14:paraId="73FF92BF" w14:textId="26DA9CBB" w:rsidR="001B0EF5" w:rsidRPr="00DB6B17" w:rsidRDefault="001B0EF5" w:rsidP="001B0EF5">
      <w:pPr>
        <w:spacing w:after="240"/>
        <w:rPr>
          <w:rFonts w:cs="Arial"/>
        </w:rPr>
      </w:pPr>
      <w:r w:rsidRPr="00DB6B17">
        <w:rPr>
          <w:rFonts w:cs="Arial"/>
        </w:rPr>
        <w:t xml:space="preserve">Metric (i) above which in Attachment 3 translates to Row 3, Columns B and H is described more fully in the methodology columns (Attachment 3, columns E and J). It is the high school graduating rate for students who have completed at least one CTE pathway within the last </w:t>
      </w:r>
      <w:r w:rsidR="002204BB" w:rsidRPr="00DB6B17">
        <w:rPr>
          <w:rFonts w:cs="Arial"/>
        </w:rPr>
        <w:t>four</w:t>
      </w:r>
      <w:r w:rsidRPr="00DB6B17">
        <w:rPr>
          <w:rFonts w:cs="Arial"/>
        </w:rPr>
        <w:t xml:space="preserve"> years.</w:t>
      </w:r>
    </w:p>
    <w:p w14:paraId="2EADAAA4" w14:textId="5379612B" w:rsidR="001B0EF5" w:rsidRPr="00DB6B17" w:rsidRDefault="001B0EF5" w:rsidP="001B0EF5">
      <w:pPr>
        <w:spacing w:after="240"/>
        <w:rPr>
          <w:rFonts w:cs="Arial"/>
        </w:rPr>
      </w:pPr>
      <w:r w:rsidRPr="00DB6B17">
        <w:rPr>
          <w:rFonts w:cs="Arial"/>
        </w:rPr>
        <w:t>Metric (iii) above, which in Attachment 3 translates to Row 4, Columns B and H</w:t>
      </w:r>
      <w:r w:rsidR="00AE6BBC" w:rsidRPr="00DB6B17">
        <w:rPr>
          <w:rFonts w:cs="Arial"/>
        </w:rPr>
        <w:t>,</w:t>
      </w:r>
      <w:r w:rsidRPr="00DB6B17">
        <w:rPr>
          <w:rFonts w:cs="Arial"/>
        </w:rPr>
        <w:t xml:space="preserve"> is rather global and making it precise leads to using alternative approaches such as the different levels within the CCI or the academic assessment scores available in the California School Accountability Dashboard. The CWPJAC will be presented these alternatives and will be asked to discuss and decide among the alternatives.</w:t>
      </w:r>
    </w:p>
    <w:p w14:paraId="577815CA" w14:textId="33E6F9B7" w:rsidR="001B0EF5" w:rsidRPr="00DB6B17" w:rsidRDefault="001B0EF5" w:rsidP="001B0EF5">
      <w:pPr>
        <w:spacing w:after="240"/>
        <w:rPr>
          <w:rFonts w:cs="Arial"/>
        </w:rPr>
      </w:pPr>
      <w:r w:rsidRPr="00DB6B17">
        <w:rPr>
          <w:rFonts w:cs="Arial"/>
        </w:rPr>
        <w:t>Metric (iv) above is a compound metric that has been sub-divided into three separate indicators (Attachment 3, Rows 5-7, Columns B and H). The purpose of sub-dividing the compound metric is because the three separate indicators going forward can be obtained directly from CALPADs. Presently, the information is being gathered through a survey (Attachment 2). Moreover, these measures are currently being collected, or will be collected within CALPADS as part of the career component of California CCI. However, which levels of the CCI would be included in the definition is another discussion and decision point for the CWPJAC. Furthermore, these indicators can potentially represent other federal Perkins V quality indicators (work-based learning (Attachment 3, Rows 5, Columns B and H) or industry-based certification (Attachment 3, Rows 6, Columns B and H), or as California’s current choice of the secondary Perkins quality indicator, which is the number of pupils completing college coursework Attachment 3, Rows 7, Columns B and H).</w:t>
      </w:r>
    </w:p>
    <w:p w14:paraId="34E8D9C6" w14:textId="53021239" w:rsidR="001B0EF5" w:rsidRPr="00DB6B17" w:rsidRDefault="001B0EF5" w:rsidP="001B0EF5">
      <w:pPr>
        <w:spacing w:after="240"/>
        <w:rPr>
          <w:rFonts w:cs="Arial"/>
        </w:rPr>
      </w:pPr>
      <w:r w:rsidRPr="00DB6B17">
        <w:rPr>
          <w:rFonts w:cs="Arial"/>
        </w:rPr>
        <w:lastRenderedPageBreak/>
        <w:t>Metrics (v) and (vi) above are four separate indicators. For Indicators (vii), (viii), (ix), and (x) above, there are no changes in the indicator description (Attachment 3, Rows 8</w:t>
      </w:r>
      <w:r w:rsidR="00067290" w:rsidRPr="00DB6B17">
        <w:rPr>
          <w:rFonts w:cs="Arial"/>
        </w:rPr>
        <w:t>–</w:t>
      </w:r>
      <w:r w:rsidRPr="00DB6B17">
        <w:rPr>
          <w:rFonts w:cs="Arial"/>
        </w:rPr>
        <w:t xml:space="preserve">11, Columns B and H). While there is no change in how these metrics are defined, the student population from which these students are drawn is much more precise. </w:t>
      </w:r>
    </w:p>
    <w:p w14:paraId="4BA9F815" w14:textId="118207F3" w:rsidR="00C827B3" w:rsidRPr="00DB6B17" w:rsidRDefault="00C827B3" w:rsidP="00C827B3">
      <w:pPr>
        <w:spacing w:after="240"/>
        <w:rPr>
          <w:rFonts w:cs="Arial"/>
        </w:rPr>
      </w:pPr>
      <w:r w:rsidRPr="00DB6B17">
        <w:rPr>
          <w:rFonts w:cs="Arial"/>
        </w:rPr>
        <w:t xml:space="preserve">All in all, there are </w:t>
      </w:r>
      <w:r w:rsidR="003E0AFD" w:rsidRPr="00DB6B17">
        <w:rPr>
          <w:rFonts w:cs="Arial"/>
        </w:rPr>
        <w:t>nine</w:t>
      </w:r>
      <w:r w:rsidR="001B0EF5" w:rsidRPr="00DB6B17">
        <w:rPr>
          <w:rFonts w:cs="Arial"/>
        </w:rPr>
        <w:t xml:space="preserve"> separate</w:t>
      </w:r>
      <w:r w:rsidR="00195E52" w:rsidRPr="00DB6B17">
        <w:rPr>
          <w:rFonts w:cs="Arial"/>
        </w:rPr>
        <w:t>,</w:t>
      </w:r>
      <w:r w:rsidRPr="00DB6B17">
        <w:rPr>
          <w:rFonts w:cs="Arial"/>
        </w:rPr>
        <w:t xml:space="preserve"> </w:t>
      </w:r>
      <w:r w:rsidR="00790810" w:rsidRPr="00DB6B17">
        <w:rPr>
          <w:rFonts w:cs="Arial"/>
        </w:rPr>
        <w:t xml:space="preserve">precisely defined </w:t>
      </w:r>
      <w:r w:rsidR="001B0EF5" w:rsidRPr="00DB6B17">
        <w:rPr>
          <w:rFonts w:cs="Arial"/>
        </w:rPr>
        <w:t xml:space="preserve">indicators </w:t>
      </w:r>
      <w:r w:rsidRPr="00DB6B17">
        <w:rPr>
          <w:rFonts w:cs="Arial"/>
        </w:rPr>
        <w:t xml:space="preserve">for which </w:t>
      </w:r>
      <w:r w:rsidR="00790810" w:rsidRPr="00DB6B17">
        <w:rPr>
          <w:rFonts w:cs="Arial"/>
        </w:rPr>
        <w:t xml:space="preserve">the source on which the data collection is based, a refinement in the methodology, and specificity regarding measurement approaches </w:t>
      </w:r>
      <w:r w:rsidRPr="00DB6B17">
        <w:rPr>
          <w:rFonts w:cs="Arial"/>
        </w:rPr>
        <w:t>can now be identified</w:t>
      </w:r>
      <w:r w:rsidR="00067290" w:rsidRPr="00DB6B17">
        <w:rPr>
          <w:rFonts w:cs="Arial"/>
        </w:rPr>
        <w:t>.</w:t>
      </w:r>
      <w:r w:rsidR="00FA6E93" w:rsidRPr="00DB6B17">
        <w:rPr>
          <w:rFonts w:cs="Arial"/>
        </w:rPr>
        <w:t xml:space="preserve"> </w:t>
      </w:r>
    </w:p>
    <w:p w14:paraId="14AD9B37" w14:textId="6E60A5A2" w:rsidR="00D03D1F" w:rsidRPr="00DB6B17" w:rsidRDefault="00D03D1F" w:rsidP="00195E52">
      <w:pPr>
        <w:spacing w:after="240"/>
        <w:rPr>
          <w:rFonts w:cs="Arial"/>
        </w:rPr>
      </w:pPr>
      <w:r w:rsidRPr="00DB6B17">
        <w:rPr>
          <w:rFonts w:cs="Arial"/>
        </w:rPr>
        <w:t xml:space="preserve">These </w:t>
      </w:r>
      <w:r w:rsidR="003E0AFD" w:rsidRPr="00DB6B17">
        <w:rPr>
          <w:rFonts w:cs="Arial"/>
        </w:rPr>
        <w:t>nine</w:t>
      </w:r>
      <w:r w:rsidR="001B0EF5" w:rsidRPr="00DB6B17">
        <w:rPr>
          <w:rFonts w:cs="Arial"/>
        </w:rPr>
        <w:t xml:space="preserve"> indicators</w:t>
      </w:r>
      <w:r w:rsidR="00195E52" w:rsidRPr="00DB6B17">
        <w:rPr>
          <w:rFonts w:cs="Arial"/>
        </w:rPr>
        <w:t>,</w:t>
      </w:r>
      <w:r w:rsidRPr="00DB6B17">
        <w:rPr>
          <w:rFonts w:cs="Arial"/>
        </w:rPr>
        <w:t xml:space="preserve"> as well as any additional measures</w:t>
      </w:r>
      <w:r w:rsidR="00195E52" w:rsidRPr="00DB6B17">
        <w:rPr>
          <w:rFonts w:cs="Arial"/>
        </w:rPr>
        <w:t>,</w:t>
      </w:r>
      <w:r w:rsidRPr="00DB6B17">
        <w:rPr>
          <w:rFonts w:cs="Arial"/>
        </w:rPr>
        <w:t xml:space="preserve"> will be addressed once the CTEIG/K</w:t>
      </w:r>
      <w:r w:rsidR="00195E52" w:rsidRPr="00DB6B17">
        <w:rPr>
          <w:rFonts w:cs="Arial"/>
        </w:rPr>
        <w:t>–</w:t>
      </w:r>
      <w:r w:rsidRPr="00DB6B17">
        <w:rPr>
          <w:rFonts w:cs="Arial"/>
        </w:rPr>
        <w:t>12 SWP MOU is in place, as it would require the transfer of unitary level data. However, it is possible to share aggregate level data that removes personally identified information (PII), as is shown in some of the figures in Attachment 1.</w:t>
      </w:r>
    </w:p>
    <w:p w14:paraId="1CDDD6C1" w14:textId="2D2402D5" w:rsidR="00C827B3" w:rsidRPr="00DB6B17" w:rsidRDefault="00C827B3" w:rsidP="00C827B3">
      <w:pPr>
        <w:spacing w:after="240"/>
        <w:rPr>
          <w:rFonts w:cs="Arial"/>
          <w:b/>
        </w:rPr>
      </w:pPr>
      <w:r w:rsidRPr="00DB6B17">
        <w:rPr>
          <w:rFonts w:cs="Arial"/>
          <w:b/>
        </w:rPr>
        <w:t>Data Collection Source of Metrics</w:t>
      </w:r>
    </w:p>
    <w:p w14:paraId="718D1B07" w14:textId="03E9615D" w:rsidR="00EF57C4" w:rsidRPr="00DB6B17" w:rsidRDefault="00E17B80" w:rsidP="00067290">
      <w:pPr>
        <w:spacing w:after="240"/>
        <w:rPr>
          <w:rFonts w:cs="Arial"/>
        </w:rPr>
      </w:pPr>
      <w:r w:rsidRPr="00DB6B17">
        <w:rPr>
          <w:rFonts w:cs="Arial"/>
        </w:rPr>
        <w:t xml:space="preserve">Defining the metrics with precision enables the use of CALPADS as the single source of data collection. The SNAP survey (Attachment 2) was the first step in a year-long discussion within </w:t>
      </w:r>
      <w:r w:rsidR="00195E52" w:rsidRPr="00DB6B17">
        <w:rPr>
          <w:rFonts w:cs="Arial"/>
        </w:rPr>
        <w:t xml:space="preserve">the </w:t>
      </w:r>
      <w:r w:rsidRPr="00DB6B17">
        <w:rPr>
          <w:rFonts w:cs="Arial"/>
        </w:rPr>
        <w:t xml:space="preserve">CDE to begin uniformly collecting the </w:t>
      </w:r>
      <w:r w:rsidR="003E0AFD" w:rsidRPr="00DB6B17">
        <w:rPr>
          <w:rFonts w:cs="Arial"/>
        </w:rPr>
        <w:t>nine</w:t>
      </w:r>
      <w:r w:rsidRPr="00DB6B17">
        <w:rPr>
          <w:rFonts w:cs="Arial"/>
        </w:rPr>
        <w:t xml:space="preserve"> precisely defined </w:t>
      </w:r>
      <w:r w:rsidR="009923C9" w:rsidRPr="00DB6B17">
        <w:rPr>
          <w:rFonts w:cs="Arial"/>
        </w:rPr>
        <w:t xml:space="preserve">indicators </w:t>
      </w:r>
      <w:r w:rsidRPr="00DB6B17">
        <w:rPr>
          <w:rFonts w:cs="Arial"/>
        </w:rPr>
        <w:t xml:space="preserve">within CALPADS. Starting in academic year </w:t>
      </w:r>
      <w:r w:rsidR="00760008" w:rsidRPr="00DB6B17">
        <w:rPr>
          <w:rFonts w:cs="Arial"/>
        </w:rPr>
        <w:t>2020</w:t>
      </w:r>
      <w:r w:rsidR="00195E52" w:rsidRPr="00DB6B17">
        <w:rPr>
          <w:rFonts w:cs="Arial"/>
        </w:rPr>
        <w:t>–</w:t>
      </w:r>
      <w:r w:rsidR="00760008" w:rsidRPr="00DB6B17">
        <w:rPr>
          <w:rFonts w:cs="Arial"/>
        </w:rPr>
        <w:t xml:space="preserve">21, all </w:t>
      </w:r>
      <w:r w:rsidR="00AD1BF8" w:rsidRPr="00DB6B17">
        <w:rPr>
          <w:rFonts w:cs="Arial"/>
        </w:rPr>
        <w:t>nine</w:t>
      </w:r>
      <w:r w:rsidR="00760008" w:rsidRPr="00DB6B17">
        <w:rPr>
          <w:rFonts w:cs="Arial"/>
        </w:rPr>
        <w:t xml:space="preserve"> </w:t>
      </w:r>
      <w:r w:rsidR="009923C9" w:rsidRPr="00DB6B17">
        <w:rPr>
          <w:rFonts w:cs="Arial"/>
        </w:rPr>
        <w:t xml:space="preserve">indicators </w:t>
      </w:r>
      <w:r w:rsidR="00760008" w:rsidRPr="00DB6B17">
        <w:rPr>
          <w:rFonts w:cs="Arial"/>
        </w:rPr>
        <w:t>will be collec</w:t>
      </w:r>
      <w:r w:rsidR="005E7340" w:rsidRPr="00DB6B17">
        <w:rPr>
          <w:rFonts w:cs="Arial"/>
        </w:rPr>
        <w:t>ted in CALPADS.</w:t>
      </w:r>
    </w:p>
    <w:p w14:paraId="293ABA36" w14:textId="64127F4C" w:rsidR="005E7340" w:rsidRPr="00DB6B17" w:rsidRDefault="005E7340" w:rsidP="005E7340">
      <w:pPr>
        <w:spacing w:after="240"/>
        <w:rPr>
          <w:rFonts w:cs="Arial"/>
          <w:b/>
        </w:rPr>
      </w:pPr>
      <w:r w:rsidRPr="00DB6B17">
        <w:rPr>
          <w:rFonts w:cs="Arial"/>
          <w:b/>
        </w:rPr>
        <w:t>Refin</w:t>
      </w:r>
      <w:r w:rsidR="0093189D" w:rsidRPr="00DB6B17">
        <w:rPr>
          <w:rFonts w:cs="Arial"/>
          <w:b/>
        </w:rPr>
        <w:t>ing</w:t>
      </w:r>
      <w:r w:rsidRPr="00DB6B17">
        <w:rPr>
          <w:rFonts w:cs="Arial"/>
          <w:b/>
        </w:rPr>
        <w:t xml:space="preserve"> the Methodology</w:t>
      </w:r>
    </w:p>
    <w:p w14:paraId="51ABCB15" w14:textId="779A47B0" w:rsidR="00DE633B" w:rsidRPr="00DB6B17" w:rsidRDefault="005E7340" w:rsidP="00195E52">
      <w:pPr>
        <w:spacing w:after="240"/>
        <w:rPr>
          <w:rFonts w:cs="Arial"/>
        </w:rPr>
      </w:pPr>
      <w:r w:rsidRPr="00DB6B17">
        <w:rPr>
          <w:rFonts w:cs="Arial"/>
        </w:rPr>
        <w:t>With precisely defined metrics and a single source of data collection</w:t>
      </w:r>
      <w:r w:rsidR="00D316CB" w:rsidRPr="00DB6B17">
        <w:rPr>
          <w:rFonts w:cs="Arial"/>
        </w:rPr>
        <w:t xml:space="preserve">, the ability to move towards a common methodology become possible. </w:t>
      </w:r>
      <w:r w:rsidR="00964C6B" w:rsidRPr="00DB6B17">
        <w:rPr>
          <w:rFonts w:cs="Arial"/>
        </w:rPr>
        <w:t xml:space="preserve">However, for the precision of metrics to have meaning, </w:t>
      </w:r>
      <w:r w:rsidR="0023256F" w:rsidRPr="00DB6B17">
        <w:rPr>
          <w:rFonts w:cs="Arial"/>
        </w:rPr>
        <w:t xml:space="preserve">the </w:t>
      </w:r>
      <w:r w:rsidR="00964C6B" w:rsidRPr="00DB6B17">
        <w:rPr>
          <w:rFonts w:cs="Arial"/>
        </w:rPr>
        <w:t xml:space="preserve">student population of interest </w:t>
      </w:r>
      <w:r w:rsidR="0023256F" w:rsidRPr="00DB6B17">
        <w:rPr>
          <w:rFonts w:cs="Arial"/>
        </w:rPr>
        <w:t>must</w:t>
      </w:r>
      <w:r w:rsidR="00964C6B" w:rsidRPr="00DB6B17">
        <w:rPr>
          <w:rFonts w:cs="Arial"/>
        </w:rPr>
        <w:t xml:space="preserve"> be uniformly defined</w:t>
      </w:r>
      <w:r w:rsidR="0023256F" w:rsidRPr="00DB6B17">
        <w:rPr>
          <w:rFonts w:cs="Arial"/>
        </w:rPr>
        <w:t xml:space="preserve">. </w:t>
      </w:r>
      <w:r w:rsidR="00DE633B" w:rsidRPr="00DB6B17">
        <w:rPr>
          <w:rFonts w:cs="Arial"/>
        </w:rPr>
        <w:t xml:space="preserve">The recommendation on methodology that is being made is </w:t>
      </w:r>
      <w:r w:rsidR="00754D9E" w:rsidRPr="00DB6B17">
        <w:rPr>
          <w:rFonts w:cs="Arial"/>
        </w:rPr>
        <w:t xml:space="preserve">that the </w:t>
      </w:r>
      <w:r w:rsidR="00DE633B" w:rsidRPr="00DB6B17">
        <w:rPr>
          <w:rFonts w:cs="Arial"/>
        </w:rPr>
        <w:t xml:space="preserve">data from which </w:t>
      </w:r>
      <w:r w:rsidR="00754D9E" w:rsidRPr="00DB6B17">
        <w:rPr>
          <w:rFonts w:cs="Arial"/>
        </w:rPr>
        <w:t>the metrics</w:t>
      </w:r>
      <w:r w:rsidR="00DE633B" w:rsidRPr="00DB6B17">
        <w:rPr>
          <w:rFonts w:cs="Arial"/>
        </w:rPr>
        <w:t xml:space="preserve"> will be calculated will be drawn from an unduplicated aggregate count of students in the adjusted four-year graduating cohort, where the LEA has identified the student has completed at least one CTE pathway within the last four years.</w:t>
      </w:r>
    </w:p>
    <w:p w14:paraId="2C6639FA" w14:textId="7D6C124A" w:rsidR="006A5099" w:rsidRPr="00DB6B17" w:rsidRDefault="00B24609" w:rsidP="006A5099">
      <w:pPr>
        <w:spacing w:after="240"/>
        <w:rPr>
          <w:rFonts w:cs="Arial"/>
          <w:b/>
        </w:rPr>
      </w:pPr>
      <w:r w:rsidRPr="00DB6B17">
        <w:rPr>
          <w:rFonts w:cs="Arial"/>
          <w:b/>
        </w:rPr>
        <w:t>Why the CTEIG and the K–12 SWP Components of the Metrics of Metrics is Identical</w:t>
      </w:r>
    </w:p>
    <w:p w14:paraId="5C4CE083" w14:textId="16D62439" w:rsidR="00693094" w:rsidRPr="00DB6B17" w:rsidRDefault="00693094" w:rsidP="00693094">
      <w:pPr>
        <w:spacing w:after="240"/>
        <w:rPr>
          <w:rFonts w:cs="Arial"/>
        </w:rPr>
      </w:pPr>
      <w:r w:rsidRPr="00DB6B17">
        <w:rPr>
          <w:rFonts w:cs="Arial"/>
        </w:rPr>
        <w:t xml:space="preserve">To begin with, the student population of interest for </w:t>
      </w:r>
      <w:r w:rsidR="005C04D5" w:rsidRPr="00DB6B17">
        <w:rPr>
          <w:rFonts w:cs="Arial"/>
        </w:rPr>
        <w:t xml:space="preserve">CTE programs covered by </w:t>
      </w:r>
      <w:r w:rsidRPr="00DB6B17">
        <w:rPr>
          <w:rFonts w:cs="Arial"/>
        </w:rPr>
        <w:t xml:space="preserve">both legislations is now commonly defined. </w:t>
      </w:r>
      <w:r w:rsidR="00B410B7" w:rsidRPr="00DB6B17">
        <w:rPr>
          <w:rFonts w:cs="Arial"/>
        </w:rPr>
        <w:t>The</w:t>
      </w:r>
      <w:r w:rsidRPr="00DB6B17">
        <w:rPr>
          <w:rFonts w:cs="Arial"/>
        </w:rPr>
        <w:t xml:space="preserve"> student population of interest (</w:t>
      </w:r>
      <w:r w:rsidR="00067290" w:rsidRPr="00DB6B17">
        <w:rPr>
          <w:rFonts w:cs="Arial"/>
        </w:rPr>
        <w:t>g</w:t>
      </w:r>
      <w:r w:rsidRPr="00DB6B17">
        <w:rPr>
          <w:rFonts w:cs="Arial"/>
        </w:rPr>
        <w:t xml:space="preserve">rades </w:t>
      </w:r>
      <w:r w:rsidR="00195E52" w:rsidRPr="00DB6B17">
        <w:rPr>
          <w:rFonts w:cs="Arial"/>
        </w:rPr>
        <w:t xml:space="preserve">nine through twelve </w:t>
      </w:r>
      <w:r w:rsidRPr="00DB6B17">
        <w:rPr>
          <w:rFonts w:cs="Arial"/>
        </w:rPr>
        <w:t>CTE students completing an industry pathway)</w:t>
      </w:r>
      <w:r w:rsidR="00067290" w:rsidRPr="00DB6B17">
        <w:rPr>
          <w:rFonts w:cs="Arial"/>
        </w:rPr>
        <w:t>,</w:t>
      </w:r>
      <w:r w:rsidRPr="00DB6B17">
        <w:rPr>
          <w:rFonts w:cs="Arial"/>
        </w:rPr>
        <w:t xml:space="preserve"> as well as the potential CTEIG and the K–12 SWP grantees coming from the same pool of LEA applicants are the same</w:t>
      </w:r>
      <w:r w:rsidR="00B410B7" w:rsidRPr="00DB6B17">
        <w:rPr>
          <w:rFonts w:cs="Arial"/>
        </w:rPr>
        <w:t xml:space="preserve">. Therefore, </w:t>
      </w:r>
      <w:r w:rsidR="005C04D5" w:rsidRPr="00DB6B17">
        <w:rPr>
          <w:rFonts w:cs="Arial"/>
        </w:rPr>
        <w:t xml:space="preserve">SBE, CCCCO, and CDE staff are recommending </w:t>
      </w:r>
      <w:r w:rsidR="00B410B7" w:rsidRPr="00DB6B17">
        <w:rPr>
          <w:rFonts w:cs="Arial"/>
        </w:rPr>
        <w:t xml:space="preserve">that </w:t>
      </w:r>
      <w:r w:rsidRPr="00DB6B17">
        <w:rPr>
          <w:rFonts w:cs="Arial"/>
        </w:rPr>
        <w:t xml:space="preserve">the CTEIG and the K–12 SWP </w:t>
      </w:r>
      <w:r w:rsidR="00B410B7" w:rsidRPr="00DB6B17">
        <w:rPr>
          <w:rFonts w:cs="Arial"/>
        </w:rPr>
        <w:t xml:space="preserve">metric definitions, data collection, </w:t>
      </w:r>
      <w:r w:rsidRPr="00DB6B17">
        <w:rPr>
          <w:rFonts w:cs="Arial"/>
        </w:rPr>
        <w:t>methodology</w:t>
      </w:r>
      <w:r w:rsidR="00B410B7" w:rsidRPr="00DB6B17">
        <w:rPr>
          <w:rFonts w:cs="Arial"/>
        </w:rPr>
        <w:t>, and measurement approaches be</w:t>
      </w:r>
      <w:r w:rsidRPr="00DB6B17">
        <w:rPr>
          <w:rFonts w:cs="Arial"/>
        </w:rPr>
        <w:t xml:space="preserve"> the same. </w:t>
      </w:r>
      <w:r w:rsidR="00B410B7" w:rsidRPr="00DB6B17">
        <w:rPr>
          <w:rFonts w:cs="Arial"/>
        </w:rPr>
        <w:t>In other words, having the CTEIG and K–12 SWP components of the matrix of metrics be the same, creates the system alignment between the two programs.</w:t>
      </w:r>
      <w:r w:rsidR="0075603A" w:rsidRPr="00DB6B17">
        <w:rPr>
          <w:rFonts w:cs="Arial"/>
        </w:rPr>
        <w:t xml:space="preserve"> However, as per the two legislations, the CWPJAC will be making legislative recommendations on just the CTEIG and the K–12 SWP metrics.</w:t>
      </w:r>
    </w:p>
    <w:p w14:paraId="28190FA4" w14:textId="58F51EB5" w:rsidR="00E506D2" w:rsidRPr="00DB6B17" w:rsidRDefault="00246406" w:rsidP="00B87FEC">
      <w:pPr>
        <w:tabs>
          <w:tab w:val="left" w:pos="1755"/>
        </w:tabs>
        <w:spacing w:after="240"/>
        <w:rPr>
          <w:rFonts w:cs="Arial"/>
          <w:b/>
        </w:rPr>
      </w:pPr>
      <w:r w:rsidRPr="00DB6B17">
        <w:rPr>
          <w:rFonts w:cs="Arial"/>
        </w:rPr>
        <w:t xml:space="preserve">The above recommended changes should enable </w:t>
      </w:r>
      <w:r w:rsidR="00347FBF" w:rsidRPr="00DB6B17">
        <w:rPr>
          <w:rFonts w:cs="Arial"/>
        </w:rPr>
        <w:t xml:space="preserve">the </w:t>
      </w:r>
      <w:r w:rsidRPr="00DB6B17">
        <w:rPr>
          <w:rFonts w:cs="Arial"/>
        </w:rPr>
        <w:t>CDE and CC</w:t>
      </w:r>
      <w:r w:rsidR="00347FBF" w:rsidRPr="00DB6B17">
        <w:rPr>
          <w:rFonts w:cs="Arial"/>
        </w:rPr>
        <w:t>C</w:t>
      </w:r>
      <w:r w:rsidRPr="00DB6B17">
        <w:rPr>
          <w:rFonts w:cs="Arial"/>
        </w:rPr>
        <w:t>CO to set the stage for fuller data alignment between the CTEIG and K–12 SWP</w:t>
      </w:r>
      <w:r w:rsidR="00B87FEC" w:rsidRPr="00DB6B17">
        <w:rPr>
          <w:rFonts w:cs="Arial"/>
        </w:rPr>
        <w:t xml:space="preserve">, which will be taken </w:t>
      </w:r>
      <w:r w:rsidR="00B87FEC" w:rsidRPr="00DB6B17">
        <w:rPr>
          <w:rFonts w:cs="Arial"/>
        </w:rPr>
        <w:lastRenderedPageBreak/>
        <w:t xml:space="preserve">up during the CTEIG and K–12 SWP MOU discussion. Additionally, </w:t>
      </w:r>
      <w:r w:rsidR="00B87FEC" w:rsidRPr="00DB6B17">
        <w:t xml:space="preserve">because Perkins is supplemental to </w:t>
      </w:r>
      <w:r w:rsidR="00B87FEC" w:rsidRPr="00DB6B17">
        <w:rPr>
          <w:rFonts w:cs="Arial"/>
        </w:rPr>
        <w:t>CTEIG and K–12 SWP</w:t>
      </w:r>
      <w:r w:rsidR="00B87FEC" w:rsidRPr="00DB6B17">
        <w:t>, it is important that the data metrics align so</w:t>
      </w:r>
      <w:r w:rsidR="00347FBF" w:rsidRPr="00DB6B17">
        <w:t xml:space="preserve"> that</w:t>
      </w:r>
      <w:r w:rsidR="00B87FEC" w:rsidRPr="00DB6B17">
        <w:t xml:space="preserve"> data is being measured consistently for benchmarking student achievement/ progress</w:t>
      </w:r>
      <w:r w:rsidR="00E506D2" w:rsidRPr="00DB6B17">
        <w:t xml:space="preserve">. Moreover, </w:t>
      </w:r>
      <w:r w:rsidR="00E506D2" w:rsidRPr="00DB6B17">
        <w:rPr>
          <w:rFonts w:cs="Arial"/>
        </w:rPr>
        <w:t>both the CTEIG and K–12 SWP request annual applications and provide funds to eligible grantees from the same set of LEAs, which shows about an 80</w:t>
      </w:r>
      <w:r w:rsidR="00347FBF" w:rsidRPr="00DB6B17">
        <w:rPr>
          <w:rFonts w:cs="Arial"/>
        </w:rPr>
        <w:t xml:space="preserve"> percent</w:t>
      </w:r>
      <w:r w:rsidR="00E506D2" w:rsidRPr="00DB6B17">
        <w:rPr>
          <w:rFonts w:cs="Arial"/>
        </w:rPr>
        <w:t xml:space="preserve"> overlap, and hence creates an opportunity </w:t>
      </w:r>
      <w:r w:rsidR="000F03CE" w:rsidRPr="00DB6B17">
        <w:rPr>
          <w:rFonts w:cs="Arial"/>
        </w:rPr>
        <w:t xml:space="preserve">to continue to work to </w:t>
      </w:r>
      <w:r w:rsidR="007D11B5" w:rsidRPr="00DB6B17">
        <w:rPr>
          <w:rFonts w:cs="Arial"/>
        </w:rPr>
        <w:t xml:space="preserve">align </w:t>
      </w:r>
      <w:r w:rsidR="000F03CE" w:rsidRPr="00DB6B17">
        <w:rPr>
          <w:rFonts w:cs="Arial"/>
        </w:rPr>
        <w:t xml:space="preserve">the application process for these two grants. </w:t>
      </w:r>
      <w:r w:rsidR="007D11B5" w:rsidRPr="00DB6B17">
        <w:rPr>
          <w:rFonts w:cs="Arial"/>
        </w:rPr>
        <w:t xml:space="preserve">The alignment would require clarity around the role, purpose, and intent of the CTEIG and K–12 SWP legislations. </w:t>
      </w:r>
      <w:r w:rsidR="000F03CE" w:rsidRPr="00DB6B17">
        <w:rPr>
          <w:rFonts w:cs="Arial"/>
        </w:rPr>
        <w:t>Also, going forward, CALPADS becomes the single source for collecting a commonly validated set of data from which both the Perkins accountability indicators and the CTEIG and K–12 SWP metrics can be estimated. Last but not least, any other metric that needs to be collected for either or both programs become possible once the CDE and CCCCO MOU is put in place for sharing LEA data.</w:t>
      </w:r>
    </w:p>
    <w:p w14:paraId="00B11F9D" w14:textId="1ED300B6" w:rsidR="003E4DF7" w:rsidRPr="00DB6B17" w:rsidRDefault="003E4DF7" w:rsidP="003A0CCA">
      <w:pPr>
        <w:pStyle w:val="Heading2"/>
        <w:spacing w:before="480" w:after="240"/>
        <w:rPr>
          <w:rFonts w:cs="Arial"/>
          <w:sz w:val="36"/>
          <w:szCs w:val="36"/>
        </w:rPr>
      </w:pPr>
      <w:r w:rsidRPr="00DB6B17">
        <w:rPr>
          <w:rFonts w:cs="Arial"/>
          <w:sz w:val="36"/>
          <w:szCs w:val="36"/>
        </w:rPr>
        <w:t xml:space="preserve">Summary of Previous </w:t>
      </w:r>
      <w:r w:rsidR="0003321E" w:rsidRPr="00DB6B17">
        <w:rPr>
          <w:rFonts w:cs="Arial"/>
          <w:sz w:val="36"/>
          <w:szCs w:val="36"/>
        </w:rPr>
        <w:t xml:space="preserve">CWPJAC </w:t>
      </w:r>
      <w:r w:rsidRPr="00DB6B17">
        <w:rPr>
          <w:rFonts w:cs="Arial"/>
          <w:sz w:val="36"/>
          <w:szCs w:val="36"/>
        </w:rPr>
        <w:t>Discussion</w:t>
      </w:r>
      <w:r w:rsidR="00677419" w:rsidRPr="00DB6B17">
        <w:rPr>
          <w:rFonts w:cs="Arial"/>
          <w:sz w:val="36"/>
          <w:szCs w:val="36"/>
        </w:rPr>
        <w:t>(s)</w:t>
      </w:r>
      <w:r w:rsidRPr="00DB6B17">
        <w:rPr>
          <w:rFonts w:cs="Arial"/>
          <w:sz w:val="36"/>
          <w:szCs w:val="36"/>
        </w:rPr>
        <w:t xml:space="preserve"> and Action</w:t>
      </w:r>
      <w:r w:rsidR="00677419" w:rsidRPr="00DB6B17">
        <w:rPr>
          <w:rFonts w:cs="Arial"/>
          <w:sz w:val="36"/>
          <w:szCs w:val="36"/>
        </w:rPr>
        <w:t>(s)</w:t>
      </w:r>
    </w:p>
    <w:p w14:paraId="7D0D585B" w14:textId="3DDD5CDF" w:rsidR="00227FDF" w:rsidRPr="00DB6B17" w:rsidRDefault="00227FDF" w:rsidP="00CE3317">
      <w:pPr>
        <w:tabs>
          <w:tab w:val="left" w:pos="1770"/>
        </w:tabs>
        <w:spacing w:after="240"/>
        <w:rPr>
          <w:rFonts w:cs="Arial"/>
          <w:b/>
          <w:color w:val="000000" w:themeColor="text1"/>
        </w:rPr>
      </w:pPr>
      <w:r w:rsidRPr="00DB6B17">
        <w:rPr>
          <w:rFonts w:cs="Arial"/>
          <w:b/>
        </w:rPr>
        <w:t xml:space="preserve">July 10, 2020: </w:t>
      </w:r>
      <w:r w:rsidRPr="00DB6B17">
        <w:rPr>
          <w:rFonts w:cs="Arial"/>
        </w:rPr>
        <w:t xml:space="preserve">The </w:t>
      </w:r>
      <w:r w:rsidRPr="00DB6B17">
        <w:rPr>
          <w:rFonts w:cs="Arial"/>
          <w:color w:val="000000" w:themeColor="text1"/>
        </w:rPr>
        <w:t>CDE presented a 12 Essential Elements of a High-Quality College and Career Pathway Framework document. The Framework document will be used to develop a new CTEIG CTE Program Self-Evaluation.</w:t>
      </w:r>
      <w:r w:rsidRPr="00DB6B17">
        <w:rPr>
          <w:rFonts w:cs="Arial"/>
          <w:b/>
          <w:color w:val="000000" w:themeColor="text1"/>
        </w:rPr>
        <w:t xml:space="preserve"> </w:t>
      </w:r>
      <w:r w:rsidRPr="00DB6B17">
        <w:rPr>
          <w:rFonts w:cs="Arial"/>
        </w:rPr>
        <w:t xml:space="preserve">The CCCCO presented how the </w:t>
      </w:r>
      <w:r w:rsidRPr="00DB6B17">
        <w:rPr>
          <w:rFonts w:cs="Arial"/>
          <w:i/>
        </w:rPr>
        <w:t xml:space="preserve">Guiding Policy Principles </w:t>
      </w:r>
      <w:r w:rsidRPr="00DB6B17">
        <w:rPr>
          <w:rFonts w:cs="Arial"/>
        </w:rPr>
        <w:t>have been intentionally incorporated into the K–12 SWP application, as well as provide</w:t>
      </w:r>
      <w:r w:rsidR="00BD68FE" w:rsidRPr="00DB6B17">
        <w:rPr>
          <w:rFonts w:cs="Arial"/>
        </w:rPr>
        <w:t>d</w:t>
      </w:r>
      <w:r w:rsidRPr="00DB6B17">
        <w:rPr>
          <w:rFonts w:cs="Arial"/>
        </w:rPr>
        <w:t xml:space="preserve"> a summary of the training that </w:t>
      </w:r>
      <w:r w:rsidR="00BD68FE" w:rsidRPr="00DB6B17">
        <w:rPr>
          <w:rFonts w:cs="Arial"/>
        </w:rPr>
        <w:t xml:space="preserve">had </w:t>
      </w:r>
      <w:r w:rsidRPr="00DB6B17">
        <w:rPr>
          <w:rFonts w:cs="Arial"/>
        </w:rPr>
        <w:t>occurred on June 2–4, 2020, which include</w:t>
      </w:r>
      <w:r w:rsidR="00BD68FE" w:rsidRPr="00DB6B17">
        <w:rPr>
          <w:rFonts w:cs="Arial"/>
        </w:rPr>
        <w:t>d</w:t>
      </w:r>
      <w:r w:rsidRPr="00DB6B17">
        <w:rPr>
          <w:rFonts w:cs="Arial"/>
        </w:rPr>
        <w:t xml:space="preserve"> the </w:t>
      </w:r>
      <w:r w:rsidRPr="00DB6B17">
        <w:rPr>
          <w:rFonts w:cs="Arial"/>
          <w:i/>
        </w:rPr>
        <w:t xml:space="preserve">Guiding Policy Principles </w:t>
      </w:r>
      <w:r w:rsidRPr="00DB6B17">
        <w:rPr>
          <w:rFonts w:cs="Arial"/>
        </w:rPr>
        <w:t>for onboarding the K–14 Technical Assistance Providers and the Workforce Pathway Coordinators.</w:t>
      </w:r>
    </w:p>
    <w:p w14:paraId="2363E1CF" w14:textId="1C762F25" w:rsidR="008D6B3D" w:rsidRPr="00DB6B17" w:rsidRDefault="008D6B3D" w:rsidP="00CE3317">
      <w:pPr>
        <w:spacing w:after="240"/>
        <w:rPr>
          <w:rFonts w:cs="Arial"/>
        </w:rPr>
      </w:pPr>
      <w:r w:rsidRPr="00DB6B17">
        <w:rPr>
          <w:rFonts w:cs="Arial"/>
          <w:b/>
        </w:rPr>
        <w:t xml:space="preserve">January 31, 2020: </w:t>
      </w:r>
      <w:r w:rsidRPr="00DB6B17">
        <w:rPr>
          <w:rFonts w:cs="Arial"/>
        </w:rPr>
        <w:t>The CW</w:t>
      </w:r>
      <w:r w:rsidR="00D370A0" w:rsidRPr="00DB6B17">
        <w:rPr>
          <w:rFonts w:cs="Arial"/>
        </w:rPr>
        <w:t>P</w:t>
      </w:r>
      <w:r w:rsidRPr="00DB6B17">
        <w:rPr>
          <w:rFonts w:cs="Arial"/>
        </w:rPr>
        <w:t xml:space="preserve">JAC </w:t>
      </w:r>
      <w:r w:rsidR="00BB15CF" w:rsidRPr="00DB6B17">
        <w:rPr>
          <w:rFonts w:cs="Arial"/>
        </w:rPr>
        <w:t>reviewed an</w:t>
      </w:r>
      <w:r w:rsidRPr="00DB6B17">
        <w:rPr>
          <w:rFonts w:cs="Arial"/>
        </w:rPr>
        <w:t xml:space="preserve"> updated Matrix of Metrics, an overview of both the CTEIG and K</w:t>
      </w:r>
      <w:r w:rsidR="00D82C7B" w:rsidRPr="00DB6B17">
        <w:rPr>
          <w:rFonts w:cs="Arial"/>
        </w:rPr>
        <w:t>–</w:t>
      </w:r>
      <w:r w:rsidRPr="00DB6B17">
        <w:rPr>
          <w:rFonts w:cs="Arial"/>
        </w:rPr>
        <w:t xml:space="preserve">12 SWP </w:t>
      </w:r>
      <w:r w:rsidR="00D82C7B" w:rsidRPr="00DB6B17">
        <w:rPr>
          <w:rFonts w:cs="Arial"/>
        </w:rPr>
        <w:t>FY</w:t>
      </w:r>
      <w:r w:rsidRPr="00DB6B17">
        <w:rPr>
          <w:rFonts w:cs="Arial"/>
        </w:rPr>
        <w:t xml:space="preserve"> 2019</w:t>
      </w:r>
      <w:r w:rsidR="00D82C7B" w:rsidRPr="00DB6B17">
        <w:rPr>
          <w:rFonts w:cs="Arial"/>
        </w:rPr>
        <w:t>–</w:t>
      </w:r>
      <w:r w:rsidRPr="00DB6B17">
        <w:rPr>
          <w:rFonts w:cs="Arial"/>
        </w:rPr>
        <w:t>20 grant processes, and the 2018–19</w:t>
      </w:r>
      <w:r w:rsidR="0003321E" w:rsidRPr="00DB6B17">
        <w:rPr>
          <w:rFonts w:cs="Arial"/>
        </w:rPr>
        <w:t xml:space="preserve"> CTE</w:t>
      </w:r>
      <w:r w:rsidRPr="00DB6B17">
        <w:rPr>
          <w:rFonts w:cs="Arial"/>
        </w:rPr>
        <w:t xml:space="preserve"> Postsecondary Status of CTE Completers Survey Template.</w:t>
      </w:r>
    </w:p>
    <w:p w14:paraId="49DA8290" w14:textId="45FD0BEC" w:rsidR="008D6B3D" w:rsidRPr="00DB6B17" w:rsidRDefault="008D6B3D" w:rsidP="00CE3317">
      <w:pPr>
        <w:spacing w:after="240"/>
        <w:rPr>
          <w:rFonts w:cs="Arial"/>
        </w:rPr>
      </w:pPr>
      <w:r w:rsidRPr="00DB6B17">
        <w:rPr>
          <w:rFonts w:cs="Arial"/>
          <w:b/>
        </w:rPr>
        <w:t xml:space="preserve">November 7, 2019: </w:t>
      </w:r>
      <w:r w:rsidRPr="00DB6B17">
        <w:rPr>
          <w:rFonts w:cs="Arial"/>
        </w:rPr>
        <w:t>The CWPJAC approved the Matrix of Metrics</w:t>
      </w:r>
      <w:r w:rsidR="00BB15CF" w:rsidRPr="00DB6B17">
        <w:rPr>
          <w:rFonts w:cs="Arial"/>
        </w:rPr>
        <w:t xml:space="preserve"> revisions</w:t>
      </w:r>
      <w:r w:rsidRPr="00DB6B17">
        <w:rPr>
          <w:rFonts w:cs="Arial"/>
        </w:rPr>
        <w:t xml:space="preserve">, </w:t>
      </w:r>
      <w:r w:rsidR="00BB15CF" w:rsidRPr="00DB6B17">
        <w:rPr>
          <w:rFonts w:cs="Arial"/>
        </w:rPr>
        <w:t xml:space="preserve">which incorporated </w:t>
      </w:r>
      <w:r w:rsidRPr="00DB6B17">
        <w:rPr>
          <w:rFonts w:cs="Arial"/>
        </w:rPr>
        <w:t xml:space="preserve">the </w:t>
      </w:r>
      <w:r w:rsidR="00121964" w:rsidRPr="00DB6B17">
        <w:rPr>
          <w:rFonts w:cs="Arial"/>
        </w:rPr>
        <w:t xml:space="preserve">requirements of </w:t>
      </w:r>
      <w:r w:rsidRPr="00DB6B17">
        <w:rPr>
          <w:rFonts w:cs="Arial"/>
        </w:rPr>
        <w:t>Perkins V language</w:t>
      </w:r>
      <w:r w:rsidR="00121964" w:rsidRPr="00DB6B17">
        <w:rPr>
          <w:rFonts w:cs="Arial"/>
        </w:rPr>
        <w:t>, known as</w:t>
      </w:r>
      <w:r w:rsidRPr="00DB6B17">
        <w:rPr>
          <w:rFonts w:cs="Arial"/>
        </w:rPr>
        <w:t xml:space="preserve"> the </w:t>
      </w:r>
      <w:r w:rsidR="0059735B" w:rsidRPr="00DB6B17">
        <w:rPr>
          <w:rFonts w:cs="Arial"/>
        </w:rPr>
        <w:t>F</w:t>
      </w:r>
      <w:r w:rsidR="00121964" w:rsidRPr="00DB6B17">
        <w:rPr>
          <w:rFonts w:cs="Arial"/>
        </w:rPr>
        <w:t xml:space="preserve">ederal </w:t>
      </w:r>
      <w:r w:rsidRPr="00DB6B17">
        <w:rPr>
          <w:rFonts w:cs="Arial"/>
        </w:rPr>
        <w:t>Strengthening Career and Technical Education for the 21</w:t>
      </w:r>
      <w:r w:rsidRPr="00DB6B17">
        <w:rPr>
          <w:rFonts w:cs="Arial"/>
          <w:vertAlign w:val="superscript"/>
        </w:rPr>
        <w:t>st</w:t>
      </w:r>
      <w:r w:rsidRPr="00DB6B17">
        <w:rPr>
          <w:rFonts w:cs="Arial"/>
        </w:rPr>
        <w:t xml:space="preserve"> Century Act.</w:t>
      </w:r>
    </w:p>
    <w:p w14:paraId="5ECFA946" w14:textId="60244A40" w:rsidR="008D6B3D" w:rsidRPr="00DB6B17" w:rsidRDefault="008D6B3D" w:rsidP="00CE3317">
      <w:pPr>
        <w:spacing w:after="240"/>
        <w:rPr>
          <w:rFonts w:cs="Arial"/>
        </w:rPr>
      </w:pPr>
      <w:r w:rsidRPr="00DB6B17">
        <w:rPr>
          <w:rFonts w:cs="Arial"/>
          <w:b/>
        </w:rPr>
        <w:t xml:space="preserve">October 11, 2019: </w:t>
      </w:r>
      <w:r w:rsidRPr="00DB6B17">
        <w:rPr>
          <w:rFonts w:cs="Arial"/>
        </w:rPr>
        <w:t xml:space="preserve">The CWPJAC </w:t>
      </w:r>
      <w:r w:rsidR="00BB15CF" w:rsidRPr="00DB6B17">
        <w:rPr>
          <w:rFonts w:cs="Arial"/>
        </w:rPr>
        <w:t>received</w:t>
      </w:r>
      <w:r w:rsidRPr="00DB6B17">
        <w:rPr>
          <w:rFonts w:cs="Arial"/>
        </w:rPr>
        <w:t xml:space="preserve"> an overview of the K–12 SWP metrics and the sources of information including an introduction to </w:t>
      </w:r>
      <w:r w:rsidR="00CA60A5" w:rsidRPr="00DB6B17">
        <w:rPr>
          <w:rFonts w:cs="Arial"/>
        </w:rPr>
        <w:t>the new K–12 SWP</w:t>
      </w:r>
      <w:r w:rsidRPr="00DB6B17">
        <w:rPr>
          <w:rFonts w:cs="Arial"/>
        </w:rPr>
        <w:t xml:space="preserve"> Dashboard</w:t>
      </w:r>
      <w:r w:rsidR="008C73C6" w:rsidRPr="00DB6B17">
        <w:rPr>
          <w:rFonts w:cs="Arial"/>
        </w:rPr>
        <w:t xml:space="preserve"> within the CCCCO</w:t>
      </w:r>
      <w:r w:rsidR="00121964" w:rsidRPr="00DB6B17">
        <w:rPr>
          <w:rFonts w:cs="Arial"/>
        </w:rPr>
        <w:t>’</w:t>
      </w:r>
      <w:r w:rsidR="008C73C6" w:rsidRPr="00DB6B17">
        <w:rPr>
          <w:rFonts w:cs="Arial"/>
        </w:rPr>
        <w:t>s Launchboard</w:t>
      </w:r>
      <w:r w:rsidRPr="00DB6B17">
        <w:rPr>
          <w:rFonts w:cs="Arial"/>
        </w:rPr>
        <w:t xml:space="preserve">. A memo </w:t>
      </w:r>
      <w:r w:rsidR="0059735B" w:rsidRPr="00DB6B17">
        <w:rPr>
          <w:rFonts w:cs="Arial"/>
        </w:rPr>
        <w:t xml:space="preserve">was </w:t>
      </w:r>
      <w:r w:rsidRPr="00DB6B17">
        <w:rPr>
          <w:rFonts w:cs="Arial"/>
        </w:rPr>
        <w:t>sent to the CWPJAC updating the source and methodology of data to be collected for the CTEIG.</w:t>
      </w:r>
    </w:p>
    <w:p w14:paraId="5F9DCFE6" w14:textId="45DD0806" w:rsidR="008D6B3D" w:rsidRPr="00DB6B17" w:rsidRDefault="008D6B3D" w:rsidP="00CE3317">
      <w:pPr>
        <w:spacing w:after="240"/>
        <w:rPr>
          <w:rFonts w:cs="Arial"/>
        </w:rPr>
      </w:pPr>
      <w:r w:rsidRPr="00DB6B17">
        <w:rPr>
          <w:rFonts w:cs="Arial"/>
          <w:b/>
        </w:rPr>
        <w:t xml:space="preserve">September 13, 2019: </w:t>
      </w:r>
      <w:r w:rsidRPr="00DB6B17">
        <w:rPr>
          <w:rFonts w:cs="Arial"/>
        </w:rPr>
        <w:t xml:space="preserve">The CWPJAC </w:t>
      </w:r>
      <w:r w:rsidR="00BB15CF" w:rsidRPr="00DB6B17">
        <w:rPr>
          <w:rFonts w:cs="Arial"/>
        </w:rPr>
        <w:t>reviewed</w:t>
      </w:r>
      <w:r w:rsidRPr="00DB6B17">
        <w:rPr>
          <w:rFonts w:cs="Arial"/>
        </w:rPr>
        <w:t xml:space="preserve"> the changes that were made to the </w:t>
      </w:r>
      <w:r w:rsidR="00D82C7B" w:rsidRPr="00DB6B17">
        <w:rPr>
          <w:rFonts w:cs="Arial"/>
        </w:rPr>
        <w:t xml:space="preserve">FY </w:t>
      </w:r>
      <w:r w:rsidRPr="00DB6B17">
        <w:rPr>
          <w:rFonts w:cs="Arial"/>
        </w:rPr>
        <w:t>2019–20 CTEIG application and an overview of the K–12 SWP and its objectives.</w:t>
      </w:r>
    </w:p>
    <w:p w14:paraId="443D92DB" w14:textId="24CB743E" w:rsidR="008D6B3D" w:rsidRPr="00DB6B17" w:rsidRDefault="008D6B3D" w:rsidP="00CE3317">
      <w:pPr>
        <w:spacing w:after="240"/>
        <w:rPr>
          <w:rFonts w:cs="Arial"/>
        </w:rPr>
      </w:pPr>
      <w:r w:rsidRPr="00DB6B17">
        <w:rPr>
          <w:rFonts w:cs="Arial"/>
          <w:b/>
        </w:rPr>
        <w:t xml:space="preserve">July 12, 2019: </w:t>
      </w:r>
      <w:r w:rsidRPr="00DB6B17">
        <w:rPr>
          <w:rFonts w:cs="Arial"/>
        </w:rPr>
        <w:t>The CWPJAC received information regarding the common planning, and objectives from the CTEIG and K–12 SWP teams</w:t>
      </w:r>
      <w:r w:rsidR="00BB15CF" w:rsidRPr="00DB6B17">
        <w:rPr>
          <w:rFonts w:cs="Arial"/>
        </w:rPr>
        <w:t>, including t</w:t>
      </w:r>
      <w:r w:rsidRPr="00DB6B17">
        <w:rPr>
          <w:rFonts w:cs="Arial"/>
        </w:rPr>
        <w:t>he first full set of data from the FY 2017–18 CTEIG</w:t>
      </w:r>
      <w:r w:rsidR="00BB15CF" w:rsidRPr="00DB6B17">
        <w:rPr>
          <w:rFonts w:cs="Arial"/>
        </w:rPr>
        <w:t>, and reviewed b</w:t>
      </w:r>
      <w:r w:rsidRPr="00DB6B17">
        <w:rPr>
          <w:rFonts w:cs="Arial"/>
        </w:rPr>
        <w:t>oth the CTEIG and K–12 SWP metrics.</w:t>
      </w:r>
    </w:p>
    <w:p w14:paraId="0937AF68" w14:textId="4761A4E1" w:rsidR="008D6B3D" w:rsidRPr="00DB6B17" w:rsidRDefault="008D6B3D" w:rsidP="00CE3317">
      <w:pPr>
        <w:spacing w:after="240"/>
        <w:rPr>
          <w:rFonts w:cs="Arial"/>
        </w:rPr>
      </w:pPr>
      <w:r w:rsidRPr="00DB6B17">
        <w:rPr>
          <w:rFonts w:cs="Arial"/>
          <w:b/>
        </w:rPr>
        <w:lastRenderedPageBreak/>
        <w:t>May 29, 2019:</w:t>
      </w:r>
      <w:r w:rsidRPr="00DB6B17">
        <w:rPr>
          <w:rFonts w:cs="Arial"/>
        </w:rPr>
        <w:t xml:space="preserve"> The CWPJAC received an update on the CTEIG and the K–12 SWP activities.</w:t>
      </w:r>
    </w:p>
    <w:p w14:paraId="3850E613" w14:textId="77777777" w:rsidR="008D6B3D" w:rsidRPr="00DB6B17" w:rsidRDefault="008D6B3D" w:rsidP="00CE3317">
      <w:pPr>
        <w:spacing w:after="240"/>
        <w:rPr>
          <w:rFonts w:cs="Arial"/>
        </w:rPr>
      </w:pPr>
      <w:r w:rsidRPr="00DB6B17">
        <w:rPr>
          <w:rFonts w:cs="Arial"/>
          <w:b/>
        </w:rPr>
        <w:t>February 19, 2019:</w:t>
      </w:r>
      <w:r w:rsidRPr="00DB6B17">
        <w:rPr>
          <w:rFonts w:cs="Arial"/>
        </w:rPr>
        <w:t xml:space="preserve"> The CWPJAC received an update on the CTEIG and the K–12 SWP, including a brief demonstration of the NOVA platform.</w:t>
      </w:r>
    </w:p>
    <w:p w14:paraId="129730B6" w14:textId="0E83EA1E" w:rsidR="008D6B3D" w:rsidRPr="00DB6B17" w:rsidRDefault="008D6B3D" w:rsidP="00CE3317">
      <w:pPr>
        <w:spacing w:after="240"/>
        <w:rPr>
          <w:rFonts w:cs="Arial"/>
        </w:rPr>
      </w:pPr>
      <w:r w:rsidRPr="00DB6B17">
        <w:rPr>
          <w:rFonts w:cs="Arial"/>
          <w:b/>
        </w:rPr>
        <w:t>January 11, 2019:</w:t>
      </w:r>
      <w:r w:rsidRPr="00DB6B17">
        <w:rPr>
          <w:rFonts w:cs="Arial"/>
        </w:rPr>
        <w:t xml:space="preserve"> The CWPJAC received an update on the CTEIG and the K–12 SWP, including information on the December 19, 2018</w:t>
      </w:r>
      <w:r w:rsidR="0003321E" w:rsidRPr="00DB6B17">
        <w:rPr>
          <w:rFonts w:cs="Arial"/>
        </w:rPr>
        <w:t>,</w:t>
      </w:r>
      <w:r w:rsidRPr="00DB6B17">
        <w:rPr>
          <w:rFonts w:cs="Arial"/>
        </w:rPr>
        <w:t xml:space="preserve"> release of the CTEIG</w:t>
      </w:r>
      <w:r w:rsidR="00D82C7B" w:rsidRPr="00DB6B17">
        <w:rPr>
          <w:rFonts w:cs="Arial"/>
        </w:rPr>
        <w:t xml:space="preserve"> </w:t>
      </w:r>
      <w:r w:rsidR="00736694" w:rsidRPr="00DB6B17">
        <w:rPr>
          <w:rFonts w:cs="Arial"/>
        </w:rPr>
        <w:t>RFA</w:t>
      </w:r>
      <w:r w:rsidRPr="00DB6B17">
        <w:rPr>
          <w:rFonts w:cs="Arial"/>
        </w:rPr>
        <w:t xml:space="preserve">, the development of the RFA for the K–12 SWP, and the regional information meetings held around the </w:t>
      </w:r>
      <w:r w:rsidR="00D82C7B" w:rsidRPr="00DB6B17">
        <w:rPr>
          <w:rFonts w:cs="Arial"/>
        </w:rPr>
        <w:t>s</w:t>
      </w:r>
      <w:r w:rsidRPr="00DB6B17">
        <w:rPr>
          <w:rFonts w:cs="Arial"/>
        </w:rPr>
        <w:t>tate.</w:t>
      </w:r>
    </w:p>
    <w:p w14:paraId="4D34665F" w14:textId="77777777" w:rsidR="008D6B3D" w:rsidRPr="00DB6B17" w:rsidRDefault="008D6B3D" w:rsidP="00CE3317">
      <w:pPr>
        <w:spacing w:after="240"/>
        <w:rPr>
          <w:rFonts w:cs="Arial"/>
        </w:rPr>
      </w:pPr>
      <w:r w:rsidRPr="00DB6B17">
        <w:rPr>
          <w:rFonts w:cs="Arial"/>
          <w:b/>
        </w:rPr>
        <w:t xml:space="preserve">December 14, 2018: </w:t>
      </w:r>
      <w:r w:rsidRPr="00DB6B17">
        <w:rPr>
          <w:rFonts w:cs="Arial"/>
        </w:rPr>
        <w:t>Final review and approval of the metric recommendations for both the CTEIG and the K–12 SWP was unanimously approved by the CWPJAC. Final recommendations were submitted to the Department of Finance for consideration and were reflected in the January 2019 budget proposal language.</w:t>
      </w:r>
    </w:p>
    <w:p w14:paraId="6E482373" w14:textId="29C928DE" w:rsidR="008D6B3D" w:rsidRPr="00DB6B17" w:rsidRDefault="008D6B3D" w:rsidP="00CE3317">
      <w:pPr>
        <w:spacing w:after="240"/>
        <w:rPr>
          <w:rFonts w:cs="Arial"/>
        </w:rPr>
      </w:pPr>
      <w:r w:rsidRPr="00DB6B17">
        <w:rPr>
          <w:rFonts w:cs="Arial"/>
          <w:b/>
        </w:rPr>
        <w:t>November 26, 2018:</w:t>
      </w:r>
      <w:r w:rsidRPr="00DB6B17">
        <w:rPr>
          <w:rFonts w:cs="Arial"/>
        </w:rPr>
        <w:t xml:space="preserve"> The CDE and CCCCO staff provided an in-depth review of proposed metrics, and their alignment to the CWPJAC</w:t>
      </w:r>
      <w:r w:rsidR="00AF0408" w:rsidRPr="00DB6B17">
        <w:rPr>
          <w:rFonts w:cs="Arial"/>
        </w:rPr>
        <w:t xml:space="preserve">’s </w:t>
      </w:r>
      <w:r w:rsidR="00AF0408" w:rsidRPr="00DB6B17">
        <w:rPr>
          <w:rFonts w:cs="Arial"/>
          <w:i/>
        </w:rPr>
        <w:t>Guiding Policy Principles</w:t>
      </w:r>
      <w:r w:rsidR="00AF0408" w:rsidRPr="00DB6B17">
        <w:rPr>
          <w:rFonts w:cs="Arial"/>
        </w:rPr>
        <w:t xml:space="preserve"> </w:t>
      </w:r>
      <w:r w:rsidRPr="00DB6B17">
        <w:rPr>
          <w:rFonts w:cs="Arial"/>
        </w:rPr>
        <w:t>document. Based on direction from the CWPJAC, the CDE and CCCCO staff revised the proposed metrics to operationalize the data, as well as provide information on the source of data collection.</w:t>
      </w:r>
    </w:p>
    <w:p w14:paraId="7029CDD3" w14:textId="5E88281F" w:rsidR="00AF0408" w:rsidRPr="00DB6B17" w:rsidRDefault="008D6B3D" w:rsidP="00CE3317">
      <w:pPr>
        <w:spacing w:after="240"/>
        <w:rPr>
          <w:rFonts w:cs="Arial"/>
          <w:b/>
        </w:rPr>
      </w:pPr>
      <w:r w:rsidRPr="00DB6B17">
        <w:rPr>
          <w:rFonts w:cs="Arial"/>
          <w:b/>
        </w:rPr>
        <w:t>September 28, 2018:</w:t>
      </w:r>
      <w:r w:rsidRPr="00DB6B17">
        <w:rPr>
          <w:rFonts w:cs="Arial"/>
        </w:rPr>
        <w:t xml:space="preserve"> The CDE and CCCCO staff jointly presented an initial overview of the CTEIG and the K–12 SWP metrics and received feedback, guidance</w:t>
      </w:r>
      <w:r w:rsidR="0003321E" w:rsidRPr="00DB6B17">
        <w:rPr>
          <w:rFonts w:cs="Arial"/>
        </w:rPr>
        <w:t>,</w:t>
      </w:r>
      <w:r w:rsidRPr="00DB6B17">
        <w:rPr>
          <w:rFonts w:cs="Arial"/>
        </w:rPr>
        <w:t xml:space="preserve"> and direction on appropriate metrics for measuring CTE program quality and student achievement in </w:t>
      </w:r>
      <w:r w:rsidR="0003321E" w:rsidRPr="00DB6B17">
        <w:rPr>
          <w:rFonts w:cs="Arial"/>
        </w:rPr>
        <w:t>kindergarten through grade fourteen (K–14)</w:t>
      </w:r>
      <w:r w:rsidRPr="00DB6B17">
        <w:rPr>
          <w:rFonts w:cs="Arial"/>
        </w:rPr>
        <w:t xml:space="preserve"> CTE programs.</w:t>
      </w:r>
    </w:p>
    <w:p w14:paraId="7DAF0409" w14:textId="395AEC58" w:rsidR="003E4DF7" w:rsidRPr="00DB6B17" w:rsidRDefault="003E4DF7" w:rsidP="003A0CCA">
      <w:pPr>
        <w:pStyle w:val="Heading2"/>
        <w:spacing w:before="480" w:after="240"/>
        <w:rPr>
          <w:rFonts w:cs="Arial"/>
          <w:sz w:val="36"/>
          <w:szCs w:val="36"/>
        </w:rPr>
      </w:pPr>
      <w:r w:rsidRPr="00DB6B17">
        <w:rPr>
          <w:rFonts w:cs="Arial"/>
          <w:sz w:val="36"/>
          <w:szCs w:val="36"/>
        </w:rPr>
        <w:t>Fiscal Analysis (as appropriate)</w:t>
      </w:r>
    </w:p>
    <w:p w14:paraId="3E3ABD40" w14:textId="02621F6F" w:rsidR="00C72AD1" w:rsidRPr="00DB6B17" w:rsidRDefault="00C72AD1" w:rsidP="00C72AD1">
      <w:pPr>
        <w:spacing w:after="240"/>
        <w:rPr>
          <w:rFonts w:cs="Arial"/>
          <w:b/>
        </w:rPr>
      </w:pPr>
      <w:r w:rsidRPr="00DB6B17">
        <w:rPr>
          <w:rFonts w:cs="Arial"/>
        </w:rPr>
        <w:t xml:space="preserve">Funding available to eligible recipients under the CTEIG </w:t>
      </w:r>
      <w:r w:rsidR="00A80653" w:rsidRPr="00DB6B17">
        <w:rPr>
          <w:rFonts w:cs="Arial"/>
        </w:rPr>
        <w:t>i</w:t>
      </w:r>
      <w:r w:rsidRPr="00DB6B17">
        <w:rPr>
          <w:rFonts w:cs="Arial"/>
        </w:rPr>
        <w:t xml:space="preserve">s $150 million </w:t>
      </w:r>
      <w:r w:rsidR="00AF0408" w:rsidRPr="00DB6B17">
        <w:rPr>
          <w:rFonts w:cs="Arial"/>
        </w:rPr>
        <w:t>for the program year (PY) 20</w:t>
      </w:r>
      <w:r w:rsidR="00B46F06" w:rsidRPr="00DB6B17">
        <w:rPr>
          <w:rFonts w:cs="Arial"/>
        </w:rPr>
        <w:t>20</w:t>
      </w:r>
      <w:r w:rsidR="00AF0408" w:rsidRPr="00DB6B17">
        <w:rPr>
          <w:rFonts w:cs="Arial"/>
        </w:rPr>
        <w:t>–2</w:t>
      </w:r>
      <w:r w:rsidR="00B46F06" w:rsidRPr="00DB6B17">
        <w:rPr>
          <w:rFonts w:cs="Arial"/>
        </w:rPr>
        <w:t>1</w:t>
      </w:r>
      <w:r w:rsidRPr="00DB6B17">
        <w:rPr>
          <w:rFonts w:cs="Arial"/>
        </w:rPr>
        <w:t>, and</w:t>
      </w:r>
      <w:r w:rsidR="00586F79" w:rsidRPr="00DB6B17">
        <w:rPr>
          <w:rFonts w:cs="Arial"/>
        </w:rPr>
        <w:t xml:space="preserve"> </w:t>
      </w:r>
      <w:r w:rsidR="00D25FCD" w:rsidRPr="00DB6B17">
        <w:rPr>
          <w:rFonts w:cs="Arial"/>
        </w:rPr>
        <w:t>f</w:t>
      </w:r>
      <w:r w:rsidRPr="00DB6B17">
        <w:rPr>
          <w:rFonts w:cs="Arial"/>
        </w:rPr>
        <w:t>unding available under the K–12 SWP</w:t>
      </w:r>
      <w:r w:rsidR="00A80653" w:rsidRPr="00DB6B17">
        <w:rPr>
          <w:rFonts w:cs="Arial"/>
        </w:rPr>
        <w:t xml:space="preserve"> i</w:t>
      </w:r>
      <w:r w:rsidRPr="00DB6B17">
        <w:rPr>
          <w:rFonts w:cs="Arial"/>
        </w:rPr>
        <w:t xml:space="preserve">s $150 million </w:t>
      </w:r>
      <w:r w:rsidR="00AF0408" w:rsidRPr="00DB6B17">
        <w:rPr>
          <w:rFonts w:cs="Arial"/>
        </w:rPr>
        <w:t>for PY 20</w:t>
      </w:r>
      <w:r w:rsidR="00B46F06" w:rsidRPr="00DB6B17">
        <w:rPr>
          <w:rFonts w:cs="Arial"/>
        </w:rPr>
        <w:t>20</w:t>
      </w:r>
      <w:r w:rsidR="00AF0408" w:rsidRPr="00DB6B17">
        <w:rPr>
          <w:rFonts w:cs="Arial"/>
        </w:rPr>
        <w:t>–2</w:t>
      </w:r>
      <w:r w:rsidR="00B46F06" w:rsidRPr="00DB6B17">
        <w:rPr>
          <w:rFonts w:cs="Arial"/>
        </w:rPr>
        <w:t>1</w:t>
      </w:r>
      <w:r w:rsidR="00D25FCD" w:rsidRPr="00DB6B17">
        <w:rPr>
          <w:rFonts w:cs="Arial"/>
        </w:rPr>
        <w:t xml:space="preserve"> for</w:t>
      </w:r>
      <w:r w:rsidRPr="00DB6B17">
        <w:rPr>
          <w:rFonts w:cs="Arial"/>
        </w:rPr>
        <w:t xml:space="preserve"> eligible recipients. </w:t>
      </w:r>
      <w:r w:rsidR="001C3DC0" w:rsidRPr="00DB6B17">
        <w:rPr>
          <w:rFonts w:cs="Arial"/>
        </w:rPr>
        <w:t>In addition,</w:t>
      </w:r>
      <w:r w:rsidRPr="00DB6B17">
        <w:rPr>
          <w:rFonts w:cs="Arial"/>
        </w:rPr>
        <w:t xml:space="preserve"> $1</w:t>
      </w:r>
      <w:r w:rsidR="00AD489B" w:rsidRPr="00DB6B17">
        <w:rPr>
          <w:rFonts w:cs="Arial"/>
        </w:rPr>
        <w:t>3.5</w:t>
      </w:r>
      <w:r w:rsidRPr="00DB6B17">
        <w:rPr>
          <w:rFonts w:cs="Arial"/>
        </w:rPr>
        <w:t xml:space="preserve"> million</w:t>
      </w:r>
      <w:r w:rsidR="00A14CA6" w:rsidRPr="00DB6B17">
        <w:rPr>
          <w:rFonts w:cs="Arial"/>
        </w:rPr>
        <w:t xml:space="preserve"> </w:t>
      </w:r>
      <w:r w:rsidR="00A80653" w:rsidRPr="00DB6B17">
        <w:rPr>
          <w:rFonts w:cs="Arial"/>
        </w:rPr>
        <w:t>i</w:t>
      </w:r>
      <w:r w:rsidR="00AF0408" w:rsidRPr="00DB6B17">
        <w:rPr>
          <w:rFonts w:cs="Arial"/>
        </w:rPr>
        <w:t>s</w:t>
      </w:r>
      <w:r w:rsidRPr="00DB6B17">
        <w:rPr>
          <w:rFonts w:cs="Arial"/>
        </w:rPr>
        <w:t xml:space="preserve"> </w:t>
      </w:r>
      <w:r w:rsidR="00EA0CEF" w:rsidRPr="00DB6B17">
        <w:rPr>
          <w:rFonts w:cs="Arial"/>
        </w:rPr>
        <w:t xml:space="preserve">provided </w:t>
      </w:r>
      <w:r w:rsidR="00B40246" w:rsidRPr="00DB6B17">
        <w:rPr>
          <w:rFonts w:cs="Arial"/>
        </w:rPr>
        <w:t xml:space="preserve">to support </w:t>
      </w:r>
      <w:r w:rsidR="002D7DA4" w:rsidRPr="00DB6B17">
        <w:rPr>
          <w:rFonts w:cs="Arial"/>
        </w:rPr>
        <w:t xml:space="preserve">eight </w:t>
      </w:r>
      <w:r w:rsidRPr="00DB6B17">
        <w:rPr>
          <w:rFonts w:cs="Arial"/>
        </w:rPr>
        <w:t xml:space="preserve">K–14 </w:t>
      </w:r>
      <w:r w:rsidR="00D82C7B" w:rsidRPr="00DB6B17">
        <w:rPr>
          <w:rFonts w:cs="Arial"/>
        </w:rPr>
        <w:t>Technical Assistance Providers</w:t>
      </w:r>
      <w:r w:rsidR="00B40246" w:rsidRPr="00DB6B17">
        <w:rPr>
          <w:rFonts w:cs="Arial"/>
        </w:rPr>
        <w:t xml:space="preserve"> and </w:t>
      </w:r>
      <w:r w:rsidR="002D7DA4" w:rsidRPr="00DB6B17">
        <w:rPr>
          <w:rFonts w:cs="Arial"/>
        </w:rPr>
        <w:t xml:space="preserve">72 </w:t>
      </w:r>
      <w:r w:rsidR="00B40246" w:rsidRPr="00DB6B17">
        <w:rPr>
          <w:rFonts w:cs="Arial"/>
        </w:rPr>
        <w:t xml:space="preserve">workforce </w:t>
      </w:r>
      <w:r w:rsidR="00121964" w:rsidRPr="00DB6B17">
        <w:rPr>
          <w:rFonts w:cs="Arial"/>
        </w:rPr>
        <w:t xml:space="preserve">pathway </w:t>
      </w:r>
      <w:r w:rsidR="00B40246" w:rsidRPr="00DB6B17">
        <w:rPr>
          <w:rFonts w:cs="Arial"/>
        </w:rPr>
        <w:t>coordinators</w:t>
      </w:r>
      <w:r w:rsidRPr="00DB6B17">
        <w:rPr>
          <w:rFonts w:cs="Arial"/>
        </w:rPr>
        <w:t xml:space="preserve"> </w:t>
      </w:r>
      <w:r w:rsidR="00B40246" w:rsidRPr="00DB6B17">
        <w:rPr>
          <w:rFonts w:cs="Arial"/>
        </w:rPr>
        <w:t>for</w:t>
      </w:r>
      <w:r w:rsidRPr="00DB6B17">
        <w:rPr>
          <w:rFonts w:cs="Arial"/>
        </w:rPr>
        <w:t xml:space="preserve"> both CTEIG and K–12 SWP initiatives.</w:t>
      </w:r>
    </w:p>
    <w:p w14:paraId="6E7B18BD" w14:textId="5AD2FE1F" w:rsidR="00406F50" w:rsidRPr="00DB6B17" w:rsidRDefault="00406F50" w:rsidP="003A0CCA">
      <w:pPr>
        <w:pStyle w:val="Heading2"/>
        <w:spacing w:before="480" w:after="240"/>
        <w:rPr>
          <w:rFonts w:cs="Arial"/>
          <w:sz w:val="36"/>
          <w:szCs w:val="36"/>
        </w:rPr>
      </w:pPr>
      <w:r w:rsidRPr="00DB6B17">
        <w:rPr>
          <w:rFonts w:cs="Arial"/>
          <w:sz w:val="36"/>
          <w:szCs w:val="36"/>
        </w:rPr>
        <w:t>Attachment(s)</w:t>
      </w:r>
    </w:p>
    <w:p w14:paraId="048E1267" w14:textId="62C50040" w:rsidR="0064744D" w:rsidRPr="00DB6B17" w:rsidRDefault="00D742D3" w:rsidP="00CE3317">
      <w:pPr>
        <w:spacing w:after="240"/>
        <w:rPr>
          <w:rFonts w:cs="Arial"/>
        </w:rPr>
      </w:pPr>
      <w:r w:rsidRPr="00DB6B17">
        <w:rPr>
          <w:rFonts w:cs="Arial"/>
          <w:b/>
        </w:rPr>
        <w:t>Attachment 1:</w:t>
      </w:r>
      <w:r w:rsidRPr="00DB6B17">
        <w:rPr>
          <w:rFonts w:cs="Arial"/>
        </w:rPr>
        <w:t xml:space="preserve"> </w:t>
      </w:r>
      <w:r w:rsidR="00553ABA" w:rsidRPr="00DB6B17">
        <w:t>Career Technical Education Incentive Grant and Kindergarten Through Grade Twelve Strong Workforce Program Data Reports</w:t>
      </w:r>
      <w:r w:rsidR="00553ABA" w:rsidRPr="00DB6B17">
        <w:rPr>
          <w:rFonts w:cs="Arial"/>
        </w:rPr>
        <w:t xml:space="preserve"> </w:t>
      </w:r>
      <w:r w:rsidR="00AF0408" w:rsidRPr="00DB6B17">
        <w:rPr>
          <w:rFonts w:cs="Arial"/>
        </w:rPr>
        <w:t>(</w:t>
      </w:r>
      <w:r w:rsidR="00553ABA" w:rsidRPr="00DB6B17">
        <w:rPr>
          <w:rFonts w:cs="Arial"/>
        </w:rPr>
        <w:t>13</w:t>
      </w:r>
      <w:r w:rsidR="00AF0408" w:rsidRPr="00DB6B17">
        <w:rPr>
          <w:rFonts w:cs="Arial"/>
        </w:rPr>
        <w:t xml:space="preserve"> pages)</w:t>
      </w:r>
    </w:p>
    <w:p w14:paraId="18BE1D75" w14:textId="136637D9" w:rsidR="007D56F0" w:rsidRPr="00DB6B17" w:rsidRDefault="007D56F0" w:rsidP="00CE3317">
      <w:pPr>
        <w:spacing w:after="240"/>
        <w:rPr>
          <w:rFonts w:cs="Arial"/>
        </w:rPr>
      </w:pPr>
      <w:r w:rsidRPr="00DB6B17">
        <w:rPr>
          <w:rFonts w:cs="Arial"/>
          <w:b/>
        </w:rPr>
        <w:t>Attachment 2:</w:t>
      </w:r>
      <w:r w:rsidRPr="00DB6B17">
        <w:rPr>
          <w:rFonts w:cs="Arial"/>
        </w:rPr>
        <w:t xml:space="preserve"> </w:t>
      </w:r>
      <w:r w:rsidR="00553ABA" w:rsidRPr="00DB6B17">
        <w:rPr>
          <w:rFonts w:cs="Arial"/>
        </w:rPr>
        <w:t xml:space="preserve">2018–19 Career Technical Education Postsecondary Status of Career Technical Education Completer Survey Template </w:t>
      </w:r>
      <w:r w:rsidRPr="00DB6B17">
        <w:rPr>
          <w:rFonts w:cs="Arial"/>
        </w:rPr>
        <w:t>(</w:t>
      </w:r>
      <w:r w:rsidR="00553ABA" w:rsidRPr="00DB6B17">
        <w:rPr>
          <w:rFonts w:cs="Arial"/>
        </w:rPr>
        <w:t>4</w:t>
      </w:r>
      <w:r w:rsidRPr="00DB6B17">
        <w:rPr>
          <w:rFonts w:cs="Arial"/>
        </w:rPr>
        <w:t xml:space="preserve"> pages)</w:t>
      </w:r>
    </w:p>
    <w:p w14:paraId="4D7D2BCB" w14:textId="4D9C3A79" w:rsidR="007D56F0" w:rsidRPr="00A406EA" w:rsidRDefault="007D56F0" w:rsidP="00CE3317">
      <w:pPr>
        <w:spacing w:after="240"/>
        <w:rPr>
          <w:rFonts w:cs="Arial"/>
        </w:rPr>
      </w:pPr>
      <w:r w:rsidRPr="00DB6B17">
        <w:rPr>
          <w:rFonts w:cs="Arial"/>
          <w:b/>
        </w:rPr>
        <w:t>Attachment 3:</w:t>
      </w:r>
      <w:r w:rsidRPr="00DB6B17">
        <w:rPr>
          <w:rFonts w:cs="Arial"/>
        </w:rPr>
        <w:t xml:space="preserve"> </w:t>
      </w:r>
      <w:r w:rsidR="00094714" w:rsidRPr="00DB6B17">
        <w:rPr>
          <w:rFonts w:cs="Arial"/>
        </w:rPr>
        <w:t>California Workforce Pathways Joint Advisory Committee Metric Recommendations</w:t>
      </w:r>
      <w:r w:rsidRPr="00DB6B17">
        <w:rPr>
          <w:rFonts w:cs="Arial"/>
        </w:rPr>
        <w:t xml:space="preserve"> (</w:t>
      </w:r>
      <w:r w:rsidR="00DB6B17">
        <w:rPr>
          <w:rFonts w:cs="Arial"/>
        </w:rPr>
        <w:t>36</w:t>
      </w:r>
      <w:r w:rsidRPr="00DB6B17">
        <w:rPr>
          <w:rFonts w:cs="Arial"/>
        </w:rPr>
        <w:t xml:space="preserve"> pages)</w:t>
      </w:r>
    </w:p>
    <w:sectPr w:rsidR="007D56F0" w:rsidRPr="00A406EA" w:rsidSect="003A0CCA">
      <w:headerReference w:type="default" r:id="rId17"/>
      <w:headerReference w:type="first" r:id="rId1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97C97" w14:textId="77777777" w:rsidR="007E70FE" w:rsidRDefault="007E70FE" w:rsidP="000E09DC">
      <w:r>
        <w:separator/>
      </w:r>
    </w:p>
  </w:endnote>
  <w:endnote w:type="continuationSeparator" w:id="0">
    <w:p w14:paraId="6F73E0E2" w14:textId="77777777" w:rsidR="007E70FE" w:rsidRDefault="007E70FE"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364C6" w14:textId="77777777" w:rsidR="007E70FE" w:rsidRDefault="007E70FE" w:rsidP="000E09DC">
      <w:r>
        <w:separator/>
      </w:r>
    </w:p>
  </w:footnote>
  <w:footnote w:type="continuationSeparator" w:id="0">
    <w:p w14:paraId="45F242E3" w14:textId="77777777" w:rsidR="007E70FE" w:rsidRDefault="007E70FE"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41B9" w14:textId="4A70EC6B" w:rsidR="00D7489A" w:rsidRDefault="00D7489A" w:rsidP="0041680C">
    <w:pPr>
      <w:pStyle w:val="Header"/>
      <w:jc w:val="right"/>
      <w:rPr>
        <w:rFonts w:cs="Arial"/>
      </w:rPr>
    </w:pPr>
    <w:r>
      <w:rPr>
        <w:rFonts w:cs="Arial"/>
      </w:rPr>
      <w:t>cwpjac-sept25item02</w:t>
    </w:r>
  </w:p>
  <w:p w14:paraId="1A29E953" w14:textId="23A14583" w:rsidR="00D7489A" w:rsidRDefault="00D7489A" w:rsidP="00AF0408">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9A79" w14:textId="77777777" w:rsidR="00D7489A" w:rsidRDefault="00D7489A" w:rsidP="003A0CCA">
    <w:pPr>
      <w:pStyle w:val="Header"/>
      <w:jc w:val="right"/>
      <w:rPr>
        <w:rFonts w:cs="Arial"/>
      </w:rPr>
    </w:pPr>
    <w:r>
      <w:rPr>
        <w:rFonts w:cs="Arial"/>
      </w:rPr>
      <w:t>California Workforce Pathways Joint Advisory Committee</w:t>
    </w:r>
  </w:p>
  <w:p w14:paraId="013ADB5E" w14:textId="6FD1FCB6" w:rsidR="00D7489A" w:rsidRPr="00AA6EC1" w:rsidRDefault="00D7489A" w:rsidP="003A0CCA">
    <w:pPr>
      <w:pStyle w:val="Header"/>
      <w:jc w:val="right"/>
      <w:rPr>
        <w:rFonts w:cs="Arial"/>
      </w:rPr>
    </w:pPr>
    <w:r>
      <w:rPr>
        <w:rFonts w:cs="Arial"/>
      </w:rPr>
      <w:t>cwpjac-sept25item02</w:t>
    </w:r>
  </w:p>
  <w:p w14:paraId="49FE5C98" w14:textId="2D27F1BE" w:rsidR="00D7489A" w:rsidRDefault="00D7489A"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98236663">
    <w:abstractNumId w:val="8"/>
  </w:num>
  <w:num w:numId="2" w16cid:durableId="1757362550">
    <w:abstractNumId w:val="13"/>
  </w:num>
  <w:num w:numId="3" w16cid:durableId="8261513">
    <w:abstractNumId w:val="5"/>
  </w:num>
  <w:num w:numId="4" w16cid:durableId="1062407978">
    <w:abstractNumId w:val="11"/>
  </w:num>
  <w:num w:numId="5" w16cid:durableId="779180118">
    <w:abstractNumId w:val="12"/>
  </w:num>
  <w:num w:numId="6" w16cid:durableId="1234005467">
    <w:abstractNumId w:val="0"/>
  </w:num>
  <w:num w:numId="7" w16cid:durableId="1051687012">
    <w:abstractNumId w:val="7"/>
  </w:num>
  <w:num w:numId="8" w16cid:durableId="1008210762">
    <w:abstractNumId w:val="1"/>
  </w:num>
  <w:num w:numId="9" w16cid:durableId="789281762">
    <w:abstractNumId w:val="14"/>
  </w:num>
  <w:num w:numId="10" w16cid:durableId="2028406117">
    <w:abstractNumId w:val="15"/>
  </w:num>
  <w:num w:numId="11" w16cid:durableId="658652214">
    <w:abstractNumId w:val="4"/>
  </w:num>
  <w:num w:numId="12" w16cid:durableId="139199304">
    <w:abstractNumId w:val="3"/>
  </w:num>
  <w:num w:numId="13" w16cid:durableId="1925531082">
    <w:abstractNumId w:val="2"/>
  </w:num>
  <w:num w:numId="14" w16cid:durableId="969241207">
    <w:abstractNumId w:val="9"/>
  </w:num>
  <w:num w:numId="15" w16cid:durableId="955405259">
    <w:abstractNumId w:val="6"/>
  </w:num>
  <w:num w:numId="16" w16cid:durableId="1488856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20B59"/>
    <w:rsid w:val="0002235C"/>
    <w:rsid w:val="000324AD"/>
    <w:rsid w:val="0003321E"/>
    <w:rsid w:val="000334CD"/>
    <w:rsid w:val="000401C9"/>
    <w:rsid w:val="00046EE9"/>
    <w:rsid w:val="000621AF"/>
    <w:rsid w:val="00062765"/>
    <w:rsid w:val="00062D3F"/>
    <w:rsid w:val="00063275"/>
    <w:rsid w:val="00067290"/>
    <w:rsid w:val="000705EA"/>
    <w:rsid w:val="00073372"/>
    <w:rsid w:val="00093BF4"/>
    <w:rsid w:val="00094714"/>
    <w:rsid w:val="00097B08"/>
    <w:rsid w:val="000A2787"/>
    <w:rsid w:val="000A746C"/>
    <w:rsid w:val="000B1226"/>
    <w:rsid w:val="000C1D49"/>
    <w:rsid w:val="000C3068"/>
    <w:rsid w:val="000C63B6"/>
    <w:rsid w:val="000C6E48"/>
    <w:rsid w:val="000D35C8"/>
    <w:rsid w:val="000E09DC"/>
    <w:rsid w:val="000E57F5"/>
    <w:rsid w:val="000F03CE"/>
    <w:rsid w:val="000F225D"/>
    <w:rsid w:val="000F3DCA"/>
    <w:rsid w:val="000F4F6F"/>
    <w:rsid w:val="00101CBB"/>
    <w:rsid w:val="001048F3"/>
    <w:rsid w:val="00106AFB"/>
    <w:rsid w:val="00112E7B"/>
    <w:rsid w:val="00115A04"/>
    <w:rsid w:val="00121964"/>
    <w:rsid w:val="00130059"/>
    <w:rsid w:val="001329B0"/>
    <w:rsid w:val="00137F11"/>
    <w:rsid w:val="00140E69"/>
    <w:rsid w:val="0014120C"/>
    <w:rsid w:val="00141C23"/>
    <w:rsid w:val="00144DF4"/>
    <w:rsid w:val="00157690"/>
    <w:rsid w:val="00167E35"/>
    <w:rsid w:val="001721C9"/>
    <w:rsid w:val="00172323"/>
    <w:rsid w:val="0017400C"/>
    <w:rsid w:val="00180C36"/>
    <w:rsid w:val="0018148D"/>
    <w:rsid w:val="001814FC"/>
    <w:rsid w:val="001825ED"/>
    <w:rsid w:val="00194775"/>
    <w:rsid w:val="00194D47"/>
    <w:rsid w:val="00195E52"/>
    <w:rsid w:val="001A0CA5"/>
    <w:rsid w:val="001A12B0"/>
    <w:rsid w:val="001B0EF5"/>
    <w:rsid w:val="001B3958"/>
    <w:rsid w:val="001B67DD"/>
    <w:rsid w:val="001C280A"/>
    <w:rsid w:val="001C3DC0"/>
    <w:rsid w:val="001C4C02"/>
    <w:rsid w:val="001C4D24"/>
    <w:rsid w:val="001D138A"/>
    <w:rsid w:val="001E01E9"/>
    <w:rsid w:val="001E1929"/>
    <w:rsid w:val="001F3D3F"/>
    <w:rsid w:val="00210872"/>
    <w:rsid w:val="00212525"/>
    <w:rsid w:val="00217419"/>
    <w:rsid w:val="00217FC3"/>
    <w:rsid w:val="0022016E"/>
    <w:rsid w:val="002204BB"/>
    <w:rsid w:val="00223112"/>
    <w:rsid w:val="00227FDF"/>
    <w:rsid w:val="00231862"/>
    <w:rsid w:val="0023256F"/>
    <w:rsid w:val="00240B26"/>
    <w:rsid w:val="00243C5F"/>
    <w:rsid w:val="00246406"/>
    <w:rsid w:val="0025363B"/>
    <w:rsid w:val="00267499"/>
    <w:rsid w:val="002717C0"/>
    <w:rsid w:val="002722A8"/>
    <w:rsid w:val="00285BBA"/>
    <w:rsid w:val="002867FD"/>
    <w:rsid w:val="00290E57"/>
    <w:rsid w:val="00293EAB"/>
    <w:rsid w:val="00294379"/>
    <w:rsid w:val="002A0728"/>
    <w:rsid w:val="002A7086"/>
    <w:rsid w:val="002B0B00"/>
    <w:rsid w:val="002B4B14"/>
    <w:rsid w:val="002C5BE9"/>
    <w:rsid w:val="002C68E1"/>
    <w:rsid w:val="002C7F6C"/>
    <w:rsid w:val="002D13AD"/>
    <w:rsid w:val="002D1A82"/>
    <w:rsid w:val="002D7DA4"/>
    <w:rsid w:val="002E0B94"/>
    <w:rsid w:val="002E1B69"/>
    <w:rsid w:val="002E30CC"/>
    <w:rsid w:val="002E4CB5"/>
    <w:rsid w:val="002E6FCA"/>
    <w:rsid w:val="002F1DAE"/>
    <w:rsid w:val="002F279B"/>
    <w:rsid w:val="002F3981"/>
    <w:rsid w:val="00304C3F"/>
    <w:rsid w:val="00311776"/>
    <w:rsid w:val="00315131"/>
    <w:rsid w:val="00325F59"/>
    <w:rsid w:val="00330624"/>
    <w:rsid w:val="00337F11"/>
    <w:rsid w:val="00341CE3"/>
    <w:rsid w:val="00343E81"/>
    <w:rsid w:val="00346E58"/>
    <w:rsid w:val="00347FBF"/>
    <w:rsid w:val="00363520"/>
    <w:rsid w:val="0036578A"/>
    <w:rsid w:val="003705FC"/>
    <w:rsid w:val="00375413"/>
    <w:rsid w:val="00382CE5"/>
    <w:rsid w:val="00383A23"/>
    <w:rsid w:val="00384ACF"/>
    <w:rsid w:val="00384B74"/>
    <w:rsid w:val="00386C2E"/>
    <w:rsid w:val="003942E6"/>
    <w:rsid w:val="0039556E"/>
    <w:rsid w:val="00396705"/>
    <w:rsid w:val="003A0CCA"/>
    <w:rsid w:val="003A6A84"/>
    <w:rsid w:val="003A74FC"/>
    <w:rsid w:val="003B37A0"/>
    <w:rsid w:val="003B4154"/>
    <w:rsid w:val="003B6254"/>
    <w:rsid w:val="003C2049"/>
    <w:rsid w:val="003D1ECD"/>
    <w:rsid w:val="003E0AFD"/>
    <w:rsid w:val="003E1E8D"/>
    <w:rsid w:val="003E4DF7"/>
    <w:rsid w:val="003E7EEC"/>
    <w:rsid w:val="003F2DB6"/>
    <w:rsid w:val="003F4814"/>
    <w:rsid w:val="003F7CD4"/>
    <w:rsid w:val="0040468B"/>
    <w:rsid w:val="00406DAD"/>
    <w:rsid w:val="00406F50"/>
    <w:rsid w:val="00407E9B"/>
    <w:rsid w:val="0041680C"/>
    <w:rsid w:val="004203BC"/>
    <w:rsid w:val="004207DC"/>
    <w:rsid w:val="00430B32"/>
    <w:rsid w:val="004325CA"/>
    <w:rsid w:val="00432E90"/>
    <w:rsid w:val="00434ED0"/>
    <w:rsid w:val="004354F4"/>
    <w:rsid w:val="00444B95"/>
    <w:rsid w:val="0044670C"/>
    <w:rsid w:val="00454BB1"/>
    <w:rsid w:val="004723B4"/>
    <w:rsid w:val="004752B9"/>
    <w:rsid w:val="0047534A"/>
    <w:rsid w:val="00476DBD"/>
    <w:rsid w:val="00480344"/>
    <w:rsid w:val="0048041C"/>
    <w:rsid w:val="00480F96"/>
    <w:rsid w:val="00481A2E"/>
    <w:rsid w:val="00482D01"/>
    <w:rsid w:val="00483165"/>
    <w:rsid w:val="00485CD3"/>
    <w:rsid w:val="00496759"/>
    <w:rsid w:val="004A3A16"/>
    <w:rsid w:val="004A3BD0"/>
    <w:rsid w:val="004A76DC"/>
    <w:rsid w:val="004B376F"/>
    <w:rsid w:val="004C301B"/>
    <w:rsid w:val="004C57F7"/>
    <w:rsid w:val="004D2954"/>
    <w:rsid w:val="004D2A97"/>
    <w:rsid w:val="004D46CB"/>
    <w:rsid w:val="004E029B"/>
    <w:rsid w:val="004E74CA"/>
    <w:rsid w:val="004F1080"/>
    <w:rsid w:val="004F2C82"/>
    <w:rsid w:val="004F7AB4"/>
    <w:rsid w:val="00501703"/>
    <w:rsid w:val="00502181"/>
    <w:rsid w:val="00510FED"/>
    <w:rsid w:val="00512CAA"/>
    <w:rsid w:val="00512D98"/>
    <w:rsid w:val="00516B6E"/>
    <w:rsid w:val="00516F52"/>
    <w:rsid w:val="00517C00"/>
    <w:rsid w:val="00517C64"/>
    <w:rsid w:val="00525296"/>
    <w:rsid w:val="00526679"/>
    <w:rsid w:val="00527B0E"/>
    <w:rsid w:val="005466A4"/>
    <w:rsid w:val="00550B91"/>
    <w:rsid w:val="005531EC"/>
    <w:rsid w:val="00553ABA"/>
    <w:rsid w:val="00555C92"/>
    <w:rsid w:val="00555CC5"/>
    <w:rsid w:val="0056668F"/>
    <w:rsid w:val="005705A5"/>
    <w:rsid w:val="005727BD"/>
    <w:rsid w:val="0057351F"/>
    <w:rsid w:val="005859C2"/>
    <w:rsid w:val="00585CC0"/>
    <w:rsid w:val="00586F79"/>
    <w:rsid w:val="0059735B"/>
    <w:rsid w:val="005A776D"/>
    <w:rsid w:val="005B4A8A"/>
    <w:rsid w:val="005B5FF9"/>
    <w:rsid w:val="005B7B1C"/>
    <w:rsid w:val="005C04D5"/>
    <w:rsid w:val="005C407C"/>
    <w:rsid w:val="005C4645"/>
    <w:rsid w:val="005D2A3B"/>
    <w:rsid w:val="005D3564"/>
    <w:rsid w:val="005E7340"/>
    <w:rsid w:val="005F590E"/>
    <w:rsid w:val="005F7611"/>
    <w:rsid w:val="00600842"/>
    <w:rsid w:val="006034C8"/>
    <w:rsid w:val="00604843"/>
    <w:rsid w:val="0062025C"/>
    <w:rsid w:val="00627626"/>
    <w:rsid w:val="00633411"/>
    <w:rsid w:val="0063446F"/>
    <w:rsid w:val="00641BC4"/>
    <w:rsid w:val="0064744D"/>
    <w:rsid w:val="00653359"/>
    <w:rsid w:val="006553BA"/>
    <w:rsid w:val="006560B3"/>
    <w:rsid w:val="00657100"/>
    <w:rsid w:val="0067247F"/>
    <w:rsid w:val="00677419"/>
    <w:rsid w:val="0068567F"/>
    <w:rsid w:val="00692300"/>
    <w:rsid w:val="00693094"/>
    <w:rsid w:val="00693951"/>
    <w:rsid w:val="00696B59"/>
    <w:rsid w:val="006A4E4D"/>
    <w:rsid w:val="006A5099"/>
    <w:rsid w:val="006B185B"/>
    <w:rsid w:val="006B2111"/>
    <w:rsid w:val="006B324B"/>
    <w:rsid w:val="006B42A6"/>
    <w:rsid w:val="006C6310"/>
    <w:rsid w:val="006D0223"/>
    <w:rsid w:val="006D1CEF"/>
    <w:rsid w:val="006D3B36"/>
    <w:rsid w:val="006D70A4"/>
    <w:rsid w:val="006E06C6"/>
    <w:rsid w:val="006E0F99"/>
    <w:rsid w:val="006E302A"/>
    <w:rsid w:val="006E34B8"/>
    <w:rsid w:val="006E3F2A"/>
    <w:rsid w:val="006E7481"/>
    <w:rsid w:val="006E79FF"/>
    <w:rsid w:val="006F05A3"/>
    <w:rsid w:val="006F1584"/>
    <w:rsid w:val="006F1B7F"/>
    <w:rsid w:val="006F58C8"/>
    <w:rsid w:val="00700F50"/>
    <w:rsid w:val="0070334E"/>
    <w:rsid w:val="007051E8"/>
    <w:rsid w:val="007127CF"/>
    <w:rsid w:val="007129A9"/>
    <w:rsid w:val="00716F41"/>
    <w:rsid w:val="00722AFA"/>
    <w:rsid w:val="00726EDA"/>
    <w:rsid w:val="007313A3"/>
    <w:rsid w:val="007362A5"/>
    <w:rsid w:val="00736694"/>
    <w:rsid w:val="00740ABA"/>
    <w:rsid w:val="007428B8"/>
    <w:rsid w:val="00746164"/>
    <w:rsid w:val="00754D9E"/>
    <w:rsid w:val="0075603A"/>
    <w:rsid w:val="00760008"/>
    <w:rsid w:val="00760937"/>
    <w:rsid w:val="0076439B"/>
    <w:rsid w:val="00774050"/>
    <w:rsid w:val="00780BB6"/>
    <w:rsid w:val="00780D78"/>
    <w:rsid w:val="007866CC"/>
    <w:rsid w:val="0078733C"/>
    <w:rsid w:val="00790810"/>
    <w:rsid w:val="00793FD2"/>
    <w:rsid w:val="0079698A"/>
    <w:rsid w:val="007A1FCC"/>
    <w:rsid w:val="007A7A5E"/>
    <w:rsid w:val="007B0102"/>
    <w:rsid w:val="007B12FA"/>
    <w:rsid w:val="007B19E0"/>
    <w:rsid w:val="007C3AA1"/>
    <w:rsid w:val="007C5697"/>
    <w:rsid w:val="007C62BA"/>
    <w:rsid w:val="007C6663"/>
    <w:rsid w:val="007C6888"/>
    <w:rsid w:val="007D11B5"/>
    <w:rsid w:val="007D56F0"/>
    <w:rsid w:val="007D6A8F"/>
    <w:rsid w:val="007E0E9B"/>
    <w:rsid w:val="007E27C6"/>
    <w:rsid w:val="007E6653"/>
    <w:rsid w:val="007E70FE"/>
    <w:rsid w:val="007E7B65"/>
    <w:rsid w:val="007F390B"/>
    <w:rsid w:val="007F3A41"/>
    <w:rsid w:val="007F419D"/>
    <w:rsid w:val="0081409D"/>
    <w:rsid w:val="008165D1"/>
    <w:rsid w:val="0082774A"/>
    <w:rsid w:val="00827F39"/>
    <w:rsid w:val="008301CE"/>
    <w:rsid w:val="008418C7"/>
    <w:rsid w:val="008634E7"/>
    <w:rsid w:val="008657B5"/>
    <w:rsid w:val="00867693"/>
    <w:rsid w:val="0087214B"/>
    <w:rsid w:val="008763AC"/>
    <w:rsid w:val="00886D61"/>
    <w:rsid w:val="008903CD"/>
    <w:rsid w:val="008909EE"/>
    <w:rsid w:val="00893768"/>
    <w:rsid w:val="00894388"/>
    <w:rsid w:val="008946E7"/>
    <w:rsid w:val="008A069A"/>
    <w:rsid w:val="008A1535"/>
    <w:rsid w:val="008B34B7"/>
    <w:rsid w:val="008B355F"/>
    <w:rsid w:val="008C0560"/>
    <w:rsid w:val="008C5CCD"/>
    <w:rsid w:val="008C73C6"/>
    <w:rsid w:val="008C7D65"/>
    <w:rsid w:val="008D4CE5"/>
    <w:rsid w:val="008D6B3D"/>
    <w:rsid w:val="008E71B8"/>
    <w:rsid w:val="00904EA8"/>
    <w:rsid w:val="0091117B"/>
    <w:rsid w:val="0093189D"/>
    <w:rsid w:val="00932AEE"/>
    <w:rsid w:val="009347A8"/>
    <w:rsid w:val="00935E33"/>
    <w:rsid w:val="00940D4F"/>
    <w:rsid w:val="00943AED"/>
    <w:rsid w:val="0094755F"/>
    <w:rsid w:val="009533BA"/>
    <w:rsid w:val="00964C6B"/>
    <w:rsid w:val="00966F4D"/>
    <w:rsid w:val="00967C05"/>
    <w:rsid w:val="00970D21"/>
    <w:rsid w:val="00970FB0"/>
    <w:rsid w:val="009757CE"/>
    <w:rsid w:val="00980EB5"/>
    <w:rsid w:val="00992087"/>
    <w:rsid w:val="009923C9"/>
    <w:rsid w:val="009933A3"/>
    <w:rsid w:val="009A30B4"/>
    <w:rsid w:val="009A32D9"/>
    <w:rsid w:val="009B02E6"/>
    <w:rsid w:val="009B04E1"/>
    <w:rsid w:val="009B1108"/>
    <w:rsid w:val="009B1D61"/>
    <w:rsid w:val="009B422C"/>
    <w:rsid w:val="009B43B3"/>
    <w:rsid w:val="009C33AF"/>
    <w:rsid w:val="009C55C9"/>
    <w:rsid w:val="009D5028"/>
    <w:rsid w:val="009D59D9"/>
    <w:rsid w:val="009D652E"/>
    <w:rsid w:val="009E0AF8"/>
    <w:rsid w:val="009E0F94"/>
    <w:rsid w:val="00A07F42"/>
    <w:rsid w:val="00A148D8"/>
    <w:rsid w:val="00A14CA6"/>
    <w:rsid w:val="00A16315"/>
    <w:rsid w:val="00A307EC"/>
    <w:rsid w:val="00A30B3C"/>
    <w:rsid w:val="00A406EA"/>
    <w:rsid w:val="00A41DA3"/>
    <w:rsid w:val="00A44021"/>
    <w:rsid w:val="00A44D83"/>
    <w:rsid w:val="00A55A35"/>
    <w:rsid w:val="00A60996"/>
    <w:rsid w:val="00A738D2"/>
    <w:rsid w:val="00A77C5F"/>
    <w:rsid w:val="00A80653"/>
    <w:rsid w:val="00A80D3C"/>
    <w:rsid w:val="00A83645"/>
    <w:rsid w:val="00A87356"/>
    <w:rsid w:val="00A908B6"/>
    <w:rsid w:val="00A910A6"/>
    <w:rsid w:val="00A95AC7"/>
    <w:rsid w:val="00A96C70"/>
    <w:rsid w:val="00A970C5"/>
    <w:rsid w:val="00AA018F"/>
    <w:rsid w:val="00AB3E61"/>
    <w:rsid w:val="00AB6497"/>
    <w:rsid w:val="00AC1C8D"/>
    <w:rsid w:val="00AD1BF8"/>
    <w:rsid w:val="00AD1E5E"/>
    <w:rsid w:val="00AD489B"/>
    <w:rsid w:val="00AE58A9"/>
    <w:rsid w:val="00AE5D9B"/>
    <w:rsid w:val="00AE6BBC"/>
    <w:rsid w:val="00AE7553"/>
    <w:rsid w:val="00AF0408"/>
    <w:rsid w:val="00AF7183"/>
    <w:rsid w:val="00AF7C84"/>
    <w:rsid w:val="00B00D73"/>
    <w:rsid w:val="00B04EFD"/>
    <w:rsid w:val="00B114B5"/>
    <w:rsid w:val="00B15189"/>
    <w:rsid w:val="00B1634D"/>
    <w:rsid w:val="00B1638D"/>
    <w:rsid w:val="00B218D4"/>
    <w:rsid w:val="00B21CD1"/>
    <w:rsid w:val="00B2410E"/>
    <w:rsid w:val="00B24609"/>
    <w:rsid w:val="00B255D0"/>
    <w:rsid w:val="00B3179B"/>
    <w:rsid w:val="00B40246"/>
    <w:rsid w:val="00B40E8F"/>
    <w:rsid w:val="00B410B7"/>
    <w:rsid w:val="00B434AB"/>
    <w:rsid w:val="00B43AE4"/>
    <w:rsid w:val="00B4571C"/>
    <w:rsid w:val="00B46F06"/>
    <w:rsid w:val="00B601C4"/>
    <w:rsid w:val="00B617B2"/>
    <w:rsid w:val="00B71EF8"/>
    <w:rsid w:val="00B723BE"/>
    <w:rsid w:val="00B7410C"/>
    <w:rsid w:val="00B74290"/>
    <w:rsid w:val="00B8031B"/>
    <w:rsid w:val="00B82705"/>
    <w:rsid w:val="00B86B44"/>
    <w:rsid w:val="00B87FEC"/>
    <w:rsid w:val="00B91194"/>
    <w:rsid w:val="00B93CAB"/>
    <w:rsid w:val="00B97F42"/>
    <w:rsid w:val="00BA137B"/>
    <w:rsid w:val="00BA2A1A"/>
    <w:rsid w:val="00BB1368"/>
    <w:rsid w:val="00BB15CF"/>
    <w:rsid w:val="00BB56E7"/>
    <w:rsid w:val="00BC1530"/>
    <w:rsid w:val="00BC55DA"/>
    <w:rsid w:val="00BC70C9"/>
    <w:rsid w:val="00BD68FE"/>
    <w:rsid w:val="00BE5EC4"/>
    <w:rsid w:val="00BF0F85"/>
    <w:rsid w:val="00BF67B9"/>
    <w:rsid w:val="00BF7FE2"/>
    <w:rsid w:val="00C00B7D"/>
    <w:rsid w:val="00C0289A"/>
    <w:rsid w:val="00C10675"/>
    <w:rsid w:val="00C170A1"/>
    <w:rsid w:val="00C17F5D"/>
    <w:rsid w:val="00C20F6E"/>
    <w:rsid w:val="00C24087"/>
    <w:rsid w:val="00C27D57"/>
    <w:rsid w:val="00C30DAE"/>
    <w:rsid w:val="00C338C7"/>
    <w:rsid w:val="00C33943"/>
    <w:rsid w:val="00C359CA"/>
    <w:rsid w:val="00C41281"/>
    <w:rsid w:val="00C41339"/>
    <w:rsid w:val="00C421CE"/>
    <w:rsid w:val="00C458D7"/>
    <w:rsid w:val="00C522A3"/>
    <w:rsid w:val="00C54D0A"/>
    <w:rsid w:val="00C60E0D"/>
    <w:rsid w:val="00C635C8"/>
    <w:rsid w:val="00C71674"/>
    <w:rsid w:val="00C72AD1"/>
    <w:rsid w:val="00C75201"/>
    <w:rsid w:val="00C827B3"/>
    <w:rsid w:val="00C82CBA"/>
    <w:rsid w:val="00C930FE"/>
    <w:rsid w:val="00C95142"/>
    <w:rsid w:val="00C96415"/>
    <w:rsid w:val="00C97DB0"/>
    <w:rsid w:val="00CA60A5"/>
    <w:rsid w:val="00CB0B8A"/>
    <w:rsid w:val="00CB211C"/>
    <w:rsid w:val="00CB4511"/>
    <w:rsid w:val="00CC0E7B"/>
    <w:rsid w:val="00CD1627"/>
    <w:rsid w:val="00CD391A"/>
    <w:rsid w:val="00CD7FB1"/>
    <w:rsid w:val="00CE1C84"/>
    <w:rsid w:val="00CE3317"/>
    <w:rsid w:val="00CE676A"/>
    <w:rsid w:val="00CE739E"/>
    <w:rsid w:val="00CF182F"/>
    <w:rsid w:val="00CF1A9B"/>
    <w:rsid w:val="00CF2DD0"/>
    <w:rsid w:val="00CF358E"/>
    <w:rsid w:val="00D03D1F"/>
    <w:rsid w:val="00D04236"/>
    <w:rsid w:val="00D12098"/>
    <w:rsid w:val="00D25FCD"/>
    <w:rsid w:val="00D316CB"/>
    <w:rsid w:val="00D336F8"/>
    <w:rsid w:val="00D36A80"/>
    <w:rsid w:val="00D36E64"/>
    <w:rsid w:val="00D370A0"/>
    <w:rsid w:val="00D43921"/>
    <w:rsid w:val="00D47DAB"/>
    <w:rsid w:val="00D5115F"/>
    <w:rsid w:val="00D61502"/>
    <w:rsid w:val="00D62324"/>
    <w:rsid w:val="00D7184F"/>
    <w:rsid w:val="00D72DD8"/>
    <w:rsid w:val="00D742D3"/>
    <w:rsid w:val="00D7489A"/>
    <w:rsid w:val="00D75664"/>
    <w:rsid w:val="00D81928"/>
    <w:rsid w:val="00D81B79"/>
    <w:rsid w:val="00D82C7B"/>
    <w:rsid w:val="00D85512"/>
    <w:rsid w:val="00D8667C"/>
    <w:rsid w:val="00D86AB9"/>
    <w:rsid w:val="00D90C07"/>
    <w:rsid w:val="00D926A5"/>
    <w:rsid w:val="00D928A5"/>
    <w:rsid w:val="00D92BA9"/>
    <w:rsid w:val="00DA7A99"/>
    <w:rsid w:val="00DB20E9"/>
    <w:rsid w:val="00DB4A4C"/>
    <w:rsid w:val="00DB6B17"/>
    <w:rsid w:val="00DD3C49"/>
    <w:rsid w:val="00DE4AD3"/>
    <w:rsid w:val="00DE633B"/>
    <w:rsid w:val="00E01464"/>
    <w:rsid w:val="00E024EC"/>
    <w:rsid w:val="00E02DCF"/>
    <w:rsid w:val="00E038E9"/>
    <w:rsid w:val="00E07BA3"/>
    <w:rsid w:val="00E15CC7"/>
    <w:rsid w:val="00E17B80"/>
    <w:rsid w:val="00E245B7"/>
    <w:rsid w:val="00E27F54"/>
    <w:rsid w:val="00E34E23"/>
    <w:rsid w:val="00E3618F"/>
    <w:rsid w:val="00E41F38"/>
    <w:rsid w:val="00E45F94"/>
    <w:rsid w:val="00E506D2"/>
    <w:rsid w:val="00E5637B"/>
    <w:rsid w:val="00E5690D"/>
    <w:rsid w:val="00E56BDF"/>
    <w:rsid w:val="00E578D0"/>
    <w:rsid w:val="00E60842"/>
    <w:rsid w:val="00E63B56"/>
    <w:rsid w:val="00E67355"/>
    <w:rsid w:val="00E73478"/>
    <w:rsid w:val="00E75249"/>
    <w:rsid w:val="00E75A30"/>
    <w:rsid w:val="00E75F4F"/>
    <w:rsid w:val="00E7710A"/>
    <w:rsid w:val="00E82D3C"/>
    <w:rsid w:val="00E94D26"/>
    <w:rsid w:val="00E9592E"/>
    <w:rsid w:val="00EA050D"/>
    <w:rsid w:val="00EA0CEF"/>
    <w:rsid w:val="00EA7D4F"/>
    <w:rsid w:val="00EB16F7"/>
    <w:rsid w:val="00EB4CE5"/>
    <w:rsid w:val="00EB6E7E"/>
    <w:rsid w:val="00EC504C"/>
    <w:rsid w:val="00EC5A6F"/>
    <w:rsid w:val="00EC700C"/>
    <w:rsid w:val="00EC7D2A"/>
    <w:rsid w:val="00ED42A8"/>
    <w:rsid w:val="00EE3906"/>
    <w:rsid w:val="00EE4F2A"/>
    <w:rsid w:val="00EF5763"/>
    <w:rsid w:val="00EF57C4"/>
    <w:rsid w:val="00F060F0"/>
    <w:rsid w:val="00F13ECC"/>
    <w:rsid w:val="00F16A29"/>
    <w:rsid w:val="00F17B9D"/>
    <w:rsid w:val="00F25602"/>
    <w:rsid w:val="00F26119"/>
    <w:rsid w:val="00F32ED9"/>
    <w:rsid w:val="00F347E0"/>
    <w:rsid w:val="00F40510"/>
    <w:rsid w:val="00F46B0E"/>
    <w:rsid w:val="00F5637D"/>
    <w:rsid w:val="00F61CBA"/>
    <w:rsid w:val="00F75E4C"/>
    <w:rsid w:val="00F76DC0"/>
    <w:rsid w:val="00F778D4"/>
    <w:rsid w:val="00F802EF"/>
    <w:rsid w:val="00F814C5"/>
    <w:rsid w:val="00F839B3"/>
    <w:rsid w:val="00F932A4"/>
    <w:rsid w:val="00F9769F"/>
    <w:rsid w:val="00FA6E93"/>
    <w:rsid w:val="00FA7613"/>
    <w:rsid w:val="00FB6E97"/>
    <w:rsid w:val="00FC1FCE"/>
    <w:rsid w:val="00FC73BB"/>
    <w:rsid w:val="00FD059B"/>
    <w:rsid w:val="00FD4D0C"/>
    <w:rsid w:val="00FD5AD8"/>
    <w:rsid w:val="00FD7BA7"/>
    <w:rsid w:val="00FE3007"/>
    <w:rsid w:val="00FE4BD6"/>
    <w:rsid w:val="00FF277C"/>
    <w:rsid w:val="00FF43DB"/>
    <w:rsid w:val="00FF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5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styleId="UnresolvedMention">
    <w:name w:val="Unresolved Mention"/>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leginfo.legislature.ca.gov/faces/codes_displaySection.xhtml?lawCode=EDC&amp;sectionNum=5307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nfo.legislature.ca.gov/faces/codes_displaySection.xhtml?lawCode=EDC&amp;sectionNum=5307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t.ly/K12SWPLEAData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fo/r17/cteig20rfa.asp" TargetMode="External"/><Relationship Id="rId5" Type="http://schemas.openxmlformats.org/officeDocument/2006/relationships/webSettings" Target="webSettings.xml"/><Relationship Id="rId15" Type="http://schemas.openxmlformats.org/officeDocument/2006/relationships/hyperlink" Target="https://bit.ly/K12SWPLEADataCollectionR1"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12SWP@ccc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91D3B-2580-4297-8876-ACD843BC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22742</Characters>
  <Application>Microsoft Office Word</Application>
  <DocSecurity>0</DocSecurity>
  <Lines>406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2020 Agenda Item 02 - General Information (CA Dept of Education)</dc:title>
  <dc:subject>California Worforce Pathways Joint Advisory Committee (CWPJAC) Career Technical Education (CTE) Initiatives: Update on CTE Incentive Grant and K-12 Strong Workforce Program and integration of the Guiding Policy Principles.</dc:subject>
  <dc:creator/>
  <cp:keywords/>
  <dc:description/>
  <cp:lastModifiedBy/>
  <cp:revision>1</cp:revision>
  <dcterms:created xsi:type="dcterms:W3CDTF">2024-11-27T17:39:00Z</dcterms:created>
  <dcterms:modified xsi:type="dcterms:W3CDTF">2024-11-27T17:39:00Z</dcterms:modified>
</cp:coreProperties>
</file>