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1036" w14:textId="497814E4" w:rsidR="003A0CCA" w:rsidRPr="001E269E" w:rsidRDefault="008413B2" w:rsidP="00BF61BC">
      <w:pPr>
        <w:rPr>
          <w:rFonts w:cs="Arial"/>
        </w:rPr>
      </w:pPr>
      <w:r>
        <w:rPr>
          <w:rFonts w:cs="Arial"/>
        </w:rPr>
        <w:t xml:space="preserve"> </w:t>
      </w:r>
      <w:r w:rsidR="003A0CCA" w:rsidRPr="001E269E">
        <w:rPr>
          <w:rFonts w:cs="Arial"/>
          <w:noProof/>
        </w:rPr>
        <w:drawing>
          <wp:inline distT="0" distB="0" distL="0" distR="0" wp14:anchorId="5ED06D92" wp14:editId="7D0865DC">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003A0CCA" w:rsidRPr="001E269E">
        <w:rPr>
          <w:rFonts w:cs="Arial"/>
        </w:rPr>
        <w:tab/>
      </w:r>
      <w:r w:rsidR="003A0CCA" w:rsidRPr="001E269E">
        <w:rPr>
          <w:rFonts w:cs="Arial"/>
        </w:rPr>
        <w:tab/>
      </w:r>
      <w:r w:rsidR="003A0CCA" w:rsidRPr="001E269E">
        <w:rPr>
          <w:rFonts w:cs="Arial"/>
        </w:rPr>
        <w:tab/>
      </w:r>
      <w:r w:rsidR="003A0CCA" w:rsidRPr="001E269E">
        <w:rPr>
          <w:rFonts w:cs="Arial"/>
          <w:noProof/>
        </w:rPr>
        <w:drawing>
          <wp:inline distT="0" distB="0" distL="0" distR="0" wp14:anchorId="4638915F" wp14:editId="032DCB7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003A0CCA" w:rsidRPr="001E269E">
        <w:rPr>
          <w:rFonts w:cs="Arial"/>
        </w:rPr>
        <w:tab/>
      </w:r>
      <w:r w:rsidR="003A0CCA" w:rsidRPr="001E269E">
        <w:rPr>
          <w:rFonts w:cs="Arial"/>
        </w:rPr>
        <w:tab/>
      </w:r>
      <w:r w:rsidR="003A0CCA" w:rsidRPr="001E269E">
        <w:rPr>
          <w:rFonts w:cs="Arial"/>
        </w:rPr>
        <w:tab/>
      </w:r>
      <w:r w:rsidR="003A0CCA" w:rsidRPr="001E269E">
        <w:rPr>
          <w:rFonts w:cs="Arial"/>
          <w:noProof/>
        </w:rPr>
        <w:drawing>
          <wp:inline distT="0" distB="0" distL="0" distR="0" wp14:anchorId="0EE29767" wp14:editId="25D70CBC">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7F5BE33F" w14:textId="2B5DB571" w:rsidR="003A0CCA" w:rsidRPr="001E269E" w:rsidRDefault="003A0CCA" w:rsidP="00BF61BC">
      <w:pPr>
        <w:pStyle w:val="Heading1"/>
        <w:spacing w:before="480" w:after="240"/>
        <w:jc w:val="center"/>
        <w:rPr>
          <w:rFonts w:cs="Arial"/>
          <w:sz w:val="40"/>
          <w:szCs w:val="40"/>
        </w:rPr>
      </w:pPr>
      <w:r w:rsidRPr="001E269E">
        <w:rPr>
          <w:rFonts w:cs="Arial"/>
          <w:sz w:val="40"/>
          <w:szCs w:val="40"/>
        </w:rPr>
        <w:t>California Workforce Pathways</w:t>
      </w:r>
      <w:r w:rsidRPr="001E269E">
        <w:rPr>
          <w:rFonts w:cs="Arial"/>
          <w:sz w:val="40"/>
          <w:szCs w:val="40"/>
        </w:rPr>
        <w:br/>
        <w:t>Joint Advisory Committee</w:t>
      </w:r>
      <w:r w:rsidRPr="001E269E">
        <w:rPr>
          <w:rFonts w:cs="Arial"/>
          <w:sz w:val="40"/>
          <w:szCs w:val="40"/>
        </w:rPr>
        <w:br/>
      </w:r>
      <w:r w:rsidR="004F3C15">
        <w:rPr>
          <w:rFonts w:cs="Arial"/>
          <w:sz w:val="40"/>
          <w:szCs w:val="40"/>
        </w:rPr>
        <w:t>July 10</w:t>
      </w:r>
      <w:r w:rsidR="00BF61BC">
        <w:rPr>
          <w:rFonts w:cs="Arial"/>
          <w:sz w:val="40"/>
          <w:szCs w:val="40"/>
        </w:rPr>
        <w:t>, 2026</w:t>
      </w:r>
      <w:r w:rsidRPr="001E269E">
        <w:rPr>
          <w:rFonts w:cs="Arial"/>
          <w:sz w:val="40"/>
          <w:szCs w:val="40"/>
        </w:rPr>
        <w:br/>
        <w:t>Agenda Item</w:t>
      </w:r>
      <w:r w:rsidR="00920F1B">
        <w:rPr>
          <w:rFonts w:cs="Arial"/>
          <w:sz w:val="40"/>
          <w:szCs w:val="40"/>
        </w:rPr>
        <w:t xml:space="preserve"> 0</w:t>
      </w:r>
      <w:r w:rsidR="00BF61BC">
        <w:rPr>
          <w:rFonts w:cs="Arial"/>
          <w:sz w:val="40"/>
          <w:szCs w:val="40"/>
        </w:rPr>
        <w:t>2</w:t>
      </w:r>
    </w:p>
    <w:p w14:paraId="780A5F7F" w14:textId="77777777" w:rsidR="00144DF4" w:rsidRPr="001A50A1" w:rsidRDefault="00FC1FCE" w:rsidP="00BF0D11">
      <w:pPr>
        <w:pStyle w:val="Heading2"/>
        <w:spacing w:before="480" w:after="240"/>
        <w:rPr>
          <w:rFonts w:cs="Arial"/>
          <w:sz w:val="36"/>
          <w:szCs w:val="36"/>
        </w:rPr>
      </w:pPr>
      <w:r w:rsidRPr="001A50A1">
        <w:rPr>
          <w:rFonts w:cs="Arial"/>
          <w:sz w:val="36"/>
          <w:szCs w:val="36"/>
        </w:rPr>
        <w:t>Subject</w:t>
      </w:r>
    </w:p>
    <w:p w14:paraId="798504D2" w14:textId="0A80D3FC" w:rsidR="00261782" w:rsidRPr="005E3A15" w:rsidRDefault="00261782" w:rsidP="00BF61BC">
      <w:pPr>
        <w:shd w:val="clear" w:color="auto" w:fill="FFFFFF"/>
        <w:rPr>
          <w:rFonts w:cs="Arial"/>
          <w:color w:val="000000"/>
        </w:rPr>
      </w:pPr>
      <w:r>
        <w:rPr>
          <w:rFonts w:cs="Arial"/>
          <w:color w:val="000000"/>
        </w:rPr>
        <w:t>Update on the Strengthening Career and Technical Education for the 21</w:t>
      </w:r>
      <w:r w:rsidRPr="00112757">
        <w:rPr>
          <w:rFonts w:cs="Arial"/>
          <w:color w:val="000000"/>
          <w:vertAlign w:val="superscript"/>
        </w:rPr>
        <w:t>st</w:t>
      </w:r>
      <w:r>
        <w:rPr>
          <w:rFonts w:cs="Arial"/>
          <w:color w:val="000000"/>
        </w:rPr>
        <w:t xml:space="preserve"> Century Act (Perkins V); Career Technical Education Incentive Grant (CTEIG), and the Kindergarten through Grade Twelve Strong Workforce Program (K12 SWP) grants.</w:t>
      </w:r>
    </w:p>
    <w:p w14:paraId="01D53E9B" w14:textId="77777777" w:rsidR="00FC1FCE" w:rsidRPr="001A50A1" w:rsidRDefault="00FC1FCE" w:rsidP="00BF0D11">
      <w:pPr>
        <w:pStyle w:val="Heading2"/>
        <w:spacing w:before="480" w:after="240"/>
        <w:rPr>
          <w:rFonts w:cs="Arial"/>
          <w:sz w:val="36"/>
          <w:szCs w:val="36"/>
        </w:rPr>
      </w:pPr>
      <w:r w:rsidRPr="001A50A1">
        <w:rPr>
          <w:rFonts w:cs="Arial"/>
          <w:sz w:val="36"/>
          <w:szCs w:val="36"/>
        </w:rPr>
        <w:t>Type of Action</w:t>
      </w:r>
    </w:p>
    <w:p w14:paraId="6CCF817E" w14:textId="77777777" w:rsidR="00D61502" w:rsidRPr="001E269E" w:rsidRDefault="00144DF4" w:rsidP="00BF61BC">
      <w:pPr>
        <w:spacing w:after="240"/>
        <w:rPr>
          <w:rFonts w:cs="Arial"/>
        </w:rPr>
      </w:pPr>
      <w:r w:rsidRPr="001E269E">
        <w:rPr>
          <w:rFonts w:cs="Arial"/>
          <w:noProof/>
        </w:rPr>
        <w:t>Information</w:t>
      </w:r>
    </w:p>
    <w:p w14:paraId="6FA7C006" w14:textId="77777777" w:rsidR="00FC1FCE" w:rsidRPr="001A50A1" w:rsidRDefault="00FC1FCE" w:rsidP="00BF0D11">
      <w:pPr>
        <w:pStyle w:val="Heading2"/>
        <w:spacing w:before="480" w:after="240"/>
        <w:rPr>
          <w:rFonts w:cs="Arial"/>
          <w:sz w:val="36"/>
          <w:szCs w:val="36"/>
        </w:rPr>
      </w:pPr>
      <w:r w:rsidRPr="001A50A1">
        <w:rPr>
          <w:rFonts w:cs="Arial"/>
          <w:sz w:val="36"/>
          <w:szCs w:val="36"/>
        </w:rPr>
        <w:t>Summary of the Issue(s)</w:t>
      </w:r>
    </w:p>
    <w:p w14:paraId="382349D7" w14:textId="593A340B" w:rsidR="00006186" w:rsidRPr="00006186" w:rsidRDefault="00006186" w:rsidP="00BF61BC">
      <w:pPr>
        <w:rPr>
          <w:b/>
        </w:rPr>
      </w:pPr>
      <w:r w:rsidRPr="00006186">
        <w:t>This agenda item provides updates on the award process</w:t>
      </w:r>
      <w:r w:rsidR="009542A2">
        <w:t xml:space="preserve"> and</w:t>
      </w:r>
      <w:r w:rsidRPr="00006186">
        <w:t xml:space="preserve"> grants awarded</w:t>
      </w:r>
      <w:r w:rsidR="009542A2">
        <w:t xml:space="preserve"> for</w:t>
      </w:r>
      <w:r w:rsidRPr="00006186">
        <w:t xml:space="preserve"> career technical education (CTE) programs overseen by the California Department of Education (CDE) and the California Community Colleges Chancellor’s Office (CCCCO): K12 SWP, Perkins V, and CTEIG</w:t>
      </w:r>
      <w:r w:rsidR="006D720C">
        <w:t>.</w:t>
      </w:r>
      <w:r w:rsidR="009542A2">
        <w:t xml:space="preserve"> The item will also include the </w:t>
      </w:r>
      <w:r w:rsidR="009542A2" w:rsidRPr="00006186">
        <w:t>braiding of</w:t>
      </w:r>
      <w:r w:rsidR="009542A2">
        <w:t xml:space="preserve"> the K12 grants awarded so far this year, Perkins V and CTEIG.</w:t>
      </w:r>
    </w:p>
    <w:p w14:paraId="4C0CD6EF" w14:textId="77777777" w:rsidR="008448EE" w:rsidRPr="00CE6800" w:rsidRDefault="008448EE" w:rsidP="00617832">
      <w:pPr>
        <w:pStyle w:val="Heading3"/>
        <w:spacing w:after="240"/>
      </w:pPr>
      <w:r w:rsidRPr="00CE6800">
        <w:t>K12 SWP</w:t>
      </w:r>
    </w:p>
    <w:p w14:paraId="37BE57ED" w14:textId="0141DA61" w:rsidR="00342AB5" w:rsidRDefault="00CE6800" w:rsidP="00BF61BC">
      <w:pPr>
        <w:spacing w:after="240"/>
        <w:rPr>
          <w:highlight w:val="cyan"/>
        </w:rPr>
      </w:pPr>
      <w:r w:rsidRPr="00CE6800">
        <w:t>In 2018, the California legislature introduced the K12 SWP as an ongoing statewide funding opportunity</w:t>
      </w:r>
      <w:r w:rsidR="009542A2">
        <w:t xml:space="preserve">. </w:t>
      </w:r>
      <w:r w:rsidRPr="00CE6800">
        <w:t xml:space="preserve">It is designed to support </w:t>
      </w:r>
      <w:r w:rsidR="00BF0D11">
        <w:t>kindergarten through grade twelve (</w:t>
      </w:r>
      <w:r w:rsidRPr="00CE6800">
        <w:t>K–12</w:t>
      </w:r>
      <w:r w:rsidR="00BF0D11">
        <w:t>)</w:t>
      </w:r>
      <w:r w:rsidRPr="00CE6800">
        <w:t xml:space="preserve"> local education</w:t>
      </w:r>
      <w:r w:rsidR="00CA548F">
        <w:t>al</w:t>
      </w:r>
      <w:r w:rsidRPr="00CE6800">
        <w:t xml:space="preserve"> agencies (LEAs) in creating, improving, and expanding CTE courses, course sequences, programs of study, and pathways for students transitioning from secondary education to postsecondary education to living-wage employment.</w:t>
      </w:r>
      <w:r w:rsidR="009542A2">
        <w:t xml:space="preserve"> Annually $150 million is awarded to LEAs by the CCCCO, who oversees this grant.</w:t>
      </w:r>
    </w:p>
    <w:p w14:paraId="37E2459E" w14:textId="0B917C71" w:rsidR="008448EE" w:rsidRDefault="008448EE" w:rsidP="00617832">
      <w:pPr>
        <w:pStyle w:val="Heading3"/>
        <w:spacing w:after="240"/>
      </w:pPr>
      <w:r w:rsidRPr="004218F5">
        <w:lastRenderedPageBreak/>
        <w:t>Perkins</w:t>
      </w:r>
      <w:r w:rsidR="00006186" w:rsidRPr="004218F5">
        <w:t xml:space="preserve"> V</w:t>
      </w:r>
    </w:p>
    <w:p w14:paraId="7BB45B86" w14:textId="6B4E6215" w:rsidR="1D7972BA" w:rsidRDefault="00006186" w:rsidP="00BF61BC">
      <w:pPr>
        <w:spacing w:after="240"/>
        <w:rPr>
          <w:rFonts w:cs="Arial"/>
        </w:rPr>
      </w:pPr>
      <w:r w:rsidRPr="00006186">
        <w:t>The Perkins V Act</w:t>
      </w:r>
      <w:r w:rsidR="009542A2">
        <w:t xml:space="preserve"> is a f</w:t>
      </w:r>
      <w:r w:rsidR="009542A2" w:rsidRPr="009542A2">
        <w:t xml:space="preserve">ederal act established to improve </w:t>
      </w:r>
      <w:r w:rsidR="009542A2">
        <w:t>CTE</w:t>
      </w:r>
      <w:r w:rsidR="009542A2" w:rsidRPr="009542A2">
        <w:t xml:space="preserve"> programs, integrate academic and </w:t>
      </w:r>
      <w:r w:rsidR="009542A2">
        <w:t xml:space="preserve">CTE </w:t>
      </w:r>
      <w:r w:rsidR="009542A2" w:rsidRPr="009542A2">
        <w:t>instruction, serve special populations, and meet gender equity needs.</w:t>
      </w:r>
      <w:r w:rsidRPr="00006186">
        <w:t xml:space="preserve"> </w:t>
      </w:r>
      <w:r w:rsidR="008448EE">
        <w:t>California receives a portion of the Federal Award annually. For fiscal year 202</w:t>
      </w:r>
      <w:r w:rsidR="004F3C15">
        <w:t>6</w:t>
      </w:r>
      <w:r w:rsidR="008448EE">
        <w:t>–2</w:t>
      </w:r>
      <w:r w:rsidR="004F3C15">
        <w:t>7</w:t>
      </w:r>
      <w:r w:rsidR="008448EE">
        <w:t xml:space="preserve"> the total award amount </w:t>
      </w:r>
      <w:r w:rsidR="008448EE" w:rsidRPr="0017037E">
        <w:t>was</w:t>
      </w:r>
      <w:r w:rsidR="004218F5">
        <w:t xml:space="preserve"> approximately</w:t>
      </w:r>
      <w:r w:rsidR="008448EE" w:rsidRPr="0017037E">
        <w:t xml:space="preserve"> </w:t>
      </w:r>
      <w:r w:rsidR="008448EE" w:rsidRPr="0017037E">
        <w:rPr>
          <w:rFonts w:cs="Arial"/>
        </w:rPr>
        <w:t>$142</w:t>
      </w:r>
      <w:r w:rsidR="004218F5">
        <w:rPr>
          <w:rFonts w:cs="Arial"/>
        </w:rPr>
        <w:t xml:space="preserve"> million</w:t>
      </w:r>
      <w:r w:rsidR="008448EE">
        <w:rPr>
          <w:rFonts w:cs="Arial"/>
        </w:rPr>
        <w:t xml:space="preserve">. Perkins has benchmarks for how funds can be distributed, and 85 percent of the funds must be distributed for the LEA awards. Therefore </w:t>
      </w:r>
      <w:r w:rsidR="004218F5">
        <w:rPr>
          <w:rFonts w:cs="Arial"/>
        </w:rPr>
        <w:t xml:space="preserve">approximately </w:t>
      </w:r>
      <w:r w:rsidR="008448EE">
        <w:rPr>
          <w:rFonts w:cs="Arial"/>
        </w:rPr>
        <w:t>$121</w:t>
      </w:r>
      <w:r w:rsidR="004218F5">
        <w:rPr>
          <w:rFonts w:cs="Arial"/>
        </w:rPr>
        <w:t xml:space="preserve"> million</w:t>
      </w:r>
      <w:r w:rsidR="008448EE">
        <w:rPr>
          <w:rFonts w:cs="Arial"/>
        </w:rPr>
        <w:t xml:space="preserve"> was distributed between </w:t>
      </w:r>
      <w:r w:rsidR="004218F5">
        <w:rPr>
          <w:rFonts w:cs="Arial"/>
        </w:rPr>
        <w:t>CDE</w:t>
      </w:r>
      <w:r w:rsidR="008448EE">
        <w:rPr>
          <w:rFonts w:cs="Arial"/>
        </w:rPr>
        <w:t xml:space="preserve"> and the CCCCO for the distribution of grants.</w:t>
      </w:r>
    </w:p>
    <w:p w14:paraId="30842104" w14:textId="77777777" w:rsidR="008448EE" w:rsidRPr="003365B6" w:rsidRDefault="008448EE" w:rsidP="00617832">
      <w:pPr>
        <w:pStyle w:val="Heading3"/>
        <w:spacing w:after="240"/>
      </w:pPr>
      <w:r>
        <w:t>CTEIG</w:t>
      </w:r>
    </w:p>
    <w:p w14:paraId="57F35B9C" w14:textId="67F4FE3F" w:rsidR="008448EE" w:rsidRDefault="009542A2" w:rsidP="00BF61BC">
      <w:pPr>
        <w:rPr>
          <w:rFonts w:cs="Arial"/>
          <w:bdr w:val="none" w:sz="0" w:space="0" w:color="auto" w:frame="1"/>
        </w:rPr>
      </w:pPr>
      <w:r>
        <w:rPr>
          <w:rFonts w:cs="Arial"/>
          <w:bdr w:val="none" w:sz="0" w:space="0" w:color="auto" w:frame="1"/>
        </w:rPr>
        <w:t xml:space="preserve">The CTEIG </w:t>
      </w:r>
      <w:r w:rsidRPr="009542A2">
        <w:rPr>
          <w:rFonts w:cs="Arial"/>
          <w:bdr w:val="none" w:sz="0" w:space="0" w:color="auto" w:frame="1"/>
        </w:rPr>
        <w:t xml:space="preserve">program </w:t>
      </w:r>
      <w:r>
        <w:rPr>
          <w:rFonts w:cs="Arial"/>
          <w:bdr w:val="none" w:sz="0" w:space="0" w:color="auto" w:frame="1"/>
        </w:rPr>
        <w:t>i</w:t>
      </w:r>
      <w:r w:rsidRPr="009542A2">
        <w:rPr>
          <w:rFonts w:cs="Arial"/>
          <w:bdr w:val="none" w:sz="0" w:space="0" w:color="auto" w:frame="1"/>
        </w:rPr>
        <w:t>s a state</w:t>
      </w:r>
      <w:r>
        <w:rPr>
          <w:rFonts w:cs="Arial"/>
          <w:bdr w:val="none" w:sz="0" w:space="0" w:color="auto" w:frame="1"/>
        </w:rPr>
        <w:t xml:space="preserve"> </w:t>
      </w:r>
      <w:r w:rsidRPr="009542A2">
        <w:rPr>
          <w:rFonts w:cs="Arial"/>
          <w:bdr w:val="none" w:sz="0" w:space="0" w:color="auto" w:frame="1"/>
        </w:rPr>
        <w:t>education, economic, and workforce development initiative with the goal of providing</w:t>
      </w:r>
      <w:r>
        <w:rPr>
          <w:rFonts w:cs="Arial"/>
          <w:bdr w:val="none" w:sz="0" w:space="0" w:color="auto" w:frame="1"/>
        </w:rPr>
        <w:t xml:space="preserve"> </w:t>
      </w:r>
      <w:r w:rsidRPr="009542A2">
        <w:rPr>
          <w:rFonts w:cs="Arial"/>
          <w:bdr w:val="none" w:sz="0" w:space="0" w:color="auto" w:frame="1"/>
        </w:rPr>
        <w:t xml:space="preserve">pupils in </w:t>
      </w:r>
      <w:r>
        <w:rPr>
          <w:rFonts w:cs="Arial"/>
          <w:bdr w:val="none" w:sz="0" w:space="0" w:color="auto" w:frame="1"/>
        </w:rPr>
        <w:t>K–12</w:t>
      </w:r>
      <w:r w:rsidRPr="009542A2">
        <w:rPr>
          <w:rFonts w:cs="Arial"/>
          <w:bdr w:val="none" w:sz="0" w:space="0" w:color="auto" w:frame="1"/>
        </w:rPr>
        <w:t>, with the knowledge and skills</w:t>
      </w:r>
      <w:r>
        <w:rPr>
          <w:rFonts w:cs="Arial"/>
          <w:bdr w:val="none" w:sz="0" w:space="0" w:color="auto" w:frame="1"/>
        </w:rPr>
        <w:t xml:space="preserve"> </w:t>
      </w:r>
      <w:r w:rsidRPr="009542A2">
        <w:rPr>
          <w:rFonts w:cs="Arial"/>
          <w:bdr w:val="none" w:sz="0" w:space="0" w:color="auto" w:frame="1"/>
        </w:rPr>
        <w:t>necessary to transition to employment and post-secondary education. The purpose of</w:t>
      </w:r>
      <w:r>
        <w:rPr>
          <w:rFonts w:cs="Arial"/>
          <w:bdr w:val="none" w:sz="0" w:space="0" w:color="auto" w:frame="1"/>
        </w:rPr>
        <w:t xml:space="preserve"> </w:t>
      </w:r>
      <w:r w:rsidRPr="009542A2">
        <w:rPr>
          <w:rFonts w:cs="Arial"/>
          <w:bdr w:val="none" w:sz="0" w:space="0" w:color="auto" w:frame="1"/>
        </w:rPr>
        <w:t>this competitive grant program is to encourage, maintain, and strengthen the delivery of</w:t>
      </w:r>
      <w:r>
        <w:rPr>
          <w:rFonts w:cs="Arial"/>
          <w:bdr w:val="none" w:sz="0" w:space="0" w:color="auto" w:frame="1"/>
        </w:rPr>
        <w:t xml:space="preserve"> </w:t>
      </w:r>
      <w:r w:rsidRPr="009542A2">
        <w:rPr>
          <w:rFonts w:cs="Arial"/>
          <w:bdr w:val="none" w:sz="0" w:space="0" w:color="auto" w:frame="1"/>
        </w:rPr>
        <w:t>high-quality CTE programs</w:t>
      </w:r>
      <w:r w:rsidR="008448EE" w:rsidRPr="00EB26CA">
        <w:rPr>
          <w:rFonts w:cs="Arial"/>
          <w:bdr w:val="none" w:sz="0" w:space="0" w:color="auto" w:frame="1"/>
        </w:rPr>
        <w:t>.</w:t>
      </w:r>
      <w:r>
        <w:rPr>
          <w:rFonts w:cs="Arial"/>
          <w:bdr w:val="none" w:sz="0" w:space="0" w:color="auto" w:frame="1"/>
        </w:rPr>
        <w:t xml:space="preserve"> </w:t>
      </w:r>
      <w:r w:rsidRPr="00EB26CA">
        <w:rPr>
          <w:rFonts w:cs="Arial"/>
          <w:bdr w:val="none" w:sz="0" w:space="0" w:color="auto" w:frame="1"/>
        </w:rPr>
        <w:t>The Budget Act of 2021 (A</w:t>
      </w:r>
      <w:r>
        <w:rPr>
          <w:rFonts w:cs="Arial"/>
          <w:bdr w:val="none" w:sz="0" w:space="0" w:color="auto" w:frame="1"/>
        </w:rPr>
        <w:t xml:space="preserve">ssembly </w:t>
      </w:r>
      <w:r w:rsidRPr="00EB26CA">
        <w:rPr>
          <w:rFonts w:cs="Arial"/>
          <w:bdr w:val="none" w:sz="0" w:space="0" w:color="auto" w:frame="1"/>
        </w:rPr>
        <w:t>B</w:t>
      </w:r>
      <w:r>
        <w:rPr>
          <w:rFonts w:cs="Arial"/>
          <w:bdr w:val="none" w:sz="0" w:space="0" w:color="auto" w:frame="1"/>
        </w:rPr>
        <w:t>ill</w:t>
      </w:r>
      <w:r w:rsidRPr="00EB26CA">
        <w:rPr>
          <w:rFonts w:cs="Arial"/>
          <w:bdr w:val="none" w:sz="0" w:space="0" w:color="auto" w:frame="1"/>
        </w:rPr>
        <w:t xml:space="preserve"> 130) </w:t>
      </w:r>
      <w:r>
        <w:rPr>
          <w:rFonts w:cs="Arial"/>
          <w:bdr w:val="none" w:sz="0" w:space="0" w:color="auto" w:frame="1"/>
        </w:rPr>
        <w:t>a</w:t>
      </w:r>
      <w:r w:rsidRPr="00EB26CA">
        <w:rPr>
          <w:rFonts w:cs="Arial"/>
          <w:bdr w:val="none" w:sz="0" w:space="0" w:color="auto" w:frame="1"/>
        </w:rPr>
        <w:t xml:space="preserve">mended </w:t>
      </w:r>
      <w:r w:rsidRPr="00EB26CA">
        <w:rPr>
          <w:rFonts w:cs="Arial"/>
          <w:i/>
          <w:bdr w:val="none" w:sz="0" w:space="0" w:color="auto" w:frame="1"/>
        </w:rPr>
        <w:t>E</w:t>
      </w:r>
      <w:r>
        <w:rPr>
          <w:rFonts w:cs="Arial"/>
          <w:i/>
          <w:bdr w:val="none" w:sz="0" w:space="0" w:color="auto" w:frame="1"/>
        </w:rPr>
        <w:t xml:space="preserve">ducation </w:t>
      </w:r>
      <w:r w:rsidRPr="00EB26CA">
        <w:rPr>
          <w:rFonts w:cs="Arial"/>
          <w:i/>
          <w:bdr w:val="none" w:sz="0" w:space="0" w:color="auto" w:frame="1"/>
        </w:rPr>
        <w:t>C</w:t>
      </w:r>
      <w:r>
        <w:rPr>
          <w:rFonts w:cs="Arial"/>
          <w:i/>
          <w:bdr w:val="none" w:sz="0" w:space="0" w:color="auto" w:frame="1"/>
        </w:rPr>
        <w:t>ode</w:t>
      </w:r>
      <w:r w:rsidRPr="00EB26CA">
        <w:rPr>
          <w:rFonts w:cs="Arial"/>
          <w:bdr w:val="none" w:sz="0" w:space="0" w:color="auto" w:frame="1"/>
        </w:rPr>
        <w:t xml:space="preserve"> </w:t>
      </w:r>
      <w:r w:rsidR="00A76BF2">
        <w:rPr>
          <w:rFonts w:cs="Arial"/>
          <w:bdr w:val="none" w:sz="0" w:space="0" w:color="auto" w:frame="1"/>
        </w:rPr>
        <w:t>(</w:t>
      </w:r>
      <w:r w:rsidR="00A76BF2" w:rsidRPr="00A76BF2">
        <w:rPr>
          <w:rFonts w:cs="Arial"/>
          <w:i/>
          <w:iCs/>
          <w:bdr w:val="none" w:sz="0" w:space="0" w:color="auto" w:frame="1"/>
        </w:rPr>
        <w:t>EC</w:t>
      </w:r>
      <w:r w:rsidR="00A76BF2">
        <w:rPr>
          <w:rFonts w:cs="Arial"/>
          <w:bdr w:val="none" w:sz="0" w:space="0" w:color="auto" w:frame="1"/>
        </w:rPr>
        <w:t xml:space="preserve">) </w:t>
      </w:r>
      <w:r w:rsidRPr="00A76BF2">
        <w:rPr>
          <w:rFonts w:cs="Arial"/>
          <w:bdr w:val="none" w:sz="0" w:space="0" w:color="auto" w:frame="1"/>
        </w:rPr>
        <w:t>Section</w:t>
      </w:r>
      <w:r w:rsidRPr="00EB26CA">
        <w:rPr>
          <w:rFonts w:cs="Arial"/>
          <w:bdr w:val="none" w:sz="0" w:space="0" w:color="auto" w:frame="1"/>
        </w:rPr>
        <w:t xml:space="preserve"> 53070</w:t>
      </w:r>
      <w:r>
        <w:rPr>
          <w:rFonts w:cs="Arial"/>
          <w:bdr w:val="none" w:sz="0" w:space="0" w:color="auto" w:frame="1"/>
        </w:rPr>
        <w:t>(d) and</w:t>
      </w:r>
      <w:r w:rsidRPr="00EB26CA">
        <w:rPr>
          <w:rFonts w:cs="Arial"/>
          <w:bdr w:val="none" w:sz="0" w:space="0" w:color="auto" w:frame="1"/>
        </w:rPr>
        <w:t xml:space="preserve"> </w:t>
      </w:r>
      <w:r w:rsidR="00BF0D11">
        <w:rPr>
          <w:rFonts w:cs="Arial"/>
          <w:bdr w:val="none" w:sz="0" w:space="0" w:color="auto" w:frame="1"/>
        </w:rPr>
        <w:t>increased the annual allotment to</w:t>
      </w:r>
      <w:r w:rsidRPr="00EB26CA">
        <w:rPr>
          <w:rFonts w:cs="Arial"/>
          <w:bdr w:val="none" w:sz="0" w:space="0" w:color="auto" w:frame="1"/>
        </w:rPr>
        <w:t xml:space="preserve"> $300 million for the 2021–22 </w:t>
      </w:r>
      <w:r w:rsidR="00BF0D11">
        <w:rPr>
          <w:rFonts w:cs="Arial"/>
          <w:bdr w:val="none" w:sz="0" w:space="0" w:color="auto" w:frame="1"/>
        </w:rPr>
        <w:t>fiscal year (F</w:t>
      </w:r>
      <w:r w:rsidRPr="00EB26CA">
        <w:rPr>
          <w:rFonts w:cs="Arial"/>
          <w:bdr w:val="none" w:sz="0" w:space="0" w:color="auto" w:frame="1"/>
        </w:rPr>
        <w:t>Y</w:t>
      </w:r>
      <w:r w:rsidR="00BF0D11">
        <w:rPr>
          <w:rFonts w:cs="Arial"/>
          <w:bdr w:val="none" w:sz="0" w:space="0" w:color="auto" w:frame="1"/>
        </w:rPr>
        <w:t>)</w:t>
      </w:r>
      <w:r w:rsidRPr="00EB26CA">
        <w:rPr>
          <w:rFonts w:cs="Arial"/>
          <w:bdr w:val="none" w:sz="0" w:space="0" w:color="auto" w:frame="1"/>
        </w:rPr>
        <w:t>, and each FY thereafter</w:t>
      </w:r>
      <w:r w:rsidR="004F3C15">
        <w:rPr>
          <w:rFonts w:cs="Arial"/>
          <w:bdr w:val="none" w:sz="0" w:space="0" w:color="auto" w:frame="1"/>
        </w:rPr>
        <w:t>.</w:t>
      </w:r>
      <w:r w:rsidR="00BF0D11">
        <w:rPr>
          <w:rFonts w:cs="Arial"/>
          <w:bdr w:val="none" w:sz="0" w:space="0" w:color="auto" w:frame="1"/>
        </w:rPr>
        <w:t xml:space="preserve"> </w:t>
      </w:r>
      <w:r w:rsidR="004F3C15">
        <w:rPr>
          <w:rFonts w:cs="Arial"/>
          <w:bdr w:val="none" w:sz="0" w:space="0" w:color="auto" w:frame="1"/>
        </w:rPr>
        <w:t>For the 2026–27 grant year, and additional $150 million was made available increasing the total available to award to $450 million for 2026–27 awarding year only.</w:t>
      </w:r>
    </w:p>
    <w:p w14:paraId="1F9999A0" w14:textId="77777777" w:rsidR="00B7410C" w:rsidRPr="001A50A1" w:rsidRDefault="00F814C5" w:rsidP="00BF0D11">
      <w:pPr>
        <w:pStyle w:val="Heading2"/>
        <w:spacing w:before="480" w:after="240"/>
        <w:contextualSpacing/>
        <w:rPr>
          <w:rFonts w:cs="Arial"/>
          <w:sz w:val="36"/>
          <w:szCs w:val="36"/>
        </w:rPr>
      </w:pPr>
      <w:r w:rsidRPr="001A50A1">
        <w:rPr>
          <w:rFonts w:cs="Arial"/>
          <w:sz w:val="36"/>
          <w:szCs w:val="36"/>
        </w:rPr>
        <w:t>Brief History of Key Issues</w:t>
      </w:r>
    </w:p>
    <w:p w14:paraId="291FACBA" w14:textId="7EA63A86" w:rsidR="00D80642" w:rsidRPr="00A563DD" w:rsidRDefault="00D80642" w:rsidP="00617832">
      <w:pPr>
        <w:pStyle w:val="Heading3"/>
        <w:spacing w:after="240"/>
      </w:pPr>
      <w:r w:rsidRPr="00A563DD">
        <w:t xml:space="preserve">California Community </w:t>
      </w:r>
      <w:r w:rsidRPr="00A76BF2">
        <w:rPr>
          <w:szCs w:val="28"/>
        </w:rPr>
        <w:t>Colleges</w:t>
      </w:r>
      <w:r w:rsidRPr="00A563DD">
        <w:t xml:space="preserve"> Chancellor’s Office </w:t>
      </w:r>
      <w:r w:rsidR="00701A08">
        <w:t>Updates</w:t>
      </w:r>
    </w:p>
    <w:p w14:paraId="5A46C182" w14:textId="4DCBB37E" w:rsidR="00BF79ED" w:rsidRPr="00A563DD" w:rsidRDefault="00BF79ED" w:rsidP="00617832">
      <w:pPr>
        <w:pStyle w:val="Heading4"/>
        <w:spacing w:after="240"/>
      </w:pPr>
      <w:r w:rsidRPr="00A563DD">
        <w:t>The FY 2026</w:t>
      </w:r>
      <w:r w:rsidR="004F3C15">
        <w:t>–27</w:t>
      </w:r>
      <w:r w:rsidRPr="00A563DD">
        <w:t xml:space="preserve"> K12 SWP Application Process</w:t>
      </w:r>
    </w:p>
    <w:p w14:paraId="59372EC4" w14:textId="77777777" w:rsidR="00923BA6" w:rsidRPr="00923BA6" w:rsidRDefault="00923BA6" w:rsidP="00923BA6">
      <w:pPr>
        <w:spacing w:after="240"/>
      </w:pPr>
      <w:r w:rsidRPr="00923BA6">
        <w:rPr>
          <w:rFonts w:eastAsia="Arial" w:cs="Arial"/>
        </w:rPr>
        <w:t xml:space="preserve">For the Round 8 FY 2025–26 allocation, the CCCCO received 314 K12 SWP applications requesting a total of $257,684,065. </w:t>
      </w:r>
    </w:p>
    <w:p w14:paraId="0C358B44" w14:textId="14A6A5B2" w:rsidR="00923BA6" w:rsidRDefault="00923BA6" w:rsidP="00D15461">
      <w:pPr>
        <w:spacing w:after="240"/>
      </w:pPr>
      <w:r w:rsidRPr="00923BA6">
        <w:t xml:space="preserve">Round 8B Awards totaled an additional </w:t>
      </w:r>
      <w:r w:rsidR="00701A08">
        <w:t>$</w:t>
      </w:r>
      <w:r w:rsidRPr="00923BA6">
        <w:t>6,016,698 being allocated across 20 LEAs. These were announced in April.</w:t>
      </w:r>
    </w:p>
    <w:p w14:paraId="43FD4B1F" w14:textId="745F6F16" w:rsidR="00923BA6" w:rsidRPr="00923BA6" w:rsidRDefault="00923BA6" w:rsidP="00D15461">
      <w:pPr>
        <w:spacing w:after="240"/>
      </w:pPr>
      <w:r w:rsidRPr="00923BA6">
        <w:t xml:space="preserve">FY 2026–27 Round 9 RFA is currently in development and is expected to be released in August. </w:t>
      </w:r>
    </w:p>
    <w:p w14:paraId="6737B123" w14:textId="5B477618" w:rsidR="00923BA6" w:rsidRPr="00923BA6" w:rsidRDefault="00923BA6" w:rsidP="00D15461">
      <w:pPr>
        <w:spacing w:after="240"/>
      </w:pPr>
      <w:r w:rsidRPr="00923BA6">
        <w:t>We are currently in the transition stage for implementing a new reporting tool and will be hosting a walkthrough webinar July 23</w:t>
      </w:r>
      <w:r w:rsidR="00D15461">
        <w:t>, 2026</w:t>
      </w:r>
      <w:r w:rsidRPr="00923BA6">
        <w:t xml:space="preserve">. </w:t>
      </w:r>
    </w:p>
    <w:p w14:paraId="25FD51F5" w14:textId="583DF8E8" w:rsidR="00BF79ED" w:rsidRPr="004218F5" w:rsidRDefault="00BF79ED" w:rsidP="00617832">
      <w:pPr>
        <w:pStyle w:val="Heading4"/>
        <w:spacing w:after="240"/>
      </w:pPr>
      <w:r w:rsidRPr="1E882EEA">
        <w:t xml:space="preserve">The FY </w:t>
      </w:r>
      <w:r w:rsidRPr="1E882EEA">
        <w:rPr>
          <w:bCs/>
        </w:rPr>
        <w:t>202</w:t>
      </w:r>
      <w:r w:rsidR="004F3C15">
        <w:rPr>
          <w:bCs/>
        </w:rPr>
        <w:t>6</w:t>
      </w:r>
      <w:r w:rsidRPr="1E882EEA">
        <w:rPr>
          <w:bCs/>
        </w:rPr>
        <w:t>–2</w:t>
      </w:r>
      <w:r w:rsidR="004F3C15">
        <w:rPr>
          <w:bCs/>
        </w:rPr>
        <w:t>7</w:t>
      </w:r>
      <w:r w:rsidRPr="1E882EEA">
        <w:t xml:space="preserve"> Perkins V Application Process for the CCCCO Awards</w:t>
      </w:r>
    </w:p>
    <w:p w14:paraId="023DE8DE" w14:textId="0EACE735" w:rsidR="00BF79ED" w:rsidRPr="00D15461" w:rsidRDefault="00BF79ED" w:rsidP="00BF61BC">
      <w:pPr>
        <w:spacing w:after="240"/>
      </w:pPr>
      <w:r w:rsidRPr="00D15461">
        <w:rPr>
          <w:rFonts w:cs="Arial"/>
        </w:rPr>
        <w:t>For FY 202</w:t>
      </w:r>
      <w:r w:rsidR="004F3C15" w:rsidRPr="00D15461">
        <w:rPr>
          <w:rFonts w:cs="Arial"/>
        </w:rPr>
        <w:t>6</w:t>
      </w:r>
      <w:r w:rsidRPr="00D15461">
        <w:rPr>
          <w:rFonts w:cs="Arial"/>
        </w:rPr>
        <w:t>–2</w:t>
      </w:r>
      <w:r w:rsidR="004F3C15" w:rsidRPr="00D15461">
        <w:rPr>
          <w:rFonts w:cs="Arial"/>
        </w:rPr>
        <w:t>7</w:t>
      </w:r>
      <w:r w:rsidRPr="00D15461">
        <w:rPr>
          <w:rFonts w:cs="Arial"/>
        </w:rPr>
        <w:t xml:space="preserve"> the CCCCO received $</w:t>
      </w:r>
      <w:r w:rsidR="004F3C15" w:rsidRPr="00D15461">
        <w:rPr>
          <w:rFonts w:cs="Arial"/>
        </w:rPr>
        <w:t xml:space="preserve">62,920,582 </w:t>
      </w:r>
      <w:r w:rsidRPr="00D15461">
        <w:rPr>
          <w:rFonts w:cs="Arial"/>
        </w:rPr>
        <w:t>from CDE that was</w:t>
      </w:r>
      <w:r w:rsidRPr="00D15461">
        <w:t xml:space="preserve"> distributed to 72 community college districts (CCD) in California based upon the 202</w:t>
      </w:r>
      <w:r w:rsidR="004F3C15" w:rsidRPr="00D15461">
        <w:t>4</w:t>
      </w:r>
      <w:r w:rsidRPr="00D15461">
        <w:t>–2</w:t>
      </w:r>
      <w:r w:rsidR="004F3C15" w:rsidRPr="00D15461">
        <w:t>5</w:t>
      </w:r>
      <w:r w:rsidRPr="00D15461">
        <w:t xml:space="preserve"> unduplicated counts of students enrolled in CTE programs who met the economically disadvantaged criteria.</w:t>
      </w:r>
    </w:p>
    <w:p w14:paraId="1C1B3D5B" w14:textId="77777777" w:rsidR="00BF79ED" w:rsidRPr="00D15461" w:rsidRDefault="00BF79ED" w:rsidP="00BF61BC">
      <w:pPr>
        <w:spacing w:after="240"/>
        <w:rPr>
          <w:rFonts w:cs="Arial"/>
        </w:rPr>
      </w:pPr>
      <w:r w:rsidRPr="00D15461">
        <w:rPr>
          <w:rFonts w:cs="Arial"/>
        </w:rPr>
        <w:lastRenderedPageBreak/>
        <w:t>Perkins V Grantees Awarded (CCD): 72</w:t>
      </w:r>
    </w:p>
    <w:p w14:paraId="494BB905" w14:textId="568FFE2D" w:rsidR="00D15461" w:rsidRPr="00D15461" w:rsidRDefault="00D15461" w:rsidP="00D15461">
      <w:pPr>
        <w:spacing w:after="240"/>
      </w:pPr>
      <w:r w:rsidRPr="00D15461">
        <w:t>July 1, 2026, Funding Release: Perkins V subgrants and annual allocations for CTE programs become officially available to 72 community College Districts. Districts begin executing their approved grant activities, purchasing equipment, and rolling out new sequences of academic and technical courses.</w:t>
      </w:r>
    </w:p>
    <w:p w14:paraId="7905DDF0" w14:textId="77777777" w:rsidR="00D15461" w:rsidRPr="00D15461" w:rsidRDefault="00D15461" w:rsidP="00D15461">
      <w:pPr>
        <w:spacing w:after="240"/>
      </w:pPr>
      <w:r w:rsidRPr="00D15461">
        <w:t>July 15, 2026: Quarter 4 reporting FY 2025–26 is due.</w:t>
      </w:r>
    </w:p>
    <w:p w14:paraId="188BE137" w14:textId="28AADEE3" w:rsidR="00D15461" w:rsidRPr="003365B6" w:rsidRDefault="00D15461" w:rsidP="00BF61BC">
      <w:pPr>
        <w:spacing w:after="240"/>
        <w:rPr>
          <w:b/>
          <w:bCs/>
        </w:rPr>
      </w:pPr>
      <w:r w:rsidRPr="00D15461">
        <w:t>September 30 Deadline • The final expenditure report deadline for Perkins V (Title I, Part C) grants for the 2025–26 grant year is Sept. 30.</w:t>
      </w:r>
    </w:p>
    <w:p w14:paraId="221A0F86" w14:textId="07A55927" w:rsidR="003365B6" w:rsidRDefault="003365B6" w:rsidP="00BF0D11">
      <w:pPr>
        <w:pStyle w:val="Heading3"/>
        <w:spacing w:before="480" w:after="240"/>
      </w:pPr>
      <w:r w:rsidRPr="00A76BF2">
        <w:rPr>
          <w:szCs w:val="28"/>
        </w:rPr>
        <w:t>California</w:t>
      </w:r>
      <w:r w:rsidRPr="000A6BB8">
        <w:t xml:space="preserve"> Department of Education</w:t>
      </w:r>
      <w:r w:rsidR="00701A08">
        <w:t xml:space="preserve"> Updates</w:t>
      </w:r>
    </w:p>
    <w:p w14:paraId="07A32803" w14:textId="04E5A554" w:rsidR="00B810E2" w:rsidRPr="000A6BB8" w:rsidRDefault="00B810E2" w:rsidP="00617832">
      <w:pPr>
        <w:pStyle w:val="Heading4"/>
        <w:spacing w:after="240"/>
      </w:pPr>
      <w:r w:rsidRPr="00B810E2">
        <w:t>The Perkins V Application Process for the CDE Awards</w:t>
      </w:r>
    </w:p>
    <w:p w14:paraId="7A7EE3A0" w14:textId="3CBA4A7B" w:rsidR="00701A08" w:rsidRDefault="00A76BF2" w:rsidP="00BF0D11">
      <w:pPr>
        <w:spacing w:after="240"/>
      </w:pPr>
      <w:r w:rsidRPr="00DA1B08">
        <w:t>L</w:t>
      </w:r>
      <w:r>
        <w:t>EAs</w:t>
      </w:r>
      <w:r w:rsidRPr="00DA1B08">
        <w:t xml:space="preserve"> eligible to apply for Perkins V funding through the </w:t>
      </w:r>
      <w:r>
        <w:t>CDE</w:t>
      </w:r>
      <w:r w:rsidRPr="00DA1B08">
        <w:t xml:space="preserve"> include high school districts, charter schools, county offices of education (COEs), Regional Occupational Centers and Programs (ROCPs), adult schools, and State Special Schools (SSS). Applicants must meet the eligibility requirements outlined in Sections 112, 131, or 132 of </w:t>
      </w:r>
      <w:r w:rsidR="00BF0D11">
        <w:t>Perk</w:t>
      </w:r>
      <w:r w:rsidRPr="00DA1B08">
        <w:t>ins V, based on their institution type and program offerings</w:t>
      </w:r>
      <w:r w:rsidR="00701A08">
        <w:t>.</w:t>
      </w:r>
    </w:p>
    <w:p w14:paraId="6004BE1C" w14:textId="1E2FADD3" w:rsidR="009059C1" w:rsidRDefault="00AF61B3" w:rsidP="00BF0D11">
      <w:pPr>
        <w:rPr>
          <w:rFonts w:cs="Arial"/>
        </w:rPr>
      </w:pPr>
      <w:r>
        <w:rPr>
          <w:rFonts w:cs="Arial"/>
        </w:rPr>
        <w:t xml:space="preserve">Perkins V Grantees Awarded </w:t>
      </w:r>
      <w:r w:rsidR="00167142">
        <w:rPr>
          <w:rFonts w:cs="Arial"/>
        </w:rPr>
        <w:t>(K–12)</w:t>
      </w:r>
      <w:r>
        <w:rPr>
          <w:rFonts w:cs="Arial"/>
        </w:rPr>
        <w:t xml:space="preserve">: </w:t>
      </w:r>
      <w:r w:rsidR="00843433">
        <w:rPr>
          <w:rFonts w:cs="Arial"/>
        </w:rPr>
        <w:t>35</w:t>
      </w:r>
      <w:r w:rsidR="004F3C15">
        <w:rPr>
          <w:rFonts w:cs="Arial"/>
        </w:rPr>
        <w:t>7</w:t>
      </w:r>
      <w:r w:rsidR="004218F5">
        <w:rPr>
          <w:rFonts w:cs="Arial"/>
        </w:rPr>
        <w:t>*</w:t>
      </w:r>
    </w:p>
    <w:p w14:paraId="3DE317C1" w14:textId="07F53D5D" w:rsidR="005C43CE" w:rsidRDefault="005C43CE" w:rsidP="00BF0D11">
      <w:pPr>
        <w:rPr>
          <w:rFonts w:cs="Arial"/>
        </w:rPr>
      </w:pPr>
      <w:r>
        <w:rPr>
          <w:rFonts w:cs="Arial"/>
        </w:rPr>
        <w:t xml:space="preserve">Perkins V Grantees Awarded (Adult Schools): </w:t>
      </w:r>
      <w:r w:rsidR="00843433">
        <w:rPr>
          <w:rFonts w:cs="Arial"/>
        </w:rPr>
        <w:t>3</w:t>
      </w:r>
      <w:r w:rsidR="004F3C15">
        <w:rPr>
          <w:rFonts w:cs="Arial"/>
        </w:rPr>
        <w:t>9</w:t>
      </w:r>
      <w:r w:rsidR="004218F5">
        <w:rPr>
          <w:rFonts w:cs="Arial"/>
        </w:rPr>
        <w:t>*</w:t>
      </w:r>
    </w:p>
    <w:p w14:paraId="457F4725" w14:textId="012FD36B" w:rsidR="005C43CE" w:rsidRDefault="005C43CE" w:rsidP="00BF0D11">
      <w:pPr>
        <w:rPr>
          <w:rFonts w:cs="Arial"/>
        </w:rPr>
      </w:pPr>
      <w:r>
        <w:rPr>
          <w:rFonts w:cs="Arial"/>
        </w:rPr>
        <w:t>Perkins V Grantees Awarded (SSS): 3</w:t>
      </w:r>
    </w:p>
    <w:p w14:paraId="6EF339A8" w14:textId="6947929F" w:rsidR="004218F5" w:rsidRDefault="004218F5" w:rsidP="00BF0D11">
      <w:pPr>
        <w:spacing w:after="240"/>
        <w:rPr>
          <w:rFonts w:cs="Arial"/>
        </w:rPr>
      </w:pPr>
      <w:r>
        <w:rPr>
          <w:rFonts w:cs="Arial"/>
        </w:rPr>
        <w:t>*These amounts include consortia members.</w:t>
      </w:r>
    </w:p>
    <w:p w14:paraId="0C5F6AF9" w14:textId="77777777" w:rsidR="00A76BF2" w:rsidRPr="00701A08" w:rsidRDefault="00A76BF2" w:rsidP="00701A08">
      <w:pPr>
        <w:pStyle w:val="Heading4"/>
        <w:spacing w:after="240"/>
      </w:pPr>
      <w:r w:rsidRPr="00701A08">
        <w:t>CTEIG Application Process</w:t>
      </w:r>
    </w:p>
    <w:p w14:paraId="439781BD" w14:textId="55131EF7" w:rsidR="00A76BF2" w:rsidRPr="00DA1B08" w:rsidRDefault="00A76BF2" w:rsidP="00BF0D11">
      <w:pPr>
        <w:spacing w:after="240"/>
      </w:pPr>
      <w:r w:rsidRPr="00DA1B08">
        <w:t xml:space="preserve">Pursuant to California </w:t>
      </w:r>
      <w:r w:rsidRPr="00A76BF2">
        <w:rPr>
          <w:i/>
          <w:iCs/>
        </w:rPr>
        <w:t>EC</w:t>
      </w:r>
      <w:r w:rsidRPr="00DA1B08">
        <w:t xml:space="preserve"> Section 53072, an eligible grant recipient may consist of one or more, or any combination, of the following entities: school districts, </w:t>
      </w:r>
      <w:r w:rsidR="00BF0D11">
        <w:t>COEs</w:t>
      </w:r>
      <w:r w:rsidRPr="00DA1B08">
        <w:t>, charter schools, and ROCPs operated by a joint powers authority (JPA) or a COE.</w:t>
      </w:r>
    </w:p>
    <w:p w14:paraId="2658FABD" w14:textId="5165232A" w:rsidR="00A76BF2" w:rsidRPr="00A76BF2" w:rsidRDefault="00A76BF2" w:rsidP="00BF0D11">
      <w:pPr>
        <w:spacing w:after="240"/>
      </w:pPr>
      <w:r w:rsidRPr="00DA1B08">
        <w:t xml:space="preserve">The FY 2026–27 CTEIG Request for Applications was released </w:t>
      </w:r>
      <w:r w:rsidRPr="00A76BF2">
        <w:t>on May 18, 2026, and closed on June 19, 2026. An application webinar was held on May 26, 2026, providing prospective applicants with an opportunity to ask clarifying questions about the application process.</w:t>
      </w:r>
    </w:p>
    <w:p w14:paraId="3E97FEA6" w14:textId="61E90E50" w:rsidR="00A76BF2" w:rsidRPr="00A76BF2" w:rsidRDefault="00A76BF2" w:rsidP="00BF0D11">
      <w:pPr>
        <w:spacing w:after="240"/>
      </w:pPr>
      <w:r w:rsidRPr="00A76BF2">
        <w:t>The CDE's Career and College Transition Division received 446 applications, which are currently under review and evaluation. The list of recommended grantees and their funding allocations will be presented to the State Board of Education (SBE) for approval at its September 2026 meeting.</w:t>
      </w:r>
    </w:p>
    <w:p w14:paraId="1811D482" w14:textId="77777777" w:rsidR="00A76BF2" w:rsidRPr="00701A08" w:rsidRDefault="00A76BF2" w:rsidP="00701A08">
      <w:pPr>
        <w:pStyle w:val="Heading4"/>
        <w:spacing w:after="240"/>
      </w:pPr>
      <w:r w:rsidRPr="00701A08">
        <w:lastRenderedPageBreak/>
        <w:t>CTEIG Funding Formula Update</w:t>
      </w:r>
    </w:p>
    <w:p w14:paraId="7F124415" w14:textId="27FE421E" w:rsidR="00A76BF2" w:rsidRPr="00DA1B08" w:rsidRDefault="00A76BF2" w:rsidP="00BF0D11">
      <w:pPr>
        <w:spacing w:after="240"/>
      </w:pPr>
      <w:r w:rsidRPr="00DA1B08">
        <w:t xml:space="preserve">In collaboration with SBE staff, the </w:t>
      </w:r>
      <w:r w:rsidR="00BF0D11">
        <w:t>CDE updat</w:t>
      </w:r>
      <w:r w:rsidRPr="00DA1B08">
        <w:t>ed the CTEIG funding formula to maximize the distribution of available grant funds among eligible applicants while maintaining the statutory funding structure.</w:t>
      </w:r>
    </w:p>
    <w:p w14:paraId="7ACAD70E" w14:textId="77777777" w:rsidR="00A76BF2" w:rsidRPr="00DA1B08" w:rsidRDefault="00A76BF2" w:rsidP="00BF0D11">
      <w:pPr>
        <w:spacing w:after="240"/>
        <w:rPr>
          <w:b/>
          <w:bCs/>
        </w:rPr>
      </w:pPr>
      <w:r w:rsidRPr="00DA1B08">
        <w:rPr>
          <w:b/>
          <w:bCs/>
        </w:rPr>
        <w:t>Current Funding Formula</w:t>
      </w:r>
    </w:p>
    <w:p w14:paraId="52A936FC" w14:textId="77777777" w:rsidR="00A76BF2" w:rsidRPr="00DA1B08" w:rsidRDefault="00A76BF2" w:rsidP="00BF0D11">
      <w:pPr>
        <w:spacing w:after="240"/>
      </w:pPr>
      <w:r w:rsidRPr="00DA1B08">
        <w:t>The current funding formula allocates grant funds across three applicant categories:</w:t>
      </w:r>
    </w:p>
    <w:p w14:paraId="40AF47F9" w14:textId="0B46B209" w:rsidR="00A76BF2" w:rsidRPr="00DA1B08" w:rsidRDefault="00A76BF2" w:rsidP="00A76BF2">
      <w:pPr>
        <w:numPr>
          <w:ilvl w:val="0"/>
          <w:numId w:val="31"/>
        </w:numPr>
        <w:spacing w:line="278" w:lineRule="auto"/>
      </w:pPr>
      <w:r w:rsidRPr="00DA1B08">
        <w:rPr>
          <w:b/>
          <w:bCs/>
        </w:rPr>
        <w:t>Small LEAs:</w:t>
      </w:r>
      <w:r w:rsidRPr="00DA1B08">
        <w:t xml:space="preserve"> 4</w:t>
      </w:r>
      <w:r>
        <w:t xml:space="preserve"> percent</w:t>
      </w:r>
    </w:p>
    <w:p w14:paraId="1F6900EA" w14:textId="1353DADF" w:rsidR="00A76BF2" w:rsidRPr="00DA1B08" w:rsidRDefault="00A76BF2" w:rsidP="00A76BF2">
      <w:pPr>
        <w:numPr>
          <w:ilvl w:val="0"/>
          <w:numId w:val="31"/>
        </w:numPr>
        <w:spacing w:line="278" w:lineRule="auto"/>
      </w:pPr>
      <w:r w:rsidRPr="00DA1B08">
        <w:rPr>
          <w:b/>
          <w:bCs/>
        </w:rPr>
        <w:t>Medium LEAs:</w:t>
      </w:r>
      <w:r w:rsidRPr="00DA1B08">
        <w:t xml:space="preserve"> 8</w:t>
      </w:r>
      <w:r>
        <w:t xml:space="preserve"> percent</w:t>
      </w:r>
    </w:p>
    <w:p w14:paraId="1A54C23D" w14:textId="1442FD7D" w:rsidR="00A76BF2" w:rsidRPr="00DA1B08" w:rsidRDefault="00A76BF2" w:rsidP="00A76BF2">
      <w:pPr>
        <w:numPr>
          <w:ilvl w:val="0"/>
          <w:numId w:val="31"/>
        </w:numPr>
        <w:spacing w:after="160" w:line="278" w:lineRule="auto"/>
      </w:pPr>
      <w:r w:rsidRPr="00DA1B08">
        <w:rPr>
          <w:b/>
          <w:bCs/>
        </w:rPr>
        <w:t>Large LEAs:</w:t>
      </w:r>
      <w:r w:rsidRPr="00DA1B08">
        <w:t xml:space="preserve"> 88</w:t>
      </w:r>
      <w:r>
        <w:t xml:space="preserve"> percent</w:t>
      </w:r>
    </w:p>
    <w:p w14:paraId="40AC5E99" w14:textId="77777777" w:rsidR="00A76BF2" w:rsidRPr="00DA1B08" w:rsidRDefault="00A76BF2" w:rsidP="00BF0D11">
      <w:pPr>
        <w:spacing w:after="240"/>
      </w:pPr>
      <w:r w:rsidRPr="00DA1B08">
        <w:t>Within each category:</w:t>
      </w:r>
    </w:p>
    <w:p w14:paraId="2FB5F584" w14:textId="77777777" w:rsidR="00A76BF2" w:rsidRPr="00DA1B08" w:rsidRDefault="00A76BF2" w:rsidP="00A76BF2">
      <w:pPr>
        <w:numPr>
          <w:ilvl w:val="0"/>
          <w:numId w:val="32"/>
        </w:numPr>
        <w:spacing w:after="160" w:line="278" w:lineRule="auto"/>
      </w:pPr>
      <w:r w:rsidRPr="00DA1B08">
        <w:rPr>
          <w:b/>
          <w:bCs/>
        </w:rPr>
        <w:t>70%</w:t>
      </w:r>
      <w:r w:rsidRPr="00DA1B08">
        <w:t xml:space="preserve"> of funds are allocated based on Average Daily Attendance (ADA).</w:t>
      </w:r>
    </w:p>
    <w:p w14:paraId="72988BF0" w14:textId="77777777" w:rsidR="00A76BF2" w:rsidRPr="00DA1B08" w:rsidRDefault="00A76BF2" w:rsidP="00A76BF2">
      <w:pPr>
        <w:numPr>
          <w:ilvl w:val="0"/>
          <w:numId w:val="32"/>
        </w:numPr>
        <w:spacing w:after="160" w:line="278" w:lineRule="auto"/>
      </w:pPr>
      <w:r w:rsidRPr="00DA1B08">
        <w:rPr>
          <w:b/>
          <w:bCs/>
        </w:rPr>
        <w:t>30%</w:t>
      </w:r>
      <w:r w:rsidRPr="00DA1B08">
        <w:t xml:space="preserve"> are allocated using eight positive consideration factors:</w:t>
      </w:r>
    </w:p>
    <w:p w14:paraId="613D5EDC" w14:textId="77777777" w:rsidR="00A76BF2" w:rsidRPr="00DA1B08" w:rsidRDefault="00A76BF2" w:rsidP="00A76BF2">
      <w:pPr>
        <w:numPr>
          <w:ilvl w:val="1"/>
          <w:numId w:val="32"/>
        </w:numPr>
        <w:spacing w:line="278" w:lineRule="auto"/>
      </w:pPr>
      <w:r w:rsidRPr="00DA1B08">
        <w:t>Unduplicated Pupil Count (UPC)</w:t>
      </w:r>
    </w:p>
    <w:p w14:paraId="0A6D14B0" w14:textId="77777777" w:rsidR="00A76BF2" w:rsidRPr="00DA1B08" w:rsidRDefault="00A76BF2" w:rsidP="00A76BF2">
      <w:pPr>
        <w:numPr>
          <w:ilvl w:val="1"/>
          <w:numId w:val="32"/>
        </w:numPr>
        <w:spacing w:line="278" w:lineRule="auto"/>
      </w:pPr>
      <w:r w:rsidRPr="00DA1B08">
        <w:t>High dropout rate</w:t>
      </w:r>
    </w:p>
    <w:p w14:paraId="15BF5398" w14:textId="77777777" w:rsidR="00A76BF2" w:rsidRPr="00DA1B08" w:rsidRDefault="00A76BF2" w:rsidP="00A76BF2">
      <w:pPr>
        <w:numPr>
          <w:ilvl w:val="1"/>
          <w:numId w:val="32"/>
        </w:numPr>
        <w:spacing w:line="278" w:lineRule="auto"/>
      </w:pPr>
      <w:r w:rsidRPr="00DA1B08">
        <w:t>High unemployment rate</w:t>
      </w:r>
    </w:p>
    <w:p w14:paraId="67F6B5C6" w14:textId="77777777" w:rsidR="00A76BF2" w:rsidRPr="00DA1B08" w:rsidRDefault="00A76BF2" w:rsidP="00A76BF2">
      <w:pPr>
        <w:numPr>
          <w:ilvl w:val="1"/>
          <w:numId w:val="32"/>
        </w:numPr>
        <w:spacing w:line="278" w:lineRule="auto"/>
      </w:pPr>
      <w:r w:rsidRPr="00DA1B08">
        <w:t>JPA/ROP/COE status</w:t>
      </w:r>
    </w:p>
    <w:p w14:paraId="7EA858AC" w14:textId="77777777" w:rsidR="00A76BF2" w:rsidRPr="00DA1B08" w:rsidRDefault="00A76BF2" w:rsidP="00A76BF2">
      <w:pPr>
        <w:numPr>
          <w:ilvl w:val="1"/>
          <w:numId w:val="32"/>
        </w:numPr>
        <w:spacing w:line="278" w:lineRule="auto"/>
      </w:pPr>
      <w:r w:rsidRPr="00DA1B08">
        <w:t>Regional collaboration</w:t>
      </w:r>
    </w:p>
    <w:p w14:paraId="1B5EC655" w14:textId="77777777" w:rsidR="00A76BF2" w:rsidRPr="00DA1B08" w:rsidRDefault="00A76BF2" w:rsidP="00A76BF2">
      <w:pPr>
        <w:numPr>
          <w:ilvl w:val="1"/>
          <w:numId w:val="32"/>
        </w:numPr>
        <w:spacing w:line="278" w:lineRule="auto"/>
      </w:pPr>
      <w:r w:rsidRPr="00DA1B08">
        <w:t>Rural designation</w:t>
      </w:r>
    </w:p>
    <w:p w14:paraId="1DEB6A7F" w14:textId="77777777" w:rsidR="00A76BF2" w:rsidRPr="00DA1B08" w:rsidRDefault="00A76BF2" w:rsidP="00A76BF2">
      <w:pPr>
        <w:numPr>
          <w:ilvl w:val="1"/>
          <w:numId w:val="32"/>
        </w:numPr>
        <w:spacing w:line="278" w:lineRule="auto"/>
      </w:pPr>
      <w:r w:rsidRPr="00DA1B08">
        <w:t>Leveraging of resources</w:t>
      </w:r>
    </w:p>
    <w:p w14:paraId="6B6145C7" w14:textId="77777777" w:rsidR="00A76BF2" w:rsidRPr="00DA1B08" w:rsidRDefault="00A76BF2" w:rsidP="00A76BF2">
      <w:pPr>
        <w:numPr>
          <w:ilvl w:val="1"/>
          <w:numId w:val="32"/>
        </w:numPr>
        <w:spacing w:after="160" w:line="278" w:lineRule="auto"/>
      </w:pPr>
      <w:r w:rsidRPr="00DA1B08">
        <w:t>Infrastructure investment</w:t>
      </w:r>
    </w:p>
    <w:p w14:paraId="0DBED39D" w14:textId="77777777" w:rsidR="00A76BF2" w:rsidRPr="00DA1B08" w:rsidRDefault="00A76BF2" w:rsidP="00A76BF2">
      <w:pPr>
        <w:spacing w:after="240"/>
      </w:pPr>
      <w:r w:rsidRPr="00DA1B08">
        <w:t xml:space="preserve">Each LEA receives the lesser of its calculated allocation or its required local match amount. Funds that cannot be awarded because an applicant has reached its match cap are rolled over sequentially from the </w:t>
      </w:r>
      <w:proofErr w:type="gramStart"/>
      <w:r w:rsidRPr="00DA1B08">
        <w:t>Small</w:t>
      </w:r>
      <w:proofErr w:type="gramEnd"/>
      <w:r w:rsidRPr="00DA1B08">
        <w:t xml:space="preserve"> </w:t>
      </w:r>
      <w:r>
        <w:t>category</w:t>
      </w:r>
      <w:r w:rsidRPr="00DA1B08">
        <w:t xml:space="preserve"> to the </w:t>
      </w:r>
      <w:proofErr w:type="gramStart"/>
      <w:r w:rsidRPr="00DA1B08">
        <w:t>Medium</w:t>
      </w:r>
      <w:proofErr w:type="gramEnd"/>
      <w:r w:rsidRPr="00DA1B08">
        <w:t xml:space="preserve"> </w:t>
      </w:r>
      <w:r>
        <w:t xml:space="preserve">category </w:t>
      </w:r>
      <w:r w:rsidRPr="00DA1B08">
        <w:t xml:space="preserve">and then to the </w:t>
      </w:r>
      <w:proofErr w:type="gramStart"/>
      <w:r w:rsidRPr="00DA1B08">
        <w:t>Large</w:t>
      </w:r>
      <w:proofErr w:type="gramEnd"/>
      <w:r w:rsidRPr="00DA1B08">
        <w:t xml:space="preserve"> </w:t>
      </w:r>
      <w:r>
        <w:t>category</w:t>
      </w:r>
      <w:r w:rsidRPr="00DA1B08">
        <w:t>.</w:t>
      </w:r>
    </w:p>
    <w:p w14:paraId="6CC8EC4C" w14:textId="77777777" w:rsidR="00A76BF2" w:rsidRPr="00DA1B08" w:rsidRDefault="00A76BF2" w:rsidP="00A76BF2">
      <w:pPr>
        <w:spacing w:after="240"/>
        <w:rPr>
          <w:b/>
          <w:bCs/>
        </w:rPr>
      </w:pPr>
      <w:r w:rsidRPr="00DA1B08">
        <w:rPr>
          <w:b/>
          <w:bCs/>
        </w:rPr>
        <w:t>Updated Funding Formula for FY 2026–27</w:t>
      </w:r>
    </w:p>
    <w:p w14:paraId="731E1DA3" w14:textId="357FD7EA" w:rsidR="00A76BF2" w:rsidRPr="00DA1B08" w:rsidRDefault="00A76BF2" w:rsidP="00A76BF2">
      <w:pPr>
        <w:spacing w:after="240"/>
      </w:pPr>
      <w:r w:rsidRPr="00DA1B08">
        <w:t>The updated funding formula maintains the existing funding structure</w:t>
      </w:r>
      <w:r>
        <w:t xml:space="preserve"> of </w:t>
      </w:r>
      <w:r w:rsidRPr="00DA1B08">
        <w:t>4</w:t>
      </w:r>
      <w:r w:rsidR="00285492">
        <w:t xml:space="preserve"> percent</w:t>
      </w:r>
      <w:r w:rsidRPr="00DA1B08">
        <w:t xml:space="preserve"> Small, 8</w:t>
      </w:r>
      <w:r w:rsidR="00285492">
        <w:t xml:space="preserve"> percent </w:t>
      </w:r>
      <w:r w:rsidRPr="00DA1B08">
        <w:t>Medium, and 88</w:t>
      </w:r>
      <w:r w:rsidR="00285492">
        <w:t xml:space="preserve"> percent</w:t>
      </w:r>
      <w:r w:rsidRPr="00DA1B08">
        <w:t xml:space="preserve"> Large</w:t>
      </w:r>
      <w:r>
        <w:t xml:space="preserve">, </w:t>
      </w:r>
      <w:r w:rsidRPr="00DA1B08">
        <w:t>with allocations continuing to be based on:</w:t>
      </w:r>
    </w:p>
    <w:p w14:paraId="6563E422" w14:textId="77777777" w:rsidR="00A76BF2" w:rsidRPr="00DA1B08" w:rsidRDefault="00A76BF2" w:rsidP="009D7D2A">
      <w:pPr>
        <w:numPr>
          <w:ilvl w:val="0"/>
          <w:numId w:val="33"/>
        </w:numPr>
        <w:spacing w:line="278" w:lineRule="auto"/>
      </w:pPr>
      <w:r w:rsidRPr="00DA1B08">
        <w:rPr>
          <w:b/>
          <w:bCs/>
        </w:rPr>
        <w:t>70% ADA</w:t>
      </w:r>
    </w:p>
    <w:p w14:paraId="4433D82C" w14:textId="77777777" w:rsidR="00A76BF2" w:rsidRPr="00DA1B08" w:rsidRDefault="00A76BF2" w:rsidP="00A76BF2">
      <w:pPr>
        <w:numPr>
          <w:ilvl w:val="0"/>
          <w:numId w:val="33"/>
        </w:numPr>
        <w:spacing w:after="160" w:line="278" w:lineRule="auto"/>
      </w:pPr>
      <w:r w:rsidRPr="00DA1B08">
        <w:rPr>
          <w:b/>
          <w:bCs/>
        </w:rPr>
        <w:t>30% positive consideration factors</w:t>
      </w:r>
    </w:p>
    <w:p w14:paraId="13F8F870" w14:textId="77777777" w:rsidR="00A76BF2" w:rsidRPr="00DA1B08" w:rsidRDefault="00A76BF2" w:rsidP="00A76BF2">
      <w:pPr>
        <w:spacing w:after="240"/>
      </w:pPr>
      <w:r w:rsidRPr="00DA1B08">
        <w:t>The key enhancements are:</w:t>
      </w:r>
    </w:p>
    <w:p w14:paraId="515F9C1B" w14:textId="77777777" w:rsidR="00A76BF2" w:rsidRPr="00DA1B08" w:rsidRDefault="00A76BF2" w:rsidP="00A76BF2">
      <w:pPr>
        <w:numPr>
          <w:ilvl w:val="0"/>
          <w:numId w:val="34"/>
        </w:numPr>
        <w:spacing w:after="160" w:line="278" w:lineRule="auto"/>
      </w:pPr>
      <w:r w:rsidRPr="00DA1B08">
        <w:rPr>
          <w:b/>
          <w:bCs/>
        </w:rPr>
        <w:t>Redistribution of Unallocated Funds</w:t>
      </w:r>
    </w:p>
    <w:p w14:paraId="5BF49338" w14:textId="77777777" w:rsidR="00A76BF2" w:rsidRPr="00DA1B08" w:rsidRDefault="00A76BF2" w:rsidP="00A76BF2">
      <w:pPr>
        <w:spacing w:after="240"/>
      </w:pPr>
      <w:r w:rsidRPr="00DA1B08">
        <w:lastRenderedPageBreak/>
        <w:t>Funds that cannot be awarded because an applicant has reached its required local match will be redistributed among other eligible applicants within the funding formula. Redistribution will continue until applicants either reach their required match amount or receive the maximum allocation generated by the funding formula. This approach ensures that available grant funds are more fully distributed to eligible entities.</w:t>
      </w:r>
    </w:p>
    <w:p w14:paraId="50C0BC43" w14:textId="2D4570C6" w:rsidR="00A76BF2" w:rsidRPr="00DA1B08" w:rsidRDefault="00A76BF2" w:rsidP="00A76BF2">
      <w:pPr>
        <w:numPr>
          <w:ilvl w:val="0"/>
          <w:numId w:val="34"/>
        </w:numPr>
        <w:spacing w:after="160" w:line="278" w:lineRule="auto"/>
      </w:pPr>
      <w:r w:rsidRPr="00DA1B08">
        <w:rPr>
          <w:b/>
          <w:bCs/>
        </w:rPr>
        <w:t>UPC Calculation for Consortium Applicants</w:t>
      </w:r>
    </w:p>
    <w:p w14:paraId="0D0325EB" w14:textId="11EF66E4" w:rsidR="00A76BF2" w:rsidRPr="00DA1B08" w:rsidRDefault="00A76BF2" w:rsidP="00A76BF2">
      <w:pPr>
        <w:spacing w:after="240"/>
      </w:pPr>
      <w:r w:rsidRPr="00DA1B08">
        <w:t xml:space="preserve">Applicants that submit both an individual application and participate in a consortium will have their </w:t>
      </w:r>
      <w:r w:rsidR="00285492">
        <w:t>UPC</w:t>
      </w:r>
      <w:r w:rsidRPr="00DA1B08">
        <w:t xml:space="preserve"> calculated proportionally based on the percentage of ADA contributed to each application. This revised methodology more accurately reflects each applicant's share of the consortium and promotes a more equitable distribution of positive consideration points.</w:t>
      </w:r>
    </w:p>
    <w:p w14:paraId="4CD2581A" w14:textId="77777777" w:rsidR="00A76BF2" w:rsidRPr="00701A08" w:rsidRDefault="00A76BF2" w:rsidP="00701A08">
      <w:pPr>
        <w:pStyle w:val="Heading4"/>
        <w:spacing w:after="240"/>
      </w:pPr>
      <w:r w:rsidRPr="00701A08">
        <w:t>Work-Based Learning Added to the College and Career Indicator</w:t>
      </w:r>
    </w:p>
    <w:p w14:paraId="3C8AABF8" w14:textId="2A92057D" w:rsidR="00A76BF2" w:rsidRPr="00E01173" w:rsidRDefault="00A76BF2" w:rsidP="00701A08">
      <w:pPr>
        <w:spacing w:after="240"/>
      </w:pPr>
      <w:r w:rsidRPr="00E01173">
        <w:t xml:space="preserve">At its May 2026 meeting, the SBE approved the addition of Work-Based Learning (WBL) as a new measure within the College/Career Indicator (CCI) on the California School Dashboard. The CCI is one of the state indicators used to </w:t>
      </w:r>
      <w:proofErr w:type="gramStart"/>
      <w:r w:rsidRPr="00E01173">
        <w:t>evaluate how</w:t>
      </w:r>
      <w:proofErr w:type="gramEnd"/>
      <w:r w:rsidRPr="00E01173">
        <w:t xml:space="preserve"> effectively LEAs prepare students for college and career success. The addition of W</w:t>
      </w:r>
      <w:r w:rsidR="003A1558">
        <w:t xml:space="preserve">BL </w:t>
      </w:r>
      <w:r w:rsidRPr="00E01173">
        <w:t>expands the ways LEAs can demonstrate students' college and career readiness by recognizing meaningful workplace learning experiences alongside other established readiness measures.</w:t>
      </w:r>
    </w:p>
    <w:p w14:paraId="2EF430B9" w14:textId="2791C8A1" w:rsidR="00A76BF2" w:rsidRPr="00E01173" w:rsidRDefault="00A76BF2" w:rsidP="00A76BF2">
      <w:pPr>
        <w:spacing w:after="240"/>
      </w:pPr>
      <w:r w:rsidRPr="00E01173">
        <w:t>The SBE approved the following definitions for high-quality W</w:t>
      </w:r>
      <w:r w:rsidR="003A1558">
        <w:t>BL</w:t>
      </w:r>
      <w:r w:rsidRPr="00E01173">
        <w:t>:</w:t>
      </w:r>
    </w:p>
    <w:p w14:paraId="68FDE4B3" w14:textId="77777777" w:rsidR="00A76BF2" w:rsidRPr="00E01173" w:rsidRDefault="00A76BF2" w:rsidP="00A76BF2">
      <w:pPr>
        <w:numPr>
          <w:ilvl w:val="0"/>
          <w:numId w:val="35"/>
        </w:numPr>
        <w:spacing w:after="160" w:line="278" w:lineRule="auto"/>
        <w:rPr>
          <w:b/>
          <w:bCs/>
        </w:rPr>
      </w:pPr>
      <w:r w:rsidRPr="00E01173">
        <w:rPr>
          <w:b/>
          <w:bCs/>
        </w:rPr>
        <w:t>Work-Based Learning: Internship</w:t>
      </w:r>
    </w:p>
    <w:p w14:paraId="6F3B8968" w14:textId="77777777" w:rsidR="00A76BF2" w:rsidRPr="00E01173" w:rsidRDefault="00A76BF2" w:rsidP="00A76BF2">
      <w:pPr>
        <w:numPr>
          <w:ilvl w:val="1"/>
          <w:numId w:val="35"/>
        </w:numPr>
        <w:spacing w:after="160" w:line="278" w:lineRule="auto"/>
      </w:pPr>
      <w:r w:rsidRPr="00E01173">
        <w:t>At least 50 hours in duration;</w:t>
      </w:r>
    </w:p>
    <w:p w14:paraId="5A134793" w14:textId="77777777" w:rsidR="00A76BF2" w:rsidRPr="00E01173" w:rsidRDefault="00A76BF2" w:rsidP="00A76BF2">
      <w:pPr>
        <w:numPr>
          <w:ilvl w:val="1"/>
          <w:numId w:val="35"/>
        </w:numPr>
        <w:spacing w:after="160" w:line="278" w:lineRule="auto"/>
      </w:pPr>
      <w:r w:rsidRPr="00E01173">
        <w:t>Sponsored by the LEA;</w:t>
      </w:r>
    </w:p>
    <w:p w14:paraId="30ADC8B7" w14:textId="77777777" w:rsidR="00A76BF2" w:rsidRPr="00E01173" w:rsidRDefault="00A76BF2" w:rsidP="00A76BF2">
      <w:pPr>
        <w:numPr>
          <w:ilvl w:val="1"/>
          <w:numId w:val="35"/>
        </w:numPr>
        <w:spacing w:after="160" w:line="278" w:lineRule="auto"/>
      </w:pPr>
      <w:r w:rsidRPr="00E01173">
        <w:t>Student earns "Meets Expectations" or higher on an employer performance evaluation; and</w:t>
      </w:r>
    </w:p>
    <w:p w14:paraId="15F9E70E" w14:textId="77777777" w:rsidR="00A76BF2" w:rsidRPr="00E01173" w:rsidRDefault="00A76BF2" w:rsidP="00A76BF2">
      <w:pPr>
        <w:numPr>
          <w:ilvl w:val="1"/>
          <w:numId w:val="35"/>
        </w:numPr>
        <w:spacing w:after="160" w:line="278" w:lineRule="auto"/>
      </w:pPr>
      <w:r w:rsidRPr="00E01173">
        <w:t>Completed as part of a course offered by the LEA.</w:t>
      </w:r>
    </w:p>
    <w:p w14:paraId="2F21BE02" w14:textId="77777777" w:rsidR="00A76BF2" w:rsidRPr="00E01173" w:rsidRDefault="00A76BF2" w:rsidP="00A76BF2">
      <w:pPr>
        <w:numPr>
          <w:ilvl w:val="0"/>
          <w:numId w:val="35"/>
        </w:numPr>
        <w:spacing w:after="160" w:line="278" w:lineRule="auto"/>
        <w:rPr>
          <w:b/>
          <w:bCs/>
        </w:rPr>
      </w:pPr>
      <w:r w:rsidRPr="00E01173">
        <w:rPr>
          <w:b/>
          <w:bCs/>
        </w:rPr>
        <w:t>Work-Based Learning: Student-led Enterprise</w:t>
      </w:r>
    </w:p>
    <w:p w14:paraId="3C8315DD" w14:textId="77777777" w:rsidR="00A76BF2" w:rsidRPr="00E01173" w:rsidRDefault="00A76BF2" w:rsidP="00A76BF2">
      <w:pPr>
        <w:numPr>
          <w:ilvl w:val="1"/>
          <w:numId w:val="35"/>
        </w:numPr>
        <w:spacing w:after="160" w:line="278" w:lineRule="auto"/>
      </w:pPr>
      <w:r w:rsidRPr="00E01173">
        <w:t>At least 50 hours in duration.</w:t>
      </w:r>
    </w:p>
    <w:p w14:paraId="0BEA8F89" w14:textId="77777777" w:rsidR="00A76BF2" w:rsidRPr="00E01173" w:rsidRDefault="00A76BF2" w:rsidP="00A76BF2">
      <w:pPr>
        <w:numPr>
          <w:ilvl w:val="0"/>
          <w:numId w:val="35"/>
        </w:numPr>
        <w:spacing w:after="160" w:line="278" w:lineRule="auto"/>
        <w:rPr>
          <w:b/>
          <w:bCs/>
        </w:rPr>
      </w:pPr>
      <w:r w:rsidRPr="00E01173">
        <w:rPr>
          <w:b/>
          <w:bCs/>
        </w:rPr>
        <w:t>Work-Based Learning: Simulated Work-Based Learning</w:t>
      </w:r>
    </w:p>
    <w:p w14:paraId="409142DA" w14:textId="77777777" w:rsidR="00A76BF2" w:rsidRPr="00E01173" w:rsidRDefault="00A76BF2" w:rsidP="00A76BF2">
      <w:pPr>
        <w:numPr>
          <w:ilvl w:val="1"/>
          <w:numId w:val="35"/>
        </w:numPr>
        <w:spacing w:after="160" w:line="278" w:lineRule="auto"/>
      </w:pPr>
      <w:r w:rsidRPr="00E01173">
        <w:t>At least 50 hours in duration.</w:t>
      </w:r>
    </w:p>
    <w:p w14:paraId="1FBE74FF" w14:textId="78B58FD0" w:rsidR="00A76BF2" w:rsidRPr="00E01173" w:rsidRDefault="00A76BF2" w:rsidP="00A76BF2">
      <w:pPr>
        <w:spacing w:after="240"/>
      </w:pPr>
      <w:r w:rsidRPr="00E01173">
        <w:t>Under the approved CCI methodology, a student will be considered to have met the W</w:t>
      </w:r>
      <w:r w:rsidR="003A1558">
        <w:t>BL</w:t>
      </w:r>
      <w:r w:rsidRPr="00E01173">
        <w:t xml:space="preserve"> measure by completing a high-quality W</w:t>
      </w:r>
      <w:r w:rsidR="003A1558">
        <w:t>BL</w:t>
      </w:r>
      <w:r w:rsidRPr="00E01173">
        <w:t xml:space="preserve"> experience and at least one of the following approved college and career readiness measures:</w:t>
      </w:r>
    </w:p>
    <w:p w14:paraId="689B1F45" w14:textId="4499F56C" w:rsidR="00A76BF2" w:rsidRPr="00E01173" w:rsidRDefault="00A76BF2" w:rsidP="00A76BF2">
      <w:pPr>
        <w:numPr>
          <w:ilvl w:val="0"/>
          <w:numId w:val="36"/>
        </w:numPr>
        <w:spacing w:after="160" w:line="278" w:lineRule="auto"/>
      </w:pPr>
      <w:r w:rsidRPr="00E01173">
        <w:t>Complete a CTE pathway.</w:t>
      </w:r>
    </w:p>
    <w:p w14:paraId="220B8298" w14:textId="77777777" w:rsidR="00A76BF2" w:rsidRPr="00E01173" w:rsidRDefault="00A76BF2" w:rsidP="00A76BF2">
      <w:pPr>
        <w:numPr>
          <w:ilvl w:val="0"/>
          <w:numId w:val="36"/>
        </w:numPr>
        <w:spacing w:after="160" w:line="278" w:lineRule="auto"/>
      </w:pPr>
      <w:r w:rsidRPr="00E01173">
        <w:lastRenderedPageBreak/>
        <w:t>Complete qualifying dual enrollment or college credit coursework.</w:t>
      </w:r>
    </w:p>
    <w:p w14:paraId="2E9DC39B" w14:textId="77777777" w:rsidR="00A76BF2" w:rsidRPr="00E01173" w:rsidRDefault="00A76BF2" w:rsidP="00A76BF2">
      <w:pPr>
        <w:numPr>
          <w:ilvl w:val="0"/>
          <w:numId w:val="36"/>
        </w:numPr>
        <w:spacing w:after="160" w:line="278" w:lineRule="auto"/>
      </w:pPr>
      <w:r w:rsidRPr="00E01173">
        <w:t>Complete two years of Leadership/Military Science.</w:t>
      </w:r>
    </w:p>
    <w:p w14:paraId="7565E899" w14:textId="77777777" w:rsidR="00A76BF2" w:rsidRPr="00E01173" w:rsidRDefault="00A76BF2" w:rsidP="00A76BF2">
      <w:pPr>
        <w:numPr>
          <w:ilvl w:val="0"/>
          <w:numId w:val="36"/>
        </w:numPr>
        <w:spacing w:after="160" w:line="278" w:lineRule="auto"/>
      </w:pPr>
      <w:r w:rsidRPr="00E01173">
        <w:t>Meet University of California (UC) or California State University (CSU) admission requirements (A–G).</w:t>
      </w:r>
    </w:p>
    <w:p w14:paraId="619926DF" w14:textId="77777777" w:rsidR="00A76BF2" w:rsidRPr="00E01173" w:rsidRDefault="00A76BF2" w:rsidP="00A76BF2">
      <w:pPr>
        <w:numPr>
          <w:ilvl w:val="0"/>
          <w:numId w:val="36"/>
        </w:numPr>
        <w:spacing w:after="160" w:line="278" w:lineRule="auto"/>
      </w:pPr>
      <w:r w:rsidRPr="00E01173">
        <w:t>Complete an Advanced Placement (AP) course or earn a qualifying AP exam score.</w:t>
      </w:r>
    </w:p>
    <w:p w14:paraId="4B752B6D" w14:textId="77777777" w:rsidR="00A76BF2" w:rsidRPr="00E01173" w:rsidRDefault="00A76BF2" w:rsidP="00A76BF2">
      <w:pPr>
        <w:numPr>
          <w:ilvl w:val="0"/>
          <w:numId w:val="36"/>
        </w:numPr>
        <w:spacing w:after="160" w:line="278" w:lineRule="auto"/>
      </w:pPr>
      <w:r w:rsidRPr="00E01173">
        <w:t>Earn the State Seal of Biliteracy.</w:t>
      </w:r>
    </w:p>
    <w:p w14:paraId="690FDC72" w14:textId="77777777" w:rsidR="00A76BF2" w:rsidRPr="00E01173" w:rsidRDefault="00A76BF2" w:rsidP="00A76BF2">
      <w:pPr>
        <w:numPr>
          <w:ilvl w:val="0"/>
          <w:numId w:val="36"/>
        </w:numPr>
        <w:spacing w:after="160" w:line="278" w:lineRule="auto"/>
      </w:pPr>
      <w:r w:rsidRPr="00E01173">
        <w:t>Meet the qualifying Smarter Balanced assessment performance standard.</w:t>
      </w:r>
    </w:p>
    <w:p w14:paraId="2088F82D" w14:textId="77777777" w:rsidR="00A76BF2" w:rsidRPr="00E01173" w:rsidRDefault="00A76BF2" w:rsidP="00A76BF2">
      <w:pPr>
        <w:numPr>
          <w:ilvl w:val="0"/>
          <w:numId w:val="36"/>
        </w:numPr>
        <w:spacing w:after="160" w:line="278" w:lineRule="auto"/>
      </w:pPr>
      <w:r w:rsidRPr="00E01173">
        <w:t>Earn a qualifying International Baccalaureate (IB) exam score or complete an approved IB course.</w:t>
      </w:r>
    </w:p>
    <w:p w14:paraId="41A5AC5E" w14:textId="77777777" w:rsidR="00A76BF2" w:rsidRPr="00E01173" w:rsidRDefault="00A76BF2" w:rsidP="00A76BF2">
      <w:pPr>
        <w:numPr>
          <w:ilvl w:val="0"/>
          <w:numId w:val="36"/>
        </w:numPr>
        <w:spacing w:after="160" w:line="278" w:lineRule="auto"/>
      </w:pPr>
      <w:r w:rsidRPr="00E01173">
        <w:t>Complete an approved Cambridge International course or exam.</w:t>
      </w:r>
    </w:p>
    <w:p w14:paraId="0BD259B5" w14:textId="77777777" w:rsidR="00A76BF2" w:rsidRPr="00E01173" w:rsidRDefault="00A76BF2" w:rsidP="00A76BF2">
      <w:pPr>
        <w:numPr>
          <w:ilvl w:val="0"/>
          <w:numId w:val="36"/>
        </w:numPr>
        <w:spacing w:after="160" w:line="278" w:lineRule="auto"/>
      </w:pPr>
      <w:r w:rsidRPr="00E01173">
        <w:t>Earn the State Seal of Civic Engagement, if approved.</w:t>
      </w:r>
    </w:p>
    <w:p w14:paraId="1FC83A24" w14:textId="28847822" w:rsidR="00A76BF2" w:rsidRPr="00E01173" w:rsidRDefault="00A76BF2" w:rsidP="00A76BF2">
      <w:r w:rsidRPr="00E01173">
        <w:t>The approved W</w:t>
      </w:r>
      <w:r w:rsidR="003A1558">
        <w:t>BL</w:t>
      </w:r>
      <w:r w:rsidRPr="00E01173">
        <w:t xml:space="preserve"> measure broadens the </w:t>
      </w:r>
      <w:r w:rsidR="003A1558">
        <w:t>C</w:t>
      </w:r>
      <w:r w:rsidRPr="00E01173">
        <w:t>C</w:t>
      </w:r>
      <w:r w:rsidR="003A1558">
        <w:t>I</w:t>
      </w:r>
      <w:r w:rsidRPr="00E01173">
        <w:t xml:space="preserve"> by recognizing high-quality workplace learning experiences as an important component of college and career readiness while providing LEAs with an additional pathway to demonstrate student preparedness on the California School Dashboard.</w:t>
      </w:r>
    </w:p>
    <w:p w14:paraId="2BFA36EC" w14:textId="162A34EA" w:rsidR="003E4DF7" w:rsidRPr="00970095" w:rsidRDefault="003E4DF7" w:rsidP="00617832">
      <w:pPr>
        <w:pStyle w:val="Heading2"/>
        <w:spacing w:after="240"/>
        <w:rPr>
          <w:rFonts w:cs="Arial"/>
          <w:sz w:val="36"/>
          <w:szCs w:val="36"/>
        </w:rPr>
      </w:pPr>
      <w:r w:rsidRPr="00970095">
        <w:rPr>
          <w:rFonts w:cs="Arial"/>
          <w:sz w:val="36"/>
          <w:szCs w:val="36"/>
        </w:rPr>
        <w:t>Fiscal Analysis</w:t>
      </w:r>
    </w:p>
    <w:p w14:paraId="11C45FD1" w14:textId="4F14BC9C" w:rsidR="00DC65BD" w:rsidRPr="00970095" w:rsidRDefault="00C72AD1" w:rsidP="00BF61BC">
      <w:pPr>
        <w:spacing w:after="240"/>
        <w:rPr>
          <w:rFonts w:cs="Arial"/>
        </w:rPr>
      </w:pPr>
      <w:r w:rsidRPr="00970095">
        <w:rPr>
          <w:rFonts w:cs="Arial"/>
        </w:rPr>
        <w:t xml:space="preserve">Funding </w:t>
      </w:r>
      <w:r w:rsidR="006E5F55">
        <w:rPr>
          <w:rFonts w:cs="Arial"/>
        </w:rPr>
        <w:t>a</w:t>
      </w:r>
      <w:r w:rsidR="00DC65BD" w:rsidRPr="00970095">
        <w:rPr>
          <w:rFonts w:cs="Arial"/>
        </w:rPr>
        <w:t xml:space="preserve">warded to </w:t>
      </w:r>
      <w:r w:rsidRPr="00970095">
        <w:rPr>
          <w:rFonts w:cs="Arial"/>
        </w:rPr>
        <w:t>eligible recipients under</w:t>
      </w:r>
      <w:r w:rsidR="00DC65BD" w:rsidRPr="00970095">
        <w:rPr>
          <w:rFonts w:cs="Arial"/>
        </w:rPr>
        <w:t xml:space="preserve"> each grant is as follows:</w:t>
      </w:r>
    </w:p>
    <w:p w14:paraId="49DCB2CB" w14:textId="0BBD6655" w:rsidR="00DC65BD" w:rsidRPr="00970095" w:rsidRDefault="00DC65BD" w:rsidP="00BF61BC">
      <w:pPr>
        <w:pStyle w:val="ListParagraph"/>
        <w:numPr>
          <w:ilvl w:val="0"/>
          <w:numId w:val="29"/>
        </w:numPr>
        <w:spacing w:after="240"/>
        <w:rPr>
          <w:rFonts w:cs="Arial"/>
          <w:b/>
          <w:bCs/>
        </w:rPr>
      </w:pPr>
      <w:r w:rsidRPr="00970095">
        <w:rPr>
          <w:rFonts w:cs="Arial"/>
          <w:b/>
          <w:bCs/>
        </w:rPr>
        <w:t>CTEIG:</w:t>
      </w:r>
      <w:r w:rsidR="001A25BC">
        <w:rPr>
          <w:rFonts w:cs="Arial"/>
        </w:rPr>
        <w:t xml:space="preserve"> </w:t>
      </w:r>
      <w:r w:rsidR="004F3C15">
        <w:rPr>
          <w:rFonts w:cs="Arial"/>
        </w:rPr>
        <w:t>$450,000,000 (Application review in progress)</w:t>
      </w:r>
    </w:p>
    <w:p w14:paraId="659133C8" w14:textId="77777777" w:rsidR="007C6502" w:rsidRDefault="00DC65BD" w:rsidP="00BF61BC">
      <w:pPr>
        <w:pStyle w:val="ListParagraph"/>
        <w:numPr>
          <w:ilvl w:val="0"/>
          <w:numId w:val="29"/>
        </w:numPr>
        <w:spacing w:after="240"/>
        <w:rPr>
          <w:rFonts w:cs="Arial"/>
          <w:b/>
          <w:bCs/>
        </w:rPr>
      </w:pPr>
      <w:r w:rsidRPr="00970095">
        <w:rPr>
          <w:rFonts w:cs="Arial"/>
          <w:b/>
          <w:bCs/>
        </w:rPr>
        <w:t>Perkins V (CDE):</w:t>
      </w:r>
    </w:p>
    <w:p w14:paraId="28B0D43F" w14:textId="11565C53" w:rsidR="00DC65BD" w:rsidRPr="007C6502" w:rsidRDefault="00D620DE" w:rsidP="00BF61BC">
      <w:pPr>
        <w:pStyle w:val="ListParagraph"/>
        <w:numPr>
          <w:ilvl w:val="1"/>
          <w:numId w:val="29"/>
        </w:numPr>
        <w:spacing w:after="240"/>
        <w:rPr>
          <w:rFonts w:cs="Arial"/>
          <w:b/>
          <w:bCs/>
        </w:rPr>
      </w:pPr>
      <w:r w:rsidRPr="007C6502">
        <w:rPr>
          <w:rFonts w:cs="Arial"/>
          <w:b/>
          <w:bCs/>
        </w:rPr>
        <w:t>Secondary</w:t>
      </w:r>
      <w:r w:rsidR="00BC31B3" w:rsidRPr="007C6502">
        <w:rPr>
          <w:rFonts w:cs="Arial"/>
          <w:b/>
          <w:bCs/>
        </w:rPr>
        <w:t xml:space="preserve"> (K–12):</w:t>
      </w:r>
      <w:r w:rsidR="001A25BC" w:rsidRPr="007C6502">
        <w:rPr>
          <w:rFonts w:cs="Arial"/>
        </w:rPr>
        <w:t xml:space="preserve"> </w:t>
      </w:r>
      <w:r w:rsidR="00D0124A" w:rsidRPr="007C6502">
        <w:rPr>
          <w:rFonts w:cs="Arial"/>
        </w:rPr>
        <w:t>$</w:t>
      </w:r>
      <w:r w:rsidR="00701A08" w:rsidRPr="00701A08">
        <w:rPr>
          <w:rFonts w:cs="Arial"/>
        </w:rPr>
        <w:t>55,085,283.00</w:t>
      </w:r>
    </w:p>
    <w:p w14:paraId="72D43419" w14:textId="174134A5" w:rsidR="00D0124A" w:rsidRPr="00BA2FD5" w:rsidRDefault="00D0124A" w:rsidP="00BF61BC">
      <w:pPr>
        <w:pStyle w:val="ListParagraph"/>
        <w:numPr>
          <w:ilvl w:val="1"/>
          <w:numId w:val="29"/>
        </w:numPr>
        <w:spacing w:after="240"/>
        <w:rPr>
          <w:rFonts w:cs="Arial"/>
        </w:rPr>
      </w:pPr>
      <w:r w:rsidRPr="00BA2FD5">
        <w:rPr>
          <w:rFonts w:cs="Arial"/>
          <w:b/>
          <w:bCs/>
        </w:rPr>
        <w:t xml:space="preserve">Adult Schools: </w:t>
      </w:r>
      <w:r w:rsidRPr="00BA2FD5">
        <w:rPr>
          <w:rFonts w:cs="Arial"/>
        </w:rPr>
        <w:t>$</w:t>
      </w:r>
      <w:r w:rsidR="00701A08">
        <w:rPr>
          <w:rFonts w:cs="Arial"/>
        </w:rPr>
        <w:t>3</w:t>
      </w:r>
      <w:r w:rsidR="00360CC0" w:rsidRPr="00360CC0">
        <w:rPr>
          <w:rFonts w:cs="Arial"/>
        </w:rPr>
        <w:t>,</w:t>
      </w:r>
      <w:r w:rsidR="00701A08">
        <w:rPr>
          <w:rFonts w:cs="Arial"/>
        </w:rPr>
        <w:t>431,811</w:t>
      </w:r>
    </w:p>
    <w:p w14:paraId="62E24E37" w14:textId="4AFBEBDE" w:rsidR="005C43CE" w:rsidRPr="00970095" w:rsidRDefault="005C43CE" w:rsidP="00BF61BC">
      <w:pPr>
        <w:pStyle w:val="ListParagraph"/>
        <w:numPr>
          <w:ilvl w:val="1"/>
          <w:numId w:val="29"/>
        </w:numPr>
        <w:spacing w:after="240"/>
        <w:rPr>
          <w:rFonts w:cs="Arial"/>
        </w:rPr>
      </w:pPr>
      <w:r w:rsidRPr="00BA2FD5">
        <w:rPr>
          <w:rFonts w:cs="Arial"/>
          <w:b/>
          <w:bCs/>
        </w:rPr>
        <w:t>S</w:t>
      </w:r>
      <w:r w:rsidR="003A1558">
        <w:rPr>
          <w:rFonts w:cs="Arial"/>
          <w:b/>
          <w:bCs/>
        </w:rPr>
        <w:t>SS</w:t>
      </w:r>
      <w:r w:rsidRPr="00BA2FD5">
        <w:rPr>
          <w:rFonts w:cs="Arial"/>
          <w:b/>
          <w:bCs/>
        </w:rPr>
        <w:t>:</w:t>
      </w:r>
      <w:r w:rsidRPr="00BA2FD5">
        <w:rPr>
          <w:rFonts w:cs="Arial"/>
        </w:rPr>
        <w:t xml:space="preserve"> $475</w:t>
      </w:r>
      <w:r w:rsidRPr="00970095">
        <w:rPr>
          <w:rFonts w:cs="Arial"/>
        </w:rPr>
        <w:t>,000</w:t>
      </w:r>
    </w:p>
    <w:p w14:paraId="44CA1ADB" w14:textId="5CF3EBB7" w:rsidR="004C1219" w:rsidRPr="00970095" w:rsidRDefault="004C1219" w:rsidP="00BF61BC">
      <w:pPr>
        <w:pStyle w:val="ListParagraph"/>
        <w:numPr>
          <w:ilvl w:val="0"/>
          <w:numId w:val="29"/>
        </w:numPr>
        <w:spacing w:after="240"/>
        <w:rPr>
          <w:rFonts w:cs="Arial"/>
          <w:b/>
        </w:rPr>
      </w:pPr>
      <w:r w:rsidRPr="1E882EEA">
        <w:rPr>
          <w:rFonts w:cs="Arial"/>
          <w:b/>
        </w:rPr>
        <w:t>Perkins V (CCCCO):</w:t>
      </w:r>
      <w:r w:rsidRPr="1E882EEA">
        <w:rPr>
          <w:rFonts w:cs="Arial"/>
        </w:rPr>
        <w:t xml:space="preserve"> $6</w:t>
      </w:r>
      <w:r w:rsidR="00701A08">
        <w:rPr>
          <w:rFonts w:cs="Arial"/>
        </w:rPr>
        <w:t>2</w:t>
      </w:r>
      <w:r w:rsidRPr="1E882EEA">
        <w:rPr>
          <w:rFonts w:cs="Arial"/>
        </w:rPr>
        <w:t>,</w:t>
      </w:r>
      <w:r w:rsidR="00701A08">
        <w:rPr>
          <w:rFonts w:cs="Arial"/>
        </w:rPr>
        <w:t>920,582</w:t>
      </w:r>
    </w:p>
    <w:p w14:paraId="1875239F" w14:textId="6ADD3DBB" w:rsidR="004C1219" w:rsidRPr="00052F13" w:rsidRDefault="004C1219" w:rsidP="00BF61BC">
      <w:pPr>
        <w:pStyle w:val="ListParagraph"/>
        <w:numPr>
          <w:ilvl w:val="0"/>
          <w:numId w:val="29"/>
        </w:numPr>
        <w:spacing w:after="240"/>
        <w:rPr>
          <w:rFonts w:cs="Arial"/>
          <w:b/>
          <w:bCs/>
        </w:rPr>
      </w:pPr>
      <w:r w:rsidRPr="00052F13">
        <w:rPr>
          <w:rFonts w:cs="Arial"/>
          <w:b/>
          <w:bCs/>
        </w:rPr>
        <w:t xml:space="preserve">K12 SWP: </w:t>
      </w:r>
      <w:r w:rsidRPr="00052F13">
        <w:rPr>
          <w:rFonts w:cs="Arial"/>
        </w:rPr>
        <w:t>$150,000,000 (Application</w:t>
      </w:r>
      <w:r w:rsidR="004F3C15">
        <w:rPr>
          <w:rFonts w:cs="Arial"/>
        </w:rPr>
        <w:t>s will be released in August</w:t>
      </w:r>
      <w:r w:rsidRPr="00052F13">
        <w:rPr>
          <w:rFonts w:cs="Arial"/>
        </w:rPr>
        <w:t>)</w:t>
      </w:r>
    </w:p>
    <w:p w14:paraId="2B7D041B" w14:textId="48097784" w:rsidR="00406F50" w:rsidRPr="00BA585F" w:rsidRDefault="00406F50" w:rsidP="00617832">
      <w:pPr>
        <w:pStyle w:val="Heading2"/>
        <w:spacing w:after="240"/>
        <w:rPr>
          <w:rFonts w:cs="Arial"/>
          <w:bCs/>
          <w:sz w:val="36"/>
          <w:szCs w:val="36"/>
        </w:rPr>
      </w:pPr>
      <w:r w:rsidRPr="001E269E">
        <w:rPr>
          <w:rFonts w:cs="Arial"/>
          <w:sz w:val="36"/>
          <w:szCs w:val="36"/>
        </w:rPr>
        <w:t>Attachments</w:t>
      </w:r>
    </w:p>
    <w:p w14:paraId="4C857F26" w14:textId="49D94D7D" w:rsidR="0028732D" w:rsidRDefault="00D15461" w:rsidP="00BF61BC">
      <w:pPr>
        <w:spacing w:after="240"/>
        <w:rPr>
          <w:rFonts w:cs="Arial"/>
        </w:rPr>
      </w:pPr>
      <w:r>
        <w:rPr>
          <w:rFonts w:cs="Arial"/>
          <w:b/>
          <w:bCs/>
        </w:rPr>
        <w:t>None</w:t>
      </w:r>
    </w:p>
    <w:p w14:paraId="00D68DEE" w14:textId="1867BEC8" w:rsidR="0028732D" w:rsidRPr="0028732D" w:rsidRDefault="0028732D" w:rsidP="00BF61BC">
      <w:pPr>
        <w:spacing w:after="240"/>
        <w:rPr>
          <w:rFonts w:cs="Arial"/>
        </w:rPr>
      </w:pPr>
      <w:r>
        <w:rPr>
          <w:rFonts w:cs="Arial"/>
        </w:rPr>
        <w:t>Posted by: California Department of Education – July 2026</w:t>
      </w:r>
    </w:p>
    <w:sectPr w:rsidR="0028732D" w:rsidRPr="0028732D" w:rsidSect="00E12B59">
      <w:headerReference w:type="even" r:id="rId11"/>
      <w:headerReference w:type="default" r:id="rId12"/>
      <w:headerReference w:type="first" r:id="rId13"/>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1077" w14:textId="77777777" w:rsidR="002F7B3F" w:rsidRDefault="002F7B3F" w:rsidP="000E09DC">
      <w:r>
        <w:separator/>
      </w:r>
    </w:p>
  </w:endnote>
  <w:endnote w:type="continuationSeparator" w:id="0">
    <w:p w14:paraId="4AC03FB2" w14:textId="77777777" w:rsidR="002F7B3F" w:rsidRDefault="002F7B3F"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F19C" w14:textId="77777777" w:rsidR="002F7B3F" w:rsidRDefault="002F7B3F" w:rsidP="000E09DC">
      <w:r>
        <w:separator/>
      </w:r>
    </w:p>
  </w:footnote>
  <w:footnote w:type="continuationSeparator" w:id="0">
    <w:p w14:paraId="39D8A15E" w14:textId="77777777" w:rsidR="002F7B3F" w:rsidRDefault="002F7B3F"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AC5B" w14:textId="77777777" w:rsidR="00937C6E" w:rsidRPr="00AA6EC1" w:rsidRDefault="00937C6E" w:rsidP="00E12B59">
    <w:pPr>
      <w:pStyle w:val="Header"/>
      <w:jc w:val="right"/>
      <w:rPr>
        <w:rFonts w:cs="Arial"/>
      </w:rPr>
    </w:pPr>
    <w:r>
      <w:rPr>
        <w:rFonts w:cs="Arial"/>
      </w:rPr>
      <w:t>cwpjac-nov20item02</w:t>
    </w:r>
  </w:p>
  <w:p w14:paraId="3877EA4A" w14:textId="77777777" w:rsidR="00937C6E" w:rsidRDefault="00937C6E"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9713" w14:textId="7E2CAC68" w:rsidR="00937C6E" w:rsidRPr="001A50A1" w:rsidRDefault="00937C6E" w:rsidP="00E12B59">
    <w:pPr>
      <w:pStyle w:val="Header"/>
      <w:jc w:val="right"/>
      <w:rPr>
        <w:rFonts w:cs="Arial"/>
      </w:rPr>
    </w:pPr>
    <w:r w:rsidRPr="001A50A1">
      <w:rPr>
        <w:rFonts w:cs="Arial"/>
      </w:rPr>
      <w:t>cwpjac-</w:t>
    </w:r>
    <w:r w:rsidR="004F3C15">
      <w:rPr>
        <w:rFonts w:cs="Arial"/>
      </w:rPr>
      <w:t>jul</w:t>
    </w:r>
    <w:r w:rsidR="00EB1B7C">
      <w:rPr>
        <w:rFonts w:cs="Arial"/>
      </w:rPr>
      <w:t>2</w:t>
    </w:r>
    <w:r w:rsidR="0097603F">
      <w:rPr>
        <w:rFonts w:cs="Arial"/>
      </w:rPr>
      <w:t>5</w:t>
    </w:r>
    <w:r w:rsidRPr="001A50A1">
      <w:rPr>
        <w:rFonts w:cs="Arial"/>
      </w:rPr>
      <w:t>item0</w:t>
    </w:r>
    <w:r w:rsidR="00937393">
      <w:rPr>
        <w:rFonts w:cs="Arial"/>
      </w:rPr>
      <w:t>3</w:t>
    </w:r>
  </w:p>
  <w:p w14:paraId="53DAAD0F" w14:textId="77777777" w:rsidR="00937C6E" w:rsidRPr="001A50A1" w:rsidRDefault="00937C6E" w:rsidP="00E12B59">
    <w:pPr>
      <w:pStyle w:val="Header"/>
      <w:spacing w:after="120"/>
      <w:jc w:val="right"/>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4</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E33A" w14:textId="77777777" w:rsidR="00937C6E" w:rsidRPr="001A50A1" w:rsidRDefault="00937C6E" w:rsidP="003A0CCA">
    <w:pPr>
      <w:pStyle w:val="Header"/>
      <w:jc w:val="right"/>
      <w:rPr>
        <w:rFonts w:cs="Arial"/>
      </w:rPr>
    </w:pPr>
    <w:r w:rsidRPr="001A50A1">
      <w:rPr>
        <w:rFonts w:cs="Arial"/>
      </w:rPr>
      <w:t>California Workforce Pathways Joint Advisory Committee</w:t>
    </w:r>
  </w:p>
  <w:p w14:paraId="0C7227C2" w14:textId="2DADCF6D" w:rsidR="00BF61BC" w:rsidRPr="001A50A1" w:rsidRDefault="00937C6E" w:rsidP="00BF61BC">
    <w:pPr>
      <w:pStyle w:val="Header"/>
      <w:jc w:val="right"/>
      <w:rPr>
        <w:rFonts w:cs="Arial"/>
      </w:rPr>
    </w:pPr>
    <w:r w:rsidRPr="001A50A1">
      <w:rPr>
        <w:rFonts w:cs="Arial"/>
      </w:rPr>
      <w:t>cwpjac-</w:t>
    </w:r>
    <w:r w:rsidR="004F3C15">
      <w:rPr>
        <w:rFonts w:cs="Arial"/>
      </w:rPr>
      <w:t>jul</w:t>
    </w:r>
    <w:r w:rsidR="00BF61BC">
      <w:rPr>
        <w:rFonts w:cs="Arial"/>
      </w:rPr>
      <w:t>26</w:t>
    </w:r>
    <w:r w:rsidRPr="001A50A1">
      <w:rPr>
        <w:rFonts w:cs="Arial"/>
      </w:rPr>
      <w:t>item0</w:t>
    </w:r>
    <w:r w:rsidR="00BF61BC">
      <w:rPr>
        <w:rFonts w:cs="Arial"/>
      </w:rPr>
      <w:t>2</w:t>
    </w:r>
  </w:p>
  <w:p w14:paraId="41757142" w14:textId="77777777" w:rsidR="00937C6E" w:rsidRPr="001A50A1" w:rsidRDefault="00937C6E" w:rsidP="003A0CCA">
    <w:pPr>
      <w:pStyle w:val="Header"/>
      <w:spacing w:after="120"/>
      <w:jc w:val="right"/>
      <w:rPr>
        <w:rFonts w:cs="Arial"/>
      </w:rPr>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1</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42C"/>
    <w:multiLevelType w:val="multilevel"/>
    <w:tmpl w:val="C602E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210B"/>
    <w:multiLevelType w:val="multilevel"/>
    <w:tmpl w:val="CBD43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E01AC5"/>
    <w:multiLevelType w:val="multilevel"/>
    <w:tmpl w:val="65D4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7CC09C1"/>
    <w:multiLevelType w:val="multilevel"/>
    <w:tmpl w:val="B0BE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30344"/>
    <w:multiLevelType w:val="multilevel"/>
    <w:tmpl w:val="F01C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6F730A3"/>
    <w:multiLevelType w:val="hybridMultilevel"/>
    <w:tmpl w:val="3CBAF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BF087C"/>
    <w:multiLevelType w:val="multilevel"/>
    <w:tmpl w:val="6A1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05DE0"/>
    <w:multiLevelType w:val="multilevel"/>
    <w:tmpl w:val="4AC6F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4624671">
    <w:abstractNumId w:val="18"/>
  </w:num>
  <w:num w:numId="2" w16cid:durableId="395789302">
    <w:abstractNumId w:val="30"/>
  </w:num>
  <w:num w:numId="3" w16cid:durableId="2140762161">
    <w:abstractNumId w:val="12"/>
  </w:num>
  <w:num w:numId="4" w16cid:durableId="536624650">
    <w:abstractNumId w:val="25"/>
  </w:num>
  <w:num w:numId="5" w16cid:durableId="590548576">
    <w:abstractNumId w:val="28"/>
  </w:num>
  <w:num w:numId="6" w16cid:durableId="1282346288">
    <w:abstractNumId w:val="3"/>
  </w:num>
  <w:num w:numId="7" w16cid:durableId="1640458497">
    <w:abstractNumId w:val="16"/>
  </w:num>
  <w:num w:numId="8" w16cid:durableId="929855516">
    <w:abstractNumId w:val="5"/>
  </w:num>
  <w:num w:numId="9" w16cid:durableId="1565067665">
    <w:abstractNumId w:val="32"/>
  </w:num>
  <w:num w:numId="10" w16cid:durableId="1591769797">
    <w:abstractNumId w:val="33"/>
  </w:num>
  <w:num w:numId="11" w16cid:durableId="1635477005">
    <w:abstractNumId w:val="11"/>
  </w:num>
  <w:num w:numId="12" w16cid:durableId="736242173">
    <w:abstractNumId w:val="9"/>
  </w:num>
  <w:num w:numId="13" w16cid:durableId="1777795516">
    <w:abstractNumId w:val="7"/>
  </w:num>
  <w:num w:numId="14" w16cid:durableId="1379626266">
    <w:abstractNumId w:val="19"/>
  </w:num>
  <w:num w:numId="15" w16cid:durableId="8221775">
    <w:abstractNumId w:val="15"/>
  </w:num>
  <w:num w:numId="16" w16cid:durableId="723866890">
    <w:abstractNumId w:val="21"/>
  </w:num>
  <w:num w:numId="17" w16cid:durableId="1757895608">
    <w:abstractNumId w:val="34"/>
  </w:num>
  <w:num w:numId="18" w16cid:durableId="721179071">
    <w:abstractNumId w:val="26"/>
  </w:num>
  <w:num w:numId="19" w16cid:durableId="1676036637">
    <w:abstractNumId w:val="13"/>
  </w:num>
  <w:num w:numId="20" w16cid:durableId="717125285">
    <w:abstractNumId w:val="1"/>
  </w:num>
  <w:num w:numId="21" w16cid:durableId="598606562">
    <w:abstractNumId w:val="6"/>
  </w:num>
  <w:num w:numId="22" w16cid:durableId="1803688211">
    <w:abstractNumId w:val="10"/>
  </w:num>
  <w:num w:numId="23" w16cid:durableId="1077705233">
    <w:abstractNumId w:val="22"/>
  </w:num>
  <w:num w:numId="24" w16cid:durableId="1585140441">
    <w:abstractNumId w:val="27"/>
  </w:num>
  <w:num w:numId="25" w16cid:durableId="946810510">
    <w:abstractNumId w:val="29"/>
  </w:num>
  <w:num w:numId="26" w16cid:durableId="553322363">
    <w:abstractNumId w:val="20"/>
  </w:num>
  <w:num w:numId="27" w16cid:durableId="689838830">
    <w:abstractNumId w:val="2"/>
  </w:num>
  <w:num w:numId="28" w16cid:durableId="1490093039">
    <w:abstractNumId w:val="23"/>
  </w:num>
  <w:num w:numId="29" w16cid:durableId="691297377">
    <w:abstractNumId w:val="24"/>
  </w:num>
  <w:num w:numId="30" w16cid:durableId="1996370843">
    <w:abstractNumId w:val="35"/>
  </w:num>
  <w:num w:numId="31" w16cid:durableId="890072544">
    <w:abstractNumId w:val="14"/>
  </w:num>
  <w:num w:numId="32" w16cid:durableId="683095566">
    <w:abstractNumId w:val="0"/>
  </w:num>
  <w:num w:numId="33" w16cid:durableId="110638974">
    <w:abstractNumId w:val="31"/>
  </w:num>
  <w:num w:numId="34" w16cid:durableId="1998221707">
    <w:abstractNumId w:val="17"/>
  </w:num>
  <w:num w:numId="35" w16cid:durableId="1083181129">
    <w:abstractNumId w:val="4"/>
  </w:num>
  <w:num w:numId="36" w16cid:durableId="723025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186"/>
    <w:rsid w:val="000067A8"/>
    <w:rsid w:val="0001303B"/>
    <w:rsid w:val="00014370"/>
    <w:rsid w:val="00016526"/>
    <w:rsid w:val="00020B59"/>
    <w:rsid w:val="0002235C"/>
    <w:rsid w:val="000324AD"/>
    <w:rsid w:val="0003321E"/>
    <w:rsid w:val="000334CD"/>
    <w:rsid w:val="000401C9"/>
    <w:rsid w:val="000435B8"/>
    <w:rsid w:val="00043B71"/>
    <w:rsid w:val="00044A2D"/>
    <w:rsid w:val="00046EE9"/>
    <w:rsid w:val="00055143"/>
    <w:rsid w:val="000578FF"/>
    <w:rsid w:val="000617FE"/>
    <w:rsid w:val="000621AF"/>
    <w:rsid w:val="00062765"/>
    <w:rsid w:val="00062D3F"/>
    <w:rsid w:val="00063275"/>
    <w:rsid w:val="00064B28"/>
    <w:rsid w:val="00067290"/>
    <w:rsid w:val="00067ED7"/>
    <w:rsid w:val="000705E1"/>
    <w:rsid w:val="000705EA"/>
    <w:rsid w:val="00070F31"/>
    <w:rsid w:val="00073372"/>
    <w:rsid w:val="00074805"/>
    <w:rsid w:val="00086B7F"/>
    <w:rsid w:val="00091E91"/>
    <w:rsid w:val="00093974"/>
    <w:rsid w:val="00093BF4"/>
    <w:rsid w:val="00094714"/>
    <w:rsid w:val="00096CA8"/>
    <w:rsid w:val="00096E4E"/>
    <w:rsid w:val="00097B08"/>
    <w:rsid w:val="000A05A6"/>
    <w:rsid w:val="000A136F"/>
    <w:rsid w:val="000A15D7"/>
    <w:rsid w:val="000A2787"/>
    <w:rsid w:val="000A49CA"/>
    <w:rsid w:val="000A6BB8"/>
    <w:rsid w:val="000A746C"/>
    <w:rsid w:val="000B0905"/>
    <w:rsid w:val="000B1226"/>
    <w:rsid w:val="000B3903"/>
    <w:rsid w:val="000B5C2B"/>
    <w:rsid w:val="000B7883"/>
    <w:rsid w:val="000C1D49"/>
    <w:rsid w:val="000C3068"/>
    <w:rsid w:val="000C5DCF"/>
    <w:rsid w:val="000C63B6"/>
    <w:rsid w:val="000C69C4"/>
    <w:rsid w:val="000C6E48"/>
    <w:rsid w:val="000D09FC"/>
    <w:rsid w:val="000D35C8"/>
    <w:rsid w:val="000D5ED9"/>
    <w:rsid w:val="000E09DC"/>
    <w:rsid w:val="000E11D9"/>
    <w:rsid w:val="000E2BCD"/>
    <w:rsid w:val="000E57F5"/>
    <w:rsid w:val="000E7F74"/>
    <w:rsid w:val="000F0270"/>
    <w:rsid w:val="000F03CE"/>
    <w:rsid w:val="000F225D"/>
    <w:rsid w:val="000F2A7C"/>
    <w:rsid w:val="000F3DCA"/>
    <w:rsid w:val="000F4F6F"/>
    <w:rsid w:val="000F7B5E"/>
    <w:rsid w:val="00101CBB"/>
    <w:rsid w:val="001048F3"/>
    <w:rsid w:val="0010668C"/>
    <w:rsid w:val="00106AFB"/>
    <w:rsid w:val="00112E7B"/>
    <w:rsid w:val="00115A04"/>
    <w:rsid w:val="001170AB"/>
    <w:rsid w:val="00121964"/>
    <w:rsid w:val="00126663"/>
    <w:rsid w:val="00130059"/>
    <w:rsid w:val="001329B0"/>
    <w:rsid w:val="00135768"/>
    <w:rsid w:val="00137F11"/>
    <w:rsid w:val="00140E69"/>
    <w:rsid w:val="0014120C"/>
    <w:rsid w:val="00141C23"/>
    <w:rsid w:val="00143D14"/>
    <w:rsid w:val="00144DF4"/>
    <w:rsid w:val="00146E01"/>
    <w:rsid w:val="001472F4"/>
    <w:rsid w:val="00157690"/>
    <w:rsid w:val="001626F1"/>
    <w:rsid w:val="00164061"/>
    <w:rsid w:val="00164C5A"/>
    <w:rsid w:val="00167017"/>
    <w:rsid w:val="00167142"/>
    <w:rsid w:val="00167E35"/>
    <w:rsid w:val="0017037E"/>
    <w:rsid w:val="001721C9"/>
    <w:rsid w:val="00172323"/>
    <w:rsid w:val="00172D7F"/>
    <w:rsid w:val="001731F3"/>
    <w:rsid w:val="0017400C"/>
    <w:rsid w:val="00174E98"/>
    <w:rsid w:val="00180C36"/>
    <w:rsid w:val="0018148D"/>
    <w:rsid w:val="001814FC"/>
    <w:rsid w:val="001825ED"/>
    <w:rsid w:val="0018266E"/>
    <w:rsid w:val="001828D0"/>
    <w:rsid w:val="0018691F"/>
    <w:rsid w:val="00191480"/>
    <w:rsid w:val="00191509"/>
    <w:rsid w:val="00194775"/>
    <w:rsid w:val="00194D47"/>
    <w:rsid w:val="00195E52"/>
    <w:rsid w:val="001974C8"/>
    <w:rsid w:val="001A0CA5"/>
    <w:rsid w:val="001A12B0"/>
    <w:rsid w:val="001A1398"/>
    <w:rsid w:val="001A1458"/>
    <w:rsid w:val="001A25BC"/>
    <w:rsid w:val="001A50A1"/>
    <w:rsid w:val="001A53C0"/>
    <w:rsid w:val="001B0EF5"/>
    <w:rsid w:val="001B33BC"/>
    <w:rsid w:val="001B3958"/>
    <w:rsid w:val="001B67DD"/>
    <w:rsid w:val="001C27A1"/>
    <w:rsid w:val="001C280A"/>
    <w:rsid w:val="001C3DC0"/>
    <w:rsid w:val="001C48C1"/>
    <w:rsid w:val="001C4C02"/>
    <w:rsid w:val="001C4D24"/>
    <w:rsid w:val="001C644F"/>
    <w:rsid w:val="001D0408"/>
    <w:rsid w:val="001D138A"/>
    <w:rsid w:val="001D1BCA"/>
    <w:rsid w:val="001D5632"/>
    <w:rsid w:val="001D6903"/>
    <w:rsid w:val="001E01E9"/>
    <w:rsid w:val="001E1929"/>
    <w:rsid w:val="001E269E"/>
    <w:rsid w:val="001E28E8"/>
    <w:rsid w:val="001F0B57"/>
    <w:rsid w:val="001F3D3F"/>
    <w:rsid w:val="001F7E45"/>
    <w:rsid w:val="00202B99"/>
    <w:rsid w:val="0020468C"/>
    <w:rsid w:val="00205533"/>
    <w:rsid w:val="00210872"/>
    <w:rsid w:val="00210D0F"/>
    <w:rsid w:val="00212525"/>
    <w:rsid w:val="00217419"/>
    <w:rsid w:val="00217FC3"/>
    <w:rsid w:val="0022016E"/>
    <w:rsid w:val="002204BB"/>
    <w:rsid w:val="00221598"/>
    <w:rsid w:val="002219C8"/>
    <w:rsid w:val="00223112"/>
    <w:rsid w:val="0022495E"/>
    <w:rsid w:val="002256AC"/>
    <w:rsid w:val="00225A48"/>
    <w:rsid w:val="00227FDF"/>
    <w:rsid w:val="00231862"/>
    <w:rsid w:val="0023256F"/>
    <w:rsid w:val="00232AD0"/>
    <w:rsid w:val="00240B26"/>
    <w:rsid w:val="0024129C"/>
    <w:rsid w:val="00243C5F"/>
    <w:rsid w:val="00245750"/>
    <w:rsid w:val="00246406"/>
    <w:rsid w:val="0025363B"/>
    <w:rsid w:val="0026062D"/>
    <w:rsid w:val="00261782"/>
    <w:rsid w:val="00261992"/>
    <w:rsid w:val="00267499"/>
    <w:rsid w:val="00267828"/>
    <w:rsid w:val="002717C0"/>
    <w:rsid w:val="002722A8"/>
    <w:rsid w:val="0028059B"/>
    <w:rsid w:val="00285492"/>
    <w:rsid w:val="00285BBA"/>
    <w:rsid w:val="00285DA0"/>
    <w:rsid w:val="00285DA3"/>
    <w:rsid w:val="002867FD"/>
    <w:rsid w:val="00286F20"/>
    <w:rsid w:val="0028732D"/>
    <w:rsid w:val="00290809"/>
    <w:rsid w:val="00290E57"/>
    <w:rsid w:val="00293EAB"/>
    <w:rsid w:val="00294379"/>
    <w:rsid w:val="00296542"/>
    <w:rsid w:val="00297C98"/>
    <w:rsid w:val="002A02CB"/>
    <w:rsid w:val="002A0728"/>
    <w:rsid w:val="002A666E"/>
    <w:rsid w:val="002A7086"/>
    <w:rsid w:val="002B0B00"/>
    <w:rsid w:val="002B1D31"/>
    <w:rsid w:val="002B278B"/>
    <w:rsid w:val="002B4B14"/>
    <w:rsid w:val="002B72C5"/>
    <w:rsid w:val="002C5BE9"/>
    <w:rsid w:val="002C68E1"/>
    <w:rsid w:val="002C6CF7"/>
    <w:rsid w:val="002C7F6C"/>
    <w:rsid w:val="002D13AD"/>
    <w:rsid w:val="002D1A82"/>
    <w:rsid w:val="002D7947"/>
    <w:rsid w:val="002D7DA4"/>
    <w:rsid w:val="002E0B94"/>
    <w:rsid w:val="002E1B69"/>
    <w:rsid w:val="002E30CC"/>
    <w:rsid w:val="002E4CB5"/>
    <w:rsid w:val="002E54A3"/>
    <w:rsid w:val="002E6FCA"/>
    <w:rsid w:val="002F1DAE"/>
    <w:rsid w:val="002F279B"/>
    <w:rsid w:val="002F3981"/>
    <w:rsid w:val="002F7B3F"/>
    <w:rsid w:val="00302521"/>
    <w:rsid w:val="00303123"/>
    <w:rsid w:val="00304C3F"/>
    <w:rsid w:val="00311725"/>
    <w:rsid w:val="00311776"/>
    <w:rsid w:val="003140AF"/>
    <w:rsid w:val="003141EF"/>
    <w:rsid w:val="00315131"/>
    <w:rsid w:val="0031775D"/>
    <w:rsid w:val="00322932"/>
    <w:rsid w:val="00323795"/>
    <w:rsid w:val="00324A30"/>
    <w:rsid w:val="00324B8B"/>
    <w:rsid w:val="00325F59"/>
    <w:rsid w:val="00327179"/>
    <w:rsid w:val="00330624"/>
    <w:rsid w:val="003311CD"/>
    <w:rsid w:val="00331A2F"/>
    <w:rsid w:val="00332A74"/>
    <w:rsid w:val="00333888"/>
    <w:rsid w:val="00335D04"/>
    <w:rsid w:val="003365B6"/>
    <w:rsid w:val="00337F11"/>
    <w:rsid w:val="00341CE3"/>
    <w:rsid w:val="00342AB5"/>
    <w:rsid w:val="00343E81"/>
    <w:rsid w:val="00346E58"/>
    <w:rsid w:val="00347FBF"/>
    <w:rsid w:val="00360CC0"/>
    <w:rsid w:val="003627EA"/>
    <w:rsid w:val="00362E36"/>
    <w:rsid w:val="00363520"/>
    <w:rsid w:val="00364387"/>
    <w:rsid w:val="0036578A"/>
    <w:rsid w:val="003666D8"/>
    <w:rsid w:val="00366CE0"/>
    <w:rsid w:val="003705FC"/>
    <w:rsid w:val="00371ED1"/>
    <w:rsid w:val="0037413D"/>
    <w:rsid w:val="00382CE5"/>
    <w:rsid w:val="00383464"/>
    <w:rsid w:val="00383A23"/>
    <w:rsid w:val="00384ACF"/>
    <w:rsid w:val="00384B74"/>
    <w:rsid w:val="00386532"/>
    <w:rsid w:val="00386C2E"/>
    <w:rsid w:val="00387218"/>
    <w:rsid w:val="003942E6"/>
    <w:rsid w:val="0039556E"/>
    <w:rsid w:val="00395743"/>
    <w:rsid w:val="00396705"/>
    <w:rsid w:val="003A0CCA"/>
    <w:rsid w:val="003A1558"/>
    <w:rsid w:val="003A3BDD"/>
    <w:rsid w:val="003A4F10"/>
    <w:rsid w:val="003A60F9"/>
    <w:rsid w:val="003A6482"/>
    <w:rsid w:val="003A6A84"/>
    <w:rsid w:val="003A74FC"/>
    <w:rsid w:val="003A7FA8"/>
    <w:rsid w:val="003B0B17"/>
    <w:rsid w:val="003B101D"/>
    <w:rsid w:val="003B11CA"/>
    <w:rsid w:val="003B37A0"/>
    <w:rsid w:val="003B4154"/>
    <w:rsid w:val="003B485C"/>
    <w:rsid w:val="003B6254"/>
    <w:rsid w:val="003C2049"/>
    <w:rsid w:val="003C3CB6"/>
    <w:rsid w:val="003C79E6"/>
    <w:rsid w:val="003D1ECD"/>
    <w:rsid w:val="003D2FED"/>
    <w:rsid w:val="003D6BBF"/>
    <w:rsid w:val="003E0AFD"/>
    <w:rsid w:val="003E1E8D"/>
    <w:rsid w:val="003E32E3"/>
    <w:rsid w:val="003E4DF7"/>
    <w:rsid w:val="003E7972"/>
    <w:rsid w:val="003E7EEC"/>
    <w:rsid w:val="003F1C66"/>
    <w:rsid w:val="003F2DB6"/>
    <w:rsid w:val="003F4814"/>
    <w:rsid w:val="003F7CD4"/>
    <w:rsid w:val="0040468B"/>
    <w:rsid w:val="00406DAD"/>
    <w:rsid w:val="00406F50"/>
    <w:rsid w:val="00407E9B"/>
    <w:rsid w:val="004107D0"/>
    <w:rsid w:val="004123DD"/>
    <w:rsid w:val="00413B6D"/>
    <w:rsid w:val="0041680C"/>
    <w:rsid w:val="00417D07"/>
    <w:rsid w:val="004203BC"/>
    <w:rsid w:val="004207DC"/>
    <w:rsid w:val="004218F5"/>
    <w:rsid w:val="00430B32"/>
    <w:rsid w:val="004319E4"/>
    <w:rsid w:val="004325CA"/>
    <w:rsid w:val="00432E90"/>
    <w:rsid w:val="00433DD0"/>
    <w:rsid w:val="00433E56"/>
    <w:rsid w:val="00434163"/>
    <w:rsid w:val="00434ED0"/>
    <w:rsid w:val="004354F4"/>
    <w:rsid w:val="00435DDE"/>
    <w:rsid w:val="00437684"/>
    <w:rsid w:val="00441C65"/>
    <w:rsid w:val="00444B95"/>
    <w:rsid w:val="00444FA3"/>
    <w:rsid w:val="00446683"/>
    <w:rsid w:val="0044670C"/>
    <w:rsid w:val="00447742"/>
    <w:rsid w:val="00452D68"/>
    <w:rsid w:val="00453038"/>
    <w:rsid w:val="00454BB1"/>
    <w:rsid w:val="004571E1"/>
    <w:rsid w:val="004629C9"/>
    <w:rsid w:val="00466299"/>
    <w:rsid w:val="00470459"/>
    <w:rsid w:val="00470968"/>
    <w:rsid w:val="00470FD6"/>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0BDE"/>
    <w:rsid w:val="00491A3C"/>
    <w:rsid w:val="00491DA1"/>
    <w:rsid w:val="0049399F"/>
    <w:rsid w:val="00496759"/>
    <w:rsid w:val="00496ECC"/>
    <w:rsid w:val="004A3A16"/>
    <w:rsid w:val="004A3BD0"/>
    <w:rsid w:val="004A76DC"/>
    <w:rsid w:val="004B2D49"/>
    <w:rsid w:val="004B376F"/>
    <w:rsid w:val="004C1219"/>
    <w:rsid w:val="004C20C0"/>
    <w:rsid w:val="004C301B"/>
    <w:rsid w:val="004C3487"/>
    <w:rsid w:val="004C57F7"/>
    <w:rsid w:val="004C6AC7"/>
    <w:rsid w:val="004D1768"/>
    <w:rsid w:val="004D2954"/>
    <w:rsid w:val="004D2A97"/>
    <w:rsid w:val="004D46CB"/>
    <w:rsid w:val="004E029B"/>
    <w:rsid w:val="004E15E5"/>
    <w:rsid w:val="004E74CA"/>
    <w:rsid w:val="004F1080"/>
    <w:rsid w:val="004F1671"/>
    <w:rsid w:val="004F2C82"/>
    <w:rsid w:val="004F3C15"/>
    <w:rsid w:val="004F6259"/>
    <w:rsid w:val="004F7AB4"/>
    <w:rsid w:val="00501703"/>
    <w:rsid w:val="00502181"/>
    <w:rsid w:val="00504F7D"/>
    <w:rsid w:val="0050768D"/>
    <w:rsid w:val="0050799F"/>
    <w:rsid w:val="00510FED"/>
    <w:rsid w:val="00512CAA"/>
    <w:rsid w:val="00512D98"/>
    <w:rsid w:val="00516B6E"/>
    <w:rsid w:val="00516F52"/>
    <w:rsid w:val="00517C00"/>
    <w:rsid w:val="00517C64"/>
    <w:rsid w:val="00524189"/>
    <w:rsid w:val="00525296"/>
    <w:rsid w:val="00526679"/>
    <w:rsid w:val="00527B0E"/>
    <w:rsid w:val="00532981"/>
    <w:rsid w:val="00540670"/>
    <w:rsid w:val="00543A49"/>
    <w:rsid w:val="0054640F"/>
    <w:rsid w:val="005466A4"/>
    <w:rsid w:val="00550B91"/>
    <w:rsid w:val="005531EC"/>
    <w:rsid w:val="00553ABA"/>
    <w:rsid w:val="00555C92"/>
    <w:rsid w:val="00555CC5"/>
    <w:rsid w:val="00557D10"/>
    <w:rsid w:val="00562413"/>
    <w:rsid w:val="00563981"/>
    <w:rsid w:val="0056668F"/>
    <w:rsid w:val="005705A5"/>
    <w:rsid w:val="00570D75"/>
    <w:rsid w:val="0057128D"/>
    <w:rsid w:val="005727BD"/>
    <w:rsid w:val="0057351F"/>
    <w:rsid w:val="00576062"/>
    <w:rsid w:val="005859C2"/>
    <w:rsid w:val="00585CC0"/>
    <w:rsid w:val="00586F79"/>
    <w:rsid w:val="00587A1D"/>
    <w:rsid w:val="00590C90"/>
    <w:rsid w:val="0059193D"/>
    <w:rsid w:val="0059735B"/>
    <w:rsid w:val="0059785A"/>
    <w:rsid w:val="005A1126"/>
    <w:rsid w:val="005A3D23"/>
    <w:rsid w:val="005A776D"/>
    <w:rsid w:val="005B0423"/>
    <w:rsid w:val="005B18B3"/>
    <w:rsid w:val="005B328C"/>
    <w:rsid w:val="005B4A8A"/>
    <w:rsid w:val="005B5FF9"/>
    <w:rsid w:val="005B7B1C"/>
    <w:rsid w:val="005C04D5"/>
    <w:rsid w:val="005C161E"/>
    <w:rsid w:val="005C2D5A"/>
    <w:rsid w:val="005C407C"/>
    <w:rsid w:val="005C43CE"/>
    <w:rsid w:val="005C4645"/>
    <w:rsid w:val="005C6ECE"/>
    <w:rsid w:val="005D0467"/>
    <w:rsid w:val="005D2A3B"/>
    <w:rsid w:val="005D3564"/>
    <w:rsid w:val="005D7B92"/>
    <w:rsid w:val="005E13B9"/>
    <w:rsid w:val="005E2773"/>
    <w:rsid w:val="005E2F1D"/>
    <w:rsid w:val="005E7340"/>
    <w:rsid w:val="005F0EC0"/>
    <w:rsid w:val="005F53D7"/>
    <w:rsid w:val="005F590E"/>
    <w:rsid w:val="005F7611"/>
    <w:rsid w:val="00600842"/>
    <w:rsid w:val="00601378"/>
    <w:rsid w:val="006034C8"/>
    <w:rsid w:val="00604843"/>
    <w:rsid w:val="00605707"/>
    <w:rsid w:val="0060576F"/>
    <w:rsid w:val="0060622D"/>
    <w:rsid w:val="00606403"/>
    <w:rsid w:val="00612B8C"/>
    <w:rsid w:val="006142FF"/>
    <w:rsid w:val="0061717F"/>
    <w:rsid w:val="006173DF"/>
    <w:rsid w:val="00617832"/>
    <w:rsid w:val="0062025C"/>
    <w:rsid w:val="00627626"/>
    <w:rsid w:val="00631A90"/>
    <w:rsid w:val="00633411"/>
    <w:rsid w:val="0063446F"/>
    <w:rsid w:val="00641BC4"/>
    <w:rsid w:val="0064436F"/>
    <w:rsid w:val="0064744D"/>
    <w:rsid w:val="00650E83"/>
    <w:rsid w:val="00653359"/>
    <w:rsid w:val="006553BA"/>
    <w:rsid w:val="006560B3"/>
    <w:rsid w:val="00657100"/>
    <w:rsid w:val="00663BBC"/>
    <w:rsid w:val="00665786"/>
    <w:rsid w:val="00670BE9"/>
    <w:rsid w:val="00671363"/>
    <w:rsid w:val="00671C74"/>
    <w:rsid w:val="0067247F"/>
    <w:rsid w:val="00672FC1"/>
    <w:rsid w:val="00676E6B"/>
    <w:rsid w:val="00677419"/>
    <w:rsid w:val="00685443"/>
    <w:rsid w:val="0068567F"/>
    <w:rsid w:val="00687F3A"/>
    <w:rsid w:val="00692300"/>
    <w:rsid w:val="00693094"/>
    <w:rsid w:val="00693951"/>
    <w:rsid w:val="00696B59"/>
    <w:rsid w:val="0069737A"/>
    <w:rsid w:val="006A0D26"/>
    <w:rsid w:val="006A22FD"/>
    <w:rsid w:val="006A35DB"/>
    <w:rsid w:val="006A3829"/>
    <w:rsid w:val="006A4647"/>
    <w:rsid w:val="006A4E4D"/>
    <w:rsid w:val="006A5099"/>
    <w:rsid w:val="006B0991"/>
    <w:rsid w:val="006B09DA"/>
    <w:rsid w:val="006B185B"/>
    <w:rsid w:val="006B2111"/>
    <w:rsid w:val="006B324B"/>
    <w:rsid w:val="006B3262"/>
    <w:rsid w:val="006B42A6"/>
    <w:rsid w:val="006B68B7"/>
    <w:rsid w:val="006B6BD9"/>
    <w:rsid w:val="006B76D1"/>
    <w:rsid w:val="006C2404"/>
    <w:rsid w:val="006C268F"/>
    <w:rsid w:val="006C6310"/>
    <w:rsid w:val="006D0223"/>
    <w:rsid w:val="006D1A68"/>
    <w:rsid w:val="006D1CEF"/>
    <w:rsid w:val="006D3598"/>
    <w:rsid w:val="006D3B36"/>
    <w:rsid w:val="006D3E3B"/>
    <w:rsid w:val="006D70A4"/>
    <w:rsid w:val="006D720C"/>
    <w:rsid w:val="006E06C6"/>
    <w:rsid w:val="006E083B"/>
    <w:rsid w:val="006E0F99"/>
    <w:rsid w:val="006E302A"/>
    <w:rsid w:val="006E3F2A"/>
    <w:rsid w:val="006E5C68"/>
    <w:rsid w:val="006E5F55"/>
    <w:rsid w:val="006E7481"/>
    <w:rsid w:val="006E79FF"/>
    <w:rsid w:val="006F05A3"/>
    <w:rsid w:val="006F1584"/>
    <w:rsid w:val="006F1B7F"/>
    <w:rsid w:val="006F3C1E"/>
    <w:rsid w:val="006F58C8"/>
    <w:rsid w:val="00700F50"/>
    <w:rsid w:val="00701851"/>
    <w:rsid w:val="00701A08"/>
    <w:rsid w:val="00702A82"/>
    <w:rsid w:val="007032BD"/>
    <w:rsid w:val="0070334E"/>
    <w:rsid w:val="007051E8"/>
    <w:rsid w:val="00707F65"/>
    <w:rsid w:val="007127CF"/>
    <w:rsid w:val="007129A9"/>
    <w:rsid w:val="00712D5B"/>
    <w:rsid w:val="007159C8"/>
    <w:rsid w:val="007164BA"/>
    <w:rsid w:val="00716933"/>
    <w:rsid w:val="00716F41"/>
    <w:rsid w:val="0072129F"/>
    <w:rsid w:val="00721665"/>
    <w:rsid w:val="00722AFA"/>
    <w:rsid w:val="00723FD5"/>
    <w:rsid w:val="00726342"/>
    <w:rsid w:val="0072680E"/>
    <w:rsid w:val="00726EDA"/>
    <w:rsid w:val="00731298"/>
    <w:rsid w:val="007313A3"/>
    <w:rsid w:val="00731CCB"/>
    <w:rsid w:val="007362A5"/>
    <w:rsid w:val="00736694"/>
    <w:rsid w:val="00740368"/>
    <w:rsid w:val="00740ABA"/>
    <w:rsid w:val="007428B8"/>
    <w:rsid w:val="00743245"/>
    <w:rsid w:val="00743FF4"/>
    <w:rsid w:val="00746164"/>
    <w:rsid w:val="007475B7"/>
    <w:rsid w:val="00752071"/>
    <w:rsid w:val="007541F2"/>
    <w:rsid w:val="00754D9E"/>
    <w:rsid w:val="0075603A"/>
    <w:rsid w:val="00760008"/>
    <w:rsid w:val="00760937"/>
    <w:rsid w:val="0076439B"/>
    <w:rsid w:val="00764C25"/>
    <w:rsid w:val="00774050"/>
    <w:rsid w:val="00780BB6"/>
    <w:rsid w:val="00780D78"/>
    <w:rsid w:val="00783F32"/>
    <w:rsid w:val="007866CC"/>
    <w:rsid w:val="0078733C"/>
    <w:rsid w:val="0078738A"/>
    <w:rsid w:val="00790810"/>
    <w:rsid w:val="00791042"/>
    <w:rsid w:val="00793FD2"/>
    <w:rsid w:val="0079698A"/>
    <w:rsid w:val="007A1FCC"/>
    <w:rsid w:val="007A4A61"/>
    <w:rsid w:val="007A7605"/>
    <w:rsid w:val="007A7A5E"/>
    <w:rsid w:val="007B0102"/>
    <w:rsid w:val="007B12FA"/>
    <w:rsid w:val="007B19E0"/>
    <w:rsid w:val="007B3673"/>
    <w:rsid w:val="007B7479"/>
    <w:rsid w:val="007C3AA1"/>
    <w:rsid w:val="007C4C41"/>
    <w:rsid w:val="007C5597"/>
    <w:rsid w:val="007C5697"/>
    <w:rsid w:val="007C62BA"/>
    <w:rsid w:val="007C6502"/>
    <w:rsid w:val="007C6663"/>
    <w:rsid w:val="007C6888"/>
    <w:rsid w:val="007D11B5"/>
    <w:rsid w:val="007D20FB"/>
    <w:rsid w:val="007D27CA"/>
    <w:rsid w:val="007D56F0"/>
    <w:rsid w:val="007D6A8F"/>
    <w:rsid w:val="007D78AF"/>
    <w:rsid w:val="007E0724"/>
    <w:rsid w:val="007E0E9B"/>
    <w:rsid w:val="007E135C"/>
    <w:rsid w:val="007E27C6"/>
    <w:rsid w:val="007E7B65"/>
    <w:rsid w:val="007F02BE"/>
    <w:rsid w:val="007F1E94"/>
    <w:rsid w:val="007F390B"/>
    <w:rsid w:val="007F3A41"/>
    <w:rsid w:val="007F419D"/>
    <w:rsid w:val="007F4324"/>
    <w:rsid w:val="008005B6"/>
    <w:rsid w:val="00801A7A"/>
    <w:rsid w:val="008042AF"/>
    <w:rsid w:val="00805E74"/>
    <w:rsid w:val="00807AE4"/>
    <w:rsid w:val="00811CEB"/>
    <w:rsid w:val="0081409D"/>
    <w:rsid w:val="008140CD"/>
    <w:rsid w:val="008165D1"/>
    <w:rsid w:val="00824C9E"/>
    <w:rsid w:val="008262CC"/>
    <w:rsid w:val="0082774A"/>
    <w:rsid w:val="00827E27"/>
    <w:rsid w:val="00827F39"/>
    <w:rsid w:val="008301CE"/>
    <w:rsid w:val="00830417"/>
    <w:rsid w:val="00832A5D"/>
    <w:rsid w:val="00836F0A"/>
    <w:rsid w:val="00837D13"/>
    <w:rsid w:val="008413B2"/>
    <w:rsid w:val="008418C7"/>
    <w:rsid w:val="008422FD"/>
    <w:rsid w:val="00842498"/>
    <w:rsid w:val="00843433"/>
    <w:rsid w:val="008448EE"/>
    <w:rsid w:val="00851085"/>
    <w:rsid w:val="008525B1"/>
    <w:rsid w:val="00853183"/>
    <w:rsid w:val="00853937"/>
    <w:rsid w:val="0085676E"/>
    <w:rsid w:val="008626B5"/>
    <w:rsid w:val="008628EF"/>
    <w:rsid w:val="008634E7"/>
    <w:rsid w:val="008657B5"/>
    <w:rsid w:val="00867693"/>
    <w:rsid w:val="0087214B"/>
    <w:rsid w:val="00874C9D"/>
    <w:rsid w:val="008763AC"/>
    <w:rsid w:val="00883D95"/>
    <w:rsid w:val="00886D61"/>
    <w:rsid w:val="0088746E"/>
    <w:rsid w:val="00890227"/>
    <w:rsid w:val="008903CD"/>
    <w:rsid w:val="008909EE"/>
    <w:rsid w:val="008921A3"/>
    <w:rsid w:val="00893768"/>
    <w:rsid w:val="00894388"/>
    <w:rsid w:val="008946E7"/>
    <w:rsid w:val="0089685C"/>
    <w:rsid w:val="00897DDD"/>
    <w:rsid w:val="008A069A"/>
    <w:rsid w:val="008A0B7D"/>
    <w:rsid w:val="008A1535"/>
    <w:rsid w:val="008A3519"/>
    <w:rsid w:val="008A603B"/>
    <w:rsid w:val="008A7C8A"/>
    <w:rsid w:val="008B34B7"/>
    <w:rsid w:val="008B355F"/>
    <w:rsid w:val="008C0560"/>
    <w:rsid w:val="008C4C7A"/>
    <w:rsid w:val="008C5CCD"/>
    <w:rsid w:val="008C73C6"/>
    <w:rsid w:val="008C7D65"/>
    <w:rsid w:val="008D4CE5"/>
    <w:rsid w:val="008D6B3D"/>
    <w:rsid w:val="008E2C3A"/>
    <w:rsid w:val="008E5C68"/>
    <w:rsid w:val="008E71B8"/>
    <w:rsid w:val="008F0C94"/>
    <w:rsid w:val="008F151E"/>
    <w:rsid w:val="008F3A2B"/>
    <w:rsid w:val="008F6EB4"/>
    <w:rsid w:val="00900BAB"/>
    <w:rsid w:val="00901149"/>
    <w:rsid w:val="00901A00"/>
    <w:rsid w:val="00901D24"/>
    <w:rsid w:val="00903224"/>
    <w:rsid w:val="00904EA8"/>
    <w:rsid w:val="009059C1"/>
    <w:rsid w:val="0091117B"/>
    <w:rsid w:val="00917C6D"/>
    <w:rsid w:val="00920F1B"/>
    <w:rsid w:val="009229C0"/>
    <w:rsid w:val="00923BA6"/>
    <w:rsid w:val="00924664"/>
    <w:rsid w:val="009249B0"/>
    <w:rsid w:val="0092675E"/>
    <w:rsid w:val="0093189D"/>
    <w:rsid w:val="00932350"/>
    <w:rsid w:val="00932AEE"/>
    <w:rsid w:val="009347A8"/>
    <w:rsid w:val="00935E33"/>
    <w:rsid w:val="009363A6"/>
    <w:rsid w:val="00937393"/>
    <w:rsid w:val="00937C6E"/>
    <w:rsid w:val="00940D4F"/>
    <w:rsid w:val="00943AED"/>
    <w:rsid w:val="00945D79"/>
    <w:rsid w:val="0094755F"/>
    <w:rsid w:val="009533BA"/>
    <w:rsid w:val="009542A2"/>
    <w:rsid w:val="00955E39"/>
    <w:rsid w:val="00960922"/>
    <w:rsid w:val="00964BB4"/>
    <w:rsid w:val="00964C6B"/>
    <w:rsid w:val="00966015"/>
    <w:rsid w:val="00966F4D"/>
    <w:rsid w:val="00967C05"/>
    <w:rsid w:val="00970095"/>
    <w:rsid w:val="00970D21"/>
    <w:rsid w:val="00970FB0"/>
    <w:rsid w:val="00972CF1"/>
    <w:rsid w:val="009757CE"/>
    <w:rsid w:val="0097603F"/>
    <w:rsid w:val="00980EB5"/>
    <w:rsid w:val="0098161C"/>
    <w:rsid w:val="0098254B"/>
    <w:rsid w:val="009828B4"/>
    <w:rsid w:val="00983709"/>
    <w:rsid w:val="00984558"/>
    <w:rsid w:val="00985B79"/>
    <w:rsid w:val="00990C3A"/>
    <w:rsid w:val="009918FA"/>
    <w:rsid w:val="00992087"/>
    <w:rsid w:val="009923C9"/>
    <w:rsid w:val="009933A3"/>
    <w:rsid w:val="00993D2E"/>
    <w:rsid w:val="009A143F"/>
    <w:rsid w:val="009A2104"/>
    <w:rsid w:val="009A30B4"/>
    <w:rsid w:val="009A32D9"/>
    <w:rsid w:val="009A6DAA"/>
    <w:rsid w:val="009B02E6"/>
    <w:rsid w:val="009B04E1"/>
    <w:rsid w:val="009B04F7"/>
    <w:rsid w:val="009B1108"/>
    <w:rsid w:val="009B1858"/>
    <w:rsid w:val="009B1D61"/>
    <w:rsid w:val="009B39BA"/>
    <w:rsid w:val="009B3A84"/>
    <w:rsid w:val="009B422C"/>
    <w:rsid w:val="009B43B3"/>
    <w:rsid w:val="009B685E"/>
    <w:rsid w:val="009C33AF"/>
    <w:rsid w:val="009C55C9"/>
    <w:rsid w:val="009C6DF0"/>
    <w:rsid w:val="009D5028"/>
    <w:rsid w:val="009D59D9"/>
    <w:rsid w:val="009D652E"/>
    <w:rsid w:val="009D7343"/>
    <w:rsid w:val="009D7D2A"/>
    <w:rsid w:val="009E0551"/>
    <w:rsid w:val="009E0AF8"/>
    <w:rsid w:val="009E0F94"/>
    <w:rsid w:val="009E48AA"/>
    <w:rsid w:val="009E5763"/>
    <w:rsid w:val="009E69FF"/>
    <w:rsid w:val="009E7942"/>
    <w:rsid w:val="00A0083C"/>
    <w:rsid w:val="00A02190"/>
    <w:rsid w:val="00A040E1"/>
    <w:rsid w:val="00A07F42"/>
    <w:rsid w:val="00A10EBF"/>
    <w:rsid w:val="00A11FF5"/>
    <w:rsid w:val="00A12EFA"/>
    <w:rsid w:val="00A148D8"/>
    <w:rsid w:val="00A14CA6"/>
    <w:rsid w:val="00A16315"/>
    <w:rsid w:val="00A175F2"/>
    <w:rsid w:val="00A20146"/>
    <w:rsid w:val="00A22D46"/>
    <w:rsid w:val="00A3048B"/>
    <w:rsid w:val="00A307EC"/>
    <w:rsid w:val="00A30B3C"/>
    <w:rsid w:val="00A30F75"/>
    <w:rsid w:val="00A338CA"/>
    <w:rsid w:val="00A406EA"/>
    <w:rsid w:val="00A41DA3"/>
    <w:rsid w:val="00A42B59"/>
    <w:rsid w:val="00A44021"/>
    <w:rsid w:val="00A44D83"/>
    <w:rsid w:val="00A44E9D"/>
    <w:rsid w:val="00A46CA9"/>
    <w:rsid w:val="00A47F19"/>
    <w:rsid w:val="00A55A35"/>
    <w:rsid w:val="00A563DD"/>
    <w:rsid w:val="00A60996"/>
    <w:rsid w:val="00A62786"/>
    <w:rsid w:val="00A63624"/>
    <w:rsid w:val="00A63824"/>
    <w:rsid w:val="00A64FE4"/>
    <w:rsid w:val="00A71796"/>
    <w:rsid w:val="00A738D2"/>
    <w:rsid w:val="00A76BF2"/>
    <w:rsid w:val="00A77C5F"/>
    <w:rsid w:val="00A80653"/>
    <w:rsid w:val="00A80D3C"/>
    <w:rsid w:val="00A83645"/>
    <w:rsid w:val="00A84813"/>
    <w:rsid w:val="00A855D2"/>
    <w:rsid w:val="00A87356"/>
    <w:rsid w:val="00A90833"/>
    <w:rsid w:val="00A908B6"/>
    <w:rsid w:val="00A910A6"/>
    <w:rsid w:val="00A95AC7"/>
    <w:rsid w:val="00A96C70"/>
    <w:rsid w:val="00A970C5"/>
    <w:rsid w:val="00AA018F"/>
    <w:rsid w:val="00AB0863"/>
    <w:rsid w:val="00AB0EDC"/>
    <w:rsid w:val="00AB0F76"/>
    <w:rsid w:val="00AB361A"/>
    <w:rsid w:val="00AB3E61"/>
    <w:rsid w:val="00AB47B6"/>
    <w:rsid w:val="00AB6497"/>
    <w:rsid w:val="00AC1C8D"/>
    <w:rsid w:val="00AD1BF8"/>
    <w:rsid w:val="00AD1E5E"/>
    <w:rsid w:val="00AD1E77"/>
    <w:rsid w:val="00AD489B"/>
    <w:rsid w:val="00AD6644"/>
    <w:rsid w:val="00AE502C"/>
    <w:rsid w:val="00AE5591"/>
    <w:rsid w:val="00AE58A9"/>
    <w:rsid w:val="00AE5B0A"/>
    <w:rsid w:val="00AE5D9B"/>
    <w:rsid w:val="00AE6BBC"/>
    <w:rsid w:val="00AE7553"/>
    <w:rsid w:val="00AE7C23"/>
    <w:rsid w:val="00AF0408"/>
    <w:rsid w:val="00AF4B30"/>
    <w:rsid w:val="00AF61B3"/>
    <w:rsid w:val="00AF641B"/>
    <w:rsid w:val="00AF7183"/>
    <w:rsid w:val="00AF7C84"/>
    <w:rsid w:val="00B00D73"/>
    <w:rsid w:val="00B02D60"/>
    <w:rsid w:val="00B03D7A"/>
    <w:rsid w:val="00B04BD5"/>
    <w:rsid w:val="00B04EFD"/>
    <w:rsid w:val="00B114B5"/>
    <w:rsid w:val="00B11D66"/>
    <w:rsid w:val="00B134F6"/>
    <w:rsid w:val="00B15189"/>
    <w:rsid w:val="00B1539A"/>
    <w:rsid w:val="00B1634D"/>
    <w:rsid w:val="00B1638D"/>
    <w:rsid w:val="00B218D4"/>
    <w:rsid w:val="00B21CD1"/>
    <w:rsid w:val="00B21DB2"/>
    <w:rsid w:val="00B2410E"/>
    <w:rsid w:val="00B24609"/>
    <w:rsid w:val="00B255D0"/>
    <w:rsid w:val="00B257FE"/>
    <w:rsid w:val="00B27CA6"/>
    <w:rsid w:val="00B3179B"/>
    <w:rsid w:val="00B3659C"/>
    <w:rsid w:val="00B40246"/>
    <w:rsid w:val="00B40E8F"/>
    <w:rsid w:val="00B410B7"/>
    <w:rsid w:val="00B434AB"/>
    <w:rsid w:val="00B43AE4"/>
    <w:rsid w:val="00B43F85"/>
    <w:rsid w:val="00B4571C"/>
    <w:rsid w:val="00B46F06"/>
    <w:rsid w:val="00B5102E"/>
    <w:rsid w:val="00B53B18"/>
    <w:rsid w:val="00B53EAA"/>
    <w:rsid w:val="00B601C4"/>
    <w:rsid w:val="00B617B2"/>
    <w:rsid w:val="00B64F67"/>
    <w:rsid w:val="00B65CF0"/>
    <w:rsid w:val="00B65D8C"/>
    <w:rsid w:val="00B6696F"/>
    <w:rsid w:val="00B71EF8"/>
    <w:rsid w:val="00B723BE"/>
    <w:rsid w:val="00B73D87"/>
    <w:rsid w:val="00B7410C"/>
    <w:rsid w:val="00B74290"/>
    <w:rsid w:val="00B75379"/>
    <w:rsid w:val="00B753D9"/>
    <w:rsid w:val="00B8031B"/>
    <w:rsid w:val="00B80383"/>
    <w:rsid w:val="00B810E2"/>
    <w:rsid w:val="00B817F4"/>
    <w:rsid w:val="00B82705"/>
    <w:rsid w:val="00B85450"/>
    <w:rsid w:val="00B86B44"/>
    <w:rsid w:val="00B87FEC"/>
    <w:rsid w:val="00B91194"/>
    <w:rsid w:val="00B93CAB"/>
    <w:rsid w:val="00B97471"/>
    <w:rsid w:val="00B97F42"/>
    <w:rsid w:val="00BA137B"/>
    <w:rsid w:val="00BA1476"/>
    <w:rsid w:val="00BA2A1A"/>
    <w:rsid w:val="00BA2FD5"/>
    <w:rsid w:val="00BA4046"/>
    <w:rsid w:val="00BA585F"/>
    <w:rsid w:val="00BA6A96"/>
    <w:rsid w:val="00BB03E6"/>
    <w:rsid w:val="00BB1368"/>
    <w:rsid w:val="00BB15CF"/>
    <w:rsid w:val="00BB1AA9"/>
    <w:rsid w:val="00BB2D11"/>
    <w:rsid w:val="00BB4EF5"/>
    <w:rsid w:val="00BB56E7"/>
    <w:rsid w:val="00BB6B8B"/>
    <w:rsid w:val="00BC1530"/>
    <w:rsid w:val="00BC1FA2"/>
    <w:rsid w:val="00BC31B3"/>
    <w:rsid w:val="00BC55DA"/>
    <w:rsid w:val="00BC6620"/>
    <w:rsid w:val="00BC70C9"/>
    <w:rsid w:val="00BD1532"/>
    <w:rsid w:val="00BD374C"/>
    <w:rsid w:val="00BD6651"/>
    <w:rsid w:val="00BD68FE"/>
    <w:rsid w:val="00BE4ED8"/>
    <w:rsid w:val="00BE5EC4"/>
    <w:rsid w:val="00BE712B"/>
    <w:rsid w:val="00BF058E"/>
    <w:rsid w:val="00BF0D11"/>
    <w:rsid w:val="00BF0F85"/>
    <w:rsid w:val="00BF2418"/>
    <w:rsid w:val="00BF61BC"/>
    <w:rsid w:val="00BF67B9"/>
    <w:rsid w:val="00BF79ED"/>
    <w:rsid w:val="00BF7FE2"/>
    <w:rsid w:val="00C00B7D"/>
    <w:rsid w:val="00C0289A"/>
    <w:rsid w:val="00C02EB5"/>
    <w:rsid w:val="00C05A1C"/>
    <w:rsid w:val="00C1016E"/>
    <w:rsid w:val="00C10675"/>
    <w:rsid w:val="00C11AFA"/>
    <w:rsid w:val="00C138CA"/>
    <w:rsid w:val="00C15503"/>
    <w:rsid w:val="00C170A1"/>
    <w:rsid w:val="00C17F5D"/>
    <w:rsid w:val="00C20F6E"/>
    <w:rsid w:val="00C2180E"/>
    <w:rsid w:val="00C23DEE"/>
    <w:rsid w:val="00C24087"/>
    <w:rsid w:val="00C27D57"/>
    <w:rsid w:val="00C30DAE"/>
    <w:rsid w:val="00C3206E"/>
    <w:rsid w:val="00C33479"/>
    <w:rsid w:val="00C338C7"/>
    <w:rsid w:val="00C33943"/>
    <w:rsid w:val="00C359CA"/>
    <w:rsid w:val="00C405B1"/>
    <w:rsid w:val="00C41281"/>
    <w:rsid w:val="00C41339"/>
    <w:rsid w:val="00C421CE"/>
    <w:rsid w:val="00C44F3C"/>
    <w:rsid w:val="00C458D7"/>
    <w:rsid w:val="00C47593"/>
    <w:rsid w:val="00C514D3"/>
    <w:rsid w:val="00C522A3"/>
    <w:rsid w:val="00C54D0A"/>
    <w:rsid w:val="00C60E0D"/>
    <w:rsid w:val="00C635C8"/>
    <w:rsid w:val="00C70170"/>
    <w:rsid w:val="00C71674"/>
    <w:rsid w:val="00C72AD1"/>
    <w:rsid w:val="00C75201"/>
    <w:rsid w:val="00C77532"/>
    <w:rsid w:val="00C827B3"/>
    <w:rsid w:val="00C82CBA"/>
    <w:rsid w:val="00C87131"/>
    <w:rsid w:val="00C878F7"/>
    <w:rsid w:val="00C909A2"/>
    <w:rsid w:val="00C91FE9"/>
    <w:rsid w:val="00C930FE"/>
    <w:rsid w:val="00C939FC"/>
    <w:rsid w:val="00C95142"/>
    <w:rsid w:val="00C96415"/>
    <w:rsid w:val="00C97DB0"/>
    <w:rsid w:val="00CA0810"/>
    <w:rsid w:val="00CA2D14"/>
    <w:rsid w:val="00CA3510"/>
    <w:rsid w:val="00CA422A"/>
    <w:rsid w:val="00CA548F"/>
    <w:rsid w:val="00CA5D4C"/>
    <w:rsid w:val="00CA60A5"/>
    <w:rsid w:val="00CB0B8A"/>
    <w:rsid w:val="00CB211C"/>
    <w:rsid w:val="00CB4511"/>
    <w:rsid w:val="00CB64DD"/>
    <w:rsid w:val="00CC0894"/>
    <w:rsid w:val="00CC0DDE"/>
    <w:rsid w:val="00CC0E7B"/>
    <w:rsid w:val="00CC5BD2"/>
    <w:rsid w:val="00CD02A8"/>
    <w:rsid w:val="00CD1627"/>
    <w:rsid w:val="00CD391A"/>
    <w:rsid w:val="00CD789A"/>
    <w:rsid w:val="00CD7FB1"/>
    <w:rsid w:val="00CE0500"/>
    <w:rsid w:val="00CE1911"/>
    <w:rsid w:val="00CE1C84"/>
    <w:rsid w:val="00CE3317"/>
    <w:rsid w:val="00CE676A"/>
    <w:rsid w:val="00CE6800"/>
    <w:rsid w:val="00CE739E"/>
    <w:rsid w:val="00CF0123"/>
    <w:rsid w:val="00CF182F"/>
    <w:rsid w:val="00CF1A9B"/>
    <w:rsid w:val="00CF2DD0"/>
    <w:rsid w:val="00CF358E"/>
    <w:rsid w:val="00CF3741"/>
    <w:rsid w:val="00CF7842"/>
    <w:rsid w:val="00D0124A"/>
    <w:rsid w:val="00D01DBB"/>
    <w:rsid w:val="00D03D1F"/>
    <w:rsid w:val="00D0404D"/>
    <w:rsid w:val="00D04236"/>
    <w:rsid w:val="00D071CC"/>
    <w:rsid w:val="00D0720D"/>
    <w:rsid w:val="00D0731F"/>
    <w:rsid w:val="00D12098"/>
    <w:rsid w:val="00D15461"/>
    <w:rsid w:val="00D1797A"/>
    <w:rsid w:val="00D25FCD"/>
    <w:rsid w:val="00D307D2"/>
    <w:rsid w:val="00D316CB"/>
    <w:rsid w:val="00D33086"/>
    <w:rsid w:val="00D336F8"/>
    <w:rsid w:val="00D33AF9"/>
    <w:rsid w:val="00D36A80"/>
    <w:rsid w:val="00D36E64"/>
    <w:rsid w:val="00D370A0"/>
    <w:rsid w:val="00D43543"/>
    <w:rsid w:val="00D4364C"/>
    <w:rsid w:val="00D43921"/>
    <w:rsid w:val="00D44132"/>
    <w:rsid w:val="00D44EF9"/>
    <w:rsid w:val="00D45172"/>
    <w:rsid w:val="00D47DAB"/>
    <w:rsid w:val="00D5115F"/>
    <w:rsid w:val="00D5145A"/>
    <w:rsid w:val="00D56E54"/>
    <w:rsid w:val="00D60BD9"/>
    <w:rsid w:val="00D61502"/>
    <w:rsid w:val="00D620DE"/>
    <w:rsid w:val="00D62324"/>
    <w:rsid w:val="00D7084C"/>
    <w:rsid w:val="00D70D38"/>
    <w:rsid w:val="00D7184F"/>
    <w:rsid w:val="00D72DD8"/>
    <w:rsid w:val="00D73A33"/>
    <w:rsid w:val="00D742D3"/>
    <w:rsid w:val="00D7489A"/>
    <w:rsid w:val="00D75664"/>
    <w:rsid w:val="00D80642"/>
    <w:rsid w:val="00D81928"/>
    <w:rsid w:val="00D81B79"/>
    <w:rsid w:val="00D82C7B"/>
    <w:rsid w:val="00D84A73"/>
    <w:rsid w:val="00D85512"/>
    <w:rsid w:val="00D85D99"/>
    <w:rsid w:val="00D8667C"/>
    <w:rsid w:val="00D86AB9"/>
    <w:rsid w:val="00D875D0"/>
    <w:rsid w:val="00D90C07"/>
    <w:rsid w:val="00D926A5"/>
    <w:rsid w:val="00D928A5"/>
    <w:rsid w:val="00D92BA9"/>
    <w:rsid w:val="00D94794"/>
    <w:rsid w:val="00D94A3B"/>
    <w:rsid w:val="00D95FAB"/>
    <w:rsid w:val="00D96824"/>
    <w:rsid w:val="00DA0FB1"/>
    <w:rsid w:val="00DA211B"/>
    <w:rsid w:val="00DA62A1"/>
    <w:rsid w:val="00DA7A99"/>
    <w:rsid w:val="00DB20E9"/>
    <w:rsid w:val="00DB3E7F"/>
    <w:rsid w:val="00DB4A36"/>
    <w:rsid w:val="00DB4A4C"/>
    <w:rsid w:val="00DB4AD1"/>
    <w:rsid w:val="00DB6B17"/>
    <w:rsid w:val="00DC056F"/>
    <w:rsid w:val="00DC32D9"/>
    <w:rsid w:val="00DC3431"/>
    <w:rsid w:val="00DC65BD"/>
    <w:rsid w:val="00DD36EB"/>
    <w:rsid w:val="00DD3C49"/>
    <w:rsid w:val="00DD4BD9"/>
    <w:rsid w:val="00DE2AFC"/>
    <w:rsid w:val="00DE3AAE"/>
    <w:rsid w:val="00DE42CF"/>
    <w:rsid w:val="00DE4AD3"/>
    <w:rsid w:val="00DE633B"/>
    <w:rsid w:val="00DF0E99"/>
    <w:rsid w:val="00DF2079"/>
    <w:rsid w:val="00DF5DA5"/>
    <w:rsid w:val="00DF6B12"/>
    <w:rsid w:val="00E01464"/>
    <w:rsid w:val="00E024EC"/>
    <w:rsid w:val="00E02DCF"/>
    <w:rsid w:val="00E038E9"/>
    <w:rsid w:val="00E07BA3"/>
    <w:rsid w:val="00E1004B"/>
    <w:rsid w:val="00E11B88"/>
    <w:rsid w:val="00E126D9"/>
    <w:rsid w:val="00E12B59"/>
    <w:rsid w:val="00E12C25"/>
    <w:rsid w:val="00E15CC7"/>
    <w:rsid w:val="00E17B80"/>
    <w:rsid w:val="00E223A0"/>
    <w:rsid w:val="00E245B7"/>
    <w:rsid w:val="00E24E02"/>
    <w:rsid w:val="00E25603"/>
    <w:rsid w:val="00E27ECF"/>
    <w:rsid w:val="00E27F54"/>
    <w:rsid w:val="00E30228"/>
    <w:rsid w:val="00E31F78"/>
    <w:rsid w:val="00E32FD1"/>
    <w:rsid w:val="00E34E23"/>
    <w:rsid w:val="00E3618F"/>
    <w:rsid w:val="00E41F38"/>
    <w:rsid w:val="00E420D3"/>
    <w:rsid w:val="00E43F6B"/>
    <w:rsid w:val="00E45F94"/>
    <w:rsid w:val="00E45FE4"/>
    <w:rsid w:val="00E506D2"/>
    <w:rsid w:val="00E5637B"/>
    <w:rsid w:val="00E5690D"/>
    <w:rsid w:val="00E56BDF"/>
    <w:rsid w:val="00E578D0"/>
    <w:rsid w:val="00E60842"/>
    <w:rsid w:val="00E630E9"/>
    <w:rsid w:val="00E63429"/>
    <w:rsid w:val="00E63B56"/>
    <w:rsid w:val="00E64805"/>
    <w:rsid w:val="00E66CC9"/>
    <w:rsid w:val="00E67355"/>
    <w:rsid w:val="00E7052E"/>
    <w:rsid w:val="00E73478"/>
    <w:rsid w:val="00E75249"/>
    <w:rsid w:val="00E75A30"/>
    <w:rsid w:val="00E75F4F"/>
    <w:rsid w:val="00E760D6"/>
    <w:rsid w:val="00E7710A"/>
    <w:rsid w:val="00E82D3C"/>
    <w:rsid w:val="00E8380C"/>
    <w:rsid w:val="00E83B38"/>
    <w:rsid w:val="00E8570A"/>
    <w:rsid w:val="00E87462"/>
    <w:rsid w:val="00E912C7"/>
    <w:rsid w:val="00E91680"/>
    <w:rsid w:val="00E91D9E"/>
    <w:rsid w:val="00E94D26"/>
    <w:rsid w:val="00E9592E"/>
    <w:rsid w:val="00EA050D"/>
    <w:rsid w:val="00EA0CEF"/>
    <w:rsid w:val="00EA7D4F"/>
    <w:rsid w:val="00EB16F7"/>
    <w:rsid w:val="00EB1B7C"/>
    <w:rsid w:val="00EB4CE5"/>
    <w:rsid w:val="00EB630C"/>
    <w:rsid w:val="00EB6E7E"/>
    <w:rsid w:val="00EB7510"/>
    <w:rsid w:val="00EC0250"/>
    <w:rsid w:val="00EC1129"/>
    <w:rsid w:val="00EC504C"/>
    <w:rsid w:val="00EC5A6F"/>
    <w:rsid w:val="00EC6B6F"/>
    <w:rsid w:val="00EC700C"/>
    <w:rsid w:val="00EC7D2A"/>
    <w:rsid w:val="00ED1F9D"/>
    <w:rsid w:val="00ED38D6"/>
    <w:rsid w:val="00ED42A8"/>
    <w:rsid w:val="00ED5B28"/>
    <w:rsid w:val="00EE3906"/>
    <w:rsid w:val="00EE4F2A"/>
    <w:rsid w:val="00EE563D"/>
    <w:rsid w:val="00EE7A32"/>
    <w:rsid w:val="00EF1183"/>
    <w:rsid w:val="00EF1FC0"/>
    <w:rsid w:val="00EF2391"/>
    <w:rsid w:val="00EF2AA0"/>
    <w:rsid w:val="00EF4790"/>
    <w:rsid w:val="00EF5763"/>
    <w:rsid w:val="00EF57C4"/>
    <w:rsid w:val="00EF6153"/>
    <w:rsid w:val="00F03FD8"/>
    <w:rsid w:val="00F057FB"/>
    <w:rsid w:val="00F060F0"/>
    <w:rsid w:val="00F1154D"/>
    <w:rsid w:val="00F13DD8"/>
    <w:rsid w:val="00F13ECC"/>
    <w:rsid w:val="00F16A29"/>
    <w:rsid w:val="00F21C74"/>
    <w:rsid w:val="00F24A9C"/>
    <w:rsid w:val="00F25602"/>
    <w:rsid w:val="00F26119"/>
    <w:rsid w:val="00F314F2"/>
    <w:rsid w:val="00F32ED9"/>
    <w:rsid w:val="00F347E0"/>
    <w:rsid w:val="00F40510"/>
    <w:rsid w:val="00F408F3"/>
    <w:rsid w:val="00F46B0E"/>
    <w:rsid w:val="00F50013"/>
    <w:rsid w:val="00F51522"/>
    <w:rsid w:val="00F52F73"/>
    <w:rsid w:val="00F53510"/>
    <w:rsid w:val="00F54ACB"/>
    <w:rsid w:val="00F5637D"/>
    <w:rsid w:val="00F60DC8"/>
    <w:rsid w:val="00F61CBA"/>
    <w:rsid w:val="00F621DC"/>
    <w:rsid w:val="00F70169"/>
    <w:rsid w:val="00F75E4C"/>
    <w:rsid w:val="00F76DC0"/>
    <w:rsid w:val="00F778D4"/>
    <w:rsid w:val="00F802EF"/>
    <w:rsid w:val="00F814C5"/>
    <w:rsid w:val="00F839B3"/>
    <w:rsid w:val="00F905C9"/>
    <w:rsid w:val="00F92721"/>
    <w:rsid w:val="00F932A4"/>
    <w:rsid w:val="00F97606"/>
    <w:rsid w:val="00F9769F"/>
    <w:rsid w:val="00FA10A0"/>
    <w:rsid w:val="00FA1489"/>
    <w:rsid w:val="00FA172D"/>
    <w:rsid w:val="00FA6A74"/>
    <w:rsid w:val="00FA6E93"/>
    <w:rsid w:val="00FA7613"/>
    <w:rsid w:val="00FB1DF9"/>
    <w:rsid w:val="00FB3E56"/>
    <w:rsid w:val="00FB6E97"/>
    <w:rsid w:val="00FC19BD"/>
    <w:rsid w:val="00FC1F9D"/>
    <w:rsid w:val="00FC1FCE"/>
    <w:rsid w:val="00FC2674"/>
    <w:rsid w:val="00FC73BB"/>
    <w:rsid w:val="00FD059B"/>
    <w:rsid w:val="00FD2FD5"/>
    <w:rsid w:val="00FD4D0C"/>
    <w:rsid w:val="00FD5AD8"/>
    <w:rsid w:val="00FD6F32"/>
    <w:rsid w:val="00FD7BA7"/>
    <w:rsid w:val="00FE3007"/>
    <w:rsid w:val="00FE4BD6"/>
    <w:rsid w:val="00FE6531"/>
    <w:rsid w:val="00FF277C"/>
    <w:rsid w:val="00FF32F8"/>
    <w:rsid w:val="00FF43DB"/>
    <w:rsid w:val="00FF6FD0"/>
    <w:rsid w:val="00FF79CE"/>
    <w:rsid w:val="138073A4"/>
    <w:rsid w:val="1D7972BA"/>
    <w:rsid w:val="2F4E4F5E"/>
    <w:rsid w:val="2F6FA92F"/>
    <w:rsid w:val="42402EDB"/>
    <w:rsid w:val="42F75C56"/>
    <w:rsid w:val="46507F28"/>
    <w:rsid w:val="49AD6EDF"/>
    <w:rsid w:val="4C92A967"/>
    <w:rsid w:val="50C6C79F"/>
    <w:rsid w:val="59568957"/>
    <w:rsid w:val="5D696545"/>
    <w:rsid w:val="5F302026"/>
    <w:rsid w:val="605A7157"/>
    <w:rsid w:val="60DDFD5E"/>
    <w:rsid w:val="705334CF"/>
    <w:rsid w:val="743C4A94"/>
    <w:rsid w:val="74CE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31D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A76BF2"/>
    <w:pPr>
      <w:keepNext/>
      <w:keepLines/>
      <w:spacing w:before="160" w:after="120"/>
      <w:outlineLvl w:val="2"/>
    </w:pPr>
    <w:rPr>
      <w:rFonts w:eastAsiaTheme="majorEastAsia" w:cstheme="majorBidi"/>
      <w:b/>
      <w:sz w:val="28"/>
      <w:szCs w:val="26"/>
    </w:rPr>
  </w:style>
  <w:style w:type="paragraph" w:styleId="Heading4">
    <w:name w:val="heading 4"/>
    <w:basedOn w:val="Heading3"/>
    <w:next w:val="Normal"/>
    <w:link w:val="Heading4Char"/>
    <w:uiPriority w:val="9"/>
    <w:unhideWhenUsed/>
    <w:qFormat/>
    <w:rsid w:val="00A563DD"/>
    <w:pPr>
      <w:outlineLvl w:val="3"/>
    </w:pPr>
    <w:rPr>
      <w:sz w:val="24"/>
      <w:szCs w:val="24"/>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76BF2"/>
    <w:rPr>
      <w:rFonts w:ascii="Arial" w:eastAsiaTheme="majorEastAsia" w:hAnsi="Arial" w:cstheme="majorBidi"/>
      <w:b/>
      <w:sz w:val="28"/>
      <w:szCs w:val="26"/>
    </w:rPr>
  </w:style>
  <w:style w:type="character" w:customStyle="1" w:styleId="Heading4Char">
    <w:name w:val="Heading 4 Char"/>
    <w:basedOn w:val="DefaultParagraphFont"/>
    <w:link w:val="Heading4"/>
    <w:uiPriority w:val="9"/>
    <w:rsid w:val="00A563DD"/>
    <w:rPr>
      <w:rFonts w:ascii="Arial" w:eastAsiaTheme="majorEastAsia" w:hAnsi="Arial" w:cstheme="majorBidi"/>
      <w:b/>
      <w:sz w:val="24"/>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3">
    <w:name w:val="Unresolved Mention3"/>
    <w:basedOn w:val="DefaultParagraphFont"/>
    <w:uiPriority w:val="99"/>
    <w:semiHidden/>
    <w:unhideWhenUsed/>
    <w:rsid w:val="00AB0F76"/>
    <w:rPr>
      <w:color w:val="605E5C"/>
      <w:shd w:val="clear" w:color="auto" w:fill="E1DFDD"/>
    </w:rPr>
  </w:style>
  <w:style w:type="table" w:styleId="TableGrid">
    <w:name w:val="Table Grid"/>
    <w:basedOn w:val="TableNormal"/>
    <w:uiPriority w:val="39"/>
    <w:rsid w:val="00B7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5871">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365787963">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793">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759830749">
      <w:bodyDiv w:val="1"/>
      <w:marLeft w:val="0"/>
      <w:marRight w:val="0"/>
      <w:marTop w:val="0"/>
      <w:marBottom w:val="0"/>
      <w:divBdr>
        <w:top w:val="none" w:sz="0" w:space="0" w:color="auto"/>
        <w:left w:val="none" w:sz="0" w:space="0" w:color="auto"/>
        <w:bottom w:val="none" w:sz="0" w:space="0" w:color="auto"/>
        <w:right w:val="none" w:sz="0" w:space="0" w:color="auto"/>
      </w:divBdr>
      <w:divsChild>
        <w:div w:id="253364722">
          <w:marLeft w:val="0"/>
          <w:marRight w:val="0"/>
          <w:marTop w:val="0"/>
          <w:marBottom w:val="0"/>
          <w:divBdr>
            <w:top w:val="none" w:sz="0" w:space="0" w:color="auto"/>
            <w:left w:val="none" w:sz="0" w:space="0" w:color="auto"/>
            <w:bottom w:val="none" w:sz="0" w:space="0" w:color="auto"/>
            <w:right w:val="none" w:sz="0" w:space="0" w:color="auto"/>
          </w:divBdr>
        </w:div>
        <w:div w:id="388963374">
          <w:marLeft w:val="0"/>
          <w:marRight w:val="0"/>
          <w:marTop w:val="0"/>
          <w:marBottom w:val="0"/>
          <w:divBdr>
            <w:top w:val="none" w:sz="0" w:space="0" w:color="auto"/>
            <w:left w:val="none" w:sz="0" w:space="0" w:color="auto"/>
            <w:bottom w:val="none" w:sz="0" w:space="0" w:color="auto"/>
            <w:right w:val="none" w:sz="0" w:space="0" w:color="auto"/>
          </w:divBdr>
        </w:div>
      </w:divsChild>
    </w:div>
    <w:div w:id="813763497">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59678358">
      <w:bodyDiv w:val="1"/>
      <w:marLeft w:val="0"/>
      <w:marRight w:val="0"/>
      <w:marTop w:val="0"/>
      <w:marBottom w:val="0"/>
      <w:divBdr>
        <w:top w:val="none" w:sz="0" w:space="0" w:color="auto"/>
        <w:left w:val="none" w:sz="0" w:space="0" w:color="auto"/>
        <w:bottom w:val="none" w:sz="0" w:space="0" w:color="auto"/>
        <w:right w:val="none" w:sz="0" w:space="0" w:color="auto"/>
      </w:divBdr>
      <w:divsChild>
        <w:div w:id="671033932">
          <w:marLeft w:val="0"/>
          <w:marRight w:val="0"/>
          <w:marTop w:val="0"/>
          <w:marBottom w:val="0"/>
          <w:divBdr>
            <w:top w:val="none" w:sz="0" w:space="0" w:color="auto"/>
            <w:left w:val="none" w:sz="0" w:space="0" w:color="auto"/>
            <w:bottom w:val="none" w:sz="0" w:space="0" w:color="auto"/>
            <w:right w:val="none" w:sz="0" w:space="0" w:color="auto"/>
          </w:divBdr>
        </w:div>
        <w:div w:id="711804538">
          <w:marLeft w:val="0"/>
          <w:marRight w:val="0"/>
          <w:marTop w:val="0"/>
          <w:marBottom w:val="0"/>
          <w:divBdr>
            <w:top w:val="none" w:sz="0" w:space="0" w:color="auto"/>
            <w:left w:val="none" w:sz="0" w:space="0" w:color="auto"/>
            <w:bottom w:val="none" w:sz="0" w:space="0" w:color="auto"/>
            <w:right w:val="none" w:sz="0" w:space="0" w:color="auto"/>
          </w:divBdr>
        </w:div>
      </w:divsChild>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70011247">
          <w:marLeft w:val="547"/>
          <w:marRight w:val="0"/>
          <w:marTop w:val="125"/>
          <w:marBottom w:val="0"/>
          <w:divBdr>
            <w:top w:val="none" w:sz="0" w:space="0" w:color="auto"/>
            <w:left w:val="none" w:sz="0" w:space="0" w:color="auto"/>
            <w:bottom w:val="none" w:sz="0" w:space="0" w:color="auto"/>
            <w:right w:val="none" w:sz="0" w:space="0" w:color="auto"/>
          </w:divBdr>
        </w:div>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sChild>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546984207">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730226503">
      <w:bodyDiv w:val="1"/>
      <w:marLeft w:val="0"/>
      <w:marRight w:val="0"/>
      <w:marTop w:val="0"/>
      <w:marBottom w:val="0"/>
      <w:divBdr>
        <w:top w:val="none" w:sz="0" w:space="0" w:color="auto"/>
        <w:left w:val="none" w:sz="0" w:space="0" w:color="auto"/>
        <w:bottom w:val="none" w:sz="0" w:space="0" w:color="auto"/>
        <w:right w:val="none" w:sz="0" w:space="0" w:color="auto"/>
      </w:divBdr>
    </w:div>
    <w:div w:id="1852642922">
      <w:bodyDiv w:val="1"/>
      <w:marLeft w:val="0"/>
      <w:marRight w:val="0"/>
      <w:marTop w:val="0"/>
      <w:marBottom w:val="0"/>
      <w:divBdr>
        <w:top w:val="none" w:sz="0" w:space="0" w:color="auto"/>
        <w:left w:val="none" w:sz="0" w:space="0" w:color="auto"/>
        <w:bottom w:val="none" w:sz="0" w:space="0" w:color="auto"/>
        <w:right w:val="none" w:sz="0" w:space="0" w:color="auto"/>
      </w:divBdr>
    </w:div>
    <w:div w:id="1942256904">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 w:id="20962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12498-87B6-4B1E-BACD-E8F84AF3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CWPJAC July 2026 Agenda Item 02 - General Information (CA Dept of Education)</vt:lpstr>
    </vt:vector>
  </TitlesOfParts>
  <Company/>
  <LinksUpToDate>false</LinksUpToDate>
  <CharactersWithSpaces>10189</CharactersWithSpaces>
  <SharedDoc>false</SharedDoc>
  <HLinks>
    <vt:vector size="12" baseType="variant">
      <vt:variant>
        <vt:i4>8323110</vt:i4>
      </vt:variant>
      <vt:variant>
        <vt:i4>3</vt:i4>
      </vt:variant>
      <vt:variant>
        <vt:i4>0</vt:i4>
      </vt:variant>
      <vt:variant>
        <vt:i4>5</vt:i4>
      </vt:variant>
      <vt:variant>
        <vt:lpwstr>https://www.cde.ca.gov/fg/fo/r17/cteig24rfa.asp</vt:lpwstr>
      </vt:variant>
      <vt:variant>
        <vt:lpwstr/>
      </vt:variant>
      <vt:variant>
        <vt:i4>2621440</vt:i4>
      </vt:variant>
      <vt:variant>
        <vt:i4>0</vt:i4>
      </vt:variant>
      <vt:variant>
        <vt:i4>0</vt:i4>
      </vt:variant>
      <vt:variant>
        <vt:i4>5</vt:i4>
      </vt:variant>
      <vt:variant>
        <vt:lpwstr>https://www.calpassplus.org/Launchboard/SWP-MDD</vt:lpwstr>
      </vt:variant>
      <vt:variant>
        <vt:lpwstr>_Toc138178720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2026 Agenda Item 02 - General Information (CA Dept of Education)</dc:title>
  <dc:subject>Update on Strengthening Career and Technical Education for the 21st Century Act; Career Technical Education Incentive Grant, and Kindergarten through Grade Twelve Strong Workforce Program for California Workforce Pathways Joint Advisory Committee (CWPJAC).</dc:subject>
  <dc:creator/>
  <cp:keywords/>
  <dc:description/>
  <cp:lastModifiedBy/>
  <cp:revision>1</cp:revision>
  <dcterms:created xsi:type="dcterms:W3CDTF">2026-07-06T21:54:00Z</dcterms:created>
  <dcterms:modified xsi:type="dcterms:W3CDTF">2026-07-06T22:09:00Z</dcterms:modified>
</cp:coreProperties>
</file>