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2A95" w14:textId="77777777" w:rsidR="003A0CCA" w:rsidRPr="003311CD" w:rsidRDefault="003A0CCA" w:rsidP="005C667B">
      <w:pPr>
        <w:rPr>
          <w:rFonts w:cs="Arial"/>
        </w:rPr>
      </w:pPr>
      <w:r w:rsidRPr="003311CD">
        <w:rPr>
          <w:rFonts w:cs="Arial"/>
          <w:noProof/>
        </w:rPr>
        <w:drawing>
          <wp:inline distT="0" distB="0" distL="0" distR="0" wp14:anchorId="136EB237" wp14:editId="18B7A48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82F7987" wp14:editId="3056098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6FB7956B" wp14:editId="70EC17D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F6582C6" w14:textId="7E17945E" w:rsidR="003A0CCA" w:rsidRPr="003311CD" w:rsidRDefault="003A0CCA" w:rsidP="005C667B">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C81137">
        <w:rPr>
          <w:rFonts w:cs="Arial"/>
          <w:sz w:val="40"/>
          <w:szCs w:val="40"/>
        </w:rPr>
        <w:t>July 10</w:t>
      </w:r>
      <w:r w:rsidR="00362928">
        <w:rPr>
          <w:rFonts w:cs="Arial"/>
          <w:sz w:val="40"/>
          <w:szCs w:val="40"/>
        </w:rPr>
        <w:t>,</w:t>
      </w:r>
      <w:r w:rsidR="005E2F1D">
        <w:rPr>
          <w:rFonts w:cs="Arial"/>
          <w:sz w:val="40"/>
          <w:szCs w:val="40"/>
        </w:rPr>
        <w:t xml:space="preserve"> 202</w:t>
      </w:r>
      <w:r w:rsidR="00C81137">
        <w:rPr>
          <w:rFonts w:cs="Arial"/>
          <w:sz w:val="40"/>
          <w:szCs w:val="40"/>
        </w:rPr>
        <w:t>6</w:t>
      </w:r>
      <w:r w:rsidRPr="003311CD">
        <w:rPr>
          <w:rFonts w:cs="Arial"/>
          <w:sz w:val="40"/>
          <w:szCs w:val="40"/>
        </w:rPr>
        <w:br/>
        <w:t xml:space="preserve">Agenda Item </w:t>
      </w:r>
      <w:r w:rsidR="00E15279">
        <w:rPr>
          <w:rFonts w:cs="Arial"/>
          <w:sz w:val="40"/>
          <w:szCs w:val="40"/>
        </w:rPr>
        <w:t>0</w:t>
      </w:r>
      <w:r w:rsidR="00C81137">
        <w:rPr>
          <w:rFonts w:cs="Arial"/>
          <w:sz w:val="40"/>
          <w:szCs w:val="40"/>
        </w:rPr>
        <w:t>3</w:t>
      </w:r>
    </w:p>
    <w:p w14:paraId="2456CE4F" w14:textId="77777777" w:rsidR="003A0CCA" w:rsidRPr="003311CD" w:rsidRDefault="003A0CCA" w:rsidP="005C667B">
      <w:pPr>
        <w:jc w:val="center"/>
        <w:rPr>
          <w:rFonts w:cs="Arial"/>
        </w:rPr>
      </w:pPr>
      <w:r w:rsidRPr="003311CD">
        <w:rPr>
          <w:rFonts w:cs="Arial"/>
        </w:rPr>
        <w:t>Posted by the California Department of Education</w:t>
      </w:r>
    </w:p>
    <w:p w14:paraId="3135613A" w14:textId="77777777" w:rsidR="00144DF4" w:rsidRPr="003311CD" w:rsidRDefault="00FC1FCE" w:rsidP="005C667B">
      <w:pPr>
        <w:pStyle w:val="Heading2"/>
        <w:spacing w:before="480" w:after="240"/>
        <w:rPr>
          <w:rFonts w:cs="Arial"/>
          <w:sz w:val="36"/>
          <w:szCs w:val="36"/>
        </w:rPr>
      </w:pPr>
      <w:r w:rsidRPr="003311CD">
        <w:rPr>
          <w:rFonts w:cs="Arial"/>
          <w:sz w:val="36"/>
          <w:szCs w:val="36"/>
        </w:rPr>
        <w:t>Subject</w:t>
      </w:r>
    </w:p>
    <w:p w14:paraId="67DFAE35" w14:textId="11C93D10" w:rsidR="00016E5C" w:rsidRPr="00016E5C" w:rsidRDefault="00C81137" w:rsidP="005C667B">
      <w:pPr>
        <w:rPr>
          <w:rFonts w:cs="Arial"/>
        </w:rPr>
      </w:pPr>
      <w:bookmarkStart w:id="0" w:name="_Hlk82123140"/>
      <w:r w:rsidRPr="00C81137">
        <w:rPr>
          <w:rFonts w:ascii="Helvetica" w:hAnsi="Helvetica" w:cs="Helvetica"/>
          <w:color w:val="000000"/>
          <w:shd w:val="clear" w:color="auto" w:fill="FFFFFF"/>
        </w:rPr>
        <w:t>Career Technical Education Incentive Grant Program Data and Data Metrics.</w:t>
      </w:r>
    </w:p>
    <w:bookmarkEnd w:id="0"/>
    <w:p w14:paraId="0B2B13AE" w14:textId="77777777" w:rsidR="00FC1FCE" w:rsidRPr="003311CD" w:rsidRDefault="00FC1FCE" w:rsidP="005C667B">
      <w:pPr>
        <w:pStyle w:val="Heading2"/>
        <w:spacing w:before="360" w:after="240"/>
        <w:rPr>
          <w:rFonts w:cs="Arial"/>
          <w:sz w:val="36"/>
          <w:szCs w:val="36"/>
        </w:rPr>
      </w:pPr>
      <w:r w:rsidRPr="003311CD">
        <w:rPr>
          <w:rFonts w:cs="Arial"/>
          <w:sz w:val="36"/>
          <w:szCs w:val="36"/>
        </w:rPr>
        <w:t>Type of Action</w:t>
      </w:r>
    </w:p>
    <w:p w14:paraId="0E9EA752" w14:textId="4401CF61" w:rsidR="00D61502" w:rsidRPr="003311CD" w:rsidRDefault="00144DF4" w:rsidP="005C667B">
      <w:pPr>
        <w:spacing w:after="240"/>
        <w:rPr>
          <w:rFonts w:cs="Arial"/>
        </w:rPr>
      </w:pPr>
      <w:r w:rsidRPr="003311CD">
        <w:rPr>
          <w:rFonts w:cs="Arial"/>
          <w:noProof/>
        </w:rPr>
        <w:t>Information</w:t>
      </w:r>
      <w:r w:rsidR="004B0902">
        <w:rPr>
          <w:rFonts w:cs="Arial"/>
          <w:noProof/>
        </w:rPr>
        <w:t>, Action</w:t>
      </w:r>
    </w:p>
    <w:p w14:paraId="7785B599" w14:textId="77777777" w:rsidR="00FC1FCE" w:rsidRPr="003311CD" w:rsidRDefault="00FC1FCE" w:rsidP="005C667B">
      <w:pPr>
        <w:pStyle w:val="Heading2"/>
        <w:spacing w:before="360" w:after="240"/>
        <w:rPr>
          <w:rFonts w:cs="Arial"/>
          <w:sz w:val="36"/>
          <w:szCs w:val="36"/>
        </w:rPr>
      </w:pPr>
      <w:r w:rsidRPr="003311CD">
        <w:rPr>
          <w:rFonts w:cs="Arial"/>
          <w:sz w:val="36"/>
          <w:szCs w:val="36"/>
        </w:rPr>
        <w:t>Summary of the Issue(s)</w:t>
      </w:r>
    </w:p>
    <w:p w14:paraId="5F94B35A" w14:textId="6E216505" w:rsidR="00736764" w:rsidRPr="003311CD" w:rsidRDefault="00BC70C9" w:rsidP="005C667B">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490D29">
        <w:rPr>
          <w:rFonts w:cs="Arial"/>
        </w:rPr>
        <w:t>20</w:t>
      </w:r>
      <w:r w:rsidR="00362928">
        <w:rPr>
          <w:rFonts w:cs="Arial"/>
        </w:rPr>
        <w:t>2</w:t>
      </w:r>
      <w:r w:rsidR="00C81137">
        <w:rPr>
          <w:rFonts w:cs="Arial"/>
        </w:rPr>
        <w:t>3</w:t>
      </w:r>
      <w:r w:rsidR="00490D29">
        <w:rPr>
          <w:rFonts w:cs="Arial"/>
        </w:rPr>
        <w:t>–</w:t>
      </w:r>
      <w:r w:rsidR="00362928">
        <w:rPr>
          <w:rFonts w:cs="Arial"/>
        </w:rPr>
        <w:t>2</w:t>
      </w:r>
      <w:r w:rsidR="00C81137">
        <w:rPr>
          <w:rFonts w:cs="Arial"/>
        </w:rPr>
        <w:t>4</w:t>
      </w:r>
      <w:r w:rsidR="00C11403">
        <w:rPr>
          <w:rFonts w:cs="Arial"/>
        </w:rPr>
        <w:t xml:space="preserve"> and 2024–25</w:t>
      </w:r>
      <w:r w:rsidR="00490D29">
        <w:rPr>
          <w:rFonts w:cs="Arial"/>
        </w:rPr>
        <w:t xml:space="preserve"> </w:t>
      </w:r>
      <w:r w:rsidR="00FC0D7D" w:rsidRPr="00FC0D7D">
        <w:rPr>
          <w:rFonts w:cs="Arial"/>
        </w:rPr>
        <w:t>data</w:t>
      </w:r>
      <w:r w:rsidR="00490D29">
        <w:rPr>
          <w:rFonts w:cs="Arial"/>
        </w:rPr>
        <w:t xml:space="preserve"> </w:t>
      </w:r>
      <w:r w:rsidR="0076322B">
        <w:rPr>
          <w:rFonts w:cs="Arial"/>
        </w:rPr>
        <w:t xml:space="preserve">and data </w:t>
      </w:r>
      <w:r w:rsidR="00490D29">
        <w:rPr>
          <w:rFonts w:cs="Arial"/>
        </w:rPr>
        <w:t>metrics</w:t>
      </w:r>
      <w:r w:rsidR="00FC0D7D" w:rsidRPr="00FC0D7D">
        <w:rPr>
          <w:rFonts w:cs="Arial"/>
        </w:rPr>
        <w:t xml:space="preserve"> on </w:t>
      </w:r>
      <w:r w:rsidR="00F4522E">
        <w:rPr>
          <w:rFonts w:cs="Arial"/>
        </w:rPr>
        <w:t>c</w:t>
      </w:r>
      <w:r w:rsidR="00C86BED" w:rsidRPr="00016E5C">
        <w:rPr>
          <w:rFonts w:cs="Arial"/>
        </w:rPr>
        <w:t xml:space="preserve">areer </w:t>
      </w:r>
      <w:r w:rsidR="00F4522E">
        <w:rPr>
          <w:rFonts w:cs="Arial"/>
        </w:rPr>
        <w:t>t</w:t>
      </w:r>
      <w:r w:rsidR="00C86BED" w:rsidRPr="00016E5C">
        <w:rPr>
          <w:rFonts w:cs="Arial"/>
        </w:rPr>
        <w:t xml:space="preserve">echnical </w:t>
      </w:r>
      <w:r w:rsidR="00F4522E">
        <w:rPr>
          <w:rFonts w:cs="Arial"/>
        </w:rPr>
        <w:t>e</w:t>
      </w:r>
      <w:r w:rsidR="00C86BED" w:rsidRPr="00016E5C">
        <w:rPr>
          <w:rFonts w:cs="Arial"/>
        </w:rPr>
        <w:t xml:space="preserve">ducation </w:t>
      </w:r>
      <w:r w:rsidR="00C86BED">
        <w:rPr>
          <w:rFonts w:cs="Arial"/>
        </w:rPr>
        <w:t>(C</w:t>
      </w:r>
      <w:r w:rsidR="00FC0D7D" w:rsidRPr="00FC0D7D">
        <w:rPr>
          <w:rFonts w:cs="Arial"/>
        </w:rPr>
        <w:t>TE</w:t>
      </w:r>
      <w:r w:rsidR="00C86BED">
        <w:rPr>
          <w:rFonts w:cs="Arial"/>
        </w:rPr>
        <w:t>)</w:t>
      </w:r>
      <w:r w:rsidR="00FC0D7D" w:rsidRPr="00FC0D7D">
        <w:rPr>
          <w:rFonts w:cs="Arial"/>
        </w:rPr>
        <w:t xml:space="preserve"> participants and CTE completers </w:t>
      </w:r>
      <w:r w:rsidR="00362928">
        <w:rPr>
          <w:rFonts w:cs="Arial"/>
        </w:rPr>
        <w:t>within the Career Technical Education Incentive Grant (CTEIG)</w:t>
      </w:r>
      <w:r w:rsidR="00FC0D7D" w:rsidRPr="00FC0D7D">
        <w:rPr>
          <w:rFonts w:cs="Arial"/>
        </w:rPr>
        <w:t>.</w:t>
      </w:r>
      <w:r w:rsidR="00490D29">
        <w:rPr>
          <w:rFonts w:cs="Arial"/>
        </w:rPr>
        <w:t xml:space="preserve"> This agenda item also provides </w:t>
      </w:r>
      <w:r w:rsidR="00315517">
        <w:rPr>
          <w:rFonts w:cs="Arial"/>
        </w:rPr>
        <w:t xml:space="preserve">the analyzing </w:t>
      </w:r>
      <w:r w:rsidR="00B92B65">
        <w:rPr>
          <w:rFonts w:cs="Arial"/>
        </w:rPr>
        <w:t xml:space="preserve">strategy </w:t>
      </w:r>
      <w:r w:rsidR="00315517">
        <w:rPr>
          <w:rFonts w:cs="Arial"/>
        </w:rPr>
        <w:t>deployed to ensure</w:t>
      </w:r>
      <w:r w:rsidR="00B92B65">
        <w:rPr>
          <w:rFonts w:cs="Arial"/>
        </w:rPr>
        <w:t xml:space="preserve"> continuity of </w:t>
      </w:r>
      <w:r w:rsidR="00315517">
        <w:rPr>
          <w:rFonts w:cs="Arial"/>
        </w:rPr>
        <w:t xml:space="preserve">CTE data </w:t>
      </w:r>
      <w:r w:rsidR="00B92B65">
        <w:rPr>
          <w:rFonts w:cs="Arial"/>
        </w:rPr>
        <w:t>anal</w:t>
      </w:r>
      <w:r w:rsidR="00315517">
        <w:rPr>
          <w:rFonts w:cs="Arial"/>
        </w:rPr>
        <w:t>ysis</w:t>
      </w:r>
      <w:r w:rsidR="00B92B65">
        <w:rPr>
          <w:rFonts w:cs="Arial"/>
        </w:rPr>
        <w:t xml:space="preserve"> and </w:t>
      </w:r>
      <w:r w:rsidR="00315517">
        <w:rPr>
          <w:rFonts w:cs="Arial"/>
        </w:rPr>
        <w:t>reporting requirements</w:t>
      </w:r>
      <w:r w:rsidR="0044140F">
        <w:rPr>
          <w:rFonts w:cs="Arial"/>
        </w:rPr>
        <w:t xml:space="preserve"> across all state and federal programs.</w:t>
      </w:r>
    </w:p>
    <w:p w14:paraId="66B17ECD" w14:textId="77777777" w:rsidR="004E74CA" w:rsidRDefault="004E74CA" w:rsidP="005C667B">
      <w:pPr>
        <w:pStyle w:val="Heading2"/>
        <w:spacing w:before="360" w:after="240"/>
        <w:rPr>
          <w:rFonts w:cs="Arial"/>
          <w:sz w:val="36"/>
          <w:szCs w:val="36"/>
        </w:rPr>
      </w:pPr>
      <w:r w:rsidRPr="003311CD">
        <w:rPr>
          <w:rFonts w:cs="Arial"/>
          <w:sz w:val="36"/>
          <w:szCs w:val="36"/>
        </w:rPr>
        <w:t>Recommendation</w:t>
      </w:r>
    </w:p>
    <w:p w14:paraId="425A6905" w14:textId="32AB0D10" w:rsidR="0007451A" w:rsidRPr="0007451A" w:rsidRDefault="0007451A" w:rsidP="005C667B">
      <w:pPr>
        <w:tabs>
          <w:tab w:val="left" w:pos="1755"/>
        </w:tabs>
        <w:spacing w:after="240"/>
      </w:pPr>
      <w:bookmarkStart w:id="1" w:name="_Hlk58920074"/>
      <w:r>
        <w:t>Th</w:t>
      </w:r>
      <w:r w:rsidR="005D52EA">
        <w:t xml:space="preserve">e </w:t>
      </w:r>
      <w:r w:rsidR="00903545">
        <w:t>California Department of Education (</w:t>
      </w:r>
      <w:r w:rsidR="005D52EA">
        <w:t>CDE</w:t>
      </w:r>
      <w:r w:rsidR="00903545">
        <w:t>)</w:t>
      </w:r>
      <w:r w:rsidR="00D171FF">
        <w:t xml:space="preserve"> </w:t>
      </w:r>
      <w:r w:rsidR="00903545">
        <w:t>staff</w:t>
      </w:r>
      <w:r w:rsidR="005D52EA">
        <w:t xml:space="preserve"> </w:t>
      </w:r>
      <w:r w:rsidR="00D171FF">
        <w:t xml:space="preserve">and the California Community College Chancellor’s Office (CCCCO) staff </w:t>
      </w:r>
      <w:r w:rsidR="005D52EA">
        <w:t xml:space="preserve">recommend </w:t>
      </w:r>
      <w:r w:rsidR="00CB2D3E">
        <w:t>the</w:t>
      </w:r>
      <w:r w:rsidR="00903545">
        <w:t xml:space="preserve"> use </w:t>
      </w:r>
      <w:r w:rsidR="005D52EA">
        <w:t xml:space="preserve">of </w:t>
      </w:r>
      <w:r w:rsidR="00144F97">
        <w:t xml:space="preserve">the </w:t>
      </w:r>
      <w:r w:rsidR="00C63A42">
        <w:t>CTEIG</w:t>
      </w:r>
      <w:r w:rsidR="005D52EA">
        <w:t xml:space="preserve"> Data Metrics 1 through </w:t>
      </w:r>
      <w:r w:rsidR="00C11403">
        <w:t>8</w:t>
      </w:r>
      <w:r w:rsidR="00D171FF">
        <w:t xml:space="preserve"> </w:t>
      </w:r>
      <w:r w:rsidR="005D52EA" w:rsidRPr="00903545">
        <w:rPr>
          <w:rFonts w:cs="Arial"/>
        </w:rPr>
        <w:t>to measure and evaluate program outcomes.</w:t>
      </w:r>
    </w:p>
    <w:bookmarkEnd w:id="1"/>
    <w:p w14:paraId="217BC9E6" w14:textId="72DFB9BA" w:rsidR="00B7410C" w:rsidRPr="003311CD" w:rsidRDefault="00F814C5" w:rsidP="005C667B">
      <w:pPr>
        <w:pStyle w:val="Heading2"/>
        <w:tabs>
          <w:tab w:val="left" w:pos="7430"/>
        </w:tabs>
        <w:spacing w:before="360" w:after="240"/>
        <w:rPr>
          <w:rFonts w:cs="Arial"/>
          <w:sz w:val="36"/>
          <w:szCs w:val="36"/>
        </w:rPr>
      </w:pPr>
      <w:r w:rsidRPr="003311CD">
        <w:rPr>
          <w:rFonts w:cs="Arial"/>
          <w:sz w:val="36"/>
          <w:szCs w:val="36"/>
        </w:rPr>
        <w:lastRenderedPageBreak/>
        <w:t>Brief History of Key Issues</w:t>
      </w:r>
    </w:p>
    <w:p w14:paraId="313592A2" w14:textId="067A51DC" w:rsidR="0021129B" w:rsidRPr="00954991" w:rsidRDefault="0021129B" w:rsidP="005C667B">
      <w:pPr>
        <w:spacing w:after="240"/>
        <w:textAlignment w:val="baseline"/>
        <w:rPr>
          <w:rFonts w:cs="Arial"/>
          <w:bdr w:val="none" w:sz="0" w:space="0" w:color="auto" w:frame="1"/>
        </w:rPr>
      </w:pPr>
      <w:r w:rsidRPr="00954991">
        <w:rPr>
          <w:rFonts w:cs="Arial"/>
          <w:bdr w:val="none" w:sz="0" w:space="0" w:color="auto" w:frame="1"/>
        </w:rPr>
        <w:t xml:space="preserve">The Budget Act of 2015 established CTEIG as </w:t>
      </w:r>
      <w:r w:rsidR="00C95962">
        <w:rPr>
          <w:rFonts w:cs="Arial"/>
          <w:bdr w:val="none" w:sz="0" w:space="0" w:color="auto" w:frame="1"/>
        </w:rPr>
        <w:t xml:space="preserve">a </w:t>
      </w:r>
      <w:r w:rsidRPr="00954991">
        <w:rPr>
          <w:rFonts w:cs="Arial"/>
          <w:bdr w:val="none" w:sz="0" w:space="0" w:color="auto" w:frame="1"/>
        </w:rPr>
        <w:t xml:space="preserve">one-time funding </w:t>
      </w:r>
      <w:r w:rsidR="00C95962">
        <w:rPr>
          <w:rFonts w:cs="Arial"/>
          <w:bdr w:val="none" w:sz="0" w:space="0" w:color="auto" w:frame="1"/>
        </w:rPr>
        <w:t>opportunity</w:t>
      </w:r>
      <w:r w:rsidR="00F164A0">
        <w:rPr>
          <w:rFonts w:cs="Arial"/>
          <w:bdr w:val="none" w:sz="0" w:space="0" w:color="auto" w:frame="1"/>
        </w:rPr>
        <w:t xml:space="preserve"> </w:t>
      </w:r>
      <w:r w:rsidR="00F164A0" w:rsidRPr="00954991">
        <w:rPr>
          <w:rFonts w:cs="Arial"/>
          <w:bdr w:val="none" w:sz="0" w:space="0" w:color="auto" w:frame="1"/>
        </w:rPr>
        <w:t>for local educational agencies (LEAs)</w:t>
      </w:r>
      <w:r w:rsidR="00C95962">
        <w:rPr>
          <w:rFonts w:cs="Arial"/>
          <w:bdr w:val="none" w:sz="0" w:space="0" w:color="auto" w:frame="1"/>
        </w:rPr>
        <w:t xml:space="preserve"> </w:t>
      </w:r>
      <w:r w:rsidRPr="00954991">
        <w:rPr>
          <w:rFonts w:cs="Arial"/>
          <w:bdr w:val="none" w:sz="0" w:space="0" w:color="auto" w:frame="1"/>
        </w:rPr>
        <w:t>administered by the CDE, with the purpose of encouraging and maintaining the delivery of CTE programs during transition to full implementation of the Local Control Funding Formula.</w:t>
      </w:r>
      <w:r w:rsidR="009F6194">
        <w:rPr>
          <w:rFonts w:cs="Arial"/>
          <w:bdr w:val="none" w:sz="0" w:space="0" w:color="auto" w:frame="1"/>
        </w:rPr>
        <w:t xml:space="preserve"> California </w:t>
      </w:r>
      <w:r w:rsidR="009F6194" w:rsidRPr="009F6194">
        <w:rPr>
          <w:rFonts w:cs="Arial"/>
          <w:i/>
          <w:iCs/>
          <w:bdr w:val="none" w:sz="0" w:space="0" w:color="auto" w:frame="1"/>
        </w:rPr>
        <w:t>Education Code</w:t>
      </w:r>
      <w:r w:rsidR="009F6194">
        <w:rPr>
          <w:rFonts w:cs="Arial"/>
          <w:bdr w:val="none" w:sz="0" w:space="0" w:color="auto" w:frame="1"/>
        </w:rPr>
        <w:t xml:space="preserve"> (</w:t>
      </w:r>
      <w:r w:rsidRPr="00954991">
        <w:rPr>
          <w:rFonts w:cs="Arial"/>
          <w:i/>
          <w:bdr w:val="none" w:sz="0" w:space="0" w:color="auto" w:frame="1"/>
        </w:rPr>
        <w:t>EC</w:t>
      </w:r>
      <w:r w:rsidR="009F6194">
        <w:rPr>
          <w:rFonts w:cs="Arial"/>
          <w:bdr w:val="none" w:sz="0" w:space="0" w:color="auto" w:frame="1"/>
        </w:rPr>
        <w:t xml:space="preserve">) </w:t>
      </w:r>
      <w:r w:rsidRPr="00954991">
        <w:rPr>
          <w:rFonts w:cs="Arial"/>
          <w:bdr w:val="none" w:sz="0" w:space="0" w:color="auto" w:frame="1"/>
        </w:rPr>
        <w:t>Section 53070 appropriated specified amounts for the CTEIG f</w:t>
      </w:r>
      <w:r w:rsidR="00616B15">
        <w:rPr>
          <w:rFonts w:cs="Arial"/>
          <w:bdr w:val="none" w:sz="0" w:space="0" w:color="auto" w:frame="1"/>
        </w:rPr>
        <w:t>rom</w:t>
      </w:r>
      <w:r w:rsidRPr="00954991">
        <w:rPr>
          <w:rFonts w:cs="Arial"/>
          <w:bdr w:val="none" w:sz="0" w:space="0" w:color="auto" w:frame="1"/>
        </w:rPr>
        <w:t xml:space="preserve"> the General Fund for the 2015–16, 2016–17, and 2017–18 </w:t>
      </w:r>
      <w:r w:rsidR="00D96EEC">
        <w:rPr>
          <w:rFonts w:cs="Arial"/>
          <w:bdr w:val="none" w:sz="0" w:space="0" w:color="auto" w:frame="1"/>
        </w:rPr>
        <w:t>fiscal year</w:t>
      </w:r>
      <w:r w:rsidRPr="00954991">
        <w:rPr>
          <w:rFonts w:cs="Arial"/>
          <w:bdr w:val="none" w:sz="0" w:space="0" w:color="auto" w:frame="1"/>
        </w:rPr>
        <w:t>s</w:t>
      </w:r>
      <w:r w:rsidR="00571FB1">
        <w:rPr>
          <w:rFonts w:cs="Arial"/>
          <w:bdr w:val="none" w:sz="0" w:space="0" w:color="auto" w:frame="1"/>
        </w:rPr>
        <w:t xml:space="preserve"> (FYs)</w:t>
      </w:r>
      <w:r w:rsidRPr="00954991">
        <w:rPr>
          <w:rFonts w:cs="Arial"/>
          <w:bdr w:val="none" w:sz="0" w:space="0" w:color="auto" w:frame="1"/>
        </w:rPr>
        <w:t>, and provided minimum eligibility standards for grant applicants.</w:t>
      </w:r>
    </w:p>
    <w:p w14:paraId="6F470D8A" w14:textId="1DA32A28" w:rsidR="0021129B" w:rsidRPr="00954991" w:rsidRDefault="0021129B" w:rsidP="005C667B">
      <w:pPr>
        <w:spacing w:after="240"/>
        <w:textAlignment w:val="baseline"/>
        <w:rPr>
          <w:bdr w:val="none" w:sz="0" w:space="0" w:color="auto" w:frame="1"/>
        </w:rPr>
      </w:pPr>
      <w:r w:rsidRPr="00954991">
        <w:rPr>
          <w:rFonts w:cs="Arial"/>
          <w:bdr w:val="none" w:sz="0" w:space="0" w:color="auto" w:frame="1"/>
        </w:rPr>
        <w:t xml:space="preserve">The Budget Act of 2018 (Assembly Bill 1808) amended the </w:t>
      </w:r>
      <w:r w:rsidRPr="00954991">
        <w:rPr>
          <w:rFonts w:cs="Arial"/>
          <w:i/>
          <w:bdr w:val="none" w:sz="0" w:space="0" w:color="auto" w:frame="1"/>
        </w:rPr>
        <w:t>EC</w:t>
      </w:r>
      <w:r w:rsidRPr="00954991">
        <w:rPr>
          <w:rFonts w:cs="Arial"/>
          <w:bdr w:val="none" w:sz="0" w:space="0" w:color="auto" w:frame="1"/>
        </w:rPr>
        <w:t xml:space="preserve"> </w:t>
      </w:r>
      <w:r w:rsidR="00650977">
        <w:rPr>
          <w:rFonts w:cs="Arial"/>
          <w:bdr w:val="none" w:sz="0" w:space="0" w:color="auto" w:frame="1"/>
        </w:rPr>
        <w:t>S</w:t>
      </w:r>
      <w:r w:rsidRPr="00954991">
        <w:rPr>
          <w:rFonts w:cs="Arial"/>
          <w:bdr w:val="none" w:sz="0" w:space="0" w:color="auto" w:frame="1"/>
        </w:rPr>
        <w:t xml:space="preserve">ections 53070–53076.4 and established the CTEIG as an annual state-funded program with the goal of providing pupils in kindergarten and grades one through twelve, with the knowledge and skills necessary to transition to employment and postsecondary education. </w:t>
      </w:r>
      <w:r w:rsidRPr="00954991">
        <w:rPr>
          <w:rFonts w:cs="Arial"/>
        </w:rPr>
        <w:t xml:space="preserve">The purpose of </w:t>
      </w:r>
      <w:r w:rsidR="004209D4">
        <w:rPr>
          <w:rFonts w:cs="Arial"/>
        </w:rPr>
        <w:t>the CTEIG</w:t>
      </w:r>
      <w:r w:rsidRPr="00954991">
        <w:rPr>
          <w:rFonts w:cs="Arial"/>
        </w:rPr>
        <w:t xml:space="preserve"> is to encourage and maintain the delivery of high-quality CTE programs.</w:t>
      </w:r>
    </w:p>
    <w:p w14:paraId="13DF6C49" w14:textId="3A9B9A2A" w:rsidR="0021129B" w:rsidRPr="00954991" w:rsidRDefault="0021129B" w:rsidP="005C667B">
      <w:pPr>
        <w:spacing w:after="240"/>
        <w:rPr>
          <w:rFonts w:cs="Arial"/>
          <w:bdr w:val="none" w:sz="0" w:space="0" w:color="auto" w:frame="1"/>
        </w:rPr>
      </w:pPr>
      <w:r w:rsidRPr="00954991">
        <w:rPr>
          <w:rFonts w:cs="Arial"/>
          <w:bdr w:val="none" w:sz="0" w:space="0" w:color="auto" w:frame="1"/>
        </w:rPr>
        <w:t xml:space="preserve">AB 1808 specified that, upon appropriation by the Legislature, $150 million shall be made available for the program to the Department for the 2018–19 FY and each FY </w:t>
      </w:r>
      <w:r w:rsidR="00CA69D8" w:rsidRPr="00954991">
        <w:rPr>
          <w:rFonts w:cs="Arial"/>
          <w:bdr w:val="none" w:sz="0" w:space="0" w:color="auto" w:frame="1"/>
        </w:rPr>
        <w:t>thereafter and</w:t>
      </w:r>
      <w:r w:rsidRPr="00954991">
        <w:rPr>
          <w:rFonts w:cs="Arial"/>
          <w:bdr w:val="none" w:sz="0" w:space="0" w:color="auto" w:frame="1"/>
        </w:rPr>
        <w:t xml:space="preserve"> requires a grant applicant to demonstrate a proportional 2:1 </w:t>
      </w:r>
      <w:r w:rsidR="00CD5510">
        <w:rPr>
          <w:rFonts w:cs="Arial"/>
          <w:bdr w:val="none" w:sz="0" w:space="0" w:color="auto" w:frame="1"/>
        </w:rPr>
        <w:t xml:space="preserve">funding </w:t>
      </w:r>
      <w:r w:rsidRPr="00954991">
        <w:rPr>
          <w:rFonts w:cs="Arial"/>
          <w:bdr w:val="none" w:sz="0" w:space="0" w:color="auto" w:frame="1"/>
        </w:rPr>
        <w:t>match.</w:t>
      </w:r>
    </w:p>
    <w:p w14:paraId="7D49D773" w14:textId="61E84588" w:rsidR="0021129B" w:rsidRPr="00954991" w:rsidRDefault="0021129B" w:rsidP="005C667B">
      <w:pPr>
        <w:spacing w:after="240"/>
        <w:rPr>
          <w:rFonts w:cs="Arial"/>
          <w:bdr w:val="none" w:sz="0" w:space="0" w:color="auto" w:frame="1"/>
        </w:rPr>
      </w:pPr>
      <w:r>
        <w:rPr>
          <w:rFonts w:cs="Arial"/>
          <w:bdr w:val="none" w:sz="0" w:space="0" w:color="auto" w:frame="1"/>
        </w:rPr>
        <w:t>Kindergarten through Grade Twelve (</w:t>
      </w:r>
      <w:r w:rsidRPr="00954991">
        <w:rPr>
          <w:rFonts w:cs="Arial"/>
          <w:bdr w:val="none" w:sz="0" w:space="0" w:color="auto" w:frame="1"/>
        </w:rPr>
        <w:t>K–12</w:t>
      </w:r>
      <w:r>
        <w:rPr>
          <w:rFonts w:cs="Arial"/>
          <w:bdr w:val="none" w:sz="0" w:space="0" w:color="auto" w:frame="1"/>
        </w:rPr>
        <w:t>)</w:t>
      </w:r>
      <w:r w:rsidRPr="00954991">
        <w:rPr>
          <w:rFonts w:cs="Arial"/>
          <w:bdr w:val="none" w:sz="0" w:space="0" w:color="auto" w:frame="1"/>
        </w:rPr>
        <w:t xml:space="preserve"> Workforce Pathway Coordinators and </w:t>
      </w:r>
      <w:r>
        <w:rPr>
          <w:rFonts w:cs="Arial"/>
          <w:bdr w:val="none" w:sz="0" w:space="0" w:color="auto" w:frame="1"/>
        </w:rPr>
        <w:t>Kindergarten through Grade Fourteen</w:t>
      </w:r>
      <w:r w:rsidRPr="00954991">
        <w:rPr>
          <w:rFonts w:cs="Arial"/>
          <w:bdr w:val="none" w:sz="0" w:space="0" w:color="auto" w:frame="1"/>
        </w:rPr>
        <w:t xml:space="preserve"> Technical Assistance Providers were also established under AB 1808 to provide technical assistance and support to LEAs for both the CTEIG and </w:t>
      </w:r>
      <w:r w:rsidR="00CA69D8">
        <w:rPr>
          <w:rFonts w:cs="Arial"/>
          <w:bdr w:val="none" w:sz="0" w:space="0" w:color="auto" w:frame="1"/>
        </w:rPr>
        <w:t xml:space="preserve">the </w:t>
      </w:r>
      <w:r w:rsidRPr="00954991">
        <w:rPr>
          <w:rFonts w:cs="Arial"/>
          <w:bdr w:val="none" w:sz="0" w:space="0" w:color="auto" w:frame="1"/>
        </w:rPr>
        <w:t>K–12 Strong Workforce Program.</w:t>
      </w:r>
    </w:p>
    <w:p w14:paraId="69DDF89C" w14:textId="59A30F03" w:rsidR="00F17AE9" w:rsidRDefault="0021129B" w:rsidP="005C667B">
      <w:pPr>
        <w:tabs>
          <w:tab w:val="left" w:pos="1755"/>
        </w:tabs>
        <w:spacing w:after="240"/>
        <w:rPr>
          <w:rFonts w:cs="Arial"/>
          <w:bdr w:val="none" w:sz="0" w:space="0" w:color="auto" w:frame="1"/>
        </w:rPr>
      </w:pPr>
      <w:r w:rsidRPr="00954991">
        <w:rPr>
          <w:rFonts w:cs="Arial"/>
          <w:bdr w:val="none" w:sz="0" w:space="0" w:color="auto" w:frame="1"/>
        </w:rPr>
        <w:t xml:space="preserve">The Budget Act of 2021 (AB 130) amended the </w:t>
      </w:r>
      <w:r w:rsidRPr="00954991">
        <w:rPr>
          <w:rFonts w:cs="Arial"/>
          <w:i/>
          <w:bdr w:val="none" w:sz="0" w:space="0" w:color="auto" w:frame="1"/>
        </w:rPr>
        <w:t>EC</w:t>
      </w:r>
      <w:r w:rsidRPr="00954991">
        <w:rPr>
          <w:rFonts w:cs="Arial"/>
          <w:bdr w:val="none" w:sz="0" w:space="0" w:color="auto" w:frame="1"/>
        </w:rPr>
        <w:t xml:space="preserve"> </w:t>
      </w:r>
      <w:r>
        <w:rPr>
          <w:rFonts w:cs="Arial"/>
          <w:bdr w:val="none" w:sz="0" w:space="0" w:color="auto" w:frame="1"/>
        </w:rPr>
        <w:t>S</w:t>
      </w:r>
      <w:r w:rsidRPr="00954991">
        <w:rPr>
          <w:rFonts w:cs="Arial"/>
          <w:bdr w:val="none" w:sz="0" w:space="0" w:color="auto" w:frame="1"/>
        </w:rPr>
        <w:t xml:space="preserve">ections 53070–53076.4 pertaining to the CTEIG </w:t>
      </w:r>
      <w:r w:rsidR="00571FB1">
        <w:rPr>
          <w:rFonts w:cs="Arial"/>
          <w:bdr w:val="none" w:sz="0" w:space="0" w:color="auto" w:frame="1"/>
        </w:rPr>
        <w:t>p</w:t>
      </w:r>
      <w:r w:rsidRPr="00954991">
        <w:rPr>
          <w:rFonts w:cs="Arial"/>
          <w:bdr w:val="none" w:sz="0" w:space="0" w:color="auto" w:frame="1"/>
        </w:rPr>
        <w:t xml:space="preserve">rogram and </w:t>
      </w:r>
      <w:r w:rsidR="004E4224">
        <w:rPr>
          <w:rFonts w:cs="Arial"/>
          <w:bdr w:val="none" w:sz="0" w:space="0" w:color="auto" w:frame="1"/>
        </w:rPr>
        <w:t>increased</w:t>
      </w:r>
      <w:r w:rsidR="0067607E">
        <w:rPr>
          <w:rFonts w:cs="Arial"/>
          <w:bdr w:val="none" w:sz="0" w:space="0" w:color="auto" w:frame="1"/>
        </w:rPr>
        <w:t xml:space="preserve"> the funding</w:t>
      </w:r>
      <w:r w:rsidRPr="00954991">
        <w:rPr>
          <w:rFonts w:cs="Arial"/>
          <w:bdr w:val="none" w:sz="0" w:space="0" w:color="auto" w:frame="1"/>
        </w:rPr>
        <w:t xml:space="preserve"> available</w:t>
      </w:r>
      <w:r w:rsidR="0067607E">
        <w:rPr>
          <w:rFonts w:cs="Arial"/>
          <w:bdr w:val="none" w:sz="0" w:space="0" w:color="auto" w:frame="1"/>
        </w:rPr>
        <w:t xml:space="preserve"> to</w:t>
      </w:r>
      <w:r w:rsidRPr="00954991">
        <w:rPr>
          <w:rFonts w:cs="Arial"/>
          <w:bdr w:val="none" w:sz="0" w:space="0" w:color="auto" w:frame="1"/>
        </w:rPr>
        <w:t xml:space="preserve"> </w:t>
      </w:r>
      <w:r w:rsidR="00B1472C">
        <w:rPr>
          <w:rFonts w:cs="Arial"/>
          <w:bdr w:val="none" w:sz="0" w:space="0" w:color="auto" w:frame="1"/>
        </w:rPr>
        <w:t xml:space="preserve">LEAs from $150 million to </w:t>
      </w:r>
      <w:r w:rsidRPr="00954991">
        <w:rPr>
          <w:rFonts w:cs="Arial"/>
          <w:bdr w:val="none" w:sz="0" w:space="0" w:color="auto" w:frame="1"/>
        </w:rPr>
        <w:t>$300 million for the 2021–22 FY and each FY thereafter.</w:t>
      </w:r>
      <w:r w:rsidR="00F17AE9">
        <w:rPr>
          <w:rFonts w:cs="Arial"/>
          <w:bdr w:val="none" w:sz="0" w:space="0" w:color="auto" w:frame="1"/>
        </w:rPr>
        <w:t xml:space="preserve"> </w:t>
      </w:r>
    </w:p>
    <w:p w14:paraId="402A433A" w14:textId="6E7C612F" w:rsidR="003A500E" w:rsidRDefault="00B24CD3" w:rsidP="005C667B">
      <w:pPr>
        <w:spacing w:before="240" w:after="240"/>
      </w:pPr>
      <w:r>
        <w:t>In 2025, t</w:t>
      </w:r>
      <w:r w:rsidR="003A500E">
        <w:t xml:space="preserve">wo additional metrics were added as part of the rewriting of </w:t>
      </w:r>
      <w:r w:rsidR="003A500E" w:rsidRPr="006A42DE">
        <w:rPr>
          <w:i/>
          <w:iCs/>
        </w:rPr>
        <w:t>EC</w:t>
      </w:r>
      <w:r w:rsidR="003A500E">
        <w:t xml:space="preserve"> Section 53071, via Senate Bill 638. The CDE is working on how to collect the new data metrics and will keep the </w:t>
      </w:r>
      <w:r w:rsidR="00051C13" w:rsidRPr="00333C81">
        <w:rPr>
          <w:rFonts w:cs="Arial"/>
        </w:rPr>
        <w:t>California Workforce Pathways</w:t>
      </w:r>
      <w:r w:rsidR="00051C13">
        <w:rPr>
          <w:rFonts w:cs="Arial"/>
        </w:rPr>
        <w:t xml:space="preserve"> </w:t>
      </w:r>
      <w:r w:rsidR="00051C13" w:rsidRPr="00333C81">
        <w:rPr>
          <w:rFonts w:cs="Arial"/>
        </w:rPr>
        <w:t>Joint Advisory Committee</w:t>
      </w:r>
      <w:r w:rsidR="00051C13">
        <w:rPr>
          <w:rFonts w:cs="Arial"/>
        </w:rPr>
        <w:t xml:space="preserve"> (</w:t>
      </w:r>
      <w:r w:rsidR="003A500E">
        <w:t>CWPJAC</w:t>
      </w:r>
      <w:r w:rsidR="00051C13">
        <w:t>)</w:t>
      </w:r>
      <w:r w:rsidR="003A500E">
        <w:t xml:space="preserve"> apprised of the collection status as information becomes available.</w:t>
      </w:r>
    </w:p>
    <w:p w14:paraId="1DBA334C" w14:textId="50F8FD05" w:rsidR="00F75E4C" w:rsidRPr="003311CD" w:rsidRDefault="00F75E4C" w:rsidP="005C667B">
      <w:pPr>
        <w:tabs>
          <w:tab w:val="left" w:pos="1755"/>
        </w:tabs>
        <w:spacing w:after="240"/>
        <w:rPr>
          <w:rFonts w:cs="Arial"/>
        </w:rPr>
      </w:pPr>
      <w:r w:rsidRPr="003311CD">
        <w:rPr>
          <w:rFonts w:cs="Arial"/>
        </w:rPr>
        <w:t xml:space="preserve">The </w:t>
      </w:r>
      <w:r w:rsidR="00333C81">
        <w:rPr>
          <w:rFonts w:cs="Arial"/>
        </w:rPr>
        <w:t>CWPJAC</w:t>
      </w:r>
      <w:r w:rsidRPr="003311CD">
        <w:rPr>
          <w:rFonts w:cs="Arial"/>
        </w:rPr>
        <w:t xml:space="preserve">, per </w:t>
      </w:r>
      <w:r w:rsidR="00C86BED" w:rsidRPr="00051C13">
        <w:rPr>
          <w:rFonts w:cs="Arial"/>
          <w:i/>
        </w:rPr>
        <w:t>EC</w:t>
      </w:r>
      <w:r w:rsidR="00051C13">
        <w:rPr>
          <w:rFonts w:cs="Arial"/>
          <w:iCs/>
        </w:rPr>
        <w:t xml:space="preserve"> </w:t>
      </w:r>
      <w:r w:rsidR="00C63A42" w:rsidRPr="00051C13">
        <w:rPr>
          <w:rFonts w:cs="Arial"/>
          <w:iCs/>
        </w:rPr>
        <w:t>S</w:t>
      </w:r>
      <w:r w:rsidRPr="00051C13">
        <w:rPr>
          <w:rFonts w:cs="Arial"/>
          <w:iCs/>
        </w:rPr>
        <w:t>ection</w:t>
      </w:r>
      <w:r w:rsidRPr="003311CD">
        <w:rPr>
          <w:rFonts w:cs="Arial"/>
        </w:rPr>
        <w:t xml:space="preserve"> 53071, </w:t>
      </w:r>
      <w:r w:rsidR="00903545">
        <w:rPr>
          <w:rFonts w:cs="Arial"/>
        </w:rPr>
        <w:t>is required to make</w:t>
      </w:r>
      <w:r w:rsidR="00D171FF">
        <w:rPr>
          <w:rFonts w:cs="Arial"/>
        </w:rPr>
        <w:t xml:space="preserve"> </w:t>
      </w:r>
      <w:r w:rsidRPr="003311CD">
        <w:rPr>
          <w:rFonts w:cs="Arial"/>
        </w:rPr>
        <w:t xml:space="preserve">recommendations </w:t>
      </w:r>
      <w:r w:rsidR="002F7741">
        <w:rPr>
          <w:rFonts w:cs="Arial"/>
        </w:rPr>
        <w:t xml:space="preserve">annually, no later than </w:t>
      </w:r>
      <w:r w:rsidR="006F6B2D">
        <w:rPr>
          <w:rFonts w:cs="Arial"/>
        </w:rPr>
        <w:t>January 1</w:t>
      </w:r>
      <w:r w:rsidR="002F7741">
        <w:rPr>
          <w:rFonts w:cs="Arial"/>
        </w:rPr>
        <w:t xml:space="preserve">, </w:t>
      </w:r>
      <w:r w:rsidRPr="003311CD">
        <w:rPr>
          <w:rFonts w:cs="Arial"/>
        </w:rPr>
        <w:t xml:space="preserve">regarding the use of </w:t>
      </w:r>
      <w:r w:rsidR="00903545">
        <w:rPr>
          <w:rFonts w:cs="Arial"/>
        </w:rPr>
        <w:t xml:space="preserve">data </w:t>
      </w:r>
      <w:r w:rsidRPr="003311CD">
        <w:rPr>
          <w:rFonts w:cs="Arial"/>
        </w:rPr>
        <w:t xml:space="preserve">metrics for the CTEIG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0B4EBF35" w14:textId="77777777" w:rsidR="00F75E4C" w:rsidRPr="003311CD" w:rsidRDefault="00F75E4C" w:rsidP="005C667B">
      <w:pPr>
        <w:pStyle w:val="ListParagraph"/>
        <w:numPr>
          <w:ilvl w:val="0"/>
          <w:numId w:val="15"/>
        </w:numPr>
        <w:tabs>
          <w:tab w:val="left" w:pos="1755"/>
        </w:tabs>
        <w:spacing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670A0A80" w14:textId="313D61D0" w:rsidR="00F75E4C" w:rsidRPr="003311CD" w:rsidRDefault="00F75E4C" w:rsidP="005C667B">
      <w:pPr>
        <w:pStyle w:val="ListParagraph"/>
        <w:numPr>
          <w:ilvl w:val="0"/>
          <w:numId w:val="15"/>
        </w:numPr>
        <w:tabs>
          <w:tab w:val="left" w:pos="1755"/>
        </w:tabs>
        <w:spacing w:after="240"/>
        <w:ind w:left="720"/>
        <w:rPr>
          <w:rFonts w:cs="Arial"/>
        </w:rPr>
      </w:pPr>
      <w:r w:rsidRPr="003311CD">
        <w:rPr>
          <w:rFonts w:cs="Arial"/>
        </w:rPr>
        <w:t xml:space="preserve">Other metrics </w:t>
      </w:r>
      <w:r w:rsidR="003E7E1B">
        <w:rPr>
          <w:rFonts w:cs="Arial"/>
        </w:rPr>
        <w:t xml:space="preserve">that </w:t>
      </w:r>
      <w:r w:rsidRPr="003311CD">
        <w:rPr>
          <w:rFonts w:cs="Arial"/>
        </w:rPr>
        <w:t xml:space="preserve">should </w:t>
      </w:r>
      <w:proofErr w:type="gramStart"/>
      <w:r w:rsidRPr="003311CD">
        <w:rPr>
          <w:rFonts w:cs="Arial"/>
        </w:rPr>
        <w:t xml:space="preserve">be </w:t>
      </w:r>
      <w:r w:rsidR="00D427C4">
        <w:rPr>
          <w:rFonts w:cs="Arial"/>
        </w:rPr>
        <w:t>considered to be</w:t>
      </w:r>
      <w:proofErr w:type="gramEnd"/>
      <w:r w:rsidR="00D427C4">
        <w:rPr>
          <w:rFonts w:cs="Arial"/>
        </w:rPr>
        <w:t xml:space="preserve"> included</w:t>
      </w:r>
      <w:r w:rsidRPr="003311CD">
        <w:rPr>
          <w:rFonts w:cs="Arial"/>
        </w:rPr>
        <w:t>.</w:t>
      </w:r>
    </w:p>
    <w:p w14:paraId="4C9211C1" w14:textId="4A9ECB0A" w:rsidR="0044140F" w:rsidRPr="00017257" w:rsidRDefault="0076322B" w:rsidP="005C667B">
      <w:pPr>
        <w:pStyle w:val="Heading2"/>
        <w:spacing w:before="480" w:after="240"/>
        <w:rPr>
          <w:sz w:val="36"/>
          <w:szCs w:val="36"/>
        </w:rPr>
      </w:pPr>
      <w:r>
        <w:rPr>
          <w:sz w:val="36"/>
          <w:szCs w:val="36"/>
        </w:rPr>
        <w:lastRenderedPageBreak/>
        <w:t>R</w:t>
      </w:r>
      <w:r w:rsidR="00966015" w:rsidRPr="00987E94">
        <w:rPr>
          <w:sz w:val="36"/>
          <w:szCs w:val="36"/>
        </w:rPr>
        <w:t>eporting</w:t>
      </w:r>
      <w:r w:rsidR="005A3D23" w:rsidRPr="00987E94">
        <w:rPr>
          <w:sz w:val="36"/>
          <w:szCs w:val="36"/>
        </w:rPr>
        <w:t xml:space="preserve"> Updates</w:t>
      </w:r>
    </w:p>
    <w:p w14:paraId="6B9E375F" w14:textId="77777777" w:rsidR="003C71CD" w:rsidRDefault="003C71CD" w:rsidP="005C667B">
      <w:pPr>
        <w:pStyle w:val="Heading3"/>
        <w:spacing w:before="240" w:after="240"/>
      </w:pPr>
      <w:r>
        <w:rPr>
          <w:bCs/>
        </w:rPr>
        <w:t>CTEIG Data Metrics Reporting</w:t>
      </w:r>
    </w:p>
    <w:p w14:paraId="2FBF37A4" w14:textId="0F4E4884" w:rsidR="003C71CD" w:rsidRDefault="003C71CD" w:rsidP="005C667B">
      <w:pPr>
        <w:spacing w:after="160"/>
      </w:pPr>
      <w:r>
        <w:rPr>
          <w:rFonts w:eastAsia="Arial" w:cs="Arial"/>
        </w:rPr>
        <w:t>This item provides an overview of the data metrics used to evaluate the CTEIG program, including what each metric measures, how its indicators are defined, and how the underlying data is collected.</w:t>
      </w:r>
    </w:p>
    <w:p w14:paraId="55C6596E" w14:textId="2E99650F" w:rsidR="003C71CD" w:rsidRDefault="003C71CD" w:rsidP="005C667B">
      <w:pPr>
        <w:spacing w:before="240" w:after="240"/>
      </w:pPr>
      <w:r>
        <w:rPr>
          <w:rFonts w:eastAsia="Arial" w:cs="Arial"/>
        </w:rPr>
        <w:t xml:space="preserve">As part of its annual responsibilities, the CWPJAC reviews these metrics and provides recommendations on whether they remain the most appropriate measures for evaluating program outcomes and whether any changes should be considered. The committee is </w:t>
      </w:r>
      <w:r w:rsidR="000D587F">
        <w:rPr>
          <w:rFonts w:eastAsia="Arial" w:cs="Arial"/>
        </w:rPr>
        <w:t xml:space="preserve">being </w:t>
      </w:r>
      <w:r>
        <w:rPr>
          <w:rFonts w:eastAsia="Arial" w:cs="Arial"/>
        </w:rPr>
        <w:t xml:space="preserve">asked to provide input on </w:t>
      </w:r>
      <w:r w:rsidR="003C7CEF">
        <w:rPr>
          <w:rFonts w:eastAsia="Arial" w:cs="Arial"/>
        </w:rPr>
        <w:t>the metrics</w:t>
      </w:r>
      <w:r>
        <w:rPr>
          <w:rFonts w:eastAsia="Arial" w:cs="Arial"/>
        </w:rPr>
        <w:t xml:space="preserve"> as part of this item.</w:t>
      </w:r>
    </w:p>
    <w:p w14:paraId="5752C506" w14:textId="43A90335" w:rsidR="00EE5A0A" w:rsidRDefault="00EE5A0A" w:rsidP="005C667B">
      <w:pPr>
        <w:pStyle w:val="Heading2"/>
        <w:spacing w:before="240" w:after="240"/>
      </w:pPr>
      <w:r>
        <w:rPr>
          <w:rFonts w:eastAsia="Arial" w:cs="Arial"/>
          <w:bCs/>
          <w:sz w:val="28"/>
          <w:szCs w:val="28"/>
        </w:rPr>
        <w:t>Metric 1: The High School Graduation Rate</w:t>
      </w:r>
    </w:p>
    <w:p w14:paraId="1D5D5FB5" w14:textId="2932D6CC" w:rsidR="00EE5A0A" w:rsidRDefault="00EE5A0A" w:rsidP="005C667B">
      <w:pPr>
        <w:spacing w:before="240" w:after="240"/>
        <w:rPr>
          <w:rFonts w:eastAsia="Arial" w:cs="Arial"/>
        </w:rPr>
      </w:pPr>
      <w:r>
        <w:rPr>
          <w:rFonts w:eastAsia="Arial" w:cs="Arial"/>
        </w:rPr>
        <w:t xml:space="preserve">One of the central questions about CTE is whether it helps students stay on track through high school. Metric </w:t>
      </w:r>
      <w:r w:rsidR="008E3F43">
        <w:rPr>
          <w:rFonts w:eastAsia="Arial" w:cs="Arial"/>
        </w:rPr>
        <w:t>1</w:t>
      </w:r>
      <w:r>
        <w:rPr>
          <w:rFonts w:eastAsia="Arial" w:cs="Arial"/>
        </w:rPr>
        <w:t xml:space="preserve"> looks at graduation rates specifically for students who participated in CTE, broken down by how much CTE coursework they completed. This allows for a side-by-side comparison across participation levels rather than a single aggregate number.</w:t>
      </w:r>
    </w:p>
    <w:p w14:paraId="222D6524" w14:textId="50CDD7A3" w:rsidR="00EE5A0A" w:rsidRDefault="00EE5A0A" w:rsidP="005C667B">
      <w:pPr>
        <w:spacing w:before="240" w:after="240"/>
      </w:pPr>
      <w:r>
        <w:rPr>
          <w:rFonts w:eastAsia="Arial" w:cs="Arial"/>
        </w:rPr>
        <w:t xml:space="preserve">The basis for this metric is the Four-Year Adjusted Cohort Graduation Rate (ACGR), the same methodology used for federal reporting to the U.S. Department of Education. The cohort begins with students who enter ninth grade for the first time, adjusted by adding students who </w:t>
      </w:r>
      <w:proofErr w:type="gramStart"/>
      <w:r>
        <w:rPr>
          <w:rFonts w:eastAsia="Arial" w:cs="Arial"/>
        </w:rPr>
        <w:t>transfer in</w:t>
      </w:r>
      <w:proofErr w:type="gramEnd"/>
      <w:r>
        <w:rPr>
          <w:rFonts w:eastAsia="Arial" w:cs="Arial"/>
        </w:rPr>
        <w:t xml:space="preserve"> through grade twelve and subtracting students who transfer out, emigrate, are placed in a prison or juvenile facility, or pass away during that period. Staff from the Career and College Transition Division and the Analysis, Measurement, and Accountability Reporting Division collaboratively developed and maintain this methodology to ensure consistency across state and federal reporting.</w:t>
      </w:r>
    </w:p>
    <w:p w14:paraId="428DED5F" w14:textId="10E0F6DB" w:rsidR="00EE5A0A" w:rsidRDefault="00EE5A0A" w:rsidP="005C667B">
      <w:pPr>
        <w:spacing w:before="240" w:after="240"/>
      </w:pPr>
      <w:r>
        <w:rPr>
          <w:rFonts w:eastAsia="Arial" w:cs="Arial"/>
        </w:rPr>
        <w:t xml:space="preserve">Data is collected through </w:t>
      </w:r>
      <w:r w:rsidR="00202EF4">
        <w:rPr>
          <w:rFonts w:eastAsia="Arial" w:cs="Arial"/>
        </w:rPr>
        <w:t>the California Longitudinal Pupil Achievement Data System (</w:t>
      </w:r>
      <w:r>
        <w:rPr>
          <w:rFonts w:eastAsia="Arial" w:cs="Arial"/>
        </w:rPr>
        <w:t>CALPADS</w:t>
      </w:r>
      <w:r w:rsidR="00202EF4">
        <w:rPr>
          <w:rFonts w:eastAsia="Arial" w:cs="Arial"/>
        </w:rPr>
        <w:t>)</w:t>
      </w:r>
      <w:r>
        <w:rPr>
          <w:rFonts w:eastAsia="Arial" w:cs="Arial"/>
        </w:rPr>
        <w:t xml:space="preserve"> as part of the End of Year Submission and is aligned to</w:t>
      </w:r>
      <w:r w:rsidR="003B4310">
        <w:rPr>
          <w:rFonts w:eastAsia="Arial" w:cs="Arial"/>
        </w:rPr>
        <w:t xml:space="preserve"> the</w:t>
      </w:r>
      <w:r>
        <w:rPr>
          <w:rFonts w:eastAsia="Arial" w:cs="Arial"/>
        </w:rPr>
        <w:t xml:space="preserve"> </w:t>
      </w:r>
      <w:r w:rsidR="00180E7F" w:rsidRPr="00180E7F">
        <w:rPr>
          <w:rFonts w:eastAsia="Arial" w:cs="Arial"/>
        </w:rPr>
        <w:t>Strengthening Career and Technical Education for the 21st Century Act</w:t>
      </w:r>
      <w:r w:rsidR="003B4310">
        <w:rPr>
          <w:rFonts w:eastAsia="Arial" w:cs="Arial"/>
        </w:rPr>
        <w:t xml:space="preserve"> (</w:t>
      </w:r>
      <w:r>
        <w:rPr>
          <w:rFonts w:eastAsia="Arial" w:cs="Arial"/>
        </w:rPr>
        <w:t>Perkins V</w:t>
      </w:r>
      <w:r w:rsidR="003B4310">
        <w:rPr>
          <w:rFonts w:eastAsia="Arial" w:cs="Arial"/>
        </w:rPr>
        <w:t>)</w:t>
      </w:r>
      <w:r>
        <w:rPr>
          <w:rFonts w:eastAsia="Arial" w:cs="Arial"/>
        </w:rPr>
        <w:t xml:space="preserve"> funding requirements. Cohort totals under this metric may not match cohort totals on other reporting platforms due to those alignment requirements.</w:t>
      </w:r>
    </w:p>
    <w:p w14:paraId="59D82070" w14:textId="77777777" w:rsidR="00EE5A0A" w:rsidRDefault="00EE5A0A" w:rsidP="005C667B">
      <w:pPr>
        <w:pStyle w:val="Heading3"/>
        <w:spacing w:before="240" w:after="240"/>
      </w:pPr>
      <w:r>
        <w:rPr>
          <w:rFonts w:eastAsia="Arial" w:cs="Arial"/>
          <w:bCs/>
        </w:rPr>
        <w:t>Indicators</w:t>
      </w:r>
    </w:p>
    <w:p w14:paraId="53615B1A" w14:textId="1B52B06E" w:rsidR="00EE5A0A" w:rsidRPr="00EA2C28" w:rsidRDefault="00EE5A0A" w:rsidP="005C667B">
      <w:pPr>
        <w:pStyle w:val="ListParagraph"/>
        <w:numPr>
          <w:ilvl w:val="0"/>
          <w:numId w:val="42"/>
        </w:numPr>
        <w:spacing w:before="240" w:after="240"/>
        <w:contextualSpacing w:val="0"/>
      </w:pPr>
      <w:r>
        <w:rPr>
          <w:rFonts w:eastAsia="Arial" w:cs="Arial"/>
          <w:b/>
          <w:bCs/>
        </w:rPr>
        <w:t xml:space="preserve">Indicator </w:t>
      </w:r>
      <w:r w:rsidR="003B4310">
        <w:rPr>
          <w:rFonts w:eastAsia="Arial" w:cs="Arial"/>
          <w:b/>
          <w:bCs/>
        </w:rPr>
        <w:t>1</w:t>
      </w:r>
      <w:r>
        <w:rPr>
          <w:rFonts w:eastAsia="Arial" w:cs="Arial"/>
          <w:b/>
          <w:bCs/>
        </w:rPr>
        <w:t>A – An unduplicated aggregate count of pupils in the adjusted cohort for the graduating class where the LEA has identified the pupil as having completed one CTE course during the four-year cohort period.</w:t>
      </w:r>
    </w:p>
    <w:p w14:paraId="58F0DC4B" w14:textId="19AA9C12" w:rsidR="00EE5A0A" w:rsidRDefault="00EE5A0A" w:rsidP="005C667B">
      <w:pPr>
        <w:pStyle w:val="ListParagraph"/>
        <w:numPr>
          <w:ilvl w:val="0"/>
          <w:numId w:val="42"/>
        </w:numPr>
        <w:spacing w:before="240" w:after="240"/>
        <w:contextualSpacing w:val="0"/>
      </w:pPr>
      <w:r>
        <w:rPr>
          <w:rFonts w:eastAsia="Arial" w:cs="Arial"/>
          <w:b/>
          <w:bCs/>
        </w:rPr>
        <w:t xml:space="preserve">Indicator </w:t>
      </w:r>
      <w:r w:rsidR="003B4310">
        <w:rPr>
          <w:rFonts w:eastAsia="Arial" w:cs="Arial"/>
          <w:b/>
          <w:bCs/>
        </w:rPr>
        <w:t>1</w:t>
      </w:r>
      <w:r>
        <w:rPr>
          <w:rFonts w:eastAsia="Arial" w:cs="Arial"/>
          <w:b/>
          <w:bCs/>
        </w:rPr>
        <w:t>B – An unduplicated aggregate count of pupils in the adjusted cohort for the graduating class where the LEA has identified the pupil as having completed at least one CTE pathway within the last four years.</w:t>
      </w:r>
    </w:p>
    <w:p w14:paraId="2B402002" w14:textId="1CAD003B" w:rsidR="00EE5A0A" w:rsidRDefault="00EE5A0A" w:rsidP="005C667B">
      <w:pPr>
        <w:spacing w:before="240" w:after="240"/>
        <w:ind w:left="720"/>
      </w:pPr>
      <w:r>
        <w:rPr>
          <w:rFonts w:eastAsia="Arial" w:cs="Arial"/>
        </w:rPr>
        <w:lastRenderedPageBreak/>
        <w:t xml:space="preserve">Indicator </w:t>
      </w:r>
      <w:r w:rsidR="00627DA9">
        <w:rPr>
          <w:rFonts w:eastAsia="Arial" w:cs="Arial"/>
        </w:rPr>
        <w:t>1</w:t>
      </w:r>
      <w:r>
        <w:rPr>
          <w:rFonts w:eastAsia="Arial" w:cs="Arial"/>
        </w:rPr>
        <w:t xml:space="preserve">B is the only indicator under Metric </w:t>
      </w:r>
      <w:r w:rsidR="00627DA9">
        <w:rPr>
          <w:rFonts w:eastAsia="Arial" w:cs="Arial"/>
        </w:rPr>
        <w:t>1</w:t>
      </w:r>
      <w:r>
        <w:rPr>
          <w:rFonts w:eastAsia="Arial" w:cs="Arial"/>
        </w:rPr>
        <w:t xml:space="preserve"> that is required for federal Perkins V reporting.</w:t>
      </w:r>
    </w:p>
    <w:p w14:paraId="5618C2BE" w14:textId="7C52C088" w:rsidR="00EE5A0A" w:rsidRDefault="00EE5A0A" w:rsidP="005C667B">
      <w:pPr>
        <w:spacing w:before="240" w:after="240"/>
        <w:ind w:left="720"/>
      </w:pPr>
      <w:r>
        <w:rPr>
          <w:rFonts w:eastAsia="Arial" w:cs="Arial"/>
        </w:rPr>
        <w:t xml:space="preserve">Taken together, Indicators </w:t>
      </w:r>
      <w:r w:rsidR="00627DA9">
        <w:rPr>
          <w:rFonts w:eastAsia="Arial" w:cs="Arial"/>
        </w:rPr>
        <w:t>1</w:t>
      </w:r>
      <w:r>
        <w:rPr>
          <w:rFonts w:eastAsia="Arial" w:cs="Arial"/>
        </w:rPr>
        <w:t xml:space="preserve">A </w:t>
      </w:r>
      <w:r w:rsidR="00627DA9">
        <w:rPr>
          <w:rFonts w:eastAsia="Arial" w:cs="Arial"/>
        </w:rPr>
        <w:t>and</w:t>
      </w:r>
      <w:r>
        <w:rPr>
          <w:rFonts w:eastAsia="Arial" w:cs="Arial"/>
        </w:rPr>
        <w:t xml:space="preserve"> </w:t>
      </w:r>
      <w:r w:rsidR="00627DA9">
        <w:rPr>
          <w:rFonts w:eastAsia="Arial" w:cs="Arial"/>
        </w:rPr>
        <w:t>1</w:t>
      </w:r>
      <w:r>
        <w:rPr>
          <w:rFonts w:eastAsia="Arial" w:cs="Arial"/>
        </w:rPr>
        <w:t>B allow the committee to see how graduation rates track with increasing levels of CTE participation, from minimal engagement to pathway completion.</w:t>
      </w:r>
    </w:p>
    <w:p w14:paraId="3561BC69" w14:textId="3BA2A330" w:rsidR="003C71CD" w:rsidRPr="00EE5A0A" w:rsidRDefault="003C71CD" w:rsidP="005C667B">
      <w:pPr>
        <w:pStyle w:val="Heading2"/>
        <w:spacing w:before="240" w:after="240"/>
        <w:rPr>
          <w:rFonts w:eastAsia="Arial" w:cs="Arial"/>
          <w:bCs/>
          <w:sz w:val="28"/>
          <w:szCs w:val="28"/>
        </w:rPr>
      </w:pPr>
      <w:r w:rsidRPr="00EE5A0A">
        <w:rPr>
          <w:rFonts w:eastAsia="Arial" w:cs="Arial"/>
          <w:bCs/>
          <w:sz w:val="28"/>
          <w:szCs w:val="28"/>
        </w:rPr>
        <w:t xml:space="preserve">Metric </w:t>
      </w:r>
      <w:r w:rsidR="00E038A8">
        <w:rPr>
          <w:rFonts w:eastAsia="Arial" w:cs="Arial"/>
          <w:bCs/>
          <w:sz w:val="28"/>
          <w:szCs w:val="28"/>
        </w:rPr>
        <w:t>2</w:t>
      </w:r>
      <w:r w:rsidRPr="00EE5A0A">
        <w:rPr>
          <w:rFonts w:eastAsia="Arial" w:cs="Arial"/>
          <w:bCs/>
          <w:sz w:val="28"/>
          <w:szCs w:val="28"/>
        </w:rPr>
        <w:t>: The Number of Pupils Completing CTE Coursework</w:t>
      </w:r>
    </w:p>
    <w:p w14:paraId="0185CDC2" w14:textId="3084FF91" w:rsidR="003C71CD" w:rsidRDefault="003C71CD" w:rsidP="005C667B">
      <w:pPr>
        <w:spacing w:after="160"/>
      </w:pPr>
      <w:r>
        <w:rPr>
          <w:rFonts w:eastAsia="Arial" w:cs="Arial"/>
        </w:rPr>
        <w:t xml:space="preserve">Not all students engage with CTE at the same level, and Metric </w:t>
      </w:r>
      <w:r w:rsidR="00E7211A">
        <w:rPr>
          <w:rFonts w:eastAsia="Arial" w:cs="Arial"/>
        </w:rPr>
        <w:t>2</w:t>
      </w:r>
      <w:r>
        <w:rPr>
          <w:rFonts w:eastAsia="Arial" w:cs="Arial"/>
        </w:rPr>
        <w:t xml:space="preserve"> is designed to capture that range. Some students take a single course to explore a career area, while others complete a full pathway sequence. Tracking participation across these different levels gives a clearer picture of how deeply students are engaging with CTE programs and helps identify where students may be dropping off before reaching completion.</w:t>
      </w:r>
    </w:p>
    <w:p w14:paraId="05333524" w14:textId="77777777" w:rsidR="003C71CD" w:rsidRDefault="003C71CD" w:rsidP="005C667B">
      <w:pPr>
        <w:spacing w:before="240" w:after="240"/>
      </w:pPr>
      <w:r>
        <w:rPr>
          <w:rFonts w:eastAsia="Arial" w:cs="Arial"/>
        </w:rPr>
        <w:t>Data for this metric is collected through CALPADS as part of the regular End of Year Submission by LEAs. Students are counted based on CTE course completions recorded during a four-year adjusted cohort period.</w:t>
      </w:r>
    </w:p>
    <w:p w14:paraId="188A5942" w14:textId="77777777" w:rsidR="003C71CD" w:rsidRPr="00330B4B" w:rsidRDefault="003C71CD" w:rsidP="003D7AF9">
      <w:pPr>
        <w:pStyle w:val="Heading3"/>
      </w:pPr>
      <w:r w:rsidRPr="00330B4B">
        <w:t>Indicators</w:t>
      </w:r>
    </w:p>
    <w:p w14:paraId="0E8EFA46" w14:textId="163F3344"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3233AD">
        <w:rPr>
          <w:rFonts w:eastAsia="Arial" w:cs="Arial"/>
          <w:b/>
          <w:bCs/>
        </w:rPr>
        <w:t>2</w:t>
      </w:r>
      <w:r>
        <w:rPr>
          <w:rFonts w:eastAsia="Arial" w:cs="Arial"/>
          <w:b/>
          <w:bCs/>
        </w:rPr>
        <w:t>A – The number of pupils completing one CTE course.</w:t>
      </w:r>
    </w:p>
    <w:p w14:paraId="1E2419F8" w14:textId="77777777" w:rsidR="003C71CD" w:rsidRDefault="003C71CD" w:rsidP="005C667B">
      <w:pPr>
        <w:spacing w:before="240" w:after="240"/>
        <w:ind w:left="720"/>
      </w:pPr>
      <w:r>
        <w:rPr>
          <w:rFonts w:eastAsia="Arial" w:cs="Arial"/>
        </w:rPr>
        <w:t>This is the broadest measure of CTE participation. A student is counted if they completed at least one CTE course during their four-year cohort period, establishing the outer boundary of CTE engagement across all CTEIG LEAs.</w:t>
      </w:r>
    </w:p>
    <w:p w14:paraId="6A04F027" w14:textId="075FBFEB"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3233AD">
        <w:rPr>
          <w:rFonts w:eastAsia="Arial" w:cs="Arial"/>
          <w:b/>
          <w:bCs/>
        </w:rPr>
        <w:t>2</w:t>
      </w:r>
      <w:r>
        <w:rPr>
          <w:rFonts w:eastAsia="Arial" w:cs="Arial"/>
          <w:b/>
          <w:bCs/>
        </w:rPr>
        <w:t>B – The number of pupils who complete a CTE pathway sequence that includes a capstone course, with a grade of C- or better in the capstone course.</w:t>
      </w:r>
    </w:p>
    <w:p w14:paraId="5A7DE8E6" w14:textId="08E25F3E" w:rsidR="003C71CD" w:rsidRDefault="003C71CD" w:rsidP="005C667B">
      <w:pPr>
        <w:spacing w:before="240" w:after="240"/>
        <w:ind w:left="720"/>
      </w:pPr>
      <w:r>
        <w:rPr>
          <w:rFonts w:eastAsia="Arial" w:cs="Arial"/>
        </w:rPr>
        <w:t xml:space="preserve">This is the CTE Completer definition used for both CTEIG and state reporting. Per the College/Career Indicator (CCI), a student is considered a pathway completer when they finish a sequence of courses that includes a capstone course, with a grade of C- or better in that capstone. This indicator represents the highest level of CTE engagement and is the threshold at which students become eligible to be counted in the postsecondary outcome metrics (Metrics </w:t>
      </w:r>
      <w:r w:rsidR="00237C97">
        <w:rPr>
          <w:rFonts w:eastAsia="Arial" w:cs="Arial"/>
        </w:rPr>
        <w:t>6</w:t>
      </w:r>
      <w:r>
        <w:rPr>
          <w:rFonts w:eastAsia="Arial" w:cs="Arial"/>
        </w:rPr>
        <w:t xml:space="preserve">, </w:t>
      </w:r>
      <w:r w:rsidR="00237C97">
        <w:rPr>
          <w:rFonts w:eastAsia="Arial" w:cs="Arial"/>
        </w:rPr>
        <w:t>7</w:t>
      </w:r>
      <w:r>
        <w:rPr>
          <w:rFonts w:eastAsia="Arial" w:cs="Arial"/>
        </w:rPr>
        <w:t xml:space="preserve">, and </w:t>
      </w:r>
      <w:r w:rsidR="00237C97">
        <w:rPr>
          <w:rFonts w:eastAsia="Arial" w:cs="Arial"/>
        </w:rPr>
        <w:t>8</w:t>
      </w:r>
      <w:r>
        <w:rPr>
          <w:rFonts w:eastAsia="Arial" w:cs="Arial"/>
        </w:rPr>
        <w:t>).</w:t>
      </w:r>
    </w:p>
    <w:p w14:paraId="2C720048" w14:textId="77777777" w:rsidR="00AE63CC" w:rsidRDefault="00AE63CC" w:rsidP="005C667B">
      <w:pPr>
        <w:pStyle w:val="Heading2"/>
        <w:spacing w:before="240" w:after="240"/>
        <w:rPr>
          <w:rFonts w:eastAsia="Arial" w:cs="Arial"/>
          <w:bCs/>
          <w:sz w:val="28"/>
          <w:szCs w:val="28"/>
        </w:rPr>
      </w:pPr>
      <w:r w:rsidRPr="004A2D3F">
        <w:rPr>
          <w:rFonts w:eastAsia="Arial" w:cs="Arial"/>
          <w:bCs/>
          <w:sz w:val="28"/>
          <w:szCs w:val="28"/>
        </w:rPr>
        <w:t xml:space="preserve">Metric 3: </w:t>
      </w:r>
      <w:r w:rsidRPr="00AE63CC">
        <w:rPr>
          <w:rFonts w:eastAsia="Arial" w:cs="Arial"/>
          <w:bCs/>
          <w:sz w:val="28"/>
          <w:szCs w:val="28"/>
        </w:rPr>
        <w:t xml:space="preserve">The number of pupils earning dual credit through CTE courses and career pathways </w:t>
      </w:r>
    </w:p>
    <w:p w14:paraId="50462F3C" w14:textId="054BCFE3" w:rsidR="00AE63CC" w:rsidRDefault="00511AEB" w:rsidP="005C667B">
      <w:pPr>
        <w:spacing w:before="240" w:after="240"/>
        <w:rPr>
          <w:rFonts w:eastAsiaTheme="majorEastAsia" w:cstheme="majorBidi"/>
          <w:b/>
          <w:sz w:val="36"/>
          <w:szCs w:val="36"/>
        </w:rPr>
      </w:pPr>
      <w:r>
        <w:rPr>
          <w:rFonts w:eastAsia="Arial" w:cs="Arial"/>
        </w:rPr>
        <w:t>Metric 3 is one of two</w:t>
      </w:r>
      <w:r w:rsidR="00AE63CC" w:rsidRPr="00AE63CC">
        <w:rPr>
          <w:rFonts w:eastAsia="Arial" w:cs="Arial"/>
        </w:rPr>
        <w:t xml:space="preserve"> additional metrics</w:t>
      </w:r>
      <w:r>
        <w:rPr>
          <w:rFonts w:eastAsia="Arial" w:cs="Arial"/>
        </w:rPr>
        <w:t xml:space="preserve"> which</w:t>
      </w:r>
      <w:r w:rsidR="00AE63CC" w:rsidRPr="00AE63CC">
        <w:rPr>
          <w:rFonts w:eastAsia="Arial" w:cs="Arial"/>
        </w:rPr>
        <w:t xml:space="preserve"> were added </w:t>
      </w:r>
      <w:r w:rsidR="00067DAF">
        <w:rPr>
          <w:rFonts w:eastAsia="Arial" w:cs="Arial"/>
        </w:rPr>
        <w:t xml:space="preserve">in 2025 </w:t>
      </w:r>
      <w:r w:rsidR="00AE63CC" w:rsidRPr="00AE63CC">
        <w:rPr>
          <w:rFonts w:eastAsia="Arial" w:cs="Arial"/>
        </w:rPr>
        <w:t xml:space="preserve">as part of the rewriting of </w:t>
      </w:r>
      <w:r w:rsidR="00AE63CC" w:rsidRPr="00511AEB">
        <w:rPr>
          <w:rFonts w:eastAsia="Arial" w:cs="Arial"/>
          <w:i/>
          <w:iCs/>
        </w:rPr>
        <w:t>EC</w:t>
      </w:r>
      <w:r w:rsidR="00AE63CC" w:rsidRPr="00AE63CC">
        <w:rPr>
          <w:rFonts w:eastAsia="Arial" w:cs="Arial"/>
        </w:rPr>
        <w:t xml:space="preserve"> Section 53071, via Senate Bill 638. </w:t>
      </w:r>
      <w:r w:rsidR="00AE63CC">
        <w:rPr>
          <w:rFonts w:eastAsia="Arial" w:cs="Arial"/>
        </w:rPr>
        <w:t>The CDE will share full details on indicators, data collection, and reporting timelines as they become available.</w:t>
      </w:r>
    </w:p>
    <w:p w14:paraId="47B18938" w14:textId="1A0A69AA" w:rsidR="00E81E14" w:rsidRDefault="00E81E14" w:rsidP="005C667B">
      <w:pPr>
        <w:pStyle w:val="Heading2"/>
        <w:spacing w:before="240" w:after="240"/>
        <w:rPr>
          <w:rFonts w:eastAsia="Arial" w:cs="Arial"/>
          <w:bCs/>
          <w:sz w:val="28"/>
          <w:szCs w:val="28"/>
        </w:rPr>
      </w:pPr>
      <w:r w:rsidRPr="00E81E14">
        <w:rPr>
          <w:rFonts w:eastAsia="Arial" w:cs="Arial"/>
          <w:bCs/>
          <w:sz w:val="28"/>
          <w:szCs w:val="28"/>
        </w:rPr>
        <w:lastRenderedPageBreak/>
        <w:t>Metric 4: The number of pupils participating in work-based learning, earn and learn activities, or service learning, linked to CTE courses and career pathways.</w:t>
      </w:r>
    </w:p>
    <w:p w14:paraId="6B2B5F34" w14:textId="7C9B8A32" w:rsidR="00E81E14" w:rsidRDefault="00E81E14" w:rsidP="005C667B">
      <w:pPr>
        <w:spacing w:before="240" w:after="240"/>
        <w:rPr>
          <w:rFonts w:eastAsiaTheme="majorEastAsia" w:cstheme="majorBidi"/>
          <w:b/>
          <w:sz w:val="36"/>
          <w:szCs w:val="36"/>
        </w:rPr>
      </w:pPr>
      <w:r>
        <w:rPr>
          <w:rFonts w:eastAsia="Arial" w:cs="Arial"/>
        </w:rPr>
        <w:t>Metric 4 is the second</w:t>
      </w:r>
      <w:r w:rsidRPr="00AE63CC">
        <w:rPr>
          <w:rFonts w:eastAsia="Arial" w:cs="Arial"/>
        </w:rPr>
        <w:t xml:space="preserve"> additional metric</w:t>
      </w:r>
      <w:r>
        <w:rPr>
          <w:rFonts w:eastAsia="Arial" w:cs="Arial"/>
        </w:rPr>
        <w:t xml:space="preserve"> which</w:t>
      </w:r>
      <w:r w:rsidRPr="00AE63CC">
        <w:rPr>
          <w:rFonts w:eastAsia="Arial" w:cs="Arial"/>
        </w:rPr>
        <w:t xml:space="preserve"> w</w:t>
      </w:r>
      <w:r w:rsidR="00FD46BF">
        <w:rPr>
          <w:rFonts w:eastAsia="Arial" w:cs="Arial"/>
        </w:rPr>
        <w:t>as</w:t>
      </w:r>
      <w:r w:rsidRPr="00AE63CC">
        <w:rPr>
          <w:rFonts w:eastAsia="Arial" w:cs="Arial"/>
        </w:rPr>
        <w:t xml:space="preserve"> added </w:t>
      </w:r>
      <w:r w:rsidR="00067DAF">
        <w:rPr>
          <w:rFonts w:eastAsia="Arial" w:cs="Arial"/>
        </w:rPr>
        <w:t xml:space="preserve">in 2025 </w:t>
      </w:r>
      <w:r w:rsidRPr="00AE63CC">
        <w:rPr>
          <w:rFonts w:eastAsia="Arial" w:cs="Arial"/>
        </w:rPr>
        <w:t xml:space="preserve">as part of the rewriting of </w:t>
      </w:r>
      <w:r w:rsidRPr="00511AEB">
        <w:rPr>
          <w:rFonts w:eastAsia="Arial" w:cs="Arial"/>
          <w:i/>
          <w:iCs/>
        </w:rPr>
        <w:t>EC</w:t>
      </w:r>
      <w:r w:rsidRPr="00AE63CC">
        <w:rPr>
          <w:rFonts w:eastAsia="Arial" w:cs="Arial"/>
        </w:rPr>
        <w:t xml:space="preserve"> Section 53071, via Senate Bill 638. </w:t>
      </w:r>
      <w:r>
        <w:rPr>
          <w:rFonts w:eastAsia="Arial" w:cs="Arial"/>
        </w:rPr>
        <w:t>The CDE will share full details on indicators, data collection, and reporting timelines as they become available.</w:t>
      </w:r>
    </w:p>
    <w:p w14:paraId="62E09210" w14:textId="272678BE" w:rsidR="003C71CD" w:rsidRPr="004A2D3F" w:rsidRDefault="003C71CD" w:rsidP="005C667B">
      <w:pPr>
        <w:pStyle w:val="Heading2"/>
        <w:spacing w:before="240" w:after="240"/>
      </w:pPr>
      <w:r w:rsidRPr="004A2D3F">
        <w:rPr>
          <w:rFonts w:eastAsia="Arial" w:cs="Arial"/>
          <w:bCs/>
          <w:sz w:val="28"/>
          <w:szCs w:val="28"/>
        </w:rPr>
        <w:t xml:space="preserve">Metric </w:t>
      </w:r>
      <w:r w:rsidR="004C1171">
        <w:rPr>
          <w:rFonts w:eastAsia="Arial" w:cs="Arial"/>
          <w:bCs/>
          <w:sz w:val="28"/>
          <w:szCs w:val="28"/>
        </w:rPr>
        <w:t>5</w:t>
      </w:r>
      <w:r w:rsidRPr="004A2D3F">
        <w:rPr>
          <w:rFonts w:eastAsia="Arial" w:cs="Arial"/>
          <w:bCs/>
          <w:sz w:val="28"/>
          <w:szCs w:val="28"/>
        </w:rPr>
        <w:t>: The Number of Pupils Meeting Academic and Career-Readiness Standards as Defined in the College/Career Indicator</w:t>
      </w:r>
    </w:p>
    <w:p w14:paraId="5C506586" w14:textId="576A0BE5" w:rsidR="003C71CD" w:rsidRDefault="003C71CD" w:rsidP="005C667B">
      <w:pPr>
        <w:spacing w:before="240" w:after="240"/>
        <w:rPr>
          <w:rFonts w:eastAsia="Arial" w:cs="Arial"/>
        </w:rPr>
      </w:pPr>
      <w:r>
        <w:rPr>
          <w:rFonts w:eastAsia="Arial" w:cs="Arial"/>
        </w:rPr>
        <w:t xml:space="preserve">CTE programs are not just about career skills; they are expected to support students' academic growth as well. Metric </w:t>
      </w:r>
      <w:r w:rsidR="00DD14C2">
        <w:rPr>
          <w:rFonts w:eastAsia="Arial" w:cs="Arial"/>
        </w:rPr>
        <w:t>5</w:t>
      </w:r>
      <w:r>
        <w:rPr>
          <w:rFonts w:eastAsia="Arial" w:cs="Arial"/>
        </w:rPr>
        <w:t xml:space="preserve"> looks at whether CTE participants are meeting California's college and career readiness benchmarks as measured through the College/Career Indicator on the California School Dashboard, including performance on state assessments and completion of college coursework.</w:t>
      </w:r>
    </w:p>
    <w:p w14:paraId="0C298B53" w14:textId="6201E639" w:rsidR="003C71CD" w:rsidRDefault="003C71CD" w:rsidP="005C667B">
      <w:pPr>
        <w:pStyle w:val="Heading3"/>
        <w:spacing w:before="240" w:after="240"/>
      </w:pPr>
      <w:r>
        <w:rPr>
          <w:rFonts w:eastAsia="Arial" w:cs="Arial"/>
          <w:bCs/>
        </w:rPr>
        <w:t>Indicator</w:t>
      </w:r>
    </w:p>
    <w:p w14:paraId="1D6C2304" w14:textId="19C3A2CE"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134257">
        <w:rPr>
          <w:rFonts w:eastAsia="Arial" w:cs="Arial"/>
          <w:b/>
          <w:bCs/>
        </w:rPr>
        <w:t>5</w:t>
      </w:r>
      <w:r>
        <w:rPr>
          <w:rFonts w:eastAsia="Arial" w:cs="Arial"/>
          <w:b/>
          <w:bCs/>
        </w:rPr>
        <w:t xml:space="preserve"> – The number of CTE Completers as defined in the CCI associated with the California School Dashboard. </w:t>
      </w:r>
    </w:p>
    <w:p w14:paraId="58880893" w14:textId="09F6F630" w:rsidR="003C71CD" w:rsidRDefault="00F06CEB" w:rsidP="005C667B">
      <w:pPr>
        <w:spacing w:before="240" w:after="240"/>
        <w:ind w:left="720"/>
      </w:pPr>
      <w:r>
        <w:rPr>
          <w:rFonts w:eastAsia="Arial" w:cs="Arial"/>
        </w:rPr>
        <w:t xml:space="preserve">This indicator captures students prepared, not prepared, and approaching prepared on the CCI. </w:t>
      </w:r>
    </w:p>
    <w:p w14:paraId="058CABE6" w14:textId="2F3AAF6E" w:rsidR="003C71CD" w:rsidRDefault="003C71CD" w:rsidP="005C667B">
      <w:pPr>
        <w:pStyle w:val="Heading2"/>
        <w:spacing w:before="240" w:after="240"/>
      </w:pPr>
      <w:r>
        <w:rPr>
          <w:rFonts w:eastAsia="Arial" w:cs="Arial"/>
          <w:bCs/>
          <w:sz w:val="28"/>
          <w:szCs w:val="28"/>
        </w:rPr>
        <w:t xml:space="preserve">Metric </w:t>
      </w:r>
      <w:r w:rsidR="00873BE1">
        <w:rPr>
          <w:rFonts w:eastAsia="Arial" w:cs="Arial"/>
          <w:bCs/>
          <w:sz w:val="28"/>
          <w:szCs w:val="28"/>
        </w:rPr>
        <w:t>6</w:t>
      </w:r>
      <w:r>
        <w:rPr>
          <w:rFonts w:eastAsia="Arial" w:cs="Arial"/>
          <w:bCs/>
          <w:sz w:val="28"/>
          <w:szCs w:val="28"/>
        </w:rPr>
        <w:t>: The Number of Pupils Obtaining an Industry-Recognized Credential, Certificate, License, or Other Measure of Technical Skill Attainment</w:t>
      </w:r>
    </w:p>
    <w:p w14:paraId="00AB4EC1" w14:textId="057A95BE" w:rsidR="003C71CD" w:rsidRDefault="003C71CD" w:rsidP="005C667B">
      <w:pPr>
        <w:spacing w:before="240" w:after="240"/>
      </w:pPr>
      <w:r>
        <w:rPr>
          <w:rFonts w:eastAsia="Arial" w:cs="Arial"/>
        </w:rPr>
        <w:t xml:space="preserve">Earning a credential or completing a work-based learning experience are two of the most concrete outcomes a CTE program can produce. Metric </w:t>
      </w:r>
      <w:r w:rsidR="00707AB3">
        <w:rPr>
          <w:rFonts w:eastAsia="Arial" w:cs="Arial"/>
        </w:rPr>
        <w:t>6</w:t>
      </w:r>
      <w:r>
        <w:rPr>
          <w:rFonts w:eastAsia="Arial" w:cs="Arial"/>
        </w:rPr>
        <w:t xml:space="preserve"> tracks how many completers walk away with something tangible that demonstrates their skills to a future employer or training program.</w:t>
      </w:r>
    </w:p>
    <w:p w14:paraId="46F8FE6E" w14:textId="7460117F" w:rsidR="003C71CD" w:rsidRDefault="003C71CD" w:rsidP="005C667B">
      <w:pPr>
        <w:spacing w:before="240" w:after="240"/>
      </w:pPr>
      <w:r>
        <w:rPr>
          <w:rFonts w:eastAsia="Arial" w:cs="Arial"/>
        </w:rPr>
        <w:t xml:space="preserve">Data for Metric </w:t>
      </w:r>
      <w:r w:rsidR="00707AB3">
        <w:rPr>
          <w:rFonts w:eastAsia="Arial" w:cs="Arial"/>
        </w:rPr>
        <w:t>6</w:t>
      </w:r>
      <w:r>
        <w:rPr>
          <w:rFonts w:eastAsia="Arial" w:cs="Arial"/>
        </w:rPr>
        <w:t xml:space="preserve"> is collected through a postsecondary survey </w:t>
      </w:r>
      <w:proofErr w:type="gramStart"/>
      <w:r>
        <w:rPr>
          <w:rFonts w:eastAsia="Arial" w:cs="Arial"/>
        </w:rPr>
        <w:t>administered</w:t>
      </w:r>
      <w:proofErr w:type="gramEnd"/>
      <w:r>
        <w:rPr>
          <w:rFonts w:eastAsia="Arial" w:cs="Arial"/>
        </w:rPr>
        <w:t xml:space="preserve"> in</w:t>
      </w:r>
      <w:r w:rsidR="00707AB3">
        <w:rPr>
          <w:rFonts w:eastAsia="Arial" w:cs="Arial"/>
        </w:rPr>
        <w:t xml:space="preserve"> the</w:t>
      </w:r>
      <w:r>
        <w:rPr>
          <w:rFonts w:eastAsia="Arial" w:cs="Arial"/>
        </w:rPr>
        <w:t xml:space="preserve"> CALPADS. LEAs are instructed to administer this survey to CTE completer students and California Partnership Academies only. Because survey administration depends on LEA outreach to former students, response rates may vary, and the data should be interpreted with that context in mind.</w:t>
      </w:r>
    </w:p>
    <w:p w14:paraId="5945A444" w14:textId="6B693D34" w:rsidR="003C71CD" w:rsidRDefault="003C71CD" w:rsidP="005C667B">
      <w:pPr>
        <w:pStyle w:val="Heading3"/>
        <w:spacing w:before="240" w:after="240"/>
      </w:pPr>
      <w:r>
        <w:rPr>
          <w:rFonts w:eastAsia="Arial" w:cs="Arial"/>
          <w:bCs/>
        </w:rPr>
        <w:t>Indicator</w:t>
      </w:r>
    </w:p>
    <w:p w14:paraId="5FBBB5FE" w14:textId="0144B3A2"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4A18D0">
        <w:rPr>
          <w:rFonts w:eastAsia="Arial" w:cs="Arial"/>
          <w:b/>
          <w:bCs/>
        </w:rPr>
        <w:t>6</w:t>
      </w:r>
      <w:r>
        <w:rPr>
          <w:rFonts w:eastAsia="Arial" w:cs="Arial"/>
          <w:b/>
          <w:bCs/>
        </w:rPr>
        <w:t xml:space="preserve"> – The number of CTE pathway completers obtaining an industry-recognized certification. </w:t>
      </w:r>
    </w:p>
    <w:p w14:paraId="3F41C3B0" w14:textId="77777777" w:rsidR="003C71CD" w:rsidRDefault="003C71CD" w:rsidP="005C667B">
      <w:pPr>
        <w:spacing w:before="240" w:after="240"/>
        <w:ind w:left="720"/>
      </w:pPr>
      <w:r>
        <w:rPr>
          <w:rFonts w:eastAsia="Arial" w:cs="Arial"/>
        </w:rPr>
        <w:lastRenderedPageBreak/>
        <w:t>This indicator counts former CTE completers who reported obtaining a certification, license, or credential recognized by industry in their field, including healthcare, information technology, automotive, or construction trades.</w:t>
      </w:r>
    </w:p>
    <w:p w14:paraId="7ED1FDAC" w14:textId="3B034FA0" w:rsidR="003C71CD" w:rsidRDefault="003C71CD" w:rsidP="005C667B">
      <w:pPr>
        <w:pStyle w:val="Heading2"/>
        <w:spacing w:before="240" w:after="240"/>
      </w:pPr>
      <w:r>
        <w:rPr>
          <w:rFonts w:eastAsia="Arial" w:cs="Arial"/>
          <w:bCs/>
          <w:sz w:val="28"/>
          <w:szCs w:val="28"/>
        </w:rPr>
        <w:t xml:space="preserve">Metric </w:t>
      </w:r>
      <w:r w:rsidR="00CA14BF">
        <w:rPr>
          <w:rFonts w:eastAsia="Arial" w:cs="Arial"/>
          <w:bCs/>
          <w:sz w:val="28"/>
          <w:szCs w:val="28"/>
        </w:rPr>
        <w:t>7</w:t>
      </w:r>
      <w:r>
        <w:rPr>
          <w:rFonts w:eastAsia="Arial" w:cs="Arial"/>
          <w:bCs/>
          <w:sz w:val="28"/>
          <w:szCs w:val="28"/>
        </w:rPr>
        <w:t>: The Number of Former Pupils Employed and the Types of Businesses in Which They Are Employed</w:t>
      </w:r>
    </w:p>
    <w:p w14:paraId="58FD9D67" w14:textId="3A81334C" w:rsidR="003C71CD" w:rsidRPr="00090C3D" w:rsidRDefault="003C71CD" w:rsidP="005C667B">
      <w:pPr>
        <w:spacing w:before="240" w:after="240"/>
        <w:rPr>
          <w:rFonts w:eastAsia="Arial" w:cs="Arial"/>
        </w:rPr>
      </w:pPr>
      <w:r w:rsidRPr="00090C3D">
        <w:rPr>
          <w:rFonts w:eastAsia="Arial" w:cs="Arial"/>
        </w:rPr>
        <w:t xml:space="preserve">Metric </w:t>
      </w:r>
      <w:r w:rsidR="00DD570B">
        <w:rPr>
          <w:rFonts w:eastAsia="Arial" w:cs="Arial"/>
        </w:rPr>
        <w:t>7</w:t>
      </w:r>
      <w:r w:rsidRPr="00090C3D">
        <w:rPr>
          <w:rFonts w:eastAsia="Arial" w:cs="Arial"/>
        </w:rPr>
        <w:t xml:space="preserve"> tracks employment outcomes for former CTE completers, including the types of businesses where they end up working, to help assess whether students are entering fields that align with their CTE pathway.</w:t>
      </w:r>
    </w:p>
    <w:p w14:paraId="148C6FC8" w14:textId="221C6D0E" w:rsidR="003C71CD" w:rsidRPr="00090C3D" w:rsidRDefault="003C71CD" w:rsidP="005C667B">
      <w:pPr>
        <w:spacing w:before="240" w:after="240"/>
        <w:rPr>
          <w:rFonts w:eastAsia="Arial" w:cs="Arial"/>
        </w:rPr>
      </w:pPr>
      <w:r w:rsidRPr="00090C3D">
        <w:rPr>
          <w:rFonts w:eastAsia="Arial" w:cs="Arial"/>
        </w:rPr>
        <w:t xml:space="preserve">Like Metric </w:t>
      </w:r>
      <w:r w:rsidR="00DD570B">
        <w:rPr>
          <w:rFonts w:eastAsia="Arial" w:cs="Arial"/>
        </w:rPr>
        <w:t>6</w:t>
      </w:r>
      <w:r w:rsidRPr="00090C3D">
        <w:rPr>
          <w:rFonts w:eastAsia="Arial" w:cs="Arial"/>
        </w:rPr>
        <w:t xml:space="preserve">, data for Metric </w:t>
      </w:r>
      <w:r w:rsidR="00DD570B">
        <w:rPr>
          <w:rFonts w:eastAsia="Arial" w:cs="Arial"/>
        </w:rPr>
        <w:t>7</w:t>
      </w:r>
      <w:r w:rsidRPr="00090C3D">
        <w:rPr>
          <w:rFonts w:eastAsia="Arial" w:cs="Arial"/>
        </w:rPr>
        <w:t xml:space="preserve"> is collected through the postsecondary survey in CALPADS, administered by LEAs to CTE completer students and California Partnership Academies only.</w:t>
      </w:r>
    </w:p>
    <w:p w14:paraId="6AA90CB1" w14:textId="77777777" w:rsidR="003C71CD" w:rsidRDefault="003C71CD" w:rsidP="005C667B">
      <w:pPr>
        <w:pStyle w:val="Heading3"/>
        <w:spacing w:before="240" w:after="240"/>
      </w:pPr>
      <w:r>
        <w:rPr>
          <w:rFonts w:eastAsia="Arial" w:cs="Arial"/>
          <w:bCs/>
        </w:rPr>
        <w:t>Indicator</w:t>
      </w:r>
    </w:p>
    <w:p w14:paraId="7258D59D" w14:textId="434676B4" w:rsidR="003C71CD" w:rsidRPr="00B11AA7" w:rsidRDefault="003C71CD" w:rsidP="005C667B">
      <w:pPr>
        <w:pStyle w:val="ListParagraph"/>
        <w:numPr>
          <w:ilvl w:val="0"/>
          <w:numId w:val="42"/>
        </w:numPr>
        <w:spacing w:before="240" w:after="240"/>
        <w:contextualSpacing w:val="0"/>
        <w:rPr>
          <w:b/>
          <w:bCs/>
        </w:rPr>
      </w:pPr>
      <w:r w:rsidRPr="00B11AA7">
        <w:rPr>
          <w:rFonts w:eastAsia="Arial" w:cs="Arial"/>
          <w:b/>
          <w:bCs/>
        </w:rPr>
        <w:t xml:space="preserve">Indicator </w:t>
      </w:r>
      <w:r w:rsidR="00B11AA7" w:rsidRPr="00B11AA7">
        <w:rPr>
          <w:rFonts w:eastAsia="Arial" w:cs="Arial"/>
          <w:b/>
          <w:bCs/>
        </w:rPr>
        <w:t>7</w:t>
      </w:r>
      <w:r w:rsidRPr="00B11AA7">
        <w:rPr>
          <w:rFonts w:eastAsia="Arial" w:cs="Arial"/>
          <w:b/>
          <w:bCs/>
        </w:rPr>
        <w:t xml:space="preserve"> – The number of former pupils employed and the types of businesses in which they are employed. </w:t>
      </w:r>
    </w:p>
    <w:p w14:paraId="366E7FB4" w14:textId="66F9F7C8" w:rsidR="00B11AA7" w:rsidRPr="009F677C" w:rsidRDefault="002249D3" w:rsidP="005C667B">
      <w:pPr>
        <w:pStyle w:val="ListParagraph"/>
        <w:spacing w:before="240" w:after="240"/>
        <w:contextualSpacing w:val="0"/>
      </w:pPr>
      <w:r>
        <w:rPr>
          <w:rFonts w:eastAsia="Arial" w:cs="Arial"/>
        </w:rPr>
        <w:t xml:space="preserve">This indicator counts the number of former CTE completers </w:t>
      </w:r>
      <w:r w:rsidR="00B774D0">
        <w:rPr>
          <w:rFonts w:eastAsia="Arial" w:cs="Arial"/>
        </w:rPr>
        <w:t>who reported working in a specific career industry sector.</w:t>
      </w:r>
    </w:p>
    <w:p w14:paraId="5507D6C7" w14:textId="2543D540" w:rsidR="003C71CD" w:rsidRDefault="003C71CD" w:rsidP="005C667B">
      <w:pPr>
        <w:pStyle w:val="Heading2"/>
        <w:spacing w:before="240" w:after="240"/>
      </w:pPr>
      <w:r>
        <w:rPr>
          <w:rFonts w:eastAsia="Arial" w:cs="Arial"/>
          <w:bCs/>
          <w:sz w:val="28"/>
          <w:szCs w:val="28"/>
        </w:rPr>
        <w:t xml:space="preserve">Metric </w:t>
      </w:r>
      <w:r w:rsidR="00CA14BF">
        <w:rPr>
          <w:rFonts w:eastAsia="Arial" w:cs="Arial"/>
          <w:bCs/>
          <w:sz w:val="28"/>
          <w:szCs w:val="28"/>
        </w:rPr>
        <w:t>8</w:t>
      </w:r>
      <w:r>
        <w:rPr>
          <w:rFonts w:eastAsia="Arial" w:cs="Arial"/>
          <w:bCs/>
          <w:sz w:val="28"/>
          <w:szCs w:val="28"/>
        </w:rPr>
        <w:t>: The Number of Former Pupils Enrolled in Postsecondary Education or Training</w:t>
      </w:r>
    </w:p>
    <w:p w14:paraId="28C77C1E" w14:textId="0615DB28" w:rsidR="003C71CD" w:rsidRDefault="003C71CD" w:rsidP="005C667B">
      <w:pPr>
        <w:spacing w:before="240" w:after="240"/>
      </w:pPr>
      <w:r>
        <w:rPr>
          <w:rFonts w:eastAsia="Arial" w:cs="Arial"/>
        </w:rPr>
        <w:t xml:space="preserve">For many students, the goal after high school is not immediate employment but continued education or training. Metric </w:t>
      </w:r>
      <w:r w:rsidR="006409F5">
        <w:rPr>
          <w:rFonts w:eastAsia="Arial" w:cs="Arial"/>
        </w:rPr>
        <w:t>8</w:t>
      </w:r>
      <w:r>
        <w:rPr>
          <w:rFonts w:eastAsia="Arial" w:cs="Arial"/>
        </w:rPr>
        <w:t xml:space="preserve"> tracks whether CTE completers are going on to college, apprenticeships, or other job training programs, giving a fuller picture of how students are transitioning beyond high school.</w:t>
      </w:r>
    </w:p>
    <w:p w14:paraId="07F14CFD" w14:textId="5E05CFD4" w:rsidR="003C71CD" w:rsidRDefault="003C71CD" w:rsidP="005C667B">
      <w:pPr>
        <w:spacing w:before="240" w:after="240"/>
      </w:pPr>
      <w:r>
        <w:rPr>
          <w:rFonts w:eastAsia="Arial" w:cs="Arial"/>
        </w:rPr>
        <w:t xml:space="preserve">Data is collected through the CALPADS postsecondary survey, administered by LEAs to CTE completer students and California Partnership Academies only. As with Metrics </w:t>
      </w:r>
      <w:r w:rsidR="006409F5">
        <w:rPr>
          <w:rFonts w:eastAsia="Arial" w:cs="Arial"/>
        </w:rPr>
        <w:t>6</w:t>
      </w:r>
      <w:r>
        <w:rPr>
          <w:rFonts w:eastAsia="Arial" w:cs="Arial"/>
        </w:rPr>
        <w:t xml:space="preserve"> and </w:t>
      </w:r>
      <w:r w:rsidR="006409F5">
        <w:rPr>
          <w:rFonts w:eastAsia="Arial" w:cs="Arial"/>
        </w:rPr>
        <w:t>7</w:t>
      </w:r>
      <w:r>
        <w:rPr>
          <w:rFonts w:eastAsia="Arial" w:cs="Arial"/>
        </w:rPr>
        <w:t>, survey response rates may vary across LEAs, and results reflect only those students who responded.</w:t>
      </w:r>
    </w:p>
    <w:p w14:paraId="4F234154" w14:textId="77777777" w:rsidR="003C71CD" w:rsidRDefault="003C71CD" w:rsidP="005C667B">
      <w:pPr>
        <w:pStyle w:val="Heading3"/>
        <w:spacing w:before="240" w:after="240"/>
      </w:pPr>
      <w:r>
        <w:rPr>
          <w:rFonts w:eastAsia="Arial" w:cs="Arial"/>
          <w:bCs/>
        </w:rPr>
        <w:t>Indicators</w:t>
      </w:r>
    </w:p>
    <w:p w14:paraId="168E0EEE" w14:textId="48F7BA4E"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5C667B">
        <w:rPr>
          <w:rFonts w:eastAsia="Arial" w:cs="Arial"/>
          <w:b/>
          <w:bCs/>
        </w:rPr>
        <w:t>8</w:t>
      </w:r>
      <w:r>
        <w:rPr>
          <w:rFonts w:eastAsia="Arial" w:cs="Arial"/>
          <w:b/>
          <w:bCs/>
        </w:rPr>
        <w:t xml:space="preserve">A – The number of CTE pathway completers enrolled in a postsecondary educational institution. </w:t>
      </w:r>
    </w:p>
    <w:p w14:paraId="62DF8B03" w14:textId="77777777" w:rsidR="003C71CD" w:rsidRDefault="003C71CD" w:rsidP="005C667B">
      <w:pPr>
        <w:spacing w:before="240" w:after="240"/>
        <w:ind w:left="720"/>
      </w:pPr>
      <w:r>
        <w:rPr>
          <w:rFonts w:eastAsia="Arial" w:cs="Arial"/>
        </w:rPr>
        <w:t>This indicator counts completers who enrolled in a two-year college, four-year university, or other accredited postsecondary institution following high school.</w:t>
      </w:r>
    </w:p>
    <w:p w14:paraId="34E4E807" w14:textId="0B3E882E"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5C667B">
        <w:rPr>
          <w:rFonts w:eastAsia="Arial" w:cs="Arial"/>
          <w:b/>
          <w:bCs/>
        </w:rPr>
        <w:t>8</w:t>
      </w:r>
      <w:r>
        <w:rPr>
          <w:rFonts w:eastAsia="Arial" w:cs="Arial"/>
          <w:b/>
          <w:bCs/>
        </w:rPr>
        <w:t xml:space="preserve">B – The number of CTE pathway completers enrolled in a state apprenticeship program. </w:t>
      </w:r>
    </w:p>
    <w:p w14:paraId="4CA62AA3" w14:textId="77777777" w:rsidR="003C71CD" w:rsidRDefault="003C71CD" w:rsidP="005C667B">
      <w:pPr>
        <w:spacing w:before="240" w:after="240"/>
        <w:ind w:left="720"/>
      </w:pPr>
      <w:r>
        <w:rPr>
          <w:rFonts w:eastAsia="Arial" w:cs="Arial"/>
        </w:rPr>
        <w:lastRenderedPageBreak/>
        <w:t>This indicator counts completers who entered a registered apprenticeship program under the California Division of Apprenticeship Standards, a structured earn-and-learn pathway that is a core component of California’s workforce development strategy.</w:t>
      </w:r>
    </w:p>
    <w:p w14:paraId="1DBE7DBE" w14:textId="50C17D6B" w:rsidR="003C71CD" w:rsidRDefault="003C71CD" w:rsidP="005C667B">
      <w:pPr>
        <w:pStyle w:val="ListParagraph"/>
        <w:numPr>
          <w:ilvl w:val="0"/>
          <w:numId w:val="42"/>
        </w:numPr>
        <w:spacing w:before="240" w:after="240"/>
        <w:contextualSpacing w:val="0"/>
      </w:pPr>
      <w:r>
        <w:rPr>
          <w:rFonts w:eastAsia="Arial" w:cs="Arial"/>
          <w:b/>
          <w:bCs/>
        </w:rPr>
        <w:t xml:space="preserve">Indicator </w:t>
      </w:r>
      <w:r w:rsidR="005C667B">
        <w:rPr>
          <w:rFonts w:eastAsia="Arial" w:cs="Arial"/>
          <w:b/>
          <w:bCs/>
        </w:rPr>
        <w:t>8</w:t>
      </w:r>
      <w:r>
        <w:rPr>
          <w:rFonts w:eastAsia="Arial" w:cs="Arial"/>
          <w:b/>
          <w:bCs/>
        </w:rPr>
        <w:t>C – The number of CTE pathway completers enrolled in a form of job training other than a state apprenticeship program.</w:t>
      </w:r>
    </w:p>
    <w:p w14:paraId="2FEAA34A" w14:textId="7AAA81BA" w:rsidR="003C71CD" w:rsidRDefault="003C71CD" w:rsidP="005C667B">
      <w:pPr>
        <w:spacing w:before="240" w:after="240"/>
        <w:ind w:left="720"/>
      </w:pPr>
      <w:r>
        <w:rPr>
          <w:rFonts w:eastAsia="Arial" w:cs="Arial"/>
        </w:rPr>
        <w:t xml:space="preserve">This indicator captures completers enrolled in other structured training programs that do not qualify as a registered apprenticeship, such as pre-apprenticeships, industry training programs, or vocational training. Together, Indicators </w:t>
      </w:r>
      <w:r w:rsidR="005C667B">
        <w:rPr>
          <w:rFonts w:eastAsia="Arial" w:cs="Arial"/>
        </w:rPr>
        <w:t>8</w:t>
      </w:r>
      <w:r>
        <w:rPr>
          <w:rFonts w:eastAsia="Arial" w:cs="Arial"/>
        </w:rPr>
        <w:t xml:space="preserve">A through </w:t>
      </w:r>
      <w:r w:rsidR="005C667B">
        <w:rPr>
          <w:rFonts w:eastAsia="Arial" w:cs="Arial"/>
        </w:rPr>
        <w:t>8</w:t>
      </w:r>
      <w:r>
        <w:rPr>
          <w:rFonts w:eastAsia="Arial" w:cs="Arial"/>
        </w:rPr>
        <w:t>C provide a comprehensive picture of how CTE completers are transitioning beyond high school.</w:t>
      </w:r>
    </w:p>
    <w:p w14:paraId="57870960" w14:textId="77777777" w:rsidR="003C71CD" w:rsidRDefault="003C71CD" w:rsidP="005C667B">
      <w:pPr>
        <w:pStyle w:val="Heading1"/>
        <w:spacing w:before="240" w:after="240"/>
      </w:pPr>
      <w:r>
        <w:rPr>
          <w:rFonts w:eastAsia="Arial" w:cs="Arial"/>
          <w:bCs/>
        </w:rPr>
        <w:t>Data Collection and Reporting Timeline</w:t>
      </w:r>
    </w:p>
    <w:p w14:paraId="727F8A41" w14:textId="77777777" w:rsidR="003C71CD" w:rsidRDefault="003C71CD" w:rsidP="005C667B">
      <w:pPr>
        <w:spacing w:before="240" w:after="240"/>
      </w:pPr>
      <w:r>
        <w:rPr>
          <w:rFonts w:eastAsia="Arial" w:cs="Arial"/>
        </w:rPr>
        <w:t>The annual data collection process for CTEIG metrics follows a two-part cycle that reflects the different timelines required to compile participation data versus postsecondary outcome data.</w:t>
      </w:r>
    </w:p>
    <w:p w14:paraId="21E7CC69" w14:textId="011D5649" w:rsidR="003C71CD" w:rsidRDefault="003C71CD" w:rsidP="005C667B">
      <w:pPr>
        <w:spacing w:before="240" w:after="240"/>
      </w:pPr>
      <w:r>
        <w:rPr>
          <w:rFonts w:eastAsia="Arial" w:cs="Arial"/>
        </w:rPr>
        <w:t xml:space="preserve">The first part of the cycle covers Metrics 1 through </w:t>
      </w:r>
      <w:r w:rsidR="003C0307">
        <w:rPr>
          <w:rFonts w:eastAsia="Arial" w:cs="Arial"/>
        </w:rPr>
        <w:t>5</w:t>
      </w:r>
      <w:r>
        <w:rPr>
          <w:rFonts w:eastAsia="Arial" w:cs="Arial"/>
        </w:rPr>
        <w:t>, which are collected during the regular End of Year Submission in CALPADS. LEAs report CTE course completions, graduation data, academic assessment results, and credential attainment through this submission window, which closes in the fall following the academic year in which the data was generated.</w:t>
      </w:r>
    </w:p>
    <w:p w14:paraId="5499A818" w14:textId="47A7441D" w:rsidR="003C71CD" w:rsidRDefault="003C71CD" w:rsidP="005C667B">
      <w:pPr>
        <w:spacing w:before="240" w:after="240"/>
      </w:pPr>
      <w:r>
        <w:rPr>
          <w:rFonts w:eastAsia="Arial" w:cs="Arial"/>
        </w:rPr>
        <w:t xml:space="preserve">The second part of the cycle covers Metrics </w:t>
      </w:r>
      <w:r w:rsidR="00CD5DBE">
        <w:rPr>
          <w:rFonts w:eastAsia="Arial" w:cs="Arial"/>
        </w:rPr>
        <w:t>6 through 8</w:t>
      </w:r>
      <w:r>
        <w:rPr>
          <w:rFonts w:eastAsia="Arial" w:cs="Arial"/>
        </w:rPr>
        <w:t xml:space="preserve">, which depend on the CALPADS postsecondary survey. Because these metrics track employment and postsecondary enrollment of former students rather than current pupils, they require an additional outreach cycle. LEAs administer the survey the following spring, and the data is collected and validated before it can be compiled and analyzed. This means Metrics </w:t>
      </w:r>
      <w:r w:rsidR="005D1C17">
        <w:rPr>
          <w:rFonts w:eastAsia="Arial" w:cs="Arial"/>
        </w:rPr>
        <w:t>6</w:t>
      </w:r>
      <w:r>
        <w:rPr>
          <w:rFonts w:eastAsia="Arial" w:cs="Arial"/>
        </w:rPr>
        <w:t xml:space="preserve"> </w:t>
      </w:r>
      <w:r w:rsidR="005D1C17">
        <w:rPr>
          <w:rFonts w:eastAsia="Arial" w:cs="Arial"/>
        </w:rPr>
        <w:t>through</w:t>
      </w:r>
      <w:r>
        <w:rPr>
          <w:rFonts w:eastAsia="Arial" w:cs="Arial"/>
        </w:rPr>
        <w:t xml:space="preserve"> </w:t>
      </w:r>
      <w:r w:rsidR="005D1C17">
        <w:rPr>
          <w:rFonts w:eastAsia="Arial" w:cs="Arial"/>
        </w:rPr>
        <w:t>8</w:t>
      </w:r>
      <w:r>
        <w:rPr>
          <w:rFonts w:eastAsia="Arial" w:cs="Arial"/>
        </w:rPr>
        <w:t xml:space="preserve"> are reported on a longer lag than Metrics 1 through </w:t>
      </w:r>
      <w:r w:rsidR="005D1C17">
        <w:rPr>
          <w:rFonts w:eastAsia="Arial" w:cs="Arial"/>
        </w:rPr>
        <w:t>5</w:t>
      </w:r>
      <w:r>
        <w:rPr>
          <w:rFonts w:eastAsia="Arial" w:cs="Arial"/>
        </w:rPr>
        <w:t>.</w:t>
      </w:r>
    </w:p>
    <w:p w14:paraId="159DBE2B" w14:textId="0F770AED" w:rsidR="003C71CD" w:rsidRDefault="003C71CD" w:rsidP="005C667B">
      <w:pPr>
        <w:spacing w:before="240" w:after="240"/>
        <w:rPr>
          <w:rFonts w:eastAsia="Arial" w:cs="Arial"/>
        </w:rPr>
      </w:pPr>
      <w:r>
        <w:rPr>
          <w:rFonts w:eastAsia="Arial" w:cs="Arial"/>
        </w:rPr>
        <w:t xml:space="preserve">All CTE data for </w:t>
      </w:r>
      <w:r w:rsidR="005D1C17">
        <w:rPr>
          <w:rFonts w:eastAsia="Arial" w:cs="Arial"/>
        </w:rPr>
        <w:t xml:space="preserve">the </w:t>
      </w:r>
      <w:r>
        <w:rPr>
          <w:rFonts w:eastAsia="Arial" w:cs="Arial"/>
        </w:rPr>
        <w:t>CTEIG and the K–12 Strong Workforce Program is collected through CALPADS, which was established as the single point of data collection for CTE beginning with the 2019–20 academic year (data first collected in Spring 2021). The transition to CALPADS enables year-over-year comparisons and supports continuity of analysis across both state and federal programs, including Perkins V.</w:t>
      </w:r>
    </w:p>
    <w:p w14:paraId="1D11F30B" w14:textId="77777777" w:rsidR="00A075D6" w:rsidRDefault="00A075D6" w:rsidP="005C667B">
      <w:pPr>
        <w:pStyle w:val="Heading1"/>
        <w:spacing w:before="240" w:after="240"/>
      </w:pPr>
      <w:r>
        <w:t>Committee Input</w:t>
      </w:r>
    </w:p>
    <w:p w14:paraId="6E65D989" w14:textId="13FBCF47" w:rsidR="00AD2B26" w:rsidRDefault="00A075D6" w:rsidP="005C667B">
      <w:pPr>
        <w:spacing w:after="160"/>
        <w:rPr>
          <w:rFonts w:eastAsia="Arial" w:cs="Arial"/>
        </w:rPr>
      </w:pPr>
      <w:r>
        <w:rPr>
          <w:rFonts w:eastAsia="Arial" w:cs="Arial"/>
        </w:rPr>
        <w:t>The committee is asked to consider whether the current metrics remain the most appropriate measures for evaluating CTEIG program outcomes, and whether any should be added or removed. The committee's recommendations will be forwarded to the Department of Finance, the Governor, and the appropriate legislative committees. Any changes to the metrics would go through the legislative process.</w:t>
      </w:r>
    </w:p>
    <w:p w14:paraId="19BE843F" w14:textId="0DF36201" w:rsidR="003D7AF9" w:rsidRPr="00A075D6" w:rsidRDefault="003D7AF9" w:rsidP="005C667B">
      <w:pPr>
        <w:spacing w:after="160"/>
      </w:pPr>
      <w:r>
        <w:rPr>
          <w:rFonts w:eastAsia="Arial" w:cs="Arial"/>
        </w:rPr>
        <w:t>Posted by: California Department of Education – July 2026.</w:t>
      </w:r>
    </w:p>
    <w:sectPr w:rsidR="003D7AF9" w:rsidRPr="00A075D6" w:rsidSect="00F00A7A">
      <w:headerReference w:type="even" r:id="rId11"/>
      <w:headerReference w:type="default" r:id="rId12"/>
      <w:headerReference w:type="firs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98A2" w14:textId="77777777" w:rsidR="00E0008D" w:rsidRDefault="00E0008D" w:rsidP="000E09DC">
      <w:r>
        <w:separator/>
      </w:r>
    </w:p>
  </w:endnote>
  <w:endnote w:type="continuationSeparator" w:id="0">
    <w:p w14:paraId="67E90438" w14:textId="77777777" w:rsidR="00E0008D" w:rsidRDefault="00E0008D"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5A08" w14:textId="77777777" w:rsidR="00E0008D" w:rsidRDefault="00E0008D" w:rsidP="000E09DC">
      <w:r>
        <w:separator/>
      </w:r>
    </w:p>
  </w:footnote>
  <w:footnote w:type="continuationSeparator" w:id="0">
    <w:p w14:paraId="2253413B" w14:textId="77777777" w:rsidR="00E0008D" w:rsidRDefault="00E0008D"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6F2F" w14:textId="77777777" w:rsidR="00EE61C9" w:rsidRPr="00AA6EC1" w:rsidRDefault="00EE61C9" w:rsidP="00E12B59">
    <w:pPr>
      <w:pStyle w:val="Header"/>
      <w:jc w:val="right"/>
      <w:rPr>
        <w:rFonts w:cs="Arial"/>
      </w:rPr>
    </w:pPr>
    <w:r>
      <w:rPr>
        <w:rFonts w:cs="Arial"/>
      </w:rPr>
      <w:t>cwpjac-nov20item02</w:t>
    </w:r>
  </w:p>
  <w:p w14:paraId="1B2A2C60" w14:textId="77777777" w:rsidR="00EE61C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8270" w14:textId="2AC9F466" w:rsidR="00EE61C9" w:rsidRPr="00AA6EC1" w:rsidRDefault="00EE61C9" w:rsidP="00E12B59">
    <w:pPr>
      <w:pStyle w:val="Header"/>
      <w:jc w:val="right"/>
      <w:rPr>
        <w:rFonts w:cs="Arial"/>
      </w:rPr>
    </w:pPr>
    <w:r>
      <w:rPr>
        <w:rFonts w:cs="Arial"/>
      </w:rPr>
      <w:t>cwpjac-</w:t>
    </w:r>
    <w:r w:rsidR="00C81137">
      <w:rPr>
        <w:rFonts w:cs="Arial"/>
      </w:rPr>
      <w:t>jul</w:t>
    </w:r>
    <w:r>
      <w:rPr>
        <w:rFonts w:cs="Arial"/>
      </w:rPr>
      <w:t>2</w:t>
    </w:r>
    <w:r w:rsidR="00C81137">
      <w:rPr>
        <w:rFonts w:cs="Arial"/>
      </w:rPr>
      <w:t>6</w:t>
    </w:r>
    <w:r>
      <w:rPr>
        <w:rFonts w:cs="Arial"/>
      </w:rPr>
      <w:t>item0</w:t>
    </w:r>
    <w:r w:rsidR="00350402">
      <w:rPr>
        <w:rFonts w:cs="Arial"/>
      </w:rPr>
      <w:t>3</w:t>
    </w:r>
  </w:p>
  <w:p w14:paraId="6BA4E3F1" w14:textId="77777777" w:rsidR="00EE61C9" w:rsidRPr="00E12B5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511E" w14:textId="77777777" w:rsidR="00EE61C9" w:rsidRDefault="00EE61C9" w:rsidP="003A0CCA">
    <w:pPr>
      <w:pStyle w:val="Header"/>
      <w:jc w:val="right"/>
      <w:rPr>
        <w:rFonts w:cs="Arial"/>
      </w:rPr>
    </w:pPr>
    <w:r>
      <w:rPr>
        <w:rFonts w:cs="Arial"/>
      </w:rPr>
      <w:t>California Workforce Pathways Joint Advisory Committee</w:t>
    </w:r>
  </w:p>
  <w:p w14:paraId="1A79E62F" w14:textId="77777777" w:rsidR="00EE61C9" w:rsidRPr="00AA6EC1" w:rsidRDefault="00EE61C9" w:rsidP="003A0CCA">
    <w:pPr>
      <w:pStyle w:val="Header"/>
      <w:jc w:val="right"/>
      <w:rPr>
        <w:rFonts w:cs="Arial"/>
      </w:rPr>
    </w:pPr>
    <w:r>
      <w:rPr>
        <w:rFonts w:cs="Arial"/>
      </w:rPr>
      <w:t>cwpjac-</w:t>
    </w:r>
    <w:r w:rsidR="00CE7292">
      <w:rPr>
        <w:rFonts w:cs="Arial"/>
      </w:rPr>
      <w:t>nov</w:t>
    </w:r>
    <w:r>
      <w:rPr>
        <w:rFonts w:cs="Arial"/>
      </w:rPr>
      <w:t>21item0</w:t>
    </w:r>
    <w:r w:rsidR="002232BC">
      <w:rPr>
        <w:rFonts w:cs="Arial"/>
      </w:rPr>
      <w:t>4</w:t>
    </w:r>
  </w:p>
  <w:p w14:paraId="51805D55" w14:textId="77777777" w:rsidR="00EE61C9" w:rsidRDefault="00EE61C9"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0C0DAF"/>
    <w:multiLevelType w:val="hybridMultilevel"/>
    <w:tmpl w:val="5A54C572"/>
    <w:lvl w:ilvl="0" w:tplc="4C64F2AE">
      <w:start w:val="1"/>
      <w:numFmt w:val="bullet"/>
      <w:lvlText w:val="•"/>
      <w:lvlJc w:val="left"/>
      <w:pPr>
        <w:ind w:left="720" w:hanging="360"/>
      </w:pPr>
    </w:lvl>
    <w:lvl w:ilvl="1" w:tplc="A0324ACE">
      <w:numFmt w:val="decimal"/>
      <w:lvlText w:val=""/>
      <w:lvlJc w:val="left"/>
    </w:lvl>
    <w:lvl w:ilvl="2" w:tplc="13B6AB38">
      <w:numFmt w:val="decimal"/>
      <w:lvlText w:val=""/>
      <w:lvlJc w:val="left"/>
    </w:lvl>
    <w:lvl w:ilvl="3" w:tplc="1B7011BA">
      <w:numFmt w:val="decimal"/>
      <w:lvlText w:val=""/>
      <w:lvlJc w:val="left"/>
    </w:lvl>
    <w:lvl w:ilvl="4" w:tplc="801066D4">
      <w:numFmt w:val="decimal"/>
      <w:lvlText w:val=""/>
      <w:lvlJc w:val="left"/>
    </w:lvl>
    <w:lvl w:ilvl="5" w:tplc="3D648AD2">
      <w:numFmt w:val="decimal"/>
      <w:lvlText w:val=""/>
      <w:lvlJc w:val="left"/>
    </w:lvl>
    <w:lvl w:ilvl="6" w:tplc="3320D5C2">
      <w:numFmt w:val="decimal"/>
      <w:lvlText w:val=""/>
      <w:lvlJc w:val="left"/>
    </w:lvl>
    <w:lvl w:ilvl="7" w:tplc="ECCA870A">
      <w:numFmt w:val="decimal"/>
      <w:lvlText w:val=""/>
      <w:lvlJc w:val="left"/>
    </w:lvl>
    <w:lvl w:ilvl="8" w:tplc="0A6C127A">
      <w:numFmt w:val="decimal"/>
      <w:lvlText w:val=""/>
      <w:lvlJc w:val="left"/>
    </w:lvl>
  </w:abstractNum>
  <w:abstractNum w:abstractNumId="3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60014"/>
    <w:multiLevelType w:val="hybridMultilevel"/>
    <w:tmpl w:val="645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768642">
    <w:abstractNumId w:val="21"/>
  </w:num>
  <w:num w:numId="2" w16cid:durableId="717241544">
    <w:abstractNumId w:val="37"/>
  </w:num>
  <w:num w:numId="3" w16cid:durableId="290946205">
    <w:abstractNumId w:val="14"/>
  </w:num>
  <w:num w:numId="4" w16cid:durableId="332464164">
    <w:abstractNumId w:val="30"/>
  </w:num>
  <w:num w:numId="5" w16cid:durableId="531192470">
    <w:abstractNumId w:val="34"/>
  </w:num>
  <w:num w:numId="6" w16cid:durableId="124396853">
    <w:abstractNumId w:val="5"/>
  </w:num>
  <w:num w:numId="7" w16cid:durableId="313143318">
    <w:abstractNumId w:val="17"/>
  </w:num>
  <w:num w:numId="8" w16cid:durableId="372458734">
    <w:abstractNumId w:val="6"/>
  </w:num>
  <w:num w:numId="9" w16cid:durableId="106509483">
    <w:abstractNumId w:val="39"/>
  </w:num>
  <w:num w:numId="10" w16cid:durableId="58868574">
    <w:abstractNumId w:val="40"/>
  </w:num>
  <w:num w:numId="11" w16cid:durableId="1789468818">
    <w:abstractNumId w:val="13"/>
  </w:num>
  <w:num w:numId="12" w16cid:durableId="1424107729">
    <w:abstractNumId w:val="9"/>
  </w:num>
  <w:num w:numId="13" w16cid:durableId="1372151180">
    <w:abstractNumId w:val="8"/>
  </w:num>
  <w:num w:numId="14" w16cid:durableId="1993945367">
    <w:abstractNumId w:val="22"/>
  </w:num>
  <w:num w:numId="15" w16cid:durableId="613364549">
    <w:abstractNumId w:val="16"/>
  </w:num>
  <w:num w:numId="16" w16cid:durableId="1295870621">
    <w:abstractNumId w:val="24"/>
  </w:num>
  <w:num w:numId="17" w16cid:durableId="1934245769">
    <w:abstractNumId w:val="41"/>
  </w:num>
  <w:num w:numId="18" w16cid:durableId="1133211338">
    <w:abstractNumId w:val="31"/>
  </w:num>
  <w:num w:numId="19" w16cid:durableId="1575506494">
    <w:abstractNumId w:val="15"/>
  </w:num>
  <w:num w:numId="20" w16cid:durableId="1800803386">
    <w:abstractNumId w:val="2"/>
  </w:num>
  <w:num w:numId="21" w16cid:durableId="627398528">
    <w:abstractNumId w:val="7"/>
  </w:num>
  <w:num w:numId="22" w16cid:durableId="440804377">
    <w:abstractNumId w:val="10"/>
  </w:num>
  <w:num w:numId="23" w16cid:durableId="1699770034">
    <w:abstractNumId w:val="25"/>
  </w:num>
  <w:num w:numId="24" w16cid:durableId="802817668">
    <w:abstractNumId w:val="33"/>
  </w:num>
  <w:num w:numId="25" w16cid:durableId="868372735">
    <w:abstractNumId w:val="35"/>
  </w:num>
  <w:num w:numId="26" w16cid:durableId="1875803646">
    <w:abstractNumId w:val="23"/>
  </w:num>
  <w:num w:numId="27" w16cid:durableId="1470398089">
    <w:abstractNumId w:val="4"/>
  </w:num>
  <w:num w:numId="28" w16cid:durableId="1461680936">
    <w:abstractNumId w:val="27"/>
  </w:num>
  <w:num w:numId="29" w16cid:durableId="1941327795">
    <w:abstractNumId w:val="28"/>
  </w:num>
  <w:num w:numId="30" w16cid:durableId="972446107">
    <w:abstractNumId w:val="0"/>
  </w:num>
  <w:num w:numId="31" w16cid:durableId="1998025042">
    <w:abstractNumId w:val="32"/>
  </w:num>
  <w:num w:numId="32" w16cid:durableId="694581797">
    <w:abstractNumId w:val="19"/>
  </w:num>
  <w:num w:numId="33" w16cid:durableId="82074527">
    <w:abstractNumId w:val="11"/>
  </w:num>
  <w:num w:numId="34" w16cid:durableId="955480203">
    <w:abstractNumId w:val="42"/>
  </w:num>
  <w:num w:numId="35" w16cid:durableId="1338267586">
    <w:abstractNumId w:val="18"/>
  </w:num>
  <w:num w:numId="36" w16cid:durableId="226187122">
    <w:abstractNumId w:val="38"/>
  </w:num>
  <w:num w:numId="37" w16cid:durableId="2089694953">
    <w:abstractNumId w:val="12"/>
  </w:num>
  <w:num w:numId="38" w16cid:durableId="1208764780">
    <w:abstractNumId w:val="26"/>
  </w:num>
  <w:num w:numId="39" w16cid:durableId="57629560">
    <w:abstractNumId w:val="1"/>
  </w:num>
  <w:num w:numId="40" w16cid:durableId="1792239721">
    <w:abstractNumId w:val="20"/>
  </w:num>
  <w:num w:numId="41" w16cid:durableId="1524590259">
    <w:abstractNumId w:val="3"/>
  </w:num>
  <w:num w:numId="42" w16cid:durableId="816729757">
    <w:abstractNumId w:val="29"/>
    <w:lvlOverride w:ilvl="0">
      <w:startOverride w:val="1"/>
    </w:lvlOverride>
  </w:num>
  <w:num w:numId="43" w16cid:durableId="18141742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1303B"/>
    <w:rsid w:val="00014370"/>
    <w:rsid w:val="0001475A"/>
    <w:rsid w:val="00016E5C"/>
    <w:rsid w:val="00017257"/>
    <w:rsid w:val="00020B59"/>
    <w:rsid w:val="0002235C"/>
    <w:rsid w:val="0002276A"/>
    <w:rsid w:val="00024966"/>
    <w:rsid w:val="000324AD"/>
    <w:rsid w:val="0003321E"/>
    <w:rsid w:val="000334CD"/>
    <w:rsid w:val="000401C9"/>
    <w:rsid w:val="000435B8"/>
    <w:rsid w:val="00046EE9"/>
    <w:rsid w:val="00051C13"/>
    <w:rsid w:val="00053E87"/>
    <w:rsid w:val="000578FF"/>
    <w:rsid w:val="00060937"/>
    <w:rsid w:val="000621AF"/>
    <w:rsid w:val="00062765"/>
    <w:rsid w:val="00062D3F"/>
    <w:rsid w:val="00063275"/>
    <w:rsid w:val="00064B28"/>
    <w:rsid w:val="00067290"/>
    <w:rsid w:val="00067DAF"/>
    <w:rsid w:val="000705EA"/>
    <w:rsid w:val="00073372"/>
    <w:rsid w:val="0007451A"/>
    <w:rsid w:val="00074805"/>
    <w:rsid w:val="0008025B"/>
    <w:rsid w:val="00086B7F"/>
    <w:rsid w:val="00091ECB"/>
    <w:rsid w:val="00093974"/>
    <w:rsid w:val="00093BF4"/>
    <w:rsid w:val="00094714"/>
    <w:rsid w:val="00096CA8"/>
    <w:rsid w:val="00097B08"/>
    <w:rsid w:val="000A05A6"/>
    <w:rsid w:val="000A136F"/>
    <w:rsid w:val="000A2787"/>
    <w:rsid w:val="000A746C"/>
    <w:rsid w:val="000B05F1"/>
    <w:rsid w:val="000B0905"/>
    <w:rsid w:val="000B1226"/>
    <w:rsid w:val="000B5C2B"/>
    <w:rsid w:val="000C1D49"/>
    <w:rsid w:val="000C3068"/>
    <w:rsid w:val="000C5DCF"/>
    <w:rsid w:val="000C63B6"/>
    <w:rsid w:val="000C6E48"/>
    <w:rsid w:val="000D23E8"/>
    <w:rsid w:val="000D3591"/>
    <w:rsid w:val="000D35C8"/>
    <w:rsid w:val="000D587F"/>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4257"/>
    <w:rsid w:val="00135768"/>
    <w:rsid w:val="00137F11"/>
    <w:rsid w:val="00140E69"/>
    <w:rsid w:val="0014120C"/>
    <w:rsid w:val="00141C23"/>
    <w:rsid w:val="001438C4"/>
    <w:rsid w:val="00143D14"/>
    <w:rsid w:val="00144DF4"/>
    <w:rsid w:val="00144F97"/>
    <w:rsid w:val="001472F4"/>
    <w:rsid w:val="00147554"/>
    <w:rsid w:val="00147714"/>
    <w:rsid w:val="00157690"/>
    <w:rsid w:val="001626F1"/>
    <w:rsid w:val="00164061"/>
    <w:rsid w:val="00164C5A"/>
    <w:rsid w:val="00167017"/>
    <w:rsid w:val="00167E35"/>
    <w:rsid w:val="001709E3"/>
    <w:rsid w:val="00170DE1"/>
    <w:rsid w:val="001721C9"/>
    <w:rsid w:val="00172323"/>
    <w:rsid w:val="001731F3"/>
    <w:rsid w:val="0017400C"/>
    <w:rsid w:val="00180C36"/>
    <w:rsid w:val="00180C75"/>
    <w:rsid w:val="00180E7F"/>
    <w:rsid w:val="0018148D"/>
    <w:rsid w:val="001814FC"/>
    <w:rsid w:val="001825ED"/>
    <w:rsid w:val="001828D0"/>
    <w:rsid w:val="00191509"/>
    <w:rsid w:val="00194775"/>
    <w:rsid w:val="00194D47"/>
    <w:rsid w:val="0019564A"/>
    <w:rsid w:val="00195E52"/>
    <w:rsid w:val="001A0CA5"/>
    <w:rsid w:val="001A12B0"/>
    <w:rsid w:val="001A15BA"/>
    <w:rsid w:val="001A53C0"/>
    <w:rsid w:val="001B0501"/>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5E3"/>
    <w:rsid w:val="001F4C71"/>
    <w:rsid w:val="001F7470"/>
    <w:rsid w:val="001F77C2"/>
    <w:rsid w:val="00200F27"/>
    <w:rsid w:val="00202B99"/>
    <w:rsid w:val="00202EF4"/>
    <w:rsid w:val="0020468C"/>
    <w:rsid w:val="00205533"/>
    <w:rsid w:val="00206963"/>
    <w:rsid w:val="00210872"/>
    <w:rsid w:val="00210D0F"/>
    <w:rsid w:val="0021129B"/>
    <w:rsid w:val="00212525"/>
    <w:rsid w:val="00217419"/>
    <w:rsid w:val="00217FC3"/>
    <w:rsid w:val="0022016E"/>
    <w:rsid w:val="002204BB"/>
    <w:rsid w:val="00221598"/>
    <w:rsid w:val="002219C8"/>
    <w:rsid w:val="00223112"/>
    <w:rsid w:val="002232BC"/>
    <w:rsid w:val="0022495E"/>
    <w:rsid w:val="002249D3"/>
    <w:rsid w:val="002256AC"/>
    <w:rsid w:val="00225A48"/>
    <w:rsid w:val="00227FDF"/>
    <w:rsid w:val="00231862"/>
    <w:rsid w:val="0023256F"/>
    <w:rsid w:val="00233E09"/>
    <w:rsid w:val="0023515B"/>
    <w:rsid w:val="00235A5A"/>
    <w:rsid w:val="00237C97"/>
    <w:rsid w:val="00240B26"/>
    <w:rsid w:val="0024129C"/>
    <w:rsid w:val="002421E3"/>
    <w:rsid w:val="00243C5F"/>
    <w:rsid w:val="00246406"/>
    <w:rsid w:val="00251D57"/>
    <w:rsid w:val="0025232D"/>
    <w:rsid w:val="0025363B"/>
    <w:rsid w:val="002550F1"/>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1A8"/>
    <w:rsid w:val="00297A1B"/>
    <w:rsid w:val="00297C98"/>
    <w:rsid w:val="002A02CB"/>
    <w:rsid w:val="002A0728"/>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2F774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3AD"/>
    <w:rsid w:val="00323795"/>
    <w:rsid w:val="00324B8B"/>
    <w:rsid w:val="00325074"/>
    <w:rsid w:val="00325F59"/>
    <w:rsid w:val="003273A8"/>
    <w:rsid w:val="00327F37"/>
    <w:rsid w:val="00330624"/>
    <w:rsid w:val="003311CD"/>
    <w:rsid w:val="00331A2F"/>
    <w:rsid w:val="0033275B"/>
    <w:rsid w:val="00333C81"/>
    <w:rsid w:val="00337163"/>
    <w:rsid w:val="0033758C"/>
    <w:rsid w:val="00337F11"/>
    <w:rsid w:val="0034030D"/>
    <w:rsid w:val="00341CE3"/>
    <w:rsid w:val="00343E81"/>
    <w:rsid w:val="00346E58"/>
    <w:rsid w:val="00347FBF"/>
    <w:rsid w:val="00350402"/>
    <w:rsid w:val="00350C86"/>
    <w:rsid w:val="00357037"/>
    <w:rsid w:val="003623E0"/>
    <w:rsid w:val="003627EA"/>
    <w:rsid w:val="00362928"/>
    <w:rsid w:val="00362E36"/>
    <w:rsid w:val="00363520"/>
    <w:rsid w:val="0036578A"/>
    <w:rsid w:val="003663C4"/>
    <w:rsid w:val="003666D8"/>
    <w:rsid w:val="003705FC"/>
    <w:rsid w:val="003717EE"/>
    <w:rsid w:val="00371E04"/>
    <w:rsid w:val="00371ED1"/>
    <w:rsid w:val="00373030"/>
    <w:rsid w:val="0037413D"/>
    <w:rsid w:val="00374519"/>
    <w:rsid w:val="00377FB7"/>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500E"/>
    <w:rsid w:val="003A60F9"/>
    <w:rsid w:val="003A6A84"/>
    <w:rsid w:val="003A6E4D"/>
    <w:rsid w:val="003A74FC"/>
    <w:rsid w:val="003B0B17"/>
    <w:rsid w:val="003B101D"/>
    <w:rsid w:val="003B11CA"/>
    <w:rsid w:val="003B37A0"/>
    <w:rsid w:val="003B4154"/>
    <w:rsid w:val="003B4310"/>
    <w:rsid w:val="003B6254"/>
    <w:rsid w:val="003C0307"/>
    <w:rsid w:val="003C1036"/>
    <w:rsid w:val="003C2049"/>
    <w:rsid w:val="003C71CD"/>
    <w:rsid w:val="003C760A"/>
    <w:rsid w:val="003C79E6"/>
    <w:rsid w:val="003C7CEF"/>
    <w:rsid w:val="003D1ECD"/>
    <w:rsid w:val="003D2FED"/>
    <w:rsid w:val="003D7AF9"/>
    <w:rsid w:val="003E0AFD"/>
    <w:rsid w:val="003E145E"/>
    <w:rsid w:val="003E1E8D"/>
    <w:rsid w:val="003E32E3"/>
    <w:rsid w:val="003E4DF7"/>
    <w:rsid w:val="003E678B"/>
    <w:rsid w:val="003E7E1B"/>
    <w:rsid w:val="003E7EEC"/>
    <w:rsid w:val="003F1C66"/>
    <w:rsid w:val="003F2DB6"/>
    <w:rsid w:val="003F36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3CCF"/>
    <w:rsid w:val="0041680C"/>
    <w:rsid w:val="0041689D"/>
    <w:rsid w:val="00416953"/>
    <w:rsid w:val="00417B39"/>
    <w:rsid w:val="004203BC"/>
    <w:rsid w:val="004207DC"/>
    <w:rsid w:val="004209D4"/>
    <w:rsid w:val="00423083"/>
    <w:rsid w:val="0042604C"/>
    <w:rsid w:val="00430B32"/>
    <w:rsid w:val="0043163B"/>
    <w:rsid w:val="004319E4"/>
    <w:rsid w:val="00431BCF"/>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650C7"/>
    <w:rsid w:val="00470968"/>
    <w:rsid w:val="00470FD6"/>
    <w:rsid w:val="004723B4"/>
    <w:rsid w:val="00474761"/>
    <w:rsid w:val="004752B9"/>
    <w:rsid w:val="0047534A"/>
    <w:rsid w:val="004765C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18D0"/>
    <w:rsid w:val="004A3A16"/>
    <w:rsid w:val="004A3BD0"/>
    <w:rsid w:val="004A5801"/>
    <w:rsid w:val="004A5CE6"/>
    <w:rsid w:val="004A7060"/>
    <w:rsid w:val="004A76DC"/>
    <w:rsid w:val="004B0902"/>
    <w:rsid w:val="004B30E1"/>
    <w:rsid w:val="004B376F"/>
    <w:rsid w:val="004B5510"/>
    <w:rsid w:val="004C1171"/>
    <w:rsid w:val="004C20C0"/>
    <w:rsid w:val="004C301B"/>
    <w:rsid w:val="004C3487"/>
    <w:rsid w:val="004C57F7"/>
    <w:rsid w:val="004D2954"/>
    <w:rsid w:val="004D2A97"/>
    <w:rsid w:val="004D2CBC"/>
    <w:rsid w:val="004D46CB"/>
    <w:rsid w:val="004E029B"/>
    <w:rsid w:val="004E108D"/>
    <w:rsid w:val="004E4224"/>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1AEB"/>
    <w:rsid w:val="00512CAA"/>
    <w:rsid w:val="00512D98"/>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1FB1"/>
    <w:rsid w:val="005727BD"/>
    <w:rsid w:val="0057351F"/>
    <w:rsid w:val="00574C14"/>
    <w:rsid w:val="0057562D"/>
    <w:rsid w:val="00582041"/>
    <w:rsid w:val="005859C2"/>
    <w:rsid w:val="00585CC0"/>
    <w:rsid w:val="00586F79"/>
    <w:rsid w:val="00587A1D"/>
    <w:rsid w:val="00587B31"/>
    <w:rsid w:val="0059193D"/>
    <w:rsid w:val="00595CC0"/>
    <w:rsid w:val="0059735B"/>
    <w:rsid w:val="0059785A"/>
    <w:rsid w:val="005A3D23"/>
    <w:rsid w:val="005A776D"/>
    <w:rsid w:val="005B18B3"/>
    <w:rsid w:val="005B328C"/>
    <w:rsid w:val="005B4A8A"/>
    <w:rsid w:val="005B53A0"/>
    <w:rsid w:val="005B5FF9"/>
    <w:rsid w:val="005B7B1C"/>
    <w:rsid w:val="005C04D5"/>
    <w:rsid w:val="005C2D5A"/>
    <w:rsid w:val="005C2F96"/>
    <w:rsid w:val="005C407C"/>
    <w:rsid w:val="005C4645"/>
    <w:rsid w:val="005C667B"/>
    <w:rsid w:val="005D0467"/>
    <w:rsid w:val="005D1C17"/>
    <w:rsid w:val="005D2A3B"/>
    <w:rsid w:val="005D2EE8"/>
    <w:rsid w:val="005D3564"/>
    <w:rsid w:val="005D44F8"/>
    <w:rsid w:val="005D52EA"/>
    <w:rsid w:val="005D74A5"/>
    <w:rsid w:val="005E2F1D"/>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6B15"/>
    <w:rsid w:val="0061717F"/>
    <w:rsid w:val="0062025C"/>
    <w:rsid w:val="006263B1"/>
    <w:rsid w:val="00626554"/>
    <w:rsid w:val="00627626"/>
    <w:rsid w:val="00627DA9"/>
    <w:rsid w:val="00633411"/>
    <w:rsid w:val="0063446F"/>
    <w:rsid w:val="006409F5"/>
    <w:rsid w:val="00641BC4"/>
    <w:rsid w:val="0064263E"/>
    <w:rsid w:val="00642952"/>
    <w:rsid w:val="0064436F"/>
    <w:rsid w:val="0064744D"/>
    <w:rsid w:val="00650977"/>
    <w:rsid w:val="00653359"/>
    <w:rsid w:val="00653452"/>
    <w:rsid w:val="006553BA"/>
    <w:rsid w:val="006560B3"/>
    <w:rsid w:val="00656DA8"/>
    <w:rsid w:val="00657100"/>
    <w:rsid w:val="00665786"/>
    <w:rsid w:val="00670BE9"/>
    <w:rsid w:val="006712E2"/>
    <w:rsid w:val="00671363"/>
    <w:rsid w:val="0067247F"/>
    <w:rsid w:val="006756BC"/>
    <w:rsid w:val="0067607E"/>
    <w:rsid w:val="00677419"/>
    <w:rsid w:val="00677B1B"/>
    <w:rsid w:val="0068567F"/>
    <w:rsid w:val="006902E0"/>
    <w:rsid w:val="00692300"/>
    <w:rsid w:val="00693094"/>
    <w:rsid w:val="00693951"/>
    <w:rsid w:val="00693CE7"/>
    <w:rsid w:val="0069648E"/>
    <w:rsid w:val="00696B59"/>
    <w:rsid w:val="0069737A"/>
    <w:rsid w:val="00697594"/>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2E6F"/>
    <w:rsid w:val="006D3598"/>
    <w:rsid w:val="006D3B36"/>
    <w:rsid w:val="006D70A4"/>
    <w:rsid w:val="006E06C6"/>
    <w:rsid w:val="006E083B"/>
    <w:rsid w:val="006E0F99"/>
    <w:rsid w:val="006E302A"/>
    <w:rsid w:val="006E3F2A"/>
    <w:rsid w:val="006E7481"/>
    <w:rsid w:val="006E79FF"/>
    <w:rsid w:val="006F05A3"/>
    <w:rsid w:val="006F0886"/>
    <w:rsid w:val="006F0BEF"/>
    <w:rsid w:val="006F1584"/>
    <w:rsid w:val="006F1B7F"/>
    <w:rsid w:val="006F58C8"/>
    <w:rsid w:val="006F6B2D"/>
    <w:rsid w:val="006F7EAD"/>
    <w:rsid w:val="006F7FB2"/>
    <w:rsid w:val="00700F50"/>
    <w:rsid w:val="0070130C"/>
    <w:rsid w:val="00702A82"/>
    <w:rsid w:val="00702DC0"/>
    <w:rsid w:val="007032BD"/>
    <w:rsid w:val="0070334E"/>
    <w:rsid w:val="007051E8"/>
    <w:rsid w:val="00707AB3"/>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59"/>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322B"/>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4C41"/>
    <w:rsid w:val="007C5597"/>
    <w:rsid w:val="007C5697"/>
    <w:rsid w:val="007C5CA9"/>
    <w:rsid w:val="007C62BA"/>
    <w:rsid w:val="007C6663"/>
    <w:rsid w:val="007C6888"/>
    <w:rsid w:val="007C77F3"/>
    <w:rsid w:val="007D11B5"/>
    <w:rsid w:val="007D20FB"/>
    <w:rsid w:val="007D27E2"/>
    <w:rsid w:val="007D530E"/>
    <w:rsid w:val="007D56F0"/>
    <w:rsid w:val="007D6A8F"/>
    <w:rsid w:val="007D78AF"/>
    <w:rsid w:val="007E0724"/>
    <w:rsid w:val="007E087B"/>
    <w:rsid w:val="007E0E9B"/>
    <w:rsid w:val="007E135C"/>
    <w:rsid w:val="007E27C6"/>
    <w:rsid w:val="007E7B65"/>
    <w:rsid w:val="007F02BE"/>
    <w:rsid w:val="007F390B"/>
    <w:rsid w:val="007F3A41"/>
    <w:rsid w:val="007F419D"/>
    <w:rsid w:val="007F65FB"/>
    <w:rsid w:val="008009A7"/>
    <w:rsid w:val="00801A7A"/>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42A1"/>
    <w:rsid w:val="00846DB0"/>
    <w:rsid w:val="00851085"/>
    <w:rsid w:val="008529E5"/>
    <w:rsid w:val="008626B5"/>
    <w:rsid w:val="008634E7"/>
    <w:rsid w:val="008657B5"/>
    <w:rsid w:val="00867693"/>
    <w:rsid w:val="0087214B"/>
    <w:rsid w:val="00873BE1"/>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C0560"/>
    <w:rsid w:val="008C0A19"/>
    <w:rsid w:val="008C4C7A"/>
    <w:rsid w:val="008C5CCD"/>
    <w:rsid w:val="008C73C6"/>
    <w:rsid w:val="008C7D65"/>
    <w:rsid w:val="008D4CE5"/>
    <w:rsid w:val="008D6357"/>
    <w:rsid w:val="008D6B3D"/>
    <w:rsid w:val="008D7E7B"/>
    <w:rsid w:val="008E2C3A"/>
    <w:rsid w:val="008E3684"/>
    <w:rsid w:val="008E3F43"/>
    <w:rsid w:val="008E6DC2"/>
    <w:rsid w:val="008E71B8"/>
    <w:rsid w:val="008E76DD"/>
    <w:rsid w:val="008F0C94"/>
    <w:rsid w:val="008F151E"/>
    <w:rsid w:val="008F3A2B"/>
    <w:rsid w:val="00900959"/>
    <w:rsid w:val="00900BAB"/>
    <w:rsid w:val="00903224"/>
    <w:rsid w:val="00903545"/>
    <w:rsid w:val="00904EA8"/>
    <w:rsid w:val="0091117B"/>
    <w:rsid w:val="00916BA6"/>
    <w:rsid w:val="00924664"/>
    <w:rsid w:val="009249B0"/>
    <w:rsid w:val="00924CDD"/>
    <w:rsid w:val="0093189D"/>
    <w:rsid w:val="00932AEE"/>
    <w:rsid w:val="009347A8"/>
    <w:rsid w:val="00935E33"/>
    <w:rsid w:val="00940D4F"/>
    <w:rsid w:val="00943AED"/>
    <w:rsid w:val="00945D79"/>
    <w:rsid w:val="0094755F"/>
    <w:rsid w:val="009502A9"/>
    <w:rsid w:val="009533BA"/>
    <w:rsid w:val="00953F75"/>
    <w:rsid w:val="00955E39"/>
    <w:rsid w:val="009573CE"/>
    <w:rsid w:val="00964763"/>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70D"/>
    <w:rsid w:val="00993D2E"/>
    <w:rsid w:val="00996FF5"/>
    <w:rsid w:val="00997226"/>
    <w:rsid w:val="009A143F"/>
    <w:rsid w:val="009A2104"/>
    <w:rsid w:val="009A30B4"/>
    <w:rsid w:val="009A32D9"/>
    <w:rsid w:val="009B02E6"/>
    <w:rsid w:val="009B04E1"/>
    <w:rsid w:val="009B1108"/>
    <w:rsid w:val="009B1C56"/>
    <w:rsid w:val="009B1D61"/>
    <w:rsid w:val="009B3A84"/>
    <w:rsid w:val="009B422C"/>
    <w:rsid w:val="009B43B3"/>
    <w:rsid w:val="009C0E59"/>
    <w:rsid w:val="009C33AF"/>
    <w:rsid w:val="009C4068"/>
    <w:rsid w:val="009C55C9"/>
    <w:rsid w:val="009C6DF0"/>
    <w:rsid w:val="009D11E8"/>
    <w:rsid w:val="009D39E4"/>
    <w:rsid w:val="009D5028"/>
    <w:rsid w:val="009D59D9"/>
    <w:rsid w:val="009D652E"/>
    <w:rsid w:val="009E0551"/>
    <w:rsid w:val="009E0AF8"/>
    <w:rsid w:val="009E0F94"/>
    <w:rsid w:val="009E1E18"/>
    <w:rsid w:val="009E311F"/>
    <w:rsid w:val="009E48AA"/>
    <w:rsid w:val="009F6194"/>
    <w:rsid w:val="009F677C"/>
    <w:rsid w:val="00A0083C"/>
    <w:rsid w:val="00A013A7"/>
    <w:rsid w:val="00A01EA3"/>
    <w:rsid w:val="00A06ED8"/>
    <w:rsid w:val="00A075D6"/>
    <w:rsid w:val="00A07C6B"/>
    <w:rsid w:val="00A07F42"/>
    <w:rsid w:val="00A10EBF"/>
    <w:rsid w:val="00A11FF5"/>
    <w:rsid w:val="00A148D8"/>
    <w:rsid w:val="00A14CA6"/>
    <w:rsid w:val="00A16315"/>
    <w:rsid w:val="00A1744C"/>
    <w:rsid w:val="00A3048B"/>
    <w:rsid w:val="00A307EC"/>
    <w:rsid w:val="00A30B3C"/>
    <w:rsid w:val="00A30C7A"/>
    <w:rsid w:val="00A30F75"/>
    <w:rsid w:val="00A406EA"/>
    <w:rsid w:val="00A41DA3"/>
    <w:rsid w:val="00A42B59"/>
    <w:rsid w:val="00A44021"/>
    <w:rsid w:val="00A44D83"/>
    <w:rsid w:val="00A46936"/>
    <w:rsid w:val="00A46A7C"/>
    <w:rsid w:val="00A47CE4"/>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A77E6"/>
    <w:rsid w:val="00AB2FE3"/>
    <w:rsid w:val="00AB3E61"/>
    <w:rsid w:val="00AB47B6"/>
    <w:rsid w:val="00AB526F"/>
    <w:rsid w:val="00AB6497"/>
    <w:rsid w:val="00AB6B6A"/>
    <w:rsid w:val="00AC1C8D"/>
    <w:rsid w:val="00AC7278"/>
    <w:rsid w:val="00AD1BF8"/>
    <w:rsid w:val="00AD1D9A"/>
    <w:rsid w:val="00AD1E5E"/>
    <w:rsid w:val="00AD1E77"/>
    <w:rsid w:val="00AD2B26"/>
    <w:rsid w:val="00AD489B"/>
    <w:rsid w:val="00AE2017"/>
    <w:rsid w:val="00AE58A9"/>
    <w:rsid w:val="00AE5D9B"/>
    <w:rsid w:val="00AE63CC"/>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AA7"/>
    <w:rsid w:val="00B11D66"/>
    <w:rsid w:val="00B134F6"/>
    <w:rsid w:val="00B1472C"/>
    <w:rsid w:val="00B15189"/>
    <w:rsid w:val="00B1634D"/>
    <w:rsid w:val="00B1638D"/>
    <w:rsid w:val="00B218D4"/>
    <w:rsid w:val="00B21CD1"/>
    <w:rsid w:val="00B21DBD"/>
    <w:rsid w:val="00B23416"/>
    <w:rsid w:val="00B23A9E"/>
    <w:rsid w:val="00B2410E"/>
    <w:rsid w:val="00B24609"/>
    <w:rsid w:val="00B24736"/>
    <w:rsid w:val="00B24CD3"/>
    <w:rsid w:val="00B255D0"/>
    <w:rsid w:val="00B257FE"/>
    <w:rsid w:val="00B3079C"/>
    <w:rsid w:val="00B3179B"/>
    <w:rsid w:val="00B336DE"/>
    <w:rsid w:val="00B40246"/>
    <w:rsid w:val="00B40E8F"/>
    <w:rsid w:val="00B410B7"/>
    <w:rsid w:val="00B434AB"/>
    <w:rsid w:val="00B43AE4"/>
    <w:rsid w:val="00B43F85"/>
    <w:rsid w:val="00B4571C"/>
    <w:rsid w:val="00B46F06"/>
    <w:rsid w:val="00B51A77"/>
    <w:rsid w:val="00B53B18"/>
    <w:rsid w:val="00B601C4"/>
    <w:rsid w:val="00B617B2"/>
    <w:rsid w:val="00B654B5"/>
    <w:rsid w:val="00B65514"/>
    <w:rsid w:val="00B65CF0"/>
    <w:rsid w:val="00B65D8C"/>
    <w:rsid w:val="00B6696F"/>
    <w:rsid w:val="00B71EF8"/>
    <w:rsid w:val="00B723BE"/>
    <w:rsid w:val="00B73332"/>
    <w:rsid w:val="00B73D87"/>
    <w:rsid w:val="00B7410C"/>
    <w:rsid w:val="00B74290"/>
    <w:rsid w:val="00B75379"/>
    <w:rsid w:val="00B770C1"/>
    <w:rsid w:val="00B77144"/>
    <w:rsid w:val="00B774D0"/>
    <w:rsid w:val="00B8031B"/>
    <w:rsid w:val="00B81267"/>
    <w:rsid w:val="00B81472"/>
    <w:rsid w:val="00B817F4"/>
    <w:rsid w:val="00B82705"/>
    <w:rsid w:val="00B851FE"/>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1236"/>
    <w:rsid w:val="00BE4690"/>
    <w:rsid w:val="00BE4ED8"/>
    <w:rsid w:val="00BE5EC4"/>
    <w:rsid w:val="00BE712B"/>
    <w:rsid w:val="00BF058E"/>
    <w:rsid w:val="00BF0F85"/>
    <w:rsid w:val="00BF21B6"/>
    <w:rsid w:val="00BF2277"/>
    <w:rsid w:val="00BF5A48"/>
    <w:rsid w:val="00BF67B9"/>
    <w:rsid w:val="00BF7FE2"/>
    <w:rsid w:val="00C00474"/>
    <w:rsid w:val="00C00B7D"/>
    <w:rsid w:val="00C0289A"/>
    <w:rsid w:val="00C02EB5"/>
    <w:rsid w:val="00C036C9"/>
    <w:rsid w:val="00C04F90"/>
    <w:rsid w:val="00C05184"/>
    <w:rsid w:val="00C05A1C"/>
    <w:rsid w:val="00C07BCE"/>
    <w:rsid w:val="00C1016E"/>
    <w:rsid w:val="00C10675"/>
    <w:rsid w:val="00C11403"/>
    <w:rsid w:val="00C11AFA"/>
    <w:rsid w:val="00C170A1"/>
    <w:rsid w:val="00C17E19"/>
    <w:rsid w:val="00C17F5D"/>
    <w:rsid w:val="00C20F6E"/>
    <w:rsid w:val="00C22579"/>
    <w:rsid w:val="00C228C7"/>
    <w:rsid w:val="00C2326F"/>
    <w:rsid w:val="00C23DEE"/>
    <w:rsid w:val="00C24087"/>
    <w:rsid w:val="00C24D33"/>
    <w:rsid w:val="00C27D57"/>
    <w:rsid w:val="00C27DE6"/>
    <w:rsid w:val="00C30D3A"/>
    <w:rsid w:val="00C30DAE"/>
    <w:rsid w:val="00C322EC"/>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6D0"/>
    <w:rsid w:val="00C54D0A"/>
    <w:rsid w:val="00C56023"/>
    <w:rsid w:val="00C60E0D"/>
    <w:rsid w:val="00C635C8"/>
    <w:rsid w:val="00C63A42"/>
    <w:rsid w:val="00C70170"/>
    <w:rsid w:val="00C71674"/>
    <w:rsid w:val="00C72AD1"/>
    <w:rsid w:val="00C75201"/>
    <w:rsid w:val="00C77532"/>
    <w:rsid w:val="00C8043D"/>
    <w:rsid w:val="00C81137"/>
    <w:rsid w:val="00C827B3"/>
    <w:rsid w:val="00C82CBA"/>
    <w:rsid w:val="00C86BED"/>
    <w:rsid w:val="00C87131"/>
    <w:rsid w:val="00C878F7"/>
    <w:rsid w:val="00C90488"/>
    <w:rsid w:val="00C930FE"/>
    <w:rsid w:val="00C939FC"/>
    <w:rsid w:val="00C95142"/>
    <w:rsid w:val="00C95962"/>
    <w:rsid w:val="00C96415"/>
    <w:rsid w:val="00C97DB0"/>
    <w:rsid w:val="00CA0810"/>
    <w:rsid w:val="00CA14BF"/>
    <w:rsid w:val="00CA2D14"/>
    <w:rsid w:val="00CA3510"/>
    <w:rsid w:val="00CA422A"/>
    <w:rsid w:val="00CA5D4C"/>
    <w:rsid w:val="00CA60A5"/>
    <w:rsid w:val="00CA69D8"/>
    <w:rsid w:val="00CB0B8A"/>
    <w:rsid w:val="00CB211C"/>
    <w:rsid w:val="00CB2D3E"/>
    <w:rsid w:val="00CB4511"/>
    <w:rsid w:val="00CB49D2"/>
    <w:rsid w:val="00CB64DD"/>
    <w:rsid w:val="00CC0DDE"/>
    <w:rsid w:val="00CC0E7B"/>
    <w:rsid w:val="00CC5BD2"/>
    <w:rsid w:val="00CD02A8"/>
    <w:rsid w:val="00CD1627"/>
    <w:rsid w:val="00CD3152"/>
    <w:rsid w:val="00CD391A"/>
    <w:rsid w:val="00CD4E8B"/>
    <w:rsid w:val="00CD5510"/>
    <w:rsid w:val="00CD5DBE"/>
    <w:rsid w:val="00CD7FB1"/>
    <w:rsid w:val="00CE0500"/>
    <w:rsid w:val="00CE1C84"/>
    <w:rsid w:val="00CE3317"/>
    <w:rsid w:val="00CE4349"/>
    <w:rsid w:val="00CE439F"/>
    <w:rsid w:val="00CE676A"/>
    <w:rsid w:val="00CE7292"/>
    <w:rsid w:val="00CE739E"/>
    <w:rsid w:val="00CF182F"/>
    <w:rsid w:val="00CF1A9B"/>
    <w:rsid w:val="00CF2DD0"/>
    <w:rsid w:val="00CF358E"/>
    <w:rsid w:val="00CF37BE"/>
    <w:rsid w:val="00CF3A03"/>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27C4"/>
    <w:rsid w:val="00D43921"/>
    <w:rsid w:val="00D44132"/>
    <w:rsid w:val="00D44972"/>
    <w:rsid w:val="00D46FCF"/>
    <w:rsid w:val="00D47BBE"/>
    <w:rsid w:val="00D47DAB"/>
    <w:rsid w:val="00D5115F"/>
    <w:rsid w:val="00D54776"/>
    <w:rsid w:val="00D61502"/>
    <w:rsid w:val="00D62324"/>
    <w:rsid w:val="00D65AF8"/>
    <w:rsid w:val="00D65ECF"/>
    <w:rsid w:val="00D7084C"/>
    <w:rsid w:val="00D70D38"/>
    <w:rsid w:val="00D7184F"/>
    <w:rsid w:val="00D72DD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96EEC"/>
    <w:rsid w:val="00DA0FB1"/>
    <w:rsid w:val="00DA62A1"/>
    <w:rsid w:val="00DA7A99"/>
    <w:rsid w:val="00DB20E9"/>
    <w:rsid w:val="00DB4A36"/>
    <w:rsid w:val="00DB4A4C"/>
    <w:rsid w:val="00DB4AD1"/>
    <w:rsid w:val="00DB6876"/>
    <w:rsid w:val="00DB6B17"/>
    <w:rsid w:val="00DB740C"/>
    <w:rsid w:val="00DC3431"/>
    <w:rsid w:val="00DC775D"/>
    <w:rsid w:val="00DD101C"/>
    <w:rsid w:val="00DD14C2"/>
    <w:rsid w:val="00DD3C49"/>
    <w:rsid w:val="00DD570B"/>
    <w:rsid w:val="00DE1380"/>
    <w:rsid w:val="00DE2AFC"/>
    <w:rsid w:val="00DE3AAE"/>
    <w:rsid w:val="00DE42CF"/>
    <w:rsid w:val="00DE4AD3"/>
    <w:rsid w:val="00DE633B"/>
    <w:rsid w:val="00DF0E99"/>
    <w:rsid w:val="00DF2079"/>
    <w:rsid w:val="00DF2A70"/>
    <w:rsid w:val="00DF6B12"/>
    <w:rsid w:val="00E0008D"/>
    <w:rsid w:val="00E01464"/>
    <w:rsid w:val="00E024EC"/>
    <w:rsid w:val="00E02DCF"/>
    <w:rsid w:val="00E038A8"/>
    <w:rsid w:val="00E038E9"/>
    <w:rsid w:val="00E07BA3"/>
    <w:rsid w:val="00E1052C"/>
    <w:rsid w:val="00E12B59"/>
    <w:rsid w:val="00E15279"/>
    <w:rsid w:val="00E15CC7"/>
    <w:rsid w:val="00E17B80"/>
    <w:rsid w:val="00E245B7"/>
    <w:rsid w:val="00E276CA"/>
    <w:rsid w:val="00E27F54"/>
    <w:rsid w:val="00E30228"/>
    <w:rsid w:val="00E32FD1"/>
    <w:rsid w:val="00E34E23"/>
    <w:rsid w:val="00E3618F"/>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211A"/>
    <w:rsid w:val="00E73478"/>
    <w:rsid w:val="00E75249"/>
    <w:rsid w:val="00E75A30"/>
    <w:rsid w:val="00E75F4F"/>
    <w:rsid w:val="00E760D6"/>
    <w:rsid w:val="00E7710A"/>
    <w:rsid w:val="00E81E14"/>
    <w:rsid w:val="00E82D3C"/>
    <w:rsid w:val="00E8380C"/>
    <w:rsid w:val="00E86E35"/>
    <w:rsid w:val="00E91680"/>
    <w:rsid w:val="00E9499D"/>
    <w:rsid w:val="00E94D26"/>
    <w:rsid w:val="00E9592E"/>
    <w:rsid w:val="00E97A61"/>
    <w:rsid w:val="00EA050D"/>
    <w:rsid w:val="00EA0CEF"/>
    <w:rsid w:val="00EA2C28"/>
    <w:rsid w:val="00EA3305"/>
    <w:rsid w:val="00EA7D4F"/>
    <w:rsid w:val="00EB16F7"/>
    <w:rsid w:val="00EB4CE5"/>
    <w:rsid w:val="00EB6729"/>
    <w:rsid w:val="00EB6E7E"/>
    <w:rsid w:val="00EB7510"/>
    <w:rsid w:val="00EC0250"/>
    <w:rsid w:val="00EC48B1"/>
    <w:rsid w:val="00EC504C"/>
    <w:rsid w:val="00EC590F"/>
    <w:rsid w:val="00EC5A6F"/>
    <w:rsid w:val="00EC6DDD"/>
    <w:rsid w:val="00EC700C"/>
    <w:rsid w:val="00EC7D2A"/>
    <w:rsid w:val="00ED1383"/>
    <w:rsid w:val="00ED1F9D"/>
    <w:rsid w:val="00ED38D6"/>
    <w:rsid w:val="00ED42A8"/>
    <w:rsid w:val="00ED558E"/>
    <w:rsid w:val="00ED5B28"/>
    <w:rsid w:val="00EE3906"/>
    <w:rsid w:val="00EE4509"/>
    <w:rsid w:val="00EE4F2A"/>
    <w:rsid w:val="00EE5A0A"/>
    <w:rsid w:val="00EE61C9"/>
    <w:rsid w:val="00EE7031"/>
    <w:rsid w:val="00EE7A32"/>
    <w:rsid w:val="00EE7AEA"/>
    <w:rsid w:val="00EF1FC0"/>
    <w:rsid w:val="00EF5763"/>
    <w:rsid w:val="00EF57C4"/>
    <w:rsid w:val="00F00A44"/>
    <w:rsid w:val="00F00A7A"/>
    <w:rsid w:val="00F060F0"/>
    <w:rsid w:val="00F06CEB"/>
    <w:rsid w:val="00F1154D"/>
    <w:rsid w:val="00F13DD8"/>
    <w:rsid w:val="00F13ECC"/>
    <w:rsid w:val="00F14305"/>
    <w:rsid w:val="00F164A0"/>
    <w:rsid w:val="00F16A29"/>
    <w:rsid w:val="00F17AE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0D"/>
    <w:rsid w:val="00F61CBA"/>
    <w:rsid w:val="00F70169"/>
    <w:rsid w:val="00F75E4C"/>
    <w:rsid w:val="00F76DC0"/>
    <w:rsid w:val="00F778D4"/>
    <w:rsid w:val="00F802EF"/>
    <w:rsid w:val="00F814C5"/>
    <w:rsid w:val="00F839B3"/>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6BF"/>
    <w:rsid w:val="00FD4D0C"/>
    <w:rsid w:val="00FD5AD8"/>
    <w:rsid w:val="00FD6F32"/>
    <w:rsid w:val="00FD7BA7"/>
    <w:rsid w:val="00FE2CA2"/>
    <w:rsid w:val="00FE3007"/>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5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D2E6F"/>
    <w:pPr>
      <w:keepNext/>
      <w:keepLines/>
      <w:spacing w:before="160" w:after="120"/>
      <w:outlineLvl w:val="2"/>
    </w:pPr>
    <w:rPr>
      <w:rFonts w:eastAsiaTheme="majorEastAsia" w:cstheme="majorBidi"/>
      <w:b/>
      <w:sz w:val="28"/>
      <w:szCs w:val="28"/>
    </w:rPr>
  </w:style>
  <w:style w:type="paragraph" w:styleId="Heading4">
    <w:name w:val="heading 4"/>
    <w:basedOn w:val="Heading2"/>
    <w:next w:val="Normal"/>
    <w:link w:val="Heading4Char"/>
    <w:uiPriority w:val="9"/>
    <w:unhideWhenUsed/>
    <w:qFormat/>
    <w:rsid w:val="006D2E6F"/>
    <w:pPr>
      <w:spacing w:after="240"/>
      <w:outlineLvl w:val="3"/>
    </w:pPr>
    <w:rPr>
      <w:bdr w:val="none" w:sz="0" w:space="0" w:color="auto" w:frame="1"/>
      <w:lang w:val="en"/>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6D2E6F"/>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6D2E6F"/>
    <w:rPr>
      <w:rFonts w:ascii="Arial" w:eastAsiaTheme="majorEastAsia" w:hAnsi="Arial" w:cstheme="majorBidi"/>
      <w:b/>
      <w:sz w:val="26"/>
      <w:szCs w:val="26"/>
      <w:bdr w:val="none" w:sz="0" w:space="0" w:color="auto" w:frame="1"/>
      <w:lang w:val="en"/>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773B-10C0-470C-9158-81EE52CD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2208</Words>
  <Characters>12588</Characters>
  <Application>Microsoft Office Word</Application>
  <DocSecurity>0</DocSecurity>
  <Lines>104</Lines>
  <Paragraphs>29</Paragraphs>
  <ScaleCrop>false</ScaleCrop>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2026 Agenda Item 03 - General Information (CA Dept of Education)</dc:title>
  <dc:subject>Career Technical Education Incentive Grant Program Data and Data Metrics for presentation to the California Workforce Pathways Joint Advisory Committee (CWPJAC).</dc:subject>
  <dc:creator/>
  <cp:keywords/>
  <dc:description/>
  <cp:lastModifiedBy/>
  <cp:revision>1</cp:revision>
  <dcterms:created xsi:type="dcterms:W3CDTF">2026-07-06T22:05:00Z</dcterms:created>
  <dcterms:modified xsi:type="dcterms:W3CDTF">2026-07-06T22:07:00Z</dcterms:modified>
</cp:coreProperties>
</file>