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C868" w14:textId="77777777" w:rsidR="003A0CCA" w:rsidRPr="001E269E" w:rsidRDefault="003A0CCA" w:rsidP="003A0CCA">
      <w:pPr>
        <w:rPr>
          <w:rFonts w:cs="Arial"/>
        </w:rPr>
      </w:pPr>
      <w:r w:rsidRPr="001E269E">
        <w:rPr>
          <w:rFonts w:cs="Arial"/>
          <w:noProof/>
        </w:rPr>
        <w:drawing>
          <wp:inline distT="0" distB="0" distL="0" distR="0" wp14:anchorId="0E1D5C6B" wp14:editId="176F273A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269E">
        <w:rPr>
          <w:rFonts w:cs="Arial"/>
        </w:rPr>
        <w:tab/>
      </w:r>
      <w:r w:rsidRPr="001E269E">
        <w:rPr>
          <w:rFonts w:cs="Arial"/>
        </w:rPr>
        <w:tab/>
      </w:r>
      <w:r w:rsidRPr="001E269E">
        <w:rPr>
          <w:rFonts w:cs="Arial"/>
        </w:rPr>
        <w:tab/>
      </w:r>
      <w:r w:rsidRPr="001E269E">
        <w:rPr>
          <w:rFonts w:cs="Arial"/>
          <w:noProof/>
        </w:rPr>
        <w:drawing>
          <wp:inline distT="0" distB="0" distL="0" distR="0" wp14:anchorId="1E4091F2" wp14:editId="2E2BBB65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269E">
        <w:rPr>
          <w:rFonts w:cs="Arial"/>
        </w:rPr>
        <w:tab/>
      </w:r>
      <w:r w:rsidRPr="001E269E">
        <w:rPr>
          <w:rFonts w:cs="Arial"/>
        </w:rPr>
        <w:tab/>
      </w:r>
      <w:r w:rsidRPr="001E269E">
        <w:rPr>
          <w:rFonts w:cs="Arial"/>
        </w:rPr>
        <w:tab/>
      </w:r>
      <w:r w:rsidRPr="001E269E">
        <w:rPr>
          <w:rFonts w:cs="Arial"/>
          <w:noProof/>
        </w:rPr>
        <w:drawing>
          <wp:inline distT="0" distB="0" distL="0" distR="0" wp14:anchorId="5EC0DA4C" wp14:editId="27836FD3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FB99" w14:textId="5E85B439" w:rsidR="003A0CCA" w:rsidRPr="001E269E" w:rsidRDefault="003A0CCA" w:rsidP="003A0CCA">
      <w:pPr>
        <w:pStyle w:val="Heading1"/>
        <w:spacing w:before="480" w:after="240"/>
        <w:jc w:val="center"/>
        <w:rPr>
          <w:rFonts w:cs="Arial"/>
          <w:sz w:val="40"/>
          <w:szCs w:val="40"/>
        </w:rPr>
      </w:pPr>
      <w:r w:rsidRPr="001E269E">
        <w:rPr>
          <w:rFonts w:cs="Arial"/>
          <w:sz w:val="40"/>
          <w:szCs w:val="40"/>
        </w:rPr>
        <w:t>California Workforce Pathways</w:t>
      </w:r>
      <w:r w:rsidRPr="001E269E">
        <w:rPr>
          <w:rFonts w:cs="Arial"/>
          <w:sz w:val="40"/>
          <w:szCs w:val="40"/>
        </w:rPr>
        <w:br/>
        <w:t>Joint Advisory Committee</w:t>
      </w:r>
      <w:r w:rsidRPr="001E269E">
        <w:rPr>
          <w:rFonts w:cs="Arial"/>
          <w:sz w:val="40"/>
          <w:szCs w:val="40"/>
        </w:rPr>
        <w:br/>
      </w:r>
      <w:r w:rsidR="005E2F1D" w:rsidRPr="001E269E">
        <w:rPr>
          <w:rFonts w:cs="Arial"/>
          <w:sz w:val="40"/>
          <w:szCs w:val="40"/>
        </w:rPr>
        <w:t xml:space="preserve">January </w:t>
      </w:r>
      <w:r w:rsidR="00DD4BD9" w:rsidRPr="001E269E">
        <w:rPr>
          <w:rFonts w:cs="Arial"/>
          <w:sz w:val="40"/>
          <w:szCs w:val="40"/>
        </w:rPr>
        <w:t>29</w:t>
      </w:r>
      <w:r w:rsidR="005E2F1D" w:rsidRPr="001E269E">
        <w:rPr>
          <w:rFonts w:cs="Arial"/>
          <w:sz w:val="40"/>
          <w:szCs w:val="40"/>
        </w:rPr>
        <w:t>, 2021</w:t>
      </w:r>
      <w:r w:rsidRPr="001E269E">
        <w:rPr>
          <w:rFonts w:cs="Arial"/>
          <w:sz w:val="40"/>
          <w:szCs w:val="40"/>
        </w:rPr>
        <w:br/>
        <w:t xml:space="preserve">Agenda Item </w:t>
      </w:r>
      <w:r w:rsidR="000F0270" w:rsidRPr="001E269E">
        <w:rPr>
          <w:rFonts w:cs="Arial"/>
          <w:sz w:val="40"/>
          <w:szCs w:val="40"/>
        </w:rPr>
        <w:t>0</w:t>
      </w:r>
      <w:r w:rsidR="00074805" w:rsidRPr="001E269E">
        <w:rPr>
          <w:rFonts w:cs="Arial"/>
          <w:sz w:val="40"/>
          <w:szCs w:val="40"/>
        </w:rPr>
        <w:t>2</w:t>
      </w:r>
    </w:p>
    <w:p w14:paraId="5145F0CD" w14:textId="77777777" w:rsidR="003A0CCA" w:rsidRPr="001E269E" w:rsidRDefault="003A0CCA" w:rsidP="003A0CCA">
      <w:pPr>
        <w:jc w:val="center"/>
        <w:rPr>
          <w:rFonts w:cs="Arial"/>
        </w:rPr>
      </w:pPr>
      <w:r w:rsidRPr="001E269E">
        <w:rPr>
          <w:rFonts w:cs="Arial"/>
        </w:rPr>
        <w:t>Posted by the California Department of Education</w:t>
      </w:r>
    </w:p>
    <w:p w14:paraId="0333C89C" w14:textId="77777777" w:rsidR="00144DF4" w:rsidRPr="001E269E" w:rsidRDefault="00FC1FCE" w:rsidP="00D370A0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t>Subject</w:t>
      </w:r>
    </w:p>
    <w:p w14:paraId="74A3BDDE" w14:textId="5E6676D5" w:rsidR="00F25602" w:rsidRPr="001E269E" w:rsidRDefault="000D35C8" w:rsidP="00CE3317">
      <w:pPr>
        <w:spacing w:after="240"/>
        <w:rPr>
          <w:rFonts w:cs="Arial"/>
        </w:rPr>
      </w:pPr>
      <w:r w:rsidRPr="001E269E">
        <w:rPr>
          <w:rFonts w:cs="Arial"/>
        </w:rPr>
        <w:t>The Career Technical Education Incentive Grant</w:t>
      </w:r>
      <w:r w:rsidR="009A32D9" w:rsidRPr="001E269E">
        <w:rPr>
          <w:rFonts w:cs="Arial"/>
        </w:rPr>
        <w:t xml:space="preserve"> (CTEIG)</w:t>
      </w:r>
      <w:r w:rsidRPr="001E269E">
        <w:rPr>
          <w:rFonts w:cs="Arial"/>
        </w:rPr>
        <w:t xml:space="preserve"> and the Kindergarten through Grade Twelve Strong Workforce Program</w:t>
      </w:r>
      <w:r w:rsidR="009A32D9" w:rsidRPr="001E269E">
        <w:rPr>
          <w:rFonts w:cs="Arial"/>
        </w:rPr>
        <w:t xml:space="preserve"> (K–12 SWP)</w:t>
      </w:r>
      <w:r w:rsidR="00FC2674" w:rsidRPr="001E269E">
        <w:rPr>
          <w:rFonts w:cs="Arial"/>
        </w:rPr>
        <w:t>:</w:t>
      </w:r>
      <w:r w:rsidR="00BC70C9" w:rsidRPr="001E269E">
        <w:rPr>
          <w:rFonts w:cs="Arial"/>
        </w:rPr>
        <w:t xml:space="preserve"> </w:t>
      </w:r>
      <w:r w:rsidR="00FC2674" w:rsidRPr="001E269E">
        <w:rPr>
          <w:rFonts w:cs="Arial"/>
        </w:rPr>
        <w:t>U</w:t>
      </w:r>
      <w:r w:rsidR="003C79E6" w:rsidRPr="001E269E">
        <w:rPr>
          <w:rFonts w:cs="Arial"/>
        </w:rPr>
        <w:t>pdate</w:t>
      </w:r>
      <w:r w:rsidR="00BC70C9" w:rsidRPr="001E269E">
        <w:rPr>
          <w:rFonts w:cs="Arial"/>
        </w:rPr>
        <w:t xml:space="preserve"> </w:t>
      </w:r>
      <w:r w:rsidR="00FC2674" w:rsidRPr="001E269E">
        <w:rPr>
          <w:rFonts w:cs="Arial"/>
        </w:rPr>
        <w:t xml:space="preserve">on </w:t>
      </w:r>
      <w:r w:rsidR="003C79E6" w:rsidRPr="001E269E">
        <w:rPr>
          <w:rFonts w:cs="Arial"/>
        </w:rPr>
        <w:t>the</w:t>
      </w:r>
      <w:r w:rsidR="003A4F10" w:rsidRPr="001E269E">
        <w:rPr>
          <w:rFonts w:cs="Arial"/>
        </w:rPr>
        <w:t xml:space="preserve"> Approved Allocations for 2020</w:t>
      </w:r>
      <w:r w:rsidR="00AB0F76" w:rsidRPr="001E269E">
        <w:rPr>
          <w:rFonts w:cs="Arial"/>
        </w:rPr>
        <w:t>–</w:t>
      </w:r>
      <w:r w:rsidR="003A4F10" w:rsidRPr="001E269E">
        <w:rPr>
          <w:rFonts w:cs="Arial"/>
        </w:rPr>
        <w:t xml:space="preserve">21 and the </w:t>
      </w:r>
      <w:r w:rsidR="00EE4F2A" w:rsidRPr="001E269E">
        <w:rPr>
          <w:rFonts w:cs="Arial"/>
        </w:rPr>
        <w:t>202</w:t>
      </w:r>
      <w:r w:rsidR="005E2F1D" w:rsidRPr="001E269E">
        <w:rPr>
          <w:rFonts w:cs="Arial"/>
        </w:rPr>
        <w:t>1</w:t>
      </w:r>
      <w:r w:rsidR="000C3068" w:rsidRPr="001E269E">
        <w:rPr>
          <w:rFonts w:cs="Arial"/>
        </w:rPr>
        <w:t>–</w:t>
      </w:r>
      <w:r w:rsidR="00EE4F2A" w:rsidRPr="001E269E">
        <w:rPr>
          <w:rFonts w:cs="Arial"/>
        </w:rPr>
        <w:t>2</w:t>
      </w:r>
      <w:r w:rsidR="005E2F1D" w:rsidRPr="001E269E">
        <w:rPr>
          <w:rFonts w:cs="Arial"/>
        </w:rPr>
        <w:t>2</w:t>
      </w:r>
      <w:r w:rsidR="00EE4F2A" w:rsidRPr="001E269E">
        <w:rPr>
          <w:rFonts w:cs="Arial"/>
        </w:rPr>
        <w:t xml:space="preserve"> </w:t>
      </w:r>
      <w:r w:rsidR="009A32D9" w:rsidRPr="001E269E">
        <w:rPr>
          <w:rFonts w:cs="Arial"/>
        </w:rPr>
        <w:t>CTEIG</w:t>
      </w:r>
      <w:r w:rsidR="00A406EA" w:rsidRPr="001E269E">
        <w:rPr>
          <w:rFonts w:cs="Arial"/>
        </w:rPr>
        <w:t xml:space="preserve"> </w:t>
      </w:r>
      <w:r w:rsidR="005E2F1D" w:rsidRPr="001E269E">
        <w:rPr>
          <w:rFonts w:cs="Arial"/>
        </w:rPr>
        <w:t>Application</w:t>
      </w:r>
      <w:r w:rsidR="00B53EAA" w:rsidRPr="001E269E">
        <w:rPr>
          <w:rFonts w:cs="Arial"/>
        </w:rPr>
        <w:t>;</w:t>
      </w:r>
      <w:r w:rsidR="005E2F1D" w:rsidRPr="001E269E">
        <w:rPr>
          <w:rFonts w:cs="Arial"/>
        </w:rPr>
        <w:t xml:space="preserve"> </w:t>
      </w:r>
      <w:r w:rsidR="009A32D9" w:rsidRPr="001E269E">
        <w:rPr>
          <w:rFonts w:cs="Arial"/>
        </w:rPr>
        <w:t>the 2020</w:t>
      </w:r>
      <w:r w:rsidR="002717C0" w:rsidRPr="001E269E">
        <w:rPr>
          <w:rFonts w:cs="Arial"/>
        </w:rPr>
        <w:t>–</w:t>
      </w:r>
      <w:r w:rsidR="009A32D9" w:rsidRPr="001E269E">
        <w:rPr>
          <w:rFonts w:cs="Arial"/>
        </w:rPr>
        <w:t xml:space="preserve">21 K–12 SWP </w:t>
      </w:r>
      <w:r w:rsidR="005E2F1D" w:rsidRPr="001E269E">
        <w:rPr>
          <w:rFonts w:cs="Arial"/>
        </w:rPr>
        <w:t>Funding Allocations</w:t>
      </w:r>
      <w:r w:rsidR="00245750" w:rsidRPr="001E269E">
        <w:rPr>
          <w:rFonts w:cs="Arial"/>
        </w:rPr>
        <w:t xml:space="preserve"> and Interim Measures</w:t>
      </w:r>
      <w:r w:rsidR="00B53EAA" w:rsidRPr="001E269E">
        <w:rPr>
          <w:rFonts w:cs="Arial"/>
        </w:rPr>
        <w:t>;</w:t>
      </w:r>
      <w:r w:rsidR="00245750" w:rsidRPr="001E269E">
        <w:rPr>
          <w:rFonts w:cs="Arial"/>
        </w:rPr>
        <w:t xml:space="preserve"> and</w:t>
      </w:r>
      <w:r w:rsidR="00B53EAA" w:rsidRPr="001E269E">
        <w:rPr>
          <w:rFonts w:cs="Arial"/>
        </w:rPr>
        <w:t xml:space="preserve"> </w:t>
      </w:r>
      <w:r w:rsidR="00EF4790" w:rsidRPr="001E269E">
        <w:rPr>
          <w:rFonts w:cs="Arial"/>
        </w:rPr>
        <w:t>K</w:t>
      </w:r>
      <w:r w:rsidR="00AB0F76" w:rsidRPr="001E269E">
        <w:rPr>
          <w:rFonts w:cs="Arial"/>
        </w:rPr>
        <w:t>–</w:t>
      </w:r>
      <w:r w:rsidR="00EF4790" w:rsidRPr="001E269E">
        <w:rPr>
          <w:rFonts w:cs="Arial"/>
        </w:rPr>
        <w:t xml:space="preserve">14 </w:t>
      </w:r>
      <w:r w:rsidR="00B53EAA" w:rsidRPr="001E269E">
        <w:rPr>
          <w:rFonts w:cs="Arial"/>
        </w:rPr>
        <w:t>Technical Assistance Providers and Workforce Pathways Coordinators</w:t>
      </w:r>
      <w:r w:rsidR="00245750" w:rsidRPr="001E269E">
        <w:rPr>
          <w:rFonts w:cs="Arial"/>
        </w:rPr>
        <w:t>.</w:t>
      </w:r>
    </w:p>
    <w:p w14:paraId="48B7EC81" w14:textId="77777777" w:rsidR="00FC1FCE" w:rsidRPr="001E269E" w:rsidRDefault="00FC1FCE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t>Type of Action</w:t>
      </w:r>
    </w:p>
    <w:p w14:paraId="52F8EF32" w14:textId="4A0BFBD3" w:rsidR="00D61502" w:rsidRPr="001E269E" w:rsidRDefault="00144DF4" w:rsidP="00D61502">
      <w:pPr>
        <w:spacing w:after="240"/>
        <w:rPr>
          <w:rFonts w:cs="Arial"/>
        </w:rPr>
      </w:pPr>
      <w:r w:rsidRPr="001E269E">
        <w:rPr>
          <w:rFonts w:cs="Arial"/>
          <w:noProof/>
        </w:rPr>
        <w:t>Information</w:t>
      </w:r>
    </w:p>
    <w:p w14:paraId="32FD454E" w14:textId="77777777" w:rsidR="00FC1FCE" w:rsidRPr="001E269E" w:rsidRDefault="00FC1FCE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t>Summary of the Issue(s)</w:t>
      </w:r>
    </w:p>
    <w:p w14:paraId="395889A4" w14:textId="77777777" w:rsidR="00167E35" w:rsidRPr="001E269E" w:rsidRDefault="00BC70C9" w:rsidP="007051E8">
      <w:pPr>
        <w:tabs>
          <w:tab w:val="left" w:pos="1755"/>
        </w:tabs>
        <w:spacing w:after="240"/>
        <w:rPr>
          <w:rFonts w:cs="Arial"/>
        </w:rPr>
      </w:pPr>
      <w:r w:rsidRPr="001E269E">
        <w:rPr>
          <w:rFonts w:cs="Arial"/>
        </w:rPr>
        <w:t xml:space="preserve">This agenda item </w:t>
      </w:r>
      <w:r w:rsidR="00E60842" w:rsidRPr="001E269E">
        <w:rPr>
          <w:rFonts w:cs="Arial"/>
        </w:rPr>
        <w:t>provides</w:t>
      </w:r>
      <w:r w:rsidRPr="001E269E">
        <w:rPr>
          <w:rFonts w:cs="Arial"/>
        </w:rPr>
        <w:t xml:space="preserve"> updates on various aspects of the CTEIG and K–12 SWP programs</w:t>
      </w:r>
      <w:r w:rsidR="00167E35" w:rsidRPr="001E269E">
        <w:rPr>
          <w:rFonts w:cs="Arial"/>
        </w:rPr>
        <w:t>, including:</w:t>
      </w:r>
    </w:p>
    <w:p w14:paraId="14A53D49" w14:textId="226F92BB" w:rsidR="00167E35" w:rsidRPr="001E269E" w:rsidRDefault="00F814C5" w:rsidP="005859C2">
      <w:pPr>
        <w:pStyle w:val="ListParagraph"/>
        <w:numPr>
          <w:ilvl w:val="0"/>
          <w:numId w:val="12"/>
        </w:numPr>
        <w:tabs>
          <w:tab w:val="left" w:pos="1755"/>
        </w:tabs>
        <w:spacing w:after="240"/>
        <w:contextualSpacing w:val="0"/>
        <w:rPr>
          <w:rFonts w:cs="Arial"/>
        </w:rPr>
      </w:pPr>
      <w:r w:rsidRPr="001E269E">
        <w:rPr>
          <w:rFonts w:cs="Arial"/>
        </w:rPr>
        <w:t>T</w:t>
      </w:r>
      <w:r w:rsidR="00BC70C9" w:rsidRPr="001E269E">
        <w:rPr>
          <w:rFonts w:cs="Arial"/>
        </w:rPr>
        <w:t>he F</w:t>
      </w:r>
      <w:r w:rsidR="0003321E" w:rsidRPr="001E269E">
        <w:rPr>
          <w:rFonts w:cs="Arial"/>
        </w:rPr>
        <w:t xml:space="preserve">iscal Year (FY) </w:t>
      </w:r>
      <w:r w:rsidR="00245750" w:rsidRPr="001E269E">
        <w:rPr>
          <w:rFonts w:cs="Arial"/>
        </w:rPr>
        <w:t xml:space="preserve">2020–21 approved allocations and the FY </w:t>
      </w:r>
      <w:r w:rsidR="00BC70C9" w:rsidRPr="001E269E">
        <w:rPr>
          <w:rFonts w:cs="Arial"/>
        </w:rPr>
        <w:t>202</w:t>
      </w:r>
      <w:r w:rsidR="0022495E" w:rsidRPr="001E269E">
        <w:rPr>
          <w:rFonts w:cs="Arial"/>
        </w:rPr>
        <w:t>1</w:t>
      </w:r>
      <w:r w:rsidR="00935E33" w:rsidRPr="001E269E">
        <w:rPr>
          <w:rFonts w:cs="Arial"/>
        </w:rPr>
        <w:t>–</w:t>
      </w:r>
      <w:r w:rsidR="00BC70C9" w:rsidRPr="001E269E">
        <w:rPr>
          <w:rFonts w:cs="Arial"/>
        </w:rPr>
        <w:t>2</w:t>
      </w:r>
      <w:r w:rsidR="0022495E" w:rsidRPr="001E269E">
        <w:rPr>
          <w:rFonts w:cs="Arial"/>
        </w:rPr>
        <w:t>2</w:t>
      </w:r>
      <w:r w:rsidR="00BC70C9" w:rsidRPr="001E269E">
        <w:rPr>
          <w:rFonts w:cs="Arial"/>
        </w:rPr>
        <w:t xml:space="preserve"> CTEIG </w:t>
      </w:r>
      <w:r w:rsidR="00FF79CE" w:rsidRPr="001E269E">
        <w:rPr>
          <w:rFonts w:cs="Arial"/>
        </w:rPr>
        <w:t>application process</w:t>
      </w:r>
    </w:p>
    <w:p w14:paraId="418A6F25" w14:textId="7CBE9A86" w:rsidR="003A4F10" w:rsidRPr="001E269E" w:rsidRDefault="00074805" w:rsidP="00AB0F76">
      <w:pPr>
        <w:pStyle w:val="ListParagraph"/>
        <w:numPr>
          <w:ilvl w:val="0"/>
          <w:numId w:val="12"/>
        </w:numPr>
        <w:spacing w:after="240"/>
        <w:contextualSpacing w:val="0"/>
        <w:rPr>
          <w:rFonts w:ascii="Calibri" w:hAnsi="Calibri"/>
          <w:bCs/>
          <w:sz w:val="22"/>
          <w:szCs w:val="22"/>
        </w:rPr>
      </w:pPr>
      <w:r w:rsidRPr="001E269E">
        <w:rPr>
          <w:bCs/>
        </w:rPr>
        <w:t>The FY 2020–21 K–12 SWP Application Process and awards, interim data collection efforts and analysis</w:t>
      </w:r>
    </w:p>
    <w:p w14:paraId="3E5E98C6" w14:textId="1E648F6E" w:rsidR="00074805" w:rsidRPr="001E269E" w:rsidRDefault="00074805" w:rsidP="00074805">
      <w:pPr>
        <w:pStyle w:val="ListParagraph"/>
        <w:numPr>
          <w:ilvl w:val="0"/>
          <w:numId w:val="12"/>
        </w:numPr>
        <w:spacing w:after="240"/>
        <w:rPr>
          <w:rFonts w:ascii="Calibri" w:hAnsi="Calibri"/>
          <w:bCs/>
          <w:sz w:val="22"/>
          <w:szCs w:val="22"/>
        </w:rPr>
      </w:pPr>
      <w:r w:rsidRPr="001E269E">
        <w:rPr>
          <w:bCs/>
        </w:rPr>
        <w:t>Technical Assistance Providers status</w:t>
      </w:r>
    </w:p>
    <w:p w14:paraId="3E75818F" w14:textId="34056601" w:rsidR="004E74CA" w:rsidRPr="001E269E" w:rsidRDefault="004E74CA" w:rsidP="004E74CA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lastRenderedPageBreak/>
        <w:t>Recommendation</w:t>
      </w:r>
    </w:p>
    <w:p w14:paraId="47F4999E" w14:textId="26785347" w:rsidR="00D84A73" w:rsidRPr="001E269E" w:rsidRDefault="00D84A73" w:rsidP="00D84A73">
      <w:r w:rsidRPr="001E269E">
        <w:t>This is an information item only; there is no recommendation at this time.</w:t>
      </w:r>
    </w:p>
    <w:p w14:paraId="1543BB18" w14:textId="77777777" w:rsidR="00B7410C" w:rsidRPr="001E269E" w:rsidRDefault="00F814C5" w:rsidP="005859C2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t>Brief History of Key Issues</w:t>
      </w:r>
    </w:p>
    <w:p w14:paraId="626D4708" w14:textId="462386E1" w:rsidR="003C79E6" w:rsidRPr="001E269E" w:rsidRDefault="008C0560" w:rsidP="00AE6BBC">
      <w:pPr>
        <w:spacing w:after="240"/>
      </w:pPr>
      <w:r w:rsidRPr="001E269E">
        <w:t>The CTEIG was originally established by the Budget Act of 2015 with a one-time investment of $900 million to cover a three-year span</w:t>
      </w:r>
      <w:r w:rsidR="004A3BD0" w:rsidRPr="001E269E">
        <w:t>,</w:t>
      </w:r>
      <w:r w:rsidRPr="001E269E">
        <w:t xml:space="preserve"> and </w:t>
      </w:r>
      <w:r w:rsidR="003C79E6" w:rsidRPr="001E269E">
        <w:t xml:space="preserve">acted </w:t>
      </w:r>
      <w:r w:rsidRPr="001E269E">
        <w:t xml:space="preserve">as a bridge for local educational agencies (LEAs) </w:t>
      </w:r>
      <w:r w:rsidR="003C79E6" w:rsidRPr="001E269E">
        <w:t xml:space="preserve">to support career technical education (CTE) programs </w:t>
      </w:r>
      <w:r w:rsidRPr="001E269E">
        <w:t xml:space="preserve">until the </w:t>
      </w:r>
      <w:r w:rsidR="003B101D" w:rsidRPr="001E269E">
        <w:t>L</w:t>
      </w:r>
      <w:r w:rsidRPr="001E269E">
        <w:t xml:space="preserve">ocal </w:t>
      </w:r>
      <w:r w:rsidR="003B101D" w:rsidRPr="001E269E">
        <w:t>C</w:t>
      </w:r>
      <w:r w:rsidRPr="001E269E">
        <w:t xml:space="preserve">ontrol </w:t>
      </w:r>
      <w:r w:rsidR="003B101D" w:rsidRPr="001E269E">
        <w:t>F</w:t>
      </w:r>
      <w:r w:rsidRPr="001E269E">
        <w:t>u</w:t>
      </w:r>
      <w:r w:rsidR="00832A5D" w:rsidRPr="001E269E">
        <w:t xml:space="preserve">nding </w:t>
      </w:r>
      <w:r w:rsidR="003B101D" w:rsidRPr="001E269E">
        <w:t>F</w:t>
      </w:r>
      <w:r w:rsidR="00832A5D" w:rsidRPr="001E269E">
        <w:t>ormula was fully funded.</w:t>
      </w:r>
    </w:p>
    <w:p w14:paraId="760F4BDA" w14:textId="5968D929" w:rsidR="008C0560" w:rsidRPr="001E269E" w:rsidRDefault="003C79E6" w:rsidP="0078733C">
      <w:pPr>
        <w:spacing w:after="240"/>
        <w:rPr>
          <w:rFonts w:cs="Arial"/>
        </w:rPr>
      </w:pPr>
      <w:r w:rsidRPr="001E269E">
        <w:t xml:space="preserve">In the 2018 Budget Act, </w:t>
      </w:r>
      <w:r w:rsidRPr="001E269E">
        <w:rPr>
          <w:rFonts w:cs="Arial"/>
        </w:rPr>
        <w:t xml:space="preserve">the </w:t>
      </w:r>
      <w:r w:rsidR="00AE6BBC" w:rsidRPr="001E269E">
        <w:rPr>
          <w:rFonts w:cs="Arial"/>
        </w:rPr>
        <w:t xml:space="preserve">CTEIG and the K–12 SWP </w:t>
      </w:r>
      <w:r w:rsidR="000B7883" w:rsidRPr="001E269E">
        <w:rPr>
          <w:rFonts w:cs="Arial"/>
        </w:rPr>
        <w:t xml:space="preserve">were each allocated $150 million </w:t>
      </w:r>
      <w:r w:rsidRPr="001E269E">
        <w:t>in ongoing funds</w:t>
      </w:r>
      <w:r w:rsidR="00AE6BBC" w:rsidRPr="001E269E">
        <w:t>. An additional $13.5 million was provided annually to establish technical assistance providers and workforce pathway coordinators in support of both state initiatives.</w:t>
      </w:r>
      <w:r w:rsidR="007159C8" w:rsidRPr="001E269E">
        <w:rPr>
          <w:rFonts w:cs="Arial"/>
        </w:rPr>
        <w:t xml:space="preserve"> </w:t>
      </w:r>
      <w:r w:rsidR="00AE6BBC" w:rsidRPr="001E269E">
        <w:rPr>
          <w:rFonts w:cs="Arial"/>
        </w:rPr>
        <w:t>The CTEIG and the K–12 SWP are administered by the CDE and the CCCCO, respectively</w:t>
      </w:r>
      <w:r w:rsidR="00AE6BBC" w:rsidRPr="001E269E">
        <w:t>.</w:t>
      </w:r>
    </w:p>
    <w:p w14:paraId="176FD0C4" w14:textId="3E1868FA" w:rsidR="00BC70C9" w:rsidRPr="001E269E" w:rsidRDefault="003B11CA" w:rsidP="007051E8">
      <w:pPr>
        <w:tabs>
          <w:tab w:val="left" w:pos="1755"/>
        </w:tabs>
        <w:spacing w:after="240"/>
        <w:rPr>
          <w:rFonts w:cs="Arial"/>
          <w:b/>
        </w:rPr>
      </w:pPr>
      <w:r w:rsidRPr="001E269E">
        <w:rPr>
          <w:rFonts w:cs="Arial"/>
          <w:b/>
        </w:rPr>
        <w:t>The</w:t>
      </w:r>
      <w:r w:rsidR="005F590E" w:rsidRPr="001E269E">
        <w:rPr>
          <w:rFonts w:cs="Arial"/>
          <w:b/>
        </w:rPr>
        <w:t xml:space="preserve"> FY</w:t>
      </w:r>
      <w:r w:rsidR="0003321E" w:rsidRPr="001E269E">
        <w:rPr>
          <w:rFonts w:cs="Arial"/>
          <w:b/>
        </w:rPr>
        <w:t xml:space="preserve"> </w:t>
      </w:r>
      <w:r w:rsidR="005F590E" w:rsidRPr="001E269E">
        <w:rPr>
          <w:rFonts w:cs="Arial"/>
          <w:b/>
        </w:rPr>
        <w:t>20</w:t>
      </w:r>
      <w:r w:rsidR="00EF2391" w:rsidRPr="001E269E">
        <w:rPr>
          <w:rFonts w:cs="Arial"/>
          <w:b/>
        </w:rPr>
        <w:t>20</w:t>
      </w:r>
      <w:r w:rsidR="00AB0F76" w:rsidRPr="001E269E">
        <w:rPr>
          <w:rFonts w:cs="Arial"/>
          <w:b/>
        </w:rPr>
        <w:t>–</w:t>
      </w:r>
      <w:r w:rsidR="005F590E" w:rsidRPr="001E269E">
        <w:rPr>
          <w:rFonts w:cs="Arial"/>
          <w:b/>
        </w:rPr>
        <w:t>2</w:t>
      </w:r>
      <w:r w:rsidR="00830417" w:rsidRPr="001E269E">
        <w:rPr>
          <w:rFonts w:cs="Arial"/>
          <w:b/>
        </w:rPr>
        <w:t>1</w:t>
      </w:r>
      <w:r w:rsidR="00AB0F76" w:rsidRPr="001E269E">
        <w:rPr>
          <w:rFonts w:cs="Arial"/>
          <w:b/>
        </w:rPr>
        <w:t xml:space="preserve"> </w:t>
      </w:r>
      <w:r w:rsidR="00245750" w:rsidRPr="001E269E">
        <w:rPr>
          <w:rFonts w:cs="Arial"/>
          <w:b/>
        </w:rPr>
        <w:t>Approved Allocations and the FY 2021</w:t>
      </w:r>
      <w:r w:rsidR="00AB0F76" w:rsidRPr="001E269E">
        <w:rPr>
          <w:rFonts w:cs="Arial"/>
          <w:b/>
        </w:rPr>
        <w:t>–</w:t>
      </w:r>
      <w:r w:rsidR="00245750" w:rsidRPr="001E269E">
        <w:rPr>
          <w:rFonts w:cs="Arial"/>
          <w:b/>
        </w:rPr>
        <w:t>22</w:t>
      </w:r>
      <w:r w:rsidR="005F590E" w:rsidRPr="001E269E">
        <w:rPr>
          <w:rFonts w:cs="Arial"/>
          <w:b/>
        </w:rPr>
        <w:t xml:space="preserve"> CTEIG </w:t>
      </w:r>
      <w:r w:rsidR="00830417" w:rsidRPr="001E269E">
        <w:rPr>
          <w:rFonts w:cs="Arial"/>
          <w:b/>
        </w:rPr>
        <w:t>Application Process</w:t>
      </w:r>
    </w:p>
    <w:p w14:paraId="37A8B1AA" w14:textId="6CA9D0C7" w:rsidR="00205533" w:rsidRPr="001E269E" w:rsidRDefault="00205533" w:rsidP="00205533">
      <w:pPr>
        <w:spacing w:after="240"/>
        <w:rPr>
          <w:rFonts w:cs="Arial"/>
        </w:rPr>
      </w:pPr>
      <w:r w:rsidRPr="001E269E">
        <w:rPr>
          <w:rFonts w:cs="Arial"/>
        </w:rPr>
        <w:t>For the CT</w:t>
      </w:r>
      <w:r w:rsidR="00FC2674" w:rsidRPr="001E269E">
        <w:rPr>
          <w:rFonts w:cs="Arial"/>
        </w:rPr>
        <w:t>E</w:t>
      </w:r>
      <w:r w:rsidRPr="001E269E">
        <w:rPr>
          <w:rFonts w:cs="Arial"/>
        </w:rPr>
        <w:t>IG program,</w:t>
      </w:r>
      <w:r w:rsidR="00DA211B" w:rsidRPr="001E269E">
        <w:rPr>
          <w:rFonts w:cs="Arial"/>
        </w:rPr>
        <w:t xml:space="preserve"> California</w:t>
      </w:r>
      <w:r w:rsidRPr="001E269E">
        <w:rPr>
          <w:rFonts w:cs="Arial"/>
        </w:rPr>
        <w:t xml:space="preserve"> </w:t>
      </w:r>
      <w:r w:rsidRPr="001E269E">
        <w:rPr>
          <w:rFonts w:cs="Arial"/>
          <w:i/>
        </w:rPr>
        <w:t>E</w:t>
      </w:r>
      <w:r w:rsidR="00441C65" w:rsidRPr="001E269E">
        <w:rPr>
          <w:rFonts w:cs="Arial"/>
          <w:i/>
        </w:rPr>
        <w:t xml:space="preserve">ducation </w:t>
      </w:r>
      <w:r w:rsidRPr="001E269E">
        <w:rPr>
          <w:rFonts w:cs="Arial"/>
          <w:i/>
        </w:rPr>
        <w:t>C</w:t>
      </w:r>
      <w:r w:rsidR="00441C65" w:rsidRPr="001E269E">
        <w:rPr>
          <w:rFonts w:cs="Arial"/>
          <w:i/>
        </w:rPr>
        <w:t xml:space="preserve">ode </w:t>
      </w:r>
      <w:r w:rsidR="00441C65" w:rsidRPr="001E269E">
        <w:rPr>
          <w:rFonts w:cs="Arial"/>
        </w:rPr>
        <w:t>Section</w:t>
      </w:r>
      <w:r w:rsidRPr="001E269E">
        <w:rPr>
          <w:rFonts w:cs="Arial"/>
        </w:rPr>
        <w:t xml:space="preserve"> 53076(a) requires the Superintendent to determ</w:t>
      </w:r>
      <w:r w:rsidR="00832A5D" w:rsidRPr="001E269E">
        <w:rPr>
          <w:rFonts w:cs="Arial"/>
        </w:rPr>
        <w:t>ine, in collaboration with the Executive D</w:t>
      </w:r>
      <w:r w:rsidRPr="001E269E">
        <w:rPr>
          <w:rFonts w:cs="Arial"/>
        </w:rPr>
        <w:t xml:space="preserve">irector of the </w:t>
      </w:r>
      <w:r w:rsidR="00E66CC9" w:rsidRPr="001E269E">
        <w:rPr>
          <w:rFonts w:cs="Arial"/>
        </w:rPr>
        <w:t>State Board of Education (SBE)</w:t>
      </w:r>
      <w:r w:rsidRPr="001E269E">
        <w:rPr>
          <w:rFonts w:cs="Arial"/>
        </w:rPr>
        <w:t xml:space="preserve">, and make public at a regularly scheduled meeting of the </w:t>
      </w:r>
      <w:r w:rsidR="00E66CC9" w:rsidRPr="001E269E">
        <w:rPr>
          <w:rFonts w:cs="Arial"/>
        </w:rPr>
        <w:t>SBE</w:t>
      </w:r>
      <w:r w:rsidRPr="001E269E">
        <w:rPr>
          <w:rFonts w:cs="Arial"/>
        </w:rPr>
        <w:t xml:space="preserve">, the allocation formula, specific funding amounts, the purposes for which grant funds may be used, allowable and nonallowable expenditures, and the number of grants to be awarded. </w:t>
      </w:r>
      <w:r w:rsidR="008626B5" w:rsidRPr="001E269E">
        <w:rPr>
          <w:rFonts w:cs="Arial"/>
        </w:rPr>
        <w:t xml:space="preserve">The SBE item on the </w:t>
      </w:r>
      <w:r w:rsidR="00830417" w:rsidRPr="001E269E">
        <w:rPr>
          <w:rFonts w:cs="Arial"/>
        </w:rPr>
        <w:t xml:space="preserve">FY 2020–21 </w:t>
      </w:r>
      <w:r w:rsidR="008626B5" w:rsidRPr="001E269E">
        <w:rPr>
          <w:rFonts w:cs="Arial"/>
        </w:rPr>
        <w:t xml:space="preserve">CTEIG funding allocation </w:t>
      </w:r>
      <w:r w:rsidR="00830417" w:rsidRPr="001E269E">
        <w:rPr>
          <w:rFonts w:cs="Arial"/>
        </w:rPr>
        <w:t xml:space="preserve">was approved during </w:t>
      </w:r>
      <w:r w:rsidR="008626B5" w:rsidRPr="001E269E">
        <w:rPr>
          <w:rFonts w:cs="Arial"/>
        </w:rPr>
        <w:t>the January 2021 SBE meeting</w:t>
      </w:r>
      <w:r w:rsidR="004629C9" w:rsidRPr="001E269E">
        <w:rPr>
          <w:rFonts w:cs="Arial"/>
        </w:rPr>
        <w:t xml:space="preserve">, see </w:t>
      </w:r>
      <w:r w:rsidR="006A0D26" w:rsidRPr="001E269E">
        <w:rPr>
          <w:rFonts w:cs="Arial"/>
        </w:rPr>
        <w:t>I</w:t>
      </w:r>
      <w:r w:rsidR="004629C9" w:rsidRPr="001E269E">
        <w:rPr>
          <w:rFonts w:cs="Arial"/>
        </w:rPr>
        <w:t xml:space="preserve">tem 7 </w:t>
      </w:r>
      <w:r w:rsidR="00AB0F76" w:rsidRPr="001E269E">
        <w:rPr>
          <w:rFonts w:cs="Arial"/>
        </w:rPr>
        <w:t xml:space="preserve">on the SBE Agenda web page </w:t>
      </w:r>
      <w:r w:rsidR="004629C9" w:rsidRPr="001E269E">
        <w:rPr>
          <w:rFonts w:cs="Arial"/>
        </w:rPr>
        <w:t xml:space="preserve">at </w:t>
      </w:r>
      <w:hyperlink r:id="rId14" w:history="1">
        <w:r w:rsidR="004629C9" w:rsidRPr="001E269E">
          <w:rPr>
            <w:rStyle w:val="Hyperlink"/>
            <w:rFonts w:cs="Arial"/>
          </w:rPr>
          <w:t>https://www.cde.ca.gov/be/ag/ag/yr21/agenda202101.asp</w:t>
        </w:r>
      </w:hyperlink>
      <w:r w:rsidR="008626B5" w:rsidRPr="001E269E">
        <w:rPr>
          <w:rFonts w:cs="Arial"/>
        </w:rPr>
        <w:t>.</w:t>
      </w:r>
    </w:p>
    <w:p w14:paraId="5DB4A504" w14:textId="54F5B32A" w:rsidR="00157690" w:rsidRPr="001E269E" w:rsidRDefault="003A4F10" w:rsidP="00157690">
      <w:pPr>
        <w:tabs>
          <w:tab w:val="left" w:pos="1755"/>
        </w:tabs>
        <w:spacing w:after="240"/>
        <w:rPr>
          <w:rFonts w:cs="Arial"/>
          <w:b/>
        </w:rPr>
      </w:pPr>
      <w:r w:rsidRPr="001E269E">
        <w:rPr>
          <w:rFonts w:cs="Arial"/>
          <w:b/>
        </w:rPr>
        <w:t>The</w:t>
      </w:r>
      <w:r w:rsidR="00157690" w:rsidRPr="001E269E">
        <w:rPr>
          <w:rFonts w:cs="Arial"/>
          <w:b/>
        </w:rPr>
        <w:t xml:space="preserve"> FY 2020–21 K</w:t>
      </w:r>
      <w:r w:rsidR="008903CD" w:rsidRPr="001E269E">
        <w:rPr>
          <w:rFonts w:cs="Arial"/>
          <w:b/>
        </w:rPr>
        <w:t>–</w:t>
      </w:r>
      <w:r w:rsidR="00157690" w:rsidRPr="001E269E">
        <w:rPr>
          <w:rFonts w:cs="Arial"/>
          <w:b/>
        </w:rPr>
        <w:t xml:space="preserve">12 SWP </w:t>
      </w:r>
      <w:r w:rsidR="00830417" w:rsidRPr="001E269E">
        <w:rPr>
          <w:rFonts w:cs="Arial"/>
          <w:b/>
        </w:rPr>
        <w:t>Funding Allocations</w:t>
      </w:r>
      <w:r w:rsidRPr="001E269E">
        <w:rPr>
          <w:rFonts w:cs="Arial"/>
          <w:b/>
        </w:rPr>
        <w:t xml:space="preserve"> and Interim Measures</w:t>
      </w:r>
    </w:p>
    <w:p w14:paraId="723CB948" w14:textId="517A6ED7" w:rsidR="005A3D23" w:rsidRPr="001E269E" w:rsidRDefault="005A3D23" w:rsidP="005A3D23">
      <w:pPr>
        <w:spacing w:after="160" w:line="252" w:lineRule="auto"/>
      </w:pPr>
      <w:r w:rsidRPr="001E269E">
        <w:t>The CCCCO will provide an update regarding the K</w:t>
      </w:r>
      <w:r w:rsidR="00B1539A" w:rsidRPr="001E269E">
        <w:t>–</w:t>
      </w:r>
      <w:r w:rsidRPr="001E269E">
        <w:t xml:space="preserve">12 </w:t>
      </w:r>
      <w:r w:rsidR="00B1539A" w:rsidRPr="001E269E">
        <w:t xml:space="preserve">SWP </w:t>
      </w:r>
      <w:r w:rsidRPr="001E269E">
        <w:t>application and awards for Round 3</w:t>
      </w:r>
      <w:r w:rsidR="00EF2391" w:rsidRPr="001E269E">
        <w:t xml:space="preserve"> (2020-21 funding cycle);</w:t>
      </w:r>
      <w:r w:rsidR="00AB0F76" w:rsidRPr="001E269E">
        <w:t xml:space="preserve"> </w:t>
      </w:r>
      <w:r w:rsidRPr="001E269E">
        <w:t>the interim data collection efforts and analysis of the data collected about Round 1 program participants</w:t>
      </w:r>
      <w:r w:rsidR="00EF2391" w:rsidRPr="001E269E">
        <w:t xml:space="preserve"> (2018-19 funding cycle</w:t>
      </w:r>
      <w:r w:rsidR="00AB0F76" w:rsidRPr="001E269E">
        <w:t>).</w:t>
      </w:r>
    </w:p>
    <w:p w14:paraId="0CC67E81" w14:textId="56749DC5" w:rsidR="003A4F10" w:rsidRPr="001E269E" w:rsidRDefault="003A4F10" w:rsidP="005A3D23">
      <w:pPr>
        <w:spacing w:after="160" w:line="252" w:lineRule="auto"/>
        <w:rPr>
          <w:rFonts w:cs="Arial"/>
          <w:b/>
        </w:rPr>
      </w:pPr>
      <w:r w:rsidRPr="001E269E">
        <w:rPr>
          <w:rFonts w:cs="Arial"/>
          <w:b/>
        </w:rPr>
        <w:t>The K–14 Technical Assistance Providers (TAPs) and Pathway Coordinators (PCs)</w:t>
      </w:r>
    </w:p>
    <w:p w14:paraId="03751557" w14:textId="6C5E55A3" w:rsidR="003A4F10" w:rsidRPr="001E269E" w:rsidRDefault="003A4F10" w:rsidP="005A3D23">
      <w:pPr>
        <w:spacing w:after="160" w:line="252" w:lineRule="auto"/>
        <w:rPr>
          <w:rFonts w:cs="Arial"/>
        </w:rPr>
      </w:pPr>
      <w:r w:rsidRPr="001E269E">
        <w:rPr>
          <w:rFonts w:cs="Arial"/>
        </w:rPr>
        <w:t>The CCCCO and CDE will provide an update on the K–14 TAPs and PCs including trainings and webinars that have been provided.</w:t>
      </w:r>
    </w:p>
    <w:p w14:paraId="323FD620" w14:textId="4364234B" w:rsidR="003E4DF7" w:rsidRPr="001E269E" w:rsidRDefault="003E4DF7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lastRenderedPageBreak/>
        <w:t xml:space="preserve">Summary of Previous </w:t>
      </w:r>
      <w:r w:rsidR="0003321E" w:rsidRPr="001E269E">
        <w:rPr>
          <w:rFonts w:cs="Arial"/>
          <w:sz w:val="36"/>
          <w:szCs w:val="36"/>
        </w:rPr>
        <w:t xml:space="preserve">CWPJAC </w:t>
      </w:r>
      <w:r w:rsidRPr="001E269E">
        <w:rPr>
          <w:rFonts w:cs="Arial"/>
          <w:sz w:val="36"/>
          <w:szCs w:val="36"/>
        </w:rPr>
        <w:t>Discussion</w:t>
      </w:r>
      <w:r w:rsidR="00677419" w:rsidRPr="001E269E">
        <w:rPr>
          <w:rFonts w:cs="Arial"/>
          <w:sz w:val="36"/>
          <w:szCs w:val="36"/>
        </w:rPr>
        <w:t>(s)</w:t>
      </w:r>
      <w:r w:rsidRPr="001E269E">
        <w:rPr>
          <w:rFonts w:cs="Arial"/>
          <w:sz w:val="36"/>
          <w:szCs w:val="36"/>
        </w:rPr>
        <w:t xml:space="preserve"> and Action</w:t>
      </w:r>
      <w:r w:rsidR="00677419" w:rsidRPr="001E269E">
        <w:rPr>
          <w:rFonts w:cs="Arial"/>
          <w:sz w:val="36"/>
          <w:szCs w:val="36"/>
        </w:rPr>
        <w:t>(s)</w:t>
      </w:r>
    </w:p>
    <w:p w14:paraId="642C9790" w14:textId="3ABEDAEB" w:rsidR="00FF79CE" w:rsidRPr="001E269E" w:rsidRDefault="00FF79CE" w:rsidP="004C3487">
      <w:pPr>
        <w:tabs>
          <w:tab w:val="left" w:pos="1770"/>
        </w:tabs>
        <w:spacing w:after="240"/>
        <w:rPr>
          <w:rFonts w:cs="Arial"/>
        </w:rPr>
      </w:pPr>
      <w:r w:rsidRPr="001E269E">
        <w:rPr>
          <w:rFonts w:cs="Arial"/>
          <w:b/>
        </w:rPr>
        <w:t xml:space="preserve">November 20, 2020: </w:t>
      </w:r>
      <w:r w:rsidRPr="001E269E">
        <w:rPr>
          <w:rFonts w:cs="Arial"/>
        </w:rPr>
        <w:t>The CDE presented updates on the FY 2020</w:t>
      </w:r>
      <w:r w:rsidR="00B1539A" w:rsidRPr="001E269E">
        <w:rPr>
          <w:rFonts w:cs="Arial"/>
        </w:rPr>
        <w:t>–</w:t>
      </w:r>
      <w:r w:rsidRPr="001E269E">
        <w:rPr>
          <w:rFonts w:cs="Arial"/>
        </w:rPr>
        <w:t>21 CTEIG funding allocations</w:t>
      </w:r>
      <w:r w:rsidR="00EF4790" w:rsidRPr="001E269E">
        <w:rPr>
          <w:rFonts w:cs="Arial"/>
        </w:rPr>
        <w:t>;</w:t>
      </w:r>
      <w:r w:rsidRPr="001E269E">
        <w:rPr>
          <w:rFonts w:cs="Arial"/>
        </w:rPr>
        <w:t xml:space="preserve"> the FY 2020</w:t>
      </w:r>
      <w:r w:rsidR="00B1539A" w:rsidRPr="001E269E">
        <w:rPr>
          <w:rFonts w:cs="Arial"/>
        </w:rPr>
        <w:t>–</w:t>
      </w:r>
      <w:r w:rsidRPr="001E269E">
        <w:rPr>
          <w:rFonts w:cs="Arial"/>
        </w:rPr>
        <w:t>21 K–12 SWP application process</w:t>
      </w:r>
      <w:r w:rsidR="00EF4790" w:rsidRPr="001E269E">
        <w:rPr>
          <w:rFonts w:cs="Arial"/>
        </w:rPr>
        <w:t>;</w:t>
      </w:r>
      <w:r w:rsidRPr="001E269E">
        <w:rPr>
          <w:rFonts w:cs="Arial"/>
        </w:rPr>
        <w:t xml:space="preserve"> and the M</w:t>
      </w:r>
      <w:r w:rsidR="00B1539A" w:rsidRPr="001E269E">
        <w:rPr>
          <w:rFonts w:cs="Arial"/>
        </w:rPr>
        <w:t xml:space="preserve">emorandum of </w:t>
      </w:r>
      <w:r w:rsidRPr="001E269E">
        <w:rPr>
          <w:rFonts w:cs="Arial"/>
        </w:rPr>
        <w:t>U</w:t>
      </w:r>
      <w:r w:rsidR="00B1539A" w:rsidRPr="001E269E">
        <w:rPr>
          <w:rFonts w:cs="Arial"/>
        </w:rPr>
        <w:t>nderstanding (MOU)</w:t>
      </w:r>
      <w:r w:rsidRPr="001E269E">
        <w:rPr>
          <w:rFonts w:cs="Arial"/>
        </w:rPr>
        <w:t xml:space="preserve"> data sharing agreement between the CDE and CCCCO. Staff recommended that there be no change to the data metrics for both the CTEIG and K–12 SWP, and that a phased approach be </w:t>
      </w:r>
      <w:r w:rsidR="000B7883" w:rsidRPr="001E269E">
        <w:rPr>
          <w:rFonts w:cs="Arial"/>
        </w:rPr>
        <w:t xml:space="preserve">used </w:t>
      </w:r>
      <w:r w:rsidRPr="001E269E">
        <w:rPr>
          <w:rFonts w:cs="Arial"/>
        </w:rPr>
        <w:t>to operationalize the data metrics.</w:t>
      </w:r>
    </w:p>
    <w:p w14:paraId="5606536E" w14:textId="67D4A78C" w:rsidR="004C3487" w:rsidRPr="001E269E" w:rsidRDefault="004C3487" w:rsidP="004C3487">
      <w:pPr>
        <w:tabs>
          <w:tab w:val="left" w:pos="1770"/>
        </w:tabs>
        <w:spacing w:after="240"/>
        <w:rPr>
          <w:rFonts w:cs="Arial"/>
          <w:b/>
          <w:color w:val="000000" w:themeColor="text1"/>
        </w:rPr>
      </w:pPr>
      <w:r w:rsidRPr="001E269E">
        <w:rPr>
          <w:rFonts w:cs="Arial"/>
          <w:b/>
        </w:rPr>
        <w:t xml:space="preserve">September 25, 2020: </w:t>
      </w:r>
      <w:r w:rsidRPr="001E269E">
        <w:rPr>
          <w:rFonts w:cs="Arial"/>
        </w:rPr>
        <w:t xml:space="preserve">The </w:t>
      </w:r>
      <w:r w:rsidRPr="001E269E">
        <w:rPr>
          <w:rFonts w:cs="Arial"/>
          <w:color w:val="000000" w:themeColor="text1"/>
        </w:rPr>
        <w:t>CDE presented an update to the CTEIG application</w:t>
      </w:r>
      <w:r w:rsidR="00832A5D" w:rsidRPr="001E269E">
        <w:rPr>
          <w:rFonts w:cs="Arial"/>
          <w:color w:val="000000" w:themeColor="text1"/>
        </w:rPr>
        <w:t>,</w:t>
      </w:r>
      <w:r w:rsidRPr="001E269E">
        <w:rPr>
          <w:rFonts w:cs="Arial"/>
          <w:color w:val="000000" w:themeColor="text1"/>
        </w:rPr>
        <w:t xml:space="preserve"> </w:t>
      </w:r>
      <w:r w:rsidR="00606403" w:rsidRPr="001E269E">
        <w:rPr>
          <w:rFonts w:cs="Arial"/>
          <w:color w:val="000000" w:themeColor="text1"/>
        </w:rPr>
        <w:t xml:space="preserve">and </w:t>
      </w:r>
      <w:r w:rsidRPr="001E269E">
        <w:rPr>
          <w:rFonts w:cs="Arial"/>
          <w:color w:val="000000" w:themeColor="text1"/>
        </w:rPr>
        <w:t>the CCCCO</w:t>
      </w:r>
      <w:r w:rsidR="00606403" w:rsidRPr="001E269E">
        <w:rPr>
          <w:rFonts w:cs="Arial"/>
          <w:color w:val="000000" w:themeColor="text1"/>
        </w:rPr>
        <w:t xml:space="preserve"> provided an update</w:t>
      </w:r>
      <w:r w:rsidRPr="001E269E">
        <w:rPr>
          <w:rFonts w:cs="Arial"/>
          <w:color w:val="000000" w:themeColor="text1"/>
        </w:rPr>
        <w:t xml:space="preserve"> on the status of the </w:t>
      </w:r>
      <w:r w:rsidR="00BB4EF5" w:rsidRPr="001E269E">
        <w:rPr>
          <w:rFonts w:cs="Arial"/>
          <w:color w:val="000000" w:themeColor="text1"/>
        </w:rPr>
        <w:t>K</w:t>
      </w:r>
      <w:r w:rsidR="00BE712B" w:rsidRPr="001E269E">
        <w:rPr>
          <w:rFonts w:cs="Arial"/>
          <w:color w:val="000000" w:themeColor="text1"/>
        </w:rPr>
        <w:t>–</w:t>
      </w:r>
      <w:r w:rsidRPr="001E269E">
        <w:rPr>
          <w:rFonts w:cs="Arial"/>
          <w:color w:val="000000" w:themeColor="text1"/>
        </w:rPr>
        <w:t xml:space="preserve">12 SWP application process. </w:t>
      </w:r>
      <w:r w:rsidR="00BB4EF5" w:rsidRPr="001E269E">
        <w:rPr>
          <w:rFonts w:cs="Arial"/>
          <w:color w:val="000000" w:themeColor="text1"/>
        </w:rPr>
        <w:t>Staff presented summary data reports</w:t>
      </w:r>
      <w:r w:rsidR="00606403" w:rsidRPr="001E269E">
        <w:rPr>
          <w:rFonts w:cs="Arial"/>
          <w:color w:val="000000" w:themeColor="text1"/>
        </w:rPr>
        <w:t xml:space="preserve">, </w:t>
      </w:r>
      <w:r w:rsidR="00842498" w:rsidRPr="001E269E">
        <w:rPr>
          <w:rFonts w:cs="Arial"/>
          <w:color w:val="000000" w:themeColor="text1"/>
        </w:rPr>
        <w:t>a status report</w:t>
      </w:r>
      <w:bookmarkStart w:id="0" w:name="_GoBack"/>
      <w:bookmarkEnd w:id="0"/>
      <w:r w:rsidR="00842498" w:rsidRPr="001E269E">
        <w:rPr>
          <w:rFonts w:cs="Arial"/>
          <w:color w:val="000000" w:themeColor="text1"/>
        </w:rPr>
        <w:t xml:space="preserve"> of</w:t>
      </w:r>
      <w:r w:rsidR="00BB4EF5" w:rsidRPr="001E269E">
        <w:rPr>
          <w:rFonts w:cs="Arial"/>
          <w:color w:val="000000" w:themeColor="text1"/>
        </w:rPr>
        <w:t xml:space="preserve"> the CTEIG and </w:t>
      </w:r>
      <w:r w:rsidR="00BE712B" w:rsidRPr="001E269E">
        <w:rPr>
          <w:rFonts w:cs="Arial"/>
          <w:color w:val="000000" w:themeColor="text1"/>
        </w:rPr>
        <w:t xml:space="preserve">the </w:t>
      </w:r>
      <w:r w:rsidR="00BB4EF5" w:rsidRPr="001E269E">
        <w:rPr>
          <w:rFonts w:cs="Arial"/>
          <w:color w:val="000000" w:themeColor="text1"/>
        </w:rPr>
        <w:t>K</w:t>
      </w:r>
      <w:r w:rsidR="00BE712B" w:rsidRPr="001E269E">
        <w:rPr>
          <w:rFonts w:cs="Arial"/>
          <w:color w:val="000000" w:themeColor="text1"/>
        </w:rPr>
        <w:t>–</w:t>
      </w:r>
      <w:r w:rsidR="00BB4EF5" w:rsidRPr="001E269E">
        <w:rPr>
          <w:rFonts w:cs="Arial"/>
          <w:color w:val="000000" w:themeColor="text1"/>
        </w:rPr>
        <w:t xml:space="preserve">12 SWP </w:t>
      </w:r>
      <w:r w:rsidR="00842498" w:rsidRPr="001E269E">
        <w:rPr>
          <w:rFonts w:cs="Arial"/>
          <w:color w:val="000000" w:themeColor="text1"/>
        </w:rPr>
        <w:t xml:space="preserve">Data </w:t>
      </w:r>
      <w:r w:rsidR="00BB4EF5" w:rsidRPr="001E269E">
        <w:rPr>
          <w:rFonts w:cs="Arial"/>
          <w:color w:val="000000" w:themeColor="text1"/>
        </w:rPr>
        <w:t>MOU</w:t>
      </w:r>
      <w:r w:rsidR="00842498" w:rsidRPr="001E269E">
        <w:rPr>
          <w:rFonts w:cs="Arial"/>
          <w:color w:val="000000" w:themeColor="text1"/>
        </w:rPr>
        <w:t>,</w:t>
      </w:r>
      <w:r w:rsidR="00606403" w:rsidRPr="001E269E">
        <w:rPr>
          <w:rFonts w:cs="Arial"/>
          <w:color w:val="000000" w:themeColor="text1"/>
        </w:rPr>
        <w:t xml:space="preserve"> and </w:t>
      </w:r>
      <w:r w:rsidR="00842498" w:rsidRPr="001E269E">
        <w:rPr>
          <w:rFonts w:cs="Arial"/>
          <w:color w:val="000000" w:themeColor="text1"/>
        </w:rPr>
        <w:t xml:space="preserve">recommended </w:t>
      </w:r>
      <w:r w:rsidR="00606403" w:rsidRPr="001E269E">
        <w:rPr>
          <w:rFonts w:cs="Arial"/>
          <w:color w:val="000000" w:themeColor="text1"/>
        </w:rPr>
        <w:t>revisions</w:t>
      </w:r>
      <w:r w:rsidR="00BB4EF5" w:rsidRPr="001E269E">
        <w:rPr>
          <w:rFonts w:cs="Arial"/>
          <w:color w:val="000000" w:themeColor="text1"/>
        </w:rPr>
        <w:t xml:space="preserve"> to the CTEIG and </w:t>
      </w:r>
      <w:r w:rsidR="00BE712B" w:rsidRPr="001E269E">
        <w:rPr>
          <w:rFonts w:cs="Arial"/>
          <w:color w:val="000000" w:themeColor="text1"/>
        </w:rPr>
        <w:t xml:space="preserve">the </w:t>
      </w:r>
      <w:r w:rsidR="00BB4EF5" w:rsidRPr="001E269E">
        <w:rPr>
          <w:rFonts w:cs="Arial"/>
          <w:color w:val="000000" w:themeColor="text1"/>
        </w:rPr>
        <w:t>K</w:t>
      </w:r>
      <w:r w:rsidR="00BE712B" w:rsidRPr="001E269E">
        <w:rPr>
          <w:rFonts w:cs="Arial"/>
          <w:color w:val="000000" w:themeColor="text1"/>
        </w:rPr>
        <w:t>–</w:t>
      </w:r>
      <w:r w:rsidR="00BB4EF5" w:rsidRPr="001E269E">
        <w:rPr>
          <w:rFonts w:cs="Arial"/>
          <w:color w:val="000000" w:themeColor="text1"/>
        </w:rPr>
        <w:t xml:space="preserve">12 SWP </w:t>
      </w:r>
      <w:r w:rsidR="00606403" w:rsidRPr="001E269E">
        <w:rPr>
          <w:rFonts w:cs="Arial"/>
          <w:color w:val="000000" w:themeColor="text1"/>
        </w:rPr>
        <w:t>Matrix of Metrics.</w:t>
      </w:r>
    </w:p>
    <w:p w14:paraId="4BBB7994" w14:textId="468423B9" w:rsidR="00227FDF" w:rsidRPr="001E269E" w:rsidRDefault="00227FDF" w:rsidP="00CE3317">
      <w:pPr>
        <w:tabs>
          <w:tab w:val="left" w:pos="1770"/>
        </w:tabs>
        <w:spacing w:after="240"/>
        <w:rPr>
          <w:rFonts w:cs="Arial"/>
          <w:b/>
          <w:color w:val="000000" w:themeColor="text1"/>
        </w:rPr>
      </w:pPr>
      <w:r w:rsidRPr="001E269E">
        <w:rPr>
          <w:rFonts w:cs="Arial"/>
          <w:b/>
        </w:rPr>
        <w:t xml:space="preserve">July 10, 2020: </w:t>
      </w:r>
      <w:r w:rsidRPr="001E269E">
        <w:rPr>
          <w:rFonts w:cs="Arial"/>
        </w:rPr>
        <w:t xml:space="preserve">The </w:t>
      </w:r>
      <w:r w:rsidRPr="001E269E">
        <w:rPr>
          <w:rFonts w:cs="Arial"/>
          <w:color w:val="000000" w:themeColor="text1"/>
        </w:rPr>
        <w:t>CDE presented a 12 Essential Elements of a High-Quality College and Career Pathway Framework document. The Framework document will be used to develop a new CTEIG CTE Program Self-Evaluation.</w:t>
      </w:r>
      <w:r w:rsidRPr="001E269E">
        <w:rPr>
          <w:rFonts w:cs="Arial"/>
          <w:b/>
          <w:color w:val="000000" w:themeColor="text1"/>
        </w:rPr>
        <w:t xml:space="preserve"> </w:t>
      </w:r>
      <w:r w:rsidRPr="001E269E">
        <w:rPr>
          <w:rFonts w:cs="Arial"/>
        </w:rPr>
        <w:t xml:space="preserve">The CCCCO presented how the </w:t>
      </w:r>
      <w:r w:rsidR="00BE712B" w:rsidRPr="001E269E">
        <w:rPr>
          <w:rFonts w:cs="Arial"/>
        </w:rPr>
        <w:t xml:space="preserve">Guiding Policy Principles to Support Student-Centered K–14+ Pathways </w:t>
      </w:r>
      <w:r w:rsidRPr="001E269E">
        <w:rPr>
          <w:rFonts w:cs="Arial"/>
        </w:rPr>
        <w:t>have been intentionally incorporated into the K–12 SWP application</w:t>
      </w:r>
      <w:r w:rsidR="00606403" w:rsidRPr="001E269E">
        <w:rPr>
          <w:rFonts w:cs="Arial"/>
        </w:rPr>
        <w:t>.</w:t>
      </w:r>
    </w:p>
    <w:p w14:paraId="7233FBB4" w14:textId="77777777" w:rsidR="008D6B3D" w:rsidRPr="001E269E" w:rsidRDefault="008D6B3D" w:rsidP="00CE3317">
      <w:pPr>
        <w:spacing w:after="240"/>
        <w:rPr>
          <w:rFonts w:cs="Arial"/>
        </w:rPr>
      </w:pPr>
      <w:r w:rsidRPr="001E269E">
        <w:rPr>
          <w:rFonts w:cs="Arial"/>
          <w:b/>
        </w:rPr>
        <w:t xml:space="preserve">January 31, 2020: </w:t>
      </w:r>
      <w:r w:rsidRPr="001E269E">
        <w:rPr>
          <w:rFonts w:cs="Arial"/>
        </w:rPr>
        <w:t>The CW</w:t>
      </w:r>
      <w:r w:rsidR="00D370A0" w:rsidRPr="001E269E">
        <w:rPr>
          <w:rFonts w:cs="Arial"/>
        </w:rPr>
        <w:t>P</w:t>
      </w:r>
      <w:r w:rsidRPr="001E269E">
        <w:rPr>
          <w:rFonts w:cs="Arial"/>
        </w:rPr>
        <w:t xml:space="preserve">JAC </w:t>
      </w:r>
      <w:r w:rsidR="00BB15CF" w:rsidRPr="001E269E">
        <w:rPr>
          <w:rFonts w:cs="Arial"/>
        </w:rPr>
        <w:t>reviewed an</w:t>
      </w:r>
      <w:r w:rsidRPr="001E269E">
        <w:rPr>
          <w:rFonts w:cs="Arial"/>
        </w:rPr>
        <w:t xml:space="preserve"> updated Matrix of Metrics, an overview of both the CTEIG and K</w:t>
      </w:r>
      <w:r w:rsidR="00D82C7B" w:rsidRPr="001E269E">
        <w:rPr>
          <w:rFonts w:cs="Arial"/>
        </w:rPr>
        <w:t>–</w:t>
      </w:r>
      <w:r w:rsidRPr="001E269E">
        <w:rPr>
          <w:rFonts w:cs="Arial"/>
        </w:rPr>
        <w:t xml:space="preserve">12 SWP </w:t>
      </w:r>
      <w:r w:rsidR="00D82C7B" w:rsidRPr="001E269E">
        <w:rPr>
          <w:rFonts w:cs="Arial"/>
        </w:rPr>
        <w:t>FY</w:t>
      </w:r>
      <w:r w:rsidRPr="001E269E">
        <w:rPr>
          <w:rFonts w:cs="Arial"/>
        </w:rPr>
        <w:t xml:space="preserve"> 2019</w:t>
      </w:r>
      <w:r w:rsidR="00D82C7B" w:rsidRPr="001E269E">
        <w:rPr>
          <w:rFonts w:cs="Arial"/>
        </w:rPr>
        <w:t>–</w:t>
      </w:r>
      <w:r w:rsidRPr="001E269E">
        <w:rPr>
          <w:rFonts w:cs="Arial"/>
        </w:rPr>
        <w:t>20 grant processes, and the 2018–19</w:t>
      </w:r>
      <w:r w:rsidR="0003321E" w:rsidRPr="001E269E">
        <w:rPr>
          <w:rFonts w:cs="Arial"/>
        </w:rPr>
        <w:t xml:space="preserve"> CTE</w:t>
      </w:r>
      <w:r w:rsidRPr="001E269E">
        <w:rPr>
          <w:rFonts w:cs="Arial"/>
        </w:rPr>
        <w:t xml:space="preserve"> Postsecondary Status of CTE Completers Survey Template.</w:t>
      </w:r>
    </w:p>
    <w:p w14:paraId="4F4C1988" w14:textId="77777777" w:rsidR="008D6B3D" w:rsidRPr="001E269E" w:rsidRDefault="008D6B3D" w:rsidP="00CE3317">
      <w:pPr>
        <w:spacing w:after="240"/>
        <w:rPr>
          <w:rFonts w:cs="Arial"/>
        </w:rPr>
      </w:pPr>
      <w:r w:rsidRPr="001E269E">
        <w:rPr>
          <w:rFonts w:cs="Arial"/>
          <w:b/>
        </w:rPr>
        <w:t xml:space="preserve">November 7, 2019: </w:t>
      </w:r>
      <w:r w:rsidRPr="001E269E">
        <w:rPr>
          <w:rFonts w:cs="Arial"/>
        </w:rPr>
        <w:t>The CWPJAC approved the Matrix of Metrics</w:t>
      </w:r>
      <w:r w:rsidR="00BB15CF" w:rsidRPr="001E269E">
        <w:rPr>
          <w:rFonts w:cs="Arial"/>
        </w:rPr>
        <w:t xml:space="preserve"> revisions</w:t>
      </w:r>
      <w:r w:rsidR="00606403" w:rsidRPr="001E269E">
        <w:rPr>
          <w:rFonts w:cs="Arial"/>
        </w:rPr>
        <w:t xml:space="preserve"> </w:t>
      </w:r>
      <w:r w:rsidR="00BB15CF" w:rsidRPr="001E269E">
        <w:rPr>
          <w:rFonts w:cs="Arial"/>
        </w:rPr>
        <w:t xml:space="preserve">which incorporated </w:t>
      </w:r>
      <w:r w:rsidRPr="001E269E">
        <w:rPr>
          <w:rFonts w:cs="Arial"/>
        </w:rPr>
        <w:t xml:space="preserve">the </w:t>
      </w:r>
      <w:r w:rsidR="00121964" w:rsidRPr="001E269E">
        <w:rPr>
          <w:rFonts w:cs="Arial"/>
        </w:rPr>
        <w:t xml:space="preserve">requirements of </w:t>
      </w:r>
      <w:r w:rsidRPr="001E269E">
        <w:rPr>
          <w:rFonts w:cs="Arial"/>
        </w:rPr>
        <w:t>Perkins V language</w:t>
      </w:r>
      <w:r w:rsidR="00606403" w:rsidRPr="001E269E">
        <w:rPr>
          <w:rFonts w:cs="Arial"/>
        </w:rPr>
        <w:t>.</w:t>
      </w:r>
    </w:p>
    <w:p w14:paraId="6B23B00C" w14:textId="77777777" w:rsidR="003E4DF7" w:rsidRPr="001E269E" w:rsidRDefault="003E4DF7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t>Fiscal Analysis (as appropriate)</w:t>
      </w:r>
    </w:p>
    <w:p w14:paraId="5325BF8F" w14:textId="77777777" w:rsidR="00C72AD1" w:rsidRPr="001E269E" w:rsidRDefault="00C72AD1" w:rsidP="00C72AD1">
      <w:pPr>
        <w:spacing w:after="240"/>
        <w:rPr>
          <w:rFonts w:cs="Arial"/>
          <w:b/>
        </w:rPr>
      </w:pPr>
      <w:r w:rsidRPr="001E269E">
        <w:rPr>
          <w:rFonts w:cs="Arial"/>
        </w:rPr>
        <w:t xml:space="preserve">Funding available to eligible recipients under the CTEIG </w:t>
      </w:r>
      <w:r w:rsidR="00A80653" w:rsidRPr="001E269E">
        <w:rPr>
          <w:rFonts w:cs="Arial"/>
        </w:rPr>
        <w:t>i</w:t>
      </w:r>
      <w:r w:rsidRPr="001E269E">
        <w:rPr>
          <w:rFonts w:cs="Arial"/>
        </w:rPr>
        <w:t xml:space="preserve">s $150 million </w:t>
      </w:r>
      <w:r w:rsidR="00AF0408" w:rsidRPr="001E269E">
        <w:rPr>
          <w:rFonts w:cs="Arial"/>
        </w:rPr>
        <w:t>for the program year (PY) 20</w:t>
      </w:r>
      <w:r w:rsidR="00B46F06" w:rsidRPr="001E269E">
        <w:rPr>
          <w:rFonts w:cs="Arial"/>
        </w:rPr>
        <w:t>20</w:t>
      </w:r>
      <w:r w:rsidR="00AF0408" w:rsidRPr="001E269E">
        <w:rPr>
          <w:rFonts w:cs="Arial"/>
        </w:rPr>
        <w:t>–2</w:t>
      </w:r>
      <w:r w:rsidR="00B46F06" w:rsidRPr="001E269E">
        <w:rPr>
          <w:rFonts w:cs="Arial"/>
        </w:rPr>
        <w:t>1</w:t>
      </w:r>
      <w:r w:rsidRPr="001E269E">
        <w:rPr>
          <w:rFonts w:cs="Arial"/>
        </w:rPr>
        <w:t>, and</w:t>
      </w:r>
      <w:r w:rsidR="00586F79" w:rsidRPr="001E269E">
        <w:rPr>
          <w:rFonts w:cs="Arial"/>
        </w:rPr>
        <w:t xml:space="preserve"> </w:t>
      </w:r>
      <w:r w:rsidR="00D25FCD" w:rsidRPr="001E269E">
        <w:rPr>
          <w:rFonts w:cs="Arial"/>
        </w:rPr>
        <w:t>f</w:t>
      </w:r>
      <w:r w:rsidRPr="001E269E">
        <w:rPr>
          <w:rFonts w:cs="Arial"/>
        </w:rPr>
        <w:t>unding available under the K–12 SWP</w:t>
      </w:r>
      <w:r w:rsidR="00A80653" w:rsidRPr="001E269E">
        <w:rPr>
          <w:rFonts w:cs="Arial"/>
        </w:rPr>
        <w:t xml:space="preserve"> i</w:t>
      </w:r>
      <w:r w:rsidRPr="001E269E">
        <w:rPr>
          <w:rFonts w:cs="Arial"/>
        </w:rPr>
        <w:t xml:space="preserve">s $150 million </w:t>
      </w:r>
      <w:r w:rsidR="00AF0408" w:rsidRPr="001E269E">
        <w:rPr>
          <w:rFonts w:cs="Arial"/>
        </w:rPr>
        <w:t>for PY 20</w:t>
      </w:r>
      <w:r w:rsidR="00B46F06" w:rsidRPr="001E269E">
        <w:rPr>
          <w:rFonts w:cs="Arial"/>
        </w:rPr>
        <w:t>20</w:t>
      </w:r>
      <w:r w:rsidR="00AF0408" w:rsidRPr="001E269E">
        <w:rPr>
          <w:rFonts w:cs="Arial"/>
        </w:rPr>
        <w:t>–2</w:t>
      </w:r>
      <w:r w:rsidR="00B46F06" w:rsidRPr="001E269E">
        <w:rPr>
          <w:rFonts w:cs="Arial"/>
        </w:rPr>
        <w:t>1</w:t>
      </w:r>
      <w:r w:rsidR="00D25FCD" w:rsidRPr="001E269E">
        <w:rPr>
          <w:rFonts w:cs="Arial"/>
        </w:rPr>
        <w:t xml:space="preserve"> for</w:t>
      </w:r>
      <w:r w:rsidRPr="001E269E">
        <w:rPr>
          <w:rFonts w:cs="Arial"/>
        </w:rPr>
        <w:t xml:space="preserve"> eligible recipients. </w:t>
      </w:r>
      <w:r w:rsidR="001C3DC0" w:rsidRPr="001E269E">
        <w:rPr>
          <w:rFonts w:cs="Arial"/>
        </w:rPr>
        <w:t>In addition,</w:t>
      </w:r>
      <w:r w:rsidRPr="001E269E">
        <w:rPr>
          <w:rFonts w:cs="Arial"/>
        </w:rPr>
        <w:t xml:space="preserve"> $1</w:t>
      </w:r>
      <w:r w:rsidR="00AD489B" w:rsidRPr="001E269E">
        <w:rPr>
          <w:rFonts w:cs="Arial"/>
        </w:rPr>
        <w:t>3.5</w:t>
      </w:r>
      <w:r w:rsidRPr="001E269E">
        <w:rPr>
          <w:rFonts w:cs="Arial"/>
        </w:rPr>
        <w:t xml:space="preserve"> million</w:t>
      </w:r>
      <w:r w:rsidR="00A14CA6" w:rsidRPr="001E269E">
        <w:rPr>
          <w:rFonts w:cs="Arial"/>
        </w:rPr>
        <w:t xml:space="preserve"> </w:t>
      </w:r>
      <w:r w:rsidR="00A80653" w:rsidRPr="001E269E">
        <w:rPr>
          <w:rFonts w:cs="Arial"/>
        </w:rPr>
        <w:t>i</w:t>
      </w:r>
      <w:r w:rsidR="00AF0408" w:rsidRPr="001E269E">
        <w:rPr>
          <w:rFonts w:cs="Arial"/>
        </w:rPr>
        <w:t>s</w:t>
      </w:r>
      <w:r w:rsidRPr="001E269E">
        <w:rPr>
          <w:rFonts w:cs="Arial"/>
        </w:rPr>
        <w:t xml:space="preserve"> </w:t>
      </w:r>
      <w:r w:rsidR="00EA0CEF" w:rsidRPr="001E269E">
        <w:rPr>
          <w:rFonts w:cs="Arial"/>
        </w:rPr>
        <w:t xml:space="preserve">provided </w:t>
      </w:r>
      <w:r w:rsidR="00B40246" w:rsidRPr="001E269E">
        <w:rPr>
          <w:rFonts w:cs="Arial"/>
        </w:rPr>
        <w:t xml:space="preserve">to support </w:t>
      </w:r>
      <w:r w:rsidR="002D7DA4" w:rsidRPr="001E269E">
        <w:rPr>
          <w:rFonts w:cs="Arial"/>
        </w:rPr>
        <w:t xml:space="preserve">eight </w:t>
      </w:r>
      <w:r w:rsidRPr="001E269E">
        <w:rPr>
          <w:rFonts w:cs="Arial"/>
        </w:rPr>
        <w:t xml:space="preserve">K–14 </w:t>
      </w:r>
      <w:r w:rsidR="00D82C7B" w:rsidRPr="001E269E">
        <w:rPr>
          <w:rFonts w:cs="Arial"/>
        </w:rPr>
        <w:t>Technical Assistance Providers</w:t>
      </w:r>
      <w:r w:rsidR="00B40246" w:rsidRPr="001E269E">
        <w:rPr>
          <w:rFonts w:cs="Arial"/>
        </w:rPr>
        <w:t xml:space="preserve"> and </w:t>
      </w:r>
      <w:r w:rsidR="002D7DA4" w:rsidRPr="001E269E">
        <w:rPr>
          <w:rFonts w:cs="Arial"/>
        </w:rPr>
        <w:t xml:space="preserve">72 </w:t>
      </w:r>
      <w:r w:rsidR="00B40246" w:rsidRPr="001E269E">
        <w:rPr>
          <w:rFonts w:cs="Arial"/>
        </w:rPr>
        <w:t xml:space="preserve">workforce </w:t>
      </w:r>
      <w:r w:rsidR="00121964" w:rsidRPr="001E269E">
        <w:rPr>
          <w:rFonts w:cs="Arial"/>
        </w:rPr>
        <w:t xml:space="preserve">pathway </w:t>
      </w:r>
      <w:r w:rsidR="00B40246" w:rsidRPr="001E269E">
        <w:rPr>
          <w:rFonts w:cs="Arial"/>
        </w:rPr>
        <w:t>coordinators</w:t>
      </w:r>
      <w:r w:rsidRPr="001E269E">
        <w:rPr>
          <w:rFonts w:cs="Arial"/>
        </w:rPr>
        <w:t xml:space="preserve"> </w:t>
      </w:r>
      <w:r w:rsidR="00B40246" w:rsidRPr="001E269E">
        <w:rPr>
          <w:rFonts w:cs="Arial"/>
        </w:rPr>
        <w:t>for</w:t>
      </w:r>
      <w:r w:rsidRPr="001E269E">
        <w:rPr>
          <w:rFonts w:cs="Arial"/>
        </w:rPr>
        <w:t xml:space="preserve"> both CTEIG and K–12 SWP initiatives.</w:t>
      </w:r>
    </w:p>
    <w:p w14:paraId="6A32ACE2" w14:textId="77777777" w:rsidR="00406F50" w:rsidRPr="001E269E" w:rsidRDefault="00406F50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1E269E">
        <w:rPr>
          <w:rFonts w:cs="Arial"/>
          <w:sz w:val="36"/>
          <w:szCs w:val="36"/>
        </w:rPr>
        <w:t>Attachment(s)</w:t>
      </w:r>
    </w:p>
    <w:p w14:paraId="351F556F" w14:textId="565B4540" w:rsidR="00191509" w:rsidRPr="00D96824" w:rsidRDefault="009229C0" w:rsidP="00B1539A">
      <w:pPr>
        <w:spacing w:after="240"/>
        <w:rPr>
          <w:rFonts w:cs="Arial"/>
        </w:rPr>
      </w:pPr>
      <w:r w:rsidRPr="001E269E">
        <w:rPr>
          <w:rFonts w:cs="Arial"/>
        </w:rPr>
        <w:t>None</w:t>
      </w:r>
    </w:p>
    <w:sectPr w:rsidR="00191509" w:rsidRPr="00D96824" w:rsidSect="00E12B59">
      <w:headerReference w:type="even" r:id="rId15"/>
      <w:headerReference w:type="default" r:id="rId16"/>
      <w:headerReference w:type="first" r:id="rId17"/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81DD" w16cex:dateUtc="2020-12-16T20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F594" w14:textId="77777777" w:rsidR="003A7FA8" w:rsidRDefault="003A7FA8" w:rsidP="000E09DC">
      <w:r>
        <w:separator/>
      </w:r>
    </w:p>
  </w:endnote>
  <w:endnote w:type="continuationSeparator" w:id="0">
    <w:p w14:paraId="3004A732" w14:textId="77777777" w:rsidR="003A7FA8" w:rsidRDefault="003A7FA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441C" w14:textId="77777777" w:rsidR="003A7FA8" w:rsidRDefault="003A7FA8" w:rsidP="000E09DC">
      <w:r>
        <w:separator/>
      </w:r>
    </w:p>
  </w:footnote>
  <w:footnote w:type="continuationSeparator" w:id="0">
    <w:p w14:paraId="2CA140C5" w14:textId="77777777" w:rsidR="003A7FA8" w:rsidRDefault="003A7FA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96CF" w14:textId="77777777" w:rsidR="00E12B59" w:rsidRPr="00AA6EC1" w:rsidRDefault="00E12B59" w:rsidP="00E12B59">
    <w:pPr>
      <w:pStyle w:val="Header"/>
      <w:jc w:val="right"/>
      <w:rPr>
        <w:rFonts w:cs="Arial"/>
      </w:rPr>
    </w:pPr>
    <w:r>
      <w:rPr>
        <w:rFonts w:cs="Arial"/>
      </w:rPr>
      <w:t>cwpjac-nov20item02</w:t>
    </w:r>
  </w:p>
  <w:p w14:paraId="3F579CAF" w14:textId="0F463E93" w:rsidR="00E12B59" w:rsidRDefault="00E12B5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11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861B" w14:textId="2F5B747B" w:rsidR="00E12B59" w:rsidRPr="00AA6EC1" w:rsidRDefault="00E12B59" w:rsidP="00E12B59">
    <w:pPr>
      <w:pStyle w:val="Header"/>
      <w:jc w:val="right"/>
      <w:rPr>
        <w:rFonts w:cs="Arial"/>
      </w:rPr>
    </w:pPr>
    <w:r>
      <w:rPr>
        <w:rFonts w:cs="Arial"/>
      </w:rPr>
      <w:t>cwpjac-</w:t>
    </w:r>
    <w:r w:rsidR="000D5ED9">
      <w:rPr>
        <w:rFonts w:cs="Arial"/>
      </w:rPr>
      <w:t>jan21</w:t>
    </w:r>
    <w:r>
      <w:rPr>
        <w:rFonts w:cs="Arial"/>
      </w:rPr>
      <w:t>item02</w:t>
    </w:r>
  </w:p>
  <w:p w14:paraId="14C6EC6A" w14:textId="12F9CF5A" w:rsidR="00D7489A" w:rsidRPr="00E12B59" w:rsidRDefault="00E12B5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0B7883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0B7883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B599" w14:textId="77777777" w:rsidR="00D7489A" w:rsidRDefault="00D7489A" w:rsidP="003A0CCA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7E2CAC02" w14:textId="67C8D119" w:rsidR="00D7489A" w:rsidRPr="00AA6EC1" w:rsidRDefault="00D7489A" w:rsidP="003A0CCA">
    <w:pPr>
      <w:pStyle w:val="Header"/>
      <w:jc w:val="right"/>
      <w:rPr>
        <w:rFonts w:cs="Arial"/>
      </w:rPr>
    </w:pPr>
    <w:r>
      <w:rPr>
        <w:rFonts w:cs="Arial"/>
      </w:rPr>
      <w:t>cwpjac-</w:t>
    </w:r>
    <w:r w:rsidR="000D5ED9">
      <w:rPr>
        <w:rFonts w:cs="Arial"/>
      </w:rPr>
      <w:t>jan</w:t>
    </w:r>
    <w:r>
      <w:rPr>
        <w:rFonts w:cs="Arial"/>
      </w:rPr>
      <w:t>2</w:t>
    </w:r>
    <w:r w:rsidR="000D5ED9">
      <w:rPr>
        <w:rFonts w:cs="Arial"/>
      </w:rPr>
      <w:t>1</w:t>
    </w:r>
    <w:r>
      <w:rPr>
        <w:rFonts w:cs="Arial"/>
      </w:rPr>
      <w:t>item02</w:t>
    </w:r>
  </w:p>
  <w:p w14:paraId="12CFCBA1" w14:textId="77777777" w:rsidR="00D7489A" w:rsidRDefault="00D7489A" w:rsidP="003A0CCA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0B7883"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0B7883">
      <w:rPr>
        <w:rFonts w:cs="Arial"/>
        <w:bCs/>
        <w:noProof/>
      </w:rPr>
      <w:t>3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47F"/>
    <w:multiLevelType w:val="hybridMultilevel"/>
    <w:tmpl w:val="BD78250C"/>
    <w:lvl w:ilvl="0" w:tplc="A760A598">
      <w:start w:val="1"/>
      <w:numFmt w:val="upp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64A94"/>
    <w:multiLevelType w:val="hybridMultilevel"/>
    <w:tmpl w:val="BFBC2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5298"/>
    <w:multiLevelType w:val="hybridMultilevel"/>
    <w:tmpl w:val="F05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3DDB"/>
    <w:multiLevelType w:val="hybridMultilevel"/>
    <w:tmpl w:val="549E8DC4"/>
    <w:lvl w:ilvl="0" w:tplc="342A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A96C8F"/>
    <w:multiLevelType w:val="hybridMultilevel"/>
    <w:tmpl w:val="4F446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93E33"/>
    <w:multiLevelType w:val="hybridMultilevel"/>
    <w:tmpl w:val="D7B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15EC"/>
    <w:multiLevelType w:val="hybridMultilevel"/>
    <w:tmpl w:val="7832948E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71C9"/>
    <w:multiLevelType w:val="hybridMultilevel"/>
    <w:tmpl w:val="1EAAB9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57D9"/>
    <w:multiLevelType w:val="hybridMultilevel"/>
    <w:tmpl w:val="BCCA4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6610B9"/>
    <w:multiLevelType w:val="hybridMultilevel"/>
    <w:tmpl w:val="73EA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F7B42"/>
    <w:multiLevelType w:val="hybridMultilevel"/>
    <w:tmpl w:val="E3C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3FA6"/>
    <w:multiLevelType w:val="hybridMultilevel"/>
    <w:tmpl w:val="AE102D88"/>
    <w:lvl w:ilvl="0" w:tplc="E592B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A59A6"/>
    <w:multiLevelType w:val="hybridMultilevel"/>
    <w:tmpl w:val="9A8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E5E8A"/>
    <w:multiLevelType w:val="hybridMultilevel"/>
    <w:tmpl w:val="30CA08E0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946A408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46E82"/>
    <w:multiLevelType w:val="hybridMultilevel"/>
    <w:tmpl w:val="5CE2DBFA"/>
    <w:lvl w:ilvl="0" w:tplc="91C01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8076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FA6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2C7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602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A3E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1EA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4BC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3ED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27830"/>
    <w:multiLevelType w:val="hybridMultilevel"/>
    <w:tmpl w:val="3F9E13FE"/>
    <w:lvl w:ilvl="0" w:tplc="617C39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C6D11"/>
    <w:multiLevelType w:val="hybridMultilevel"/>
    <w:tmpl w:val="5322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2229CA"/>
    <w:multiLevelType w:val="hybridMultilevel"/>
    <w:tmpl w:val="27425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366A3"/>
    <w:multiLevelType w:val="hybridMultilevel"/>
    <w:tmpl w:val="83B09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22"/>
  </w:num>
  <w:num w:numId="6">
    <w:abstractNumId w:val="2"/>
  </w:num>
  <w:num w:numId="7">
    <w:abstractNumId w:val="12"/>
  </w:num>
  <w:num w:numId="8">
    <w:abstractNumId w:val="3"/>
  </w:num>
  <w:num w:numId="9">
    <w:abstractNumId w:val="25"/>
  </w:num>
  <w:num w:numId="10">
    <w:abstractNumId w:val="26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11"/>
  </w:num>
  <w:num w:numId="16">
    <w:abstractNumId w:val="16"/>
  </w:num>
  <w:num w:numId="17">
    <w:abstractNumId w:val="27"/>
  </w:num>
  <w:num w:numId="18">
    <w:abstractNumId w:val="20"/>
  </w:num>
  <w:num w:numId="19">
    <w:abstractNumId w:val="10"/>
  </w:num>
  <w:num w:numId="20">
    <w:abstractNumId w:val="0"/>
  </w:num>
  <w:num w:numId="21">
    <w:abstractNumId w:val="4"/>
  </w:num>
  <w:num w:numId="22">
    <w:abstractNumId w:val="7"/>
  </w:num>
  <w:num w:numId="23">
    <w:abstractNumId w:val="17"/>
  </w:num>
  <w:num w:numId="24">
    <w:abstractNumId w:val="21"/>
  </w:num>
  <w:num w:numId="25">
    <w:abstractNumId w:val="23"/>
  </w:num>
  <w:num w:numId="26">
    <w:abstractNumId w:val="15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D53"/>
    <w:rsid w:val="000027EE"/>
    <w:rsid w:val="00002A89"/>
    <w:rsid w:val="000040D5"/>
    <w:rsid w:val="000067A8"/>
    <w:rsid w:val="0001303B"/>
    <w:rsid w:val="00014370"/>
    <w:rsid w:val="00020B59"/>
    <w:rsid w:val="0002235C"/>
    <w:rsid w:val="000324AD"/>
    <w:rsid w:val="0003321E"/>
    <w:rsid w:val="000334CD"/>
    <w:rsid w:val="000401C9"/>
    <w:rsid w:val="000435B8"/>
    <w:rsid w:val="00046EE9"/>
    <w:rsid w:val="000578FF"/>
    <w:rsid w:val="000621AF"/>
    <w:rsid w:val="00062765"/>
    <w:rsid w:val="00062D3F"/>
    <w:rsid w:val="00063275"/>
    <w:rsid w:val="00067290"/>
    <w:rsid w:val="000705EA"/>
    <w:rsid w:val="00073372"/>
    <w:rsid w:val="00074805"/>
    <w:rsid w:val="00086B7F"/>
    <w:rsid w:val="00093974"/>
    <w:rsid w:val="00093BF4"/>
    <w:rsid w:val="00094714"/>
    <w:rsid w:val="00096CA8"/>
    <w:rsid w:val="00097B08"/>
    <w:rsid w:val="000A05A6"/>
    <w:rsid w:val="000A136F"/>
    <w:rsid w:val="000A2787"/>
    <w:rsid w:val="000A746C"/>
    <w:rsid w:val="000B0905"/>
    <w:rsid w:val="000B1226"/>
    <w:rsid w:val="000B5C2B"/>
    <w:rsid w:val="000B7883"/>
    <w:rsid w:val="000C1D49"/>
    <w:rsid w:val="000C3068"/>
    <w:rsid w:val="000C5DCF"/>
    <w:rsid w:val="000C63B6"/>
    <w:rsid w:val="000C6E48"/>
    <w:rsid w:val="000D35C8"/>
    <w:rsid w:val="000D5ED9"/>
    <w:rsid w:val="000E09DC"/>
    <w:rsid w:val="000E11D9"/>
    <w:rsid w:val="000E57F5"/>
    <w:rsid w:val="000F0270"/>
    <w:rsid w:val="000F03CE"/>
    <w:rsid w:val="000F225D"/>
    <w:rsid w:val="000F2A7C"/>
    <w:rsid w:val="000F3DCA"/>
    <w:rsid w:val="000F4F6F"/>
    <w:rsid w:val="000F7B5E"/>
    <w:rsid w:val="00101CBB"/>
    <w:rsid w:val="001048F3"/>
    <w:rsid w:val="0010668C"/>
    <w:rsid w:val="00106AFB"/>
    <w:rsid w:val="00112E7B"/>
    <w:rsid w:val="00115A04"/>
    <w:rsid w:val="001170AB"/>
    <w:rsid w:val="00121964"/>
    <w:rsid w:val="00130059"/>
    <w:rsid w:val="001329B0"/>
    <w:rsid w:val="00135768"/>
    <w:rsid w:val="00137F11"/>
    <w:rsid w:val="00140E69"/>
    <w:rsid w:val="0014120C"/>
    <w:rsid w:val="00141C23"/>
    <w:rsid w:val="00143D14"/>
    <w:rsid w:val="00144DF4"/>
    <w:rsid w:val="001472F4"/>
    <w:rsid w:val="00157690"/>
    <w:rsid w:val="001626F1"/>
    <w:rsid w:val="00164061"/>
    <w:rsid w:val="00164C5A"/>
    <w:rsid w:val="00167017"/>
    <w:rsid w:val="00167E35"/>
    <w:rsid w:val="001721C9"/>
    <w:rsid w:val="00172323"/>
    <w:rsid w:val="001731F3"/>
    <w:rsid w:val="0017400C"/>
    <w:rsid w:val="00180C36"/>
    <w:rsid w:val="0018148D"/>
    <w:rsid w:val="001814FC"/>
    <w:rsid w:val="001825ED"/>
    <w:rsid w:val="001828D0"/>
    <w:rsid w:val="0018691F"/>
    <w:rsid w:val="00191509"/>
    <w:rsid w:val="00194775"/>
    <w:rsid w:val="00194D47"/>
    <w:rsid w:val="00195E52"/>
    <w:rsid w:val="001A0CA5"/>
    <w:rsid w:val="001A12B0"/>
    <w:rsid w:val="001A53C0"/>
    <w:rsid w:val="001B0EF5"/>
    <w:rsid w:val="001B33BC"/>
    <w:rsid w:val="001B3958"/>
    <w:rsid w:val="001B67DD"/>
    <w:rsid w:val="001C27A1"/>
    <w:rsid w:val="001C280A"/>
    <w:rsid w:val="001C3DC0"/>
    <w:rsid w:val="001C48C1"/>
    <w:rsid w:val="001C4C02"/>
    <w:rsid w:val="001C4D24"/>
    <w:rsid w:val="001D0408"/>
    <w:rsid w:val="001D138A"/>
    <w:rsid w:val="001D1BCA"/>
    <w:rsid w:val="001D5632"/>
    <w:rsid w:val="001D6903"/>
    <w:rsid w:val="001E01E9"/>
    <w:rsid w:val="001E1929"/>
    <w:rsid w:val="001E269E"/>
    <w:rsid w:val="001F0B57"/>
    <w:rsid w:val="001F3D3F"/>
    <w:rsid w:val="00202B99"/>
    <w:rsid w:val="0020468C"/>
    <w:rsid w:val="00205533"/>
    <w:rsid w:val="00210872"/>
    <w:rsid w:val="00210D0F"/>
    <w:rsid w:val="00212525"/>
    <w:rsid w:val="00217419"/>
    <w:rsid w:val="00217FC3"/>
    <w:rsid w:val="0022016E"/>
    <w:rsid w:val="002204BB"/>
    <w:rsid w:val="00221598"/>
    <w:rsid w:val="002219C8"/>
    <w:rsid w:val="00223112"/>
    <w:rsid w:val="0022495E"/>
    <w:rsid w:val="002256AC"/>
    <w:rsid w:val="00225A48"/>
    <w:rsid w:val="00227FDF"/>
    <w:rsid w:val="00231862"/>
    <w:rsid w:val="0023256F"/>
    <w:rsid w:val="00240B26"/>
    <w:rsid w:val="0024129C"/>
    <w:rsid w:val="00243C5F"/>
    <w:rsid w:val="00245750"/>
    <w:rsid w:val="00246406"/>
    <w:rsid w:val="0025363B"/>
    <w:rsid w:val="0026062D"/>
    <w:rsid w:val="00267499"/>
    <w:rsid w:val="00267828"/>
    <w:rsid w:val="002717C0"/>
    <w:rsid w:val="002722A8"/>
    <w:rsid w:val="0028059B"/>
    <w:rsid w:val="00285BBA"/>
    <w:rsid w:val="00285DA3"/>
    <w:rsid w:val="002867FD"/>
    <w:rsid w:val="00286F20"/>
    <w:rsid w:val="00290809"/>
    <w:rsid w:val="00290E57"/>
    <w:rsid w:val="00293EAB"/>
    <w:rsid w:val="00294379"/>
    <w:rsid w:val="00296542"/>
    <w:rsid w:val="00297C98"/>
    <w:rsid w:val="002A02CB"/>
    <w:rsid w:val="002A0728"/>
    <w:rsid w:val="002A666E"/>
    <w:rsid w:val="002A7086"/>
    <w:rsid w:val="002B0B00"/>
    <w:rsid w:val="002B278B"/>
    <w:rsid w:val="002B4B14"/>
    <w:rsid w:val="002C5BE9"/>
    <w:rsid w:val="002C68E1"/>
    <w:rsid w:val="002C6CF7"/>
    <w:rsid w:val="002C7F6C"/>
    <w:rsid w:val="002D13AD"/>
    <w:rsid w:val="002D1A82"/>
    <w:rsid w:val="002D7DA4"/>
    <w:rsid w:val="002E0B94"/>
    <w:rsid w:val="002E1B69"/>
    <w:rsid w:val="002E30CC"/>
    <w:rsid w:val="002E4CB5"/>
    <w:rsid w:val="002E54A3"/>
    <w:rsid w:val="002E6FCA"/>
    <w:rsid w:val="002F1DAE"/>
    <w:rsid w:val="002F279B"/>
    <w:rsid w:val="002F3981"/>
    <w:rsid w:val="00303123"/>
    <w:rsid w:val="00304C3F"/>
    <w:rsid w:val="00311725"/>
    <w:rsid w:val="00311776"/>
    <w:rsid w:val="003140AF"/>
    <w:rsid w:val="003141EF"/>
    <w:rsid w:val="00315131"/>
    <w:rsid w:val="00323795"/>
    <w:rsid w:val="00324B8B"/>
    <w:rsid w:val="00325F59"/>
    <w:rsid w:val="00330624"/>
    <w:rsid w:val="003311CD"/>
    <w:rsid w:val="00331A2F"/>
    <w:rsid w:val="00337F11"/>
    <w:rsid w:val="00341CE3"/>
    <w:rsid w:val="00343E81"/>
    <w:rsid w:val="00346E58"/>
    <w:rsid w:val="00347FBF"/>
    <w:rsid w:val="003627EA"/>
    <w:rsid w:val="00362E36"/>
    <w:rsid w:val="00363520"/>
    <w:rsid w:val="0036578A"/>
    <w:rsid w:val="003666D8"/>
    <w:rsid w:val="003705FC"/>
    <w:rsid w:val="00371ED1"/>
    <w:rsid w:val="0037413D"/>
    <w:rsid w:val="00382CE5"/>
    <w:rsid w:val="00383464"/>
    <w:rsid w:val="00383A23"/>
    <w:rsid w:val="00384ACF"/>
    <w:rsid w:val="00384B74"/>
    <w:rsid w:val="00386C2E"/>
    <w:rsid w:val="003942E6"/>
    <w:rsid w:val="0039556E"/>
    <w:rsid w:val="00396705"/>
    <w:rsid w:val="003A0CCA"/>
    <w:rsid w:val="003A4F10"/>
    <w:rsid w:val="003A60F9"/>
    <w:rsid w:val="003A6A84"/>
    <w:rsid w:val="003A74FC"/>
    <w:rsid w:val="003A7FA8"/>
    <w:rsid w:val="003B0B17"/>
    <w:rsid w:val="003B101D"/>
    <w:rsid w:val="003B11CA"/>
    <w:rsid w:val="003B37A0"/>
    <w:rsid w:val="003B4154"/>
    <w:rsid w:val="003B485C"/>
    <w:rsid w:val="003B6254"/>
    <w:rsid w:val="003C2049"/>
    <w:rsid w:val="003C3CB6"/>
    <w:rsid w:val="003C79E6"/>
    <w:rsid w:val="003D1ECD"/>
    <w:rsid w:val="003D2FED"/>
    <w:rsid w:val="003E0AFD"/>
    <w:rsid w:val="003E1E8D"/>
    <w:rsid w:val="003E32E3"/>
    <w:rsid w:val="003E4DF7"/>
    <w:rsid w:val="003E7EEC"/>
    <w:rsid w:val="003F1C66"/>
    <w:rsid w:val="003F2DB6"/>
    <w:rsid w:val="003F4814"/>
    <w:rsid w:val="003F7CD4"/>
    <w:rsid w:val="0040468B"/>
    <w:rsid w:val="00406DAD"/>
    <w:rsid w:val="00406F50"/>
    <w:rsid w:val="00407E9B"/>
    <w:rsid w:val="004107D0"/>
    <w:rsid w:val="00413B6D"/>
    <w:rsid w:val="0041680C"/>
    <w:rsid w:val="004203BC"/>
    <w:rsid w:val="004207DC"/>
    <w:rsid w:val="00430B32"/>
    <w:rsid w:val="004319E4"/>
    <w:rsid w:val="004325CA"/>
    <w:rsid w:val="00432E90"/>
    <w:rsid w:val="00433DD0"/>
    <w:rsid w:val="00434163"/>
    <w:rsid w:val="00434ED0"/>
    <w:rsid w:val="004354F4"/>
    <w:rsid w:val="00437684"/>
    <w:rsid w:val="00441C65"/>
    <w:rsid w:val="00444B95"/>
    <w:rsid w:val="00444FA3"/>
    <w:rsid w:val="0044670C"/>
    <w:rsid w:val="00447742"/>
    <w:rsid w:val="00453038"/>
    <w:rsid w:val="00454BB1"/>
    <w:rsid w:val="004571E1"/>
    <w:rsid w:val="004629C9"/>
    <w:rsid w:val="00470968"/>
    <w:rsid w:val="00470FD6"/>
    <w:rsid w:val="004723B4"/>
    <w:rsid w:val="00474761"/>
    <w:rsid w:val="004752B9"/>
    <w:rsid w:val="0047534A"/>
    <w:rsid w:val="00476DBD"/>
    <w:rsid w:val="00480344"/>
    <w:rsid w:val="0048041C"/>
    <w:rsid w:val="00480F96"/>
    <w:rsid w:val="00481A2E"/>
    <w:rsid w:val="00482D01"/>
    <w:rsid w:val="00483064"/>
    <w:rsid w:val="00483165"/>
    <w:rsid w:val="004836BB"/>
    <w:rsid w:val="00485CD3"/>
    <w:rsid w:val="00491A3C"/>
    <w:rsid w:val="0049399F"/>
    <w:rsid w:val="00496759"/>
    <w:rsid w:val="004A3A16"/>
    <w:rsid w:val="004A3BD0"/>
    <w:rsid w:val="004A76DC"/>
    <w:rsid w:val="004B376F"/>
    <w:rsid w:val="004C20C0"/>
    <w:rsid w:val="004C301B"/>
    <w:rsid w:val="004C3487"/>
    <w:rsid w:val="004C57F7"/>
    <w:rsid w:val="004D2954"/>
    <w:rsid w:val="004D2A97"/>
    <w:rsid w:val="004D46CB"/>
    <w:rsid w:val="004E029B"/>
    <w:rsid w:val="004E74CA"/>
    <w:rsid w:val="004F1080"/>
    <w:rsid w:val="004F2C82"/>
    <w:rsid w:val="004F6259"/>
    <w:rsid w:val="004F7AB4"/>
    <w:rsid w:val="00501703"/>
    <w:rsid w:val="00502181"/>
    <w:rsid w:val="00504F7D"/>
    <w:rsid w:val="0050768D"/>
    <w:rsid w:val="00510FED"/>
    <w:rsid w:val="00512CAA"/>
    <w:rsid w:val="00512D98"/>
    <w:rsid w:val="00516B6E"/>
    <w:rsid w:val="00516F52"/>
    <w:rsid w:val="00517C00"/>
    <w:rsid w:val="00517C64"/>
    <w:rsid w:val="00525296"/>
    <w:rsid w:val="00526679"/>
    <w:rsid w:val="00527B0E"/>
    <w:rsid w:val="00532981"/>
    <w:rsid w:val="00540670"/>
    <w:rsid w:val="00543A49"/>
    <w:rsid w:val="0054640F"/>
    <w:rsid w:val="005466A4"/>
    <w:rsid w:val="00550B91"/>
    <w:rsid w:val="005531EC"/>
    <w:rsid w:val="00553ABA"/>
    <w:rsid w:val="00555C92"/>
    <w:rsid w:val="00555CC5"/>
    <w:rsid w:val="00557D10"/>
    <w:rsid w:val="00562413"/>
    <w:rsid w:val="00563981"/>
    <w:rsid w:val="0056668F"/>
    <w:rsid w:val="005705A5"/>
    <w:rsid w:val="00570D75"/>
    <w:rsid w:val="0057128D"/>
    <w:rsid w:val="005727BD"/>
    <w:rsid w:val="0057351F"/>
    <w:rsid w:val="005859C2"/>
    <w:rsid w:val="00585CC0"/>
    <w:rsid w:val="00586F79"/>
    <w:rsid w:val="00587A1D"/>
    <w:rsid w:val="0059193D"/>
    <w:rsid w:val="0059735B"/>
    <w:rsid w:val="005A3D23"/>
    <w:rsid w:val="005A776D"/>
    <w:rsid w:val="005B18B3"/>
    <w:rsid w:val="005B328C"/>
    <w:rsid w:val="005B4A8A"/>
    <w:rsid w:val="005B5FF9"/>
    <w:rsid w:val="005B7B1C"/>
    <w:rsid w:val="005C04D5"/>
    <w:rsid w:val="005C161E"/>
    <w:rsid w:val="005C2D5A"/>
    <w:rsid w:val="005C407C"/>
    <w:rsid w:val="005C4645"/>
    <w:rsid w:val="005D0467"/>
    <w:rsid w:val="005D2A3B"/>
    <w:rsid w:val="005D3564"/>
    <w:rsid w:val="005E2F1D"/>
    <w:rsid w:val="005E7340"/>
    <w:rsid w:val="005F590E"/>
    <w:rsid w:val="005F7611"/>
    <w:rsid w:val="00600842"/>
    <w:rsid w:val="00601378"/>
    <w:rsid w:val="006034C8"/>
    <w:rsid w:val="00604843"/>
    <w:rsid w:val="00605707"/>
    <w:rsid w:val="0060576F"/>
    <w:rsid w:val="0060622D"/>
    <w:rsid w:val="00606403"/>
    <w:rsid w:val="006142FF"/>
    <w:rsid w:val="0061717F"/>
    <w:rsid w:val="0062025C"/>
    <w:rsid w:val="00627626"/>
    <w:rsid w:val="00633411"/>
    <w:rsid w:val="0063446F"/>
    <w:rsid w:val="00641BC4"/>
    <w:rsid w:val="0064436F"/>
    <w:rsid w:val="0064744D"/>
    <w:rsid w:val="00653359"/>
    <w:rsid w:val="006553BA"/>
    <w:rsid w:val="006560B3"/>
    <w:rsid w:val="00657100"/>
    <w:rsid w:val="00665786"/>
    <w:rsid w:val="00670BE9"/>
    <w:rsid w:val="00671363"/>
    <w:rsid w:val="0067247F"/>
    <w:rsid w:val="00677419"/>
    <w:rsid w:val="0068567F"/>
    <w:rsid w:val="00692300"/>
    <w:rsid w:val="00693094"/>
    <w:rsid w:val="00693951"/>
    <w:rsid w:val="00696B59"/>
    <w:rsid w:val="0069737A"/>
    <w:rsid w:val="006A0D26"/>
    <w:rsid w:val="006A3829"/>
    <w:rsid w:val="006A4E4D"/>
    <w:rsid w:val="006A5099"/>
    <w:rsid w:val="006B09DA"/>
    <w:rsid w:val="006B185B"/>
    <w:rsid w:val="006B2111"/>
    <w:rsid w:val="006B324B"/>
    <w:rsid w:val="006B42A6"/>
    <w:rsid w:val="006B68B7"/>
    <w:rsid w:val="006B6BD9"/>
    <w:rsid w:val="006B76D1"/>
    <w:rsid w:val="006C2404"/>
    <w:rsid w:val="006C6310"/>
    <w:rsid w:val="006D0223"/>
    <w:rsid w:val="006D1A68"/>
    <w:rsid w:val="006D1CEF"/>
    <w:rsid w:val="006D3598"/>
    <w:rsid w:val="006D3B36"/>
    <w:rsid w:val="006D70A4"/>
    <w:rsid w:val="006E06C6"/>
    <w:rsid w:val="006E083B"/>
    <w:rsid w:val="006E0F99"/>
    <w:rsid w:val="006E302A"/>
    <w:rsid w:val="006E3F2A"/>
    <w:rsid w:val="006E7481"/>
    <w:rsid w:val="006E79FF"/>
    <w:rsid w:val="006F05A3"/>
    <w:rsid w:val="006F1584"/>
    <w:rsid w:val="006F1B7F"/>
    <w:rsid w:val="006F58C8"/>
    <w:rsid w:val="00700F50"/>
    <w:rsid w:val="00702A82"/>
    <w:rsid w:val="007032BD"/>
    <w:rsid w:val="0070334E"/>
    <w:rsid w:val="007051E8"/>
    <w:rsid w:val="007127CF"/>
    <w:rsid w:val="007129A9"/>
    <w:rsid w:val="00712D5B"/>
    <w:rsid w:val="007159C8"/>
    <w:rsid w:val="00716933"/>
    <w:rsid w:val="00716F41"/>
    <w:rsid w:val="0072129F"/>
    <w:rsid w:val="00722AFA"/>
    <w:rsid w:val="00723FD5"/>
    <w:rsid w:val="00726342"/>
    <w:rsid w:val="0072680E"/>
    <w:rsid w:val="00726EDA"/>
    <w:rsid w:val="007313A3"/>
    <w:rsid w:val="00731CCB"/>
    <w:rsid w:val="007362A5"/>
    <w:rsid w:val="00736694"/>
    <w:rsid w:val="00740368"/>
    <w:rsid w:val="00740ABA"/>
    <w:rsid w:val="007428B8"/>
    <w:rsid w:val="00743245"/>
    <w:rsid w:val="00746164"/>
    <w:rsid w:val="007475B7"/>
    <w:rsid w:val="00752071"/>
    <w:rsid w:val="007541F2"/>
    <w:rsid w:val="00754D9E"/>
    <w:rsid w:val="0075603A"/>
    <w:rsid w:val="00760008"/>
    <w:rsid w:val="00760937"/>
    <w:rsid w:val="0076439B"/>
    <w:rsid w:val="00764C25"/>
    <w:rsid w:val="00774050"/>
    <w:rsid w:val="00780BB6"/>
    <w:rsid w:val="00780D78"/>
    <w:rsid w:val="00783F32"/>
    <w:rsid w:val="007866CC"/>
    <w:rsid w:val="0078733C"/>
    <w:rsid w:val="0078738A"/>
    <w:rsid w:val="00790810"/>
    <w:rsid w:val="00791042"/>
    <w:rsid w:val="00793FD2"/>
    <w:rsid w:val="0079698A"/>
    <w:rsid w:val="007A1FCC"/>
    <w:rsid w:val="007A7605"/>
    <w:rsid w:val="007A7A5E"/>
    <w:rsid w:val="007B0102"/>
    <w:rsid w:val="007B12FA"/>
    <w:rsid w:val="007B19E0"/>
    <w:rsid w:val="007C3AA1"/>
    <w:rsid w:val="007C4C41"/>
    <w:rsid w:val="007C5597"/>
    <w:rsid w:val="007C5697"/>
    <w:rsid w:val="007C62BA"/>
    <w:rsid w:val="007C6663"/>
    <w:rsid w:val="007C6888"/>
    <w:rsid w:val="007D11B5"/>
    <w:rsid w:val="007D20FB"/>
    <w:rsid w:val="007D56F0"/>
    <w:rsid w:val="007D6A8F"/>
    <w:rsid w:val="007D78AF"/>
    <w:rsid w:val="007E0724"/>
    <w:rsid w:val="007E0E9B"/>
    <w:rsid w:val="007E135C"/>
    <w:rsid w:val="007E27C6"/>
    <w:rsid w:val="007E7B65"/>
    <w:rsid w:val="007F02BE"/>
    <w:rsid w:val="007F1E94"/>
    <w:rsid w:val="007F390B"/>
    <w:rsid w:val="007F3A41"/>
    <w:rsid w:val="007F419D"/>
    <w:rsid w:val="00801A7A"/>
    <w:rsid w:val="00807AE4"/>
    <w:rsid w:val="00811CEB"/>
    <w:rsid w:val="0081409D"/>
    <w:rsid w:val="008165D1"/>
    <w:rsid w:val="008262CC"/>
    <w:rsid w:val="0082774A"/>
    <w:rsid w:val="00827E27"/>
    <w:rsid w:val="00827F39"/>
    <w:rsid w:val="008301CE"/>
    <w:rsid w:val="00830417"/>
    <w:rsid w:val="00832A5D"/>
    <w:rsid w:val="008418C7"/>
    <w:rsid w:val="008422FD"/>
    <w:rsid w:val="00842498"/>
    <w:rsid w:val="00851085"/>
    <w:rsid w:val="008626B5"/>
    <w:rsid w:val="008634E7"/>
    <w:rsid w:val="008657B5"/>
    <w:rsid w:val="00867693"/>
    <w:rsid w:val="0087214B"/>
    <w:rsid w:val="008763AC"/>
    <w:rsid w:val="00883D95"/>
    <w:rsid w:val="00886D61"/>
    <w:rsid w:val="008903CD"/>
    <w:rsid w:val="008909EE"/>
    <w:rsid w:val="00893768"/>
    <w:rsid w:val="00894388"/>
    <w:rsid w:val="008946E7"/>
    <w:rsid w:val="0089685C"/>
    <w:rsid w:val="008A069A"/>
    <w:rsid w:val="008A1535"/>
    <w:rsid w:val="008A3519"/>
    <w:rsid w:val="008A603B"/>
    <w:rsid w:val="008B34B7"/>
    <w:rsid w:val="008B355F"/>
    <w:rsid w:val="008C0560"/>
    <w:rsid w:val="008C4C7A"/>
    <w:rsid w:val="008C5CCD"/>
    <w:rsid w:val="008C73C6"/>
    <w:rsid w:val="008C7D65"/>
    <w:rsid w:val="008D4CE5"/>
    <w:rsid w:val="008D6B3D"/>
    <w:rsid w:val="008E2C3A"/>
    <w:rsid w:val="008E71B8"/>
    <w:rsid w:val="008F0C94"/>
    <w:rsid w:val="008F151E"/>
    <w:rsid w:val="008F3A2B"/>
    <w:rsid w:val="00900BAB"/>
    <w:rsid w:val="00901D24"/>
    <w:rsid w:val="00903224"/>
    <w:rsid w:val="00904EA8"/>
    <w:rsid w:val="0091117B"/>
    <w:rsid w:val="009229C0"/>
    <w:rsid w:val="00924664"/>
    <w:rsid w:val="009249B0"/>
    <w:rsid w:val="0093189D"/>
    <w:rsid w:val="00932AEE"/>
    <w:rsid w:val="009347A8"/>
    <w:rsid w:val="00935E33"/>
    <w:rsid w:val="00940D4F"/>
    <w:rsid w:val="00943AED"/>
    <w:rsid w:val="00945D79"/>
    <w:rsid w:val="0094755F"/>
    <w:rsid w:val="009533BA"/>
    <w:rsid w:val="00955E39"/>
    <w:rsid w:val="00964C6B"/>
    <w:rsid w:val="00966015"/>
    <w:rsid w:val="00966F4D"/>
    <w:rsid w:val="00967C05"/>
    <w:rsid w:val="00970D21"/>
    <w:rsid w:val="00970FB0"/>
    <w:rsid w:val="009757CE"/>
    <w:rsid w:val="00980EB5"/>
    <w:rsid w:val="0098161C"/>
    <w:rsid w:val="00983709"/>
    <w:rsid w:val="00984558"/>
    <w:rsid w:val="009918FA"/>
    <w:rsid w:val="00992087"/>
    <w:rsid w:val="009923C9"/>
    <w:rsid w:val="009933A3"/>
    <w:rsid w:val="00993D2E"/>
    <w:rsid w:val="009A143F"/>
    <w:rsid w:val="009A2104"/>
    <w:rsid w:val="009A30B4"/>
    <w:rsid w:val="009A32D9"/>
    <w:rsid w:val="009B02E6"/>
    <w:rsid w:val="009B04E1"/>
    <w:rsid w:val="009B1108"/>
    <w:rsid w:val="009B1D61"/>
    <w:rsid w:val="009B3A84"/>
    <w:rsid w:val="009B422C"/>
    <w:rsid w:val="009B43B3"/>
    <w:rsid w:val="009B685E"/>
    <w:rsid w:val="009C33AF"/>
    <w:rsid w:val="009C55C9"/>
    <w:rsid w:val="009C6DF0"/>
    <w:rsid w:val="009D5028"/>
    <w:rsid w:val="009D59D9"/>
    <w:rsid w:val="009D652E"/>
    <w:rsid w:val="009E0551"/>
    <w:rsid w:val="009E0AF8"/>
    <w:rsid w:val="009E0F94"/>
    <w:rsid w:val="009E48AA"/>
    <w:rsid w:val="00A0083C"/>
    <w:rsid w:val="00A07F42"/>
    <w:rsid w:val="00A10EBF"/>
    <w:rsid w:val="00A11FF5"/>
    <w:rsid w:val="00A148D8"/>
    <w:rsid w:val="00A14CA6"/>
    <w:rsid w:val="00A16315"/>
    <w:rsid w:val="00A3048B"/>
    <w:rsid w:val="00A307EC"/>
    <w:rsid w:val="00A30B3C"/>
    <w:rsid w:val="00A30F75"/>
    <w:rsid w:val="00A406EA"/>
    <w:rsid w:val="00A41DA3"/>
    <w:rsid w:val="00A42B59"/>
    <w:rsid w:val="00A44021"/>
    <w:rsid w:val="00A44D83"/>
    <w:rsid w:val="00A47F19"/>
    <w:rsid w:val="00A55A35"/>
    <w:rsid w:val="00A60996"/>
    <w:rsid w:val="00A63624"/>
    <w:rsid w:val="00A738D2"/>
    <w:rsid w:val="00A77C5F"/>
    <w:rsid w:val="00A80653"/>
    <w:rsid w:val="00A80D3C"/>
    <w:rsid w:val="00A83645"/>
    <w:rsid w:val="00A84813"/>
    <w:rsid w:val="00A87356"/>
    <w:rsid w:val="00A90833"/>
    <w:rsid w:val="00A908B6"/>
    <w:rsid w:val="00A910A6"/>
    <w:rsid w:val="00A95AC7"/>
    <w:rsid w:val="00A96C70"/>
    <w:rsid w:val="00A970C5"/>
    <w:rsid w:val="00AA018F"/>
    <w:rsid w:val="00AB0F76"/>
    <w:rsid w:val="00AB3E61"/>
    <w:rsid w:val="00AB47B6"/>
    <w:rsid w:val="00AB6497"/>
    <w:rsid w:val="00AC1C8D"/>
    <w:rsid w:val="00AD1BF8"/>
    <w:rsid w:val="00AD1E5E"/>
    <w:rsid w:val="00AD1E77"/>
    <w:rsid w:val="00AD489B"/>
    <w:rsid w:val="00AE502C"/>
    <w:rsid w:val="00AE58A9"/>
    <w:rsid w:val="00AE5D9B"/>
    <w:rsid w:val="00AE6BBC"/>
    <w:rsid w:val="00AE7553"/>
    <w:rsid w:val="00AE7C23"/>
    <w:rsid w:val="00AF0408"/>
    <w:rsid w:val="00AF4B30"/>
    <w:rsid w:val="00AF7183"/>
    <w:rsid w:val="00AF7C84"/>
    <w:rsid w:val="00B00D73"/>
    <w:rsid w:val="00B02D60"/>
    <w:rsid w:val="00B04BD5"/>
    <w:rsid w:val="00B04EFD"/>
    <w:rsid w:val="00B114B5"/>
    <w:rsid w:val="00B11D66"/>
    <w:rsid w:val="00B134F6"/>
    <w:rsid w:val="00B15189"/>
    <w:rsid w:val="00B1539A"/>
    <w:rsid w:val="00B1634D"/>
    <w:rsid w:val="00B1638D"/>
    <w:rsid w:val="00B218D4"/>
    <w:rsid w:val="00B21CD1"/>
    <w:rsid w:val="00B2410E"/>
    <w:rsid w:val="00B24609"/>
    <w:rsid w:val="00B255D0"/>
    <w:rsid w:val="00B257FE"/>
    <w:rsid w:val="00B3179B"/>
    <w:rsid w:val="00B40246"/>
    <w:rsid w:val="00B40E8F"/>
    <w:rsid w:val="00B410B7"/>
    <w:rsid w:val="00B434AB"/>
    <w:rsid w:val="00B43AE4"/>
    <w:rsid w:val="00B43F85"/>
    <w:rsid w:val="00B4571C"/>
    <w:rsid w:val="00B46F06"/>
    <w:rsid w:val="00B53EAA"/>
    <w:rsid w:val="00B601C4"/>
    <w:rsid w:val="00B617B2"/>
    <w:rsid w:val="00B65CF0"/>
    <w:rsid w:val="00B65D8C"/>
    <w:rsid w:val="00B6696F"/>
    <w:rsid w:val="00B71EF8"/>
    <w:rsid w:val="00B723BE"/>
    <w:rsid w:val="00B73D87"/>
    <w:rsid w:val="00B7410C"/>
    <w:rsid w:val="00B74290"/>
    <w:rsid w:val="00B75379"/>
    <w:rsid w:val="00B8031B"/>
    <w:rsid w:val="00B817F4"/>
    <w:rsid w:val="00B82705"/>
    <w:rsid w:val="00B85450"/>
    <w:rsid w:val="00B86B44"/>
    <w:rsid w:val="00B87FEC"/>
    <w:rsid w:val="00B91194"/>
    <w:rsid w:val="00B93CAB"/>
    <w:rsid w:val="00B97471"/>
    <w:rsid w:val="00B97F42"/>
    <w:rsid w:val="00BA137B"/>
    <w:rsid w:val="00BA1476"/>
    <w:rsid w:val="00BA2A1A"/>
    <w:rsid w:val="00BA4046"/>
    <w:rsid w:val="00BA6A96"/>
    <w:rsid w:val="00BB03E6"/>
    <w:rsid w:val="00BB1368"/>
    <w:rsid w:val="00BB15CF"/>
    <w:rsid w:val="00BB2D11"/>
    <w:rsid w:val="00BB4EF5"/>
    <w:rsid w:val="00BB56E7"/>
    <w:rsid w:val="00BC1530"/>
    <w:rsid w:val="00BC55DA"/>
    <w:rsid w:val="00BC6620"/>
    <w:rsid w:val="00BC70C9"/>
    <w:rsid w:val="00BD68FE"/>
    <w:rsid w:val="00BE4ED8"/>
    <w:rsid w:val="00BE5EC4"/>
    <w:rsid w:val="00BE712B"/>
    <w:rsid w:val="00BF058E"/>
    <w:rsid w:val="00BF0F85"/>
    <w:rsid w:val="00BF2418"/>
    <w:rsid w:val="00BF67B9"/>
    <w:rsid w:val="00BF7FE2"/>
    <w:rsid w:val="00C00B7D"/>
    <w:rsid w:val="00C0289A"/>
    <w:rsid w:val="00C02EB5"/>
    <w:rsid w:val="00C05A1C"/>
    <w:rsid w:val="00C1016E"/>
    <w:rsid w:val="00C10675"/>
    <w:rsid w:val="00C11AFA"/>
    <w:rsid w:val="00C170A1"/>
    <w:rsid w:val="00C17F5D"/>
    <w:rsid w:val="00C20F6E"/>
    <w:rsid w:val="00C23DEE"/>
    <w:rsid w:val="00C24087"/>
    <w:rsid w:val="00C27D57"/>
    <w:rsid w:val="00C30DAE"/>
    <w:rsid w:val="00C3206E"/>
    <w:rsid w:val="00C33479"/>
    <w:rsid w:val="00C338C7"/>
    <w:rsid w:val="00C33943"/>
    <w:rsid w:val="00C359CA"/>
    <w:rsid w:val="00C405B1"/>
    <w:rsid w:val="00C41281"/>
    <w:rsid w:val="00C41339"/>
    <w:rsid w:val="00C421CE"/>
    <w:rsid w:val="00C458D7"/>
    <w:rsid w:val="00C47593"/>
    <w:rsid w:val="00C522A3"/>
    <w:rsid w:val="00C54D0A"/>
    <w:rsid w:val="00C60E0D"/>
    <w:rsid w:val="00C635C8"/>
    <w:rsid w:val="00C70170"/>
    <w:rsid w:val="00C71674"/>
    <w:rsid w:val="00C72AD1"/>
    <w:rsid w:val="00C75201"/>
    <w:rsid w:val="00C77532"/>
    <w:rsid w:val="00C827B3"/>
    <w:rsid w:val="00C82CBA"/>
    <w:rsid w:val="00C87131"/>
    <w:rsid w:val="00C878F7"/>
    <w:rsid w:val="00C909A2"/>
    <w:rsid w:val="00C930FE"/>
    <w:rsid w:val="00C939FC"/>
    <w:rsid w:val="00C95142"/>
    <w:rsid w:val="00C96415"/>
    <w:rsid w:val="00C97DB0"/>
    <w:rsid w:val="00CA0810"/>
    <w:rsid w:val="00CA2D14"/>
    <w:rsid w:val="00CA3510"/>
    <w:rsid w:val="00CA422A"/>
    <w:rsid w:val="00CA5D4C"/>
    <w:rsid w:val="00CA60A5"/>
    <w:rsid w:val="00CB0B8A"/>
    <w:rsid w:val="00CB211C"/>
    <w:rsid w:val="00CB4511"/>
    <w:rsid w:val="00CB64DD"/>
    <w:rsid w:val="00CC0DDE"/>
    <w:rsid w:val="00CC0E7B"/>
    <w:rsid w:val="00CC5BD2"/>
    <w:rsid w:val="00CD02A8"/>
    <w:rsid w:val="00CD1627"/>
    <w:rsid w:val="00CD391A"/>
    <w:rsid w:val="00CD7FB1"/>
    <w:rsid w:val="00CE0500"/>
    <w:rsid w:val="00CE1C84"/>
    <w:rsid w:val="00CE3317"/>
    <w:rsid w:val="00CE676A"/>
    <w:rsid w:val="00CE739E"/>
    <w:rsid w:val="00CF182F"/>
    <w:rsid w:val="00CF1A9B"/>
    <w:rsid w:val="00CF2DD0"/>
    <w:rsid w:val="00CF358E"/>
    <w:rsid w:val="00D01DBB"/>
    <w:rsid w:val="00D03D1F"/>
    <w:rsid w:val="00D0404D"/>
    <w:rsid w:val="00D04236"/>
    <w:rsid w:val="00D12098"/>
    <w:rsid w:val="00D1797A"/>
    <w:rsid w:val="00D25FCD"/>
    <w:rsid w:val="00D307D2"/>
    <w:rsid w:val="00D316CB"/>
    <w:rsid w:val="00D33086"/>
    <w:rsid w:val="00D336F8"/>
    <w:rsid w:val="00D33AF9"/>
    <w:rsid w:val="00D36A80"/>
    <w:rsid w:val="00D36E64"/>
    <w:rsid w:val="00D370A0"/>
    <w:rsid w:val="00D43921"/>
    <w:rsid w:val="00D44132"/>
    <w:rsid w:val="00D47DAB"/>
    <w:rsid w:val="00D5115F"/>
    <w:rsid w:val="00D60BD9"/>
    <w:rsid w:val="00D61502"/>
    <w:rsid w:val="00D62324"/>
    <w:rsid w:val="00D7084C"/>
    <w:rsid w:val="00D70D38"/>
    <w:rsid w:val="00D7184F"/>
    <w:rsid w:val="00D72DD8"/>
    <w:rsid w:val="00D742D3"/>
    <w:rsid w:val="00D7489A"/>
    <w:rsid w:val="00D75664"/>
    <w:rsid w:val="00D81928"/>
    <w:rsid w:val="00D81B79"/>
    <w:rsid w:val="00D82C7B"/>
    <w:rsid w:val="00D84A73"/>
    <w:rsid w:val="00D85512"/>
    <w:rsid w:val="00D8667C"/>
    <w:rsid w:val="00D86AB9"/>
    <w:rsid w:val="00D90C07"/>
    <w:rsid w:val="00D926A5"/>
    <w:rsid w:val="00D928A5"/>
    <w:rsid w:val="00D92BA9"/>
    <w:rsid w:val="00D94794"/>
    <w:rsid w:val="00D94A3B"/>
    <w:rsid w:val="00D96824"/>
    <w:rsid w:val="00DA0FB1"/>
    <w:rsid w:val="00DA211B"/>
    <w:rsid w:val="00DA62A1"/>
    <w:rsid w:val="00DA7A99"/>
    <w:rsid w:val="00DB20E9"/>
    <w:rsid w:val="00DB4A36"/>
    <w:rsid w:val="00DB4A4C"/>
    <w:rsid w:val="00DB4AD1"/>
    <w:rsid w:val="00DB6B17"/>
    <w:rsid w:val="00DC3431"/>
    <w:rsid w:val="00DD3C49"/>
    <w:rsid w:val="00DD4BD9"/>
    <w:rsid w:val="00DE2AFC"/>
    <w:rsid w:val="00DE3AAE"/>
    <w:rsid w:val="00DE42CF"/>
    <w:rsid w:val="00DE4AD3"/>
    <w:rsid w:val="00DE633B"/>
    <w:rsid w:val="00DF0E99"/>
    <w:rsid w:val="00DF2079"/>
    <w:rsid w:val="00DF6B12"/>
    <w:rsid w:val="00E01464"/>
    <w:rsid w:val="00E024EC"/>
    <w:rsid w:val="00E02DCF"/>
    <w:rsid w:val="00E038E9"/>
    <w:rsid w:val="00E07BA3"/>
    <w:rsid w:val="00E12B59"/>
    <w:rsid w:val="00E15CC7"/>
    <w:rsid w:val="00E17B80"/>
    <w:rsid w:val="00E245B7"/>
    <w:rsid w:val="00E27F54"/>
    <w:rsid w:val="00E30228"/>
    <w:rsid w:val="00E32FD1"/>
    <w:rsid w:val="00E34E23"/>
    <w:rsid w:val="00E3618F"/>
    <w:rsid w:val="00E41F38"/>
    <w:rsid w:val="00E420D3"/>
    <w:rsid w:val="00E43F6B"/>
    <w:rsid w:val="00E45F94"/>
    <w:rsid w:val="00E45FE4"/>
    <w:rsid w:val="00E506D2"/>
    <w:rsid w:val="00E5637B"/>
    <w:rsid w:val="00E5690D"/>
    <w:rsid w:val="00E56BDF"/>
    <w:rsid w:val="00E578D0"/>
    <w:rsid w:val="00E60842"/>
    <w:rsid w:val="00E630E9"/>
    <w:rsid w:val="00E63B56"/>
    <w:rsid w:val="00E64805"/>
    <w:rsid w:val="00E66CC9"/>
    <w:rsid w:val="00E67355"/>
    <w:rsid w:val="00E7052E"/>
    <w:rsid w:val="00E73478"/>
    <w:rsid w:val="00E75249"/>
    <w:rsid w:val="00E75A30"/>
    <w:rsid w:val="00E75F4F"/>
    <w:rsid w:val="00E760D6"/>
    <w:rsid w:val="00E7710A"/>
    <w:rsid w:val="00E82D3C"/>
    <w:rsid w:val="00E8380C"/>
    <w:rsid w:val="00E91680"/>
    <w:rsid w:val="00E94D26"/>
    <w:rsid w:val="00E9592E"/>
    <w:rsid w:val="00EA050D"/>
    <w:rsid w:val="00EA0CEF"/>
    <w:rsid w:val="00EA7D4F"/>
    <w:rsid w:val="00EB16F7"/>
    <w:rsid w:val="00EB4CE5"/>
    <w:rsid w:val="00EB6E7E"/>
    <w:rsid w:val="00EB7510"/>
    <w:rsid w:val="00EC0250"/>
    <w:rsid w:val="00EC504C"/>
    <w:rsid w:val="00EC5A6F"/>
    <w:rsid w:val="00EC700C"/>
    <w:rsid w:val="00EC7D2A"/>
    <w:rsid w:val="00ED1F9D"/>
    <w:rsid w:val="00ED38D6"/>
    <w:rsid w:val="00ED42A8"/>
    <w:rsid w:val="00ED5B28"/>
    <w:rsid w:val="00EE3906"/>
    <w:rsid w:val="00EE4F2A"/>
    <w:rsid w:val="00EE7A32"/>
    <w:rsid w:val="00EF1FC0"/>
    <w:rsid w:val="00EF2391"/>
    <w:rsid w:val="00EF4790"/>
    <w:rsid w:val="00EF5763"/>
    <w:rsid w:val="00EF57C4"/>
    <w:rsid w:val="00F060F0"/>
    <w:rsid w:val="00F1154D"/>
    <w:rsid w:val="00F13DD8"/>
    <w:rsid w:val="00F13ECC"/>
    <w:rsid w:val="00F16A29"/>
    <w:rsid w:val="00F21C74"/>
    <w:rsid w:val="00F24A9C"/>
    <w:rsid w:val="00F25602"/>
    <w:rsid w:val="00F26119"/>
    <w:rsid w:val="00F32ED9"/>
    <w:rsid w:val="00F347E0"/>
    <w:rsid w:val="00F40510"/>
    <w:rsid w:val="00F408F3"/>
    <w:rsid w:val="00F46B0E"/>
    <w:rsid w:val="00F54ACB"/>
    <w:rsid w:val="00F5637D"/>
    <w:rsid w:val="00F61CBA"/>
    <w:rsid w:val="00F70169"/>
    <w:rsid w:val="00F75E4C"/>
    <w:rsid w:val="00F76DC0"/>
    <w:rsid w:val="00F778D4"/>
    <w:rsid w:val="00F802EF"/>
    <w:rsid w:val="00F814C5"/>
    <w:rsid w:val="00F839B3"/>
    <w:rsid w:val="00F92721"/>
    <w:rsid w:val="00F932A4"/>
    <w:rsid w:val="00F97606"/>
    <w:rsid w:val="00F9769F"/>
    <w:rsid w:val="00FA6A74"/>
    <w:rsid w:val="00FA6E93"/>
    <w:rsid w:val="00FA7613"/>
    <w:rsid w:val="00FB1DF9"/>
    <w:rsid w:val="00FB6E97"/>
    <w:rsid w:val="00FC1F9D"/>
    <w:rsid w:val="00FC1FCE"/>
    <w:rsid w:val="00FC2674"/>
    <w:rsid w:val="00FC73BB"/>
    <w:rsid w:val="00FD059B"/>
    <w:rsid w:val="00FD4D0C"/>
    <w:rsid w:val="00FD5AD8"/>
    <w:rsid w:val="00FD6F32"/>
    <w:rsid w:val="00FD7BA7"/>
    <w:rsid w:val="00FE3007"/>
    <w:rsid w:val="00FE4BD6"/>
    <w:rsid w:val="00FE6531"/>
    <w:rsid w:val="00FF277C"/>
    <w:rsid w:val="00FF32F8"/>
    <w:rsid w:val="00FF43DB"/>
    <w:rsid w:val="00FF6FD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C6880"/>
  <w15:chartTrackingRefBased/>
  <w15:docId w15:val="{9B4C51BF-DF62-45AD-8569-70B6F44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0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FA"/>
    <w:rPr>
      <w:i/>
      <w:iCs/>
    </w:rPr>
  </w:style>
  <w:style w:type="paragraph" w:styleId="Revision">
    <w:name w:val="Revision"/>
    <w:hidden/>
    <w:uiPriority w:val="99"/>
    <w:semiHidden/>
    <w:rsid w:val="004967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D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5664"/>
    <w:rPr>
      <w:rFonts w:ascii="Times New Roman" w:eastAsiaTheme="minorHAnsi" w:hAnsi="Times New Roman"/>
    </w:rPr>
  </w:style>
  <w:style w:type="paragraph" w:customStyle="1" w:styleId="TableCategoryText">
    <w:name w:val="Table Category Text"/>
    <w:basedOn w:val="Normal"/>
    <w:uiPriority w:val="99"/>
    <w:rsid w:val="00157690"/>
    <w:pPr>
      <w:spacing w:line="270" w:lineRule="atLeast"/>
    </w:pPr>
    <w:rPr>
      <w:rFonts w:eastAsiaTheme="minorHAnsi" w:cs="Arial"/>
      <w:b/>
      <w:bCs/>
      <w:color w:val="394C57"/>
      <w:spacing w:val="-2"/>
    </w:rPr>
  </w:style>
  <w:style w:type="paragraph" w:customStyle="1" w:styleId="TableBodyText">
    <w:name w:val="Table Body Text"/>
    <w:basedOn w:val="Normal"/>
    <w:uiPriority w:val="99"/>
    <w:rsid w:val="00157690"/>
    <w:pPr>
      <w:spacing w:after="80" w:line="270" w:lineRule="atLeast"/>
    </w:pPr>
    <w:rPr>
      <w:rFonts w:eastAsiaTheme="minorHAnsi" w:cs="Arial"/>
      <w:color w:val="0071AE"/>
    </w:rPr>
  </w:style>
  <w:style w:type="paragraph" w:customStyle="1" w:styleId="TableHeaderRow">
    <w:name w:val="Table Header Row"/>
    <w:basedOn w:val="Normal"/>
    <w:uiPriority w:val="99"/>
    <w:rsid w:val="00157690"/>
    <w:pPr>
      <w:spacing w:line="270" w:lineRule="atLeast"/>
    </w:pPr>
    <w:rPr>
      <w:rFonts w:ascii="Arial Bold" w:eastAsiaTheme="minorHAnsi" w:hAnsi="Arial Bold" w:cs="Calibri"/>
      <w:b/>
      <w:bCs/>
      <w:color w:val="FFFFFF"/>
      <w:spacing w:val="-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F1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E7E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801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B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8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3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725754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be/ag/ag/yr21/agenda20210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B4149DB56643A7524376D43BE555" ma:contentTypeVersion="13" ma:contentTypeDescription="Create a new document." ma:contentTypeScope="" ma:versionID="1323a51a7bcda1d807ed8fd8bf54e375">
  <xsd:schema xmlns:xsd="http://www.w3.org/2001/XMLSchema" xmlns:xs="http://www.w3.org/2001/XMLSchema" xmlns:p="http://schemas.microsoft.com/office/2006/metadata/properties" xmlns:ns3="0bb52a69-017d-4317-9dde-86eefc68c425" xmlns:ns4="85277ba7-f4ce-4090-a5ae-2690180b07da" targetNamespace="http://schemas.microsoft.com/office/2006/metadata/properties" ma:root="true" ma:fieldsID="a2212a2245d0073e2c5d3d7dffe082ed" ns3:_="" ns4:_="">
    <xsd:import namespace="0bb52a69-017d-4317-9dde-86eefc68c425"/>
    <xsd:import namespace="85277ba7-f4ce-4090-a5ae-2690180b0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2a69-017d-4317-9dde-86eefc68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7ba7-f4ce-4090-a5ae-2690180b0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531D-DC11-4D1E-96AB-DF7B9A72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26150-F14B-422D-BA01-61BABEB9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2a69-017d-4317-9dde-86eefc68c425"/>
    <ds:schemaRef ds:uri="85277ba7-f4ce-4090-a5ae-2690180b0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244BB-83D5-43C9-AA91-6DBDB2198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ED84F-06D1-4D28-A79D-0650C1DE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2021 Agenda Item 02 - Career Technical Education (CA Dept of Education)</vt:lpstr>
    </vt:vector>
  </TitlesOfParts>
  <Company>CA Department of Education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2021 Agenda Item 02 - Career Technical Education (CA Dept of Education)</dc:title>
  <dc:subject>California Worforce Pathways Joint Advisory Committee (CWPJAC) Career Technical Education (CTE) Initiatives: Update on CTE Incentive Grant and K-12 Strong Workforce Program.</dc:subject>
  <dc:creator>Pradeep Kotamraju</dc:creator>
  <cp:keywords/>
  <dc:description/>
  <cp:lastModifiedBy>Christina Rodriguez</cp:lastModifiedBy>
  <cp:revision>3</cp:revision>
  <cp:lastPrinted>2019-01-30T17:24:00Z</cp:lastPrinted>
  <dcterms:created xsi:type="dcterms:W3CDTF">2021-01-19T16:57:00Z</dcterms:created>
  <dcterms:modified xsi:type="dcterms:W3CDTF">2021-01-19T17:45:00Z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0x010100068BB4149DB56643A7524376D43BE555</vt:lpwstr>
  </property>
</Properties>
</file>