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C868" w14:textId="77777777" w:rsidR="003A0CCA" w:rsidRPr="003311CD" w:rsidRDefault="003A0CCA" w:rsidP="003A0CCA">
      <w:pPr>
        <w:rPr>
          <w:rFonts w:cs="Arial"/>
        </w:rPr>
      </w:pPr>
      <w:r w:rsidRPr="003311CD">
        <w:rPr>
          <w:rFonts w:cs="Arial"/>
          <w:noProof/>
        </w:rPr>
        <w:drawing>
          <wp:inline distT="0" distB="0" distL="0" distR="0" wp14:anchorId="0E1D5C6B" wp14:editId="176F273A">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1E4091F2" wp14:editId="2E2BBB65">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5EC0DA4C" wp14:editId="27836FD3">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2049FB99" w14:textId="36B8DB36" w:rsidR="003A0CCA" w:rsidRPr="003311CD" w:rsidRDefault="003A0CCA" w:rsidP="003A0CCA">
      <w:pPr>
        <w:pStyle w:val="Heading1"/>
        <w:spacing w:before="480" w:after="240"/>
        <w:jc w:val="center"/>
        <w:rPr>
          <w:rFonts w:cs="Arial"/>
          <w:sz w:val="40"/>
          <w:szCs w:val="40"/>
        </w:rPr>
      </w:pPr>
      <w:r w:rsidRPr="003311CD">
        <w:rPr>
          <w:rFonts w:cs="Arial"/>
          <w:sz w:val="40"/>
          <w:szCs w:val="40"/>
        </w:rPr>
        <w:t>California Workforce Pathways</w:t>
      </w:r>
      <w:r w:rsidRPr="003311CD">
        <w:rPr>
          <w:rFonts w:cs="Arial"/>
          <w:sz w:val="40"/>
          <w:szCs w:val="40"/>
        </w:rPr>
        <w:br/>
        <w:t>Joint Advisory Committee</w:t>
      </w:r>
      <w:r w:rsidRPr="003311CD">
        <w:rPr>
          <w:rFonts w:cs="Arial"/>
          <w:sz w:val="40"/>
          <w:szCs w:val="40"/>
        </w:rPr>
        <w:br/>
      </w:r>
      <w:r w:rsidR="005E2F1D">
        <w:rPr>
          <w:rFonts w:cs="Arial"/>
          <w:sz w:val="40"/>
          <w:szCs w:val="40"/>
        </w:rPr>
        <w:t xml:space="preserve">January </w:t>
      </w:r>
      <w:r w:rsidR="005B53A0">
        <w:rPr>
          <w:rFonts w:cs="Arial"/>
          <w:sz w:val="40"/>
          <w:szCs w:val="40"/>
        </w:rPr>
        <w:t>29</w:t>
      </w:r>
      <w:r w:rsidR="005E2F1D">
        <w:rPr>
          <w:rFonts w:cs="Arial"/>
          <w:sz w:val="40"/>
          <w:szCs w:val="40"/>
        </w:rPr>
        <w:t>, 2021</w:t>
      </w:r>
      <w:r w:rsidRPr="003311CD">
        <w:rPr>
          <w:rFonts w:cs="Arial"/>
          <w:sz w:val="40"/>
          <w:szCs w:val="40"/>
        </w:rPr>
        <w:br/>
        <w:t xml:space="preserve">Agenda Item </w:t>
      </w:r>
      <w:r w:rsidR="0083774A">
        <w:rPr>
          <w:rFonts w:cs="Arial"/>
          <w:sz w:val="40"/>
          <w:szCs w:val="40"/>
        </w:rPr>
        <w:t>3</w:t>
      </w:r>
    </w:p>
    <w:p w14:paraId="5145F0CD" w14:textId="77777777" w:rsidR="003A0CCA" w:rsidRPr="003311CD" w:rsidRDefault="003A0CCA" w:rsidP="003A0CCA">
      <w:pPr>
        <w:jc w:val="center"/>
        <w:rPr>
          <w:rFonts w:cs="Arial"/>
        </w:rPr>
      </w:pPr>
      <w:r w:rsidRPr="003311CD">
        <w:rPr>
          <w:rFonts w:cs="Arial"/>
        </w:rPr>
        <w:t>Posted by the California Department of Education</w:t>
      </w:r>
    </w:p>
    <w:p w14:paraId="0333C89C" w14:textId="77777777" w:rsidR="00144DF4" w:rsidRPr="003311CD" w:rsidRDefault="00FC1FCE" w:rsidP="00D370A0">
      <w:pPr>
        <w:pStyle w:val="Heading2"/>
        <w:spacing w:before="480" w:after="240"/>
        <w:rPr>
          <w:rFonts w:cs="Arial"/>
          <w:sz w:val="36"/>
          <w:szCs w:val="36"/>
        </w:rPr>
      </w:pPr>
      <w:r w:rsidRPr="003311CD">
        <w:rPr>
          <w:rFonts w:cs="Arial"/>
          <w:sz w:val="36"/>
          <w:szCs w:val="36"/>
        </w:rPr>
        <w:t>Subject</w:t>
      </w:r>
    </w:p>
    <w:p w14:paraId="28EB7391" w14:textId="14845137" w:rsidR="0083774A" w:rsidRPr="0083774A" w:rsidRDefault="0083774A" w:rsidP="0083774A">
      <w:pPr>
        <w:tabs>
          <w:tab w:val="left" w:pos="1755"/>
        </w:tabs>
        <w:spacing w:after="240"/>
        <w:rPr>
          <w:rFonts w:cs="Arial"/>
        </w:rPr>
      </w:pPr>
      <w:r w:rsidRPr="00B81267">
        <w:rPr>
          <w:rFonts w:cs="Arial"/>
        </w:rPr>
        <w:t xml:space="preserve">Career </w:t>
      </w:r>
      <w:r w:rsidR="00A77523">
        <w:rPr>
          <w:rFonts w:cs="Arial"/>
        </w:rPr>
        <w:t>t</w:t>
      </w:r>
      <w:r w:rsidRPr="00B81267">
        <w:rPr>
          <w:rFonts w:cs="Arial"/>
        </w:rPr>
        <w:t xml:space="preserve">echnical </w:t>
      </w:r>
      <w:r w:rsidR="00A77523">
        <w:rPr>
          <w:rFonts w:cs="Arial"/>
        </w:rPr>
        <w:t>e</w:t>
      </w:r>
      <w:r w:rsidRPr="00B81267">
        <w:rPr>
          <w:rFonts w:cs="Arial"/>
        </w:rPr>
        <w:t>ducation (CTE) data reporting and interim analysis on short-term measures, and an outline of how short, intermediate, and long-term measures will be produced, including a timeline, on meeting the</w:t>
      </w:r>
      <w:r w:rsidR="00DB740C" w:rsidRPr="003311CD">
        <w:rPr>
          <w:rFonts w:cs="Arial"/>
        </w:rPr>
        <w:t xml:space="preserve"> </w:t>
      </w:r>
      <w:r w:rsidR="00A77523">
        <w:rPr>
          <w:rFonts w:cs="Arial"/>
        </w:rPr>
        <w:t xml:space="preserve">CTE </w:t>
      </w:r>
      <w:r w:rsidR="00DB740C" w:rsidRPr="003311CD">
        <w:rPr>
          <w:rFonts w:cs="Arial"/>
        </w:rPr>
        <w:t xml:space="preserve">Incentive Grant (CTEIG) and the Kindergarten through Grade Twelve Strong Workforce Program (K–12 SWP) </w:t>
      </w:r>
      <w:r w:rsidRPr="00B81267">
        <w:rPr>
          <w:rFonts w:cs="Arial"/>
        </w:rPr>
        <w:t xml:space="preserve">data metrics as outlined </w:t>
      </w:r>
      <w:r w:rsidR="00DB740C" w:rsidRPr="003311CD">
        <w:rPr>
          <w:rFonts w:cs="Arial"/>
        </w:rPr>
        <w:t xml:space="preserve">per California </w:t>
      </w:r>
      <w:r w:rsidR="00DB740C" w:rsidRPr="003311CD">
        <w:rPr>
          <w:rFonts w:cs="Arial"/>
          <w:i/>
        </w:rPr>
        <w:t>E</w:t>
      </w:r>
      <w:r w:rsidR="00A77523">
        <w:rPr>
          <w:rFonts w:cs="Arial"/>
          <w:i/>
        </w:rPr>
        <w:t xml:space="preserve">ducation </w:t>
      </w:r>
      <w:r w:rsidR="00DB740C" w:rsidRPr="003311CD">
        <w:rPr>
          <w:rFonts w:cs="Arial"/>
          <w:i/>
        </w:rPr>
        <w:t>C</w:t>
      </w:r>
      <w:r w:rsidR="00A77523">
        <w:rPr>
          <w:rFonts w:cs="Arial"/>
          <w:i/>
        </w:rPr>
        <w:t>ode (EC)</w:t>
      </w:r>
      <w:r w:rsidR="00DB740C" w:rsidRPr="003311CD">
        <w:rPr>
          <w:rFonts w:cs="Arial"/>
          <w:i/>
        </w:rPr>
        <w:t xml:space="preserve"> </w:t>
      </w:r>
      <w:r w:rsidR="00DB740C" w:rsidRPr="003311CD">
        <w:rPr>
          <w:rFonts w:cs="Arial"/>
        </w:rPr>
        <w:t>sections 53071 and 88828</w:t>
      </w:r>
      <w:r w:rsidRPr="00B81267">
        <w:rPr>
          <w:rFonts w:cs="Arial"/>
        </w:rPr>
        <w:t>.</w:t>
      </w:r>
    </w:p>
    <w:p w14:paraId="48B7EC81" w14:textId="77777777" w:rsidR="00FC1FCE" w:rsidRPr="003311CD" w:rsidRDefault="00FC1FCE" w:rsidP="003A0CCA">
      <w:pPr>
        <w:pStyle w:val="Heading2"/>
        <w:spacing w:before="480" w:after="240"/>
        <w:rPr>
          <w:rFonts w:cs="Arial"/>
          <w:sz w:val="36"/>
          <w:szCs w:val="36"/>
        </w:rPr>
      </w:pPr>
      <w:r w:rsidRPr="003311CD">
        <w:rPr>
          <w:rFonts w:cs="Arial"/>
          <w:sz w:val="36"/>
          <w:szCs w:val="36"/>
        </w:rPr>
        <w:t>Type of Action</w:t>
      </w:r>
    </w:p>
    <w:p w14:paraId="52F8EF32" w14:textId="2B325E87" w:rsidR="00D61502" w:rsidRPr="003311CD" w:rsidRDefault="00144DF4" w:rsidP="00D61502">
      <w:pPr>
        <w:spacing w:after="240"/>
        <w:rPr>
          <w:rFonts w:cs="Arial"/>
        </w:rPr>
      </w:pPr>
      <w:r w:rsidRPr="003311CD">
        <w:rPr>
          <w:rFonts w:cs="Arial"/>
          <w:noProof/>
        </w:rPr>
        <w:t>Information</w:t>
      </w:r>
    </w:p>
    <w:p w14:paraId="32FD454E" w14:textId="77777777" w:rsidR="00FC1FCE" w:rsidRPr="003311CD" w:rsidRDefault="00FC1FCE" w:rsidP="003A0CCA">
      <w:pPr>
        <w:pStyle w:val="Heading2"/>
        <w:spacing w:before="480" w:after="240"/>
        <w:rPr>
          <w:rFonts w:cs="Arial"/>
          <w:sz w:val="36"/>
          <w:szCs w:val="36"/>
        </w:rPr>
      </w:pPr>
      <w:r w:rsidRPr="003311CD">
        <w:rPr>
          <w:rFonts w:cs="Arial"/>
          <w:sz w:val="36"/>
          <w:szCs w:val="36"/>
        </w:rPr>
        <w:t>Summary of the Issue(s)</w:t>
      </w:r>
    </w:p>
    <w:p w14:paraId="395889A4" w14:textId="717FC20C" w:rsidR="00167E35" w:rsidRPr="003311CD" w:rsidRDefault="00BC70C9" w:rsidP="007051E8">
      <w:pPr>
        <w:tabs>
          <w:tab w:val="left" w:pos="1755"/>
        </w:tabs>
        <w:spacing w:after="240"/>
        <w:rPr>
          <w:rFonts w:cs="Arial"/>
        </w:rPr>
      </w:pPr>
      <w:r w:rsidRPr="003311CD">
        <w:rPr>
          <w:rFonts w:cs="Arial"/>
        </w:rPr>
        <w:t xml:space="preserve">This agenda item </w:t>
      </w:r>
      <w:r w:rsidR="002E315D" w:rsidRPr="00FC0D7D">
        <w:rPr>
          <w:rFonts w:cs="Arial"/>
        </w:rPr>
        <w:t>lays out a plan of action for collecting, reporting, and analyzing CTE data</w:t>
      </w:r>
      <w:r w:rsidRPr="00FC0D7D">
        <w:rPr>
          <w:rFonts w:cs="Arial"/>
        </w:rPr>
        <w:t xml:space="preserve"> programs</w:t>
      </w:r>
      <w:r w:rsidR="00FC0D7D" w:rsidRPr="00FC0D7D">
        <w:rPr>
          <w:rFonts w:cs="Arial"/>
        </w:rPr>
        <w:t>. The agenda item also presents data on CTE participants and CTE completers across different state</w:t>
      </w:r>
      <w:r w:rsidR="0007451A">
        <w:rPr>
          <w:rFonts w:cs="Arial"/>
        </w:rPr>
        <w:t xml:space="preserve"> </w:t>
      </w:r>
      <w:r w:rsidR="00FC0D7D" w:rsidRPr="00FC0D7D">
        <w:rPr>
          <w:rFonts w:cs="Arial"/>
        </w:rPr>
        <w:t>and federal-funded CTE programs.</w:t>
      </w:r>
    </w:p>
    <w:p w14:paraId="3E75818F" w14:textId="4D4443DD" w:rsidR="004E74CA" w:rsidRDefault="004E74CA" w:rsidP="004E74CA">
      <w:pPr>
        <w:pStyle w:val="Heading2"/>
        <w:spacing w:before="480" w:after="240"/>
        <w:rPr>
          <w:rFonts w:cs="Arial"/>
          <w:sz w:val="36"/>
          <w:szCs w:val="36"/>
        </w:rPr>
      </w:pPr>
      <w:r w:rsidRPr="003311CD">
        <w:rPr>
          <w:rFonts w:cs="Arial"/>
          <w:sz w:val="36"/>
          <w:szCs w:val="36"/>
        </w:rPr>
        <w:t>Recommendation</w:t>
      </w:r>
    </w:p>
    <w:p w14:paraId="4EEC58B7" w14:textId="6CBE6CBF" w:rsidR="0007451A" w:rsidRPr="0007451A" w:rsidRDefault="0007451A" w:rsidP="0007451A">
      <w:bookmarkStart w:id="0" w:name="_Hlk58920074"/>
      <w:r>
        <w:t>This is an information item only; there is no recommendation at this time.</w:t>
      </w:r>
    </w:p>
    <w:bookmarkEnd w:id="0"/>
    <w:p w14:paraId="1543BB18" w14:textId="77777777" w:rsidR="00B7410C" w:rsidRPr="003311CD" w:rsidRDefault="00F814C5" w:rsidP="005859C2">
      <w:pPr>
        <w:pStyle w:val="Heading2"/>
        <w:spacing w:before="480" w:after="240"/>
        <w:rPr>
          <w:rFonts w:cs="Arial"/>
          <w:sz w:val="36"/>
          <w:szCs w:val="36"/>
        </w:rPr>
      </w:pPr>
      <w:r w:rsidRPr="003311CD">
        <w:rPr>
          <w:rFonts w:cs="Arial"/>
          <w:sz w:val="36"/>
          <w:szCs w:val="36"/>
        </w:rPr>
        <w:lastRenderedPageBreak/>
        <w:t>Brief History of Key Issues</w:t>
      </w:r>
    </w:p>
    <w:p w14:paraId="626D4708" w14:textId="27CED8CD" w:rsidR="003C79E6" w:rsidRPr="003311CD" w:rsidRDefault="008C0560" w:rsidP="00AE6BBC">
      <w:pPr>
        <w:spacing w:after="240"/>
      </w:pPr>
      <w:r w:rsidRPr="003311CD">
        <w:t>The CTEIG was originally established by the Budget Act of 2015 with a one-time investment of $900 million to cover a three-year span</w:t>
      </w:r>
      <w:r w:rsidR="004A3BD0" w:rsidRPr="003311CD">
        <w:t>,</w:t>
      </w:r>
      <w:r w:rsidRPr="003311CD">
        <w:t xml:space="preserve"> and </w:t>
      </w:r>
      <w:r w:rsidR="003C79E6" w:rsidRPr="003311CD">
        <w:t xml:space="preserve">acted </w:t>
      </w:r>
      <w:r w:rsidRPr="003311CD">
        <w:t xml:space="preserve">as a bridge for local educational agencies (LEAs) </w:t>
      </w:r>
      <w:r w:rsidR="003C79E6" w:rsidRPr="003311CD">
        <w:t>to support CT</w:t>
      </w:r>
      <w:r w:rsidR="00A77523">
        <w:t>E</w:t>
      </w:r>
      <w:r w:rsidR="003C79E6" w:rsidRPr="003311CD">
        <w:t xml:space="preserve"> programs </w:t>
      </w:r>
      <w:r w:rsidRPr="003311CD">
        <w:t xml:space="preserve">until the </w:t>
      </w:r>
      <w:r w:rsidR="003B101D" w:rsidRPr="003311CD">
        <w:t>L</w:t>
      </w:r>
      <w:r w:rsidRPr="003311CD">
        <w:t xml:space="preserve">ocal </w:t>
      </w:r>
      <w:r w:rsidR="003B101D" w:rsidRPr="003311CD">
        <w:t>C</w:t>
      </w:r>
      <w:r w:rsidRPr="003311CD">
        <w:t xml:space="preserve">ontrol </w:t>
      </w:r>
      <w:r w:rsidR="003B101D" w:rsidRPr="003311CD">
        <w:t>F</w:t>
      </w:r>
      <w:r w:rsidRPr="003311CD">
        <w:t>u</w:t>
      </w:r>
      <w:r w:rsidR="00832A5D" w:rsidRPr="003311CD">
        <w:t xml:space="preserve">nding </w:t>
      </w:r>
      <w:r w:rsidR="003B101D" w:rsidRPr="003311CD">
        <w:t>F</w:t>
      </w:r>
      <w:r w:rsidR="00832A5D" w:rsidRPr="003311CD">
        <w:t>ormula was fully funded.</w:t>
      </w:r>
    </w:p>
    <w:p w14:paraId="760F4BDA" w14:textId="718317B2" w:rsidR="008C0560" w:rsidRPr="003311CD" w:rsidRDefault="003C79E6" w:rsidP="0078733C">
      <w:pPr>
        <w:spacing w:after="240"/>
        <w:rPr>
          <w:rFonts w:cs="Arial"/>
        </w:rPr>
      </w:pPr>
      <w:r w:rsidRPr="003311CD">
        <w:t xml:space="preserve">In the 2018 Budget Act, </w:t>
      </w:r>
      <w:r w:rsidRPr="003311CD">
        <w:rPr>
          <w:rFonts w:cs="Arial"/>
        </w:rPr>
        <w:t xml:space="preserve">the </w:t>
      </w:r>
      <w:r w:rsidR="00AE6BBC" w:rsidRPr="003311CD">
        <w:rPr>
          <w:rFonts w:cs="Arial"/>
        </w:rPr>
        <w:t>CTEIG and the K–12 SWP</w:t>
      </w:r>
      <w:r w:rsidR="00601C4A">
        <w:t>, were each allocated $150 million</w:t>
      </w:r>
      <w:r w:rsidRPr="003311CD">
        <w:t xml:space="preserve"> in ongoing funds</w:t>
      </w:r>
      <w:r w:rsidR="00AE6BBC" w:rsidRPr="003311CD">
        <w:t>. An additional $13.5 million was provided annually to establish technical assistance providers and workforce pathway coordinators in support of both state initiatives.</w:t>
      </w:r>
      <w:r w:rsidR="007159C8" w:rsidRPr="003311CD">
        <w:rPr>
          <w:rFonts w:cs="Arial"/>
        </w:rPr>
        <w:t xml:space="preserve"> </w:t>
      </w:r>
      <w:r w:rsidR="00AE6BBC" w:rsidRPr="003311CD">
        <w:rPr>
          <w:rFonts w:cs="Arial"/>
        </w:rPr>
        <w:t>The CTEIG and the K–12 SWP are administered by the CDE and the CCCCO, respectively</w:t>
      </w:r>
      <w:r w:rsidR="00AE6BBC" w:rsidRPr="003311CD">
        <w:t>.</w:t>
      </w:r>
    </w:p>
    <w:p w14:paraId="43DDF39D" w14:textId="2637DA50" w:rsidR="00F75E4C" w:rsidRPr="003311CD" w:rsidRDefault="00F75E4C" w:rsidP="00333C81">
      <w:pPr>
        <w:tabs>
          <w:tab w:val="left" w:pos="1755"/>
        </w:tabs>
        <w:spacing w:after="240"/>
        <w:rPr>
          <w:rFonts w:cs="Arial"/>
        </w:rPr>
      </w:pPr>
      <w:r w:rsidRPr="003311CD">
        <w:rPr>
          <w:rFonts w:cs="Arial"/>
        </w:rPr>
        <w:t xml:space="preserve">The </w:t>
      </w:r>
      <w:r w:rsidR="00333C81" w:rsidRPr="00333C81">
        <w:rPr>
          <w:rFonts w:cs="Arial"/>
        </w:rPr>
        <w:t>California Workforce Pathways</w:t>
      </w:r>
      <w:r w:rsidR="00333C81">
        <w:rPr>
          <w:rFonts w:cs="Arial"/>
        </w:rPr>
        <w:t xml:space="preserve"> </w:t>
      </w:r>
      <w:r w:rsidR="00333C81" w:rsidRPr="00333C81">
        <w:rPr>
          <w:rFonts w:cs="Arial"/>
        </w:rPr>
        <w:t>Joint Advisory Committee</w:t>
      </w:r>
      <w:r w:rsidR="00333C81">
        <w:rPr>
          <w:rFonts w:cs="Arial"/>
        </w:rPr>
        <w:t xml:space="preserve"> (CWPJAC)</w:t>
      </w:r>
      <w:r w:rsidRPr="003311CD">
        <w:rPr>
          <w:rFonts w:cs="Arial"/>
        </w:rPr>
        <w:t xml:space="preserve">, per </w:t>
      </w:r>
      <w:r w:rsidR="004A3BD0" w:rsidRPr="003311CD">
        <w:rPr>
          <w:rFonts w:cs="Arial"/>
        </w:rPr>
        <w:t xml:space="preserve">California </w:t>
      </w:r>
      <w:r w:rsidRPr="003311CD">
        <w:rPr>
          <w:rFonts w:cs="Arial"/>
          <w:i/>
        </w:rPr>
        <w:t xml:space="preserve">EC </w:t>
      </w:r>
      <w:r w:rsidRPr="003311CD">
        <w:rPr>
          <w:rFonts w:cs="Arial"/>
        </w:rPr>
        <w:t xml:space="preserve">sections 53071 and 88828, has the responsibility for making recommendations regarding the use of metrics for the CTEIG and the K–12 SWP to the </w:t>
      </w:r>
      <w:r w:rsidR="005C2D5A" w:rsidRPr="003311CD">
        <w:rPr>
          <w:rFonts w:cs="Arial"/>
        </w:rPr>
        <w:t>D</w:t>
      </w:r>
      <w:r w:rsidR="00A77523">
        <w:rPr>
          <w:rFonts w:cs="Arial"/>
        </w:rPr>
        <w:t xml:space="preserve">epartment of </w:t>
      </w:r>
      <w:r w:rsidR="005C2D5A" w:rsidRPr="003311CD">
        <w:rPr>
          <w:rFonts w:cs="Arial"/>
        </w:rPr>
        <w:t>F</w:t>
      </w:r>
      <w:r w:rsidR="00A77523">
        <w:rPr>
          <w:rFonts w:cs="Arial"/>
        </w:rPr>
        <w:t>inance</w:t>
      </w:r>
      <w:r w:rsidRPr="003311CD">
        <w:rPr>
          <w:rFonts w:cs="Arial"/>
        </w:rPr>
        <w:t>, the Governor, and appropriate policy and fiscal committees of the Legislature regarding whether:</w:t>
      </w:r>
    </w:p>
    <w:p w14:paraId="34D7ACF8" w14:textId="77777777" w:rsidR="00F75E4C" w:rsidRPr="003311CD" w:rsidRDefault="00F75E4C" w:rsidP="00F75E4C">
      <w:pPr>
        <w:pStyle w:val="ListParagraph"/>
        <w:numPr>
          <w:ilvl w:val="0"/>
          <w:numId w:val="15"/>
        </w:numPr>
        <w:tabs>
          <w:tab w:val="left" w:pos="1755"/>
        </w:tabs>
        <w:spacing w:after="240"/>
        <w:ind w:left="720"/>
        <w:contextualSpacing w:val="0"/>
        <w:rPr>
          <w:rFonts w:cs="Arial"/>
        </w:rPr>
      </w:pPr>
      <w:r w:rsidRPr="003311CD">
        <w:rPr>
          <w:rFonts w:cs="Arial"/>
        </w:rPr>
        <w:t>The data metrics remain the most appropriate metrics to measure and evaluate program outcomes for both new and renewal applicants.</w:t>
      </w:r>
    </w:p>
    <w:p w14:paraId="51138541" w14:textId="77777777" w:rsidR="00F75E4C" w:rsidRPr="003311CD" w:rsidRDefault="00F75E4C" w:rsidP="00F75E4C">
      <w:pPr>
        <w:pStyle w:val="ListParagraph"/>
        <w:numPr>
          <w:ilvl w:val="0"/>
          <w:numId w:val="15"/>
        </w:numPr>
        <w:tabs>
          <w:tab w:val="left" w:pos="1755"/>
        </w:tabs>
        <w:spacing w:after="240"/>
        <w:ind w:left="720"/>
        <w:contextualSpacing w:val="0"/>
        <w:rPr>
          <w:rFonts w:cs="Arial"/>
        </w:rPr>
      </w:pPr>
      <w:r w:rsidRPr="003311CD">
        <w:rPr>
          <w:rFonts w:cs="Arial"/>
        </w:rPr>
        <w:t>Other metrics should be included.</w:t>
      </w:r>
    </w:p>
    <w:p w14:paraId="74EBDC50" w14:textId="77777777" w:rsidR="004A3BD0" w:rsidRPr="003311CD" w:rsidRDefault="004A3BD0" w:rsidP="0078733C">
      <w:pPr>
        <w:tabs>
          <w:tab w:val="left" w:pos="1755"/>
        </w:tabs>
        <w:spacing w:after="240"/>
        <w:rPr>
          <w:rFonts w:cs="Arial"/>
        </w:rPr>
      </w:pPr>
      <w:r w:rsidRPr="003311CD">
        <w:rPr>
          <w:rFonts w:cs="Arial"/>
        </w:rPr>
        <w:t>These recommendations are due by November 30 each year.</w:t>
      </w:r>
    </w:p>
    <w:p w14:paraId="0C1A9D75" w14:textId="3A32BF70" w:rsidR="00D75664" w:rsidRPr="003311CD" w:rsidRDefault="00D75664" w:rsidP="00D75664">
      <w:pPr>
        <w:tabs>
          <w:tab w:val="left" w:pos="1755"/>
        </w:tabs>
        <w:spacing w:after="240"/>
        <w:rPr>
          <w:rFonts w:cs="Arial"/>
          <w:b/>
        </w:rPr>
      </w:pPr>
      <w:r w:rsidRPr="003311CD">
        <w:rPr>
          <w:rFonts w:cs="Arial"/>
          <w:b/>
        </w:rPr>
        <w:t>The CTEIG and K–12 SWP</w:t>
      </w:r>
      <w:r w:rsidR="00E7710A" w:rsidRPr="003311CD">
        <w:rPr>
          <w:rFonts w:cs="Arial"/>
          <w:b/>
        </w:rPr>
        <w:t xml:space="preserve"> </w:t>
      </w:r>
      <w:r w:rsidR="00966015">
        <w:rPr>
          <w:rFonts w:cs="Arial"/>
          <w:b/>
        </w:rPr>
        <w:t xml:space="preserve">Data </w:t>
      </w:r>
      <w:r w:rsidR="0027284B">
        <w:rPr>
          <w:rFonts w:cs="Arial"/>
          <w:b/>
        </w:rPr>
        <w:t xml:space="preserve">Metrics </w:t>
      </w:r>
      <w:r w:rsidR="00966015">
        <w:rPr>
          <w:rFonts w:cs="Arial"/>
          <w:b/>
        </w:rPr>
        <w:t>Reporting</w:t>
      </w:r>
      <w:r w:rsidR="005A3D23">
        <w:rPr>
          <w:rFonts w:cs="Arial"/>
          <w:b/>
        </w:rPr>
        <w:t xml:space="preserve"> Updates</w:t>
      </w:r>
    </w:p>
    <w:p w14:paraId="4E1EEE28" w14:textId="31A2C96D" w:rsidR="005A3D23" w:rsidRDefault="00D307D2" w:rsidP="00D307D2">
      <w:pPr>
        <w:spacing w:after="240"/>
        <w:rPr>
          <w:rFonts w:cs="Arial"/>
        </w:rPr>
      </w:pPr>
      <w:r>
        <w:rPr>
          <w:rFonts w:cs="Arial"/>
        </w:rPr>
        <w:t xml:space="preserve">During the November 2020 CWPJAC meeting, the CWPJAC approved making no changes to the current metrics and moving to a phased approach to operationalize the data metrics for both the CTEIG and K–12 SWP. </w:t>
      </w:r>
      <w:r w:rsidR="005A3D23">
        <w:rPr>
          <w:rFonts w:cs="Arial"/>
        </w:rPr>
        <w:t>The CWPJAC</w:t>
      </w:r>
      <w:r w:rsidR="00560FE3">
        <w:rPr>
          <w:rFonts w:cs="Arial"/>
        </w:rPr>
        <w:t xml:space="preserve"> modified the staff recommendation and approved the following motion</w:t>
      </w:r>
      <w:r w:rsidR="005A3D23">
        <w:rPr>
          <w:rFonts w:cs="Arial"/>
        </w:rPr>
        <w:t>:</w:t>
      </w:r>
    </w:p>
    <w:p w14:paraId="4311784F" w14:textId="77777777" w:rsidR="007117F6" w:rsidRDefault="005A3D23" w:rsidP="007117F6">
      <w:pPr>
        <w:pStyle w:val="ListParagraph"/>
        <w:numPr>
          <w:ilvl w:val="0"/>
          <w:numId w:val="30"/>
        </w:numPr>
        <w:spacing w:after="240"/>
        <w:contextualSpacing w:val="0"/>
      </w:pPr>
      <w:r w:rsidRPr="000D0B2B">
        <w:t>A phased approach for refining and updating of the CTEIG and the K–12 SWP data metrics.</w:t>
      </w:r>
    </w:p>
    <w:p w14:paraId="0B648758" w14:textId="77777777" w:rsidR="007117F6" w:rsidRDefault="005A3D23" w:rsidP="007117F6">
      <w:pPr>
        <w:pStyle w:val="ListParagraph"/>
        <w:numPr>
          <w:ilvl w:val="0"/>
          <w:numId w:val="30"/>
        </w:numPr>
        <w:spacing w:after="240"/>
        <w:contextualSpacing w:val="0"/>
      </w:pPr>
      <w:r w:rsidRPr="000D0B2B">
        <w:t>The phased approach will include a timeline and regular reporting on short term, intermediate, and long term CTEIG and K–12 SWP metrics.</w:t>
      </w:r>
    </w:p>
    <w:p w14:paraId="13B34667" w14:textId="77777777" w:rsidR="007117F6" w:rsidRDefault="005A3D23" w:rsidP="007117F6">
      <w:pPr>
        <w:pStyle w:val="ListParagraph"/>
        <w:numPr>
          <w:ilvl w:val="0"/>
          <w:numId w:val="30"/>
        </w:numPr>
        <w:spacing w:after="240"/>
        <w:contextualSpacing w:val="0"/>
      </w:pPr>
      <w:r w:rsidRPr="000D0B2B">
        <w:t>Staff should identify which metrics can be reported in the short-term, beginning with the current funding cycle (2020–21), and which metrics will require more development in the future.</w:t>
      </w:r>
    </w:p>
    <w:p w14:paraId="3309E4E1" w14:textId="6C79B21F" w:rsidR="005A3D23" w:rsidRPr="00A1267F" w:rsidRDefault="005A3D23" w:rsidP="007117F6">
      <w:pPr>
        <w:pStyle w:val="ListParagraph"/>
        <w:numPr>
          <w:ilvl w:val="0"/>
          <w:numId w:val="30"/>
        </w:numPr>
        <w:spacing w:after="240"/>
        <w:contextualSpacing w:val="0"/>
      </w:pPr>
      <w:r w:rsidRPr="000D0B2B">
        <w:t>Permitting staff to make any necessary, non-substantive</w:t>
      </w:r>
      <w:r w:rsidR="00A77523">
        <w:t>,</w:t>
      </w:r>
      <w:r w:rsidRPr="000D0B2B">
        <w:t xml:space="preserve"> clarifying edits to this phased approach.</w:t>
      </w:r>
    </w:p>
    <w:p w14:paraId="61ACAE2A" w14:textId="4D161CE9" w:rsidR="0046138B" w:rsidRDefault="007541F2" w:rsidP="00D307D2">
      <w:pPr>
        <w:spacing w:after="240"/>
      </w:pPr>
      <w:r>
        <w:rPr>
          <w:rFonts w:cs="Arial"/>
        </w:rPr>
        <w:t xml:space="preserve">Attachment 1 </w:t>
      </w:r>
      <w:r w:rsidR="00225A48">
        <w:rPr>
          <w:rFonts w:cs="Arial"/>
        </w:rPr>
        <w:t xml:space="preserve">outlines </w:t>
      </w:r>
      <w:r w:rsidR="00CE0500">
        <w:rPr>
          <w:rFonts w:cs="Arial"/>
        </w:rPr>
        <w:t xml:space="preserve">and </w:t>
      </w:r>
      <w:r>
        <w:rPr>
          <w:rFonts w:cs="Arial"/>
        </w:rPr>
        <w:t>descri</w:t>
      </w:r>
      <w:r w:rsidR="00225A48">
        <w:rPr>
          <w:rFonts w:cs="Arial"/>
        </w:rPr>
        <w:t>bes</w:t>
      </w:r>
      <w:r w:rsidR="00225A48" w:rsidRPr="00225A48">
        <w:t xml:space="preserve"> </w:t>
      </w:r>
      <w:r w:rsidR="00225A48">
        <w:t xml:space="preserve">how the </w:t>
      </w:r>
      <w:r w:rsidR="00225A48" w:rsidRPr="000D0B2B">
        <w:t>CTEIG and K–12 SWP metrics</w:t>
      </w:r>
      <w:r w:rsidR="00225A48">
        <w:t xml:space="preserve"> </w:t>
      </w:r>
      <w:r w:rsidR="00225A48">
        <w:rPr>
          <w:rFonts w:cs="Arial"/>
        </w:rPr>
        <w:t xml:space="preserve">will be operationalized as </w:t>
      </w:r>
      <w:r w:rsidRPr="000D0B2B">
        <w:t>short</w:t>
      </w:r>
      <w:r w:rsidR="00225A48">
        <w:t>-</w:t>
      </w:r>
      <w:r w:rsidRPr="000D0B2B">
        <w:t>term, intermediate, and long</w:t>
      </w:r>
      <w:r w:rsidR="00225A48">
        <w:t>-</w:t>
      </w:r>
      <w:r w:rsidRPr="000D0B2B">
        <w:t xml:space="preserve">term </w:t>
      </w:r>
      <w:r w:rsidR="00225A48">
        <w:t xml:space="preserve">measures. Attachment 1 also </w:t>
      </w:r>
      <w:r w:rsidR="00225A48">
        <w:lastRenderedPageBreak/>
        <w:t>show</w:t>
      </w:r>
      <w:r w:rsidR="0007451A">
        <w:t>s</w:t>
      </w:r>
      <w:r w:rsidR="00225A48">
        <w:t xml:space="preserve"> the timeline for </w:t>
      </w:r>
      <w:r w:rsidR="00CE0500">
        <w:t xml:space="preserve">when </w:t>
      </w:r>
      <w:r w:rsidR="00225A48">
        <w:t xml:space="preserve">these measures </w:t>
      </w:r>
      <w:r w:rsidR="00CE0500">
        <w:t xml:space="preserve">will be presented </w:t>
      </w:r>
      <w:r>
        <w:t>at the upcoming 2021 CWPJAC meeting</w:t>
      </w:r>
      <w:r w:rsidR="00225A48">
        <w:t>s</w:t>
      </w:r>
      <w:r>
        <w:t xml:space="preserve">, including </w:t>
      </w:r>
      <w:r w:rsidR="0046138B">
        <w:t>the following two indicators for Metric 1 presented for the January 2021 CWPJAC, as approved by the Committee:</w:t>
      </w:r>
    </w:p>
    <w:p w14:paraId="47822045" w14:textId="77777777" w:rsidR="0046138B" w:rsidRPr="00DE1A73" w:rsidRDefault="0046138B" w:rsidP="0046138B">
      <w:pPr>
        <w:spacing w:after="240"/>
        <w:ind w:right="720"/>
        <w:textAlignment w:val="baseline"/>
        <w:rPr>
          <w:rFonts w:cs="Arial"/>
          <w:bdr w:val="none" w:sz="0" w:space="0" w:color="auto" w:frame="1"/>
          <w:lang w:val="en"/>
        </w:rPr>
      </w:pPr>
      <w:r w:rsidRPr="00DE1A73">
        <w:rPr>
          <w:rFonts w:cs="Arial"/>
          <w:b/>
          <w:bdr w:val="none" w:sz="0" w:space="0" w:color="auto" w:frame="1"/>
          <w:lang w:val="en"/>
        </w:rPr>
        <w:t>Metric 1:</w:t>
      </w:r>
      <w:r w:rsidRPr="00DE1A73">
        <w:rPr>
          <w:rFonts w:cs="Arial"/>
          <w:bdr w:val="none" w:sz="0" w:space="0" w:color="auto" w:frame="1"/>
          <w:lang w:val="en"/>
        </w:rPr>
        <w:t xml:space="preserve"> The number of pupils completing CTE coursework.</w:t>
      </w:r>
    </w:p>
    <w:p w14:paraId="661CE0F0" w14:textId="77777777" w:rsidR="0046138B" w:rsidRDefault="0046138B" w:rsidP="0046138B">
      <w:pPr>
        <w:pStyle w:val="ListParagraph"/>
        <w:numPr>
          <w:ilvl w:val="0"/>
          <w:numId w:val="32"/>
        </w:numPr>
        <w:spacing w:after="240"/>
        <w:ind w:right="720"/>
        <w:contextualSpacing w:val="0"/>
        <w:textAlignment w:val="baseline"/>
        <w:rPr>
          <w:rFonts w:cs="Arial"/>
          <w:bdr w:val="none" w:sz="0" w:space="0" w:color="auto" w:frame="1"/>
          <w:lang w:val="en"/>
        </w:rPr>
      </w:pPr>
      <w:r w:rsidRPr="00652985">
        <w:rPr>
          <w:rFonts w:cs="Arial"/>
          <w:b/>
          <w:i/>
          <w:bdr w:val="none" w:sz="0" w:space="0" w:color="auto" w:frame="1"/>
          <w:lang w:val="en"/>
        </w:rPr>
        <w:t>Indicator 1A:</w:t>
      </w:r>
      <w:r w:rsidRPr="00652985">
        <w:rPr>
          <w:rFonts w:cs="Arial"/>
          <w:bdr w:val="none" w:sz="0" w:space="0" w:color="auto" w:frame="1"/>
          <w:lang w:val="en"/>
        </w:rPr>
        <w:t xml:space="preserve"> The number of pupils completing one CTE course</w:t>
      </w:r>
      <w:r>
        <w:rPr>
          <w:rFonts w:cs="Arial"/>
          <w:bdr w:val="none" w:sz="0" w:space="0" w:color="auto" w:frame="1"/>
          <w:lang w:val="en"/>
        </w:rPr>
        <w:t xml:space="preserve"> (January 2021).</w:t>
      </w:r>
    </w:p>
    <w:p w14:paraId="7CEE4A46" w14:textId="77777777" w:rsidR="0046138B" w:rsidRPr="00F03F69" w:rsidRDefault="0046138B" w:rsidP="0046138B">
      <w:pPr>
        <w:pStyle w:val="ListParagraph"/>
        <w:numPr>
          <w:ilvl w:val="0"/>
          <w:numId w:val="32"/>
        </w:numPr>
        <w:spacing w:after="240"/>
        <w:ind w:right="720"/>
        <w:contextualSpacing w:val="0"/>
        <w:textAlignment w:val="baseline"/>
        <w:rPr>
          <w:rFonts w:cs="Arial"/>
          <w:bdr w:val="none" w:sz="0" w:space="0" w:color="auto" w:frame="1"/>
          <w:lang w:val="en"/>
        </w:rPr>
      </w:pPr>
      <w:r w:rsidRPr="00DE1A73">
        <w:rPr>
          <w:rFonts w:cs="Arial"/>
          <w:b/>
          <w:i/>
          <w:bdr w:val="none" w:sz="0" w:space="0" w:color="auto" w:frame="1"/>
          <w:lang w:val="en"/>
        </w:rPr>
        <w:t>Indicator 1</w:t>
      </w:r>
      <w:r>
        <w:rPr>
          <w:rFonts w:cs="Arial"/>
          <w:b/>
          <w:i/>
          <w:bdr w:val="none" w:sz="0" w:space="0" w:color="auto" w:frame="1"/>
          <w:lang w:val="en"/>
        </w:rPr>
        <w:t>B</w:t>
      </w:r>
      <w:r w:rsidRPr="00DE1A73">
        <w:rPr>
          <w:rFonts w:cs="Arial"/>
          <w:b/>
          <w:i/>
          <w:bdr w:val="none" w:sz="0" w:space="0" w:color="auto" w:frame="1"/>
          <w:lang w:val="en"/>
        </w:rPr>
        <w:t>:</w:t>
      </w:r>
      <w:r w:rsidRPr="00DE1A73">
        <w:rPr>
          <w:rFonts w:cs="Arial"/>
          <w:bdr w:val="none" w:sz="0" w:space="0" w:color="auto" w:frame="1"/>
          <w:lang w:val="en"/>
        </w:rPr>
        <w:t xml:space="preserve"> The number of pupils </w:t>
      </w:r>
      <w:r w:rsidRPr="00DE1A73">
        <w:rPr>
          <w:rFonts w:cs="Arial"/>
        </w:rPr>
        <w:t>who complete at least 300 hours of course sequence in an industry pathway, and the sequence includes the capstone course; and the CTE student receives a grade of C- or better in the capstone course</w:t>
      </w:r>
      <w:r>
        <w:rPr>
          <w:rFonts w:cs="Arial"/>
        </w:rPr>
        <w:t xml:space="preserve"> (January 2021)</w:t>
      </w:r>
      <w:r w:rsidRPr="00DE1A73">
        <w:rPr>
          <w:rFonts w:cs="Arial"/>
        </w:rPr>
        <w:t>.</w:t>
      </w:r>
    </w:p>
    <w:p w14:paraId="0E91B31A" w14:textId="1D7A78F2" w:rsidR="005A3D23" w:rsidRDefault="0046138B" w:rsidP="00D307D2">
      <w:pPr>
        <w:spacing w:after="240"/>
        <w:rPr>
          <w:rFonts w:cs="Arial"/>
        </w:rPr>
      </w:pPr>
      <w:r>
        <w:t xml:space="preserve">Attachments 2 and 3 are the actual data derived from </w:t>
      </w:r>
      <w:r w:rsidRPr="003311CD">
        <w:rPr>
          <w:rFonts w:cs="Arial"/>
        </w:rPr>
        <w:t xml:space="preserve">California Longitudinal </w:t>
      </w:r>
      <w:r>
        <w:rPr>
          <w:rFonts w:cs="Arial"/>
        </w:rPr>
        <w:t xml:space="preserve">Pupil </w:t>
      </w:r>
      <w:r w:rsidRPr="003311CD">
        <w:rPr>
          <w:rFonts w:cs="Arial"/>
        </w:rPr>
        <w:t>Achievement Data System</w:t>
      </w:r>
      <w:r>
        <w:t xml:space="preserve"> (CALPADS) for CTEIG and K</w:t>
      </w:r>
      <w:r w:rsidR="00333C81">
        <w:t>–</w:t>
      </w:r>
      <w:r>
        <w:t>12</w:t>
      </w:r>
      <w:r w:rsidR="00333C81">
        <w:t xml:space="preserve"> </w:t>
      </w:r>
      <w:r>
        <w:t>SWP based on 2018</w:t>
      </w:r>
      <w:r w:rsidR="00333C81">
        <w:t>–</w:t>
      </w:r>
      <w:r>
        <w:t xml:space="preserve">19 participants and completers, and disaggregated by gender and specified student population status. </w:t>
      </w:r>
      <w:r w:rsidR="006263B1">
        <w:t>For comparative purposes, the attachments provide data on those LEAs that are allocated a portion of the total funding California receives from the Strengthening CTE for the 21</w:t>
      </w:r>
      <w:r w:rsidR="006263B1" w:rsidRPr="00601C4A">
        <w:rPr>
          <w:vertAlign w:val="superscript"/>
        </w:rPr>
        <w:t>st</w:t>
      </w:r>
      <w:r w:rsidR="006263B1">
        <w:t xml:space="preserve"> Century Act (Perkins V). </w:t>
      </w:r>
      <w:r>
        <w:t>Please note that these data should be viewed as preliminary data, as 2018</w:t>
      </w:r>
      <w:r w:rsidR="00333C81">
        <w:t>–</w:t>
      </w:r>
      <w:r>
        <w:t>19 was the first year of program implementation, and no trends or conclusions can be drawn from one year’s worth of program data.</w:t>
      </w:r>
    </w:p>
    <w:p w14:paraId="039F16A7" w14:textId="662EF396" w:rsidR="00302948" w:rsidRPr="005D3564" w:rsidRDefault="00302948" w:rsidP="00785202">
      <w:pPr>
        <w:tabs>
          <w:tab w:val="left" w:pos="1755"/>
        </w:tabs>
        <w:spacing w:before="240" w:after="240"/>
        <w:rPr>
          <w:rFonts w:cs="Arial"/>
          <w:b/>
        </w:rPr>
      </w:pPr>
      <w:r>
        <w:rPr>
          <w:rFonts w:cs="Arial"/>
          <w:b/>
        </w:rPr>
        <w:t xml:space="preserve">CTE </w:t>
      </w:r>
      <w:r w:rsidRPr="005D3564">
        <w:rPr>
          <w:rFonts w:cs="Arial"/>
          <w:b/>
        </w:rPr>
        <w:t xml:space="preserve">Data </w:t>
      </w:r>
      <w:r>
        <w:rPr>
          <w:rFonts w:cs="Arial"/>
          <w:b/>
        </w:rPr>
        <w:t>Collection</w:t>
      </w:r>
    </w:p>
    <w:p w14:paraId="7D7A6659" w14:textId="67D6CEF8" w:rsidR="00984BF5" w:rsidRDefault="00B770C1" w:rsidP="00D307D2">
      <w:pPr>
        <w:spacing w:after="240"/>
        <w:rPr>
          <w:rFonts w:cs="Arial"/>
          <w:color w:val="000000"/>
          <w:shd w:val="clear" w:color="auto" w:fill="FFFFFF"/>
        </w:rPr>
      </w:pPr>
      <w:r>
        <w:t xml:space="preserve">Before the establishment of CTEIG in 2015, CTE data collection was a self-contained process to meet the requirements for the </w:t>
      </w:r>
      <w:r w:rsidRPr="00B770C1">
        <w:rPr>
          <w:rFonts w:cs="Arial"/>
          <w:color w:val="000000"/>
          <w:shd w:val="clear" w:color="auto" w:fill="FFFFFF"/>
        </w:rPr>
        <w:t>federal Carl D. Perkins Career and Technical Education Improvement Act of 2006 (Perkins IV)</w:t>
      </w:r>
      <w:r>
        <w:rPr>
          <w:rFonts w:cs="Arial"/>
          <w:color w:val="000000"/>
          <w:shd w:val="clear" w:color="auto" w:fill="FFFFFF"/>
        </w:rPr>
        <w:t>. Known as the E</w:t>
      </w:r>
      <w:r w:rsidR="00A77523">
        <w:rPr>
          <w:rFonts w:cs="Arial"/>
          <w:color w:val="000000"/>
          <w:shd w:val="clear" w:color="auto" w:fill="FFFFFF"/>
        </w:rPr>
        <w:t>1-</w:t>
      </w:r>
      <w:r>
        <w:rPr>
          <w:rFonts w:cs="Arial"/>
          <w:color w:val="000000"/>
          <w:shd w:val="clear" w:color="auto" w:fill="FFFFFF"/>
        </w:rPr>
        <w:t xml:space="preserve">E2 data collection process, LEAs reported CTE data directly to the </w:t>
      </w:r>
      <w:r w:rsidR="00A77523">
        <w:rPr>
          <w:rFonts w:cs="Arial"/>
          <w:color w:val="000000"/>
          <w:shd w:val="clear" w:color="auto" w:fill="FFFFFF"/>
        </w:rPr>
        <w:t>Career and College Transition Division</w:t>
      </w:r>
      <w:r w:rsidR="00E46E60">
        <w:rPr>
          <w:rFonts w:cs="Arial"/>
          <w:color w:val="000000"/>
          <w:shd w:val="clear" w:color="auto" w:fill="FFFFFF"/>
        </w:rPr>
        <w:t xml:space="preserve"> (CCTD)</w:t>
      </w:r>
      <w:r>
        <w:rPr>
          <w:rFonts w:cs="Arial"/>
          <w:color w:val="000000"/>
          <w:shd w:val="clear" w:color="auto" w:fill="FFFFFF"/>
        </w:rPr>
        <w:t xml:space="preserve">. The E1-E2 system was discontinued in 2015 as </w:t>
      </w:r>
      <w:r w:rsidR="005F41A2">
        <w:rPr>
          <w:rFonts w:cs="Arial"/>
          <w:color w:val="000000"/>
          <w:shd w:val="clear" w:color="auto" w:fill="FFFFFF"/>
        </w:rPr>
        <w:t xml:space="preserve">all </w:t>
      </w:r>
      <w:r w:rsidR="00E46E60">
        <w:rPr>
          <w:rFonts w:cs="Arial"/>
          <w:color w:val="000000"/>
          <w:shd w:val="clear" w:color="auto" w:fill="FFFFFF"/>
        </w:rPr>
        <w:t xml:space="preserve">kindergarten through grade twelve (K–12) </w:t>
      </w:r>
      <w:r w:rsidR="005F41A2">
        <w:rPr>
          <w:rFonts w:cs="Arial"/>
          <w:color w:val="000000"/>
          <w:shd w:val="clear" w:color="auto" w:fill="FFFFFF"/>
        </w:rPr>
        <w:t>data</w:t>
      </w:r>
      <w:r w:rsidR="00200F27">
        <w:rPr>
          <w:rFonts w:cs="Arial"/>
          <w:color w:val="000000"/>
          <w:shd w:val="clear" w:color="auto" w:fill="FFFFFF"/>
        </w:rPr>
        <w:t>, including CTE,</w:t>
      </w:r>
      <w:r w:rsidR="005F41A2">
        <w:rPr>
          <w:rFonts w:cs="Arial"/>
          <w:color w:val="000000"/>
          <w:shd w:val="clear" w:color="auto" w:fill="FFFFFF"/>
        </w:rPr>
        <w:t xml:space="preserve"> was to be housed with a single source of data collection, </w:t>
      </w:r>
      <w:r w:rsidR="00124A50">
        <w:rPr>
          <w:rFonts w:cs="Arial"/>
          <w:color w:val="000000"/>
          <w:shd w:val="clear" w:color="auto" w:fill="FFFFFF"/>
        </w:rPr>
        <w:t>known as</w:t>
      </w:r>
      <w:r w:rsidR="005F41A2">
        <w:rPr>
          <w:rFonts w:cs="Arial"/>
          <w:color w:val="000000"/>
          <w:shd w:val="clear" w:color="auto" w:fill="FFFFFF"/>
        </w:rPr>
        <w:t xml:space="preserve"> </w:t>
      </w:r>
      <w:r w:rsidR="00837091">
        <w:rPr>
          <w:rFonts w:cs="Arial"/>
          <w:color w:val="000000"/>
          <w:shd w:val="clear" w:color="auto" w:fill="FFFFFF"/>
        </w:rPr>
        <w:t xml:space="preserve">the </w:t>
      </w:r>
      <w:r w:rsidR="00837091" w:rsidRPr="003311CD">
        <w:rPr>
          <w:rFonts w:cs="Arial"/>
        </w:rPr>
        <w:t>CALPADS</w:t>
      </w:r>
      <w:r w:rsidR="005F41A2">
        <w:rPr>
          <w:rFonts w:cs="Arial"/>
          <w:color w:val="000000"/>
          <w:shd w:val="clear" w:color="auto" w:fill="FFFFFF"/>
        </w:rPr>
        <w:t>.</w:t>
      </w:r>
    </w:p>
    <w:p w14:paraId="44FF4518" w14:textId="0EEC4D4B" w:rsidR="004F4579" w:rsidRDefault="00200F27" w:rsidP="00333C81">
      <w:pPr>
        <w:spacing w:after="240"/>
      </w:pPr>
      <w:r>
        <w:rPr>
          <w:rFonts w:cs="Arial"/>
          <w:color w:val="000000"/>
          <w:shd w:val="clear" w:color="auto" w:fill="FFFFFF"/>
        </w:rPr>
        <w:t xml:space="preserve">Even within </w:t>
      </w:r>
      <w:r w:rsidR="00837091">
        <w:rPr>
          <w:rFonts w:cs="Arial"/>
          <w:color w:val="000000"/>
          <w:shd w:val="clear" w:color="auto" w:fill="FFFFFF"/>
        </w:rPr>
        <w:t>CALPADS</w:t>
      </w:r>
      <w:r>
        <w:rPr>
          <w:rFonts w:cs="Arial"/>
          <w:color w:val="000000"/>
          <w:shd w:val="clear" w:color="auto" w:fill="FFFFFF"/>
        </w:rPr>
        <w:t xml:space="preserve">, the availability of CTE data was restricted to course and program data, with some outcome data, but no follow up data once </w:t>
      </w:r>
      <w:r w:rsidR="00BD6334">
        <w:rPr>
          <w:rFonts w:cs="Arial"/>
          <w:color w:val="000000"/>
          <w:shd w:val="clear" w:color="auto" w:fill="FFFFFF"/>
        </w:rPr>
        <w:t xml:space="preserve">a </w:t>
      </w:r>
      <w:r>
        <w:rPr>
          <w:rFonts w:cs="Arial"/>
          <w:color w:val="000000"/>
          <w:shd w:val="clear" w:color="auto" w:fill="FFFFFF"/>
        </w:rPr>
        <w:t>CTE completer graduated from high school. Therefore, CTE data collection between 2015 and 2018</w:t>
      </w:r>
      <w:r w:rsidR="005F41A2">
        <w:rPr>
          <w:rFonts w:cs="Arial"/>
          <w:color w:val="000000"/>
          <w:shd w:val="clear" w:color="auto" w:fill="FFFFFF"/>
        </w:rPr>
        <w:t xml:space="preserve"> </w:t>
      </w:r>
      <w:r w:rsidR="00B770C1">
        <w:t xml:space="preserve">was </w:t>
      </w:r>
      <w:r w:rsidR="00C036C9">
        <w:t>sparse</w:t>
      </w:r>
      <w:r w:rsidR="00837091">
        <w:t>,</w:t>
      </w:r>
      <w:r w:rsidR="00C036C9">
        <w:t xml:space="preserve"> and was </w:t>
      </w:r>
      <w:r w:rsidR="00B770C1">
        <w:t xml:space="preserve">based on using a mixed approach that </w:t>
      </w:r>
      <w:r w:rsidR="0007451A">
        <w:t>utilized</w:t>
      </w:r>
      <w:r w:rsidR="00B770C1">
        <w:t xml:space="preserve"> CALPADS</w:t>
      </w:r>
      <w:r>
        <w:t xml:space="preserve"> to obtain CTE participation and completer data, </w:t>
      </w:r>
      <w:r w:rsidR="00B770C1">
        <w:t xml:space="preserve">and a </w:t>
      </w:r>
      <w:r w:rsidR="00C036C9">
        <w:t xml:space="preserve">separate </w:t>
      </w:r>
      <w:r w:rsidR="00B770C1">
        <w:t xml:space="preserve">survey template to obtain post-high school follow up data </w:t>
      </w:r>
      <w:r w:rsidR="00C036C9">
        <w:t xml:space="preserve">for </w:t>
      </w:r>
      <w:r w:rsidR="00B770C1">
        <w:t>CTE completers.</w:t>
      </w:r>
      <w:r>
        <w:t xml:space="preserve"> As a result, CTE data was limited when CTEIG was introduced in 2015</w:t>
      </w:r>
      <w:r w:rsidR="00E46E60">
        <w:t>,</w:t>
      </w:r>
      <w:r>
        <w:t xml:space="preserve"> as well as when </w:t>
      </w:r>
      <w:r w:rsidR="00E46E60">
        <w:t xml:space="preserve">the </w:t>
      </w:r>
      <w:r>
        <w:t>K</w:t>
      </w:r>
      <w:r w:rsidR="00E46E60">
        <w:t>–</w:t>
      </w:r>
      <w:r>
        <w:t xml:space="preserve">12 SWP began in 2018. Hence, the starting point of any consistent CTE data collection was </w:t>
      </w:r>
      <w:r w:rsidR="00A937F2">
        <w:t xml:space="preserve">academic year </w:t>
      </w:r>
      <w:r w:rsidR="00333C81">
        <w:t xml:space="preserve">(AY) </w:t>
      </w:r>
      <w:r w:rsidR="00A937F2">
        <w:t>2018</w:t>
      </w:r>
      <w:r w:rsidR="00E46E60">
        <w:t>–</w:t>
      </w:r>
      <w:r w:rsidR="00A937F2">
        <w:t>19</w:t>
      </w:r>
      <w:r w:rsidR="00984BF5">
        <w:t>, and it is this data that is being used to create the data reports (see below).</w:t>
      </w:r>
    </w:p>
    <w:p w14:paraId="201005AB" w14:textId="26B86881" w:rsidR="00601C4A" w:rsidRDefault="00ED1383" w:rsidP="00601C4A">
      <w:pPr>
        <w:spacing w:after="240"/>
        <w:rPr>
          <w:rFonts w:cs="Arial"/>
        </w:rPr>
      </w:pPr>
      <w:r w:rsidRPr="00ED1383">
        <w:t xml:space="preserve">Staff from the CDE’s Analysis, Measurement, and Accountability Reporting Division (AMARD) and the Educational Data Management Division (EDMD) will be part of the presentation for this item. Included within that discussion will be information about the progress CCTD is having with AMARD and EDMD regarding the progress being made </w:t>
      </w:r>
      <w:r w:rsidRPr="00ED1383">
        <w:lastRenderedPageBreak/>
        <w:t xml:space="preserve">in the systematic collection of CTE data through </w:t>
      </w:r>
      <w:r w:rsidRPr="00601C4A">
        <w:t>our student-level data system, the CALPADS</w:t>
      </w:r>
      <w:r w:rsidRPr="00ED1383">
        <w:t xml:space="preserve">. Also, how the CTE data collection effort links up to the broader CDE present and future data collection and analysis, particularly as it relates to the college and career indicator (CCI), and the California Accountability Model will be discussed, including the constraints </w:t>
      </w:r>
      <w:r w:rsidRPr="00601C4A">
        <w:t>of adding</w:t>
      </w:r>
      <w:r w:rsidRPr="00ED1383">
        <w:t xml:space="preserve"> data collection</w:t>
      </w:r>
      <w:r w:rsidRPr="00601C4A">
        <w:t xml:space="preserve">s to </w:t>
      </w:r>
      <w:r w:rsidRPr="00ED1383">
        <w:t xml:space="preserve">CALPADS. Last but not least, AMARD and EDMD will provide a brief overview of the </w:t>
      </w:r>
      <w:r w:rsidRPr="00601C4A">
        <w:t>Governor’s</w:t>
      </w:r>
      <w:r w:rsidRPr="00ED1383">
        <w:t xml:space="preserve"> Cradle to Career </w:t>
      </w:r>
      <w:r w:rsidRPr="00601C4A">
        <w:t>workgroup</w:t>
      </w:r>
      <w:r w:rsidRPr="00ED1383">
        <w:t xml:space="preserve"> recommendations </w:t>
      </w:r>
      <w:r w:rsidR="00333C81">
        <w:t xml:space="preserve">found on the California Data System web page at </w:t>
      </w:r>
      <w:hyperlink r:id="rId14" w:history="1">
        <w:r w:rsidR="00333C81" w:rsidRPr="00B862BC">
          <w:rPr>
            <w:rStyle w:val="Hyperlink"/>
            <w:rFonts w:eastAsiaTheme="majorEastAsia"/>
          </w:rPr>
          <w:t>https://cadatasystem.wested.org/recommendations</w:t>
        </w:r>
      </w:hyperlink>
      <w:r w:rsidRPr="00ED1383">
        <w:t xml:space="preserve">, and </w:t>
      </w:r>
      <w:r w:rsidR="00333C81">
        <w:t xml:space="preserve">the </w:t>
      </w:r>
      <w:r w:rsidRPr="00ED1383">
        <w:t xml:space="preserve">CDE and </w:t>
      </w:r>
      <w:r w:rsidRPr="00601C4A">
        <w:t>CCCCO’s</w:t>
      </w:r>
      <w:r w:rsidRPr="00ED1383">
        <w:t xml:space="preserve"> critical role in </w:t>
      </w:r>
      <w:r w:rsidRPr="00601C4A">
        <w:t>implementing</w:t>
      </w:r>
      <w:r w:rsidRPr="00ED1383">
        <w:t xml:space="preserve"> these recommendations.</w:t>
      </w:r>
    </w:p>
    <w:p w14:paraId="6BC9DC85" w14:textId="58AA807C" w:rsidR="00B65CF0" w:rsidRPr="00601C4A" w:rsidRDefault="00741DA4" w:rsidP="00601C4A">
      <w:pPr>
        <w:spacing w:after="240"/>
        <w:rPr>
          <w:rFonts w:cs="Arial"/>
        </w:rPr>
      </w:pPr>
      <w:r>
        <w:rPr>
          <w:rFonts w:cs="Arial"/>
          <w:b/>
        </w:rPr>
        <w:t xml:space="preserve">CTE </w:t>
      </w:r>
      <w:r w:rsidR="00B65CF0" w:rsidRPr="005D3564">
        <w:rPr>
          <w:rFonts w:cs="Arial"/>
          <w:b/>
        </w:rPr>
        <w:t>Data Reports</w:t>
      </w:r>
    </w:p>
    <w:p w14:paraId="2DBB1548" w14:textId="6141CEBB" w:rsidR="00883D95" w:rsidRDefault="006756BC" w:rsidP="00B65CF0">
      <w:pPr>
        <w:spacing w:after="240"/>
        <w:rPr>
          <w:rFonts w:cs="Arial"/>
        </w:rPr>
      </w:pPr>
      <w:r>
        <w:rPr>
          <w:rFonts w:cs="Arial"/>
        </w:rPr>
        <w:t xml:space="preserve">The </w:t>
      </w:r>
      <w:r w:rsidR="00B65CF0" w:rsidRPr="005D3564">
        <w:rPr>
          <w:rFonts w:cs="Arial"/>
        </w:rPr>
        <w:t xml:space="preserve">CWPJAC members requested that CDE and CCCCO staff present quantitative and qualitative data regarding the implementation of the CTEIG and K–12 SWP. </w:t>
      </w:r>
      <w:r w:rsidR="0072129F">
        <w:rPr>
          <w:rFonts w:cs="Arial"/>
        </w:rPr>
        <w:t>Now that</w:t>
      </w:r>
      <w:r w:rsidR="00883D95">
        <w:rPr>
          <w:rFonts w:cs="Arial"/>
        </w:rPr>
        <w:t xml:space="preserve"> the phased approach to developing and presenting the indicators has been approved by the CWPJAC, </w:t>
      </w:r>
      <w:r w:rsidR="00B65CF0" w:rsidRPr="005D3564">
        <w:rPr>
          <w:rFonts w:cs="Arial"/>
        </w:rPr>
        <w:t xml:space="preserve">CDE and CCCCO staff </w:t>
      </w:r>
      <w:r w:rsidR="00883D95">
        <w:rPr>
          <w:rFonts w:cs="Arial"/>
        </w:rPr>
        <w:t xml:space="preserve">will </w:t>
      </w:r>
      <w:r w:rsidR="00AD1D9A">
        <w:rPr>
          <w:rFonts w:cs="Arial"/>
        </w:rPr>
        <w:t xml:space="preserve">begin </w:t>
      </w:r>
      <w:r w:rsidR="00883D95">
        <w:rPr>
          <w:rFonts w:cs="Arial"/>
        </w:rPr>
        <w:t>develop</w:t>
      </w:r>
      <w:r w:rsidR="00AD1D9A">
        <w:rPr>
          <w:rFonts w:cs="Arial"/>
        </w:rPr>
        <w:t>ing</w:t>
      </w:r>
      <w:r w:rsidR="00B65CF0" w:rsidRPr="005D3564">
        <w:rPr>
          <w:rFonts w:cs="Arial"/>
        </w:rPr>
        <w:t xml:space="preserve"> summary </w:t>
      </w:r>
      <w:r w:rsidR="00AD1D9A">
        <w:rPr>
          <w:rFonts w:cs="Arial"/>
        </w:rPr>
        <w:t xml:space="preserve">CTE </w:t>
      </w:r>
      <w:r w:rsidR="00883D95">
        <w:rPr>
          <w:rFonts w:cs="Arial"/>
        </w:rPr>
        <w:t xml:space="preserve">data </w:t>
      </w:r>
      <w:r w:rsidR="00B65CF0" w:rsidRPr="005D3564">
        <w:rPr>
          <w:rFonts w:cs="Arial"/>
        </w:rPr>
        <w:t xml:space="preserve">reports on several facets of the implementation of the </w:t>
      </w:r>
      <w:r w:rsidR="00883D95">
        <w:rPr>
          <w:rFonts w:cs="Arial"/>
        </w:rPr>
        <w:t xml:space="preserve">CTEIG and </w:t>
      </w:r>
      <w:r w:rsidR="00E46E60">
        <w:rPr>
          <w:rFonts w:cs="Arial"/>
        </w:rPr>
        <w:t xml:space="preserve">the </w:t>
      </w:r>
      <w:r w:rsidR="00883D95">
        <w:rPr>
          <w:rFonts w:cs="Arial"/>
        </w:rPr>
        <w:t>K</w:t>
      </w:r>
      <w:r w:rsidR="00E46E60">
        <w:rPr>
          <w:rFonts w:cs="Arial"/>
        </w:rPr>
        <w:t>–1</w:t>
      </w:r>
      <w:r w:rsidR="00883D95">
        <w:rPr>
          <w:rFonts w:cs="Arial"/>
        </w:rPr>
        <w:t xml:space="preserve">2 SWP as </w:t>
      </w:r>
      <w:r w:rsidR="00413683">
        <w:rPr>
          <w:rFonts w:cs="Arial"/>
        </w:rPr>
        <w:t xml:space="preserve">well as </w:t>
      </w:r>
      <w:r w:rsidR="00883D95">
        <w:rPr>
          <w:rFonts w:cs="Arial"/>
        </w:rPr>
        <w:t>the Perkins V.</w:t>
      </w:r>
    </w:p>
    <w:p w14:paraId="60E187FD" w14:textId="49E9D790" w:rsidR="00B65CF0" w:rsidRPr="00DF6B12" w:rsidRDefault="00470FD6" w:rsidP="00DF6B12">
      <w:pPr>
        <w:spacing w:after="240"/>
        <w:rPr>
          <w:rFonts w:cs="Arial"/>
        </w:rPr>
      </w:pPr>
      <w:r>
        <w:rPr>
          <w:rFonts w:cs="Arial"/>
        </w:rPr>
        <w:t>The following data reports will be presented</w:t>
      </w:r>
      <w:r w:rsidR="006756BC">
        <w:rPr>
          <w:rFonts w:cs="Arial"/>
        </w:rPr>
        <w:t>:</w:t>
      </w:r>
    </w:p>
    <w:p w14:paraId="3ABAA3CD" w14:textId="563590CE" w:rsidR="00470FD6" w:rsidRPr="00E46E60" w:rsidRDefault="00470FD6" w:rsidP="00E46E60">
      <w:pPr>
        <w:pStyle w:val="ListParagraph"/>
        <w:numPr>
          <w:ilvl w:val="0"/>
          <w:numId w:val="11"/>
        </w:numPr>
        <w:spacing w:after="240"/>
        <w:ind w:left="778"/>
        <w:contextualSpacing w:val="0"/>
        <w:rPr>
          <w:rFonts w:cs="Arial"/>
        </w:rPr>
      </w:pPr>
      <w:r>
        <w:rPr>
          <w:rFonts w:cs="Arial"/>
        </w:rPr>
        <w:t>CTE participant</w:t>
      </w:r>
      <w:r w:rsidR="009249B0">
        <w:rPr>
          <w:rStyle w:val="FootnoteReference"/>
          <w:rFonts w:cs="Arial"/>
        </w:rPr>
        <w:footnoteReference w:id="1"/>
      </w:r>
      <w:r>
        <w:rPr>
          <w:rFonts w:cs="Arial"/>
        </w:rPr>
        <w:t xml:space="preserve"> data</w:t>
      </w:r>
      <w:r w:rsidR="00B65CF0" w:rsidRPr="005D3564">
        <w:rPr>
          <w:rFonts w:cs="Arial"/>
        </w:rPr>
        <w:t xml:space="preserve"> </w:t>
      </w:r>
      <w:r>
        <w:rPr>
          <w:rFonts w:cs="Arial"/>
        </w:rPr>
        <w:t xml:space="preserve">for LEAs broken out by </w:t>
      </w:r>
      <w:r w:rsidR="00B65CF0" w:rsidRPr="005D3564">
        <w:rPr>
          <w:rFonts w:cs="Arial"/>
        </w:rPr>
        <w:t>CTEIG</w:t>
      </w:r>
      <w:r>
        <w:rPr>
          <w:rFonts w:cs="Arial"/>
        </w:rPr>
        <w:t xml:space="preserve">, </w:t>
      </w:r>
      <w:r w:rsidR="00B65CF0" w:rsidRPr="005D3564">
        <w:rPr>
          <w:rFonts w:cs="Arial"/>
        </w:rPr>
        <w:t>K–12 SWP</w:t>
      </w:r>
      <w:r>
        <w:rPr>
          <w:rFonts w:cs="Arial"/>
        </w:rPr>
        <w:t>, and Perkins V grant recipients, where the grants are</w:t>
      </w:r>
      <w:r w:rsidR="00B65CF0" w:rsidRPr="005D3564">
        <w:rPr>
          <w:rFonts w:cs="Arial"/>
        </w:rPr>
        <w:t xml:space="preserve"> differentiated </w:t>
      </w:r>
      <w:r>
        <w:rPr>
          <w:rFonts w:cs="Arial"/>
        </w:rPr>
        <w:t xml:space="preserve">at the LEA level </w:t>
      </w:r>
      <w:r w:rsidR="00B65CF0" w:rsidRPr="005D3564">
        <w:rPr>
          <w:rFonts w:cs="Arial"/>
        </w:rPr>
        <w:t xml:space="preserve">by the County District School </w:t>
      </w:r>
      <w:r>
        <w:rPr>
          <w:rFonts w:cs="Arial"/>
        </w:rPr>
        <w:t xml:space="preserve">(CDS) </w:t>
      </w:r>
      <w:r w:rsidR="00B65CF0" w:rsidRPr="005D3564">
        <w:rPr>
          <w:rFonts w:cs="Arial"/>
        </w:rPr>
        <w:t>code</w:t>
      </w:r>
      <w:r>
        <w:rPr>
          <w:rFonts w:cs="Arial"/>
        </w:rPr>
        <w:t>s</w:t>
      </w:r>
      <w:r w:rsidR="003C760A">
        <w:rPr>
          <w:rFonts w:cs="Arial"/>
        </w:rPr>
        <w:t xml:space="preserve"> (Attachment 2)</w:t>
      </w:r>
    </w:p>
    <w:p w14:paraId="0F9A722A" w14:textId="53EE9900" w:rsidR="00470FD6" w:rsidRPr="00E46E60" w:rsidRDefault="00C56023" w:rsidP="00E46E60">
      <w:pPr>
        <w:pStyle w:val="ListParagraph"/>
        <w:numPr>
          <w:ilvl w:val="0"/>
          <w:numId w:val="11"/>
        </w:numPr>
        <w:spacing w:after="240"/>
        <w:rPr>
          <w:rFonts w:cs="Arial"/>
        </w:rPr>
      </w:pPr>
      <w:r>
        <w:rPr>
          <w:rFonts w:cs="Arial"/>
        </w:rPr>
        <w:t>CTE completer</w:t>
      </w:r>
      <w:r>
        <w:rPr>
          <w:rStyle w:val="FootnoteReference"/>
          <w:rFonts w:cs="Arial"/>
        </w:rPr>
        <w:footnoteReference w:id="2"/>
      </w:r>
      <w:r w:rsidR="00470FD6" w:rsidRPr="00470FD6">
        <w:rPr>
          <w:rFonts w:cs="Arial"/>
        </w:rPr>
        <w:t xml:space="preserve"> data for LEAs, disaggregated by gender, race and ethnicity, and special populations, and further broken out by the CTEIG, K–12 SWP, and Perkins V grant recipients are differentiated at the LEA level by the CDS codes</w:t>
      </w:r>
      <w:r w:rsidR="003C760A">
        <w:rPr>
          <w:rFonts w:cs="Arial"/>
        </w:rPr>
        <w:t xml:space="preserve"> (Attachment 3)</w:t>
      </w:r>
    </w:p>
    <w:p w14:paraId="6F3B618E" w14:textId="029ED185" w:rsidR="006902E0" w:rsidRDefault="00C56023" w:rsidP="00321091">
      <w:pPr>
        <w:spacing w:after="240"/>
      </w:pPr>
      <w:r>
        <w:t xml:space="preserve">The data used </w:t>
      </w:r>
      <w:r w:rsidR="00321091">
        <w:t xml:space="preserve">in </w:t>
      </w:r>
      <w:r>
        <w:t xml:space="preserve">the Four-Year Adjusted cohort </w:t>
      </w:r>
      <w:r w:rsidRPr="003F0EC8">
        <w:t xml:space="preserve">is based on the number of students who enter grade </w:t>
      </w:r>
      <w:r w:rsidR="00321091">
        <w:t>nine</w:t>
      </w:r>
      <w:r w:rsidRPr="003F0EC8">
        <w:t xml:space="preserve"> for the first time</w:t>
      </w:r>
      <w:r w:rsidR="00321091">
        <w:t>,</w:t>
      </w:r>
      <w:r w:rsidRPr="003F0EC8">
        <w:t xml:space="preserve"> adjusted by adding into the cohort any student who transfers in later during grade </w:t>
      </w:r>
      <w:r w:rsidR="00321091">
        <w:t>nine,</w:t>
      </w:r>
      <w:r w:rsidRPr="003F0EC8">
        <w:t xml:space="preserve"> or during the next three years</w:t>
      </w:r>
      <w:r w:rsidR="00321091">
        <w:t>,</w:t>
      </w:r>
      <w:r w:rsidRPr="003F0EC8">
        <w:t xml:space="preserve"> and subtracting any student from the cohort who transfers out, emigrates to another country, transfers to a prison or juvenile facility, or dies during that same period.</w:t>
      </w:r>
      <w:r>
        <w:t xml:space="preserve"> </w:t>
      </w:r>
      <w:r w:rsidR="006902E0">
        <w:t xml:space="preserve">In other words, the CTE participant and CTE completer is a student completing one or more courses flagged with either a CTE pathway or </w:t>
      </w:r>
      <w:r w:rsidR="00106476">
        <w:t xml:space="preserve">industry </w:t>
      </w:r>
      <w:r w:rsidR="006902E0">
        <w:t xml:space="preserve">sector, within the </w:t>
      </w:r>
      <w:r w:rsidR="00106476">
        <w:t>four</w:t>
      </w:r>
      <w:r w:rsidR="006902E0">
        <w:t>-year cohort period</w:t>
      </w:r>
      <w:r w:rsidR="001438C4">
        <w:t>.</w:t>
      </w:r>
      <w:r w:rsidR="006902E0">
        <w:t xml:space="preserve"> </w:t>
      </w:r>
      <w:r w:rsidR="001438C4">
        <w:t>F</w:t>
      </w:r>
      <w:r w:rsidR="006902E0">
        <w:t xml:space="preserve">or the </w:t>
      </w:r>
      <w:r w:rsidR="00505853">
        <w:t>20</w:t>
      </w:r>
      <w:r w:rsidR="006902E0">
        <w:t>18</w:t>
      </w:r>
      <w:r w:rsidR="00321091">
        <w:t>–</w:t>
      </w:r>
      <w:r w:rsidR="006902E0">
        <w:t>19 cohort window</w:t>
      </w:r>
      <w:r w:rsidR="00321091">
        <w:t xml:space="preserve">, </w:t>
      </w:r>
      <w:r w:rsidR="001438C4">
        <w:t xml:space="preserve">it includes </w:t>
      </w:r>
      <w:r w:rsidR="00106476">
        <w:t>AY</w:t>
      </w:r>
      <w:r w:rsidR="00321091">
        <w:t>s</w:t>
      </w:r>
      <w:r w:rsidR="00106476">
        <w:t xml:space="preserve"> 20</w:t>
      </w:r>
      <w:r w:rsidR="006902E0">
        <w:t>15</w:t>
      </w:r>
      <w:r w:rsidR="00321091">
        <w:t>–</w:t>
      </w:r>
      <w:r w:rsidR="006902E0">
        <w:t xml:space="preserve">16, </w:t>
      </w:r>
      <w:r w:rsidR="00106476">
        <w:t>20</w:t>
      </w:r>
      <w:r w:rsidR="006902E0">
        <w:t>16</w:t>
      </w:r>
      <w:r w:rsidR="00321091">
        <w:t>–</w:t>
      </w:r>
      <w:r w:rsidR="006902E0">
        <w:t xml:space="preserve">17, </w:t>
      </w:r>
      <w:r w:rsidR="00106476">
        <w:t>20</w:t>
      </w:r>
      <w:r w:rsidR="006902E0">
        <w:t>1</w:t>
      </w:r>
      <w:r w:rsidR="00321091">
        <w:t>7–</w:t>
      </w:r>
      <w:r w:rsidR="006902E0">
        <w:t xml:space="preserve">18, </w:t>
      </w:r>
      <w:r w:rsidR="00106476">
        <w:t>and, 20</w:t>
      </w:r>
      <w:r w:rsidR="006902E0">
        <w:t>18</w:t>
      </w:r>
      <w:r w:rsidR="00321091">
        <w:t>–</w:t>
      </w:r>
      <w:r w:rsidR="006902E0">
        <w:t>19.</w:t>
      </w:r>
    </w:p>
    <w:p w14:paraId="4B8ED370" w14:textId="0040F108" w:rsidR="00C56023" w:rsidRDefault="00C56023" w:rsidP="00321091">
      <w:pPr>
        <w:spacing w:after="240"/>
      </w:pPr>
      <w:r w:rsidRPr="003F0EC8">
        <w:lastRenderedPageBreak/>
        <w:t xml:space="preserve">The student-level data used by the CDE to calculate </w:t>
      </w:r>
      <w:r>
        <w:t>CTE participation and completion</w:t>
      </w:r>
      <w:r w:rsidRPr="003F0EC8">
        <w:t xml:space="preserve"> were submitted by LEAs to the </w:t>
      </w:r>
      <w:r>
        <w:t>CDE</w:t>
      </w:r>
      <w:r w:rsidRPr="003F0EC8">
        <w:t xml:space="preserve"> as part of regular student enrollment, demographic, and program subgroup updates. LEAs were provided with opportunities to review and, if necessary, amend these data before the CDE made the final calculations. </w:t>
      </w:r>
      <w:r>
        <w:t xml:space="preserve">The data at the </w:t>
      </w:r>
      <w:r w:rsidR="001438C4">
        <w:t xml:space="preserve">LEA </w:t>
      </w:r>
      <w:r>
        <w:t xml:space="preserve">level </w:t>
      </w:r>
      <w:r w:rsidR="00C24D33">
        <w:t>include student</w:t>
      </w:r>
      <w:r>
        <w:t xml:space="preserve"> cohort</w:t>
      </w:r>
      <w:r w:rsidR="00C24D33">
        <w:t>s</w:t>
      </w:r>
      <w:r>
        <w:t xml:space="preserve"> </w:t>
      </w:r>
      <w:r w:rsidR="00C24D33">
        <w:t>who</w:t>
      </w:r>
      <w:r>
        <w:t xml:space="preserve"> share the </w:t>
      </w:r>
      <w:r w:rsidR="006902E0">
        <w:t>CDS code</w:t>
      </w:r>
      <w:r>
        <w:t>.</w:t>
      </w:r>
    </w:p>
    <w:p w14:paraId="0B9A90A3" w14:textId="70EBE2A8" w:rsidR="006902E0" w:rsidRDefault="00505853" w:rsidP="00321091">
      <w:pPr>
        <w:spacing w:after="240"/>
      </w:pPr>
      <w:r>
        <w:t>For the 2018</w:t>
      </w:r>
      <w:r w:rsidR="00321091">
        <w:t>–</w:t>
      </w:r>
      <w:r>
        <w:t xml:space="preserve">19 cohort, </w:t>
      </w:r>
      <w:r w:rsidR="00BD2B0B">
        <w:t>562 LEAs submitted data for CTE participant</w:t>
      </w:r>
      <w:r w:rsidR="00C24D33">
        <w:t>s</w:t>
      </w:r>
      <w:r w:rsidR="00BD2B0B">
        <w:t xml:space="preserve"> and CTE completer</w:t>
      </w:r>
      <w:r w:rsidR="00C24D33">
        <w:t>s</w:t>
      </w:r>
      <w:r w:rsidR="00BD2B0B">
        <w:t>. Using the CDS codes, these LEAs were sub-divided into the following eight groups of funding categor</w:t>
      </w:r>
      <w:r w:rsidR="00DB6876">
        <w:t>y mix</w:t>
      </w:r>
      <w:r w:rsidR="00BD2B0B">
        <w:t>:</w:t>
      </w:r>
    </w:p>
    <w:p w14:paraId="236D4CC7" w14:textId="5B8D0121" w:rsidR="00296BE7" w:rsidRPr="00321091" w:rsidRDefault="00BD2B0B" w:rsidP="00321091">
      <w:pPr>
        <w:pStyle w:val="ListParagraph"/>
        <w:numPr>
          <w:ilvl w:val="0"/>
          <w:numId w:val="29"/>
        </w:numPr>
        <w:spacing w:after="240"/>
        <w:ind w:left="720"/>
        <w:rPr>
          <w:rFonts w:cs="Arial"/>
        </w:rPr>
      </w:pPr>
      <w:r w:rsidRPr="00321091">
        <w:rPr>
          <w:rFonts w:cs="Arial"/>
        </w:rPr>
        <w:t>Received no state or federal funds: NONE</w:t>
      </w:r>
      <w:r w:rsidR="009B1C56" w:rsidRPr="00321091">
        <w:rPr>
          <w:rFonts w:cs="Arial"/>
        </w:rPr>
        <w:t xml:space="preserve"> (115 LEAs)</w:t>
      </w:r>
    </w:p>
    <w:p w14:paraId="68815C56" w14:textId="09BDCE29" w:rsidR="00BD2B0B" w:rsidRPr="00321091" w:rsidRDefault="00BD2B0B" w:rsidP="00321091">
      <w:pPr>
        <w:pStyle w:val="ListParagraph"/>
        <w:numPr>
          <w:ilvl w:val="0"/>
          <w:numId w:val="29"/>
        </w:numPr>
        <w:spacing w:after="240"/>
        <w:ind w:left="720"/>
        <w:rPr>
          <w:rFonts w:cs="Arial"/>
        </w:rPr>
      </w:pPr>
      <w:r w:rsidRPr="00321091">
        <w:rPr>
          <w:rFonts w:cs="Arial"/>
        </w:rPr>
        <w:t>Received only CTEIG funds: CTEIG</w:t>
      </w:r>
      <w:r w:rsidR="009B1C56" w:rsidRPr="00321091">
        <w:rPr>
          <w:rFonts w:cs="Arial"/>
        </w:rPr>
        <w:t xml:space="preserve"> </w:t>
      </w:r>
      <w:r w:rsidR="004A5801" w:rsidRPr="00321091">
        <w:rPr>
          <w:rFonts w:cs="Arial"/>
        </w:rPr>
        <w:t>(372 LEAs)</w:t>
      </w:r>
    </w:p>
    <w:p w14:paraId="22D45613" w14:textId="7F0F9BCD" w:rsidR="00BD2B0B" w:rsidRPr="00321091" w:rsidRDefault="00BD2B0B" w:rsidP="00321091">
      <w:pPr>
        <w:pStyle w:val="ListParagraph"/>
        <w:numPr>
          <w:ilvl w:val="0"/>
          <w:numId w:val="29"/>
        </w:numPr>
        <w:spacing w:after="240"/>
        <w:ind w:left="720"/>
        <w:rPr>
          <w:rFonts w:cs="Arial"/>
        </w:rPr>
      </w:pPr>
      <w:r w:rsidRPr="00321091">
        <w:rPr>
          <w:rFonts w:cs="Arial"/>
        </w:rPr>
        <w:t>Received only K–12 SWP funds: K</w:t>
      </w:r>
      <w:r w:rsidR="00C27DE6">
        <w:rPr>
          <w:rFonts w:cs="Arial"/>
        </w:rPr>
        <w:t>–</w:t>
      </w:r>
      <w:r w:rsidRPr="00321091">
        <w:rPr>
          <w:rFonts w:cs="Arial"/>
        </w:rPr>
        <w:t>12 SWP</w:t>
      </w:r>
      <w:r w:rsidR="004A5801" w:rsidRPr="00321091">
        <w:rPr>
          <w:rFonts w:cs="Arial"/>
        </w:rPr>
        <w:t xml:space="preserve"> (244 LEAs)</w:t>
      </w:r>
    </w:p>
    <w:p w14:paraId="64DDCB3F" w14:textId="5F304504" w:rsidR="00BD2B0B" w:rsidRPr="00321091" w:rsidRDefault="00BD2B0B" w:rsidP="00321091">
      <w:pPr>
        <w:pStyle w:val="ListParagraph"/>
        <w:numPr>
          <w:ilvl w:val="0"/>
          <w:numId w:val="29"/>
        </w:numPr>
        <w:spacing w:after="240"/>
        <w:ind w:left="720"/>
        <w:rPr>
          <w:rFonts w:cs="Arial"/>
        </w:rPr>
      </w:pPr>
      <w:r w:rsidRPr="00321091">
        <w:rPr>
          <w:rFonts w:cs="Arial"/>
        </w:rPr>
        <w:t>Received only Perkins funds: Perkins</w:t>
      </w:r>
      <w:r w:rsidR="004A5801" w:rsidRPr="00321091">
        <w:rPr>
          <w:rFonts w:cs="Arial"/>
        </w:rPr>
        <w:t xml:space="preserve"> (381 LEAs)</w:t>
      </w:r>
    </w:p>
    <w:p w14:paraId="194CC93F" w14:textId="657E2437" w:rsidR="00BD2B0B" w:rsidRPr="00321091" w:rsidRDefault="00BD2B0B" w:rsidP="00321091">
      <w:pPr>
        <w:pStyle w:val="ListParagraph"/>
        <w:numPr>
          <w:ilvl w:val="0"/>
          <w:numId w:val="29"/>
        </w:numPr>
        <w:spacing w:after="240"/>
        <w:ind w:left="720"/>
        <w:rPr>
          <w:rFonts w:cs="Arial"/>
        </w:rPr>
      </w:pPr>
      <w:r w:rsidRPr="00321091">
        <w:rPr>
          <w:rFonts w:cs="Arial"/>
        </w:rPr>
        <w:t>Received both CTEIG and K–12 SWP funds: CTEIG and K</w:t>
      </w:r>
      <w:r w:rsidR="00C27DE6">
        <w:rPr>
          <w:rFonts w:cs="Arial"/>
        </w:rPr>
        <w:t>–</w:t>
      </w:r>
      <w:r w:rsidRPr="00321091">
        <w:rPr>
          <w:rFonts w:cs="Arial"/>
        </w:rPr>
        <w:t>12 SWP</w:t>
      </w:r>
      <w:r w:rsidR="004A5801" w:rsidRPr="00321091">
        <w:rPr>
          <w:rFonts w:cs="Arial"/>
        </w:rPr>
        <w:t xml:space="preserve"> (195 LEAs)</w:t>
      </w:r>
    </w:p>
    <w:p w14:paraId="7EEF75A8" w14:textId="1FDA7D1E" w:rsidR="00BD2B0B" w:rsidRPr="00321091" w:rsidRDefault="00BD2B0B" w:rsidP="00321091">
      <w:pPr>
        <w:pStyle w:val="ListParagraph"/>
        <w:numPr>
          <w:ilvl w:val="0"/>
          <w:numId w:val="29"/>
        </w:numPr>
        <w:spacing w:after="240"/>
        <w:ind w:left="720"/>
        <w:rPr>
          <w:rFonts w:cs="Arial"/>
        </w:rPr>
      </w:pPr>
      <w:r w:rsidRPr="00321091">
        <w:rPr>
          <w:rFonts w:cs="Arial"/>
        </w:rPr>
        <w:t>Received both CTEIG and Perkins funds: CTEIG and Perkins</w:t>
      </w:r>
      <w:r w:rsidR="004A5801" w:rsidRPr="00321091">
        <w:rPr>
          <w:rFonts w:cs="Arial"/>
        </w:rPr>
        <w:t xml:space="preserve"> (331 LEAs)</w:t>
      </w:r>
    </w:p>
    <w:p w14:paraId="779103BA" w14:textId="794A6CE6" w:rsidR="00BD2B0B" w:rsidRPr="00321091" w:rsidRDefault="00BD2B0B" w:rsidP="00321091">
      <w:pPr>
        <w:pStyle w:val="ListParagraph"/>
        <w:numPr>
          <w:ilvl w:val="0"/>
          <w:numId w:val="29"/>
        </w:numPr>
        <w:spacing w:after="240"/>
        <w:ind w:left="720"/>
        <w:rPr>
          <w:rFonts w:cs="Arial"/>
        </w:rPr>
      </w:pPr>
      <w:r w:rsidRPr="00321091">
        <w:rPr>
          <w:rFonts w:cs="Arial"/>
        </w:rPr>
        <w:t>Received both K–12 SWP and Perkins funds: K</w:t>
      </w:r>
      <w:r w:rsidR="00515E00">
        <w:rPr>
          <w:rFonts w:cs="Arial"/>
        </w:rPr>
        <w:t>–</w:t>
      </w:r>
      <w:r w:rsidRPr="00321091">
        <w:rPr>
          <w:rFonts w:cs="Arial"/>
        </w:rPr>
        <w:t>12 SWP and Perkins</w:t>
      </w:r>
      <w:r w:rsidR="004A5801" w:rsidRPr="00321091">
        <w:rPr>
          <w:rFonts w:cs="Arial"/>
        </w:rPr>
        <w:t xml:space="preserve"> (24 LEAs)</w:t>
      </w:r>
    </w:p>
    <w:p w14:paraId="0F0CC25B" w14:textId="04F963DA" w:rsidR="00BD2B0B" w:rsidRPr="00321091" w:rsidRDefault="00BD2B0B" w:rsidP="00321091">
      <w:pPr>
        <w:pStyle w:val="ListParagraph"/>
        <w:numPr>
          <w:ilvl w:val="0"/>
          <w:numId w:val="29"/>
        </w:numPr>
        <w:spacing w:after="240"/>
        <w:ind w:left="720"/>
        <w:rPr>
          <w:rFonts w:cs="Arial"/>
        </w:rPr>
      </w:pPr>
      <w:r w:rsidRPr="00321091">
        <w:rPr>
          <w:rFonts w:cs="Arial"/>
        </w:rPr>
        <w:t>Received all three sources of funds: All Three Grant Funding</w:t>
      </w:r>
      <w:r w:rsidR="004A5801" w:rsidRPr="00321091">
        <w:rPr>
          <w:rFonts w:cs="Arial"/>
        </w:rPr>
        <w:t xml:space="preserve"> (177 LEAs)</w:t>
      </w:r>
    </w:p>
    <w:p w14:paraId="28627620" w14:textId="3B8B3CDB" w:rsidR="00B23416" w:rsidRDefault="00B23416" w:rsidP="00DB6876">
      <w:pPr>
        <w:spacing w:after="240"/>
        <w:rPr>
          <w:rFonts w:cs="Arial"/>
        </w:rPr>
      </w:pPr>
      <w:r>
        <w:rPr>
          <w:rFonts w:cs="Arial"/>
        </w:rPr>
        <w:t xml:space="preserve">It should be noted that the </w:t>
      </w:r>
      <w:r w:rsidR="000D7D6D">
        <w:rPr>
          <w:rFonts w:cs="Arial"/>
        </w:rPr>
        <w:t xml:space="preserve">above </w:t>
      </w:r>
      <w:r>
        <w:rPr>
          <w:rFonts w:cs="Arial"/>
        </w:rPr>
        <w:t>data spans four-years of CTE participation and completion</w:t>
      </w:r>
      <w:r w:rsidR="000D7D6D">
        <w:rPr>
          <w:rFonts w:cs="Arial"/>
        </w:rPr>
        <w:t>, that is AY</w:t>
      </w:r>
      <w:r w:rsidR="00333C81">
        <w:rPr>
          <w:rFonts w:cs="Arial"/>
        </w:rPr>
        <w:t>s</w:t>
      </w:r>
      <w:r w:rsidR="000D7D6D">
        <w:rPr>
          <w:rFonts w:cs="Arial"/>
        </w:rPr>
        <w:t xml:space="preserve"> 2015</w:t>
      </w:r>
      <w:r w:rsidR="00333C81">
        <w:rPr>
          <w:rFonts w:cs="Arial"/>
        </w:rPr>
        <w:t>–</w:t>
      </w:r>
      <w:r w:rsidR="000D7D6D">
        <w:rPr>
          <w:rFonts w:cs="Arial"/>
        </w:rPr>
        <w:t>16, 2016</w:t>
      </w:r>
      <w:r w:rsidR="00333C81">
        <w:rPr>
          <w:rFonts w:cs="Arial"/>
        </w:rPr>
        <w:t>–</w:t>
      </w:r>
      <w:r w:rsidR="000D7D6D">
        <w:rPr>
          <w:rFonts w:cs="Arial"/>
        </w:rPr>
        <w:t>17, 2017</w:t>
      </w:r>
      <w:r w:rsidR="00333C81">
        <w:rPr>
          <w:rFonts w:cs="Arial"/>
        </w:rPr>
        <w:t>–</w:t>
      </w:r>
      <w:r w:rsidR="000D7D6D">
        <w:rPr>
          <w:rFonts w:cs="Arial"/>
        </w:rPr>
        <w:t>18, and 2018</w:t>
      </w:r>
      <w:r w:rsidR="00333C81">
        <w:rPr>
          <w:rFonts w:cs="Arial"/>
        </w:rPr>
        <w:t>–</w:t>
      </w:r>
      <w:r w:rsidR="000D7D6D">
        <w:rPr>
          <w:rFonts w:cs="Arial"/>
        </w:rPr>
        <w:t>19</w:t>
      </w:r>
      <w:r>
        <w:rPr>
          <w:rFonts w:cs="Arial"/>
        </w:rPr>
        <w:t>. However, the identification of which LEAs receive which type of funds is based on a single year, 2018</w:t>
      </w:r>
      <w:r w:rsidR="00333C81">
        <w:rPr>
          <w:rFonts w:cs="Arial"/>
        </w:rPr>
        <w:t>–</w:t>
      </w:r>
      <w:r>
        <w:rPr>
          <w:rFonts w:cs="Arial"/>
        </w:rPr>
        <w:t>19</w:t>
      </w:r>
      <w:r w:rsidR="000D7D6D">
        <w:rPr>
          <w:rFonts w:cs="Arial"/>
        </w:rPr>
        <w:t>, using the CDS code assignments.</w:t>
      </w:r>
    </w:p>
    <w:p w14:paraId="6E784A21" w14:textId="7712D42B" w:rsidR="00DB6876" w:rsidRDefault="00DB6876" w:rsidP="00DB6876">
      <w:pPr>
        <w:spacing w:after="240"/>
        <w:rPr>
          <w:rFonts w:cs="Arial"/>
        </w:rPr>
      </w:pPr>
      <w:r>
        <w:rPr>
          <w:rFonts w:cs="Arial"/>
        </w:rPr>
        <w:t xml:space="preserve">The table below shows the </w:t>
      </w:r>
      <w:r w:rsidR="00F25484">
        <w:rPr>
          <w:rFonts w:cs="Arial"/>
        </w:rPr>
        <w:t>2018</w:t>
      </w:r>
      <w:r w:rsidR="00C27DE6">
        <w:rPr>
          <w:rFonts w:cs="Arial"/>
        </w:rPr>
        <w:t>–</w:t>
      </w:r>
      <w:r w:rsidR="00F25484">
        <w:rPr>
          <w:rFonts w:cs="Arial"/>
        </w:rPr>
        <w:t xml:space="preserve">19 cohort </w:t>
      </w:r>
      <w:r>
        <w:rPr>
          <w:rFonts w:cs="Arial"/>
        </w:rPr>
        <w:t>counts for total student</w:t>
      </w:r>
      <w:r w:rsidR="00F25484">
        <w:rPr>
          <w:rFonts w:cs="Arial"/>
        </w:rPr>
        <w:t>s</w:t>
      </w:r>
      <w:r>
        <w:rPr>
          <w:rFonts w:cs="Arial"/>
        </w:rPr>
        <w:t>, CTE participants, and CTE completers by each funding category mix.</w:t>
      </w:r>
    </w:p>
    <w:tbl>
      <w:tblPr>
        <w:tblStyle w:val="GridTable2"/>
        <w:tblpPr w:leftFromText="180" w:rightFromText="180" w:vertAnchor="text" w:tblpY="1"/>
        <w:tblW w:w="8815" w:type="dxa"/>
        <w:tblLook w:val="04A0" w:firstRow="1" w:lastRow="0" w:firstColumn="1" w:lastColumn="0" w:noHBand="0" w:noVBand="1"/>
      </w:tblPr>
      <w:tblGrid>
        <w:gridCol w:w="1457"/>
        <w:gridCol w:w="1243"/>
        <w:gridCol w:w="1457"/>
        <w:gridCol w:w="1403"/>
        <w:gridCol w:w="1457"/>
        <w:gridCol w:w="1798"/>
      </w:tblGrid>
      <w:tr w:rsidR="00CE4349" w:rsidRPr="00DB6876" w14:paraId="7A334D6F" w14:textId="77777777" w:rsidTr="00CE4349">
        <w:trPr>
          <w:cnfStyle w:val="100000000000" w:firstRow="1" w:lastRow="0" w:firstColumn="0" w:lastColumn="0" w:oddVBand="0" w:evenVBand="0" w:oddHBand="0" w:evenHBand="0" w:firstRowFirstColumn="0" w:firstRowLastColumn="0" w:lastRowFirstColumn="0" w:lastRowLastColumn="0"/>
          <w:cantSplit/>
          <w:trHeight w:val="1076"/>
          <w:tblHeader/>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3E5E7D2C" w14:textId="77777777" w:rsidR="00DB6876" w:rsidRPr="00C27DE6" w:rsidRDefault="00DB6876" w:rsidP="00C27DE6">
            <w:pPr>
              <w:jc w:val="center"/>
              <w:rPr>
                <w:rFonts w:cs="Arial"/>
                <w:color w:val="000000"/>
              </w:rPr>
            </w:pPr>
            <w:r w:rsidRPr="00C27DE6">
              <w:rPr>
                <w:rFonts w:cs="Arial"/>
                <w:color w:val="000000"/>
              </w:rPr>
              <w:t>Funding Categories</w:t>
            </w:r>
          </w:p>
        </w:tc>
        <w:tc>
          <w:tcPr>
            <w:tcW w:w="1243" w:type="dxa"/>
            <w:tcBorders>
              <w:top w:val="single" w:sz="4" w:space="0" w:color="auto"/>
              <w:left w:val="single" w:sz="4" w:space="0" w:color="auto"/>
              <w:bottom w:val="single" w:sz="4" w:space="0" w:color="auto"/>
              <w:right w:val="single" w:sz="4" w:space="0" w:color="auto"/>
            </w:tcBorders>
            <w:hideMark/>
          </w:tcPr>
          <w:p w14:paraId="49F4CD43" w14:textId="782F1DDB" w:rsidR="00DB6876" w:rsidRPr="00C27DE6" w:rsidRDefault="00DB6876" w:rsidP="00C27DE6">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 xml:space="preserve">Students in </w:t>
            </w:r>
            <w:r w:rsidR="00C27DE6">
              <w:rPr>
                <w:rFonts w:cs="Arial"/>
                <w:color w:val="000000"/>
              </w:rPr>
              <w:t>Four</w:t>
            </w:r>
            <w:r w:rsidRPr="00C27DE6">
              <w:rPr>
                <w:rFonts w:cs="Arial"/>
                <w:color w:val="000000"/>
              </w:rPr>
              <w:t>-</w:t>
            </w:r>
            <w:r w:rsidR="00A703B0">
              <w:rPr>
                <w:rFonts w:cs="Arial"/>
                <w:color w:val="000000"/>
              </w:rPr>
              <w:t>Y</w:t>
            </w:r>
            <w:r w:rsidR="00C27DE6">
              <w:rPr>
                <w:rFonts w:cs="Arial"/>
                <w:color w:val="000000"/>
              </w:rPr>
              <w:t>ear</w:t>
            </w:r>
            <w:r w:rsidRPr="00C27DE6">
              <w:rPr>
                <w:rFonts w:cs="Arial"/>
                <w:color w:val="000000"/>
              </w:rPr>
              <w:t xml:space="preserve"> Cohort</w:t>
            </w:r>
          </w:p>
        </w:tc>
        <w:tc>
          <w:tcPr>
            <w:tcW w:w="1457" w:type="dxa"/>
            <w:tcBorders>
              <w:top w:val="single" w:sz="4" w:space="0" w:color="auto"/>
              <w:left w:val="single" w:sz="4" w:space="0" w:color="auto"/>
              <w:bottom w:val="single" w:sz="4" w:space="0" w:color="auto"/>
              <w:right w:val="single" w:sz="4" w:space="0" w:color="auto"/>
            </w:tcBorders>
            <w:hideMark/>
          </w:tcPr>
          <w:p w14:paraId="4F73675E" w14:textId="77777777" w:rsidR="00DB6876" w:rsidRPr="00C27DE6" w:rsidRDefault="00DB6876" w:rsidP="00C27DE6">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CTE Participant</w:t>
            </w:r>
          </w:p>
        </w:tc>
        <w:tc>
          <w:tcPr>
            <w:tcW w:w="1403" w:type="dxa"/>
            <w:tcBorders>
              <w:top w:val="single" w:sz="4" w:space="0" w:color="auto"/>
              <w:left w:val="single" w:sz="4" w:space="0" w:color="auto"/>
              <w:bottom w:val="single" w:sz="4" w:space="0" w:color="auto"/>
              <w:right w:val="single" w:sz="4" w:space="0" w:color="auto"/>
            </w:tcBorders>
            <w:hideMark/>
          </w:tcPr>
          <w:p w14:paraId="19516DCC" w14:textId="77777777" w:rsidR="00DB6876" w:rsidRPr="00C27DE6" w:rsidRDefault="00DB6876" w:rsidP="00C27DE6">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CTE Completer</w:t>
            </w:r>
          </w:p>
        </w:tc>
        <w:tc>
          <w:tcPr>
            <w:tcW w:w="1457" w:type="dxa"/>
            <w:tcBorders>
              <w:top w:val="single" w:sz="4" w:space="0" w:color="auto"/>
              <w:left w:val="single" w:sz="4" w:space="0" w:color="auto"/>
              <w:bottom w:val="single" w:sz="4" w:space="0" w:color="auto"/>
              <w:right w:val="single" w:sz="4" w:space="0" w:color="auto"/>
            </w:tcBorders>
            <w:hideMark/>
          </w:tcPr>
          <w:p w14:paraId="63EDED1F" w14:textId="61F0923D" w:rsidR="00DB6876" w:rsidRPr="00C27DE6" w:rsidRDefault="00DB6876" w:rsidP="00C27DE6">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 xml:space="preserve"> CTE Participant as % in Cohort</w:t>
            </w:r>
          </w:p>
        </w:tc>
        <w:tc>
          <w:tcPr>
            <w:tcW w:w="1798" w:type="dxa"/>
            <w:tcBorders>
              <w:top w:val="single" w:sz="4" w:space="0" w:color="auto"/>
              <w:left w:val="single" w:sz="4" w:space="0" w:color="auto"/>
              <w:bottom w:val="single" w:sz="4" w:space="0" w:color="auto"/>
              <w:right w:val="single" w:sz="4" w:space="0" w:color="auto"/>
            </w:tcBorders>
            <w:hideMark/>
          </w:tcPr>
          <w:p w14:paraId="39AE9913" w14:textId="77777777" w:rsidR="00DB6876" w:rsidRPr="00C27DE6" w:rsidRDefault="00DB6876" w:rsidP="00C27DE6">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CTE Completer as a % in CTE Participants</w:t>
            </w:r>
          </w:p>
        </w:tc>
      </w:tr>
      <w:tr w:rsidR="00CE4349" w:rsidRPr="00DB6876" w14:paraId="59BC9976" w14:textId="77777777" w:rsidTr="00CE43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1D2E8BDE" w14:textId="77777777" w:rsidR="00DB6876" w:rsidRPr="00C27DE6" w:rsidRDefault="00DB6876" w:rsidP="00C27DE6">
            <w:pPr>
              <w:rPr>
                <w:rFonts w:cs="Arial"/>
                <w:color w:val="000000"/>
              </w:rPr>
            </w:pPr>
            <w:r w:rsidRPr="00C27DE6">
              <w:rPr>
                <w:rFonts w:cs="Arial"/>
                <w:color w:val="000000"/>
              </w:rPr>
              <w:t>NONE</w:t>
            </w:r>
          </w:p>
        </w:tc>
        <w:tc>
          <w:tcPr>
            <w:tcW w:w="1243" w:type="dxa"/>
            <w:tcBorders>
              <w:top w:val="single" w:sz="4" w:space="0" w:color="auto"/>
              <w:left w:val="single" w:sz="4" w:space="0" w:color="auto"/>
              <w:bottom w:val="single" w:sz="4" w:space="0" w:color="auto"/>
              <w:right w:val="single" w:sz="4" w:space="0" w:color="auto"/>
            </w:tcBorders>
            <w:hideMark/>
          </w:tcPr>
          <w:p w14:paraId="1DB896E5"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18,054</w:t>
            </w:r>
          </w:p>
        </w:tc>
        <w:tc>
          <w:tcPr>
            <w:tcW w:w="1457" w:type="dxa"/>
            <w:tcBorders>
              <w:top w:val="single" w:sz="4" w:space="0" w:color="auto"/>
              <w:left w:val="single" w:sz="4" w:space="0" w:color="auto"/>
              <w:bottom w:val="single" w:sz="4" w:space="0" w:color="auto"/>
              <w:right w:val="single" w:sz="4" w:space="0" w:color="auto"/>
            </w:tcBorders>
            <w:hideMark/>
          </w:tcPr>
          <w:p w14:paraId="4D81A176"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11,678</w:t>
            </w:r>
          </w:p>
        </w:tc>
        <w:tc>
          <w:tcPr>
            <w:tcW w:w="1403" w:type="dxa"/>
            <w:tcBorders>
              <w:top w:val="single" w:sz="4" w:space="0" w:color="auto"/>
              <w:left w:val="single" w:sz="4" w:space="0" w:color="auto"/>
              <w:bottom w:val="single" w:sz="4" w:space="0" w:color="auto"/>
              <w:right w:val="single" w:sz="4" w:space="0" w:color="auto"/>
            </w:tcBorders>
            <w:hideMark/>
          </w:tcPr>
          <w:p w14:paraId="011C16A5"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594</w:t>
            </w:r>
          </w:p>
        </w:tc>
        <w:tc>
          <w:tcPr>
            <w:tcW w:w="1457" w:type="dxa"/>
            <w:tcBorders>
              <w:top w:val="single" w:sz="4" w:space="0" w:color="auto"/>
              <w:left w:val="single" w:sz="4" w:space="0" w:color="auto"/>
              <w:bottom w:val="single" w:sz="4" w:space="0" w:color="auto"/>
              <w:right w:val="single" w:sz="4" w:space="0" w:color="auto"/>
            </w:tcBorders>
            <w:noWrap/>
            <w:hideMark/>
          </w:tcPr>
          <w:p w14:paraId="2D9D6533"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64.7%</w:t>
            </w:r>
          </w:p>
        </w:tc>
        <w:tc>
          <w:tcPr>
            <w:tcW w:w="1798" w:type="dxa"/>
            <w:tcBorders>
              <w:top w:val="single" w:sz="4" w:space="0" w:color="auto"/>
              <w:left w:val="single" w:sz="4" w:space="0" w:color="auto"/>
              <w:bottom w:val="single" w:sz="4" w:space="0" w:color="auto"/>
              <w:right w:val="single" w:sz="4" w:space="0" w:color="auto"/>
            </w:tcBorders>
            <w:noWrap/>
            <w:hideMark/>
          </w:tcPr>
          <w:p w14:paraId="0A402448"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5.1%</w:t>
            </w:r>
          </w:p>
        </w:tc>
      </w:tr>
      <w:tr w:rsidR="00CE4349" w:rsidRPr="00DB6876" w14:paraId="3272559D" w14:textId="77777777" w:rsidTr="00CE4349">
        <w:trPr>
          <w:trHeight w:val="273"/>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33582803" w14:textId="77777777" w:rsidR="00DB6876" w:rsidRPr="00C27DE6" w:rsidRDefault="00DB6876" w:rsidP="00C27DE6">
            <w:pPr>
              <w:rPr>
                <w:rFonts w:cs="Arial"/>
                <w:color w:val="000000"/>
              </w:rPr>
            </w:pPr>
            <w:r w:rsidRPr="00C27DE6">
              <w:rPr>
                <w:rFonts w:cs="Arial"/>
                <w:color w:val="000000"/>
              </w:rPr>
              <w:t>CTEIG</w:t>
            </w:r>
          </w:p>
        </w:tc>
        <w:tc>
          <w:tcPr>
            <w:tcW w:w="1243" w:type="dxa"/>
            <w:tcBorders>
              <w:top w:val="single" w:sz="4" w:space="0" w:color="auto"/>
              <w:left w:val="single" w:sz="4" w:space="0" w:color="auto"/>
              <w:bottom w:val="single" w:sz="4" w:space="0" w:color="auto"/>
              <w:right w:val="single" w:sz="4" w:space="0" w:color="auto"/>
            </w:tcBorders>
            <w:hideMark/>
          </w:tcPr>
          <w:p w14:paraId="5803B8AE"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7,805</w:t>
            </w:r>
          </w:p>
        </w:tc>
        <w:tc>
          <w:tcPr>
            <w:tcW w:w="1457" w:type="dxa"/>
            <w:tcBorders>
              <w:top w:val="single" w:sz="4" w:space="0" w:color="auto"/>
              <w:left w:val="single" w:sz="4" w:space="0" w:color="auto"/>
              <w:bottom w:val="single" w:sz="4" w:space="0" w:color="auto"/>
              <w:right w:val="single" w:sz="4" w:space="0" w:color="auto"/>
            </w:tcBorders>
            <w:hideMark/>
          </w:tcPr>
          <w:p w14:paraId="21D0D0E4"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6,048</w:t>
            </w:r>
          </w:p>
        </w:tc>
        <w:tc>
          <w:tcPr>
            <w:tcW w:w="1403" w:type="dxa"/>
            <w:tcBorders>
              <w:top w:val="single" w:sz="4" w:space="0" w:color="auto"/>
              <w:left w:val="single" w:sz="4" w:space="0" w:color="auto"/>
              <w:bottom w:val="single" w:sz="4" w:space="0" w:color="auto"/>
              <w:right w:val="single" w:sz="4" w:space="0" w:color="auto"/>
            </w:tcBorders>
            <w:hideMark/>
          </w:tcPr>
          <w:p w14:paraId="62EA80F6"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1,453</w:t>
            </w:r>
          </w:p>
        </w:tc>
        <w:tc>
          <w:tcPr>
            <w:tcW w:w="1457" w:type="dxa"/>
            <w:tcBorders>
              <w:top w:val="single" w:sz="4" w:space="0" w:color="auto"/>
              <w:left w:val="single" w:sz="4" w:space="0" w:color="auto"/>
              <w:bottom w:val="single" w:sz="4" w:space="0" w:color="auto"/>
              <w:right w:val="single" w:sz="4" w:space="0" w:color="auto"/>
            </w:tcBorders>
            <w:noWrap/>
            <w:hideMark/>
          </w:tcPr>
          <w:p w14:paraId="596237CE"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77.5%</w:t>
            </w:r>
          </w:p>
        </w:tc>
        <w:tc>
          <w:tcPr>
            <w:tcW w:w="1798" w:type="dxa"/>
            <w:tcBorders>
              <w:top w:val="single" w:sz="4" w:space="0" w:color="auto"/>
              <w:left w:val="single" w:sz="4" w:space="0" w:color="auto"/>
              <w:bottom w:val="single" w:sz="4" w:space="0" w:color="auto"/>
              <w:right w:val="single" w:sz="4" w:space="0" w:color="auto"/>
            </w:tcBorders>
            <w:noWrap/>
            <w:hideMark/>
          </w:tcPr>
          <w:p w14:paraId="2803BCE5"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24.0%</w:t>
            </w:r>
          </w:p>
        </w:tc>
      </w:tr>
      <w:tr w:rsidR="00CE4349" w:rsidRPr="00DB6876" w14:paraId="45096F32" w14:textId="77777777" w:rsidTr="00CE434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674B3941" w14:textId="75BD0880" w:rsidR="00DB6876" w:rsidRPr="00C27DE6" w:rsidRDefault="00DB6876" w:rsidP="00C27DE6">
            <w:pPr>
              <w:rPr>
                <w:rFonts w:cs="Arial"/>
                <w:color w:val="000000"/>
              </w:rPr>
            </w:pPr>
            <w:r w:rsidRPr="00C27DE6">
              <w:rPr>
                <w:rFonts w:cs="Arial"/>
                <w:color w:val="000000"/>
              </w:rPr>
              <w:t>K</w:t>
            </w:r>
            <w:r w:rsidR="00C27DE6">
              <w:rPr>
                <w:rFonts w:cs="Arial"/>
                <w:color w:val="000000"/>
              </w:rPr>
              <w:t>–</w:t>
            </w:r>
            <w:r w:rsidRPr="00C27DE6">
              <w:rPr>
                <w:rFonts w:cs="Arial"/>
                <w:color w:val="000000"/>
              </w:rPr>
              <w:t>12 SWP</w:t>
            </w:r>
          </w:p>
        </w:tc>
        <w:tc>
          <w:tcPr>
            <w:tcW w:w="1243" w:type="dxa"/>
            <w:tcBorders>
              <w:top w:val="single" w:sz="4" w:space="0" w:color="auto"/>
              <w:left w:val="single" w:sz="4" w:space="0" w:color="auto"/>
              <w:bottom w:val="single" w:sz="4" w:space="0" w:color="auto"/>
              <w:right w:val="single" w:sz="4" w:space="0" w:color="auto"/>
            </w:tcBorders>
            <w:hideMark/>
          </w:tcPr>
          <w:p w14:paraId="4BE06EEB"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7,463</w:t>
            </w:r>
          </w:p>
        </w:tc>
        <w:tc>
          <w:tcPr>
            <w:tcW w:w="1457" w:type="dxa"/>
            <w:tcBorders>
              <w:top w:val="single" w:sz="4" w:space="0" w:color="auto"/>
              <w:left w:val="single" w:sz="4" w:space="0" w:color="auto"/>
              <w:bottom w:val="single" w:sz="4" w:space="0" w:color="auto"/>
              <w:right w:val="single" w:sz="4" w:space="0" w:color="auto"/>
            </w:tcBorders>
            <w:hideMark/>
          </w:tcPr>
          <w:p w14:paraId="7C0C1452"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3,746</w:t>
            </w:r>
          </w:p>
        </w:tc>
        <w:tc>
          <w:tcPr>
            <w:tcW w:w="1403" w:type="dxa"/>
            <w:tcBorders>
              <w:top w:val="single" w:sz="4" w:space="0" w:color="auto"/>
              <w:left w:val="single" w:sz="4" w:space="0" w:color="auto"/>
              <w:bottom w:val="single" w:sz="4" w:space="0" w:color="auto"/>
              <w:right w:val="single" w:sz="4" w:space="0" w:color="auto"/>
            </w:tcBorders>
            <w:hideMark/>
          </w:tcPr>
          <w:p w14:paraId="76747DA7"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114</w:t>
            </w:r>
          </w:p>
        </w:tc>
        <w:tc>
          <w:tcPr>
            <w:tcW w:w="1457" w:type="dxa"/>
            <w:tcBorders>
              <w:top w:val="single" w:sz="4" w:space="0" w:color="auto"/>
              <w:left w:val="single" w:sz="4" w:space="0" w:color="auto"/>
              <w:bottom w:val="single" w:sz="4" w:space="0" w:color="auto"/>
              <w:right w:val="single" w:sz="4" w:space="0" w:color="auto"/>
            </w:tcBorders>
            <w:noWrap/>
            <w:hideMark/>
          </w:tcPr>
          <w:p w14:paraId="6E057736"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50.2%</w:t>
            </w:r>
          </w:p>
        </w:tc>
        <w:tc>
          <w:tcPr>
            <w:tcW w:w="1798" w:type="dxa"/>
            <w:tcBorders>
              <w:top w:val="single" w:sz="4" w:space="0" w:color="auto"/>
              <w:left w:val="single" w:sz="4" w:space="0" w:color="auto"/>
              <w:bottom w:val="single" w:sz="4" w:space="0" w:color="auto"/>
              <w:right w:val="single" w:sz="4" w:space="0" w:color="auto"/>
            </w:tcBorders>
            <w:noWrap/>
            <w:hideMark/>
          </w:tcPr>
          <w:p w14:paraId="62BB4315"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3.0%</w:t>
            </w:r>
          </w:p>
        </w:tc>
      </w:tr>
      <w:tr w:rsidR="00CE4349" w:rsidRPr="00DB6876" w14:paraId="2230D648" w14:textId="77777777" w:rsidTr="00CE4349">
        <w:trPr>
          <w:trHeight w:val="343"/>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15FBA097" w14:textId="77777777" w:rsidR="00DB6876" w:rsidRPr="00C27DE6" w:rsidRDefault="00DB6876" w:rsidP="00C27DE6">
            <w:pPr>
              <w:rPr>
                <w:rFonts w:cs="Arial"/>
                <w:color w:val="000000"/>
              </w:rPr>
            </w:pPr>
            <w:r w:rsidRPr="00C27DE6">
              <w:rPr>
                <w:rFonts w:cs="Arial"/>
                <w:color w:val="000000"/>
              </w:rPr>
              <w:t>Perkins</w:t>
            </w:r>
          </w:p>
        </w:tc>
        <w:tc>
          <w:tcPr>
            <w:tcW w:w="1243" w:type="dxa"/>
            <w:tcBorders>
              <w:top w:val="single" w:sz="4" w:space="0" w:color="auto"/>
              <w:left w:val="single" w:sz="4" w:space="0" w:color="auto"/>
              <w:bottom w:val="single" w:sz="4" w:space="0" w:color="auto"/>
              <w:right w:val="single" w:sz="4" w:space="0" w:color="auto"/>
            </w:tcBorders>
            <w:hideMark/>
          </w:tcPr>
          <w:p w14:paraId="714C8902"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7,104</w:t>
            </w:r>
          </w:p>
        </w:tc>
        <w:tc>
          <w:tcPr>
            <w:tcW w:w="1457" w:type="dxa"/>
            <w:tcBorders>
              <w:top w:val="single" w:sz="4" w:space="0" w:color="auto"/>
              <w:left w:val="single" w:sz="4" w:space="0" w:color="auto"/>
              <w:bottom w:val="single" w:sz="4" w:space="0" w:color="auto"/>
              <w:right w:val="single" w:sz="4" w:space="0" w:color="auto"/>
            </w:tcBorders>
            <w:hideMark/>
          </w:tcPr>
          <w:p w14:paraId="20310EDC"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5,205</w:t>
            </w:r>
          </w:p>
        </w:tc>
        <w:tc>
          <w:tcPr>
            <w:tcW w:w="1403" w:type="dxa"/>
            <w:tcBorders>
              <w:top w:val="single" w:sz="4" w:space="0" w:color="auto"/>
              <w:left w:val="single" w:sz="4" w:space="0" w:color="auto"/>
              <w:bottom w:val="single" w:sz="4" w:space="0" w:color="auto"/>
              <w:right w:val="single" w:sz="4" w:space="0" w:color="auto"/>
            </w:tcBorders>
            <w:hideMark/>
          </w:tcPr>
          <w:p w14:paraId="1513CE97"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517</w:t>
            </w:r>
          </w:p>
        </w:tc>
        <w:tc>
          <w:tcPr>
            <w:tcW w:w="1457" w:type="dxa"/>
            <w:tcBorders>
              <w:top w:val="single" w:sz="4" w:space="0" w:color="auto"/>
              <w:left w:val="single" w:sz="4" w:space="0" w:color="auto"/>
              <w:bottom w:val="single" w:sz="4" w:space="0" w:color="auto"/>
              <w:right w:val="single" w:sz="4" w:space="0" w:color="auto"/>
            </w:tcBorders>
            <w:noWrap/>
            <w:hideMark/>
          </w:tcPr>
          <w:p w14:paraId="33E920F7"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73.3%</w:t>
            </w:r>
          </w:p>
        </w:tc>
        <w:tc>
          <w:tcPr>
            <w:tcW w:w="1798" w:type="dxa"/>
            <w:tcBorders>
              <w:top w:val="single" w:sz="4" w:space="0" w:color="auto"/>
              <w:left w:val="single" w:sz="4" w:space="0" w:color="auto"/>
              <w:bottom w:val="single" w:sz="4" w:space="0" w:color="auto"/>
              <w:right w:val="single" w:sz="4" w:space="0" w:color="auto"/>
            </w:tcBorders>
            <w:noWrap/>
            <w:hideMark/>
          </w:tcPr>
          <w:p w14:paraId="11A280B8"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9.9%</w:t>
            </w:r>
          </w:p>
        </w:tc>
      </w:tr>
      <w:tr w:rsidR="00CE4349" w:rsidRPr="00DB6876" w14:paraId="329F9D30" w14:textId="77777777" w:rsidTr="00CE434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46994DEA" w14:textId="34956E00" w:rsidR="00DB6876" w:rsidRPr="00C27DE6" w:rsidRDefault="00DB6876" w:rsidP="00C27DE6">
            <w:pPr>
              <w:rPr>
                <w:rFonts w:cs="Arial"/>
                <w:color w:val="000000"/>
              </w:rPr>
            </w:pPr>
            <w:r w:rsidRPr="00C27DE6">
              <w:rPr>
                <w:rFonts w:cs="Arial"/>
                <w:color w:val="000000"/>
              </w:rPr>
              <w:t>CTEIG and K</w:t>
            </w:r>
            <w:r w:rsidR="00C27DE6">
              <w:rPr>
                <w:rFonts w:cs="Arial"/>
                <w:color w:val="000000"/>
              </w:rPr>
              <w:t>–</w:t>
            </w:r>
            <w:r w:rsidRPr="00C27DE6">
              <w:rPr>
                <w:rFonts w:cs="Arial"/>
                <w:color w:val="000000"/>
              </w:rPr>
              <w:t>12 SWP</w:t>
            </w:r>
          </w:p>
        </w:tc>
        <w:tc>
          <w:tcPr>
            <w:tcW w:w="1243" w:type="dxa"/>
            <w:tcBorders>
              <w:top w:val="single" w:sz="4" w:space="0" w:color="auto"/>
              <w:left w:val="single" w:sz="4" w:space="0" w:color="auto"/>
              <w:bottom w:val="single" w:sz="4" w:space="0" w:color="auto"/>
              <w:right w:val="single" w:sz="4" w:space="0" w:color="auto"/>
            </w:tcBorders>
            <w:hideMark/>
          </w:tcPr>
          <w:p w14:paraId="024EE7F9"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5,390</w:t>
            </w:r>
          </w:p>
        </w:tc>
        <w:tc>
          <w:tcPr>
            <w:tcW w:w="1457" w:type="dxa"/>
            <w:tcBorders>
              <w:top w:val="single" w:sz="4" w:space="0" w:color="auto"/>
              <w:left w:val="single" w:sz="4" w:space="0" w:color="auto"/>
              <w:bottom w:val="single" w:sz="4" w:space="0" w:color="auto"/>
              <w:right w:val="single" w:sz="4" w:space="0" w:color="auto"/>
            </w:tcBorders>
            <w:hideMark/>
          </w:tcPr>
          <w:p w14:paraId="2825E665"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4,432</w:t>
            </w:r>
          </w:p>
        </w:tc>
        <w:tc>
          <w:tcPr>
            <w:tcW w:w="1403" w:type="dxa"/>
            <w:tcBorders>
              <w:top w:val="single" w:sz="4" w:space="0" w:color="auto"/>
              <w:left w:val="single" w:sz="4" w:space="0" w:color="auto"/>
              <w:bottom w:val="single" w:sz="4" w:space="0" w:color="auto"/>
              <w:right w:val="single" w:sz="4" w:space="0" w:color="auto"/>
            </w:tcBorders>
            <w:hideMark/>
          </w:tcPr>
          <w:p w14:paraId="5104673E"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839</w:t>
            </w:r>
          </w:p>
        </w:tc>
        <w:tc>
          <w:tcPr>
            <w:tcW w:w="1457" w:type="dxa"/>
            <w:tcBorders>
              <w:top w:val="single" w:sz="4" w:space="0" w:color="auto"/>
              <w:left w:val="single" w:sz="4" w:space="0" w:color="auto"/>
              <w:bottom w:val="single" w:sz="4" w:space="0" w:color="auto"/>
              <w:right w:val="single" w:sz="4" w:space="0" w:color="auto"/>
            </w:tcBorders>
            <w:noWrap/>
            <w:hideMark/>
          </w:tcPr>
          <w:p w14:paraId="30F988FF"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82.2%</w:t>
            </w:r>
          </w:p>
        </w:tc>
        <w:tc>
          <w:tcPr>
            <w:tcW w:w="1798" w:type="dxa"/>
            <w:tcBorders>
              <w:top w:val="single" w:sz="4" w:space="0" w:color="auto"/>
              <w:left w:val="single" w:sz="4" w:space="0" w:color="auto"/>
              <w:bottom w:val="single" w:sz="4" w:space="0" w:color="auto"/>
              <w:right w:val="single" w:sz="4" w:space="0" w:color="auto"/>
            </w:tcBorders>
            <w:noWrap/>
            <w:hideMark/>
          </w:tcPr>
          <w:p w14:paraId="70095F72"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18.9%</w:t>
            </w:r>
          </w:p>
        </w:tc>
      </w:tr>
      <w:tr w:rsidR="00CE4349" w:rsidRPr="00DB6876" w14:paraId="40DF888C" w14:textId="77777777" w:rsidTr="00CE4349">
        <w:trPr>
          <w:trHeight w:val="420"/>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305E0F2F" w14:textId="77777777" w:rsidR="00DB6876" w:rsidRPr="00C27DE6" w:rsidRDefault="00DB6876" w:rsidP="00C27DE6">
            <w:pPr>
              <w:rPr>
                <w:rFonts w:cs="Arial"/>
                <w:color w:val="000000"/>
              </w:rPr>
            </w:pPr>
            <w:r w:rsidRPr="00C27DE6">
              <w:rPr>
                <w:rFonts w:cs="Arial"/>
                <w:color w:val="000000"/>
              </w:rPr>
              <w:t>CTEIG and Perkins</w:t>
            </w:r>
          </w:p>
        </w:tc>
        <w:tc>
          <w:tcPr>
            <w:tcW w:w="1243" w:type="dxa"/>
            <w:tcBorders>
              <w:top w:val="single" w:sz="4" w:space="0" w:color="auto"/>
              <w:left w:val="single" w:sz="4" w:space="0" w:color="auto"/>
              <w:bottom w:val="single" w:sz="4" w:space="0" w:color="auto"/>
              <w:right w:val="single" w:sz="4" w:space="0" w:color="auto"/>
            </w:tcBorders>
            <w:hideMark/>
          </w:tcPr>
          <w:p w14:paraId="23794243"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165,839</w:t>
            </w:r>
          </w:p>
        </w:tc>
        <w:tc>
          <w:tcPr>
            <w:tcW w:w="1457" w:type="dxa"/>
            <w:tcBorders>
              <w:top w:val="single" w:sz="4" w:space="0" w:color="auto"/>
              <w:left w:val="single" w:sz="4" w:space="0" w:color="auto"/>
              <w:bottom w:val="single" w:sz="4" w:space="0" w:color="auto"/>
              <w:right w:val="single" w:sz="4" w:space="0" w:color="auto"/>
            </w:tcBorders>
            <w:hideMark/>
          </w:tcPr>
          <w:p w14:paraId="7DEFC30D"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123,548</w:t>
            </w:r>
          </w:p>
        </w:tc>
        <w:tc>
          <w:tcPr>
            <w:tcW w:w="1403" w:type="dxa"/>
            <w:tcBorders>
              <w:top w:val="single" w:sz="4" w:space="0" w:color="auto"/>
              <w:left w:val="single" w:sz="4" w:space="0" w:color="auto"/>
              <w:bottom w:val="single" w:sz="4" w:space="0" w:color="auto"/>
              <w:right w:val="single" w:sz="4" w:space="0" w:color="auto"/>
            </w:tcBorders>
            <w:hideMark/>
          </w:tcPr>
          <w:p w14:paraId="721ACB32"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26,115</w:t>
            </w:r>
          </w:p>
        </w:tc>
        <w:tc>
          <w:tcPr>
            <w:tcW w:w="1457" w:type="dxa"/>
            <w:tcBorders>
              <w:top w:val="single" w:sz="4" w:space="0" w:color="auto"/>
              <w:left w:val="single" w:sz="4" w:space="0" w:color="auto"/>
              <w:bottom w:val="single" w:sz="4" w:space="0" w:color="auto"/>
              <w:right w:val="single" w:sz="4" w:space="0" w:color="auto"/>
            </w:tcBorders>
            <w:noWrap/>
            <w:hideMark/>
          </w:tcPr>
          <w:p w14:paraId="08F23893"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74.5%</w:t>
            </w:r>
          </w:p>
        </w:tc>
        <w:tc>
          <w:tcPr>
            <w:tcW w:w="1798" w:type="dxa"/>
            <w:tcBorders>
              <w:top w:val="single" w:sz="4" w:space="0" w:color="auto"/>
              <w:left w:val="single" w:sz="4" w:space="0" w:color="auto"/>
              <w:bottom w:val="single" w:sz="4" w:space="0" w:color="auto"/>
              <w:right w:val="single" w:sz="4" w:space="0" w:color="auto"/>
            </w:tcBorders>
            <w:noWrap/>
            <w:hideMark/>
          </w:tcPr>
          <w:p w14:paraId="4F71192C"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21.1%</w:t>
            </w:r>
          </w:p>
        </w:tc>
      </w:tr>
      <w:tr w:rsidR="00CE4349" w:rsidRPr="00DB6876" w14:paraId="19C9E2F3" w14:textId="77777777" w:rsidTr="00CE4349">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5A863B59" w14:textId="00BA6945" w:rsidR="00DB6876" w:rsidRPr="00C27DE6" w:rsidRDefault="00DB6876" w:rsidP="00C27DE6">
            <w:pPr>
              <w:rPr>
                <w:rFonts w:cs="Arial"/>
                <w:color w:val="000000"/>
              </w:rPr>
            </w:pPr>
            <w:r w:rsidRPr="00C27DE6">
              <w:rPr>
                <w:rFonts w:cs="Arial"/>
                <w:color w:val="000000"/>
              </w:rPr>
              <w:t>K</w:t>
            </w:r>
            <w:r w:rsidR="00C27DE6">
              <w:rPr>
                <w:rFonts w:cs="Arial"/>
                <w:color w:val="000000"/>
              </w:rPr>
              <w:t>–</w:t>
            </w:r>
            <w:r w:rsidRPr="00C27DE6">
              <w:rPr>
                <w:rFonts w:cs="Arial"/>
                <w:color w:val="000000"/>
              </w:rPr>
              <w:t>12 SWP and Perkins</w:t>
            </w:r>
          </w:p>
        </w:tc>
        <w:tc>
          <w:tcPr>
            <w:tcW w:w="1243" w:type="dxa"/>
            <w:tcBorders>
              <w:top w:val="single" w:sz="4" w:space="0" w:color="auto"/>
              <w:left w:val="single" w:sz="4" w:space="0" w:color="auto"/>
              <w:bottom w:val="single" w:sz="4" w:space="0" w:color="auto"/>
              <w:right w:val="single" w:sz="4" w:space="0" w:color="auto"/>
            </w:tcBorders>
            <w:hideMark/>
          </w:tcPr>
          <w:p w14:paraId="6A9FB306"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13,659</w:t>
            </w:r>
          </w:p>
        </w:tc>
        <w:tc>
          <w:tcPr>
            <w:tcW w:w="1457" w:type="dxa"/>
            <w:tcBorders>
              <w:top w:val="single" w:sz="4" w:space="0" w:color="auto"/>
              <w:left w:val="single" w:sz="4" w:space="0" w:color="auto"/>
              <w:bottom w:val="single" w:sz="4" w:space="0" w:color="auto"/>
              <w:right w:val="single" w:sz="4" w:space="0" w:color="auto"/>
            </w:tcBorders>
            <w:hideMark/>
          </w:tcPr>
          <w:p w14:paraId="0BA3EA63"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9,070</w:t>
            </w:r>
          </w:p>
        </w:tc>
        <w:tc>
          <w:tcPr>
            <w:tcW w:w="1403" w:type="dxa"/>
            <w:tcBorders>
              <w:top w:val="single" w:sz="4" w:space="0" w:color="auto"/>
              <w:left w:val="single" w:sz="4" w:space="0" w:color="auto"/>
              <w:bottom w:val="single" w:sz="4" w:space="0" w:color="auto"/>
              <w:right w:val="single" w:sz="4" w:space="0" w:color="auto"/>
            </w:tcBorders>
            <w:hideMark/>
          </w:tcPr>
          <w:p w14:paraId="2A639F73"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1,388</w:t>
            </w:r>
          </w:p>
        </w:tc>
        <w:tc>
          <w:tcPr>
            <w:tcW w:w="1457" w:type="dxa"/>
            <w:tcBorders>
              <w:top w:val="single" w:sz="4" w:space="0" w:color="auto"/>
              <w:left w:val="single" w:sz="4" w:space="0" w:color="auto"/>
              <w:bottom w:val="single" w:sz="4" w:space="0" w:color="auto"/>
              <w:right w:val="single" w:sz="4" w:space="0" w:color="auto"/>
            </w:tcBorders>
            <w:noWrap/>
            <w:hideMark/>
          </w:tcPr>
          <w:p w14:paraId="4AE8BD31"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66.4%</w:t>
            </w:r>
          </w:p>
        </w:tc>
        <w:tc>
          <w:tcPr>
            <w:tcW w:w="1798" w:type="dxa"/>
            <w:tcBorders>
              <w:top w:val="single" w:sz="4" w:space="0" w:color="auto"/>
              <w:left w:val="single" w:sz="4" w:space="0" w:color="auto"/>
              <w:bottom w:val="single" w:sz="4" w:space="0" w:color="auto"/>
              <w:right w:val="single" w:sz="4" w:space="0" w:color="auto"/>
            </w:tcBorders>
            <w:noWrap/>
            <w:hideMark/>
          </w:tcPr>
          <w:p w14:paraId="5DAEE667"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15.3%</w:t>
            </w:r>
          </w:p>
        </w:tc>
      </w:tr>
      <w:tr w:rsidR="00CE4349" w:rsidRPr="00DB6876" w14:paraId="381A6B32" w14:textId="77777777" w:rsidTr="00CE4349">
        <w:trPr>
          <w:trHeight w:val="468"/>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71143C79" w14:textId="77777777" w:rsidR="00DB6876" w:rsidRPr="00C27DE6" w:rsidRDefault="00DB6876" w:rsidP="00C27DE6">
            <w:pPr>
              <w:rPr>
                <w:rFonts w:cs="Arial"/>
                <w:color w:val="000000"/>
              </w:rPr>
            </w:pPr>
            <w:r w:rsidRPr="00C27DE6">
              <w:rPr>
                <w:rFonts w:cs="Arial"/>
                <w:color w:val="000000"/>
              </w:rPr>
              <w:t>All Three Grants</w:t>
            </w:r>
          </w:p>
        </w:tc>
        <w:tc>
          <w:tcPr>
            <w:tcW w:w="1243" w:type="dxa"/>
            <w:tcBorders>
              <w:top w:val="single" w:sz="4" w:space="0" w:color="auto"/>
              <w:left w:val="single" w:sz="4" w:space="0" w:color="auto"/>
              <w:bottom w:val="single" w:sz="4" w:space="0" w:color="auto"/>
              <w:right w:val="single" w:sz="4" w:space="0" w:color="auto"/>
            </w:tcBorders>
            <w:hideMark/>
          </w:tcPr>
          <w:p w14:paraId="3060D0A4"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269,868</w:t>
            </w:r>
          </w:p>
        </w:tc>
        <w:tc>
          <w:tcPr>
            <w:tcW w:w="1457" w:type="dxa"/>
            <w:tcBorders>
              <w:top w:val="single" w:sz="4" w:space="0" w:color="auto"/>
              <w:left w:val="single" w:sz="4" w:space="0" w:color="auto"/>
              <w:bottom w:val="single" w:sz="4" w:space="0" w:color="auto"/>
              <w:right w:val="single" w:sz="4" w:space="0" w:color="auto"/>
            </w:tcBorders>
            <w:hideMark/>
          </w:tcPr>
          <w:p w14:paraId="0D30DF99"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205,223</w:t>
            </w:r>
          </w:p>
        </w:tc>
        <w:tc>
          <w:tcPr>
            <w:tcW w:w="1403" w:type="dxa"/>
            <w:tcBorders>
              <w:top w:val="single" w:sz="4" w:space="0" w:color="auto"/>
              <w:left w:val="single" w:sz="4" w:space="0" w:color="auto"/>
              <w:bottom w:val="single" w:sz="4" w:space="0" w:color="auto"/>
              <w:right w:val="single" w:sz="4" w:space="0" w:color="auto"/>
            </w:tcBorders>
            <w:hideMark/>
          </w:tcPr>
          <w:p w14:paraId="26FEB704"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42,229</w:t>
            </w:r>
          </w:p>
        </w:tc>
        <w:tc>
          <w:tcPr>
            <w:tcW w:w="1457" w:type="dxa"/>
            <w:tcBorders>
              <w:top w:val="single" w:sz="4" w:space="0" w:color="auto"/>
              <w:left w:val="single" w:sz="4" w:space="0" w:color="auto"/>
              <w:bottom w:val="single" w:sz="4" w:space="0" w:color="auto"/>
              <w:right w:val="single" w:sz="4" w:space="0" w:color="auto"/>
            </w:tcBorders>
            <w:noWrap/>
            <w:hideMark/>
          </w:tcPr>
          <w:p w14:paraId="14BFE468"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76.0%</w:t>
            </w:r>
          </w:p>
        </w:tc>
        <w:tc>
          <w:tcPr>
            <w:tcW w:w="1798" w:type="dxa"/>
            <w:tcBorders>
              <w:top w:val="single" w:sz="4" w:space="0" w:color="auto"/>
              <w:left w:val="single" w:sz="4" w:space="0" w:color="auto"/>
              <w:bottom w:val="single" w:sz="4" w:space="0" w:color="auto"/>
              <w:right w:val="single" w:sz="4" w:space="0" w:color="auto"/>
            </w:tcBorders>
            <w:noWrap/>
            <w:hideMark/>
          </w:tcPr>
          <w:p w14:paraId="20AA15FE" w14:textId="77777777" w:rsidR="00DB6876" w:rsidRPr="00C27DE6" w:rsidRDefault="00DB6876" w:rsidP="00C27DE6">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C27DE6">
              <w:rPr>
                <w:rFonts w:cs="Arial"/>
                <w:color w:val="000000"/>
              </w:rPr>
              <w:t>20.6%</w:t>
            </w:r>
          </w:p>
        </w:tc>
      </w:tr>
      <w:tr w:rsidR="00CE4349" w:rsidRPr="00DB6876" w14:paraId="7075C88A" w14:textId="77777777" w:rsidTr="00CE434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left w:val="single" w:sz="4" w:space="0" w:color="auto"/>
              <w:bottom w:val="single" w:sz="4" w:space="0" w:color="auto"/>
              <w:right w:val="single" w:sz="4" w:space="0" w:color="auto"/>
            </w:tcBorders>
            <w:hideMark/>
          </w:tcPr>
          <w:p w14:paraId="688F204C" w14:textId="77777777" w:rsidR="00DB6876" w:rsidRPr="00C27DE6" w:rsidRDefault="00DB6876" w:rsidP="00C27DE6">
            <w:pPr>
              <w:rPr>
                <w:rFonts w:cs="Arial"/>
                <w:color w:val="000000"/>
              </w:rPr>
            </w:pPr>
            <w:r w:rsidRPr="00C27DE6">
              <w:rPr>
                <w:rFonts w:cs="Arial"/>
                <w:color w:val="000000"/>
              </w:rPr>
              <w:t>All LEAs</w:t>
            </w:r>
          </w:p>
        </w:tc>
        <w:tc>
          <w:tcPr>
            <w:tcW w:w="1243" w:type="dxa"/>
            <w:tcBorders>
              <w:top w:val="single" w:sz="4" w:space="0" w:color="auto"/>
              <w:left w:val="single" w:sz="4" w:space="0" w:color="auto"/>
              <w:bottom w:val="single" w:sz="4" w:space="0" w:color="auto"/>
              <w:right w:val="single" w:sz="4" w:space="0" w:color="auto"/>
            </w:tcBorders>
            <w:noWrap/>
            <w:hideMark/>
          </w:tcPr>
          <w:p w14:paraId="55D6FA38"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495,182</w:t>
            </w:r>
          </w:p>
        </w:tc>
        <w:tc>
          <w:tcPr>
            <w:tcW w:w="1457" w:type="dxa"/>
            <w:tcBorders>
              <w:top w:val="single" w:sz="4" w:space="0" w:color="auto"/>
              <w:left w:val="single" w:sz="4" w:space="0" w:color="auto"/>
              <w:bottom w:val="single" w:sz="4" w:space="0" w:color="auto"/>
              <w:right w:val="single" w:sz="4" w:space="0" w:color="auto"/>
            </w:tcBorders>
            <w:noWrap/>
            <w:hideMark/>
          </w:tcPr>
          <w:p w14:paraId="334A24CA"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368,950</w:t>
            </w:r>
          </w:p>
        </w:tc>
        <w:tc>
          <w:tcPr>
            <w:tcW w:w="1403" w:type="dxa"/>
            <w:tcBorders>
              <w:top w:val="single" w:sz="4" w:space="0" w:color="auto"/>
              <w:left w:val="single" w:sz="4" w:space="0" w:color="auto"/>
              <w:bottom w:val="single" w:sz="4" w:space="0" w:color="auto"/>
              <w:right w:val="single" w:sz="4" w:space="0" w:color="auto"/>
            </w:tcBorders>
            <w:noWrap/>
            <w:hideMark/>
          </w:tcPr>
          <w:p w14:paraId="3E72292F"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73,249</w:t>
            </w:r>
          </w:p>
        </w:tc>
        <w:tc>
          <w:tcPr>
            <w:tcW w:w="1457" w:type="dxa"/>
            <w:tcBorders>
              <w:top w:val="single" w:sz="4" w:space="0" w:color="auto"/>
              <w:left w:val="single" w:sz="4" w:space="0" w:color="auto"/>
              <w:bottom w:val="single" w:sz="4" w:space="0" w:color="auto"/>
              <w:right w:val="single" w:sz="4" w:space="0" w:color="auto"/>
            </w:tcBorders>
            <w:noWrap/>
            <w:hideMark/>
          </w:tcPr>
          <w:p w14:paraId="3CA2B4B6"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74.5%</w:t>
            </w:r>
          </w:p>
        </w:tc>
        <w:tc>
          <w:tcPr>
            <w:tcW w:w="1798" w:type="dxa"/>
            <w:tcBorders>
              <w:top w:val="single" w:sz="4" w:space="0" w:color="auto"/>
              <w:left w:val="single" w:sz="4" w:space="0" w:color="auto"/>
              <w:bottom w:val="single" w:sz="4" w:space="0" w:color="auto"/>
              <w:right w:val="single" w:sz="4" w:space="0" w:color="auto"/>
            </w:tcBorders>
            <w:noWrap/>
            <w:hideMark/>
          </w:tcPr>
          <w:p w14:paraId="48FB6C47" w14:textId="77777777" w:rsidR="00DB6876" w:rsidRPr="00C27DE6" w:rsidRDefault="00DB6876" w:rsidP="00C27DE6">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C27DE6">
              <w:rPr>
                <w:rFonts w:cs="Arial"/>
                <w:color w:val="000000"/>
              </w:rPr>
              <w:t>19.9%</w:t>
            </w:r>
          </w:p>
        </w:tc>
      </w:tr>
    </w:tbl>
    <w:p w14:paraId="205920F1" w14:textId="3E26D5FB" w:rsidR="005D44F8" w:rsidRDefault="00463A90" w:rsidP="00C27DE6">
      <w:pPr>
        <w:spacing w:before="240" w:after="240"/>
        <w:rPr>
          <w:rFonts w:cs="Arial"/>
        </w:rPr>
      </w:pPr>
      <w:r>
        <w:rPr>
          <w:rFonts w:cs="Arial"/>
        </w:rPr>
        <w:lastRenderedPageBreak/>
        <w:t xml:space="preserve">The table above should be regarded as </w:t>
      </w:r>
      <w:r w:rsidR="000D3591">
        <w:rPr>
          <w:rFonts w:cs="Arial"/>
        </w:rPr>
        <w:t xml:space="preserve">illustrative </w:t>
      </w:r>
      <w:r>
        <w:rPr>
          <w:rFonts w:cs="Arial"/>
        </w:rPr>
        <w:t xml:space="preserve">and not interpretative given the following caveats. One, the data </w:t>
      </w:r>
      <w:r w:rsidR="00DF2A70">
        <w:rPr>
          <w:rFonts w:cs="Arial"/>
        </w:rPr>
        <w:t xml:space="preserve">reporting </w:t>
      </w:r>
      <w:r>
        <w:rPr>
          <w:rFonts w:cs="Arial"/>
        </w:rPr>
        <w:t xml:space="preserve">itself is based on a </w:t>
      </w:r>
      <w:r w:rsidR="00A62472">
        <w:rPr>
          <w:rFonts w:cs="Arial"/>
        </w:rPr>
        <w:t>2018</w:t>
      </w:r>
      <w:r w:rsidR="00CE4349">
        <w:rPr>
          <w:rFonts w:cs="Arial"/>
        </w:rPr>
        <w:t>–</w:t>
      </w:r>
      <w:r w:rsidR="00A62472">
        <w:rPr>
          <w:rFonts w:cs="Arial"/>
        </w:rPr>
        <w:t xml:space="preserve">19 </w:t>
      </w:r>
      <w:r w:rsidR="00CE4349">
        <w:rPr>
          <w:rFonts w:cs="Arial"/>
        </w:rPr>
        <w:t>f</w:t>
      </w:r>
      <w:r>
        <w:rPr>
          <w:rFonts w:cs="Arial"/>
        </w:rPr>
        <w:t>our-year cohort model</w:t>
      </w:r>
      <w:r w:rsidR="00DF2A70">
        <w:rPr>
          <w:rFonts w:cs="Arial"/>
        </w:rPr>
        <w:t xml:space="preserve"> and receiving CTEIG funds in the 2018</w:t>
      </w:r>
      <w:r w:rsidR="00CE4349">
        <w:rPr>
          <w:rFonts w:cs="Arial"/>
        </w:rPr>
        <w:t>–</w:t>
      </w:r>
      <w:r w:rsidR="00DF2A70">
        <w:rPr>
          <w:rFonts w:cs="Arial"/>
        </w:rPr>
        <w:t xml:space="preserve">19 </w:t>
      </w:r>
      <w:r w:rsidR="00CE4349">
        <w:rPr>
          <w:rFonts w:cs="Arial"/>
        </w:rPr>
        <w:t>AY</w:t>
      </w:r>
      <w:r w:rsidR="00DF2A70">
        <w:rPr>
          <w:rFonts w:cs="Arial"/>
        </w:rPr>
        <w:t>, which is typical for how CTEIG funds are disbursed to LEAs.</w:t>
      </w:r>
      <w:r>
        <w:rPr>
          <w:rFonts w:cs="Arial"/>
        </w:rPr>
        <w:t xml:space="preserve"> </w:t>
      </w:r>
      <w:r w:rsidR="00DF2A70">
        <w:rPr>
          <w:rFonts w:cs="Arial"/>
        </w:rPr>
        <w:t>However</w:t>
      </w:r>
      <w:r w:rsidR="00D34A99">
        <w:rPr>
          <w:rFonts w:cs="Arial"/>
        </w:rPr>
        <w:t xml:space="preserve">, for each of the </w:t>
      </w:r>
      <w:r w:rsidR="00DF2A70">
        <w:rPr>
          <w:rFonts w:cs="Arial"/>
        </w:rPr>
        <w:t xml:space="preserve">three </w:t>
      </w:r>
      <w:r w:rsidR="00CE4349">
        <w:rPr>
          <w:rFonts w:cs="Arial"/>
        </w:rPr>
        <w:t>AYs</w:t>
      </w:r>
      <w:r w:rsidR="00DF2A70">
        <w:rPr>
          <w:rFonts w:cs="Arial"/>
        </w:rPr>
        <w:t xml:space="preserve"> prior to the 2018</w:t>
      </w:r>
      <w:r w:rsidR="00CE4349">
        <w:rPr>
          <w:rFonts w:cs="Arial"/>
        </w:rPr>
        <w:t>–</w:t>
      </w:r>
      <w:r w:rsidR="00DF2A70">
        <w:rPr>
          <w:rFonts w:cs="Arial"/>
        </w:rPr>
        <w:t xml:space="preserve">19 </w:t>
      </w:r>
      <w:r w:rsidR="00CE4349">
        <w:rPr>
          <w:rFonts w:cs="Arial"/>
        </w:rPr>
        <w:t>AY,</w:t>
      </w:r>
      <w:r w:rsidR="00D34A99">
        <w:rPr>
          <w:rFonts w:cs="Arial"/>
        </w:rPr>
        <w:t xml:space="preserve"> the cohort (2015</w:t>
      </w:r>
      <w:r w:rsidR="00CE4349">
        <w:rPr>
          <w:rFonts w:cs="Arial"/>
        </w:rPr>
        <w:t>–</w:t>
      </w:r>
      <w:r w:rsidR="00D34A99">
        <w:rPr>
          <w:rFonts w:cs="Arial"/>
        </w:rPr>
        <w:t>16, 2016</w:t>
      </w:r>
      <w:r w:rsidR="00CE4349">
        <w:rPr>
          <w:rFonts w:cs="Arial"/>
        </w:rPr>
        <w:t>–</w:t>
      </w:r>
      <w:r w:rsidR="00D34A99">
        <w:rPr>
          <w:rFonts w:cs="Arial"/>
        </w:rPr>
        <w:t>17, 2017</w:t>
      </w:r>
      <w:r w:rsidR="00CE4349">
        <w:rPr>
          <w:rFonts w:cs="Arial"/>
        </w:rPr>
        <w:t>–</w:t>
      </w:r>
      <w:r w:rsidR="00D34A99">
        <w:rPr>
          <w:rFonts w:cs="Arial"/>
        </w:rPr>
        <w:t>18, and 2018</w:t>
      </w:r>
      <w:r w:rsidR="00CE4349">
        <w:rPr>
          <w:rFonts w:cs="Arial"/>
        </w:rPr>
        <w:t>–</w:t>
      </w:r>
      <w:r w:rsidR="00D34A99">
        <w:rPr>
          <w:rFonts w:cs="Arial"/>
        </w:rPr>
        <w:t xml:space="preserve">19), LEAs </w:t>
      </w:r>
      <w:r w:rsidR="00DF2A70">
        <w:rPr>
          <w:rFonts w:cs="Arial"/>
        </w:rPr>
        <w:t xml:space="preserve">have possibly </w:t>
      </w:r>
      <w:r w:rsidR="00D34A99">
        <w:rPr>
          <w:rFonts w:cs="Arial"/>
        </w:rPr>
        <w:t>receive</w:t>
      </w:r>
      <w:r w:rsidR="00DF2A70">
        <w:rPr>
          <w:rFonts w:cs="Arial"/>
        </w:rPr>
        <w:t>d</w:t>
      </w:r>
      <w:r w:rsidR="00D34A99">
        <w:rPr>
          <w:rFonts w:cs="Arial"/>
        </w:rPr>
        <w:t xml:space="preserve"> CTEIG funding on an annual basis. However, what is not </w:t>
      </w:r>
      <w:r w:rsidR="00DF2A70">
        <w:rPr>
          <w:rFonts w:cs="Arial"/>
        </w:rPr>
        <w:t>included in the reporting when using only</w:t>
      </w:r>
      <w:r w:rsidR="00D34A99">
        <w:rPr>
          <w:rFonts w:cs="Arial"/>
        </w:rPr>
        <w:t xml:space="preserve"> one set of cohort data </w:t>
      </w:r>
      <w:r w:rsidR="000D3591">
        <w:rPr>
          <w:rFonts w:cs="Arial"/>
        </w:rPr>
        <w:t xml:space="preserve">is </w:t>
      </w:r>
      <w:r w:rsidR="003047A0">
        <w:rPr>
          <w:rFonts w:cs="Arial"/>
        </w:rPr>
        <w:t xml:space="preserve">whether </w:t>
      </w:r>
      <w:r w:rsidR="00DF2A70">
        <w:rPr>
          <w:rFonts w:cs="Arial"/>
        </w:rPr>
        <w:t>or not i</w:t>
      </w:r>
      <w:r w:rsidR="003047A0">
        <w:rPr>
          <w:rFonts w:cs="Arial"/>
        </w:rPr>
        <w:t xml:space="preserve">n years prior to </w:t>
      </w:r>
      <w:r w:rsidR="00DF2A70">
        <w:rPr>
          <w:rFonts w:cs="Arial"/>
        </w:rPr>
        <w:t xml:space="preserve">the </w:t>
      </w:r>
      <w:r w:rsidR="00CE4349">
        <w:rPr>
          <w:rFonts w:cs="Arial"/>
        </w:rPr>
        <w:t>AY</w:t>
      </w:r>
      <w:r w:rsidR="00DF2A70">
        <w:rPr>
          <w:rFonts w:cs="Arial"/>
        </w:rPr>
        <w:t xml:space="preserve"> </w:t>
      </w:r>
      <w:r w:rsidR="003047A0">
        <w:rPr>
          <w:rFonts w:cs="Arial"/>
        </w:rPr>
        <w:t>2018</w:t>
      </w:r>
      <w:r w:rsidR="00CE4349">
        <w:rPr>
          <w:rFonts w:cs="Arial"/>
        </w:rPr>
        <w:t>–</w:t>
      </w:r>
      <w:r w:rsidR="003047A0">
        <w:rPr>
          <w:rFonts w:cs="Arial"/>
        </w:rPr>
        <w:t xml:space="preserve">19 </w:t>
      </w:r>
      <w:r w:rsidR="00DF2A70">
        <w:rPr>
          <w:rFonts w:cs="Arial"/>
        </w:rPr>
        <w:t>the LEAs actually accessed CTEIG funds</w:t>
      </w:r>
      <w:r w:rsidR="005D44F8">
        <w:rPr>
          <w:rFonts w:cs="Arial"/>
        </w:rPr>
        <w:t>, which can potentially be taken into consideration in future data reporting.</w:t>
      </w:r>
    </w:p>
    <w:p w14:paraId="4DD40AF4" w14:textId="29C94C1B" w:rsidR="0078320F" w:rsidRDefault="005D44F8" w:rsidP="00C27DE6">
      <w:pPr>
        <w:spacing w:before="240" w:after="240"/>
        <w:rPr>
          <w:rFonts w:cs="Arial"/>
        </w:rPr>
      </w:pPr>
      <w:r>
        <w:rPr>
          <w:rFonts w:cs="Arial"/>
        </w:rPr>
        <w:t xml:space="preserve">Two, </w:t>
      </w:r>
      <w:r w:rsidR="00C24D33">
        <w:rPr>
          <w:rFonts w:cs="Arial"/>
        </w:rPr>
        <w:t>F</w:t>
      </w:r>
      <w:r w:rsidR="00CE4349">
        <w:rPr>
          <w:rFonts w:cs="Arial"/>
        </w:rPr>
        <w:t xml:space="preserve">iscal </w:t>
      </w:r>
      <w:r w:rsidR="00C24D33">
        <w:rPr>
          <w:rFonts w:cs="Arial"/>
        </w:rPr>
        <w:t>Y</w:t>
      </w:r>
      <w:r w:rsidR="00CE4349">
        <w:rPr>
          <w:rFonts w:cs="Arial"/>
        </w:rPr>
        <w:t>ear (FY)</w:t>
      </w:r>
      <w:r>
        <w:rPr>
          <w:rFonts w:cs="Arial"/>
        </w:rPr>
        <w:t xml:space="preserve"> 2018</w:t>
      </w:r>
      <w:r w:rsidR="00CE4349">
        <w:rPr>
          <w:rFonts w:cs="Arial"/>
        </w:rPr>
        <w:t>–</w:t>
      </w:r>
      <w:r>
        <w:rPr>
          <w:rFonts w:cs="Arial"/>
        </w:rPr>
        <w:t xml:space="preserve">19 was the first year </w:t>
      </w:r>
      <w:r w:rsidRPr="00321091">
        <w:rPr>
          <w:rFonts w:cs="Arial"/>
        </w:rPr>
        <w:t>K</w:t>
      </w:r>
      <w:r>
        <w:rPr>
          <w:rFonts w:cs="Arial"/>
        </w:rPr>
        <w:t>–</w:t>
      </w:r>
      <w:r w:rsidRPr="00321091">
        <w:rPr>
          <w:rFonts w:cs="Arial"/>
        </w:rPr>
        <w:t xml:space="preserve">12 SWP </w:t>
      </w:r>
      <w:r>
        <w:rPr>
          <w:rFonts w:cs="Arial"/>
        </w:rPr>
        <w:t xml:space="preserve">funds were awarded. Hence, the data on </w:t>
      </w:r>
      <w:r w:rsidRPr="00321091">
        <w:rPr>
          <w:rFonts w:cs="Arial"/>
        </w:rPr>
        <w:t>K</w:t>
      </w:r>
      <w:r>
        <w:rPr>
          <w:rFonts w:cs="Arial"/>
        </w:rPr>
        <w:t>–</w:t>
      </w:r>
      <w:r w:rsidRPr="00321091">
        <w:rPr>
          <w:rFonts w:cs="Arial"/>
        </w:rPr>
        <w:t xml:space="preserve">12 SWP </w:t>
      </w:r>
      <w:r>
        <w:rPr>
          <w:rFonts w:cs="Arial"/>
        </w:rPr>
        <w:t>must be considered with extreme caution and are provided for illustrative purposes</w:t>
      </w:r>
      <w:r w:rsidR="00C24D33">
        <w:rPr>
          <w:rFonts w:cs="Arial"/>
        </w:rPr>
        <w:t xml:space="preserve"> only</w:t>
      </w:r>
      <w:r>
        <w:rPr>
          <w:rFonts w:cs="Arial"/>
        </w:rPr>
        <w:t xml:space="preserve">. As more years of </w:t>
      </w:r>
      <w:r w:rsidRPr="00321091">
        <w:rPr>
          <w:rFonts w:cs="Arial"/>
        </w:rPr>
        <w:t>K</w:t>
      </w:r>
      <w:r>
        <w:rPr>
          <w:rFonts w:cs="Arial"/>
        </w:rPr>
        <w:t>–</w:t>
      </w:r>
      <w:r w:rsidRPr="00321091">
        <w:rPr>
          <w:rFonts w:cs="Arial"/>
        </w:rPr>
        <w:t>12 SWP</w:t>
      </w:r>
      <w:r>
        <w:rPr>
          <w:rFonts w:cs="Arial"/>
        </w:rPr>
        <w:t xml:space="preserve"> funding are included into the data reporting and analysis, a </w:t>
      </w:r>
      <w:r w:rsidR="00C24D33">
        <w:rPr>
          <w:rFonts w:cs="Arial"/>
        </w:rPr>
        <w:t>more complete</w:t>
      </w:r>
      <w:r>
        <w:rPr>
          <w:rFonts w:cs="Arial"/>
        </w:rPr>
        <w:t xml:space="preserve"> picture of </w:t>
      </w:r>
      <w:r w:rsidR="00A06ED8">
        <w:rPr>
          <w:rFonts w:cs="Arial"/>
        </w:rPr>
        <w:t xml:space="preserve">how </w:t>
      </w:r>
      <w:r>
        <w:rPr>
          <w:rFonts w:cs="Arial"/>
        </w:rPr>
        <w:t xml:space="preserve">CTEIG and </w:t>
      </w:r>
      <w:r w:rsidRPr="00321091">
        <w:rPr>
          <w:rFonts w:cs="Arial"/>
        </w:rPr>
        <w:t>K</w:t>
      </w:r>
      <w:r>
        <w:rPr>
          <w:rFonts w:cs="Arial"/>
        </w:rPr>
        <w:t>–</w:t>
      </w:r>
      <w:r w:rsidRPr="00321091">
        <w:rPr>
          <w:rFonts w:cs="Arial"/>
        </w:rPr>
        <w:t>12 SWP</w:t>
      </w:r>
      <w:r>
        <w:rPr>
          <w:rFonts w:cs="Arial"/>
        </w:rPr>
        <w:t xml:space="preserve"> funding </w:t>
      </w:r>
      <w:r w:rsidR="00A06ED8">
        <w:rPr>
          <w:rFonts w:cs="Arial"/>
        </w:rPr>
        <w:t xml:space="preserve">impacts CTE participation and completion, keeping in mind that </w:t>
      </w:r>
      <w:r w:rsidR="00C24D33">
        <w:rPr>
          <w:rFonts w:cs="Arial"/>
        </w:rPr>
        <w:t>LEAs</w:t>
      </w:r>
      <w:r w:rsidR="00C24D33" w:rsidRPr="00C24D33">
        <w:rPr>
          <w:rFonts w:cs="Arial"/>
        </w:rPr>
        <w:t xml:space="preserve"> </w:t>
      </w:r>
      <w:r w:rsidR="00C24D33">
        <w:rPr>
          <w:rFonts w:cs="Arial"/>
        </w:rPr>
        <w:t xml:space="preserve">are prohibited from using program funds (for either CTEIG or K-12SWP) </w:t>
      </w:r>
      <w:r w:rsidR="00C24D33" w:rsidRPr="001D7507">
        <w:rPr>
          <w:rFonts w:cs="Arial"/>
        </w:rPr>
        <w:t xml:space="preserve">as a match for </w:t>
      </w:r>
      <w:r w:rsidR="00C24D33">
        <w:rPr>
          <w:rFonts w:cs="Arial"/>
        </w:rPr>
        <w:t>the other state program</w:t>
      </w:r>
      <w:r w:rsidR="00C24D33" w:rsidRPr="001D7507">
        <w:rPr>
          <w:rFonts w:cs="Arial"/>
        </w:rPr>
        <w:t>.</w:t>
      </w:r>
    </w:p>
    <w:p w14:paraId="676EA7A6" w14:textId="24D3574D" w:rsidR="00D44972" w:rsidRDefault="003A4A81" w:rsidP="00C27DE6">
      <w:pPr>
        <w:spacing w:before="240" w:after="240"/>
        <w:rPr>
          <w:rFonts w:cs="Arial"/>
        </w:rPr>
      </w:pPr>
      <w:r>
        <w:rPr>
          <w:rFonts w:cs="Arial"/>
        </w:rPr>
        <w:t xml:space="preserve">Three, </w:t>
      </w:r>
      <w:r w:rsidR="00D44972">
        <w:rPr>
          <w:rFonts w:cs="Arial"/>
        </w:rPr>
        <w:t>Perkins V data</w:t>
      </w:r>
      <w:r w:rsidR="00C24D33">
        <w:rPr>
          <w:rFonts w:cs="Arial"/>
        </w:rPr>
        <w:t xml:space="preserve"> has been included in the data</w:t>
      </w:r>
      <w:r w:rsidR="00D44972">
        <w:rPr>
          <w:rFonts w:cs="Arial"/>
        </w:rPr>
        <w:t xml:space="preserve"> reporting </w:t>
      </w:r>
      <w:r w:rsidR="00C24D33">
        <w:rPr>
          <w:rFonts w:cs="Arial"/>
        </w:rPr>
        <w:t xml:space="preserve">for </w:t>
      </w:r>
      <w:r w:rsidR="00D44972">
        <w:rPr>
          <w:rFonts w:cs="Arial"/>
        </w:rPr>
        <w:t>the following</w:t>
      </w:r>
      <w:r w:rsidR="00C24D33">
        <w:rPr>
          <w:rFonts w:cs="Arial"/>
        </w:rPr>
        <w:t xml:space="preserve"> reasons</w:t>
      </w:r>
      <w:r w:rsidR="00D44972">
        <w:rPr>
          <w:rFonts w:cs="Arial"/>
        </w:rPr>
        <w:t>:</w:t>
      </w:r>
    </w:p>
    <w:p w14:paraId="3B171043" w14:textId="77777777" w:rsidR="00C24D33" w:rsidRPr="001D7507" w:rsidRDefault="00C24D33" w:rsidP="00C24D33">
      <w:pPr>
        <w:pStyle w:val="ListParagraph"/>
        <w:numPr>
          <w:ilvl w:val="0"/>
          <w:numId w:val="33"/>
        </w:numPr>
        <w:spacing w:before="240" w:after="240"/>
        <w:contextualSpacing w:val="0"/>
        <w:rPr>
          <w:rFonts w:cs="Arial"/>
        </w:rPr>
      </w:pPr>
      <w:r>
        <w:rPr>
          <w:rFonts w:cs="Arial"/>
        </w:rPr>
        <w:t>LEAs have been permitted to use</w:t>
      </w:r>
      <w:r w:rsidRPr="001D7507">
        <w:rPr>
          <w:rFonts w:cs="Arial"/>
        </w:rPr>
        <w:t xml:space="preserve"> Perkins V allocations (and </w:t>
      </w:r>
      <w:r>
        <w:rPr>
          <w:rFonts w:cs="Arial"/>
        </w:rPr>
        <w:t xml:space="preserve">previously </w:t>
      </w:r>
      <w:r w:rsidRPr="001D7507">
        <w:rPr>
          <w:rFonts w:cs="Arial"/>
        </w:rPr>
        <w:t xml:space="preserve">the Perkins </w:t>
      </w:r>
      <w:r>
        <w:rPr>
          <w:rFonts w:cs="Arial"/>
        </w:rPr>
        <w:t>IV allocations</w:t>
      </w:r>
      <w:r w:rsidRPr="001D7507">
        <w:rPr>
          <w:rFonts w:cs="Arial"/>
        </w:rPr>
        <w:t xml:space="preserve">) as matching funds when applying for </w:t>
      </w:r>
      <w:r>
        <w:rPr>
          <w:rFonts w:cs="Arial"/>
        </w:rPr>
        <w:t xml:space="preserve">both </w:t>
      </w:r>
      <w:r w:rsidRPr="001D7507">
        <w:rPr>
          <w:rFonts w:cs="Arial"/>
        </w:rPr>
        <w:t xml:space="preserve">CTEIG and K–12 SWP </w:t>
      </w:r>
      <w:r>
        <w:rPr>
          <w:rFonts w:cs="Arial"/>
        </w:rPr>
        <w:t>grant programs</w:t>
      </w:r>
      <w:r w:rsidRPr="001D7507">
        <w:rPr>
          <w:rFonts w:cs="Arial"/>
        </w:rPr>
        <w:t>.</w:t>
      </w:r>
    </w:p>
    <w:p w14:paraId="7466193B" w14:textId="56729CD5" w:rsidR="00815B74" w:rsidRPr="00B03816" w:rsidRDefault="00D44972" w:rsidP="00815B74">
      <w:pPr>
        <w:pStyle w:val="ListParagraph"/>
        <w:numPr>
          <w:ilvl w:val="0"/>
          <w:numId w:val="33"/>
        </w:numPr>
        <w:spacing w:before="240" w:after="240"/>
        <w:rPr>
          <w:rFonts w:cs="Arial"/>
        </w:rPr>
      </w:pPr>
      <w:r w:rsidRPr="00815B74">
        <w:rPr>
          <w:rFonts w:cs="Arial"/>
        </w:rPr>
        <w:t>The secondary CTE participation and completion definitions (see footnote on page 5</w:t>
      </w:r>
      <w:r w:rsidR="00000F89" w:rsidRPr="00815B74">
        <w:rPr>
          <w:rFonts w:cs="Arial"/>
        </w:rPr>
        <w:t xml:space="preserve"> above</w:t>
      </w:r>
      <w:r w:rsidRPr="00815B74">
        <w:rPr>
          <w:rFonts w:cs="Arial"/>
        </w:rPr>
        <w:t xml:space="preserve">) </w:t>
      </w:r>
      <w:r w:rsidRPr="00B03816">
        <w:rPr>
          <w:rFonts w:cs="Arial"/>
        </w:rPr>
        <w:t xml:space="preserve">are included within the California federal Perkins V State Plan, which was </w:t>
      </w:r>
      <w:r w:rsidRPr="001F7470">
        <w:rPr>
          <w:rFonts w:cs="Arial"/>
        </w:rPr>
        <w:t>approved by the State Board of Education (SBE) in Ma</w:t>
      </w:r>
      <w:r w:rsidRPr="00815B74">
        <w:rPr>
          <w:rFonts w:cs="Arial"/>
        </w:rPr>
        <w:t>rch 2020. Moreover, the preciseness of these definitio</w:t>
      </w:r>
      <w:r w:rsidR="00C46A18" w:rsidRPr="00815B74">
        <w:rPr>
          <w:rFonts w:cs="Arial"/>
        </w:rPr>
        <w:t>n</w:t>
      </w:r>
      <w:r w:rsidRPr="00815B74">
        <w:rPr>
          <w:rFonts w:cs="Arial"/>
        </w:rPr>
        <w:t>s</w:t>
      </w:r>
      <w:r w:rsidR="00C46A18" w:rsidRPr="00815B74">
        <w:rPr>
          <w:rFonts w:cs="Arial"/>
        </w:rPr>
        <w:t xml:space="preserve"> </w:t>
      </w:r>
      <w:r w:rsidR="00815B74" w:rsidRPr="00815B74">
        <w:rPr>
          <w:rFonts w:cs="Arial"/>
        </w:rPr>
        <w:t xml:space="preserve">was </w:t>
      </w:r>
      <w:r w:rsidR="00C46A18" w:rsidRPr="00815B74">
        <w:rPr>
          <w:rFonts w:cs="Arial"/>
        </w:rPr>
        <w:t>useful in obtaining consistent information across the three programs</w:t>
      </w:r>
      <w:r w:rsidR="00B03816">
        <w:rPr>
          <w:rFonts w:cs="Arial"/>
        </w:rPr>
        <w:t>.</w:t>
      </w:r>
    </w:p>
    <w:p w14:paraId="2A1A40C1" w14:textId="04F283AE" w:rsidR="00B03816" w:rsidRPr="00B03816" w:rsidRDefault="00815B74" w:rsidP="00601C4A">
      <w:pPr>
        <w:spacing w:before="240" w:after="240"/>
        <w:rPr>
          <w:rFonts w:cs="Arial"/>
        </w:rPr>
      </w:pPr>
      <w:r w:rsidRPr="00B03816">
        <w:rPr>
          <w:rFonts w:cs="Arial"/>
        </w:rPr>
        <w:t xml:space="preserve">As future data reporting gets more refined and comprehensive, the focus </w:t>
      </w:r>
      <w:r w:rsidR="00C24D33">
        <w:rPr>
          <w:rFonts w:cs="Arial"/>
        </w:rPr>
        <w:t>will be able to include data regarding student performance</w:t>
      </w:r>
      <w:r w:rsidR="00C24D33" w:rsidRPr="00B03816">
        <w:rPr>
          <w:rFonts w:cs="Arial"/>
        </w:rPr>
        <w:t xml:space="preserve"> </w:t>
      </w:r>
      <w:r w:rsidRPr="00B03816">
        <w:rPr>
          <w:rFonts w:cs="Arial"/>
        </w:rPr>
        <w:t>outcomes</w:t>
      </w:r>
      <w:r w:rsidR="00B03816" w:rsidRPr="00B23416">
        <w:rPr>
          <w:rFonts w:cs="Arial"/>
        </w:rPr>
        <w:t xml:space="preserve"> (see Attachment 1)</w:t>
      </w:r>
      <w:r w:rsidR="00C24D33">
        <w:rPr>
          <w:rFonts w:cs="Arial"/>
        </w:rPr>
        <w:t>; thus,</w:t>
      </w:r>
      <w:r w:rsidRPr="00B23416">
        <w:rPr>
          <w:rFonts w:cs="Arial"/>
        </w:rPr>
        <w:t xml:space="preserve"> taking into consideration the above caveats </w:t>
      </w:r>
      <w:r w:rsidR="00C24D33">
        <w:rPr>
          <w:rFonts w:cs="Arial"/>
        </w:rPr>
        <w:t>will allow for</w:t>
      </w:r>
      <w:r w:rsidR="00C24D33" w:rsidRPr="001D7507">
        <w:rPr>
          <w:rFonts w:cs="Arial"/>
        </w:rPr>
        <w:t xml:space="preserve"> </w:t>
      </w:r>
      <w:r w:rsidR="00C24D33">
        <w:rPr>
          <w:rFonts w:cs="Arial"/>
        </w:rPr>
        <w:t xml:space="preserve">a </w:t>
      </w:r>
      <w:r w:rsidR="00C24D33" w:rsidRPr="001D7507">
        <w:rPr>
          <w:rFonts w:cs="Arial"/>
        </w:rPr>
        <w:t xml:space="preserve">uniform set of information </w:t>
      </w:r>
      <w:r w:rsidR="00C24D33">
        <w:rPr>
          <w:rFonts w:cs="Arial"/>
        </w:rPr>
        <w:t xml:space="preserve">to be reported on </w:t>
      </w:r>
      <w:r w:rsidR="00C24D33" w:rsidRPr="001D7507">
        <w:rPr>
          <w:rFonts w:cs="Arial"/>
        </w:rPr>
        <w:t>across all three programs.</w:t>
      </w:r>
    </w:p>
    <w:p w14:paraId="3F50E0AD" w14:textId="1075A5BE" w:rsidR="00C24D33" w:rsidRPr="001D7507" w:rsidRDefault="00C24D33" w:rsidP="00C24D33">
      <w:pPr>
        <w:spacing w:before="240" w:after="240"/>
        <w:rPr>
          <w:rFonts w:cs="Arial"/>
        </w:rPr>
      </w:pPr>
      <w:r w:rsidRPr="001D7507">
        <w:rPr>
          <w:rFonts w:cs="Arial"/>
        </w:rPr>
        <w:t>Given the above</w:t>
      </w:r>
      <w:r>
        <w:rPr>
          <w:rFonts w:cs="Arial"/>
        </w:rPr>
        <w:t>-stated</w:t>
      </w:r>
      <w:r w:rsidRPr="001D7507">
        <w:rPr>
          <w:rFonts w:cs="Arial"/>
        </w:rPr>
        <w:t xml:space="preserve"> caveats</w:t>
      </w:r>
      <w:r>
        <w:rPr>
          <w:rFonts w:cs="Arial"/>
        </w:rPr>
        <w:t xml:space="preserve"> regarding the</w:t>
      </w:r>
      <w:r w:rsidRPr="001D7507">
        <w:rPr>
          <w:rFonts w:cs="Arial"/>
        </w:rPr>
        <w:t xml:space="preserve"> </w:t>
      </w:r>
      <w:r>
        <w:rPr>
          <w:rFonts w:cs="Arial"/>
        </w:rPr>
        <w:t xml:space="preserve">limited nature of existing data </w:t>
      </w:r>
      <w:r w:rsidRPr="001D7507">
        <w:rPr>
          <w:rFonts w:cs="Arial"/>
        </w:rPr>
        <w:t xml:space="preserve">funding sources, </w:t>
      </w:r>
      <w:r>
        <w:rPr>
          <w:rFonts w:cs="Arial"/>
        </w:rPr>
        <w:t xml:space="preserve">CDE staff produced </w:t>
      </w:r>
      <w:r w:rsidRPr="001D7507">
        <w:rPr>
          <w:rFonts w:cs="Arial"/>
        </w:rPr>
        <w:t>data tables and charts for CTE par</w:t>
      </w:r>
      <w:bookmarkStart w:id="1" w:name="_GoBack"/>
      <w:bookmarkEnd w:id="1"/>
      <w:r w:rsidRPr="001D7507">
        <w:rPr>
          <w:rFonts w:cs="Arial"/>
        </w:rPr>
        <w:t xml:space="preserve">ticipants and CTE completers (Attachments 2 and 3). The CTE participant data tables show, for each funding source, the percentage of CTE participants </w:t>
      </w:r>
      <w:r>
        <w:rPr>
          <w:rFonts w:cs="Arial"/>
        </w:rPr>
        <w:t>of</w:t>
      </w:r>
      <w:r w:rsidRPr="001D7507">
        <w:rPr>
          <w:rFonts w:cs="Arial"/>
        </w:rPr>
        <w:t xml:space="preserve"> the total students in the </w:t>
      </w:r>
      <w:r>
        <w:rPr>
          <w:rFonts w:cs="Arial"/>
        </w:rPr>
        <w:t>2018</w:t>
      </w:r>
      <w:r w:rsidR="00CE4349">
        <w:rPr>
          <w:rFonts w:cs="Arial"/>
        </w:rPr>
        <w:t>–</w:t>
      </w:r>
      <w:r>
        <w:rPr>
          <w:rFonts w:cs="Arial"/>
        </w:rPr>
        <w:t xml:space="preserve">19 student </w:t>
      </w:r>
      <w:r w:rsidRPr="001D7507">
        <w:rPr>
          <w:rFonts w:cs="Arial"/>
        </w:rPr>
        <w:t xml:space="preserve">cohort (Attachment 2); </w:t>
      </w:r>
      <w:r>
        <w:rPr>
          <w:rFonts w:cs="Arial"/>
        </w:rPr>
        <w:t xml:space="preserve">and </w:t>
      </w:r>
      <w:r w:rsidRPr="001D7507">
        <w:rPr>
          <w:rFonts w:cs="Arial"/>
        </w:rPr>
        <w:t xml:space="preserve">the CTE completer data tables show the percentage of CTE completers </w:t>
      </w:r>
      <w:r>
        <w:rPr>
          <w:rFonts w:cs="Arial"/>
        </w:rPr>
        <w:t>of the</w:t>
      </w:r>
      <w:r w:rsidRPr="001D7507">
        <w:rPr>
          <w:rFonts w:cs="Arial"/>
        </w:rPr>
        <w:t xml:space="preserve"> total </w:t>
      </w:r>
      <w:r>
        <w:rPr>
          <w:rFonts w:cs="Arial"/>
        </w:rPr>
        <w:t xml:space="preserve">number of </w:t>
      </w:r>
      <w:r w:rsidRPr="001D7507">
        <w:rPr>
          <w:rFonts w:cs="Arial"/>
        </w:rPr>
        <w:t>CTE participants (Attachment 3). The tables and charts are displayed by gender, race and ethnicity, and by special populations.</w:t>
      </w:r>
    </w:p>
    <w:p w14:paraId="79CA750F" w14:textId="63B8B050" w:rsidR="004A5801" w:rsidRDefault="00F25484" w:rsidP="00C27DE6">
      <w:pPr>
        <w:spacing w:before="240" w:after="240"/>
        <w:rPr>
          <w:rFonts w:cs="Arial"/>
        </w:rPr>
      </w:pPr>
      <w:r>
        <w:rPr>
          <w:rFonts w:cs="Arial"/>
        </w:rPr>
        <w:t xml:space="preserve">The tables and charts are </w:t>
      </w:r>
      <w:r w:rsidR="00796B12">
        <w:rPr>
          <w:rFonts w:cs="Arial"/>
        </w:rPr>
        <w:t>displayed by</w:t>
      </w:r>
      <w:r>
        <w:rPr>
          <w:rFonts w:cs="Arial"/>
        </w:rPr>
        <w:t xml:space="preserve"> gender, race and ethnicity, and </w:t>
      </w:r>
      <w:r w:rsidR="00796B12">
        <w:rPr>
          <w:rFonts w:cs="Arial"/>
        </w:rPr>
        <w:t xml:space="preserve">by </w:t>
      </w:r>
      <w:r>
        <w:rPr>
          <w:rFonts w:cs="Arial"/>
        </w:rPr>
        <w:t>special populations.</w:t>
      </w:r>
    </w:p>
    <w:p w14:paraId="6C4469F2" w14:textId="17A155DD" w:rsidR="00C24D33" w:rsidRPr="001D7507" w:rsidRDefault="00C24D33" w:rsidP="00C24D33">
      <w:pPr>
        <w:spacing w:after="240"/>
        <w:rPr>
          <w:rFonts w:cs="Arial"/>
        </w:rPr>
      </w:pPr>
      <w:r w:rsidRPr="001D7507">
        <w:rPr>
          <w:rFonts w:cs="Arial"/>
        </w:rPr>
        <w:t xml:space="preserve">The data reports in Attachments 2 and 3 </w:t>
      </w:r>
      <w:r>
        <w:rPr>
          <w:rFonts w:cs="Arial"/>
        </w:rPr>
        <w:t xml:space="preserve">will provide </w:t>
      </w:r>
      <w:r w:rsidRPr="001D7507">
        <w:rPr>
          <w:rFonts w:cs="Arial"/>
        </w:rPr>
        <w:t xml:space="preserve">the rationale for why the metrics, as </w:t>
      </w:r>
      <w:r>
        <w:rPr>
          <w:rFonts w:cs="Arial"/>
        </w:rPr>
        <w:t>required by</w:t>
      </w:r>
      <w:r w:rsidRPr="001D7507">
        <w:rPr>
          <w:rFonts w:cs="Arial"/>
        </w:rPr>
        <w:t xml:space="preserve"> the statutes for the CTEIG and K–12 SWP</w:t>
      </w:r>
      <w:r>
        <w:rPr>
          <w:rFonts w:cs="Arial"/>
        </w:rPr>
        <w:t>,</w:t>
      </w:r>
      <w:r w:rsidRPr="001D7507">
        <w:rPr>
          <w:rFonts w:cs="Arial"/>
        </w:rPr>
        <w:t xml:space="preserve"> </w:t>
      </w:r>
      <w:r>
        <w:rPr>
          <w:rFonts w:cs="Arial"/>
        </w:rPr>
        <w:t>may</w:t>
      </w:r>
      <w:r w:rsidRPr="001D7507">
        <w:rPr>
          <w:rFonts w:cs="Arial"/>
        </w:rPr>
        <w:t xml:space="preserve"> not </w:t>
      </w:r>
      <w:r>
        <w:rPr>
          <w:rFonts w:cs="Arial"/>
        </w:rPr>
        <w:t>need any further</w:t>
      </w:r>
      <w:r w:rsidRPr="001D7507">
        <w:rPr>
          <w:rFonts w:cs="Arial"/>
        </w:rPr>
        <w:t xml:space="preserve"> </w:t>
      </w:r>
      <w:r w:rsidRPr="001D7507">
        <w:rPr>
          <w:rFonts w:cs="Arial"/>
        </w:rPr>
        <w:lastRenderedPageBreak/>
        <w:t xml:space="preserve">revision. However, </w:t>
      </w:r>
      <w:r>
        <w:rPr>
          <w:rFonts w:cs="Arial"/>
        </w:rPr>
        <w:t>through</w:t>
      </w:r>
      <w:r w:rsidRPr="001D7507">
        <w:rPr>
          <w:rFonts w:cs="Arial"/>
        </w:rPr>
        <w:t xml:space="preserve"> the data that is presented in Attachments 2 and 3, as well as future data reports, the expectation is that the CWPJAC </w:t>
      </w:r>
      <w:r>
        <w:rPr>
          <w:rFonts w:cs="Arial"/>
        </w:rPr>
        <w:t>will</w:t>
      </w:r>
      <w:r w:rsidRPr="001D7507">
        <w:rPr>
          <w:rFonts w:cs="Arial"/>
        </w:rPr>
        <w:t xml:space="preserve"> be better positioned </w:t>
      </w:r>
      <w:r>
        <w:rPr>
          <w:rFonts w:cs="Arial"/>
        </w:rPr>
        <w:t>to</w:t>
      </w:r>
      <w:r w:rsidRPr="001D7507">
        <w:rPr>
          <w:rFonts w:cs="Arial"/>
        </w:rPr>
        <w:t xml:space="preserve"> determin</w:t>
      </w:r>
      <w:r>
        <w:rPr>
          <w:rFonts w:cs="Arial"/>
        </w:rPr>
        <w:t>e</w:t>
      </w:r>
      <w:r w:rsidRPr="001D7507">
        <w:rPr>
          <w:rFonts w:cs="Arial"/>
        </w:rPr>
        <w:t xml:space="preserve"> the return on investment through state and federal grant programs.</w:t>
      </w:r>
    </w:p>
    <w:p w14:paraId="323FD620" w14:textId="4364234B" w:rsidR="003E4DF7" w:rsidRPr="003311CD" w:rsidRDefault="003E4DF7" w:rsidP="003A0CCA">
      <w:pPr>
        <w:pStyle w:val="Heading2"/>
        <w:spacing w:before="480" w:after="240"/>
        <w:rPr>
          <w:rFonts w:cs="Arial"/>
          <w:sz w:val="36"/>
          <w:szCs w:val="36"/>
        </w:rPr>
      </w:pPr>
      <w:r w:rsidRPr="003311CD">
        <w:rPr>
          <w:rFonts w:cs="Arial"/>
          <w:sz w:val="36"/>
          <w:szCs w:val="36"/>
        </w:rPr>
        <w:t xml:space="preserve">Summary of Previous </w:t>
      </w:r>
      <w:r w:rsidR="0003321E" w:rsidRPr="003311CD">
        <w:rPr>
          <w:rFonts w:cs="Arial"/>
          <w:sz w:val="36"/>
          <w:szCs w:val="36"/>
        </w:rPr>
        <w:t xml:space="preserve">CWPJAC </w:t>
      </w:r>
      <w:r w:rsidRPr="003311CD">
        <w:rPr>
          <w:rFonts w:cs="Arial"/>
          <w:sz w:val="36"/>
          <w:szCs w:val="36"/>
        </w:rPr>
        <w:t>Discussion</w:t>
      </w:r>
      <w:r w:rsidR="00677419" w:rsidRPr="003311CD">
        <w:rPr>
          <w:rFonts w:cs="Arial"/>
          <w:sz w:val="36"/>
          <w:szCs w:val="36"/>
        </w:rPr>
        <w:t>(s)</w:t>
      </w:r>
      <w:r w:rsidRPr="003311CD">
        <w:rPr>
          <w:rFonts w:cs="Arial"/>
          <w:sz w:val="36"/>
          <w:szCs w:val="36"/>
        </w:rPr>
        <w:t xml:space="preserve"> and Action</w:t>
      </w:r>
      <w:r w:rsidR="00677419" w:rsidRPr="003311CD">
        <w:rPr>
          <w:rFonts w:cs="Arial"/>
          <w:sz w:val="36"/>
          <w:szCs w:val="36"/>
        </w:rPr>
        <w:t>(s)</w:t>
      </w:r>
    </w:p>
    <w:p w14:paraId="642C9790" w14:textId="597B3600" w:rsidR="00FF79CE" w:rsidRPr="00D307D2" w:rsidRDefault="00FF79CE" w:rsidP="004C3487">
      <w:pPr>
        <w:tabs>
          <w:tab w:val="left" w:pos="1770"/>
        </w:tabs>
        <w:spacing w:after="240"/>
        <w:rPr>
          <w:rFonts w:cs="Arial"/>
        </w:rPr>
      </w:pPr>
      <w:r>
        <w:rPr>
          <w:rFonts w:cs="Arial"/>
          <w:b/>
        </w:rPr>
        <w:t xml:space="preserve">November 20, 2020: </w:t>
      </w:r>
      <w:r>
        <w:rPr>
          <w:rFonts w:cs="Arial"/>
        </w:rPr>
        <w:t xml:space="preserve">The CDE presented updates on the </w:t>
      </w:r>
      <w:r w:rsidR="00C27DE6">
        <w:rPr>
          <w:rFonts w:cs="Arial"/>
        </w:rPr>
        <w:t>FY</w:t>
      </w:r>
      <w:r>
        <w:rPr>
          <w:rFonts w:cs="Arial"/>
        </w:rPr>
        <w:t xml:space="preserve"> 2020</w:t>
      </w:r>
      <w:r w:rsidR="00C27DE6">
        <w:rPr>
          <w:rFonts w:cs="Arial"/>
        </w:rPr>
        <w:t>–</w:t>
      </w:r>
      <w:r>
        <w:rPr>
          <w:rFonts w:cs="Arial"/>
        </w:rPr>
        <w:t>21 CTEIG funding allocations, the FY 2020</w:t>
      </w:r>
      <w:r w:rsidR="00C27DE6">
        <w:rPr>
          <w:rFonts w:cs="Arial"/>
        </w:rPr>
        <w:t>–</w:t>
      </w:r>
      <w:r>
        <w:rPr>
          <w:rFonts w:cs="Arial"/>
        </w:rPr>
        <w:t>21 K–12 SWP application process, and the M</w:t>
      </w:r>
      <w:r w:rsidR="00C27DE6">
        <w:rPr>
          <w:rFonts w:cs="Arial"/>
        </w:rPr>
        <w:t xml:space="preserve">emorandum of </w:t>
      </w:r>
      <w:r>
        <w:rPr>
          <w:rFonts w:cs="Arial"/>
        </w:rPr>
        <w:t>U</w:t>
      </w:r>
      <w:r w:rsidR="00C27DE6">
        <w:rPr>
          <w:rFonts w:cs="Arial"/>
        </w:rPr>
        <w:t>nderstanding (MOU)</w:t>
      </w:r>
      <w:r>
        <w:rPr>
          <w:rFonts w:cs="Arial"/>
        </w:rPr>
        <w:t xml:space="preserve"> data sharing agreement between the CDE and CCCCO. Staff recommended that there be no change to the data metrics for both the CTEIG and K–12 SWP, and that a phased approach be </w:t>
      </w:r>
      <w:r w:rsidR="00C24D33">
        <w:rPr>
          <w:rFonts w:cs="Arial"/>
        </w:rPr>
        <w:t>used</w:t>
      </w:r>
      <w:r>
        <w:rPr>
          <w:rFonts w:cs="Arial"/>
        </w:rPr>
        <w:t xml:space="preserve"> to operationalize the data metrics.</w:t>
      </w:r>
    </w:p>
    <w:p w14:paraId="5606536E" w14:textId="67D4A78C" w:rsidR="004C3487" w:rsidRPr="003311CD" w:rsidRDefault="004C3487" w:rsidP="004C3487">
      <w:pPr>
        <w:tabs>
          <w:tab w:val="left" w:pos="1770"/>
        </w:tabs>
        <w:spacing w:after="240"/>
        <w:rPr>
          <w:rFonts w:cs="Arial"/>
          <w:b/>
          <w:color w:val="000000" w:themeColor="text1"/>
        </w:rPr>
      </w:pPr>
      <w:r w:rsidRPr="003311CD">
        <w:rPr>
          <w:rFonts w:cs="Arial"/>
          <w:b/>
        </w:rPr>
        <w:t xml:space="preserve">September 25, 2020: </w:t>
      </w:r>
      <w:r w:rsidRPr="003311CD">
        <w:rPr>
          <w:rFonts w:cs="Arial"/>
        </w:rPr>
        <w:t xml:space="preserve">The </w:t>
      </w:r>
      <w:r w:rsidRPr="003311CD">
        <w:rPr>
          <w:rFonts w:cs="Arial"/>
          <w:color w:val="000000" w:themeColor="text1"/>
        </w:rPr>
        <w:t>CDE presented an update to the CTEIG application</w:t>
      </w:r>
      <w:r w:rsidR="00832A5D" w:rsidRPr="003311CD">
        <w:rPr>
          <w:rFonts w:cs="Arial"/>
          <w:color w:val="000000" w:themeColor="text1"/>
        </w:rPr>
        <w:t>,</w:t>
      </w:r>
      <w:r w:rsidRPr="003311CD">
        <w:rPr>
          <w:rFonts w:cs="Arial"/>
          <w:color w:val="000000" w:themeColor="text1"/>
        </w:rPr>
        <w:t xml:space="preserve"> </w:t>
      </w:r>
      <w:r w:rsidR="00606403" w:rsidRPr="003311CD">
        <w:rPr>
          <w:rFonts w:cs="Arial"/>
          <w:color w:val="000000" w:themeColor="text1"/>
        </w:rPr>
        <w:t xml:space="preserve">and </w:t>
      </w:r>
      <w:r w:rsidRPr="003311CD">
        <w:rPr>
          <w:rFonts w:cs="Arial"/>
          <w:color w:val="000000" w:themeColor="text1"/>
        </w:rPr>
        <w:t>the CCCCO</w:t>
      </w:r>
      <w:r w:rsidR="00606403" w:rsidRPr="003311CD">
        <w:rPr>
          <w:rFonts w:cs="Arial"/>
          <w:color w:val="000000" w:themeColor="text1"/>
        </w:rPr>
        <w:t xml:space="preserve"> provided an update</w:t>
      </w:r>
      <w:r w:rsidRPr="003311CD">
        <w:rPr>
          <w:rFonts w:cs="Arial"/>
          <w:color w:val="000000" w:themeColor="text1"/>
        </w:rPr>
        <w:t xml:space="preserve"> on the status of the </w:t>
      </w:r>
      <w:r w:rsidR="00BB4EF5" w:rsidRPr="003311CD">
        <w:rPr>
          <w:rFonts w:cs="Arial"/>
          <w:color w:val="000000" w:themeColor="text1"/>
        </w:rPr>
        <w:t>K</w:t>
      </w:r>
      <w:r w:rsidR="00BE712B" w:rsidRPr="003311CD">
        <w:rPr>
          <w:rFonts w:cs="Arial"/>
          <w:color w:val="000000" w:themeColor="text1"/>
        </w:rPr>
        <w:t>–</w:t>
      </w:r>
      <w:r w:rsidRPr="003311CD">
        <w:rPr>
          <w:rFonts w:cs="Arial"/>
          <w:color w:val="000000" w:themeColor="text1"/>
        </w:rPr>
        <w:t xml:space="preserve">12 SWP application process. </w:t>
      </w:r>
      <w:r w:rsidR="00BB4EF5" w:rsidRPr="003311CD">
        <w:rPr>
          <w:rFonts w:cs="Arial"/>
          <w:color w:val="000000" w:themeColor="text1"/>
        </w:rPr>
        <w:t>Staff presented summary data reports</w:t>
      </w:r>
      <w:r w:rsidR="00606403" w:rsidRPr="003311CD">
        <w:rPr>
          <w:rFonts w:cs="Arial"/>
          <w:color w:val="000000" w:themeColor="text1"/>
        </w:rPr>
        <w:t xml:space="preserve">, </w:t>
      </w:r>
      <w:r w:rsidR="00842498" w:rsidRPr="003311CD">
        <w:rPr>
          <w:rFonts w:cs="Arial"/>
          <w:color w:val="000000" w:themeColor="text1"/>
        </w:rPr>
        <w:t>a status report of</w:t>
      </w:r>
      <w:r w:rsidR="00BB4EF5" w:rsidRPr="003311CD">
        <w:rPr>
          <w:rFonts w:cs="Arial"/>
          <w:color w:val="000000" w:themeColor="text1"/>
        </w:rPr>
        <w:t xml:space="preserve">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842498" w:rsidRPr="003311CD">
        <w:rPr>
          <w:rFonts w:cs="Arial"/>
          <w:color w:val="000000" w:themeColor="text1"/>
        </w:rPr>
        <w:t xml:space="preserve">Data </w:t>
      </w:r>
      <w:r w:rsidR="00BB4EF5" w:rsidRPr="003311CD">
        <w:rPr>
          <w:rFonts w:cs="Arial"/>
          <w:color w:val="000000" w:themeColor="text1"/>
        </w:rPr>
        <w:t>MOU</w:t>
      </w:r>
      <w:r w:rsidR="00842498" w:rsidRPr="003311CD">
        <w:rPr>
          <w:rFonts w:cs="Arial"/>
          <w:color w:val="000000" w:themeColor="text1"/>
        </w:rPr>
        <w:t>,</w:t>
      </w:r>
      <w:r w:rsidR="00606403" w:rsidRPr="003311CD">
        <w:rPr>
          <w:rFonts w:cs="Arial"/>
          <w:color w:val="000000" w:themeColor="text1"/>
        </w:rPr>
        <w:t xml:space="preserve"> and </w:t>
      </w:r>
      <w:r w:rsidR="00842498" w:rsidRPr="003311CD">
        <w:rPr>
          <w:rFonts w:cs="Arial"/>
          <w:color w:val="000000" w:themeColor="text1"/>
        </w:rPr>
        <w:t xml:space="preserve">recommended </w:t>
      </w:r>
      <w:r w:rsidR="00606403" w:rsidRPr="003311CD">
        <w:rPr>
          <w:rFonts w:cs="Arial"/>
          <w:color w:val="000000" w:themeColor="text1"/>
        </w:rPr>
        <w:t>revisions</w:t>
      </w:r>
      <w:r w:rsidR="00BB4EF5" w:rsidRPr="003311CD">
        <w:rPr>
          <w:rFonts w:cs="Arial"/>
          <w:color w:val="000000" w:themeColor="text1"/>
        </w:rPr>
        <w:t xml:space="preserve"> to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606403" w:rsidRPr="003311CD">
        <w:rPr>
          <w:rFonts w:cs="Arial"/>
          <w:color w:val="000000" w:themeColor="text1"/>
        </w:rPr>
        <w:t>Matrix of Metrics.</w:t>
      </w:r>
    </w:p>
    <w:p w14:paraId="7233FBB4" w14:textId="77777777" w:rsidR="008D6B3D" w:rsidRPr="003311CD" w:rsidRDefault="008D6B3D" w:rsidP="00CE3317">
      <w:pPr>
        <w:spacing w:after="240"/>
        <w:rPr>
          <w:rFonts w:cs="Arial"/>
        </w:rPr>
      </w:pPr>
      <w:r w:rsidRPr="003311CD">
        <w:rPr>
          <w:rFonts w:cs="Arial"/>
          <w:b/>
        </w:rPr>
        <w:t xml:space="preserve">January 31, 2020: </w:t>
      </w:r>
      <w:r w:rsidRPr="003311CD">
        <w:rPr>
          <w:rFonts w:cs="Arial"/>
        </w:rPr>
        <w:t>The CW</w:t>
      </w:r>
      <w:r w:rsidR="00D370A0" w:rsidRPr="003311CD">
        <w:rPr>
          <w:rFonts w:cs="Arial"/>
        </w:rPr>
        <w:t>P</w:t>
      </w:r>
      <w:r w:rsidRPr="003311CD">
        <w:rPr>
          <w:rFonts w:cs="Arial"/>
        </w:rPr>
        <w:t xml:space="preserve">JAC </w:t>
      </w:r>
      <w:r w:rsidR="00BB15CF" w:rsidRPr="003311CD">
        <w:rPr>
          <w:rFonts w:cs="Arial"/>
        </w:rPr>
        <w:t>reviewed an</w:t>
      </w:r>
      <w:r w:rsidRPr="003311CD">
        <w:rPr>
          <w:rFonts w:cs="Arial"/>
        </w:rPr>
        <w:t xml:space="preserve"> updated Matrix of Metrics, an overview of both the CTEIG and K</w:t>
      </w:r>
      <w:r w:rsidR="00D82C7B" w:rsidRPr="003311CD">
        <w:rPr>
          <w:rFonts w:cs="Arial"/>
        </w:rPr>
        <w:t>–</w:t>
      </w:r>
      <w:r w:rsidRPr="003311CD">
        <w:rPr>
          <w:rFonts w:cs="Arial"/>
        </w:rPr>
        <w:t xml:space="preserve">12 SWP </w:t>
      </w:r>
      <w:r w:rsidR="00D82C7B" w:rsidRPr="003311CD">
        <w:rPr>
          <w:rFonts w:cs="Arial"/>
        </w:rPr>
        <w:t>FY</w:t>
      </w:r>
      <w:r w:rsidRPr="003311CD">
        <w:rPr>
          <w:rFonts w:cs="Arial"/>
        </w:rPr>
        <w:t xml:space="preserve"> 2019</w:t>
      </w:r>
      <w:r w:rsidR="00D82C7B" w:rsidRPr="003311CD">
        <w:rPr>
          <w:rFonts w:cs="Arial"/>
        </w:rPr>
        <w:t>–</w:t>
      </w:r>
      <w:r w:rsidRPr="003311CD">
        <w:rPr>
          <w:rFonts w:cs="Arial"/>
        </w:rPr>
        <w:t>20 grant processes, and the 2018–19</w:t>
      </w:r>
      <w:r w:rsidR="0003321E" w:rsidRPr="003311CD">
        <w:rPr>
          <w:rFonts w:cs="Arial"/>
        </w:rPr>
        <w:t xml:space="preserve"> CTE</w:t>
      </w:r>
      <w:r w:rsidRPr="003311CD">
        <w:rPr>
          <w:rFonts w:cs="Arial"/>
        </w:rPr>
        <w:t xml:space="preserve"> Postsecondary Status of CTE Completers Survey Template.</w:t>
      </w:r>
    </w:p>
    <w:p w14:paraId="4F4C1988" w14:textId="77777777" w:rsidR="008D6B3D" w:rsidRPr="003311CD" w:rsidRDefault="008D6B3D" w:rsidP="00CE3317">
      <w:pPr>
        <w:spacing w:after="240"/>
        <w:rPr>
          <w:rFonts w:cs="Arial"/>
        </w:rPr>
      </w:pPr>
      <w:r w:rsidRPr="003311CD">
        <w:rPr>
          <w:rFonts w:cs="Arial"/>
          <w:b/>
        </w:rPr>
        <w:t xml:space="preserve">November 7, 2019: </w:t>
      </w:r>
      <w:r w:rsidRPr="003311CD">
        <w:rPr>
          <w:rFonts w:cs="Arial"/>
        </w:rPr>
        <w:t>The CWPJAC approved the Matrix of Metrics</w:t>
      </w:r>
      <w:r w:rsidR="00BB15CF" w:rsidRPr="003311CD">
        <w:rPr>
          <w:rFonts w:cs="Arial"/>
        </w:rPr>
        <w:t xml:space="preserve"> revisions</w:t>
      </w:r>
      <w:r w:rsidR="00606403" w:rsidRPr="003311CD">
        <w:rPr>
          <w:rFonts w:cs="Arial"/>
        </w:rPr>
        <w:t xml:space="preserve"> </w:t>
      </w:r>
      <w:r w:rsidR="00BB15CF" w:rsidRPr="003311CD">
        <w:rPr>
          <w:rFonts w:cs="Arial"/>
        </w:rPr>
        <w:t xml:space="preserve">which incorporated </w:t>
      </w:r>
      <w:r w:rsidRPr="003311CD">
        <w:rPr>
          <w:rFonts w:cs="Arial"/>
        </w:rPr>
        <w:t xml:space="preserve">the </w:t>
      </w:r>
      <w:r w:rsidR="00121964" w:rsidRPr="003311CD">
        <w:rPr>
          <w:rFonts w:cs="Arial"/>
        </w:rPr>
        <w:t xml:space="preserve">requirements of </w:t>
      </w:r>
      <w:r w:rsidRPr="003311CD">
        <w:rPr>
          <w:rFonts w:cs="Arial"/>
        </w:rPr>
        <w:t>Perkins V language</w:t>
      </w:r>
      <w:r w:rsidR="00606403" w:rsidRPr="003311CD">
        <w:rPr>
          <w:rFonts w:cs="Arial"/>
        </w:rPr>
        <w:t>.</w:t>
      </w:r>
    </w:p>
    <w:p w14:paraId="6B23B00C" w14:textId="77777777" w:rsidR="003E4DF7" w:rsidRPr="003311CD" w:rsidRDefault="003E4DF7" w:rsidP="003A0CCA">
      <w:pPr>
        <w:pStyle w:val="Heading2"/>
        <w:spacing w:before="480" w:after="240"/>
        <w:rPr>
          <w:rFonts w:cs="Arial"/>
          <w:sz w:val="36"/>
          <w:szCs w:val="36"/>
        </w:rPr>
      </w:pPr>
      <w:r w:rsidRPr="003311CD">
        <w:rPr>
          <w:rFonts w:cs="Arial"/>
          <w:sz w:val="36"/>
          <w:szCs w:val="36"/>
        </w:rPr>
        <w:t>Fiscal Analysis (as appropriate)</w:t>
      </w:r>
    </w:p>
    <w:p w14:paraId="5325BF8F" w14:textId="3CD09026" w:rsidR="00C72AD1" w:rsidRDefault="00C72AD1" w:rsidP="00C72AD1">
      <w:pPr>
        <w:spacing w:after="240"/>
        <w:rPr>
          <w:rFonts w:cs="Arial"/>
        </w:rPr>
      </w:pPr>
      <w:r w:rsidRPr="003311CD">
        <w:rPr>
          <w:rFonts w:cs="Arial"/>
        </w:rPr>
        <w:t xml:space="preserve">Funding available to eligible recipients under the CTEIG </w:t>
      </w:r>
      <w:r w:rsidR="00A80653" w:rsidRPr="003311CD">
        <w:rPr>
          <w:rFonts w:cs="Arial"/>
        </w:rPr>
        <w:t>i</w:t>
      </w:r>
      <w:r w:rsidRPr="003311CD">
        <w:rPr>
          <w:rFonts w:cs="Arial"/>
        </w:rPr>
        <w:t xml:space="preserve">s $150 million </w:t>
      </w:r>
      <w:r w:rsidR="00AF0408" w:rsidRPr="003311CD">
        <w:rPr>
          <w:rFonts w:cs="Arial"/>
        </w:rPr>
        <w:t>for the program year (PY) 20</w:t>
      </w:r>
      <w:r w:rsidR="00B46F06" w:rsidRPr="003311CD">
        <w:rPr>
          <w:rFonts w:cs="Arial"/>
        </w:rPr>
        <w:t>20</w:t>
      </w:r>
      <w:r w:rsidR="00AF0408" w:rsidRPr="003311CD">
        <w:rPr>
          <w:rFonts w:cs="Arial"/>
        </w:rPr>
        <w:t>–2</w:t>
      </w:r>
      <w:r w:rsidR="00B46F06" w:rsidRPr="003311CD">
        <w:rPr>
          <w:rFonts w:cs="Arial"/>
        </w:rPr>
        <w:t>1</w:t>
      </w:r>
      <w:r w:rsidRPr="003311CD">
        <w:rPr>
          <w:rFonts w:cs="Arial"/>
        </w:rPr>
        <w:t>, and</w:t>
      </w:r>
      <w:r w:rsidR="00586F79" w:rsidRPr="003311CD">
        <w:rPr>
          <w:rFonts w:cs="Arial"/>
        </w:rPr>
        <w:t xml:space="preserve"> </w:t>
      </w:r>
      <w:r w:rsidR="00D25FCD" w:rsidRPr="003311CD">
        <w:rPr>
          <w:rFonts w:cs="Arial"/>
        </w:rPr>
        <w:t>f</w:t>
      </w:r>
      <w:r w:rsidRPr="003311CD">
        <w:rPr>
          <w:rFonts w:cs="Arial"/>
        </w:rPr>
        <w:t>unding available under the K–12 SWP</w:t>
      </w:r>
      <w:r w:rsidR="00A80653" w:rsidRPr="003311CD">
        <w:rPr>
          <w:rFonts w:cs="Arial"/>
        </w:rPr>
        <w:t xml:space="preserve"> i</w:t>
      </w:r>
      <w:r w:rsidRPr="003311CD">
        <w:rPr>
          <w:rFonts w:cs="Arial"/>
        </w:rPr>
        <w:t xml:space="preserve">s $150 million </w:t>
      </w:r>
      <w:r w:rsidR="00AF0408" w:rsidRPr="003311CD">
        <w:rPr>
          <w:rFonts w:cs="Arial"/>
        </w:rPr>
        <w:t>for PY 20</w:t>
      </w:r>
      <w:r w:rsidR="00B46F06" w:rsidRPr="003311CD">
        <w:rPr>
          <w:rFonts w:cs="Arial"/>
        </w:rPr>
        <w:t>20</w:t>
      </w:r>
      <w:r w:rsidR="00AF0408" w:rsidRPr="003311CD">
        <w:rPr>
          <w:rFonts w:cs="Arial"/>
        </w:rPr>
        <w:t>–2</w:t>
      </w:r>
      <w:r w:rsidR="00B46F06" w:rsidRPr="003311CD">
        <w:rPr>
          <w:rFonts w:cs="Arial"/>
        </w:rPr>
        <w:t>1</w:t>
      </w:r>
      <w:r w:rsidR="00D25FCD" w:rsidRPr="003311CD">
        <w:rPr>
          <w:rFonts w:cs="Arial"/>
        </w:rPr>
        <w:t xml:space="preserve"> for</w:t>
      </w:r>
      <w:r w:rsidRPr="003311CD">
        <w:rPr>
          <w:rFonts w:cs="Arial"/>
        </w:rPr>
        <w:t xml:space="preserve"> eligible recipients. </w:t>
      </w:r>
      <w:r w:rsidR="001C3DC0" w:rsidRPr="003311CD">
        <w:rPr>
          <w:rFonts w:cs="Arial"/>
        </w:rPr>
        <w:t>In addition,</w:t>
      </w:r>
      <w:r w:rsidRPr="003311CD">
        <w:rPr>
          <w:rFonts w:cs="Arial"/>
        </w:rPr>
        <w:t xml:space="preserve"> $1</w:t>
      </w:r>
      <w:r w:rsidR="00AD489B" w:rsidRPr="003311CD">
        <w:rPr>
          <w:rFonts w:cs="Arial"/>
        </w:rPr>
        <w:t>3.5</w:t>
      </w:r>
      <w:r w:rsidRPr="003311CD">
        <w:rPr>
          <w:rFonts w:cs="Arial"/>
        </w:rPr>
        <w:t xml:space="preserve"> million</w:t>
      </w:r>
      <w:r w:rsidR="00A14CA6" w:rsidRPr="003311CD">
        <w:rPr>
          <w:rFonts w:cs="Arial"/>
        </w:rPr>
        <w:t xml:space="preserve"> </w:t>
      </w:r>
      <w:r w:rsidR="00A80653" w:rsidRPr="003311CD">
        <w:rPr>
          <w:rFonts w:cs="Arial"/>
        </w:rPr>
        <w:t>i</w:t>
      </w:r>
      <w:r w:rsidR="00AF0408" w:rsidRPr="003311CD">
        <w:rPr>
          <w:rFonts w:cs="Arial"/>
        </w:rPr>
        <w:t>s</w:t>
      </w:r>
      <w:r w:rsidRPr="003311CD">
        <w:rPr>
          <w:rFonts w:cs="Arial"/>
        </w:rPr>
        <w:t xml:space="preserve"> </w:t>
      </w:r>
      <w:r w:rsidR="00EA0CEF" w:rsidRPr="003311CD">
        <w:rPr>
          <w:rFonts w:cs="Arial"/>
        </w:rPr>
        <w:t xml:space="preserve">provided </w:t>
      </w:r>
      <w:r w:rsidR="00B40246" w:rsidRPr="003311CD">
        <w:rPr>
          <w:rFonts w:cs="Arial"/>
        </w:rPr>
        <w:t xml:space="preserve">to support </w:t>
      </w:r>
      <w:r w:rsidR="002D7DA4" w:rsidRPr="003311CD">
        <w:rPr>
          <w:rFonts w:cs="Arial"/>
        </w:rPr>
        <w:t xml:space="preserve">eight </w:t>
      </w:r>
      <w:r w:rsidRPr="003311CD">
        <w:rPr>
          <w:rFonts w:cs="Arial"/>
        </w:rPr>
        <w:t xml:space="preserve">K–14 </w:t>
      </w:r>
      <w:r w:rsidR="00D82C7B" w:rsidRPr="003311CD">
        <w:rPr>
          <w:rFonts w:cs="Arial"/>
        </w:rPr>
        <w:t>Technical Assistance Providers</w:t>
      </w:r>
      <w:r w:rsidR="00B40246" w:rsidRPr="003311CD">
        <w:rPr>
          <w:rFonts w:cs="Arial"/>
        </w:rPr>
        <w:t xml:space="preserve"> and </w:t>
      </w:r>
      <w:r w:rsidR="002D7DA4" w:rsidRPr="003311CD">
        <w:rPr>
          <w:rFonts w:cs="Arial"/>
        </w:rPr>
        <w:t xml:space="preserve">72 </w:t>
      </w:r>
      <w:r w:rsidR="00B40246" w:rsidRPr="003311CD">
        <w:rPr>
          <w:rFonts w:cs="Arial"/>
        </w:rPr>
        <w:t xml:space="preserve">workforce </w:t>
      </w:r>
      <w:r w:rsidR="00121964" w:rsidRPr="003311CD">
        <w:rPr>
          <w:rFonts w:cs="Arial"/>
        </w:rPr>
        <w:t xml:space="preserve">pathway </w:t>
      </w:r>
      <w:r w:rsidR="00B40246" w:rsidRPr="003311CD">
        <w:rPr>
          <w:rFonts w:cs="Arial"/>
        </w:rPr>
        <w:t>coordinators</w:t>
      </w:r>
      <w:r w:rsidRPr="003311CD">
        <w:rPr>
          <w:rFonts w:cs="Arial"/>
        </w:rPr>
        <w:t xml:space="preserve"> </w:t>
      </w:r>
      <w:r w:rsidR="0070130C">
        <w:rPr>
          <w:rFonts w:cs="Arial"/>
        </w:rPr>
        <w:t xml:space="preserve">to support </w:t>
      </w:r>
      <w:r w:rsidR="00B40246" w:rsidRPr="003311CD">
        <w:rPr>
          <w:rFonts w:cs="Arial"/>
        </w:rPr>
        <w:t>for</w:t>
      </w:r>
      <w:r w:rsidRPr="003311CD">
        <w:rPr>
          <w:rFonts w:cs="Arial"/>
        </w:rPr>
        <w:t xml:space="preserve"> both CTEIG and K–12 SWP initiatives.</w:t>
      </w:r>
    </w:p>
    <w:p w14:paraId="77EA91C5" w14:textId="7E1932AB" w:rsidR="00B9353F" w:rsidRPr="00CC4C56" w:rsidRDefault="005354DD" w:rsidP="00B9353F">
      <w:r w:rsidRPr="00CC4C56">
        <w:t>In 2018–19 the Perkins IV allocation was $120,196,084;</w:t>
      </w:r>
      <w:r>
        <w:t xml:space="preserve"> f</w:t>
      </w:r>
      <w:r w:rsidR="00B9353F">
        <w:t>or</w:t>
      </w:r>
      <w:r w:rsidR="00B9353F" w:rsidRPr="00CC4C56">
        <w:t xml:space="preserve"> 2019–20 the Perkins V allocation </w:t>
      </w:r>
      <w:r w:rsidR="00785202">
        <w:t>was</w:t>
      </w:r>
      <w:r w:rsidR="00B9353F" w:rsidRPr="00CC4C56">
        <w:t xml:space="preserve"> $127,058,834</w:t>
      </w:r>
      <w:r w:rsidR="00B9353F">
        <w:t xml:space="preserve">; </w:t>
      </w:r>
      <w:r>
        <w:t xml:space="preserve">and </w:t>
      </w:r>
      <w:r w:rsidR="00B9353F">
        <w:t>for 2020</w:t>
      </w:r>
      <w:r w:rsidR="00547894">
        <w:t>–</w:t>
      </w:r>
      <w:r w:rsidR="00B9353F">
        <w:t xml:space="preserve">21 </w:t>
      </w:r>
      <w:r w:rsidR="00B9353F" w:rsidRPr="00CC4C56">
        <w:t>the Perkins V allocation is $</w:t>
      </w:r>
      <w:r w:rsidR="00B9353F">
        <w:t>128,798,161.</w:t>
      </w:r>
    </w:p>
    <w:p w14:paraId="6A32ACE2" w14:textId="77777777" w:rsidR="00406F50" w:rsidRPr="003311CD" w:rsidRDefault="00406F50" w:rsidP="003A0CCA">
      <w:pPr>
        <w:pStyle w:val="Heading2"/>
        <w:spacing w:before="480" w:after="240"/>
        <w:rPr>
          <w:rFonts w:cs="Arial"/>
          <w:sz w:val="36"/>
          <w:szCs w:val="36"/>
        </w:rPr>
      </w:pPr>
      <w:r w:rsidRPr="003311CD">
        <w:rPr>
          <w:rFonts w:cs="Arial"/>
          <w:sz w:val="36"/>
          <w:szCs w:val="36"/>
        </w:rPr>
        <w:lastRenderedPageBreak/>
        <w:t>Attachment(s)</w:t>
      </w:r>
    </w:p>
    <w:p w14:paraId="058955AB" w14:textId="60F085B5" w:rsidR="00D96824" w:rsidRDefault="00191509" w:rsidP="00C27DE6">
      <w:pPr>
        <w:pStyle w:val="Heading1"/>
        <w:spacing w:after="240"/>
        <w:rPr>
          <w:rFonts w:cs="Arial"/>
          <w:b w:val="0"/>
          <w:sz w:val="24"/>
          <w:szCs w:val="24"/>
        </w:rPr>
      </w:pPr>
      <w:r w:rsidRPr="00D96824">
        <w:rPr>
          <w:rFonts w:cs="Arial"/>
          <w:sz w:val="24"/>
          <w:szCs w:val="24"/>
        </w:rPr>
        <w:t xml:space="preserve">Attachment </w:t>
      </w:r>
      <w:r w:rsidR="000A05A6" w:rsidRPr="00D96824">
        <w:rPr>
          <w:rFonts w:cs="Arial"/>
          <w:sz w:val="24"/>
          <w:szCs w:val="24"/>
        </w:rPr>
        <w:t>1</w:t>
      </w:r>
      <w:r w:rsidRPr="00D96824">
        <w:rPr>
          <w:rFonts w:cs="Arial"/>
          <w:b w:val="0"/>
          <w:sz w:val="24"/>
          <w:szCs w:val="24"/>
        </w:rPr>
        <w:t xml:space="preserve">: </w:t>
      </w:r>
      <w:r w:rsidR="00D96824" w:rsidRPr="00D96824">
        <w:rPr>
          <w:rFonts w:cs="Arial"/>
          <w:b w:val="0"/>
          <w:sz w:val="24"/>
          <w:szCs w:val="24"/>
        </w:rPr>
        <w:t>Overall Plan and Timeline for Operationalizing the Career Technical Education Incentive Grant and Kindergarten Through Grade Twelve Strong Workforce Program Data Metrics</w:t>
      </w:r>
      <w:r w:rsidR="00D96824">
        <w:rPr>
          <w:rFonts w:cs="Arial"/>
          <w:b w:val="0"/>
          <w:sz w:val="24"/>
          <w:szCs w:val="24"/>
        </w:rPr>
        <w:t xml:space="preserve"> (</w:t>
      </w:r>
      <w:r w:rsidR="004A7060">
        <w:rPr>
          <w:rFonts w:cs="Arial"/>
          <w:b w:val="0"/>
          <w:sz w:val="24"/>
          <w:szCs w:val="24"/>
        </w:rPr>
        <w:t>6</w:t>
      </w:r>
      <w:r w:rsidR="00D96824">
        <w:rPr>
          <w:rFonts w:cs="Arial"/>
          <w:b w:val="0"/>
          <w:sz w:val="24"/>
          <w:szCs w:val="24"/>
        </w:rPr>
        <w:t xml:space="preserve"> pages).</w:t>
      </w:r>
    </w:p>
    <w:p w14:paraId="026A57AA" w14:textId="7CA2F97A" w:rsidR="00D96824" w:rsidRPr="00CE4349" w:rsidRDefault="00D96824" w:rsidP="00D96824">
      <w:pPr>
        <w:spacing w:after="240"/>
        <w:rPr>
          <w:rFonts w:cs="Arial"/>
        </w:rPr>
      </w:pPr>
      <w:r w:rsidRPr="00D96824">
        <w:rPr>
          <w:b/>
        </w:rPr>
        <w:t>Attachment 2</w:t>
      </w:r>
      <w:r>
        <w:t xml:space="preserve">: </w:t>
      </w:r>
      <w:r w:rsidR="005D2EE8" w:rsidRPr="005D2EE8">
        <w:t xml:space="preserve">Career Technical Education (CTE) Participation for the 2018–19 Four-Year Cohort Period by Gender, Race/Ethnicity, and Special Populations and by State and Federal Funding </w:t>
      </w:r>
      <w:r w:rsidR="005D2EE8" w:rsidRPr="00CE4349">
        <w:t xml:space="preserve">Mix </w:t>
      </w:r>
      <w:r w:rsidR="005D2EE8" w:rsidRPr="00CE4349">
        <w:rPr>
          <w:rFonts w:cs="Arial"/>
        </w:rPr>
        <w:t xml:space="preserve">(24 </w:t>
      </w:r>
      <w:r w:rsidRPr="00CE4349">
        <w:rPr>
          <w:rFonts w:cs="Arial"/>
        </w:rPr>
        <w:t>pages)</w:t>
      </w:r>
    </w:p>
    <w:p w14:paraId="351F556F" w14:textId="17E4131C" w:rsidR="00191509" w:rsidRPr="00D96824" w:rsidRDefault="00FB33F9" w:rsidP="00C27DE6">
      <w:pPr>
        <w:spacing w:after="240"/>
        <w:rPr>
          <w:rFonts w:cs="Arial"/>
        </w:rPr>
      </w:pPr>
      <w:r w:rsidRPr="00CE4349">
        <w:rPr>
          <w:b/>
        </w:rPr>
        <w:t>Attachment 3</w:t>
      </w:r>
      <w:r w:rsidRPr="00CE4349">
        <w:t xml:space="preserve">: </w:t>
      </w:r>
      <w:r w:rsidR="005D2EE8" w:rsidRPr="00CE4349">
        <w:t xml:space="preserve">Career Technical Education (CTE) </w:t>
      </w:r>
      <w:r w:rsidR="0097077C" w:rsidRPr="00CE4349">
        <w:t>Completion</w:t>
      </w:r>
      <w:r w:rsidR="005D2EE8" w:rsidRPr="00CE4349">
        <w:t xml:space="preserve"> for the 2018–19 Four-Year Cohort Period by Gender, Race/Ethnicity, and Special Populations and by State and Federal Funding Mix </w:t>
      </w:r>
      <w:r w:rsidR="005D2EE8" w:rsidRPr="00CE4349">
        <w:rPr>
          <w:rFonts w:cs="Arial"/>
        </w:rPr>
        <w:t xml:space="preserve">(24 </w:t>
      </w:r>
      <w:r w:rsidRPr="00CE4349">
        <w:rPr>
          <w:rFonts w:cs="Arial"/>
        </w:rPr>
        <w:t>pages</w:t>
      </w:r>
      <w:r w:rsidRPr="00C00B7D">
        <w:rPr>
          <w:rFonts w:cs="Arial"/>
        </w:rPr>
        <w:t>)</w:t>
      </w:r>
    </w:p>
    <w:sectPr w:rsidR="00191509" w:rsidRPr="00D96824" w:rsidSect="00E12B59">
      <w:headerReference w:type="even" r:id="rId15"/>
      <w:headerReference w:type="default" r:id="rId16"/>
      <w:headerReference w:type="first" r:id="rId17"/>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82AF" w16cex:dateUtc="2020-12-16T20:57:00Z"/>
  <w16cex:commentExtensible w16cex:durableId="238482DA" w16cex:dateUtc="2020-12-16T20:58:00Z"/>
  <w16cex:commentExtensible w16cex:durableId="2384830F" w16cex:dateUtc="2020-12-16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65B5" w14:textId="77777777" w:rsidR="002E79C3" w:rsidRDefault="002E79C3" w:rsidP="000E09DC">
      <w:r>
        <w:separator/>
      </w:r>
    </w:p>
  </w:endnote>
  <w:endnote w:type="continuationSeparator" w:id="0">
    <w:p w14:paraId="32F34210" w14:textId="77777777" w:rsidR="002E79C3" w:rsidRDefault="002E79C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464D" w14:textId="77777777" w:rsidR="002E79C3" w:rsidRDefault="002E79C3" w:rsidP="000E09DC">
      <w:r>
        <w:separator/>
      </w:r>
    </w:p>
  </w:footnote>
  <w:footnote w:type="continuationSeparator" w:id="0">
    <w:p w14:paraId="7105289C" w14:textId="77777777" w:rsidR="002E79C3" w:rsidRDefault="002E79C3" w:rsidP="000E09DC">
      <w:r>
        <w:continuationSeparator/>
      </w:r>
    </w:p>
  </w:footnote>
  <w:footnote w:id="1">
    <w:p w14:paraId="31F36375" w14:textId="7F78A34B" w:rsidR="009249B0" w:rsidRPr="00321091" w:rsidRDefault="009249B0" w:rsidP="00321091">
      <w:pPr>
        <w:spacing w:after="240"/>
        <w:ind w:right="720"/>
        <w:jc w:val="both"/>
        <w:rPr>
          <w:rFonts w:ascii="Calibri" w:hAnsi="Calibri"/>
          <w:sz w:val="22"/>
        </w:rPr>
      </w:pPr>
      <w:r>
        <w:rPr>
          <w:rStyle w:val="FootnoteReference"/>
        </w:rPr>
        <w:footnoteRef/>
      </w:r>
      <w:r>
        <w:t xml:space="preserve"> A secondary student that enrolls and completes at least one CTE course.</w:t>
      </w:r>
    </w:p>
  </w:footnote>
  <w:footnote w:id="2">
    <w:p w14:paraId="351F5D7B" w14:textId="77777777" w:rsidR="00C56023" w:rsidRDefault="00C56023" w:rsidP="00C56023">
      <w:pPr>
        <w:spacing w:after="240"/>
        <w:ind w:right="720"/>
        <w:jc w:val="both"/>
      </w:pPr>
      <w:r>
        <w:rPr>
          <w:rStyle w:val="FootnoteReference"/>
        </w:rPr>
        <w:footnoteRef/>
      </w:r>
      <w:r>
        <w:t xml:space="preserve"> A CTE student who completes at least 300 hours of course sequence in an industry pathway, and the sequence includes the capstone course; and the CTE student receives a grade of C- or better in the capstone course.</w:t>
      </w:r>
    </w:p>
    <w:p w14:paraId="0F51FB0C" w14:textId="77777777" w:rsidR="00C56023" w:rsidRDefault="00C56023" w:rsidP="00C560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96CF" w14:textId="77777777" w:rsidR="00E12B59" w:rsidRPr="00AA6EC1" w:rsidRDefault="00E12B59" w:rsidP="00E12B59">
    <w:pPr>
      <w:pStyle w:val="Header"/>
      <w:jc w:val="right"/>
      <w:rPr>
        <w:rFonts w:cs="Arial"/>
      </w:rPr>
    </w:pPr>
    <w:r>
      <w:rPr>
        <w:rFonts w:cs="Arial"/>
      </w:rPr>
      <w:t>cwpjac-nov20item02</w:t>
    </w:r>
  </w:p>
  <w:p w14:paraId="3F579CAF" w14:textId="0F463E93" w:rsidR="00E12B59" w:rsidRDefault="00E12B5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861B" w14:textId="7092C944" w:rsidR="00E12B59" w:rsidRPr="00AA6EC1" w:rsidRDefault="00E12B59" w:rsidP="00E12B59">
    <w:pPr>
      <w:pStyle w:val="Header"/>
      <w:jc w:val="right"/>
      <w:rPr>
        <w:rFonts w:cs="Arial"/>
      </w:rPr>
    </w:pPr>
    <w:r>
      <w:rPr>
        <w:rFonts w:cs="Arial"/>
      </w:rPr>
      <w:t>cwpjac-</w:t>
    </w:r>
    <w:r w:rsidR="00A77523">
      <w:rPr>
        <w:rFonts w:cs="Arial"/>
      </w:rPr>
      <w:t>jan21</w:t>
    </w:r>
    <w:r>
      <w:rPr>
        <w:rFonts w:cs="Arial"/>
      </w:rPr>
      <w:t>item0</w:t>
    </w:r>
    <w:r w:rsidR="00BF2277">
      <w:rPr>
        <w:rFonts w:cs="Arial"/>
      </w:rPr>
      <w:t>3</w:t>
    </w:r>
  </w:p>
  <w:p w14:paraId="14C6EC6A" w14:textId="12F9CF5A" w:rsidR="00D7489A" w:rsidRPr="00E12B59" w:rsidRDefault="00E12B5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46138B">
      <w:rPr>
        <w:rFonts w:cs="Arial"/>
        <w:bCs/>
        <w:noProof/>
      </w:rPr>
      <w:t>8</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46138B">
      <w:rPr>
        <w:rFonts w:cs="Arial"/>
        <w:bCs/>
        <w:noProof/>
      </w:rPr>
      <w:t>8</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B599" w14:textId="77777777" w:rsidR="00D7489A" w:rsidRDefault="00D7489A" w:rsidP="003A0CCA">
    <w:pPr>
      <w:pStyle w:val="Header"/>
      <w:jc w:val="right"/>
      <w:rPr>
        <w:rFonts w:cs="Arial"/>
      </w:rPr>
    </w:pPr>
    <w:r>
      <w:rPr>
        <w:rFonts w:cs="Arial"/>
      </w:rPr>
      <w:t>California Workforce Pathways Joint Advisory Committee</w:t>
    </w:r>
  </w:p>
  <w:p w14:paraId="7E2CAC02" w14:textId="7A51FE7B" w:rsidR="00D7489A" w:rsidRPr="00AA6EC1" w:rsidRDefault="00D7489A" w:rsidP="003A0CCA">
    <w:pPr>
      <w:pStyle w:val="Header"/>
      <w:jc w:val="right"/>
      <w:rPr>
        <w:rFonts w:cs="Arial"/>
      </w:rPr>
    </w:pPr>
    <w:r>
      <w:rPr>
        <w:rFonts w:cs="Arial"/>
      </w:rPr>
      <w:t>cwpjac-</w:t>
    </w:r>
    <w:r w:rsidR="00A77523">
      <w:rPr>
        <w:rFonts w:cs="Arial"/>
      </w:rPr>
      <w:t>jan21</w:t>
    </w:r>
    <w:r>
      <w:rPr>
        <w:rFonts w:cs="Arial"/>
      </w:rPr>
      <w:t>item0</w:t>
    </w:r>
    <w:r w:rsidR="00A77523">
      <w:rPr>
        <w:rFonts w:cs="Arial"/>
      </w:rPr>
      <w:t>3</w:t>
    </w:r>
  </w:p>
  <w:p w14:paraId="12CFCBA1" w14:textId="77777777" w:rsidR="00D7489A" w:rsidRDefault="00D7489A"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46138B">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46138B">
      <w:rPr>
        <w:rFonts w:cs="Arial"/>
        <w:bCs/>
        <w:noProof/>
      </w:rPr>
      <w:t>8</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809"/>
    <w:multiLevelType w:val="hybridMultilevel"/>
    <w:tmpl w:val="99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214ED"/>
    <w:multiLevelType w:val="hybridMultilevel"/>
    <w:tmpl w:val="E54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F630A8"/>
    <w:multiLevelType w:val="hybridMultilevel"/>
    <w:tmpl w:val="ADA2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25AE3"/>
    <w:multiLevelType w:val="hybridMultilevel"/>
    <w:tmpl w:val="F7C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1"/>
  </w:num>
  <w:num w:numId="4">
    <w:abstractNumId w:val="23"/>
  </w:num>
  <w:num w:numId="5">
    <w:abstractNumId w:val="27"/>
  </w:num>
  <w:num w:numId="6">
    <w:abstractNumId w:val="3"/>
  </w:num>
  <w:num w:numId="7">
    <w:abstractNumId w:val="14"/>
  </w:num>
  <w:num w:numId="8">
    <w:abstractNumId w:val="4"/>
  </w:num>
  <w:num w:numId="9">
    <w:abstractNumId w:val="30"/>
  </w:num>
  <w:num w:numId="10">
    <w:abstractNumId w:val="31"/>
  </w:num>
  <w:num w:numId="11">
    <w:abstractNumId w:val="10"/>
  </w:num>
  <w:num w:numId="12">
    <w:abstractNumId w:val="7"/>
  </w:num>
  <w:num w:numId="13">
    <w:abstractNumId w:val="6"/>
  </w:num>
  <w:num w:numId="14">
    <w:abstractNumId w:val="17"/>
  </w:num>
  <w:num w:numId="15">
    <w:abstractNumId w:val="13"/>
  </w:num>
  <w:num w:numId="16">
    <w:abstractNumId w:val="19"/>
  </w:num>
  <w:num w:numId="17">
    <w:abstractNumId w:val="32"/>
  </w:num>
  <w:num w:numId="18">
    <w:abstractNumId w:val="24"/>
  </w:num>
  <w:num w:numId="19">
    <w:abstractNumId w:val="12"/>
  </w:num>
  <w:num w:numId="20">
    <w:abstractNumId w:val="1"/>
  </w:num>
  <w:num w:numId="21">
    <w:abstractNumId w:val="5"/>
  </w:num>
  <w:num w:numId="22">
    <w:abstractNumId w:val="8"/>
  </w:num>
  <w:num w:numId="23">
    <w:abstractNumId w:val="20"/>
  </w:num>
  <w:num w:numId="24">
    <w:abstractNumId w:val="26"/>
  </w:num>
  <w:num w:numId="25">
    <w:abstractNumId w:val="28"/>
  </w:num>
  <w:num w:numId="26">
    <w:abstractNumId w:val="18"/>
  </w:num>
  <w:num w:numId="27">
    <w:abstractNumId w:val="2"/>
  </w:num>
  <w:num w:numId="28">
    <w:abstractNumId w:val="21"/>
  </w:num>
  <w:num w:numId="29">
    <w:abstractNumId w:val="22"/>
  </w:num>
  <w:num w:numId="30">
    <w:abstractNumId w:val="0"/>
  </w:num>
  <w:num w:numId="31">
    <w:abstractNumId w:val="25"/>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0F89"/>
    <w:rsid w:val="000027EE"/>
    <w:rsid w:val="00002A89"/>
    <w:rsid w:val="000040D5"/>
    <w:rsid w:val="000067A8"/>
    <w:rsid w:val="0001303B"/>
    <w:rsid w:val="00014370"/>
    <w:rsid w:val="00020B59"/>
    <w:rsid w:val="0002235C"/>
    <w:rsid w:val="000324AD"/>
    <w:rsid w:val="0003321E"/>
    <w:rsid w:val="000334CD"/>
    <w:rsid w:val="000401C9"/>
    <w:rsid w:val="000435B8"/>
    <w:rsid w:val="00046EE9"/>
    <w:rsid w:val="000578FF"/>
    <w:rsid w:val="000621AF"/>
    <w:rsid w:val="00062765"/>
    <w:rsid w:val="00062D3F"/>
    <w:rsid w:val="00063275"/>
    <w:rsid w:val="00067290"/>
    <w:rsid w:val="000705EA"/>
    <w:rsid w:val="00073372"/>
    <w:rsid w:val="0007451A"/>
    <w:rsid w:val="00074805"/>
    <w:rsid w:val="00086B7F"/>
    <w:rsid w:val="00093974"/>
    <w:rsid w:val="00093BF4"/>
    <w:rsid w:val="00094714"/>
    <w:rsid w:val="00096CA8"/>
    <w:rsid w:val="00097B08"/>
    <w:rsid w:val="000A05A6"/>
    <w:rsid w:val="000A136F"/>
    <w:rsid w:val="000A2787"/>
    <w:rsid w:val="000A746C"/>
    <w:rsid w:val="000B0905"/>
    <w:rsid w:val="000B1226"/>
    <w:rsid w:val="000B5C2B"/>
    <w:rsid w:val="000C1D49"/>
    <w:rsid w:val="000C3068"/>
    <w:rsid w:val="000C5DCF"/>
    <w:rsid w:val="000C63B6"/>
    <w:rsid w:val="000C6E48"/>
    <w:rsid w:val="000D3591"/>
    <w:rsid w:val="000D35C8"/>
    <w:rsid w:val="000D7D6D"/>
    <w:rsid w:val="000E09DC"/>
    <w:rsid w:val="000E11D9"/>
    <w:rsid w:val="000E57F5"/>
    <w:rsid w:val="000F03CE"/>
    <w:rsid w:val="000F225D"/>
    <w:rsid w:val="000F2A7C"/>
    <w:rsid w:val="000F3DCA"/>
    <w:rsid w:val="000F4F6F"/>
    <w:rsid w:val="000F7B5E"/>
    <w:rsid w:val="00101CBB"/>
    <w:rsid w:val="001048F3"/>
    <w:rsid w:val="00106476"/>
    <w:rsid w:val="0010668C"/>
    <w:rsid w:val="00106AFB"/>
    <w:rsid w:val="00112E7B"/>
    <w:rsid w:val="00115A04"/>
    <w:rsid w:val="001170AB"/>
    <w:rsid w:val="00121964"/>
    <w:rsid w:val="0012347A"/>
    <w:rsid w:val="00124A50"/>
    <w:rsid w:val="00130059"/>
    <w:rsid w:val="001329B0"/>
    <w:rsid w:val="00135768"/>
    <w:rsid w:val="00137F11"/>
    <w:rsid w:val="00140E69"/>
    <w:rsid w:val="0014120C"/>
    <w:rsid w:val="00141C23"/>
    <w:rsid w:val="001438C4"/>
    <w:rsid w:val="00143D14"/>
    <w:rsid w:val="00144DF4"/>
    <w:rsid w:val="001472F4"/>
    <w:rsid w:val="00157690"/>
    <w:rsid w:val="001626F1"/>
    <w:rsid w:val="00164061"/>
    <w:rsid w:val="00164C5A"/>
    <w:rsid w:val="00167017"/>
    <w:rsid w:val="00167E35"/>
    <w:rsid w:val="001721C9"/>
    <w:rsid w:val="00172323"/>
    <w:rsid w:val="001731F3"/>
    <w:rsid w:val="0017400C"/>
    <w:rsid w:val="00180C36"/>
    <w:rsid w:val="00180C75"/>
    <w:rsid w:val="0018148D"/>
    <w:rsid w:val="001814FC"/>
    <w:rsid w:val="001825ED"/>
    <w:rsid w:val="001828D0"/>
    <w:rsid w:val="00191509"/>
    <w:rsid w:val="00194775"/>
    <w:rsid w:val="00194D47"/>
    <w:rsid w:val="00195E52"/>
    <w:rsid w:val="001A0CA5"/>
    <w:rsid w:val="001A12B0"/>
    <w:rsid w:val="001A53C0"/>
    <w:rsid w:val="001B0EF5"/>
    <w:rsid w:val="001B33BC"/>
    <w:rsid w:val="001B3958"/>
    <w:rsid w:val="001B67DD"/>
    <w:rsid w:val="001C27A1"/>
    <w:rsid w:val="001C280A"/>
    <w:rsid w:val="001C3DC0"/>
    <w:rsid w:val="001C48C1"/>
    <w:rsid w:val="001C4C02"/>
    <w:rsid w:val="001C4D24"/>
    <w:rsid w:val="001D0408"/>
    <w:rsid w:val="001D138A"/>
    <w:rsid w:val="001D1BCA"/>
    <w:rsid w:val="001D5632"/>
    <w:rsid w:val="001D6903"/>
    <w:rsid w:val="001E01E9"/>
    <w:rsid w:val="001E1929"/>
    <w:rsid w:val="001F0B57"/>
    <w:rsid w:val="001F3D3F"/>
    <w:rsid w:val="001F7470"/>
    <w:rsid w:val="00200F27"/>
    <w:rsid w:val="00202B99"/>
    <w:rsid w:val="0020468C"/>
    <w:rsid w:val="00205533"/>
    <w:rsid w:val="0020696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40B26"/>
    <w:rsid w:val="0024129C"/>
    <w:rsid w:val="00243C5F"/>
    <w:rsid w:val="00246406"/>
    <w:rsid w:val="0025363B"/>
    <w:rsid w:val="0026062D"/>
    <w:rsid w:val="00267499"/>
    <w:rsid w:val="00267828"/>
    <w:rsid w:val="002717C0"/>
    <w:rsid w:val="002722A8"/>
    <w:rsid w:val="0027284B"/>
    <w:rsid w:val="0028059B"/>
    <w:rsid w:val="00285BBA"/>
    <w:rsid w:val="002867FD"/>
    <w:rsid w:val="00286F20"/>
    <w:rsid w:val="00290809"/>
    <w:rsid w:val="00290E57"/>
    <w:rsid w:val="00293EAB"/>
    <w:rsid w:val="00294379"/>
    <w:rsid w:val="00296542"/>
    <w:rsid w:val="00296BE7"/>
    <w:rsid w:val="00297C98"/>
    <w:rsid w:val="002A02CB"/>
    <w:rsid w:val="002A0728"/>
    <w:rsid w:val="002A666E"/>
    <w:rsid w:val="002A7086"/>
    <w:rsid w:val="002B0B00"/>
    <w:rsid w:val="002B1524"/>
    <w:rsid w:val="002B278B"/>
    <w:rsid w:val="002B4B14"/>
    <w:rsid w:val="002C0F58"/>
    <w:rsid w:val="002C5BE9"/>
    <w:rsid w:val="002C68E1"/>
    <w:rsid w:val="002C6CF7"/>
    <w:rsid w:val="002C7F6C"/>
    <w:rsid w:val="002D13AD"/>
    <w:rsid w:val="002D1A82"/>
    <w:rsid w:val="002D7DA4"/>
    <w:rsid w:val="002E0B94"/>
    <w:rsid w:val="002E1B69"/>
    <w:rsid w:val="002E30CC"/>
    <w:rsid w:val="002E315D"/>
    <w:rsid w:val="002E4CB5"/>
    <w:rsid w:val="002E54A3"/>
    <w:rsid w:val="002E6FCA"/>
    <w:rsid w:val="002E79C3"/>
    <w:rsid w:val="002F1DAE"/>
    <w:rsid w:val="002F279B"/>
    <w:rsid w:val="002F3981"/>
    <w:rsid w:val="00302948"/>
    <w:rsid w:val="00303123"/>
    <w:rsid w:val="003047A0"/>
    <w:rsid w:val="00304C3F"/>
    <w:rsid w:val="00311725"/>
    <w:rsid w:val="00311776"/>
    <w:rsid w:val="00313541"/>
    <w:rsid w:val="003140AF"/>
    <w:rsid w:val="003141EF"/>
    <w:rsid w:val="00315131"/>
    <w:rsid w:val="00321091"/>
    <w:rsid w:val="00323795"/>
    <w:rsid w:val="00324B8B"/>
    <w:rsid w:val="00325F59"/>
    <w:rsid w:val="00330624"/>
    <w:rsid w:val="003311CD"/>
    <w:rsid w:val="00331A2F"/>
    <w:rsid w:val="00333C81"/>
    <w:rsid w:val="00337F11"/>
    <w:rsid w:val="00341CE3"/>
    <w:rsid w:val="00343E81"/>
    <w:rsid w:val="00346E58"/>
    <w:rsid w:val="00347FBF"/>
    <w:rsid w:val="00357037"/>
    <w:rsid w:val="003627EA"/>
    <w:rsid w:val="00362E36"/>
    <w:rsid w:val="00363520"/>
    <w:rsid w:val="0036578A"/>
    <w:rsid w:val="003663C4"/>
    <w:rsid w:val="003666D8"/>
    <w:rsid w:val="003705FC"/>
    <w:rsid w:val="00371ED1"/>
    <w:rsid w:val="00373030"/>
    <w:rsid w:val="0037413D"/>
    <w:rsid w:val="00382CE5"/>
    <w:rsid w:val="00383464"/>
    <w:rsid w:val="00383A23"/>
    <w:rsid w:val="00384ACF"/>
    <w:rsid w:val="00384B74"/>
    <w:rsid w:val="00386C2E"/>
    <w:rsid w:val="003942E6"/>
    <w:rsid w:val="0039556E"/>
    <w:rsid w:val="00396705"/>
    <w:rsid w:val="003A0CCA"/>
    <w:rsid w:val="003A4A81"/>
    <w:rsid w:val="003A60F9"/>
    <w:rsid w:val="003A6A84"/>
    <w:rsid w:val="003A74FC"/>
    <w:rsid w:val="003B0B17"/>
    <w:rsid w:val="003B101D"/>
    <w:rsid w:val="003B11CA"/>
    <w:rsid w:val="003B37A0"/>
    <w:rsid w:val="003B4154"/>
    <w:rsid w:val="003B6254"/>
    <w:rsid w:val="003C2049"/>
    <w:rsid w:val="003C760A"/>
    <w:rsid w:val="003C79E6"/>
    <w:rsid w:val="003D1ECD"/>
    <w:rsid w:val="003D2FED"/>
    <w:rsid w:val="003E0AFD"/>
    <w:rsid w:val="003E145E"/>
    <w:rsid w:val="003E1E8D"/>
    <w:rsid w:val="003E32E3"/>
    <w:rsid w:val="003E4DF7"/>
    <w:rsid w:val="003E7EEC"/>
    <w:rsid w:val="003F1C66"/>
    <w:rsid w:val="003F2DB6"/>
    <w:rsid w:val="003F4814"/>
    <w:rsid w:val="003F7CD4"/>
    <w:rsid w:val="00401EBD"/>
    <w:rsid w:val="0040468B"/>
    <w:rsid w:val="00406DAD"/>
    <w:rsid w:val="00406F50"/>
    <w:rsid w:val="00407E9B"/>
    <w:rsid w:val="004107D0"/>
    <w:rsid w:val="00413683"/>
    <w:rsid w:val="00413962"/>
    <w:rsid w:val="00413B6D"/>
    <w:rsid w:val="0041680C"/>
    <w:rsid w:val="00417B39"/>
    <w:rsid w:val="004203BC"/>
    <w:rsid w:val="004207DC"/>
    <w:rsid w:val="00430B32"/>
    <w:rsid w:val="004319E4"/>
    <w:rsid w:val="004325CA"/>
    <w:rsid w:val="00432E90"/>
    <w:rsid w:val="00433DD0"/>
    <w:rsid w:val="00434163"/>
    <w:rsid w:val="00434ED0"/>
    <w:rsid w:val="004354F4"/>
    <w:rsid w:val="00437684"/>
    <w:rsid w:val="00444B95"/>
    <w:rsid w:val="00444FA3"/>
    <w:rsid w:val="0044670C"/>
    <w:rsid w:val="00447742"/>
    <w:rsid w:val="00453038"/>
    <w:rsid w:val="00454BB1"/>
    <w:rsid w:val="0046138B"/>
    <w:rsid w:val="004629B0"/>
    <w:rsid w:val="00463A90"/>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1A3C"/>
    <w:rsid w:val="0049399F"/>
    <w:rsid w:val="00496759"/>
    <w:rsid w:val="004A3A16"/>
    <w:rsid w:val="004A3BD0"/>
    <w:rsid w:val="004A5801"/>
    <w:rsid w:val="004A7060"/>
    <w:rsid w:val="004A76DC"/>
    <w:rsid w:val="004B376F"/>
    <w:rsid w:val="004B5510"/>
    <w:rsid w:val="004C20C0"/>
    <w:rsid w:val="004C301B"/>
    <w:rsid w:val="004C3487"/>
    <w:rsid w:val="004C57F7"/>
    <w:rsid w:val="004D2954"/>
    <w:rsid w:val="004D2A97"/>
    <w:rsid w:val="004D2CBC"/>
    <w:rsid w:val="004D46CB"/>
    <w:rsid w:val="004E029B"/>
    <w:rsid w:val="004E74CA"/>
    <w:rsid w:val="004F1080"/>
    <w:rsid w:val="004F2C82"/>
    <w:rsid w:val="004F4579"/>
    <w:rsid w:val="004F6259"/>
    <w:rsid w:val="004F7AB4"/>
    <w:rsid w:val="00501310"/>
    <w:rsid w:val="00501703"/>
    <w:rsid w:val="00502181"/>
    <w:rsid w:val="00504F7D"/>
    <w:rsid w:val="00505853"/>
    <w:rsid w:val="0050768D"/>
    <w:rsid w:val="00510FED"/>
    <w:rsid w:val="00512CAA"/>
    <w:rsid w:val="00512D98"/>
    <w:rsid w:val="00515E00"/>
    <w:rsid w:val="00516B6E"/>
    <w:rsid w:val="00516F52"/>
    <w:rsid w:val="00517C00"/>
    <w:rsid w:val="00517C64"/>
    <w:rsid w:val="00525296"/>
    <w:rsid w:val="00526679"/>
    <w:rsid w:val="00527B0E"/>
    <w:rsid w:val="005354DD"/>
    <w:rsid w:val="00540670"/>
    <w:rsid w:val="00543A49"/>
    <w:rsid w:val="0054640F"/>
    <w:rsid w:val="005466A4"/>
    <w:rsid w:val="00547894"/>
    <w:rsid w:val="00550B91"/>
    <w:rsid w:val="005531EC"/>
    <w:rsid w:val="00553ABA"/>
    <w:rsid w:val="00555C92"/>
    <w:rsid w:val="00555CC5"/>
    <w:rsid w:val="00557D10"/>
    <w:rsid w:val="00560FE3"/>
    <w:rsid w:val="00562413"/>
    <w:rsid w:val="0056668F"/>
    <w:rsid w:val="005705A5"/>
    <w:rsid w:val="00570D75"/>
    <w:rsid w:val="0057128D"/>
    <w:rsid w:val="005727BD"/>
    <w:rsid w:val="0057351F"/>
    <w:rsid w:val="005859C2"/>
    <w:rsid w:val="00585CC0"/>
    <w:rsid w:val="00586F79"/>
    <w:rsid w:val="00587A1D"/>
    <w:rsid w:val="0059193D"/>
    <w:rsid w:val="0059735B"/>
    <w:rsid w:val="005A3D23"/>
    <w:rsid w:val="005A776D"/>
    <w:rsid w:val="005B18B3"/>
    <w:rsid w:val="005B328C"/>
    <w:rsid w:val="005B4A8A"/>
    <w:rsid w:val="005B53A0"/>
    <w:rsid w:val="005B5FF9"/>
    <w:rsid w:val="005B7B1C"/>
    <w:rsid w:val="005C04D5"/>
    <w:rsid w:val="005C2D5A"/>
    <w:rsid w:val="005C407C"/>
    <w:rsid w:val="005C4645"/>
    <w:rsid w:val="005D0467"/>
    <w:rsid w:val="005D2A3B"/>
    <w:rsid w:val="005D2EE8"/>
    <w:rsid w:val="005D3564"/>
    <w:rsid w:val="005D44F8"/>
    <w:rsid w:val="005E2F1D"/>
    <w:rsid w:val="005E7340"/>
    <w:rsid w:val="005F4019"/>
    <w:rsid w:val="005F41A2"/>
    <w:rsid w:val="005F590E"/>
    <w:rsid w:val="005F7611"/>
    <w:rsid w:val="00600842"/>
    <w:rsid w:val="00601378"/>
    <w:rsid w:val="00601C4A"/>
    <w:rsid w:val="006033A0"/>
    <w:rsid w:val="006034C8"/>
    <w:rsid w:val="00604843"/>
    <w:rsid w:val="00605707"/>
    <w:rsid w:val="0060576F"/>
    <w:rsid w:val="0060622D"/>
    <w:rsid w:val="00606403"/>
    <w:rsid w:val="0061272B"/>
    <w:rsid w:val="006142FF"/>
    <w:rsid w:val="0061717F"/>
    <w:rsid w:val="0062025C"/>
    <w:rsid w:val="006263B1"/>
    <w:rsid w:val="00627626"/>
    <w:rsid w:val="00633411"/>
    <w:rsid w:val="0063446F"/>
    <w:rsid w:val="00641BC4"/>
    <w:rsid w:val="0064436F"/>
    <w:rsid w:val="0064744D"/>
    <w:rsid w:val="00653359"/>
    <w:rsid w:val="006553BA"/>
    <w:rsid w:val="006560B3"/>
    <w:rsid w:val="00657100"/>
    <w:rsid w:val="00665786"/>
    <w:rsid w:val="00670BE9"/>
    <w:rsid w:val="00671363"/>
    <w:rsid w:val="0067247F"/>
    <w:rsid w:val="006756BC"/>
    <w:rsid w:val="00677419"/>
    <w:rsid w:val="0068567F"/>
    <w:rsid w:val="006902E0"/>
    <w:rsid w:val="00692300"/>
    <w:rsid w:val="00693094"/>
    <w:rsid w:val="00693951"/>
    <w:rsid w:val="00696B59"/>
    <w:rsid w:val="0069737A"/>
    <w:rsid w:val="006A3829"/>
    <w:rsid w:val="006A4E4D"/>
    <w:rsid w:val="006A5099"/>
    <w:rsid w:val="006B09DA"/>
    <w:rsid w:val="006B185B"/>
    <w:rsid w:val="006B2111"/>
    <w:rsid w:val="006B324B"/>
    <w:rsid w:val="006B42A6"/>
    <w:rsid w:val="006B68B7"/>
    <w:rsid w:val="006B6BD9"/>
    <w:rsid w:val="006B76D1"/>
    <w:rsid w:val="006C2404"/>
    <w:rsid w:val="006C6310"/>
    <w:rsid w:val="006C6AD4"/>
    <w:rsid w:val="006D0223"/>
    <w:rsid w:val="006D1A68"/>
    <w:rsid w:val="006D1CEF"/>
    <w:rsid w:val="006D3598"/>
    <w:rsid w:val="006D3B36"/>
    <w:rsid w:val="006D70A4"/>
    <w:rsid w:val="006E06C6"/>
    <w:rsid w:val="006E083B"/>
    <w:rsid w:val="006E0F99"/>
    <w:rsid w:val="006E302A"/>
    <w:rsid w:val="006E3F2A"/>
    <w:rsid w:val="006E7481"/>
    <w:rsid w:val="006E79FF"/>
    <w:rsid w:val="006F05A3"/>
    <w:rsid w:val="006F1584"/>
    <w:rsid w:val="006F1B7F"/>
    <w:rsid w:val="006F58C8"/>
    <w:rsid w:val="00700F50"/>
    <w:rsid w:val="0070130C"/>
    <w:rsid w:val="00702A82"/>
    <w:rsid w:val="007032BD"/>
    <w:rsid w:val="0070334E"/>
    <w:rsid w:val="007051E8"/>
    <w:rsid w:val="007117F6"/>
    <w:rsid w:val="007127CF"/>
    <w:rsid w:val="007129A9"/>
    <w:rsid w:val="00712D5B"/>
    <w:rsid w:val="007159C8"/>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1DA4"/>
    <w:rsid w:val="007428B8"/>
    <w:rsid w:val="00743245"/>
    <w:rsid w:val="00746164"/>
    <w:rsid w:val="007475B7"/>
    <w:rsid w:val="00752071"/>
    <w:rsid w:val="007541F2"/>
    <w:rsid w:val="00754D9E"/>
    <w:rsid w:val="0075603A"/>
    <w:rsid w:val="00760008"/>
    <w:rsid w:val="00760937"/>
    <w:rsid w:val="0076439B"/>
    <w:rsid w:val="00764C25"/>
    <w:rsid w:val="00774050"/>
    <w:rsid w:val="00780BB6"/>
    <w:rsid w:val="00780D78"/>
    <w:rsid w:val="0078320F"/>
    <w:rsid w:val="00783F32"/>
    <w:rsid w:val="00785202"/>
    <w:rsid w:val="007866CC"/>
    <w:rsid w:val="0078733C"/>
    <w:rsid w:val="00790810"/>
    <w:rsid w:val="00791042"/>
    <w:rsid w:val="00793FD2"/>
    <w:rsid w:val="0079698A"/>
    <w:rsid w:val="00796B12"/>
    <w:rsid w:val="007A1FCC"/>
    <w:rsid w:val="007A7605"/>
    <w:rsid w:val="007A7A5E"/>
    <w:rsid w:val="007B0102"/>
    <w:rsid w:val="007B12FA"/>
    <w:rsid w:val="007B19E0"/>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390B"/>
    <w:rsid w:val="007F3A41"/>
    <w:rsid w:val="007F419D"/>
    <w:rsid w:val="00801A7A"/>
    <w:rsid w:val="00807AE4"/>
    <w:rsid w:val="00811CEB"/>
    <w:rsid w:val="0081409D"/>
    <w:rsid w:val="00815B74"/>
    <w:rsid w:val="008165D1"/>
    <w:rsid w:val="008262CC"/>
    <w:rsid w:val="0082774A"/>
    <w:rsid w:val="00827E27"/>
    <w:rsid w:val="00827F39"/>
    <w:rsid w:val="008301CE"/>
    <w:rsid w:val="00830417"/>
    <w:rsid w:val="00832A5D"/>
    <w:rsid w:val="00837091"/>
    <w:rsid w:val="0083774A"/>
    <w:rsid w:val="008418C7"/>
    <w:rsid w:val="008422FD"/>
    <w:rsid w:val="00842498"/>
    <w:rsid w:val="00851085"/>
    <w:rsid w:val="008529E5"/>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A069A"/>
    <w:rsid w:val="008A1535"/>
    <w:rsid w:val="008A3519"/>
    <w:rsid w:val="008A603B"/>
    <w:rsid w:val="008B34B7"/>
    <w:rsid w:val="008B355F"/>
    <w:rsid w:val="008C0560"/>
    <w:rsid w:val="008C4C7A"/>
    <w:rsid w:val="008C5CCD"/>
    <w:rsid w:val="008C73C6"/>
    <w:rsid w:val="008C7D65"/>
    <w:rsid w:val="008D4CE5"/>
    <w:rsid w:val="008D6B3D"/>
    <w:rsid w:val="008D7E7B"/>
    <w:rsid w:val="008E2C3A"/>
    <w:rsid w:val="008E71B8"/>
    <w:rsid w:val="008F0C94"/>
    <w:rsid w:val="008F151E"/>
    <w:rsid w:val="008F3A2B"/>
    <w:rsid w:val="00900BAB"/>
    <w:rsid w:val="00903224"/>
    <w:rsid w:val="00904EA8"/>
    <w:rsid w:val="0091117B"/>
    <w:rsid w:val="00916BA6"/>
    <w:rsid w:val="00924664"/>
    <w:rsid w:val="009249B0"/>
    <w:rsid w:val="0093189D"/>
    <w:rsid w:val="00932AEE"/>
    <w:rsid w:val="009347A8"/>
    <w:rsid w:val="00935E33"/>
    <w:rsid w:val="00940D4F"/>
    <w:rsid w:val="00943AED"/>
    <w:rsid w:val="00945D79"/>
    <w:rsid w:val="0094755F"/>
    <w:rsid w:val="009533BA"/>
    <w:rsid w:val="00955E39"/>
    <w:rsid w:val="00964C6B"/>
    <w:rsid w:val="00966015"/>
    <w:rsid w:val="00966F4D"/>
    <w:rsid w:val="00967C05"/>
    <w:rsid w:val="0097077C"/>
    <w:rsid w:val="00970D21"/>
    <w:rsid w:val="00970FB0"/>
    <w:rsid w:val="009757CE"/>
    <w:rsid w:val="00980EB5"/>
    <w:rsid w:val="00983709"/>
    <w:rsid w:val="00984558"/>
    <w:rsid w:val="00984BF5"/>
    <w:rsid w:val="00992087"/>
    <w:rsid w:val="009923C9"/>
    <w:rsid w:val="009933A3"/>
    <w:rsid w:val="00993D2E"/>
    <w:rsid w:val="009A143F"/>
    <w:rsid w:val="009A2104"/>
    <w:rsid w:val="009A30B4"/>
    <w:rsid w:val="009A32D9"/>
    <w:rsid w:val="009B02E6"/>
    <w:rsid w:val="009B04E1"/>
    <w:rsid w:val="009B1108"/>
    <w:rsid w:val="009B1C56"/>
    <w:rsid w:val="009B1D61"/>
    <w:rsid w:val="009B3A84"/>
    <w:rsid w:val="009B422C"/>
    <w:rsid w:val="009B43B3"/>
    <w:rsid w:val="009C33AF"/>
    <w:rsid w:val="009C55C9"/>
    <w:rsid w:val="009C6DF0"/>
    <w:rsid w:val="009D5028"/>
    <w:rsid w:val="009D59D9"/>
    <w:rsid w:val="009D652E"/>
    <w:rsid w:val="009E0551"/>
    <w:rsid w:val="009E0AF8"/>
    <w:rsid w:val="009E0F94"/>
    <w:rsid w:val="009E48AA"/>
    <w:rsid w:val="00A0083C"/>
    <w:rsid w:val="00A06ED8"/>
    <w:rsid w:val="00A07F42"/>
    <w:rsid w:val="00A10EBF"/>
    <w:rsid w:val="00A11FF5"/>
    <w:rsid w:val="00A148D8"/>
    <w:rsid w:val="00A14CA6"/>
    <w:rsid w:val="00A16315"/>
    <w:rsid w:val="00A3048B"/>
    <w:rsid w:val="00A307EC"/>
    <w:rsid w:val="00A30B3C"/>
    <w:rsid w:val="00A30F75"/>
    <w:rsid w:val="00A406EA"/>
    <w:rsid w:val="00A41DA3"/>
    <w:rsid w:val="00A42B59"/>
    <w:rsid w:val="00A44021"/>
    <w:rsid w:val="00A44D83"/>
    <w:rsid w:val="00A47F19"/>
    <w:rsid w:val="00A55A35"/>
    <w:rsid w:val="00A60996"/>
    <w:rsid w:val="00A62472"/>
    <w:rsid w:val="00A63624"/>
    <w:rsid w:val="00A703B0"/>
    <w:rsid w:val="00A738D2"/>
    <w:rsid w:val="00A77523"/>
    <w:rsid w:val="00A77C5F"/>
    <w:rsid w:val="00A80653"/>
    <w:rsid w:val="00A80D3C"/>
    <w:rsid w:val="00A83645"/>
    <w:rsid w:val="00A84813"/>
    <w:rsid w:val="00A87356"/>
    <w:rsid w:val="00A90833"/>
    <w:rsid w:val="00A908B6"/>
    <w:rsid w:val="00A910A6"/>
    <w:rsid w:val="00A937F2"/>
    <w:rsid w:val="00A95AC7"/>
    <w:rsid w:val="00A96C70"/>
    <w:rsid w:val="00A970C5"/>
    <w:rsid w:val="00AA018F"/>
    <w:rsid w:val="00AB2FE3"/>
    <w:rsid w:val="00AB3E61"/>
    <w:rsid w:val="00AB47B6"/>
    <w:rsid w:val="00AB6497"/>
    <w:rsid w:val="00AC1C8D"/>
    <w:rsid w:val="00AD1BF8"/>
    <w:rsid w:val="00AD1D9A"/>
    <w:rsid w:val="00AD1E5E"/>
    <w:rsid w:val="00AD1E77"/>
    <w:rsid w:val="00AD489B"/>
    <w:rsid w:val="00AE58A9"/>
    <w:rsid w:val="00AE5D9B"/>
    <w:rsid w:val="00AE6BBC"/>
    <w:rsid w:val="00AE7553"/>
    <w:rsid w:val="00AE7C23"/>
    <w:rsid w:val="00AF0408"/>
    <w:rsid w:val="00AF4B30"/>
    <w:rsid w:val="00AF6366"/>
    <w:rsid w:val="00AF7183"/>
    <w:rsid w:val="00AF7C84"/>
    <w:rsid w:val="00B00D73"/>
    <w:rsid w:val="00B02D60"/>
    <w:rsid w:val="00B03816"/>
    <w:rsid w:val="00B04BD5"/>
    <w:rsid w:val="00B04EFD"/>
    <w:rsid w:val="00B114B5"/>
    <w:rsid w:val="00B11D66"/>
    <w:rsid w:val="00B134F6"/>
    <w:rsid w:val="00B15189"/>
    <w:rsid w:val="00B1634D"/>
    <w:rsid w:val="00B1638D"/>
    <w:rsid w:val="00B218D4"/>
    <w:rsid w:val="00B21CD1"/>
    <w:rsid w:val="00B23416"/>
    <w:rsid w:val="00B2410E"/>
    <w:rsid w:val="00B24609"/>
    <w:rsid w:val="00B255D0"/>
    <w:rsid w:val="00B257FE"/>
    <w:rsid w:val="00B3179B"/>
    <w:rsid w:val="00B40246"/>
    <w:rsid w:val="00B40E8F"/>
    <w:rsid w:val="00B410B7"/>
    <w:rsid w:val="00B434AB"/>
    <w:rsid w:val="00B43AE4"/>
    <w:rsid w:val="00B43F85"/>
    <w:rsid w:val="00B4571C"/>
    <w:rsid w:val="00B46F06"/>
    <w:rsid w:val="00B601C4"/>
    <w:rsid w:val="00B617B2"/>
    <w:rsid w:val="00B65CF0"/>
    <w:rsid w:val="00B65D8C"/>
    <w:rsid w:val="00B6696F"/>
    <w:rsid w:val="00B71EF8"/>
    <w:rsid w:val="00B723BE"/>
    <w:rsid w:val="00B73D87"/>
    <w:rsid w:val="00B7410C"/>
    <w:rsid w:val="00B74290"/>
    <w:rsid w:val="00B75379"/>
    <w:rsid w:val="00B770C1"/>
    <w:rsid w:val="00B8031B"/>
    <w:rsid w:val="00B81267"/>
    <w:rsid w:val="00B817F4"/>
    <w:rsid w:val="00B82705"/>
    <w:rsid w:val="00B85450"/>
    <w:rsid w:val="00B86B44"/>
    <w:rsid w:val="00B87FEC"/>
    <w:rsid w:val="00B91194"/>
    <w:rsid w:val="00B9353F"/>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C1530"/>
    <w:rsid w:val="00BC55DA"/>
    <w:rsid w:val="00BC6620"/>
    <w:rsid w:val="00BC70C9"/>
    <w:rsid w:val="00BD2B0B"/>
    <w:rsid w:val="00BD6334"/>
    <w:rsid w:val="00BD68FE"/>
    <w:rsid w:val="00BE4ED8"/>
    <w:rsid w:val="00BE5EC4"/>
    <w:rsid w:val="00BE712B"/>
    <w:rsid w:val="00BF058E"/>
    <w:rsid w:val="00BF0F85"/>
    <w:rsid w:val="00BF21B6"/>
    <w:rsid w:val="00BF2277"/>
    <w:rsid w:val="00BF67B9"/>
    <w:rsid w:val="00BF7FE2"/>
    <w:rsid w:val="00C00B7D"/>
    <w:rsid w:val="00C0289A"/>
    <w:rsid w:val="00C02EB5"/>
    <w:rsid w:val="00C036C9"/>
    <w:rsid w:val="00C05184"/>
    <w:rsid w:val="00C05A1C"/>
    <w:rsid w:val="00C1016E"/>
    <w:rsid w:val="00C10675"/>
    <w:rsid w:val="00C11AFA"/>
    <w:rsid w:val="00C170A1"/>
    <w:rsid w:val="00C17F5D"/>
    <w:rsid w:val="00C20F6E"/>
    <w:rsid w:val="00C23DEE"/>
    <w:rsid w:val="00C24087"/>
    <w:rsid w:val="00C24D33"/>
    <w:rsid w:val="00C27D57"/>
    <w:rsid w:val="00C27DE6"/>
    <w:rsid w:val="00C30DAE"/>
    <w:rsid w:val="00C33479"/>
    <w:rsid w:val="00C338C7"/>
    <w:rsid w:val="00C33943"/>
    <w:rsid w:val="00C359CA"/>
    <w:rsid w:val="00C405B1"/>
    <w:rsid w:val="00C41281"/>
    <w:rsid w:val="00C41339"/>
    <w:rsid w:val="00C421CE"/>
    <w:rsid w:val="00C458D7"/>
    <w:rsid w:val="00C46A18"/>
    <w:rsid w:val="00C522A3"/>
    <w:rsid w:val="00C54D0A"/>
    <w:rsid w:val="00C56023"/>
    <w:rsid w:val="00C60E0D"/>
    <w:rsid w:val="00C635C8"/>
    <w:rsid w:val="00C70170"/>
    <w:rsid w:val="00C71674"/>
    <w:rsid w:val="00C72AD1"/>
    <w:rsid w:val="00C75201"/>
    <w:rsid w:val="00C77532"/>
    <w:rsid w:val="00C827B3"/>
    <w:rsid w:val="00C82CBA"/>
    <w:rsid w:val="00C87131"/>
    <w:rsid w:val="00C878F7"/>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152"/>
    <w:rsid w:val="00CD391A"/>
    <w:rsid w:val="00CD7FB1"/>
    <w:rsid w:val="00CE0500"/>
    <w:rsid w:val="00CE1C84"/>
    <w:rsid w:val="00CE3317"/>
    <w:rsid w:val="00CE4349"/>
    <w:rsid w:val="00CE676A"/>
    <w:rsid w:val="00CE739E"/>
    <w:rsid w:val="00CF182F"/>
    <w:rsid w:val="00CF1A9B"/>
    <w:rsid w:val="00CF2DD0"/>
    <w:rsid w:val="00CF358E"/>
    <w:rsid w:val="00D01DBB"/>
    <w:rsid w:val="00D03D1F"/>
    <w:rsid w:val="00D0404D"/>
    <w:rsid w:val="00D04236"/>
    <w:rsid w:val="00D12098"/>
    <w:rsid w:val="00D1797A"/>
    <w:rsid w:val="00D25FCD"/>
    <w:rsid w:val="00D307D2"/>
    <w:rsid w:val="00D316CB"/>
    <w:rsid w:val="00D33086"/>
    <w:rsid w:val="00D336F8"/>
    <w:rsid w:val="00D33AF9"/>
    <w:rsid w:val="00D34A99"/>
    <w:rsid w:val="00D36A80"/>
    <w:rsid w:val="00D36E64"/>
    <w:rsid w:val="00D370A0"/>
    <w:rsid w:val="00D43921"/>
    <w:rsid w:val="00D44132"/>
    <w:rsid w:val="00D44972"/>
    <w:rsid w:val="00D47DAB"/>
    <w:rsid w:val="00D5115F"/>
    <w:rsid w:val="00D61502"/>
    <w:rsid w:val="00D62324"/>
    <w:rsid w:val="00D65AF8"/>
    <w:rsid w:val="00D7084C"/>
    <w:rsid w:val="00D70D38"/>
    <w:rsid w:val="00D7184F"/>
    <w:rsid w:val="00D72DD8"/>
    <w:rsid w:val="00D742D3"/>
    <w:rsid w:val="00D7489A"/>
    <w:rsid w:val="00D74A58"/>
    <w:rsid w:val="00D75664"/>
    <w:rsid w:val="00D81928"/>
    <w:rsid w:val="00D81B79"/>
    <w:rsid w:val="00D82C7B"/>
    <w:rsid w:val="00D85512"/>
    <w:rsid w:val="00D8667C"/>
    <w:rsid w:val="00D86AB9"/>
    <w:rsid w:val="00D90C07"/>
    <w:rsid w:val="00D926A5"/>
    <w:rsid w:val="00D928A5"/>
    <w:rsid w:val="00D92BA9"/>
    <w:rsid w:val="00D94794"/>
    <w:rsid w:val="00D94A3B"/>
    <w:rsid w:val="00D96824"/>
    <w:rsid w:val="00DA0FB1"/>
    <w:rsid w:val="00DA62A1"/>
    <w:rsid w:val="00DA7A99"/>
    <w:rsid w:val="00DB20E9"/>
    <w:rsid w:val="00DB4A36"/>
    <w:rsid w:val="00DB4A4C"/>
    <w:rsid w:val="00DB4AD1"/>
    <w:rsid w:val="00DB6876"/>
    <w:rsid w:val="00DB6B17"/>
    <w:rsid w:val="00DB740C"/>
    <w:rsid w:val="00DC3431"/>
    <w:rsid w:val="00DD3C49"/>
    <w:rsid w:val="00DE2AFC"/>
    <w:rsid w:val="00DE3AAE"/>
    <w:rsid w:val="00DE42CF"/>
    <w:rsid w:val="00DE4AD3"/>
    <w:rsid w:val="00DE633B"/>
    <w:rsid w:val="00DF0E99"/>
    <w:rsid w:val="00DF2079"/>
    <w:rsid w:val="00DF2A70"/>
    <w:rsid w:val="00DF6B12"/>
    <w:rsid w:val="00E01464"/>
    <w:rsid w:val="00E024EC"/>
    <w:rsid w:val="00E02DCF"/>
    <w:rsid w:val="00E038E9"/>
    <w:rsid w:val="00E07BA3"/>
    <w:rsid w:val="00E1052C"/>
    <w:rsid w:val="00E12B59"/>
    <w:rsid w:val="00E15CC7"/>
    <w:rsid w:val="00E17B80"/>
    <w:rsid w:val="00E245B7"/>
    <w:rsid w:val="00E27F54"/>
    <w:rsid w:val="00E30228"/>
    <w:rsid w:val="00E32FD1"/>
    <w:rsid w:val="00E34E23"/>
    <w:rsid w:val="00E3618F"/>
    <w:rsid w:val="00E41F38"/>
    <w:rsid w:val="00E420D3"/>
    <w:rsid w:val="00E43F6B"/>
    <w:rsid w:val="00E45F94"/>
    <w:rsid w:val="00E45FE4"/>
    <w:rsid w:val="00E46E60"/>
    <w:rsid w:val="00E506D2"/>
    <w:rsid w:val="00E5637B"/>
    <w:rsid w:val="00E5690D"/>
    <w:rsid w:val="00E56BDF"/>
    <w:rsid w:val="00E578D0"/>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91680"/>
    <w:rsid w:val="00E94D26"/>
    <w:rsid w:val="00E9592E"/>
    <w:rsid w:val="00E97A61"/>
    <w:rsid w:val="00EA050D"/>
    <w:rsid w:val="00EA0CEF"/>
    <w:rsid w:val="00EA7D4F"/>
    <w:rsid w:val="00EB16F7"/>
    <w:rsid w:val="00EB4CE5"/>
    <w:rsid w:val="00EB6E7E"/>
    <w:rsid w:val="00EB7510"/>
    <w:rsid w:val="00EC0250"/>
    <w:rsid w:val="00EC48B1"/>
    <w:rsid w:val="00EC504C"/>
    <w:rsid w:val="00EC5A6F"/>
    <w:rsid w:val="00EC700C"/>
    <w:rsid w:val="00EC7D2A"/>
    <w:rsid w:val="00ED1383"/>
    <w:rsid w:val="00ED1F9D"/>
    <w:rsid w:val="00ED38D6"/>
    <w:rsid w:val="00ED42A8"/>
    <w:rsid w:val="00ED5B28"/>
    <w:rsid w:val="00EE3906"/>
    <w:rsid w:val="00EE4F2A"/>
    <w:rsid w:val="00EE7A32"/>
    <w:rsid w:val="00EE7AEA"/>
    <w:rsid w:val="00EF1FC0"/>
    <w:rsid w:val="00EF5763"/>
    <w:rsid w:val="00EF57C4"/>
    <w:rsid w:val="00F060F0"/>
    <w:rsid w:val="00F1154D"/>
    <w:rsid w:val="00F13DD8"/>
    <w:rsid w:val="00F13ECC"/>
    <w:rsid w:val="00F14305"/>
    <w:rsid w:val="00F16A29"/>
    <w:rsid w:val="00F21C74"/>
    <w:rsid w:val="00F24A9C"/>
    <w:rsid w:val="00F25484"/>
    <w:rsid w:val="00F25602"/>
    <w:rsid w:val="00F26119"/>
    <w:rsid w:val="00F32ED9"/>
    <w:rsid w:val="00F347E0"/>
    <w:rsid w:val="00F40510"/>
    <w:rsid w:val="00F408F3"/>
    <w:rsid w:val="00F46B0E"/>
    <w:rsid w:val="00F54ACB"/>
    <w:rsid w:val="00F5637D"/>
    <w:rsid w:val="00F6155F"/>
    <w:rsid w:val="00F61CBA"/>
    <w:rsid w:val="00F70169"/>
    <w:rsid w:val="00F75E4C"/>
    <w:rsid w:val="00F76DC0"/>
    <w:rsid w:val="00F778D4"/>
    <w:rsid w:val="00F802EF"/>
    <w:rsid w:val="00F814C5"/>
    <w:rsid w:val="00F839B3"/>
    <w:rsid w:val="00F92721"/>
    <w:rsid w:val="00F932A4"/>
    <w:rsid w:val="00F97606"/>
    <w:rsid w:val="00F9769F"/>
    <w:rsid w:val="00FA6A74"/>
    <w:rsid w:val="00FA6E93"/>
    <w:rsid w:val="00FA7613"/>
    <w:rsid w:val="00FB1DF9"/>
    <w:rsid w:val="00FB3236"/>
    <w:rsid w:val="00FB33F9"/>
    <w:rsid w:val="00FB6E97"/>
    <w:rsid w:val="00FC0D7D"/>
    <w:rsid w:val="00FC1F9D"/>
    <w:rsid w:val="00FC1FCE"/>
    <w:rsid w:val="00FC2674"/>
    <w:rsid w:val="00FC73BB"/>
    <w:rsid w:val="00FD059B"/>
    <w:rsid w:val="00FD4D0C"/>
    <w:rsid w:val="00FD5AD8"/>
    <w:rsid w:val="00FD6F32"/>
    <w:rsid w:val="00FD7BA7"/>
    <w:rsid w:val="00FE3007"/>
    <w:rsid w:val="00FE4BD6"/>
    <w:rsid w:val="00FE6531"/>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6880"/>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2">
    <w:name w:val="Grid Table 2"/>
    <w:basedOn w:val="TableNormal"/>
    <w:uiPriority w:val="47"/>
    <w:rsid w:val="005478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3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9033">
      <w:bodyDiv w:val="1"/>
      <w:marLeft w:val="0"/>
      <w:marRight w:val="0"/>
      <w:marTop w:val="0"/>
      <w:marBottom w:val="0"/>
      <w:divBdr>
        <w:top w:val="none" w:sz="0" w:space="0" w:color="auto"/>
        <w:left w:val="none" w:sz="0" w:space="0" w:color="auto"/>
        <w:bottom w:val="none" w:sz="0" w:space="0" w:color="auto"/>
        <w:right w:val="none" w:sz="0" w:space="0" w:color="auto"/>
      </w:divBdr>
    </w:div>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7536">
      <w:bodyDiv w:val="1"/>
      <w:marLeft w:val="0"/>
      <w:marRight w:val="0"/>
      <w:marTop w:val="0"/>
      <w:marBottom w:val="0"/>
      <w:divBdr>
        <w:top w:val="none" w:sz="0" w:space="0" w:color="auto"/>
        <w:left w:val="none" w:sz="0" w:space="0" w:color="auto"/>
        <w:bottom w:val="none" w:sz="0" w:space="0" w:color="auto"/>
        <w:right w:val="none" w:sz="0" w:space="0" w:color="auto"/>
      </w:divBdr>
    </w:div>
    <w:div w:id="335302171">
      <w:bodyDiv w:val="1"/>
      <w:marLeft w:val="0"/>
      <w:marRight w:val="0"/>
      <w:marTop w:val="0"/>
      <w:marBottom w:val="0"/>
      <w:divBdr>
        <w:top w:val="none" w:sz="0" w:space="0" w:color="auto"/>
        <w:left w:val="none" w:sz="0" w:space="0" w:color="auto"/>
        <w:bottom w:val="none" w:sz="0" w:space="0" w:color="auto"/>
        <w:right w:val="none" w:sz="0" w:space="0" w:color="auto"/>
      </w:divBdr>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173767066">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datasystem.wested.org/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3.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8A7DA-9715-4451-8E6F-26CC3DCA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CWPJAC November 2020 Agenda Item 02 - Career Technical Education (CA Dept of Education)</vt:lpstr>
    </vt:vector>
  </TitlesOfParts>
  <Company>CA Department of Education</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2020 Agenda Item 02 - Career Technical Education (CA Dept of Education)</dc:title>
  <dc:subject>California Worforce Pathways Joint Advisory Committee (CWPJAC) Career Technical Education (CTE) Initiatives: Update on CTE Incentive Grant and K-12 Strong Workforce Program and Data Metrics.</dc:subject>
  <dc:creator>Pradeep Kotamraju</dc:creator>
  <cp:keywords/>
  <dc:description/>
  <cp:lastModifiedBy>Christina Rodriguez</cp:lastModifiedBy>
  <cp:revision>27</cp:revision>
  <cp:lastPrinted>2019-01-30T17:24:00Z</cp:lastPrinted>
  <dcterms:created xsi:type="dcterms:W3CDTF">2020-12-17T23:57:00Z</dcterms:created>
  <dcterms:modified xsi:type="dcterms:W3CDTF">2021-01-19T19:20:00Z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