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292FD" w14:textId="77777777" w:rsidR="00A70529" w:rsidRPr="003B0CF6" w:rsidRDefault="00A70529" w:rsidP="009C6230">
      <w:pPr>
        <w:pBdr>
          <w:top w:val="single" w:sz="24" w:space="1" w:color="auto"/>
          <w:left w:val="single" w:sz="24" w:space="4" w:color="auto"/>
          <w:bottom w:val="single" w:sz="24" w:space="1" w:color="auto"/>
          <w:right w:val="single" w:sz="24" w:space="4" w:color="auto"/>
        </w:pBdr>
        <w:spacing w:after="480"/>
        <w:jc w:val="center"/>
        <w:rPr>
          <w:rFonts w:ascii="Arial" w:hAnsi="Arial" w:cs="Arial"/>
          <w:b/>
          <w:bCs/>
          <w:sz w:val="28"/>
          <w:szCs w:val="28"/>
        </w:rPr>
      </w:pPr>
      <w:r w:rsidRPr="003B0CF6">
        <w:rPr>
          <w:rFonts w:ascii="Arial" w:hAnsi="Arial" w:cs="Arial"/>
          <w:b/>
          <w:bCs/>
          <w:sz w:val="28"/>
          <w:szCs w:val="28"/>
        </w:rPr>
        <w:t>California Department of Education</w:t>
      </w:r>
    </w:p>
    <w:p w14:paraId="575D9A7F" w14:textId="62E3249E" w:rsidR="00A70529" w:rsidRPr="003B0CF6" w:rsidRDefault="00A70529" w:rsidP="0028140F">
      <w:pPr>
        <w:pStyle w:val="Heading1"/>
      </w:pPr>
      <w:bookmarkStart w:id="0" w:name="_Toc56495081"/>
      <w:bookmarkStart w:id="1" w:name="_Toc56500266"/>
      <w:bookmarkStart w:id="2" w:name="_Toc97291337"/>
      <w:bookmarkStart w:id="3" w:name="_Toc97511080"/>
      <w:bookmarkStart w:id="4" w:name="_Toc97676853"/>
      <w:bookmarkStart w:id="5" w:name="_Toc116282048"/>
      <w:r w:rsidRPr="003B0CF6">
        <w:t>Report to the</w:t>
      </w:r>
      <w:r w:rsidR="00892278" w:rsidRPr="003B0CF6">
        <w:t xml:space="preserve"> Governor, </w:t>
      </w:r>
      <w:r w:rsidR="003C5FE6">
        <w:t xml:space="preserve">the </w:t>
      </w:r>
      <w:r w:rsidRPr="003B0CF6">
        <w:t>Legislature</w:t>
      </w:r>
      <w:r w:rsidR="00643414" w:rsidRPr="003B0CF6">
        <w:t>, and the</w:t>
      </w:r>
      <w:r w:rsidR="00892278" w:rsidRPr="003B0CF6">
        <w:t xml:space="preserve"> </w:t>
      </w:r>
      <w:r w:rsidR="003D53AC" w:rsidRPr="003B0CF6">
        <w:t>Department of Finance</w:t>
      </w:r>
      <w:r w:rsidRPr="003B0CF6">
        <w:t xml:space="preserve">: </w:t>
      </w:r>
      <w:r w:rsidR="00AE5688">
        <w:t>202</w:t>
      </w:r>
      <w:r w:rsidR="000766B1">
        <w:t>2</w:t>
      </w:r>
      <w:r w:rsidR="00AE5688">
        <w:t>–2</w:t>
      </w:r>
      <w:r w:rsidR="000766B1">
        <w:t>3</w:t>
      </w:r>
      <w:r w:rsidR="00AE5688">
        <w:t xml:space="preserve"> </w:t>
      </w:r>
      <w:r w:rsidR="003D53AC" w:rsidRPr="003B0CF6">
        <w:t xml:space="preserve">Career Technical Education Incentive Grant </w:t>
      </w:r>
      <w:r w:rsidR="00AE5688">
        <w:t>Minimum Eligibility Standards</w:t>
      </w:r>
      <w:r w:rsidR="003D53AC" w:rsidRPr="003B0CF6">
        <w:t xml:space="preserve"> Report</w:t>
      </w:r>
      <w:bookmarkEnd w:id="0"/>
      <w:bookmarkEnd w:id="1"/>
      <w:bookmarkEnd w:id="2"/>
      <w:bookmarkEnd w:id="3"/>
      <w:bookmarkEnd w:id="4"/>
      <w:bookmarkEnd w:id="5"/>
    </w:p>
    <w:p w14:paraId="3CFCE8E2" w14:textId="77777777" w:rsidR="00A70529" w:rsidRPr="003B0CF6" w:rsidRDefault="00155C30" w:rsidP="009C6230">
      <w:pPr>
        <w:pBdr>
          <w:top w:val="single" w:sz="24" w:space="1" w:color="auto"/>
          <w:left w:val="single" w:sz="24" w:space="4" w:color="auto"/>
          <w:bottom w:val="single" w:sz="24" w:space="1" w:color="auto"/>
          <w:right w:val="single" w:sz="24" w:space="4" w:color="auto"/>
        </w:pBdr>
        <w:spacing w:after="720"/>
        <w:jc w:val="center"/>
        <w:rPr>
          <w:rFonts w:ascii="Arial" w:hAnsi="Arial" w:cs="Arial"/>
          <w:b/>
          <w:bCs/>
        </w:rPr>
      </w:pPr>
      <w:r w:rsidRPr="003B0CF6">
        <w:rPr>
          <w:rFonts w:ascii="Arial" w:hAnsi="Arial" w:cs="Arial"/>
          <w:color w:val="C0C0C0"/>
        </w:rPr>
        <w:object w:dxaOrig="5999" w:dyaOrig="5999" w14:anchorId="2B444C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tate of California Department of Education Seal" style="width:179.5pt;height:179.5pt" o:ole="">
            <v:imagedata r:id="rId8" o:title=""/>
          </v:shape>
          <o:OLEObject Type="Embed" ProgID="MSPhotoEd.3" ShapeID="_x0000_i1025" DrawAspect="Content" ObjectID="_1737191827" r:id="rId9"/>
        </w:object>
      </w:r>
    </w:p>
    <w:p w14:paraId="4D7EEB69" w14:textId="77777777" w:rsidR="00A70529" w:rsidRPr="003B0CF6" w:rsidRDefault="00A70529" w:rsidP="009C6230">
      <w:pPr>
        <w:pBdr>
          <w:top w:val="single" w:sz="24" w:space="1" w:color="auto"/>
          <w:left w:val="single" w:sz="24" w:space="4" w:color="auto"/>
          <w:bottom w:val="single" w:sz="24" w:space="1" w:color="auto"/>
          <w:right w:val="single" w:sz="24" w:space="4" w:color="auto"/>
        </w:pBdr>
        <w:spacing w:after="240"/>
        <w:jc w:val="center"/>
        <w:rPr>
          <w:rFonts w:ascii="Arial" w:hAnsi="Arial" w:cs="Arial"/>
          <w:b/>
          <w:bCs/>
        </w:rPr>
      </w:pPr>
      <w:r w:rsidRPr="003B0CF6">
        <w:rPr>
          <w:rFonts w:ascii="Arial" w:hAnsi="Arial" w:cs="Arial"/>
          <w:b/>
          <w:bCs/>
          <w:iCs/>
        </w:rPr>
        <w:t>Prepared by:</w:t>
      </w:r>
    </w:p>
    <w:p w14:paraId="1919F5A9" w14:textId="77777777" w:rsidR="00A70529" w:rsidRPr="003B0CF6" w:rsidRDefault="003D53AC" w:rsidP="00A70529">
      <w:pPr>
        <w:pBdr>
          <w:top w:val="single" w:sz="24" w:space="1" w:color="auto"/>
          <w:left w:val="single" w:sz="24" w:space="4" w:color="auto"/>
          <w:bottom w:val="single" w:sz="24" w:space="1" w:color="auto"/>
          <w:right w:val="single" w:sz="24" w:space="4" w:color="auto"/>
        </w:pBdr>
        <w:jc w:val="center"/>
        <w:rPr>
          <w:rFonts w:ascii="Arial" w:hAnsi="Arial" w:cs="Arial"/>
          <w:b/>
          <w:bCs/>
          <w:sz w:val="28"/>
          <w:szCs w:val="28"/>
        </w:rPr>
      </w:pPr>
      <w:r w:rsidRPr="003B0CF6">
        <w:rPr>
          <w:rFonts w:ascii="Arial" w:hAnsi="Arial" w:cs="Arial"/>
          <w:b/>
          <w:bCs/>
          <w:sz w:val="28"/>
          <w:szCs w:val="28"/>
        </w:rPr>
        <w:t>Career and College Transition Division</w:t>
      </w:r>
    </w:p>
    <w:p w14:paraId="13F2180F" w14:textId="5D1E1821" w:rsidR="00A70529" w:rsidRPr="003B0CF6" w:rsidRDefault="00B73E36" w:rsidP="009C6230">
      <w:pPr>
        <w:pBdr>
          <w:top w:val="single" w:sz="24" w:space="1" w:color="auto"/>
          <w:left w:val="single" w:sz="24" w:space="4" w:color="auto"/>
          <w:bottom w:val="single" w:sz="24" w:space="1" w:color="auto"/>
          <w:right w:val="single" w:sz="24" w:space="4" w:color="auto"/>
        </w:pBdr>
        <w:spacing w:after="240"/>
        <w:jc w:val="center"/>
        <w:rPr>
          <w:rFonts w:ascii="Arial" w:hAnsi="Arial" w:cs="Arial"/>
          <w:b/>
          <w:bCs/>
        </w:rPr>
      </w:pPr>
      <w:r w:rsidRPr="00B73E36">
        <w:rPr>
          <w:rFonts w:ascii="Arial" w:hAnsi="Arial" w:cs="Arial"/>
          <w:b/>
          <w:bCs/>
          <w:sz w:val="28"/>
          <w:szCs w:val="28"/>
        </w:rPr>
        <w:t>Student Support Services</w:t>
      </w:r>
      <w:r w:rsidR="00A70529" w:rsidRPr="00B73E36">
        <w:rPr>
          <w:rFonts w:ascii="Arial" w:hAnsi="Arial" w:cs="Arial"/>
          <w:b/>
          <w:bCs/>
          <w:sz w:val="28"/>
          <w:szCs w:val="28"/>
        </w:rPr>
        <w:t xml:space="preserve"> Branch</w:t>
      </w:r>
    </w:p>
    <w:p w14:paraId="4991ABC0" w14:textId="53B177DD" w:rsidR="00A70529" w:rsidRPr="00903EEA" w:rsidRDefault="00F44C0D" w:rsidP="009C6230">
      <w:pPr>
        <w:pBdr>
          <w:top w:val="single" w:sz="24" w:space="1" w:color="auto"/>
          <w:left w:val="single" w:sz="24" w:space="4" w:color="auto"/>
          <w:bottom w:val="single" w:sz="24" w:space="1" w:color="auto"/>
          <w:right w:val="single" w:sz="24" w:space="4" w:color="auto"/>
        </w:pBdr>
        <w:spacing w:after="480"/>
        <w:jc w:val="center"/>
        <w:rPr>
          <w:rFonts w:ascii="Arial" w:hAnsi="Arial" w:cs="Arial"/>
          <w:iCs/>
        </w:rPr>
      </w:pPr>
      <w:r w:rsidRPr="00903EEA">
        <w:rPr>
          <w:rFonts w:ascii="Arial" w:hAnsi="Arial" w:cs="Arial"/>
          <w:iCs/>
        </w:rPr>
        <w:t>January</w:t>
      </w:r>
      <w:r w:rsidR="003D53AC" w:rsidRPr="00903EEA">
        <w:rPr>
          <w:rFonts w:ascii="Arial" w:hAnsi="Arial" w:cs="Arial"/>
          <w:iCs/>
        </w:rPr>
        <w:t xml:space="preserve"> 202</w:t>
      </w:r>
      <w:r w:rsidRPr="00903EEA">
        <w:rPr>
          <w:rFonts w:ascii="Arial" w:hAnsi="Arial" w:cs="Arial"/>
          <w:iCs/>
        </w:rPr>
        <w:t>3</w:t>
      </w:r>
    </w:p>
    <w:p w14:paraId="7476B658" w14:textId="4FB1C9EB" w:rsidR="00A70529" w:rsidRPr="00C54D7A" w:rsidRDefault="00A70529" w:rsidP="00E72647">
      <w:pPr>
        <w:pBdr>
          <w:top w:val="single" w:sz="24" w:space="1" w:color="auto"/>
          <w:left w:val="single" w:sz="24" w:space="4" w:color="auto"/>
          <w:bottom w:val="single" w:sz="24" w:space="1" w:color="auto"/>
          <w:right w:val="single" w:sz="24" w:space="4" w:color="auto"/>
        </w:pBdr>
        <w:spacing w:after="240"/>
        <w:rPr>
          <w:rFonts w:ascii="Arial" w:hAnsi="Arial" w:cs="Arial"/>
          <w:i/>
          <w:lang w:bidi="en-US"/>
        </w:rPr>
      </w:pPr>
      <w:r w:rsidRPr="00C54D7A">
        <w:rPr>
          <w:rFonts w:ascii="Arial" w:hAnsi="Arial" w:cs="Arial"/>
          <w:i/>
          <w:lang w:bidi="en-US"/>
        </w:rPr>
        <w:t>Description</w:t>
      </w:r>
      <w:r w:rsidRPr="00C54D7A">
        <w:rPr>
          <w:rFonts w:ascii="Arial" w:hAnsi="Arial" w:cs="Arial"/>
          <w:lang w:bidi="en-US"/>
        </w:rPr>
        <w:t xml:space="preserve">: </w:t>
      </w:r>
      <w:r w:rsidR="00522622" w:rsidRPr="00C54D7A">
        <w:rPr>
          <w:rFonts w:ascii="Arial" w:hAnsi="Arial" w:cs="Arial"/>
          <w:lang w:bidi="en-US"/>
        </w:rPr>
        <w:t>202</w:t>
      </w:r>
      <w:r w:rsidR="00265B81">
        <w:rPr>
          <w:rFonts w:ascii="Arial" w:hAnsi="Arial" w:cs="Arial"/>
          <w:lang w:bidi="en-US"/>
        </w:rPr>
        <w:t>2</w:t>
      </w:r>
      <w:r w:rsidR="00522622" w:rsidRPr="00C54D7A">
        <w:rPr>
          <w:rFonts w:ascii="Arial" w:hAnsi="Arial" w:cs="Arial"/>
          <w:lang w:bidi="en-US"/>
        </w:rPr>
        <w:t>–2</w:t>
      </w:r>
      <w:r w:rsidR="00265B81">
        <w:rPr>
          <w:rFonts w:ascii="Arial" w:hAnsi="Arial" w:cs="Arial"/>
          <w:lang w:bidi="en-US"/>
        </w:rPr>
        <w:t>3</w:t>
      </w:r>
      <w:r w:rsidR="00522622" w:rsidRPr="00C54D7A">
        <w:rPr>
          <w:rFonts w:ascii="Arial" w:hAnsi="Arial" w:cs="Arial"/>
          <w:lang w:bidi="en-US"/>
        </w:rPr>
        <w:t xml:space="preserve"> </w:t>
      </w:r>
      <w:r w:rsidR="003D53AC" w:rsidRPr="00C54D7A">
        <w:rPr>
          <w:rFonts w:ascii="Arial" w:hAnsi="Arial" w:cs="Arial"/>
          <w:lang w:bidi="en-US"/>
        </w:rPr>
        <w:t>C</w:t>
      </w:r>
      <w:r w:rsidR="00732CE8" w:rsidRPr="00C54D7A">
        <w:rPr>
          <w:rFonts w:ascii="Arial" w:hAnsi="Arial" w:cs="Arial"/>
          <w:lang w:bidi="en-US"/>
        </w:rPr>
        <w:t xml:space="preserve">areer Technical Education Incentive Grant </w:t>
      </w:r>
      <w:r w:rsidR="00522622" w:rsidRPr="00C54D7A">
        <w:rPr>
          <w:rFonts w:ascii="Arial" w:hAnsi="Arial" w:cs="Arial"/>
          <w:lang w:bidi="en-US"/>
        </w:rPr>
        <w:t>Minimum Eligibility Standards</w:t>
      </w:r>
      <w:r w:rsidR="003D53AC" w:rsidRPr="00C54D7A">
        <w:rPr>
          <w:rFonts w:ascii="Arial" w:hAnsi="Arial" w:cs="Arial"/>
          <w:lang w:bidi="en-US"/>
        </w:rPr>
        <w:t xml:space="preserve"> </w:t>
      </w:r>
      <w:r w:rsidR="009941D9" w:rsidRPr="00C54D7A">
        <w:rPr>
          <w:rFonts w:ascii="Arial" w:hAnsi="Arial" w:cs="Arial"/>
          <w:lang w:bidi="en-US"/>
        </w:rPr>
        <w:t>Report</w:t>
      </w:r>
    </w:p>
    <w:p w14:paraId="093E46C2" w14:textId="31185120" w:rsidR="00A70529" w:rsidRPr="00C54D7A" w:rsidRDefault="00A70529" w:rsidP="00E72647">
      <w:pPr>
        <w:pBdr>
          <w:top w:val="single" w:sz="24" w:space="1" w:color="auto"/>
          <w:left w:val="single" w:sz="24" w:space="4" w:color="auto"/>
          <w:bottom w:val="single" w:sz="24" w:space="1" w:color="auto"/>
          <w:right w:val="single" w:sz="24" w:space="4" w:color="auto"/>
        </w:pBdr>
        <w:spacing w:after="240"/>
        <w:rPr>
          <w:rFonts w:ascii="Arial" w:hAnsi="Arial" w:cs="Arial"/>
          <w:i/>
          <w:lang w:bidi="en-US"/>
        </w:rPr>
      </w:pPr>
      <w:r w:rsidRPr="00C54D7A">
        <w:rPr>
          <w:rFonts w:ascii="Arial" w:hAnsi="Arial" w:cs="Arial"/>
          <w:i/>
          <w:lang w:bidi="en-US"/>
        </w:rPr>
        <w:t>Authority</w:t>
      </w:r>
      <w:r w:rsidRPr="00C54D7A">
        <w:rPr>
          <w:rFonts w:ascii="Arial" w:hAnsi="Arial" w:cs="Arial"/>
          <w:lang w:bidi="en-US"/>
        </w:rPr>
        <w:t xml:space="preserve">: </w:t>
      </w:r>
      <w:r w:rsidR="00626E22">
        <w:rPr>
          <w:rFonts w:ascii="Arial" w:hAnsi="Arial" w:cs="Arial"/>
          <w:lang w:bidi="en-US"/>
        </w:rPr>
        <w:t xml:space="preserve">California </w:t>
      </w:r>
      <w:r w:rsidR="003D53AC" w:rsidRPr="00C54D7A">
        <w:rPr>
          <w:rFonts w:ascii="Arial" w:hAnsi="Arial" w:cs="Arial"/>
          <w:i/>
          <w:lang w:bidi="en-US"/>
        </w:rPr>
        <w:t>Education Code</w:t>
      </w:r>
      <w:r w:rsidR="003D53AC" w:rsidRPr="00C54D7A">
        <w:rPr>
          <w:rFonts w:ascii="Arial" w:hAnsi="Arial" w:cs="Arial"/>
          <w:lang w:bidi="en-US"/>
        </w:rPr>
        <w:t xml:space="preserve"> </w:t>
      </w:r>
      <w:r w:rsidR="003C5FE6">
        <w:rPr>
          <w:rFonts w:ascii="Arial" w:hAnsi="Arial" w:cs="Arial"/>
          <w:lang w:bidi="en-US"/>
        </w:rPr>
        <w:t>S</w:t>
      </w:r>
      <w:r w:rsidR="003D53AC" w:rsidRPr="00C54D7A">
        <w:rPr>
          <w:rFonts w:ascii="Arial" w:hAnsi="Arial" w:cs="Arial"/>
          <w:lang w:bidi="en-US"/>
        </w:rPr>
        <w:t xml:space="preserve">ection </w:t>
      </w:r>
      <w:bookmarkStart w:id="6" w:name="_Hlk54284710"/>
      <w:r w:rsidR="003D53AC" w:rsidRPr="00C54D7A">
        <w:rPr>
          <w:rFonts w:ascii="Arial" w:hAnsi="Arial" w:cs="Arial"/>
          <w:lang w:bidi="en-US"/>
        </w:rPr>
        <w:t>5307</w:t>
      </w:r>
      <w:bookmarkEnd w:id="6"/>
      <w:r w:rsidR="00522622" w:rsidRPr="00C54D7A">
        <w:rPr>
          <w:rFonts w:ascii="Arial" w:hAnsi="Arial" w:cs="Arial"/>
          <w:lang w:bidi="en-US"/>
        </w:rPr>
        <w:t>0.1(b)</w:t>
      </w:r>
    </w:p>
    <w:p w14:paraId="352D2C76" w14:textId="77777777" w:rsidR="00A70529" w:rsidRPr="00C54D7A" w:rsidRDefault="00A70529" w:rsidP="00E72647">
      <w:pPr>
        <w:pBdr>
          <w:top w:val="single" w:sz="24" w:space="1" w:color="auto"/>
          <w:left w:val="single" w:sz="24" w:space="4" w:color="auto"/>
          <w:bottom w:val="single" w:sz="24" w:space="1" w:color="auto"/>
          <w:right w:val="single" w:sz="24" w:space="4" w:color="auto"/>
        </w:pBdr>
        <w:spacing w:after="240"/>
        <w:rPr>
          <w:rFonts w:ascii="Arial" w:hAnsi="Arial" w:cs="Arial"/>
          <w:i/>
          <w:lang w:bidi="en-US"/>
        </w:rPr>
      </w:pPr>
      <w:r w:rsidRPr="00C54D7A">
        <w:rPr>
          <w:rFonts w:ascii="Arial" w:hAnsi="Arial" w:cs="Arial"/>
          <w:i/>
          <w:lang w:bidi="en-US"/>
        </w:rPr>
        <w:t>Recipient</w:t>
      </w:r>
      <w:r w:rsidRPr="00C54D7A">
        <w:rPr>
          <w:rFonts w:ascii="Arial" w:hAnsi="Arial" w:cs="Arial"/>
          <w:lang w:bidi="en-US"/>
        </w:rPr>
        <w:t xml:space="preserve">: </w:t>
      </w:r>
      <w:r w:rsidR="003D53AC" w:rsidRPr="00C54D7A">
        <w:rPr>
          <w:rFonts w:ascii="Arial" w:hAnsi="Arial" w:cs="Arial"/>
          <w:lang w:bidi="en-US"/>
        </w:rPr>
        <w:t>Governor, Legislature, and Department of Finance</w:t>
      </w:r>
    </w:p>
    <w:p w14:paraId="210F763F" w14:textId="61139E38" w:rsidR="00A70529" w:rsidRPr="00C54D7A" w:rsidRDefault="00A70529" w:rsidP="00E72647">
      <w:pPr>
        <w:pBdr>
          <w:top w:val="single" w:sz="24" w:space="1" w:color="auto"/>
          <w:left w:val="single" w:sz="24" w:space="4" w:color="auto"/>
          <w:bottom w:val="single" w:sz="24" w:space="1" w:color="auto"/>
          <w:right w:val="single" w:sz="24" w:space="4" w:color="auto"/>
        </w:pBdr>
        <w:spacing w:after="240"/>
        <w:rPr>
          <w:rFonts w:ascii="Arial" w:hAnsi="Arial" w:cs="Arial"/>
          <w:lang w:bidi="en-US"/>
        </w:rPr>
      </w:pPr>
      <w:r w:rsidRPr="00C54D7A">
        <w:rPr>
          <w:rFonts w:ascii="Arial" w:hAnsi="Arial" w:cs="Arial"/>
          <w:i/>
          <w:lang w:bidi="en-US"/>
        </w:rPr>
        <w:t>Due Date</w:t>
      </w:r>
      <w:r w:rsidRPr="00C54D7A">
        <w:rPr>
          <w:rFonts w:ascii="Arial" w:hAnsi="Arial" w:cs="Arial"/>
          <w:lang w:bidi="en-US"/>
        </w:rPr>
        <w:t xml:space="preserve">: </w:t>
      </w:r>
      <w:r w:rsidR="00903EEA" w:rsidRPr="00903EEA">
        <w:rPr>
          <w:rFonts w:ascii="Arial" w:hAnsi="Arial" w:cs="Arial"/>
          <w:b/>
          <w:lang w:bidi="en-US"/>
        </w:rPr>
        <w:t>March 9</w:t>
      </w:r>
      <w:r w:rsidR="002737A4" w:rsidRPr="00903EEA">
        <w:rPr>
          <w:rFonts w:ascii="Arial" w:hAnsi="Arial" w:cs="Arial"/>
          <w:b/>
          <w:lang w:bidi="en-US"/>
        </w:rPr>
        <w:t>, 202</w:t>
      </w:r>
      <w:r w:rsidR="00F44C0D" w:rsidRPr="00903EEA">
        <w:rPr>
          <w:rFonts w:ascii="Arial" w:hAnsi="Arial" w:cs="Arial"/>
          <w:b/>
          <w:lang w:bidi="en-US"/>
        </w:rPr>
        <w:t>3</w:t>
      </w:r>
    </w:p>
    <w:p w14:paraId="69381E62" w14:textId="77777777" w:rsidR="00F614E3" w:rsidRPr="003B0CF6" w:rsidRDefault="00F614E3" w:rsidP="00A70529">
      <w:pPr>
        <w:rPr>
          <w:rFonts w:ascii="Arial" w:hAnsi="Arial" w:cs="Arial"/>
        </w:rPr>
      </w:pPr>
    </w:p>
    <w:p w14:paraId="28F28B17" w14:textId="77777777" w:rsidR="00315109" w:rsidRPr="003B0CF6" w:rsidRDefault="00315109" w:rsidP="00A70529">
      <w:pPr>
        <w:rPr>
          <w:rFonts w:ascii="Arial" w:hAnsi="Arial" w:cs="Arial"/>
        </w:rPr>
        <w:sectPr w:rsidR="00315109" w:rsidRPr="003B0CF6" w:rsidSect="00315109">
          <w:footerReference w:type="default" r:id="rId10"/>
          <w:footerReference w:type="first" r:id="rId11"/>
          <w:pgSz w:w="12240" w:h="15840"/>
          <w:pgMar w:top="1440" w:right="1440" w:bottom="1440" w:left="1800" w:header="720" w:footer="720" w:gutter="0"/>
          <w:cols w:space="720"/>
          <w:titlePg/>
          <w:docGrid w:linePitch="360"/>
        </w:sectPr>
      </w:pPr>
    </w:p>
    <w:p w14:paraId="7BCEC400" w14:textId="77777777" w:rsidR="004C6741" w:rsidRPr="003B0CF6" w:rsidRDefault="004C6741" w:rsidP="004C6741">
      <w:pPr>
        <w:spacing w:after="240"/>
        <w:contextualSpacing/>
        <w:jc w:val="center"/>
        <w:rPr>
          <w:rFonts w:ascii="Arial" w:hAnsi="Arial" w:cs="Arial"/>
          <w:b/>
        </w:rPr>
      </w:pPr>
      <w:r w:rsidRPr="003B0CF6">
        <w:rPr>
          <w:rFonts w:ascii="Arial" w:hAnsi="Arial" w:cs="Arial"/>
          <w:b/>
        </w:rPr>
        <w:lastRenderedPageBreak/>
        <w:t>California Department of Education</w:t>
      </w:r>
    </w:p>
    <w:p w14:paraId="46421B40" w14:textId="5021738E" w:rsidR="004C6741" w:rsidRPr="003B0CF6" w:rsidRDefault="004C6741" w:rsidP="004C6741">
      <w:pPr>
        <w:spacing w:after="240"/>
        <w:contextualSpacing/>
        <w:jc w:val="center"/>
        <w:rPr>
          <w:rFonts w:ascii="Arial" w:hAnsi="Arial" w:cs="Arial"/>
          <w:b/>
        </w:rPr>
      </w:pPr>
      <w:r w:rsidRPr="003B0CF6">
        <w:rPr>
          <w:rFonts w:ascii="Arial" w:hAnsi="Arial" w:cs="Arial"/>
          <w:b/>
        </w:rPr>
        <w:t xml:space="preserve">Report to the Governor, </w:t>
      </w:r>
      <w:r w:rsidR="003C5FE6">
        <w:rPr>
          <w:rFonts w:ascii="Arial" w:hAnsi="Arial" w:cs="Arial"/>
          <w:b/>
        </w:rPr>
        <w:t xml:space="preserve">the </w:t>
      </w:r>
      <w:r w:rsidRPr="003B0CF6">
        <w:rPr>
          <w:rFonts w:ascii="Arial" w:hAnsi="Arial" w:cs="Arial"/>
          <w:b/>
        </w:rPr>
        <w:t>Legislature, and the Department of Finance:</w:t>
      </w:r>
    </w:p>
    <w:p w14:paraId="711C4BC6" w14:textId="7E63849A" w:rsidR="004C6741" w:rsidRPr="003B0CF6" w:rsidRDefault="00AE5688" w:rsidP="004C6741">
      <w:pPr>
        <w:spacing w:after="240"/>
        <w:contextualSpacing/>
        <w:jc w:val="center"/>
        <w:rPr>
          <w:rFonts w:ascii="Arial" w:hAnsi="Arial" w:cs="Arial"/>
        </w:rPr>
      </w:pPr>
      <w:r>
        <w:rPr>
          <w:rFonts w:ascii="Arial" w:hAnsi="Arial" w:cs="Arial"/>
          <w:b/>
        </w:rPr>
        <w:t>202</w:t>
      </w:r>
      <w:r w:rsidR="0066152E">
        <w:rPr>
          <w:rFonts w:ascii="Arial" w:hAnsi="Arial" w:cs="Arial"/>
          <w:b/>
        </w:rPr>
        <w:t>2</w:t>
      </w:r>
      <w:r>
        <w:rPr>
          <w:rFonts w:ascii="Arial" w:hAnsi="Arial" w:cs="Arial"/>
          <w:b/>
        </w:rPr>
        <w:t>–2</w:t>
      </w:r>
      <w:r w:rsidR="0066152E">
        <w:rPr>
          <w:rFonts w:ascii="Arial" w:hAnsi="Arial" w:cs="Arial"/>
          <w:b/>
        </w:rPr>
        <w:t>3</w:t>
      </w:r>
      <w:r>
        <w:rPr>
          <w:rFonts w:ascii="Arial" w:hAnsi="Arial" w:cs="Arial"/>
          <w:b/>
        </w:rPr>
        <w:t xml:space="preserve"> </w:t>
      </w:r>
      <w:r w:rsidR="004C6741" w:rsidRPr="003B0CF6">
        <w:rPr>
          <w:rFonts w:ascii="Arial" w:hAnsi="Arial" w:cs="Arial"/>
          <w:b/>
        </w:rPr>
        <w:t xml:space="preserve">Career Technical Education Incentive Grant </w:t>
      </w:r>
      <w:r>
        <w:rPr>
          <w:rFonts w:ascii="Arial" w:hAnsi="Arial" w:cs="Arial"/>
          <w:b/>
        </w:rPr>
        <w:t>Minimum Eligibility Standards</w:t>
      </w:r>
      <w:r w:rsidR="009941D9">
        <w:rPr>
          <w:rFonts w:ascii="Arial" w:hAnsi="Arial" w:cs="Arial"/>
          <w:b/>
        </w:rPr>
        <w:t xml:space="preserve"> </w:t>
      </w:r>
      <w:r w:rsidR="004C6741" w:rsidRPr="003B0CF6">
        <w:rPr>
          <w:rFonts w:ascii="Arial" w:hAnsi="Arial" w:cs="Arial"/>
          <w:b/>
        </w:rPr>
        <w:t>Report</w:t>
      </w:r>
    </w:p>
    <w:p w14:paraId="27D36C71" w14:textId="34738D53" w:rsidR="00B518D5" w:rsidRPr="00B518D5" w:rsidRDefault="004C6741" w:rsidP="00B518D5">
      <w:pPr>
        <w:pStyle w:val="Heading2"/>
        <w:rPr>
          <w:noProof/>
          <w:sz w:val="24"/>
        </w:rPr>
      </w:pPr>
      <w:bookmarkStart w:id="7" w:name="_Toc116282049"/>
      <w:r w:rsidRPr="00271C6A">
        <w:t>Table of Contents</w:t>
      </w:r>
      <w:bookmarkStart w:id="8" w:name="_Hlk56517331"/>
      <w:bookmarkEnd w:id="7"/>
      <w:r w:rsidR="00B67FE3" w:rsidRPr="00271C6A">
        <w:rPr>
          <w:noProof/>
        </w:rPr>
        <w:fldChar w:fldCharType="begin"/>
      </w:r>
      <w:r w:rsidR="00B67FE3" w:rsidRPr="00271C6A">
        <w:instrText xml:space="preserve"> TOC \o "1-2" \h \z \u </w:instrText>
      </w:r>
      <w:r w:rsidR="00B67FE3" w:rsidRPr="00271C6A">
        <w:rPr>
          <w:noProof/>
        </w:rPr>
        <w:fldChar w:fldCharType="separate"/>
      </w:r>
    </w:p>
    <w:p w14:paraId="74F4026A" w14:textId="21B4F2CE" w:rsidR="00B518D5" w:rsidRPr="00B518D5" w:rsidRDefault="00000000">
      <w:pPr>
        <w:pStyle w:val="TOC2"/>
        <w:rPr>
          <w:rFonts w:ascii="Arial" w:eastAsiaTheme="minorEastAsia" w:hAnsi="Arial" w:cs="Arial"/>
          <w:noProof/>
        </w:rPr>
      </w:pPr>
      <w:hyperlink w:anchor="_Toc116282049" w:history="1">
        <w:r w:rsidR="00B518D5" w:rsidRPr="00B518D5">
          <w:rPr>
            <w:rStyle w:val="Hyperlink"/>
            <w:rFonts w:ascii="Arial" w:hAnsi="Arial" w:cs="Arial"/>
            <w:noProof/>
          </w:rPr>
          <w:t>Table of Contents</w:t>
        </w:r>
        <w:r w:rsidR="00B518D5" w:rsidRPr="00B518D5">
          <w:rPr>
            <w:rFonts w:ascii="Arial" w:hAnsi="Arial" w:cs="Arial"/>
            <w:noProof/>
            <w:webHidden/>
          </w:rPr>
          <w:tab/>
        </w:r>
        <w:r w:rsidR="00B518D5" w:rsidRPr="00B518D5">
          <w:rPr>
            <w:rFonts w:ascii="Arial" w:hAnsi="Arial" w:cs="Arial"/>
            <w:noProof/>
            <w:webHidden/>
          </w:rPr>
          <w:fldChar w:fldCharType="begin"/>
        </w:r>
        <w:r w:rsidR="00B518D5" w:rsidRPr="00B518D5">
          <w:rPr>
            <w:rFonts w:ascii="Arial" w:hAnsi="Arial" w:cs="Arial"/>
            <w:noProof/>
            <w:webHidden/>
          </w:rPr>
          <w:instrText xml:space="preserve"> PAGEREF _Toc116282049 \h </w:instrText>
        </w:r>
        <w:r w:rsidR="00B518D5" w:rsidRPr="00B518D5">
          <w:rPr>
            <w:rFonts w:ascii="Arial" w:hAnsi="Arial" w:cs="Arial"/>
            <w:noProof/>
            <w:webHidden/>
          </w:rPr>
        </w:r>
        <w:r w:rsidR="00B518D5" w:rsidRPr="00B518D5">
          <w:rPr>
            <w:rFonts w:ascii="Arial" w:hAnsi="Arial" w:cs="Arial"/>
            <w:noProof/>
            <w:webHidden/>
          </w:rPr>
          <w:fldChar w:fldCharType="separate"/>
        </w:r>
        <w:r w:rsidR="00E72647">
          <w:rPr>
            <w:rFonts w:ascii="Arial" w:hAnsi="Arial" w:cs="Arial"/>
            <w:noProof/>
            <w:webHidden/>
          </w:rPr>
          <w:t>1</w:t>
        </w:r>
        <w:r w:rsidR="00B518D5" w:rsidRPr="00B518D5">
          <w:rPr>
            <w:rFonts w:ascii="Arial" w:hAnsi="Arial" w:cs="Arial"/>
            <w:noProof/>
            <w:webHidden/>
          </w:rPr>
          <w:fldChar w:fldCharType="end"/>
        </w:r>
      </w:hyperlink>
    </w:p>
    <w:p w14:paraId="500D94C4" w14:textId="5FCD06C8" w:rsidR="00B518D5" w:rsidRPr="00B518D5" w:rsidRDefault="00000000">
      <w:pPr>
        <w:pStyle w:val="TOC2"/>
        <w:rPr>
          <w:rFonts w:ascii="Arial" w:eastAsiaTheme="minorEastAsia" w:hAnsi="Arial" w:cs="Arial"/>
          <w:noProof/>
        </w:rPr>
      </w:pPr>
      <w:hyperlink w:anchor="_Toc116282050" w:history="1">
        <w:r w:rsidR="00B518D5" w:rsidRPr="00B518D5">
          <w:rPr>
            <w:rStyle w:val="Hyperlink"/>
            <w:rFonts w:ascii="Arial" w:hAnsi="Arial" w:cs="Arial"/>
            <w:noProof/>
          </w:rPr>
          <w:t>Executive Summary</w:t>
        </w:r>
        <w:r w:rsidR="00B518D5" w:rsidRPr="00B518D5">
          <w:rPr>
            <w:rFonts w:ascii="Arial" w:hAnsi="Arial" w:cs="Arial"/>
            <w:noProof/>
            <w:webHidden/>
          </w:rPr>
          <w:tab/>
        </w:r>
        <w:r w:rsidR="00B518D5" w:rsidRPr="00B518D5">
          <w:rPr>
            <w:rFonts w:ascii="Arial" w:hAnsi="Arial" w:cs="Arial"/>
            <w:noProof/>
            <w:webHidden/>
          </w:rPr>
          <w:fldChar w:fldCharType="begin"/>
        </w:r>
        <w:r w:rsidR="00B518D5" w:rsidRPr="00B518D5">
          <w:rPr>
            <w:rFonts w:ascii="Arial" w:hAnsi="Arial" w:cs="Arial"/>
            <w:noProof/>
            <w:webHidden/>
          </w:rPr>
          <w:instrText xml:space="preserve"> PAGEREF _Toc116282050 \h </w:instrText>
        </w:r>
        <w:r w:rsidR="00B518D5" w:rsidRPr="00B518D5">
          <w:rPr>
            <w:rFonts w:ascii="Arial" w:hAnsi="Arial" w:cs="Arial"/>
            <w:noProof/>
            <w:webHidden/>
          </w:rPr>
        </w:r>
        <w:r w:rsidR="00B518D5" w:rsidRPr="00B518D5">
          <w:rPr>
            <w:rFonts w:ascii="Arial" w:hAnsi="Arial" w:cs="Arial"/>
            <w:noProof/>
            <w:webHidden/>
          </w:rPr>
          <w:fldChar w:fldCharType="separate"/>
        </w:r>
        <w:r w:rsidR="00E72647">
          <w:rPr>
            <w:rFonts w:ascii="Arial" w:hAnsi="Arial" w:cs="Arial"/>
            <w:noProof/>
            <w:webHidden/>
          </w:rPr>
          <w:t>2</w:t>
        </w:r>
        <w:r w:rsidR="00B518D5" w:rsidRPr="00B518D5">
          <w:rPr>
            <w:rFonts w:ascii="Arial" w:hAnsi="Arial" w:cs="Arial"/>
            <w:noProof/>
            <w:webHidden/>
          </w:rPr>
          <w:fldChar w:fldCharType="end"/>
        </w:r>
      </w:hyperlink>
    </w:p>
    <w:p w14:paraId="34111193" w14:textId="2EF3A207" w:rsidR="00B518D5" w:rsidRPr="00B518D5" w:rsidRDefault="00000000">
      <w:pPr>
        <w:pStyle w:val="TOC2"/>
        <w:rPr>
          <w:rFonts w:ascii="Arial" w:eastAsiaTheme="minorEastAsia" w:hAnsi="Arial" w:cs="Arial"/>
          <w:noProof/>
        </w:rPr>
      </w:pPr>
      <w:hyperlink w:anchor="_Toc116282051" w:history="1">
        <w:r w:rsidR="00B518D5" w:rsidRPr="00B518D5">
          <w:rPr>
            <w:rStyle w:val="Hyperlink"/>
            <w:rFonts w:ascii="Arial" w:hAnsi="Arial" w:cs="Arial"/>
            <w:noProof/>
          </w:rPr>
          <w:t>Introduction</w:t>
        </w:r>
        <w:r w:rsidR="00B518D5" w:rsidRPr="00B518D5">
          <w:rPr>
            <w:rFonts w:ascii="Arial" w:hAnsi="Arial" w:cs="Arial"/>
            <w:noProof/>
            <w:webHidden/>
          </w:rPr>
          <w:tab/>
        </w:r>
        <w:r w:rsidR="00B518D5" w:rsidRPr="00B518D5">
          <w:rPr>
            <w:rFonts w:ascii="Arial" w:hAnsi="Arial" w:cs="Arial"/>
            <w:noProof/>
            <w:webHidden/>
          </w:rPr>
          <w:fldChar w:fldCharType="begin"/>
        </w:r>
        <w:r w:rsidR="00B518D5" w:rsidRPr="00B518D5">
          <w:rPr>
            <w:rFonts w:ascii="Arial" w:hAnsi="Arial" w:cs="Arial"/>
            <w:noProof/>
            <w:webHidden/>
          </w:rPr>
          <w:instrText xml:space="preserve"> PAGEREF _Toc116282051 \h </w:instrText>
        </w:r>
        <w:r w:rsidR="00B518D5" w:rsidRPr="00B518D5">
          <w:rPr>
            <w:rFonts w:ascii="Arial" w:hAnsi="Arial" w:cs="Arial"/>
            <w:noProof/>
            <w:webHidden/>
          </w:rPr>
        </w:r>
        <w:r w:rsidR="00B518D5" w:rsidRPr="00B518D5">
          <w:rPr>
            <w:rFonts w:ascii="Arial" w:hAnsi="Arial" w:cs="Arial"/>
            <w:noProof/>
            <w:webHidden/>
          </w:rPr>
          <w:fldChar w:fldCharType="separate"/>
        </w:r>
        <w:r w:rsidR="00E72647">
          <w:rPr>
            <w:rFonts w:ascii="Arial" w:hAnsi="Arial" w:cs="Arial"/>
            <w:noProof/>
            <w:webHidden/>
          </w:rPr>
          <w:t>3</w:t>
        </w:r>
        <w:r w:rsidR="00B518D5" w:rsidRPr="00B518D5">
          <w:rPr>
            <w:rFonts w:ascii="Arial" w:hAnsi="Arial" w:cs="Arial"/>
            <w:noProof/>
            <w:webHidden/>
          </w:rPr>
          <w:fldChar w:fldCharType="end"/>
        </w:r>
      </w:hyperlink>
    </w:p>
    <w:p w14:paraId="0DDBFD3C" w14:textId="5B915EE1" w:rsidR="00B518D5" w:rsidRPr="00B518D5" w:rsidRDefault="00000000">
      <w:pPr>
        <w:pStyle w:val="TOC2"/>
        <w:rPr>
          <w:rFonts w:ascii="Arial" w:eastAsiaTheme="minorEastAsia" w:hAnsi="Arial" w:cs="Arial"/>
          <w:noProof/>
        </w:rPr>
      </w:pPr>
      <w:hyperlink w:anchor="_Toc116282052" w:history="1">
        <w:r w:rsidR="00B518D5" w:rsidRPr="00B518D5">
          <w:rPr>
            <w:rStyle w:val="Hyperlink"/>
            <w:rFonts w:ascii="Arial" w:hAnsi="Arial" w:cs="Arial"/>
            <w:noProof/>
          </w:rPr>
          <w:t>Background</w:t>
        </w:r>
        <w:r w:rsidR="00B518D5" w:rsidRPr="00B518D5">
          <w:rPr>
            <w:rFonts w:ascii="Arial" w:hAnsi="Arial" w:cs="Arial"/>
            <w:noProof/>
            <w:webHidden/>
          </w:rPr>
          <w:tab/>
        </w:r>
        <w:r w:rsidR="00B518D5" w:rsidRPr="00B518D5">
          <w:rPr>
            <w:rFonts w:ascii="Arial" w:hAnsi="Arial" w:cs="Arial"/>
            <w:noProof/>
            <w:webHidden/>
          </w:rPr>
          <w:fldChar w:fldCharType="begin"/>
        </w:r>
        <w:r w:rsidR="00B518D5" w:rsidRPr="00B518D5">
          <w:rPr>
            <w:rFonts w:ascii="Arial" w:hAnsi="Arial" w:cs="Arial"/>
            <w:noProof/>
            <w:webHidden/>
          </w:rPr>
          <w:instrText xml:space="preserve"> PAGEREF _Toc116282052 \h </w:instrText>
        </w:r>
        <w:r w:rsidR="00B518D5" w:rsidRPr="00B518D5">
          <w:rPr>
            <w:rFonts w:ascii="Arial" w:hAnsi="Arial" w:cs="Arial"/>
            <w:noProof/>
            <w:webHidden/>
          </w:rPr>
        </w:r>
        <w:r w:rsidR="00B518D5" w:rsidRPr="00B518D5">
          <w:rPr>
            <w:rFonts w:ascii="Arial" w:hAnsi="Arial" w:cs="Arial"/>
            <w:noProof/>
            <w:webHidden/>
          </w:rPr>
          <w:fldChar w:fldCharType="separate"/>
        </w:r>
        <w:r w:rsidR="00E72647">
          <w:rPr>
            <w:rFonts w:ascii="Arial" w:hAnsi="Arial" w:cs="Arial"/>
            <w:noProof/>
            <w:webHidden/>
          </w:rPr>
          <w:t>4</w:t>
        </w:r>
        <w:r w:rsidR="00B518D5" w:rsidRPr="00B518D5">
          <w:rPr>
            <w:rFonts w:ascii="Arial" w:hAnsi="Arial" w:cs="Arial"/>
            <w:noProof/>
            <w:webHidden/>
          </w:rPr>
          <w:fldChar w:fldCharType="end"/>
        </w:r>
      </w:hyperlink>
    </w:p>
    <w:p w14:paraId="4B8EAF8D" w14:textId="5F41B66D" w:rsidR="00B518D5" w:rsidRPr="00B518D5" w:rsidRDefault="00000000">
      <w:pPr>
        <w:pStyle w:val="TOC2"/>
        <w:rPr>
          <w:rFonts w:ascii="Arial" w:eastAsiaTheme="minorEastAsia" w:hAnsi="Arial" w:cs="Arial"/>
          <w:noProof/>
        </w:rPr>
      </w:pPr>
      <w:hyperlink w:anchor="_Toc116282053" w:history="1">
        <w:r w:rsidR="00B518D5" w:rsidRPr="00B518D5">
          <w:rPr>
            <w:rStyle w:val="Hyperlink"/>
            <w:rFonts w:ascii="Arial" w:hAnsi="Arial" w:cs="Arial"/>
            <w:i/>
            <w:noProof/>
          </w:rPr>
          <w:t>EC</w:t>
        </w:r>
        <w:r w:rsidR="00B518D5" w:rsidRPr="00B518D5">
          <w:rPr>
            <w:rStyle w:val="Hyperlink"/>
            <w:rFonts w:ascii="Arial" w:hAnsi="Arial" w:cs="Arial"/>
            <w:noProof/>
          </w:rPr>
          <w:t xml:space="preserve"> Section 53070.1(a)(1): 3 Year Financial and Administrative Commitment</w:t>
        </w:r>
        <w:r w:rsidR="00B518D5" w:rsidRPr="00B518D5">
          <w:rPr>
            <w:rFonts w:ascii="Arial" w:hAnsi="Arial" w:cs="Arial"/>
            <w:noProof/>
            <w:webHidden/>
          </w:rPr>
          <w:tab/>
        </w:r>
        <w:r w:rsidR="00B518D5" w:rsidRPr="00B518D5">
          <w:rPr>
            <w:rFonts w:ascii="Arial" w:hAnsi="Arial" w:cs="Arial"/>
            <w:noProof/>
            <w:webHidden/>
          </w:rPr>
          <w:fldChar w:fldCharType="begin"/>
        </w:r>
        <w:r w:rsidR="00B518D5" w:rsidRPr="00B518D5">
          <w:rPr>
            <w:rFonts w:ascii="Arial" w:hAnsi="Arial" w:cs="Arial"/>
            <w:noProof/>
            <w:webHidden/>
          </w:rPr>
          <w:instrText xml:space="preserve"> PAGEREF _Toc116282053 \h </w:instrText>
        </w:r>
        <w:r w:rsidR="00B518D5" w:rsidRPr="00B518D5">
          <w:rPr>
            <w:rFonts w:ascii="Arial" w:hAnsi="Arial" w:cs="Arial"/>
            <w:noProof/>
            <w:webHidden/>
          </w:rPr>
        </w:r>
        <w:r w:rsidR="00B518D5" w:rsidRPr="00B518D5">
          <w:rPr>
            <w:rFonts w:ascii="Arial" w:hAnsi="Arial" w:cs="Arial"/>
            <w:noProof/>
            <w:webHidden/>
          </w:rPr>
          <w:fldChar w:fldCharType="separate"/>
        </w:r>
        <w:r w:rsidR="00E72647">
          <w:rPr>
            <w:rFonts w:ascii="Arial" w:hAnsi="Arial" w:cs="Arial"/>
            <w:noProof/>
            <w:webHidden/>
          </w:rPr>
          <w:t>5</w:t>
        </w:r>
        <w:r w:rsidR="00B518D5" w:rsidRPr="00B518D5">
          <w:rPr>
            <w:rFonts w:ascii="Arial" w:hAnsi="Arial" w:cs="Arial"/>
            <w:noProof/>
            <w:webHidden/>
          </w:rPr>
          <w:fldChar w:fldCharType="end"/>
        </w:r>
      </w:hyperlink>
    </w:p>
    <w:p w14:paraId="3BF19C60" w14:textId="0686A000" w:rsidR="00B518D5" w:rsidRPr="00B518D5" w:rsidRDefault="00000000">
      <w:pPr>
        <w:pStyle w:val="TOC2"/>
        <w:rPr>
          <w:rFonts w:ascii="Arial" w:eastAsiaTheme="minorEastAsia" w:hAnsi="Arial" w:cs="Arial"/>
          <w:noProof/>
        </w:rPr>
      </w:pPr>
      <w:hyperlink w:anchor="_Toc116282054" w:history="1">
        <w:r w:rsidR="00B518D5" w:rsidRPr="00B518D5">
          <w:rPr>
            <w:rStyle w:val="Hyperlink"/>
            <w:rFonts w:ascii="Arial" w:hAnsi="Arial" w:cs="Arial"/>
            <w:i/>
            <w:noProof/>
          </w:rPr>
          <w:t>EC</w:t>
        </w:r>
        <w:r w:rsidR="00B518D5" w:rsidRPr="00B518D5">
          <w:rPr>
            <w:rStyle w:val="Hyperlink"/>
            <w:rFonts w:ascii="Arial" w:hAnsi="Arial" w:cs="Arial"/>
            <w:noProof/>
          </w:rPr>
          <w:t xml:space="preserve"> Section 53070.1(a)(2): Minimum Eligibility Standards</w:t>
        </w:r>
        <w:r w:rsidR="00B518D5" w:rsidRPr="00B518D5">
          <w:rPr>
            <w:rFonts w:ascii="Arial" w:hAnsi="Arial" w:cs="Arial"/>
            <w:noProof/>
            <w:webHidden/>
          </w:rPr>
          <w:tab/>
        </w:r>
        <w:r w:rsidR="00B518D5" w:rsidRPr="00B518D5">
          <w:rPr>
            <w:rFonts w:ascii="Arial" w:hAnsi="Arial" w:cs="Arial"/>
            <w:noProof/>
            <w:webHidden/>
          </w:rPr>
          <w:fldChar w:fldCharType="begin"/>
        </w:r>
        <w:r w:rsidR="00B518D5" w:rsidRPr="00B518D5">
          <w:rPr>
            <w:rFonts w:ascii="Arial" w:hAnsi="Arial" w:cs="Arial"/>
            <w:noProof/>
            <w:webHidden/>
          </w:rPr>
          <w:instrText xml:space="preserve"> PAGEREF _Toc116282054 \h </w:instrText>
        </w:r>
        <w:r w:rsidR="00B518D5" w:rsidRPr="00B518D5">
          <w:rPr>
            <w:rFonts w:ascii="Arial" w:hAnsi="Arial" w:cs="Arial"/>
            <w:noProof/>
            <w:webHidden/>
          </w:rPr>
        </w:r>
        <w:r w:rsidR="00B518D5" w:rsidRPr="00B518D5">
          <w:rPr>
            <w:rFonts w:ascii="Arial" w:hAnsi="Arial" w:cs="Arial"/>
            <w:noProof/>
            <w:webHidden/>
          </w:rPr>
          <w:fldChar w:fldCharType="separate"/>
        </w:r>
        <w:r w:rsidR="00E72647">
          <w:rPr>
            <w:rFonts w:ascii="Arial" w:hAnsi="Arial" w:cs="Arial"/>
            <w:noProof/>
            <w:webHidden/>
          </w:rPr>
          <w:t>6</w:t>
        </w:r>
        <w:r w:rsidR="00B518D5" w:rsidRPr="00B518D5">
          <w:rPr>
            <w:rFonts w:ascii="Arial" w:hAnsi="Arial" w:cs="Arial"/>
            <w:noProof/>
            <w:webHidden/>
          </w:rPr>
          <w:fldChar w:fldCharType="end"/>
        </w:r>
      </w:hyperlink>
    </w:p>
    <w:p w14:paraId="3F08D4C9" w14:textId="0E87F311" w:rsidR="00B518D5" w:rsidRPr="00B518D5" w:rsidRDefault="00000000">
      <w:pPr>
        <w:pStyle w:val="TOC2"/>
        <w:rPr>
          <w:rFonts w:ascii="Arial" w:eastAsiaTheme="minorEastAsia" w:hAnsi="Arial" w:cs="Arial"/>
          <w:noProof/>
        </w:rPr>
      </w:pPr>
      <w:hyperlink w:anchor="_Toc116282055" w:history="1">
        <w:r w:rsidR="00B518D5" w:rsidRPr="00B518D5">
          <w:rPr>
            <w:rStyle w:val="Hyperlink"/>
            <w:rFonts w:ascii="Arial" w:eastAsia="Calibri" w:hAnsi="Arial" w:cs="Arial"/>
            <w:noProof/>
          </w:rPr>
          <w:t>Appendix A: 2022–23 CTEIG Three-Year Budget</w:t>
        </w:r>
        <w:r w:rsidR="00B518D5" w:rsidRPr="00B518D5">
          <w:rPr>
            <w:rFonts w:ascii="Arial" w:hAnsi="Arial" w:cs="Arial"/>
            <w:noProof/>
            <w:webHidden/>
          </w:rPr>
          <w:tab/>
        </w:r>
        <w:r w:rsidR="00B518D5" w:rsidRPr="00B518D5">
          <w:rPr>
            <w:rFonts w:ascii="Arial" w:hAnsi="Arial" w:cs="Arial"/>
            <w:noProof/>
            <w:webHidden/>
          </w:rPr>
          <w:fldChar w:fldCharType="begin"/>
        </w:r>
        <w:r w:rsidR="00B518D5" w:rsidRPr="00B518D5">
          <w:rPr>
            <w:rFonts w:ascii="Arial" w:hAnsi="Arial" w:cs="Arial"/>
            <w:noProof/>
            <w:webHidden/>
          </w:rPr>
          <w:instrText xml:space="preserve"> PAGEREF _Toc116282055 \h </w:instrText>
        </w:r>
        <w:r w:rsidR="00B518D5" w:rsidRPr="00B518D5">
          <w:rPr>
            <w:rFonts w:ascii="Arial" w:hAnsi="Arial" w:cs="Arial"/>
            <w:noProof/>
            <w:webHidden/>
          </w:rPr>
        </w:r>
        <w:r w:rsidR="00B518D5" w:rsidRPr="00B518D5">
          <w:rPr>
            <w:rFonts w:ascii="Arial" w:hAnsi="Arial" w:cs="Arial"/>
            <w:noProof/>
            <w:webHidden/>
          </w:rPr>
          <w:fldChar w:fldCharType="separate"/>
        </w:r>
        <w:r w:rsidR="00E72647">
          <w:rPr>
            <w:rFonts w:ascii="Arial" w:hAnsi="Arial" w:cs="Arial"/>
            <w:noProof/>
            <w:webHidden/>
          </w:rPr>
          <w:t>9</w:t>
        </w:r>
        <w:r w:rsidR="00B518D5" w:rsidRPr="00B518D5">
          <w:rPr>
            <w:rFonts w:ascii="Arial" w:hAnsi="Arial" w:cs="Arial"/>
            <w:noProof/>
            <w:webHidden/>
          </w:rPr>
          <w:fldChar w:fldCharType="end"/>
        </w:r>
      </w:hyperlink>
    </w:p>
    <w:p w14:paraId="50D7E88D" w14:textId="6886226B" w:rsidR="00B518D5" w:rsidRDefault="00000000">
      <w:pPr>
        <w:pStyle w:val="TOC2"/>
        <w:rPr>
          <w:rFonts w:asciiTheme="minorHAnsi" w:eastAsiaTheme="minorEastAsia" w:hAnsiTheme="minorHAnsi" w:cstheme="minorBidi"/>
          <w:noProof/>
          <w:sz w:val="22"/>
          <w:szCs w:val="22"/>
        </w:rPr>
      </w:pPr>
      <w:hyperlink w:anchor="_Toc116282056" w:history="1">
        <w:r w:rsidR="00B518D5" w:rsidRPr="00B518D5">
          <w:rPr>
            <w:rStyle w:val="Hyperlink"/>
            <w:rFonts w:ascii="Arial" w:hAnsi="Arial" w:cs="Arial"/>
            <w:noProof/>
          </w:rPr>
          <w:t>Appendix B: 2022–23 CTEIG RFA Object Code Chart</w:t>
        </w:r>
        <w:r w:rsidR="00B518D5" w:rsidRPr="00B518D5">
          <w:rPr>
            <w:rFonts w:ascii="Arial" w:hAnsi="Arial" w:cs="Arial"/>
            <w:noProof/>
            <w:webHidden/>
          </w:rPr>
          <w:tab/>
        </w:r>
        <w:r w:rsidR="00B518D5" w:rsidRPr="00B518D5">
          <w:rPr>
            <w:rFonts w:ascii="Arial" w:hAnsi="Arial" w:cs="Arial"/>
            <w:noProof/>
            <w:webHidden/>
          </w:rPr>
          <w:fldChar w:fldCharType="begin"/>
        </w:r>
        <w:r w:rsidR="00B518D5" w:rsidRPr="00B518D5">
          <w:rPr>
            <w:rFonts w:ascii="Arial" w:hAnsi="Arial" w:cs="Arial"/>
            <w:noProof/>
            <w:webHidden/>
          </w:rPr>
          <w:instrText xml:space="preserve"> PAGEREF _Toc116282056 \h </w:instrText>
        </w:r>
        <w:r w:rsidR="00B518D5" w:rsidRPr="00B518D5">
          <w:rPr>
            <w:rFonts w:ascii="Arial" w:hAnsi="Arial" w:cs="Arial"/>
            <w:noProof/>
            <w:webHidden/>
          </w:rPr>
        </w:r>
        <w:r w:rsidR="00B518D5" w:rsidRPr="00B518D5">
          <w:rPr>
            <w:rFonts w:ascii="Arial" w:hAnsi="Arial" w:cs="Arial"/>
            <w:noProof/>
            <w:webHidden/>
          </w:rPr>
          <w:fldChar w:fldCharType="separate"/>
        </w:r>
        <w:r w:rsidR="00E72647">
          <w:rPr>
            <w:rFonts w:ascii="Arial" w:hAnsi="Arial" w:cs="Arial"/>
            <w:noProof/>
            <w:webHidden/>
          </w:rPr>
          <w:t>10</w:t>
        </w:r>
        <w:r w:rsidR="00B518D5" w:rsidRPr="00B518D5">
          <w:rPr>
            <w:rFonts w:ascii="Arial" w:hAnsi="Arial" w:cs="Arial"/>
            <w:noProof/>
            <w:webHidden/>
          </w:rPr>
          <w:fldChar w:fldCharType="end"/>
        </w:r>
      </w:hyperlink>
    </w:p>
    <w:p w14:paraId="231DB899" w14:textId="313A438D" w:rsidR="0028140F" w:rsidRPr="00AC4CCB" w:rsidRDefault="00B67FE3" w:rsidP="00B67FE3">
      <w:pPr>
        <w:rPr>
          <w:rFonts w:ascii="Arial" w:hAnsi="Arial" w:cs="Arial"/>
          <w:b/>
        </w:rPr>
      </w:pPr>
      <w:r w:rsidRPr="00271C6A">
        <w:rPr>
          <w:rFonts w:ascii="Arial" w:hAnsi="Arial" w:cs="Arial"/>
          <w:b/>
        </w:rPr>
        <w:fldChar w:fldCharType="end"/>
      </w:r>
      <w:r w:rsidR="0028140F" w:rsidRPr="00AC4CCB">
        <w:rPr>
          <w:rFonts w:ascii="Arial" w:hAnsi="Arial" w:cs="Arial"/>
        </w:rPr>
        <w:br w:type="page"/>
      </w:r>
    </w:p>
    <w:p w14:paraId="463F8B6A" w14:textId="77777777" w:rsidR="005B7D3D" w:rsidRPr="00425845" w:rsidRDefault="005B7D3D" w:rsidP="00271C6A">
      <w:pPr>
        <w:pStyle w:val="Heading2"/>
      </w:pPr>
      <w:bookmarkStart w:id="9" w:name="_Toc116282050"/>
      <w:bookmarkEnd w:id="8"/>
      <w:r w:rsidRPr="00425845">
        <w:lastRenderedPageBreak/>
        <w:t>Executive Summary</w:t>
      </w:r>
      <w:bookmarkEnd w:id="9"/>
    </w:p>
    <w:p w14:paraId="611CD1C9" w14:textId="2E5AF158" w:rsidR="0091505D" w:rsidRPr="00425845" w:rsidRDefault="00667A43" w:rsidP="00733B66">
      <w:pPr>
        <w:tabs>
          <w:tab w:val="right" w:pos="9360"/>
        </w:tabs>
        <w:autoSpaceDE w:val="0"/>
        <w:autoSpaceDN w:val="0"/>
        <w:adjustRightInd w:val="0"/>
        <w:spacing w:after="240"/>
        <w:rPr>
          <w:rFonts w:ascii="Arial" w:hAnsi="Arial" w:cs="Arial"/>
        </w:rPr>
      </w:pPr>
      <w:r w:rsidRPr="00425845">
        <w:rPr>
          <w:rFonts w:ascii="Arial" w:hAnsi="Arial" w:cs="Arial"/>
        </w:rPr>
        <w:t xml:space="preserve">This report is required by </w:t>
      </w:r>
      <w:r w:rsidR="00365462" w:rsidRPr="00425845">
        <w:rPr>
          <w:rFonts w:ascii="Arial" w:hAnsi="Arial" w:cs="Arial"/>
        </w:rPr>
        <w:t xml:space="preserve">California </w:t>
      </w:r>
      <w:r w:rsidR="00365462" w:rsidRPr="00425845">
        <w:rPr>
          <w:rFonts w:ascii="Arial" w:hAnsi="Arial" w:cs="Arial"/>
          <w:i/>
        </w:rPr>
        <w:t>Education Code</w:t>
      </w:r>
      <w:r w:rsidR="00365462" w:rsidRPr="00425845">
        <w:rPr>
          <w:rFonts w:ascii="Arial" w:hAnsi="Arial" w:cs="Arial"/>
        </w:rPr>
        <w:t xml:space="preserve"> (</w:t>
      </w:r>
      <w:r w:rsidR="00365462" w:rsidRPr="00425845">
        <w:rPr>
          <w:rFonts w:ascii="Arial" w:hAnsi="Arial" w:cs="Arial"/>
          <w:i/>
        </w:rPr>
        <w:t>EC</w:t>
      </w:r>
      <w:r w:rsidR="00365462" w:rsidRPr="00425845">
        <w:rPr>
          <w:rFonts w:ascii="Arial" w:hAnsi="Arial" w:cs="Arial"/>
        </w:rPr>
        <w:t xml:space="preserve">) </w:t>
      </w:r>
      <w:r w:rsidR="009A57AC" w:rsidRPr="00425845">
        <w:rPr>
          <w:rFonts w:ascii="Arial" w:hAnsi="Arial" w:cs="Arial"/>
        </w:rPr>
        <w:t>Section</w:t>
      </w:r>
      <w:r w:rsidR="001F07EC" w:rsidRPr="00425845">
        <w:rPr>
          <w:rFonts w:ascii="Arial" w:hAnsi="Arial" w:cs="Arial"/>
        </w:rPr>
        <w:t xml:space="preserve"> </w:t>
      </w:r>
      <w:r w:rsidR="00365462" w:rsidRPr="00425845">
        <w:rPr>
          <w:rFonts w:ascii="Arial" w:hAnsi="Arial" w:cs="Arial"/>
          <w:lang w:bidi="en-US"/>
        </w:rPr>
        <w:t>5307</w:t>
      </w:r>
      <w:r w:rsidR="00B44830" w:rsidRPr="00425845">
        <w:rPr>
          <w:rFonts w:ascii="Arial" w:hAnsi="Arial" w:cs="Arial"/>
          <w:lang w:bidi="en-US"/>
        </w:rPr>
        <w:t>0.1</w:t>
      </w:r>
      <w:r w:rsidR="00365462" w:rsidRPr="00425845">
        <w:rPr>
          <w:rFonts w:ascii="Arial" w:hAnsi="Arial" w:cs="Arial"/>
          <w:lang w:bidi="en-US"/>
        </w:rPr>
        <w:t>(</w:t>
      </w:r>
      <w:r w:rsidR="00B44830" w:rsidRPr="00425845">
        <w:rPr>
          <w:rFonts w:ascii="Arial" w:hAnsi="Arial" w:cs="Arial"/>
          <w:lang w:bidi="en-US"/>
        </w:rPr>
        <w:t>b</w:t>
      </w:r>
      <w:r w:rsidR="00365462" w:rsidRPr="00425845">
        <w:rPr>
          <w:rFonts w:ascii="Arial" w:hAnsi="Arial" w:cs="Arial"/>
          <w:lang w:bidi="en-US"/>
        </w:rPr>
        <w:t>)</w:t>
      </w:r>
      <w:r w:rsidR="001F07EC" w:rsidRPr="00425845">
        <w:rPr>
          <w:rFonts w:ascii="Arial" w:hAnsi="Arial" w:cs="Arial"/>
          <w:lang w:bidi="en-US"/>
        </w:rPr>
        <w:t>,</w:t>
      </w:r>
      <w:r w:rsidR="00365462" w:rsidRPr="00425845">
        <w:rPr>
          <w:rFonts w:ascii="Arial" w:hAnsi="Arial" w:cs="Arial"/>
          <w:lang w:bidi="en-US"/>
        </w:rPr>
        <w:t xml:space="preserve"> as established by </w:t>
      </w:r>
      <w:r w:rsidR="00B44830" w:rsidRPr="00425845">
        <w:rPr>
          <w:rFonts w:ascii="Arial" w:hAnsi="Arial" w:cs="Arial"/>
          <w:lang w:bidi="en-US"/>
        </w:rPr>
        <w:t>Assembly</w:t>
      </w:r>
      <w:r w:rsidR="0075112F" w:rsidRPr="00425845">
        <w:rPr>
          <w:rFonts w:ascii="Arial" w:hAnsi="Arial" w:cs="Arial"/>
          <w:lang w:bidi="en-US"/>
        </w:rPr>
        <w:t xml:space="preserve"> </w:t>
      </w:r>
      <w:r w:rsidR="00365462" w:rsidRPr="00425845">
        <w:rPr>
          <w:rFonts w:ascii="Arial" w:hAnsi="Arial" w:cs="Arial"/>
          <w:lang w:bidi="en-US"/>
        </w:rPr>
        <w:t>B</w:t>
      </w:r>
      <w:r w:rsidR="0081568C" w:rsidRPr="00425845">
        <w:rPr>
          <w:rFonts w:ascii="Arial" w:hAnsi="Arial" w:cs="Arial"/>
          <w:lang w:bidi="en-US"/>
        </w:rPr>
        <w:t>ill</w:t>
      </w:r>
      <w:r w:rsidR="0075112F" w:rsidRPr="00425845">
        <w:rPr>
          <w:rFonts w:ascii="Arial" w:hAnsi="Arial" w:cs="Arial"/>
          <w:lang w:bidi="en-US"/>
        </w:rPr>
        <w:t xml:space="preserve"> </w:t>
      </w:r>
      <w:r w:rsidR="00B44830" w:rsidRPr="00425845">
        <w:rPr>
          <w:rFonts w:ascii="Arial" w:hAnsi="Arial" w:cs="Arial"/>
          <w:lang w:bidi="en-US"/>
        </w:rPr>
        <w:t>130</w:t>
      </w:r>
      <w:r w:rsidR="00365462" w:rsidRPr="00425845">
        <w:rPr>
          <w:rFonts w:ascii="Arial" w:hAnsi="Arial" w:cs="Arial"/>
          <w:lang w:bidi="en-US"/>
        </w:rPr>
        <w:t xml:space="preserve"> (</w:t>
      </w:r>
      <w:r w:rsidR="002E7AFB" w:rsidRPr="00425845">
        <w:rPr>
          <w:rFonts w:ascii="Arial" w:hAnsi="Arial" w:cs="Arial"/>
          <w:lang w:bidi="en-US"/>
        </w:rPr>
        <w:t xml:space="preserve">Chapter </w:t>
      </w:r>
      <w:r w:rsidR="00B44830" w:rsidRPr="00425845">
        <w:rPr>
          <w:rFonts w:ascii="Arial" w:hAnsi="Arial" w:cs="Arial"/>
          <w:lang w:bidi="en-US"/>
        </w:rPr>
        <w:t>44</w:t>
      </w:r>
      <w:r w:rsidR="002E7AFB" w:rsidRPr="00425845">
        <w:rPr>
          <w:rFonts w:ascii="Arial" w:hAnsi="Arial" w:cs="Arial"/>
          <w:lang w:bidi="en-US"/>
        </w:rPr>
        <w:t>, Statutes of 20</w:t>
      </w:r>
      <w:r w:rsidR="00B44830" w:rsidRPr="00425845">
        <w:rPr>
          <w:rFonts w:ascii="Arial" w:hAnsi="Arial" w:cs="Arial"/>
          <w:lang w:bidi="en-US"/>
        </w:rPr>
        <w:t>21</w:t>
      </w:r>
      <w:r w:rsidR="002E7AFB" w:rsidRPr="00425845">
        <w:rPr>
          <w:rFonts w:ascii="Arial" w:hAnsi="Arial" w:cs="Arial"/>
          <w:lang w:bidi="en-US"/>
        </w:rPr>
        <w:t>)</w:t>
      </w:r>
      <w:r w:rsidR="00F11429" w:rsidRPr="00425845">
        <w:rPr>
          <w:rFonts w:ascii="Arial" w:hAnsi="Arial" w:cs="Arial"/>
          <w:lang w:bidi="en-US"/>
        </w:rPr>
        <w:t xml:space="preserve">. </w:t>
      </w:r>
      <w:r w:rsidR="00F11429" w:rsidRPr="00425845">
        <w:rPr>
          <w:rFonts w:ascii="Arial" w:hAnsi="Arial" w:cs="Arial"/>
        </w:rPr>
        <w:t xml:space="preserve">It </w:t>
      </w:r>
      <w:r w:rsidR="003B4EED" w:rsidRPr="00425845">
        <w:rPr>
          <w:rFonts w:ascii="Arial" w:hAnsi="Arial" w:cs="Arial"/>
        </w:rPr>
        <w:t xml:space="preserve">provides </w:t>
      </w:r>
      <w:r w:rsidR="00FC2EF8" w:rsidRPr="00425845">
        <w:rPr>
          <w:rFonts w:ascii="Arial" w:hAnsi="Arial" w:cs="Arial"/>
        </w:rPr>
        <w:t xml:space="preserve">an </w:t>
      </w:r>
      <w:r w:rsidR="002E49CE" w:rsidRPr="00425845">
        <w:rPr>
          <w:rFonts w:ascii="Arial" w:hAnsi="Arial" w:cs="Arial"/>
        </w:rPr>
        <w:t>administrative</w:t>
      </w:r>
      <w:r w:rsidR="00F11429" w:rsidRPr="00425845">
        <w:rPr>
          <w:rFonts w:ascii="Arial" w:hAnsi="Arial" w:cs="Arial"/>
        </w:rPr>
        <w:t xml:space="preserve"> </w:t>
      </w:r>
      <w:r w:rsidR="00FC2EF8" w:rsidRPr="00425845">
        <w:rPr>
          <w:rFonts w:ascii="Arial" w:hAnsi="Arial" w:cs="Arial"/>
        </w:rPr>
        <w:t>overview of</w:t>
      </w:r>
      <w:r w:rsidR="00992281" w:rsidRPr="00425845">
        <w:rPr>
          <w:rFonts w:ascii="Arial" w:hAnsi="Arial" w:cs="Arial"/>
        </w:rPr>
        <w:t xml:space="preserve"> </w:t>
      </w:r>
      <w:r w:rsidR="0072066E" w:rsidRPr="00425845">
        <w:rPr>
          <w:rFonts w:ascii="Arial" w:hAnsi="Arial" w:cs="Arial"/>
        </w:rPr>
        <w:t xml:space="preserve">various components within </w:t>
      </w:r>
      <w:r w:rsidR="00992281" w:rsidRPr="00425845">
        <w:rPr>
          <w:rFonts w:ascii="Arial" w:hAnsi="Arial" w:cs="Arial"/>
        </w:rPr>
        <w:t xml:space="preserve">the </w:t>
      </w:r>
      <w:r w:rsidR="00FC2EF8" w:rsidRPr="00425845">
        <w:rPr>
          <w:rFonts w:ascii="Arial" w:hAnsi="Arial" w:cs="Arial"/>
        </w:rPr>
        <w:t xml:space="preserve">Career Technical Education Incentive Grant (CTEIG) review </w:t>
      </w:r>
      <w:r w:rsidR="00992281" w:rsidRPr="00425845">
        <w:rPr>
          <w:rFonts w:ascii="Arial" w:hAnsi="Arial" w:cs="Arial"/>
        </w:rPr>
        <w:t xml:space="preserve">process used by the </w:t>
      </w:r>
      <w:r w:rsidR="00E730C9" w:rsidRPr="00425845">
        <w:rPr>
          <w:rFonts w:ascii="Arial" w:hAnsi="Arial" w:cs="Arial"/>
        </w:rPr>
        <w:t>California Department of Education (CDE)</w:t>
      </w:r>
      <w:r w:rsidR="00992281" w:rsidRPr="00425845">
        <w:rPr>
          <w:rFonts w:ascii="Arial" w:hAnsi="Arial" w:cs="Arial"/>
        </w:rPr>
        <w:t xml:space="preserve"> to </w:t>
      </w:r>
      <w:r w:rsidR="0072066E" w:rsidRPr="00425845">
        <w:rPr>
          <w:rFonts w:ascii="Arial" w:hAnsi="Arial" w:cs="Arial"/>
        </w:rPr>
        <w:t>assess grant applications.</w:t>
      </w:r>
      <w:r w:rsidR="00926C6E" w:rsidRPr="00425845">
        <w:rPr>
          <w:rFonts w:ascii="Arial" w:hAnsi="Arial" w:cs="Arial"/>
        </w:rPr>
        <w:t xml:space="preserve"> </w:t>
      </w:r>
    </w:p>
    <w:p w14:paraId="5BEBB041" w14:textId="2A4D5634" w:rsidR="00353D16" w:rsidRPr="00425845" w:rsidRDefault="00C868CC" w:rsidP="00733B66">
      <w:pPr>
        <w:tabs>
          <w:tab w:val="right" w:pos="9360"/>
        </w:tabs>
        <w:autoSpaceDE w:val="0"/>
        <w:autoSpaceDN w:val="0"/>
        <w:adjustRightInd w:val="0"/>
        <w:spacing w:after="240"/>
        <w:rPr>
          <w:rFonts w:ascii="Arial" w:hAnsi="Arial" w:cs="Arial"/>
        </w:rPr>
      </w:pPr>
      <w:r w:rsidRPr="00C868CC">
        <w:rPr>
          <w:rFonts w:ascii="Arial" w:hAnsi="Arial" w:cs="Arial"/>
        </w:rPr>
        <w:t>The review process, which is used to assess and verify that a CTEIG applicant meets the minimum eligibility standards in</w:t>
      </w:r>
      <w:r w:rsidRPr="00C868CC">
        <w:rPr>
          <w:rFonts w:ascii="Arial" w:hAnsi="Arial" w:cs="Arial"/>
          <w:i/>
        </w:rPr>
        <w:t xml:space="preserve"> EC</w:t>
      </w:r>
      <w:r w:rsidRPr="00C868CC">
        <w:rPr>
          <w:rFonts w:ascii="Arial" w:hAnsi="Arial" w:cs="Arial"/>
        </w:rPr>
        <w:t xml:space="preserve"> Section 53071(c) and continues to demonstrate financial and administrative support of career technical education programs found in EC Section 53071(b), remains imperative to the CDE. </w:t>
      </w:r>
      <w:r w:rsidR="008B1A4B" w:rsidRPr="003C5FE6">
        <w:rPr>
          <w:rFonts w:ascii="Arial" w:hAnsi="Arial" w:cs="Arial"/>
        </w:rPr>
        <w:t>Ensuring</w:t>
      </w:r>
      <w:r w:rsidR="00353D16" w:rsidRPr="003C5FE6">
        <w:rPr>
          <w:rFonts w:ascii="Arial" w:hAnsi="Arial" w:cs="Arial"/>
        </w:rPr>
        <w:t xml:space="preserve"> the </w:t>
      </w:r>
      <w:r w:rsidR="008B1A4B" w:rsidRPr="003C5FE6">
        <w:rPr>
          <w:rFonts w:ascii="Arial" w:hAnsi="Arial" w:cs="Arial"/>
        </w:rPr>
        <w:t xml:space="preserve">integrity of the competitive grant progress is vital to the continued success of the </w:t>
      </w:r>
      <w:r w:rsidR="00353D16" w:rsidRPr="003C5FE6">
        <w:rPr>
          <w:rFonts w:ascii="Arial" w:hAnsi="Arial" w:cs="Arial"/>
        </w:rPr>
        <w:t>CTEIG program</w:t>
      </w:r>
      <w:r w:rsidR="00626E22" w:rsidRPr="003C5FE6">
        <w:rPr>
          <w:rFonts w:ascii="Arial" w:hAnsi="Arial" w:cs="Arial"/>
        </w:rPr>
        <w:t>.</w:t>
      </w:r>
      <w:r w:rsidR="00926C6E" w:rsidRPr="00425845">
        <w:rPr>
          <w:rFonts w:ascii="Arial" w:hAnsi="Arial" w:cs="Arial"/>
        </w:rPr>
        <w:t xml:space="preserve"> </w:t>
      </w:r>
    </w:p>
    <w:p w14:paraId="764F9D3E" w14:textId="77777777" w:rsidR="00CA7EFC" w:rsidRDefault="000A79D6" w:rsidP="0028140F">
      <w:pPr>
        <w:tabs>
          <w:tab w:val="right" w:pos="9360"/>
        </w:tabs>
        <w:autoSpaceDE w:val="0"/>
        <w:autoSpaceDN w:val="0"/>
        <w:adjustRightInd w:val="0"/>
        <w:spacing w:after="240"/>
        <w:rPr>
          <w:rFonts w:ascii="Arial" w:hAnsi="Arial" w:cs="Arial"/>
        </w:rPr>
      </w:pPr>
      <w:r>
        <w:rPr>
          <w:rFonts w:ascii="Arial" w:hAnsi="Arial" w:cs="Arial"/>
        </w:rPr>
        <w:t xml:space="preserve">While steadfastly </w:t>
      </w:r>
      <w:r w:rsidR="008B1A4B" w:rsidRPr="00425845">
        <w:rPr>
          <w:rFonts w:ascii="Arial" w:hAnsi="Arial" w:cs="Arial"/>
        </w:rPr>
        <w:t xml:space="preserve">committed to the goal of continuous improvement in all areas of public administration, the CDE has provided the </w:t>
      </w:r>
      <w:r w:rsidR="00432123" w:rsidRPr="00425845">
        <w:rPr>
          <w:rFonts w:ascii="Arial" w:hAnsi="Arial" w:cs="Arial"/>
        </w:rPr>
        <w:t>requisite details of the</w:t>
      </w:r>
      <w:r w:rsidR="008B1A4B" w:rsidRPr="00425845">
        <w:rPr>
          <w:rFonts w:ascii="Arial" w:hAnsi="Arial" w:cs="Arial"/>
        </w:rPr>
        <w:t xml:space="preserve"> </w:t>
      </w:r>
      <w:r>
        <w:rPr>
          <w:rFonts w:ascii="Arial" w:hAnsi="Arial" w:cs="Arial"/>
        </w:rPr>
        <w:t xml:space="preserve">application review </w:t>
      </w:r>
      <w:r w:rsidR="008B1A4B" w:rsidRPr="00425845">
        <w:rPr>
          <w:rFonts w:ascii="Arial" w:hAnsi="Arial" w:cs="Arial"/>
        </w:rPr>
        <w:t xml:space="preserve">process currently employed to </w:t>
      </w:r>
      <w:r w:rsidR="00CC2475">
        <w:rPr>
          <w:rFonts w:ascii="Arial" w:hAnsi="Arial" w:cs="Arial"/>
        </w:rPr>
        <w:t>appropriately</w:t>
      </w:r>
      <w:r w:rsidR="00CC2475" w:rsidRPr="00425845">
        <w:rPr>
          <w:rFonts w:ascii="Arial" w:hAnsi="Arial" w:cs="Arial"/>
        </w:rPr>
        <w:t xml:space="preserve"> </w:t>
      </w:r>
      <w:r w:rsidR="008B1A4B" w:rsidRPr="00425845">
        <w:rPr>
          <w:rFonts w:ascii="Arial" w:hAnsi="Arial" w:cs="Arial"/>
        </w:rPr>
        <w:t xml:space="preserve">verify </w:t>
      </w:r>
      <w:r>
        <w:rPr>
          <w:rFonts w:ascii="Arial" w:hAnsi="Arial" w:cs="Arial"/>
        </w:rPr>
        <w:t>both</w:t>
      </w:r>
      <w:r w:rsidR="008B1A4B" w:rsidRPr="00425845">
        <w:rPr>
          <w:rFonts w:ascii="Arial" w:hAnsi="Arial" w:cs="Arial"/>
        </w:rPr>
        <w:t xml:space="preserve"> requirements </w:t>
      </w:r>
      <w:r w:rsidR="00CC2475">
        <w:rPr>
          <w:rFonts w:ascii="Arial" w:hAnsi="Arial" w:cs="Arial"/>
        </w:rPr>
        <w:t>of</w:t>
      </w:r>
      <w:r w:rsidR="008B1A4B" w:rsidRPr="00425845">
        <w:rPr>
          <w:rFonts w:ascii="Arial" w:hAnsi="Arial" w:cs="Arial"/>
        </w:rPr>
        <w:t xml:space="preserve"> </w:t>
      </w:r>
      <w:r w:rsidR="008B1A4B" w:rsidRPr="00425845">
        <w:rPr>
          <w:rFonts w:ascii="Arial" w:hAnsi="Arial" w:cs="Arial"/>
          <w:i/>
        </w:rPr>
        <w:t>EC</w:t>
      </w:r>
      <w:r w:rsidR="008B1A4B" w:rsidRPr="00425845">
        <w:rPr>
          <w:rFonts w:ascii="Arial" w:hAnsi="Arial" w:cs="Arial"/>
        </w:rPr>
        <w:t xml:space="preserve"> </w:t>
      </w:r>
      <w:r w:rsidR="00293AE3">
        <w:rPr>
          <w:rFonts w:ascii="Arial" w:hAnsi="Arial" w:cs="Arial"/>
        </w:rPr>
        <w:t>s</w:t>
      </w:r>
      <w:r w:rsidR="008B1A4B" w:rsidRPr="00425845">
        <w:rPr>
          <w:rFonts w:ascii="Arial" w:hAnsi="Arial" w:cs="Arial"/>
        </w:rPr>
        <w:t>ection</w:t>
      </w:r>
      <w:r>
        <w:rPr>
          <w:rFonts w:ascii="Arial" w:hAnsi="Arial" w:cs="Arial"/>
        </w:rPr>
        <w:t>s</w:t>
      </w:r>
      <w:r w:rsidR="008B1A4B" w:rsidRPr="00425845">
        <w:rPr>
          <w:rFonts w:ascii="Arial" w:hAnsi="Arial" w:cs="Arial"/>
        </w:rPr>
        <w:t xml:space="preserve"> 5307</w:t>
      </w:r>
      <w:r w:rsidR="004431D3">
        <w:rPr>
          <w:rFonts w:ascii="Arial" w:hAnsi="Arial" w:cs="Arial"/>
        </w:rPr>
        <w:t>1</w:t>
      </w:r>
      <w:r w:rsidR="008B1A4B" w:rsidRPr="00425845">
        <w:rPr>
          <w:rFonts w:ascii="Arial" w:hAnsi="Arial" w:cs="Arial"/>
        </w:rPr>
        <w:t>(c) and (b) within this report.</w:t>
      </w:r>
      <w:bookmarkStart w:id="10" w:name="_Hlk56427694"/>
    </w:p>
    <w:p w14:paraId="64161F82" w14:textId="5FCFFE10" w:rsidR="000838F2" w:rsidRPr="00CA7EFC" w:rsidRDefault="00DD65DB" w:rsidP="0028140F">
      <w:pPr>
        <w:tabs>
          <w:tab w:val="right" w:pos="9360"/>
        </w:tabs>
        <w:autoSpaceDE w:val="0"/>
        <w:autoSpaceDN w:val="0"/>
        <w:adjustRightInd w:val="0"/>
        <w:spacing w:after="240"/>
        <w:rPr>
          <w:rFonts w:ascii="Arial" w:hAnsi="Arial" w:cs="Arial"/>
        </w:rPr>
      </w:pPr>
      <w:r>
        <w:rPr>
          <w:rFonts w:ascii="Arial" w:hAnsi="Arial" w:cs="Arial"/>
          <w:bCs/>
        </w:rPr>
        <w:t>T</w:t>
      </w:r>
      <w:r w:rsidR="007E46D5" w:rsidRPr="00425845">
        <w:rPr>
          <w:rFonts w:ascii="Arial" w:hAnsi="Arial" w:cs="Arial"/>
          <w:bCs/>
        </w:rPr>
        <w:t xml:space="preserve">his report </w:t>
      </w:r>
      <w:r w:rsidR="003C5FE6">
        <w:rPr>
          <w:rFonts w:ascii="Arial" w:hAnsi="Arial" w:cs="Arial"/>
          <w:bCs/>
        </w:rPr>
        <w:t>is available</w:t>
      </w:r>
      <w:r>
        <w:rPr>
          <w:rFonts w:ascii="Arial" w:hAnsi="Arial" w:cs="Arial"/>
          <w:bCs/>
        </w:rPr>
        <w:t xml:space="preserve"> </w:t>
      </w:r>
      <w:r w:rsidR="001F07EC" w:rsidRPr="00425845">
        <w:rPr>
          <w:rFonts w:ascii="Arial" w:hAnsi="Arial" w:cs="Arial"/>
          <w:bCs/>
        </w:rPr>
        <w:t>on</w:t>
      </w:r>
      <w:r w:rsidR="007E46D5" w:rsidRPr="00425845">
        <w:rPr>
          <w:rFonts w:ascii="Arial" w:hAnsi="Arial" w:cs="Arial"/>
          <w:bCs/>
        </w:rPr>
        <w:t xml:space="preserve"> the </w:t>
      </w:r>
      <w:r w:rsidR="001A4B9C" w:rsidRPr="00425845">
        <w:rPr>
          <w:rFonts w:ascii="Arial" w:hAnsi="Arial" w:cs="Arial"/>
          <w:bCs/>
        </w:rPr>
        <w:t>CDE</w:t>
      </w:r>
      <w:r w:rsidR="007E46D5" w:rsidRPr="00425845">
        <w:rPr>
          <w:rFonts w:ascii="Arial" w:hAnsi="Arial" w:cs="Arial"/>
          <w:bCs/>
        </w:rPr>
        <w:t xml:space="preserve"> </w:t>
      </w:r>
      <w:r w:rsidR="00BD490A" w:rsidRPr="00425845">
        <w:rPr>
          <w:rFonts w:ascii="Arial" w:hAnsi="Arial" w:cs="Arial"/>
          <w:bCs/>
        </w:rPr>
        <w:t xml:space="preserve">CTEIG </w:t>
      </w:r>
      <w:r w:rsidR="00FA6CD8">
        <w:rPr>
          <w:rFonts w:ascii="Arial" w:hAnsi="Arial" w:cs="Arial"/>
          <w:bCs/>
        </w:rPr>
        <w:t>w</w:t>
      </w:r>
      <w:r w:rsidR="007E46D5" w:rsidRPr="00425845">
        <w:rPr>
          <w:rFonts w:ascii="Arial" w:hAnsi="Arial" w:cs="Arial"/>
          <w:bCs/>
        </w:rPr>
        <w:t xml:space="preserve">eb page </w:t>
      </w:r>
      <w:r w:rsidR="00CA7EFC">
        <w:rPr>
          <w:rFonts w:ascii="Arial" w:hAnsi="Arial" w:cs="Arial"/>
          <w:bCs/>
        </w:rPr>
        <w:t xml:space="preserve">at </w:t>
      </w:r>
      <w:hyperlink r:id="rId12" w:tooltip="CTEIG General Information" w:history="1">
        <w:r w:rsidR="00CA7EFC" w:rsidRPr="004F40A1">
          <w:rPr>
            <w:rStyle w:val="Hyperlink"/>
            <w:rFonts w:ascii="Arial" w:hAnsi="Arial" w:cs="Arial"/>
          </w:rPr>
          <w:t>https://www.cde.ca.gov/ci/ct/ig/</w:t>
        </w:r>
      </w:hyperlink>
      <w:r w:rsidR="00CA7EFC">
        <w:rPr>
          <w:rFonts w:ascii="Arial" w:hAnsi="Arial" w:cs="Arial"/>
        </w:rPr>
        <w:t xml:space="preserve">. </w:t>
      </w:r>
      <w:r w:rsidR="007E46D5" w:rsidRPr="00425845">
        <w:rPr>
          <w:rFonts w:ascii="Arial" w:hAnsi="Arial" w:cs="Arial"/>
          <w:bCs/>
        </w:rPr>
        <w:t xml:space="preserve">If you need a copy of this report </w:t>
      </w:r>
      <w:r w:rsidR="00751D35">
        <w:rPr>
          <w:rFonts w:ascii="Arial" w:hAnsi="Arial" w:cs="Arial"/>
          <w:bCs/>
        </w:rPr>
        <w:t>or have any questions regarding this report</w:t>
      </w:r>
      <w:r w:rsidR="007B738C">
        <w:rPr>
          <w:rFonts w:ascii="Arial" w:hAnsi="Arial" w:cs="Arial"/>
          <w:bCs/>
        </w:rPr>
        <w:t xml:space="preserve">, </w:t>
      </w:r>
      <w:r w:rsidR="007E46D5" w:rsidRPr="00425845">
        <w:rPr>
          <w:rFonts w:ascii="Arial" w:hAnsi="Arial" w:cs="Arial"/>
          <w:bCs/>
        </w:rPr>
        <w:t xml:space="preserve">please contact </w:t>
      </w:r>
      <w:r w:rsidR="00AD0E52" w:rsidRPr="00425845">
        <w:rPr>
          <w:rFonts w:ascii="Arial" w:hAnsi="Arial" w:cs="Arial"/>
          <w:bCs/>
        </w:rPr>
        <w:t>Colby Franklin</w:t>
      </w:r>
      <w:r w:rsidR="007E46D5" w:rsidRPr="00425845">
        <w:rPr>
          <w:rFonts w:ascii="Arial" w:hAnsi="Arial" w:cs="Arial"/>
          <w:bCs/>
        </w:rPr>
        <w:t>, Education Administrator</w:t>
      </w:r>
      <w:r w:rsidR="00B04D44" w:rsidRPr="00425845">
        <w:rPr>
          <w:rFonts w:ascii="Arial" w:hAnsi="Arial" w:cs="Arial"/>
          <w:bCs/>
        </w:rPr>
        <w:t xml:space="preserve"> I</w:t>
      </w:r>
      <w:r w:rsidR="007E46D5" w:rsidRPr="00425845">
        <w:rPr>
          <w:rFonts w:ascii="Arial" w:hAnsi="Arial" w:cs="Arial"/>
          <w:bCs/>
        </w:rPr>
        <w:t>, Career and College Transition Division, at</w:t>
      </w:r>
      <w:r w:rsidR="00AD0E52" w:rsidRPr="00425845">
        <w:rPr>
          <w:rFonts w:ascii="Arial" w:hAnsi="Arial" w:cs="Arial"/>
          <w:bCs/>
        </w:rPr>
        <w:t xml:space="preserve"> </w:t>
      </w:r>
      <w:hyperlink r:id="rId13" w:history="1">
        <w:r w:rsidR="00AD0E52" w:rsidRPr="00425845">
          <w:rPr>
            <w:rStyle w:val="Hyperlink"/>
            <w:rFonts w:ascii="Arial" w:hAnsi="Arial" w:cs="Arial"/>
            <w:bCs/>
          </w:rPr>
          <w:t>cfranklin@cde.ca.gov</w:t>
        </w:r>
      </w:hyperlink>
      <w:r w:rsidR="00155C30" w:rsidRPr="00425845">
        <w:rPr>
          <w:rFonts w:ascii="Arial" w:hAnsi="Arial" w:cs="Arial"/>
          <w:bCs/>
        </w:rPr>
        <w:t>.</w:t>
      </w:r>
    </w:p>
    <w:p w14:paraId="3FC39CB6" w14:textId="77777777" w:rsidR="00710481" w:rsidRPr="00425845" w:rsidRDefault="00710481">
      <w:pPr>
        <w:rPr>
          <w:rFonts w:ascii="Arial" w:hAnsi="Arial" w:cs="Arial"/>
          <w:iCs/>
        </w:rPr>
      </w:pPr>
      <w:r w:rsidRPr="00425845">
        <w:rPr>
          <w:rFonts w:ascii="Arial" w:hAnsi="Arial" w:cs="Arial"/>
          <w:b/>
          <w:iCs/>
        </w:rPr>
        <w:br w:type="page"/>
      </w:r>
    </w:p>
    <w:p w14:paraId="4C682471" w14:textId="77777777" w:rsidR="004D71AB" w:rsidRPr="00271C6A" w:rsidRDefault="00873A57" w:rsidP="00271C6A">
      <w:pPr>
        <w:pStyle w:val="Heading2"/>
      </w:pPr>
      <w:bookmarkStart w:id="11" w:name="_Toc116282051"/>
      <w:bookmarkEnd w:id="10"/>
      <w:r w:rsidRPr="00271C6A">
        <w:lastRenderedPageBreak/>
        <w:t>Introduction</w:t>
      </w:r>
      <w:bookmarkEnd w:id="11"/>
    </w:p>
    <w:p w14:paraId="01AE94E9" w14:textId="1B9DD59B" w:rsidR="003C644B" w:rsidRPr="00271C6A" w:rsidRDefault="005E6DB8" w:rsidP="004D71AB">
      <w:pPr>
        <w:spacing w:after="240"/>
        <w:rPr>
          <w:rFonts w:ascii="Arial" w:hAnsi="Arial" w:cs="Arial"/>
          <w:lang w:val="en"/>
        </w:rPr>
      </w:pPr>
      <w:r>
        <w:rPr>
          <w:rFonts w:ascii="Arial" w:hAnsi="Arial" w:cs="Arial"/>
          <w:lang w:val="en"/>
        </w:rPr>
        <w:t>In 2015, the</w:t>
      </w:r>
      <w:r w:rsidR="003C644B" w:rsidRPr="00425845">
        <w:rPr>
          <w:rFonts w:ascii="Arial" w:hAnsi="Arial" w:cs="Arial"/>
          <w:lang w:val="en"/>
        </w:rPr>
        <w:t xml:space="preserve"> C</w:t>
      </w:r>
      <w:r w:rsidR="00271C6A">
        <w:rPr>
          <w:rFonts w:ascii="Arial" w:hAnsi="Arial" w:cs="Arial"/>
          <w:lang w:val="en"/>
        </w:rPr>
        <w:t>areer Technical Education Incentive Grant (C</w:t>
      </w:r>
      <w:r w:rsidR="003C644B" w:rsidRPr="00425845">
        <w:rPr>
          <w:rFonts w:ascii="Arial" w:hAnsi="Arial" w:cs="Arial"/>
          <w:lang w:val="en"/>
        </w:rPr>
        <w:t>TEIG</w:t>
      </w:r>
      <w:r w:rsidR="00271C6A">
        <w:rPr>
          <w:rFonts w:ascii="Arial" w:hAnsi="Arial" w:cs="Arial"/>
          <w:lang w:val="en"/>
        </w:rPr>
        <w:t>)</w:t>
      </w:r>
      <w:r w:rsidR="003C644B" w:rsidRPr="00425845">
        <w:rPr>
          <w:rFonts w:ascii="Arial" w:hAnsi="Arial" w:cs="Arial"/>
          <w:lang w:val="en"/>
        </w:rPr>
        <w:t xml:space="preserve"> </w:t>
      </w:r>
      <w:r w:rsidR="00EE0FD6">
        <w:rPr>
          <w:rFonts w:ascii="Arial" w:hAnsi="Arial" w:cs="Arial"/>
          <w:lang w:val="en"/>
        </w:rPr>
        <w:t xml:space="preserve">program </w:t>
      </w:r>
      <w:r w:rsidR="003C644B" w:rsidRPr="00425845">
        <w:rPr>
          <w:rFonts w:ascii="Arial" w:hAnsi="Arial" w:cs="Arial"/>
          <w:lang w:val="en"/>
        </w:rPr>
        <w:t xml:space="preserve">was created as a state education, economic, and workforce development initiative to provide pupils in kindergarten through grade twelve (K–12) with the knowledge and skills necessary to transition from secondary education to postsecondary education and living-wage employment. The </w:t>
      </w:r>
      <w:r>
        <w:rPr>
          <w:rFonts w:ascii="Arial" w:hAnsi="Arial" w:cs="Arial"/>
          <w:lang w:val="en"/>
        </w:rPr>
        <w:t xml:space="preserve">sustaining </w:t>
      </w:r>
      <w:r w:rsidR="003C644B" w:rsidRPr="00425845">
        <w:rPr>
          <w:rFonts w:ascii="Arial" w:hAnsi="Arial" w:cs="Arial"/>
          <w:lang w:val="en"/>
        </w:rPr>
        <w:t xml:space="preserve">purpose of the </w:t>
      </w:r>
      <w:r>
        <w:rPr>
          <w:rFonts w:ascii="Arial" w:hAnsi="Arial" w:cs="Arial"/>
          <w:lang w:val="en"/>
        </w:rPr>
        <w:t>program</w:t>
      </w:r>
      <w:r w:rsidR="003C644B" w:rsidRPr="00425845">
        <w:rPr>
          <w:rFonts w:ascii="Arial" w:hAnsi="Arial" w:cs="Arial"/>
          <w:lang w:val="en"/>
        </w:rPr>
        <w:t xml:space="preserve"> is to encourage, maintain, and strengthen the delivery </w:t>
      </w:r>
      <w:r w:rsidR="004C6E83" w:rsidRPr="00425845">
        <w:rPr>
          <w:rFonts w:ascii="Arial" w:hAnsi="Arial" w:cs="Arial"/>
          <w:lang w:val="en"/>
        </w:rPr>
        <w:t xml:space="preserve">and administration </w:t>
      </w:r>
      <w:r w:rsidR="003C644B" w:rsidRPr="00425845">
        <w:rPr>
          <w:rFonts w:ascii="Arial" w:hAnsi="Arial" w:cs="Arial"/>
          <w:lang w:val="en"/>
        </w:rPr>
        <w:t xml:space="preserve">of high-quality </w:t>
      </w:r>
      <w:r w:rsidR="00271C6A">
        <w:rPr>
          <w:rFonts w:ascii="Arial" w:hAnsi="Arial" w:cs="Arial"/>
          <w:lang w:val="en"/>
        </w:rPr>
        <w:t>career technical education (</w:t>
      </w:r>
      <w:r w:rsidR="003C644B" w:rsidRPr="00425845">
        <w:rPr>
          <w:rFonts w:ascii="Arial" w:hAnsi="Arial" w:cs="Arial"/>
          <w:lang w:val="en"/>
        </w:rPr>
        <w:t>CTE</w:t>
      </w:r>
      <w:r w:rsidR="00271C6A">
        <w:rPr>
          <w:rFonts w:ascii="Arial" w:hAnsi="Arial" w:cs="Arial"/>
          <w:lang w:val="en"/>
        </w:rPr>
        <w:t>)</w:t>
      </w:r>
      <w:r w:rsidR="003C644B" w:rsidRPr="00425845">
        <w:rPr>
          <w:rFonts w:ascii="Arial" w:hAnsi="Arial" w:cs="Arial"/>
          <w:lang w:val="en"/>
        </w:rPr>
        <w:t xml:space="preserve"> programs by K–12 </w:t>
      </w:r>
      <w:r w:rsidR="007B738C">
        <w:rPr>
          <w:rFonts w:ascii="Arial" w:hAnsi="Arial" w:cs="Arial"/>
          <w:lang w:val="en"/>
        </w:rPr>
        <w:t>l</w:t>
      </w:r>
      <w:r w:rsidR="00C30A0A">
        <w:rPr>
          <w:rFonts w:ascii="Arial" w:hAnsi="Arial" w:cs="Arial"/>
          <w:lang w:val="en"/>
        </w:rPr>
        <w:t xml:space="preserve">ocal </w:t>
      </w:r>
      <w:r w:rsidR="007B738C">
        <w:rPr>
          <w:rFonts w:ascii="Arial" w:hAnsi="Arial" w:cs="Arial"/>
          <w:lang w:val="en"/>
        </w:rPr>
        <w:t>e</w:t>
      </w:r>
      <w:r w:rsidR="00C30A0A">
        <w:rPr>
          <w:rFonts w:ascii="Arial" w:hAnsi="Arial" w:cs="Arial"/>
          <w:lang w:val="en"/>
        </w:rPr>
        <w:t>ducation</w:t>
      </w:r>
      <w:r w:rsidR="00271C6A">
        <w:rPr>
          <w:rFonts w:ascii="Arial" w:hAnsi="Arial" w:cs="Arial"/>
          <w:lang w:val="en"/>
        </w:rPr>
        <w:t>al</w:t>
      </w:r>
      <w:r w:rsidR="00C30A0A">
        <w:rPr>
          <w:rFonts w:ascii="Arial" w:hAnsi="Arial" w:cs="Arial"/>
          <w:lang w:val="en"/>
        </w:rPr>
        <w:t xml:space="preserve"> </w:t>
      </w:r>
      <w:r w:rsidR="007B738C">
        <w:rPr>
          <w:rFonts w:ascii="Arial" w:hAnsi="Arial" w:cs="Arial"/>
          <w:lang w:val="en"/>
        </w:rPr>
        <w:t>a</w:t>
      </w:r>
      <w:r w:rsidR="00C30A0A">
        <w:rPr>
          <w:rFonts w:ascii="Arial" w:hAnsi="Arial" w:cs="Arial"/>
          <w:lang w:val="en"/>
        </w:rPr>
        <w:t>gencies (LEA</w:t>
      </w:r>
      <w:r w:rsidR="007B738C">
        <w:rPr>
          <w:rFonts w:ascii="Arial" w:hAnsi="Arial" w:cs="Arial"/>
          <w:lang w:val="en"/>
        </w:rPr>
        <w:t>s</w:t>
      </w:r>
      <w:r w:rsidR="00C30A0A">
        <w:rPr>
          <w:rFonts w:ascii="Arial" w:hAnsi="Arial" w:cs="Arial"/>
          <w:lang w:val="en"/>
        </w:rPr>
        <w:t>).</w:t>
      </w:r>
    </w:p>
    <w:p w14:paraId="6EF04B69" w14:textId="3AC9E197" w:rsidR="00E81494" w:rsidRPr="00425845" w:rsidRDefault="00E81494" w:rsidP="00E55E6B">
      <w:pPr>
        <w:spacing w:after="240"/>
        <w:rPr>
          <w:rFonts w:ascii="Arial" w:hAnsi="Arial" w:cs="Arial"/>
        </w:rPr>
      </w:pPr>
      <w:r w:rsidRPr="00425845">
        <w:rPr>
          <w:rFonts w:ascii="Arial" w:hAnsi="Arial" w:cs="Arial"/>
        </w:rPr>
        <w:t xml:space="preserve">Five years removed from the </w:t>
      </w:r>
      <w:r w:rsidR="007B738C" w:rsidRPr="00425845">
        <w:rPr>
          <w:rFonts w:ascii="Arial" w:hAnsi="Arial" w:cs="Arial"/>
        </w:rPr>
        <w:t xml:space="preserve">loss of categorial CTE funds </w:t>
      </w:r>
      <w:r w:rsidR="007B738C">
        <w:rPr>
          <w:rFonts w:ascii="Arial" w:hAnsi="Arial" w:cs="Arial"/>
        </w:rPr>
        <w:t xml:space="preserve">and two years after the </w:t>
      </w:r>
      <w:r w:rsidRPr="00425845">
        <w:rPr>
          <w:rFonts w:ascii="Arial" w:hAnsi="Arial" w:cs="Arial"/>
        </w:rPr>
        <w:t>implementation of the Local Control Funding Formula, A</w:t>
      </w:r>
      <w:r w:rsidR="00FA6CD8">
        <w:rPr>
          <w:rFonts w:ascii="Arial" w:hAnsi="Arial" w:cs="Arial"/>
        </w:rPr>
        <w:t xml:space="preserve">ssembly </w:t>
      </w:r>
      <w:r w:rsidR="00C54D7A">
        <w:rPr>
          <w:rFonts w:ascii="Arial" w:hAnsi="Arial" w:cs="Arial"/>
        </w:rPr>
        <w:t>B</w:t>
      </w:r>
      <w:r w:rsidR="00FA6CD8">
        <w:rPr>
          <w:rFonts w:ascii="Arial" w:hAnsi="Arial" w:cs="Arial"/>
        </w:rPr>
        <w:t>ill</w:t>
      </w:r>
      <w:r w:rsidR="003C5FE6">
        <w:rPr>
          <w:rFonts w:ascii="Arial" w:hAnsi="Arial" w:cs="Arial"/>
        </w:rPr>
        <w:t xml:space="preserve"> (AB)</w:t>
      </w:r>
      <w:r w:rsidR="00C54D7A">
        <w:rPr>
          <w:rFonts w:ascii="Arial" w:hAnsi="Arial" w:cs="Arial"/>
        </w:rPr>
        <w:t xml:space="preserve"> </w:t>
      </w:r>
      <w:r w:rsidRPr="00425845">
        <w:rPr>
          <w:rFonts w:ascii="Arial" w:hAnsi="Arial" w:cs="Arial"/>
        </w:rPr>
        <w:t>104 (</w:t>
      </w:r>
      <w:r w:rsidR="009E0C70" w:rsidRPr="00425845">
        <w:rPr>
          <w:rFonts w:ascii="Arial" w:hAnsi="Arial" w:cs="Arial"/>
        </w:rPr>
        <w:t xml:space="preserve">Chapter 13, </w:t>
      </w:r>
      <w:r w:rsidRPr="00425845">
        <w:rPr>
          <w:rFonts w:ascii="Arial" w:hAnsi="Arial" w:cs="Arial"/>
        </w:rPr>
        <w:t xml:space="preserve">Statutes of 2015) created the CTEIG program as a three-year infusion of grant funds solely dedicated </w:t>
      </w:r>
      <w:r w:rsidR="003C5FE6">
        <w:rPr>
          <w:rFonts w:ascii="Arial" w:hAnsi="Arial" w:cs="Arial"/>
        </w:rPr>
        <w:t>to</w:t>
      </w:r>
      <w:r w:rsidRPr="00425845">
        <w:rPr>
          <w:rFonts w:ascii="Arial" w:hAnsi="Arial" w:cs="Arial"/>
        </w:rPr>
        <w:t xml:space="preserve"> CTE programs in California. The funds were distributed sequentially by grant years (2015–16 through 2017–18) in increments of $400 million, $300 million, and $200 million, respectively. In 2018–19, the</w:t>
      </w:r>
      <w:r w:rsidR="003C5FE6">
        <w:rPr>
          <w:rFonts w:ascii="Arial" w:hAnsi="Arial" w:cs="Arial"/>
        </w:rPr>
        <w:t xml:space="preserve"> California State</w:t>
      </w:r>
      <w:r w:rsidRPr="00425845">
        <w:rPr>
          <w:rFonts w:ascii="Arial" w:hAnsi="Arial" w:cs="Arial"/>
        </w:rPr>
        <w:t xml:space="preserve"> Legislature established the CTEIG program as an annual appropriation of $150 million in the K–12 education trailer bill, AB 1808 (Chapter 32, Statutes of 2018).</w:t>
      </w:r>
    </w:p>
    <w:p w14:paraId="540B8CDF" w14:textId="5FCED34B" w:rsidR="00E81494" w:rsidRPr="00425845" w:rsidRDefault="00E81494" w:rsidP="00E55E6B">
      <w:pPr>
        <w:spacing w:after="240"/>
        <w:rPr>
          <w:rFonts w:ascii="Arial" w:hAnsi="Arial" w:cs="Arial"/>
        </w:rPr>
      </w:pPr>
      <w:r w:rsidRPr="00425845">
        <w:rPr>
          <w:rFonts w:ascii="Arial" w:hAnsi="Arial" w:cs="Arial"/>
        </w:rPr>
        <w:t xml:space="preserve">In addition to establishing CTEIG as an annual appropriation, AB 1808 (Chapter 32, Statutes of 2018) required the </w:t>
      </w:r>
      <w:r w:rsidR="00271C6A">
        <w:rPr>
          <w:rFonts w:ascii="Arial" w:hAnsi="Arial" w:cs="Arial"/>
        </w:rPr>
        <w:t>C</w:t>
      </w:r>
      <w:r w:rsidR="00FA6CD8">
        <w:rPr>
          <w:rFonts w:ascii="Arial" w:hAnsi="Arial" w:cs="Arial"/>
        </w:rPr>
        <w:t xml:space="preserve">alifornia </w:t>
      </w:r>
      <w:r w:rsidRPr="00425845">
        <w:rPr>
          <w:rFonts w:ascii="Arial" w:hAnsi="Arial" w:cs="Arial"/>
        </w:rPr>
        <w:t>D</w:t>
      </w:r>
      <w:r w:rsidR="00FA6CD8">
        <w:rPr>
          <w:rFonts w:ascii="Arial" w:hAnsi="Arial" w:cs="Arial"/>
        </w:rPr>
        <w:t xml:space="preserve">epartment of </w:t>
      </w:r>
      <w:r w:rsidRPr="00425845">
        <w:rPr>
          <w:rFonts w:ascii="Arial" w:hAnsi="Arial" w:cs="Arial"/>
        </w:rPr>
        <w:t>E</w:t>
      </w:r>
      <w:r w:rsidR="00FA6CD8">
        <w:rPr>
          <w:rFonts w:ascii="Arial" w:hAnsi="Arial" w:cs="Arial"/>
        </w:rPr>
        <w:t>ducation (CDE)</w:t>
      </w:r>
      <w:r w:rsidRPr="00425845">
        <w:rPr>
          <w:rFonts w:ascii="Arial" w:hAnsi="Arial" w:cs="Arial"/>
        </w:rPr>
        <w:t xml:space="preserve"> to produce a report regarding </w:t>
      </w:r>
      <w:r w:rsidR="009E0C70" w:rsidRPr="00425845">
        <w:rPr>
          <w:rFonts w:ascii="Arial" w:hAnsi="Arial" w:cs="Arial"/>
        </w:rPr>
        <w:t xml:space="preserve">the internal process used to verify </w:t>
      </w:r>
      <w:r w:rsidR="003C5FE6">
        <w:rPr>
          <w:rFonts w:ascii="Arial" w:hAnsi="Arial" w:cs="Arial"/>
        </w:rPr>
        <w:t xml:space="preserve">that </w:t>
      </w:r>
      <w:r w:rsidR="009E0C70" w:rsidRPr="00425845">
        <w:rPr>
          <w:rFonts w:ascii="Arial" w:hAnsi="Arial" w:cs="Arial"/>
        </w:rPr>
        <w:t xml:space="preserve">applicants have met the grant criteria listed </w:t>
      </w:r>
      <w:r w:rsidRPr="00425845">
        <w:rPr>
          <w:rFonts w:ascii="Arial" w:hAnsi="Arial" w:cs="Arial"/>
        </w:rPr>
        <w:t xml:space="preserve">in </w:t>
      </w:r>
      <w:r w:rsidR="00271C6A">
        <w:rPr>
          <w:rFonts w:ascii="Arial" w:hAnsi="Arial" w:cs="Arial"/>
          <w:i/>
        </w:rPr>
        <w:t>E</w:t>
      </w:r>
      <w:r w:rsidRPr="005161CB">
        <w:rPr>
          <w:rFonts w:ascii="Arial" w:hAnsi="Arial" w:cs="Arial"/>
          <w:i/>
        </w:rPr>
        <w:t>C</w:t>
      </w:r>
      <w:r w:rsidR="00271C6A">
        <w:rPr>
          <w:rFonts w:ascii="Arial" w:hAnsi="Arial" w:cs="Arial"/>
          <w:i/>
        </w:rPr>
        <w:t xml:space="preserve"> </w:t>
      </w:r>
      <w:r w:rsidR="00271C6A" w:rsidRPr="00271C6A">
        <w:rPr>
          <w:rFonts w:ascii="Arial" w:hAnsi="Arial" w:cs="Arial"/>
        </w:rPr>
        <w:t>Section</w:t>
      </w:r>
      <w:r w:rsidR="009E0C70" w:rsidRPr="00425845">
        <w:rPr>
          <w:rFonts w:ascii="Arial" w:hAnsi="Arial" w:cs="Arial"/>
        </w:rPr>
        <w:t xml:space="preserve"> 5307</w:t>
      </w:r>
      <w:r w:rsidR="00326CD5">
        <w:rPr>
          <w:rFonts w:ascii="Arial" w:hAnsi="Arial" w:cs="Arial"/>
        </w:rPr>
        <w:t>1</w:t>
      </w:r>
      <w:r w:rsidR="009E0C70" w:rsidRPr="00425845">
        <w:rPr>
          <w:rFonts w:ascii="Arial" w:hAnsi="Arial" w:cs="Arial"/>
        </w:rPr>
        <w:t>(b) and (c)</w:t>
      </w:r>
      <w:r w:rsidR="00E731A2">
        <w:rPr>
          <w:rFonts w:ascii="Arial" w:hAnsi="Arial" w:cs="Arial"/>
        </w:rPr>
        <w:t>,</w:t>
      </w:r>
      <w:r w:rsidR="005161CB">
        <w:rPr>
          <w:rFonts w:ascii="Arial" w:hAnsi="Arial" w:cs="Arial"/>
        </w:rPr>
        <w:t xml:space="preserve"> and referenced in </w:t>
      </w:r>
      <w:r w:rsidR="005161CB" w:rsidRPr="005161CB">
        <w:rPr>
          <w:rFonts w:ascii="Arial" w:hAnsi="Arial" w:cs="Arial"/>
          <w:i/>
        </w:rPr>
        <w:t>EC</w:t>
      </w:r>
      <w:r w:rsidR="005161CB">
        <w:rPr>
          <w:rFonts w:ascii="Arial" w:hAnsi="Arial" w:cs="Arial"/>
        </w:rPr>
        <w:t xml:space="preserve"> Section 53070.1(a),</w:t>
      </w:r>
      <w:r w:rsidRPr="00425845">
        <w:rPr>
          <w:rFonts w:ascii="Arial" w:hAnsi="Arial" w:cs="Arial"/>
        </w:rPr>
        <w:t xml:space="preserve"> prior to the distribution of 2018–19 grant funds.</w:t>
      </w:r>
    </w:p>
    <w:p w14:paraId="771AF981" w14:textId="74888723" w:rsidR="009E0C70" w:rsidRPr="00425845" w:rsidRDefault="00105AEB" w:rsidP="00E55E6B">
      <w:pPr>
        <w:spacing w:after="240"/>
        <w:rPr>
          <w:rFonts w:ascii="Arial" w:hAnsi="Arial" w:cs="Arial"/>
        </w:rPr>
      </w:pPr>
      <w:r w:rsidRPr="00425845">
        <w:rPr>
          <w:rFonts w:ascii="Arial" w:hAnsi="Arial" w:cs="Arial"/>
        </w:rPr>
        <w:t>AB 130 (</w:t>
      </w:r>
      <w:r w:rsidR="00DC2605" w:rsidRPr="00425845">
        <w:rPr>
          <w:rFonts w:ascii="Arial" w:hAnsi="Arial" w:cs="Arial"/>
        </w:rPr>
        <w:t xml:space="preserve">Chapter 44, Statutes of 2021) increased the </w:t>
      </w:r>
      <w:r w:rsidR="002E49CE" w:rsidRPr="00425845">
        <w:rPr>
          <w:rFonts w:ascii="Arial" w:hAnsi="Arial" w:cs="Arial"/>
        </w:rPr>
        <w:t xml:space="preserve">annual </w:t>
      </w:r>
      <w:r w:rsidR="00DC2605" w:rsidRPr="00425845">
        <w:rPr>
          <w:rFonts w:ascii="Arial" w:hAnsi="Arial" w:cs="Arial"/>
        </w:rPr>
        <w:t>CTEIG appropriation from $150 million to $300 million.</w:t>
      </w:r>
      <w:r w:rsidR="002E49CE" w:rsidRPr="00425845">
        <w:rPr>
          <w:rFonts w:ascii="Arial" w:hAnsi="Arial" w:cs="Arial"/>
        </w:rPr>
        <w:t xml:space="preserve"> </w:t>
      </w:r>
      <w:r w:rsidR="003E0D97" w:rsidRPr="00425845">
        <w:rPr>
          <w:rFonts w:ascii="Arial" w:hAnsi="Arial" w:cs="Arial"/>
        </w:rPr>
        <w:t>Similar to AB 1808 (Chapter 32, Statutes of 2018)</w:t>
      </w:r>
      <w:r w:rsidR="00C42E2E" w:rsidRPr="00425845">
        <w:rPr>
          <w:rFonts w:ascii="Arial" w:hAnsi="Arial" w:cs="Arial"/>
        </w:rPr>
        <w:t>, AB 130 (Chapter 44, Statutes of 2021) require</w:t>
      </w:r>
      <w:r w:rsidR="007D335E">
        <w:rPr>
          <w:rFonts w:ascii="Arial" w:hAnsi="Arial" w:cs="Arial"/>
        </w:rPr>
        <w:t>d</w:t>
      </w:r>
      <w:r w:rsidR="00C42E2E" w:rsidRPr="00425845">
        <w:rPr>
          <w:rFonts w:ascii="Arial" w:hAnsi="Arial" w:cs="Arial"/>
        </w:rPr>
        <w:t xml:space="preserve"> </w:t>
      </w:r>
      <w:r w:rsidR="005161CB">
        <w:rPr>
          <w:rFonts w:ascii="Arial" w:hAnsi="Arial" w:cs="Arial"/>
        </w:rPr>
        <w:t xml:space="preserve">the </w:t>
      </w:r>
      <w:r w:rsidR="00A346FF" w:rsidRPr="00425845">
        <w:rPr>
          <w:rFonts w:ascii="Arial" w:hAnsi="Arial" w:cs="Arial"/>
        </w:rPr>
        <w:t xml:space="preserve">CDE to deliver </w:t>
      </w:r>
      <w:r w:rsidR="00C42E2E" w:rsidRPr="00425845">
        <w:rPr>
          <w:rFonts w:ascii="Arial" w:hAnsi="Arial" w:cs="Arial"/>
        </w:rPr>
        <w:t>a</w:t>
      </w:r>
      <w:r w:rsidR="00317136">
        <w:rPr>
          <w:rFonts w:ascii="Arial" w:hAnsi="Arial" w:cs="Arial"/>
        </w:rPr>
        <w:t>n updated</w:t>
      </w:r>
      <w:r w:rsidR="009E0C70" w:rsidRPr="00425845">
        <w:rPr>
          <w:rFonts w:ascii="Arial" w:hAnsi="Arial" w:cs="Arial"/>
        </w:rPr>
        <w:t xml:space="preserve"> </w:t>
      </w:r>
      <w:r w:rsidR="00C42E2E" w:rsidRPr="00425845">
        <w:rPr>
          <w:rFonts w:ascii="Arial" w:hAnsi="Arial" w:cs="Arial"/>
        </w:rPr>
        <w:t xml:space="preserve">report </w:t>
      </w:r>
      <w:r w:rsidR="009E0C70" w:rsidRPr="00425845">
        <w:rPr>
          <w:rFonts w:ascii="Arial" w:hAnsi="Arial" w:cs="Arial"/>
        </w:rPr>
        <w:t xml:space="preserve">to </w:t>
      </w:r>
      <w:r w:rsidR="002A71FC">
        <w:rPr>
          <w:rFonts w:ascii="Arial" w:hAnsi="Arial" w:cs="Arial"/>
        </w:rPr>
        <w:t xml:space="preserve">the original requirements </w:t>
      </w:r>
      <w:r w:rsidR="009E0C70" w:rsidRPr="00425845">
        <w:rPr>
          <w:rFonts w:ascii="Arial" w:hAnsi="Arial" w:cs="Arial"/>
        </w:rPr>
        <w:t>in AB 1808 (Chapter 32, Statutes of 2018) prior to the distribution of 2021–22 CTEIG funds.</w:t>
      </w:r>
      <w:r w:rsidR="0066152E">
        <w:rPr>
          <w:rFonts w:ascii="Arial" w:hAnsi="Arial" w:cs="Arial"/>
        </w:rPr>
        <w:t xml:space="preserve"> Th</w:t>
      </w:r>
      <w:r w:rsidR="00AF1FD6">
        <w:rPr>
          <w:rFonts w:ascii="Arial" w:hAnsi="Arial" w:cs="Arial"/>
        </w:rPr>
        <w:t xml:space="preserve">e updated 2021–22 </w:t>
      </w:r>
      <w:r w:rsidR="0066152E">
        <w:rPr>
          <w:rFonts w:ascii="Arial" w:hAnsi="Arial" w:cs="Arial"/>
        </w:rPr>
        <w:t xml:space="preserve">report was submitted to </w:t>
      </w:r>
      <w:r w:rsidR="00E731A2">
        <w:rPr>
          <w:rFonts w:ascii="Arial" w:hAnsi="Arial" w:cs="Arial"/>
        </w:rPr>
        <w:t xml:space="preserve">the Governor, </w:t>
      </w:r>
      <w:r w:rsidR="00265B81">
        <w:rPr>
          <w:rFonts w:ascii="Arial" w:hAnsi="Arial" w:cs="Arial"/>
        </w:rPr>
        <w:t xml:space="preserve">the </w:t>
      </w:r>
      <w:r w:rsidR="0066152E">
        <w:rPr>
          <w:rFonts w:ascii="Arial" w:hAnsi="Arial" w:cs="Arial"/>
        </w:rPr>
        <w:t>Legislature,</w:t>
      </w:r>
      <w:r w:rsidR="00265B81">
        <w:rPr>
          <w:rFonts w:ascii="Arial" w:hAnsi="Arial" w:cs="Arial"/>
        </w:rPr>
        <w:t xml:space="preserve"> </w:t>
      </w:r>
      <w:r w:rsidR="00E731A2">
        <w:rPr>
          <w:rFonts w:ascii="Arial" w:hAnsi="Arial" w:cs="Arial"/>
        </w:rPr>
        <w:t xml:space="preserve">and </w:t>
      </w:r>
      <w:r w:rsidR="00265B81">
        <w:rPr>
          <w:rFonts w:ascii="Arial" w:hAnsi="Arial" w:cs="Arial"/>
        </w:rPr>
        <w:t>the</w:t>
      </w:r>
      <w:r w:rsidR="0066152E">
        <w:rPr>
          <w:rFonts w:ascii="Arial" w:hAnsi="Arial" w:cs="Arial"/>
        </w:rPr>
        <w:t xml:space="preserve"> Department of Finance</w:t>
      </w:r>
      <w:r w:rsidR="00AF1FD6">
        <w:rPr>
          <w:rFonts w:ascii="Arial" w:hAnsi="Arial" w:cs="Arial"/>
        </w:rPr>
        <w:t xml:space="preserve"> on March 9, 2022.</w:t>
      </w:r>
    </w:p>
    <w:p w14:paraId="3617832D" w14:textId="6B82E055" w:rsidR="00961752" w:rsidRDefault="002A77B4" w:rsidP="00293AE3">
      <w:pPr>
        <w:spacing w:after="240"/>
        <w:rPr>
          <w:rFonts w:ascii="Arial" w:hAnsi="Arial" w:cs="Arial"/>
        </w:rPr>
      </w:pPr>
      <w:r w:rsidRPr="00425845">
        <w:rPr>
          <w:rFonts w:ascii="Arial" w:hAnsi="Arial" w:cs="Arial"/>
        </w:rPr>
        <w:t xml:space="preserve">This report provides </w:t>
      </w:r>
      <w:r w:rsidR="0066152E">
        <w:rPr>
          <w:rFonts w:ascii="Arial" w:hAnsi="Arial" w:cs="Arial"/>
        </w:rPr>
        <w:t xml:space="preserve">the annual update </w:t>
      </w:r>
      <w:r w:rsidR="007D335E">
        <w:rPr>
          <w:rFonts w:ascii="Arial" w:hAnsi="Arial" w:cs="Arial"/>
        </w:rPr>
        <w:t xml:space="preserve">required in </w:t>
      </w:r>
      <w:r w:rsidR="007D335E">
        <w:rPr>
          <w:rFonts w:ascii="Arial" w:hAnsi="Arial" w:cs="Arial"/>
          <w:i/>
        </w:rPr>
        <w:t>E</w:t>
      </w:r>
      <w:r w:rsidR="007D335E" w:rsidRPr="005161CB">
        <w:rPr>
          <w:rFonts w:ascii="Arial" w:hAnsi="Arial" w:cs="Arial"/>
          <w:i/>
        </w:rPr>
        <w:t>C</w:t>
      </w:r>
      <w:r w:rsidR="007D335E">
        <w:rPr>
          <w:rFonts w:ascii="Arial" w:hAnsi="Arial" w:cs="Arial"/>
          <w:i/>
        </w:rPr>
        <w:t xml:space="preserve"> </w:t>
      </w:r>
      <w:r w:rsidR="007D335E" w:rsidRPr="00271C6A">
        <w:rPr>
          <w:rFonts w:ascii="Arial" w:hAnsi="Arial" w:cs="Arial"/>
        </w:rPr>
        <w:t>Section</w:t>
      </w:r>
      <w:r w:rsidR="007D335E" w:rsidRPr="00425845">
        <w:rPr>
          <w:rFonts w:ascii="Arial" w:hAnsi="Arial" w:cs="Arial"/>
        </w:rPr>
        <w:t xml:space="preserve"> 5307</w:t>
      </w:r>
      <w:r w:rsidR="007D335E">
        <w:rPr>
          <w:rFonts w:ascii="Arial" w:hAnsi="Arial" w:cs="Arial"/>
        </w:rPr>
        <w:t>1</w:t>
      </w:r>
      <w:r w:rsidR="007D335E" w:rsidRPr="00425845">
        <w:rPr>
          <w:rFonts w:ascii="Arial" w:hAnsi="Arial" w:cs="Arial"/>
        </w:rPr>
        <w:t xml:space="preserve">(b) </w:t>
      </w:r>
      <w:r w:rsidR="0066152E">
        <w:rPr>
          <w:rFonts w:ascii="Arial" w:hAnsi="Arial" w:cs="Arial"/>
        </w:rPr>
        <w:t>regarding any changes</w:t>
      </w:r>
      <w:r w:rsidR="00AF1FD6">
        <w:rPr>
          <w:rFonts w:ascii="Arial" w:hAnsi="Arial" w:cs="Arial"/>
        </w:rPr>
        <w:t xml:space="preserve"> to the processes and procedures submitted in the 2021–22 report. It includes an </w:t>
      </w:r>
      <w:r w:rsidR="007D335E">
        <w:rPr>
          <w:rFonts w:ascii="Arial" w:hAnsi="Arial" w:cs="Arial"/>
        </w:rPr>
        <w:t>a</w:t>
      </w:r>
      <w:r w:rsidRPr="00425845">
        <w:rPr>
          <w:rFonts w:ascii="Arial" w:hAnsi="Arial" w:cs="Arial"/>
        </w:rPr>
        <w:t xml:space="preserve">dministrative overview of the CDE’s CTEIG </w:t>
      </w:r>
      <w:r w:rsidR="00A346FF" w:rsidRPr="00425845">
        <w:rPr>
          <w:rFonts w:ascii="Arial" w:hAnsi="Arial" w:cs="Arial"/>
        </w:rPr>
        <w:t xml:space="preserve">application review and verification process of the </w:t>
      </w:r>
      <w:r w:rsidR="00FA6CD8">
        <w:rPr>
          <w:rFonts w:ascii="Arial" w:hAnsi="Arial" w:cs="Arial"/>
        </w:rPr>
        <w:t>minimum eligibility standards (</w:t>
      </w:r>
      <w:r w:rsidR="002A71FC">
        <w:rPr>
          <w:rFonts w:ascii="Arial" w:hAnsi="Arial" w:cs="Arial"/>
        </w:rPr>
        <w:t>MES</w:t>
      </w:r>
      <w:r w:rsidR="00FA6CD8">
        <w:rPr>
          <w:rFonts w:ascii="Arial" w:hAnsi="Arial" w:cs="Arial"/>
        </w:rPr>
        <w:t>)</w:t>
      </w:r>
      <w:r w:rsidR="003E0D97" w:rsidRPr="00425845">
        <w:rPr>
          <w:rStyle w:val="FootnoteReference"/>
          <w:rFonts w:ascii="Arial" w:hAnsi="Arial" w:cs="Arial"/>
        </w:rPr>
        <w:footnoteReference w:id="1"/>
      </w:r>
      <w:r w:rsidR="00A346FF" w:rsidRPr="00425845">
        <w:rPr>
          <w:rFonts w:ascii="Arial" w:hAnsi="Arial" w:cs="Arial"/>
        </w:rPr>
        <w:t xml:space="preserve"> </w:t>
      </w:r>
      <w:r w:rsidR="003F1B30" w:rsidRPr="00425845">
        <w:rPr>
          <w:rFonts w:ascii="Arial" w:hAnsi="Arial" w:cs="Arial"/>
        </w:rPr>
        <w:t>and continued financial and administrative support of CTE programs</w:t>
      </w:r>
      <w:r w:rsidR="00DD2009" w:rsidRPr="00425845">
        <w:rPr>
          <w:rFonts w:ascii="Arial" w:hAnsi="Arial" w:cs="Arial"/>
        </w:rPr>
        <w:t xml:space="preserve"> by LEA applicants</w:t>
      </w:r>
      <w:r w:rsidR="00E7322F" w:rsidRPr="00425845">
        <w:rPr>
          <w:rStyle w:val="FootnoteReference"/>
          <w:rFonts w:ascii="Arial" w:hAnsi="Arial" w:cs="Arial"/>
        </w:rPr>
        <w:footnoteReference w:id="2"/>
      </w:r>
      <w:r w:rsidR="00CD73F4" w:rsidRPr="00425845">
        <w:rPr>
          <w:rFonts w:ascii="Arial" w:hAnsi="Arial" w:cs="Arial"/>
        </w:rPr>
        <w:t xml:space="preserve"> to the CTEIG program</w:t>
      </w:r>
      <w:r w:rsidRPr="00425845">
        <w:rPr>
          <w:rFonts w:ascii="Arial" w:hAnsi="Arial" w:cs="Arial"/>
        </w:rPr>
        <w:t xml:space="preserve">, as required in </w:t>
      </w:r>
      <w:r w:rsidR="001D10B7" w:rsidRPr="00425845">
        <w:rPr>
          <w:rFonts w:ascii="Arial" w:hAnsi="Arial" w:cs="Arial"/>
        </w:rPr>
        <w:t xml:space="preserve">subdivision (b) of </w:t>
      </w:r>
      <w:r w:rsidRPr="00425845">
        <w:rPr>
          <w:rFonts w:ascii="Arial" w:hAnsi="Arial" w:cs="Arial"/>
          <w:i/>
        </w:rPr>
        <w:t>EC</w:t>
      </w:r>
      <w:r w:rsidRPr="00425845">
        <w:rPr>
          <w:rFonts w:ascii="Arial" w:hAnsi="Arial" w:cs="Arial"/>
        </w:rPr>
        <w:t xml:space="preserve"> </w:t>
      </w:r>
      <w:r w:rsidR="001D10B7" w:rsidRPr="00425845">
        <w:rPr>
          <w:rFonts w:ascii="Arial" w:hAnsi="Arial" w:cs="Arial"/>
        </w:rPr>
        <w:t xml:space="preserve">Section </w:t>
      </w:r>
      <w:r w:rsidRPr="00425845">
        <w:rPr>
          <w:rFonts w:ascii="Arial" w:hAnsi="Arial" w:cs="Arial"/>
        </w:rPr>
        <w:t>53070.</w:t>
      </w:r>
      <w:r w:rsidR="00E61519">
        <w:rPr>
          <w:rFonts w:ascii="Arial" w:hAnsi="Arial" w:cs="Arial"/>
        </w:rPr>
        <w:t>1</w:t>
      </w:r>
      <w:r w:rsidR="001D10B7" w:rsidRPr="00425845">
        <w:rPr>
          <w:rFonts w:ascii="Arial" w:hAnsi="Arial" w:cs="Arial"/>
        </w:rPr>
        <w:t>.</w:t>
      </w:r>
    </w:p>
    <w:p w14:paraId="483D99DE" w14:textId="06484E25" w:rsidR="00293AE3" w:rsidRDefault="00961752" w:rsidP="00293AE3">
      <w:pPr>
        <w:spacing w:after="240"/>
        <w:rPr>
          <w:rFonts w:ascii="Arial" w:hAnsi="Arial" w:cs="Arial"/>
        </w:rPr>
      </w:pPr>
      <w:r>
        <w:rPr>
          <w:rFonts w:ascii="Arial" w:hAnsi="Arial" w:cs="Arial"/>
        </w:rPr>
        <w:t xml:space="preserve">Upon thorough review, the CDE determined there will be no changes to the review processes required in </w:t>
      </w:r>
      <w:r w:rsidRPr="00425845">
        <w:rPr>
          <w:rFonts w:ascii="Arial" w:hAnsi="Arial" w:cs="Arial"/>
          <w:i/>
        </w:rPr>
        <w:t>EC</w:t>
      </w:r>
      <w:r w:rsidRPr="00425845">
        <w:rPr>
          <w:rFonts w:ascii="Arial" w:hAnsi="Arial" w:cs="Arial"/>
        </w:rPr>
        <w:t xml:space="preserve"> </w:t>
      </w:r>
      <w:r>
        <w:rPr>
          <w:rFonts w:ascii="Arial" w:hAnsi="Arial" w:cs="Arial"/>
        </w:rPr>
        <w:t>s</w:t>
      </w:r>
      <w:r w:rsidRPr="00425845">
        <w:rPr>
          <w:rFonts w:ascii="Arial" w:hAnsi="Arial" w:cs="Arial"/>
        </w:rPr>
        <w:t>ection</w:t>
      </w:r>
      <w:r>
        <w:rPr>
          <w:rFonts w:ascii="Arial" w:hAnsi="Arial" w:cs="Arial"/>
        </w:rPr>
        <w:t>s</w:t>
      </w:r>
      <w:r w:rsidRPr="00425845">
        <w:rPr>
          <w:rFonts w:ascii="Arial" w:hAnsi="Arial" w:cs="Arial"/>
        </w:rPr>
        <w:t xml:space="preserve"> 5307</w:t>
      </w:r>
      <w:r>
        <w:rPr>
          <w:rFonts w:ascii="Arial" w:hAnsi="Arial" w:cs="Arial"/>
        </w:rPr>
        <w:t>1</w:t>
      </w:r>
      <w:r w:rsidRPr="00425845">
        <w:rPr>
          <w:rFonts w:ascii="Arial" w:hAnsi="Arial" w:cs="Arial"/>
        </w:rPr>
        <w:t xml:space="preserve">(c) and (b) </w:t>
      </w:r>
      <w:r>
        <w:rPr>
          <w:rFonts w:ascii="Arial" w:hAnsi="Arial" w:cs="Arial"/>
        </w:rPr>
        <w:t>for the 2022–23 CTEIG Round 8.</w:t>
      </w:r>
      <w:r w:rsidR="00293AE3">
        <w:rPr>
          <w:rFonts w:ascii="Arial" w:hAnsi="Arial" w:cs="Arial"/>
        </w:rPr>
        <w:br w:type="page"/>
      </w:r>
    </w:p>
    <w:p w14:paraId="0E347075" w14:textId="14602A25" w:rsidR="002769ED" w:rsidRPr="00271C6A" w:rsidRDefault="00B165E1" w:rsidP="00293AE3">
      <w:pPr>
        <w:pStyle w:val="Heading2"/>
      </w:pPr>
      <w:bookmarkStart w:id="12" w:name="_Toc116282052"/>
      <w:r w:rsidRPr="00271C6A">
        <w:lastRenderedPageBreak/>
        <w:t>Background</w:t>
      </w:r>
      <w:bookmarkEnd w:id="12"/>
    </w:p>
    <w:p w14:paraId="6B1F5626" w14:textId="70BB1C04" w:rsidR="009E0491" w:rsidRDefault="00947E0C" w:rsidP="00B945AB">
      <w:pPr>
        <w:spacing w:after="240"/>
        <w:rPr>
          <w:rFonts w:ascii="Arial" w:hAnsi="Arial" w:cs="Arial"/>
        </w:rPr>
      </w:pPr>
      <w:r w:rsidRPr="00425845">
        <w:rPr>
          <w:rFonts w:ascii="Arial" w:hAnsi="Arial" w:cs="Arial"/>
        </w:rPr>
        <w:t xml:space="preserve">Originally </w:t>
      </w:r>
      <w:r w:rsidR="005161CB">
        <w:rPr>
          <w:rFonts w:ascii="Arial" w:hAnsi="Arial" w:cs="Arial"/>
        </w:rPr>
        <w:t>inserted into</w:t>
      </w:r>
      <w:r w:rsidRPr="00425845">
        <w:rPr>
          <w:rFonts w:ascii="Arial" w:hAnsi="Arial" w:cs="Arial"/>
        </w:rPr>
        <w:t xml:space="preserve"> AB 1808 (Chapter 32, Statutes of 2018), the</w:t>
      </w:r>
      <w:r w:rsidR="005161CB">
        <w:rPr>
          <w:rFonts w:ascii="Arial" w:hAnsi="Arial" w:cs="Arial"/>
        </w:rPr>
        <w:t xml:space="preserve"> process </w:t>
      </w:r>
      <w:r w:rsidRPr="00425845">
        <w:rPr>
          <w:rFonts w:ascii="Arial" w:hAnsi="Arial" w:cs="Arial"/>
        </w:rPr>
        <w:t xml:space="preserve">report </w:t>
      </w:r>
      <w:r w:rsidR="005161CB">
        <w:rPr>
          <w:rFonts w:ascii="Arial" w:hAnsi="Arial" w:cs="Arial"/>
        </w:rPr>
        <w:t>in</w:t>
      </w:r>
      <w:r w:rsidR="000326D5">
        <w:rPr>
          <w:rFonts w:ascii="Arial" w:hAnsi="Arial" w:cs="Arial"/>
        </w:rPr>
        <w:t>cluded in</w:t>
      </w:r>
      <w:r w:rsidR="005161CB">
        <w:rPr>
          <w:rFonts w:ascii="Arial" w:hAnsi="Arial" w:cs="Arial"/>
        </w:rPr>
        <w:t xml:space="preserve"> </w:t>
      </w:r>
      <w:r w:rsidRPr="00425845">
        <w:rPr>
          <w:rFonts w:ascii="Arial" w:hAnsi="Arial" w:cs="Arial"/>
        </w:rPr>
        <w:t xml:space="preserve">AB 130 (Chapter 44, Statutes of 2021) </w:t>
      </w:r>
      <w:r w:rsidR="005161CB">
        <w:rPr>
          <w:rFonts w:ascii="Arial" w:hAnsi="Arial" w:cs="Arial"/>
        </w:rPr>
        <w:t xml:space="preserve">requires </w:t>
      </w:r>
      <w:r w:rsidRPr="00425845">
        <w:rPr>
          <w:rFonts w:ascii="Arial" w:hAnsi="Arial" w:cs="Arial"/>
        </w:rPr>
        <w:t xml:space="preserve">the CDE to </w:t>
      </w:r>
      <w:r w:rsidR="00A06027" w:rsidRPr="00425845">
        <w:rPr>
          <w:rFonts w:ascii="Arial" w:hAnsi="Arial" w:cs="Arial"/>
        </w:rPr>
        <w:t>submit a</w:t>
      </w:r>
      <w:r w:rsidR="005161CB">
        <w:rPr>
          <w:rFonts w:ascii="Arial" w:hAnsi="Arial" w:cs="Arial"/>
        </w:rPr>
        <w:t>n updated</w:t>
      </w:r>
      <w:r w:rsidR="00A06027" w:rsidRPr="00425845">
        <w:rPr>
          <w:rFonts w:ascii="Arial" w:hAnsi="Arial" w:cs="Arial"/>
        </w:rPr>
        <w:t xml:space="preserve"> </w:t>
      </w:r>
      <w:r w:rsidRPr="00425845">
        <w:rPr>
          <w:rFonts w:ascii="Arial" w:hAnsi="Arial" w:cs="Arial"/>
        </w:rPr>
        <w:t>report</w:t>
      </w:r>
      <w:r w:rsidR="00A06027" w:rsidRPr="00425845">
        <w:rPr>
          <w:rFonts w:ascii="Arial" w:hAnsi="Arial" w:cs="Arial"/>
        </w:rPr>
        <w:t xml:space="preserve"> </w:t>
      </w:r>
      <w:r w:rsidR="000326D5">
        <w:rPr>
          <w:rFonts w:ascii="Arial" w:hAnsi="Arial" w:cs="Arial"/>
        </w:rPr>
        <w:t>addressing the tw</w:t>
      </w:r>
      <w:r w:rsidR="00822693">
        <w:rPr>
          <w:rFonts w:ascii="Arial" w:hAnsi="Arial" w:cs="Arial"/>
        </w:rPr>
        <w:t>o primary</w:t>
      </w:r>
      <w:r w:rsidR="000326D5">
        <w:rPr>
          <w:rFonts w:ascii="Arial" w:hAnsi="Arial" w:cs="Arial"/>
        </w:rPr>
        <w:t xml:space="preserve"> criteria for CTEIG eligibility</w:t>
      </w:r>
      <w:r w:rsidR="004A650C">
        <w:rPr>
          <w:rFonts w:ascii="Arial" w:hAnsi="Arial" w:cs="Arial"/>
        </w:rPr>
        <w:t>—</w:t>
      </w:r>
      <w:r w:rsidR="00AB5083" w:rsidRPr="00425845">
        <w:rPr>
          <w:rFonts w:ascii="Arial" w:hAnsi="Arial" w:cs="Arial"/>
        </w:rPr>
        <w:t xml:space="preserve">continuous financial and administrative commitment </w:t>
      </w:r>
      <w:r w:rsidR="005161CB">
        <w:rPr>
          <w:rFonts w:ascii="Arial" w:hAnsi="Arial" w:cs="Arial"/>
        </w:rPr>
        <w:t>toward</w:t>
      </w:r>
      <w:r w:rsidR="00457A7A">
        <w:rPr>
          <w:rFonts w:ascii="Arial" w:hAnsi="Arial" w:cs="Arial"/>
        </w:rPr>
        <w:t xml:space="preserve"> an LEA’s High-Quality CTE </w:t>
      </w:r>
      <w:r w:rsidR="005161CB">
        <w:rPr>
          <w:rFonts w:ascii="Arial" w:hAnsi="Arial" w:cs="Arial"/>
        </w:rPr>
        <w:t>program</w:t>
      </w:r>
      <w:r w:rsidR="006D03BE">
        <w:rPr>
          <w:rStyle w:val="FootnoteReference"/>
          <w:rFonts w:ascii="Arial" w:hAnsi="Arial" w:cs="Arial"/>
        </w:rPr>
        <w:footnoteReference w:id="3"/>
      </w:r>
      <w:r w:rsidR="00AB5083" w:rsidRPr="00425845">
        <w:rPr>
          <w:rFonts w:ascii="Arial" w:hAnsi="Arial" w:cs="Arial"/>
        </w:rPr>
        <w:t xml:space="preserve"> and</w:t>
      </w:r>
      <w:r w:rsidR="005161CB">
        <w:rPr>
          <w:rFonts w:ascii="Arial" w:hAnsi="Arial" w:cs="Arial"/>
        </w:rPr>
        <w:t xml:space="preserve"> </w:t>
      </w:r>
      <w:r w:rsidR="002A71FC">
        <w:rPr>
          <w:rFonts w:ascii="Arial" w:hAnsi="Arial" w:cs="Arial"/>
        </w:rPr>
        <w:t>the</w:t>
      </w:r>
      <w:r w:rsidR="00457A7A">
        <w:rPr>
          <w:rFonts w:ascii="Arial" w:hAnsi="Arial" w:cs="Arial"/>
        </w:rPr>
        <w:t xml:space="preserve"> grant program </w:t>
      </w:r>
      <w:r w:rsidR="005161CB">
        <w:rPr>
          <w:rFonts w:ascii="Arial" w:hAnsi="Arial" w:cs="Arial"/>
        </w:rPr>
        <w:t>MES</w:t>
      </w:r>
      <w:r w:rsidR="006D03BE">
        <w:rPr>
          <w:rStyle w:val="FootnoteReference"/>
          <w:rFonts w:ascii="Arial" w:hAnsi="Arial" w:cs="Arial"/>
        </w:rPr>
        <w:footnoteReference w:id="4"/>
      </w:r>
      <w:r w:rsidR="00AB5083" w:rsidRPr="00425845">
        <w:rPr>
          <w:rFonts w:ascii="Arial" w:hAnsi="Arial" w:cs="Arial"/>
        </w:rPr>
        <w:t xml:space="preserve"> </w:t>
      </w:r>
      <w:r w:rsidR="00457A7A">
        <w:rPr>
          <w:rFonts w:ascii="Arial" w:hAnsi="Arial" w:cs="Arial"/>
        </w:rPr>
        <w:t>in the CTEIG statute</w:t>
      </w:r>
      <w:r w:rsidR="007C293B">
        <w:rPr>
          <w:rFonts w:ascii="Arial" w:hAnsi="Arial" w:cs="Arial"/>
        </w:rPr>
        <w:t>s</w:t>
      </w:r>
      <w:r w:rsidR="007C293B">
        <w:rPr>
          <w:rStyle w:val="FootnoteReference"/>
          <w:rFonts w:ascii="Arial" w:hAnsi="Arial" w:cs="Arial"/>
        </w:rPr>
        <w:footnoteReference w:id="5"/>
      </w:r>
      <w:r w:rsidR="00BF5D4B">
        <w:rPr>
          <w:rFonts w:ascii="Arial" w:hAnsi="Arial" w:cs="Arial"/>
        </w:rPr>
        <w:t xml:space="preserve"> as referenced in </w:t>
      </w:r>
      <w:r w:rsidR="00BF5D4B" w:rsidRPr="00271C6A">
        <w:rPr>
          <w:rFonts w:ascii="Arial" w:hAnsi="Arial" w:cs="Arial"/>
          <w:i/>
        </w:rPr>
        <w:t>EC</w:t>
      </w:r>
      <w:r w:rsidR="00BF5D4B">
        <w:rPr>
          <w:rFonts w:ascii="Arial" w:hAnsi="Arial" w:cs="Arial"/>
        </w:rPr>
        <w:t xml:space="preserve"> Section 53070.1(a)(2)</w:t>
      </w:r>
      <w:r w:rsidR="007C293B">
        <w:rPr>
          <w:rFonts w:ascii="Arial" w:hAnsi="Arial" w:cs="Arial"/>
        </w:rPr>
        <w:t>.</w:t>
      </w:r>
      <w:r w:rsidR="00AB5083" w:rsidRPr="00425845">
        <w:rPr>
          <w:rFonts w:ascii="Arial" w:hAnsi="Arial" w:cs="Arial"/>
        </w:rPr>
        <w:t xml:space="preserve"> </w:t>
      </w:r>
      <w:r w:rsidR="000326D5" w:rsidRPr="009E0491">
        <w:rPr>
          <w:rFonts w:ascii="Arial" w:hAnsi="Arial" w:cs="Arial"/>
          <w:color w:val="000000" w:themeColor="text1"/>
        </w:rPr>
        <w:t xml:space="preserve">The former </w:t>
      </w:r>
      <w:r w:rsidR="00DA2693">
        <w:rPr>
          <w:rFonts w:ascii="Arial" w:hAnsi="Arial" w:cs="Arial"/>
          <w:color w:val="000000" w:themeColor="text1"/>
        </w:rPr>
        <w:t xml:space="preserve">criteria </w:t>
      </w:r>
      <w:r w:rsidR="00DA1EA8" w:rsidRPr="00903EEA">
        <w:rPr>
          <w:rFonts w:ascii="Arial" w:hAnsi="Arial" w:cs="Arial"/>
          <w:color w:val="000000" w:themeColor="text1"/>
        </w:rPr>
        <w:t>w</w:t>
      </w:r>
      <w:r w:rsidR="00B03497">
        <w:rPr>
          <w:rFonts w:ascii="Arial" w:hAnsi="Arial" w:cs="Arial"/>
          <w:color w:val="000000" w:themeColor="text1"/>
        </w:rPr>
        <w:t>ere</w:t>
      </w:r>
      <w:r w:rsidR="00DA1EA8">
        <w:rPr>
          <w:rFonts w:ascii="Arial" w:hAnsi="Arial" w:cs="Arial"/>
          <w:color w:val="000000" w:themeColor="text1"/>
        </w:rPr>
        <w:t xml:space="preserve"> placed</w:t>
      </w:r>
      <w:r w:rsidR="000326D5" w:rsidRPr="009E0491">
        <w:rPr>
          <w:rFonts w:ascii="Arial" w:hAnsi="Arial" w:cs="Arial"/>
          <w:color w:val="000000" w:themeColor="text1"/>
        </w:rPr>
        <w:t xml:space="preserve"> in statute </w:t>
      </w:r>
      <w:r w:rsidR="00E731A2">
        <w:rPr>
          <w:rFonts w:ascii="Arial" w:hAnsi="Arial" w:cs="Arial"/>
          <w:color w:val="000000" w:themeColor="text1"/>
        </w:rPr>
        <w:t>by</w:t>
      </w:r>
      <w:r w:rsidR="000326D5" w:rsidRPr="009E0491">
        <w:rPr>
          <w:rFonts w:ascii="Arial" w:hAnsi="Arial" w:cs="Arial"/>
          <w:color w:val="000000" w:themeColor="text1"/>
        </w:rPr>
        <w:t xml:space="preserve"> AB 1808 (Chapter 32, Statutes of 2018</w:t>
      </w:r>
      <w:r w:rsidR="00DA1EA8">
        <w:rPr>
          <w:rFonts w:ascii="Arial" w:hAnsi="Arial" w:cs="Arial"/>
          <w:color w:val="000000" w:themeColor="text1"/>
        </w:rPr>
        <w:t>) with the</w:t>
      </w:r>
      <w:r w:rsidR="000326D5" w:rsidRPr="009E0491">
        <w:rPr>
          <w:rFonts w:ascii="Arial" w:hAnsi="Arial" w:cs="Arial"/>
          <w:color w:val="000000" w:themeColor="text1"/>
        </w:rPr>
        <w:t xml:space="preserve"> expectation </w:t>
      </w:r>
      <w:r w:rsidR="00B03497">
        <w:rPr>
          <w:rFonts w:ascii="Arial" w:hAnsi="Arial" w:cs="Arial"/>
          <w:color w:val="000000" w:themeColor="text1"/>
        </w:rPr>
        <w:t>that</w:t>
      </w:r>
      <w:r w:rsidR="00EB146D">
        <w:rPr>
          <w:rFonts w:ascii="Arial" w:hAnsi="Arial" w:cs="Arial"/>
          <w:color w:val="000000" w:themeColor="text1"/>
        </w:rPr>
        <w:t xml:space="preserve"> </w:t>
      </w:r>
      <w:r w:rsidR="00EB146D" w:rsidRPr="009E0491">
        <w:rPr>
          <w:rFonts w:ascii="Arial" w:hAnsi="Arial" w:cs="Arial"/>
          <w:color w:val="000000" w:themeColor="text1"/>
        </w:rPr>
        <w:t>applicants remain</w:t>
      </w:r>
      <w:r w:rsidR="00822693" w:rsidRPr="009E0491">
        <w:rPr>
          <w:rFonts w:ascii="Arial" w:hAnsi="Arial" w:cs="Arial"/>
          <w:color w:val="000000" w:themeColor="text1"/>
        </w:rPr>
        <w:t xml:space="preserve"> </w:t>
      </w:r>
      <w:r w:rsidR="00DA1EA8">
        <w:rPr>
          <w:rFonts w:ascii="Arial" w:hAnsi="Arial" w:cs="Arial"/>
          <w:color w:val="000000" w:themeColor="text1"/>
        </w:rPr>
        <w:t xml:space="preserve">in compliance to maintain </w:t>
      </w:r>
      <w:r w:rsidR="00822693" w:rsidRPr="009E0491">
        <w:rPr>
          <w:rFonts w:ascii="Arial" w:hAnsi="Arial" w:cs="Arial"/>
          <w:color w:val="000000" w:themeColor="text1"/>
        </w:rPr>
        <w:t>eligib</w:t>
      </w:r>
      <w:r w:rsidR="00DA1EA8">
        <w:rPr>
          <w:rFonts w:ascii="Arial" w:hAnsi="Arial" w:cs="Arial"/>
          <w:color w:val="000000" w:themeColor="text1"/>
        </w:rPr>
        <w:t>ility</w:t>
      </w:r>
      <w:r w:rsidR="00822693" w:rsidRPr="009E0491">
        <w:rPr>
          <w:rFonts w:ascii="Arial" w:hAnsi="Arial" w:cs="Arial"/>
          <w:color w:val="000000" w:themeColor="text1"/>
        </w:rPr>
        <w:t xml:space="preserve"> for future </w:t>
      </w:r>
      <w:r w:rsidR="00DA1EA8">
        <w:rPr>
          <w:rFonts w:ascii="Arial" w:hAnsi="Arial" w:cs="Arial"/>
          <w:color w:val="000000" w:themeColor="text1"/>
        </w:rPr>
        <w:t xml:space="preserve">CTEIG </w:t>
      </w:r>
      <w:r w:rsidR="00822693" w:rsidRPr="009E0491">
        <w:rPr>
          <w:rFonts w:ascii="Arial" w:hAnsi="Arial" w:cs="Arial"/>
          <w:color w:val="000000" w:themeColor="text1"/>
        </w:rPr>
        <w:t>grant</w:t>
      </w:r>
      <w:r w:rsidR="00880B40" w:rsidRPr="009E0491">
        <w:rPr>
          <w:rFonts w:ascii="Arial" w:hAnsi="Arial" w:cs="Arial"/>
          <w:color w:val="000000" w:themeColor="text1"/>
        </w:rPr>
        <w:t>s</w:t>
      </w:r>
      <w:r w:rsidR="00E731A2">
        <w:rPr>
          <w:rFonts w:ascii="Arial" w:hAnsi="Arial" w:cs="Arial"/>
          <w:color w:val="000000" w:themeColor="text1"/>
        </w:rPr>
        <w:t>, w</w:t>
      </w:r>
      <w:r w:rsidR="009E0491" w:rsidRPr="00903EEA">
        <w:rPr>
          <w:rFonts w:ascii="Arial" w:hAnsi="Arial" w:cs="Arial"/>
          <w:color w:val="000000" w:themeColor="text1"/>
        </w:rPr>
        <w:t>hile the lat</w:t>
      </w:r>
      <w:r w:rsidR="00E14C3A" w:rsidRPr="00903EEA">
        <w:rPr>
          <w:rFonts w:ascii="Arial" w:hAnsi="Arial" w:cs="Arial"/>
          <w:color w:val="000000" w:themeColor="text1"/>
        </w:rPr>
        <w:t>t</w:t>
      </w:r>
      <w:r w:rsidR="009E0491" w:rsidRPr="00903EEA">
        <w:rPr>
          <w:rFonts w:ascii="Arial" w:hAnsi="Arial" w:cs="Arial"/>
          <w:color w:val="000000" w:themeColor="text1"/>
        </w:rPr>
        <w:t>er</w:t>
      </w:r>
      <w:r w:rsidR="00564BC9" w:rsidRPr="00903EEA">
        <w:rPr>
          <w:rFonts w:ascii="Arial" w:hAnsi="Arial" w:cs="Arial"/>
          <w:color w:val="000000" w:themeColor="text1"/>
        </w:rPr>
        <w:t xml:space="preserve"> </w:t>
      </w:r>
      <w:r w:rsidR="00DA1EA8" w:rsidRPr="00903EEA">
        <w:rPr>
          <w:rFonts w:ascii="Arial" w:hAnsi="Arial" w:cs="Arial"/>
          <w:color w:val="000000" w:themeColor="text1"/>
        </w:rPr>
        <w:t xml:space="preserve">criteria </w:t>
      </w:r>
      <w:r w:rsidR="00564BC9" w:rsidRPr="00903EEA">
        <w:rPr>
          <w:rFonts w:ascii="Arial" w:hAnsi="Arial" w:cs="Arial"/>
          <w:color w:val="000000" w:themeColor="text1"/>
        </w:rPr>
        <w:t>h</w:t>
      </w:r>
      <w:r w:rsidR="00B03497">
        <w:rPr>
          <w:rFonts w:ascii="Arial" w:hAnsi="Arial" w:cs="Arial"/>
          <w:color w:val="000000" w:themeColor="text1"/>
        </w:rPr>
        <w:t>ave</w:t>
      </w:r>
      <w:r w:rsidR="00564BC9" w:rsidRPr="00903EEA">
        <w:rPr>
          <w:rFonts w:ascii="Arial" w:hAnsi="Arial" w:cs="Arial"/>
          <w:color w:val="000000" w:themeColor="text1"/>
        </w:rPr>
        <w:t xml:space="preserve"> been part of </w:t>
      </w:r>
      <w:r w:rsidR="00DA1EA8" w:rsidRPr="00903EEA">
        <w:rPr>
          <w:rFonts w:ascii="Arial" w:hAnsi="Arial" w:cs="Arial"/>
          <w:color w:val="000000" w:themeColor="text1"/>
        </w:rPr>
        <w:t xml:space="preserve">the </w:t>
      </w:r>
      <w:r w:rsidR="00564BC9" w:rsidRPr="00903EEA">
        <w:rPr>
          <w:rFonts w:ascii="Arial" w:hAnsi="Arial" w:cs="Arial"/>
          <w:color w:val="000000" w:themeColor="text1"/>
        </w:rPr>
        <w:t xml:space="preserve">CTEIG </w:t>
      </w:r>
      <w:r w:rsidR="00DA1EA8" w:rsidRPr="00903EEA">
        <w:rPr>
          <w:rFonts w:ascii="Arial" w:hAnsi="Arial" w:cs="Arial"/>
          <w:color w:val="000000" w:themeColor="text1"/>
        </w:rPr>
        <w:t xml:space="preserve">program </w:t>
      </w:r>
      <w:r w:rsidR="00564BC9" w:rsidRPr="00903EEA">
        <w:rPr>
          <w:rFonts w:ascii="Arial" w:hAnsi="Arial" w:cs="Arial"/>
          <w:color w:val="000000" w:themeColor="text1"/>
        </w:rPr>
        <w:t xml:space="preserve">since its inception </w:t>
      </w:r>
      <w:r w:rsidR="009844E7" w:rsidRPr="00903EEA">
        <w:rPr>
          <w:rFonts w:ascii="Arial" w:hAnsi="Arial" w:cs="Arial"/>
          <w:color w:val="000000" w:themeColor="text1"/>
        </w:rPr>
        <w:t xml:space="preserve">with </w:t>
      </w:r>
      <w:r w:rsidR="00564BC9" w:rsidRPr="00903EEA">
        <w:rPr>
          <w:rFonts w:ascii="Arial" w:hAnsi="Arial" w:cs="Arial"/>
          <w:color w:val="000000" w:themeColor="text1"/>
        </w:rPr>
        <w:t>AB 104 (</w:t>
      </w:r>
      <w:r w:rsidR="00564BC9" w:rsidRPr="00903EEA">
        <w:rPr>
          <w:rFonts w:ascii="Arial" w:hAnsi="Arial" w:cs="Arial"/>
        </w:rPr>
        <w:t>Chapter 13, Statutes of 2015)</w:t>
      </w:r>
      <w:r w:rsidR="009844E7" w:rsidRPr="00903EEA">
        <w:rPr>
          <w:rFonts w:ascii="Arial" w:hAnsi="Arial" w:cs="Arial"/>
        </w:rPr>
        <w:t xml:space="preserve"> and </w:t>
      </w:r>
      <w:r w:rsidR="00564BC9" w:rsidRPr="00903EEA">
        <w:rPr>
          <w:rFonts w:ascii="Arial" w:hAnsi="Arial" w:cs="Arial"/>
        </w:rPr>
        <w:t>endur</w:t>
      </w:r>
      <w:r w:rsidR="00DA1EA8" w:rsidRPr="00903EEA">
        <w:rPr>
          <w:rFonts w:ascii="Arial" w:hAnsi="Arial" w:cs="Arial"/>
        </w:rPr>
        <w:t>ing</w:t>
      </w:r>
      <w:r w:rsidR="00564BC9" w:rsidRPr="00903EEA">
        <w:rPr>
          <w:rFonts w:ascii="Arial" w:hAnsi="Arial" w:cs="Arial"/>
        </w:rPr>
        <w:t xml:space="preserve"> two subsequent iterations</w:t>
      </w:r>
      <w:r w:rsidR="004A650C">
        <w:rPr>
          <w:rFonts w:ascii="Arial" w:hAnsi="Arial" w:cs="Arial"/>
        </w:rPr>
        <w:t>—</w:t>
      </w:r>
      <w:r w:rsidR="005C0BC0" w:rsidRPr="00903EEA">
        <w:rPr>
          <w:rFonts w:ascii="Arial" w:hAnsi="Arial" w:cs="Arial"/>
        </w:rPr>
        <w:t xml:space="preserve">Senate Bill </w:t>
      </w:r>
      <w:r w:rsidR="00882D7D" w:rsidRPr="00903EEA">
        <w:rPr>
          <w:rFonts w:ascii="Arial" w:hAnsi="Arial" w:cs="Arial"/>
        </w:rPr>
        <w:t xml:space="preserve">75 (Chapter 51, Statutes of 2019) and AB </w:t>
      </w:r>
      <w:r w:rsidR="00882D7D" w:rsidRPr="00903EEA">
        <w:rPr>
          <w:rFonts w:ascii="Arial" w:hAnsi="Arial" w:cs="Arial"/>
          <w:color w:val="000000" w:themeColor="text1"/>
        </w:rPr>
        <w:t>130 (</w:t>
      </w:r>
      <w:r w:rsidR="00882D7D" w:rsidRPr="00903EEA">
        <w:rPr>
          <w:rFonts w:ascii="Arial" w:hAnsi="Arial" w:cs="Arial"/>
        </w:rPr>
        <w:t>Chapter 44, Statutes of 2021)</w:t>
      </w:r>
      <w:r w:rsidR="009844E7" w:rsidRPr="00903EEA">
        <w:rPr>
          <w:rFonts w:ascii="Arial" w:hAnsi="Arial" w:cs="Arial"/>
        </w:rPr>
        <w:t>.</w:t>
      </w:r>
      <w:r w:rsidR="00564BC9">
        <w:rPr>
          <w:rFonts w:ascii="Arial" w:hAnsi="Arial" w:cs="Arial"/>
        </w:rPr>
        <w:t xml:space="preserve"> </w:t>
      </w:r>
    </w:p>
    <w:p w14:paraId="646E2AF9" w14:textId="04623E7F" w:rsidR="009E41F1" w:rsidRDefault="00B106BA" w:rsidP="00B945AB">
      <w:pPr>
        <w:spacing w:after="240"/>
        <w:rPr>
          <w:rFonts w:ascii="Arial" w:hAnsi="Arial" w:cs="Arial"/>
        </w:rPr>
      </w:pPr>
      <w:r>
        <w:rPr>
          <w:rFonts w:ascii="Arial" w:hAnsi="Arial" w:cs="Arial"/>
        </w:rPr>
        <w:t xml:space="preserve">There are </w:t>
      </w:r>
      <w:r w:rsidR="00650AE2">
        <w:rPr>
          <w:rFonts w:ascii="Arial" w:hAnsi="Arial" w:cs="Arial"/>
        </w:rPr>
        <w:t>six</w:t>
      </w:r>
      <w:r w:rsidR="00FC6E42">
        <w:rPr>
          <w:rFonts w:ascii="Arial" w:hAnsi="Arial" w:cs="Arial"/>
        </w:rPr>
        <w:t xml:space="preserve"> primary components</w:t>
      </w:r>
      <w:r w:rsidR="00457A7A">
        <w:rPr>
          <w:rFonts w:ascii="Arial" w:hAnsi="Arial" w:cs="Arial"/>
        </w:rPr>
        <w:t xml:space="preserve"> of a complete CTEIG application</w:t>
      </w:r>
      <w:r w:rsidR="00293AE3">
        <w:rPr>
          <w:rFonts w:ascii="Arial" w:hAnsi="Arial" w:cs="Arial"/>
        </w:rPr>
        <w:t>: (1)</w:t>
      </w:r>
      <w:r w:rsidR="00457A7A">
        <w:rPr>
          <w:rFonts w:ascii="Arial" w:hAnsi="Arial" w:cs="Arial"/>
        </w:rPr>
        <w:t xml:space="preserve"> </w:t>
      </w:r>
      <w:r w:rsidR="00FC6E42">
        <w:rPr>
          <w:rFonts w:ascii="Arial" w:hAnsi="Arial" w:cs="Arial"/>
        </w:rPr>
        <w:t>P</w:t>
      </w:r>
      <w:r w:rsidR="00293AE3">
        <w:rPr>
          <w:rFonts w:ascii="Arial" w:hAnsi="Arial" w:cs="Arial"/>
        </w:rPr>
        <w:t>rogram</w:t>
      </w:r>
      <w:r w:rsidR="00FC6E42">
        <w:rPr>
          <w:rFonts w:ascii="Arial" w:hAnsi="Arial" w:cs="Arial"/>
        </w:rPr>
        <w:t xml:space="preserve"> Grant Management System</w:t>
      </w:r>
      <w:r w:rsidR="00293AE3">
        <w:rPr>
          <w:rFonts w:ascii="Arial" w:hAnsi="Arial" w:cs="Arial"/>
        </w:rPr>
        <w:t xml:space="preserve"> (PGMS)</w:t>
      </w:r>
      <w:r w:rsidR="002A3727">
        <w:rPr>
          <w:rFonts w:ascii="Arial" w:hAnsi="Arial" w:cs="Arial"/>
        </w:rPr>
        <w:t xml:space="preserve"> </w:t>
      </w:r>
      <w:r w:rsidR="00E731A2">
        <w:rPr>
          <w:rFonts w:ascii="Arial" w:hAnsi="Arial" w:cs="Arial"/>
        </w:rPr>
        <w:t>p</w:t>
      </w:r>
      <w:r w:rsidR="00293AE3">
        <w:rPr>
          <w:rFonts w:ascii="Arial" w:hAnsi="Arial" w:cs="Arial"/>
        </w:rPr>
        <w:t>rintout, (2)</w:t>
      </w:r>
      <w:r w:rsidR="00FC6E42">
        <w:rPr>
          <w:rFonts w:ascii="Arial" w:hAnsi="Arial" w:cs="Arial"/>
        </w:rPr>
        <w:t xml:space="preserve"> Attachment I: High-Quality CTE Program Evaluation </w:t>
      </w:r>
      <w:r w:rsidR="00271C6A">
        <w:rPr>
          <w:rFonts w:ascii="Arial" w:hAnsi="Arial" w:cs="Arial"/>
        </w:rPr>
        <w:t>and</w:t>
      </w:r>
      <w:r w:rsidR="00FC6E42">
        <w:rPr>
          <w:rFonts w:ascii="Arial" w:hAnsi="Arial" w:cs="Arial"/>
        </w:rPr>
        <w:t xml:space="preserve"> Plan, </w:t>
      </w:r>
      <w:r w:rsidR="00293AE3">
        <w:rPr>
          <w:rFonts w:ascii="Arial" w:hAnsi="Arial" w:cs="Arial"/>
        </w:rPr>
        <w:t xml:space="preserve">(3) </w:t>
      </w:r>
      <w:r w:rsidR="00FC6E42">
        <w:rPr>
          <w:rFonts w:ascii="Arial" w:hAnsi="Arial" w:cs="Arial"/>
        </w:rPr>
        <w:t xml:space="preserve">Attachment II: CTEIG Budget Narrative, </w:t>
      </w:r>
      <w:r w:rsidR="00293AE3">
        <w:rPr>
          <w:rFonts w:ascii="Arial" w:hAnsi="Arial" w:cs="Arial"/>
        </w:rPr>
        <w:t xml:space="preserve">(4) </w:t>
      </w:r>
      <w:r w:rsidR="00FC6E42">
        <w:rPr>
          <w:rFonts w:ascii="Arial" w:hAnsi="Arial" w:cs="Arial"/>
        </w:rPr>
        <w:t xml:space="preserve">Attachment III: </w:t>
      </w:r>
      <w:r w:rsidR="000E5B05">
        <w:rPr>
          <w:rFonts w:ascii="Arial" w:hAnsi="Arial" w:cs="Arial"/>
        </w:rPr>
        <w:t xml:space="preserve">CTEIG </w:t>
      </w:r>
      <w:r w:rsidR="00FC6E42">
        <w:rPr>
          <w:rFonts w:ascii="Arial" w:hAnsi="Arial" w:cs="Arial"/>
        </w:rPr>
        <w:t>3-Year Budget,</w:t>
      </w:r>
      <w:r w:rsidR="00394C12">
        <w:rPr>
          <w:rFonts w:ascii="Arial" w:hAnsi="Arial" w:cs="Arial"/>
        </w:rPr>
        <w:t xml:space="preserve"> </w:t>
      </w:r>
      <w:r w:rsidR="00293AE3">
        <w:rPr>
          <w:rFonts w:ascii="Arial" w:hAnsi="Arial" w:cs="Arial"/>
        </w:rPr>
        <w:t xml:space="preserve">(5) </w:t>
      </w:r>
      <w:r w:rsidR="00FC6E42">
        <w:rPr>
          <w:rFonts w:ascii="Arial" w:hAnsi="Arial" w:cs="Arial"/>
        </w:rPr>
        <w:t>Local Control</w:t>
      </w:r>
      <w:r w:rsidR="00293AE3">
        <w:rPr>
          <w:rFonts w:ascii="Arial" w:hAnsi="Arial" w:cs="Arial"/>
        </w:rPr>
        <w:t xml:space="preserve"> and</w:t>
      </w:r>
      <w:r w:rsidR="00FC6E42">
        <w:rPr>
          <w:rFonts w:ascii="Arial" w:hAnsi="Arial" w:cs="Arial"/>
        </w:rPr>
        <w:t xml:space="preserve"> Accountability Plan (LCAP)</w:t>
      </w:r>
      <w:r w:rsidR="00394C12">
        <w:rPr>
          <w:rFonts w:ascii="Arial" w:hAnsi="Arial" w:cs="Arial"/>
        </w:rPr>
        <w:t>, and</w:t>
      </w:r>
      <w:r w:rsidR="00293AE3">
        <w:rPr>
          <w:rFonts w:ascii="Arial" w:hAnsi="Arial" w:cs="Arial"/>
        </w:rPr>
        <w:t xml:space="preserve"> (6)</w:t>
      </w:r>
      <w:r w:rsidR="00BC402C">
        <w:rPr>
          <w:rFonts w:ascii="Arial" w:hAnsi="Arial" w:cs="Arial"/>
        </w:rPr>
        <w:t xml:space="preserve"> </w:t>
      </w:r>
      <w:r w:rsidR="00457A7A">
        <w:rPr>
          <w:rFonts w:ascii="Arial" w:hAnsi="Arial" w:cs="Arial"/>
        </w:rPr>
        <w:t xml:space="preserve">all relevant </w:t>
      </w:r>
      <w:r w:rsidR="00394C12">
        <w:rPr>
          <w:rFonts w:ascii="Arial" w:hAnsi="Arial" w:cs="Arial"/>
        </w:rPr>
        <w:t>supporting document</w:t>
      </w:r>
      <w:r w:rsidR="00457A7A">
        <w:rPr>
          <w:rFonts w:ascii="Arial" w:hAnsi="Arial" w:cs="Arial"/>
        </w:rPr>
        <w:t>s</w:t>
      </w:r>
      <w:r w:rsidR="008D2436">
        <w:rPr>
          <w:rFonts w:ascii="Arial" w:hAnsi="Arial" w:cs="Arial"/>
        </w:rPr>
        <w:t xml:space="preserve">. </w:t>
      </w:r>
    </w:p>
    <w:p w14:paraId="1D094DA9" w14:textId="27D66733" w:rsidR="009A368A" w:rsidRDefault="0040376D" w:rsidP="00C47FC7">
      <w:pPr>
        <w:spacing w:after="240"/>
        <w:rPr>
          <w:rFonts w:ascii="Arial" w:eastAsia="Arial" w:hAnsi="Arial" w:cs="Arial"/>
        </w:rPr>
      </w:pPr>
      <w:r w:rsidRPr="0040376D">
        <w:rPr>
          <w:rFonts w:ascii="Arial" w:eastAsia="Arial" w:hAnsi="Arial" w:cs="Arial"/>
        </w:rPr>
        <w:t xml:space="preserve">Each applicant </w:t>
      </w:r>
      <w:r>
        <w:rPr>
          <w:rFonts w:ascii="Arial" w:eastAsia="Arial" w:hAnsi="Arial" w:cs="Arial"/>
        </w:rPr>
        <w:t xml:space="preserve">is </w:t>
      </w:r>
      <w:r w:rsidRPr="0040376D">
        <w:rPr>
          <w:rFonts w:ascii="Arial" w:eastAsia="Arial" w:hAnsi="Arial" w:cs="Arial"/>
        </w:rPr>
        <w:t xml:space="preserve">required to complete </w:t>
      </w:r>
      <w:r w:rsidR="00BC402C">
        <w:rPr>
          <w:rFonts w:ascii="Arial" w:eastAsia="Arial" w:hAnsi="Arial" w:cs="Arial"/>
        </w:rPr>
        <w:t xml:space="preserve">Attachment </w:t>
      </w:r>
      <w:r w:rsidR="008679B3">
        <w:rPr>
          <w:rFonts w:ascii="Arial" w:eastAsia="Arial" w:hAnsi="Arial" w:cs="Arial"/>
        </w:rPr>
        <w:t>I</w:t>
      </w:r>
      <w:r w:rsidR="00BC402C">
        <w:rPr>
          <w:rFonts w:ascii="Arial" w:eastAsia="Arial" w:hAnsi="Arial" w:cs="Arial"/>
        </w:rPr>
        <w:t xml:space="preserve">: </w:t>
      </w:r>
      <w:r w:rsidRPr="0040376D">
        <w:rPr>
          <w:rFonts w:ascii="Arial" w:eastAsia="Arial" w:hAnsi="Arial" w:cs="Arial"/>
        </w:rPr>
        <w:t xml:space="preserve">High-Quality CTE Program Evaluation </w:t>
      </w:r>
      <w:r w:rsidR="00271C6A">
        <w:rPr>
          <w:rFonts w:ascii="Arial" w:eastAsia="Arial" w:hAnsi="Arial" w:cs="Arial"/>
        </w:rPr>
        <w:t>and</w:t>
      </w:r>
      <w:r w:rsidRPr="0040376D">
        <w:rPr>
          <w:rFonts w:ascii="Arial" w:eastAsia="Arial" w:hAnsi="Arial" w:cs="Arial"/>
        </w:rPr>
        <w:t xml:space="preserve"> Plan for their CTE programs</w:t>
      </w:r>
      <w:r w:rsidR="00E14C3A">
        <w:rPr>
          <w:rFonts w:ascii="Arial" w:eastAsia="Arial" w:hAnsi="Arial" w:cs="Arial"/>
        </w:rPr>
        <w:t>,</w:t>
      </w:r>
      <w:r w:rsidRPr="0040376D">
        <w:rPr>
          <w:rFonts w:ascii="Arial" w:eastAsia="Arial" w:hAnsi="Arial" w:cs="Arial"/>
        </w:rPr>
        <w:t xml:space="preserve"> which addresses the first 10</w:t>
      </w:r>
      <w:r w:rsidR="007619AC">
        <w:rPr>
          <w:rFonts w:ascii="Arial" w:eastAsia="Arial" w:hAnsi="Arial" w:cs="Arial"/>
        </w:rPr>
        <w:t xml:space="preserve"> of 11</w:t>
      </w:r>
      <w:r w:rsidRPr="0040376D">
        <w:rPr>
          <w:rFonts w:ascii="Arial" w:eastAsia="Arial" w:hAnsi="Arial" w:cs="Arial"/>
        </w:rPr>
        <w:t xml:space="preserve"> M</w:t>
      </w:r>
      <w:r w:rsidR="00BC402C">
        <w:rPr>
          <w:rFonts w:ascii="Arial" w:eastAsia="Arial" w:hAnsi="Arial" w:cs="Arial"/>
        </w:rPr>
        <w:t>ESs</w:t>
      </w:r>
      <w:r w:rsidRPr="0040376D">
        <w:rPr>
          <w:rFonts w:ascii="Arial" w:eastAsia="Arial" w:hAnsi="Arial" w:cs="Arial"/>
        </w:rPr>
        <w:t xml:space="preserve"> listed</w:t>
      </w:r>
      <w:r w:rsidR="00E14C3A">
        <w:rPr>
          <w:rFonts w:ascii="Arial" w:eastAsia="Arial" w:hAnsi="Arial" w:cs="Arial"/>
        </w:rPr>
        <w:t xml:space="preserve"> in</w:t>
      </w:r>
      <w:r w:rsidRPr="0040376D">
        <w:rPr>
          <w:rFonts w:ascii="Arial" w:eastAsia="Arial" w:hAnsi="Arial" w:cs="Arial"/>
        </w:rPr>
        <w:t xml:space="preserve"> </w:t>
      </w:r>
      <w:r w:rsidRPr="00BC402C">
        <w:rPr>
          <w:rFonts w:ascii="Arial" w:eastAsia="Arial" w:hAnsi="Arial" w:cs="Arial"/>
          <w:i/>
        </w:rPr>
        <w:t>EC</w:t>
      </w:r>
      <w:r>
        <w:rPr>
          <w:rFonts w:ascii="Arial" w:eastAsia="Arial" w:hAnsi="Arial" w:cs="Arial"/>
        </w:rPr>
        <w:t xml:space="preserve"> Section 53071(c)</w:t>
      </w:r>
      <w:r w:rsidR="00185340">
        <w:rPr>
          <w:rFonts w:ascii="Arial" w:eastAsia="Arial" w:hAnsi="Arial" w:cs="Arial"/>
        </w:rPr>
        <w:t>.</w:t>
      </w:r>
      <w:r w:rsidR="00185340">
        <w:rPr>
          <w:rStyle w:val="FootnoteReference"/>
          <w:rFonts w:ascii="Arial" w:eastAsia="Arial" w:hAnsi="Arial" w:cs="Arial"/>
        </w:rPr>
        <w:footnoteReference w:id="6"/>
      </w:r>
      <w:r w:rsidR="00DC2F5D">
        <w:rPr>
          <w:rFonts w:ascii="Arial" w:eastAsia="Arial" w:hAnsi="Arial" w:cs="Arial"/>
        </w:rPr>
        <w:t xml:space="preserve"> </w:t>
      </w:r>
      <w:r>
        <w:rPr>
          <w:rFonts w:ascii="Arial" w:eastAsia="Arial" w:hAnsi="Arial" w:cs="Arial"/>
        </w:rPr>
        <w:t xml:space="preserve">Within this document, applicants </w:t>
      </w:r>
      <w:r w:rsidRPr="0040376D">
        <w:rPr>
          <w:rFonts w:ascii="Arial" w:eastAsia="Arial" w:hAnsi="Arial" w:cs="Arial"/>
        </w:rPr>
        <w:t>describe the</w:t>
      </w:r>
      <w:r>
        <w:rPr>
          <w:rFonts w:ascii="Arial" w:eastAsia="Arial" w:hAnsi="Arial" w:cs="Arial"/>
        </w:rPr>
        <w:t>ir</w:t>
      </w:r>
      <w:r w:rsidRPr="0040376D">
        <w:rPr>
          <w:rFonts w:ascii="Arial" w:eastAsia="Arial" w:hAnsi="Arial" w:cs="Arial"/>
        </w:rPr>
        <w:t xml:space="preserve"> CTE </w:t>
      </w:r>
      <w:r w:rsidR="008679B3">
        <w:rPr>
          <w:rFonts w:ascii="Arial" w:eastAsia="Arial" w:hAnsi="Arial" w:cs="Arial"/>
        </w:rPr>
        <w:t>p</w:t>
      </w:r>
      <w:r w:rsidRPr="0040376D">
        <w:rPr>
          <w:rFonts w:ascii="Arial" w:eastAsia="Arial" w:hAnsi="Arial" w:cs="Arial"/>
        </w:rPr>
        <w:t>rogram</w:t>
      </w:r>
      <w:r w:rsidR="00E731A2">
        <w:rPr>
          <w:rFonts w:ascii="Arial" w:eastAsia="Arial" w:hAnsi="Arial" w:cs="Arial"/>
        </w:rPr>
        <w:t>,</w:t>
      </w:r>
      <w:r w:rsidRPr="0040376D">
        <w:rPr>
          <w:rFonts w:ascii="Arial" w:eastAsia="Arial" w:hAnsi="Arial" w:cs="Arial"/>
        </w:rPr>
        <w:t xml:space="preserve"> inclusive of all industry sectors and pathways offered</w:t>
      </w:r>
      <w:r>
        <w:rPr>
          <w:rFonts w:ascii="Arial" w:eastAsia="Arial" w:hAnsi="Arial" w:cs="Arial"/>
        </w:rPr>
        <w:t xml:space="preserve">, </w:t>
      </w:r>
      <w:r w:rsidR="00E731A2">
        <w:rPr>
          <w:rFonts w:ascii="Arial" w:eastAsia="Arial" w:hAnsi="Arial" w:cs="Arial"/>
        </w:rPr>
        <w:t xml:space="preserve">thereby </w:t>
      </w:r>
      <w:r>
        <w:rPr>
          <w:rFonts w:ascii="Arial" w:eastAsia="Arial" w:hAnsi="Arial" w:cs="Arial"/>
        </w:rPr>
        <w:t>provid</w:t>
      </w:r>
      <w:r w:rsidR="00BC402C">
        <w:rPr>
          <w:rFonts w:ascii="Arial" w:eastAsia="Arial" w:hAnsi="Arial" w:cs="Arial"/>
        </w:rPr>
        <w:t>ing</w:t>
      </w:r>
      <w:r>
        <w:rPr>
          <w:rFonts w:ascii="Arial" w:eastAsia="Arial" w:hAnsi="Arial" w:cs="Arial"/>
        </w:rPr>
        <w:t xml:space="preserve"> </w:t>
      </w:r>
      <w:r w:rsidRPr="0040376D">
        <w:rPr>
          <w:rFonts w:ascii="Arial" w:eastAsia="Arial" w:hAnsi="Arial" w:cs="Arial"/>
        </w:rPr>
        <w:t xml:space="preserve">a holistic review of the </w:t>
      </w:r>
      <w:r>
        <w:rPr>
          <w:rFonts w:ascii="Arial" w:eastAsia="Arial" w:hAnsi="Arial" w:cs="Arial"/>
        </w:rPr>
        <w:t xml:space="preserve">LEA’s </w:t>
      </w:r>
      <w:r w:rsidRPr="0040376D">
        <w:rPr>
          <w:rFonts w:ascii="Arial" w:eastAsia="Arial" w:hAnsi="Arial" w:cs="Arial"/>
        </w:rPr>
        <w:t>CTE progr</w:t>
      </w:r>
      <w:r>
        <w:rPr>
          <w:rFonts w:ascii="Arial" w:eastAsia="Arial" w:hAnsi="Arial" w:cs="Arial"/>
        </w:rPr>
        <w:t>ams</w:t>
      </w:r>
      <w:r w:rsidRPr="0040376D">
        <w:rPr>
          <w:rFonts w:ascii="Arial" w:eastAsia="Arial" w:hAnsi="Arial" w:cs="Arial"/>
        </w:rPr>
        <w:t xml:space="preserve">. </w:t>
      </w:r>
      <w:r w:rsidR="009A368A">
        <w:rPr>
          <w:rFonts w:ascii="Arial" w:eastAsia="Arial" w:hAnsi="Arial" w:cs="Arial"/>
        </w:rPr>
        <w:t>The final MES</w:t>
      </w:r>
      <w:r w:rsidR="00E731A2">
        <w:rPr>
          <w:rFonts w:ascii="Arial" w:eastAsia="Arial" w:hAnsi="Arial" w:cs="Arial"/>
        </w:rPr>
        <w:t>,</w:t>
      </w:r>
      <w:r w:rsidR="00D35080">
        <w:rPr>
          <w:rFonts w:ascii="Arial" w:eastAsia="Arial" w:hAnsi="Arial" w:cs="Arial"/>
        </w:rPr>
        <w:t xml:space="preserve"> found in </w:t>
      </w:r>
      <w:r w:rsidR="00D35080" w:rsidRPr="00D35080">
        <w:rPr>
          <w:rFonts w:ascii="Arial" w:eastAsia="Arial" w:hAnsi="Arial" w:cs="Arial"/>
          <w:i/>
        </w:rPr>
        <w:t>EC</w:t>
      </w:r>
      <w:r w:rsidR="00D35080">
        <w:rPr>
          <w:rFonts w:ascii="Arial" w:eastAsia="Arial" w:hAnsi="Arial" w:cs="Arial"/>
        </w:rPr>
        <w:t xml:space="preserve"> Section 53071(c)(11)(B)</w:t>
      </w:r>
      <w:r w:rsidR="004A650C">
        <w:rPr>
          <w:rFonts w:ascii="Arial" w:eastAsia="Arial" w:hAnsi="Arial" w:cs="Arial"/>
        </w:rPr>
        <w:t>,</w:t>
      </w:r>
      <w:r w:rsidR="00D35080">
        <w:rPr>
          <w:rStyle w:val="FootnoteReference"/>
          <w:rFonts w:ascii="Arial" w:eastAsia="Arial" w:hAnsi="Arial" w:cs="Arial"/>
        </w:rPr>
        <w:footnoteReference w:id="7"/>
      </w:r>
      <w:r w:rsidR="00D35080">
        <w:rPr>
          <w:rFonts w:ascii="Arial" w:eastAsia="Arial" w:hAnsi="Arial" w:cs="Arial"/>
        </w:rPr>
        <w:t xml:space="preserve"> requires applicants to annually submit CTE Completer Data</w:t>
      </w:r>
      <w:r w:rsidR="00293AE3">
        <w:rPr>
          <w:rFonts w:ascii="Arial" w:eastAsia="Arial" w:hAnsi="Arial" w:cs="Arial"/>
        </w:rPr>
        <w:t>.</w:t>
      </w:r>
    </w:p>
    <w:p w14:paraId="74D4795D" w14:textId="3FD843C1" w:rsidR="00005064" w:rsidRDefault="0040376D" w:rsidP="00C47FC7">
      <w:pPr>
        <w:spacing w:after="240"/>
        <w:rPr>
          <w:rFonts w:ascii="Arial" w:eastAsia="Arial" w:hAnsi="Arial" w:cs="Arial"/>
        </w:rPr>
      </w:pPr>
      <w:r w:rsidRPr="0040376D">
        <w:rPr>
          <w:rFonts w:ascii="Arial" w:eastAsia="Arial" w:hAnsi="Arial" w:cs="Arial"/>
        </w:rPr>
        <w:t xml:space="preserve">Based on </w:t>
      </w:r>
      <w:r>
        <w:rPr>
          <w:rFonts w:ascii="Arial" w:eastAsia="Arial" w:hAnsi="Arial" w:cs="Arial"/>
        </w:rPr>
        <w:t xml:space="preserve">the evidence presented </w:t>
      </w:r>
      <w:r w:rsidR="00E14C3A">
        <w:rPr>
          <w:rFonts w:ascii="Arial" w:eastAsia="Arial" w:hAnsi="Arial" w:cs="Arial"/>
        </w:rPr>
        <w:t>i</w:t>
      </w:r>
      <w:r>
        <w:rPr>
          <w:rFonts w:ascii="Arial" w:eastAsia="Arial" w:hAnsi="Arial" w:cs="Arial"/>
        </w:rPr>
        <w:t>n</w:t>
      </w:r>
      <w:r w:rsidRPr="0040376D">
        <w:rPr>
          <w:rFonts w:ascii="Arial" w:eastAsia="Arial" w:hAnsi="Arial" w:cs="Arial"/>
        </w:rPr>
        <w:t xml:space="preserve"> </w:t>
      </w:r>
      <w:r w:rsidR="008679B3">
        <w:rPr>
          <w:rFonts w:ascii="Arial" w:eastAsia="Arial" w:hAnsi="Arial" w:cs="Arial"/>
        </w:rPr>
        <w:t xml:space="preserve">Attachment I: </w:t>
      </w:r>
      <w:r w:rsidRPr="0040376D">
        <w:rPr>
          <w:rFonts w:ascii="Arial" w:eastAsia="Arial" w:hAnsi="Arial" w:cs="Arial"/>
        </w:rPr>
        <w:t xml:space="preserve">High-Quality CTE Program Evaluation </w:t>
      </w:r>
      <w:r w:rsidR="00271C6A">
        <w:rPr>
          <w:rFonts w:ascii="Arial" w:eastAsia="Arial" w:hAnsi="Arial" w:cs="Arial"/>
        </w:rPr>
        <w:t>and</w:t>
      </w:r>
      <w:r w:rsidRPr="0040376D">
        <w:rPr>
          <w:rFonts w:ascii="Arial" w:eastAsia="Arial" w:hAnsi="Arial" w:cs="Arial"/>
        </w:rPr>
        <w:t xml:space="preserve"> Plan, applicants </w:t>
      </w:r>
      <w:r>
        <w:rPr>
          <w:rFonts w:ascii="Arial" w:eastAsia="Arial" w:hAnsi="Arial" w:cs="Arial"/>
        </w:rPr>
        <w:t xml:space="preserve">concurrently </w:t>
      </w:r>
      <w:r w:rsidRPr="0040376D">
        <w:rPr>
          <w:rFonts w:ascii="Arial" w:eastAsia="Arial" w:hAnsi="Arial" w:cs="Arial"/>
        </w:rPr>
        <w:t xml:space="preserve">submit the </w:t>
      </w:r>
      <w:r w:rsidR="008679B3">
        <w:rPr>
          <w:rFonts w:ascii="Arial" w:eastAsia="Arial" w:hAnsi="Arial" w:cs="Arial"/>
        </w:rPr>
        <w:t xml:space="preserve">Attachment II: </w:t>
      </w:r>
      <w:r w:rsidRPr="0040376D">
        <w:rPr>
          <w:rFonts w:ascii="Arial" w:eastAsia="Arial" w:hAnsi="Arial" w:cs="Arial"/>
        </w:rPr>
        <w:t>CTEIG F</w:t>
      </w:r>
      <w:r w:rsidR="00AE0A31">
        <w:rPr>
          <w:rFonts w:ascii="Arial" w:eastAsia="Arial" w:hAnsi="Arial" w:cs="Arial"/>
        </w:rPr>
        <w:t xml:space="preserve">iscal </w:t>
      </w:r>
      <w:r w:rsidRPr="0040376D">
        <w:rPr>
          <w:rFonts w:ascii="Arial" w:eastAsia="Arial" w:hAnsi="Arial" w:cs="Arial"/>
        </w:rPr>
        <w:t>Y</w:t>
      </w:r>
      <w:r w:rsidR="00AE0A31">
        <w:rPr>
          <w:rFonts w:ascii="Arial" w:eastAsia="Arial" w:hAnsi="Arial" w:cs="Arial"/>
        </w:rPr>
        <w:t>ear (FY)</w:t>
      </w:r>
      <w:r w:rsidRPr="0040376D">
        <w:rPr>
          <w:rFonts w:ascii="Arial" w:eastAsia="Arial" w:hAnsi="Arial" w:cs="Arial"/>
        </w:rPr>
        <w:t xml:space="preserve"> 202</w:t>
      </w:r>
      <w:r w:rsidR="00EA5834">
        <w:rPr>
          <w:rFonts w:ascii="Arial" w:eastAsia="Arial" w:hAnsi="Arial" w:cs="Arial"/>
        </w:rPr>
        <w:t>2</w:t>
      </w:r>
      <w:r w:rsidRPr="0040376D">
        <w:rPr>
          <w:rFonts w:ascii="Arial" w:eastAsia="Arial" w:hAnsi="Arial" w:cs="Arial"/>
        </w:rPr>
        <w:t>–2</w:t>
      </w:r>
      <w:r w:rsidR="00EA5834">
        <w:rPr>
          <w:rFonts w:ascii="Arial" w:eastAsia="Arial" w:hAnsi="Arial" w:cs="Arial"/>
        </w:rPr>
        <w:t>3</w:t>
      </w:r>
      <w:r w:rsidRPr="0040376D">
        <w:rPr>
          <w:rFonts w:ascii="Arial" w:eastAsia="Arial" w:hAnsi="Arial" w:cs="Arial"/>
        </w:rPr>
        <w:t xml:space="preserve"> Budget Narrative aligning proposed expenditures to the </w:t>
      </w:r>
      <w:r w:rsidR="008679B3">
        <w:rPr>
          <w:rFonts w:ascii="Arial" w:eastAsia="Arial" w:hAnsi="Arial" w:cs="Arial"/>
        </w:rPr>
        <w:t xml:space="preserve">program narrative on Attachment I: </w:t>
      </w:r>
      <w:r w:rsidRPr="0040376D">
        <w:rPr>
          <w:rFonts w:ascii="Arial" w:eastAsia="Arial" w:hAnsi="Arial" w:cs="Arial"/>
        </w:rPr>
        <w:t xml:space="preserve">High-Quality CTE Program Evaluation </w:t>
      </w:r>
      <w:r w:rsidR="00271C6A">
        <w:rPr>
          <w:rFonts w:ascii="Arial" w:eastAsia="Arial" w:hAnsi="Arial" w:cs="Arial"/>
        </w:rPr>
        <w:t>and</w:t>
      </w:r>
      <w:r w:rsidRPr="0040376D">
        <w:rPr>
          <w:rFonts w:ascii="Arial" w:eastAsia="Arial" w:hAnsi="Arial" w:cs="Arial"/>
        </w:rPr>
        <w:t xml:space="preserve"> Plan.</w:t>
      </w:r>
    </w:p>
    <w:p w14:paraId="03584E03" w14:textId="33FB2D63" w:rsidR="0028140F" w:rsidRDefault="00C47FC7" w:rsidP="007E2F39">
      <w:pPr>
        <w:spacing w:after="240"/>
        <w:rPr>
          <w:rFonts w:ascii="Arial" w:hAnsi="Arial" w:cs="Arial"/>
        </w:rPr>
      </w:pPr>
      <w:r>
        <w:rPr>
          <w:rFonts w:ascii="Arial" w:eastAsia="Arial" w:hAnsi="Arial" w:cs="Arial"/>
        </w:rPr>
        <w:t>A</w:t>
      </w:r>
      <w:r w:rsidR="00942AE1">
        <w:rPr>
          <w:rFonts w:ascii="Arial" w:eastAsia="Arial" w:hAnsi="Arial" w:cs="Arial"/>
        </w:rPr>
        <w:t xml:space="preserve">ll </w:t>
      </w:r>
      <w:r w:rsidR="009A368A">
        <w:rPr>
          <w:rFonts w:ascii="Arial" w:eastAsia="Arial" w:hAnsi="Arial" w:cs="Arial"/>
        </w:rPr>
        <w:t>202</w:t>
      </w:r>
      <w:r w:rsidR="00EA5834">
        <w:rPr>
          <w:rFonts w:ascii="Arial" w:eastAsia="Arial" w:hAnsi="Arial" w:cs="Arial"/>
        </w:rPr>
        <w:t>2</w:t>
      </w:r>
      <w:r w:rsidR="009A368A">
        <w:rPr>
          <w:rFonts w:ascii="Arial" w:eastAsia="Arial" w:hAnsi="Arial" w:cs="Arial"/>
        </w:rPr>
        <w:t>–2</w:t>
      </w:r>
      <w:r w:rsidR="00EA5834">
        <w:rPr>
          <w:rFonts w:ascii="Arial" w:eastAsia="Arial" w:hAnsi="Arial" w:cs="Arial"/>
        </w:rPr>
        <w:t>3</w:t>
      </w:r>
      <w:r w:rsidR="009A368A">
        <w:rPr>
          <w:rFonts w:ascii="Arial" w:eastAsia="Arial" w:hAnsi="Arial" w:cs="Arial"/>
        </w:rPr>
        <w:t xml:space="preserve"> </w:t>
      </w:r>
      <w:r>
        <w:rPr>
          <w:rFonts w:ascii="Arial" w:eastAsia="Arial" w:hAnsi="Arial" w:cs="Arial"/>
          <w:color w:val="000000"/>
          <w:bdr w:val="none" w:sz="0" w:space="0" w:color="auto" w:frame="1"/>
        </w:rPr>
        <w:t>a</w:t>
      </w:r>
      <w:r w:rsidRPr="0040376D">
        <w:rPr>
          <w:rFonts w:ascii="Arial" w:eastAsia="Arial" w:hAnsi="Arial" w:cs="Arial"/>
          <w:color w:val="000000"/>
          <w:bdr w:val="none" w:sz="0" w:space="0" w:color="auto" w:frame="1"/>
        </w:rPr>
        <w:t xml:space="preserve">pplicants </w:t>
      </w:r>
      <w:r w:rsidR="009A368A">
        <w:rPr>
          <w:rFonts w:ascii="Arial" w:eastAsia="Arial" w:hAnsi="Arial" w:cs="Arial"/>
          <w:color w:val="000000"/>
          <w:bdr w:val="none" w:sz="0" w:space="0" w:color="auto" w:frame="1"/>
        </w:rPr>
        <w:t>were</w:t>
      </w:r>
      <w:r w:rsidRPr="0040376D">
        <w:rPr>
          <w:rFonts w:ascii="Arial" w:eastAsia="Arial" w:hAnsi="Arial" w:cs="Arial"/>
          <w:color w:val="000000"/>
          <w:bdr w:val="none" w:sz="0" w:space="0" w:color="auto" w:frame="1"/>
        </w:rPr>
        <w:t xml:space="preserve"> required to provide the </w:t>
      </w:r>
      <w:r w:rsidR="001A0A76">
        <w:rPr>
          <w:rFonts w:ascii="Arial" w:eastAsia="Arial" w:hAnsi="Arial" w:cs="Arial"/>
          <w:color w:val="000000"/>
          <w:bdr w:val="none" w:sz="0" w:space="0" w:color="auto" w:frame="1"/>
        </w:rPr>
        <w:t xml:space="preserve">actual </w:t>
      </w:r>
      <w:r w:rsidRPr="0040376D">
        <w:rPr>
          <w:rFonts w:ascii="Arial" w:eastAsia="Arial" w:hAnsi="Arial" w:cs="Arial"/>
          <w:color w:val="000000"/>
          <w:bdr w:val="none" w:sz="0" w:space="0" w:color="auto" w:frame="1"/>
        </w:rPr>
        <w:t>amou</w:t>
      </w:r>
      <w:bookmarkStart w:id="13" w:name="_Hlk67040624"/>
      <w:r w:rsidR="00942AE1">
        <w:rPr>
          <w:rFonts w:ascii="Arial" w:eastAsia="Arial" w:hAnsi="Arial" w:cs="Arial"/>
          <w:color w:val="000000"/>
          <w:bdr w:val="none" w:sz="0" w:space="0" w:color="auto" w:frame="1"/>
        </w:rPr>
        <w:t>nt of funds spent</w:t>
      </w:r>
      <w:r w:rsidRPr="0040376D">
        <w:rPr>
          <w:rFonts w:ascii="Arial" w:eastAsia="Arial" w:hAnsi="Arial" w:cs="Arial"/>
          <w:color w:val="000000"/>
          <w:bdr w:val="none" w:sz="0" w:space="0" w:color="auto" w:frame="1"/>
        </w:rPr>
        <w:t xml:space="preserve"> on CTE programs</w:t>
      </w:r>
      <w:r>
        <w:rPr>
          <w:rFonts w:ascii="Arial" w:eastAsia="Arial" w:hAnsi="Arial" w:cs="Arial"/>
          <w:color w:val="000000"/>
          <w:bdr w:val="none" w:sz="0" w:space="0" w:color="auto" w:frame="1"/>
        </w:rPr>
        <w:t xml:space="preserve"> on </w:t>
      </w:r>
      <w:r w:rsidR="00942AE1">
        <w:rPr>
          <w:rFonts w:ascii="Arial" w:eastAsia="Arial" w:hAnsi="Arial" w:cs="Arial"/>
          <w:color w:val="000000"/>
          <w:bdr w:val="none" w:sz="0" w:space="0" w:color="auto" w:frame="1"/>
        </w:rPr>
        <w:t xml:space="preserve">their </w:t>
      </w:r>
      <w:r>
        <w:rPr>
          <w:rFonts w:ascii="Arial" w:eastAsia="Arial" w:hAnsi="Arial" w:cs="Arial"/>
          <w:color w:val="000000"/>
          <w:bdr w:val="none" w:sz="0" w:space="0" w:color="auto" w:frame="1"/>
        </w:rPr>
        <w:t>Attachment III</w:t>
      </w:r>
      <w:r w:rsidR="006001FE">
        <w:rPr>
          <w:rFonts w:ascii="Arial" w:eastAsia="Arial" w:hAnsi="Arial" w:cs="Arial"/>
          <w:color w:val="000000"/>
          <w:bdr w:val="none" w:sz="0" w:space="0" w:color="auto" w:frame="1"/>
        </w:rPr>
        <w:t xml:space="preserve"> for </w:t>
      </w:r>
      <w:r w:rsidRPr="0040376D">
        <w:rPr>
          <w:rFonts w:ascii="Arial" w:eastAsia="Arial" w:hAnsi="Arial" w:cs="Arial"/>
          <w:color w:val="000000"/>
          <w:bdr w:val="none" w:sz="0" w:space="0" w:color="auto" w:frame="1"/>
        </w:rPr>
        <w:t>FY 20</w:t>
      </w:r>
      <w:r w:rsidR="001A0A76">
        <w:rPr>
          <w:rFonts w:ascii="Arial" w:eastAsia="Arial" w:hAnsi="Arial" w:cs="Arial"/>
          <w:color w:val="000000"/>
          <w:bdr w:val="none" w:sz="0" w:space="0" w:color="auto" w:frame="1"/>
        </w:rPr>
        <w:t>21</w:t>
      </w:r>
      <w:r w:rsidRPr="0040376D">
        <w:rPr>
          <w:rFonts w:ascii="Arial" w:eastAsia="Arial" w:hAnsi="Arial" w:cs="Arial"/>
          <w:color w:val="000000"/>
          <w:bdr w:val="none" w:sz="0" w:space="0" w:color="auto" w:frame="1"/>
        </w:rPr>
        <w:t>–2</w:t>
      </w:r>
      <w:r w:rsidR="001A0A76">
        <w:rPr>
          <w:rFonts w:ascii="Arial" w:eastAsia="Arial" w:hAnsi="Arial" w:cs="Arial"/>
          <w:color w:val="000000"/>
          <w:bdr w:val="none" w:sz="0" w:space="0" w:color="auto" w:frame="1"/>
        </w:rPr>
        <w:t>2</w:t>
      </w:r>
      <w:r w:rsidRPr="0040376D">
        <w:rPr>
          <w:rFonts w:ascii="Arial" w:eastAsia="Arial" w:hAnsi="Arial" w:cs="Arial"/>
          <w:color w:val="000000"/>
          <w:bdr w:val="none" w:sz="0" w:space="0" w:color="auto" w:frame="1"/>
        </w:rPr>
        <w:t xml:space="preserve"> </w:t>
      </w:r>
      <w:bookmarkEnd w:id="13"/>
      <w:r w:rsidRPr="0040376D">
        <w:rPr>
          <w:rFonts w:ascii="Arial" w:eastAsia="Arial" w:hAnsi="Arial" w:cs="Arial"/>
          <w:color w:val="000000"/>
          <w:bdr w:val="none" w:sz="0" w:space="0" w:color="auto" w:frame="1"/>
        </w:rPr>
        <w:t>and a CTE Three-Year Budget for FYs 202</w:t>
      </w:r>
      <w:r w:rsidR="001A0A76">
        <w:rPr>
          <w:rFonts w:ascii="Arial" w:eastAsia="Arial" w:hAnsi="Arial" w:cs="Arial"/>
          <w:color w:val="000000"/>
          <w:bdr w:val="none" w:sz="0" w:space="0" w:color="auto" w:frame="1"/>
        </w:rPr>
        <w:t>2</w:t>
      </w:r>
      <w:r w:rsidRPr="0040376D">
        <w:rPr>
          <w:rFonts w:ascii="Arial" w:eastAsia="Arial" w:hAnsi="Arial" w:cs="Arial"/>
          <w:color w:val="000000"/>
          <w:bdr w:val="none" w:sz="0" w:space="0" w:color="auto" w:frame="1"/>
        </w:rPr>
        <w:t>–2</w:t>
      </w:r>
      <w:r w:rsidR="001A0A76">
        <w:rPr>
          <w:rFonts w:ascii="Arial" w:eastAsia="Arial" w:hAnsi="Arial" w:cs="Arial"/>
          <w:color w:val="000000"/>
          <w:bdr w:val="none" w:sz="0" w:space="0" w:color="auto" w:frame="1"/>
        </w:rPr>
        <w:t>3</w:t>
      </w:r>
      <w:r w:rsidRPr="0040376D">
        <w:rPr>
          <w:rFonts w:ascii="Arial" w:eastAsia="Arial" w:hAnsi="Arial" w:cs="Arial"/>
          <w:color w:val="000000"/>
          <w:bdr w:val="none" w:sz="0" w:space="0" w:color="auto" w:frame="1"/>
        </w:rPr>
        <w:t>, 202</w:t>
      </w:r>
      <w:r w:rsidR="001A0A76">
        <w:rPr>
          <w:rFonts w:ascii="Arial" w:eastAsia="Arial" w:hAnsi="Arial" w:cs="Arial"/>
          <w:color w:val="000000"/>
          <w:bdr w:val="none" w:sz="0" w:space="0" w:color="auto" w:frame="1"/>
        </w:rPr>
        <w:t>3</w:t>
      </w:r>
      <w:r w:rsidRPr="0040376D">
        <w:rPr>
          <w:rFonts w:ascii="Arial" w:eastAsia="Arial" w:hAnsi="Arial" w:cs="Arial"/>
          <w:color w:val="000000"/>
          <w:bdr w:val="none" w:sz="0" w:space="0" w:color="auto" w:frame="1"/>
        </w:rPr>
        <w:t>–2</w:t>
      </w:r>
      <w:r w:rsidR="001A0A76">
        <w:rPr>
          <w:rFonts w:ascii="Arial" w:eastAsia="Arial" w:hAnsi="Arial" w:cs="Arial"/>
          <w:color w:val="000000"/>
          <w:bdr w:val="none" w:sz="0" w:space="0" w:color="auto" w:frame="1"/>
        </w:rPr>
        <w:t>4</w:t>
      </w:r>
      <w:r w:rsidRPr="0040376D">
        <w:rPr>
          <w:rFonts w:ascii="Arial" w:eastAsia="Arial" w:hAnsi="Arial" w:cs="Arial"/>
          <w:color w:val="000000"/>
          <w:bdr w:val="none" w:sz="0" w:space="0" w:color="auto" w:frame="1"/>
        </w:rPr>
        <w:t>, and 202</w:t>
      </w:r>
      <w:r w:rsidR="001A0A76">
        <w:rPr>
          <w:rFonts w:ascii="Arial" w:eastAsia="Arial" w:hAnsi="Arial" w:cs="Arial"/>
          <w:color w:val="000000"/>
          <w:bdr w:val="none" w:sz="0" w:space="0" w:color="auto" w:frame="1"/>
        </w:rPr>
        <w:t>4</w:t>
      </w:r>
      <w:r w:rsidRPr="0040376D">
        <w:rPr>
          <w:rFonts w:ascii="Arial" w:eastAsia="Arial" w:hAnsi="Arial" w:cs="Arial"/>
          <w:color w:val="000000"/>
          <w:bdr w:val="none" w:sz="0" w:space="0" w:color="auto" w:frame="1"/>
        </w:rPr>
        <w:t>–2</w:t>
      </w:r>
      <w:r w:rsidR="001A0A76">
        <w:rPr>
          <w:rFonts w:ascii="Arial" w:eastAsia="Arial" w:hAnsi="Arial" w:cs="Arial"/>
          <w:color w:val="000000"/>
          <w:bdr w:val="none" w:sz="0" w:space="0" w:color="auto" w:frame="1"/>
        </w:rPr>
        <w:t>5</w:t>
      </w:r>
      <w:r w:rsidRPr="0040376D">
        <w:rPr>
          <w:rFonts w:ascii="Arial" w:eastAsia="Arial" w:hAnsi="Arial" w:cs="Arial"/>
          <w:color w:val="000000"/>
          <w:bdr w:val="none" w:sz="0" w:space="0" w:color="auto" w:frame="1"/>
        </w:rPr>
        <w:t xml:space="preserve"> </w:t>
      </w:r>
      <w:r w:rsidR="006001FE">
        <w:rPr>
          <w:rFonts w:ascii="Arial" w:eastAsia="Arial" w:hAnsi="Arial" w:cs="Arial"/>
          <w:color w:val="000000"/>
          <w:bdr w:val="none" w:sz="0" w:space="0" w:color="auto" w:frame="1"/>
        </w:rPr>
        <w:t>to demonstrate</w:t>
      </w:r>
      <w:r w:rsidRPr="0040376D">
        <w:rPr>
          <w:rFonts w:ascii="Arial" w:eastAsia="Arial" w:hAnsi="Arial" w:cs="Arial"/>
          <w:color w:val="000000"/>
          <w:bdr w:val="none" w:sz="0" w:space="0" w:color="auto" w:frame="1"/>
        </w:rPr>
        <w:t xml:space="preserve"> continued financial and administrative support of CTE programs</w:t>
      </w:r>
      <w:r w:rsidR="006001FE">
        <w:rPr>
          <w:rStyle w:val="FootnoteReference"/>
          <w:rFonts w:ascii="Arial" w:eastAsia="Arial" w:hAnsi="Arial" w:cs="Arial"/>
          <w:color w:val="000000"/>
          <w:bdr w:val="none" w:sz="0" w:space="0" w:color="auto" w:frame="1"/>
        </w:rPr>
        <w:footnoteReference w:id="8"/>
      </w:r>
      <w:r w:rsidRPr="0040376D">
        <w:rPr>
          <w:rFonts w:ascii="Arial" w:eastAsia="Arial" w:hAnsi="Arial" w:cs="Arial"/>
          <w:color w:val="000000"/>
          <w:bdr w:val="none" w:sz="0" w:space="0" w:color="auto" w:frame="1"/>
        </w:rPr>
        <w:t xml:space="preserve"> of no less than the amount expended in the </w:t>
      </w:r>
      <w:r w:rsidRPr="0040376D">
        <w:rPr>
          <w:rFonts w:ascii="Arial" w:eastAsia="Arial" w:hAnsi="Arial" w:cs="Arial"/>
          <w:color w:val="000000"/>
          <w:bdr w:val="none" w:sz="0" w:space="0" w:color="auto" w:frame="1"/>
        </w:rPr>
        <w:lastRenderedPageBreak/>
        <w:t>previous year.</w:t>
      </w:r>
      <w:r w:rsidR="00CF4560">
        <w:rPr>
          <w:rFonts w:ascii="Arial" w:eastAsia="Arial" w:hAnsi="Arial" w:cs="Arial"/>
          <w:color w:val="000000"/>
          <w:bdr w:val="none" w:sz="0" w:space="0" w:color="auto" w:frame="1"/>
        </w:rPr>
        <w:t xml:space="preserve"> </w:t>
      </w:r>
      <w:r w:rsidR="006761EA">
        <w:rPr>
          <w:rFonts w:ascii="Arial" w:hAnsi="Arial" w:cs="Arial"/>
        </w:rPr>
        <w:t xml:space="preserve">The </w:t>
      </w:r>
      <w:r w:rsidR="006A56B9">
        <w:rPr>
          <w:rFonts w:ascii="Arial" w:hAnsi="Arial" w:cs="Arial"/>
        </w:rPr>
        <w:t xml:space="preserve">LCAP is the </w:t>
      </w:r>
      <w:r w:rsidR="006761EA">
        <w:rPr>
          <w:rFonts w:ascii="Arial" w:hAnsi="Arial" w:cs="Arial"/>
        </w:rPr>
        <w:t>final component</w:t>
      </w:r>
      <w:r w:rsidR="006A56B9">
        <w:rPr>
          <w:rFonts w:ascii="Arial" w:hAnsi="Arial" w:cs="Arial"/>
        </w:rPr>
        <w:t xml:space="preserve"> reviewed</w:t>
      </w:r>
      <w:r w:rsidR="006761EA">
        <w:rPr>
          <w:rFonts w:ascii="Arial" w:hAnsi="Arial" w:cs="Arial"/>
        </w:rPr>
        <w:t xml:space="preserve"> </w:t>
      </w:r>
      <w:r w:rsidR="006A56B9">
        <w:rPr>
          <w:rFonts w:ascii="Arial" w:hAnsi="Arial" w:cs="Arial"/>
        </w:rPr>
        <w:t>and must reference CTE programs to be eligible for CTEIG funding</w:t>
      </w:r>
      <w:r w:rsidR="006761EA">
        <w:rPr>
          <w:rFonts w:ascii="Arial" w:hAnsi="Arial" w:cs="Arial"/>
        </w:rPr>
        <w:t xml:space="preserve">, as required in </w:t>
      </w:r>
      <w:r w:rsidR="006761EA" w:rsidRPr="00A01448">
        <w:rPr>
          <w:rFonts w:ascii="Arial" w:hAnsi="Arial" w:cs="Arial"/>
          <w:i/>
        </w:rPr>
        <w:t>EC</w:t>
      </w:r>
      <w:r w:rsidR="006761EA">
        <w:rPr>
          <w:rFonts w:ascii="Arial" w:hAnsi="Arial" w:cs="Arial"/>
        </w:rPr>
        <w:t xml:space="preserve"> Section 53073(b)(2).</w:t>
      </w:r>
      <w:r w:rsidR="006761EA">
        <w:rPr>
          <w:rStyle w:val="FootnoteReference"/>
          <w:rFonts w:ascii="Arial" w:hAnsi="Arial" w:cs="Arial"/>
        </w:rPr>
        <w:footnoteReference w:id="9"/>
      </w:r>
    </w:p>
    <w:p w14:paraId="6DB572F9" w14:textId="21593EBE" w:rsidR="007D00E4" w:rsidRPr="00425845" w:rsidRDefault="006D3AE8" w:rsidP="00E72647">
      <w:pPr>
        <w:pStyle w:val="Heading2"/>
        <w:spacing w:before="480"/>
      </w:pPr>
      <w:bookmarkStart w:id="14" w:name="_Toc116282053"/>
      <w:r>
        <w:rPr>
          <w:iCs/>
        </w:rPr>
        <w:t xml:space="preserve">California </w:t>
      </w:r>
      <w:r w:rsidRPr="006D3AE8">
        <w:rPr>
          <w:i/>
        </w:rPr>
        <w:t>Education Code</w:t>
      </w:r>
      <w:r>
        <w:rPr>
          <w:iCs/>
        </w:rPr>
        <w:t xml:space="preserve"> </w:t>
      </w:r>
      <w:r w:rsidR="00E90408">
        <w:t xml:space="preserve">Section </w:t>
      </w:r>
      <w:r w:rsidR="00E55E6B" w:rsidRPr="00425845">
        <w:t>53070.1(a)(1)</w:t>
      </w:r>
      <w:r w:rsidR="00AB2251" w:rsidRPr="00425845">
        <w:t xml:space="preserve">: 3 Year </w:t>
      </w:r>
      <w:r w:rsidR="00E7322F">
        <w:t xml:space="preserve">Financial and Administrative </w:t>
      </w:r>
      <w:r w:rsidR="00AB2251" w:rsidRPr="00425845">
        <w:t>Commitment</w:t>
      </w:r>
      <w:bookmarkEnd w:id="14"/>
    </w:p>
    <w:p w14:paraId="0F27D795" w14:textId="102F109A" w:rsidR="00301CE2" w:rsidRDefault="00E90408" w:rsidP="00705131">
      <w:pPr>
        <w:pStyle w:val="Default"/>
        <w:spacing w:after="240"/>
        <w:rPr>
          <w:color w:val="333333"/>
          <w:shd w:val="clear" w:color="auto" w:fill="FFFFFF"/>
        </w:rPr>
      </w:pPr>
      <w:r>
        <w:t xml:space="preserve">As </w:t>
      </w:r>
      <w:r w:rsidRPr="006E5244">
        <w:rPr>
          <w:color w:val="auto"/>
        </w:rPr>
        <w:t xml:space="preserve">referenced in </w:t>
      </w:r>
      <w:r w:rsidR="00234443" w:rsidRPr="006E5244">
        <w:rPr>
          <w:i/>
          <w:color w:val="auto"/>
        </w:rPr>
        <w:t>EC</w:t>
      </w:r>
      <w:r w:rsidR="00234443" w:rsidRPr="006E5244">
        <w:rPr>
          <w:color w:val="auto"/>
        </w:rPr>
        <w:t xml:space="preserve"> </w:t>
      </w:r>
      <w:r w:rsidR="00705131" w:rsidRPr="006E5244">
        <w:rPr>
          <w:color w:val="auto"/>
        </w:rPr>
        <w:t xml:space="preserve">Section </w:t>
      </w:r>
      <w:r w:rsidR="00234443" w:rsidRPr="006E5244">
        <w:rPr>
          <w:color w:val="auto"/>
        </w:rPr>
        <w:t>5307</w:t>
      </w:r>
      <w:r w:rsidR="007E2F39" w:rsidRPr="006E5244">
        <w:rPr>
          <w:color w:val="auto"/>
        </w:rPr>
        <w:t>0.1(a)(1)</w:t>
      </w:r>
      <w:r w:rsidRPr="006E5244">
        <w:rPr>
          <w:color w:val="auto"/>
        </w:rPr>
        <w:t xml:space="preserve">, LEAs applying for </w:t>
      </w:r>
      <w:r w:rsidR="001A0A76">
        <w:rPr>
          <w:color w:val="auto"/>
        </w:rPr>
        <w:t xml:space="preserve">the </w:t>
      </w:r>
      <w:r w:rsidRPr="006E5244">
        <w:rPr>
          <w:color w:val="auto"/>
        </w:rPr>
        <w:t>CTEIG are required to</w:t>
      </w:r>
      <w:r w:rsidR="00705131" w:rsidRPr="006E5244">
        <w:rPr>
          <w:color w:val="auto"/>
        </w:rPr>
        <w:t xml:space="preserve"> s</w:t>
      </w:r>
      <w:r w:rsidRPr="006E5244">
        <w:rPr>
          <w:color w:val="auto"/>
        </w:rPr>
        <w:t>ubmit a</w:t>
      </w:r>
      <w:r w:rsidR="00234443" w:rsidRPr="006E5244">
        <w:rPr>
          <w:color w:val="auto"/>
          <w:shd w:val="clear" w:color="auto" w:fill="FFFFFF"/>
        </w:rPr>
        <w:t xml:space="preserve"> three-year plan for continued financial and administrative support of </w:t>
      </w:r>
      <w:r w:rsidRPr="006E5244">
        <w:rPr>
          <w:color w:val="auto"/>
          <w:shd w:val="clear" w:color="auto" w:fill="FFFFFF"/>
        </w:rPr>
        <w:t>CTE programs; moreover, they must</w:t>
      </w:r>
      <w:r w:rsidR="00234443" w:rsidRPr="006E5244">
        <w:rPr>
          <w:color w:val="auto"/>
          <w:shd w:val="clear" w:color="auto" w:fill="FFFFFF"/>
        </w:rPr>
        <w:t xml:space="preserve"> demonstr</w:t>
      </w:r>
      <w:r w:rsidRPr="006E5244">
        <w:rPr>
          <w:color w:val="auto"/>
          <w:shd w:val="clear" w:color="auto" w:fill="FFFFFF"/>
        </w:rPr>
        <w:t>ate</w:t>
      </w:r>
      <w:r w:rsidR="00234443" w:rsidRPr="006E5244">
        <w:rPr>
          <w:color w:val="auto"/>
          <w:shd w:val="clear" w:color="auto" w:fill="FFFFFF"/>
        </w:rPr>
        <w:t xml:space="preserve"> a financial commitment of no less than the amount expended on th</w:t>
      </w:r>
      <w:r w:rsidRPr="006E5244">
        <w:rPr>
          <w:color w:val="auto"/>
          <w:shd w:val="clear" w:color="auto" w:fill="FFFFFF"/>
        </w:rPr>
        <w:t>eir CTE</w:t>
      </w:r>
      <w:r w:rsidR="00234443" w:rsidRPr="006E5244">
        <w:rPr>
          <w:color w:val="auto"/>
          <w:shd w:val="clear" w:color="auto" w:fill="FFFFFF"/>
        </w:rPr>
        <w:t xml:space="preserve"> programs in the previous fiscal year</w:t>
      </w:r>
      <w:r w:rsidR="00E749FF">
        <w:rPr>
          <w:color w:val="auto"/>
          <w:shd w:val="clear" w:color="auto" w:fill="FFFFFF"/>
        </w:rPr>
        <w:t>.</w:t>
      </w:r>
      <w:r w:rsidR="00DA1EA8" w:rsidRPr="006E5244">
        <w:rPr>
          <w:rStyle w:val="FootnoteReference"/>
          <w:color w:val="auto"/>
        </w:rPr>
        <w:footnoteReference w:id="10"/>
      </w:r>
      <w:r w:rsidR="00234443" w:rsidRPr="006E5244">
        <w:rPr>
          <w:color w:val="auto"/>
          <w:shd w:val="clear" w:color="auto" w:fill="FFFFFF"/>
        </w:rPr>
        <w:t xml:space="preserve"> The plan</w:t>
      </w:r>
      <w:r w:rsidRPr="006E5244">
        <w:rPr>
          <w:color w:val="auto"/>
          <w:shd w:val="clear" w:color="auto" w:fill="FFFFFF"/>
        </w:rPr>
        <w:t xml:space="preserve"> must identify all </w:t>
      </w:r>
      <w:r w:rsidR="00234443" w:rsidRPr="006E5244">
        <w:rPr>
          <w:color w:val="auto"/>
          <w:shd w:val="clear" w:color="auto" w:fill="FFFFFF"/>
        </w:rPr>
        <w:t xml:space="preserve">available funding within an applicant’s current or projected budget to continue to support </w:t>
      </w:r>
      <w:r w:rsidRPr="006E5244">
        <w:rPr>
          <w:color w:val="auto"/>
          <w:shd w:val="clear" w:color="auto" w:fill="FFFFFF"/>
        </w:rPr>
        <w:t xml:space="preserve">their CTE </w:t>
      </w:r>
      <w:r w:rsidR="00234443" w:rsidRPr="006E5244">
        <w:rPr>
          <w:color w:val="auto"/>
          <w:shd w:val="clear" w:color="auto" w:fill="FFFFFF"/>
        </w:rPr>
        <w:t>programs</w:t>
      </w:r>
      <w:r w:rsidRPr="006E5244">
        <w:rPr>
          <w:color w:val="auto"/>
          <w:shd w:val="clear" w:color="auto" w:fill="FFFFFF"/>
        </w:rPr>
        <w:t xml:space="preserve"> in writing</w:t>
      </w:r>
      <w:r w:rsidR="00705131" w:rsidRPr="006E5244">
        <w:rPr>
          <w:color w:val="auto"/>
          <w:shd w:val="clear" w:color="auto" w:fill="FFFFFF"/>
        </w:rPr>
        <w:t>.</w:t>
      </w:r>
      <w:r w:rsidR="009040B7" w:rsidRPr="006E5244">
        <w:rPr>
          <w:color w:val="auto"/>
          <w:shd w:val="clear" w:color="auto" w:fill="FFFFFF"/>
        </w:rPr>
        <w:t xml:space="preserve"> </w:t>
      </w:r>
    </w:p>
    <w:p w14:paraId="5E35E75E" w14:textId="4E0F94C6" w:rsidR="00E90408" w:rsidRDefault="00D16831" w:rsidP="00705131">
      <w:pPr>
        <w:pStyle w:val="Default"/>
        <w:spacing w:after="240"/>
      </w:pPr>
      <w:r>
        <w:t>T</w:t>
      </w:r>
      <w:r w:rsidR="00E90408">
        <w:t>he CDE requires all applicants to submit a</w:t>
      </w:r>
      <w:r w:rsidR="00650AE2">
        <w:t>n Attachment III:</w:t>
      </w:r>
      <w:r w:rsidR="00E90408">
        <w:t xml:space="preserve"> </w:t>
      </w:r>
      <w:r w:rsidR="003F2581">
        <w:t xml:space="preserve">CTEIG </w:t>
      </w:r>
      <w:r w:rsidR="00650AE2">
        <w:t>T</w:t>
      </w:r>
      <w:r w:rsidR="00E90408">
        <w:t>hree</w:t>
      </w:r>
      <w:r w:rsidR="002F0818">
        <w:t>-</w:t>
      </w:r>
      <w:r w:rsidR="00650AE2">
        <w:t>Y</w:t>
      </w:r>
      <w:r w:rsidR="00E90408">
        <w:t xml:space="preserve">ear </w:t>
      </w:r>
      <w:r w:rsidR="00650AE2">
        <w:t>B</w:t>
      </w:r>
      <w:r w:rsidR="00E90408">
        <w:t>udget</w:t>
      </w:r>
      <w:r w:rsidR="00E749FF">
        <w:t>,</w:t>
      </w:r>
      <w:r w:rsidR="00AE652E">
        <w:rPr>
          <w:rStyle w:val="FootnoteReference"/>
        </w:rPr>
        <w:footnoteReference w:id="11"/>
      </w:r>
      <w:r w:rsidR="002F0818">
        <w:t xml:space="preserve"> </w:t>
      </w:r>
      <w:r w:rsidR="00650AE2">
        <w:t xml:space="preserve">which must be signed either by the Lead Superintendent or </w:t>
      </w:r>
      <w:r>
        <w:t>d</w:t>
      </w:r>
      <w:r w:rsidR="00650AE2">
        <w:t>esignee</w:t>
      </w:r>
      <w:r>
        <w:t>, when applying for the CTEIG program</w:t>
      </w:r>
      <w:r w:rsidR="00650AE2">
        <w:t xml:space="preserve">. </w:t>
      </w:r>
      <w:r w:rsidR="004757D7">
        <w:t xml:space="preserve">This document </w:t>
      </w:r>
      <w:r w:rsidR="00BC402C">
        <w:t xml:space="preserve">constitutes the written agreement required in </w:t>
      </w:r>
      <w:r w:rsidR="00BC402C" w:rsidRPr="00BC402C">
        <w:rPr>
          <w:i/>
        </w:rPr>
        <w:t>EC</w:t>
      </w:r>
      <w:r w:rsidR="00BC402C">
        <w:t xml:space="preserve"> Section 53071(b)</w:t>
      </w:r>
      <w:r>
        <w:t>. T</w:t>
      </w:r>
      <w:r w:rsidR="00103159">
        <w:t xml:space="preserve">he components of Attachment III: CTEIG Three-Year Budget include </w:t>
      </w:r>
      <w:r w:rsidR="00A01448">
        <w:t xml:space="preserve">the </w:t>
      </w:r>
      <w:r w:rsidR="00103159">
        <w:t>total CTE expenses</w:t>
      </w:r>
      <w:r w:rsidR="004D522E">
        <w:t xml:space="preserve"> </w:t>
      </w:r>
      <w:r w:rsidR="00A01448">
        <w:t>from the previous year</w:t>
      </w:r>
      <w:r w:rsidR="00103159">
        <w:t>, projected CTE budget totals for the next three years</w:t>
      </w:r>
      <w:r w:rsidR="001A0A76">
        <w:t xml:space="preserve"> organized by object code</w:t>
      </w:r>
      <w:r w:rsidR="00E749FF">
        <w:t>,</w:t>
      </w:r>
      <w:r w:rsidR="001A0A76">
        <w:rPr>
          <w:rStyle w:val="FootnoteReference"/>
        </w:rPr>
        <w:footnoteReference w:id="12"/>
      </w:r>
      <w:r w:rsidR="00103159">
        <w:t xml:space="preserve"> and a signature line for the </w:t>
      </w:r>
      <w:r>
        <w:t>L</w:t>
      </w:r>
      <w:r w:rsidR="00103159">
        <w:t xml:space="preserve">ead </w:t>
      </w:r>
      <w:r w:rsidR="00E749FF">
        <w:t>S</w:t>
      </w:r>
      <w:r w:rsidR="00103159">
        <w:t xml:space="preserve">uperintendent or </w:t>
      </w:r>
      <w:r>
        <w:t>d</w:t>
      </w:r>
      <w:r w:rsidR="00103159">
        <w:t>esignee.</w:t>
      </w:r>
    </w:p>
    <w:p w14:paraId="18043410" w14:textId="3A245501" w:rsidR="00C118EA" w:rsidRDefault="001A0A76" w:rsidP="00BC402C">
      <w:pPr>
        <w:pStyle w:val="Default"/>
        <w:spacing w:after="240"/>
      </w:pPr>
      <w:r>
        <w:t>A</w:t>
      </w:r>
      <w:r w:rsidR="00487F43">
        <w:t xml:space="preserve">ll new CTEIG applicants memorialize their annual baseline CTE budget </w:t>
      </w:r>
      <w:r w:rsidR="003E497B">
        <w:t>i</w:t>
      </w:r>
      <w:r w:rsidR="009845CC">
        <w:t>n</w:t>
      </w:r>
      <w:r>
        <w:t xml:space="preserve"> their initial</w:t>
      </w:r>
      <w:r w:rsidR="00487F43">
        <w:t xml:space="preserve"> Attach</w:t>
      </w:r>
      <w:r w:rsidR="00756115">
        <w:t xml:space="preserve">ment III: CTEIG Three-Year Budget. This </w:t>
      </w:r>
      <w:r>
        <w:t xml:space="preserve">baseline amount is </w:t>
      </w:r>
      <w:r w:rsidR="00756115">
        <w:t>used as a point of reference for future grant applications to ensure a sustain</w:t>
      </w:r>
      <w:r w:rsidR="009845CC">
        <w:t>ed</w:t>
      </w:r>
      <w:r w:rsidR="00756115">
        <w:t xml:space="preserve"> financial commitment equal to or greater than the previous FY</w:t>
      </w:r>
      <w:r w:rsidR="00D16831">
        <w:t>’s</w:t>
      </w:r>
      <w:r w:rsidR="00756115">
        <w:t>. The verification process for returning CTEIG applicants</w:t>
      </w:r>
      <w:r w:rsidR="003B0D08">
        <w:t xml:space="preserve"> require</w:t>
      </w:r>
      <w:r>
        <w:t>s</w:t>
      </w:r>
      <w:r w:rsidR="003B0D08">
        <w:t xml:space="preserve"> </w:t>
      </w:r>
      <w:r w:rsidR="00C61F1A">
        <w:t>applicants</w:t>
      </w:r>
      <w:r w:rsidR="003B0D08">
        <w:t xml:space="preserve"> to submit their previous FY’s </w:t>
      </w:r>
      <w:r>
        <w:t xml:space="preserve">actual </w:t>
      </w:r>
      <w:r w:rsidR="003B0D08">
        <w:t xml:space="preserve">CTE total expenses. This information </w:t>
      </w:r>
      <w:r>
        <w:t xml:space="preserve">is </w:t>
      </w:r>
      <w:r w:rsidR="003B0D08">
        <w:t xml:space="preserve">cross-referenced with </w:t>
      </w:r>
      <w:r w:rsidR="00C61F1A">
        <w:t xml:space="preserve">the returning applicants’ Attachment III: CTEIG Three-Year </w:t>
      </w:r>
      <w:r w:rsidR="00E749FF">
        <w:t>B</w:t>
      </w:r>
      <w:r w:rsidR="00C61F1A">
        <w:t>udget</w:t>
      </w:r>
      <w:r w:rsidR="003E497B">
        <w:t>s</w:t>
      </w:r>
      <w:r w:rsidR="00C61F1A">
        <w:t xml:space="preserve"> </w:t>
      </w:r>
      <w:r w:rsidR="00D77CFD">
        <w:t>submitted with their previous</w:t>
      </w:r>
      <w:r w:rsidR="00C61F1A">
        <w:t xml:space="preserve"> grant year</w:t>
      </w:r>
      <w:r w:rsidR="003E497B">
        <w:t>’s</w:t>
      </w:r>
      <w:r w:rsidR="00C61F1A">
        <w:t xml:space="preserve"> application</w:t>
      </w:r>
      <w:r w:rsidR="003E497B">
        <w:t>s</w:t>
      </w:r>
      <w:r w:rsidR="00C61F1A">
        <w:t>.</w:t>
      </w:r>
    </w:p>
    <w:p w14:paraId="593BFA05" w14:textId="5D816F63" w:rsidR="00271C6A" w:rsidRDefault="00271C6A" w:rsidP="00BC402C">
      <w:pPr>
        <w:pStyle w:val="Default"/>
        <w:spacing w:after="240"/>
      </w:pPr>
      <w:r>
        <w:br w:type="page"/>
      </w:r>
    </w:p>
    <w:p w14:paraId="2355E097" w14:textId="2B52EA40" w:rsidR="00F014CF" w:rsidRPr="00FA3D06" w:rsidRDefault="00E749FF" w:rsidP="00271C6A">
      <w:pPr>
        <w:pStyle w:val="Heading2"/>
      </w:pPr>
      <w:bookmarkStart w:id="15" w:name="_Toc116282054"/>
      <w:r>
        <w:rPr>
          <w:iCs/>
        </w:rPr>
        <w:lastRenderedPageBreak/>
        <w:t xml:space="preserve">California </w:t>
      </w:r>
      <w:r w:rsidRPr="00E749FF">
        <w:rPr>
          <w:i/>
        </w:rPr>
        <w:t>Education Code</w:t>
      </w:r>
      <w:r w:rsidR="00234443" w:rsidRPr="00425845">
        <w:t xml:space="preserve"> </w:t>
      </w:r>
      <w:r w:rsidR="00E90408">
        <w:t xml:space="preserve">Section </w:t>
      </w:r>
      <w:r w:rsidR="004D3D01" w:rsidRPr="00425845">
        <w:t>53070.1(a)(2)</w:t>
      </w:r>
      <w:r w:rsidR="00AB2251" w:rsidRPr="00425845">
        <w:t>: Minimum Eligibility Standards</w:t>
      </w:r>
      <w:bookmarkEnd w:id="15"/>
    </w:p>
    <w:p w14:paraId="7B9B69D2" w14:textId="76EFCD4B" w:rsidR="00F23B80" w:rsidRPr="00425845" w:rsidRDefault="00D16831" w:rsidP="00AE0A31">
      <w:pPr>
        <w:pStyle w:val="Heading3"/>
        <w:spacing w:before="480"/>
        <w:jc w:val="left"/>
        <w:rPr>
          <w:rFonts w:cs="Arial"/>
        </w:rPr>
      </w:pPr>
      <w:r>
        <w:rPr>
          <w:rFonts w:cs="Arial"/>
        </w:rPr>
        <w:t xml:space="preserve">California </w:t>
      </w:r>
      <w:r w:rsidR="00271C6A">
        <w:rPr>
          <w:rFonts w:cs="Arial"/>
          <w:i/>
        </w:rPr>
        <w:t>E</w:t>
      </w:r>
      <w:r>
        <w:rPr>
          <w:rFonts w:cs="Arial"/>
          <w:i/>
        </w:rPr>
        <w:t>ducation Code</w:t>
      </w:r>
      <w:r w:rsidR="001F6FE4" w:rsidRPr="00425845">
        <w:rPr>
          <w:rFonts w:cs="Arial"/>
        </w:rPr>
        <w:t xml:space="preserve"> </w:t>
      </w:r>
      <w:r w:rsidR="00F96211">
        <w:rPr>
          <w:rFonts w:cs="Arial"/>
        </w:rPr>
        <w:t xml:space="preserve">Section </w:t>
      </w:r>
      <w:r w:rsidR="004D3D01" w:rsidRPr="00425845">
        <w:rPr>
          <w:rFonts w:cs="Arial"/>
        </w:rPr>
        <w:t>53070.1(a)(2)(A)</w:t>
      </w:r>
    </w:p>
    <w:p w14:paraId="4B222296" w14:textId="78566A02" w:rsidR="000E5B05" w:rsidRDefault="00AB5083" w:rsidP="00AE0A31">
      <w:pPr>
        <w:spacing w:after="240"/>
        <w:rPr>
          <w:rFonts w:ascii="Arial" w:hAnsi="Arial" w:cs="Arial"/>
        </w:rPr>
      </w:pPr>
      <w:r w:rsidRPr="000D08F2">
        <w:rPr>
          <w:rFonts w:ascii="Arial" w:hAnsi="Arial" w:cs="Arial"/>
        </w:rPr>
        <w:t xml:space="preserve">Paragraph (4) </w:t>
      </w:r>
      <w:r w:rsidRPr="00E72647">
        <w:rPr>
          <w:rFonts w:ascii="Arial" w:hAnsi="Arial" w:cs="Arial"/>
          <w:color w:val="000000" w:themeColor="text1"/>
        </w:rPr>
        <w:t xml:space="preserve">within subdivision (c) of </w:t>
      </w:r>
      <w:r w:rsidR="00271C6A" w:rsidRPr="00E72647">
        <w:rPr>
          <w:rFonts w:ascii="Arial" w:hAnsi="Arial" w:cs="Arial"/>
          <w:i/>
          <w:color w:val="000000" w:themeColor="text1"/>
        </w:rPr>
        <w:t xml:space="preserve">EC </w:t>
      </w:r>
      <w:r w:rsidRPr="00E72647">
        <w:rPr>
          <w:rFonts w:ascii="Arial" w:hAnsi="Arial" w:cs="Arial"/>
          <w:color w:val="000000" w:themeColor="text1"/>
        </w:rPr>
        <w:t xml:space="preserve">Section 53071 </w:t>
      </w:r>
      <w:r w:rsidR="004757D7" w:rsidRPr="00E72647">
        <w:rPr>
          <w:rFonts w:ascii="Arial" w:hAnsi="Arial" w:cs="Arial"/>
          <w:color w:val="000000" w:themeColor="text1"/>
        </w:rPr>
        <w:t>encourages</w:t>
      </w:r>
      <w:r w:rsidRPr="00E72647">
        <w:rPr>
          <w:rFonts w:ascii="Arial" w:hAnsi="Arial" w:cs="Arial"/>
          <w:color w:val="000000" w:themeColor="text1"/>
        </w:rPr>
        <w:t xml:space="preserve"> grantees to systematically align </w:t>
      </w:r>
      <w:r w:rsidR="000D08F2" w:rsidRPr="00E72647">
        <w:rPr>
          <w:rFonts w:ascii="Arial" w:hAnsi="Arial" w:cs="Arial"/>
          <w:color w:val="000000" w:themeColor="text1"/>
        </w:rPr>
        <w:t>their CTE programs</w:t>
      </w:r>
      <w:r w:rsidR="005C73AA" w:rsidRPr="00E72647">
        <w:rPr>
          <w:rFonts w:ascii="Arial" w:hAnsi="Arial" w:cs="Arial"/>
          <w:color w:val="000000" w:themeColor="text1"/>
          <w:shd w:val="clear" w:color="auto" w:fill="FFFFFF"/>
        </w:rPr>
        <w:t xml:space="preserve"> </w:t>
      </w:r>
      <w:r w:rsidR="00D16831">
        <w:rPr>
          <w:rFonts w:ascii="Arial" w:hAnsi="Arial" w:cs="Arial"/>
          <w:color w:val="000000" w:themeColor="text1"/>
          <w:shd w:val="clear" w:color="auto" w:fill="FFFFFF"/>
        </w:rPr>
        <w:t xml:space="preserve">that are </w:t>
      </w:r>
      <w:r w:rsidR="005C73AA" w:rsidRPr="00E72647">
        <w:rPr>
          <w:rFonts w:ascii="Arial" w:hAnsi="Arial" w:cs="Arial"/>
          <w:color w:val="000000" w:themeColor="text1"/>
          <w:shd w:val="clear" w:color="auto" w:fill="FFFFFF"/>
        </w:rPr>
        <w:t xml:space="preserve">reflective of </w:t>
      </w:r>
      <w:r w:rsidR="000D08F2" w:rsidRPr="00E72647">
        <w:rPr>
          <w:rFonts w:ascii="Arial" w:hAnsi="Arial" w:cs="Arial"/>
          <w:color w:val="000000" w:themeColor="text1"/>
          <w:shd w:val="clear" w:color="auto" w:fill="FFFFFF"/>
        </w:rPr>
        <w:t>ongoing and structural regional or local partnerships with postsecondary educational institutions</w:t>
      </w:r>
      <w:r w:rsidR="005C73AA" w:rsidRPr="00E72647">
        <w:rPr>
          <w:rFonts w:ascii="Arial" w:hAnsi="Arial" w:cs="Arial"/>
          <w:color w:val="000000" w:themeColor="text1"/>
          <w:shd w:val="clear" w:color="auto" w:fill="FFFFFF"/>
        </w:rPr>
        <w:t xml:space="preserve"> </w:t>
      </w:r>
      <w:r w:rsidR="000D08F2" w:rsidRPr="00E72647">
        <w:rPr>
          <w:rFonts w:ascii="Arial" w:hAnsi="Arial" w:cs="Arial"/>
          <w:color w:val="000000" w:themeColor="text1"/>
          <w:shd w:val="clear" w:color="auto" w:fill="FFFFFF"/>
        </w:rPr>
        <w:t xml:space="preserve">through formal written agreements </w:t>
      </w:r>
      <w:r w:rsidR="005C73AA" w:rsidRPr="00E72647">
        <w:rPr>
          <w:rFonts w:ascii="Arial" w:hAnsi="Arial" w:cs="Arial"/>
          <w:color w:val="000000" w:themeColor="text1"/>
          <w:shd w:val="clear" w:color="auto" w:fill="FFFFFF"/>
        </w:rPr>
        <w:t>to include</w:t>
      </w:r>
      <w:r w:rsidR="000D08F2" w:rsidRPr="00E72647">
        <w:rPr>
          <w:rFonts w:ascii="Arial" w:hAnsi="Arial" w:cs="Arial"/>
          <w:color w:val="000000" w:themeColor="text1"/>
          <w:shd w:val="clear" w:color="auto" w:fill="FFFFFF"/>
        </w:rPr>
        <w:t xml:space="preserve"> dual enrollment opportunities.</w:t>
      </w:r>
      <w:r w:rsidR="00D16B06" w:rsidRPr="00E72647">
        <w:rPr>
          <w:rFonts w:ascii="Arial" w:hAnsi="Arial" w:cs="Arial"/>
          <w:color w:val="000000" w:themeColor="text1"/>
          <w:shd w:val="clear" w:color="auto" w:fill="FFFFFF"/>
        </w:rPr>
        <w:t xml:space="preserve"> </w:t>
      </w:r>
      <w:r w:rsidR="000D08F2" w:rsidRPr="00E72647">
        <w:rPr>
          <w:rFonts w:ascii="Arial" w:hAnsi="Arial" w:cs="Arial"/>
          <w:color w:val="000000" w:themeColor="text1"/>
        </w:rPr>
        <w:t xml:space="preserve">During the CTEIG application process, applicants are </w:t>
      </w:r>
      <w:r w:rsidR="000E5B05" w:rsidRPr="00E72647">
        <w:rPr>
          <w:rFonts w:ascii="Arial" w:hAnsi="Arial" w:cs="Arial"/>
          <w:color w:val="000000" w:themeColor="text1"/>
        </w:rPr>
        <w:t>afforded the opportunity to provide this</w:t>
      </w:r>
      <w:r w:rsidR="000E5B05" w:rsidRPr="003B6268">
        <w:rPr>
          <w:rFonts w:ascii="Arial" w:hAnsi="Arial" w:cs="Arial"/>
        </w:rPr>
        <w:t xml:space="preserve"> </w:t>
      </w:r>
      <w:r w:rsidR="000E5B05">
        <w:rPr>
          <w:rFonts w:ascii="Arial" w:hAnsi="Arial" w:cs="Arial"/>
        </w:rPr>
        <w:t xml:space="preserve">information </w:t>
      </w:r>
      <w:r w:rsidR="00F014CF">
        <w:rPr>
          <w:rFonts w:ascii="Arial" w:hAnsi="Arial" w:cs="Arial"/>
        </w:rPr>
        <w:t>through the following</w:t>
      </w:r>
      <w:r w:rsidR="00FA3D06">
        <w:rPr>
          <w:rFonts w:ascii="Arial" w:hAnsi="Arial" w:cs="Arial"/>
        </w:rPr>
        <w:t xml:space="preserve"> components</w:t>
      </w:r>
      <w:r w:rsidR="00F014CF">
        <w:rPr>
          <w:rFonts w:ascii="Arial" w:hAnsi="Arial" w:cs="Arial"/>
        </w:rPr>
        <w:t>:</w:t>
      </w:r>
    </w:p>
    <w:p w14:paraId="61C46C49" w14:textId="4A66D8A2" w:rsidR="00F014CF" w:rsidRPr="00B346B6" w:rsidRDefault="00F014CF" w:rsidP="003F6742">
      <w:pPr>
        <w:pStyle w:val="ListParagraph"/>
        <w:numPr>
          <w:ilvl w:val="0"/>
          <w:numId w:val="37"/>
        </w:numPr>
        <w:spacing w:line="240" w:lineRule="auto"/>
        <w:rPr>
          <w:rFonts w:cs="Arial"/>
        </w:rPr>
      </w:pPr>
      <w:r w:rsidRPr="00B346B6">
        <w:rPr>
          <w:rFonts w:cs="Arial"/>
        </w:rPr>
        <w:t>PGMS</w:t>
      </w:r>
    </w:p>
    <w:p w14:paraId="2F339C61" w14:textId="348B646E" w:rsidR="000E5B05" w:rsidRPr="00B346B6" w:rsidRDefault="000E5B05" w:rsidP="003F6742">
      <w:pPr>
        <w:pStyle w:val="ListParagraph"/>
        <w:numPr>
          <w:ilvl w:val="0"/>
          <w:numId w:val="37"/>
        </w:numPr>
        <w:spacing w:line="240" w:lineRule="auto"/>
        <w:rPr>
          <w:rFonts w:eastAsia="Arial" w:cs="Arial"/>
        </w:rPr>
      </w:pPr>
      <w:r w:rsidRPr="00B346B6">
        <w:rPr>
          <w:rFonts w:eastAsia="Arial" w:cs="Arial"/>
        </w:rPr>
        <w:t xml:space="preserve">Attachment I: High-Quality CTE Program Evaluation </w:t>
      </w:r>
      <w:r w:rsidR="00271C6A">
        <w:rPr>
          <w:rFonts w:eastAsia="Arial" w:cs="Arial"/>
        </w:rPr>
        <w:t>and</w:t>
      </w:r>
      <w:r w:rsidRPr="00B346B6">
        <w:rPr>
          <w:rFonts w:eastAsia="Arial" w:cs="Arial"/>
        </w:rPr>
        <w:t xml:space="preserve"> Plan </w:t>
      </w:r>
    </w:p>
    <w:p w14:paraId="2FE3418E" w14:textId="0AEA64C1" w:rsidR="00DD2009" w:rsidRPr="00AE0A31" w:rsidRDefault="00F014CF" w:rsidP="00E749FF">
      <w:pPr>
        <w:pStyle w:val="ListParagraph"/>
        <w:numPr>
          <w:ilvl w:val="0"/>
          <w:numId w:val="37"/>
        </w:numPr>
        <w:spacing w:after="240" w:line="240" w:lineRule="auto"/>
        <w:contextualSpacing w:val="0"/>
        <w:rPr>
          <w:rFonts w:cs="Arial"/>
        </w:rPr>
      </w:pPr>
      <w:r w:rsidRPr="00AE0A31">
        <w:rPr>
          <w:rFonts w:eastAsia="Arial" w:cs="Arial"/>
        </w:rPr>
        <w:t>LCAP</w:t>
      </w:r>
    </w:p>
    <w:p w14:paraId="4BB65E22" w14:textId="7BF0C0E2" w:rsidR="00DD2009" w:rsidRPr="00425845" w:rsidRDefault="00FA3D06" w:rsidP="00AE0A31">
      <w:pPr>
        <w:spacing w:after="240"/>
        <w:rPr>
          <w:rFonts w:ascii="Arial" w:eastAsiaTheme="majorEastAsia" w:hAnsi="Arial" w:cs="Arial"/>
        </w:rPr>
      </w:pPr>
      <w:r>
        <w:rPr>
          <w:rFonts w:ascii="Arial" w:eastAsiaTheme="majorEastAsia" w:hAnsi="Arial" w:cs="Arial"/>
        </w:rPr>
        <w:t xml:space="preserve">CTEIG eligibility is verified through supporting documents, primarily as a Memorandum of Understanding (MOU) or other written agreement </w:t>
      </w:r>
      <w:r w:rsidR="00D16831">
        <w:rPr>
          <w:rFonts w:ascii="Arial" w:eastAsiaTheme="majorEastAsia" w:hAnsi="Arial" w:cs="Arial"/>
        </w:rPr>
        <w:t>among</w:t>
      </w:r>
      <w:r>
        <w:rPr>
          <w:rFonts w:ascii="Arial" w:eastAsiaTheme="majorEastAsia" w:hAnsi="Arial" w:cs="Arial"/>
        </w:rPr>
        <w:t xml:space="preserve"> all parties with signatures from authorizing designees.</w:t>
      </w:r>
    </w:p>
    <w:p w14:paraId="19D97A97" w14:textId="55605D91" w:rsidR="00B346B6" w:rsidRDefault="00AB5083" w:rsidP="00AE0A31">
      <w:pPr>
        <w:spacing w:after="240"/>
        <w:rPr>
          <w:rFonts w:ascii="Arial" w:hAnsi="Arial" w:cs="Arial"/>
        </w:rPr>
      </w:pPr>
      <w:r w:rsidRPr="00425845">
        <w:rPr>
          <w:rFonts w:ascii="Arial" w:hAnsi="Arial" w:cs="Arial"/>
        </w:rPr>
        <w:t>Paragraph (5) within subdivision (c) of Section 53071</w:t>
      </w:r>
      <w:r w:rsidR="00FA3D06">
        <w:rPr>
          <w:rFonts w:ascii="Arial" w:hAnsi="Arial" w:cs="Arial"/>
        </w:rPr>
        <w:t xml:space="preserve"> </w:t>
      </w:r>
      <w:r w:rsidRPr="00425845">
        <w:rPr>
          <w:rFonts w:ascii="Arial" w:hAnsi="Arial" w:cs="Arial"/>
        </w:rPr>
        <w:t xml:space="preserve">requires </w:t>
      </w:r>
      <w:r w:rsidR="00FA3D06">
        <w:rPr>
          <w:rFonts w:ascii="Arial" w:hAnsi="Arial" w:cs="Arial"/>
        </w:rPr>
        <w:t xml:space="preserve">applicants to maintain </w:t>
      </w:r>
      <w:r w:rsidRPr="00425845">
        <w:rPr>
          <w:rFonts w:ascii="Arial" w:hAnsi="Arial" w:cs="Arial"/>
        </w:rPr>
        <w:t xml:space="preserve">ongoing and meaningful industry and labor partnerships through participation </w:t>
      </w:r>
      <w:r w:rsidR="00D16831">
        <w:rPr>
          <w:rFonts w:ascii="Arial" w:hAnsi="Arial" w:cs="Arial"/>
        </w:rPr>
        <w:t>i</w:t>
      </w:r>
      <w:r w:rsidRPr="00425845">
        <w:rPr>
          <w:rFonts w:ascii="Arial" w:hAnsi="Arial" w:cs="Arial"/>
        </w:rPr>
        <w:t xml:space="preserve">n advisory committees to provide opportunities for pupils to gain access to pre-apprenticeships, internships, industry certifications, and work-based learning opportunities as well as opportunities for industry to provide input </w:t>
      </w:r>
      <w:r w:rsidRPr="00A474E3">
        <w:rPr>
          <w:rFonts w:ascii="Arial" w:hAnsi="Arial" w:cs="Arial"/>
        </w:rPr>
        <w:t xml:space="preserve">to the </w:t>
      </w:r>
      <w:r w:rsidR="003B6268">
        <w:rPr>
          <w:rFonts w:ascii="Arial" w:hAnsi="Arial" w:cs="Arial"/>
        </w:rPr>
        <w:t>CTE</w:t>
      </w:r>
      <w:r w:rsidRPr="00A474E3">
        <w:rPr>
          <w:rFonts w:ascii="Arial" w:hAnsi="Arial" w:cs="Arial"/>
        </w:rPr>
        <w:t xml:space="preserve"> programs and curriculum.</w:t>
      </w:r>
      <w:r w:rsidR="00B346B6" w:rsidRPr="00A474E3">
        <w:rPr>
          <w:rFonts w:ascii="Arial" w:hAnsi="Arial" w:cs="Arial"/>
        </w:rPr>
        <w:t xml:space="preserve"> During the CTEIG application process, applicants are afforded the opportunity to provide this information through</w:t>
      </w:r>
      <w:r w:rsidR="00B346B6">
        <w:rPr>
          <w:rFonts w:ascii="Arial" w:hAnsi="Arial" w:cs="Arial"/>
        </w:rPr>
        <w:t xml:space="preserve"> the following components:</w:t>
      </w:r>
    </w:p>
    <w:p w14:paraId="2C961025" w14:textId="77777777" w:rsidR="00F014CF" w:rsidRPr="00B346B6" w:rsidRDefault="00F014CF" w:rsidP="003F6742">
      <w:pPr>
        <w:pStyle w:val="ListParagraph"/>
        <w:numPr>
          <w:ilvl w:val="0"/>
          <w:numId w:val="38"/>
        </w:numPr>
        <w:spacing w:line="240" w:lineRule="auto"/>
        <w:rPr>
          <w:rFonts w:cs="Arial"/>
        </w:rPr>
      </w:pPr>
      <w:r w:rsidRPr="00B346B6">
        <w:rPr>
          <w:rFonts w:cs="Arial"/>
        </w:rPr>
        <w:t>PGMS</w:t>
      </w:r>
    </w:p>
    <w:p w14:paraId="13F625EC" w14:textId="1685E5D6" w:rsidR="00F014CF" w:rsidRPr="00B346B6" w:rsidRDefault="00F014CF" w:rsidP="003F6742">
      <w:pPr>
        <w:pStyle w:val="ListParagraph"/>
        <w:numPr>
          <w:ilvl w:val="0"/>
          <w:numId w:val="38"/>
        </w:numPr>
        <w:spacing w:line="240" w:lineRule="auto"/>
        <w:rPr>
          <w:rFonts w:eastAsia="Arial" w:cs="Arial"/>
        </w:rPr>
      </w:pPr>
      <w:r w:rsidRPr="00B346B6">
        <w:rPr>
          <w:rFonts w:eastAsia="Arial" w:cs="Arial"/>
        </w:rPr>
        <w:t xml:space="preserve">Attachment I: High-Quality CTE Program Evaluation </w:t>
      </w:r>
      <w:r w:rsidR="00271C6A">
        <w:rPr>
          <w:rFonts w:eastAsia="Arial" w:cs="Arial"/>
        </w:rPr>
        <w:t>and</w:t>
      </w:r>
      <w:r w:rsidRPr="00B346B6">
        <w:rPr>
          <w:rFonts w:eastAsia="Arial" w:cs="Arial"/>
        </w:rPr>
        <w:t xml:space="preserve"> Plan </w:t>
      </w:r>
    </w:p>
    <w:p w14:paraId="65199757" w14:textId="4483E200" w:rsidR="00F014CF" w:rsidRPr="00B346B6" w:rsidRDefault="00F014CF" w:rsidP="003F6742">
      <w:pPr>
        <w:pStyle w:val="ListParagraph"/>
        <w:numPr>
          <w:ilvl w:val="0"/>
          <w:numId w:val="38"/>
        </w:numPr>
        <w:spacing w:line="240" w:lineRule="auto"/>
        <w:rPr>
          <w:rFonts w:eastAsia="Arial" w:cs="Arial"/>
        </w:rPr>
      </w:pPr>
      <w:r w:rsidRPr="00B346B6">
        <w:rPr>
          <w:rFonts w:eastAsia="Arial" w:cs="Arial"/>
        </w:rPr>
        <w:t>Attachment II: CTEIG FY 202</w:t>
      </w:r>
      <w:r w:rsidR="006E2F47">
        <w:rPr>
          <w:rFonts w:eastAsia="Arial" w:cs="Arial"/>
        </w:rPr>
        <w:t>2</w:t>
      </w:r>
      <w:r w:rsidRPr="00B346B6">
        <w:rPr>
          <w:rFonts w:eastAsia="Arial" w:cs="Arial"/>
        </w:rPr>
        <w:t>–2</w:t>
      </w:r>
      <w:r w:rsidR="006E2F47">
        <w:rPr>
          <w:rFonts w:eastAsia="Arial" w:cs="Arial"/>
        </w:rPr>
        <w:t>3</w:t>
      </w:r>
      <w:r w:rsidRPr="00B346B6">
        <w:rPr>
          <w:rFonts w:eastAsia="Arial" w:cs="Arial"/>
        </w:rPr>
        <w:t xml:space="preserve"> Budget Narrative</w:t>
      </w:r>
    </w:p>
    <w:p w14:paraId="21CFBED2" w14:textId="58631D30" w:rsidR="00F014CF" w:rsidRPr="00B346B6" w:rsidRDefault="00F014CF" w:rsidP="003F6742">
      <w:pPr>
        <w:pStyle w:val="ListParagraph"/>
        <w:numPr>
          <w:ilvl w:val="0"/>
          <w:numId w:val="38"/>
        </w:numPr>
        <w:spacing w:line="240" w:lineRule="auto"/>
        <w:rPr>
          <w:rFonts w:cs="Arial"/>
        </w:rPr>
      </w:pPr>
      <w:r w:rsidRPr="00B346B6">
        <w:rPr>
          <w:rFonts w:cs="Arial"/>
        </w:rPr>
        <w:t xml:space="preserve">Attachment III: </w:t>
      </w:r>
      <w:r w:rsidR="00E749FF">
        <w:rPr>
          <w:rFonts w:cs="Arial"/>
        </w:rPr>
        <w:t>Three</w:t>
      </w:r>
      <w:r w:rsidR="00B03497">
        <w:rPr>
          <w:rFonts w:cs="Arial"/>
        </w:rPr>
        <w:t>-</w:t>
      </w:r>
      <w:r w:rsidRPr="00B346B6">
        <w:rPr>
          <w:rFonts w:cs="Arial"/>
        </w:rPr>
        <w:t>Year Budget</w:t>
      </w:r>
    </w:p>
    <w:p w14:paraId="43BAF71C" w14:textId="0C51FFD6" w:rsidR="003F6742" w:rsidRPr="00AE0A31" w:rsidRDefault="00F014CF" w:rsidP="00AE0A31">
      <w:pPr>
        <w:pStyle w:val="ListParagraph"/>
        <w:numPr>
          <w:ilvl w:val="0"/>
          <w:numId w:val="38"/>
        </w:numPr>
        <w:spacing w:after="240" w:line="240" w:lineRule="auto"/>
        <w:rPr>
          <w:rFonts w:cs="Arial"/>
        </w:rPr>
      </w:pPr>
      <w:r w:rsidRPr="00AE0A31">
        <w:rPr>
          <w:rFonts w:cs="Arial"/>
        </w:rPr>
        <w:t>LCAP</w:t>
      </w:r>
    </w:p>
    <w:p w14:paraId="6AC3E2CF" w14:textId="51C98B63" w:rsidR="00F014CF" w:rsidRDefault="00B346B6" w:rsidP="00AE0A31">
      <w:pPr>
        <w:spacing w:before="240"/>
        <w:rPr>
          <w:rFonts w:ascii="Arial" w:hAnsi="Arial" w:cs="Arial"/>
        </w:rPr>
      </w:pPr>
      <w:r>
        <w:rPr>
          <w:rFonts w:ascii="Arial" w:eastAsiaTheme="majorEastAsia" w:hAnsi="Arial" w:cs="Arial"/>
        </w:rPr>
        <w:t>CTEIG eligibility is verified through supporting documents, primarily as a</w:t>
      </w:r>
      <w:r w:rsidR="00D16831">
        <w:rPr>
          <w:rFonts w:ascii="Arial" w:eastAsiaTheme="majorEastAsia" w:hAnsi="Arial" w:cs="Arial"/>
        </w:rPr>
        <w:t>n</w:t>
      </w:r>
      <w:r>
        <w:rPr>
          <w:rFonts w:ascii="Arial" w:eastAsiaTheme="majorEastAsia" w:hAnsi="Arial" w:cs="Arial"/>
        </w:rPr>
        <w:t xml:space="preserve"> MOU, Advisory Committee </w:t>
      </w:r>
      <w:r w:rsidR="00D16831">
        <w:rPr>
          <w:rFonts w:ascii="Arial" w:eastAsiaTheme="majorEastAsia" w:hAnsi="Arial" w:cs="Arial"/>
        </w:rPr>
        <w:t>m</w:t>
      </w:r>
      <w:r>
        <w:rPr>
          <w:rFonts w:ascii="Arial" w:eastAsiaTheme="majorEastAsia" w:hAnsi="Arial" w:cs="Arial"/>
        </w:rPr>
        <w:t>inutes, Formal Industry Sector communications, formal written work</w:t>
      </w:r>
      <w:r w:rsidR="009845CC">
        <w:rPr>
          <w:rFonts w:ascii="Arial" w:eastAsiaTheme="majorEastAsia" w:hAnsi="Arial" w:cs="Arial"/>
        </w:rPr>
        <w:t xml:space="preserve"> </w:t>
      </w:r>
      <w:r>
        <w:rPr>
          <w:rFonts w:ascii="Arial" w:eastAsiaTheme="majorEastAsia" w:hAnsi="Arial" w:cs="Arial"/>
        </w:rPr>
        <w:t xml:space="preserve">plans for Work-Based Learning (WBL), student logs of WBL activities, WBL student portfolios, </w:t>
      </w:r>
      <w:r w:rsidR="00D16831">
        <w:rPr>
          <w:rFonts w:ascii="Arial" w:eastAsiaTheme="majorEastAsia" w:hAnsi="Arial" w:cs="Arial"/>
        </w:rPr>
        <w:t xml:space="preserve">and </w:t>
      </w:r>
      <w:r>
        <w:rPr>
          <w:rFonts w:ascii="Arial" w:eastAsiaTheme="majorEastAsia" w:hAnsi="Arial" w:cs="Arial"/>
        </w:rPr>
        <w:t>Program and Student Assessments for WBL supervisors.</w:t>
      </w:r>
    </w:p>
    <w:p w14:paraId="774340A5" w14:textId="093B15C0" w:rsidR="00234443" w:rsidRPr="00E72647" w:rsidRDefault="00E749FF" w:rsidP="00AE0A31">
      <w:pPr>
        <w:pStyle w:val="Heading3"/>
        <w:spacing w:before="480"/>
        <w:jc w:val="left"/>
        <w:rPr>
          <w:rFonts w:cs="Arial"/>
          <w:color w:val="000000" w:themeColor="text1"/>
        </w:rPr>
      </w:pPr>
      <w:r>
        <w:rPr>
          <w:rFonts w:cs="Arial"/>
          <w:iCs/>
          <w:color w:val="000000" w:themeColor="text1"/>
        </w:rPr>
        <w:t xml:space="preserve">California </w:t>
      </w:r>
      <w:r w:rsidRPr="00E749FF">
        <w:rPr>
          <w:rFonts w:cs="Arial"/>
          <w:i/>
          <w:color w:val="000000" w:themeColor="text1"/>
        </w:rPr>
        <w:t>Education Code</w:t>
      </w:r>
      <w:r w:rsidR="00234443" w:rsidRPr="00E72647">
        <w:rPr>
          <w:rFonts w:cs="Arial"/>
          <w:color w:val="000000" w:themeColor="text1"/>
        </w:rPr>
        <w:t xml:space="preserve"> </w:t>
      </w:r>
      <w:r w:rsidR="00F96211" w:rsidRPr="00E72647">
        <w:rPr>
          <w:rFonts w:cs="Arial"/>
          <w:color w:val="000000" w:themeColor="text1"/>
        </w:rPr>
        <w:t xml:space="preserve">Section </w:t>
      </w:r>
      <w:r w:rsidR="00234443" w:rsidRPr="00E72647">
        <w:rPr>
          <w:rFonts w:cs="Arial"/>
          <w:color w:val="000000" w:themeColor="text1"/>
        </w:rPr>
        <w:t>53070.1(a)(2)(B)</w:t>
      </w:r>
    </w:p>
    <w:p w14:paraId="2B694A49" w14:textId="31B09544" w:rsidR="00F014CF" w:rsidRPr="00E72647" w:rsidRDefault="00E4041A" w:rsidP="00AE0A31">
      <w:pPr>
        <w:spacing w:after="240"/>
        <w:rPr>
          <w:rFonts w:ascii="Arial" w:eastAsiaTheme="majorEastAsia" w:hAnsi="Arial" w:cs="Arial"/>
          <w:color w:val="000000" w:themeColor="text1"/>
        </w:rPr>
      </w:pPr>
      <w:r w:rsidRPr="00E72647">
        <w:rPr>
          <w:rFonts w:ascii="Arial" w:hAnsi="Arial" w:cs="Arial"/>
          <w:color w:val="000000" w:themeColor="text1"/>
        </w:rPr>
        <w:t>Paragraph (7) within subdivision (c) of Section 53071 requires applicants to structure their CTE</w:t>
      </w:r>
      <w:r w:rsidR="00DD2009" w:rsidRPr="00E72647">
        <w:rPr>
          <w:rFonts w:ascii="Arial" w:hAnsi="Arial" w:cs="Arial"/>
          <w:color w:val="000000" w:themeColor="text1"/>
          <w:shd w:val="clear" w:color="auto" w:fill="FFFFFF"/>
        </w:rPr>
        <w:t xml:space="preserve"> programs </w:t>
      </w:r>
      <w:r w:rsidRPr="00E72647">
        <w:rPr>
          <w:rFonts w:ascii="Arial" w:hAnsi="Arial" w:cs="Arial"/>
          <w:color w:val="000000" w:themeColor="text1"/>
          <w:shd w:val="clear" w:color="auto" w:fill="FFFFFF"/>
        </w:rPr>
        <w:t xml:space="preserve">to </w:t>
      </w:r>
      <w:r w:rsidR="00DD2009" w:rsidRPr="00E72647">
        <w:rPr>
          <w:rFonts w:ascii="Arial" w:hAnsi="Arial" w:cs="Arial"/>
          <w:color w:val="000000" w:themeColor="text1"/>
          <w:shd w:val="clear" w:color="auto" w:fill="FFFFFF"/>
        </w:rPr>
        <w:t>reflect regional or local labor market demands and focus on current or emerging high-skill, high-wage, or high-demand occupations</w:t>
      </w:r>
      <w:r w:rsidRPr="00E72647">
        <w:rPr>
          <w:rFonts w:ascii="Arial" w:hAnsi="Arial" w:cs="Arial"/>
          <w:color w:val="000000" w:themeColor="text1"/>
          <w:shd w:val="clear" w:color="auto" w:fill="FFFFFF"/>
        </w:rPr>
        <w:t xml:space="preserve">. </w:t>
      </w:r>
      <w:r w:rsidRPr="00E72647">
        <w:rPr>
          <w:rFonts w:ascii="Arial" w:hAnsi="Arial" w:cs="Arial"/>
          <w:color w:val="000000" w:themeColor="text1"/>
        </w:rPr>
        <w:t>During the CTEIG application process, applicants are afforded the opportunity to provide this information through the following components</w:t>
      </w:r>
      <w:r w:rsidR="003B6268">
        <w:rPr>
          <w:rFonts w:ascii="Arial" w:hAnsi="Arial" w:cs="Arial"/>
          <w:color w:val="000000" w:themeColor="text1"/>
        </w:rPr>
        <w:t>:</w:t>
      </w:r>
    </w:p>
    <w:p w14:paraId="2E5BE97F" w14:textId="053E4335" w:rsidR="00F014CF" w:rsidRPr="008D4208" w:rsidRDefault="00F014CF" w:rsidP="003F6742">
      <w:pPr>
        <w:pStyle w:val="ListParagraph"/>
        <w:numPr>
          <w:ilvl w:val="0"/>
          <w:numId w:val="39"/>
        </w:numPr>
        <w:spacing w:line="240" w:lineRule="auto"/>
        <w:rPr>
          <w:rFonts w:eastAsia="Arial" w:cs="Arial"/>
        </w:rPr>
      </w:pPr>
      <w:r w:rsidRPr="008D4208">
        <w:rPr>
          <w:rFonts w:eastAsia="Arial" w:cs="Arial"/>
        </w:rPr>
        <w:lastRenderedPageBreak/>
        <w:t xml:space="preserve">Attachment I: High-Quality CTE Program Evaluation </w:t>
      </w:r>
      <w:r w:rsidR="00271C6A">
        <w:rPr>
          <w:rFonts w:eastAsia="Arial" w:cs="Arial"/>
        </w:rPr>
        <w:t>and</w:t>
      </w:r>
      <w:r w:rsidRPr="008D4208">
        <w:rPr>
          <w:rFonts w:eastAsia="Arial" w:cs="Arial"/>
        </w:rPr>
        <w:t xml:space="preserve"> Plan </w:t>
      </w:r>
    </w:p>
    <w:p w14:paraId="60ECFECF" w14:textId="4F0D27F7" w:rsidR="00370C71" w:rsidRPr="00AE0A31" w:rsidRDefault="00F014CF" w:rsidP="006F0C2A">
      <w:pPr>
        <w:pStyle w:val="ListParagraph"/>
        <w:numPr>
          <w:ilvl w:val="0"/>
          <w:numId w:val="39"/>
        </w:numPr>
        <w:spacing w:after="240" w:line="240" w:lineRule="auto"/>
        <w:rPr>
          <w:rFonts w:cs="Arial"/>
        </w:rPr>
      </w:pPr>
      <w:r w:rsidRPr="00AE0A31">
        <w:rPr>
          <w:rFonts w:cs="Arial"/>
        </w:rPr>
        <w:t>LCAP</w:t>
      </w:r>
    </w:p>
    <w:p w14:paraId="4AD2D949" w14:textId="0638158D" w:rsidR="00E21BBD" w:rsidRPr="00E72647" w:rsidRDefault="008D4208" w:rsidP="00AE0A31">
      <w:pPr>
        <w:spacing w:after="480"/>
        <w:rPr>
          <w:rFonts w:ascii="Arial" w:eastAsiaTheme="majorEastAsia" w:hAnsi="Arial" w:cs="Arial"/>
          <w:color w:val="000000" w:themeColor="text1"/>
        </w:rPr>
      </w:pPr>
      <w:r w:rsidRPr="00E72647">
        <w:rPr>
          <w:rFonts w:ascii="Arial" w:eastAsiaTheme="majorEastAsia" w:hAnsi="Arial" w:cs="Arial"/>
          <w:color w:val="000000" w:themeColor="text1"/>
        </w:rPr>
        <w:t xml:space="preserve">CTEIG eligibility is verified through supporting documents such as </w:t>
      </w:r>
      <w:r w:rsidR="00F770E1" w:rsidRPr="00E72647">
        <w:rPr>
          <w:rFonts w:ascii="Arial" w:eastAsiaTheme="majorEastAsia" w:hAnsi="Arial" w:cs="Arial"/>
          <w:color w:val="000000" w:themeColor="text1"/>
        </w:rPr>
        <w:t xml:space="preserve">MOUs, Deputy Sector Navigator </w:t>
      </w:r>
      <w:r w:rsidR="00DC57A7">
        <w:rPr>
          <w:rFonts w:ascii="Arial" w:eastAsiaTheme="majorEastAsia" w:hAnsi="Arial" w:cs="Arial"/>
          <w:color w:val="000000" w:themeColor="text1"/>
        </w:rPr>
        <w:t>r</w:t>
      </w:r>
      <w:r w:rsidR="00F770E1" w:rsidRPr="00E72647">
        <w:rPr>
          <w:rFonts w:ascii="Arial" w:eastAsiaTheme="majorEastAsia" w:hAnsi="Arial" w:cs="Arial"/>
          <w:color w:val="000000" w:themeColor="text1"/>
        </w:rPr>
        <w:t>eport</w:t>
      </w:r>
      <w:r w:rsidR="00DC57A7">
        <w:rPr>
          <w:rFonts w:ascii="Arial" w:eastAsiaTheme="majorEastAsia" w:hAnsi="Arial" w:cs="Arial"/>
          <w:color w:val="000000" w:themeColor="text1"/>
        </w:rPr>
        <w:t>s</w:t>
      </w:r>
      <w:r w:rsidR="00F770E1" w:rsidRPr="00E72647">
        <w:rPr>
          <w:rFonts w:ascii="Arial" w:eastAsiaTheme="majorEastAsia" w:hAnsi="Arial" w:cs="Arial"/>
          <w:color w:val="000000" w:themeColor="text1"/>
        </w:rPr>
        <w:t xml:space="preserve"> from the K–12 </w:t>
      </w:r>
      <w:r w:rsidR="007F6082" w:rsidRPr="00E72647">
        <w:rPr>
          <w:rFonts w:ascii="Arial" w:hAnsi="Arial" w:cs="Arial"/>
          <w:color w:val="000000" w:themeColor="text1"/>
          <w:shd w:val="clear" w:color="auto" w:fill="FFFFFF"/>
        </w:rPr>
        <w:t>Strong Workforce Program (</w:t>
      </w:r>
      <w:r w:rsidR="00F770E1" w:rsidRPr="00E72647">
        <w:rPr>
          <w:rFonts w:ascii="Arial" w:eastAsiaTheme="majorEastAsia" w:hAnsi="Arial" w:cs="Arial"/>
          <w:color w:val="000000" w:themeColor="text1"/>
        </w:rPr>
        <w:t>SWP</w:t>
      </w:r>
      <w:r w:rsidR="007F6082" w:rsidRPr="00E72647">
        <w:rPr>
          <w:rFonts w:ascii="Arial" w:eastAsiaTheme="majorEastAsia" w:hAnsi="Arial" w:cs="Arial"/>
          <w:color w:val="000000" w:themeColor="text1"/>
        </w:rPr>
        <w:t>)</w:t>
      </w:r>
      <w:r w:rsidR="00F770E1" w:rsidRPr="00E72647">
        <w:rPr>
          <w:rFonts w:ascii="Arial" w:eastAsiaTheme="majorEastAsia" w:hAnsi="Arial" w:cs="Arial"/>
          <w:color w:val="000000" w:themeColor="text1"/>
        </w:rPr>
        <w:t xml:space="preserve">, Regional Labor Market reports, </w:t>
      </w:r>
      <w:r w:rsidRPr="00E72647">
        <w:rPr>
          <w:rFonts w:ascii="Arial" w:eastAsiaTheme="majorEastAsia" w:hAnsi="Arial" w:cs="Arial"/>
          <w:color w:val="000000" w:themeColor="text1"/>
        </w:rPr>
        <w:t xml:space="preserve">and formal signed </w:t>
      </w:r>
      <w:r w:rsidR="00F770E1" w:rsidRPr="00E72647">
        <w:rPr>
          <w:rFonts w:ascii="Arial" w:eastAsiaTheme="majorEastAsia" w:hAnsi="Arial" w:cs="Arial"/>
          <w:color w:val="000000" w:themeColor="text1"/>
        </w:rPr>
        <w:t>letters from industry and labor partners specifically indicating the level of participation in the CTE program.</w:t>
      </w:r>
    </w:p>
    <w:p w14:paraId="512D189B" w14:textId="67298173" w:rsidR="00D050A3" w:rsidRPr="00425845" w:rsidRDefault="007F5319" w:rsidP="001F6FE4">
      <w:pPr>
        <w:pStyle w:val="Heading3"/>
        <w:jc w:val="left"/>
        <w:rPr>
          <w:rFonts w:cs="Arial"/>
        </w:rPr>
      </w:pPr>
      <w:r>
        <w:rPr>
          <w:rFonts w:cs="Arial"/>
          <w:iCs/>
        </w:rPr>
        <w:t xml:space="preserve">California </w:t>
      </w:r>
      <w:r>
        <w:rPr>
          <w:rFonts w:cs="Arial"/>
          <w:i/>
        </w:rPr>
        <w:t>Education Code</w:t>
      </w:r>
      <w:r w:rsidR="001F6FE4" w:rsidRPr="00425845">
        <w:rPr>
          <w:rFonts w:cs="Arial"/>
        </w:rPr>
        <w:t xml:space="preserve"> </w:t>
      </w:r>
      <w:r w:rsidR="00F96211">
        <w:rPr>
          <w:rFonts w:cs="Arial"/>
        </w:rPr>
        <w:t xml:space="preserve">Section </w:t>
      </w:r>
      <w:r w:rsidR="001F6FE4" w:rsidRPr="00425845">
        <w:rPr>
          <w:rFonts w:cs="Arial"/>
        </w:rPr>
        <w:t>53070.1(a)(2)(C)</w:t>
      </w:r>
    </w:p>
    <w:p w14:paraId="2BDBFF42" w14:textId="522B8CED" w:rsidR="006E204C" w:rsidRPr="00E72647" w:rsidRDefault="00173DCE" w:rsidP="006E5244">
      <w:pPr>
        <w:spacing w:after="240"/>
        <w:rPr>
          <w:rFonts w:ascii="Arial" w:hAnsi="Arial" w:cs="Arial"/>
          <w:color w:val="000000" w:themeColor="text1"/>
          <w:shd w:val="clear" w:color="auto" w:fill="FFFFFF"/>
        </w:rPr>
      </w:pPr>
      <w:r w:rsidRPr="00E72647">
        <w:rPr>
          <w:rFonts w:ascii="Arial" w:hAnsi="Arial" w:cs="Arial"/>
          <w:color w:val="000000" w:themeColor="text1"/>
          <w:shd w:val="clear" w:color="auto" w:fill="FFFFFF"/>
        </w:rPr>
        <w:t xml:space="preserve">The </w:t>
      </w:r>
      <w:r w:rsidR="00370C71" w:rsidRPr="00E72647">
        <w:rPr>
          <w:rFonts w:ascii="Arial" w:hAnsi="Arial" w:cs="Arial"/>
          <w:color w:val="000000" w:themeColor="text1"/>
          <w:shd w:val="clear" w:color="auto" w:fill="FFFFFF"/>
        </w:rPr>
        <w:t xml:space="preserve">latter part of </w:t>
      </w:r>
      <w:r w:rsidR="00370C71" w:rsidRPr="00E72647">
        <w:rPr>
          <w:rFonts w:ascii="Arial" w:hAnsi="Arial" w:cs="Arial"/>
          <w:color w:val="000000" w:themeColor="text1"/>
        </w:rPr>
        <w:t xml:space="preserve">Paragraph (7) within subdivision (c) of Section 53071 requires applicants to </w:t>
      </w:r>
      <w:r w:rsidR="00D16B06" w:rsidRPr="00E72647">
        <w:rPr>
          <w:rFonts w:ascii="Arial" w:hAnsi="Arial" w:cs="Arial"/>
          <w:color w:val="000000" w:themeColor="text1"/>
          <w:shd w:val="clear" w:color="auto" w:fill="FFFFFF"/>
        </w:rPr>
        <w:t>ensure</w:t>
      </w:r>
      <w:r w:rsidR="00DC57A7">
        <w:rPr>
          <w:rFonts w:ascii="Arial" w:hAnsi="Arial" w:cs="Arial"/>
          <w:color w:val="000000" w:themeColor="text1"/>
          <w:shd w:val="clear" w:color="auto" w:fill="FFFFFF"/>
        </w:rPr>
        <w:t xml:space="preserve"> that</w:t>
      </w:r>
      <w:r w:rsidR="00D16B06" w:rsidRPr="00E72647">
        <w:rPr>
          <w:rFonts w:ascii="Arial" w:hAnsi="Arial" w:cs="Arial"/>
          <w:color w:val="000000" w:themeColor="text1"/>
          <w:shd w:val="clear" w:color="auto" w:fill="FFFFFF"/>
        </w:rPr>
        <w:t xml:space="preserve"> their CTE </w:t>
      </w:r>
      <w:r w:rsidRPr="00E72647">
        <w:rPr>
          <w:rFonts w:ascii="Arial" w:hAnsi="Arial" w:cs="Arial"/>
          <w:color w:val="000000" w:themeColor="text1"/>
          <w:shd w:val="clear" w:color="auto" w:fill="FFFFFF"/>
        </w:rPr>
        <w:t>programs are informed by the regional plan developed by their S</w:t>
      </w:r>
      <w:r w:rsidR="00586B3A" w:rsidRPr="00E72647">
        <w:rPr>
          <w:rFonts w:ascii="Arial" w:hAnsi="Arial" w:cs="Arial"/>
          <w:color w:val="000000" w:themeColor="text1"/>
          <w:shd w:val="clear" w:color="auto" w:fill="FFFFFF"/>
        </w:rPr>
        <w:t xml:space="preserve">WP </w:t>
      </w:r>
      <w:r w:rsidRPr="00E72647">
        <w:rPr>
          <w:rFonts w:ascii="Arial" w:hAnsi="Arial" w:cs="Arial"/>
          <w:color w:val="000000" w:themeColor="text1"/>
          <w:shd w:val="clear" w:color="auto" w:fill="FFFFFF"/>
        </w:rPr>
        <w:t>consortium and</w:t>
      </w:r>
      <w:r w:rsidR="00DC57A7">
        <w:rPr>
          <w:rFonts w:ascii="Arial" w:hAnsi="Arial" w:cs="Arial"/>
          <w:color w:val="000000" w:themeColor="text1"/>
          <w:shd w:val="clear" w:color="auto" w:fill="FFFFFF"/>
        </w:rPr>
        <w:t xml:space="preserve"> are</w:t>
      </w:r>
      <w:r w:rsidRPr="00E72647">
        <w:rPr>
          <w:rFonts w:ascii="Arial" w:hAnsi="Arial" w:cs="Arial"/>
          <w:color w:val="000000" w:themeColor="text1"/>
          <w:shd w:val="clear" w:color="auto" w:fill="FFFFFF"/>
        </w:rPr>
        <w:t xml:space="preserve"> in effect during the period for which the grant is awarded</w:t>
      </w:r>
      <w:r w:rsidR="00D16B06" w:rsidRPr="00E72647">
        <w:rPr>
          <w:rFonts w:ascii="Arial" w:hAnsi="Arial" w:cs="Arial"/>
          <w:color w:val="000000" w:themeColor="text1"/>
          <w:shd w:val="clear" w:color="auto" w:fill="FFFFFF"/>
        </w:rPr>
        <w:t>.</w:t>
      </w:r>
      <w:r w:rsidR="00D16B06" w:rsidRPr="00E72647">
        <w:rPr>
          <w:rFonts w:ascii="Arial" w:hAnsi="Arial" w:cs="Arial"/>
          <w:color w:val="000000" w:themeColor="text1"/>
        </w:rPr>
        <w:t xml:space="preserve"> During the CTEIG application process, applicants are afforded the opportunity to provide this information through the following components:</w:t>
      </w:r>
    </w:p>
    <w:p w14:paraId="674166B1" w14:textId="5A6C5E45" w:rsidR="00FA3D06" w:rsidRPr="003F6742" w:rsidRDefault="00370C71" w:rsidP="003F6742">
      <w:pPr>
        <w:pStyle w:val="ListParagraph"/>
        <w:numPr>
          <w:ilvl w:val="0"/>
          <w:numId w:val="40"/>
        </w:numPr>
        <w:rPr>
          <w:rFonts w:cs="Arial"/>
        </w:rPr>
      </w:pPr>
      <w:r w:rsidRPr="003F6742">
        <w:rPr>
          <w:rFonts w:cs="Arial"/>
        </w:rPr>
        <w:t>PGMS</w:t>
      </w:r>
    </w:p>
    <w:p w14:paraId="5E763E4A" w14:textId="147C850E" w:rsidR="00FA3D06" w:rsidRPr="003F6742" w:rsidRDefault="00FA3D06" w:rsidP="003F6742">
      <w:pPr>
        <w:pStyle w:val="ListParagraph"/>
        <w:numPr>
          <w:ilvl w:val="0"/>
          <w:numId w:val="40"/>
        </w:numPr>
        <w:rPr>
          <w:rFonts w:eastAsia="Arial" w:cs="Arial"/>
        </w:rPr>
      </w:pPr>
      <w:r w:rsidRPr="003F6742">
        <w:rPr>
          <w:rFonts w:eastAsia="Arial" w:cs="Arial"/>
        </w:rPr>
        <w:t xml:space="preserve">Attachment I: High-Quality CTE Program Evaluation </w:t>
      </w:r>
      <w:r w:rsidR="00271C6A">
        <w:rPr>
          <w:rFonts w:eastAsia="Arial" w:cs="Arial"/>
        </w:rPr>
        <w:t>and</w:t>
      </w:r>
      <w:r w:rsidRPr="003F6742">
        <w:rPr>
          <w:rFonts w:eastAsia="Arial" w:cs="Arial"/>
        </w:rPr>
        <w:t xml:space="preserve"> Plan </w:t>
      </w:r>
    </w:p>
    <w:p w14:paraId="461E6F4D" w14:textId="7704021D" w:rsidR="00FA3D06" w:rsidRPr="003F6742" w:rsidRDefault="00FA3D06" w:rsidP="003F6742">
      <w:pPr>
        <w:pStyle w:val="ListParagraph"/>
        <w:numPr>
          <w:ilvl w:val="0"/>
          <w:numId w:val="40"/>
        </w:numPr>
        <w:rPr>
          <w:rFonts w:eastAsia="Arial" w:cs="Arial"/>
        </w:rPr>
      </w:pPr>
      <w:r w:rsidRPr="003F6742">
        <w:rPr>
          <w:rFonts w:eastAsia="Arial" w:cs="Arial"/>
        </w:rPr>
        <w:t>Attachment II: CTEIG FY 202</w:t>
      </w:r>
      <w:r w:rsidR="006E2F47">
        <w:rPr>
          <w:rFonts w:eastAsia="Arial" w:cs="Arial"/>
        </w:rPr>
        <w:t>2</w:t>
      </w:r>
      <w:r w:rsidRPr="003F6742">
        <w:rPr>
          <w:rFonts w:eastAsia="Arial" w:cs="Arial"/>
        </w:rPr>
        <w:t>–2</w:t>
      </w:r>
      <w:r w:rsidR="006E2F47">
        <w:rPr>
          <w:rFonts w:eastAsia="Arial" w:cs="Arial"/>
        </w:rPr>
        <w:t>3</w:t>
      </w:r>
      <w:r w:rsidRPr="003F6742">
        <w:rPr>
          <w:rFonts w:eastAsia="Arial" w:cs="Arial"/>
        </w:rPr>
        <w:t xml:space="preserve"> Budget Narrative</w:t>
      </w:r>
    </w:p>
    <w:p w14:paraId="6324396B" w14:textId="6D995B0A" w:rsidR="00FA3D06" w:rsidRPr="003F6742" w:rsidRDefault="00FA3D06" w:rsidP="003F6742">
      <w:pPr>
        <w:pStyle w:val="ListParagraph"/>
        <w:numPr>
          <w:ilvl w:val="0"/>
          <w:numId w:val="40"/>
        </w:numPr>
        <w:rPr>
          <w:rFonts w:eastAsia="Times New Roman" w:cs="Arial"/>
        </w:rPr>
      </w:pPr>
      <w:r w:rsidRPr="003F6742">
        <w:rPr>
          <w:rFonts w:cs="Arial"/>
        </w:rPr>
        <w:t xml:space="preserve">Attachment III: </w:t>
      </w:r>
      <w:r w:rsidR="007F5319">
        <w:rPr>
          <w:rFonts w:cs="Arial"/>
        </w:rPr>
        <w:t xml:space="preserve">Three </w:t>
      </w:r>
      <w:r w:rsidRPr="003F6742">
        <w:rPr>
          <w:rFonts w:cs="Arial"/>
        </w:rPr>
        <w:t>Year Budget</w:t>
      </w:r>
    </w:p>
    <w:p w14:paraId="1C04BC35" w14:textId="21FB5487" w:rsidR="00F014CF" w:rsidRPr="006E5244" w:rsidRDefault="00FA3D06" w:rsidP="00437216">
      <w:pPr>
        <w:pStyle w:val="ListParagraph"/>
        <w:numPr>
          <w:ilvl w:val="0"/>
          <w:numId w:val="40"/>
        </w:numPr>
        <w:spacing w:after="240"/>
        <w:rPr>
          <w:rFonts w:cs="Arial"/>
        </w:rPr>
      </w:pPr>
      <w:r w:rsidRPr="006E5244">
        <w:rPr>
          <w:rFonts w:cs="Arial"/>
        </w:rPr>
        <w:t>LCAP</w:t>
      </w:r>
    </w:p>
    <w:p w14:paraId="4ECC57F1" w14:textId="23ADD720" w:rsidR="00E21BBD" w:rsidRPr="00425845" w:rsidRDefault="00D16B06" w:rsidP="006E5244">
      <w:pPr>
        <w:spacing w:after="480"/>
        <w:rPr>
          <w:rFonts w:ascii="Arial" w:eastAsiaTheme="majorEastAsia" w:hAnsi="Arial" w:cs="Arial"/>
        </w:rPr>
      </w:pPr>
      <w:r>
        <w:rPr>
          <w:rFonts w:ascii="Arial" w:eastAsiaTheme="majorEastAsia" w:hAnsi="Arial" w:cs="Arial"/>
        </w:rPr>
        <w:t>CTEIG eligibility is verified through supporting documents</w:t>
      </w:r>
      <w:r w:rsidR="009845CC">
        <w:rPr>
          <w:rFonts w:ascii="Arial" w:eastAsiaTheme="majorEastAsia" w:hAnsi="Arial" w:cs="Arial"/>
        </w:rPr>
        <w:t>,</w:t>
      </w:r>
      <w:r>
        <w:rPr>
          <w:rFonts w:ascii="Arial" w:eastAsiaTheme="majorEastAsia" w:hAnsi="Arial" w:cs="Arial"/>
        </w:rPr>
        <w:t xml:space="preserve"> </w:t>
      </w:r>
      <w:r w:rsidR="009845CC">
        <w:rPr>
          <w:rFonts w:ascii="Arial" w:eastAsiaTheme="majorEastAsia" w:hAnsi="Arial" w:cs="Arial"/>
        </w:rPr>
        <w:t>i</w:t>
      </w:r>
      <w:r>
        <w:rPr>
          <w:rFonts w:ascii="Arial" w:eastAsiaTheme="majorEastAsia" w:hAnsi="Arial" w:cs="Arial"/>
        </w:rPr>
        <w:t>nclud</w:t>
      </w:r>
      <w:r w:rsidR="009845CC">
        <w:rPr>
          <w:rFonts w:ascii="Arial" w:eastAsiaTheme="majorEastAsia" w:hAnsi="Arial" w:cs="Arial"/>
        </w:rPr>
        <w:t>ing</w:t>
      </w:r>
      <w:r>
        <w:rPr>
          <w:rFonts w:ascii="Arial" w:eastAsiaTheme="majorEastAsia" w:hAnsi="Arial" w:cs="Arial"/>
        </w:rPr>
        <w:t xml:space="preserve"> any</w:t>
      </w:r>
      <w:r w:rsidR="00E4041A">
        <w:rPr>
          <w:rFonts w:ascii="Arial" w:hAnsi="Arial" w:cs="Arial"/>
        </w:rPr>
        <w:t xml:space="preserve"> formal written document showing </w:t>
      </w:r>
      <w:r w:rsidR="00DC57A7">
        <w:rPr>
          <w:rFonts w:ascii="Arial" w:hAnsi="Arial" w:cs="Arial"/>
        </w:rPr>
        <w:t xml:space="preserve">that </w:t>
      </w:r>
      <w:r w:rsidR="00E4041A">
        <w:rPr>
          <w:rFonts w:ascii="Arial" w:hAnsi="Arial" w:cs="Arial"/>
        </w:rPr>
        <w:t>the CTE pathway or program is aligned with CTEIG and SWP goals.</w:t>
      </w:r>
    </w:p>
    <w:p w14:paraId="43F78070" w14:textId="4332FDE9" w:rsidR="00D050A3" w:rsidRPr="00425845" w:rsidRDefault="007F5319" w:rsidP="001F6FE4">
      <w:pPr>
        <w:pStyle w:val="Heading3"/>
        <w:jc w:val="left"/>
        <w:rPr>
          <w:rFonts w:cs="Arial"/>
        </w:rPr>
      </w:pPr>
      <w:r>
        <w:rPr>
          <w:rFonts w:cs="Arial"/>
          <w:iCs/>
        </w:rPr>
        <w:t xml:space="preserve">California </w:t>
      </w:r>
      <w:r>
        <w:rPr>
          <w:rFonts w:cs="Arial"/>
          <w:i/>
        </w:rPr>
        <w:t>Education Code</w:t>
      </w:r>
      <w:r w:rsidR="001F6FE4" w:rsidRPr="00425845">
        <w:rPr>
          <w:rFonts w:cs="Arial"/>
        </w:rPr>
        <w:t xml:space="preserve"> </w:t>
      </w:r>
      <w:r w:rsidR="00F96211">
        <w:rPr>
          <w:rFonts w:cs="Arial"/>
        </w:rPr>
        <w:t xml:space="preserve">Section </w:t>
      </w:r>
      <w:r w:rsidR="001F6FE4" w:rsidRPr="00425845">
        <w:rPr>
          <w:rFonts w:cs="Arial"/>
        </w:rPr>
        <w:t>53070.1(a)(2)(D)</w:t>
      </w:r>
    </w:p>
    <w:p w14:paraId="32172EFC" w14:textId="78884547" w:rsidR="00504EA5" w:rsidRPr="00E72647" w:rsidRDefault="006241CB" w:rsidP="006E5244">
      <w:pPr>
        <w:spacing w:after="240"/>
        <w:rPr>
          <w:rFonts w:ascii="Arial" w:eastAsiaTheme="minorHAnsi" w:hAnsi="Arial" w:cs="Arial"/>
          <w:color w:val="000000" w:themeColor="text1"/>
        </w:rPr>
      </w:pPr>
      <w:r w:rsidRPr="00E72647">
        <w:rPr>
          <w:rFonts w:ascii="Arial" w:hAnsi="Arial" w:cs="Arial"/>
          <w:color w:val="000000" w:themeColor="text1"/>
        </w:rPr>
        <w:t xml:space="preserve">Sub-paragraph (B) of </w:t>
      </w:r>
      <w:r w:rsidR="009845CC" w:rsidRPr="00E72647">
        <w:rPr>
          <w:rFonts w:ascii="Arial" w:hAnsi="Arial" w:cs="Arial"/>
          <w:color w:val="000000" w:themeColor="text1"/>
        </w:rPr>
        <w:t>p</w:t>
      </w:r>
      <w:r w:rsidRPr="00E72647">
        <w:rPr>
          <w:rFonts w:ascii="Arial" w:hAnsi="Arial" w:cs="Arial"/>
          <w:color w:val="000000" w:themeColor="text1"/>
        </w:rPr>
        <w:t xml:space="preserve">aragraph (11) </w:t>
      </w:r>
      <w:r w:rsidR="00C6179E" w:rsidRPr="00E72647">
        <w:rPr>
          <w:rFonts w:ascii="Arial" w:hAnsi="Arial" w:cs="Arial"/>
          <w:color w:val="000000" w:themeColor="text1"/>
        </w:rPr>
        <w:t>within subdivision (c) of Section 53071</w:t>
      </w:r>
      <w:r w:rsidRPr="00E72647">
        <w:rPr>
          <w:rFonts w:ascii="Arial" w:hAnsi="Arial" w:cs="Arial"/>
          <w:color w:val="000000" w:themeColor="text1"/>
        </w:rPr>
        <w:t xml:space="preserve"> lists the requisite </w:t>
      </w:r>
      <w:r w:rsidR="00C17059" w:rsidRPr="00E72647">
        <w:rPr>
          <w:rFonts w:ascii="Arial" w:hAnsi="Arial" w:cs="Arial"/>
          <w:color w:val="000000" w:themeColor="text1"/>
          <w:shd w:val="clear" w:color="auto" w:fill="FFFFFF"/>
        </w:rPr>
        <w:t xml:space="preserve">data </w:t>
      </w:r>
      <w:r w:rsidRPr="00E72647">
        <w:rPr>
          <w:rFonts w:ascii="Arial" w:hAnsi="Arial" w:cs="Arial"/>
          <w:color w:val="000000" w:themeColor="text1"/>
          <w:shd w:val="clear" w:color="auto" w:fill="FFFFFF"/>
        </w:rPr>
        <w:t xml:space="preserve">to be reported by CTEIG </w:t>
      </w:r>
      <w:r w:rsidR="006C50A4" w:rsidRPr="00E72647">
        <w:rPr>
          <w:rFonts w:ascii="Arial" w:hAnsi="Arial" w:cs="Arial"/>
          <w:color w:val="000000" w:themeColor="text1"/>
          <w:shd w:val="clear" w:color="auto" w:fill="FFFFFF"/>
        </w:rPr>
        <w:t>recipients</w:t>
      </w:r>
      <w:r w:rsidR="008F451B" w:rsidRPr="00E72647">
        <w:rPr>
          <w:rStyle w:val="FootnoteReference"/>
          <w:rFonts w:ascii="Arial" w:hAnsi="Arial" w:cs="Arial"/>
          <w:color w:val="000000" w:themeColor="text1"/>
          <w:shd w:val="clear" w:color="auto" w:fill="FFFFFF"/>
        </w:rPr>
        <w:footnoteReference w:id="13"/>
      </w:r>
      <w:r w:rsidRPr="00E72647">
        <w:rPr>
          <w:rFonts w:ascii="Arial" w:hAnsi="Arial" w:cs="Arial"/>
          <w:color w:val="000000" w:themeColor="text1"/>
          <w:shd w:val="clear" w:color="auto" w:fill="FFFFFF"/>
        </w:rPr>
        <w:t xml:space="preserve"> and collected annually by the CDE. The sole mechanism used by the CDE to collect CTE data is uploading the</w:t>
      </w:r>
      <w:r w:rsidR="00375D9A" w:rsidRPr="00E72647">
        <w:rPr>
          <w:rFonts w:ascii="Arial" w:eastAsiaTheme="minorHAnsi" w:hAnsi="Arial" w:cs="Arial"/>
          <w:color w:val="000000" w:themeColor="text1"/>
        </w:rPr>
        <w:t xml:space="preserve"> Post</w:t>
      </w:r>
      <w:r w:rsidR="004F2B66" w:rsidRPr="00E72647">
        <w:rPr>
          <w:rFonts w:ascii="Arial" w:eastAsiaTheme="minorHAnsi" w:hAnsi="Arial" w:cs="Arial"/>
          <w:color w:val="000000" w:themeColor="text1"/>
        </w:rPr>
        <w:t>s</w:t>
      </w:r>
      <w:r w:rsidR="00375D9A" w:rsidRPr="00E72647">
        <w:rPr>
          <w:rFonts w:ascii="Arial" w:eastAsiaTheme="minorHAnsi" w:hAnsi="Arial" w:cs="Arial"/>
          <w:color w:val="000000" w:themeColor="text1"/>
        </w:rPr>
        <w:t>econdary Status File (PSTS) in</w:t>
      </w:r>
      <w:r w:rsidR="004436F4">
        <w:rPr>
          <w:rFonts w:ascii="Arial" w:eastAsiaTheme="minorHAnsi" w:hAnsi="Arial" w:cs="Arial"/>
          <w:color w:val="000000" w:themeColor="text1"/>
        </w:rPr>
        <w:t>to the</w:t>
      </w:r>
      <w:r w:rsidR="00375D9A" w:rsidRPr="00E72647">
        <w:rPr>
          <w:rFonts w:ascii="Arial" w:eastAsiaTheme="minorHAnsi" w:hAnsi="Arial" w:cs="Arial"/>
          <w:color w:val="000000" w:themeColor="text1"/>
        </w:rPr>
        <w:t xml:space="preserve"> </w:t>
      </w:r>
      <w:r w:rsidR="006E5244" w:rsidRPr="00E72647">
        <w:rPr>
          <w:rFonts w:ascii="Arial" w:eastAsiaTheme="minorHAnsi" w:hAnsi="Arial" w:cs="Arial"/>
          <w:color w:val="000000" w:themeColor="text1"/>
        </w:rPr>
        <w:t>California Longitudinal Pupil Achievement Data System (</w:t>
      </w:r>
      <w:r w:rsidR="00375D9A" w:rsidRPr="00E72647">
        <w:rPr>
          <w:rFonts w:ascii="Arial" w:eastAsiaTheme="minorHAnsi" w:hAnsi="Arial" w:cs="Arial"/>
          <w:color w:val="000000" w:themeColor="text1"/>
        </w:rPr>
        <w:t>CALPADS</w:t>
      </w:r>
      <w:r w:rsidR="006E5244" w:rsidRPr="00E72647">
        <w:rPr>
          <w:rFonts w:ascii="Arial" w:eastAsiaTheme="minorHAnsi" w:hAnsi="Arial" w:cs="Arial"/>
          <w:color w:val="000000" w:themeColor="text1"/>
        </w:rPr>
        <w:t>)</w:t>
      </w:r>
      <w:r w:rsidR="00375D9A" w:rsidRPr="00E72647">
        <w:rPr>
          <w:rFonts w:ascii="Arial" w:hAnsi="Arial" w:cs="Arial"/>
          <w:color w:val="000000" w:themeColor="text1"/>
          <w:shd w:val="clear" w:color="auto" w:fill="FFFFFF"/>
        </w:rPr>
        <w:t xml:space="preserve"> around the middle of March each year. It should be noted</w:t>
      </w:r>
      <w:r w:rsidR="00DC57A7">
        <w:rPr>
          <w:rFonts w:ascii="Arial" w:hAnsi="Arial" w:cs="Arial"/>
          <w:color w:val="000000" w:themeColor="text1"/>
          <w:shd w:val="clear" w:color="auto" w:fill="FFFFFF"/>
        </w:rPr>
        <w:t xml:space="preserve"> that</w:t>
      </w:r>
      <w:r w:rsidR="00375D9A" w:rsidRPr="00E72647">
        <w:rPr>
          <w:rFonts w:ascii="Arial" w:hAnsi="Arial" w:cs="Arial"/>
          <w:color w:val="000000" w:themeColor="text1"/>
          <w:shd w:val="clear" w:color="auto" w:fill="FFFFFF"/>
        </w:rPr>
        <w:t xml:space="preserve"> t</w:t>
      </w:r>
      <w:r w:rsidR="00F96211" w:rsidRPr="00E72647">
        <w:rPr>
          <w:rFonts w:ascii="Arial" w:eastAsiaTheme="minorHAnsi" w:hAnsi="Arial" w:cs="Arial"/>
          <w:color w:val="000000" w:themeColor="text1"/>
        </w:rPr>
        <w:t xml:space="preserve">he </w:t>
      </w:r>
      <w:r w:rsidR="00375D9A" w:rsidRPr="00E72647">
        <w:rPr>
          <w:rFonts w:ascii="Arial" w:eastAsiaTheme="minorHAnsi" w:hAnsi="Arial" w:cs="Arial"/>
          <w:color w:val="000000" w:themeColor="text1"/>
        </w:rPr>
        <w:t xml:space="preserve">annual </w:t>
      </w:r>
      <w:r w:rsidR="00F96211" w:rsidRPr="00E72647">
        <w:rPr>
          <w:rFonts w:ascii="Arial" w:eastAsiaTheme="minorHAnsi" w:hAnsi="Arial" w:cs="Arial"/>
          <w:color w:val="000000" w:themeColor="text1"/>
        </w:rPr>
        <w:t xml:space="preserve">statutory </w:t>
      </w:r>
      <w:r w:rsidR="00375D9A" w:rsidRPr="00E72647">
        <w:rPr>
          <w:rFonts w:ascii="Arial" w:eastAsiaTheme="minorHAnsi" w:hAnsi="Arial" w:cs="Arial"/>
          <w:color w:val="000000" w:themeColor="text1"/>
        </w:rPr>
        <w:t>deadline</w:t>
      </w:r>
      <w:r w:rsidR="00F96211" w:rsidRPr="00E72647">
        <w:rPr>
          <w:rFonts w:ascii="Arial" w:eastAsiaTheme="minorHAnsi" w:hAnsi="Arial" w:cs="Arial"/>
          <w:color w:val="000000" w:themeColor="text1"/>
        </w:rPr>
        <w:t xml:space="preserve"> for th</w:t>
      </w:r>
      <w:r w:rsidR="00DC57A7">
        <w:rPr>
          <w:rFonts w:ascii="Arial" w:eastAsiaTheme="minorHAnsi" w:hAnsi="Arial" w:cs="Arial"/>
          <w:color w:val="000000" w:themeColor="text1"/>
        </w:rPr>
        <w:t>ese</w:t>
      </w:r>
      <w:r w:rsidR="00F96211" w:rsidRPr="00E72647">
        <w:rPr>
          <w:rFonts w:ascii="Arial" w:eastAsiaTheme="minorHAnsi" w:hAnsi="Arial" w:cs="Arial"/>
          <w:color w:val="000000" w:themeColor="text1"/>
        </w:rPr>
        <w:t xml:space="preserve"> data to be report</w:t>
      </w:r>
      <w:r w:rsidR="004F2B66" w:rsidRPr="00E72647">
        <w:rPr>
          <w:rFonts w:ascii="Arial" w:eastAsiaTheme="minorHAnsi" w:hAnsi="Arial" w:cs="Arial"/>
          <w:color w:val="000000" w:themeColor="text1"/>
        </w:rPr>
        <w:t>ed</w:t>
      </w:r>
      <w:r w:rsidR="00F96211" w:rsidRPr="00E72647">
        <w:rPr>
          <w:rFonts w:ascii="Arial" w:eastAsiaTheme="minorHAnsi" w:hAnsi="Arial" w:cs="Arial"/>
          <w:color w:val="000000" w:themeColor="text1"/>
        </w:rPr>
        <w:t xml:space="preserve"> is </w:t>
      </w:r>
      <w:r w:rsidR="00375D9A" w:rsidRPr="00E72647">
        <w:rPr>
          <w:rFonts w:ascii="Arial" w:eastAsiaTheme="minorHAnsi" w:hAnsi="Arial" w:cs="Arial"/>
          <w:color w:val="000000" w:themeColor="text1"/>
        </w:rPr>
        <w:t>currently November 1.</w:t>
      </w:r>
      <w:r w:rsidR="00375D9A" w:rsidRPr="00E72647">
        <w:rPr>
          <w:rStyle w:val="FootnoteReference"/>
          <w:rFonts w:ascii="Arial" w:eastAsiaTheme="minorHAnsi" w:hAnsi="Arial" w:cs="Arial"/>
          <w:color w:val="000000" w:themeColor="text1"/>
        </w:rPr>
        <w:footnoteReference w:id="14"/>
      </w:r>
      <w:r w:rsidR="00504EA5" w:rsidRPr="00E72647">
        <w:rPr>
          <w:rFonts w:ascii="Arial" w:eastAsiaTheme="minorHAnsi" w:hAnsi="Arial" w:cs="Arial"/>
          <w:color w:val="000000" w:themeColor="text1"/>
        </w:rPr>
        <w:t xml:space="preserve"> </w:t>
      </w:r>
    </w:p>
    <w:p w14:paraId="65F2A436" w14:textId="1ED6BD04" w:rsidR="00E21BBD" w:rsidRPr="00425845" w:rsidRDefault="00504EA5" w:rsidP="006E5244">
      <w:pPr>
        <w:spacing w:after="240"/>
        <w:rPr>
          <w:rFonts w:ascii="Arial" w:eastAsiaTheme="majorEastAsia" w:hAnsi="Arial" w:cs="Arial"/>
        </w:rPr>
      </w:pPr>
      <w:r>
        <w:rPr>
          <w:rFonts w:ascii="Arial" w:eastAsiaTheme="minorHAnsi" w:hAnsi="Arial" w:cs="Arial"/>
        </w:rPr>
        <w:t xml:space="preserve">The review and verification of the data submitted </w:t>
      </w:r>
      <w:r w:rsidR="009845CC">
        <w:rPr>
          <w:rFonts w:ascii="Arial" w:eastAsiaTheme="minorHAnsi" w:hAnsi="Arial" w:cs="Arial"/>
        </w:rPr>
        <w:t>are</w:t>
      </w:r>
      <w:r>
        <w:rPr>
          <w:rFonts w:ascii="Arial" w:eastAsiaTheme="minorHAnsi" w:hAnsi="Arial" w:cs="Arial"/>
        </w:rPr>
        <w:t xml:space="preserve"> done entirely outside of the CTEIG application process and, at present, can only be analyzed as a lagging two-year indicator. This reality negates the CDE’s </w:t>
      </w:r>
      <w:r w:rsidR="00590BDC">
        <w:rPr>
          <w:rFonts w:ascii="Arial" w:eastAsiaTheme="minorHAnsi" w:hAnsi="Arial" w:cs="Arial"/>
        </w:rPr>
        <w:t>ability to incorporate any discernable findings into the CTEIG application review process</w:t>
      </w:r>
      <w:r w:rsidR="00D60F66">
        <w:rPr>
          <w:rFonts w:ascii="Arial" w:eastAsiaTheme="minorHAnsi" w:hAnsi="Arial" w:cs="Arial"/>
        </w:rPr>
        <w:t>,</w:t>
      </w:r>
      <w:r w:rsidR="00590BDC">
        <w:rPr>
          <w:rStyle w:val="FootnoteReference"/>
          <w:rFonts w:ascii="Arial" w:eastAsiaTheme="minorHAnsi" w:hAnsi="Arial" w:cs="Arial"/>
        </w:rPr>
        <w:footnoteReference w:id="15"/>
      </w:r>
      <w:r w:rsidR="00590BDC">
        <w:rPr>
          <w:rFonts w:ascii="Arial" w:eastAsiaTheme="minorHAnsi" w:hAnsi="Arial" w:cs="Arial"/>
        </w:rPr>
        <w:t xml:space="preserve"> per </w:t>
      </w:r>
      <w:r w:rsidRPr="00590BDC">
        <w:rPr>
          <w:rFonts w:ascii="Arial" w:eastAsiaTheme="minorHAnsi" w:hAnsi="Arial" w:cs="Arial"/>
          <w:i/>
        </w:rPr>
        <w:t>EC</w:t>
      </w:r>
      <w:r>
        <w:rPr>
          <w:rFonts w:ascii="Arial" w:eastAsiaTheme="minorHAnsi" w:hAnsi="Arial" w:cs="Arial"/>
        </w:rPr>
        <w:t xml:space="preserve"> Section 5307</w:t>
      </w:r>
      <w:r w:rsidR="00590BDC">
        <w:rPr>
          <w:rFonts w:ascii="Arial" w:eastAsiaTheme="minorHAnsi" w:hAnsi="Arial" w:cs="Arial"/>
        </w:rPr>
        <w:t>3(b)(1).</w:t>
      </w:r>
    </w:p>
    <w:p w14:paraId="154BA53B" w14:textId="6843C1AC" w:rsidR="001F6FE4" w:rsidRPr="00425845" w:rsidRDefault="00D60F66" w:rsidP="006E5244">
      <w:pPr>
        <w:pStyle w:val="Heading3"/>
        <w:spacing w:before="480"/>
        <w:jc w:val="left"/>
        <w:rPr>
          <w:rFonts w:cs="Arial"/>
        </w:rPr>
      </w:pPr>
      <w:r>
        <w:rPr>
          <w:rFonts w:cs="Arial"/>
          <w:iCs/>
        </w:rPr>
        <w:lastRenderedPageBreak/>
        <w:t xml:space="preserve">California </w:t>
      </w:r>
      <w:r>
        <w:rPr>
          <w:rFonts w:cs="Arial"/>
          <w:i/>
        </w:rPr>
        <w:t>Education Code</w:t>
      </w:r>
      <w:r w:rsidR="00E21BBD" w:rsidRPr="00425845">
        <w:rPr>
          <w:rFonts w:cs="Arial"/>
        </w:rPr>
        <w:t xml:space="preserve"> </w:t>
      </w:r>
      <w:r w:rsidR="00F96211">
        <w:rPr>
          <w:rFonts w:cs="Arial"/>
        </w:rPr>
        <w:t xml:space="preserve">Section </w:t>
      </w:r>
      <w:r w:rsidR="001F6FE4" w:rsidRPr="00425845">
        <w:rPr>
          <w:rFonts w:cs="Arial"/>
        </w:rPr>
        <w:t>53070.1(a)(2)(E)</w:t>
      </w:r>
    </w:p>
    <w:p w14:paraId="11F5313C" w14:textId="3CC1216D" w:rsidR="006E5244" w:rsidRDefault="00590BDC" w:rsidP="00C049D4">
      <w:pPr>
        <w:rPr>
          <w:rFonts w:ascii="Arial" w:hAnsi="Arial" w:cs="Arial"/>
          <w:color w:val="333333"/>
          <w:shd w:val="clear" w:color="auto" w:fill="FFFFFF"/>
        </w:rPr>
        <w:sectPr w:rsidR="006E5244" w:rsidSect="007623F1">
          <w:pgSz w:w="12240" w:h="15840"/>
          <w:pgMar w:top="1440" w:right="1440" w:bottom="1440" w:left="1440" w:header="720" w:footer="720" w:gutter="0"/>
          <w:pgNumType w:start="1"/>
          <w:cols w:space="720"/>
          <w:docGrid w:linePitch="360"/>
        </w:sectPr>
      </w:pPr>
      <w:r w:rsidRPr="00590BDC">
        <w:rPr>
          <w:rFonts w:ascii="Arial" w:hAnsi="Arial" w:cs="Arial"/>
        </w:rPr>
        <w:t>Paragraph (</w:t>
      </w:r>
      <w:r>
        <w:rPr>
          <w:rFonts w:ascii="Arial" w:hAnsi="Arial" w:cs="Arial"/>
        </w:rPr>
        <w:t>2</w:t>
      </w:r>
      <w:r w:rsidRPr="00590BDC">
        <w:rPr>
          <w:rFonts w:ascii="Arial" w:hAnsi="Arial" w:cs="Arial"/>
        </w:rPr>
        <w:t>) within subdivision (</w:t>
      </w:r>
      <w:r>
        <w:rPr>
          <w:rFonts w:ascii="Arial" w:hAnsi="Arial" w:cs="Arial"/>
        </w:rPr>
        <w:t>b</w:t>
      </w:r>
      <w:r w:rsidRPr="00590BDC">
        <w:rPr>
          <w:rFonts w:ascii="Arial" w:hAnsi="Arial" w:cs="Arial"/>
        </w:rPr>
        <w:t xml:space="preserve">) of </w:t>
      </w:r>
      <w:r w:rsidR="00BD5775" w:rsidRPr="00BD5775">
        <w:rPr>
          <w:rFonts w:ascii="Arial" w:hAnsi="Arial" w:cs="Arial"/>
          <w:i/>
        </w:rPr>
        <w:t>EC</w:t>
      </w:r>
      <w:r w:rsidR="00BD5775">
        <w:rPr>
          <w:rFonts w:ascii="Arial" w:hAnsi="Arial" w:cs="Arial"/>
        </w:rPr>
        <w:t xml:space="preserve"> </w:t>
      </w:r>
      <w:r w:rsidRPr="00590BDC">
        <w:rPr>
          <w:rFonts w:ascii="Arial" w:hAnsi="Arial" w:cs="Arial"/>
        </w:rPr>
        <w:t>Section 5307</w:t>
      </w:r>
      <w:r>
        <w:rPr>
          <w:rFonts w:ascii="Arial" w:hAnsi="Arial" w:cs="Arial"/>
        </w:rPr>
        <w:t xml:space="preserve">3 requires returning </w:t>
      </w:r>
      <w:r w:rsidR="00BD5775">
        <w:rPr>
          <w:rFonts w:ascii="Arial" w:hAnsi="Arial" w:cs="Arial"/>
        </w:rPr>
        <w:t xml:space="preserve">CTEIG </w:t>
      </w:r>
      <w:r>
        <w:rPr>
          <w:rFonts w:ascii="Arial" w:hAnsi="Arial" w:cs="Arial"/>
        </w:rPr>
        <w:t xml:space="preserve">applicants </w:t>
      </w:r>
      <w:r w:rsidRPr="00590BDC">
        <w:rPr>
          <w:rFonts w:ascii="Arial" w:hAnsi="Arial" w:cs="Arial"/>
        </w:rPr>
        <w:t xml:space="preserve">subject to the requirements of </w:t>
      </w:r>
      <w:r w:rsidR="00BD5775" w:rsidRPr="00BD5775">
        <w:rPr>
          <w:rFonts w:ascii="Arial" w:hAnsi="Arial" w:cs="Arial"/>
          <w:i/>
        </w:rPr>
        <w:t>EC</w:t>
      </w:r>
      <w:r w:rsidR="00BD5775">
        <w:rPr>
          <w:rFonts w:ascii="Arial" w:hAnsi="Arial" w:cs="Arial"/>
        </w:rPr>
        <w:t xml:space="preserve"> s</w:t>
      </w:r>
      <w:r w:rsidRPr="00590BDC">
        <w:rPr>
          <w:rFonts w:ascii="Arial" w:hAnsi="Arial" w:cs="Arial"/>
        </w:rPr>
        <w:t>ections 52060 and 52061</w:t>
      </w:r>
      <w:r w:rsidR="00DC57A7">
        <w:rPr>
          <w:rFonts w:ascii="Arial" w:hAnsi="Arial" w:cs="Arial"/>
        </w:rPr>
        <w:t>—s</w:t>
      </w:r>
      <w:r w:rsidR="00BD5775">
        <w:rPr>
          <w:rFonts w:ascii="Arial" w:hAnsi="Arial" w:cs="Arial"/>
        </w:rPr>
        <w:t xml:space="preserve">chool </w:t>
      </w:r>
      <w:r w:rsidR="00DC57A7">
        <w:rPr>
          <w:rFonts w:ascii="Arial" w:hAnsi="Arial" w:cs="Arial"/>
        </w:rPr>
        <w:t>d</w:t>
      </w:r>
      <w:r w:rsidR="00BD5775">
        <w:rPr>
          <w:rFonts w:ascii="Arial" w:hAnsi="Arial" w:cs="Arial"/>
        </w:rPr>
        <w:t>istricts</w:t>
      </w:r>
      <w:r w:rsidRPr="00590BDC">
        <w:rPr>
          <w:rFonts w:ascii="Arial" w:hAnsi="Arial" w:cs="Arial"/>
        </w:rPr>
        <w:t xml:space="preserve">, </w:t>
      </w:r>
      <w:r w:rsidR="00BD5775" w:rsidRPr="00271C6A">
        <w:rPr>
          <w:rFonts w:ascii="Arial" w:hAnsi="Arial" w:cs="Arial"/>
          <w:i/>
        </w:rPr>
        <w:t xml:space="preserve">EC </w:t>
      </w:r>
      <w:r w:rsidR="00BD5775">
        <w:rPr>
          <w:rFonts w:ascii="Arial" w:hAnsi="Arial" w:cs="Arial"/>
        </w:rPr>
        <w:t>s</w:t>
      </w:r>
      <w:r w:rsidRPr="00590BDC">
        <w:rPr>
          <w:rFonts w:ascii="Arial" w:hAnsi="Arial" w:cs="Arial"/>
        </w:rPr>
        <w:t xml:space="preserve">ections 52066 </w:t>
      </w:r>
      <w:r w:rsidRPr="006E5244">
        <w:rPr>
          <w:rFonts w:ascii="Arial" w:hAnsi="Arial" w:cs="Arial"/>
        </w:rPr>
        <w:t>and 52067</w:t>
      </w:r>
      <w:r w:rsidR="00DC57A7">
        <w:rPr>
          <w:rFonts w:ascii="Arial" w:hAnsi="Arial" w:cs="Arial"/>
        </w:rPr>
        <w:t>—c</w:t>
      </w:r>
      <w:r w:rsidR="00BD5775" w:rsidRPr="006E5244">
        <w:rPr>
          <w:rFonts w:ascii="Arial" w:hAnsi="Arial" w:cs="Arial"/>
        </w:rPr>
        <w:t xml:space="preserve">ounty </w:t>
      </w:r>
      <w:r w:rsidR="00DC57A7">
        <w:rPr>
          <w:rFonts w:ascii="Arial" w:hAnsi="Arial" w:cs="Arial"/>
        </w:rPr>
        <w:t>o</w:t>
      </w:r>
      <w:r w:rsidR="00BD5775" w:rsidRPr="006E5244">
        <w:rPr>
          <w:rFonts w:ascii="Arial" w:hAnsi="Arial" w:cs="Arial"/>
        </w:rPr>
        <w:t xml:space="preserve">ffices of </w:t>
      </w:r>
      <w:r w:rsidR="00DC57A7">
        <w:rPr>
          <w:rFonts w:ascii="Arial" w:hAnsi="Arial" w:cs="Arial"/>
        </w:rPr>
        <w:t>e</w:t>
      </w:r>
      <w:r w:rsidR="00BD5775" w:rsidRPr="006E5244">
        <w:rPr>
          <w:rFonts w:ascii="Arial" w:hAnsi="Arial" w:cs="Arial"/>
        </w:rPr>
        <w:t>ducation</w:t>
      </w:r>
      <w:r w:rsidRPr="006E5244">
        <w:rPr>
          <w:rFonts w:ascii="Arial" w:hAnsi="Arial" w:cs="Arial"/>
        </w:rPr>
        <w:t xml:space="preserve">, </w:t>
      </w:r>
      <w:r w:rsidR="00BD5775" w:rsidRPr="006E5244">
        <w:rPr>
          <w:rFonts w:ascii="Arial" w:hAnsi="Arial" w:cs="Arial"/>
        </w:rPr>
        <w:t>and</w:t>
      </w:r>
      <w:r w:rsidRPr="006E5244">
        <w:rPr>
          <w:rFonts w:ascii="Arial" w:hAnsi="Arial" w:cs="Arial"/>
        </w:rPr>
        <w:t xml:space="preserve"> </w:t>
      </w:r>
      <w:r w:rsidR="00BD5775" w:rsidRPr="006E5244">
        <w:rPr>
          <w:rFonts w:ascii="Arial" w:hAnsi="Arial" w:cs="Arial"/>
          <w:i/>
        </w:rPr>
        <w:t>EC</w:t>
      </w:r>
      <w:r w:rsidR="00BD5775" w:rsidRPr="006E5244">
        <w:rPr>
          <w:rFonts w:ascii="Arial" w:hAnsi="Arial" w:cs="Arial"/>
        </w:rPr>
        <w:t xml:space="preserve"> </w:t>
      </w:r>
      <w:r w:rsidRPr="006E5244">
        <w:rPr>
          <w:rFonts w:ascii="Arial" w:hAnsi="Arial" w:cs="Arial"/>
        </w:rPr>
        <w:t>Section 47606.5</w:t>
      </w:r>
      <w:r w:rsidR="00DC57A7">
        <w:rPr>
          <w:rFonts w:ascii="Arial" w:hAnsi="Arial" w:cs="Arial"/>
        </w:rPr>
        <w:t>—c</w:t>
      </w:r>
      <w:r w:rsidR="00BD5775" w:rsidRPr="006E5244">
        <w:rPr>
          <w:rFonts w:ascii="Arial" w:hAnsi="Arial" w:cs="Arial"/>
        </w:rPr>
        <w:t xml:space="preserve">harter </w:t>
      </w:r>
      <w:r w:rsidR="00DC57A7">
        <w:rPr>
          <w:rFonts w:ascii="Arial" w:hAnsi="Arial" w:cs="Arial"/>
        </w:rPr>
        <w:t>s</w:t>
      </w:r>
      <w:r w:rsidR="00BD5775" w:rsidRPr="006E5244">
        <w:rPr>
          <w:rFonts w:ascii="Arial" w:hAnsi="Arial" w:cs="Arial"/>
        </w:rPr>
        <w:t xml:space="preserve">chools to formally </w:t>
      </w:r>
      <w:r w:rsidR="00BD5775" w:rsidRPr="00A474E3">
        <w:rPr>
          <w:rFonts w:ascii="Arial" w:hAnsi="Arial" w:cs="Arial"/>
        </w:rPr>
        <w:t xml:space="preserve">include </w:t>
      </w:r>
      <w:r w:rsidR="003B6268">
        <w:rPr>
          <w:rFonts w:ascii="Arial" w:hAnsi="Arial" w:cs="Arial"/>
        </w:rPr>
        <w:t>CTE</w:t>
      </w:r>
      <w:r w:rsidRPr="00A474E3">
        <w:rPr>
          <w:rFonts w:ascii="Arial" w:hAnsi="Arial" w:cs="Arial"/>
        </w:rPr>
        <w:t xml:space="preserve"> programs</w:t>
      </w:r>
      <w:r w:rsidRPr="006E5244">
        <w:rPr>
          <w:rFonts w:ascii="Arial" w:hAnsi="Arial" w:cs="Arial"/>
        </w:rPr>
        <w:t xml:space="preserve"> in the</w:t>
      </w:r>
      <w:r w:rsidR="00BD5775" w:rsidRPr="006E5244">
        <w:rPr>
          <w:rFonts w:ascii="Arial" w:hAnsi="Arial" w:cs="Arial"/>
        </w:rPr>
        <w:t>ir LCAP</w:t>
      </w:r>
      <w:r w:rsidR="006102ED">
        <w:rPr>
          <w:rFonts w:ascii="Arial" w:hAnsi="Arial" w:cs="Arial"/>
        </w:rPr>
        <w:t>s</w:t>
      </w:r>
      <w:r w:rsidR="00BD5775" w:rsidRPr="006E5244">
        <w:rPr>
          <w:rFonts w:ascii="Arial" w:hAnsi="Arial" w:cs="Arial"/>
        </w:rPr>
        <w:t xml:space="preserve">. </w:t>
      </w:r>
      <w:r w:rsidR="00F96211" w:rsidRPr="006E5244">
        <w:rPr>
          <w:rFonts w:ascii="Arial" w:hAnsi="Arial" w:cs="Arial"/>
          <w:shd w:val="clear" w:color="auto" w:fill="FFFFFF"/>
        </w:rPr>
        <w:t>The process</w:t>
      </w:r>
      <w:r w:rsidR="00BD5775" w:rsidRPr="006E5244">
        <w:rPr>
          <w:rFonts w:ascii="Arial" w:hAnsi="Arial" w:cs="Arial"/>
          <w:shd w:val="clear" w:color="auto" w:fill="FFFFFF"/>
        </w:rPr>
        <w:t xml:space="preserve"> </w:t>
      </w:r>
      <w:r w:rsidR="00F96211" w:rsidRPr="006E5244">
        <w:rPr>
          <w:rFonts w:ascii="Arial" w:hAnsi="Arial" w:cs="Arial"/>
          <w:shd w:val="clear" w:color="auto" w:fill="FFFFFF"/>
        </w:rPr>
        <w:t>used by the</w:t>
      </w:r>
      <w:r w:rsidR="00BD5775" w:rsidRPr="006E5244">
        <w:rPr>
          <w:rFonts w:ascii="Arial" w:hAnsi="Arial" w:cs="Arial"/>
          <w:shd w:val="clear" w:color="auto" w:fill="FFFFFF"/>
        </w:rPr>
        <w:t xml:space="preserve"> CDE </w:t>
      </w:r>
      <w:r w:rsidR="00F96211" w:rsidRPr="006E5244">
        <w:rPr>
          <w:rFonts w:ascii="Arial" w:hAnsi="Arial" w:cs="Arial"/>
          <w:shd w:val="clear" w:color="auto" w:fill="FFFFFF"/>
        </w:rPr>
        <w:t>to verify that an applicant</w:t>
      </w:r>
      <w:r w:rsidR="00BD5775" w:rsidRPr="006E5244">
        <w:rPr>
          <w:rFonts w:ascii="Arial" w:hAnsi="Arial" w:cs="Arial"/>
          <w:shd w:val="clear" w:color="auto" w:fill="FFFFFF"/>
        </w:rPr>
        <w:t xml:space="preserve"> meets these conditions is done entirely through the review of the applicant’s LCAP</w:t>
      </w:r>
      <w:r w:rsidR="006102ED">
        <w:rPr>
          <w:rFonts w:ascii="Arial" w:hAnsi="Arial" w:cs="Arial"/>
          <w:shd w:val="clear" w:color="auto" w:fill="FFFFFF"/>
        </w:rPr>
        <w:t xml:space="preserve"> that is</w:t>
      </w:r>
      <w:r w:rsidR="00F96211" w:rsidRPr="006E5244">
        <w:rPr>
          <w:rFonts w:ascii="Arial" w:hAnsi="Arial" w:cs="Arial"/>
          <w:shd w:val="clear" w:color="auto" w:fill="FFFFFF"/>
        </w:rPr>
        <w:t xml:space="preserve"> </w:t>
      </w:r>
      <w:r w:rsidR="00BD5775" w:rsidRPr="006E5244">
        <w:rPr>
          <w:rFonts w:ascii="Arial" w:hAnsi="Arial" w:cs="Arial"/>
          <w:shd w:val="clear" w:color="auto" w:fill="FFFFFF"/>
        </w:rPr>
        <w:t>submitted with their CTEIG application.</w:t>
      </w:r>
    </w:p>
    <w:p w14:paraId="3FEEAE88" w14:textId="3E586F20" w:rsidR="00330ABC" w:rsidRPr="00425845" w:rsidRDefault="00330ABC" w:rsidP="00271C6A">
      <w:pPr>
        <w:pStyle w:val="Heading2"/>
      </w:pPr>
      <w:bookmarkStart w:id="16" w:name="_Toc116282055"/>
      <w:r w:rsidRPr="00425845">
        <w:rPr>
          <w:rFonts w:eastAsia="Calibri"/>
        </w:rPr>
        <w:lastRenderedPageBreak/>
        <w:t xml:space="preserve">Appendix </w:t>
      </w:r>
      <w:r w:rsidR="00C049D4" w:rsidRPr="00425845">
        <w:rPr>
          <w:rFonts w:eastAsia="Calibri"/>
        </w:rPr>
        <w:t>A</w:t>
      </w:r>
      <w:r w:rsidR="0076375E">
        <w:rPr>
          <w:rFonts w:eastAsia="Calibri"/>
        </w:rPr>
        <w:t>: 202</w:t>
      </w:r>
      <w:r w:rsidR="006E2F47">
        <w:rPr>
          <w:rFonts w:eastAsia="Calibri"/>
        </w:rPr>
        <w:t>2</w:t>
      </w:r>
      <w:r w:rsidR="0076375E">
        <w:rPr>
          <w:rFonts w:eastAsia="Calibri"/>
        </w:rPr>
        <w:t>–2</w:t>
      </w:r>
      <w:r w:rsidR="006E2F47">
        <w:rPr>
          <w:rFonts w:eastAsia="Calibri"/>
        </w:rPr>
        <w:t>3</w:t>
      </w:r>
      <w:r w:rsidR="0076375E">
        <w:rPr>
          <w:rFonts w:eastAsia="Calibri"/>
        </w:rPr>
        <w:t xml:space="preserve"> </w:t>
      </w:r>
      <w:r w:rsidR="00E5491D" w:rsidRPr="006E2F47">
        <w:t>Career Technical Education Incentive Grant</w:t>
      </w:r>
      <w:r w:rsidR="0076375E">
        <w:rPr>
          <w:rFonts w:eastAsia="Calibri"/>
        </w:rPr>
        <w:t xml:space="preserve"> </w:t>
      </w:r>
      <w:r w:rsidR="002F0818">
        <w:rPr>
          <w:rFonts w:eastAsia="Calibri"/>
        </w:rPr>
        <w:t>Three-Year Budget</w:t>
      </w:r>
      <w:bookmarkEnd w:id="16"/>
    </w:p>
    <w:p w14:paraId="6EF18146" w14:textId="77777777" w:rsidR="006E2F47" w:rsidRPr="006E2F47" w:rsidRDefault="006E2F47" w:rsidP="006E2F47">
      <w:pPr>
        <w:spacing w:before="225"/>
        <w:ind w:left="220"/>
        <w:rPr>
          <w:rFonts w:ascii="Arial" w:hAnsi="Arial" w:cs="Arial"/>
          <w:b/>
        </w:rPr>
      </w:pPr>
      <w:r w:rsidRPr="006E2F47">
        <w:rPr>
          <w:rFonts w:ascii="Arial" w:hAnsi="Arial" w:cs="Arial"/>
          <w:b/>
        </w:rPr>
        <w:t>Attachment III: 2022–23 Career Technical Education Incentive Grant Three-Year Budget</w:t>
      </w:r>
    </w:p>
    <w:p w14:paraId="052328FE" w14:textId="133B7C78" w:rsidR="006E5244" w:rsidRDefault="006E2F47" w:rsidP="006E2F47">
      <w:pPr>
        <w:spacing w:before="225"/>
        <w:ind w:left="220"/>
        <w:rPr>
          <w:rFonts w:ascii="Arial" w:hAnsi="Arial" w:cs="Arial"/>
        </w:rPr>
      </w:pPr>
      <w:r w:rsidRPr="006E2F47">
        <w:rPr>
          <w:rFonts w:ascii="Arial" w:hAnsi="Arial" w:cs="Arial"/>
          <w:b/>
        </w:rPr>
        <w:t>Returning Applicants:</w:t>
      </w:r>
      <w:r w:rsidRPr="006E2F47">
        <w:rPr>
          <w:rFonts w:ascii="Arial" w:hAnsi="Arial" w:cs="Arial"/>
        </w:rPr>
        <w:t xml:space="preserve"> Enter the actual amount of funding that was spent on </w:t>
      </w:r>
      <w:r w:rsidR="003B6268">
        <w:rPr>
          <w:rFonts w:ascii="Arial" w:hAnsi="Arial" w:cs="Arial"/>
        </w:rPr>
        <w:t>c</w:t>
      </w:r>
      <w:r w:rsidRPr="006E2F47">
        <w:rPr>
          <w:rFonts w:ascii="Arial" w:hAnsi="Arial" w:cs="Arial"/>
        </w:rPr>
        <w:t xml:space="preserve">areer </w:t>
      </w:r>
      <w:r w:rsidR="003B6268">
        <w:rPr>
          <w:rFonts w:ascii="Arial" w:hAnsi="Arial" w:cs="Arial"/>
        </w:rPr>
        <w:t>t</w:t>
      </w:r>
      <w:r w:rsidRPr="006E2F47">
        <w:rPr>
          <w:rFonts w:ascii="Arial" w:hAnsi="Arial" w:cs="Arial"/>
        </w:rPr>
        <w:t xml:space="preserve">echnical </w:t>
      </w:r>
      <w:r w:rsidR="003B6268">
        <w:rPr>
          <w:rFonts w:ascii="Arial" w:hAnsi="Arial" w:cs="Arial"/>
        </w:rPr>
        <w:t>e</w:t>
      </w:r>
      <w:r w:rsidRPr="006E2F47">
        <w:rPr>
          <w:rFonts w:ascii="Arial" w:hAnsi="Arial" w:cs="Arial"/>
        </w:rPr>
        <w:t>ducation (CTE) programs by</w:t>
      </w:r>
      <w:r>
        <w:rPr>
          <w:rFonts w:ascii="Arial" w:hAnsi="Arial" w:cs="Arial"/>
        </w:rPr>
        <w:t xml:space="preserve"> </w:t>
      </w:r>
      <w:r w:rsidRPr="006E2F47">
        <w:rPr>
          <w:rFonts w:ascii="Arial" w:hAnsi="Arial" w:cs="Arial"/>
        </w:rPr>
        <w:t>your local educational agency (LEA), excluding CTE Incentive Grant (CTEIG) and the kindergarten through grade twelve component</w:t>
      </w:r>
      <w:r>
        <w:rPr>
          <w:rFonts w:ascii="Arial" w:hAnsi="Arial" w:cs="Arial"/>
        </w:rPr>
        <w:t xml:space="preserve"> </w:t>
      </w:r>
      <w:r w:rsidRPr="006E2F47">
        <w:rPr>
          <w:rFonts w:ascii="Arial" w:hAnsi="Arial" w:cs="Arial"/>
        </w:rPr>
        <w:t>of the Strong Workforce Program (K–12 SWP) funds, during fiscal year 2021–22 in the box provided</w:t>
      </w:r>
      <w:r w:rsidR="003B6268">
        <w:rPr>
          <w:rFonts w:ascii="Arial" w:hAnsi="Arial" w:cs="Arial"/>
        </w:rPr>
        <w:t>.</w:t>
      </w:r>
    </w:p>
    <w:p w14:paraId="51D038D3" w14:textId="3943E6D4" w:rsidR="006E2F47" w:rsidRPr="001A693A" w:rsidRDefault="006E2F47" w:rsidP="006E2F47">
      <w:pPr>
        <w:spacing w:before="225"/>
        <w:ind w:left="220"/>
        <w:rPr>
          <w:rFonts w:ascii="Arial" w:hAnsi="Arial" w:cs="Arial"/>
        </w:rPr>
      </w:pPr>
      <w:r w:rsidRPr="006E2F47">
        <w:rPr>
          <w:rFonts w:ascii="Arial" w:hAnsi="Arial" w:cs="Arial"/>
          <w:b/>
        </w:rPr>
        <w:t>New and Returning Applicants:</w:t>
      </w:r>
      <w:r w:rsidRPr="006E2F47">
        <w:rPr>
          <w:rFonts w:ascii="Arial" w:hAnsi="Arial" w:cs="Arial"/>
        </w:rPr>
        <w:t xml:space="preserve"> Enter the amount of funding budgeted for CTE programs by your LEA, excluding CTEIG and K–12 SWP funds, for fiscal years 2022–23, 2023–24, and 2024–2025 in the chart provided. Align with Local Control and Accountability Plan (LCAP) and specify source of all funds included and not included in LCAP.</w:t>
      </w:r>
    </w:p>
    <w:tbl>
      <w:tblPr>
        <w:tblStyle w:val="TableTheme"/>
        <w:tblW w:w="13143" w:type="dxa"/>
        <w:tblLayout w:type="fixed"/>
        <w:tblLook w:val="01E0" w:firstRow="1" w:lastRow="1" w:firstColumn="1" w:lastColumn="1" w:noHBand="0" w:noVBand="0"/>
        <w:tblDescription w:val="This table includes the Object Code and Line Item descriptions for different costs included in CTE budgets, as well as columns to report budgeted amounts for each Code/Item in the 2022–23, 2023–24, and 2024–25 budgets."/>
      </w:tblPr>
      <w:tblGrid>
        <w:gridCol w:w="4227"/>
        <w:gridCol w:w="1848"/>
        <w:gridCol w:w="1850"/>
        <w:gridCol w:w="1761"/>
        <w:gridCol w:w="3457"/>
      </w:tblGrid>
      <w:tr w:rsidR="006E5244" w:rsidRPr="001A693A" w14:paraId="3336CDCC" w14:textId="77777777" w:rsidTr="002C1461">
        <w:trPr>
          <w:cantSplit/>
          <w:trHeight w:val="635"/>
          <w:tblHeader/>
        </w:trPr>
        <w:tc>
          <w:tcPr>
            <w:tcW w:w="4227" w:type="dxa"/>
            <w:vAlign w:val="center"/>
          </w:tcPr>
          <w:p w14:paraId="30E83A38" w14:textId="77777777" w:rsidR="006E5244" w:rsidRPr="001A693A" w:rsidRDefault="006E5244" w:rsidP="00D516AD">
            <w:pPr>
              <w:pStyle w:val="TableParagraph"/>
              <w:spacing w:before="72"/>
              <w:ind w:left="861" w:right="722" w:firstLine="307"/>
              <w:jc w:val="center"/>
              <w:rPr>
                <w:sz w:val="24"/>
                <w:szCs w:val="24"/>
              </w:rPr>
            </w:pPr>
            <w:r w:rsidRPr="001A693A">
              <w:rPr>
                <w:sz w:val="24"/>
                <w:szCs w:val="24"/>
              </w:rPr>
              <w:t>Object Code and Description of Line Item</w:t>
            </w:r>
          </w:p>
        </w:tc>
        <w:tc>
          <w:tcPr>
            <w:tcW w:w="1848" w:type="dxa"/>
            <w:vAlign w:val="center"/>
          </w:tcPr>
          <w:p w14:paraId="580E402E" w14:textId="50836D07" w:rsidR="006E5244" w:rsidRPr="001A693A" w:rsidRDefault="006E5244" w:rsidP="00D516AD">
            <w:pPr>
              <w:pStyle w:val="TableParagraph"/>
              <w:spacing w:before="72"/>
              <w:ind w:left="532"/>
              <w:jc w:val="center"/>
              <w:rPr>
                <w:sz w:val="24"/>
                <w:szCs w:val="24"/>
              </w:rPr>
            </w:pPr>
            <w:r w:rsidRPr="001A693A">
              <w:rPr>
                <w:sz w:val="24"/>
                <w:szCs w:val="24"/>
              </w:rPr>
              <w:t>202</w:t>
            </w:r>
            <w:r w:rsidR="006E2F47">
              <w:rPr>
                <w:sz w:val="24"/>
                <w:szCs w:val="24"/>
              </w:rPr>
              <w:t>2</w:t>
            </w:r>
            <w:r w:rsidRPr="001A693A">
              <w:rPr>
                <w:sz w:val="24"/>
                <w:szCs w:val="24"/>
              </w:rPr>
              <w:t>–2</w:t>
            </w:r>
            <w:r w:rsidR="006E2F47">
              <w:rPr>
                <w:sz w:val="24"/>
                <w:szCs w:val="24"/>
              </w:rPr>
              <w:t>3</w:t>
            </w:r>
          </w:p>
          <w:p w14:paraId="35C10A5A" w14:textId="77777777" w:rsidR="006E5244" w:rsidRPr="001A693A" w:rsidRDefault="006E5244" w:rsidP="00D516AD">
            <w:pPr>
              <w:pStyle w:val="TableParagraph"/>
              <w:ind w:left="619"/>
              <w:jc w:val="center"/>
              <w:rPr>
                <w:sz w:val="24"/>
                <w:szCs w:val="24"/>
              </w:rPr>
            </w:pPr>
            <w:r w:rsidRPr="001A693A">
              <w:rPr>
                <w:sz w:val="24"/>
                <w:szCs w:val="24"/>
              </w:rPr>
              <w:t>Budget</w:t>
            </w:r>
          </w:p>
        </w:tc>
        <w:tc>
          <w:tcPr>
            <w:tcW w:w="1850" w:type="dxa"/>
            <w:vAlign w:val="center"/>
          </w:tcPr>
          <w:p w14:paraId="49B6F490" w14:textId="34D36C34" w:rsidR="006E5244" w:rsidRPr="001A693A" w:rsidRDefault="006E5244" w:rsidP="00D516AD">
            <w:pPr>
              <w:pStyle w:val="TableParagraph"/>
              <w:spacing w:before="72"/>
              <w:ind w:left="532"/>
              <w:jc w:val="center"/>
              <w:rPr>
                <w:sz w:val="24"/>
                <w:szCs w:val="24"/>
              </w:rPr>
            </w:pPr>
            <w:r w:rsidRPr="001A693A">
              <w:rPr>
                <w:sz w:val="24"/>
                <w:szCs w:val="24"/>
              </w:rPr>
              <w:t>202</w:t>
            </w:r>
            <w:r w:rsidR="006E2F47">
              <w:rPr>
                <w:sz w:val="24"/>
                <w:szCs w:val="24"/>
              </w:rPr>
              <w:t>3</w:t>
            </w:r>
            <w:r w:rsidRPr="001A693A">
              <w:rPr>
                <w:sz w:val="24"/>
                <w:szCs w:val="24"/>
              </w:rPr>
              <w:t>–2</w:t>
            </w:r>
            <w:r w:rsidR="006E2F47">
              <w:rPr>
                <w:sz w:val="24"/>
                <w:szCs w:val="24"/>
              </w:rPr>
              <w:t>4</w:t>
            </w:r>
          </w:p>
          <w:p w14:paraId="0AD1184D" w14:textId="77777777" w:rsidR="006E5244" w:rsidRPr="001A693A" w:rsidRDefault="006E5244" w:rsidP="00D516AD">
            <w:pPr>
              <w:pStyle w:val="TableParagraph"/>
              <w:ind w:left="618"/>
              <w:jc w:val="center"/>
              <w:rPr>
                <w:sz w:val="24"/>
                <w:szCs w:val="24"/>
              </w:rPr>
            </w:pPr>
            <w:r w:rsidRPr="001A693A">
              <w:rPr>
                <w:sz w:val="24"/>
                <w:szCs w:val="24"/>
              </w:rPr>
              <w:t>Budget</w:t>
            </w:r>
          </w:p>
        </w:tc>
        <w:tc>
          <w:tcPr>
            <w:tcW w:w="1761" w:type="dxa"/>
            <w:vAlign w:val="center"/>
          </w:tcPr>
          <w:p w14:paraId="129DE93D" w14:textId="4592C0E9" w:rsidR="006E5244" w:rsidRPr="001A693A" w:rsidRDefault="006E5244" w:rsidP="00D516AD">
            <w:pPr>
              <w:pStyle w:val="TableParagraph"/>
              <w:spacing w:before="72"/>
              <w:ind w:left="487"/>
              <w:jc w:val="center"/>
              <w:rPr>
                <w:sz w:val="24"/>
                <w:szCs w:val="24"/>
              </w:rPr>
            </w:pPr>
            <w:r w:rsidRPr="001A693A">
              <w:rPr>
                <w:sz w:val="24"/>
                <w:szCs w:val="24"/>
              </w:rPr>
              <w:t>202</w:t>
            </w:r>
            <w:r w:rsidR="006E2F47">
              <w:rPr>
                <w:sz w:val="24"/>
                <w:szCs w:val="24"/>
              </w:rPr>
              <w:t>4</w:t>
            </w:r>
            <w:r w:rsidRPr="001A693A">
              <w:rPr>
                <w:sz w:val="24"/>
                <w:szCs w:val="24"/>
              </w:rPr>
              <w:t>–2</w:t>
            </w:r>
            <w:r w:rsidR="006E2F47">
              <w:rPr>
                <w:sz w:val="24"/>
                <w:szCs w:val="24"/>
              </w:rPr>
              <w:t>5</w:t>
            </w:r>
          </w:p>
          <w:p w14:paraId="4F098387" w14:textId="77777777" w:rsidR="006E5244" w:rsidRPr="001A693A" w:rsidRDefault="006E5244" w:rsidP="00D516AD">
            <w:pPr>
              <w:pStyle w:val="TableParagraph"/>
              <w:ind w:left="573"/>
              <w:jc w:val="center"/>
              <w:rPr>
                <w:sz w:val="24"/>
                <w:szCs w:val="24"/>
              </w:rPr>
            </w:pPr>
            <w:r w:rsidRPr="001A693A">
              <w:rPr>
                <w:sz w:val="24"/>
                <w:szCs w:val="24"/>
              </w:rPr>
              <w:t>Budget</w:t>
            </w:r>
          </w:p>
        </w:tc>
        <w:tc>
          <w:tcPr>
            <w:tcW w:w="3457" w:type="dxa"/>
            <w:vAlign w:val="center"/>
          </w:tcPr>
          <w:p w14:paraId="3B07BEFD" w14:textId="13DB798B" w:rsidR="006E5244" w:rsidRPr="001A693A" w:rsidRDefault="006E5244" w:rsidP="00D516AD">
            <w:pPr>
              <w:pStyle w:val="TableParagraph"/>
              <w:spacing w:before="211"/>
              <w:ind w:left="206"/>
              <w:jc w:val="center"/>
              <w:rPr>
                <w:sz w:val="24"/>
                <w:szCs w:val="24"/>
              </w:rPr>
            </w:pPr>
            <w:r w:rsidRPr="001A693A">
              <w:rPr>
                <w:sz w:val="24"/>
                <w:szCs w:val="24"/>
              </w:rPr>
              <w:t>Sources of funds</w:t>
            </w:r>
          </w:p>
        </w:tc>
      </w:tr>
      <w:tr w:rsidR="00D516AD" w:rsidRPr="001A693A" w14:paraId="77394455" w14:textId="77777777" w:rsidTr="002C1461">
        <w:trPr>
          <w:cantSplit/>
          <w:trHeight w:val="389"/>
          <w:tblHeader/>
        </w:trPr>
        <w:tc>
          <w:tcPr>
            <w:tcW w:w="4227" w:type="dxa"/>
            <w:vAlign w:val="center"/>
          </w:tcPr>
          <w:p w14:paraId="5881D570" w14:textId="77777777" w:rsidR="00D516AD" w:rsidRPr="001A693A" w:rsidRDefault="00D516AD" w:rsidP="00D516AD">
            <w:pPr>
              <w:pStyle w:val="TableParagraph"/>
              <w:ind w:left="213"/>
              <w:jc w:val="center"/>
              <w:rPr>
                <w:sz w:val="24"/>
                <w:szCs w:val="24"/>
              </w:rPr>
            </w:pPr>
            <w:r w:rsidRPr="001A693A">
              <w:rPr>
                <w:sz w:val="24"/>
                <w:szCs w:val="24"/>
              </w:rPr>
              <w:t>1000 – Certificated Salaries</w:t>
            </w:r>
          </w:p>
        </w:tc>
        <w:tc>
          <w:tcPr>
            <w:tcW w:w="1848" w:type="dxa"/>
            <w:vAlign w:val="center"/>
          </w:tcPr>
          <w:p w14:paraId="07E60AB9" w14:textId="05BC2B94" w:rsidR="00D516AD" w:rsidRPr="001A693A" w:rsidRDefault="00D516AD" w:rsidP="00D516AD">
            <w:pPr>
              <w:pStyle w:val="TableParagraph"/>
              <w:jc w:val="center"/>
              <w:rPr>
                <w:sz w:val="24"/>
                <w:szCs w:val="24"/>
              </w:rPr>
            </w:pPr>
            <w:r>
              <w:rPr>
                <w:sz w:val="24"/>
                <w:szCs w:val="24"/>
              </w:rPr>
              <w:t>$0.00</w:t>
            </w:r>
          </w:p>
        </w:tc>
        <w:tc>
          <w:tcPr>
            <w:tcW w:w="1850" w:type="dxa"/>
            <w:vAlign w:val="center"/>
          </w:tcPr>
          <w:p w14:paraId="1F36174D" w14:textId="52129DCB" w:rsidR="00D516AD" w:rsidRPr="001A693A" w:rsidRDefault="00D516AD" w:rsidP="00D516AD">
            <w:pPr>
              <w:pStyle w:val="TableParagraph"/>
              <w:jc w:val="center"/>
              <w:rPr>
                <w:sz w:val="24"/>
                <w:szCs w:val="24"/>
              </w:rPr>
            </w:pPr>
            <w:r>
              <w:rPr>
                <w:sz w:val="24"/>
                <w:szCs w:val="24"/>
              </w:rPr>
              <w:t>$0.00</w:t>
            </w:r>
          </w:p>
        </w:tc>
        <w:tc>
          <w:tcPr>
            <w:tcW w:w="1761" w:type="dxa"/>
            <w:vAlign w:val="center"/>
          </w:tcPr>
          <w:p w14:paraId="7928B25F" w14:textId="53B71AEF" w:rsidR="00D516AD" w:rsidRPr="001A693A" w:rsidRDefault="00D516AD" w:rsidP="00D516AD">
            <w:pPr>
              <w:pStyle w:val="TableParagraph"/>
              <w:jc w:val="center"/>
              <w:rPr>
                <w:sz w:val="24"/>
                <w:szCs w:val="24"/>
              </w:rPr>
            </w:pPr>
            <w:r>
              <w:rPr>
                <w:sz w:val="24"/>
                <w:szCs w:val="24"/>
              </w:rPr>
              <w:t>$0.00</w:t>
            </w:r>
          </w:p>
        </w:tc>
        <w:tc>
          <w:tcPr>
            <w:tcW w:w="3457" w:type="dxa"/>
            <w:vAlign w:val="center"/>
          </w:tcPr>
          <w:p w14:paraId="294FD8B4" w14:textId="4CA0E873" w:rsidR="00D516AD" w:rsidRPr="001A693A" w:rsidRDefault="00D516AD" w:rsidP="00D516AD">
            <w:pPr>
              <w:pStyle w:val="TableParagraph"/>
              <w:jc w:val="center"/>
              <w:rPr>
                <w:sz w:val="24"/>
                <w:szCs w:val="24"/>
              </w:rPr>
            </w:pPr>
            <w:r>
              <w:rPr>
                <w:sz w:val="24"/>
                <w:szCs w:val="24"/>
              </w:rPr>
              <w:t>[Source of Funds Description]</w:t>
            </w:r>
          </w:p>
        </w:tc>
      </w:tr>
      <w:tr w:rsidR="00D516AD" w:rsidRPr="001A693A" w14:paraId="4C4B58BB" w14:textId="77777777" w:rsidTr="002C1461">
        <w:trPr>
          <w:cantSplit/>
          <w:trHeight w:val="389"/>
          <w:tblHeader/>
        </w:trPr>
        <w:tc>
          <w:tcPr>
            <w:tcW w:w="4227" w:type="dxa"/>
            <w:vAlign w:val="center"/>
          </w:tcPr>
          <w:p w14:paraId="6AFF7400" w14:textId="77777777" w:rsidR="00D516AD" w:rsidRPr="001A693A" w:rsidRDefault="00D516AD" w:rsidP="00D516AD">
            <w:pPr>
              <w:pStyle w:val="TableParagraph"/>
              <w:ind w:left="213"/>
              <w:jc w:val="center"/>
              <w:rPr>
                <w:sz w:val="24"/>
                <w:szCs w:val="24"/>
              </w:rPr>
            </w:pPr>
            <w:r w:rsidRPr="001A693A">
              <w:rPr>
                <w:sz w:val="24"/>
                <w:szCs w:val="24"/>
              </w:rPr>
              <w:t>2000 – Classified Salaries</w:t>
            </w:r>
          </w:p>
        </w:tc>
        <w:tc>
          <w:tcPr>
            <w:tcW w:w="1848" w:type="dxa"/>
            <w:vAlign w:val="center"/>
          </w:tcPr>
          <w:p w14:paraId="65121F68" w14:textId="4485784B" w:rsidR="00D516AD" w:rsidRPr="001A693A" w:rsidRDefault="00D516AD" w:rsidP="00D516AD">
            <w:pPr>
              <w:pStyle w:val="TableParagraph"/>
              <w:jc w:val="center"/>
              <w:rPr>
                <w:sz w:val="24"/>
                <w:szCs w:val="24"/>
              </w:rPr>
            </w:pPr>
            <w:r>
              <w:rPr>
                <w:sz w:val="24"/>
                <w:szCs w:val="24"/>
              </w:rPr>
              <w:t>$0.00</w:t>
            </w:r>
          </w:p>
        </w:tc>
        <w:tc>
          <w:tcPr>
            <w:tcW w:w="1850" w:type="dxa"/>
            <w:vAlign w:val="center"/>
          </w:tcPr>
          <w:p w14:paraId="034BB8EB" w14:textId="3F2A46D0" w:rsidR="00D516AD" w:rsidRPr="001A693A" w:rsidRDefault="00D516AD" w:rsidP="00D516AD">
            <w:pPr>
              <w:pStyle w:val="TableParagraph"/>
              <w:jc w:val="center"/>
              <w:rPr>
                <w:sz w:val="24"/>
                <w:szCs w:val="24"/>
              </w:rPr>
            </w:pPr>
            <w:r>
              <w:rPr>
                <w:sz w:val="24"/>
                <w:szCs w:val="24"/>
              </w:rPr>
              <w:t>$0.00</w:t>
            </w:r>
          </w:p>
        </w:tc>
        <w:tc>
          <w:tcPr>
            <w:tcW w:w="1761" w:type="dxa"/>
            <w:vAlign w:val="center"/>
          </w:tcPr>
          <w:p w14:paraId="0B01C493" w14:textId="754328EE" w:rsidR="00D516AD" w:rsidRPr="001A693A" w:rsidRDefault="00D516AD" w:rsidP="00D516AD">
            <w:pPr>
              <w:pStyle w:val="TableParagraph"/>
              <w:jc w:val="center"/>
              <w:rPr>
                <w:sz w:val="24"/>
                <w:szCs w:val="24"/>
              </w:rPr>
            </w:pPr>
            <w:r>
              <w:rPr>
                <w:sz w:val="24"/>
                <w:szCs w:val="24"/>
              </w:rPr>
              <w:t>$0.00</w:t>
            </w:r>
          </w:p>
        </w:tc>
        <w:tc>
          <w:tcPr>
            <w:tcW w:w="3457" w:type="dxa"/>
            <w:vAlign w:val="center"/>
          </w:tcPr>
          <w:p w14:paraId="5DDEED88" w14:textId="793BAEAA" w:rsidR="00D516AD" w:rsidRPr="001A693A" w:rsidRDefault="00D516AD" w:rsidP="00D516AD">
            <w:pPr>
              <w:pStyle w:val="TableParagraph"/>
              <w:jc w:val="center"/>
              <w:rPr>
                <w:sz w:val="24"/>
                <w:szCs w:val="24"/>
              </w:rPr>
            </w:pPr>
            <w:r>
              <w:rPr>
                <w:sz w:val="24"/>
                <w:szCs w:val="24"/>
              </w:rPr>
              <w:t>[Source of Funds Description]</w:t>
            </w:r>
          </w:p>
        </w:tc>
      </w:tr>
      <w:tr w:rsidR="00D516AD" w:rsidRPr="001A693A" w14:paraId="42C5D3D4" w14:textId="77777777" w:rsidTr="002C1461">
        <w:trPr>
          <w:cantSplit/>
          <w:trHeight w:val="389"/>
          <w:tblHeader/>
        </w:trPr>
        <w:tc>
          <w:tcPr>
            <w:tcW w:w="4227" w:type="dxa"/>
            <w:vAlign w:val="center"/>
          </w:tcPr>
          <w:p w14:paraId="0197E2CB" w14:textId="77777777" w:rsidR="00D516AD" w:rsidRPr="001A693A" w:rsidRDefault="00D516AD" w:rsidP="00D516AD">
            <w:pPr>
              <w:pStyle w:val="TableParagraph"/>
              <w:ind w:left="213"/>
              <w:jc w:val="center"/>
              <w:rPr>
                <w:sz w:val="24"/>
                <w:szCs w:val="24"/>
              </w:rPr>
            </w:pPr>
            <w:r w:rsidRPr="001A693A">
              <w:rPr>
                <w:sz w:val="24"/>
                <w:szCs w:val="24"/>
              </w:rPr>
              <w:t>3000 – Employee Benefits</w:t>
            </w:r>
          </w:p>
        </w:tc>
        <w:tc>
          <w:tcPr>
            <w:tcW w:w="1848" w:type="dxa"/>
            <w:vAlign w:val="center"/>
          </w:tcPr>
          <w:p w14:paraId="3AE42597" w14:textId="39032222" w:rsidR="00D516AD" w:rsidRPr="001A693A" w:rsidRDefault="00D516AD" w:rsidP="00D516AD">
            <w:pPr>
              <w:pStyle w:val="TableParagraph"/>
              <w:jc w:val="center"/>
              <w:rPr>
                <w:sz w:val="24"/>
                <w:szCs w:val="24"/>
              </w:rPr>
            </w:pPr>
            <w:r>
              <w:rPr>
                <w:sz w:val="24"/>
                <w:szCs w:val="24"/>
              </w:rPr>
              <w:t>$0.00</w:t>
            </w:r>
          </w:p>
        </w:tc>
        <w:tc>
          <w:tcPr>
            <w:tcW w:w="1850" w:type="dxa"/>
            <w:vAlign w:val="center"/>
          </w:tcPr>
          <w:p w14:paraId="5D82F343" w14:textId="3025ACAF" w:rsidR="00D516AD" w:rsidRPr="001A693A" w:rsidRDefault="00D516AD" w:rsidP="00D516AD">
            <w:pPr>
              <w:pStyle w:val="TableParagraph"/>
              <w:jc w:val="center"/>
              <w:rPr>
                <w:sz w:val="24"/>
                <w:szCs w:val="24"/>
              </w:rPr>
            </w:pPr>
            <w:r>
              <w:rPr>
                <w:sz w:val="24"/>
                <w:szCs w:val="24"/>
              </w:rPr>
              <w:t>$0.00</w:t>
            </w:r>
          </w:p>
        </w:tc>
        <w:tc>
          <w:tcPr>
            <w:tcW w:w="1761" w:type="dxa"/>
            <w:vAlign w:val="center"/>
          </w:tcPr>
          <w:p w14:paraId="03BB3BBE" w14:textId="16B3F892" w:rsidR="00D516AD" w:rsidRPr="001A693A" w:rsidRDefault="00D516AD" w:rsidP="00D516AD">
            <w:pPr>
              <w:pStyle w:val="TableParagraph"/>
              <w:jc w:val="center"/>
              <w:rPr>
                <w:sz w:val="24"/>
                <w:szCs w:val="24"/>
              </w:rPr>
            </w:pPr>
            <w:r>
              <w:rPr>
                <w:sz w:val="24"/>
                <w:szCs w:val="24"/>
              </w:rPr>
              <w:t>$0.00</w:t>
            </w:r>
          </w:p>
        </w:tc>
        <w:tc>
          <w:tcPr>
            <w:tcW w:w="3457" w:type="dxa"/>
            <w:vAlign w:val="center"/>
          </w:tcPr>
          <w:p w14:paraId="40EF98CD" w14:textId="01A89B82" w:rsidR="00D516AD" w:rsidRPr="001A693A" w:rsidRDefault="00D516AD" w:rsidP="00D516AD">
            <w:pPr>
              <w:pStyle w:val="TableParagraph"/>
              <w:jc w:val="center"/>
              <w:rPr>
                <w:sz w:val="24"/>
                <w:szCs w:val="24"/>
              </w:rPr>
            </w:pPr>
            <w:r>
              <w:rPr>
                <w:sz w:val="24"/>
                <w:szCs w:val="24"/>
              </w:rPr>
              <w:t>[Source of Funds Description]</w:t>
            </w:r>
          </w:p>
        </w:tc>
      </w:tr>
      <w:tr w:rsidR="00D516AD" w:rsidRPr="001A693A" w14:paraId="528804EB" w14:textId="77777777" w:rsidTr="002C1461">
        <w:trPr>
          <w:cantSplit/>
          <w:trHeight w:val="389"/>
          <w:tblHeader/>
        </w:trPr>
        <w:tc>
          <w:tcPr>
            <w:tcW w:w="4227" w:type="dxa"/>
            <w:vAlign w:val="center"/>
          </w:tcPr>
          <w:p w14:paraId="3A5C4050" w14:textId="77777777" w:rsidR="00D516AD" w:rsidRPr="001A693A" w:rsidRDefault="00D516AD" w:rsidP="00D516AD">
            <w:pPr>
              <w:pStyle w:val="TableParagraph"/>
              <w:ind w:left="213"/>
              <w:jc w:val="center"/>
              <w:rPr>
                <w:sz w:val="24"/>
                <w:szCs w:val="24"/>
              </w:rPr>
            </w:pPr>
            <w:r w:rsidRPr="001A693A">
              <w:rPr>
                <w:sz w:val="24"/>
                <w:szCs w:val="24"/>
              </w:rPr>
              <w:t>4000 – Books and Supplies</w:t>
            </w:r>
          </w:p>
        </w:tc>
        <w:tc>
          <w:tcPr>
            <w:tcW w:w="1848" w:type="dxa"/>
            <w:vAlign w:val="center"/>
          </w:tcPr>
          <w:p w14:paraId="001BFDCE" w14:textId="4A3D2C41" w:rsidR="00D516AD" w:rsidRPr="001A693A" w:rsidRDefault="00D516AD" w:rsidP="00D516AD">
            <w:pPr>
              <w:pStyle w:val="TableParagraph"/>
              <w:jc w:val="center"/>
              <w:rPr>
                <w:sz w:val="24"/>
                <w:szCs w:val="24"/>
              </w:rPr>
            </w:pPr>
            <w:r>
              <w:rPr>
                <w:sz w:val="24"/>
                <w:szCs w:val="24"/>
              </w:rPr>
              <w:t>$0.00</w:t>
            </w:r>
          </w:p>
        </w:tc>
        <w:tc>
          <w:tcPr>
            <w:tcW w:w="1850" w:type="dxa"/>
            <w:vAlign w:val="center"/>
          </w:tcPr>
          <w:p w14:paraId="4CE478EA" w14:textId="295A1C02" w:rsidR="00D516AD" w:rsidRPr="001A693A" w:rsidRDefault="00D516AD" w:rsidP="00D516AD">
            <w:pPr>
              <w:pStyle w:val="TableParagraph"/>
              <w:jc w:val="center"/>
              <w:rPr>
                <w:sz w:val="24"/>
                <w:szCs w:val="24"/>
              </w:rPr>
            </w:pPr>
            <w:r>
              <w:rPr>
                <w:sz w:val="24"/>
                <w:szCs w:val="24"/>
              </w:rPr>
              <w:t>$0.00</w:t>
            </w:r>
          </w:p>
        </w:tc>
        <w:tc>
          <w:tcPr>
            <w:tcW w:w="1761" w:type="dxa"/>
            <w:vAlign w:val="center"/>
          </w:tcPr>
          <w:p w14:paraId="73FF81DF" w14:textId="40E3D19C" w:rsidR="00D516AD" w:rsidRPr="001A693A" w:rsidRDefault="00D516AD" w:rsidP="00D516AD">
            <w:pPr>
              <w:pStyle w:val="TableParagraph"/>
              <w:jc w:val="center"/>
              <w:rPr>
                <w:sz w:val="24"/>
                <w:szCs w:val="24"/>
              </w:rPr>
            </w:pPr>
            <w:r>
              <w:rPr>
                <w:sz w:val="24"/>
                <w:szCs w:val="24"/>
              </w:rPr>
              <w:t>$0.00</w:t>
            </w:r>
          </w:p>
        </w:tc>
        <w:tc>
          <w:tcPr>
            <w:tcW w:w="3457" w:type="dxa"/>
            <w:vAlign w:val="center"/>
          </w:tcPr>
          <w:p w14:paraId="2C264093" w14:textId="3C62857F" w:rsidR="00D516AD" w:rsidRPr="001A693A" w:rsidRDefault="00D516AD" w:rsidP="00D516AD">
            <w:pPr>
              <w:pStyle w:val="TableParagraph"/>
              <w:jc w:val="center"/>
              <w:rPr>
                <w:sz w:val="24"/>
                <w:szCs w:val="24"/>
              </w:rPr>
            </w:pPr>
            <w:r>
              <w:rPr>
                <w:sz w:val="24"/>
                <w:szCs w:val="24"/>
              </w:rPr>
              <w:t>[Source of Funds Description]</w:t>
            </w:r>
          </w:p>
        </w:tc>
      </w:tr>
      <w:tr w:rsidR="00D516AD" w:rsidRPr="001A693A" w14:paraId="46B2ECEA" w14:textId="77777777" w:rsidTr="002C1461">
        <w:trPr>
          <w:cantSplit/>
          <w:trHeight w:val="389"/>
          <w:tblHeader/>
        </w:trPr>
        <w:tc>
          <w:tcPr>
            <w:tcW w:w="4227" w:type="dxa"/>
            <w:vAlign w:val="center"/>
          </w:tcPr>
          <w:p w14:paraId="47318A15" w14:textId="77777777" w:rsidR="00D516AD" w:rsidRPr="001A693A" w:rsidRDefault="00D516AD" w:rsidP="00D516AD">
            <w:pPr>
              <w:pStyle w:val="TableParagraph"/>
              <w:ind w:left="213"/>
              <w:jc w:val="center"/>
              <w:rPr>
                <w:sz w:val="24"/>
                <w:szCs w:val="24"/>
              </w:rPr>
            </w:pPr>
            <w:r w:rsidRPr="001A693A">
              <w:rPr>
                <w:sz w:val="24"/>
                <w:szCs w:val="24"/>
              </w:rPr>
              <w:t>5000 – Services and Other Operating Expenditures</w:t>
            </w:r>
          </w:p>
        </w:tc>
        <w:tc>
          <w:tcPr>
            <w:tcW w:w="1848" w:type="dxa"/>
            <w:vAlign w:val="center"/>
          </w:tcPr>
          <w:p w14:paraId="528B11E2" w14:textId="187D3BFF" w:rsidR="00D516AD" w:rsidRPr="001A693A" w:rsidRDefault="00D516AD" w:rsidP="00D516AD">
            <w:pPr>
              <w:pStyle w:val="TableParagraph"/>
              <w:jc w:val="center"/>
              <w:rPr>
                <w:sz w:val="24"/>
                <w:szCs w:val="24"/>
              </w:rPr>
            </w:pPr>
            <w:r>
              <w:rPr>
                <w:sz w:val="24"/>
                <w:szCs w:val="24"/>
              </w:rPr>
              <w:t>$0.00</w:t>
            </w:r>
          </w:p>
        </w:tc>
        <w:tc>
          <w:tcPr>
            <w:tcW w:w="1850" w:type="dxa"/>
            <w:vAlign w:val="center"/>
          </w:tcPr>
          <w:p w14:paraId="3C39E52A" w14:textId="7B67E274" w:rsidR="00D516AD" w:rsidRPr="001A693A" w:rsidRDefault="00D516AD" w:rsidP="00D516AD">
            <w:pPr>
              <w:pStyle w:val="TableParagraph"/>
              <w:jc w:val="center"/>
              <w:rPr>
                <w:sz w:val="24"/>
                <w:szCs w:val="24"/>
              </w:rPr>
            </w:pPr>
            <w:r>
              <w:rPr>
                <w:sz w:val="24"/>
                <w:szCs w:val="24"/>
              </w:rPr>
              <w:t>$0.00</w:t>
            </w:r>
          </w:p>
        </w:tc>
        <w:tc>
          <w:tcPr>
            <w:tcW w:w="1761" w:type="dxa"/>
            <w:vAlign w:val="center"/>
          </w:tcPr>
          <w:p w14:paraId="141962D6" w14:textId="1F13D0F7" w:rsidR="00D516AD" w:rsidRPr="001A693A" w:rsidRDefault="00D516AD" w:rsidP="00D516AD">
            <w:pPr>
              <w:pStyle w:val="TableParagraph"/>
              <w:jc w:val="center"/>
              <w:rPr>
                <w:sz w:val="24"/>
                <w:szCs w:val="24"/>
              </w:rPr>
            </w:pPr>
            <w:r>
              <w:rPr>
                <w:sz w:val="24"/>
                <w:szCs w:val="24"/>
              </w:rPr>
              <w:t>$0.00</w:t>
            </w:r>
          </w:p>
        </w:tc>
        <w:tc>
          <w:tcPr>
            <w:tcW w:w="3457" w:type="dxa"/>
            <w:vAlign w:val="center"/>
          </w:tcPr>
          <w:p w14:paraId="2CF178C5" w14:textId="5A62B16A" w:rsidR="00D516AD" w:rsidRPr="001A693A" w:rsidRDefault="00D516AD" w:rsidP="00D516AD">
            <w:pPr>
              <w:pStyle w:val="TableParagraph"/>
              <w:jc w:val="center"/>
              <w:rPr>
                <w:sz w:val="24"/>
                <w:szCs w:val="24"/>
              </w:rPr>
            </w:pPr>
            <w:r>
              <w:rPr>
                <w:sz w:val="24"/>
                <w:szCs w:val="24"/>
              </w:rPr>
              <w:t>[Source of Funds Description]</w:t>
            </w:r>
          </w:p>
        </w:tc>
      </w:tr>
      <w:tr w:rsidR="00D516AD" w:rsidRPr="001A693A" w14:paraId="16009BC8" w14:textId="77777777" w:rsidTr="002C1461">
        <w:trPr>
          <w:cantSplit/>
          <w:trHeight w:val="389"/>
          <w:tblHeader/>
        </w:trPr>
        <w:tc>
          <w:tcPr>
            <w:tcW w:w="4227" w:type="dxa"/>
            <w:vAlign w:val="center"/>
          </w:tcPr>
          <w:p w14:paraId="5937B48F" w14:textId="77777777" w:rsidR="00D516AD" w:rsidRPr="001A693A" w:rsidRDefault="00D516AD" w:rsidP="00D516AD">
            <w:pPr>
              <w:pStyle w:val="TableParagraph"/>
              <w:ind w:left="213"/>
              <w:jc w:val="center"/>
              <w:rPr>
                <w:sz w:val="24"/>
                <w:szCs w:val="24"/>
              </w:rPr>
            </w:pPr>
            <w:r w:rsidRPr="001A693A">
              <w:rPr>
                <w:sz w:val="24"/>
                <w:szCs w:val="24"/>
              </w:rPr>
              <w:t>6000 – Capital Outlay</w:t>
            </w:r>
          </w:p>
        </w:tc>
        <w:tc>
          <w:tcPr>
            <w:tcW w:w="1848" w:type="dxa"/>
            <w:vAlign w:val="center"/>
          </w:tcPr>
          <w:p w14:paraId="4916ACD6" w14:textId="073CF8AE" w:rsidR="00D516AD" w:rsidRPr="001A693A" w:rsidRDefault="00D516AD" w:rsidP="00D516AD">
            <w:pPr>
              <w:pStyle w:val="TableParagraph"/>
              <w:jc w:val="center"/>
              <w:rPr>
                <w:sz w:val="24"/>
                <w:szCs w:val="24"/>
              </w:rPr>
            </w:pPr>
            <w:r>
              <w:rPr>
                <w:sz w:val="24"/>
                <w:szCs w:val="24"/>
              </w:rPr>
              <w:t>$0.00</w:t>
            </w:r>
          </w:p>
        </w:tc>
        <w:tc>
          <w:tcPr>
            <w:tcW w:w="1850" w:type="dxa"/>
            <w:vAlign w:val="center"/>
          </w:tcPr>
          <w:p w14:paraId="05F1743F" w14:textId="5363A11E" w:rsidR="00D516AD" w:rsidRPr="001A693A" w:rsidRDefault="00D516AD" w:rsidP="00D516AD">
            <w:pPr>
              <w:pStyle w:val="TableParagraph"/>
              <w:jc w:val="center"/>
              <w:rPr>
                <w:sz w:val="24"/>
                <w:szCs w:val="24"/>
              </w:rPr>
            </w:pPr>
            <w:r>
              <w:rPr>
                <w:sz w:val="24"/>
                <w:szCs w:val="24"/>
              </w:rPr>
              <w:t>$0.00</w:t>
            </w:r>
          </w:p>
        </w:tc>
        <w:tc>
          <w:tcPr>
            <w:tcW w:w="1761" w:type="dxa"/>
            <w:vAlign w:val="center"/>
          </w:tcPr>
          <w:p w14:paraId="1B055AF2" w14:textId="6E0641D9" w:rsidR="00D516AD" w:rsidRPr="001A693A" w:rsidRDefault="00D516AD" w:rsidP="00D516AD">
            <w:pPr>
              <w:pStyle w:val="TableParagraph"/>
              <w:jc w:val="center"/>
              <w:rPr>
                <w:sz w:val="24"/>
                <w:szCs w:val="24"/>
              </w:rPr>
            </w:pPr>
            <w:r>
              <w:rPr>
                <w:sz w:val="24"/>
                <w:szCs w:val="24"/>
              </w:rPr>
              <w:t>$0.00</w:t>
            </w:r>
          </w:p>
        </w:tc>
        <w:tc>
          <w:tcPr>
            <w:tcW w:w="3457" w:type="dxa"/>
            <w:vAlign w:val="center"/>
          </w:tcPr>
          <w:p w14:paraId="377EC963" w14:textId="173D224D" w:rsidR="00D516AD" w:rsidRPr="001A693A" w:rsidRDefault="00D516AD" w:rsidP="00D516AD">
            <w:pPr>
              <w:pStyle w:val="TableParagraph"/>
              <w:jc w:val="center"/>
              <w:rPr>
                <w:sz w:val="24"/>
                <w:szCs w:val="24"/>
              </w:rPr>
            </w:pPr>
            <w:r>
              <w:rPr>
                <w:sz w:val="24"/>
                <w:szCs w:val="24"/>
              </w:rPr>
              <w:t>[Source of Funds Description]</w:t>
            </w:r>
          </w:p>
        </w:tc>
      </w:tr>
      <w:tr w:rsidR="00D516AD" w:rsidRPr="001A693A" w14:paraId="66BF5CC6" w14:textId="77777777" w:rsidTr="002C1461">
        <w:trPr>
          <w:cantSplit/>
          <w:trHeight w:val="389"/>
          <w:tblHeader/>
        </w:trPr>
        <w:tc>
          <w:tcPr>
            <w:tcW w:w="4227" w:type="dxa"/>
            <w:vAlign w:val="center"/>
          </w:tcPr>
          <w:p w14:paraId="3064FFB4" w14:textId="77777777" w:rsidR="00D516AD" w:rsidRPr="001A693A" w:rsidRDefault="00D516AD" w:rsidP="00D516AD">
            <w:pPr>
              <w:pStyle w:val="TableParagraph"/>
              <w:ind w:left="213"/>
              <w:jc w:val="center"/>
              <w:rPr>
                <w:sz w:val="24"/>
                <w:szCs w:val="24"/>
              </w:rPr>
            </w:pPr>
            <w:r w:rsidRPr="001A693A">
              <w:rPr>
                <w:sz w:val="24"/>
                <w:szCs w:val="24"/>
              </w:rPr>
              <w:t>7000 – Indirect Costs</w:t>
            </w:r>
          </w:p>
        </w:tc>
        <w:tc>
          <w:tcPr>
            <w:tcW w:w="1848" w:type="dxa"/>
            <w:vAlign w:val="center"/>
          </w:tcPr>
          <w:p w14:paraId="2DB27123" w14:textId="10927FBA" w:rsidR="00D516AD" w:rsidRPr="001A693A" w:rsidRDefault="00D516AD" w:rsidP="00D516AD">
            <w:pPr>
              <w:pStyle w:val="TableParagraph"/>
              <w:jc w:val="center"/>
              <w:rPr>
                <w:sz w:val="24"/>
                <w:szCs w:val="24"/>
              </w:rPr>
            </w:pPr>
            <w:r>
              <w:rPr>
                <w:sz w:val="24"/>
                <w:szCs w:val="24"/>
              </w:rPr>
              <w:t>$0.00</w:t>
            </w:r>
          </w:p>
        </w:tc>
        <w:tc>
          <w:tcPr>
            <w:tcW w:w="1850" w:type="dxa"/>
            <w:vAlign w:val="center"/>
          </w:tcPr>
          <w:p w14:paraId="31AB0FE7" w14:textId="7018DC6F" w:rsidR="00D516AD" w:rsidRPr="001A693A" w:rsidRDefault="00D516AD" w:rsidP="00D516AD">
            <w:pPr>
              <w:pStyle w:val="TableParagraph"/>
              <w:jc w:val="center"/>
              <w:rPr>
                <w:sz w:val="24"/>
                <w:szCs w:val="24"/>
              </w:rPr>
            </w:pPr>
            <w:r>
              <w:rPr>
                <w:sz w:val="24"/>
                <w:szCs w:val="24"/>
              </w:rPr>
              <w:t>$0.00</w:t>
            </w:r>
          </w:p>
        </w:tc>
        <w:tc>
          <w:tcPr>
            <w:tcW w:w="1761" w:type="dxa"/>
            <w:vAlign w:val="center"/>
          </w:tcPr>
          <w:p w14:paraId="0A8DCFA3" w14:textId="0897CB50" w:rsidR="00D516AD" w:rsidRPr="001A693A" w:rsidRDefault="00D516AD" w:rsidP="00D516AD">
            <w:pPr>
              <w:pStyle w:val="TableParagraph"/>
              <w:jc w:val="center"/>
              <w:rPr>
                <w:sz w:val="24"/>
                <w:szCs w:val="24"/>
              </w:rPr>
            </w:pPr>
            <w:r>
              <w:rPr>
                <w:sz w:val="24"/>
                <w:szCs w:val="24"/>
              </w:rPr>
              <w:t>$0.00</w:t>
            </w:r>
          </w:p>
        </w:tc>
        <w:tc>
          <w:tcPr>
            <w:tcW w:w="3457" w:type="dxa"/>
            <w:vAlign w:val="center"/>
          </w:tcPr>
          <w:p w14:paraId="7D6354F6" w14:textId="1F59A1F1" w:rsidR="00D516AD" w:rsidRPr="001A693A" w:rsidRDefault="00D516AD" w:rsidP="00D516AD">
            <w:pPr>
              <w:pStyle w:val="TableParagraph"/>
              <w:jc w:val="center"/>
              <w:rPr>
                <w:sz w:val="24"/>
                <w:szCs w:val="24"/>
              </w:rPr>
            </w:pPr>
            <w:r>
              <w:rPr>
                <w:sz w:val="24"/>
                <w:szCs w:val="24"/>
              </w:rPr>
              <w:t>[Source of Funds Description]</w:t>
            </w:r>
          </w:p>
        </w:tc>
      </w:tr>
      <w:tr w:rsidR="00D516AD" w:rsidRPr="001A693A" w14:paraId="3FDA6886" w14:textId="77777777" w:rsidTr="002C1461">
        <w:trPr>
          <w:cantSplit/>
          <w:trHeight w:val="389"/>
          <w:tblHeader/>
        </w:trPr>
        <w:tc>
          <w:tcPr>
            <w:tcW w:w="4227" w:type="dxa"/>
            <w:vAlign w:val="center"/>
          </w:tcPr>
          <w:p w14:paraId="5656F810" w14:textId="77777777" w:rsidR="00D516AD" w:rsidRPr="001A693A" w:rsidRDefault="00D516AD" w:rsidP="00D516AD">
            <w:pPr>
              <w:pStyle w:val="TableParagraph"/>
              <w:ind w:left="213"/>
              <w:jc w:val="center"/>
              <w:rPr>
                <w:sz w:val="24"/>
                <w:szCs w:val="24"/>
              </w:rPr>
            </w:pPr>
            <w:r w:rsidRPr="001A693A">
              <w:rPr>
                <w:sz w:val="24"/>
                <w:szCs w:val="24"/>
              </w:rPr>
              <w:t>Total Amount Budgeted</w:t>
            </w:r>
          </w:p>
        </w:tc>
        <w:tc>
          <w:tcPr>
            <w:tcW w:w="1848" w:type="dxa"/>
            <w:vAlign w:val="center"/>
          </w:tcPr>
          <w:p w14:paraId="61775960" w14:textId="5DC49268" w:rsidR="00D516AD" w:rsidRPr="001A693A" w:rsidRDefault="00D516AD" w:rsidP="00D516AD">
            <w:pPr>
              <w:pStyle w:val="TableParagraph"/>
              <w:spacing w:before="93"/>
              <w:ind w:left="116"/>
              <w:jc w:val="center"/>
              <w:rPr>
                <w:sz w:val="24"/>
                <w:szCs w:val="24"/>
              </w:rPr>
            </w:pPr>
            <w:r>
              <w:rPr>
                <w:sz w:val="24"/>
                <w:szCs w:val="24"/>
              </w:rPr>
              <w:t>$0.00</w:t>
            </w:r>
          </w:p>
        </w:tc>
        <w:tc>
          <w:tcPr>
            <w:tcW w:w="1850" w:type="dxa"/>
            <w:vAlign w:val="center"/>
          </w:tcPr>
          <w:p w14:paraId="3AAC905E" w14:textId="31B9CCD2" w:rsidR="00D516AD" w:rsidRPr="001A693A" w:rsidRDefault="00D516AD" w:rsidP="00D516AD">
            <w:pPr>
              <w:pStyle w:val="TableParagraph"/>
              <w:spacing w:before="93"/>
              <w:ind w:left="85"/>
              <w:jc w:val="center"/>
              <w:rPr>
                <w:sz w:val="24"/>
                <w:szCs w:val="24"/>
              </w:rPr>
            </w:pPr>
            <w:r>
              <w:rPr>
                <w:sz w:val="24"/>
                <w:szCs w:val="24"/>
              </w:rPr>
              <w:t>$0.00</w:t>
            </w:r>
          </w:p>
        </w:tc>
        <w:tc>
          <w:tcPr>
            <w:tcW w:w="1761" w:type="dxa"/>
            <w:vAlign w:val="center"/>
          </w:tcPr>
          <w:p w14:paraId="092B2D7C" w14:textId="1C974A11" w:rsidR="00D516AD" w:rsidRPr="001A693A" w:rsidRDefault="00D516AD" w:rsidP="00D516AD">
            <w:pPr>
              <w:pStyle w:val="TableParagraph"/>
              <w:spacing w:before="93"/>
              <w:ind w:left="93"/>
              <w:jc w:val="center"/>
              <w:rPr>
                <w:sz w:val="24"/>
                <w:szCs w:val="24"/>
              </w:rPr>
            </w:pPr>
            <w:r>
              <w:rPr>
                <w:sz w:val="24"/>
                <w:szCs w:val="24"/>
              </w:rPr>
              <w:t>$0.00</w:t>
            </w:r>
          </w:p>
        </w:tc>
        <w:tc>
          <w:tcPr>
            <w:tcW w:w="3457" w:type="dxa"/>
            <w:vAlign w:val="center"/>
          </w:tcPr>
          <w:p w14:paraId="587C9E86" w14:textId="244B45DD" w:rsidR="00D516AD" w:rsidRPr="001A693A" w:rsidRDefault="00D516AD" w:rsidP="00D516AD">
            <w:pPr>
              <w:pStyle w:val="TableParagraph"/>
              <w:jc w:val="center"/>
              <w:rPr>
                <w:sz w:val="24"/>
                <w:szCs w:val="24"/>
              </w:rPr>
            </w:pPr>
            <w:r>
              <w:rPr>
                <w:sz w:val="24"/>
                <w:szCs w:val="24"/>
              </w:rPr>
              <w:t>NA</w:t>
            </w:r>
          </w:p>
        </w:tc>
      </w:tr>
    </w:tbl>
    <w:p w14:paraId="38E8C176" w14:textId="77777777" w:rsidR="006E5244" w:rsidRDefault="006E5244" w:rsidP="006E5244">
      <w:pPr>
        <w:pStyle w:val="BodyText"/>
        <w:spacing w:before="240" w:line="242" w:lineRule="auto"/>
        <w:ind w:left="220" w:right="986"/>
        <w:rPr>
          <w:rStyle w:val="normaltextrun"/>
          <w:rFonts w:cs="Arial"/>
          <w:b/>
          <w:bCs/>
        </w:rPr>
      </w:pPr>
      <w:r>
        <w:t xml:space="preserve">Per California </w:t>
      </w:r>
      <w:r>
        <w:rPr>
          <w:i/>
        </w:rPr>
        <w:t xml:space="preserve">Education Code </w:t>
      </w:r>
      <w:r>
        <w:t>Section 53071(b), I am submitting a three-year plan for continued financial and administrative support of CTE programs that demonstrates a financial commitment of no less than the amount expended on those programs in the previous fiscal year. The plan, at a minimum, shall include the identification of available funding within an applicant’s current or projected budget to continue to support CTE programs and a written commitment to do so.</w:t>
      </w:r>
    </w:p>
    <w:p w14:paraId="596D63E6" w14:textId="5835EB3D" w:rsidR="006E5244" w:rsidRPr="006E2F47" w:rsidRDefault="006E5244" w:rsidP="006E2F47">
      <w:pPr>
        <w:rPr>
          <w:rFonts w:ascii="Arial" w:hAnsi="Arial" w:cs="Arial"/>
          <w:b/>
          <w:bCs/>
        </w:rPr>
        <w:sectPr w:rsidR="006E5244" w:rsidRPr="006E2F47" w:rsidSect="006E5244">
          <w:pgSz w:w="15840" w:h="12240" w:orient="landscape"/>
          <w:pgMar w:top="1440" w:right="1440" w:bottom="1440" w:left="1440" w:header="720" w:footer="720" w:gutter="0"/>
          <w:cols w:space="720"/>
          <w:titlePg/>
          <w:docGrid w:linePitch="360"/>
        </w:sectPr>
      </w:pPr>
    </w:p>
    <w:p w14:paraId="7BBFAF8A" w14:textId="77777777" w:rsidR="00EF4BED" w:rsidRDefault="00D529E2" w:rsidP="00EF4BED">
      <w:pPr>
        <w:pStyle w:val="Heading3"/>
      </w:pPr>
      <w:bookmarkStart w:id="17" w:name="_Toc116282056"/>
      <w:r>
        <w:lastRenderedPageBreak/>
        <w:t xml:space="preserve">Appendix </w:t>
      </w:r>
      <w:r w:rsidR="009D0B8F">
        <w:t>B</w:t>
      </w:r>
      <w:r>
        <w:t xml:space="preserve">: </w:t>
      </w:r>
      <w:bookmarkStart w:id="18" w:name="_Hlk97646084"/>
      <w:r>
        <w:t>202</w:t>
      </w:r>
      <w:r w:rsidR="006E2F47">
        <w:t>2</w:t>
      </w:r>
      <w:r>
        <w:t>–2</w:t>
      </w:r>
      <w:r w:rsidR="006E2F47">
        <w:t>3</w:t>
      </w:r>
      <w:r>
        <w:t xml:space="preserve"> </w:t>
      </w:r>
      <w:r w:rsidR="00E5491D" w:rsidRPr="006E2F47">
        <w:t>Career Technical Education Incentive Grant</w:t>
      </w:r>
      <w:r>
        <w:t xml:space="preserve"> </w:t>
      </w:r>
    </w:p>
    <w:p w14:paraId="3D7D3950" w14:textId="5F19CC4E" w:rsidR="00D529E2" w:rsidRPr="006E5244" w:rsidRDefault="00D529E2" w:rsidP="00EF4BED">
      <w:pPr>
        <w:pStyle w:val="Heading3"/>
      </w:pPr>
      <w:r>
        <w:t>R</w:t>
      </w:r>
      <w:r w:rsidR="003B6268">
        <w:t xml:space="preserve">equest for </w:t>
      </w:r>
      <w:r>
        <w:t>A</w:t>
      </w:r>
      <w:r w:rsidR="003B6268">
        <w:t>pplications</w:t>
      </w:r>
      <w:r>
        <w:t xml:space="preserve"> </w:t>
      </w:r>
      <w:r w:rsidR="00BD5775">
        <w:t>Object Code</w:t>
      </w:r>
      <w:bookmarkEnd w:id="18"/>
      <w:r w:rsidR="00592F83">
        <w:t xml:space="preserve"> Chart</w:t>
      </w:r>
      <w:bookmarkEnd w:id="17"/>
    </w:p>
    <w:tbl>
      <w:tblPr>
        <w:tblStyle w:val="TableGrid"/>
        <w:tblW w:w="9540" w:type="dxa"/>
        <w:tblLayout w:type="fixed"/>
        <w:tblLook w:val="0020" w:firstRow="1" w:lastRow="0" w:firstColumn="0" w:lastColumn="0" w:noHBand="0" w:noVBand="0"/>
        <w:tblDescription w:val="This table includes Object Codes, their corresponding Line Items, and expenditure guidelines to ensure only eligible costs are included."/>
      </w:tblPr>
      <w:tblGrid>
        <w:gridCol w:w="990"/>
        <w:gridCol w:w="8550"/>
      </w:tblGrid>
      <w:tr w:rsidR="00D529E2" w:rsidRPr="00016F00" w14:paraId="10DE588A" w14:textId="77777777" w:rsidTr="002C1461">
        <w:trPr>
          <w:cantSplit/>
          <w:tblHeader/>
        </w:trPr>
        <w:tc>
          <w:tcPr>
            <w:tcW w:w="990" w:type="dxa"/>
          </w:tcPr>
          <w:p w14:paraId="4989FD26" w14:textId="77777777" w:rsidR="00D529E2" w:rsidRPr="00D529E2" w:rsidRDefault="00D529E2" w:rsidP="006E5244">
            <w:pPr>
              <w:spacing w:before="60" w:after="60" w:line="276" w:lineRule="auto"/>
              <w:rPr>
                <w:rFonts w:ascii="Arial" w:hAnsi="Arial" w:cs="Arial"/>
              </w:rPr>
            </w:pPr>
            <w:r w:rsidRPr="00D529E2">
              <w:rPr>
                <w:rFonts w:ascii="Arial" w:hAnsi="Arial" w:cs="Arial"/>
                <w:b/>
              </w:rPr>
              <w:t>Object Code</w:t>
            </w:r>
          </w:p>
        </w:tc>
        <w:tc>
          <w:tcPr>
            <w:tcW w:w="8550" w:type="dxa"/>
          </w:tcPr>
          <w:p w14:paraId="4DC16F79" w14:textId="77777777" w:rsidR="00D529E2" w:rsidRPr="00D529E2" w:rsidRDefault="00D529E2" w:rsidP="00681A1F">
            <w:pPr>
              <w:spacing w:before="60" w:after="60" w:line="276" w:lineRule="auto"/>
              <w:jc w:val="center"/>
              <w:rPr>
                <w:rFonts w:ascii="Arial" w:hAnsi="Arial" w:cs="Arial"/>
              </w:rPr>
            </w:pPr>
            <w:r w:rsidRPr="00D529E2">
              <w:rPr>
                <w:rFonts w:ascii="Arial" w:hAnsi="Arial" w:cs="Arial"/>
                <w:b/>
              </w:rPr>
              <w:t>Description of the Object Code</w:t>
            </w:r>
          </w:p>
        </w:tc>
      </w:tr>
      <w:tr w:rsidR="00D529E2" w:rsidRPr="00016F00" w14:paraId="06F8DFF3" w14:textId="77777777" w:rsidTr="002C1461">
        <w:trPr>
          <w:cantSplit/>
          <w:tblHeader/>
        </w:trPr>
        <w:tc>
          <w:tcPr>
            <w:tcW w:w="990" w:type="dxa"/>
          </w:tcPr>
          <w:p w14:paraId="3CF768F8" w14:textId="77777777" w:rsidR="00D529E2" w:rsidRPr="00D529E2" w:rsidRDefault="00D529E2" w:rsidP="00681A1F">
            <w:pPr>
              <w:spacing w:before="60" w:after="60" w:line="276" w:lineRule="auto"/>
              <w:rPr>
                <w:rFonts w:ascii="Arial" w:hAnsi="Arial" w:cs="Arial"/>
              </w:rPr>
            </w:pPr>
            <w:r w:rsidRPr="00D529E2">
              <w:rPr>
                <w:rFonts w:ascii="Arial" w:hAnsi="Arial" w:cs="Arial"/>
              </w:rPr>
              <w:t>1000</w:t>
            </w:r>
          </w:p>
        </w:tc>
        <w:tc>
          <w:tcPr>
            <w:tcW w:w="8550" w:type="dxa"/>
          </w:tcPr>
          <w:p w14:paraId="7A82CCD4" w14:textId="77777777" w:rsidR="00D529E2" w:rsidRPr="00D529E2" w:rsidRDefault="00D529E2" w:rsidP="00681A1F">
            <w:pPr>
              <w:tabs>
                <w:tab w:val="left" w:pos="2160"/>
                <w:tab w:val="left" w:pos="7920"/>
              </w:tabs>
              <w:spacing w:before="60" w:after="60" w:line="276" w:lineRule="auto"/>
              <w:rPr>
                <w:rFonts w:ascii="Arial" w:hAnsi="Arial" w:cs="Arial"/>
              </w:rPr>
            </w:pPr>
            <w:r w:rsidRPr="00D529E2">
              <w:rPr>
                <w:rFonts w:ascii="Arial" w:hAnsi="Arial" w:cs="Arial"/>
                <w:b/>
              </w:rPr>
              <w:t>Certificated Salaries</w:t>
            </w:r>
            <w:r w:rsidRPr="00D529E2">
              <w:rPr>
                <w:rFonts w:ascii="Arial" w:hAnsi="Arial" w:cs="Arial"/>
              </w:rPr>
              <w:t xml:space="preserve"> – Certificated CTE teacher salaries</w:t>
            </w:r>
          </w:p>
        </w:tc>
      </w:tr>
      <w:tr w:rsidR="00D529E2" w:rsidRPr="00016F00" w14:paraId="4EA0E207" w14:textId="77777777" w:rsidTr="002C1461">
        <w:trPr>
          <w:cantSplit/>
          <w:tblHeader/>
        </w:trPr>
        <w:tc>
          <w:tcPr>
            <w:tcW w:w="990" w:type="dxa"/>
          </w:tcPr>
          <w:p w14:paraId="14B4155E" w14:textId="77777777" w:rsidR="00D529E2" w:rsidRPr="00D529E2" w:rsidRDefault="00D529E2" w:rsidP="00681A1F">
            <w:pPr>
              <w:spacing w:before="60" w:after="60" w:line="276" w:lineRule="auto"/>
              <w:rPr>
                <w:rFonts w:ascii="Arial" w:hAnsi="Arial" w:cs="Arial"/>
              </w:rPr>
            </w:pPr>
            <w:r w:rsidRPr="00D529E2">
              <w:rPr>
                <w:rFonts w:ascii="Arial" w:hAnsi="Arial" w:cs="Arial"/>
              </w:rPr>
              <w:t>2000</w:t>
            </w:r>
          </w:p>
        </w:tc>
        <w:tc>
          <w:tcPr>
            <w:tcW w:w="8550" w:type="dxa"/>
          </w:tcPr>
          <w:p w14:paraId="5BA47171" w14:textId="77777777" w:rsidR="00D529E2" w:rsidRPr="00D529E2" w:rsidRDefault="00D529E2" w:rsidP="00681A1F">
            <w:pPr>
              <w:spacing w:line="276" w:lineRule="auto"/>
              <w:rPr>
                <w:rFonts w:ascii="Arial" w:hAnsi="Arial" w:cs="Arial"/>
              </w:rPr>
            </w:pPr>
            <w:r w:rsidRPr="00D529E2">
              <w:rPr>
                <w:rFonts w:ascii="Arial" w:hAnsi="Arial" w:cs="Arial"/>
                <w:b/>
              </w:rPr>
              <w:t>Classified Salaries</w:t>
            </w:r>
            <w:r w:rsidRPr="00D529E2">
              <w:rPr>
                <w:rFonts w:ascii="Arial" w:hAnsi="Arial" w:cs="Arial"/>
              </w:rPr>
              <w:t xml:space="preserve"> –</w:t>
            </w:r>
            <w:r w:rsidRPr="00D529E2">
              <w:rPr>
                <w:rFonts w:ascii="Arial" w:hAnsi="Arial" w:cs="Arial"/>
                <w:b/>
              </w:rPr>
              <w:t xml:space="preserve"> </w:t>
            </w:r>
            <w:r w:rsidRPr="00D529E2">
              <w:rPr>
                <w:rFonts w:ascii="Arial" w:hAnsi="Arial" w:cs="Arial"/>
              </w:rPr>
              <w:t xml:space="preserve">Classified salaries associated with CTE programs only </w:t>
            </w:r>
          </w:p>
        </w:tc>
      </w:tr>
      <w:tr w:rsidR="00D529E2" w:rsidRPr="00016F00" w14:paraId="17A249E7" w14:textId="77777777" w:rsidTr="002C1461">
        <w:trPr>
          <w:cantSplit/>
          <w:tblHeader/>
        </w:trPr>
        <w:tc>
          <w:tcPr>
            <w:tcW w:w="990" w:type="dxa"/>
          </w:tcPr>
          <w:p w14:paraId="0D0C088D" w14:textId="77777777" w:rsidR="00D529E2" w:rsidRPr="00D529E2" w:rsidRDefault="00D529E2" w:rsidP="00681A1F">
            <w:pPr>
              <w:spacing w:before="60" w:after="60" w:line="276" w:lineRule="auto"/>
              <w:rPr>
                <w:rFonts w:ascii="Arial" w:hAnsi="Arial" w:cs="Arial"/>
              </w:rPr>
            </w:pPr>
            <w:r w:rsidRPr="00D529E2">
              <w:rPr>
                <w:rFonts w:ascii="Arial" w:hAnsi="Arial" w:cs="Arial"/>
              </w:rPr>
              <w:t>3000</w:t>
            </w:r>
          </w:p>
        </w:tc>
        <w:tc>
          <w:tcPr>
            <w:tcW w:w="8550" w:type="dxa"/>
          </w:tcPr>
          <w:p w14:paraId="21B0D32E" w14:textId="77777777" w:rsidR="00D529E2" w:rsidRPr="00D529E2" w:rsidRDefault="00D529E2" w:rsidP="00681A1F">
            <w:pPr>
              <w:tabs>
                <w:tab w:val="left" w:pos="2160"/>
                <w:tab w:val="left" w:pos="7920"/>
              </w:tabs>
              <w:spacing w:before="60" w:after="60" w:line="276" w:lineRule="auto"/>
              <w:rPr>
                <w:rFonts w:ascii="Arial" w:hAnsi="Arial" w:cs="Arial"/>
              </w:rPr>
            </w:pPr>
            <w:r w:rsidRPr="00D529E2">
              <w:rPr>
                <w:rFonts w:ascii="Arial" w:hAnsi="Arial" w:cs="Arial"/>
                <w:b/>
              </w:rPr>
              <w:t xml:space="preserve">Employee Benefits </w:t>
            </w:r>
            <w:r w:rsidRPr="00D529E2">
              <w:rPr>
                <w:rFonts w:ascii="Arial" w:hAnsi="Arial" w:cs="Arial"/>
              </w:rPr>
              <w:t>– Only those benefits associated with CTE teachers and classified salaries associated with CTE programs only</w:t>
            </w:r>
          </w:p>
        </w:tc>
      </w:tr>
      <w:tr w:rsidR="00D529E2" w:rsidRPr="00016F00" w14:paraId="39E6C489" w14:textId="77777777" w:rsidTr="002C1461">
        <w:trPr>
          <w:cantSplit/>
          <w:tblHeader/>
        </w:trPr>
        <w:tc>
          <w:tcPr>
            <w:tcW w:w="990" w:type="dxa"/>
          </w:tcPr>
          <w:p w14:paraId="47F9F39E" w14:textId="77777777" w:rsidR="00D529E2" w:rsidRPr="00D529E2" w:rsidRDefault="00D529E2" w:rsidP="00681A1F">
            <w:pPr>
              <w:spacing w:before="60" w:after="60" w:line="276" w:lineRule="auto"/>
              <w:rPr>
                <w:rFonts w:ascii="Arial" w:hAnsi="Arial" w:cs="Arial"/>
              </w:rPr>
            </w:pPr>
            <w:r w:rsidRPr="00D529E2">
              <w:rPr>
                <w:rFonts w:ascii="Arial" w:hAnsi="Arial" w:cs="Arial"/>
              </w:rPr>
              <w:t>4000</w:t>
            </w:r>
          </w:p>
        </w:tc>
        <w:tc>
          <w:tcPr>
            <w:tcW w:w="8550" w:type="dxa"/>
          </w:tcPr>
          <w:p w14:paraId="5B03BFED" w14:textId="77777777" w:rsidR="00D529E2" w:rsidRPr="00D529E2" w:rsidRDefault="00D529E2" w:rsidP="00681A1F">
            <w:pPr>
              <w:tabs>
                <w:tab w:val="left" w:pos="2160"/>
                <w:tab w:val="left" w:pos="7920"/>
              </w:tabs>
              <w:spacing w:before="60" w:after="60" w:line="276" w:lineRule="auto"/>
              <w:rPr>
                <w:rFonts w:ascii="Arial" w:hAnsi="Arial" w:cs="Arial"/>
              </w:rPr>
            </w:pPr>
            <w:r w:rsidRPr="00D529E2">
              <w:rPr>
                <w:rFonts w:ascii="Arial" w:hAnsi="Arial" w:cs="Arial"/>
                <w:b/>
              </w:rPr>
              <w:t xml:space="preserve">Books and Supplies </w:t>
            </w:r>
            <w:r w:rsidRPr="00D529E2">
              <w:rPr>
                <w:rFonts w:ascii="Arial" w:hAnsi="Arial" w:cs="Arial"/>
              </w:rPr>
              <w:t>– Only those expenses related to CTE courses</w:t>
            </w:r>
          </w:p>
        </w:tc>
      </w:tr>
      <w:tr w:rsidR="00D529E2" w:rsidRPr="00016F00" w14:paraId="60B2E718" w14:textId="77777777" w:rsidTr="002C1461">
        <w:trPr>
          <w:cantSplit/>
          <w:tblHeader/>
        </w:trPr>
        <w:tc>
          <w:tcPr>
            <w:tcW w:w="990" w:type="dxa"/>
          </w:tcPr>
          <w:p w14:paraId="650E82A6" w14:textId="77777777" w:rsidR="00D529E2" w:rsidRPr="00D529E2" w:rsidRDefault="00D529E2" w:rsidP="00681A1F">
            <w:pPr>
              <w:tabs>
                <w:tab w:val="left" w:pos="720"/>
              </w:tabs>
              <w:spacing w:before="60" w:after="60" w:line="276" w:lineRule="auto"/>
              <w:rPr>
                <w:rFonts w:ascii="Arial" w:hAnsi="Arial" w:cs="Arial"/>
              </w:rPr>
            </w:pPr>
            <w:r w:rsidRPr="00D529E2">
              <w:rPr>
                <w:rFonts w:ascii="Arial" w:hAnsi="Arial" w:cs="Arial"/>
              </w:rPr>
              <w:t>5000</w:t>
            </w:r>
          </w:p>
        </w:tc>
        <w:tc>
          <w:tcPr>
            <w:tcW w:w="8550" w:type="dxa"/>
          </w:tcPr>
          <w:p w14:paraId="78B7140F" w14:textId="77777777" w:rsidR="00D529E2" w:rsidRPr="00D529E2" w:rsidRDefault="00D529E2" w:rsidP="00681A1F">
            <w:pPr>
              <w:tabs>
                <w:tab w:val="left" w:pos="2160"/>
                <w:tab w:val="left" w:pos="7920"/>
              </w:tabs>
              <w:spacing w:before="60" w:after="60" w:line="276" w:lineRule="auto"/>
              <w:rPr>
                <w:rFonts w:ascii="Arial" w:hAnsi="Arial" w:cs="Arial"/>
              </w:rPr>
            </w:pPr>
            <w:r w:rsidRPr="00D529E2">
              <w:rPr>
                <w:rFonts w:ascii="Arial" w:hAnsi="Arial" w:cs="Arial"/>
                <w:b/>
              </w:rPr>
              <w:t>Services and Other Operating Expenditures</w:t>
            </w:r>
          </w:p>
          <w:p w14:paraId="22898A06" w14:textId="77777777" w:rsidR="00D529E2" w:rsidRPr="00D529E2" w:rsidRDefault="00D529E2" w:rsidP="00681A1F">
            <w:pPr>
              <w:tabs>
                <w:tab w:val="left" w:pos="2160"/>
                <w:tab w:val="left" w:pos="7920"/>
              </w:tabs>
              <w:spacing w:before="60" w:after="60" w:line="276" w:lineRule="auto"/>
              <w:rPr>
                <w:rFonts w:ascii="Arial" w:hAnsi="Arial" w:cs="Arial"/>
              </w:rPr>
            </w:pPr>
            <w:r w:rsidRPr="00D529E2">
              <w:rPr>
                <w:rFonts w:ascii="Arial" w:hAnsi="Arial" w:cs="Arial"/>
                <w:b/>
              </w:rPr>
              <w:t>Travel and Conference</w:t>
            </w:r>
          </w:p>
          <w:p w14:paraId="1180C45A" w14:textId="77777777" w:rsidR="00D529E2" w:rsidRPr="00D529E2" w:rsidRDefault="00D529E2" w:rsidP="00681A1F">
            <w:pPr>
              <w:tabs>
                <w:tab w:val="left" w:pos="2160"/>
                <w:tab w:val="left" w:pos="7920"/>
              </w:tabs>
              <w:spacing w:before="60" w:after="60" w:line="276" w:lineRule="auto"/>
              <w:rPr>
                <w:rFonts w:ascii="Arial" w:hAnsi="Arial" w:cs="Arial"/>
                <w:b/>
              </w:rPr>
            </w:pPr>
            <w:r w:rsidRPr="00D529E2">
              <w:rPr>
                <w:rFonts w:ascii="Arial" w:hAnsi="Arial" w:cs="Arial"/>
                <w:b/>
              </w:rPr>
              <w:t>Contracting Services</w:t>
            </w:r>
          </w:p>
          <w:p w14:paraId="13F95EB4" w14:textId="77777777" w:rsidR="00D529E2" w:rsidRPr="00D529E2" w:rsidRDefault="00D529E2" w:rsidP="00681A1F">
            <w:pPr>
              <w:tabs>
                <w:tab w:val="left" w:pos="2160"/>
                <w:tab w:val="left" w:pos="7920"/>
              </w:tabs>
              <w:spacing w:before="60" w:after="60" w:line="276" w:lineRule="auto"/>
              <w:rPr>
                <w:rFonts w:ascii="Arial" w:hAnsi="Arial" w:cs="Arial"/>
              </w:rPr>
            </w:pPr>
            <w:r w:rsidRPr="00D529E2">
              <w:rPr>
                <w:rFonts w:ascii="Arial" w:hAnsi="Arial" w:cs="Arial"/>
              </w:rPr>
              <w:t>– Only those charges related to CTE teachers and CTE programs</w:t>
            </w:r>
          </w:p>
        </w:tc>
      </w:tr>
      <w:tr w:rsidR="00D529E2" w:rsidRPr="00016F00" w14:paraId="1DDF60AF" w14:textId="77777777" w:rsidTr="002C1461">
        <w:trPr>
          <w:cantSplit/>
          <w:tblHeader/>
        </w:trPr>
        <w:tc>
          <w:tcPr>
            <w:tcW w:w="990" w:type="dxa"/>
          </w:tcPr>
          <w:p w14:paraId="4A587D67" w14:textId="77777777" w:rsidR="00D529E2" w:rsidRPr="00D529E2" w:rsidRDefault="00D529E2" w:rsidP="00681A1F">
            <w:pPr>
              <w:spacing w:before="60" w:after="60" w:line="276" w:lineRule="auto"/>
              <w:rPr>
                <w:rFonts w:ascii="Arial" w:hAnsi="Arial" w:cs="Arial"/>
              </w:rPr>
            </w:pPr>
            <w:r w:rsidRPr="00D529E2">
              <w:rPr>
                <w:rFonts w:ascii="Arial" w:hAnsi="Arial" w:cs="Arial"/>
              </w:rPr>
              <w:t>6000</w:t>
            </w:r>
          </w:p>
        </w:tc>
        <w:tc>
          <w:tcPr>
            <w:tcW w:w="8550" w:type="dxa"/>
          </w:tcPr>
          <w:p w14:paraId="3FCFB1A8" w14:textId="77777777" w:rsidR="00D529E2" w:rsidRPr="00D529E2" w:rsidRDefault="00D529E2" w:rsidP="00681A1F">
            <w:pPr>
              <w:spacing w:before="60" w:after="60" w:line="276" w:lineRule="auto"/>
              <w:rPr>
                <w:rFonts w:ascii="Arial" w:hAnsi="Arial" w:cs="Arial"/>
                <w:u w:val="single"/>
              </w:rPr>
            </w:pPr>
            <w:r w:rsidRPr="00D529E2">
              <w:rPr>
                <w:rFonts w:ascii="Arial" w:hAnsi="Arial" w:cs="Arial"/>
                <w:b/>
              </w:rPr>
              <w:t xml:space="preserve">Capital Outlay </w:t>
            </w:r>
            <w:r w:rsidRPr="00D529E2">
              <w:rPr>
                <w:rFonts w:ascii="Arial" w:hAnsi="Arial" w:cs="Arial"/>
              </w:rPr>
              <w:t>– Only those expenses related to CTE courses</w:t>
            </w:r>
          </w:p>
        </w:tc>
      </w:tr>
      <w:tr w:rsidR="00D529E2" w:rsidRPr="00016F00" w14:paraId="2DD6A9A1" w14:textId="77777777" w:rsidTr="002C1461">
        <w:trPr>
          <w:cantSplit/>
          <w:tblHeader/>
        </w:trPr>
        <w:tc>
          <w:tcPr>
            <w:tcW w:w="990" w:type="dxa"/>
          </w:tcPr>
          <w:p w14:paraId="1D8CED92" w14:textId="77777777" w:rsidR="00D529E2" w:rsidRPr="00D529E2" w:rsidRDefault="00D529E2" w:rsidP="00681A1F">
            <w:pPr>
              <w:spacing w:before="60" w:after="60" w:line="276" w:lineRule="auto"/>
              <w:rPr>
                <w:rFonts w:ascii="Arial" w:hAnsi="Arial" w:cs="Arial"/>
              </w:rPr>
            </w:pPr>
            <w:r w:rsidRPr="00D529E2">
              <w:rPr>
                <w:rFonts w:ascii="Arial" w:hAnsi="Arial" w:cs="Arial"/>
              </w:rPr>
              <w:t>7000</w:t>
            </w:r>
          </w:p>
        </w:tc>
        <w:tc>
          <w:tcPr>
            <w:tcW w:w="8550" w:type="dxa"/>
          </w:tcPr>
          <w:p w14:paraId="4282C544" w14:textId="77777777" w:rsidR="00D529E2" w:rsidRPr="00D529E2" w:rsidRDefault="00D529E2" w:rsidP="00681A1F">
            <w:pPr>
              <w:spacing w:before="60" w:after="60" w:line="276" w:lineRule="auto"/>
              <w:rPr>
                <w:rFonts w:ascii="Arial" w:hAnsi="Arial" w:cs="Arial"/>
              </w:rPr>
            </w:pPr>
            <w:r w:rsidRPr="00D529E2">
              <w:rPr>
                <w:rFonts w:ascii="Arial" w:hAnsi="Arial" w:cs="Arial"/>
                <w:b/>
              </w:rPr>
              <w:t>Indirect Cost</w:t>
            </w:r>
          </w:p>
        </w:tc>
      </w:tr>
    </w:tbl>
    <w:p w14:paraId="293AA2F3" w14:textId="77777777" w:rsidR="00D529E2" w:rsidRPr="006E5244" w:rsidRDefault="00D529E2" w:rsidP="0076375E">
      <w:pPr>
        <w:jc w:val="center"/>
        <w:rPr>
          <w:b/>
        </w:rPr>
      </w:pPr>
    </w:p>
    <w:sectPr w:rsidR="00D529E2" w:rsidRPr="006E5244" w:rsidSect="006E52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C2924" w14:textId="77777777" w:rsidR="00651DB0" w:rsidRDefault="00651DB0">
      <w:r>
        <w:separator/>
      </w:r>
    </w:p>
    <w:p w14:paraId="05135526" w14:textId="77777777" w:rsidR="00651DB0" w:rsidRDefault="00651DB0"/>
  </w:endnote>
  <w:endnote w:type="continuationSeparator" w:id="0">
    <w:p w14:paraId="596B018D" w14:textId="77777777" w:rsidR="00651DB0" w:rsidRDefault="00651DB0">
      <w:r>
        <w:continuationSeparator/>
      </w:r>
    </w:p>
    <w:p w14:paraId="79275C68" w14:textId="77777777" w:rsidR="00651DB0" w:rsidRDefault="00651D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409840"/>
      <w:docPartObj>
        <w:docPartGallery w:val="Page Numbers (Bottom of Page)"/>
        <w:docPartUnique/>
      </w:docPartObj>
    </w:sdtPr>
    <w:sdtEndPr>
      <w:rPr>
        <w:rFonts w:ascii="Arial" w:hAnsi="Arial" w:cs="Arial"/>
        <w:noProof/>
      </w:rPr>
    </w:sdtEndPr>
    <w:sdtContent>
      <w:p w14:paraId="79514B17" w14:textId="7E5794A7" w:rsidR="00322C8E" w:rsidRPr="006E5244" w:rsidRDefault="00322C8E" w:rsidP="006E5244">
        <w:pPr>
          <w:pStyle w:val="Footer"/>
          <w:jc w:val="center"/>
          <w:rPr>
            <w:rFonts w:ascii="Arial" w:hAnsi="Arial" w:cs="Arial"/>
          </w:rPr>
        </w:pPr>
        <w:r w:rsidRPr="006E5244">
          <w:rPr>
            <w:rFonts w:ascii="Arial" w:hAnsi="Arial" w:cs="Arial"/>
          </w:rPr>
          <w:fldChar w:fldCharType="begin"/>
        </w:r>
        <w:r w:rsidRPr="006E5244">
          <w:rPr>
            <w:rFonts w:ascii="Arial" w:hAnsi="Arial" w:cs="Arial"/>
          </w:rPr>
          <w:instrText xml:space="preserve"> PAGE   \* MERGEFORMAT </w:instrText>
        </w:r>
        <w:r w:rsidRPr="006E5244">
          <w:rPr>
            <w:rFonts w:ascii="Arial" w:hAnsi="Arial" w:cs="Arial"/>
          </w:rPr>
          <w:fldChar w:fldCharType="separate"/>
        </w:r>
        <w:r w:rsidRPr="006E5244">
          <w:rPr>
            <w:rFonts w:ascii="Arial" w:hAnsi="Arial" w:cs="Arial"/>
            <w:noProof/>
          </w:rPr>
          <w:t>2</w:t>
        </w:r>
        <w:r w:rsidRPr="006E5244">
          <w:rPr>
            <w:rFonts w:ascii="Arial" w:hAnsi="Arial" w:cs="Arial"/>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0868314"/>
      <w:docPartObj>
        <w:docPartGallery w:val="Page Numbers (Bottom of Page)"/>
        <w:docPartUnique/>
      </w:docPartObj>
    </w:sdtPr>
    <w:sdtEndPr>
      <w:rPr>
        <w:rFonts w:ascii="Arial" w:hAnsi="Arial" w:cs="Arial"/>
        <w:noProof/>
      </w:rPr>
    </w:sdtEndPr>
    <w:sdtContent>
      <w:p w14:paraId="2C0F5AAF" w14:textId="77777777" w:rsidR="006E5244" w:rsidRPr="006E5244" w:rsidRDefault="006E5244" w:rsidP="006E5244">
        <w:pPr>
          <w:pStyle w:val="Footer"/>
          <w:jc w:val="center"/>
          <w:rPr>
            <w:rFonts w:ascii="Arial" w:hAnsi="Arial" w:cs="Arial"/>
          </w:rPr>
        </w:pPr>
        <w:r w:rsidRPr="006E5244">
          <w:rPr>
            <w:rFonts w:ascii="Arial" w:hAnsi="Arial" w:cs="Arial"/>
          </w:rPr>
          <w:fldChar w:fldCharType="begin"/>
        </w:r>
        <w:r w:rsidRPr="006E5244">
          <w:rPr>
            <w:rFonts w:ascii="Arial" w:hAnsi="Arial" w:cs="Arial"/>
          </w:rPr>
          <w:instrText xml:space="preserve"> PAGE   \* MERGEFORMAT </w:instrText>
        </w:r>
        <w:r w:rsidRPr="006E5244">
          <w:rPr>
            <w:rFonts w:ascii="Arial" w:hAnsi="Arial" w:cs="Arial"/>
          </w:rPr>
          <w:fldChar w:fldCharType="separate"/>
        </w:r>
        <w:r>
          <w:rPr>
            <w:rFonts w:ascii="Arial" w:hAnsi="Arial" w:cs="Arial"/>
          </w:rPr>
          <w:t>9</w:t>
        </w:r>
        <w:r w:rsidRPr="006E5244">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A77F8" w14:textId="77777777" w:rsidR="00651DB0" w:rsidRDefault="00651DB0">
      <w:r>
        <w:separator/>
      </w:r>
    </w:p>
    <w:p w14:paraId="4E991BCA" w14:textId="77777777" w:rsidR="00651DB0" w:rsidRDefault="00651DB0"/>
  </w:footnote>
  <w:footnote w:type="continuationSeparator" w:id="0">
    <w:p w14:paraId="47EE6ACE" w14:textId="77777777" w:rsidR="00651DB0" w:rsidRDefault="00651DB0">
      <w:r>
        <w:continuationSeparator/>
      </w:r>
    </w:p>
    <w:p w14:paraId="20843F2C" w14:textId="77777777" w:rsidR="00651DB0" w:rsidRDefault="00651DB0"/>
  </w:footnote>
  <w:footnote w:id="1">
    <w:p w14:paraId="0EC6A522" w14:textId="0F01C2ED" w:rsidR="003E0D97" w:rsidRPr="00626E22" w:rsidRDefault="003E0D97">
      <w:pPr>
        <w:pStyle w:val="FootnoteText"/>
        <w:rPr>
          <w:rFonts w:ascii="Arial" w:hAnsi="Arial" w:cs="Arial"/>
          <w:sz w:val="24"/>
          <w:szCs w:val="24"/>
        </w:rPr>
      </w:pPr>
      <w:r w:rsidRPr="00626E22">
        <w:rPr>
          <w:rStyle w:val="FootnoteReference"/>
          <w:rFonts w:ascii="Arial" w:hAnsi="Arial" w:cs="Arial"/>
          <w:sz w:val="24"/>
          <w:szCs w:val="24"/>
        </w:rPr>
        <w:footnoteRef/>
      </w:r>
      <w:r w:rsidRPr="00626E22">
        <w:rPr>
          <w:rFonts w:ascii="Arial" w:hAnsi="Arial" w:cs="Arial"/>
          <w:sz w:val="24"/>
          <w:szCs w:val="24"/>
        </w:rPr>
        <w:t xml:space="preserve"> </w:t>
      </w:r>
      <w:r w:rsidRPr="00626E22">
        <w:rPr>
          <w:rFonts w:ascii="Arial" w:hAnsi="Arial" w:cs="Arial"/>
          <w:i/>
          <w:sz w:val="24"/>
          <w:szCs w:val="24"/>
        </w:rPr>
        <w:t>EC</w:t>
      </w:r>
      <w:r w:rsidRPr="00626E22">
        <w:rPr>
          <w:rFonts w:ascii="Arial" w:hAnsi="Arial" w:cs="Arial"/>
          <w:sz w:val="24"/>
          <w:szCs w:val="24"/>
        </w:rPr>
        <w:t xml:space="preserve"> Section 5307</w:t>
      </w:r>
      <w:r w:rsidR="00E61519" w:rsidRPr="00626E22">
        <w:rPr>
          <w:rFonts w:ascii="Arial" w:hAnsi="Arial" w:cs="Arial"/>
          <w:sz w:val="24"/>
          <w:szCs w:val="24"/>
        </w:rPr>
        <w:t>1</w:t>
      </w:r>
      <w:r w:rsidRPr="00626E22">
        <w:rPr>
          <w:rFonts w:ascii="Arial" w:hAnsi="Arial" w:cs="Arial"/>
          <w:sz w:val="24"/>
          <w:szCs w:val="24"/>
        </w:rPr>
        <w:t>(c)</w:t>
      </w:r>
    </w:p>
  </w:footnote>
  <w:footnote w:id="2">
    <w:p w14:paraId="473E654E" w14:textId="760D55D7" w:rsidR="00E7322F" w:rsidRPr="00626E22" w:rsidRDefault="00E7322F" w:rsidP="00E7322F">
      <w:pPr>
        <w:pStyle w:val="FootnoteText"/>
        <w:rPr>
          <w:rFonts w:ascii="Arial" w:hAnsi="Arial" w:cs="Arial"/>
        </w:rPr>
      </w:pPr>
      <w:r w:rsidRPr="00626E22">
        <w:rPr>
          <w:rStyle w:val="FootnoteReference"/>
          <w:rFonts w:ascii="Arial" w:hAnsi="Arial" w:cs="Arial"/>
          <w:sz w:val="24"/>
          <w:szCs w:val="24"/>
        </w:rPr>
        <w:footnoteRef/>
      </w:r>
      <w:r w:rsidRPr="00626E22">
        <w:rPr>
          <w:rFonts w:ascii="Arial" w:hAnsi="Arial" w:cs="Arial"/>
          <w:sz w:val="24"/>
          <w:szCs w:val="24"/>
        </w:rPr>
        <w:t xml:space="preserve"> </w:t>
      </w:r>
      <w:r w:rsidRPr="00626E22">
        <w:rPr>
          <w:rFonts w:ascii="Arial" w:hAnsi="Arial" w:cs="Arial"/>
          <w:i/>
          <w:sz w:val="24"/>
          <w:szCs w:val="24"/>
        </w:rPr>
        <w:t>EC</w:t>
      </w:r>
      <w:r w:rsidRPr="00626E22">
        <w:rPr>
          <w:rFonts w:ascii="Arial" w:hAnsi="Arial" w:cs="Arial"/>
          <w:sz w:val="24"/>
          <w:szCs w:val="24"/>
        </w:rPr>
        <w:t xml:space="preserve"> Section 5307</w:t>
      </w:r>
      <w:r w:rsidR="00E61519" w:rsidRPr="00626E22">
        <w:rPr>
          <w:rFonts w:ascii="Arial" w:hAnsi="Arial" w:cs="Arial"/>
          <w:sz w:val="24"/>
          <w:szCs w:val="24"/>
        </w:rPr>
        <w:t>1</w:t>
      </w:r>
      <w:r w:rsidRPr="00626E22">
        <w:rPr>
          <w:rFonts w:ascii="Arial" w:hAnsi="Arial" w:cs="Arial"/>
          <w:sz w:val="24"/>
          <w:szCs w:val="24"/>
        </w:rPr>
        <w:t>(b)</w:t>
      </w:r>
    </w:p>
  </w:footnote>
  <w:footnote w:id="3">
    <w:p w14:paraId="5BABF216" w14:textId="1CEBC543" w:rsidR="006D03BE" w:rsidRPr="00E72647" w:rsidRDefault="006D03BE">
      <w:pPr>
        <w:pStyle w:val="FootnoteText"/>
        <w:rPr>
          <w:rFonts w:ascii="Arial" w:hAnsi="Arial" w:cs="Arial"/>
          <w:sz w:val="24"/>
          <w:szCs w:val="24"/>
        </w:rPr>
      </w:pPr>
      <w:r w:rsidRPr="00E72647">
        <w:rPr>
          <w:rStyle w:val="FootnoteReference"/>
          <w:rFonts w:ascii="Arial" w:hAnsi="Arial" w:cs="Arial"/>
          <w:sz w:val="24"/>
          <w:szCs w:val="24"/>
        </w:rPr>
        <w:footnoteRef/>
      </w:r>
      <w:r w:rsidRPr="00E72647">
        <w:rPr>
          <w:rFonts w:ascii="Arial" w:hAnsi="Arial" w:cs="Arial"/>
          <w:sz w:val="24"/>
          <w:szCs w:val="24"/>
        </w:rPr>
        <w:t xml:space="preserve"> </w:t>
      </w:r>
      <w:r w:rsidRPr="00E72647">
        <w:rPr>
          <w:rFonts w:ascii="Arial" w:hAnsi="Arial" w:cs="Arial"/>
          <w:i/>
          <w:sz w:val="24"/>
          <w:szCs w:val="24"/>
        </w:rPr>
        <w:t>EC</w:t>
      </w:r>
      <w:r w:rsidRPr="00E72647">
        <w:rPr>
          <w:rFonts w:ascii="Arial" w:hAnsi="Arial" w:cs="Arial"/>
          <w:sz w:val="24"/>
          <w:szCs w:val="24"/>
        </w:rPr>
        <w:t xml:space="preserve"> Section 53071(b)</w:t>
      </w:r>
    </w:p>
  </w:footnote>
  <w:footnote w:id="4">
    <w:p w14:paraId="186E3106" w14:textId="2E5CAAE2" w:rsidR="006D03BE" w:rsidRPr="00E72647" w:rsidRDefault="006D03BE">
      <w:pPr>
        <w:pStyle w:val="FootnoteText"/>
        <w:rPr>
          <w:rFonts w:ascii="Arial" w:hAnsi="Arial" w:cs="Arial"/>
          <w:sz w:val="24"/>
          <w:szCs w:val="24"/>
        </w:rPr>
      </w:pPr>
      <w:r w:rsidRPr="00E72647">
        <w:rPr>
          <w:rStyle w:val="FootnoteReference"/>
          <w:rFonts w:ascii="Arial" w:hAnsi="Arial" w:cs="Arial"/>
          <w:sz w:val="24"/>
          <w:szCs w:val="24"/>
        </w:rPr>
        <w:footnoteRef/>
      </w:r>
      <w:r w:rsidRPr="00E72647">
        <w:rPr>
          <w:rFonts w:ascii="Arial" w:hAnsi="Arial" w:cs="Arial"/>
          <w:sz w:val="24"/>
          <w:szCs w:val="24"/>
        </w:rPr>
        <w:t xml:space="preserve"> </w:t>
      </w:r>
      <w:r w:rsidRPr="00E72647">
        <w:rPr>
          <w:rFonts w:ascii="Arial" w:hAnsi="Arial" w:cs="Arial"/>
          <w:i/>
          <w:sz w:val="24"/>
          <w:szCs w:val="24"/>
        </w:rPr>
        <w:t>EC</w:t>
      </w:r>
      <w:r w:rsidRPr="00E72647">
        <w:rPr>
          <w:rFonts w:ascii="Arial" w:hAnsi="Arial" w:cs="Arial"/>
          <w:sz w:val="24"/>
          <w:szCs w:val="24"/>
        </w:rPr>
        <w:t xml:space="preserve"> Section 53071(c)</w:t>
      </w:r>
    </w:p>
  </w:footnote>
  <w:footnote w:id="5">
    <w:p w14:paraId="4C0C84C1" w14:textId="1F977A5B" w:rsidR="007C293B" w:rsidRPr="00E72647" w:rsidRDefault="007C293B">
      <w:pPr>
        <w:pStyle w:val="FootnoteText"/>
        <w:rPr>
          <w:sz w:val="24"/>
          <w:szCs w:val="24"/>
        </w:rPr>
      </w:pPr>
      <w:r w:rsidRPr="00E72647">
        <w:rPr>
          <w:rStyle w:val="FootnoteReference"/>
          <w:sz w:val="24"/>
          <w:szCs w:val="24"/>
        </w:rPr>
        <w:footnoteRef/>
      </w:r>
      <w:r w:rsidRPr="00E72647">
        <w:rPr>
          <w:sz w:val="24"/>
          <w:szCs w:val="24"/>
        </w:rPr>
        <w:t xml:space="preserve"> </w:t>
      </w:r>
      <w:r w:rsidRPr="00E72647">
        <w:rPr>
          <w:rFonts w:ascii="Arial" w:hAnsi="Arial" w:cs="Arial"/>
          <w:i/>
          <w:sz w:val="24"/>
          <w:szCs w:val="24"/>
        </w:rPr>
        <w:t>EC</w:t>
      </w:r>
      <w:r w:rsidRPr="00E72647">
        <w:rPr>
          <w:rFonts w:ascii="Arial" w:hAnsi="Arial" w:cs="Arial"/>
          <w:sz w:val="24"/>
          <w:szCs w:val="24"/>
        </w:rPr>
        <w:t xml:space="preserve"> </w:t>
      </w:r>
      <w:r w:rsidR="00BF5D4B" w:rsidRPr="00E72647">
        <w:rPr>
          <w:rFonts w:ascii="Arial" w:hAnsi="Arial" w:cs="Arial"/>
          <w:sz w:val="24"/>
          <w:szCs w:val="24"/>
        </w:rPr>
        <w:t>s</w:t>
      </w:r>
      <w:r w:rsidRPr="00E72647">
        <w:rPr>
          <w:rFonts w:ascii="Arial" w:hAnsi="Arial" w:cs="Arial"/>
          <w:sz w:val="24"/>
          <w:szCs w:val="24"/>
        </w:rPr>
        <w:t>ection</w:t>
      </w:r>
      <w:r w:rsidR="00BF5D4B" w:rsidRPr="00E72647">
        <w:rPr>
          <w:rFonts w:ascii="Arial" w:hAnsi="Arial" w:cs="Arial"/>
          <w:sz w:val="24"/>
          <w:szCs w:val="24"/>
        </w:rPr>
        <w:t>s</w:t>
      </w:r>
      <w:r w:rsidRPr="00E72647">
        <w:rPr>
          <w:rFonts w:ascii="Arial" w:hAnsi="Arial" w:cs="Arial"/>
          <w:sz w:val="24"/>
          <w:szCs w:val="24"/>
        </w:rPr>
        <w:t xml:space="preserve"> 53070</w:t>
      </w:r>
      <w:r w:rsidR="00BF5D4B" w:rsidRPr="00E72647">
        <w:rPr>
          <w:rFonts w:ascii="Arial" w:hAnsi="Arial" w:cs="Arial"/>
          <w:sz w:val="24"/>
          <w:szCs w:val="24"/>
        </w:rPr>
        <w:t>–53076.4</w:t>
      </w:r>
    </w:p>
  </w:footnote>
  <w:footnote w:id="6">
    <w:p w14:paraId="5A0F0643" w14:textId="74FFDF71" w:rsidR="00185340" w:rsidRPr="00E72647" w:rsidRDefault="00185340">
      <w:pPr>
        <w:pStyle w:val="FootnoteText"/>
        <w:rPr>
          <w:sz w:val="24"/>
          <w:szCs w:val="24"/>
        </w:rPr>
      </w:pPr>
      <w:r w:rsidRPr="00E72647">
        <w:rPr>
          <w:rStyle w:val="FootnoteReference"/>
          <w:rFonts w:ascii="Arial" w:hAnsi="Arial" w:cs="Arial"/>
          <w:sz w:val="24"/>
          <w:szCs w:val="24"/>
        </w:rPr>
        <w:footnoteRef/>
      </w:r>
      <w:r w:rsidRPr="00E72647">
        <w:rPr>
          <w:rFonts w:ascii="Arial" w:hAnsi="Arial" w:cs="Arial"/>
          <w:sz w:val="24"/>
          <w:szCs w:val="24"/>
        </w:rPr>
        <w:t xml:space="preserve"> </w:t>
      </w:r>
      <w:r w:rsidRPr="00E72647">
        <w:rPr>
          <w:rFonts w:ascii="Arial" w:eastAsia="Arial" w:hAnsi="Arial" w:cs="Arial"/>
          <w:i/>
          <w:sz w:val="24"/>
          <w:szCs w:val="24"/>
        </w:rPr>
        <w:t>EC</w:t>
      </w:r>
      <w:r w:rsidRPr="00E72647">
        <w:rPr>
          <w:rFonts w:ascii="Arial" w:eastAsia="Arial" w:hAnsi="Arial" w:cs="Arial"/>
          <w:sz w:val="24"/>
          <w:szCs w:val="24"/>
        </w:rPr>
        <w:t xml:space="preserve"> </w:t>
      </w:r>
      <w:r w:rsidR="00BF5D4B" w:rsidRPr="00E72647">
        <w:rPr>
          <w:rFonts w:ascii="Arial" w:eastAsia="Arial" w:hAnsi="Arial" w:cs="Arial"/>
          <w:sz w:val="24"/>
          <w:szCs w:val="24"/>
        </w:rPr>
        <w:t>S</w:t>
      </w:r>
      <w:r w:rsidRPr="00E72647">
        <w:rPr>
          <w:rFonts w:ascii="Arial" w:eastAsia="Arial" w:hAnsi="Arial" w:cs="Arial"/>
          <w:sz w:val="24"/>
          <w:szCs w:val="24"/>
        </w:rPr>
        <w:t>ection 53070.1(a)(</w:t>
      </w:r>
      <w:r w:rsidR="006761EA" w:rsidRPr="00E72647">
        <w:rPr>
          <w:rFonts w:ascii="Arial" w:eastAsia="Arial" w:hAnsi="Arial" w:cs="Arial"/>
          <w:sz w:val="24"/>
          <w:szCs w:val="24"/>
        </w:rPr>
        <w:t>2)(</w:t>
      </w:r>
      <w:r w:rsidRPr="00E72647">
        <w:rPr>
          <w:rFonts w:ascii="Arial" w:eastAsia="Arial" w:hAnsi="Arial" w:cs="Arial"/>
          <w:sz w:val="24"/>
          <w:szCs w:val="24"/>
        </w:rPr>
        <w:t>A</w:t>
      </w:r>
      <w:r w:rsidR="00005064" w:rsidRPr="00E72647">
        <w:rPr>
          <w:rFonts w:ascii="Arial" w:eastAsia="Arial" w:hAnsi="Arial" w:cs="Arial"/>
          <w:sz w:val="24"/>
          <w:szCs w:val="24"/>
        </w:rPr>
        <w:t>–C)</w:t>
      </w:r>
    </w:p>
  </w:footnote>
  <w:footnote w:id="7">
    <w:p w14:paraId="5091F5A9" w14:textId="2231058D" w:rsidR="00D35080" w:rsidRPr="00E72647" w:rsidRDefault="00D35080">
      <w:pPr>
        <w:pStyle w:val="FootnoteText"/>
        <w:rPr>
          <w:sz w:val="24"/>
          <w:szCs w:val="24"/>
        </w:rPr>
      </w:pPr>
      <w:r w:rsidRPr="00E72647">
        <w:rPr>
          <w:rStyle w:val="FootnoteReference"/>
          <w:sz w:val="24"/>
          <w:szCs w:val="24"/>
        </w:rPr>
        <w:footnoteRef/>
      </w:r>
      <w:r w:rsidRPr="00E72647">
        <w:rPr>
          <w:sz w:val="24"/>
          <w:szCs w:val="24"/>
        </w:rPr>
        <w:t xml:space="preserve"> </w:t>
      </w:r>
      <w:r w:rsidRPr="00E72647">
        <w:rPr>
          <w:rFonts w:ascii="Arial" w:hAnsi="Arial" w:cs="Arial"/>
          <w:i/>
          <w:sz w:val="24"/>
          <w:szCs w:val="24"/>
        </w:rPr>
        <w:t>EC</w:t>
      </w:r>
      <w:r w:rsidRPr="00E72647">
        <w:rPr>
          <w:rFonts w:ascii="Arial" w:hAnsi="Arial" w:cs="Arial"/>
          <w:sz w:val="24"/>
          <w:szCs w:val="24"/>
        </w:rPr>
        <w:t xml:space="preserve"> Section 53070.1(a)(2)(D)</w:t>
      </w:r>
    </w:p>
  </w:footnote>
  <w:footnote w:id="8">
    <w:p w14:paraId="2273CDD3" w14:textId="297CB64F" w:rsidR="006001FE" w:rsidRPr="00E72647" w:rsidRDefault="006001FE">
      <w:pPr>
        <w:pStyle w:val="FootnoteText"/>
        <w:rPr>
          <w:sz w:val="24"/>
          <w:szCs w:val="24"/>
        </w:rPr>
      </w:pPr>
      <w:r w:rsidRPr="00E72647">
        <w:rPr>
          <w:rStyle w:val="FootnoteReference"/>
          <w:sz w:val="24"/>
          <w:szCs w:val="24"/>
        </w:rPr>
        <w:footnoteRef/>
      </w:r>
      <w:r w:rsidRPr="00E72647">
        <w:rPr>
          <w:sz w:val="24"/>
          <w:szCs w:val="24"/>
        </w:rPr>
        <w:t xml:space="preserve"> </w:t>
      </w:r>
      <w:r w:rsidRPr="00E72647">
        <w:rPr>
          <w:rFonts w:ascii="Arial" w:hAnsi="Arial" w:cs="Arial"/>
          <w:i/>
          <w:sz w:val="24"/>
          <w:szCs w:val="24"/>
        </w:rPr>
        <w:t>EC</w:t>
      </w:r>
      <w:r w:rsidRPr="00E72647">
        <w:rPr>
          <w:rFonts w:ascii="Arial" w:hAnsi="Arial" w:cs="Arial"/>
          <w:sz w:val="24"/>
          <w:szCs w:val="24"/>
        </w:rPr>
        <w:t xml:space="preserve"> Section 53070.1(a)(1)</w:t>
      </w:r>
    </w:p>
  </w:footnote>
  <w:footnote w:id="9">
    <w:p w14:paraId="11117C06" w14:textId="22414C42" w:rsidR="006761EA" w:rsidRPr="00E72647" w:rsidRDefault="006761EA">
      <w:pPr>
        <w:pStyle w:val="FootnoteText"/>
        <w:rPr>
          <w:sz w:val="24"/>
          <w:szCs w:val="24"/>
        </w:rPr>
      </w:pPr>
      <w:r w:rsidRPr="00E72647">
        <w:rPr>
          <w:rStyle w:val="FootnoteReference"/>
          <w:sz w:val="24"/>
          <w:szCs w:val="24"/>
        </w:rPr>
        <w:footnoteRef/>
      </w:r>
      <w:r w:rsidRPr="00E72647">
        <w:rPr>
          <w:sz w:val="24"/>
          <w:szCs w:val="24"/>
        </w:rPr>
        <w:t xml:space="preserve"> </w:t>
      </w:r>
      <w:r w:rsidR="006A56B9" w:rsidRPr="00E72647">
        <w:rPr>
          <w:rFonts w:ascii="Arial" w:hAnsi="Arial" w:cs="Arial"/>
          <w:i/>
          <w:sz w:val="24"/>
          <w:szCs w:val="24"/>
        </w:rPr>
        <w:t>EC</w:t>
      </w:r>
      <w:r w:rsidR="006A56B9" w:rsidRPr="00E72647">
        <w:rPr>
          <w:rFonts w:ascii="Arial" w:hAnsi="Arial" w:cs="Arial"/>
          <w:sz w:val="24"/>
          <w:szCs w:val="24"/>
        </w:rPr>
        <w:t xml:space="preserve"> Section 53070.1(a)(2)(E)</w:t>
      </w:r>
    </w:p>
  </w:footnote>
  <w:footnote w:id="10">
    <w:p w14:paraId="31C16E71" w14:textId="2A31FEB2" w:rsidR="00DA1EA8" w:rsidRPr="00E72647" w:rsidRDefault="00DA1EA8" w:rsidP="00DA1EA8">
      <w:pPr>
        <w:pStyle w:val="FootnoteText"/>
        <w:rPr>
          <w:rFonts w:ascii="Arial" w:hAnsi="Arial" w:cs="Arial"/>
          <w:sz w:val="24"/>
          <w:szCs w:val="24"/>
        </w:rPr>
      </w:pPr>
      <w:r w:rsidRPr="00E72647">
        <w:rPr>
          <w:rStyle w:val="FootnoteReference"/>
          <w:rFonts w:ascii="Arial" w:hAnsi="Arial" w:cs="Arial"/>
          <w:sz w:val="24"/>
          <w:szCs w:val="24"/>
        </w:rPr>
        <w:footnoteRef/>
      </w:r>
      <w:r w:rsidRPr="00E72647">
        <w:rPr>
          <w:rFonts w:ascii="Arial" w:hAnsi="Arial" w:cs="Arial"/>
          <w:sz w:val="24"/>
          <w:szCs w:val="24"/>
        </w:rPr>
        <w:t xml:space="preserve"> </w:t>
      </w:r>
      <w:r w:rsidRPr="00E72647">
        <w:rPr>
          <w:rFonts w:ascii="Arial" w:hAnsi="Arial" w:cs="Arial"/>
          <w:i/>
          <w:sz w:val="24"/>
          <w:szCs w:val="24"/>
        </w:rPr>
        <w:t>EC</w:t>
      </w:r>
      <w:r w:rsidRPr="00E72647">
        <w:rPr>
          <w:rFonts w:ascii="Arial" w:hAnsi="Arial" w:cs="Arial"/>
          <w:sz w:val="24"/>
          <w:szCs w:val="24"/>
        </w:rPr>
        <w:t xml:space="preserve"> Section 53071(b)</w:t>
      </w:r>
    </w:p>
  </w:footnote>
  <w:footnote w:id="11">
    <w:p w14:paraId="50D06B21" w14:textId="3D3252CF" w:rsidR="00AE652E" w:rsidRPr="00E72647" w:rsidRDefault="00AE652E">
      <w:pPr>
        <w:pStyle w:val="FootnoteText"/>
        <w:rPr>
          <w:rFonts w:ascii="Arial" w:hAnsi="Arial" w:cs="Arial"/>
          <w:sz w:val="24"/>
          <w:szCs w:val="24"/>
        </w:rPr>
      </w:pPr>
      <w:r w:rsidRPr="00E72647">
        <w:rPr>
          <w:rStyle w:val="FootnoteReference"/>
          <w:rFonts w:ascii="Arial" w:hAnsi="Arial" w:cs="Arial"/>
          <w:sz w:val="24"/>
          <w:szCs w:val="24"/>
        </w:rPr>
        <w:footnoteRef/>
      </w:r>
      <w:r w:rsidRPr="00E72647">
        <w:rPr>
          <w:rFonts w:ascii="Arial" w:hAnsi="Arial" w:cs="Arial"/>
          <w:sz w:val="24"/>
          <w:szCs w:val="24"/>
        </w:rPr>
        <w:t xml:space="preserve"> See Appendix A</w:t>
      </w:r>
      <w:r w:rsidR="009040B7" w:rsidRPr="00E72647">
        <w:rPr>
          <w:rFonts w:ascii="Arial" w:hAnsi="Arial" w:cs="Arial"/>
          <w:sz w:val="24"/>
          <w:szCs w:val="24"/>
        </w:rPr>
        <w:t>: 202</w:t>
      </w:r>
      <w:r w:rsidR="001A0A76" w:rsidRPr="00E72647">
        <w:rPr>
          <w:rFonts w:ascii="Arial" w:hAnsi="Arial" w:cs="Arial"/>
          <w:sz w:val="24"/>
          <w:szCs w:val="24"/>
        </w:rPr>
        <w:t>2</w:t>
      </w:r>
      <w:r w:rsidR="009040B7" w:rsidRPr="00E72647">
        <w:rPr>
          <w:rFonts w:ascii="Arial" w:hAnsi="Arial" w:cs="Arial"/>
          <w:sz w:val="24"/>
          <w:szCs w:val="24"/>
        </w:rPr>
        <w:t>–2</w:t>
      </w:r>
      <w:r w:rsidR="001A0A76" w:rsidRPr="00E72647">
        <w:rPr>
          <w:rFonts w:ascii="Arial" w:hAnsi="Arial" w:cs="Arial"/>
          <w:sz w:val="24"/>
          <w:szCs w:val="24"/>
        </w:rPr>
        <w:t>3</w:t>
      </w:r>
      <w:r w:rsidR="007E2F39" w:rsidRPr="00E72647">
        <w:rPr>
          <w:rFonts w:ascii="Arial" w:hAnsi="Arial" w:cs="Arial"/>
          <w:sz w:val="24"/>
          <w:szCs w:val="24"/>
        </w:rPr>
        <w:t xml:space="preserve"> CTEIG Three-Year Budget</w:t>
      </w:r>
    </w:p>
  </w:footnote>
  <w:footnote w:id="12">
    <w:p w14:paraId="7A4FABDE" w14:textId="77777777" w:rsidR="001A0A76" w:rsidRPr="009845CC" w:rsidRDefault="001A0A76" w:rsidP="001A0A76">
      <w:pPr>
        <w:pStyle w:val="FootnoteText"/>
        <w:rPr>
          <w:rFonts w:ascii="Arial" w:hAnsi="Arial" w:cs="Arial"/>
        </w:rPr>
      </w:pPr>
      <w:r w:rsidRPr="00E72647">
        <w:rPr>
          <w:rStyle w:val="FootnoteReference"/>
          <w:rFonts w:ascii="Arial" w:hAnsi="Arial" w:cs="Arial"/>
          <w:sz w:val="24"/>
          <w:szCs w:val="24"/>
        </w:rPr>
        <w:footnoteRef/>
      </w:r>
      <w:r w:rsidRPr="00E72647">
        <w:rPr>
          <w:rFonts w:ascii="Arial" w:hAnsi="Arial" w:cs="Arial"/>
          <w:sz w:val="24"/>
          <w:szCs w:val="24"/>
        </w:rPr>
        <w:t xml:space="preserve"> See Appendix B: 2022–23 CTEIG RFA Object Code Chart</w:t>
      </w:r>
    </w:p>
  </w:footnote>
  <w:footnote w:id="13">
    <w:p w14:paraId="3F18C7D3" w14:textId="6FCD4A3A" w:rsidR="008F451B" w:rsidRPr="00E72647" w:rsidRDefault="008F451B">
      <w:pPr>
        <w:pStyle w:val="FootnoteText"/>
        <w:rPr>
          <w:sz w:val="24"/>
        </w:rPr>
      </w:pPr>
      <w:r w:rsidRPr="00E72647">
        <w:rPr>
          <w:rStyle w:val="FootnoteReference"/>
          <w:sz w:val="24"/>
        </w:rPr>
        <w:footnoteRef/>
      </w:r>
      <w:r w:rsidRPr="00E72647">
        <w:rPr>
          <w:sz w:val="24"/>
        </w:rPr>
        <w:t xml:space="preserve"> </w:t>
      </w:r>
      <w:r w:rsidRPr="00E72647">
        <w:rPr>
          <w:rFonts w:ascii="Arial" w:hAnsi="Arial" w:cs="Arial"/>
          <w:i/>
          <w:sz w:val="24"/>
        </w:rPr>
        <w:t>EC</w:t>
      </w:r>
      <w:r w:rsidRPr="00E72647">
        <w:rPr>
          <w:rFonts w:ascii="Arial" w:hAnsi="Arial" w:cs="Arial"/>
          <w:sz w:val="24"/>
        </w:rPr>
        <w:t xml:space="preserve"> Section 53076(d)</w:t>
      </w:r>
    </w:p>
  </w:footnote>
  <w:footnote w:id="14">
    <w:p w14:paraId="6DEE5B28" w14:textId="00FD7513" w:rsidR="00375D9A" w:rsidRPr="00E72647" w:rsidRDefault="00375D9A">
      <w:pPr>
        <w:pStyle w:val="FootnoteText"/>
        <w:rPr>
          <w:sz w:val="24"/>
        </w:rPr>
      </w:pPr>
      <w:r w:rsidRPr="00E72647">
        <w:rPr>
          <w:rStyle w:val="FootnoteReference"/>
          <w:sz w:val="24"/>
        </w:rPr>
        <w:footnoteRef/>
      </w:r>
      <w:r w:rsidRPr="00E72647">
        <w:rPr>
          <w:sz w:val="24"/>
        </w:rPr>
        <w:t xml:space="preserve"> </w:t>
      </w:r>
      <w:r w:rsidRPr="00E72647">
        <w:rPr>
          <w:rFonts w:ascii="Arial" w:hAnsi="Arial" w:cs="Arial"/>
          <w:i/>
          <w:sz w:val="24"/>
        </w:rPr>
        <w:t>EC</w:t>
      </w:r>
      <w:r w:rsidRPr="00E72647">
        <w:rPr>
          <w:rFonts w:ascii="Arial" w:hAnsi="Arial" w:cs="Arial"/>
          <w:sz w:val="24"/>
        </w:rPr>
        <w:t xml:space="preserve"> Section 53071(c)(11)(A)</w:t>
      </w:r>
    </w:p>
  </w:footnote>
  <w:footnote w:id="15">
    <w:p w14:paraId="1A22B7C4" w14:textId="1C9AC36C" w:rsidR="00590BDC" w:rsidRDefault="00590BDC">
      <w:pPr>
        <w:pStyle w:val="FootnoteText"/>
      </w:pPr>
      <w:r w:rsidRPr="00E72647">
        <w:rPr>
          <w:rStyle w:val="FootnoteReference"/>
          <w:sz w:val="24"/>
        </w:rPr>
        <w:footnoteRef/>
      </w:r>
      <w:r w:rsidRPr="00E72647">
        <w:rPr>
          <w:sz w:val="24"/>
        </w:rPr>
        <w:t xml:space="preserve"> </w:t>
      </w:r>
      <w:r w:rsidRPr="00E72647">
        <w:rPr>
          <w:rFonts w:ascii="Arial" w:hAnsi="Arial" w:cs="Arial"/>
          <w:sz w:val="24"/>
        </w:rPr>
        <w:t xml:space="preserve">See </w:t>
      </w:r>
      <w:r w:rsidRPr="00E72647">
        <w:rPr>
          <w:rFonts w:ascii="Arial" w:hAnsi="Arial" w:cs="Arial"/>
          <w:i/>
          <w:sz w:val="24"/>
        </w:rPr>
        <w:t>EC</w:t>
      </w:r>
      <w:r w:rsidRPr="00E72647">
        <w:rPr>
          <w:rFonts w:ascii="Arial" w:hAnsi="Arial" w:cs="Arial"/>
          <w:sz w:val="24"/>
        </w:rPr>
        <w:t xml:space="preserve"> Section 53071(c)(11)(C)(i)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2804"/>
    <w:multiLevelType w:val="multilevel"/>
    <w:tmpl w:val="BB3ED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A907D8"/>
    <w:multiLevelType w:val="hybridMultilevel"/>
    <w:tmpl w:val="1AD856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80A49"/>
    <w:multiLevelType w:val="hybridMultilevel"/>
    <w:tmpl w:val="6B6CA18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B64A94"/>
    <w:multiLevelType w:val="hybridMultilevel"/>
    <w:tmpl w:val="79123AB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7AA2D3E"/>
    <w:multiLevelType w:val="hybridMultilevel"/>
    <w:tmpl w:val="CE645BD8"/>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BE74E1D"/>
    <w:multiLevelType w:val="hybridMultilevel"/>
    <w:tmpl w:val="068EF6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367B92"/>
    <w:multiLevelType w:val="hybridMultilevel"/>
    <w:tmpl w:val="BB0A002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E2F652A"/>
    <w:multiLevelType w:val="hybridMultilevel"/>
    <w:tmpl w:val="9814AB66"/>
    <w:lvl w:ilvl="0" w:tplc="58FE96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F33814"/>
    <w:multiLevelType w:val="hybridMultilevel"/>
    <w:tmpl w:val="25C68B3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5DF3DDB"/>
    <w:multiLevelType w:val="hybridMultilevel"/>
    <w:tmpl w:val="549E8DC4"/>
    <w:lvl w:ilvl="0" w:tplc="342ABD4C">
      <w:start w:val="1"/>
      <w:numFmt w:val="bullet"/>
      <w:lvlText w:val="•"/>
      <w:lvlJc w:val="left"/>
      <w:pPr>
        <w:tabs>
          <w:tab w:val="num" w:pos="720"/>
        </w:tabs>
        <w:ind w:left="720" w:hanging="360"/>
      </w:pPr>
      <w:rPr>
        <w:rFonts w:ascii="Arial" w:hAnsi="Arial" w:hint="default"/>
      </w:rPr>
    </w:lvl>
    <w:lvl w:ilvl="1" w:tplc="B47435D8" w:tentative="1">
      <w:start w:val="1"/>
      <w:numFmt w:val="bullet"/>
      <w:lvlText w:val="•"/>
      <w:lvlJc w:val="left"/>
      <w:pPr>
        <w:tabs>
          <w:tab w:val="num" w:pos="1440"/>
        </w:tabs>
        <w:ind w:left="1440" w:hanging="360"/>
      </w:pPr>
      <w:rPr>
        <w:rFonts w:ascii="Arial" w:hAnsi="Arial" w:hint="default"/>
      </w:rPr>
    </w:lvl>
    <w:lvl w:ilvl="2" w:tplc="0972D80A" w:tentative="1">
      <w:start w:val="1"/>
      <w:numFmt w:val="bullet"/>
      <w:lvlText w:val="•"/>
      <w:lvlJc w:val="left"/>
      <w:pPr>
        <w:tabs>
          <w:tab w:val="num" w:pos="2160"/>
        </w:tabs>
        <w:ind w:left="2160" w:hanging="360"/>
      </w:pPr>
      <w:rPr>
        <w:rFonts w:ascii="Arial" w:hAnsi="Arial" w:hint="default"/>
      </w:rPr>
    </w:lvl>
    <w:lvl w:ilvl="3" w:tplc="8F286F4C" w:tentative="1">
      <w:start w:val="1"/>
      <w:numFmt w:val="bullet"/>
      <w:lvlText w:val="•"/>
      <w:lvlJc w:val="left"/>
      <w:pPr>
        <w:tabs>
          <w:tab w:val="num" w:pos="2880"/>
        </w:tabs>
        <w:ind w:left="2880" w:hanging="360"/>
      </w:pPr>
      <w:rPr>
        <w:rFonts w:ascii="Arial" w:hAnsi="Arial" w:hint="default"/>
      </w:rPr>
    </w:lvl>
    <w:lvl w:ilvl="4" w:tplc="105C0982" w:tentative="1">
      <w:start w:val="1"/>
      <w:numFmt w:val="bullet"/>
      <w:lvlText w:val="•"/>
      <w:lvlJc w:val="left"/>
      <w:pPr>
        <w:tabs>
          <w:tab w:val="num" w:pos="3600"/>
        </w:tabs>
        <w:ind w:left="3600" w:hanging="360"/>
      </w:pPr>
      <w:rPr>
        <w:rFonts w:ascii="Arial" w:hAnsi="Arial" w:hint="default"/>
      </w:rPr>
    </w:lvl>
    <w:lvl w:ilvl="5" w:tplc="2D52EF04" w:tentative="1">
      <w:start w:val="1"/>
      <w:numFmt w:val="bullet"/>
      <w:lvlText w:val="•"/>
      <w:lvlJc w:val="left"/>
      <w:pPr>
        <w:tabs>
          <w:tab w:val="num" w:pos="4320"/>
        </w:tabs>
        <w:ind w:left="4320" w:hanging="360"/>
      </w:pPr>
      <w:rPr>
        <w:rFonts w:ascii="Arial" w:hAnsi="Arial" w:hint="default"/>
      </w:rPr>
    </w:lvl>
    <w:lvl w:ilvl="6" w:tplc="25AA5252" w:tentative="1">
      <w:start w:val="1"/>
      <w:numFmt w:val="bullet"/>
      <w:lvlText w:val="•"/>
      <w:lvlJc w:val="left"/>
      <w:pPr>
        <w:tabs>
          <w:tab w:val="num" w:pos="5040"/>
        </w:tabs>
        <w:ind w:left="5040" w:hanging="360"/>
      </w:pPr>
      <w:rPr>
        <w:rFonts w:ascii="Arial" w:hAnsi="Arial" w:hint="default"/>
      </w:rPr>
    </w:lvl>
    <w:lvl w:ilvl="7" w:tplc="6E204614" w:tentative="1">
      <w:start w:val="1"/>
      <w:numFmt w:val="bullet"/>
      <w:lvlText w:val="•"/>
      <w:lvlJc w:val="left"/>
      <w:pPr>
        <w:tabs>
          <w:tab w:val="num" w:pos="5760"/>
        </w:tabs>
        <w:ind w:left="5760" w:hanging="360"/>
      </w:pPr>
      <w:rPr>
        <w:rFonts w:ascii="Arial" w:hAnsi="Arial" w:hint="default"/>
      </w:rPr>
    </w:lvl>
    <w:lvl w:ilvl="8" w:tplc="E16C925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78B67EE"/>
    <w:multiLevelType w:val="hybridMultilevel"/>
    <w:tmpl w:val="A308182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C9703D1"/>
    <w:multiLevelType w:val="hybridMultilevel"/>
    <w:tmpl w:val="39E0A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924381"/>
    <w:multiLevelType w:val="hybridMultilevel"/>
    <w:tmpl w:val="DC5415CC"/>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43538A4"/>
    <w:multiLevelType w:val="hybridMultilevel"/>
    <w:tmpl w:val="57085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6610B9"/>
    <w:multiLevelType w:val="hybridMultilevel"/>
    <w:tmpl w:val="73EA7A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B548B9"/>
    <w:multiLevelType w:val="multilevel"/>
    <w:tmpl w:val="4DFC10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A326EEA"/>
    <w:multiLevelType w:val="hybridMultilevel"/>
    <w:tmpl w:val="DDEEB5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C06297"/>
    <w:multiLevelType w:val="hybridMultilevel"/>
    <w:tmpl w:val="307A1A3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1BD6368"/>
    <w:multiLevelType w:val="multilevel"/>
    <w:tmpl w:val="B9407AA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B794E31"/>
    <w:multiLevelType w:val="hybridMultilevel"/>
    <w:tmpl w:val="C66CBC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9130A7"/>
    <w:multiLevelType w:val="multilevel"/>
    <w:tmpl w:val="74E4DA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94A5C65"/>
    <w:multiLevelType w:val="hybridMultilevel"/>
    <w:tmpl w:val="BD7A9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550FCC"/>
    <w:multiLevelType w:val="hybridMultilevel"/>
    <w:tmpl w:val="884E9A9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96C5174"/>
    <w:multiLevelType w:val="hybridMultilevel"/>
    <w:tmpl w:val="1AA21B0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AD86BDF"/>
    <w:multiLevelType w:val="hybridMultilevel"/>
    <w:tmpl w:val="509E182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C1C6D11"/>
    <w:multiLevelType w:val="hybridMultilevel"/>
    <w:tmpl w:val="5322A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BE1747"/>
    <w:multiLevelType w:val="hybridMultilevel"/>
    <w:tmpl w:val="45B4569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1B770A9"/>
    <w:multiLevelType w:val="hybridMultilevel"/>
    <w:tmpl w:val="88B624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F11FE3"/>
    <w:multiLevelType w:val="hybridMultilevel"/>
    <w:tmpl w:val="02CEF15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4E6167E"/>
    <w:multiLevelType w:val="hybridMultilevel"/>
    <w:tmpl w:val="1FA42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430159"/>
    <w:multiLevelType w:val="hybridMultilevel"/>
    <w:tmpl w:val="D77E770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A712FF1"/>
    <w:multiLevelType w:val="multilevel"/>
    <w:tmpl w:val="D0E0A8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A951E7A"/>
    <w:multiLevelType w:val="hybridMultilevel"/>
    <w:tmpl w:val="DD56BB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C813AB"/>
    <w:multiLevelType w:val="multilevel"/>
    <w:tmpl w:val="79004F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F753AD6"/>
    <w:multiLevelType w:val="hybridMultilevel"/>
    <w:tmpl w:val="CDDAB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D915F9"/>
    <w:multiLevelType w:val="hybridMultilevel"/>
    <w:tmpl w:val="622A830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11F71C3"/>
    <w:multiLevelType w:val="hybridMultilevel"/>
    <w:tmpl w:val="29F89C1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2364300"/>
    <w:multiLevelType w:val="hybridMultilevel"/>
    <w:tmpl w:val="0F1C246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98D5CA0"/>
    <w:multiLevelType w:val="hybridMultilevel"/>
    <w:tmpl w:val="48FAEC2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BD57D99"/>
    <w:multiLevelType w:val="hybridMultilevel"/>
    <w:tmpl w:val="442A8F1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115779492">
    <w:abstractNumId w:val="16"/>
  </w:num>
  <w:num w:numId="2" w16cid:durableId="2001880031">
    <w:abstractNumId w:val="8"/>
  </w:num>
  <w:num w:numId="3" w16cid:durableId="1039236894">
    <w:abstractNumId w:val="17"/>
  </w:num>
  <w:num w:numId="4" w16cid:durableId="1084298467">
    <w:abstractNumId w:val="28"/>
  </w:num>
  <w:num w:numId="5" w16cid:durableId="840899197">
    <w:abstractNumId w:val="37"/>
  </w:num>
  <w:num w:numId="6" w16cid:durableId="789932800">
    <w:abstractNumId w:val="23"/>
  </w:num>
  <w:num w:numId="7" w16cid:durableId="1831287289">
    <w:abstractNumId w:val="35"/>
  </w:num>
  <w:num w:numId="8" w16cid:durableId="209997939">
    <w:abstractNumId w:val="12"/>
  </w:num>
  <w:num w:numId="9" w16cid:durableId="499008369">
    <w:abstractNumId w:val="36"/>
  </w:num>
  <w:num w:numId="10" w16cid:durableId="256059224">
    <w:abstractNumId w:val="22"/>
  </w:num>
  <w:num w:numId="11" w16cid:durableId="1195265241">
    <w:abstractNumId w:val="14"/>
  </w:num>
  <w:num w:numId="12" w16cid:durableId="1563325127">
    <w:abstractNumId w:val="9"/>
  </w:num>
  <w:num w:numId="13" w16cid:durableId="109516459">
    <w:abstractNumId w:val="2"/>
  </w:num>
  <w:num w:numId="14" w16cid:durableId="553733637">
    <w:abstractNumId w:val="24"/>
  </w:num>
  <w:num w:numId="15" w16cid:durableId="420300369">
    <w:abstractNumId w:val="26"/>
  </w:num>
  <w:num w:numId="16" w16cid:durableId="1552499462">
    <w:abstractNumId w:val="39"/>
  </w:num>
  <w:num w:numId="17" w16cid:durableId="740104576">
    <w:abstractNumId w:val="10"/>
  </w:num>
  <w:num w:numId="18" w16cid:durableId="381246844">
    <w:abstractNumId w:val="38"/>
  </w:num>
  <w:num w:numId="19" w16cid:durableId="1608538741">
    <w:abstractNumId w:val="6"/>
  </w:num>
  <w:num w:numId="20" w16cid:durableId="812791987">
    <w:abstractNumId w:val="30"/>
  </w:num>
  <w:num w:numId="21" w16cid:durableId="302514876">
    <w:abstractNumId w:val="4"/>
  </w:num>
  <w:num w:numId="22" w16cid:durableId="1914124121">
    <w:abstractNumId w:val="7"/>
  </w:num>
  <w:num w:numId="23" w16cid:durableId="244075607">
    <w:abstractNumId w:val="25"/>
  </w:num>
  <w:num w:numId="24" w16cid:durableId="1602566613">
    <w:abstractNumId w:val="3"/>
  </w:num>
  <w:num w:numId="25" w16cid:durableId="497305539">
    <w:abstractNumId w:val="5"/>
  </w:num>
  <w:num w:numId="26" w16cid:durableId="1799178940">
    <w:abstractNumId w:val="0"/>
  </w:num>
  <w:num w:numId="27" w16cid:durableId="1580095611">
    <w:abstractNumId w:val="15"/>
  </w:num>
  <w:num w:numId="28" w16cid:durableId="1428621706">
    <w:abstractNumId w:val="31"/>
  </w:num>
  <w:num w:numId="29" w16cid:durableId="1500345914">
    <w:abstractNumId w:val="33"/>
  </w:num>
  <w:num w:numId="30" w16cid:durableId="1063677900">
    <w:abstractNumId w:val="20"/>
  </w:num>
  <w:num w:numId="31" w16cid:durableId="1957591511">
    <w:abstractNumId w:val="18"/>
  </w:num>
  <w:num w:numId="32" w16cid:durableId="1092045762">
    <w:abstractNumId w:val="11"/>
  </w:num>
  <w:num w:numId="33" w16cid:durableId="1263103025">
    <w:abstractNumId w:val="13"/>
  </w:num>
  <w:num w:numId="34" w16cid:durableId="752318297">
    <w:abstractNumId w:val="34"/>
  </w:num>
  <w:num w:numId="35" w16cid:durableId="1717004977">
    <w:abstractNumId w:val="29"/>
  </w:num>
  <w:num w:numId="36" w16cid:durableId="1633516089">
    <w:abstractNumId w:val="21"/>
  </w:num>
  <w:num w:numId="37" w16cid:durableId="2040934012">
    <w:abstractNumId w:val="27"/>
  </w:num>
  <w:num w:numId="38" w16cid:durableId="165293685">
    <w:abstractNumId w:val="19"/>
  </w:num>
  <w:num w:numId="39" w16cid:durableId="786505987">
    <w:abstractNumId w:val="32"/>
  </w:num>
  <w:num w:numId="40" w16cid:durableId="1994790578">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DA0"/>
    <w:rsid w:val="00000FBF"/>
    <w:rsid w:val="00005064"/>
    <w:rsid w:val="000071B8"/>
    <w:rsid w:val="00011A32"/>
    <w:rsid w:val="00012990"/>
    <w:rsid w:val="00021E2D"/>
    <w:rsid w:val="00030A1B"/>
    <w:rsid w:val="000314D9"/>
    <w:rsid w:val="000326D5"/>
    <w:rsid w:val="00032B59"/>
    <w:rsid w:val="0003386C"/>
    <w:rsid w:val="00037686"/>
    <w:rsid w:val="00052FFA"/>
    <w:rsid w:val="00055E32"/>
    <w:rsid w:val="00057444"/>
    <w:rsid w:val="000629D8"/>
    <w:rsid w:val="00063655"/>
    <w:rsid w:val="00072252"/>
    <w:rsid w:val="00073DBD"/>
    <w:rsid w:val="00074AB9"/>
    <w:rsid w:val="0007538C"/>
    <w:rsid w:val="000766B1"/>
    <w:rsid w:val="00077C0B"/>
    <w:rsid w:val="00082874"/>
    <w:rsid w:val="000830FB"/>
    <w:rsid w:val="000838F2"/>
    <w:rsid w:val="000840F7"/>
    <w:rsid w:val="00086302"/>
    <w:rsid w:val="00092090"/>
    <w:rsid w:val="00093203"/>
    <w:rsid w:val="00094116"/>
    <w:rsid w:val="00094495"/>
    <w:rsid w:val="000A57E4"/>
    <w:rsid w:val="000A598F"/>
    <w:rsid w:val="000A5EF1"/>
    <w:rsid w:val="000A69FD"/>
    <w:rsid w:val="000A79D6"/>
    <w:rsid w:val="000B29BB"/>
    <w:rsid w:val="000B3DF2"/>
    <w:rsid w:val="000B5DE5"/>
    <w:rsid w:val="000C01A9"/>
    <w:rsid w:val="000C29CF"/>
    <w:rsid w:val="000C5EB9"/>
    <w:rsid w:val="000C5F08"/>
    <w:rsid w:val="000D08F2"/>
    <w:rsid w:val="000D3BCE"/>
    <w:rsid w:val="000D4E04"/>
    <w:rsid w:val="000D5100"/>
    <w:rsid w:val="000D5824"/>
    <w:rsid w:val="000D6BC1"/>
    <w:rsid w:val="000E03BE"/>
    <w:rsid w:val="000E5B05"/>
    <w:rsid w:val="000F049D"/>
    <w:rsid w:val="000F1BA7"/>
    <w:rsid w:val="00100316"/>
    <w:rsid w:val="001019A3"/>
    <w:rsid w:val="00103159"/>
    <w:rsid w:val="00105086"/>
    <w:rsid w:val="0010581D"/>
    <w:rsid w:val="00105AEB"/>
    <w:rsid w:val="00112257"/>
    <w:rsid w:val="00116841"/>
    <w:rsid w:val="001217B1"/>
    <w:rsid w:val="0012232E"/>
    <w:rsid w:val="00125B5D"/>
    <w:rsid w:val="00143864"/>
    <w:rsid w:val="00146ECD"/>
    <w:rsid w:val="0015489E"/>
    <w:rsid w:val="00155C30"/>
    <w:rsid w:val="00156484"/>
    <w:rsid w:val="001564DF"/>
    <w:rsid w:val="00156903"/>
    <w:rsid w:val="00157CD0"/>
    <w:rsid w:val="00160143"/>
    <w:rsid w:val="00161DB7"/>
    <w:rsid w:val="001626DF"/>
    <w:rsid w:val="00164755"/>
    <w:rsid w:val="001737E1"/>
    <w:rsid w:val="00173DCE"/>
    <w:rsid w:val="00175BC6"/>
    <w:rsid w:val="00184765"/>
    <w:rsid w:val="00185340"/>
    <w:rsid w:val="00186BD7"/>
    <w:rsid w:val="00191CD4"/>
    <w:rsid w:val="00191EBE"/>
    <w:rsid w:val="00192508"/>
    <w:rsid w:val="00192BD0"/>
    <w:rsid w:val="001A0A76"/>
    <w:rsid w:val="001A2A92"/>
    <w:rsid w:val="001A4B9C"/>
    <w:rsid w:val="001B003F"/>
    <w:rsid w:val="001B10EA"/>
    <w:rsid w:val="001B254F"/>
    <w:rsid w:val="001B2884"/>
    <w:rsid w:val="001B5C88"/>
    <w:rsid w:val="001B6278"/>
    <w:rsid w:val="001B6E2E"/>
    <w:rsid w:val="001C251C"/>
    <w:rsid w:val="001C3C00"/>
    <w:rsid w:val="001C52DE"/>
    <w:rsid w:val="001C78A1"/>
    <w:rsid w:val="001D10B7"/>
    <w:rsid w:val="001D3F2B"/>
    <w:rsid w:val="001E1196"/>
    <w:rsid w:val="001E195B"/>
    <w:rsid w:val="001F07EC"/>
    <w:rsid w:val="001F1AE7"/>
    <w:rsid w:val="001F33A6"/>
    <w:rsid w:val="001F3C83"/>
    <w:rsid w:val="001F6AAC"/>
    <w:rsid w:val="001F6FE4"/>
    <w:rsid w:val="00203A52"/>
    <w:rsid w:val="00210FF7"/>
    <w:rsid w:val="002255BF"/>
    <w:rsid w:val="00234443"/>
    <w:rsid w:val="00237437"/>
    <w:rsid w:val="00244C12"/>
    <w:rsid w:val="002506B8"/>
    <w:rsid w:val="00250B86"/>
    <w:rsid w:val="00250DAC"/>
    <w:rsid w:val="00253318"/>
    <w:rsid w:val="00260D02"/>
    <w:rsid w:val="00261BB4"/>
    <w:rsid w:val="0026353F"/>
    <w:rsid w:val="00263859"/>
    <w:rsid w:val="00265B81"/>
    <w:rsid w:val="002708E9"/>
    <w:rsid w:val="00271C6A"/>
    <w:rsid w:val="002737A4"/>
    <w:rsid w:val="00273FE6"/>
    <w:rsid w:val="00276072"/>
    <w:rsid w:val="002769ED"/>
    <w:rsid w:val="0027739E"/>
    <w:rsid w:val="0028140F"/>
    <w:rsid w:val="00283238"/>
    <w:rsid w:val="00290C38"/>
    <w:rsid w:val="0029344F"/>
    <w:rsid w:val="00293AE3"/>
    <w:rsid w:val="00293CC4"/>
    <w:rsid w:val="002A2063"/>
    <w:rsid w:val="002A3727"/>
    <w:rsid w:val="002A6764"/>
    <w:rsid w:val="002A6A94"/>
    <w:rsid w:val="002A71FC"/>
    <w:rsid w:val="002A77B4"/>
    <w:rsid w:val="002B3D24"/>
    <w:rsid w:val="002B5A94"/>
    <w:rsid w:val="002B6D61"/>
    <w:rsid w:val="002B7C0B"/>
    <w:rsid w:val="002C1461"/>
    <w:rsid w:val="002C2D64"/>
    <w:rsid w:val="002C4179"/>
    <w:rsid w:val="002D13AF"/>
    <w:rsid w:val="002D158F"/>
    <w:rsid w:val="002D6FDE"/>
    <w:rsid w:val="002D7196"/>
    <w:rsid w:val="002D74CA"/>
    <w:rsid w:val="002E2E83"/>
    <w:rsid w:val="002E33DE"/>
    <w:rsid w:val="002E49CE"/>
    <w:rsid w:val="002E76E6"/>
    <w:rsid w:val="002E7AFB"/>
    <w:rsid w:val="002F0818"/>
    <w:rsid w:val="002F2EAB"/>
    <w:rsid w:val="002F3038"/>
    <w:rsid w:val="003008A1"/>
    <w:rsid w:val="003009F9"/>
    <w:rsid w:val="00300B34"/>
    <w:rsid w:val="00301CE2"/>
    <w:rsid w:val="003035E4"/>
    <w:rsid w:val="00303763"/>
    <w:rsid w:val="00315109"/>
    <w:rsid w:val="0031591D"/>
    <w:rsid w:val="00317136"/>
    <w:rsid w:val="00317A1F"/>
    <w:rsid w:val="00320237"/>
    <w:rsid w:val="00322C8E"/>
    <w:rsid w:val="0032572B"/>
    <w:rsid w:val="00326CD5"/>
    <w:rsid w:val="00330ABC"/>
    <w:rsid w:val="00336D43"/>
    <w:rsid w:val="00346F99"/>
    <w:rsid w:val="00350A42"/>
    <w:rsid w:val="00351B92"/>
    <w:rsid w:val="00353D16"/>
    <w:rsid w:val="00355B34"/>
    <w:rsid w:val="00357215"/>
    <w:rsid w:val="00357D98"/>
    <w:rsid w:val="00365462"/>
    <w:rsid w:val="00365BF1"/>
    <w:rsid w:val="00367D09"/>
    <w:rsid w:val="00370C71"/>
    <w:rsid w:val="00372200"/>
    <w:rsid w:val="00373BEB"/>
    <w:rsid w:val="00375D9A"/>
    <w:rsid w:val="003773AA"/>
    <w:rsid w:val="0037763B"/>
    <w:rsid w:val="00384036"/>
    <w:rsid w:val="00384E27"/>
    <w:rsid w:val="00386C8C"/>
    <w:rsid w:val="00387435"/>
    <w:rsid w:val="00390F0F"/>
    <w:rsid w:val="00393668"/>
    <w:rsid w:val="00394C12"/>
    <w:rsid w:val="00395138"/>
    <w:rsid w:val="0039542A"/>
    <w:rsid w:val="00395F29"/>
    <w:rsid w:val="003A7AFC"/>
    <w:rsid w:val="003B069B"/>
    <w:rsid w:val="003B0CF6"/>
    <w:rsid w:val="003B0D08"/>
    <w:rsid w:val="003B4EED"/>
    <w:rsid w:val="003B533D"/>
    <w:rsid w:val="003B5992"/>
    <w:rsid w:val="003B6268"/>
    <w:rsid w:val="003C2F70"/>
    <w:rsid w:val="003C3A17"/>
    <w:rsid w:val="003C4D76"/>
    <w:rsid w:val="003C5338"/>
    <w:rsid w:val="003C5FE6"/>
    <w:rsid w:val="003C644B"/>
    <w:rsid w:val="003D31BB"/>
    <w:rsid w:val="003D53AC"/>
    <w:rsid w:val="003E0D97"/>
    <w:rsid w:val="003E1A31"/>
    <w:rsid w:val="003E327F"/>
    <w:rsid w:val="003E497B"/>
    <w:rsid w:val="003E5330"/>
    <w:rsid w:val="003E7375"/>
    <w:rsid w:val="003F1B30"/>
    <w:rsid w:val="003F2581"/>
    <w:rsid w:val="003F6742"/>
    <w:rsid w:val="003F6B01"/>
    <w:rsid w:val="003F7146"/>
    <w:rsid w:val="00400A1A"/>
    <w:rsid w:val="00400A1D"/>
    <w:rsid w:val="0040376D"/>
    <w:rsid w:val="00404851"/>
    <w:rsid w:val="00411194"/>
    <w:rsid w:val="0041143D"/>
    <w:rsid w:val="0041626C"/>
    <w:rsid w:val="004216AE"/>
    <w:rsid w:val="004237AF"/>
    <w:rsid w:val="00425845"/>
    <w:rsid w:val="00432123"/>
    <w:rsid w:val="004340C3"/>
    <w:rsid w:val="0043570C"/>
    <w:rsid w:val="0044244B"/>
    <w:rsid w:val="004431D3"/>
    <w:rsid w:val="004436F4"/>
    <w:rsid w:val="00444FFE"/>
    <w:rsid w:val="0044684C"/>
    <w:rsid w:val="0045250D"/>
    <w:rsid w:val="00453658"/>
    <w:rsid w:val="004548D5"/>
    <w:rsid w:val="0045760E"/>
    <w:rsid w:val="00457A7A"/>
    <w:rsid w:val="00460EE2"/>
    <w:rsid w:val="004611D9"/>
    <w:rsid w:val="0046636D"/>
    <w:rsid w:val="00473BC6"/>
    <w:rsid w:val="004757D7"/>
    <w:rsid w:val="00475C9C"/>
    <w:rsid w:val="004830D0"/>
    <w:rsid w:val="00483192"/>
    <w:rsid w:val="0048325C"/>
    <w:rsid w:val="00487F43"/>
    <w:rsid w:val="0049168F"/>
    <w:rsid w:val="00493CDE"/>
    <w:rsid w:val="004940B0"/>
    <w:rsid w:val="004A1423"/>
    <w:rsid w:val="004A25BC"/>
    <w:rsid w:val="004A650C"/>
    <w:rsid w:val="004B11C3"/>
    <w:rsid w:val="004B1897"/>
    <w:rsid w:val="004B3123"/>
    <w:rsid w:val="004B368B"/>
    <w:rsid w:val="004B37FA"/>
    <w:rsid w:val="004B3F5D"/>
    <w:rsid w:val="004B53D3"/>
    <w:rsid w:val="004B563F"/>
    <w:rsid w:val="004C0B59"/>
    <w:rsid w:val="004C17BD"/>
    <w:rsid w:val="004C6741"/>
    <w:rsid w:val="004C6E83"/>
    <w:rsid w:val="004D2301"/>
    <w:rsid w:val="004D3D01"/>
    <w:rsid w:val="004D401F"/>
    <w:rsid w:val="004D4527"/>
    <w:rsid w:val="004D4F2B"/>
    <w:rsid w:val="004D522E"/>
    <w:rsid w:val="004D5A7D"/>
    <w:rsid w:val="004D71AB"/>
    <w:rsid w:val="004E0083"/>
    <w:rsid w:val="004E2472"/>
    <w:rsid w:val="004E452D"/>
    <w:rsid w:val="004E65A2"/>
    <w:rsid w:val="004F0831"/>
    <w:rsid w:val="004F1FAE"/>
    <w:rsid w:val="004F2B66"/>
    <w:rsid w:val="005006C6"/>
    <w:rsid w:val="0050081F"/>
    <w:rsid w:val="00501401"/>
    <w:rsid w:val="00501CE8"/>
    <w:rsid w:val="0050222C"/>
    <w:rsid w:val="00503556"/>
    <w:rsid w:val="00503B50"/>
    <w:rsid w:val="00504EA5"/>
    <w:rsid w:val="00507668"/>
    <w:rsid w:val="005161CB"/>
    <w:rsid w:val="00517BD9"/>
    <w:rsid w:val="00521056"/>
    <w:rsid w:val="00522622"/>
    <w:rsid w:val="00523552"/>
    <w:rsid w:val="00525A8E"/>
    <w:rsid w:val="00525ECF"/>
    <w:rsid w:val="0052635F"/>
    <w:rsid w:val="00532307"/>
    <w:rsid w:val="00544CC4"/>
    <w:rsid w:val="0054583D"/>
    <w:rsid w:val="00550DA0"/>
    <w:rsid w:val="00551E93"/>
    <w:rsid w:val="00552E7E"/>
    <w:rsid w:val="00553AF6"/>
    <w:rsid w:val="005639A8"/>
    <w:rsid w:val="00564BC9"/>
    <w:rsid w:val="00565387"/>
    <w:rsid w:val="00571A5E"/>
    <w:rsid w:val="005729F9"/>
    <w:rsid w:val="005803CF"/>
    <w:rsid w:val="005810C6"/>
    <w:rsid w:val="0058222C"/>
    <w:rsid w:val="0058327F"/>
    <w:rsid w:val="00583A08"/>
    <w:rsid w:val="00584BF6"/>
    <w:rsid w:val="00586B3A"/>
    <w:rsid w:val="0058753A"/>
    <w:rsid w:val="00590BDC"/>
    <w:rsid w:val="00592F83"/>
    <w:rsid w:val="005938E4"/>
    <w:rsid w:val="005A0577"/>
    <w:rsid w:val="005A29B7"/>
    <w:rsid w:val="005A3A52"/>
    <w:rsid w:val="005B3EFB"/>
    <w:rsid w:val="005B7D3D"/>
    <w:rsid w:val="005C0BC0"/>
    <w:rsid w:val="005C1BE0"/>
    <w:rsid w:val="005C43E7"/>
    <w:rsid w:val="005C6242"/>
    <w:rsid w:val="005C7047"/>
    <w:rsid w:val="005C73AA"/>
    <w:rsid w:val="005D1E42"/>
    <w:rsid w:val="005D40B7"/>
    <w:rsid w:val="005D4E32"/>
    <w:rsid w:val="005D56AF"/>
    <w:rsid w:val="005E0DF9"/>
    <w:rsid w:val="005E4C56"/>
    <w:rsid w:val="005E6DB8"/>
    <w:rsid w:val="005E704C"/>
    <w:rsid w:val="005E7E5E"/>
    <w:rsid w:val="005F2E56"/>
    <w:rsid w:val="006001FE"/>
    <w:rsid w:val="00603F90"/>
    <w:rsid w:val="006062A5"/>
    <w:rsid w:val="006064DB"/>
    <w:rsid w:val="006102ED"/>
    <w:rsid w:val="00620F72"/>
    <w:rsid w:val="006241CB"/>
    <w:rsid w:val="00624F54"/>
    <w:rsid w:val="006260BE"/>
    <w:rsid w:val="00626A9D"/>
    <w:rsid w:val="00626E22"/>
    <w:rsid w:val="00630509"/>
    <w:rsid w:val="0063359E"/>
    <w:rsid w:val="00635EAC"/>
    <w:rsid w:val="00643414"/>
    <w:rsid w:val="006470F5"/>
    <w:rsid w:val="006472FA"/>
    <w:rsid w:val="006477A6"/>
    <w:rsid w:val="00650AE2"/>
    <w:rsid w:val="00651DB0"/>
    <w:rsid w:val="00652ADC"/>
    <w:rsid w:val="00652D5C"/>
    <w:rsid w:val="00653335"/>
    <w:rsid w:val="0065462A"/>
    <w:rsid w:val="00654A0A"/>
    <w:rsid w:val="00657910"/>
    <w:rsid w:val="006606F6"/>
    <w:rsid w:val="0066152E"/>
    <w:rsid w:val="00665D53"/>
    <w:rsid w:val="00666044"/>
    <w:rsid w:val="00667A43"/>
    <w:rsid w:val="0067108D"/>
    <w:rsid w:val="0067139D"/>
    <w:rsid w:val="006715BB"/>
    <w:rsid w:val="00674E80"/>
    <w:rsid w:val="006761EA"/>
    <w:rsid w:val="00676369"/>
    <w:rsid w:val="0067796F"/>
    <w:rsid w:val="00681D77"/>
    <w:rsid w:val="0069095C"/>
    <w:rsid w:val="00693F62"/>
    <w:rsid w:val="00694798"/>
    <w:rsid w:val="006953DC"/>
    <w:rsid w:val="006A1802"/>
    <w:rsid w:val="006A323F"/>
    <w:rsid w:val="006A56B9"/>
    <w:rsid w:val="006C25C8"/>
    <w:rsid w:val="006C3DC5"/>
    <w:rsid w:val="006C50A4"/>
    <w:rsid w:val="006D03BE"/>
    <w:rsid w:val="006D0E7D"/>
    <w:rsid w:val="006D3AE8"/>
    <w:rsid w:val="006E204C"/>
    <w:rsid w:val="006E2F47"/>
    <w:rsid w:val="006E5244"/>
    <w:rsid w:val="006F1FCD"/>
    <w:rsid w:val="006F2567"/>
    <w:rsid w:val="006F5D6E"/>
    <w:rsid w:val="00700E16"/>
    <w:rsid w:val="00704151"/>
    <w:rsid w:val="00704160"/>
    <w:rsid w:val="00705131"/>
    <w:rsid w:val="00710481"/>
    <w:rsid w:val="0071106A"/>
    <w:rsid w:val="0071589C"/>
    <w:rsid w:val="0072066E"/>
    <w:rsid w:val="00724F91"/>
    <w:rsid w:val="00725437"/>
    <w:rsid w:val="00725F38"/>
    <w:rsid w:val="0072742A"/>
    <w:rsid w:val="00732468"/>
    <w:rsid w:val="00732CE8"/>
    <w:rsid w:val="00732E6C"/>
    <w:rsid w:val="00733B66"/>
    <w:rsid w:val="0073740A"/>
    <w:rsid w:val="00740445"/>
    <w:rsid w:val="00746B97"/>
    <w:rsid w:val="00747235"/>
    <w:rsid w:val="00747C61"/>
    <w:rsid w:val="00750137"/>
    <w:rsid w:val="0075112F"/>
    <w:rsid w:val="00751D35"/>
    <w:rsid w:val="00752726"/>
    <w:rsid w:val="00752AC6"/>
    <w:rsid w:val="00755DE5"/>
    <w:rsid w:val="00756115"/>
    <w:rsid w:val="007619AC"/>
    <w:rsid w:val="007623F1"/>
    <w:rsid w:val="00763457"/>
    <w:rsid w:val="0076375E"/>
    <w:rsid w:val="00764382"/>
    <w:rsid w:val="00764CCC"/>
    <w:rsid w:val="007660E0"/>
    <w:rsid w:val="00766343"/>
    <w:rsid w:val="0077080B"/>
    <w:rsid w:val="007739B7"/>
    <w:rsid w:val="007751A1"/>
    <w:rsid w:val="00775F53"/>
    <w:rsid w:val="00781B66"/>
    <w:rsid w:val="00783100"/>
    <w:rsid w:val="00783CB2"/>
    <w:rsid w:val="0078634E"/>
    <w:rsid w:val="00796322"/>
    <w:rsid w:val="0079687E"/>
    <w:rsid w:val="007969C9"/>
    <w:rsid w:val="00796C8D"/>
    <w:rsid w:val="007A4C8E"/>
    <w:rsid w:val="007B5368"/>
    <w:rsid w:val="007B738C"/>
    <w:rsid w:val="007C0763"/>
    <w:rsid w:val="007C23FC"/>
    <w:rsid w:val="007C293B"/>
    <w:rsid w:val="007C2EE0"/>
    <w:rsid w:val="007C41C8"/>
    <w:rsid w:val="007D00E4"/>
    <w:rsid w:val="007D335E"/>
    <w:rsid w:val="007D4433"/>
    <w:rsid w:val="007D54F2"/>
    <w:rsid w:val="007D6CD0"/>
    <w:rsid w:val="007D70B5"/>
    <w:rsid w:val="007E13FD"/>
    <w:rsid w:val="007E2565"/>
    <w:rsid w:val="007E2BB9"/>
    <w:rsid w:val="007E2F39"/>
    <w:rsid w:val="007E464B"/>
    <w:rsid w:val="007E46D5"/>
    <w:rsid w:val="007E5130"/>
    <w:rsid w:val="007F0914"/>
    <w:rsid w:val="007F4AB8"/>
    <w:rsid w:val="007F4DAC"/>
    <w:rsid w:val="007F5045"/>
    <w:rsid w:val="007F5319"/>
    <w:rsid w:val="007F6082"/>
    <w:rsid w:val="007F655D"/>
    <w:rsid w:val="0080714A"/>
    <w:rsid w:val="008114C7"/>
    <w:rsid w:val="00811D77"/>
    <w:rsid w:val="00812751"/>
    <w:rsid w:val="00813315"/>
    <w:rsid w:val="00815003"/>
    <w:rsid w:val="0081568C"/>
    <w:rsid w:val="00815C6A"/>
    <w:rsid w:val="0081763B"/>
    <w:rsid w:val="00817A5D"/>
    <w:rsid w:val="008206AC"/>
    <w:rsid w:val="00821A7F"/>
    <w:rsid w:val="00822693"/>
    <w:rsid w:val="00824818"/>
    <w:rsid w:val="00826C40"/>
    <w:rsid w:val="00831037"/>
    <w:rsid w:val="00831EAF"/>
    <w:rsid w:val="008323DD"/>
    <w:rsid w:val="00832C0E"/>
    <w:rsid w:val="00832D14"/>
    <w:rsid w:val="00836156"/>
    <w:rsid w:val="008501D8"/>
    <w:rsid w:val="00857ABC"/>
    <w:rsid w:val="008679B3"/>
    <w:rsid w:val="00871825"/>
    <w:rsid w:val="00873A57"/>
    <w:rsid w:val="0087451D"/>
    <w:rsid w:val="00880755"/>
    <w:rsid w:val="00880B40"/>
    <w:rsid w:val="00881159"/>
    <w:rsid w:val="00881F89"/>
    <w:rsid w:val="00882D7D"/>
    <w:rsid w:val="00886BE3"/>
    <w:rsid w:val="0089163A"/>
    <w:rsid w:val="00892278"/>
    <w:rsid w:val="00895BAA"/>
    <w:rsid w:val="00895FFA"/>
    <w:rsid w:val="0089662B"/>
    <w:rsid w:val="00896BC3"/>
    <w:rsid w:val="008A194A"/>
    <w:rsid w:val="008A3CAE"/>
    <w:rsid w:val="008B0492"/>
    <w:rsid w:val="008B0B84"/>
    <w:rsid w:val="008B1A4B"/>
    <w:rsid w:val="008B28FA"/>
    <w:rsid w:val="008B2F45"/>
    <w:rsid w:val="008B4429"/>
    <w:rsid w:val="008B5774"/>
    <w:rsid w:val="008B5B4F"/>
    <w:rsid w:val="008B703A"/>
    <w:rsid w:val="008B7BEF"/>
    <w:rsid w:val="008C09B3"/>
    <w:rsid w:val="008C207A"/>
    <w:rsid w:val="008C37AD"/>
    <w:rsid w:val="008C42CC"/>
    <w:rsid w:val="008D2436"/>
    <w:rsid w:val="008D4208"/>
    <w:rsid w:val="008D63FC"/>
    <w:rsid w:val="008E5A56"/>
    <w:rsid w:val="008E5F53"/>
    <w:rsid w:val="008F1812"/>
    <w:rsid w:val="008F21F9"/>
    <w:rsid w:val="008F35D9"/>
    <w:rsid w:val="008F42BC"/>
    <w:rsid w:val="008F442D"/>
    <w:rsid w:val="008F451B"/>
    <w:rsid w:val="0090044C"/>
    <w:rsid w:val="00901193"/>
    <w:rsid w:val="00903CB4"/>
    <w:rsid w:val="00903EEA"/>
    <w:rsid w:val="009040B7"/>
    <w:rsid w:val="00904E9E"/>
    <w:rsid w:val="00906E4B"/>
    <w:rsid w:val="009101D7"/>
    <w:rsid w:val="0091077B"/>
    <w:rsid w:val="009131B3"/>
    <w:rsid w:val="0091505D"/>
    <w:rsid w:val="009160D8"/>
    <w:rsid w:val="00916C47"/>
    <w:rsid w:val="00926C6E"/>
    <w:rsid w:val="009319BA"/>
    <w:rsid w:val="00933E2F"/>
    <w:rsid w:val="0093404B"/>
    <w:rsid w:val="00941859"/>
    <w:rsid w:val="0094274C"/>
    <w:rsid w:val="00942AE1"/>
    <w:rsid w:val="00942F5F"/>
    <w:rsid w:val="009430A4"/>
    <w:rsid w:val="00943255"/>
    <w:rsid w:val="00944644"/>
    <w:rsid w:val="00947E0C"/>
    <w:rsid w:val="00951583"/>
    <w:rsid w:val="00960062"/>
    <w:rsid w:val="00961752"/>
    <w:rsid w:val="00971057"/>
    <w:rsid w:val="009741A3"/>
    <w:rsid w:val="00975CE5"/>
    <w:rsid w:val="009769E4"/>
    <w:rsid w:val="00977B04"/>
    <w:rsid w:val="009805FF"/>
    <w:rsid w:val="009844E7"/>
    <w:rsid w:val="009845CC"/>
    <w:rsid w:val="009859ED"/>
    <w:rsid w:val="0098632A"/>
    <w:rsid w:val="009870FC"/>
    <w:rsid w:val="00990E8C"/>
    <w:rsid w:val="00991208"/>
    <w:rsid w:val="00992281"/>
    <w:rsid w:val="00993D24"/>
    <w:rsid w:val="009941D9"/>
    <w:rsid w:val="0099464F"/>
    <w:rsid w:val="00994D07"/>
    <w:rsid w:val="009A368A"/>
    <w:rsid w:val="009A45C6"/>
    <w:rsid w:val="009A57AC"/>
    <w:rsid w:val="009B6DEB"/>
    <w:rsid w:val="009B7261"/>
    <w:rsid w:val="009C2022"/>
    <w:rsid w:val="009C274D"/>
    <w:rsid w:val="009C366B"/>
    <w:rsid w:val="009C6230"/>
    <w:rsid w:val="009C6967"/>
    <w:rsid w:val="009D0B8F"/>
    <w:rsid w:val="009D2F82"/>
    <w:rsid w:val="009D4209"/>
    <w:rsid w:val="009D5550"/>
    <w:rsid w:val="009E0491"/>
    <w:rsid w:val="009E0C70"/>
    <w:rsid w:val="009E1432"/>
    <w:rsid w:val="009E309D"/>
    <w:rsid w:val="009E41F1"/>
    <w:rsid w:val="009E496F"/>
    <w:rsid w:val="009E61CD"/>
    <w:rsid w:val="009E733E"/>
    <w:rsid w:val="009F2471"/>
    <w:rsid w:val="009F3A9D"/>
    <w:rsid w:val="009F5914"/>
    <w:rsid w:val="00A01176"/>
    <w:rsid w:val="00A01448"/>
    <w:rsid w:val="00A02E32"/>
    <w:rsid w:val="00A06027"/>
    <w:rsid w:val="00A13490"/>
    <w:rsid w:val="00A249B1"/>
    <w:rsid w:val="00A255AF"/>
    <w:rsid w:val="00A25C43"/>
    <w:rsid w:val="00A25DA0"/>
    <w:rsid w:val="00A265D7"/>
    <w:rsid w:val="00A26B0A"/>
    <w:rsid w:val="00A26B5C"/>
    <w:rsid w:val="00A31A2B"/>
    <w:rsid w:val="00A346FF"/>
    <w:rsid w:val="00A3592E"/>
    <w:rsid w:val="00A41362"/>
    <w:rsid w:val="00A41FE5"/>
    <w:rsid w:val="00A426A4"/>
    <w:rsid w:val="00A447D2"/>
    <w:rsid w:val="00A474E3"/>
    <w:rsid w:val="00A5230E"/>
    <w:rsid w:val="00A52CA7"/>
    <w:rsid w:val="00A535A7"/>
    <w:rsid w:val="00A53B74"/>
    <w:rsid w:val="00A53EC2"/>
    <w:rsid w:val="00A54325"/>
    <w:rsid w:val="00A54696"/>
    <w:rsid w:val="00A56A7B"/>
    <w:rsid w:val="00A62D60"/>
    <w:rsid w:val="00A64F22"/>
    <w:rsid w:val="00A6704A"/>
    <w:rsid w:val="00A70529"/>
    <w:rsid w:val="00A7394F"/>
    <w:rsid w:val="00A77D96"/>
    <w:rsid w:val="00A80C5D"/>
    <w:rsid w:val="00A80E96"/>
    <w:rsid w:val="00A815DA"/>
    <w:rsid w:val="00A8201A"/>
    <w:rsid w:val="00A86869"/>
    <w:rsid w:val="00A92280"/>
    <w:rsid w:val="00AA256A"/>
    <w:rsid w:val="00AA2641"/>
    <w:rsid w:val="00AA3214"/>
    <w:rsid w:val="00AA39E8"/>
    <w:rsid w:val="00AA4478"/>
    <w:rsid w:val="00AA6561"/>
    <w:rsid w:val="00AB2251"/>
    <w:rsid w:val="00AB270B"/>
    <w:rsid w:val="00AB5083"/>
    <w:rsid w:val="00AC4CCB"/>
    <w:rsid w:val="00AC56F7"/>
    <w:rsid w:val="00AD0719"/>
    <w:rsid w:val="00AD0E52"/>
    <w:rsid w:val="00AD53F7"/>
    <w:rsid w:val="00AD7988"/>
    <w:rsid w:val="00AE0A31"/>
    <w:rsid w:val="00AE11C1"/>
    <w:rsid w:val="00AE3010"/>
    <w:rsid w:val="00AE5443"/>
    <w:rsid w:val="00AE5688"/>
    <w:rsid w:val="00AE56C6"/>
    <w:rsid w:val="00AE652E"/>
    <w:rsid w:val="00AE6C61"/>
    <w:rsid w:val="00AE78B8"/>
    <w:rsid w:val="00AF1FD6"/>
    <w:rsid w:val="00AF2243"/>
    <w:rsid w:val="00AF2BBE"/>
    <w:rsid w:val="00AF342D"/>
    <w:rsid w:val="00AF50FD"/>
    <w:rsid w:val="00AF542D"/>
    <w:rsid w:val="00AF6EF9"/>
    <w:rsid w:val="00B03497"/>
    <w:rsid w:val="00B03E28"/>
    <w:rsid w:val="00B04D44"/>
    <w:rsid w:val="00B06B7A"/>
    <w:rsid w:val="00B07BC9"/>
    <w:rsid w:val="00B106BA"/>
    <w:rsid w:val="00B11128"/>
    <w:rsid w:val="00B127B1"/>
    <w:rsid w:val="00B165E1"/>
    <w:rsid w:val="00B22A45"/>
    <w:rsid w:val="00B23210"/>
    <w:rsid w:val="00B23542"/>
    <w:rsid w:val="00B247AA"/>
    <w:rsid w:val="00B346B6"/>
    <w:rsid w:val="00B413A3"/>
    <w:rsid w:val="00B415AF"/>
    <w:rsid w:val="00B44830"/>
    <w:rsid w:val="00B50EBA"/>
    <w:rsid w:val="00B518D5"/>
    <w:rsid w:val="00B54E40"/>
    <w:rsid w:val="00B57287"/>
    <w:rsid w:val="00B57BA0"/>
    <w:rsid w:val="00B61A52"/>
    <w:rsid w:val="00B61C54"/>
    <w:rsid w:val="00B66A8D"/>
    <w:rsid w:val="00B67FE3"/>
    <w:rsid w:val="00B711E3"/>
    <w:rsid w:val="00B7215C"/>
    <w:rsid w:val="00B73E36"/>
    <w:rsid w:val="00B84EE1"/>
    <w:rsid w:val="00B861B4"/>
    <w:rsid w:val="00B91982"/>
    <w:rsid w:val="00B94462"/>
    <w:rsid w:val="00B945AB"/>
    <w:rsid w:val="00B95815"/>
    <w:rsid w:val="00B96725"/>
    <w:rsid w:val="00BA0940"/>
    <w:rsid w:val="00BA352E"/>
    <w:rsid w:val="00BA548E"/>
    <w:rsid w:val="00BB439E"/>
    <w:rsid w:val="00BB73AA"/>
    <w:rsid w:val="00BC402C"/>
    <w:rsid w:val="00BC7E8A"/>
    <w:rsid w:val="00BD0088"/>
    <w:rsid w:val="00BD2893"/>
    <w:rsid w:val="00BD30EB"/>
    <w:rsid w:val="00BD490A"/>
    <w:rsid w:val="00BD5775"/>
    <w:rsid w:val="00BE14E8"/>
    <w:rsid w:val="00BE58C4"/>
    <w:rsid w:val="00BE6769"/>
    <w:rsid w:val="00BF4E80"/>
    <w:rsid w:val="00BF4F60"/>
    <w:rsid w:val="00BF54B6"/>
    <w:rsid w:val="00BF5D4B"/>
    <w:rsid w:val="00BF66E6"/>
    <w:rsid w:val="00C049D4"/>
    <w:rsid w:val="00C114A3"/>
    <w:rsid w:val="00C118EA"/>
    <w:rsid w:val="00C11A48"/>
    <w:rsid w:val="00C12D64"/>
    <w:rsid w:val="00C1418C"/>
    <w:rsid w:val="00C16E7C"/>
    <w:rsid w:val="00C17059"/>
    <w:rsid w:val="00C21A21"/>
    <w:rsid w:val="00C27284"/>
    <w:rsid w:val="00C30A0A"/>
    <w:rsid w:val="00C32100"/>
    <w:rsid w:val="00C34360"/>
    <w:rsid w:val="00C356C2"/>
    <w:rsid w:val="00C364B3"/>
    <w:rsid w:val="00C378BA"/>
    <w:rsid w:val="00C42E2E"/>
    <w:rsid w:val="00C47FC7"/>
    <w:rsid w:val="00C54D7A"/>
    <w:rsid w:val="00C5770B"/>
    <w:rsid w:val="00C6179E"/>
    <w:rsid w:val="00C61F1A"/>
    <w:rsid w:val="00C63684"/>
    <w:rsid w:val="00C66A5D"/>
    <w:rsid w:val="00C7065C"/>
    <w:rsid w:val="00C71652"/>
    <w:rsid w:val="00C72A7C"/>
    <w:rsid w:val="00C80623"/>
    <w:rsid w:val="00C829EA"/>
    <w:rsid w:val="00C84149"/>
    <w:rsid w:val="00C868CC"/>
    <w:rsid w:val="00C86E64"/>
    <w:rsid w:val="00C871A3"/>
    <w:rsid w:val="00C87ADC"/>
    <w:rsid w:val="00C96DAB"/>
    <w:rsid w:val="00CA0218"/>
    <w:rsid w:val="00CA291F"/>
    <w:rsid w:val="00CA3F49"/>
    <w:rsid w:val="00CA6DB1"/>
    <w:rsid w:val="00CA7EFC"/>
    <w:rsid w:val="00CB4723"/>
    <w:rsid w:val="00CB7239"/>
    <w:rsid w:val="00CC1950"/>
    <w:rsid w:val="00CC2475"/>
    <w:rsid w:val="00CC2D88"/>
    <w:rsid w:val="00CC5318"/>
    <w:rsid w:val="00CD4EF5"/>
    <w:rsid w:val="00CD5014"/>
    <w:rsid w:val="00CD73F4"/>
    <w:rsid w:val="00CE02B1"/>
    <w:rsid w:val="00CE142A"/>
    <w:rsid w:val="00CE7226"/>
    <w:rsid w:val="00CF1AA0"/>
    <w:rsid w:val="00CF4560"/>
    <w:rsid w:val="00D03596"/>
    <w:rsid w:val="00D0453B"/>
    <w:rsid w:val="00D050A3"/>
    <w:rsid w:val="00D05E3E"/>
    <w:rsid w:val="00D16831"/>
    <w:rsid w:val="00D16B06"/>
    <w:rsid w:val="00D24D9B"/>
    <w:rsid w:val="00D25D59"/>
    <w:rsid w:val="00D26B50"/>
    <w:rsid w:val="00D3437B"/>
    <w:rsid w:val="00D3475A"/>
    <w:rsid w:val="00D35080"/>
    <w:rsid w:val="00D35FDC"/>
    <w:rsid w:val="00D440EC"/>
    <w:rsid w:val="00D45D3B"/>
    <w:rsid w:val="00D50C90"/>
    <w:rsid w:val="00D516AD"/>
    <w:rsid w:val="00D529E2"/>
    <w:rsid w:val="00D52F85"/>
    <w:rsid w:val="00D57CB1"/>
    <w:rsid w:val="00D57FAF"/>
    <w:rsid w:val="00D60CC7"/>
    <w:rsid w:val="00D60F66"/>
    <w:rsid w:val="00D66675"/>
    <w:rsid w:val="00D71C7F"/>
    <w:rsid w:val="00D7422E"/>
    <w:rsid w:val="00D772E0"/>
    <w:rsid w:val="00D77CFD"/>
    <w:rsid w:val="00D8473C"/>
    <w:rsid w:val="00D87286"/>
    <w:rsid w:val="00D87D89"/>
    <w:rsid w:val="00D91199"/>
    <w:rsid w:val="00D95228"/>
    <w:rsid w:val="00DA1EA8"/>
    <w:rsid w:val="00DA222C"/>
    <w:rsid w:val="00DA2693"/>
    <w:rsid w:val="00DA2C7A"/>
    <w:rsid w:val="00DA3BED"/>
    <w:rsid w:val="00DA7F10"/>
    <w:rsid w:val="00DB2DE3"/>
    <w:rsid w:val="00DC2605"/>
    <w:rsid w:val="00DC2A93"/>
    <w:rsid w:val="00DC2F5D"/>
    <w:rsid w:val="00DC57A7"/>
    <w:rsid w:val="00DD0B2B"/>
    <w:rsid w:val="00DD2009"/>
    <w:rsid w:val="00DD2664"/>
    <w:rsid w:val="00DD2827"/>
    <w:rsid w:val="00DD451B"/>
    <w:rsid w:val="00DD65DB"/>
    <w:rsid w:val="00DD7FDD"/>
    <w:rsid w:val="00DE1EA5"/>
    <w:rsid w:val="00DE7A4F"/>
    <w:rsid w:val="00E02ED6"/>
    <w:rsid w:val="00E108AB"/>
    <w:rsid w:val="00E14C3A"/>
    <w:rsid w:val="00E218E6"/>
    <w:rsid w:val="00E21BBD"/>
    <w:rsid w:val="00E21C5B"/>
    <w:rsid w:val="00E22030"/>
    <w:rsid w:val="00E3403F"/>
    <w:rsid w:val="00E37529"/>
    <w:rsid w:val="00E4041A"/>
    <w:rsid w:val="00E42F9A"/>
    <w:rsid w:val="00E4369B"/>
    <w:rsid w:val="00E43C6D"/>
    <w:rsid w:val="00E44B40"/>
    <w:rsid w:val="00E50CBF"/>
    <w:rsid w:val="00E5128D"/>
    <w:rsid w:val="00E515D2"/>
    <w:rsid w:val="00E51DF5"/>
    <w:rsid w:val="00E5491D"/>
    <w:rsid w:val="00E54A39"/>
    <w:rsid w:val="00E5565D"/>
    <w:rsid w:val="00E55E6B"/>
    <w:rsid w:val="00E57737"/>
    <w:rsid w:val="00E606C7"/>
    <w:rsid w:val="00E60753"/>
    <w:rsid w:val="00E60C05"/>
    <w:rsid w:val="00E61519"/>
    <w:rsid w:val="00E64076"/>
    <w:rsid w:val="00E646E3"/>
    <w:rsid w:val="00E66AAA"/>
    <w:rsid w:val="00E72647"/>
    <w:rsid w:val="00E730C9"/>
    <w:rsid w:val="00E731A2"/>
    <w:rsid w:val="00E7322F"/>
    <w:rsid w:val="00E749FF"/>
    <w:rsid w:val="00E81494"/>
    <w:rsid w:val="00E86C8C"/>
    <w:rsid w:val="00E90408"/>
    <w:rsid w:val="00E92E24"/>
    <w:rsid w:val="00E93482"/>
    <w:rsid w:val="00E946C9"/>
    <w:rsid w:val="00E949E5"/>
    <w:rsid w:val="00E95E98"/>
    <w:rsid w:val="00EA0548"/>
    <w:rsid w:val="00EA1A16"/>
    <w:rsid w:val="00EA2392"/>
    <w:rsid w:val="00EA5834"/>
    <w:rsid w:val="00EA74E4"/>
    <w:rsid w:val="00EB0E18"/>
    <w:rsid w:val="00EB0FAF"/>
    <w:rsid w:val="00EB146D"/>
    <w:rsid w:val="00EB51D9"/>
    <w:rsid w:val="00EC1311"/>
    <w:rsid w:val="00EC1B28"/>
    <w:rsid w:val="00EC250F"/>
    <w:rsid w:val="00EC4D98"/>
    <w:rsid w:val="00EC59C1"/>
    <w:rsid w:val="00EC69B2"/>
    <w:rsid w:val="00ED0BB4"/>
    <w:rsid w:val="00ED10B3"/>
    <w:rsid w:val="00ED4563"/>
    <w:rsid w:val="00ED6F02"/>
    <w:rsid w:val="00EE0E66"/>
    <w:rsid w:val="00EE0FD6"/>
    <w:rsid w:val="00EE1F98"/>
    <w:rsid w:val="00EE578C"/>
    <w:rsid w:val="00EE73F6"/>
    <w:rsid w:val="00EF0FFE"/>
    <w:rsid w:val="00EF14AE"/>
    <w:rsid w:val="00EF1C72"/>
    <w:rsid w:val="00EF3863"/>
    <w:rsid w:val="00EF4BED"/>
    <w:rsid w:val="00F008C7"/>
    <w:rsid w:val="00F014CF"/>
    <w:rsid w:val="00F11429"/>
    <w:rsid w:val="00F1584E"/>
    <w:rsid w:val="00F23B80"/>
    <w:rsid w:val="00F24684"/>
    <w:rsid w:val="00F31137"/>
    <w:rsid w:val="00F44C0D"/>
    <w:rsid w:val="00F5724F"/>
    <w:rsid w:val="00F57B96"/>
    <w:rsid w:val="00F60CA7"/>
    <w:rsid w:val="00F614E3"/>
    <w:rsid w:val="00F633EE"/>
    <w:rsid w:val="00F63934"/>
    <w:rsid w:val="00F66D22"/>
    <w:rsid w:val="00F67C00"/>
    <w:rsid w:val="00F70727"/>
    <w:rsid w:val="00F71752"/>
    <w:rsid w:val="00F717A6"/>
    <w:rsid w:val="00F73229"/>
    <w:rsid w:val="00F73620"/>
    <w:rsid w:val="00F7600E"/>
    <w:rsid w:val="00F770E1"/>
    <w:rsid w:val="00F96211"/>
    <w:rsid w:val="00F96ABF"/>
    <w:rsid w:val="00FA155F"/>
    <w:rsid w:val="00FA1A81"/>
    <w:rsid w:val="00FA2911"/>
    <w:rsid w:val="00FA3D06"/>
    <w:rsid w:val="00FA4813"/>
    <w:rsid w:val="00FA6CD8"/>
    <w:rsid w:val="00FB634C"/>
    <w:rsid w:val="00FC132B"/>
    <w:rsid w:val="00FC2EF8"/>
    <w:rsid w:val="00FC4AEF"/>
    <w:rsid w:val="00FC6E42"/>
    <w:rsid w:val="00FC7D1A"/>
    <w:rsid w:val="00FD1359"/>
    <w:rsid w:val="00FD16DE"/>
    <w:rsid w:val="00FD36F4"/>
    <w:rsid w:val="00FE249C"/>
    <w:rsid w:val="00FE31E0"/>
    <w:rsid w:val="00FE3C5E"/>
    <w:rsid w:val="00FE4C9F"/>
    <w:rsid w:val="00FE7BA8"/>
    <w:rsid w:val="00FF079F"/>
    <w:rsid w:val="00FF60FD"/>
    <w:rsid w:val="00FF7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84146A"/>
  <w15:chartTrackingRefBased/>
  <w15:docId w15:val="{BCC09160-C0AC-4A71-A23D-9917E9614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5C6A"/>
    <w:rPr>
      <w:sz w:val="24"/>
      <w:szCs w:val="24"/>
    </w:rPr>
  </w:style>
  <w:style w:type="paragraph" w:styleId="Heading1">
    <w:name w:val="heading 1"/>
    <w:basedOn w:val="Normal"/>
    <w:next w:val="Normal"/>
    <w:qFormat/>
    <w:rsid w:val="0028140F"/>
    <w:pPr>
      <w:pBdr>
        <w:top w:val="single" w:sz="24" w:space="1" w:color="auto"/>
        <w:left w:val="single" w:sz="24" w:space="4" w:color="auto"/>
        <w:bottom w:val="single" w:sz="24" w:space="1" w:color="auto"/>
        <w:right w:val="single" w:sz="24" w:space="4" w:color="auto"/>
      </w:pBdr>
      <w:spacing w:after="720"/>
      <w:jc w:val="center"/>
      <w:outlineLvl w:val="0"/>
    </w:pPr>
    <w:rPr>
      <w:rFonts w:ascii="Arial" w:hAnsi="Arial" w:cs="Arial"/>
      <w:b/>
      <w:sz w:val="28"/>
      <w:szCs w:val="28"/>
    </w:rPr>
  </w:style>
  <w:style w:type="paragraph" w:styleId="Heading2">
    <w:name w:val="heading 2"/>
    <w:basedOn w:val="Heading1"/>
    <w:next w:val="Normal"/>
    <w:link w:val="Heading2Char"/>
    <w:unhideWhenUsed/>
    <w:qFormat/>
    <w:rsid w:val="00271C6A"/>
    <w:pPr>
      <w:pBdr>
        <w:top w:val="none" w:sz="0" w:space="0" w:color="auto"/>
        <w:left w:val="none" w:sz="0" w:space="0" w:color="auto"/>
        <w:bottom w:val="none" w:sz="0" w:space="0" w:color="auto"/>
        <w:right w:val="none" w:sz="0" w:space="0" w:color="auto"/>
      </w:pBdr>
      <w:spacing w:after="240"/>
      <w:outlineLvl w:val="1"/>
    </w:pPr>
    <w:rPr>
      <w:szCs w:val="24"/>
    </w:rPr>
  </w:style>
  <w:style w:type="paragraph" w:styleId="Heading3">
    <w:name w:val="heading 3"/>
    <w:basedOn w:val="Normal"/>
    <w:next w:val="Normal"/>
    <w:link w:val="Heading3Char"/>
    <w:unhideWhenUsed/>
    <w:qFormat/>
    <w:rsid w:val="008C42CC"/>
    <w:pPr>
      <w:keepNext/>
      <w:keepLines/>
      <w:spacing w:after="240"/>
      <w:jc w:val="center"/>
      <w:outlineLvl w:val="2"/>
    </w:pPr>
    <w:rPr>
      <w:rFonts w:ascii="Arial" w:eastAsiaTheme="majorEastAsia" w:hAnsi="Arial"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25DA0"/>
    <w:rPr>
      <w:rFonts w:ascii="Tahoma" w:hAnsi="Tahoma" w:cs="Tahoma"/>
      <w:sz w:val="16"/>
      <w:szCs w:val="16"/>
    </w:rPr>
  </w:style>
  <w:style w:type="character" w:styleId="Hyperlink">
    <w:name w:val="Hyperlink"/>
    <w:uiPriority w:val="99"/>
    <w:rsid w:val="00A80C5D"/>
    <w:rPr>
      <w:color w:val="0000FF"/>
      <w:u w:val="single"/>
    </w:rPr>
  </w:style>
  <w:style w:type="table" w:styleId="TableGrid">
    <w:name w:val="Table Grid"/>
    <w:basedOn w:val="TableNormal"/>
    <w:rsid w:val="00A80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F614E3"/>
    <w:rPr>
      <w:rFonts w:ascii="Arial" w:hAnsi="Arial"/>
      <w:szCs w:val="20"/>
    </w:rPr>
  </w:style>
  <w:style w:type="paragraph" w:styleId="Header">
    <w:name w:val="header"/>
    <w:basedOn w:val="Normal"/>
    <w:rsid w:val="00F614E3"/>
    <w:pPr>
      <w:tabs>
        <w:tab w:val="center" w:pos="4320"/>
        <w:tab w:val="right" w:pos="8640"/>
      </w:tabs>
    </w:pPr>
  </w:style>
  <w:style w:type="character" w:styleId="CommentReference">
    <w:name w:val="annotation reference"/>
    <w:uiPriority w:val="99"/>
    <w:rsid w:val="00B06B7A"/>
    <w:rPr>
      <w:sz w:val="16"/>
      <w:szCs w:val="16"/>
    </w:rPr>
  </w:style>
  <w:style w:type="paragraph" w:styleId="CommentText">
    <w:name w:val="annotation text"/>
    <w:basedOn w:val="Normal"/>
    <w:link w:val="CommentTextChar"/>
    <w:uiPriority w:val="99"/>
    <w:rsid w:val="00B06B7A"/>
    <w:rPr>
      <w:sz w:val="20"/>
      <w:szCs w:val="20"/>
    </w:rPr>
  </w:style>
  <w:style w:type="character" w:customStyle="1" w:styleId="CommentTextChar">
    <w:name w:val="Comment Text Char"/>
    <w:basedOn w:val="DefaultParagraphFont"/>
    <w:link w:val="CommentText"/>
    <w:uiPriority w:val="99"/>
    <w:rsid w:val="00B06B7A"/>
  </w:style>
  <w:style w:type="paragraph" w:styleId="CommentSubject">
    <w:name w:val="annotation subject"/>
    <w:basedOn w:val="CommentText"/>
    <w:next w:val="CommentText"/>
    <w:link w:val="CommentSubjectChar"/>
    <w:rsid w:val="00B06B7A"/>
    <w:rPr>
      <w:b/>
      <w:bCs/>
    </w:rPr>
  </w:style>
  <w:style w:type="character" w:customStyle="1" w:styleId="CommentSubjectChar">
    <w:name w:val="Comment Subject Char"/>
    <w:link w:val="CommentSubject"/>
    <w:rsid w:val="00B06B7A"/>
    <w:rPr>
      <w:b/>
      <w:bCs/>
    </w:rPr>
  </w:style>
  <w:style w:type="paragraph" w:styleId="Footer">
    <w:name w:val="footer"/>
    <w:basedOn w:val="Normal"/>
    <w:link w:val="FooterChar"/>
    <w:uiPriority w:val="99"/>
    <w:rsid w:val="00315109"/>
    <w:pPr>
      <w:tabs>
        <w:tab w:val="center" w:pos="4680"/>
        <w:tab w:val="right" w:pos="9360"/>
      </w:tabs>
    </w:pPr>
  </w:style>
  <w:style w:type="character" w:customStyle="1" w:styleId="FooterChar">
    <w:name w:val="Footer Char"/>
    <w:link w:val="Footer"/>
    <w:uiPriority w:val="99"/>
    <w:rsid w:val="00315109"/>
    <w:rPr>
      <w:sz w:val="24"/>
      <w:szCs w:val="24"/>
    </w:rPr>
  </w:style>
  <w:style w:type="paragraph" w:styleId="ListParagraph">
    <w:name w:val="List Paragraph"/>
    <w:basedOn w:val="Normal"/>
    <w:uiPriority w:val="34"/>
    <w:qFormat/>
    <w:rsid w:val="00063655"/>
    <w:pPr>
      <w:spacing w:after="160" w:line="259" w:lineRule="auto"/>
      <w:ind w:left="720"/>
      <w:contextualSpacing/>
    </w:pPr>
    <w:rPr>
      <w:rFonts w:ascii="Arial" w:eastAsiaTheme="minorHAnsi" w:hAnsi="Arial" w:cstheme="minorBidi"/>
      <w:szCs w:val="22"/>
    </w:rPr>
  </w:style>
  <w:style w:type="character" w:styleId="UnresolvedMention">
    <w:name w:val="Unresolved Mention"/>
    <w:basedOn w:val="DefaultParagraphFont"/>
    <w:uiPriority w:val="99"/>
    <w:semiHidden/>
    <w:unhideWhenUsed/>
    <w:rsid w:val="007E46D5"/>
    <w:rPr>
      <w:color w:val="605E5C"/>
      <w:shd w:val="clear" w:color="auto" w:fill="E1DFDD"/>
    </w:rPr>
  </w:style>
  <w:style w:type="paragraph" w:styleId="NormalWeb">
    <w:name w:val="Normal (Web)"/>
    <w:basedOn w:val="Normal"/>
    <w:uiPriority w:val="99"/>
    <w:unhideWhenUsed/>
    <w:rsid w:val="00B165E1"/>
    <w:pPr>
      <w:spacing w:before="100" w:beforeAutospacing="1" w:after="100" w:afterAutospacing="1"/>
    </w:pPr>
  </w:style>
  <w:style w:type="character" w:customStyle="1" w:styleId="Heading3Char">
    <w:name w:val="Heading 3 Char"/>
    <w:basedOn w:val="DefaultParagraphFont"/>
    <w:link w:val="Heading3"/>
    <w:rsid w:val="008C42CC"/>
    <w:rPr>
      <w:rFonts w:ascii="Arial" w:eastAsiaTheme="majorEastAsia" w:hAnsi="Arial" w:cstheme="majorBidi"/>
      <w:b/>
      <w:sz w:val="24"/>
      <w:szCs w:val="24"/>
    </w:rPr>
  </w:style>
  <w:style w:type="paragraph" w:customStyle="1" w:styleId="Default">
    <w:name w:val="Default"/>
    <w:rsid w:val="00831037"/>
    <w:pPr>
      <w:autoSpaceDE w:val="0"/>
      <w:autoSpaceDN w:val="0"/>
      <w:adjustRightInd w:val="0"/>
    </w:pPr>
    <w:rPr>
      <w:rFonts w:ascii="Arial" w:eastAsiaTheme="minorHAnsi" w:hAnsi="Arial" w:cs="Arial"/>
      <w:color w:val="000000"/>
      <w:sz w:val="24"/>
      <w:szCs w:val="24"/>
    </w:rPr>
  </w:style>
  <w:style w:type="paragraph" w:styleId="TOCHeading">
    <w:name w:val="TOC Heading"/>
    <w:basedOn w:val="Heading1"/>
    <w:next w:val="Normal"/>
    <w:uiPriority w:val="39"/>
    <w:unhideWhenUsed/>
    <w:qFormat/>
    <w:rsid w:val="004C6741"/>
    <w:pPr>
      <w:keepLines/>
      <w:spacing w:before="240" w:line="259" w:lineRule="auto"/>
      <w:jc w:val="left"/>
      <w:outlineLvl w:val="9"/>
    </w:pPr>
    <w:rPr>
      <w:rFonts w:asciiTheme="majorHAnsi" w:eastAsiaTheme="majorEastAsia" w:hAnsiTheme="majorHAnsi" w:cstheme="majorBidi"/>
      <w:b w:val="0"/>
      <w:bCs/>
      <w:color w:val="2F5496" w:themeColor="accent1" w:themeShade="BF"/>
      <w:sz w:val="32"/>
      <w:szCs w:val="32"/>
    </w:rPr>
  </w:style>
  <w:style w:type="paragraph" w:styleId="TOC3">
    <w:name w:val="toc 3"/>
    <w:basedOn w:val="Normal"/>
    <w:next w:val="Normal"/>
    <w:autoRedefine/>
    <w:uiPriority w:val="39"/>
    <w:rsid w:val="004C6741"/>
    <w:pPr>
      <w:spacing w:after="100"/>
      <w:ind w:left="480"/>
    </w:pPr>
  </w:style>
  <w:style w:type="character" w:customStyle="1" w:styleId="Heading2Char">
    <w:name w:val="Heading 2 Char"/>
    <w:basedOn w:val="DefaultParagraphFont"/>
    <w:link w:val="Heading2"/>
    <w:rsid w:val="00271C6A"/>
    <w:rPr>
      <w:rFonts w:ascii="Arial" w:hAnsi="Arial" w:cs="Arial"/>
      <w:b/>
      <w:sz w:val="28"/>
      <w:szCs w:val="24"/>
    </w:rPr>
  </w:style>
  <w:style w:type="character" w:styleId="Strong">
    <w:name w:val="Strong"/>
    <w:basedOn w:val="DefaultParagraphFont"/>
    <w:uiPriority w:val="22"/>
    <w:qFormat/>
    <w:rsid w:val="004611D9"/>
    <w:rPr>
      <w:b/>
      <w:bCs/>
    </w:rPr>
  </w:style>
  <w:style w:type="table" w:styleId="GridTable4">
    <w:name w:val="Grid Table 4"/>
    <w:basedOn w:val="TableNormal"/>
    <w:uiPriority w:val="49"/>
    <w:rsid w:val="004611D9"/>
    <w:rPr>
      <w:rFonts w:asciiTheme="minorHAnsi" w:eastAsiaTheme="minorHAnsi" w:hAnsiTheme="minorHAnsi" w:cstheme="minorBidi"/>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
    <w:name w:val="Grid Table 41"/>
    <w:basedOn w:val="TableNormal"/>
    <w:next w:val="GridTable4"/>
    <w:uiPriority w:val="49"/>
    <w:rsid w:val="00E5128D"/>
    <w:rPr>
      <w:rFonts w:ascii="Calibri" w:eastAsia="Calibri" w:hAnsi="Calibri"/>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2">
    <w:name w:val="Grid Table 42"/>
    <w:basedOn w:val="TableNormal"/>
    <w:next w:val="GridTable4"/>
    <w:uiPriority w:val="49"/>
    <w:rsid w:val="00E5128D"/>
    <w:rPr>
      <w:rFonts w:ascii="Calibri" w:eastAsia="Calibri" w:hAnsi="Calibri"/>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TOC2">
    <w:name w:val="toc 2"/>
    <w:basedOn w:val="Normal"/>
    <w:next w:val="Normal"/>
    <w:autoRedefine/>
    <w:uiPriority w:val="39"/>
    <w:rsid w:val="003E5330"/>
    <w:pPr>
      <w:tabs>
        <w:tab w:val="left" w:pos="0"/>
        <w:tab w:val="right" w:leader="hyphen" w:pos="9350"/>
      </w:tabs>
      <w:spacing w:after="240"/>
    </w:pPr>
  </w:style>
  <w:style w:type="character" w:styleId="FollowedHyperlink">
    <w:name w:val="FollowedHyperlink"/>
    <w:basedOn w:val="DefaultParagraphFont"/>
    <w:rsid w:val="0031591D"/>
    <w:rPr>
      <w:color w:val="954F72" w:themeColor="followedHyperlink"/>
      <w:u w:val="single"/>
    </w:rPr>
  </w:style>
  <w:style w:type="paragraph" w:styleId="TOC1">
    <w:name w:val="toc 1"/>
    <w:basedOn w:val="Normal"/>
    <w:next w:val="Normal"/>
    <w:autoRedefine/>
    <w:uiPriority w:val="39"/>
    <w:rsid w:val="003E5330"/>
    <w:pPr>
      <w:tabs>
        <w:tab w:val="left" w:pos="0"/>
        <w:tab w:val="right" w:leader="hyphen" w:pos="9350"/>
      </w:tabs>
      <w:spacing w:after="100"/>
    </w:pPr>
    <w:rPr>
      <w:rFonts w:ascii="Arial" w:hAnsi="Arial" w:cs="Arial"/>
      <w:noProof/>
      <w:sz w:val="28"/>
    </w:rPr>
  </w:style>
  <w:style w:type="paragraph" w:styleId="Revision">
    <w:name w:val="Revision"/>
    <w:hidden/>
    <w:uiPriority w:val="99"/>
    <w:semiHidden/>
    <w:rsid w:val="001A4B9C"/>
    <w:rPr>
      <w:sz w:val="24"/>
      <w:szCs w:val="24"/>
    </w:rPr>
  </w:style>
  <w:style w:type="paragraph" w:customStyle="1" w:styleId="paragraph">
    <w:name w:val="paragraph"/>
    <w:basedOn w:val="Normal"/>
    <w:rsid w:val="00F23B80"/>
    <w:pPr>
      <w:spacing w:before="100" w:beforeAutospacing="1" w:after="100" w:afterAutospacing="1"/>
    </w:pPr>
  </w:style>
  <w:style w:type="character" w:customStyle="1" w:styleId="normaltextrun">
    <w:name w:val="normaltextrun"/>
    <w:basedOn w:val="DefaultParagraphFont"/>
    <w:rsid w:val="00F23B80"/>
  </w:style>
  <w:style w:type="character" w:customStyle="1" w:styleId="eop">
    <w:name w:val="eop"/>
    <w:basedOn w:val="DefaultParagraphFont"/>
    <w:rsid w:val="00F23B80"/>
  </w:style>
  <w:style w:type="paragraph" w:styleId="FootnoteText">
    <w:name w:val="footnote text"/>
    <w:basedOn w:val="Normal"/>
    <w:link w:val="FootnoteTextChar"/>
    <w:uiPriority w:val="99"/>
    <w:unhideWhenUsed/>
    <w:rsid w:val="003C644B"/>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3C644B"/>
    <w:rPr>
      <w:rFonts w:asciiTheme="minorHAnsi" w:eastAsiaTheme="minorHAnsi" w:hAnsiTheme="minorHAnsi" w:cstheme="minorBidi"/>
    </w:rPr>
  </w:style>
  <w:style w:type="character" w:styleId="FootnoteReference">
    <w:name w:val="footnote reference"/>
    <w:basedOn w:val="DefaultParagraphFont"/>
    <w:uiPriority w:val="99"/>
    <w:unhideWhenUsed/>
    <w:rsid w:val="003C644B"/>
    <w:rPr>
      <w:vertAlign w:val="superscript"/>
    </w:rPr>
  </w:style>
  <w:style w:type="paragraph" w:customStyle="1" w:styleId="TableParagraph">
    <w:name w:val="Table Paragraph"/>
    <w:basedOn w:val="Normal"/>
    <w:uiPriority w:val="1"/>
    <w:qFormat/>
    <w:rsid w:val="006E5244"/>
    <w:pPr>
      <w:widowControl w:val="0"/>
      <w:autoSpaceDE w:val="0"/>
      <w:autoSpaceDN w:val="0"/>
    </w:pPr>
    <w:rPr>
      <w:rFonts w:ascii="Arial" w:eastAsia="Arial" w:hAnsi="Arial" w:cs="Arial"/>
      <w:sz w:val="22"/>
      <w:szCs w:val="22"/>
      <w:lang w:bidi="en-US"/>
    </w:rPr>
  </w:style>
  <w:style w:type="table" w:styleId="TableTheme">
    <w:name w:val="Table Theme"/>
    <w:basedOn w:val="TableNormal"/>
    <w:rsid w:val="00D516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28620">
      <w:bodyDiv w:val="1"/>
      <w:marLeft w:val="0"/>
      <w:marRight w:val="0"/>
      <w:marTop w:val="0"/>
      <w:marBottom w:val="0"/>
      <w:divBdr>
        <w:top w:val="none" w:sz="0" w:space="0" w:color="auto"/>
        <w:left w:val="none" w:sz="0" w:space="0" w:color="auto"/>
        <w:bottom w:val="none" w:sz="0" w:space="0" w:color="auto"/>
        <w:right w:val="none" w:sz="0" w:space="0" w:color="auto"/>
      </w:divBdr>
    </w:div>
    <w:div w:id="235097089">
      <w:bodyDiv w:val="1"/>
      <w:marLeft w:val="0"/>
      <w:marRight w:val="0"/>
      <w:marTop w:val="0"/>
      <w:marBottom w:val="0"/>
      <w:divBdr>
        <w:top w:val="none" w:sz="0" w:space="0" w:color="auto"/>
        <w:left w:val="none" w:sz="0" w:space="0" w:color="auto"/>
        <w:bottom w:val="none" w:sz="0" w:space="0" w:color="auto"/>
        <w:right w:val="none" w:sz="0" w:space="0" w:color="auto"/>
      </w:divBdr>
    </w:div>
    <w:div w:id="403643601">
      <w:bodyDiv w:val="1"/>
      <w:marLeft w:val="0"/>
      <w:marRight w:val="0"/>
      <w:marTop w:val="0"/>
      <w:marBottom w:val="0"/>
      <w:divBdr>
        <w:top w:val="none" w:sz="0" w:space="0" w:color="auto"/>
        <w:left w:val="none" w:sz="0" w:space="0" w:color="auto"/>
        <w:bottom w:val="none" w:sz="0" w:space="0" w:color="auto"/>
        <w:right w:val="none" w:sz="0" w:space="0" w:color="auto"/>
      </w:divBdr>
    </w:div>
    <w:div w:id="438529833">
      <w:bodyDiv w:val="1"/>
      <w:marLeft w:val="0"/>
      <w:marRight w:val="0"/>
      <w:marTop w:val="0"/>
      <w:marBottom w:val="0"/>
      <w:divBdr>
        <w:top w:val="none" w:sz="0" w:space="0" w:color="auto"/>
        <w:left w:val="none" w:sz="0" w:space="0" w:color="auto"/>
        <w:bottom w:val="none" w:sz="0" w:space="0" w:color="auto"/>
        <w:right w:val="none" w:sz="0" w:space="0" w:color="auto"/>
      </w:divBdr>
    </w:div>
    <w:div w:id="642731848">
      <w:bodyDiv w:val="1"/>
      <w:marLeft w:val="0"/>
      <w:marRight w:val="0"/>
      <w:marTop w:val="0"/>
      <w:marBottom w:val="0"/>
      <w:divBdr>
        <w:top w:val="none" w:sz="0" w:space="0" w:color="auto"/>
        <w:left w:val="none" w:sz="0" w:space="0" w:color="auto"/>
        <w:bottom w:val="none" w:sz="0" w:space="0" w:color="auto"/>
        <w:right w:val="none" w:sz="0" w:space="0" w:color="auto"/>
      </w:divBdr>
    </w:div>
    <w:div w:id="1023289013">
      <w:bodyDiv w:val="1"/>
      <w:marLeft w:val="0"/>
      <w:marRight w:val="0"/>
      <w:marTop w:val="0"/>
      <w:marBottom w:val="0"/>
      <w:divBdr>
        <w:top w:val="none" w:sz="0" w:space="0" w:color="auto"/>
        <w:left w:val="none" w:sz="0" w:space="0" w:color="auto"/>
        <w:bottom w:val="none" w:sz="0" w:space="0" w:color="auto"/>
        <w:right w:val="none" w:sz="0" w:space="0" w:color="auto"/>
      </w:divBdr>
    </w:div>
    <w:div w:id="1111242579">
      <w:bodyDiv w:val="1"/>
      <w:marLeft w:val="0"/>
      <w:marRight w:val="0"/>
      <w:marTop w:val="0"/>
      <w:marBottom w:val="0"/>
      <w:divBdr>
        <w:top w:val="none" w:sz="0" w:space="0" w:color="auto"/>
        <w:left w:val="none" w:sz="0" w:space="0" w:color="auto"/>
        <w:bottom w:val="none" w:sz="0" w:space="0" w:color="auto"/>
        <w:right w:val="none" w:sz="0" w:space="0" w:color="auto"/>
      </w:divBdr>
      <w:divsChild>
        <w:div w:id="135492830">
          <w:marLeft w:val="0"/>
          <w:marRight w:val="0"/>
          <w:marTop w:val="0"/>
          <w:marBottom w:val="240"/>
          <w:divBdr>
            <w:top w:val="none" w:sz="0" w:space="0" w:color="auto"/>
            <w:left w:val="none" w:sz="0" w:space="0" w:color="auto"/>
            <w:bottom w:val="none" w:sz="0" w:space="0" w:color="auto"/>
            <w:right w:val="none" w:sz="0" w:space="0" w:color="auto"/>
          </w:divBdr>
        </w:div>
        <w:div w:id="163984568">
          <w:marLeft w:val="0"/>
          <w:marRight w:val="0"/>
          <w:marTop w:val="0"/>
          <w:marBottom w:val="240"/>
          <w:divBdr>
            <w:top w:val="none" w:sz="0" w:space="0" w:color="auto"/>
            <w:left w:val="none" w:sz="0" w:space="0" w:color="auto"/>
            <w:bottom w:val="none" w:sz="0" w:space="0" w:color="auto"/>
            <w:right w:val="none" w:sz="0" w:space="0" w:color="auto"/>
          </w:divBdr>
        </w:div>
        <w:div w:id="235285099">
          <w:marLeft w:val="0"/>
          <w:marRight w:val="0"/>
          <w:marTop w:val="0"/>
          <w:marBottom w:val="240"/>
          <w:divBdr>
            <w:top w:val="none" w:sz="0" w:space="0" w:color="auto"/>
            <w:left w:val="none" w:sz="0" w:space="0" w:color="auto"/>
            <w:bottom w:val="none" w:sz="0" w:space="0" w:color="auto"/>
            <w:right w:val="none" w:sz="0" w:space="0" w:color="auto"/>
          </w:divBdr>
        </w:div>
        <w:div w:id="842742306">
          <w:marLeft w:val="0"/>
          <w:marRight w:val="0"/>
          <w:marTop w:val="0"/>
          <w:marBottom w:val="240"/>
          <w:divBdr>
            <w:top w:val="none" w:sz="0" w:space="0" w:color="auto"/>
            <w:left w:val="none" w:sz="0" w:space="0" w:color="auto"/>
            <w:bottom w:val="none" w:sz="0" w:space="0" w:color="auto"/>
            <w:right w:val="none" w:sz="0" w:space="0" w:color="auto"/>
          </w:divBdr>
        </w:div>
        <w:div w:id="957024888">
          <w:marLeft w:val="0"/>
          <w:marRight w:val="0"/>
          <w:marTop w:val="0"/>
          <w:marBottom w:val="240"/>
          <w:divBdr>
            <w:top w:val="none" w:sz="0" w:space="0" w:color="auto"/>
            <w:left w:val="none" w:sz="0" w:space="0" w:color="auto"/>
            <w:bottom w:val="none" w:sz="0" w:space="0" w:color="auto"/>
            <w:right w:val="none" w:sz="0" w:space="0" w:color="auto"/>
          </w:divBdr>
        </w:div>
        <w:div w:id="1076392770">
          <w:marLeft w:val="0"/>
          <w:marRight w:val="0"/>
          <w:marTop w:val="0"/>
          <w:marBottom w:val="240"/>
          <w:divBdr>
            <w:top w:val="none" w:sz="0" w:space="0" w:color="auto"/>
            <w:left w:val="none" w:sz="0" w:space="0" w:color="auto"/>
            <w:bottom w:val="none" w:sz="0" w:space="0" w:color="auto"/>
            <w:right w:val="none" w:sz="0" w:space="0" w:color="auto"/>
          </w:divBdr>
        </w:div>
        <w:div w:id="1532962178">
          <w:marLeft w:val="0"/>
          <w:marRight w:val="0"/>
          <w:marTop w:val="0"/>
          <w:marBottom w:val="240"/>
          <w:divBdr>
            <w:top w:val="none" w:sz="0" w:space="0" w:color="auto"/>
            <w:left w:val="none" w:sz="0" w:space="0" w:color="auto"/>
            <w:bottom w:val="none" w:sz="0" w:space="0" w:color="auto"/>
            <w:right w:val="none" w:sz="0" w:space="0" w:color="auto"/>
          </w:divBdr>
        </w:div>
        <w:div w:id="1637758598">
          <w:marLeft w:val="0"/>
          <w:marRight w:val="0"/>
          <w:marTop w:val="0"/>
          <w:marBottom w:val="240"/>
          <w:divBdr>
            <w:top w:val="none" w:sz="0" w:space="0" w:color="auto"/>
            <w:left w:val="none" w:sz="0" w:space="0" w:color="auto"/>
            <w:bottom w:val="none" w:sz="0" w:space="0" w:color="auto"/>
            <w:right w:val="none" w:sz="0" w:space="0" w:color="auto"/>
          </w:divBdr>
        </w:div>
        <w:div w:id="1915164094">
          <w:marLeft w:val="0"/>
          <w:marRight w:val="0"/>
          <w:marTop w:val="0"/>
          <w:marBottom w:val="240"/>
          <w:divBdr>
            <w:top w:val="none" w:sz="0" w:space="0" w:color="auto"/>
            <w:left w:val="none" w:sz="0" w:space="0" w:color="auto"/>
            <w:bottom w:val="none" w:sz="0" w:space="0" w:color="auto"/>
            <w:right w:val="none" w:sz="0" w:space="0" w:color="auto"/>
          </w:divBdr>
        </w:div>
      </w:divsChild>
    </w:div>
    <w:div w:id="1122379277">
      <w:bodyDiv w:val="1"/>
      <w:marLeft w:val="0"/>
      <w:marRight w:val="0"/>
      <w:marTop w:val="0"/>
      <w:marBottom w:val="0"/>
      <w:divBdr>
        <w:top w:val="none" w:sz="0" w:space="0" w:color="auto"/>
        <w:left w:val="none" w:sz="0" w:space="0" w:color="auto"/>
        <w:bottom w:val="none" w:sz="0" w:space="0" w:color="auto"/>
        <w:right w:val="none" w:sz="0" w:space="0" w:color="auto"/>
      </w:divBdr>
    </w:div>
    <w:div w:id="1392650978">
      <w:bodyDiv w:val="1"/>
      <w:marLeft w:val="0"/>
      <w:marRight w:val="0"/>
      <w:marTop w:val="0"/>
      <w:marBottom w:val="0"/>
      <w:divBdr>
        <w:top w:val="none" w:sz="0" w:space="0" w:color="auto"/>
        <w:left w:val="none" w:sz="0" w:space="0" w:color="auto"/>
        <w:bottom w:val="none" w:sz="0" w:space="0" w:color="auto"/>
        <w:right w:val="none" w:sz="0" w:space="0" w:color="auto"/>
      </w:divBdr>
      <w:divsChild>
        <w:div w:id="388581200">
          <w:marLeft w:val="0"/>
          <w:marRight w:val="0"/>
          <w:marTop w:val="0"/>
          <w:marBottom w:val="240"/>
          <w:divBdr>
            <w:top w:val="none" w:sz="0" w:space="0" w:color="auto"/>
            <w:left w:val="none" w:sz="0" w:space="0" w:color="auto"/>
            <w:bottom w:val="none" w:sz="0" w:space="0" w:color="auto"/>
            <w:right w:val="none" w:sz="0" w:space="0" w:color="auto"/>
          </w:divBdr>
        </w:div>
        <w:div w:id="427383884">
          <w:marLeft w:val="0"/>
          <w:marRight w:val="0"/>
          <w:marTop w:val="0"/>
          <w:marBottom w:val="240"/>
          <w:divBdr>
            <w:top w:val="none" w:sz="0" w:space="0" w:color="auto"/>
            <w:left w:val="none" w:sz="0" w:space="0" w:color="auto"/>
            <w:bottom w:val="none" w:sz="0" w:space="0" w:color="auto"/>
            <w:right w:val="none" w:sz="0" w:space="0" w:color="auto"/>
          </w:divBdr>
        </w:div>
        <w:div w:id="712383180">
          <w:marLeft w:val="0"/>
          <w:marRight w:val="0"/>
          <w:marTop w:val="0"/>
          <w:marBottom w:val="240"/>
          <w:divBdr>
            <w:top w:val="none" w:sz="0" w:space="0" w:color="auto"/>
            <w:left w:val="none" w:sz="0" w:space="0" w:color="auto"/>
            <w:bottom w:val="none" w:sz="0" w:space="0" w:color="auto"/>
            <w:right w:val="none" w:sz="0" w:space="0" w:color="auto"/>
          </w:divBdr>
        </w:div>
        <w:div w:id="1251045001">
          <w:marLeft w:val="0"/>
          <w:marRight w:val="0"/>
          <w:marTop w:val="0"/>
          <w:marBottom w:val="240"/>
          <w:divBdr>
            <w:top w:val="none" w:sz="0" w:space="0" w:color="auto"/>
            <w:left w:val="none" w:sz="0" w:space="0" w:color="auto"/>
            <w:bottom w:val="none" w:sz="0" w:space="0" w:color="auto"/>
            <w:right w:val="none" w:sz="0" w:space="0" w:color="auto"/>
          </w:divBdr>
        </w:div>
        <w:div w:id="1891728604">
          <w:marLeft w:val="0"/>
          <w:marRight w:val="0"/>
          <w:marTop w:val="0"/>
          <w:marBottom w:val="240"/>
          <w:divBdr>
            <w:top w:val="none" w:sz="0" w:space="0" w:color="auto"/>
            <w:left w:val="none" w:sz="0" w:space="0" w:color="auto"/>
            <w:bottom w:val="none" w:sz="0" w:space="0" w:color="auto"/>
            <w:right w:val="none" w:sz="0" w:space="0" w:color="auto"/>
          </w:divBdr>
        </w:div>
      </w:divsChild>
    </w:div>
    <w:div w:id="1578514682">
      <w:bodyDiv w:val="1"/>
      <w:marLeft w:val="0"/>
      <w:marRight w:val="0"/>
      <w:marTop w:val="0"/>
      <w:marBottom w:val="0"/>
      <w:divBdr>
        <w:top w:val="none" w:sz="0" w:space="0" w:color="auto"/>
        <w:left w:val="none" w:sz="0" w:space="0" w:color="auto"/>
        <w:bottom w:val="none" w:sz="0" w:space="0" w:color="auto"/>
        <w:right w:val="none" w:sz="0" w:space="0" w:color="auto"/>
      </w:divBdr>
      <w:divsChild>
        <w:div w:id="97526408">
          <w:marLeft w:val="0"/>
          <w:marRight w:val="0"/>
          <w:marTop w:val="0"/>
          <w:marBottom w:val="240"/>
          <w:divBdr>
            <w:top w:val="none" w:sz="0" w:space="0" w:color="auto"/>
            <w:left w:val="none" w:sz="0" w:space="0" w:color="auto"/>
            <w:bottom w:val="none" w:sz="0" w:space="0" w:color="auto"/>
            <w:right w:val="none" w:sz="0" w:space="0" w:color="auto"/>
          </w:divBdr>
        </w:div>
        <w:div w:id="505756245">
          <w:marLeft w:val="0"/>
          <w:marRight w:val="0"/>
          <w:marTop w:val="0"/>
          <w:marBottom w:val="240"/>
          <w:divBdr>
            <w:top w:val="none" w:sz="0" w:space="0" w:color="auto"/>
            <w:left w:val="none" w:sz="0" w:space="0" w:color="auto"/>
            <w:bottom w:val="none" w:sz="0" w:space="0" w:color="auto"/>
            <w:right w:val="none" w:sz="0" w:space="0" w:color="auto"/>
          </w:divBdr>
        </w:div>
        <w:div w:id="830370430">
          <w:marLeft w:val="0"/>
          <w:marRight w:val="0"/>
          <w:marTop w:val="0"/>
          <w:marBottom w:val="240"/>
          <w:divBdr>
            <w:top w:val="none" w:sz="0" w:space="0" w:color="auto"/>
            <w:left w:val="none" w:sz="0" w:space="0" w:color="auto"/>
            <w:bottom w:val="none" w:sz="0" w:space="0" w:color="auto"/>
            <w:right w:val="none" w:sz="0" w:space="0" w:color="auto"/>
          </w:divBdr>
        </w:div>
        <w:div w:id="1174416730">
          <w:marLeft w:val="0"/>
          <w:marRight w:val="0"/>
          <w:marTop w:val="0"/>
          <w:marBottom w:val="240"/>
          <w:divBdr>
            <w:top w:val="none" w:sz="0" w:space="0" w:color="auto"/>
            <w:left w:val="none" w:sz="0" w:space="0" w:color="auto"/>
            <w:bottom w:val="none" w:sz="0" w:space="0" w:color="auto"/>
            <w:right w:val="none" w:sz="0" w:space="0" w:color="auto"/>
          </w:divBdr>
        </w:div>
        <w:div w:id="1176965274">
          <w:marLeft w:val="0"/>
          <w:marRight w:val="0"/>
          <w:marTop w:val="0"/>
          <w:marBottom w:val="240"/>
          <w:divBdr>
            <w:top w:val="none" w:sz="0" w:space="0" w:color="auto"/>
            <w:left w:val="none" w:sz="0" w:space="0" w:color="auto"/>
            <w:bottom w:val="none" w:sz="0" w:space="0" w:color="auto"/>
            <w:right w:val="none" w:sz="0" w:space="0" w:color="auto"/>
          </w:divBdr>
        </w:div>
        <w:div w:id="1874075754">
          <w:marLeft w:val="0"/>
          <w:marRight w:val="0"/>
          <w:marTop w:val="0"/>
          <w:marBottom w:val="240"/>
          <w:divBdr>
            <w:top w:val="none" w:sz="0" w:space="0" w:color="auto"/>
            <w:left w:val="none" w:sz="0" w:space="0" w:color="auto"/>
            <w:bottom w:val="none" w:sz="0" w:space="0" w:color="auto"/>
            <w:right w:val="none" w:sz="0" w:space="0" w:color="auto"/>
          </w:divBdr>
        </w:div>
        <w:div w:id="1948731679">
          <w:marLeft w:val="0"/>
          <w:marRight w:val="0"/>
          <w:marTop w:val="0"/>
          <w:marBottom w:val="240"/>
          <w:divBdr>
            <w:top w:val="none" w:sz="0" w:space="0" w:color="auto"/>
            <w:left w:val="none" w:sz="0" w:space="0" w:color="auto"/>
            <w:bottom w:val="none" w:sz="0" w:space="0" w:color="auto"/>
            <w:right w:val="none" w:sz="0" w:space="0" w:color="auto"/>
          </w:divBdr>
        </w:div>
        <w:div w:id="2035306466">
          <w:marLeft w:val="0"/>
          <w:marRight w:val="0"/>
          <w:marTop w:val="0"/>
          <w:marBottom w:val="240"/>
          <w:divBdr>
            <w:top w:val="none" w:sz="0" w:space="0" w:color="auto"/>
            <w:left w:val="none" w:sz="0" w:space="0" w:color="auto"/>
            <w:bottom w:val="none" w:sz="0" w:space="0" w:color="auto"/>
            <w:right w:val="none" w:sz="0" w:space="0" w:color="auto"/>
          </w:divBdr>
        </w:div>
      </w:divsChild>
    </w:div>
    <w:div w:id="1748308402">
      <w:bodyDiv w:val="1"/>
      <w:marLeft w:val="0"/>
      <w:marRight w:val="0"/>
      <w:marTop w:val="0"/>
      <w:marBottom w:val="0"/>
      <w:divBdr>
        <w:top w:val="none" w:sz="0" w:space="0" w:color="auto"/>
        <w:left w:val="none" w:sz="0" w:space="0" w:color="auto"/>
        <w:bottom w:val="none" w:sz="0" w:space="0" w:color="auto"/>
        <w:right w:val="none" w:sz="0" w:space="0" w:color="auto"/>
      </w:divBdr>
      <w:divsChild>
        <w:div w:id="591209204">
          <w:marLeft w:val="0"/>
          <w:marRight w:val="0"/>
          <w:marTop w:val="0"/>
          <w:marBottom w:val="0"/>
          <w:divBdr>
            <w:top w:val="none" w:sz="0" w:space="0" w:color="auto"/>
            <w:left w:val="none" w:sz="0" w:space="0" w:color="auto"/>
            <w:bottom w:val="none" w:sz="0" w:space="0" w:color="auto"/>
            <w:right w:val="none" w:sz="0" w:space="0" w:color="auto"/>
          </w:divBdr>
        </w:div>
        <w:div w:id="594434954">
          <w:marLeft w:val="0"/>
          <w:marRight w:val="0"/>
          <w:marTop w:val="0"/>
          <w:marBottom w:val="0"/>
          <w:divBdr>
            <w:top w:val="none" w:sz="0" w:space="0" w:color="auto"/>
            <w:left w:val="none" w:sz="0" w:space="0" w:color="auto"/>
            <w:bottom w:val="none" w:sz="0" w:space="0" w:color="auto"/>
            <w:right w:val="none" w:sz="0" w:space="0" w:color="auto"/>
          </w:divBdr>
        </w:div>
        <w:div w:id="951672104">
          <w:marLeft w:val="0"/>
          <w:marRight w:val="0"/>
          <w:marTop w:val="0"/>
          <w:marBottom w:val="0"/>
          <w:divBdr>
            <w:top w:val="none" w:sz="0" w:space="0" w:color="auto"/>
            <w:left w:val="none" w:sz="0" w:space="0" w:color="auto"/>
            <w:bottom w:val="none" w:sz="0" w:space="0" w:color="auto"/>
            <w:right w:val="none" w:sz="0" w:space="0" w:color="auto"/>
          </w:divBdr>
        </w:div>
        <w:div w:id="1152864837">
          <w:marLeft w:val="0"/>
          <w:marRight w:val="0"/>
          <w:marTop w:val="0"/>
          <w:marBottom w:val="0"/>
          <w:divBdr>
            <w:top w:val="none" w:sz="0" w:space="0" w:color="auto"/>
            <w:left w:val="none" w:sz="0" w:space="0" w:color="auto"/>
            <w:bottom w:val="none" w:sz="0" w:space="0" w:color="auto"/>
            <w:right w:val="none" w:sz="0" w:space="0" w:color="auto"/>
          </w:divBdr>
        </w:div>
        <w:div w:id="1342468412">
          <w:marLeft w:val="0"/>
          <w:marRight w:val="0"/>
          <w:marTop w:val="0"/>
          <w:marBottom w:val="0"/>
          <w:divBdr>
            <w:top w:val="none" w:sz="0" w:space="0" w:color="auto"/>
            <w:left w:val="none" w:sz="0" w:space="0" w:color="auto"/>
            <w:bottom w:val="none" w:sz="0" w:space="0" w:color="auto"/>
            <w:right w:val="none" w:sz="0" w:space="0" w:color="auto"/>
          </w:divBdr>
        </w:div>
        <w:div w:id="1415516269">
          <w:marLeft w:val="0"/>
          <w:marRight w:val="0"/>
          <w:marTop w:val="0"/>
          <w:marBottom w:val="0"/>
          <w:divBdr>
            <w:top w:val="none" w:sz="0" w:space="0" w:color="auto"/>
            <w:left w:val="none" w:sz="0" w:space="0" w:color="auto"/>
            <w:bottom w:val="none" w:sz="0" w:space="0" w:color="auto"/>
            <w:right w:val="none" w:sz="0" w:space="0" w:color="auto"/>
          </w:divBdr>
        </w:div>
        <w:div w:id="1520773899">
          <w:marLeft w:val="0"/>
          <w:marRight w:val="0"/>
          <w:marTop w:val="0"/>
          <w:marBottom w:val="0"/>
          <w:divBdr>
            <w:top w:val="none" w:sz="0" w:space="0" w:color="auto"/>
            <w:left w:val="none" w:sz="0" w:space="0" w:color="auto"/>
            <w:bottom w:val="none" w:sz="0" w:space="0" w:color="auto"/>
            <w:right w:val="none" w:sz="0" w:space="0" w:color="auto"/>
          </w:divBdr>
        </w:div>
        <w:div w:id="1753235399">
          <w:marLeft w:val="0"/>
          <w:marRight w:val="0"/>
          <w:marTop w:val="0"/>
          <w:marBottom w:val="0"/>
          <w:divBdr>
            <w:top w:val="none" w:sz="0" w:space="0" w:color="auto"/>
            <w:left w:val="none" w:sz="0" w:space="0" w:color="auto"/>
            <w:bottom w:val="none" w:sz="0" w:space="0" w:color="auto"/>
            <w:right w:val="none" w:sz="0" w:space="0" w:color="auto"/>
          </w:divBdr>
        </w:div>
        <w:div w:id="1930193268">
          <w:marLeft w:val="0"/>
          <w:marRight w:val="0"/>
          <w:marTop w:val="0"/>
          <w:marBottom w:val="0"/>
          <w:divBdr>
            <w:top w:val="none" w:sz="0" w:space="0" w:color="auto"/>
            <w:left w:val="none" w:sz="0" w:space="0" w:color="auto"/>
            <w:bottom w:val="none" w:sz="0" w:space="0" w:color="auto"/>
            <w:right w:val="none" w:sz="0" w:space="0" w:color="auto"/>
          </w:divBdr>
        </w:div>
      </w:divsChild>
    </w:div>
    <w:div w:id="1880162830">
      <w:bodyDiv w:val="1"/>
      <w:marLeft w:val="0"/>
      <w:marRight w:val="0"/>
      <w:marTop w:val="0"/>
      <w:marBottom w:val="0"/>
      <w:divBdr>
        <w:top w:val="none" w:sz="0" w:space="0" w:color="auto"/>
        <w:left w:val="none" w:sz="0" w:space="0" w:color="auto"/>
        <w:bottom w:val="none" w:sz="0" w:space="0" w:color="auto"/>
        <w:right w:val="none" w:sz="0" w:space="0" w:color="auto"/>
      </w:divBdr>
      <w:divsChild>
        <w:div w:id="179005531">
          <w:marLeft w:val="0"/>
          <w:marRight w:val="0"/>
          <w:marTop w:val="0"/>
          <w:marBottom w:val="240"/>
          <w:divBdr>
            <w:top w:val="none" w:sz="0" w:space="0" w:color="auto"/>
            <w:left w:val="none" w:sz="0" w:space="0" w:color="auto"/>
            <w:bottom w:val="none" w:sz="0" w:space="0" w:color="auto"/>
            <w:right w:val="none" w:sz="0" w:space="0" w:color="auto"/>
          </w:divBdr>
        </w:div>
        <w:div w:id="197862956">
          <w:marLeft w:val="0"/>
          <w:marRight w:val="0"/>
          <w:marTop w:val="0"/>
          <w:marBottom w:val="240"/>
          <w:divBdr>
            <w:top w:val="none" w:sz="0" w:space="0" w:color="auto"/>
            <w:left w:val="none" w:sz="0" w:space="0" w:color="auto"/>
            <w:bottom w:val="none" w:sz="0" w:space="0" w:color="auto"/>
            <w:right w:val="none" w:sz="0" w:space="0" w:color="auto"/>
          </w:divBdr>
        </w:div>
        <w:div w:id="345446976">
          <w:marLeft w:val="0"/>
          <w:marRight w:val="0"/>
          <w:marTop w:val="0"/>
          <w:marBottom w:val="240"/>
          <w:divBdr>
            <w:top w:val="none" w:sz="0" w:space="0" w:color="auto"/>
            <w:left w:val="none" w:sz="0" w:space="0" w:color="auto"/>
            <w:bottom w:val="none" w:sz="0" w:space="0" w:color="auto"/>
            <w:right w:val="none" w:sz="0" w:space="0" w:color="auto"/>
          </w:divBdr>
        </w:div>
        <w:div w:id="633483062">
          <w:marLeft w:val="0"/>
          <w:marRight w:val="0"/>
          <w:marTop w:val="0"/>
          <w:marBottom w:val="240"/>
          <w:divBdr>
            <w:top w:val="none" w:sz="0" w:space="0" w:color="auto"/>
            <w:left w:val="none" w:sz="0" w:space="0" w:color="auto"/>
            <w:bottom w:val="none" w:sz="0" w:space="0" w:color="auto"/>
            <w:right w:val="none" w:sz="0" w:space="0" w:color="auto"/>
          </w:divBdr>
        </w:div>
        <w:div w:id="969943169">
          <w:marLeft w:val="0"/>
          <w:marRight w:val="0"/>
          <w:marTop w:val="0"/>
          <w:marBottom w:val="240"/>
          <w:divBdr>
            <w:top w:val="none" w:sz="0" w:space="0" w:color="auto"/>
            <w:left w:val="none" w:sz="0" w:space="0" w:color="auto"/>
            <w:bottom w:val="none" w:sz="0" w:space="0" w:color="auto"/>
            <w:right w:val="none" w:sz="0" w:space="0" w:color="auto"/>
          </w:divBdr>
        </w:div>
        <w:div w:id="1074742714">
          <w:marLeft w:val="0"/>
          <w:marRight w:val="0"/>
          <w:marTop w:val="0"/>
          <w:marBottom w:val="240"/>
          <w:divBdr>
            <w:top w:val="none" w:sz="0" w:space="0" w:color="auto"/>
            <w:left w:val="none" w:sz="0" w:space="0" w:color="auto"/>
            <w:bottom w:val="none" w:sz="0" w:space="0" w:color="auto"/>
            <w:right w:val="none" w:sz="0" w:space="0" w:color="auto"/>
          </w:divBdr>
        </w:div>
        <w:div w:id="1580020515">
          <w:marLeft w:val="0"/>
          <w:marRight w:val="0"/>
          <w:marTop w:val="0"/>
          <w:marBottom w:val="240"/>
          <w:divBdr>
            <w:top w:val="none" w:sz="0" w:space="0" w:color="auto"/>
            <w:left w:val="none" w:sz="0" w:space="0" w:color="auto"/>
            <w:bottom w:val="none" w:sz="0" w:space="0" w:color="auto"/>
            <w:right w:val="none" w:sz="0" w:space="0" w:color="auto"/>
          </w:divBdr>
        </w:div>
        <w:div w:id="1602490148">
          <w:marLeft w:val="0"/>
          <w:marRight w:val="0"/>
          <w:marTop w:val="0"/>
          <w:marBottom w:val="240"/>
          <w:divBdr>
            <w:top w:val="none" w:sz="0" w:space="0" w:color="auto"/>
            <w:left w:val="none" w:sz="0" w:space="0" w:color="auto"/>
            <w:bottom w:val="none" w:sz="0" w:space="0" w:color="auto"/>
            <w:right w:val="none" w:sz="0" w:space="0" w:color="auto"/>
          </w:divBdr>
        </w:div>
        <w:div w:id="1844736423">
          <w:marLeft w:val="0"/>
          <w:marRight w:val="0"/>
          <w:marTop w:val="0"/>
          <w:marBottom w:val="240"/>
          <w:divBdr>
            <w:top w:val="none" w:sz="0" w:space="0" w:color="auto"/>
            <w:left w:val="none" w:sz="0" w:space="0" w:color="auto"/>
            <w:bottom w:val="none" w:sz="0" w:space="0" w:color="auto"/>
            <w:right w:val="none" w:sz="0" w:space="0" w:color="auto"/>
          </w:divBdr>
        </w:div>
      </w:divsChild>
    </w:div>
    <w:div w:id="2140763898">
      <w:bodyDiv w:val="1"/>
      <w:marLeft w:val="0"/>
      <w:marRight w:val="0"/>
      <w:marTop w:val="0"/>
      <w:marBottom w:val="0"/>
      <w:divBdr>
        <w:top w:val="none" w:sz="0" w:space="0" w:color="auto"/>
        <w:left w:val="none" w:sz="0" w:space="0" w:color="auto"/>
        <w:bottom w:val="none" w:sz="0" w:space="0" w:color="auto"/>
        <w:right w:val="none" w:sz="0" w:space="0" w:color="auto"/>
      </w:divBdr>
      <w:divsChild>
        <w:div w:id="178274040">
          <w:marLeft w:val="0"/>
          <w:marRight w:val="0"/>
          <w:marTop w:val="0"/>
          <w:marBottom w:val="240"/>
          <w:divBdr>
            <w:top w:val="none" w:sz="0" w:space="0" w:color="auto"/>
            <w:left w:val="none" w:sz="0" w:space="0" w:color="auto"/>
            <w:bottom w:val="none" w:sz="0" w:space="0" w:color="auto"/>
            <w:right w:val="none" w:sz="0" w:space="0" w:color="auto"/>
          </w:divBdr>
        </w:div>
        <w:div w:id="295842146">
          <w:marLeft w:val="0"/>
          <w:marRight w:val="0"/>
          <w:marTop w:val="0"/>
          <w:marBottom w:val="240"/>
          <w:divBdr>
            <w:top w:val="none" w:sz="0" w:space="0" w:color="auto"/>
            <w:left w:val="none" w:sz="0" w:space="0" w:color="auto"/>
            <w:bottom w:val="none" w:sz="0" w:space="0" w:color="auto"/>
            <w:right w:val="none" w:sz="0" w:space="0" w:color="auto"/>
          </w:divBdr>
        </w:div>
        <w:div w:id="638219852">
          <w:marLeft w:val="0"/>
          <w:marRight w:val="0"/>
          <w:marTop w:val="0"/>
          <w:marBottom w:val="240"/>
          <w:divBdr>
            <w:top w:val="none" w:sz="0" w:space="0" w:color="auto"/>
            <w:left w:val="none" w:sz="0" w:space="0" w:color="auto"/>
            <w:bottom w:val="none" w:sz="0" w:space="0" w:color="auto"/>
            <w:right w:val="none" w:sz="0" w:space="0" w:color="auto"/>
          </w:divBdr>
        </w:div>
        <w:div w:id="1324746334">
          <w:marLeft w:val="0"/>
          <w:marRight w:val="0"/>
          <w:marTop w:val="0"/>
          <w:marBottom w:val="240"/>
          <w:divBdr>
            <w:top w:val="none" w:sz="0" w:space="0" w:color="auto"/>
            <w:left w:val="none" w:sz="0" w:space="0" w:color="auto"/>
            <w:bottom w:val="none" w:sz="0" w:space="0" w:color="auto"/>
            <w:right w:val="none" w:sz="0" w:space="0" w:color="auto"/>
          </w:divBdr>
        </w:div>
        <w:div w:id="1418165946">
          <w:marLeft w:val="0"/>
          <w:marRight w:val="0"/>
          <w:marTop w:val="0"/>
          <w:marBottom w:val="240"/>
          <w:divBdr>
            <w:top w:val="none" w:sz="0" w:space="0" w:color="auto"/>
            <w:left w:val="none" w:sz="0" w:space="0" w:color="auto"/>
            <w:bottom w:val="none" w:sz="0" w:space="0" w:color="auto"/>
            <w:right w:val="none" w:sz="0" w:space="0" w:color="auto"/>
          </w:divBdr>
        </w:div>
        <w:div w:id="1541748530">
          <w:marLeft w:val="0"/>
          <w:marRight w:val="0"/>
          <w:marTop w:val="0"/>
          <w:marBottom w:val="240"/>
          <w:divBdr>
            <w:top w:val="none" w:sz="0" w:space="0" w:color="auto"/>
            <w:left w:val="none" w:sz="0" w:space="0" w:color="auto"/>
            <w:bottom w:val="none" w:sz="0" w:space="0" w:color="auto"/>
            <w:right w:val="none" w:sz="0" w:space="0" w:color="auto"/>
          </w:divBdr>
        </w:div>
        <w:div w:id="1576040339">
          <w:marLeft w:val="0"/>
          <w:marRight w:val="0"/>
          <w:marTop w:val="0"/>
          <w:marBottom w:val="240"/>
          <w:divBdr>
            <w:top w:val="none" w:sz="0" w:space="0" w:color="auto"/>
            <w:left w:val="none" w:sz="0" w:space="0" w:color="auto"/>
            <w:bottom w:val="none" w:sz="0" w:space="0" w:color="auto"/>
            <w:right w:val="none" w:sz="0" w:space="0" w:color="auto"/>
          </w:divBdr>
        </w:div>
        <w:div w:id="189858544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franklin@cde.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e.ca.gov/ci/ct/i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40E56-D931-48EC-BC92-EA00006A9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2647</Words>
  <Characters>15092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CTEIG Legislative Report 2 - CTEIG (CA Dept of Education)</vt:lpstr>
    </vt:vector>
  </TitlesOfParts>
  <Company>CA. Dept. of Education</Company>
  <LinksUpToDate>false</LinksUpToDate>
  <CharactersWithSpaces>17704</CharactersWithSpaces>
  <SharedDoc>false</SharedDoc>
  <HLinks>
    <vt:vector size="18" baseType="variant">
      <vt:variant>
        <vt:i4>2359365</vt:i4>
      </vt:variant>
      <vt:variant>
        <vt:i4>9</vt:i4>
      </vt:variant>
      <vt:variant>
        <vt:i4>0</vt:i4>
      </vt:variant>
      <vt:variant>
        <vt:i4>5</vt:i4>
      </vt:variant>
      <vt:variant>
        <vt:lpwstr>mailto:fname@cde.ca.gov</vt:lpwstr>
      </vt:variant>
      <vt:variant>
        <vt:lpwstr/>
      </vt:variant>
      <vt:variant>
        <vt:i4>4718682</vt:i4>
      </vt:variant>
      <vt:variant>
        <vt:i4>6</vt:i4>
      </vt:variant>
      <vt:variant>
        <vt:i4>0</vt:i4>
      </vt:variant>
      <vt:variant>
        <vt:i4>5</vt:i4>
      </vt:variant>
      <vt:variant>
        <vt:lpwstr>http://www.cde.ca.gov/xx/xx/xx/documents/filename.doc</vt:lpwstr>
      </vt:variant>
      <vt:variant>
        <vt:lpwstr/>
      </vt:variant>
      <vt:variant>
        <vt:i4>4587582</vt:i4>
      </vt:variant>
      <vt:variant>
        <vt:i4>3</vt:i4>
      </vt:variant>
      <vt:variant>
        <vt:i4>0</vt:i4>
      </vt:variant>
      <vt:variant>
        <vt:i4>5</vt:i4>
      </vt:variant>
      <vt:variant>
        <vt:lpwstr>mailto:xxx@cde.ca.gov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CTEIG Legislative Report 2023 - CTEIG (CA Dept of Education)</dc:title>
  <dc:subject>Career Technical Education Incentive Grant (CTEIG) Legislative Reports prepared by the California Department of Education.</dc:subject>
  <dc:creator>Helen Lam</dc:creator>
  <cp:keywords/>
  <dc:description/>
  <cp:lastModifiedBy>Marc Shaffer</cp:lastModifiedBy>
  <cp:revision>5</cp:revision>
  <cp:lastPrinted>2011-02-04T17:37:00Z</cp:lastPrinted>
  <dcterms:created xsi:type="dcterms:W3CDTF">2023-01-31T23:25:00Z</dcterms:created>
  <dcterms:modified xsi:type="dcterms:W3CDTF">2023-02-06T20:31:00Z</dcterms:modified>
</cp:coreProperties>
</file>