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2EE3E" w14:textId="77777777" w:rsidR="00A70529" w:rsidRPr="003044EB" w:rsidRDefault="00A70529" w:rsidP="009C6230">
      <w:pPr>
        <w:pBdr>
          <w:top w:val="single" w:sz="24" w:space="1" w:color="auto"/>
          <w:left w:val="single" w:sz="24" w:space="4" w:color="auto"/>
          <w:bottom w:val="single" w:sz="24" w:space="1" w:color="auto"/>
          <w:right w:val="single" w:sz="24" w:space="4" w:color="auto"/>
        </w:pBdr>
        <w:spacing w:after="480"/>
        <w:jc w:val="center"/>
        <w:rPr>
          <w:rFonts w:ascii="Arial" w:hAnsi="Arial" w:cs="Arial"/>
          <w:b/>
          <w:bCs/>
          <w:sz w:val="28"/>
          <w:szCs w:val="28"/>
        </w:rPr>
      </w:pPr>
      <w:r w:rsidRPr="003044EB">
        <w:rPr>
          <w:rFonts w:ascii="Arial" w:hAnsi="Arial" w:cs="Arial"/>
          <w:b/>
          <w:bCs/>
          <w:sz w:val="28"/>
          <w:szCs w:val="28"/>
        </w:rPr>
        <w:t>California Department of Education</w:t>
      </w:r>
    </w:p>
    <w:p w14:paraId="354A72F3" w14:textId="77777777" w:rsidR="00A70529" w:rsidRPr="003044EB" w:rsidRDefault="00A70529" w:rsidP="0028140F">
      <w:pPr>
        <w:pStyle w:val="Heading1"/>
      </w:pPr>
      <w:bookmarkStart w:id="0" w:name="_Toc56495081"/>
      <w:bookmarkStart w:id="1" w:name="_Toc56500266"/>
      <w:bookmarkStart w:id="2" w:name="_Toc146095136"/>
      <w:bookmarkStart w:id="3" w:name="_Toc161226395"/>
      <w:r w:rsidRPr="003044EB">
        <w:t>Report to the</w:t>
      </w:r>
      <w:r w:rsidR="00892278" w:rsidRPr="003044EB">
        <w:t xml:space="preserve"> Governor, </w:t>
      </w:r>
      <w:r w:rsidRPr="003044EB">
        <w:t>Legislature</w:t>
      </w:r>
      <w:r w:rsidR="00643414" w:rsidRPr="003044EB">
        <w:t>, and the</w:t>
      </w:r>
      <w:r w:rsidR="00892278" w:rsidRPr="003044EB">
        <w:t xml:space="preserve"> </w:t>
      </w:r>
      <w:r w:rsidR="003D53AC" w:rsidRPr="003044EB">
        <w:t>Department of Finance</w:t>
      </w:r>
      <w:r w:rsidRPr="003044EB">
        <w:t xml:space="preserve">: </w:t>
      </w:r>
      <w:r w:rsidR="003D53AC" w:rsidRPr="003044EB">
        <w:t xml:space="preserve">Career Technical Education Incentive Grant </w:t>
      </w:r>
      <w:r w:rsidR="00063655" w:rsidRPr="003044EB">
        <w:t>Annual</w:t>
      </w:r>
      <w:r w:rsidR="003D53AC" w:rsidRPr="003044EB">
        <w:t xml:space="preserve"> Report</w:t>
      </w:r>
      <w:bookmarkEnd w:id="0"/>
      <w:bookmarkEnd w:id="1"/>
      <w:bookmarkEnd w:id="2"/>
      <w:bookmarkEnd w:id="3"/>
    </w:p>
    <w:p w14:paraId="0428B77D" w14:textId="18A9DCB6" w:rsidR="00A70529" w:rsidRPr="003044EB" w:rsidRDefault="00317227" w:rsidP="009C6230">
      <w:pPr>
        <w:pBdr>
          <w:top w:val="single" w:sz="24" w:space="1" w:color="auto"/>
          <w:left w:val="single" w:sz="24" w:space="4" w:color="auto"/>
          <w:bottom w:val="single" w:sz="24" w:space="1" w:color="auto"/>
          <w:right w:val="single" w:sz="24" w:space="4" w:color="auto"/>
        </w:pBdr>
        <w:spacing w:after="720"/>
        <w:jc w:val="center"/>
        <w:rPr>
          <w:rFonts w:ascii="Arial" w:hAnsi="Arial" w:cs="Arial"/>
          <w:b/>
          <w:bCs/>
        </w:rPr>
      </w:pPr>
      <w:r w:rsidRPr="003044EB">
        <w:rPr>
          <w:rFonts w:ascii="Arial" w:hAnsi="Arial" w:cs="Arial"/>
          <w:color w:val="C0C0C0"/>
        </w:rPr>
        <w:object w:dxaOrig="5999" w:dyaOrig="5999" w14:anchorId="799345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te of California Department of Education Seal" style="width:179pt;height:179pt" o:ole="">
            <v:imagedata r:id="rId8" o:title=""/>
          </v:shape>
          <o:OLEObject Type="Embed" ProgID="MSPhotoEd.3" ShapeID="_x0000_i1025" DrawAspect="Content" ObjectID="_1837683668" r:id="rId9"/>
        </w:object>
      </w:r>
    </w:p>
    <w:p w14:paraId="2913D668" w14:textId="77777777" w:rsidR="00A70529" w:rsidRPr="003044EB" w:rsidRDefault="00A70529" w:rsidP="00CB6AFF">
      <w:pPr>
        <w:pBdr>
          <w:top w:val="single" w:sz="24" w:space="1" w:color="auto"/>
          <w:left w:val="single" w:sz="24" w:space="4" w:color="auto"/>
          <w:bottom w:val="single" w:sz="24" w:space="1" w:color="auto"/>
          <w:right w:val="single" w:sz="24" w:space="4" w:color="auto"/>
        </w:pBdr>
        <w:spacing w:after="240"/>
        <w:jc w:val="center"/>
        <w:rPr>
          <w:rFonts w:ascii="Arial" w:hAnsi="Arial" w:cs="Arial"/>
          <w:b/>
          <w:bCs/>
        </w:rPr>
      </w:pPr>
      <w:r w:rsidRPr="003044EB">
        <w:rPr>
          <w:rFonts w:ascii="Arial" w:hAnsi="Arial" w:cs="Arial"/>
          <w:b/>
          <w:bCs/>
          <w:iCs/>
        </w:rPr>
        <w:t>Prepared by:</w:t>
      </w:r>
    </w:p>
    <w:p w14:paraId="79151CC2" w14:textId="77777777" w:rsidR="00A70529" w:rsidRPr="003044EB" w:rsidRDefault="003D53AC" w:rsidP="00CB6AFF">
      <w:pPr>
        <w:pBdr>
          <w:top w:val="single" w:sz="24" w:space="1" w:color="auto"/>
          <w:left w:val="single" w:sz="24" w:space="4" w:color="auto"/>
          <w:bottom w:val="single" w:sz="24" w:space="1" w:color="auto"/>
          <w:right w:val="single" w:sz="24" w:space="4" w:color="auto"/>
        </w:pBdr>
        <w:spacing w:after="240"/>
        <w:jc w:val="center"/>
        <w:rPr>
          <w:rFonts w:ascii="Arial" w:hAnsi="Arial" w:cs="Arial"/>
          <w:b/>
          <w:bCs/>
          <w:sz w:val="28"/>
          <w:szCs w:val="28"/>
        </w:rPr>
      </w:pPr>
      <w:r w:rsidRPr="003044EB">
        <w:rPr>
          <w:rFonts w:ascii="Arial" w:hAnsi="Arial" w:cs="Arial"/>
          <w:b/>
          <w:bCs/>
          <w:sz w:val="28"/>
          <w:szCs w:val="28"/>
        </w:rPr>
        <w:t>Career and College Transition Division</w:t>
      </w:r>
    </w:p>
    <w:p w14:paraId="39FD3B88" w14:textId="22B77AFA" w:rsidR="00A70529" w:rsidRPr="003044EB" w:rsidRDefault="008C2580" w:rsidP="00CB6AFF">
      <w:pPr>
        <w:pBdr>
          <w:top w:val="single" w:sz="24" w:space="1" w:color="auto"/>
          <w:left w:val="single" w:sz="24" w:space="4" w:color="auto"/>
          <w:bottom w:val="single" w:sz="24" w:space="1" w:color="auto"/>
          <w:right w:val="single" w:sz="24" w:space="4" w:color="auto"/>
        </w:pBdr>
        <w:spacing w:after="240"/>
        <w:jc w:val="center"/>
        <w:rPr>
          <w:rFonts w:ascii="Arial" w:hAnsi="Arial" w:cs="Arial"/>
          <w:b/>
          <w:bCs/>
        </w:rPr>
      </w:pPr>
      <w:r w:rsidRPr="003044EB">
        <w:rPr>
          <w:rFonts w:ascii="Arial" w:hAnsi="Arial" w:cs="Arial"/>
          <w:b/>
          <w:bCs/>
          <w:sz w:val="28"/>
          <w:szCs w:val="28"/>
        </w:rPr>
        <w:t xml:space="preserve">Student Support Services </w:t>
      </w:r>
      <w:r w:rsidR="000E54C9">
        <w:rPr>
          <w:rFonts w:ascii="Arial" w:hAnsi="Arial" w:cs="Arial"/>
          <w:b/>
          <w:bCs/>
          <w:sz w:val="28"/>
          <w:szCs w:val="28"/>
        </w:rPr>
        <w:t xml:space="preserve">and Career Readiness </w:t>
      </w:r>
      <w:r w:rsidR="00A70529" w:rsidRPr="003044EB">
        <w:rPr>
          <w:rFonts w:ascii="Arial" w:hAnsi="Arial" w:cs="Arial"/>
          <w:b/>
          <w:bCs/>
          <w:sz w:val="28"/>
          <w:szCs w:val="28"/>
        </w:rPr>
        <w:t>Branch</w:t>
      </w:r>
    </w:p>
    <w:p w14:paraId="42E1B064" w14:textId="124356AF" w:rsidR="00A70529" w:rsidRPr="003044EB" w:rsidRDefault="003D53AC" w:rsidP="00CB6AFF">
      <w:pPr>
        <w:pBdr>
          <w:top w:val="single" w:sz="24" w:space="1" w:color="auto"/>
          <w:left w:val="single" w:sz="24" w:space="4" w:color="auto"/>
          <w:bottom w:val="single" w:sz="24" w:space="1" w:color="auto"/>
          <w:right w:val="single" w:sz="24" w:space="4" w:color="auto"/>
        </w:pBdr>
        <w:spacing w:after="240"/>
        <w:jc w:val="center"/>
        <w:rPr>
          <w:rFonts w:ascii="Arial" w:hAnsi="Arial" w:cs="Arial"/>
          <w:iCs/>
        </w:rPr>
      </w:pPr>
      <w:r w:rsidRPr="003044EB">
        <w:rPr>
          <w:rFonts w:ascii="Arial" w:hAnsi="Arial" w:cs="Arial"/>
          <w:iCs/>
        </w:rPr>
        <w:t>November</w:t>
      </w:r>
      <w:r w:rsidR="00F21E8B" w:rsidRPr="003044EB">
        <w:rPr>
          <w:rFonts w:ascii="Arial" w:hAnsi="Arial" w:cs="Arial"/>
          <w:iCs/>
        </w:rPr>
        <w:t xml:space="preserve"> 30,</w:t>
      </w:r>
      <w:r w:rsidRPr="003044EB">
        <w:rPr>
          <w:rFonts w:ascii="Arial" w:hAnsi="Arial" w:cs="Arial"/>
          <w:iCs/>
        </w:rPr>
        <w:t xml:space="preserve"> 202</w:t>
      </w:r>
      <w:r w:rsidR="0043461E">
        <w:rPr>
          <w:rFonts w:ascii="Arial" w:hAnsi="Arial" w:cs="Arial"/>
          <w:iCs/>
        </w:rPr>
        <w:t>5</w:t>
      </w:r>
    </w:p>
    <w:p w14:paraId="6738B9F4" w14:textId="77777777" w:rsidR="00A70529" w:rsidRPr="003044EB" w:rsidRDefault="00A70529" w:rsidP="007560FB">
      <w:pPr>
        <w:pBdr>
          <w:top w:val="single" w:sz="24" w:space="1" w:color="auto"/>
          <w:left w:val="single" w:sz="24" w:space="4" w:color="auto"/>
          <w:bottom w:val="single" w:sz="24" w:space="1" w:color="auto"/>
          <w:right w:val="single" w:sz="24" w:space="4" w:color="auto"/>
        </w:pBdr>
        <w:spacing w:after="240"/>
        <w:rPr>
          <w:rFonts w:ascii="Arial" w:hAnsi="Arial" w:cs="Arial"/>
          <w:i/>
          <w:lang w:bidi="en-US"/>
        </w:rPr>
      </w:pPr>
      <w:r w:rsidRPr="003044EB">
        <w:rPr>
          <w:rFonts w:ascii="Arial" w:hAnsi="Arial" w:cs="Arial"/>
          <w:lang w:bidi="en-US"/>
        </w:rPr>
        <w:t xml:space="preserve">Description: </w:t>
      </w:r>
      <w:r w:rsidR="003D53AC" w:rsidRPr="003044EB">
        <w:rPr>
          <w:rFonts w:ascii="Arial" w:hAnsi="Arial" w:cs="Arial"/>
          <w:lang w:bidi="en-US"/>
        </w:rPr>
        <w:t>C</w:t>
      </w:r>
      <w:r w:rsidR="00732CE8" w:rsidRPr="003044EB">
        <w:rPr>
          <w:rFonts w:ascii="Arial" w:hAnsi="Arial" w:cs="Arial"/>
          <w:lang w:bidi="en-US"/>
        </w:rPr>
        <w:t xml:space="preserve">areer Technical Education Incentive Grant </w:t>
      </w:r>
      <w:r w:rsidR="00116841" w:rsidRPr="003044EB">
        <w:rPr>
          <w:rFonts w:ascii="Arial" w:hAnsi="Arial" w:cs="Arial"/>
          <w:lang w:bidi="en-US"/>
        </w:rPr>
        <w:t xml:space="preserve">and </w:t>
      </w:r>
      <w:r w:rsidR="007D6CD0" w:rsidRPr="003044EB">
        <w:rPr>
          <w:rFonts w:ascii="Arial" w:hAnsi="Arial" w:cs="Arial"/>
          <w:lang w:bidi="en-US"/>
        </w:rPr>
        <w:t>K</w:t>
      </w:r>
      <w:r w:rsidR="00E95E98" w:rsidRPr="003044EB">
        <w:rPr>
          <w:rFonts w:ascii="Arial" w:hAnsi="Arial" w:cs="Arial"/>
        </w:rPr>
        <w:t xml:space="preserve">indergarten </w:t>
      </w:r>
      <w:r w:rsidR="007D6CD0" w:rsidRPr="003044EB">
        <w:rPr>
          <w:rFonts w:ascii="Arial" w:hAnsi="Arial" w:cs="Arial"/>
        </w:rPr>
        <w:t>T</w:t>
      </w:r>
      <w:r w:rsidR="00E95E98" w:rsidRPr="003044EB">
        <w:rPr>
          <w:rFonts w:ascii="Arial" w:hAnsi="Arial" w:cs="Arial"/>
        </w:rPr>
        <w:t xml:space="preserve">hrough </w:t>
      </w:r>
      <w:r w:rsidR="007D6CD0" w:rsidRPr="003044EB">
        <w:rPr>
          <w:rFonts w:ascii="Arial" w:hAnsi="Arial" w:cs="Arial"/>
        </w:rPr>
        <w:t>G</w:t>
      </w:r>
      <w:r w:rsidR="00E95E98" w:rsidRPr="003044EB">
        <w:rPr>
          <w:rFonts w:ascii="Arial" w:hAnsi="Arial" w:cs="Arial"/>
        </w:rPr>
        <w:t xml:space="preserve">rade </w:t>
      </w:r>
      <w:r w:rsidR="007D6CD0" w:rsidRPr="003044EB">
        <w:rPr>
          <w:rFonts w:ascii="Arial" w:hAnsi="Arial" w:cs="Arial"/>
        </w:rPr>
        <w:t>T</w:t>
      </w:r>
      <w:r w:rsidR="00E95E98" w:rsidRPr="003044EB">
        <w:rPr>
          <w:rFonts w:ascii="Arial" w:hAnsi="Arial" w:cs="Arial"/>
        </w:rPr>
        <w:t xml:space="preserve">welve </w:t>
      </w:r>
      <w:r w:rsidR="007D6CD0" w:rsidRPr="003044EB">
        <w:rPr>
          <w:rFonts w:ascii="Arial" w:hAnsi="Arial" w:cs="Arial"/>
        </w:rPr>
        <w:t>C</w:t>
      </w:r>
      <w:r w:rsidR="00E95E98" w:rsidRPr="003044EB">
        <w:rPr>
          <w:rFonts w:ascii="Arial" w:hAnsi="Arial" w:cs="Arial"/>
        </w:rPr>
        <w:t>omponent of the Strong Workforce Program</w:t>
      </w:r>
      <w:r w:rsidR="00E95E98" w:rsidRPr="003044EB">
        <w:rPr>
          <w:rFonts w:ascii="Arial" w:hAnsi="Arial" w:cs="Arial"/>
          <w:lang w:bidi="en-US"/>
        </w:rPr>
        <w:t xml:space="preserve"> </w:t>
      </w:r>
      <w:r w:rsidR="00116841" w:rsidRPr="003044EB">
        <w:rPr>
          <w:rFonts w:ascii="Arial" w:hAnsi="Arial" w:cs="Arial"/>
          <w:lang w:bidi="en-US"/>
        </w:rPr>
        <w:t>Data Metrics</w:t>
      </w:r>
      <w:r w:rsidR="003D53AC" w:rsidRPr="003044EB">
        <w:rPr>
          <w:rFonts w:ascii="Arial" w:hAnsi="Arial" w:cs="Arial"/>
          <w:lang w:bidi="en-US"/>
        </w:rPr>
        <w:t xml:space="preserve"> </w:t>
      </w:r>
      <w:r w:rsidR="00063655" w:rsidRPr="003044EB">
        <w:rPr>
          <w:rFonts w:ascii="Arial" w:hAnsi="Arial" w:cs="Arial"/>
          <w:lang w:bidi="en-US"/>
        </w:rPr>
        <w:t>Annual</w:t>
      </w:r>
      <w:r w:rsidR="003D53AC" w:rsidRPr="003044EB">
        <w:rPr>
          <w:rFonts w:ascii="Arial" w:hAnsi="Arial" w:cs="Arial"/>
          <w:lang w:bidi="en-US"/>
        </w:rPr>
        <w:t xml:space="preserve"> </w:t>
      </w:r>
      <w:r w:rsidR="00116841" w:rsidRPr="003044EB">
        <w:rPr>
          <w:rFonts w:ascii="Arial" w:hAnsi="Arial" w:cs="Arial"/>
          <w:lang w:bidi="en-US"/>
        </w:rPr>
        <w:t xml:space="preserve">Legislative </w:t>
      </w:r>
      <w:r w:rsidR="003D53AC" w:rsidRPr="003044EB">
        <w:rPr>
          <w:rFonts w:ascii="Arial" w:hAnsi="Arial" w:cs="Arial"/>
          <w:lang w:bidi="en-US"/>
        </w:rPr>
        <w:t>Report</w:t>
      </w:r>
    </w:p>
    <w:p w14:paraId="0642A660" w14:textId="66F09828" w:rsidR="00A70529" w:rsidRPr="003044EB" w:rsidRDefault="00A70529" w:rsidP="00690AD2">
      <w:pPr>
        <w:pBdr>
          <w:top w:val="single" w:sz="24" w:space="1" w:color="auto"/>
          <w:left w:val="single" w:sz="24" w:space="4" w:color="auto"/>
          <w:bottom w:val="single" w:sz="24" w:space="1" w:color="auto"/>
          <w:right w:val="single" w:sz="24" w:space="4" w:color="auto"/>
        </w:pBdr>
        <w:spacing w:after="240"/>
        <w:rPr>
          <w:rFonts w:ascii="Arial" w:hAnsi="Arial" w:cs="Arial"/>
          <w:lang w:bidi="en-US"/>
        </w:rPr>
      </w:pPr>
      <w:r w:rsidRPr="003044EB">
        <w:rPr>
          <w:rFonts w:ascii="Arial" w:hAnsi="Arial" w:cs="Arial"/>
          <w:lang w:bidi="en-US"/>
        </w:rPr>
        <w:t xml:space="preserve">Authority: </w:t>
      </w:r>
      <w:r w:rsidR="003D53AC" w:rsidRPr="003044EB">
        <w:rPr>
          <w:rFonts w:ascii="Arial" w:hAnsi="Arial" w:cs="Arial"/>
          <w:i/>
          <w:lang w:bidi="en-US"/>
        </w:rPr>
        <w:t>Education Code</w:t>
      </w:r>
      <w:r w:rsidR="003D53AC" w:rsidRPr="003044EB">
        <w:rPr>
          <w:rFonts w:ascii="Arial" w:hAnsi="Arial" w:cs="Arial"/>
          <w:lang w:bidi="en-US"/>
        </w:rPr>
        <w:t xml:space="preserve"> </w:t>
      </w:r>
      <w:r w:rsidR="00C871A3" w:rsidRPr="003044EB">
        <w:rPr>
          <w:rFonts w:ascii="Arial" w:hAnsi="Arial" w:cs="Arial"/>
          <w:lang w:bidi="en-US"/>
        </w:rPr>
        <w:t>s</w:t>
      </w:r>
      <w:r w:rsidR="003D53AC" w:rsidRPr="003044EB">
        <w:rPr>
          <w:rFonts w:ascii="Arial" w:hAnsi="Arial" w:cs="Arial"/>
          <w:lang w:bidi="en-US"/>
        </w:rPr>
        <w:t>ection</w:t>
      </w:r>
      <w:r w:rsidR="00C871A3" w:rsidRPr="003044EB">
        <w:rPr>
          <w:rFonts w:ascii="Arial" w:hAnsi="Arial" w:cs="Arial"/>
          <w:lang w:bidi="en-US"/>
        </w:rPr>
        <w:t>s</w:t>
      </w:r>
      <w:r w:rsidR="003D53AC" w:rsidRPr="003044EB">
        <w:rPr>
          <w:rFonts w:ascii="Arial" w:hAnsi="Arial" w:cs="Arial"/>
          <w:lang w:bidi="en-US"/>
        </w:rPr>
        <w:t xml:space="preserve"> </w:t>
      </w:r>
      <w:bookmarkStart w:id="4" w:name="_Hlk54284710"/>
      <w:r w:rsidR="003D53AC" w:rsidRPr="003044EB">
        <w:rPr>
          <w:rFonts w:ascii="Arial" w:hAnsi="Arial" w:cs="Arial"/>
          <w:lang w:bidi="en-US"/>
        </w:rPr>
        <w:t>5307</w:t>
      </w:r>
      <w:r w:rsidR="006D0E7D" w:rsidRPr="003044EB">
        <w:rPr>
          <w:rFonts w:ascii="Arial" w:hAnsi="Arial" w:cs="Arial"/>
          <w:lang w:bidi="en-US"/>
        </w:rPr>
        <w:t>1(c)(11)(C)</w:t>
      </w:r>
      <w:r w:rsidR="00BC7E8A" w:rsidRPr="003044EB">
        <w:rPr>
          <w:rFonts w:ascii="Arial" w:hAnsi="Arial" w:cs="Arial"/>
          <w:lang w:bidi="en-US"/>
        </w:rPr>
        <w:t xml:space="preserve"> and </w:t>
      </w:r>
      <w:r w:rsidR="00C871A3" w:rsidRPr="003044EB">
        <w:rPr>
          <w:rFonts w:ascii="Arial" w:hAnsi="Arial" w:cs="Arial"/>
          <w:lang w:bidi="en-US"/>
        </w:rPr>
        <w:t>88828(d)(8)(</w:t>
      </w:r>
      <w:r w:rsidR="001D5342">
        <w:rPr>
          <w:rFonts w:ascii="Arial" w:hAnsi="Arial" w:cs="Arial"/>
          <w:lang w:bidi="en-US"/>
        </w:rPr>
        <w:t>C</w:t>
      </w:r>
      <w:r w:rsidR="00C871A3" w:rsidRPr="003044EB">
        <w:rPr>
          <w:rFonts w:ascii="Arial" w:hAnsi="Arial" w:cs="Arial"/>
          <w:lang w:bidi="en-US"/>
        </w:rPr>
        <w:t>)</w:t>
      </w:r>
      <w:bookmarkEnd w:id="4"/>
    </w:p>
    <w:p w14:paraId="45F57775" w14:textId="77777777" w:rsidR="00A70529" w:rsidRPr="003044EB" w:rsidRDefault="00A70529" w:rsidP="00690AD2">
      <w:pPr>
        <w:pBdr>
          <w:top w:val="single" w:sz="24" w:space="1" w:color="auto"/>
          <w:left w:val="single" w:sz="24" w:space="4" w:color="auto"/>
          <w:bottom w:val="single" w:sz="24" w:space="1" w:color="auto"/>
          <w:right w:val="single" w:sz="24" w:space="4" w:color="auto"/>
        </w:pBdr>
        <w:spacing w:after="240"/>
        <w:rPr>
          <w:rFonts w:ascii="Arial" w:hAnsi="Arial" w:cs="Arial"/>
          <w:lang w:bidi="en-US"/>
        </w:rPr>
      </w:pPr>
      <w:r w:rsidRPr="003044EB">
        <w:rPr>
          <w:rFonts w:ascii="Arial" w:hAnsi="Arial" w:cs="Arial"/>
          <w:lang w:bidi="en-US"/>
        </w:rPr>
        <w:t xml:space="preserve">Recipient: </w:t>
      </w:r>
      <w:r w:rsidR="003D53AC" w:rsidRPr="003044EB">
        <w:rPr>
          <w:rFonts w:ascii="Arial" w:hAnsi="Arial" w:cs="Arial"/>
          <w:lang w:bidi="en-US"/>
        </w:rPr>
        <w:t>Governor, Legislature, and Department of Finance</w:t>
      </w:r>
    </w:p>
    <w:p w14:paraId="74F4A163" w14:textId="69D30992" w:rsidR="00A70529" w:rsidRPr="003044EB" w:rsidRDefault="00A70529" w:rsidP="00690AD2">
      <w:pPr>
        <w:pBdr>
          <w:top w:val="single" w:sz="24" w:space="1" w:color="auto"/>
          <w:left w:val="single" w:sz="24" w:space="4" w:color="auto"/>
          <w:bottom w:val="single" w:sz="24" w:space="1" w:color="auto"/>
          <w:right w:val="single" w:sz="24" w:space="4" w:color="auto"/>
        </w:pBdr>
        <w:spacing w:after="240"/>
        <w:rPr>
          <w:rFonts w:ascii="Arial" w:hAnsi="Arial" w:cs="Arial"/>
          <w:lang w:bidi="en-US"/>
        </w:rPr>
      </w:pPr>
      <w:r w:rsidRPr="003044EB">
        <w:rPr>
          <w:rFonts w:ascii="Arial" w:hAnsi="Arial" w:cs="Arial"/>
          <w:lang w:bidi="en-US"/>
        </w:rPr>
        <w:t xml:space="preserve">Due Date: </w:t>
      </w:r>
      <w:r w:rsidR="003D53AC" w:rsidRPr="003044EB">
        <w:rPr>
          <w:rFonts w:ascii="Arial" w:hAnsi="Arial" w:cs="Arial"/>
          <w:lang w:bidi="en-US"/>
        </w:rPr>
        <w:t>November 30, 202</w:t>
      </w:r>
      <w:r w:rsidR="004F58B1">
        <w:rPr>
          <w:rFonts w:ascii="Arial" w:hAnsi="Arial" w:cs="Arial"/>
          <w:lang w:bidi="en-US"/>
        </w:rPr>
        <w:t>5</w:t>
      </w:r>
    </w:p>
    <w:p w14:paraId="67E043A8" w14:textId="4C887678" w:rsidR="00F614E3" w:rsidRDefault="00317227" w:rsidP="00A70529">
      <w:pPr>
        <w:rPr>
          <w:rFonts w:ascii="Arial" w:hAnsi="Arial" w:cs="Arial"/>
        </w:rPr>
      </w:pPr>
      <w:r>
        <w:rPr>
          <w:rFonts w:ascii="Arial" w:hAnsi="Arial" w:cs="Arial"/>
        </w:rPr>
        <w:t xml:space="preserve">Posted by: California Department of Education – </w:t>
      </w:r>
      <w:r w:rsidR="00582EEE">
        <w:rPr>
          <w:rFonts w:ascii="Arial" w:hAnsi="Arial" w:cs="Arial"/>
        </w:rPr>
        <w:t>April</w:t>
      </w:r>
      <w:r>
        <w:rPr>
          <w:rFonts w:ascii="Arial" w:hAnsi="Arial" w:cs="Arial"/>
        </w:rPr>
        <w:t xml:space="preserve"> 202</w:t>
      </w:r>
      <w:r w:rsidR="00582EEE">
        <w:rPr>
          <w:rFonts w:ascii="Arial" w:hAnsi="Arial" w:cs="Arial"/>
        </w:rPr>
        <w:t>6</w:t>
      </w:r>
    </w:p>
    <w:p w14:paraId="35AC63A3" w14:textId="77777777" w:rsidR="00317227" w:rsidRPr="003044EB" w:rsidRDefault="00317227" w:rsidP="00A70529">
      <w:pPr>
        <w:rPr>
          <w:rFonts w:ascii="Arial" w:hAnsi="Arial" w:cs="Arial"/>
        </w:rPr>
      </w:pPr>
    </w:p>
    <w:p w14:paraId="21906511" w14:textId="77777777" w:rsidR="00315109" w:rsidRPr="003044EB" w:rsidRDefault="00315109" w:rsidP="00A70529">
      <w:pPr>
        <w:rPr>
          <w:rFonts w:ascii="Arial" w:hAnsi="Arial" w:cs="Arial"/>
        </w:rPr>
        <w:sectPr w:rsidR="00315109" w:rsidRPr="003044EB" w:rsidSect="004D7102">
          <w:footerReference w:type="default" r:id="rId10"/>
          <w:pgSz w:w="12240" w:h="15840"/>
          <w:pgMar w:top="1440" w:right="1440" w:bottom="1440" w:left="1800" w:header="720" w:footer="720" w:gutter="0"/>
          <w:cols w:space="720"/>
          <w:titlePg/>
          <w:docGrid w:linePitch="360"/>
        </w:sectPr>
      </w:pPr>
    </w:p>
    <w:p w14:paraId="3B81F945" w14:textId="77777777" w:rsidR="004C6741" w:rsidRPr="003044EB" w:rsidRDefault="004C6741" w:rsidP="004C6741">
      <w:pPr>
        <w:spacing w:after="240"/>
        <w:contextualSpacing/>
        <w:jc w:val="center"/>
        <w:rPr>
          <w:rFonts w:ascii="Arial" w:hAnsi="Arial" w:cs="Arial"/>
          <w:b/>
        </w:rPr>
      </w:pPr>
      <w:r w:rsidRPr="003044EB">
        <w:rPr>
          <w:rFonts w:ascii="Arial" w:hAnsi="Arial" w:cs="Arial"/>
          <w:b/>
        </w:rPr>
        <w:lastRenderedPageBreak/>
        <w:t>California Department of Education</w:t>
      </w:r>
    </w:p>
    <w:p w14:paraId="04449979" w14:textId="77777777" w:rsidR="004C6741" w:rsidRPr="003044EB" w:rsidRDefault="004C6741" w:rsidP="004C6741">
      <w:pPr>
        <w:spacing w:after="240"/>
        <w:contextualSpacing/>
        <w:jc w:val="center"/>
        <w:rPr>
          <w:rFonts w:ascii="Arial" w:hAnsi="Arial" w:cs="Arial"/>
          <w:b/>
        </w:rPr>
      </w:pPr>
      <w:r w:rsidRPr="003044EB">
        <w:rPr>
          <w:rFonts w:ascii="Arial" w:hAnsi="Arial" w:cs="Arial"/>
          <w:b/>
        </w:rPr>
        <w:t>Report to the Governor, Legislature, and the Department of Finance:</w:t>
      </w:r>
    </w:p>
    <w:p w14:paraId="56C05C6C" w14:textId="77777777" w:rsidR="004C6741" w:rsidRPr="003044EB" w:rsidRDefault="004C6741" w:rsidP="004C6741">
      <w:pPr>
        <w:spacing w:after="240"/>
        <w:contextualSpacing/>
        <w:jc w:val="center"/>
        <w:rPr>
          <w:rFonts w:ascii="Arial" w:hAnsi="Arial" w:cs="Arial"/>
        </w:rPr>
      </w:pPr>
      <w:r w:rsidRPr="003044EB">
        <w:rPr>
          <w:rFonts w:ascii="Arial" w:hAnsi="Arial" w:cs="Arial"/>
          <w:b/>
        </w:rPr>
        <w:t>Career Technical Education Incentive Grant Annual Report</w:t>
      </w:r>
    </w:p>
    <w:p w14:paraId="4EA3E7CE" w14:textId="2E656C7A" w:rsidR="00317227" w:rsidRPr="00147288" w:rsidRDefault="004C6741" w:rsidP="00147288">
      <w:pPr>
        <w:pStyle w:val="Heading2"/>
        <w:spacing w:after="480"/>
      </w:pPr>
      <w:bookmarkStart w:id="5" w:name="_Toc161226396"/>
      <w:r w:rsidRPr="003044EB">
        <w:t>Table of Contents</w:t>
      </w:r>
      <w:bookmarkStart w:id="6" w:name="_Hlk56517331"/>
      <w:bookmarkEnd w:id="5"/>
      <w:r w:rsidR="00317227">
        <w:rPr>
          <w:noProof/>
        </w:rPr>
        <w:fldChar w:fldCharType="begin"/>
      </w:r>
      <w:r w:rsidR="00317227">
        <w:rPr>
          <w:noProof/>
        </w:rPr>
        <w:instrText xml:space="preserve"> TOC \o "1-2" \h \z \u </w:instrText>
      </w:r>
      <w:r w:rsidR="00317227">
        <w:rPr>
          <w:noProof/>
        </w:rPr>
        <w:fldChar w:fldCharType="separate"/>
      </w:r>
    </w:p>
    <w:p w14:paraId="0100A57A" w14:textId="260826A0" w:rsidR="00317227" w:rsidRPr="00317227" w:rsidRDefault="00317227">
      <w:pPr>
        <w:pStyle w:val="TOC2"/>
        <w:rPr>
          <w:rFonts w:ascii="Arial" w:eastAsiaTheme="minorEastAsia" w:hAnsi="Arial" w:cs="Arial"/>
          <w:noProof/>
          <w:kern w:val="2"/>
          <w14:ligatures w14:val="standardContextual"/>
        </w:rPr>
      </w:pPr>
      <w:hyperlink w:anchor="_Toc161226396" w:history="1">
        <w:r w:rsidRPr="00317227">
          <w:rPr>
            <w:rStyle w:val="Hyperlink"/>
            <w:rFonts w:ascii="Arial" w:hAnsi="Arial" w:cs="Arial"/>
            <w:noProof/>
          </w:rPr>
          <w:t>Table of Contents</w:t>
        </w:r>
        <w:r w:rsidRPr="00317227">
          <w:rPr>
            <w:rFonts w:ascii="Arial" w:hAnsi="Arial" w:cs="Arial"/>
            <w:noProof/>
            <w:webHidden/>
          </w:rPr>
          <w:tab/>
        </w:r>
        <w:r w:rsidRPr="00317227">
          <w:rPr>
            <w:rFonts w:ascii="Arial" w:hAnsi="Arial" w:cs="Arial"/>
            <w:noProof/>
            <w:webHidden/>
          </w:rPr>
          <w:fldChar w:fldCharType="begin"/>
        </w:r>
        <w:r w:rsidRPr="00317227">
          <w:rPr>
            <w:rFonts w:ascii="Arial" w:hAnsi="Arial" w:cs="Arial"/>
            <w:noProof/>
            <w:webHidden/>
          </w:rPr>
          <w:instrText xml:space="preserve"> PAGEREF _Toc161226396 \h </w:instrText>
        </w:r>
        <w:r w:rsidRPr="00317227">
          <w:rPr>
            <w:rFonts w:ascii="Arial" w:hAnsi="Arial" w:cs="Arial"/>
            <w:noProof/>
            <w:webHidden/>
          </w:rPr>
        </w:r>
        <w:r w:rsidRPr="00317227">
          <w:rPr>
            <w:rFonts w:ascii="Arial" w:hAnsi="Arial" w:cs="Arial"/>
            <w:noProof/>
            <w:webHidden/>
          </w:rPr>
          <w:fldChar w:fldCharType="separate"/>
        </w:r>
        <w:r w:rsidRPr="00317227">
          <w:rPr>
            <w:rFonts w:ascii="Arial" w:hAnsi="Arial" w:cs="Arial"/>
            <w:noProof/>
            <w:webHidden/>
          </w:rPr>
          <w:t>1</w:t>
        </w:r>
        <w:r w:rsidRPr="00317227">
          <w:rPr>
            <w:rFonts w:ascii="Arial" w:hAnsi="Arial" w:cs="Arial"/>
            <w:noProof/>
            <w:webHidden/>
          </w:rPr>
          <w:fldChar w:fldCharType="end"/>
        </w:r>
      </w:hyperlink>
    </w:p>
    <w:p w14:paraId="10D8F26B" w14:textId="46BA52E0" w:rsidR="00317227" w:rsidRPr="00317227" w:rsidRDefault="00317227">
      <w:pPr>
        <w:pStyle w:val="TOC2"/>
        <w:rPr>
          <w:rFonts w:ascii="Arial" w:eastAsiaTheme="minorEastAsia" w:hAnsi="Arial" w:cs="Arial"/>
          <w:noProof/>
          <w:kern w:val="2"/>
          <w14:ligatures w14:val="standardContextual"/>
        </w:rPr>
      </w:pPr>
      <w:hyperlink w:anchor="_Toc161226397" w:history="1">
        <w:r w:rsidRPr="00317227">
          <w:rPr>
            <w:rStyle w:val="Hyperlink"/>
            <w:rFonts w:ascii="Arial" w:hAnsi="Arial" w:cs="Arial"/>
            <w:noProof/>
          </w:rPr>
          <w:t>Executive Summary</w:t>
        </w:r>
        <w:r w:rsidRPr="00317227">
          <w:rPr>
            <w:rFonts w:ascii="Arial" w:hAnsi="Arial" w:cs="Arial"/>
            <w:noProof/>
            <w:webHidden/>
          </w:rPr>
          <w:tab/>
        </w:r>
        <w:r w:rsidRPr="00317227">
          <w:rPr>
            <w:rFonts w:ascii="Arial" w:hAnsi="Arial" w:cs="Arial"/>
            <w:noProof/>
            <w:webHidden/>
          </w:rPr>
          <w:fldChar w:fldCharType="begin"/>
        </w:r>
        <w:r w:rsidRPr="00317227">
          <w:rPr>
            <w:rFonts w:ascii="Arial" w:hAnsi="Arial" w:cs="Arial"/>
            <w:noProof/>
            <w:webHidden/>
          </w:rPr>
          <w:instrText xml:space="preserve"> PAGEREF _Toc161226397 \h </w:instrText>
        </w:r>
        <w:r w:rsidRPr="00317227">
          <w:rPr>
            <w:rFonts w:ascii="Arial" w:hAnsi="Arial" w:cs="Arial"/>
            <w:noProof/>
            <w:webHidden/>
          </w:rPr>
        </w:r>
        <w:r w:rsidRPr="00317227">
          <w:rPr>
            <w:rFonts w:ascii="Arial" w:hAnsi="Arial" w:cs="Arial"/>
            <w:noProof/>
            <w:webHidden/>
          </w:rPr>
          <w:fldChar w:fldCharType="separate"/>
        </w:r>
        <w:r w:rsidRPr="00317227">
          <w:rPr>
            <w:rFonts w:ascii="Arial" w:hAnsi="Arial" w:cs="Arial"/>
            <w:noProof/>
            <w:webHidden/>
          </w:rPr>
          <w:t>2</w:t>
        </w:r>
        <w:r w:rsidRPr="00317227">
          <w:rPr>
            <w:rFonts w:ascii="Arial" w:hAnsi="Arial" w:cs="Arial"/>
            <w:noProof/>
            <w:webHidden/>
          </w:rPr>
          <w:fldChar w:fldCharType="end"/>
        </w:r>
      </w:hyperlink>
    </w:p>
    <w:p w14:paraId="6DD8B615" w14:textId="20D16B67" w:rsidR="00317227" w:rsidRPr="00317227" w:rsidRDefault="00317227">
      <w:pPr>
        <w:pStyle w:val="TOC2"/>
        <w:rPr>
          <w:rFonts w:ascii="Arial" w:eastAsiaTheme="minorEastAsia" w:hAnsi="Arial" w:cs="Arial"/>
          <w:noProof/>
          <w:kern w:val="2"/>
          <w14:ligatures w14:val="standardContextual"/>
        </w:rPr>
      </w:pPr>
      <w:hyperlink w:anchor="_Toc161226398" w:history="1">
        <w:r w:rsidRPr="00317227">
          <w:rPr>
            <w:rStyle w:val="Hyperlink"/>
            <w:rFonts w:ascii="Arial" w:hAnsi="Arial" w:cs="Arial"/>
            <w:noProof/>
          </w:rPr>
          <w:t>Introduction</w:t>
        </w:r>
        <w:r w:rsidRPr="00317227">
          <w:rPr>
            <w:rFonts w:ascii="Arial" w:hAnsi="Arial" w:cs="Arial"/>
            <w:noProof/>
            <w:webHidden/>
          </w:rPr>
          <w:tab/>
        </w:r>
        <w:r w:rsidRPr="00317227">
          <w:rPr>
            <w:rFonts w:ascii="Arial" w:hAnsi="Arial" w:cs="Arial"/>
            <w:noProof/>
            <w:webHidden/>
          </w:rPr>
          <w:fldChar w:fldCharType="begin"/>
        </w:r>
        <w:r w:rsidRPr="00317227">
          <w:rPr>
            <w:rFonts w:ascii="Arial" w:hAnsi="Arial" w:cs="Arial"/>
            <w:noProof/>
            <w:webHidden/>
          </w:rPr>
          <w:instrText xml:space="preserve"> PAGEREF _Toc161226398 \h </w:instrText>
        </w:r>
        <w:r w:rsidRPr="00317227">
          <w:rPr>
            <w:rFonts w:ascii="Arial" w:hAnsi="Arial" w:cs="Arial"/>
            <w:noProof/>
            <w:webHidden/>
          </w:rPr>
        </w:r>
        <w:r w:rsidRPr="00317227">
          <w:rPr>
            <w:rFonts w:ascii="Arial" w:hAnsi="Arial" w:cs="Arial"/>
            <w:noProof/>
            <w:webHidden/>
          </w:rPr>
          <w:fldChar w:fldCharType="separate"/>
        </w:r>
        <w:r w:rsidRPr="00317227">
          <w:rPr>
            <w:rFonts w:ascii="Arial" w:hAnsi="Arial" w:cs="Arial"/>
            <w:noProof/>
            <w:webHidden/>
          </w:rPr>
          <w:t>3</w:t>
        </w:r>
        <w:r w:rsidRPr="00317227">
          <w:rPr>
            <w:rFonts w:ascii="Arial" w:hAnsi="Arial" w:cs="Arial"/>
            <w:noProof/>
            <w:webHidden/>
          </w:rPr>
          <w:fldChar w:fldCharType="end"/>
        </w:r>
      </w:hyperlink>
    </w:p>
    <w:p w14:paraId="2DCE2659" w14:textId="0BAB2E5D" w:rsidR="00317227" w:rsidRPr="00317227" w:rsidRDefault="00317227">
      <w:pPr>
        <w:pStyle w:val="TOC2"/>
        <w:rPr>
          <w:rFonts w:ascii="Arial" w:eastAsiaTheme="minorEastAsia" w:hAnsi="Arial" w:cs="Arial"/>
          <w:noProof/>
          <w:kern w:val="2"/>
          <w14:ligatures w14:val="standardContextual"/>
        </w:rPr>
      </w:pPr>
      <w:hyperlink w:anchor="_Toc161226399" w:history="1">
        <w:r w:rsidRPr="00317227">
          <w:rPr>
            <w:rStyle w:val="Hyperlink"/>
            <w:rFonts w:ascii="Arial" w:hAnsi="Arial" w:cs="Arial"/>
            <w:noProof/>
          </w:rPr>
          <w:t>Background</w:t>
        </w:r>
        <w:r w:rsidRPr="00317227">
          <w:rPr>
            <w:rFonts w:ascii="Arial" w:hAnsi="Arial" w:cs="Arial"/>
            <w:noProof/>
            <w:webHidden/>
          </w:rPr>
          <w:tab/>
        </w:r>
        <w:r w:rsidRPr="00317227">
          <w:rPr>
            <w:rFonts w:ascii="Arial" w:hAnsi="Arial" w:cs="Arial"/>
            <w:noProof/>
            <w:webHidden/>
          </w:rPr>
          <w:fldChar w:fldCharType="begin"/>
        </w:r>
        <w:r w:rsidRPr="00317227">
          <w:rPr>
            <w:rFonts w:ascii="Arial" w:hAnsi="Arial" w:cs="Arial"/>
            <w:noProof/>
            <w:webHidden/>
          </w:rPr>
          <w:instrText xml:space="preserve"> PAGEREF _Toc161226399 \h </w:instrText>
        </w:r>
        <w:r w:rsidRPr="00317227">
          <w:rPr>
            <w:rFonts w:ascii="Arial" w:hAnsi="Arial" w:cs="Arial"/>
            <w:noProof/>
            <w:webHidden/>
          </w:rPr>
        </w:r>
        <w:r w:rsidRPr="00317227">
          <w:rPr>
            <w:rFonts w:ascii="Arial" w:hAnsi="Arial" w:cs="Arial"/>
            <w:noProof/>
            <w:webHidden/>
          </w:rPr>
          <w:fldChar w:fldCharType="separate"/>
        </w:r>
        <w:r w:rsidRPr="00317227">
          <w:rPr>
            <w:rFonts w:ascii="Arial" w:hAnsi="Arial" w:cs="Arial"/>
            <w:noProof/>
            <w:webHidden/>
          </w:rPr>
          <w:t>4</w:t>
        </w:r>
        <w:r w:rsidRPr="00317227">
          <w:rPr>
            <w:rFonts w:ascii="Arial" w:hAnsi="Arial" w:cs="Arial"/>
            <w:noProof/>
            <w:webHidden/>
          </w:rPr>
          <w:fldChar w:fldCharType="end"/>
        </w:r>
      </w:hyperlink>
    </w:p>
    <w:p w14:paraId="58A1F6FA" w14:textId="61A906CD" w:rsidR="00317227" w:rsidRPr="00317227" w:rsidRDefault="00317227">
      <w:pPr>
        <w:pStyle w:val="TOC2"/>
        <w:rPr>
          <w:rFonts w:ascii="Arial" w:eastAsiaTheme="minorEastAsia" w:hAnsi="Arial" w:cs="Arial"/>
          <w:noProof/>
          <w:kern w:val="2"/>
          <w14:ligatures w14:val="standardContextual"/>
        </w:rPr>
      </w:pPr>
      <w:hyperlink w:anchor="_Toc161226400" w:history="1">
        <w:r w:rsidRPr="00317227">
          <w:rPr>
            <w:rStyle w:val="Hyperlink"/>
            <w:rFonts w:ascii="Arial" w:hAnsi="Arial" w:cs="Arial"/>
            <w:noProof/>
          </w:rPr>
          <w:t>A Uniform Source of Data</w:t>
        </w:r>
        <w:r w:rsidRPr="00317227">
          <w:rPr>
            <w:rFonts w:ascii="Arial" w:hAnsi="Arial" w:cs="Arial"/>
            <w:noProof/>
            <w:webHidden/>
          </w:rPr>
          <w:tab/>
        </w:r>
        <w:r w:rsidRPr="00317227">
          <w:rPr>
            <w:rFonts w:ascii="Arial" w:hAnsi="Arial" w:cs="Arial"/>
            <w:noProof/>
            <w:webHidden/>
          </w:rPr>
          <w:fldChar w:fldCharType="begin"/>
        </w:r>
        <w:r w:rsidRPr="00317227">
          <w:rPr>
            <w:rFonts w:ascii="Arial" w:hAnsi="Arial" w:cs="Arial"/>
            <w:noProof/>
            <w:webHidden/>
          </w:rPr>
          <w:instrText xml:space="preserve"> PAGEREF _Toc161226400 \h </w:instrText>
        </w:r>
        <w:r w:rsidRPr="00317227">
          <w:rPr>
            <w:rFonts w:ascii="Arial" w:hAnsi="Arial" w:cs="Arial"/>
            <w:noProof/>
            <w:webHidden/>
          </w:rPr>
        </w:r>
        <w:r w:rsidRPr="00317227">
          <w:rPr>
            <w:rFonts w:ascii="Arial" w:hAnsi="Arial" w:cs="Arial"/>
            <w:noProof/>
            <w:webHidden/>
          </w:rPr>
          <w:fldChar w:fldCharType="separate"/>
        </w:r>
        <w:r w:rsidRPr="00317227">
          <w:rPr>
            <w:rFonts w:ascii="Arial" w:hAnsi="Arial" w:cs="Arial"/>
            <w:noProof/>
            <w:webHidden/>
          </w:rPr>
          <w:t>4</w:t>
        </w:r>
        <w:r w:rsidRPr="00317227">
          <w:rPr>
            <w:rFonts w:ascii="Arial" w:hAnsi="Arial" w:cs="Arial"/>
            <w:noProof/>
            <w:webHidden/>
          </w:rPr>
          <w:fldChar w:fldCharType="end"/>
        </w:r>
      </w:hyperlink>
    </w:p>
    <w:p w14:paraId="588CBC12" w14:textId="54853722" w:rsidR="00317227" w:rsidRPr="00317227" w:rsidRDefault="00317227">
      <w:pPr>
        <w:pStyle w:val="TOC2"/>
        <w:rPr>
          <w:rFonts w:ascii="Arial" w:eastAsiaTheme="minorEastAsia" w:hAnsi="Arial" w:cs="Arial"/>
          <w:noProof/>
          <w:kern w:val="2"/>
          <w14:ligatures w14:val="standardContextual"/>
        </w:rPr>
      </w:pPr>
      <w:hyperlink w:anchor="_Toc161226401" w:history="1">
        <w:r w:rsidRPr="00317227">
          <w:rPr>
            <w:rStyle w:val="Hyperlink"/>
            <w:rFonts w:ascii="Arial" w:hAnsi="Arial" w:cs="Arial"/>
            <w:noProof/>
          </w:rPr>
          <w:t>202</w:t>
        </w:r>
        <w:r w:rsidR="00E318AC">
          <w:rPr>
            <w:rStyle w:val="Hyperlink"/>
            <w:rFonts w:ascii="Arial" w:hAnsi="Arial" w:cs="Arial"/>
            <w:noProof/>
          </w:rPr>
          <w:t>5</w:t>
        </w:r>
        <w:r w:rsidRPr="00317227">
          <w:rPr>
            <w:rStyle w:val="Hyperlink"/>
            <w:rFonts w:ascii="Arial" w:hAnsi="Arial" w:cs="Arial"/>
            <w:noProof/>
          </w:rPr>
          <w:t xml:space="preserve"> Annual Report (202</w:t>
        </w:r>
        <w:r w:rsidR="00E318AC">
          <w:rPr>
            <w:rStyle w:val="Hyperlink"/>
            <w:rFonts w:ascii="Arial" w:hAnsi="Arial" w:cs="Arial"/>
            <w:noProof/>
          </w:rPr>
          <w:t>3</w:t>
        </w:r>
        <w:r w:rsidRPr="00317227">
          <w:rPr>
            <w:rStyle w:val="Hyperlink"/>
            <w:rFonts w:ascii="Arial" w:hAnsi="Arial" w:cs="Arial"/>
            <w:noProof/>
          </w:rPr>
          <w:t>–2</w:t>
        </w:r>
        <w:r w:rsidR="00E318AC">
          <w:rPr>
            <w:rStyle w:val="Hyperlink"/>
            <w:rFonts w:ascii="Arial" w:hAnsi="Arial" w:cs="Arial"/>
            <w:noProof/>
          </w:rPr>
          <w:t>4</w:t>
        </w:r>
        <w:r w:rsidRPr="00317227">
          <w:rPr>
            <w:rStyle w:val="Hyperlink"/>
            <w:rFonts w:ascii="Arial" w:hAnsi="Arial" w:cs="Arial"/>
            <w:noProof/>
          </w:rPr>
          <w:t xml:space="preserve"> Academic Year)</w:t>
        </w:r>
        <w:r w:rsidRPr="00317227">
          <w:rPr>
            <w:rFonts w:ascii="Arial" w:hAnsi="Arial" w:cs="Arial"/>
            <w:noProof/>
            <w:webHidden/>
          </w:rPr>
          <w:tab/>
        </w:r>
        <w:r w:rsidRPr="00317227">
          <w:rPr>
            <w:rFonts w:ascii="Arial" w:hAnsi="Arial" w:cs="Arial"/>
            <w:noProof/>
            <w:webHidden/>
          </w:rPr>
          <w:fldChar w:fldCharType="begin"/>
        </w:r>
        <w:r w:rsidRPr="00317227">
          <w:rPr>
            <w:rFonts w:ascii="Arial" w:hAnsi="Arial" w:cs="Arial"/>
            <w:noProof/>
            <w:webHidden/>
          </w:rPr>
          <w:instrText xml:space="preserve"> PAGEREF _Toc161226401 \h </w:instrText>
        </w:r>
        <w:r w:rsidRPr="00317227">
          <w:rPr>
            <w:rFonts w:ascii="Arial" w:hAnsi="Arial" w:cs="Arial"/>
            <w:noProof/>
            <w:webHidden/>
          </w:rPr>
        </w:r>
        <w:r w:rsidRPr="00317227">
          <w:rPr>
            <w:rFonts w:ascii="Arial" w:hAnsi="Arial" w:cs="Arial"/>
            <w:noProof/>
            <w:webHidden/>
          </w:rPr>
          <w:fldChar w:fldCharType="separate"/>
        </w:r>
        <w:r w:rsidRPr="00317227">
          <w:rPr>
            <w:rFonts w:ascii="Arial" w:hAnsi="Arial" w:cs="Arial"/>
            <w:noProof/>
            <w:webHidden/>
          </w:rPr>
          <w:t>5</w:t>
        </w:r>
        <w:r w:rsidRPr="00317227">
          <w:rPr>
            <w:rFonts w:ascii="Arial" w:hAnsi="Arial" w:cs="Arial"/>
            <w:noProof/>
            <w:webHidden/>
          </w:rPr>
          <w:fldChar w:fldCharType="end"/>
        </w:r>
      </w:hyperlink>
    </w:p>
    <w:p w14:paraId="2A17E3EB" w14:textId="5B47763B" w:rsidR="00317227" w:rsidRPr="00317227" w:rsidRDefault="00317227">
      <w:pPr>
        <w:pStyle w:val="TOC2"/>
        <w:rPr>
          <w:rFonts w:ascii="Arial" w:eastAsiaTheme="minorEastAsia" w:hAnsi="Arial" w:cs="Arial"/>
          <w:noProof/>
          <w:kern w:val="2"/>
          <w14:ligatures w14:val="standardContextual"/>
        </w:rPr>
      </w:pPr>
      <w:hyperlink w:anchor="_Toc161226402" w:history="1">
        <w:r w:rsidRPr="00317227">
          <w:rPr>
            <w:rStyle w:val="Hyperlink"/>
            <w:rFonts w:ascii="Arial" w:hAnsi="Arial" w:cs="Arial"/>
            <w:noProof/>
          </w:rPr>
          <w:t>Recommendations</w:t>
        </w:r>
        <w:r w:rsidRPr="00317227">
          <w:rPr>
            <w:rFonts w:ascii="Arial" w:hAnsi="Arial" w:cs="Arial"/>
            <w:noProof/>
            <w:webHidden/>
          </w:rPr>
          <w:tab/>
        </w:r>
        <w:r w:rsidRPr="00317227">
          <w:rPr>
            <w:rFonts w:ascii="Arial" w:hAnsi="Arial" w:cs="Arial"/>
            <w:noProof/>
            <w:webHidden/>
          </w:rPr>
          <w:fldChar w:fldCharType="begin"/>
        </w:r>
        <w:r w:rsidRPr="00317227">
          <w:rPr>
            <w:rFonts w:ascii="Arial" w:hAnsi="Arial" w:cs="Arial"/>
            <w:noProof/>
            <w:webHidden/>
          </w:rPr>
          <w:instrText xml:space="preserve"> PAGEREF _Toc161226402 \h </w:instrText>
        </w:r>
        <w:r w:rsidRPr="00317227">
          <w:rPr>
            <w:rFonts w:ascii="Arial" w:hAnsi="Arial" w:cs="Arial"/>
            <w:noProof/>
            <w:webHidden/>
          </w:rPr>
        </w:r>
        <w:r w:rsidRPr="00317227">
          <w:rPr>
            <w:rFonts w:ascii="Arial" w:hAnsi="Arial" w:cs="Arial"/>
            <w:noProof/>
            <w:webHidden/>
          </w:rPr>
          <w:fldChar w:fldCharType="separate"/>
        </w:r>
        <w:r w:rsidRPr="00317227">
          <w:rPr>
            <w:rFonts w:ascii="Arial" w:hAnsi="Arial" w:cs="Arial"/>
            <w:noProof/>
            <w:webHidden/>
          </w:rPr>
          <w:t>6</w:t>
        </w:r>
        <w:r w:rsidRPr="00317227">
          <w:rPr>
            <w:rFonts w:ascii="Arial" w:hAnsi="Arial" w:cs="Arial"/>
            <w:noProof/>
            <w:webHidden/>
          </w:rPr>
          <w:fldChar w:fldCharType="end"/>
        </w:r>
      </w:hyperlink>
    </w:p>
    <w:p w14:paraId="718F7EFE" w14:textId="6B719BD4" w:rsidR="00317227" w:rsidRPr="00317227" w:rsidRDefault="00317227">
      <w:pPr>
        <w:pStyle w:val="TOC2"/>
        <w:rPr>
          <w:rFonts w:asciiTheme="minorHAnsi" w:eastAsiaTheme="minorEastAsia" w:hAnsiTheme="minorHAnsi" w:cstheme="minorBidi"/>
          <w:noProof/>
          <w:kern w:val="2"/>
          <w14:ligatures w14:val="standardContextual"/>
        </w:rPr>
      </w:pPr>
      <w:hyperlink w:anchor="_Toc161226403" w:history="1">
        <w:r w:rsidRPr="00317227">
          <w:rPr>
            <w:rStyle w:val="Hyperlink"/>
            <w:rFonts w:ascii="Arial" w:eastAsia="Calibri" w:hAnsi="Arial" w:cs="Arial"/>
            <w:noProof/>
          </w:rPr>
          <w:t>Appendix A: 202</w:t>
        </w:r>
        <w:r w:rsidR="00E318AC">
          <w:rPr>
            <w:rStyle w:val="Hyperlink"/>
            <w:rFonts w:ascii="Arial" w:eastAsia="Calibri" w:hAnsi="Arial" w:cs="Arial"/>
            <w:noProof/>
          </w:rPr>
          <w:t>5</w:t>
        </w:r>
        <w:r w:rsidRPr="00317227">
          <w:rPr>
            <w:rStyle w:val="Hyperlink"/>
            <w:rFonts w:ascii="Arial" w:eastAsia="Calibri" w:hAnsi="Arial" w:cs="Arial"/>
            <w:noProof/>
          </w:rPr>
          <w:t xml:space="preserve"> Career Technical Education Completer Data Survey Template (202</w:t>
        </w:r>
        <w:r w:rsidR="00E318AC">
          <w:rPr>
            <w:rStyle w:val="Hyperlink"/>
            <w:rFonts w:ascii="Arial" w:eastAsia="Calibri" w:hAnsi="Arial" w:cs="Arial"/>
            <w:noProof/>
          </w:rPr>
          <w:t>3</w:t>
        </w:r>
        <w:r w:rsidRPr="00317227">
          <w:rPr>
            <w:rStyle w:val="Hyperlink"/>
            <w:rFonts w:ascii="Arial" w:eastAsia="Calibri" w:hAnsi="Arial" w:cs="Arial"/>
            <w:noProof/>
          </w:rPr>
          <w:t>–2</w:t>
        </w:r>
        <w:r w:rsidR="00E318AC">
          <w:rPr>
            <w:rStyle w:val="Hyperlink"/>
            <w:rFonts w:ascii="Arial" w:eastAsia="Calibri" w:hAnsi="Arial" w:cs="Arial"/>
            <w:noProof/>
          </w:rPr>
          <w:t>4</w:t>
        </w:r>
        <w:r w:rsidRPr="00317227">
          <w:rPr>
            <w:rStyle w:val="Hyperlink"/>
            <w:rFonts w:ascii="Arial" w:eastAsia="Calibri" w:hAnsi="Arial" w:cs="Arial"/>
            <w:noProof/>
          </w:rPr>
          <w:t xml:space="preserve"> Academic Year)</w:t>
        </w:r>
        <w:r w:rsidRPr="00317227">
          <w:rPr>
            <w:rFonts w:ascii="Arial" w:hAnsi="Arial" w:cs="Arial"/>
            <w:noProof/>
            <w:webHidden/>
          </w:rPr>
          <w:tab/>
        </w:r>
        <w:r w:rsidRPr="00317227">
          <w:rPr>
            <w:rFonts w:ascii="Arial" w:hAnsi="Arial" w:cs="Arial"/>
            <w:noProof/>
            <w:webHidden/>
          </w:rPr>
          <w:fldChar w:fldCharType="begin"/>
        </w:r>
        <w:r w:rsidRPr="00317227">
          <w:rPr>
            <w:rFonts w:ascii="Arial" w:hAnsi="Arial" w:cs="Arial"/>
            <w:noProof/>
            <w:webHidden/>
          </w:rPr>
          <w:instrText xml:space="preserve"> PAGEREF _Toc161226403 \h </w:instrText>
        </w:r>
        <w:r w:rsidRPr="00317227">
          <w:rPr>
            <w:rFonts w:ascii="Arial" w:hAnsi="Arial" w:cs="Arial"/>
            <w:noProof/>
            <w:webHidden/>
          </w:rPr>
        </w:r>
        <w:r w:rsidRPr="00317227">
          <w:rPr>
            <w:rFonts w:ascii="Arial" w:hAnsi="Arial" w:cs="Arial"/>
            <w:noProof/>
            <w:webHidden/>
          </w:rPr>
          <w:fldChar w:fldCharType="separate"/>
        </w:r>
        <w:r w:rsidRPr="00317227">
          <w:rPr>
            <w:rFonts w:ascii="Arial" w:hAnsi="Arial" w:cs="Arial"/>
            <w:noProof/>
            <w:webHidden/>
          </w:rPr>
          <w:t>7</w:t>
        </w:r>
        <w:r w:rsidRPr="00317227">
          <w:rPr>
            <w:rFonts w:ascii="Arial" w:hAnsi="Arial" w:cs="Arial"/>
            <w:noProof/>
            <w:webHidden/>
          </w:rPr>
          <w:fldChar w:fldCharType="end"/>
        </w:r>
      </w:hyperlink>
    </w:p>
    <w:p w14:paraId="7BB9F723" w14:textId="2907C133" w:rsidR="0028140F" w:rsidRPr="003044EB" w:rsidRDefault="00317227" w:rsidP="00B67FE3">
      <w:pPr>
        <w:rPr>
          <w:rFonts w:ascii="Arial" w:hAnsi="Arial" w:cs="Arial"/>
          <w:b/>
          <w:szCs w:val="28"/>
        </w:rPr>
      </w:pPr>
      <w:r>
        <w:rPr>
          <w:rFonts w:ascii="Arial" w:hAnsi="Arial" w:cs="Arial"/>
          <w:noProof/>
        </w:rPr>
        <w:fldChar w:fldCharType="end"/>
      </w:r>
      <w:r w:rsidR="0028140F" w:rsidRPr="003044EB">
        <w:br w:type="page"/>
      </w:r>
    </w:p>
    <w:p w14:paraId="284AE563" w14:textId="77777777" w:rsidR="005B7D3D" w:rsidRPr="003044EB" w:rsidRDefault="005B7D3D" w:rsidP="0028140F">
      <w:pPr>
        <w:pStyle w:val="Heading2"/>
        <w:rPr>
          <w:sz w:val="28"/>
        </w:rPr>
      </w:pPr>
      <w:bookmarkStart w:id="7" w:name="_Toc161226397"/>
      <w:bookmarkEnd w:id="6"/>
      <w:r w:rsidRPr="003044EB">
        <w:rPr>
          <w:sz w:val="28"/>
        </w:rPr>
        <w:lastRenderedPageBreak/>
        <w:t>Executive Summary</w:t>
      </w:r>
      <w:bookmarkEnd w:id="7"/>
    </w:p>
    <w:p w14:paraId="263B1EAC" w14:textId="50C247A3" w:rsidR="00304B46" w:rsidRDefault="00667A43" w:rsidP="00733B66">
      <w:pPr>
        <w:tabs>
          <w:tab w:val="right" w:pos="9360"/>
        </w:tabs>
        <w:autoSpaceDE w:val="0"/>
        <w:autoSpaceDN w:val="0"/>
        <w:adjustRightInd w:val="0"/>
        <w:spacing w:after="240"/>
        <w:rPr>
          <w:rFonts w:ascii="Arial" w:hAnsi="Arial" w:cs="Arial"/>
        </w:rPr>
      </w:pPr>
      <w:r w:rsidRPr="003044EB">
        <w:rPr>
          <w:rFonts w:ascii="Arial" w:hAnsi="Arial" w:cs="Arial"/>
        </w:rPr>
        <w:t xml:space="preserve">This report is required </w:t>
      </w:r>
      <w:r w:rsidR="00D52F85" w:rsidRPr="003044EB">
        <w:rPr>
          <w:rFonts w:ascii="Arial" w:hAnsi="Arial" w:cs="Arial"/>
        </w:rPr>
        <w:t xml:space="preserve">annually </w:t>
      </w:r>
      <w:r w:rsidRPr="003044EB">
        <w:rPr>
          <w:rFonts w:ascii="Arial" w:hAnsi="Arial" w:cs="Arial"/>
        </w:rPr>
        <w:t xml:space="preserve">by </w:t>
      </w:r>
      <w:r w:rsidR="00365462" w:rsidRPr="003044EB">
        <w:rPr>
          <w:rFonts w:ascii="Arial" w:hAnsi="Arial" w:cs="Arial"/>
        </w:rPr>
        <w:t xml:space="preserve">California </w:t>
      </w:r>
      <w:r w:rsidR="00365462" w:rsidRPr="003044EB">
        <w:rPr>
          <w:rFonts w:ascii="Arial" w:hAnsi="Arial" w:cs="Arial"/>
          <w:i/>
        </w:rPr>
        <w:t>Education Code</w:t>
      </w:r>
      <w:r w:rsidR="00365462" w:rsidRPr="003044EB">
        <w:rPr>
          <w:rFonts w:ascii="Arial" w:hAnsi="Arial" w:cs="Arial"/>
        </w:rPr>
        <w:t xml:space="preserve"> (</w:t>
      </w:r>
      <w:r w:rsidR="00365462" w:rsidRPr="003044EB">
        <w:rPr>
          <w:rFonts w:ascii="Arial" w:hAnsi="Arial" w:cs="Arial"/>
          <w:i/>
        </w:rPr>
        <w:t>EC</w:t>
      </w:r>
      <w:r w:rsidR="00365462" w:rsidRPr="003044EB">
        <w:rPr>
          <w:rFonts w:ascii="Arial" w:hAnsi="Arial" w:cs="Arial"/>
        </w:rPr>
        <w:t xml:space="preserve">) </w:t>
      </w:r>
      <w:r w:rsidR="001F07EC" w:rsidRPr="003044EB">
        <w:rPr>
          <w:rFonts w:ascii="Arial" w:hAnsi="Arial" w:cs="Arial"/>
        </w:rPr>
        <w:t xml:space="preserve">sections </w:t>
      </w:r>
      <w:r w:rsidR="00365462" w:rsidRPr="003044EB">
        <w:rPr>
          <w:rFonts w:ascii="Arial" w:hAnsi="Arial" w:cs="Arial"/>
          <w:lang w:bidi="en-US"/>
        </w:rPr>
        <w:t>53071(c)(11)(C) and 88828(d)(8)(</w:t>
      </w:r>
      <w:r w:rsidR="00FA0AC6" w:rsidRPr="003044EB">
        <w:rPr>
          <w:rFonts w:ascii="Arial" w:hAnsi="Arial" w:cs="Arial"/>
          <w:lang w:bidi="en-US"/>
        </w:rPr>
        <w:t>C</w:t>
      </w:r>
      <w:r w:rsidR="00365462" w:rsidRPr="003044EB">
        <w:rPr>
          <w:rFonts w:ascii="Arial" w:hAnsi="Arial" w:cs="Arial"/>
          <w:lang w:bidi="en-US"/>
        </w:rPr>
        <w:t>)</w:t>
      </w:r>
      <w:r w:rsidR="001F07EC" w:rsidRPr="003044EB">
        <w:rPr>
          <w:rFonts w:ascii="Arial" w:hAnsi="Arial" w:cs="Arial"/>
          <w:lang w:bidi="en-US"/>
        </w:rPr>
        <w:t>,</w:t>
      </w:r>
      <w:r w:rsidR="00365462" w:rsidRPr="003044EB">
        <w:rPr>
          <w:rFonts w:ascii="Arial" w:hAnsi="Arial" w:cs="Arial"/>
          <w:lang w:bidi="en-US"/>
        </w:rPr>
        <w:t xml:space="preserve"> as </w:t>
      </w:r>
      <w:r w:rsidR="00244C12" w:rsidRPr="003044EB">
        <w:rPr>
          <w:rFonts w:ascii="Arial" w:hAnsi="Arial" w:cs="Arial"/>
          <w:lang w:bidi="en-US"/>
        </w:rPr>
        <w:t>currently</w:t>
      </w:r>
      <w:r w:rsidR="00BA2353" w:rsidRPr="003044EB">
        <w:rPr>
          <w:rFonts w:ascii="Arial" w:hAnsi="Arial" w:cs="Arial"/>
          <w:lang w:bidi="en-US"/>
        </w:rPr>
        <w:t xml:space="preserve"> </w:t>
      </w:r>
      <w:r w:rsidR="00F122E4" w:rsidRPr="003044EB">
        <w:rPr>
          <w:rFonts w:ascii="Arial" w:hAnsi="Arial" w:cs="Arial"/>
          <w:lang w:bidi="en-US"/>
        </w:rPr>
        <w:t xml:space="preserve">established by </w:t>
      </w:r>
      <w:r w:rsidR="00BA2353" w:rsidRPr="003044EB">
        <w:rPr>
          <w:rFonts w:ascii="Arial" w:hAnsi="Arial" w:cs="Arial"/>
          <w:lang w:bidi="en-US"/>
        </w:rPr>
        <w:t>A</w:t>
      </w:r>
      <w:r w:rsidR="00A677C5" w:rsidRPr="003044EB">
        <w:rPr>
          <w:rFonts w:ascii="Arial" w:hAnsi="Arial" w:cs="Arial"/>
          <w:lang w:bidi="en-US"/>
        </w:rPr>
        <w:t xml:space="preserve">ssembly </w:t>
      </w:r>
      <w:r w:rsidR="00BA2353" w:rsidRPr="003044EB">
        <w:rPr>
          <w:rFonts w:ascii="Arial" w:hAnsi="Arial" w:cs="Arial"/>
          <w:lang w:bidi="en-US"/>
        </w:rPr>
        <w:t>B</w:t>
      </w:r>
      <w:r w:rsidR="00A677C5" w:rsidRPr="003044EB">
        <w:rPr>
          <w:rFonts w:ascii="Arial" w:hAnsi="Arial" w:cs="Arial"/>
          <w:lang w:bidi="en-US"/>
        </w:rPr>
        <w:t>ill</w:t>
      </w:r>
      <w:r w:rsidR="00685CB8">
        <w:rPr>
          <w:rFonts w:ascii="Arial" w:hAnsi="Arial" w:cs="Arial"/>
          <w:lang w:bidi="en-US"/>
        </w:rPr>
        <w:t xml:space="preserve"> </w:t>
      </w:r>
      <w:r w:rsidR="00BA2353" w:rsidRPr="003044EB">
        <w:rPr>
          <w:rFonts w:ascii="Arial" w:hAnsi="Arial" w:cs="Arial"/>
          <w:lang w:bidi="en-US"/>
        </w:rPr>
        <w:t xml:space="preserve">130 (Chapter </w:t>
      </w:r>
      <w:r w:rsidR="00F122E4" w:rsidRPr="003044EB">
        <w:rPr>
          <w:rFonts w:ascii="Arial" w:hAnsi="Arial" w:cs="Arial"/>
          <w:lang w:bidi="en-US"/>
        </w:rPr>
        <w:t>44</w:t>
      </w:r>
      <w:r w:rsidR="00BA2353" w:rsidRPr="003044EB">
        <w:rPr>
          <w:rFonts w:ascii="Arial" w:hAnsi="Arial" w:cs="Arial"/>
          <w:lang w:bidi="en-US"/>
        </w:rPr>
        <w:t>, Statutes of 2021)</w:t>
      </w:r>
      <w:r w:rsidR="00092BAC" w:rsidRPr="003044EB">
        <w:rPr>
          <w:rFonts w:ascii="Arial" w:hAnsi="Arial" w:cs="Arial"/>
          <w:lang w:bidi="en-US"/>
        </w:rPr>
        <w:t>.</w:t>
      </w:r>
      <w:r w:rsidR="00F11429" w:rsidRPr="003044EB">
        <w:rPr>
          <w:rFonts w:ascii="Arial" w:hAnsi="Arial" w:cs="Arial"/>
          <w:lang w:bidi="en-US"/>
        </w:rPr>
        <w:t xml:space="preserve"> </w:t>
      </w:r>
      <w:r w:rsidR="00F11429" w:rsidRPr="003044EB">
        <w:rPr>
          <w:rFonts w:ascii="Arial" w:hAnsi="Arial" w:cs="Arial"/>
        </w:rPr>
        <w:t xml:space="preserve">It includes recommendations from the California Workforce Pathways Joint Advisory Committee (CWPJAC), established pursuant to </w:t>
      </w:r>
      <w:r w:rsidR="00F11429" w:rsidRPr="003044EB">
        <w:rPr>
          <w:rFonts w:ascii="Arial" w:hAnsi="Arial" w:cs="Arial"/>
          <w:i/>
        </w:rPr>
        <w:t>EC</w:t>
      </w:r>
      <w:r w:rsidR="00F11429" w:rsidRPr="003044EB">
        <w:rPr>
          <w:rFonts w:ascii="Arial" w:hAnsi="Arial" w:cs="Arial"/>
        </w:rPr>
        <w:t xml:space="preserve"> </w:t>
      </w:r>
      <w:r w:rsidR="001F07EC" w:rsidRPr="003044EB">
        <w:rPr>
          <w:rFonts w:ascii="Arial" w:hAnsi="Arial" w:cs="Arial"/>
        </w:rPr>
        <w:t xml:space="preserve">Section </w:t>
      </w:r>
      <w:r w:rsidR="00F11429" w:rsidRPr="003044EB">
        <w:rPr>
          <w:rFonts w:ascii="Arial" w:hAnsi="Arial" w:cs="Arial"/>
        </w:rPr>
        <w:t xml:space="preserve">12053, regarding the </w:t>
      </w:r>
      <w:r w:rsidR="00244C12" w:rsidRPr="003044EB">
        <w:rPr>
          <w:rFonts w:ascii="Arial" w:hAnsi="Arial" w:cs="Arial"/>
        </w:rPr>
        <w:t xml:space="preserve">data metrics collected from grantees of the </w:t>
      </w:r>
      <w:r w:rsidR="00F11429" w:rsidRPr="003044EB">
        <w:rPr>
          <w:rFonts w:ascii="Arial" w:hAnsi="Arial" w:cs="Arial"/>
        </w:rPr>
        <w:t>Career Technical Education</w:t>
      </w:r>
      <w:r w:rsidR="009E1432" w:rsidRPr="003044EB">
        <w:rPr>
          <w:rFonts w:ascii="Arial" w:hAnsi="Arial" w:cs="Arial"/>
        </w:rPr>
        <w:t xml:space="preserve"> </w:t>
      </w:r>
      <w:r w:rsidR="00F11429" w:rsidRPr="003044EB">
        <w:rPr>
          <w:rFonts w:ascii="Arial" w:hAnsi="Arial" w:cs="Arial"/>
        </w:rPr>
        <w:t xml:space="preserve">Incentive Grant (CTEIG) and </w:t>
      </w:r>
      <w:bookmarkStart w:id="8" w:name="_Hlk56491477"/>
      <w:r w:rsidR="00F11429" w:rsidRPr="003044EB">
        <w:rPr>
          <w:rFonts w:ascii="Arial" w:hAnsi="Arial" w:cs="Arial"/>
        </w:rPr>
        <w:t xml:space="preserve">the </w:t>
      </w:r>
      <w:r w:rsidR="00895FFA" w:rsidRPr="003044EB">
        <w:rPr>
          <w:rFonts w:ascii="Arial" w:hAnsi="Arial" w:cs="Arial"/>
        </w:rPr>
        <w:t>k</w:t>
      </w:r>
      <w:r w:rsidR="00F11429" w:rsidRPr="003044EB">
        <w:rPr>
          <w:rFonts w:ascii="Arial" w:hAnsi="Arial" w:cs="Arial"/>
        </w:rPr>
        <w:t>indergarten throug</w:t>
      </w:r>
      <w:r w:rsidR="00304B46">
        <w:rPr>
          <w:rFonts w:ascii="Arial" w:hAnsi="Arial" w:cs="Arial"/>
        </w:rPr>
        <w:t xml:space="preserve">h </w:t>
      </w:r>
      <w:r w:rsidR="00057B73">
        <w:rPr>
          <w:rFonts w:ascii="Arial" w:hAnsi="Arial" w:cs="Arial"/>
        </w:rPr>
        <w:t xml:space="preserve">grade </w:t>
      </w:r>
      <w:r w:rsidR="00F11429" w:rsidRPr="003044EB">
        <w:rPr>
          <w:rFonts w:ascii="Arial" w:hAnsi="Arial" w:cs="Arial"/>
        </w:rPr>
        <w:t xml:space="preserve">twelve </w:t>
      </w:r>
      <w:r w:rsidR="00E871DB" w:rsidRPr="003044EB">
        <w:rPr>
          <w:rFonts w:ascii="Arial" w:hAnsi="Arial" w:cs="Arial"/>
        </w:rPr>
        <w:t xml:space="preserve">(K–12) </w:t>
      </w:r>
      <w:r w:rsidR="00F11429" w:rsidRPr="003044EB">
        <w:rPr>
          <w:rFonts w:ascii="Arial" w:hAnsi="Arial" w:cs="Arial"/>
        </w:rPr>
        <w:t>component of the Strong Workforce Program (</w:t>
      </w:r>
      <w:r w:rsidR="00A77D96" w:rsidRPr="003044EB">
        <w:rPr>
          <w:rFonts w:ascii="Arial" w:hAnsi="Arial" w:cs="Arial"/>
        </w:rPr>
        <w:t>SWP</w:t>
      </w:r>
      <w:r w:rsidR="00F11429" w:rsidRPr="003044EB">
        <w:rPr>
          <w:rFonts w:ascii="Arial" w:hAnsi="Arial" w:cs="Arial"/>
        </w:rPr>
        <w:t>).</w:t>
      </w:r>
      <w:bookmarkEnd w:id="8"/>
    </w:p>
    <w:p w14:paraId="592FCF37" w14:textId="54B7B22C" w:rsidR="00E60753" w:rsidRPr="003044EB" w:rsidRDefault="00F63934" w:rsidP="00733B66">
      <w:pPr>
        <w:tabs>
          <w:tab w:val="right" w:pos="9360"/>
        </w:tabs>
        <w:autoSpaceDE w:val="0"/>
        <w:autoSpaceDN w:val="0"/>
        <w:adjustRightInd w:val="0"/>
        <w:spacing w:after="240"/>
        <w:rPr>
          <w:rFonts w:ascii="Arial" w:hAnsi="Arial" w:cs="Arial"/>
        </w:rPr>
      </w:pPr>
      <w:r w:rsidRPr="003044EB">
        <w:rPr>
          <w:rFonts w:ascii="Arial" w:hAnsi="Arial" w:cs="Arial"/>
        </w:rPr>
        <w:t>I</w:t>
      </w:r>
      <w:r w:rsidR="00F96ABF" w:rsidRPr="003044EB">
        <w:rPr>
          <w:rFonts w:ascii="Arial" w:hAnsi="Arial" w:cs="Arial"/>
        </w:rPr>
        <w:t>t is</w:t>
      </w:r>
      <w:r w:rsidR="00D57FAF" w:rsidRPr="003044EB">
        <w:rPr>
          <w:rFonts w:ascii="Arial" w:hAnsi="Arial" w:cs="Arial"/>
        </w:rPr>
        <w:t xml:space="preserve"> the </w:t>
      </w:r>
      <w:r w:rsidR="00B95815" w:rsidRPr="003044EB">
        <w:rPr>
          <w:rFonts w:ascii="Arial" w:hAnsi="Arial" w:cs="Arial"/>
        </w:rPr>
        <w:t xml:space="preserve">general </w:t>
      </w:r>
      <w:r w:rsidR="00D57FAF" w:rsidRPr="003044EB">
        <w:rPr>
          <w:rFonts w:ascii="Arial" w:hAnsi="Arial" w:cs="Arial"/>
        </w:rPr>
        <w:t xml:space="preserve">recommendation of the </w:t>
      </w:r>
      <w:r w:rsidR="00244C12" w:rsidRPr="003044EB">
        <w:rPr>
          <w:rFonts w:ascii="Arial" w:hAnsi="Arial" w:cs="Arial"/>
        </w:rPr>
        <w:t>CWPJAC</w:t>
      </w:r>
      <w:r w:rsidR="00D57FAF" w:rsidRPr="003044EB">
        <w:rPr>
          <w:rFonts w:ascii="Arial" w:hAnsi="Arial" w:cs="Arial"/>
        </w:rPr>
        <w:t xml:space="preserve"> to</w:t>
      </w:r>
      <w:r w:rsidR="00244C12" w:rsidRPr="003044EB">
        <w:rPr>
          <w:rFonts w:ascii="Arial" w:hAnsi="Arial" w:cs="Arial"/>
        </w:rPr>
        <w:t xml:space="preserve"> </w:t>
      </w:r>
      <w:r w:rsidR="00E60753" w:rsidRPr="003044EB">
        <w:rPr>
          <w:rFonts w:ascii="Arial" w:hAnsi="Arial" w:cs="Arial"/>
        </w:rPr>
        <w:t xml:space="preserve">maintain </w:t>
      </w:r>
      <w:r w:rsidR="00244C12" w:rsidRPr="003044EB">
        <w:rPr>
          <w:rFonts w:ascii="Arial" w:hAnsi="Arial" w:cs="Arial"/>
        </w:rPr>
        <w:t xml:space="preserve">the </w:t>
      </w:r>
      <w:r w:rsidR="00E60753" w:rsidRPr="003044EB">
        <w:rPr>
          <w:rFonts w:ascii="Arial" w:hAnsi="Arial" w:cs="Arial"/>
        </w:rPr>
        <w:t xml:space="preserve">current </w:t>
      </w:r>
      <w:r w:rsidR="00244C12" w:rsidRPr="003044EB">
        <w:rPr>
          <w:rFonts w:ascii="Arial" w:hAnsi="Arial" w:cs="Arial"/>
        </w:rPr>
        <w:t xml:space="preserve">CTEIG </w:t>
      </w:r>
      <w:r w:rsidR="00304B46">
        <w:rPr>
          <w:rFonts w:ascii="Arial" w:hAnsi="Arial" w:cs="Arial"/>
        </w:rPr>
        <w:t>a</w:t>
      </w:r>
      <w:r w:rsidR="00244C12" w:rsidRPr="003044EB">
        <w:rPr>
          <w:rFonts w:ascii="Arial" w:hAnsi="Arial" w:cs="Arial"/>
        </w:rPr>
        <w:t>nd K–12 SWP metrics</w:t>
      </w:r>
      <w:r w:rsidR="00685CB8">
        <w:rPr>
          <w:rFonts w:ascii="Arial" w:hAnsi="Arial" w:cs="Arial"/>
        </w:rPr>
        <w:t xml:space="preserve"> as currently maintained in statute.</w:t>
      </w:r>
    </w:p>
    <w:p w14:paraId="561DB1A6" w14:textId="731F2BD9" w:rsidR="00710481" w:rsidRPr="00317227" w:rsidRDefault="007E46D5" w:rsidP="00317227">
      <w:pPr>
        <w:tabs>
          <w:tab w:val="right" w:pos="9360"/>
        </w:tabs>
        <w:autoSpaceDE w:val="0"/>
        <w:autoSpaceDN w:val="0"/>
        <w:adjustRightInd w:val="0"/>
        <w:spacing w:after="240"/>
        <w:rPr>
          <w:rFonts w:ascii="Arial" w:hAnsi="Arial" w:cs="Arial"/>
          <w:bCs/>
        </w:rPr>
      </w:pPr>
      <w:bookmarkStart w:id="9" w:name="_Hlk56427694"/>
      <w:r w:rsidRPr="003044EB">
        <w:rPr>
          <w:rFonts w:ascii="Arial" w:hAnsi="Arial" w:cs="Arial"/>
          <w:bCs/>
        </w:rPr>
        <w:t xml:space="preserve">You can find this report </w:t>
      </w:r>
      <w:r w:rsidR="001F07EC" w:rsidRPr="003044EB">
        <w:rPr>
          <w:rFonts w:ascii="Arial" w:hAnsi="Arial" w:cs="Arial"/>
          <w:bCs/>
        </w:rPr>
        <w:t>on</w:t>
      </w:r>
      <w:r w:rsidRPr="003044EB">
        <w:rPr>
          <w:rFonts w:ascii="Arial" w:hAnsi="Arial" w:cs="Arial"/>
          <w:bCs/>
        </w:rPr>
        <w:t xml:space="preserve"> the </w:t>
      </w:r>
      <w:r w:rsidR="001A4B9C" w:rsidRPr="003044EB">
        <w:rPr>
          <w:rFonts w:ascii="Arial" w:hAnsi="Arial" w:cs="Arial"/>
          <w:bCs/>
        </w:rPr>
        <w:t>C</w:t>
      </w:r>
      <w:r w:rsidR="0064121D" w:rsidRPr="003044EB">
        <w:rPr>
          <w:rFonts w:ascii="Arial" w:hAnsi="Arial" w:cs="Arial"/>
          <w:bCs/>
        </w:rPr>
        <w:t>alifornia Department of Education</w:t>
      </w:r>
      <w:r w:rsidRPr="003044EB">
        <w:rPr>
          <w:rFonts w:ascii="Arial" w:hAnsi="Arial" w:cs="Arial"/>
          <w:bCs/>
        </w:rPr>
        <w:t xml:space="preserve"> </w:t>
      </w:r>
      <w:r w:rsidR="00BD490A" w:rsidRPr="003044EB">
        <w:rPr>
          <w:rFonts w:ascii="Arial" w:hAnsi="Arial" w:cs="Arial"/>
          <w:bCs/>
        </w:rPr>
        <w:t xml:space="preserve">CTEIG </w:t>
      </w:r>
      <w:r w:rsidR="00DB0865" w:rsidRPr="003044EB">
        <w:rPr>
          <w:rFonts w:ascii="Arial" w:hAnsi="Arial" w:cs="Arial"/>
          <w:bCs/>
        </w:rPr>
        <w:t>w</w:t>
      </w:r>
      <w:r w:rsidRPr="003044EB">
        <w:rPr>
          <w:rFonts w:ascii="Arial" w:hAnsi="Arial" w:cs="Arial"/>
          <w:bCs/>
        </w:rPr>
        <w:t>eb page at</w:t>
      </w:r>
      <w:r w:rsidR="009859ED" w:rsidRPr="003044EB">
        <w:rPr>
          <w:rFonts w:ascii="Arial" w:hAnsi="Arial" w:cs="Arial"/>
          <w:bCs/>
        </w:rPr>
        <w:t xml:space="preserve"> </w:t>
      </w:r>
      <w:hyperlink r:id="rId11" w:tooltip="Career Technical Education Incentive Grant (CTEIG) Web Page" w:history="1">
        <w:r w:rsidR="008E6644" w:rsidRPr="003044EB">
          <w:rPr>
            <w:rStyle w:val="Hyperlink"/>
            <w:rFonts w:ascii="Arial" w:hAnsi="Arial" w:cs="Arial"/>
          </w:rPr>
          <w:t>https://www.cde.ca.gov/ci/ct/ig/</w:t>
        </w:r>
      </w:hyperlink>
      <w:r w:rsidR="00AD0E52" w:rsidRPr="003044EB">
        <w:t xml:space="preserve">. </w:t>
      </w:r>
      <w:r w:rsidRPr="003044EB">
        <w:rPr>
          <w:rFonts w:ascii="Arial" w:hAnsi="Arial" w:cs="Arial"/>
          <w:bCs/>
        </w:rPr>
        <w:t>If you need a copy of this report</w:t>
      </w:r>
      <w:r w:rsidR="00980646" w:rsidRPr="003044EB">
        <w:rPr>
          <w:rFonts w:ascii="Arial" w:hAnsi="Arial" w:cs="Arial"/>
          <w:bCs/>
        </w:rPr>
        <w:t xml:space="preserve"> or have any questions regarding this report</w:t>
      </w:r>
      <w:r w:rsidRPr="003044EB">
        <w:rPr>
          <w:rFonts w:ascii="Arial" w:hAnsi="Arial" w:cs="Arial"/>
          <w:bCs/>
        </w:rPr>
        <w:t xml:space="preserve">, please contact </w:t>
      </w:r>
      <w:r w:rsidR="00AD0E52" w:rsidRPr="003044EB">
        <w:rPr>
          <w:rFonts w:ascii="Arial" w:hAnsi="Arial" w:cs="Arial"/>
          <w:bCs/>
        </w:rPr>
        <w:t>C</w:t>
      </w:r>
      <w:r w:rsidR="00E318AC">
        <w:rPr>
          <w:rFonts w:ascii="Arial" w:hAnsi="Arial" w:cs="Arial"/>
          <w:bCs/>
        </w:rPr>
        <w:t>arolyn Zachry</w:t>
      </w:r>
      <w:r w:rsidRPr="003044EB">
        <w:rPr>
          <w:rFonts w:ascii="Arial" w:hAnsi="Arial" w:cs="Arial"/>
          <w:bCs/>
        </w:rPr>
        <w:t>, Education Administrator</w:t>
      </w:r>
      <w:r w:rsidR="00B04D44" w:rsidRPr="003044EB">
        <w:rPr>
          <w:rFonts w:ascii="Arial" w:hAnsi="Arial" w:cs="Arial"/>
          <w:bCs/>
        </w:rPr>
        <w:t xml:space="preserve"> I</w:t>
      </w:r>
      <w:r w:rsidRPr="003044EB">
        <w:rPr>
          <w:rFonts w:ascii="Arial" w:hAnsi="Arial" w:cs="Arial"/>
          <w:bCs/>
        </w:rPr>
        <w:t xml:space="preserve">, </w:t>
      </w:r>
      <w:r w:rsidR="00980646" w:rsidRPr="003044EB">
        <w:rPr>
          <w:rFonts w:ascii="Arial" w:hAnsi="Arial" w:cs="Arial"/>
          <w:iCs/>
        </w:rPr>
        <w:t>Career and College Transition Division</w:t>
      </w:r>
      <w:r w:rsidRPr="003044EB">
        <w:rPr>
          <w:rFonts w:ascii="Arial" w:hAnsi="Arial" w:cs="Arial"/>
          <w:bCs/>
        </w:rPr>
        <w:t>, by phone at 916-32</w:t>
      </w:r>
      <w:r w:rsidR="00E318AC">
        <w:rPr>
          <w:rFonts w:ascii="Arial" w:hAnsi="Arial" w:cs="Arial"/>
          <w:bCs/>
        </w:rPr>
        <w:t>3</w:t>
      </w:r>
      <w:r w:rsidRPr="003044EB">
        <w:rPr>
          <w:rFonts w:ascii="Arial" w:hAnsi="Arial" w:cs="Arial"/>
          <w:bCs/>
        </w:rPr>
        <w:t>-</w:t>
      </w:r>
      <w:r w:rsidR="00E318AC">
        <w:rPr>
          <w:rFonts w:ascii="Arial" w:hAnsi="Arial" w:cs="Arial"/>
          <w:bCs/>
        </w:rPr>
        <w:t>5042</w:t>
      </w:r>
      <w:r w:rsidRPr="003044EB">
        <w:rPr>
          <w:rFonts w:ascii="Arial" w:hAnsi="Arial" w:cs="Arial"/>
          <w:bCs/>
        </w:rPr>
        <w:t xml:space="preserve"> or by email</w:t>
      </w:r>
      <w:r w:rsidR="00E318AC">
        <w:rPr>
          <w:rFonts w:ascii="Arial" w:hAnsi="Arial" w:cs="Arial"/>
          <w:bCs/>
        </w:rPr>
        <w:t xml:space="preserve"> at </w:t>
      </w:r>
      <w:hyperlink r:id="rId12" w:history="1">
        <w:r w:rsidR="00E318AC" w:rsidRPr="00933147">
          <w:rPr>
            <w:rStyle w:val="Hyperlink"/>
            <w:rFonts w:ascii="Arial" w:hAnsi="Arial" w:cs="Arial"/>
            <w:bCs/>
          </w:rPr>
          <w:t>czachry@cde.ca.gov</w:t>
        </w:r>
      </w:hyperlink>
      <w:r w:rsidR="00155C30" w:rsidRPr="003044EB">
        <w:rPr>
          <w:rFonts w:ascii="Arial" w:hAnsi="Arial" w:cs="Arial"/>
          <w:bCs/>
        </w:rPr>
        <w:t>.</w:t>
      </w:r>
      <w:r w:rsidR="00710481" w:rsidRPr="003044EB">
        <w:rPr>
          <w:b/>
          <w:iCs/>
        </w:rPr>
        <w:br w:type="page"/>
      </w:r>
    </w:p>
    <w:p w14:paraId="4C352291" w14:textId="77777777" w:rsidR="004D71AB" w:rsidRPr="003044EB" w:rsidRDefault="00873A57" w:rsidP="00E61859">
      <w:pPr>
        <w:pStyle w:val="Heading2"/>
        <w:jc w:val="left"/>
        <w:rPr>
          <w:sz w:val="28"/>
          <w:szCs w:val="24"/>
        </w:rPr>
      </w:pPr>
      <w:bookmarkStart w:id="10" w:name="_Toc161226398"/>
      <w:bookmarkEnd w:id="9"/>
      <w:r w:rsidRPr="003044EB">
        <w:rPr>
          <w:sz w:val="28"/>
          <w:szCs w:val="24"/>
        </w:rPr>
        <w:lastRenderedPageBreak/>
        <w:t>Introduction</w:t>
      </w:r>
      <w:bookmarkEnd w:id="10"/>
    </w:p>
    <w:p w14:paraId="2D7BF8C8" w14:textId="763F5DCA" w:rsidR="004D71AB" w:rsidRPr="003044EB" w:rsidRDefault="004D71AB" w:rsidP="004D71AB">
      <w:pPr>
        <w:spacing w:after="240"/>
        <w:rPr>
          <w:rFonts w:ascii="Arial" w:hAnsi="Arial" w:cs="Arial"/>
        </w:rPr>
      </w:pPr>
      <w:r w:rsidRPr="003044EB">
        <w:rPr>
          <w:rFonts w:ascii="Arial" w:hAnsi="Arial" w:cs="Arial"/>
        </w:rPr>
        <w:t>The</w:t>
      </w:r>
      <w:r w:rsidR="00DA7FF6" w:rsidRPr="003044EB">
        <w:rPr>
          <w:rFonts w:ascii="Arial" w:hAnsi="Arial" w:cs="Arial"/>
        </w:rPr>
        <w:t xml:space="preserve"> Career Technical Education Incentive Grant</w:t>
      </w:r>
      <w:r w:rsidRPr="003044EB">
        <w:rPr>
          <w:rFonts w:ascii="Arial" w:hAnsi="Arial" w:cs="Arial"/>
        </w:rPr>
        <w:t xml:space="preserve"> </w:t>
      </w:r>
      <w:r w:rsidR="00DA7FF6" w:rsidRPr="003044EB">
        <w:rPr>
          <w:rFonts w:ascii="Arial" w:hAnsi="Arial" w:cs="Arial"/>
        </w:rPr>
        <w:t>(</w:t>
      </w:r>
      <w:r w:rsidR="004D1D94" w:rsidRPr="003044EB">
        <w:rPr>
          <w:rFonts w:ascii="Arial" w:hAnsi="Arial" w:cs="Arial"/>
        </w:rPr>
        <w:t>CTEIG</w:t>
      </w:r>
      <w:r w:rsidR="00DA7FF6" w:rsidRPr="003044EB">
        <w:rPr>
          <w:rFonts w:ascii="Arial" w:hAnsi="Arial" w:cs="Arial"/>
        </w:rPr>
        <w:t>)</w:t>
      </w:r>
      <w:r w:rsidRPr="003044EB">
        <w:rPr>
          <w:rFonts w:ascii="Arial" w:hAnsi="Arial" w:cs="Arial"/>
        </w:rPr>
        <w:t xml:space="preserve"> was originally established by </w:t>
      </w:r>
      <w:r w:rsidRPr="003044EB">
        <w:rPr>
          <w:rFonts w:ascii="Arial" w:hAnsi="Arial" w:cs="Arial"/>
          <w:iCs/>
        </w:rPr>
        <w:t>A</w:t>
      </w:r>
      <w:r w:rsidR="008B26AE" w:rsidRPr="003044EB">
        <w:rPr>
          <w:rFonts w:ascii="Arial" w:hAnsi="Arial" w:cs="Arial"/>
          <w:iCs/>
        </w:rPr>
        <w:t xml:space="preserve">ssembly </w:t>
      </w:r>
      <w:r w:rsidR="00FF1B11" w:rsidRPr="003044EB">
        <w:rPr>
          <w:rFonts w:ascii="Arial" w:hAnsi="Arial" w:cs="Arial"/>
          <w:iCs/>
        </w:rPr>
        <w:t>B</w:t>
      </w:r>
      <w:r w:rsidR="008B26AE" w:rsidRPr="003044EB">
        <w:rPr>
          <w:rFonts w:ascii="Arial" w:hAnsi="Arial" w:cs="Arial"/>
          <w:iCs/>
        </w:rPr>
        <w:t>ill</w:t>
      </w:r>
      <w:r w:rsidR="00E15A15">
        <w:rPr>
          <w:rFonts w:ascii="Arial" w:hAnsi="Arial" w:cs="Arial"/>
          <w:iCs/>
        </w:rPr>
        <w:t xml:space="preserve"> (AB)</w:t>
      </w:r>
      <w:r w:rsidR="008B26AE" w:rsidRPr="003044EB">
        <w:rPr>
          <w:rFonts w:ascii="Arial" w:hAnsi="Arial" w:cs="Arial"/>
          <w:iCs/>
        </w:rPr>
        <w:t xml:space="preserve"> </w:t>
      </w:r>
      <w:r w:rsidRPr="003044EB">
        <w:rPr>
          <w:rFonts w:ascii="Arial" w:hAnsi="Arial" w:cs="Arial"/>
          <w:iCs/>
        </w:rPr>
        <w:t>104 (</w:t>
      </w:r>
      <w:r w:rsidRPr="003044EB">
        <w:rPr>
          <w:rFonts w:ascii="Arial" w:hAnsi="Arial" w:cs="Arial"/>
        </w:rPr>
        <w:t>Chapter 13, Statutes of 2015</w:t>
      </w:r>
      <w:r w:rsidRPr="003044EB">
        <w:rPr>
          <w:rFonts w:ascii="Arial" w:hAnsi="Arial" w:cs="Arial"/>
          <w:iCs/>
        </w:rPr>
        <w:t xml:space="preserve">) </w:t>
      </w:r>
      <w:r w:rsidRPr="003044EB">
        <w:rPr>
          <w:rFonts w:ascii="Arial" w:hAnsi="Arial" w:cs="Arial"/>
        </w:rPr>
        <w:t xml:space="preserve">as a one-time investment of $900 million to cover a three-year </w:t>
      </w:r>
      <w:r w:rsidR="006951AA" w:rsidRPr="003044EB">
        <w:rPr>
          <w:rFonts w:ascii="Arial" w:hAnsi="Arial" w:cs="Arial"/>
        </w:rPr>
        <w:t>span and</w:t>
      </w:r>
      <w:r w:rsidRPr="003044EB">
        <w:rPr>
          <w:rFonts w:ascii="Arial" w:hAnsi="Arial" w:cs="Arial"/>
        </w:rPr>
        <w:t xml:space="preserve"> acted as a bridge for local educational agencies (LEAs) to support career technical education (CTE) programs until the </w:t>
      </w:r>
      <w:r w:rsidR="00210FF7" w:rsidRPr="003044EB">
        <w:rPr>
          <w:rFonts w:ascii="Arial" w:hAnsi="Arial" w:cs="Arial"/>
        </w:rPr>
        <w:t>L</w:t>
      </w:r>
      <w:r w:rsidRPr="003044EB">
        <w:rPr>
          <w:rFonts w:ascii="Arial" w:hAnsi="Arial" w:cs="Arial"/>
        </w:rPr>
        <w:t xml:space="preserve">ocal </w:t>
      </w:r>
      <w:r w:rsidR="00210FF7" w:rsidRPr="003044EB">
        <w:rPr>
          <w:rFonts w:ascii="Arial" w:hAnsi="Arial" w:cs="Arial"/>
        </w:rPr>
        <w:t>C</w:t>
      </w:r>
      <w:r w:rsidRPr="003044EB">
        <w:rPr>
          <w:rFonts w:ascii="Arial" w:hAnsi="Arial" w:cs="Arial"/>
        </w:rPr>
        <w:t xml:space="preserve">ontrol </w:t>
      </w:r>
      <w:r w:rsidR="00210FF7" w:rsidRPr="003044EB">
        <w:rPr>
          <w:rFonts w:ascii="Arial" w:hAnsi="Arial" w:cs="Arial"/>
        </w:rPr>
        <w:t>F</w:t>
      </w:r>
      <w:r w:rsidRPr="003044EB">
        <w:rPr>
          <w:rFonts w:ascii="Arial" w:hAnsi="Arial" w:cs="Arial"/>
        </w:rPr>
        <w:t xml:space="preserve">unding </w:t>
      </w:r>
      <w:r w:rsidR="00210FF7" w:rsidRPr="003044EB">
        <w:rPr>
          <w:rFonts w:ascii="Arial" w:hAnsi="Arial" w:cs="Arial"/>
        </w:rPr>
        <w:t>F</w:t>
      </w:r>
      <w:r w:rsidRPr="003044EB">
        <w:rPr>
          <w:rFonts w:ascii="Arial" w:hAnsi="Arial" w:cs="Arial"/>
        </w:rPr>
        <w:t>ormula was fully funded.</w:t>
      </w:r>
    </w:p>
    <w:p w14:paraId="0803DDE9" w14:textId="77777777" w:rsidR="004D71AB" w:rsidRPr="003044EB" w:rsidRDefault="004D71AB" w:rsidP="004D71AB">
      <w:pPr>
        <w:spacing w:after="240"/>
        <w:rPr>
          <w:rFonts w:ascii="Arial" w:hAnsi="Arial" w:cs="Arial"/>
        </w:rPr>
      </w:pPr>
      <w:r w:rsidRPr="003044EB">
        <w:rPr>
          <w:rFonts w:ascii="Arial" w:hAnsi="Arial" w:cs="Arial"/>
          <w:lang w:val="en"/>
        </w:rPr>
        <w:t xml:space="preserve">It was created as a state education, economic, and workforce development initiative to provide </w:t>
      </w:r>
      <w:r w:rsidR="00DA7FF6" w:rsidRPr="003044EB">
        <w:rPr>
          <w:rFonts w:ascii="Arial" w:hAnsi="Arial" w:cs="Arial"/>
          <w:lang w:val="en"/>
        </w:rPr>
        <w:t>kindergarten through grade twelve (</w:t>
      </w:r>
      <w:r w:rsidR="004D1D94" w:rsidRPr="003044EB">
        <w:rPr>
          <w:rFonts w:ascii="Arial" w:hAnsi="Arial" w:cs="Arial"/>
          <w:lang w:val="en"/>
        </w:rPr>
        <w:t>K–12</w:t>
      </w:r>
      <w:r w:rsidR="00DA7FF6" w:rsidRPr="003044EB">
        <w:rPr>
          <w:rFonts w:ascii="Arial" w:hAnsi="Arial" w:cs="Arial"/>
          <w:lang w:val="en"/>
        </w:rPr>
        <w:t>)</w:t>
      </w:r>
      <w:r w:rsidR="004D1D94" w:rsidRPr="003044EB">
        <w:rPr>
          <w:rFonts w:ascii="Arial" w:hAnsi="Arial" w:cs="Arial"/>
          <w:lang w:val="en"/>
        </w:rPr>
        <w:t xml:space="preserve"> </w:t>
      </w:r>
      <w:r w:rsidRPr="003044EB">
        <w:rPr>
          <w:rFonts w:ascii="Arial" w:hAnsi="Arial" w:cs="Arial"/>
          <w:lang w:val="en"/>
        </w:rPr>
        <w:t>pupils with the knowledge and skills necessary to transition from secondary education to postsecondary education and living-wage employment. The purpose of the program is to encourage, maintain, and strengthen the delivery of high-quality CTE programs.</w:t>
      </w:r>
    </w:p>
    <w:p w14:paraId="1764F18A" w14:textId="77777777" w:rsidR="00DC2605" w:rsidRPr="003044EB" w:rsidRDefault="00DC2605" w:rsidP="00EA0548">
      <w:pPr>
        <w:spacing w:after="240"/>
        <w:rPr>
          <w:rFonts w:ascii="Arial" w:hAnsi="Arial" w:cs="Arial"/>
        </w:rPr>
      </w:pPr>
      <w:r w:rsidRPr="003044EB">
        <w:rPr>
          <w:rFonts w:ascii="Arial" w:hAnsi="Arial" w:cs="Arial"/>
          <w:lang w:val="en"/>
        </w:rPr>
        <w:t>The</w:t>
      </w:r>
      <w:r w:rsidR="004D1D94" w:rsidRPr="003044EB">
        <w:rPr>
          <w:rFonts w:ascii="Arial" w:hAnsi="Arial" w:cs="Arial"/>
          <w:lang w:val="en"/>
        </w:rPr>
        <w:t xml:space="preserve"> K</w:t>
      </w:r>
      <w:r w:rsidR="00E61859" w:rsidRPr="003044EB">
        <w:rPr>
          <w:rFonts w:ascii="Arial" w:hAnsi="Arial" w:cs="Arial"/>
        </w:rPr>
        <w:t>–12 S</w:t>
      </w:r>
      <w:r w:rsidR="00DA7FF6" w:rsidRPr="003044EB">
        <w:rPr>
          <w:rFonts w:ascii="Arial" w:hAnsi="Arial" w:cs="Arial"/>
        </w:rPr>
        <w:t xml:space="preserve">trong </w:t>
      </w:r>
      <w:r w:rsidR="00E61859" w:rsidRPr="003044EB">
        <w:rPr>
          <w:rFonts w:ascii="Arial" w:hAnsi="Arial" w:cs="Arial"/>
        </w:rPr>
        <w:t>W</w:t>
      </w:r>
      <w:r w:rsidR="00DA7FF6" w:rsidRPr="003044EB">
        <w:rPr>
          <w:rFonts w:ascii="Arial" w:hAnsi="Arial" w:cs="Arial"/>
        </w:rPr>
        <w:t xml:space="preserve">orkforce </w:t>
      </w:r>
      <w:r w:rsidR="00E61859" w:rsidRPr="003044EB">
        <w:rPr>
          <w:rFonts w:ascii="Arial" w:hAnsi="Arial" w:cs="Arial"/>
        </w:rPr>
        <w:t>P</w:t>
      </w:r>
      <w:r w:rsidR="00DA7FF6" w:rsidRPr="003044EB">
        <w:rPr>
          <w:rFonts w:ascii="Arial" w:hAnsi="Arial" w:cs="Arial"/>
        </w:rPr>
        <w:t>rogram (SWP)</w:t>
      </w:r>
      <w:r w:rsidRPr="003044EB">
        <w:rPr>
          <w:rFonts w:ascii="Arial" w:hAnsi="Arial" w:cs="Arial"/>
          <w:lang w:val="en"/>
        </w:rPr>
        <w:t xml:space="preserve"> was established as a component of the SWP to create, support, or expand high-quality CTE programs at the secondary level that are aligned with the workforce development efforts occurring through the SWP. Both programs support the overall development of high-quality CTE programs, courses, course sequences, programs of study, and pathways administered by K–12 LEAs.</w:t>
      </w:r>
    </w:p>
    <w:p w14:paraId="1692EFF6" w14:textId="2814EC87" w:rsidR="004D71AB" w:rsidRPr="003044EB" w:rsidRDefault="004D71AB" w:rsidP="004D71AB">
      <w:pPr>
        <w:spacing w:after="240"/>
        <w:rPr>
          <w:rFonts w:ascii="Arial" w:hAnsi="Arial" w:cs="Arial"/>
        </w:rPr>
      </w:pPr>
      <w:r w:rsidRPr="003044EB">
        <w:rPr>
          <w:rFonts w:ascii="Arial" w:hAnsi="Arial" w:cs="Arial"/>
        </w:rPr>
        <w:t xml:space="preserve">With the </w:t>
      </w:r>
      <w:r w:rsidR="00E5565D" w:rsidRPr="003044EB">
        <w:rPr>
          <w:rFonts w:ascii="Arial" w:hAnsi="Arial" w:cs="Arial"/>
        </w:rPr>
        <w:t>enactment</w:t>
      </w:r>
      <w:r w:rsidRPr="003044EB">
        <w:rPr>
          <w:rFonts w:ascii="Arial" w:hAnsi="Arial" w:cs="Arial"/>
        </w:rPr>
        <w:t xml:space="preserve"> of </w:t>
      </w:r>
      <w:r w:rsidRPr="003044EB">
        <w:rPr>
          <w:rFonts w:ascii="Arial" w:hAnsi="Arial" w:cs="Arial"/>
          <w:iCs/>
          <w:color w:val="000000"/>
        </w:rPr>
        <w:t>AB 1808 (</w:t>
      </w:r>
      <w:r w:rsidRPr="003044EB">
        <w:rPr>
          <w:rFonts w:ascii="Arial" w:hAnsi="Arial" w:cs="Arial"/>
        </w:rPr>
        <w:t>Chapter 32, Statutes of 2018</w:t>
      </w:r>
      <w:r w:rsidRPr="003044EB">
        <w:rPr>
          <w:rFonts w:ascii="Arial" w:hAnsi="Arial" w:cs="Arial"/>
          <w:iCs/>
          <w:color w:val="000000"/>
        </w:rPr>
        <w:t>)</w:t>
      </w:r>
      <w:r w:rsidRPr="003044EB">
        <w:rPr>
          <w:rFonts w:ascii="Arial" w:hAnsi="Arial" w:cs="Arial"/>
        </w:rPr>
        <w:t xml:space="preserve">, </w:t>
      </w:r>
      <w:r w:rsidRPr="003044EB">
        <w:rPr>
          <w:rFonts w:ascii="Arial" w:hAnsi="Arial" w:cs="Arial"/>
          <w:color w:val="000000" w:themeColor="text1"/>
        </w:rPr>
        <w:t xml:space="preserve">the K–12 component of the </w:t>
      </w:r>
      <w:r w:rsidR="00210FF7" w:rsidRPr="003044EB">
        <w:rPr>
          <w:rFonts w:ascii="Arial" w:hAnsi="Arial" w:cs="Arial"/>
          <w:color w:val="000000" w:themeColor="text1"/>
        </w:rPr>
        <w:t>SWP</w:t>
      </w:r>
      <w:r w:rsidRPr="003044EB">
        <w:rPr>
          <w:rFonts w:ascii="Arial" w:hAnsi="Arial" w:cs="Arial"/>
        </w:rPr>
        <w:t xml:space="preserve"> was created</w:t>
      </w:r>
      <w:r w:rsidR="001C1783">
        <w:rPr>
          <w:rFonts w:ascii="Arial" w:hAnsi="Arial" w:cs="Arial"/>
        </w:rPr>
        <w:t>,</w:t>
      </w:r>
      <w:r w:rsidRPr="003044EB">
        <w:rPr>
          <w:rFonts w:ascii="Arial" w:hAnsi="Arial" w:cs="Arial"/>
        </w:rPr>
        <w:t xml:space="preserve"> and along with the CTEIG, the companion state programs were allocated $</w:t>
      </w:r>
      <w:r w:rsidR="00896BC3" w:rsidRPr="003044EB">
        <w:rPr>
          <w:rFonts w:ascii="Arial" w:hAnsi="Arial" w:cs="Arial"/>
        </w:rPr>
        <w:t>150</w:t>
      </w:r>
      <w:r w:rsidRPr="003044EB">
        <w:rPr>
          <w:rFonts w:ascii="Arial" w:hAnsi="Arial" w:cs="Arial"/>
        </w:rPr>
        <w:t xml:space="preserve"> million</w:t>
      </w:r>
      <w:r w:rsidR="00896BC3" w:rsidRPr="003044EB">
        <w:rPr>
          <w:rFonts w:ascii="Arial" w:hAnsi="Arial" w:cs="Arial"/>
        </w:rPr>
        <w:t xml:space="preserve"> each, $300 million total</w:t>
      </w:r>
      <w:r w:rsidRPr="003044EB">
        <w:rPr>
          <w:rFonts w:ascii="Arial" w:hAnsi="Arial" w:cs="Arial"/>
        </w:rPr>
        <w:t xml:space="preserve">, as ongoing funds. </w:t>
      </w:r>
      <w:r w:rsidR="00105AEB" w:rsidRPr="003044EB">
        <w:rPr>
          <w:rFonts w:ascii="Arial" w:hAnsi="Arial" w:cs="Arial"/>
        </w:rPr>
        <w:t>AB 130 (</w:t>
      </w:r>
      <w:r w:rsidR="00DC2605" w:rsidRPr="003044EB">
        <w:rPr>
          <w:rFonts w:ascii="Arial" w:hAnsi="Arial" w:cs="Arial"/>
        </w:rPr>
        <w:t xml:space="preserve">Chapter 44, Statutes of 2021) increased the CTEIG annual appropriation from $150 million to $300 million, while K–12 SWP funding </w:t>
      </w:r>
      <w:r w:rsidR="00CB6AFF" w:rsidRPr="003044EB">
        <w:rPr>
          <w:rFonts w:ascii="Arial" w:hAnsi="Arial" w:cs="Arial"/>
        </w:rPr>
        <w:t>remained unchanged</w:t>
      </w:r>
      <w:r w:rsidR="00DC2605" w:rsidRPr="003044EB">
        <w:rPr>
          <w:rFonts w:ascii="Arial" w:hAnsi="Arial" w:cs="Arial"/>
        </w:rPr>
        <w:t>.</w:t>
      </w:r>
    </w:p>
    <w:p w14:paraId="1E0C6605" w14:textId="77777777" w:rsidR="004D71AB" w:rsidRPr="003044EB" w:rsidRDefault="004D71AB" w:rsidP="004D71AB">
      <w:pPr>
        <w:spacing w:after="240"/>
        <w:rPr>
          <w:rFonts w:ascii="Arial" w:hAnsi="Arial" w:cs="Arial"/>
        </w:rPr>
      </w:pPr>
      <w:r w:rsidRPr="003044EB">
        <w:rPr>
          <w:rFonts w:ascii="Arial" w:hAnsi="Arial" w:cs="Arial"/>
        </w:rPr>
        <w:t xml:space="preserve">The CTEIG and the K–12 SWP are administered by the </w:t>
      </w:r>
      <w:r w:rsidR="00DA7FF6" w:rsidRPr="003044EB">
        <w:rPr>
          <w:rFonts w:ascii="Arial" w:hAnsi="Arial" w:cs="Arial"/>
        </w:rPr>
        <w:t>California Department of Education (</w:t>
      </w:r>
      <w:r w:rsidR="00CB6AFF" w:rsidRPr="003044EB">
        <w:rPr>
          <w:rFonts w:ascii="Arial" w:hAnsi="Arial" w:cs="Arial"/>
        </w:rPr>
        <w:t>CDE</w:t>
      </w:r>
      <w:r w:rsidR="00DA7FF6" w:rsidRPr="003044EB">
        <w:rPr>
          <w:rFonts w:ascii="Arial" w:hAnsi="Arial" w:cs="Arial"/>
        </w:rPr>
        <w:t>)</w:t>
      </w:r>
      <w:r w:rsidR="00210FF7" w:rsidRPr="003044EB">
        <w:rPr>
          <w:rFonts w:ascii="Arial" w:hAnsi="Arial" w:cs="Arial"/>
        </w:rPr>
        <w:t xml:space="preserve"> </w:t>
      </w:r>
      <w:r w:rsidRPr="003044EB">
        <w:rPr>
          <w:rFonts w:ascii="Arial" w:hAnsi="Arial" w:cs="Arial"/>
        </w:rPr>
        <w:t xml:space="preserve">and the </w:t>
      </w:r>
      <w:r w:rsidR="00210FF7" w:rsidRPr="003044EB">
        <w:rPr>
          <w:rFonts w:ascii="Arial" w:hAnsi="Arial" w:cs="Arial"/>
        </w:rPr>
        <w:t>California Community Colleges Chancellor’s Office</w:t>
      </w:r>
      <w:r w:rsidRPr="003044EB">
        <w:rPr>
          <w:rFonts w:ascii="Arial" w:hAnsi="Arial" w:cs="Arial"/>
        </w:rPr>
        <w:t>, respectively.</w:t>
      </w:r>
    </w:p>
    <w:p w14:paraId="5CB28364" w14:textId="77777777" w:rsidR="004D71AB" w:rsidRPr="003044EB" w:rsidRDefault="00FC4AEF" w:rsidP="004D71AB">
      <w:pPr>
        <w:spacing w:after="240"/>
        <w:rPr>
          <w:rFonts w:ascii="Arial" w:hAnsi="Arial" w:cs="Arial"/>
        </w:rPr>
      </w:pPr>
      <w:r w:rsidRPr="003044EB">
        <w:rPr>
          <w:rFonts w:ascii="Arial" w:hAnsi="Arial" w:cs="Arial"/>
        </w:rPr>
        <w:t>P</w:t>
      </w:r>
      <w:r w:rsidR="004D71AB" w:rsidRPr="003044EB">
        <w:rPr>
          <w:rFonts w:ascii="Arial" w:hAnsi="Arial" w:cs="Arial"/>
        </w:rPr>
        <w:t>er</w:t>
      </w:r>
      <w:r w:rsidR="00E97608" w:rsidRPr="003044EB">
        <w:rPr>
          <w:rFonts w:ascii="Arial" w:hAnsi="Arial" w:cs="Arial"/>
        </w:rPr>
        <w:t xml:space="preserve"> </w:t>
      </w:r>
      <w:r w:rsidR="00DA7FF6" w:rsidRPr="00703E2C">
        <w:rPr>
          <w:rFonts w:ascii="Arial" w:hAnsi="Arial" w:cs="Arial"/>
          <w:i/>
          <w:iCs/>
        </w:rPr>
        <w:t>Education Code</w:t>
      </w:r>
      <w:r w:rsidR="00DA7FF6" w:rsidRPr="003044EB">
        <w:rPr>
          <w:rFonts w:ascii="Arial" w:hAnsi="Arial" w:cs="Arial"/>
        </w:rPr>
        <w:t xml:space="preserve"> (</w:t>
      </w:r>
      <w:r w:rsidR="004D1D94" w:rsidRPr="003044EB">
        <w:rPr>
          <w:rFonts w:ascii="Arial" w:hAnsi="Arial" w:cs="Arial"/>
          <w:i/>
        </w:rPr>
        <w:t>EC</w:t>
      </w:r>
      <w:r w:rsidR="00DA7FF6" w:rsidRPr="003044EB">
        <w:rPr>
          <w:rFonts w:ascii="Arial" w:hAnsi="Arial" w:cs="Arial"/>
          <w:i/>
        </w:rPr>
        <w:t>)</w:t>
      </w:r>
      <w:r w:rsidR="001F07EC" w:rsidRPr="003044EB">
        <w:rPr>
          <w:rFonts w:ascii="Arial" w:hAnsi="Arial" w:cs="Arial"/>
          <w:i/>
        </w:rPr>
        <w:t xml:space="preserve"> </w:t>
      </w:r>
      <w:r w:rsidR="004D71AB" w:rsidRPr="003044EB">
        <w:rPr>
          <w:rFonts w:ascii="Arial" w:hAnsi="Arial" w:cs="Arial"/>
        </w:rPr>
        <w:t xml:space="preserve">sections 53071 and 88828, </w:t>
      </w:r>
      <w:r w:rsidRPr="003044EB">
        <w:rPr>
          <w:rFonts w:ascii="Arial" w:hAnsi="Arial" w:cs="Arial"/>
        </w:rPr>
        <w:t>the</w:t>
      </w:r>
      <w:r w:rsidR="0067796F" w:rsidRPr="003044EB">
        <w:rPr>
          <w:rFonts w:ascii="Arial" w:hAnsi="Arial" w:cs="Arial"/>
        </w:rPr>
        <w:t xml:space="preserve"> </w:t>
      </w:r>
      <w:r w:rsidR="00DA7FF6" w:rsidRPr="003044EB">
        <w:rPr>
          <w:rFonts w:ascii="Arial" w:hAnsi="Arial" w:cs="Arial"/>
        </w:rPr>
        <w:t>California Workforce Pathways Joint Advisory Committee (</w:t>
      </w:r>
      <w:r w:rsidR="0067796F" w:rsidRPr="003044EB">
        <w:rPr>
          <w:rFonts w:ascii="Arial" w:hAnsi="Arial" w:cs="Arial"/>
        </w:rPr>
        <w:t>C</w:t>
      </w:r>
      <w:r w:rsidR="00C13B41" w:rsidRPr="003044EB">
        <w:rPr>
          <w:rFonts w:ascii="Arial" w:hAnsi="Arial" w:cs="Arial"/>
        </w:rPr>
        <w:t>WPJAC</w:t>
      </w:r>
      <w:r w:rsidR="00DA7FF6" w:rsidRPr="003044EB">
        <w:rPr>
          <w:rFonts w:ascii="Arial" w:hAnsi="Arial" w:cs="Arial"/>
        </w:rPr>
        <w:t>)</w:t>
      </w:r>
      <w:r w:rsidR="0067796F" w:rsidRPr="003044EB">
        <w:rPr>
          <w:rFonts w:ascii="Arial" w:hAnsi="Arial" w:cs="Arial"/>
        </w:rPr>
        <w:t xml:space="preserve"> </w:t>
      </w:r>
      <w:r w:rsidR="004D71AB" w:rsidRPr="003044EB">
        <w:rPr>
          <w:rFonts w:ascii="Arial" w:hAnsi="Arial" w:cs="Arial"/>
        </w:rPr>
        <w:t xml:space="preserve">has the responsibility for making recommendations regarding the </w:t>
      </w:r>
      <w:r w:rsidR="00A92280" w:rsidRPr="003044EB">
        <w:rPr>
          <w:rFonts w:ascii="Arial" w:hAnsi="Arial" w:cs="Arial"/>
        </w:rPr>
        <w:t xml:space="preserve">data </w:t>
      </w:r>
      <w:r w:rsidR="004D71AB" w:rsidRPr="003044EB">
        <w:rPr>
          <w:rFonts w:ascii="Arial" w:hAnsi="Arial" w:cs="Arial"/>
        </w:rPr>
        <w:t xml:space="preserve">metrics used for the CTEIG and </w:t>
      </w:r>
      <w:r w:rsidR="00704160" w:rsidRPr="003044EB">
        <w:rPr>
          <w:rFonts w:ascii="Arial" w:hAnsi="Arial" w:cs="Arial"/>
        </w:rPr>
        <w:t xml:space="preserve">K–12 SWP </w:t>
      </w:r>
      <w:r w:rsidR="004D71AB" w:rsidRPr="003044EB">
        <w:rPr>
          <w:rFonts w:ascii="Arial" w:hAnsi="Arial" w:cs="Arial"/>
        </w:rPr>
        <w:t>to the Department of Finance, the Governor, and appropriate policy and fiscal committees of the Legislature regarding whether:</w:t>
      </w:r>
    </w:p>
    <w:p w14:paraId="4767684C" w14:textId="77777777" w:rsidR="004D71AB" w:rsidRPr="003044EB" w:rsidRDefault="004D71AB" w:rsidP="000D5824">
      <w:pPr>
        <w:pStyle w:val="ListParagraph"/>
        <w:numPr>
          <w:ilvl w:val="0"/>
          <w:numId w:val="11"/>
        </w:numPr>
        <w:tabs>
          <w:tab w:val="left" w:pos="1755"/>
        </w:tabs>
        <w:spacing w:after="240" w:line="240" w:lineRule="auto"/>
        <w:ind w:left="720"/>
        <w:contextualSpacing w:val="0"/>
        <w:rPr>
          <w:rFonts w:cs="Arial"/>
          <w:szCs w:val="24"/>
        </w:rPr>
      </w:pPr>
      <w:r w:rsidRPr="003044EB">
        <w:rPr>
          <w:rFonts w:cs="Arial"/>
          <w:szCs w:val="24"/>
        </w:rPr>
        <w:t>The data metrics remain the most appropriate metrics to measure and evaluate program outcomes for both new and renewal applicants.</w:t>
      </w:r>
    </w:p>
    <w:p w14:paraId="651904B2" w14:textId="77777777" w:rsidR="004D71AB" w:rsidRPr="003044EB" w:rsidRDefault="004D71AB" w:rsidP="000D5824">
      <w:pPr>
        <w:pStyle w:val="ListParagraph"/>
        <w:numPr>
          <w:ilvl w:val="0"/>
          <w:numId w:val="11"/>
        </w:numPr>
        <w:spacing w:after="240"/>
        <w:ind w:left="720"/>
        <w:rPr>
          <w:rFonts w:cs="Arial"/>
          <w:szCs w:val="24"/>
        </w:rPr>
      </w:pPr>
      <w:r w:rsidRPr="003044EB">
        <w:rPr>
          <w:rFonts w:cs="Arial"/>
          <w:szCs w:val="24"/>
        </w:rPr>
        <w:t>Other metrics should be included.</w:t>
      </w:r>
    </w:p>
    <w:p w14:paraId="308C9843" w14:textId="102A777A" w:rsidR="00E61859" w:rsidRPr="003044EB" w:rsidRDefault="00724F91" w:rsidP="00317227">
      <w:pPr>
        <w:spacing w:after="240"/>
        <w:rPr>
          <w:rFonts w:ascii="Arial" w:hAnsi="Arial" w:cs="Arial"/>
        </w:rPr>
      </w:pPr>
      <w:r w:rsidRPr="003044EB">
        <w:rPr>
          <w:rFonts w:ascii="Arial" w:hAnsi="Arial" w:cs="Arial"/>
        </w:rPr>
        <w:t>Th</w:t>
      </w:r>
      <w:r w:rsidR="00FA0AC6" w:rsidRPr="003044EB">
        <w:rPr>
          <w:rFonts w:ascii="Arial" w:hAnsi="Arial" w:cs="Arial"/>
        </w:rPr>
        <w:t xml:space="preserve">is report, inclusive of the CWPJAC’s recommendations, </w:t>
      </w:r>
      <w:r w:rsidR="005147AA" w:rsidRPr="003044EB">
        <w:rPr>
          <w:rFonts w:ascii="Arial" w:hAnsi="Arial" w:cs="Arial"/>
        </w:rPr>
        <w:t>fulfills</w:t>
      </w:r>
      <w:r w:rsidRPr="003044EB">
        <w:rPr>
          <w:rFonts w:ascii="Arial" w:hAnsi="Arial" w:cs="Arial"/>
        </w:rPr>
        <w:t xml:space="preserve"> th</w:t>
      </w:r>
      <w:r w:rsidR="002506B8" w:rsidRPr="003044EB">
        <w:rPr>
          <w:rFonts w:ascii="Arial" w:hAnsi="Arial" w:cs="Arial"/>
        </w:rPr>
        <w:t>e</w:t>
      </w:r>
      <w:r w:rsidRPr="003044EB">
        <w:rPr>
          <w:rFonts w:ascii="Arial" w:hAnsi="Arial" w:cs="Arial"/>
        </w:rPr>
        <w:t xml:space="preserve"> </w:t>
      </w:r>
      <w:r w:rsidR="008424FA" w:rsidRPr="003044EB">
        <w:rPr>
          <w:rFonts w:ascii="Arial" w:hAnsi="Arial" w:cs="Arial"/>
        </w:rPr>
        <w:t xml:space="preserve">annual </w:t>
      </w:r>
      <w:r w:rsidR="005147AA" w:rsidRPr="003044EB">
        <w:rPr>
          <w:rFonts w:ascii="Arial" w:hAnsi="Arial" w:cs="Arial"/>
        </w:rPr>
        <w:t xml:space="preserve">reporting </w:t>
      </w:r>
      <w:r w:rsidR="004B3123" w:rsidRPr="003044EB">
        <w:rPr>
          <w:rFonts w:ascii="Arial" w:hAnsi="Arial" w:cs="Arial"/>
        </w:rPr>
        <w:t>re</w:t>
      </w:r>
      <w:r w:rsidR="005147AA" w:rsidRPr="003044EB">
        <w:rPr>
          <w:rFonts w:ascii="Arial" w:hAnsi="Arial" w:cs="Arial"/>
        </w:rPr>
        <w:t xml:space="preserve">quirement regarding the data metrics listed in </w:t>
      </w:r>
      <w:r w:rsidR="005147AA" w:rsidRPr="003044EB">
        <w:rPr>
          <w:rFonts w:ascii="Arial" w:hAnsi="Arial" w:cs="Arial"/>
          <w:i/>
        </w:rPr>
        <w:t>EC</w:t>
      </w:r>
      <w:r w:rsidR="005147AA" w:rsidRPr="003044EB">
        <w:rPr>
          <w:rFonts w:ascii="Arial" w:hAnsi="Arial" w:cs="Arial"/>
        </w:rPr>
        <w:t xml:space="preserve"> </w:t>
      </w:r>
      <w:r w:rsidR="00DA7FF6" w:rsidRPr="003044EB">
        <w:rPr>
          <w:rFonts w:ascii="Arial" w:hAnsi="Arial" w:cs="Arial"/>
        </w:rPr>
        <w:t xml:space="preserve">sections </w:t>
      </w:r>
      <w:r w:rsidR="005147AA" w:rsidRPr="003044EB">
        <w:rPr>
          <w:rFonts w:ascii="Arial" w:hAnsi="Arial" w:cs="Arial"/>
          <w:lang w:bidi="en-US"/>
        </w:rPr>
        <w:t>53071(c)(11)(</w:t>
      </w:r>
      <w:r w:rsidR="00117D04" w:rsidRPr="003044EB">
        <w:rPr>
          <w:rFonts w:ascii="Arial" w:hAnsi="Arial" w:cs="Arial"/>
          <w:lang w:bidi="en-US"/>
        </w:rPr>
        <w:t>C</w:t>
      </w:r>
      <w:r w:rsidR="005147AA" w:rsidRPr="003044EB">
        <w:rPr>
          <w:rFonts w:ascii="Arial" w:hAnsi="Arial" w:cs="Arial"/>
          <w:lang w:bidi="en-US"/>
        </w:rPr>
        <w:t xml:space="preserve">) and 88828(d)(8)(B) </w:t>
      </w:r>
      <w:r w:rsidR="00A92280" w:rsidRPr="003044EB">
        <w:rPr>
          <w:rFonts w:ascii="Arial" w:hAnsi="Arial" w:cs="Arial"/>
        </w:rPr>
        <w:t xml:space="preserve">for the CTEIG and </w:t>
      </w:r>
      <w:r w:rsidR="00704160" w:rsidRPr="003044EB">
        <w:rPr>
          <w:rFonts w:ascii="Arial" w:hAnsi="Arial" w:cs="Arial"/>
        </w:rPr>
        <w:t>K–12 SWP</w:t>
      </w:r>
      <w:r w:rsidR="002506B8" w:rsidRPr="003044EB">
        <w:rPr>
          <w:rFonts w:ascii="Arial" w:hAnsi="Arial" w:cs="Arial"/>
        </w:rPr>
        <w:t>.</w:t>
      </w:r>
      <w:r w:rsidR="00E61859" w:rsidRPr="003044EB">
        <w:rPr>
          <w:rFonts w:ascii="Arial" w:hAnsi="Arial" w:cs="Arial"/>
        </w:rPr>
        <w:br w:type="page"/>
      </w:r>
    </w:p>
    <w:p w14:paraId="1CBA0CD2" w14:textId="77777777" w:rsidR="002769ED" w:rsidRPr="003044EB" w:rsidRDefault="00B165E1" w:rsidP="00E61859">
      <w:pPr>
        <w:pStyle w:val="Heading2"/>
        <w:spacing w:before="480"/>
        <w:jc w:val="left"/>
        <w:rPr>
          <w:sz w:val="28"/>
        </w:rPr>
      </w:pPr>
      <w:bookmarkStart w:id="11" w:name="_Toc161226399"/>
      <w:r w:rsidRPr="003044EB">
        <w:rPr>
          <w:sz w:val="28"/>
        </w:rPr>
        <w:lastRenderedPageBreak/>
        <w:t>Background</w:t>
      </w:r>
      <w:bookmarkEnd w:id="11"/>
    </w:p>
    <w:p w14:paraId="288A9CE5" w14:textId="74C51062" w:rsidR="004A25BC" w:rsidRPr="003044EB" w:rsidRDefault="00FC4AEF" w:rsidP="00B945AB">
      <w:pPr>
        <w:spacing w:after="240"/>
        <w:rPr>
          <w:rFonts w:ascii="Arial" w:hAnsi="Arial" w:cs="Arial"/>
        </w:rPr>
      </w:pPr>
      <w:r w:rsidRPr="003044EB">
        <w:rPr>
          <w:rFonts w:ascii="Arial" w:hAnsi="Arial" w:cs="Arial"/>
        </w:rPr>
        <w:t xml:space="preserve">The data metrics collected for both </w:t>
      </w:r>
      <w:r w:rsidR="00E318AC">
        <w:rPr>
          <w:rFonts w:ascii="Arial" w:hAnsi="Arial" w:cs="Arial"/>
        </w:rPr>
        <w:t xml:space="preserve">programs </w:t>
      </w:r>
      <w:r w:rsidRPr="003044EB">
        <w:rPr>
          <w:rFonts w:ascii="Arial" w:hAnsi="Arial" w:cs="Arial"/>
        </w:rPr>
        <w:t xml:space="preserve">were updated </w:t>
      </w:r>
      <w:r w:rsidRPr="00771F9C">
        <w:rPr>
          <w:rFonts w:ascii="Arial" w:hAnsi="Arial" w:cs="Arial"/>
        </w:rPr>
        <w:t>in S</w:t>
      </w:r>
      <w:r w:rsidR="00411D1A" w:rsidRPr="00771F9C">
        <w:rPr>
          <w:rFonts w:ascii="Arial" w:hAnsi="Arial" w:cs="Arial"/>
        </w:rPr>
        <w:t xml:space="preserve">enate Bill </w:t>
      </w:r>
      <w:r w:rsidRPr="00771F9C">
        <w:rPr>
          <w:rFonts w:ascii="Arial" w:hAnsi="Arial" w:cs="Arial"/>
        </w:rPr>
        <w:t>75 (Chapter 51, Statutes of 2019</w:t>
      </w:r>
      <w:r w:rsidR="00FA0AC6" w:rsidRPr="00771F9C">
        <w:rPr>
          <w:rFonts w:ascii="Arial" w:hAnsi="Arial" w:cs="Arial"/>
        </w:rPr>
        <w:t>)</w:t>
      </w:r>
      <w:r w:rsidR="00FA0AC6" w:rsidRPr="003044EB">
        <w:rPr>
          <w:rFonts w:ascii="Arial" w:hAnsi="Arial" w:cs="Arial"/>
        </w:rPr>
        <w:t xml:space="preserve">. </w:t>
      </w:r>
      <w:r w:rsidR="004C17BD" w:rsidRPr="003044EB">
        <w:rPr>
          <w:rFonts w:ascii="Arial" w:hAnsi="Arial" w:cs="Arial"/>
        </w:rPr>
        <w:t xml:space="preserve">The </w:t>
      </w:r>
      <w:r w:rsidR="00E318AC">
        <w:rPr>
          <w:rFonts w:ascii="Arial" w:hAnsi="Arial" w:cs="Arial"/>
        </w:rPr>
        <w:t>collaborative</w:t>
      </w:r>
      <w:r w:rsidR="004C17BD" w:rsidRPr="003044EB">
        <w:rPr>
          <w:rFonts w:ascii="Arial" w:hAnsi="Arial" w:cs="Arial"/>
        </w:rPr>
        <w:t xml:space="preserve"> aim of</w:t>
      </w:r>
      <w:r w:rsidR="00FA0AC6" w:rsidRPr="003044EB">
        <w:rPr>
          <w:rFonts w:ascii="Arial" w:hAnsi="Arial" w:cs="Arial"/>
        </w:rPr>
        <w:t xml:space="preserve"> the CTEIG and K–12 SWP metrics are </w:t>
      </w:r>
      <w:r w:rsidR="004C17BD" w:rsidRPr="003044EB">
        <w:rPr>
          <w:rFonts w:ascii="Arial" w:hAnsi="Arial" w:cs="Arial"/>
        </w:rPr>
        <w:t>to</w:t>
      </w:r>
      <w:r w:rsidR="003A7AFC" w:rsidRPr="003044EB">
        <w:rPr>
          <w:rFonts w:ascii="Arial" w:hAnsi="Arial" w:cs="Arial"/>
        </w:rPr>
        <w:t xml:space="preserve"> measure</w:t>
      </w:r>
      <w:r w:rsidR="004C17BD" w:rsidRPr="003044EB">
        <w:rPr>
          <w:rFonts w:ascii="Arial" w:hAnsi="Arial" w:cs="Arial"/>
        </w:rPr>
        <w:t xml:space="preserve"> the engagement, achievement, and transition of CTE students in grades seven through twelve and beyond. Each </w:t>
      </w:r>
      <w:r w:rsidR="00CB6AFF" w:rsidRPr="003044EB">
        <w:rPr>
          <w:rFonts w:ascii="Arial" w:hAnsi="Arial" w:cs="Arial"/>
        </w:rPr>
        <w:t xml:space="preserve">measure </w:t>
      </w:r>
      <w:r w:rsidR="004C17BD" w:rsidRPr="003044EB">
        <w:rPr>
          <w:rFonts w:ascii="Arial" w:hAnsi="Arial" w:cs="Arial"/>
        </w:rPr>
        <w:t>is defined as follows with</w:t>
      </w:r>
      <w:r w:rsidR="008B4429" w:rsidRPr="003044EB">
        <w:rPr>
          <w:rFonts w:ascii="Arial" w:hAnsi="Arial" w:cs="Arial"/>
        </w:rPr>
        <w:t>in</w:t>
      </w:r>
      <w:r w:rsidR="004C17BD" w:rsidRPr="003044EB">
        <w:rPr>
          <w:rFonts w:ascii="Arial" w:hAnsi="Arial" w:cs="Arial"/>
        </w:rPr>
        <w:t xml:space="preserve"> the context of the CTEIG and the K–12 SWP:</w:t>
      </w:r>
    </w:p>
    <w:p w14:paraId="68B1D767" w14:textId="77777777" w:rsidR="004C17BD" w:rsidRPr="003044EB" w:rsidRDefault="004C17BD" w:rsidP="00B945AB">
      <w:pPr>
        <w:numPr>
          <w:ilvl w:val="0"/>
          <w:numId w:val="12"/>
        </w:numPr>
        <w:spacing w:after="240"/>
        <w:rPr>
          <w:rFonts w:ascii="Arial" w:hAnsi="Arial" w:cs="Arial"/>
        </w:rPr>
      </w:pPr>
      <w:bookmarkStart w:id="12" w:name="_Hlk88645550"/>
      <w:r w:rsidRPr="00317227">
        <w:rPr>
          <w:rFonts w:ascii="Arial" w:hAnsi="Arial" w:cs="Arial"/>
          <w:b/>
          <w:bCs/>
        </w:rPr>
        <w:t>Engagement</w:t>
      </w:r>
      <w:r w:rsidRPr="003044EB">
        <w:rPr>
          <w:rFonts w:ascii="Arial" w:hAnsi="Arial" w:cs="Arial"/>
        </w:rPr>
        <w:t>–defined as attending, focusing, and specializing in CTE course work and work-based learning, usually leading to completing programmatic career pathways;</w:t>
      </w:r>
    </w:p>
    <w:bookmarkEnd w:id="12"/>
    <w:p w14:paraId="09A17EEF" w14:textId="77777777" w:rsidR="004C17BD" w:rsidRPr="003044EB" w:rsidRDefault="004C17BD" w:rsidP="00B945AB">
      <w:pPr>
        <w:numPr>
          <w:ilvl w:val="0"/>
          <w:numId w:val="12"/>
        </w:numPr>
        <w:spacing w:after="240"/>
        <w:rPr>
          <w:rFonts w:ascii="Arial" w:hAnsi="Arial" w:cs="Arial"/>
        </w:rPr>
      </w:pPr>
      <w:r w:rsidRPr="00317227">
        <w:rPr>
          <w:rFonts w:ascii="Arial" w:hAnsi="Arial" w:cs="Arial"/>
          <w:b/>
          <w:bCs/>
        </w:rPr>
        <w:t>Achievement</w:t>
      </w:r>
      <w:r w:rsidRPr="003044EB">
        <w:rPr>
          <w:rFonts w:ascii="Arial" w:hAnsi="Arial" w:cs="Arial"/>
        </w:rPr>
        <w:t>–defined as academic performance, skill development, and completing (graduating) high school for those focusing</w:t>
      </w:r>
      <w:r w:rsidR="0028301B" w:rsidRPr="003044EB">
        <w:rPr>
          <w:rFonts w:ascii="Arial" w:hAnsi="Arial" w:cs="Arial"/>
        </w:rPr>
        <w:t xml:space="preserve"> </w:t>
      </w:r>
      <w:r w:rsidRPr="003044EB">
        <w:rPr>
          <w:rFonts w:ascii="Arial" w:hAnsi="Arial" w:cs="Arial"/>
        </w:rPr>
        <w:t>and specializing in CTE course work; and</w:t>
      </w:r>
    </w:p>
    <w:p w14:paraId="138F5B9D" w14:textId="77777777" w:rsidR="004C17BD" w:rsidRDefault="004C17BD" w:rsidP="00B945AB">
      <w:pPr>
        <w:numPr>
          <w:ilvl w:val="0"/>
          <w:numId w:val="12"/>
        </w:numPr>
        <w:spacing w:after="240"/>
        <w:rPr>
          <w:rFonts w:ascii="Arial" w:hAnsi="Arial" w:cs="Arial"/>
        </w:rPr>
      </w:pPr>
      <w:r w:rsidRPr="00317227">
        <w:rPr>
          <w:rFonts w:ascii="Arial" w:hAnsi="Arial" w:cs="Arial"/>
          <w:b/>
          <w:bCs/>
        </w:rPr>
        <w:t>Transition</w:t>
      </w:r>
      <w:r w:rsidRPr="003044EB">
        <w:rPr>
          <w:rFonts w:ascii="Arial" w:hAnsi="Arial" w:cs="Arial"/>
        </w:rPr>
        <w:t>–defined as moving into some form of post-high school experience, typically on to postsecondary education or into the workplace.</w:t>
      </w:r>
    </w:p>
    <w:p w14:paraId="417F0AE7" w14:textId="41922753" w:rsidR="00913E58" w:rsidRDefault="00E318AC" w:rsidP="00E318AC">
      <w:pPr>
        <w:spacing w:after="240"/>
        <w:rPr>
          <w:rFonts w:ascii="Arial" w:eastAsiaTheme="minorHAnsi" w:hAnsi="Arial" w:cs="Arial"/>
        </w:rPr>
      </w:pPr>
      <w:r w:rsidRPr="00E318AC">
        <w:rPr>
          <w:rFonts w:ascii="Arial" w:eastAsiaTheme="minorHAnsi" w:hAnsi="Arial" w:cs="Arial"/>
        </w:rPr>
        <w:t>Review and analy</w:t>
      </w:r>
      <w:r>
        <w:rPr>
          <w:rFonts w:ascii="Arial" w:eastAsiaTheme="minorHAnsi" w:hAnsi="Arial" w:cs="Arial"/>
        </w:rPr>
        <w:t>sis of the data metrics are conducted</w:t>
      </w:r>
      <w:r w:rsidRPr="00E318AC">
        <w:rPr>
          <w:rFonts w:ascii="Arial" w:eastAsiaTheme="minorHAnsi" w:hAnsi="Arial" w:cs="Arial"/>
        </w:rPr>
        <w:t xml:space="preserve"> as a lagging two-year indicator</w:t>
      </w:r>
      <w:r w:rsidR="00A25AC1">
        <w:rPr>
          <w:rFonts w:ascii="Arial" w:eastAsiaTheme="minorHAnsi" w:hAnsi="Arial" w:cs="Arial"/>
        </w:rPr>
        <w:t xml:space="preserve"> within the context of the Adjusted Cohort Graduation Rate</w:t>
      </w:r>
      <w:r w:rsidR="00913E58">
        <w:rPr>
          <w:rFonts w:ascii="Arial" w:eastAsiaTheme="minorHAnsi" w:hAnsi="Arial" w:cs="Arial"/>
        </w:rPr>
        <w:t xml:space="preserve">. </w:t>
      </w:r>
    </w:p>
    <w:p w14:paraId="326FAD74" w14:textId="73FEE0CF" w:rsidR="00913E58" w:rsidRDefault="00913E58" w:rsidP="00E318AC">
      <w:pPr>
        <w:spacing w:after="240"/>
        <w:rPr>
          <w:rFonts w:ascii="Arial" w:eastAsiaTheme="minorHAnsi" w:hAnsi="Arial" w:cs="Arial"/>
        </w:rPr>
      </w:pPr>
      <w:r>
        <w:rPr>
          <w:rFonts w:ascii="Arial" w:eastAsiaTheme="minorHAnsi" w:hAnsi="Arial" w:cs="Arial"/>
        </w:rPr>
        <w:t xml:space="preserve">The </w:t>
      </w:r>
      <w:r w:rsidRPr="00913E58">
        <w:rPr>
          <w:rFonts w:ascii="Arial" w:eastAsiaTheme="minorHAnsi" w:hAnsi="Arial" w:cs="Arial"/>
        </w:rPr>
        <w:t xml:space="preserve">CWPJAC reviewed the data metrics </w:t>
      </w:r>
      <w:r>
        <w:rPr>
          <w:rFonts w:ascii="Arial" w:eastAsiaTheme="minorHAnsi" w:hAnsi="Arial" w:cs="Arial"/>
        </w:rPr>
        <w:t xml:space="preserve">presented </w:t>
      </w:r>
      <w:r w:rsidRPr="00913E58">
        <w:rPr>
          <w:rFonts w:ascii="Arial" w:eastAsiaTheme="minorHAnsi" w:hAnsi="Arial" w:cs="Arial"/>
        </w:rPr>
        <w:t>during the November 25, 2024, meeting</w:t>
      </w:r>
      <w:r>
        <w:rPr>
          <w:rFonts w:ascii="Arial" w:eastAsiaTheme="minorHAnsi" w:hAnsi="Arial" w:cs="Arial"/>
        </w:rPr>
        <w:t xml:space="preserve"> </w:t>
      </w:r>
      <w:r w:rsidRPr="00913E58">
        <w:rPr>
          <w:rFonts w:ascii="Arial" w:eastAsiaTheme="minorHAnsi" w:hAnsi="Arial" w:cs="Arial"/>
        </w:rPr>
        <w:t>and there were no recommendations or amendments to the metrics.</w:t>
      </w:r>
    </w:p>
    <w:p w14:paraId="7DBA3FC4" w14:textId="3066A26A" w:rsidR="00E44B40" w:rsidRPr="003044EB" w:rsidRDefault="004C17BD" w:rsidP="00E61859">
      <w:pPr>
        <w:pStyle w:val="Heading2"/>
        <w:spacing w:before="480"/>
        <w:jc w:val="left"/>
        <w:rPr>
          <w:sz w:val="28"/>
        </w:rPr>
      </w:pPr>
      <w:bookmarkStart w:id="13" w:name="_Toc161226400"/>
      <w:r w:rsidRPr="003044EB">
        <w:rPr>
          <w:sz w:val="28"/>
        </w:rPr>
        <w:t>A Uniform Sourc</w:t>
      </w:r>
      <w:bookmarkEnd w:id="13"/>
      <w:r w:rsidR="00795DD8">
        <w:rPr>
          <w:sz w:val="28"/>
        </w:rPr>
        <w:t>e of Data</w:t>
      </w:r>
    </w:p>
    <w:p w14:paraId="6D2D4912" w14:textId="12E0BFF8" w:rsidR="004C17BD" w:rsidRPr="003044EB" w:rsidRDefault="004C17BD" w:rsidP="00475856">
      <w:pPr>
        <w:spacing w:after="240"/>
        <w:rPr>
          <w:rFonts w:ascii="Arial" w:hAnsi="Arial" w:cs="Arial"/>
        </w:rPr>
      </w:pPr>
      <w:r w:rsidRPr="003044EB">
        <w:rPr>
          <w:rFonts w:ascii="Arial" w:hAnsi="Arial" w:cs="Arial"/>
        </w:rPr>
        <w:t>The CTEIG was created in 2015, and the K–12 SWP began in 2018. For the 201</w:t>
      </w:r>
      <w:r w:rsidR="008B4429" w:rsidRPr="003044EB">
        <w:rPr>
          <w:rFonts w:ascii="Arial" w:hAnsi="Arial" w:cs="Arial"/>
        </w:rPr>
        <w:t>7</w:t>
      </w:r>
      <w:r w:rsidRPr="003044EB">
        <w:rPr>
          <w:rFonts w:ascii="Arial" w:hAnsi="Arial" w:cs="Arial"/>
        </w:rPr>
        <w:t>–1</w:t>
      </w:r>
      <w:r w:rsidR="008B4429" w:rsidRPr="003044EB">
        <w:rPr>
          <w:rFonts w:ascii="Arial" w:hAnsi="Arial" w:cs="Arial"/>
        </w:rPr>
        <w:t>8</w:t>
      </w:r>
      <w:r w:rsidRPr="003044EB">
        <w:rPr>
          <w:rFonts w:ascii="Arial" w:hAnsi="Arial" w:cs="Arial"/>
        </w:rPr>
        <w:t xml:space="preserve"> academic year, the </w:t>
      </w:r>
      <w:r w:rsidR="008B4429" w:rsidRPr="003044EB">
        <w:rPr>
          <w:rFonts w:ascii="Arial" w:hAnsi="Arial" w:cs="Arial"/>
        </w:rPr>
        <w:t xml:space="preserve">CTEIG </w:t>
      </w:r>
      <w:r w:rsidRPr="003044EB">
        <w:rPr>
          <w:rFonts w:ascii="Arial" w:hAnsi="Arial" w:cs="Arial"/>
        </w:rPr>
        <w:t xml:space="preserve">data </w:t>
      </w:r>
      <w:r w:rsidR="008B4429" w:rsidRPr="003044EB">
        <w:rPr>
          <w:rFonts w:ascii="Arial" w:hAnsi="Arial" w:cs="Arial"/>
        </w:rPr>
        <w:t xml:space="preserve">was </w:t>
      </w:r>
      <w:r w:rsidRPr="003044EB">
        <w:rPr>
          <w:rFonts w:ascii="Arial" w:hAnsi="Arial" w:cs="Arial"/>
        </w:rPr>
        <w:t xml:space="preserve">collected </w:t>
      </w:r>
      <w:r w:rsidR="008B4429" w:rsidRPr="003044EB">
        <w:rPr>
          <w:rFonts w:ascii="Arial" w:hAnsi="Arial" w:cs="Arial"/>
        </w:rPr>
        <w:t>entirely through a survey. For the 2018–19 academic year, some of the CTEIG and K–12</w:t>
      </w:r>
      <w:r w:rsidR="00764CCC" w:rsidRPr="003044EB">
        <w:rPr>
          <w:rFonts w:ascii="Arial" w:hAnsi="Arial" w:cs="Arial"/>
        </w:rPr>
        <w:t xml:space="preserve"> SWP</w:t>
      </w:r>
      <w:r w:rsidR="008B4429" w:rsidRPr="003044EB">
        <w:rPr>
          <w:rFonts w:ascii="Arial" w:hAnsi="Arial" w:cs="Arial"/>
        </w:rPr>
        <w:t xml:space="preserve"> data was collected </w:t>
      </w:r>
      <w:r w:rsidRPr="003044EB">
        <w:rPr>
          <w:rFonts w:ascii="Arial" w:hAnsi="Arial" w:cs="Arial"/>
        </w:rPr>
        <w:t xml:space="preserve">in </w:t>
      </w:r>
      <w:r w:rsidR="001C52DE" w:rsidRPr="003044EB">
        <w:rPr>
          <w:rFonts w:ascii="Arial" w:hAnsi="Arial" w:cs="Arial"/>
        </w:rPr>
        <w:t xml:space="preserve">the </w:t>
      </w:r>
      <w:r w:rsidR="004A2826" w:rsidRPr="003044EB">
        <w:rPr>
          <w:rFonts w:ascii="Arial" w:hAnsi="Arial" w:cs="Arial"/>
        </w:rPr>
        <w:t xml:space="preserve">California Longitudinal Pupil Achievement Data System </w:t>
      </w:r>
      <w:r w:rsidR="004A2826">
        <w:rPr>
          <w:rFonts w:ascii="Arial" w:hAnsi="Arial" w:cs="Arial"/>
        </w:rPr>
        <w:t>(</w:t>
      </w:r>
      <w:r w:rsidRPr="003044EB">
        <w:rPr>
          <w:rFonts w:ascii="Arial" w:hAnsi="Arial" w:cs="Arial"/>
        </w:rPr>
        <w:t>CALPADS</w:t>
      </w:r>
      <w:r w:rsidR="004A2826">
        <w:rPr>
          <w:rFonts w:ascii="Arial" w:hAnsi="Arial" w:cs="Arial"/>
        </w:rPr>
        <w:t>)</w:t>
      </w:r>
      <w:r w:rsidRPr="003044EB">
        <w:rPr>
          <w:rFonts w:ascii="Arial" w:hAnsi="Arial" w:cs="Arial"/>
        </w:rPr>
        <w:t>, but other metrics were collected using a survey. In 2019</w:t>
      </w:r>
      <w:r w:rsidR="00A64F22" w:rsidRPr="003044EB">
        <w:rPr>
          <w:rFonts w:ascii="Arial" w:hAnsi="Arial" w:cs="Arial"/>
        </w:rPr>
        <w:t>,</w:t>
      </w:r>
      <w:r w:rsidRPr="003044EB">
        <w:rPr>
          <w:rFonts w:ascii="Arial" w:hAnsi="Arial" w:cs="Arial"/>
        </w:rPr>
        <w:t xml:space="preserve"> the CDE’s </w:t>
      </w:r>
      <w:r w:rsidR="00C676CF" w:rsidRPr="003044EB">
        <w:rPr>
          <w:rFonts w:ascii="Arial" w:hAnsi="Arial" w:cs="Arial"/>
        </w:rPr>
        <w:t>Career and College Transition Division (</w:t>
      </w:r>
      <w:r w:rsidRPr="003044EB">
        <w:rPr>
          <w:rFonts w:ascii="Arial" w:hAnsi="Arial" w:cs="Arial"/>
        </w:rPr>
        <w:t>CCTD</w:t>
      </w:r>
      <w:r w:rsidR="00C676CF" w:rsidRPr="003044EB">
        <w:rPr>
          <w:rFonts w:ascii="Arial" w:hAnsi="Arial" w:cs="Arial"/>
        </w:rPr>
        <w:t>)</w:t>
      </w:r>
      <w:r w:rsidRPr="003044EB">
        <w:rPr>
          <w:rFonts w:ascii="Arial" w:hAnsi="Arial" w:cs="Arial"/>
        </w:rPr>
        <w:t xml:space="preserve"> began discussions with the different divisions responsible for LEA data collection to explore the possibility of using a single process for obtaining information on the CTEIG and the K–12 SWP data metrics</w:t>
      </w:r>
      <w:r w:rsidR="003A7AFC" w:rsidRPr="003044EB">
        <w:rPr>
          <w:rFonts w:ascii="Arial" w:hAnsi="Arial" w:cs="Arial"/>
        </w:rPr>
        <w:t xml:space="preserve"> concurrently. One of the results of CCTD’s efforts was the development of the CTE Completer Data </w:t>
      </w:r>
      <w:r w:rsidR="00FC179B" w:rsidRPr="003044EB">
        <w:rPr>
          <w:rFonts w:ascii="Arial" w:hAnsi="Arial" w:cs="Arial"/>
        </w:rPr>
        <w:t>Survey</w:t>
      </w:r>
      <w:r w:rsidR="00D36175" w:rsidRPr="003044EB">
        <w:rPr>
          <w:rFonts w:ascii="Arial" w:hAnsi="Arial" w:cs="Arial"/>
        </w:rPr>
        <w:t xml:space="preserve"> </w:t>
      </w:r>
      <w:r w:rsidR="003A7AFC" w:rsidRPr="003044EB">
        <w:rPr>
          <w:rFonts w:ascii="Arial" w:hAnsi="Arial" w:cs="Arial"/>
        </w:rPr>
        <w:t xml:space="preserve">Template, which was </w:t>
      </w:r>
      <w:r w:rsidR="00FC179B" w:rsidRPr="003044EB">
        <w:rPr>
          <w:rFonts w:ascii="Arial" w:hAnsi="Arial" w:cs="Arial"/>
        </w:rPr>
        <w:t xml:space="preserve">first </w:t>
      </w:r>
      <w:r w:rsidR="003A7AFC" w:rsidRPr="003044EB">
        <w:rPr>
          <w:rFonts w:ascii="Arial" w:hAnsi="Arial" w:cs="Arial"/>
        </w:rPr>
        <w:t>utilized during the 2020 data collection</w:t>
      </w:r>
      <w:r w:rsidR="00CD4EF5" w:rsidRPr="003044EB">
        <w:rPr>
          <w:rFonts w:ascii="Arial" w:hAnsi="Arial" w:cs="Arial"/>
        </w:rPr>
        <w:t xml:space="preserve"> period (2018–19 </w:t>
      </w:r>
      <w:r w:rsidR="001C52DE" w:rsidRPr="003044EB">
        <w:rPr>
          <w:rFonts w:ascii="Arial" w:hAnsi="Arial" w:cs="Arial"/>
        </w:rPr>
        <w:t>a</w:t>
      </w:r>
      <w:r w:rsidR="00CD4EF5" w:rsidRPr="003044EB">
        <w:rPr>
          <w:rFonts w:ascii="Arial" w:hAnsi="Arial" w:cs="Arial"/>
        </w:rPr>
        <w:t xml:space="preserve">cademic </w:t>
      </w:r>
      <w:r w:rsidR="001C52DE" w:rsidRPr="003044EB">
        <w:rPr>
          <w:rFonts w:ascii="Arial" w:hAnsi="Arial" w:cs="Arial"/>
        </w:rPr>
        <w:t>y</w:t>
      </w:r>
      <w:r w:rsidR="00CD4EF5" w:rsidRPr="003044EB">
        <w:rPr>
          <w:rFonts w:ascii="Arial" w:hAnsi="Arial" w:cs="Arial"/>
        </w:rPr>
        <w:t xml:space="preserve">ear). </w:t>
      </w:r>
      <w:r w:rsidR="006A323F" w:rsidRPr="003044EB">
        <w:rPr>
          <w:rFonts w:ascii="Arial" w:hAnsi="Arial" w:cs="Arial"/>
        </w:rPr>
        <w:t xml:space="preserve">Beginning </w:t>
      </w:r>
      <w:r w:rsidR="00FC179B" w:rsidRPr="003044EB">
        <w:rPr>
          <w:rFonts w:ascii="Arial" w:hAnsi="Arial" w:cs="Arial"/>
        </w:rPr>
        <w:t>in 2021</w:t>
      </w:r>
      <w:r w:rsidR="00CD4EF5" w:rsidRPr="003044EB">
        <w:rPr>
          <w:rFonts w:ascii="Arial" w:hAnsi="Arial" w:cs="Arial"/>
        </w:rPr>
        <w:t>,</w:t>
      </w:r>
      <w:r w:rsidRPr="003044EB">
        <w:rPr>
          <w:rFonts w:ascii="Arial" w:hAnsi="Arial" w:cs="Arial"/>
        </w:rPr>
        <w:t xml:space="preserve"> all CTEIG</w:t>
      </w:r>
      <w:r w:rsidR="003A7AFC" w:rsidRPr="003044EB">
        <w:rPr>
          <w:rFonts w:ascii="Arial" w:hAnsi="Arial" w:cs="Arial"/>
        </w:rPr>
        <w:t xml:space="preserve">, </w:t>
      </w:r>
      <w:r w:rsidRPr="003044EB">
        <w:rPr>
          <w:rFonts w:ascii="Arial" w:hAnsi="Arial" w:cs="Arial"/>
        </w:rPr>
        <w:t>K–12 SWP</w:t>
      </w:r>
      <w:r w:rsidR="003A7AFC" w:rsidRPr="003044EB">
        <w:rPr>
          <w:rFonts w:ascii="Arial" w:hAnsi="Arial" w:cs="Arial"/>
        </w:rPr>
        <w:t xml:space="preserve">, and </w:t>
      </w:r>
      <w:r w:rsidR="00FE1D23" w:rsidRPr="003044EB">
        <w:rPr>
          <w:rFonts w:ascii="Arial" w:hAnsi="Arial" w:cs="Arial"/>
        </w:rPr>
        <w:t xml:space="preserve">the </w:t>
      </w:r>
      <w:r w:rsidR="00807A81" w:rsidRPr="003044EB">
        <w:rPr>
          <w:rFonts w:ascii="Arial" w:hAnsi="Arial" w:cs="Arial"/>
        </w:rPr>
        <w:t>F</w:t>
      </w:r>
      <w:r w:rsidR="00630509" w:rsidRPr="003044EB">
        <w:rPr>
          <w:rFonts w:ascii="Arial" w:hAnsi="Arial" w:cs="Arial"/>
        </w:rPr>
        <w:t>ederal Strengthening Career and Technical Education for the</w:t>
      </w:r>
      <w:r w:rsidR="00E946C9" w:rsidRPr="003044EB">
        <w:rPr>
          <w:rFonts w:ascii="Arial" w:hAnsi="Arial" w:cs="Arial"/>
        </w:rPr>
        <w:t xml:space="preserve"> </w:t>
      </w:r>
      <w:r w:rsidR="00FE1D23" w:rsidRPr="003044EB">
        <w:rPr>
          <w:rFonts w:ascii="Arial" w:hAnsi="Arial" w:cs="Arial"/>
        </w:rPr>
        <w:t>21</w:t>
      </w:r>
      <w:r w:rsidR="00FE1D23" w:rsidRPr="003044EB">
        <w:rPr>
          <w:rFonts w:ascii="Arial" w:hAnsi="Arial" w:cs="Arial"/>
          <w:vertAlign w:val="superscript"/>
        </w:rPr>
        <w:t>st</w:t>
      </w:r>
      <w:r w:rsidR="00FE1D23" w:rsidRPr="003044EB">
        <w:rPr>
          <w:rFonts w:ascii="Arial" w:hAnsi="Arial" w:cs="Arial"/>
        </w:rPr>
        <w:t xml:space="preserve"> Century Act (</w:t>
      </w:r>
      <w:r w:rsidR="003A7AFC" w:rsidRPr="003044EB">
        <w:rPr>
          <w:rFonts w:ascii="Arial" w:hAnsi="Arial" w:cs="Arial"/>
        </w:rPr>
        <w:t>Perkins</w:t>
      </w:r>
      <w:r w:rsidR="00990E8C" w:rsidRPr="003044EB">
        <w:rPr>
          <w:rFonts w:ascii="Arial" w:hAnsi="Arial" w:cs="Arial"/>
        </w:rPr>
        <w:t xml:space="preserve"> V</w:t>
      </w:r>
      <w:r w:rsidR="00FE1D23" w:rsidRPr="003044EB">
        <w:rPr>
          <w:rFonts w:ascii="Arial" w:hAnsi="Arial" w:cs="Arial"/>
        </w:rPr>
        <w:t>)</w:t>
      </w:r>
      <w:r w:rsidR="00E946C9" w:rsidRPr="003044EB">
        <w:rPr>
          <w:rFonts w:ascii="Arial" w:hAnsi="Arial" w:cs="Arial"/>
        </w:rPr>
        <w:t xml:space="preserve"> </w:t>
      </w:r>
      <w:r w:rsidRPr="003044EB">
        <w:rPr>
          <w:rFonts w:ascii="Arial" w:hAnsi="Arial" w:cs="Arial"/>
        </w:rPr>
        <w:t xml:space="preserve">data metrics </w:t>
      </w:r>
      <w:r w:rsidR="00CD4EF5" w:rsidRPr="003044EB">
        <w:rPr>
          <w:rFonts w:ascii="Arial" w:hAnsi="Arial" w:cs="Arial"/>
        </w:rPr>
        <w:t>w</w:t>
      </w:r>
      <w:r w:rsidR="006A323F" w:rsidRPr="003044EB">
        <w:rPr>
          <w:rFonts w:ascii="Arial" w:hAnsi="Arial" w:cs="Arial"/>
        </w:rPr>
        <w:t>ere</w:t>
      </w:r>
      <w:r w:rsidR="00CD4EF5" w:rsidRPr="003044EB">
        <w:rPr>
          <w:rFonts w:ascii="Arial" w:hAnsi="Arial" w:cs="Arial"/>
        </w:rPr>
        <w:t xml:space="preserve"> </w:t>
      </w:r>
      <w:r w:rsidR="003A7AFC" w:rsidRPr="003044EB">
        <w:rPr>
          <w:rFonts w:ascii="Arial" w:hAnsi="Arial" w:cs="Arial"/>
        </w:rPr>
        <w:t xml:space="preserve">submitted </w:t>
      </w:r>
      <w:r w:rsidRPr="003044EB">
        <w:rPr>
          <w:rFonts w:ascii="Arial" w:hAnsi="Arial" w:cs="Arial"/>
        </w:rPr>
        <w:t xml:space="preserve">within the CALPADS </w:t>
      </w:r>
      <w:r w:rsidR="006A323F" w:rsidRPr="003044EB">
        <w:rPr>
          <w:rFonts w:ascii="Arial" w:hAnsi="Arial" w:cs="Arial"/>
        </w:rPr>
        <w:t xml:space="preserve">for </w:t>
      </w:r>
      <w:r w:rsidR="003A7AFC" w:rsidRPr="003044EB">
        <w:rPr>
          <w:rFonts w:ascii="Arial" w:hAnsi="Arial" w:cs="Arial"/>
        </w:rPr>
        <w:t xml:space="preserve">the 2021 data collection </w:t>
      </w:r>
      <w:r w:rsidR="00493CDE" w:rsidRPr="003044EB">
        <w:rPr>
          <w:rFonts w:ascii="Arial" w:hAnsi="Arial" w:cs="Arial"/>
        </w:rPr>
        <w:t xml:space="preserve">period </w:t>
      </w:r>
      <w:r w:rsidR="003A7AFC" w:rsidRPr="003044EB">
        <w:rPr>
          <w:rFonts w:ascii="Arial" w:hAnsi="Arial" w:cs="Arial"/>
        </w:rPr>
        <w:t>(2019–20 academic year)</w:t>
      </w:r>
      <w:r w:rsidR="00CD4EF5" w:rsidRPr="003044EB">
        <w:rPr>
          <w:rFonts w:ascii="Arial" w:hAnsi="Arial" w:cs="Arial"/>
        </w:rPr>
        <w:t>. Additionally</w:t>
      </w:r>
      <w:r w:rsidR="00475856" w:rsidRPr="003044EB">
        <w:rPr>
          <w:rFonts w:ascii="Arial" w:hAnsi="Arial" w:cs="Arial"/>
        </w:rPr>
        <w:t>, the C</w:t>
      </w:r>
      <w:r w:rsidR="00FC179B" w:rsidRPr="003044EB">
        <w:rPr>
          <w:rFonts w:ascii="Arial" w:hAnsi="Arial" w:cs="Arial"/>
        </w:rPr>
        <w:t>TE</w:t>
      </w:r>
      <w:r w:rsidR="00475856" w:rsidRPr="003044EB">
        <w:rPr>
          <w:rFonts w:ascii="Arial" w:hAnsi="Arial" w:cs="Arial"/>
        </w:rPr>
        <w:t xml:space="preserve"> Completer Data Survey Template </w:t>
      </w:r>
      <w:r w:rsidR="00CD4EF5" w:rsidRPr="003044EB">
        <w:rPr>
          <w:rFonts w:ascii="Arial" w:hAnsi="Arial" w:cs="Arial"/>
        </w:rPr>
        <w:t xml:space="preserve">(Appendix </w:t>
      </w:r>
      <w:r w:rsidR="006A323F" w:rsidRPr="003044EB">
        <w:rPr>
          <w:rFonts w:ascii="Arial" w:hAnsi="Arial" w:cs="Arial"/>
        </w:rPr>
        <w:t>A</w:t>
      </w:r>
      <w:r w:rsidR="00CD4EF5" w:rsidRPr="003044EB">
        <w:rPr>
          <w:rFonts w:ascii="Arial" w:hAnsi="Arial" w:cs="Arial"/>
        </w:rPr>
        <w:t>)</w:t>
      </w:r>
      <w:r w:rsidR="00FC179B" w:rsidRPr="003044EB">
        <w:rPr>
          <w:rFonts w:ascii="Arial" w:hAnsi="Arial" w:cs="Arial"/>
        </w:rPr>
        <w:t xml:space="preserve">, was </w:t>
      </w:r>
      <w:r w:rsidR="00CD4EF5" w:rsidRPr="003044EB">
        <w:rPr>
          <w:rFonts w:ascii="Arial" w:hAnsi="Arial" w:cs="Arial"/>
        </w:rPr>
        <w:t xml:space="preserve">updated to </w:t>
      </w:r>
      <w:r w:rsidR="00A13490" w:rsidRPr="003044EB">
        <w:rPr>
          <w:rFonts w:ascii="Arial" w:hAnsi="Arial" w:cs="Arial"/>
        </w:rPr>
        <w:t>standardize</w:t>
      </w:r>
      <w:r w:rsidR="00CD4EF5" w:rsidRPr="003044EB">
        <w:rPr>
          <w:rFonts w:ascii="Arial" w:hAnsi="Arial" w:cs="Arial"/>
        </w:rPr>
        <w:t xml:space="preserve"> th</w:t>
      </w:r>
      <w:r w:rsidR="00FC179B" w:rsidRPr="003044EB">
        <w:rPr>
          <w:rFonts w:ascii="Arial" w:hAnsi="Arial" w:cs="Arial"/>
        </w:rPr>
        <w:t>is</w:t>
      </w:r>
      <w:r w:rsidR="00CD4EF5" w:rsidRPr="003044EB">
        <w:rPr>
          <w:rFonts w:ascii="Arial" w:hAnsi="Arial" w:cs="Arial"/>
        </w:rPr>
        <w:t xml:space="preserve"> uniform collection of all </w:t>
      </w:r>
      <w:r w:rsidR="00FC179B" w:rsidRPr="003044EB">
        <w:rPr>
          <w:rFonts w:ascii="Arial" w:hAnsi="Arial" w:cs="Arial"/>
        </w:rPr>
        <w:t xml:space="preserve">future </w:t>
      </w:r>
      <w:r w:rsidR="00CD4EF5" w:rsidRPr="003044EB">
        <w:rPr>
          <w:rFonts w:ascii="Arial" w:hAnsi="Arial" w:cs="Arial"/>
        </w:rPr>
        <w:t xml:space="preserve">CTE Completer </w:t>
      </w:r>
      <w:r w:rsidR="00FC179B" w:rsidRPr="003044EB">
        <w:rPr>
          <w:rFonts w:ascii="Arial" w:hAnsi="Arial" w:cs="Arial"/>
        </w:rPr>
        <w:t>data</w:t>
      </w:r>
      <w:r w:rsidR="00CD4EF5" w:rsidRPr="003044EB">
        <w:rPr>
          <w:rFonts w:ascii="Arial" w:hAnsi="Arial" w:cs="Arial"/>
        </w:rPr>
        <w:t>.</w:t>
      </w:r>
    </w:p>
    <w:p w14:paraId="7D5935F1" w14:textId="77777777" w:rsidR="0028140F" w:rsidRPr="003044EB" w:rsidRDefault="0028140F" w:rsidP="0028140F">
      <w:pPr>
        <w:rPr>
          <w:rFonts w:ascii="Arial" w:hAnsi="Arial" w:cs="Arial"/>
        </w:rPr>
      </w:pPr>
      <w:r w:rsidRPr="003044EB">
        <w:rPr>
          <w:rFonts w:ascii="Arial" w:hAnsi="Arial" w:cs="Arial"/>
        </w:rPr>
        <w:br w:type="page"/>
      </w:r>
    </w:p>
    <w:p w14:paraId="627748DF" w14:textId="6FDD6BA7" w:rsidR="007D00E4" w:rsidRPr="003044EB" w:rsidRDefault="00ED0BB4" w:rsidP="00E61859">
      <w:pPr>
        <w:pStyle w:val="Heading2"/>
        <w:jc w:val="left"/>
        <w:rPr>
          <w:sz w:val="28"/>
        </w:rPr>
      </w:pPr>
      <w:bookmarkStart w:id="14" w:name="_Toc161226401"/>
      <w:r w:rsidRPr="003044EB">
        <w:rPr>
          <w:sz w:val="28"/>
        </w:rPr>
        <w:lastRenderedPageBreak/>
        <w:t>202</w:t>
      </w:r>
      <w:r w:rsidR="009A7223">
        <w:rPr>
          <w:sz w:val="28"/>
        </w:rPr>
        <w:t>5</w:t>
      </w:r>
      <w:r w:rsidRPr="003044EB">
        <w:rPr>
          <w:sz w:val="28"/>
        </w:rPr>
        <w:t xml:space="preserve"> Annual Report</w:t>
      </w:r>
      <w:r w:rsidR="007D00E4" w:rsidRPr="003044EB">
        <w:rPr>
          <w:sz w:val="28"/>
        </w:rPr>
        <w:t xml:space="preserve"> (20</w:t>
      </w:r>
      <w:r w:rsidR="0017409F" w:rsidRPr="003044EB">
        <w:rPr>
          <w:sz w:val="28"/>
        </w:rPr>
        <w:t>2</w:t>
      </w:r>
      <w:r w:rsidR="009A7223">
        <w:rPr>
          <w:sz w:val="28"/>
        </w:rPr>
        <w:t>3</w:t>
      </w:r>
      <w:r w:rsidR="007D00E4" w:rsidRPr="003044EB">
        <w:rPr>
          <w:sz w:val="28"/>
        </w:rPr>
        <w:t>–</w:t>
      </w:r>
      <w:r w:rsidR="00237437" w:rsidRPr="003044EB">
        <w:rPr>
          <w:sz w:val="28"/>
        </w:rPr>
        <w:t>2</w:t>
      </w:r>
      <w:r w:rsidR="009A7223">
        <w:rPr>
          <w:sz w:val="28"/>
        </w:rPr>
        <w:t>4</w:t>
      </w:r>
      <w:r w:rsidR="007D00E4" w:rsidRPr="003044EB">
        <w:rPr>
          <w:sz w:val="28"/>
        </w:rPr>
        <w:t xml:space="preserve"> Academic Year)</w:t>
      </w:r>
      <w:bookmarkEnd w:id="14"/>
    </w:p>
    <w:p w14:paraId="153389A0" w14:textId="77777777" w:rsidR="00ED0BB4" w:rsidRPr="003044EB" w:rsidRDefault="007D00E4" w:rsidP="00E04BB6">
      <w:pPr>
        <w:pStyle w:val="Heading3"/>
        <w:spacing w:before="480"/>
        <w:jc w:val="left"/>
        <w:rPr>
          <w:sz w:val="28"/>
          <w:szCs w:val="28"/>
        </w:rPr>
      </w:pPr>
      <w:r w:rsidRPr="003044EB">
        <w:rPr>
          <w:sz w:val="28"/>
          <w:szCs w:val="28"/>
        </w:rPr>
        <w:t>Data Collection Process</w:t>
      </w:r>
    </w:p>
    <w:p w14:paraId="75338734" w14:textId="77777777" w:rsidR="00300B34" w:rsidRPr="003044EB" w:rsidRDefault="00831037" w:rsidP="00857ABC">
      <w:pPr>
        <w:pStyle w:val="Default"/>
        <w:spacing w:after="240"/>
      </w:pPr>
      <w:r w:rsidRPr="003044EB">
        <w:t xml:space="preserve">Perkins V established new CTE performance indicators and modified federal reporting requirements (formerly, </w:t>
      </w:r>
      <w:r w:rsidR="00A26B0A" w:rsidRPr="003044EB">
        <w:t>Fall 2</w:t>
      </w:r>
      <w:r w:rsidRPr="003044EB">
        <w:t xml:space="preserve"> reporting) for CTE Completers. All LEAs operating CTE programs are now required to submit postsecondary status data </w:t>
      </w:r>
      <w:r w:rsidR="004E0083" w:rsidRPr="003044EB">
        <w:t>for</w:t>
      </w:r>
      <w:r w:rsidRPr="003044EB">
        <w:t xml:space="preserve"> their CTE Completers, regardless of whether they received Perkins V funding. </w:t>
      </w:r>
      <w:r w:rsidR="00624487" w:rsidRPr="003044EB">
        <w:t>T</w:t>
      </w:r>
      <w:r w:rsidRPr="003044EB">
        <w:t xml:space="preserve">he data metrics required under the CTEIG and </w:t>
      </w:r>
      <w:r w:rsidR="00704160" w:rsidRPr="003044EB">
        <w:t xml:space="preserve">K–12 SWP </w:t>
      </w:r>
      <w:r w:rsidRPr="003044EB">
        <w:t xml:space="preserve">were derived from the </w:t>
      </w:r>
      <w:r w:rsidR="00C676CF" w:rsidRPr="003044EB">
        <w:rPr>
          <w:rFonts w:ascii="Helvetica" w:hAnsi="Helvetica"/>
          <w:shd w:val="clear" w:color="auto" w:fill="FFFFFF"/>
        </w:rPr>
        <w:t xml:space="preserve">Carl D. Perkins Career and Technical Education Improvement Act of 2006 </w:t>
      </w:r>
      <w:r w:rsidRPr="003044EB">
        <w:t xml:space="preserve">and </w:t>
      </w:r>
      <w:r w:rsidR="00487096" w:rsidRPr="003044EB">
        <w:t xml:space="preserve">Perkins </w:t>
      </w:r>
      <w:r w:rsidRPr="003044EB">
        <w:t>V legislation.</w:t>
      </w:r>
      <w:r w:rsidR="00300B34" w:rsidRPr="003044EB">
        <w:t xml:space="preserve"> Moreover, b</w:t>
      </w:r>
      <w:r w:rsidRPr="003044EB">
        <w:t xml:space="preserve">oth the CTEIG and the </w:t>
      </w:r>
      <w:r w:rsidR="00704160" w:rsidRPr="003044EB">
        <w:t xml:space="preserve">K–12 SWP </w:t>
      </w:r>
      <w:r w:rsidRPr="003044EB">
        <w:t xml:space="preserve">require LEAs to annually submit their CTE </w:t>
      </w:r>
      <w:r w:rsidR="004E0083" w:rsidRPr="003044EB">
        <w:t>C</w:t>
      </w:r>
      <w:r w:rsidRPr="003044EB">
        <w:t>ompleter and grant program information to the CDE to remain eligible for future funding.</w:t>
      </w:r>
    </w:p>
    <w:p w14:paraId="54D6CC0D" w14:textId="77777777" w:rsidR="00831037" w:rsidRPr="003044EB" w:rsidRDefault="00831037" w:rsidP="00E136F6">
      <w:pPr>
        <w:pStyle w:val="Default"/>
        <w:tabs>
          <w:tab w:val="left" w:pos="1440"/>
        </w:tabs>
        <w:spacing w:after="240"/>
      </w:pPr>
      <w:r w:rsidRPr="003044EB">
        <w:t xml:space="preserve">To alleviate the administrative burden of collecting CTE data for three separate programs, the CDE created the </w:t>
      </w:r>
      <w:r w:rsidR="00624487" w:rsidRPr="003044EB">
        <w:t>Career Technical Education Completer Data Survey Template</w:t>
      </w:r>
      <w:r w:rsidRPr="003044EB">
        <w:t>. The</w:t>
      </w:r>
      <w:r w:rsidRPr="003044EB">
        <w:rPr>
          <w:color w:val="auto"/>
        </w:rPr>
        <w:t xml:space="preserve"> CDE instructed all LEAs to use th</w:t>
      </w:r>
      <w:r w:rsidR="00750137" w:rsidRPr="003044EB">
        <w:rPr>
          <w:color w:val="auto"/>
        </w:rPr>
        <w:t>is comprehensive</w:t>
      </w:r>
      <w:r w:rsidR="00300B34" w:rsidRPr="003044EB">
        <w:rPr>
          <w:color w:val="auto"/>
        </w:rPr>
        <w:t xml:space="preserve"> survey </w:t>
      </w:r>
      <w:r w:rsidRPr="003044EB">
        <w:rPr>
          <w:color w:val="auto"/>
        </w:rPr>
        <w:t xml:space="preserve">template during their collection of CTE </w:t>
      </w:r>
      <w:r w:rsidR="004E0083" w:rsidRPr="003044EB">
        <w:rPr>
          <w:color w:val="auto"/>
        </w:rPr>
        <w:t>C</w:t>
      </w:r>
      <w:r w:rsidRPr="003044EB">
        <w:rPr>
          <w:color w:val="auto"/>
        </w:rPr>
        <w:t xml:space="preserve">ompleter </w:t>
      </w:r>
      <w:r w:rsidR="0073740A" w:rsidRPr="003044EB">
        <w:rPr>
          <w:color w:val="auto"/>
        </w:rPr>
        <w:t>and grant program</w:t>
      </w:r>
      <w:r w:rsidR="00630509" w:rsidRPr="003044EB">
        <w:rPr>
          <w:color w:val="auto"/>
        </w:rPr>
        <w:t xml:space="preserve"> information</w:t>
      </w:r>
      <w:r w:rsidR="0073740A" w:rsidRPr="003044EB">
        <w:rPr>
          <w:color w:val="auto"/>
        </w:rPr>
        <w:t xml:space="preserve"> </w:t>
      </w:r>
      <w:r w:rsidR="003E7375" w:rsidRPr="003044EB">
        <w:rPr>
          <w:color w:val="auto"/>
        </w:rPr>
        <w:t>in 202</w:t>
      </w:r>
      <w:r w:rsidR="00837670" w:rsidRPr="003044EB">
        <w:rPr>
          <w:color w:val="auto"/>
        </w:rPr>
        <w:t>3</w:t>
      </w:r>
      <w:r w:rsidRPr="003044EB">
        <w:rPr>
          <w:color w:val="auto"/>
        </w:rPr>
        <w:t>.</w:t>
      </w:r>
    </w:p>
    <w:p w14:paraId="4F5EF9CB" w14:textId="714FD305" w:rsidR="00112257" w:rsidRPr="003044EB" w:rsidRDefault="00831037" w:rsidP="00237437">
      <w:pPr>
        <w:pStyle w:val="Default"/>
        <w:spacing w:after="240"/>
      </w:pPr>
      <w:r w:rsidRPr="003044EB">
        <w:t xml:space="preserve">Once </w:t>
      </w:r>
      <w:proofErr w:type="gramStart"/>
      <w:r w:rsidRPr="003044EB">
        <w:t>all of</w:t>
      </w:r>
      <w:proofErr w:type="gramEnd"/>
      <w:r w:rsidRPr="003044EB">
        <w:t xml:space="preserve"> the data ha</w:t>
      </w:r>
      <w:r w:rsidR="00300B34" w:rsidRPr="003044EB">
        <w:t>d</w:t>
      </w:r>
      <w:r w:rsidRPr="003044EB">
        <w:t xml:space="preserve"> been compiled, the LEA w</w:t>
      </w:r>
      <w:r w:rsidR="00300B34" w:rsidRPr="003044EB">
        <w:t>as required to</w:t>
      </w:r>
      <w:r w:rsidRPr="003044EB">
        <w:t xml:space="preserve"> submit the student-level data into their Student Information </w:t>
      </w:r>
      <w:r w:rsidR="008947DC" w:rsidRPr="003044EB">
        <w:t>System and</w:t>
      </w:r>
      <w:r w:rsidRPr="003044EB">
        <w:t xml:space="preserve"> then export the data into the</w:t>
      </w:r>
      <w:r w:rsidR="00501CE8" w:rsidRPr="003044EB">
        <w:t xml:space="preserve"> </w:t>
      </w:r>
      <w:r w:rsidRPr="003044EB">
        <w:t>CALPADS</w:t>
      </w:r>
      <w:r w:rsidR="00501CE8" w:rsidRPr="003044EB">
        <w:t xml:space="preserve"> </w:t>
      </w:r>
      <w:r w:rsidRPr="003044EB">
        <w:t>through the Postsecondary Status (PSTS) file</w:t>
      </w:r>
      <w:r w:rsidR="00237437" w:rsidRPr="003044EB">
        <w:t xml:space="preserve">. </w:t>
      </w:r>
      <w:r w:rsidR="00483192" w:rsidRPr="003044EB">
        <w:t xml:space="preserve">The </w:t>
      </w:r>
      <w:r w:rsidRPr="003044EB">
        <w:rPr>
          <w:rFonts w:eastAsiaTheme="minorEastAsia"/>
          <w:kern w:val="24"/>
        </w:rPr>
        <w:t xml:space="preserve">PSTS </w:t>
      </w:r>
      <w:r w:rsidR="00483192" w:rsidRPr="003044EB">
        <w:rPr>
          <w:rFonts w:eastAsiaTheme="minorEastAsia"/>
          <w:kern w:val="24"/>
        </w:rPr>
        <w:t xml:space="preserve">file collects all </w:t>
      </w:r>
      <w:r w:rsidR="00A26B0A" w:rsidRPr="003044EB">
        <w:rPr>
          <w:rFonts w:eastAsiaTheme="minorEastAsia"/>
          <w:kern w:val="24"/>
        </w:rPr>
        <w:t xml:space="preserve">the </w:t>
      </w:r>
      <w:r w:rsidR="003E7375" w:rsidRPr="003044EB">
        <w:rPr>
          <w:rFonts w:eastAsiaTheme="minorEastAsia"/>
          <w:kern w:val="24"/>
        </w:rPr>
        <w:t>dat</w:t>
      </w:r>
      <w:r w:rsidR="000A57E4" w:rsidRPr="003044EB">
        <w:rPr>
          <w:rFonts w:eastAsiaTheme="minorEastAsia"/>
          <w:kern w:val="24"/>
        </w:rPr>
        <w:t>a</w:t>
      </w:r>
      <w:r w:rsidR="003E7375" w:rsidRPr="003044EB">
        <w:rPr>
          <w:rFonts w:eastAsiaTheme="minorEastAsia"/>
          <w:kern w:val="24"/>
        </w:rPr>
        <w:t xml:space="preserve"> metrics</w:t>
      </w:r>
      <w:r w:rsidR="00A26B0A" w:rsidRPr="003044EB">
        <w:rPr>
          <w:rFonts w:eastAsiaTheme="minorEastAsia"/>
          <w:kern w:val="24"/>
        </w:rPr>
        <w:t xml:space="preserve"> required for all three programs (CTEIG, K–12</w:t>
      </w:r>
      <w:r w:rsidR="007751A1" w:rsidRPr="003044EB">
        <w:rPr>
          <w:rFonts w:eastAsiaTheme="minorEastAsia"/>
          <w:kern w:val="24"/>
        </w:rPr>
        <w:t xml:space="preserve"> SWP</w:t>
      </w:r>
      <w:r w:rsidR="00A26B0A" w:rsidRPr="003044EB">
        <w:rPr>
          <w:rFonts w:eastAsiaTheme="minorEastAsia"/>
          <w:kern w:val="24"/>
        </w:rPr>
        <w:t>, and Perkins</w:t>
      </w:r>
      <w:r w:rsidR="00990E8C" w:rsidRPr="003044EB">
        <w:rPr>
          <w:rFonts w:eastAsiaTheme="minorEastAsia"/>
          <w:kern w:val="24"/>
        </w:rPr>
        <w:t xml:space="preserve"> V</w:t>
      </w:r>
      <w:r w:rsidR="00A26B0A" w:rsidRPr="003044EB">
        <w:rPr>
          <w:rFonts w:eastAsiaTheme="minorEastAsia"/>
          <w:kern w:val="24"/>
        </w:rPr>
        <w:t>)</w:t>
      </w:r>
      <w:r w:rsidR="00483192" w:rsidRPr="003044EB">
        <w:rPr>
          <w:rFonts w:eastAsiaTheme="minorEastAsia"/>
          <w:kern w:val="24"/>
        </w:rPr>
        <w:t xml:space="preserve"> and </w:t>
      </w:r>
      <w:r w:rsidR="000D15EE" w:rsidRPr="003044EB">
        <w:rPr>
          <w:rFonts w:eastAsiaTheme="minorEastAsia"/>
          <w:kern w:val="24"/>
        </w:rPr>
        <w:t xml:space="preserve">was </w:t>
      </w:r>
      <w:r w:rsidR="00483192" w:rsidRPr="003044EB">
        <w:rPr>
          <w:rFonts w:eastAsiaTheme="minorEastAsia"/>
          <w:kern w:val="24"/>
        </w:rPr>
        <w:t>used during</w:t>
      </w:r>
      <w:r w:rsidR="00A26B0A" w:rsidRPr="003044EB">
        <w:rPr>
          <w:rFonts w:eastAsiaTheme="minorEastAsia"/>
          <w:kern w:val="24"/>
        </w:rPr>
        <w:t xml:space="preserve"> </w:t>
      </w:r>
      <w:r w:rsidRPr="003044EB">
        <w:rPr>
          <w:rFonts w:eastAsiaTheme="minorEastAsia"/>
          <w:kern w:val="24"/>
        </w:rPr>
        <w:t xml:space="preserve">the </w:t>
      </w:r>
      <w:r w:rsidR="00EC59C1" w:rsidRPr="003044EB">
        <w:rPr>
          <w:rFonts w:eastAsiaTheme="minorEastAsia"/>
          <w:kern w:val="24"/>
        </w:rPr>
        <w:t>20</w:t>
      </w:r>
      <w:r w:rsidRPr="003044EB">
        <w:rPr>
          <w:rFonts w:eastAsiaTheme="minorEastAsia"/>
          <w:kern w:val="24"/>
        </w:rPr>
        <w:t>2</w:t>
      </w:r>
      <w:r w:rsidR="00837670" w:rsidRPr="003044EB">
        <w:rPr>
          <w:rFonts w:eastAsiaTheme="minorEastAsia"/>
          <w:kern w:val="24"/>
        </w:rPr>
        <w:t>3</w:t>
      </w:r>
      <w:r w:rsidRPr="003044EB">
        <w:rPr>
          <w:rFonts w:eastAsiaTheme="minorEastAsia"/>
          <w:kern w:val="24"/>
        </w:rPr>
        <w:t xml:space="preserve"> </w:t>
      </w:r>
      <w:r w:rsidR="00400A1A" w:rsidRPr="003044EB">
        <w:rPr>
          <w:rFonts w:eastAsiaTheme="minorEastAsia"/>
          <w:kern w:val="24"/>
        </w:rPr>
        <w:t>(20</w:t>
      </w:r>
      <w:r w:rsidR="0017409F" w:rsidRPr="003044EB">
        <w:rPr>
          <w:rFonts w:eastAsiaTheme="minorEastAsia"/>
          <w:kern w:val="24"/>
        </w:rPr>
        <w:t>2</w:t>
      </w:r>
      <w:r w:rsidR="00837670" w:rsidRPr="003044EB">
        <w:rPr>
          <w:rFonts w:eastAsiaTheme="minorEastAsia"/>
          <w:kern w:val="24"/>
        </w:rPr>
        <w:t>1</w:t>
      </w:r>
      <w:r w:rsidR="00157CD0" w:rsidRPr="003044EB">
        <w:rPr>
          <w:i/>
        </w:rPr>
        <w:t>–</w:t>
      </w:r>
      <w:r w:rsidR="00400A1A" w:rsidRPr="003044EB">
        <w:rPr>
          <w:rFonts w:eastAsiaTheme="minorEastAsia"/>
          <w:kern w:val="24"/>
        </w:rPr>
        <w:t>2</w:t>
      </w:r>
      <w:r w:rsidR="00837670" w:rsidRPr="003044EB">
        <w:rPr>
          <w:rFonts w:eastAsiaTheme="minorEastAsia"/>
          <w:kern w:val="24"/>
        </w:rPr>
        <w:t>2</w:t>
      </w:r>
      <w:r w:rsidR="00400A1A" w:rsidRPr="003044EB">
        <w:rPr>
          <w:rFonts w:eastAsiaTheme="minorEastAsia"/>
          <w:kern w:val="24"/>
        </w:rPr>
        <w:t xml:space="preserve"> academic year) </w:t>
      </w:r>
      <w:r w:rsidRPr="003044EB">
        <w:rPr>
          <w:rFonts w:eastAsiaTheme="minorEastAsia"/>
          <w:kern w:val="24"/>
        </w:rPr>
        <w:t>data collection period.</w:t>
      </w:r>
    </w:p>
    <w:p w14:paraId="09A1D03E" w14:textId="483338D2" w:rsidR="00400A1A" w:rsidRPr="003044EB" w:rsidRDefault="00B03E28" w:rsidP="00E61859">
      <w:pPr>
        <w:pStyle w:val="Heading3"/>
        <w:spacing w:before="480"/>
        <w:jc w:val="left"/>
        <w:rPr>
          <w:sz w:val="28"/>
          <w:szCs w:val="28"/>
        </w:rPr>
      </w:pPr>
      <w:r w:rsidRPr="003044EB">
        <w:rPr>
          <w:sz w:val="28"/>
          <w:szCs w:val="28"/>
        </w:rPr>
        <w:t xml:space="preserve">Data </w:t>
      </w:r>
      <w:r w:rsidR="007D00E4" w:rsidRPr="003044EB">
        <w:rPr>
          <w:sz w:val="28"/>
          <w:szCs w:val="28"/>
        </w:rPr>
        <w:t>Definitions</w:t>
      </w:r>
      <w:r w:rsidR="00C12D64" w:rsidRPr="003044EB">
        <w:rPr>
          <w:sz w:val="28"/>
          <w:szCs w:val="28"/>
        </w:rPr>
        <w:t xml:space="preserve"> for 20</w:t>
      </w:r>
      <w:r w:rsidR="005935EB" w:rsidRPr="003044EB">
        <w:rPr>
          <w:sz w:val="28"/>
          <w:szCs w:val="28"/>
        </w:rPr>
        <w:t>2</w:t>
      </w:r>
      <w:r w:rsidR="009A7223">
        <w:rPr>
          <w:sz w:val="28"/>
          <w:szCs w:val="28"/>
        </w:rPr>
        <w:t>3</w:t>
      </w:r>
      <w:r w:rsidR="00C12D64" w:rsidRPr="003044EB">
        <w:rPr>
          <w:sz w:val="28"/>
          <w:szCs w:val="28"/>
        </w:rPr>
        <w:t>–</w:t>
      </w:r>
      <w:r w:rsidR="00483192" w:rsidRPr="003044EB">
        <w:rPr>
          <w:sz w:val="28"/>
          <w:szCs w:val="28"/>
        </w:rPr>
        <w:t>2</w:t>
      </w:r>
      <w:r w:rsidR="009A7223">
        <w:rPr>
          <w:sz w:val="28"/>
          <w:szCs w:val="28"/>
        </w:rPr>
        <w:t>4</w:t>
      </w:r>
      <w:r w:rsidR="00C12D64" w:rsidRPr="003044EB">
        <w:rPr>
          <w:sz w:val="28"/>
          <w:szCs w:val="28"/>
        </w:rPr>
        <w:t xml:space="preserve"> Academic Year</w:t>
      </w:r>
    </w:p>
    <w:p w14:paraId="1FBE98CB" w14:textId="77777777" w:rsidR="00400A1A" w:rsidRPr="003044EB" w:rsidRDefault="00400A1A" w:rsidP="00184765">
      <w:pPr>
        <w:tabs>
          <w:tab w:val="right" w:pos="9360"/>
        </w:tabs>
        <w:autoSpaceDE w:val="0"/>
        <w:autoSpaceDN w:val="0"/>
        <w:adjustRightInd w:val="0"/>
        <w:spacing w:after="240"/>
        <w:rPr>
          <w:rFonts w:ascii="Arial" w:hAnsi="Arial" w:cs="Arial"/>
        </w:rPr>
      </w:pPr>
      <w:r w:rsidRPr="003044EB">
        <w:rPr>
          <w:rFonts w:ascii="Arial" w:hAnsi="Arial" w:cs="Arial"/>
        </w:rPr>
        <w:t>Metric 1: The high school graduation rate.</w:t>
      </w:r>
    </w:p>
    <w:p w14:paraId="6DF8550C" w14:textId="62B0B87E" w:rsidR="00400A1A" w:rsidRPr="003044EB" w:rsidRDefault="00400A1A" w:rsidP="00184765">
      <w:pPr>
        <w:tabs>
          <w:tab w:val="right" w:pos="9360"/>
        </w:tabs>
        <w:autoSpaceDE w:val="0"/>
        <w:autoSpaceDN w:val="0"/>
        <w:adjustRightInd w:val="0"/>
        <w:spacing w:after="240"/>
        <w:rPr>
          <w:rFonts w:ascii="Arial" w:hAnsi="Arial" w:cs="Arial"/>
        </w:rPr>
      </w:pPr>
      <w:r w:rsidRPr="003044EB">
        <w:rPr>
          <w:rFonts w:ascii="Arial" w:hAnsi="Arial" w:cs="Arial"/>
        </w:rPr>
        <w:t>Defined as any member of the 20</w:t>
      </w:r>
      <w:r w:rsidR="00CE6222" w:rsidRPr="003044EB">
        <w:rPr>
          <w:rFonts w:ascii="Arial" w:hAnsi="Arial" w:cs="Arial"/>
        </w:rPr>
        <w:t>2</w:t>
      </w:r>
      <w:r w:rsidR="009A7223">
        <w:rPr>
          <w:rFonts w:ascii="Arial" w:hAnsi="Arial" w:cs="Arial"/>
        </w:rPr>
        <w:t>3</w:t>
      </w:r>
      <w:r w:rsidRPr="003044EB">
        <w:rPr>
          <w:rFonts w:ascii="Arial" w:hAnsi="Arial" w:cs="Arial"/>
        </w:rPr>
        <w:t>–</w:t>
      </w:r>
      <w:r w:rsidR="00483192" w:rsidRPr="003044EB">
        <w:rPr>
          <w:rFonts w:ascii="Arial" w:hAnsi="Arial" w:cs="Arial"/>
        </w:rPr>
        <w:t>2</w:t>
      </w:r>
      <w:r w:rsidR="009A7223">
        <w:rPr>
          <w:rFonts w:ascii="Arial" w:hAnsi="Arial" w:cs="Arial"/>
        </w:rPr>
        <w:t>4</w:t>
      </w:r>
      <w:r w:rsidRPr="003044EB">
        <w:rPr>
          <w:rFonts w:ascii="Arial" w:hAnsi="Arial" w:cs="Arial"/>
        </w:rPr>
        <w:t xml:space="preserve"> adjust</w:t>
      </w:r>
      <w:r w:rsidR="00E946C9" w:rsidRPr="003044EB">
        <w:rPr>
          <w:rFonts w:ascii="Arial" w:hAnsi="Arial" w:cs="Arial"/>
        </w:rPr>
        <w:t>ed</w:t>
      </w:r>
      <w:r w:rsidRPr="003044EB">
        <w:rPr>
          <w:rFonts w:ascii="Arial" w:hAnsi="Arial" w:cs="Arial"/>
        </w:rPr>
        <w:t xml:space="preserve"> graduation cohort who exited grade </w:t>
      </w:r>
      <w:r w:rsidR="000A57E4" w:rsidRPr="003044EB">
        <w:rPr>
          <w:rFonts w:ascii="Arial" w:hAnsi="Arial" w:cs="Arial"/>
        </w:rPr>
        <w:t xml:space="preserve">twelve </w:t>
      </w:r>
      <w:r w:rsidRPr="003044EB">
        <w:rPr>
          <w:rFonts w:ascii="Arial" w:hAnsi="Arial" w:cs="Arial"/>
        </w:rPr>
        <w:t xml:space="preserve">and </w:t>
      </w:r>
      <w:r w:rsidR="008E5A56" w:rsidRPr="003044EB">
        <w:rPr>
          <w:rFonts w:ascii="Arial" w:hAnsi="Arial" w:cs="Arial"/>
        </w:rPr>
        <w:t xml:space="preserve">completed 300 hours; including the capstone with a grade of </w:t>
      </w:r>
      <w:r w:rsidR="001928F6" w:rsidRPr="003044EB">
        <w:rPr>
          <w:rFonts w:ascii="Arial" w:hAnsi="Arial" w:cs="Arial"/>
        </w:rPr>
        <w:t>“</w:t>
      </w:r>
      <w:r w:rsidR="008E5A56" w:rsidRPr="003044EB">
        <w:rPr>
          <w:rFonts w:ascii="Arial" w:hAnsi="Arial" w:cs="Arial"/>
        </w:rPr>
        <w:t>C</w:t>
      </w:r>
      <w:proofErr w:type="gramStart"/>
      <w:r w:rsidR="002C4BAE" w:rsidRPr="003044EB">
        <w:rPr>
          <w:rFonts w:ascii="Arial" w:hAnsi="Arial" w:cs="Arial"/>
        </w:rPr>
        <w:t>-“ or</w:t>
      </w:r>
      <w:proofErr w:type="gramEnd"/>
      <w:r w:rsidR="008E5A56" w:rsidRPr="003044EB">
        <w:rPr>
          <w:rFonts w:ascii="Arial" w:hAnsi="Arial" w:cs="Arial"/>
        </w:rPr>
        <w:t xml:space="preserve"> better</w:t>
      </w:r>
      <w:r w:rsidR="00AD53F7" w:rsidRPr="003044EB">
        <w:rPr>
          <w:rFonts w:ascii="Arial" w:hAnsi="Arial" w:cs="Arial"/>
        </w:rPr>
        <w:t>, and a</w:t>
      </w:r>
      <w:r w:rsidR="00732E6C" w:rsidRPr="003044EB">
        <w:rPr>
          <w:rFonts w:ascii="Arial" w:hAnsi="Arial" w:cs="Arial"/>
        </w:rPr>
        <w:t xml:space="preserve"> </w:t>
      </w:r>
      <w:r w:rsidR="00AD53F7" w:rsidRPr="003044EB">
        <w:rPr>
          <w:rFonts w:ascii="Arial" w:hAnsi="Arial" w:cs="Arial"/>
        </w:rPr>
        <w:t>s</w:t>
      </w:r>
      <w:r w:rsidR="006260BE" w:rsidRPr="003044EB">
        <w:rPr>
          <w:rFonts w:ascii="Arial" w:hAnsi="Arial" w:cs="Arial"/>
        </w:rPr>
        <w:t>ubset of Metric 2.</w:t>
      </w:r>
    </w:p>
    <w:p w14:paraId="6AE39B21" w14:textId="77777777" w:rsidR="00400A1A" w:rsidRPr="003044EB" w:rsidRDefault="00400A1A" w:rsidP="00184765">
      <w:pPr>
        <w:tabs>
          <w:tab w:val="right" w:pos="9360"/>
        </w:tabs>
        <w:autoSpaceDE w:val="0"/>
        <w:autoSpaceDN w:val="0"/>
        <w:adjustRightInd w:val="0"/>
        <w:spacing w:after="240"/>
        <w:rPr>
          <w:rFonts w:ascii="Arial" w:hAnsi="Arial" w:cs="Arial"/>
        </w:rPr>
      </w:pPr>
      <w:r w:rsidRPr="003044EB">
        <w:rPr>
          <w:rFonts w:ascii="Arial" w:hAnsi="Arial" w:cs="Arial"/>
        </w:rPr>
        <w:t xml:space="preserve">Metric 2: The number of pupils completing </w:t>
      </w:r>
      <w:r w:rsidR="00815003" w:rsidRPr="003044EB">
        <w:rPr>
          <w:rFonts w:ascii="Arial" w:hAnsi="Arial" w:cs="Arial"/>
        </w:rPr>
        <w:t>CTE</w:t>
      </w:r>
      <w:r w:rsidRPr="003044EB">
        <w:rPr>
          <w:rFonts w:ascii="Arial" w:hAnsi="Arial" w:cs="Arial"/>
        </w:rPr>
        <w:t xml:space="preserve"> coursework.</w:t>
      </w:r>
    </w:p>
    <w:p w14:paraId="38C31EE0" w14:textId="77777777" w:rsidR="00400A1A" w:rsidRPr="003044EB" w:rsidRDefault="00525ECF" w:rsidP="00473BC6">
      <w:pPr>
        <w:tabs>
          <w:tab w:val="right" w:pos="9360"/>
        </w:tabs>
        <w:autoSpaceDE w:val="0"/>
        <w:autoSpaceDN w:val="0"/>
        <w:adjustRightInd w:val="0"/>
        <w:spacing w:after="240"/>
        <w:rPr>
          <w:rFonts w:ascii="Arial" w:hAnsi="Arial" w:cs="Arial"/>
        </w:rPr>
      </w:pPr>
      <w:r w:rsidRPr="003044EB">
        <w:rPr>
          <w:rFonts w:ascii="Arial" w:hAnsi="Arial" w:cs="Arial"/>
        </w:rPr>
        <w:t>Defined as a</w:t>
      </w:r>
      <w:r w:rsidR="006260BE" w:rsidRPr="003044EB">
        <w:rPr>
          <w:rFonts w:ascii="Arial" w:hAnsi="Arial" w:cs="Arial"/>
        </w:rPr>
        <w:t>ny student in the graduation cohort who completed at least one CTE course</w:t>
      </w:r>
      <w:r w:rsidR="00400A1A" w:rsidRPr="003044EB">
        <w:rPr>
          <w:rFonts w:ascii="Arial" w:hAnsi="Arial" w:cs="Arial"/>
        </w:rPr>
        <w:t>.</w:t>
      </w:r>
    </w:p>
    <w:p w14:paraId="308441C8" w14:textId="77777777" w:rsidR="00400A1A" w:rsidRPr="003044EB" w:rsidRDefault="00400A1A" w:rsidP="00D8473C">
      <w:pPr>
        <w:tabs>
          <w:tab w:val="right" w:pos="9360"/>
        </w:tabs>
        <w:autoSpaceDE w:val="0"/>
        <w:autoSpaceDN w:val="0"/>
        <w:adjustRightInd w:val="0"/>
        <w:spacing w:after="240"/>
        <w:rPr>
          <w:rFonts w:ascii="Arial" w:hAnsi="Arial" w:cs="Arial"/>
        </w:rPr>
      </w:pPr>
      <w:r w:rsidRPr="003044EB">
        <w:rPr>
          <w:rFonts w:ascii="Arial" w:hAnsi="Arial" w:cs="Arial"/>
        </w:rPr>
        <w:t>Metric 3: The number of pupils meeting academic and career-readiness standards as defined in the College/Career Indicator associated with the California School Dashboard. (CTEIG only)</w:t>
      </w:r>
    </w:p>
    <w:p w14:paraId="5CDC574B" w14:textId="77777777" w:rsidR="00400A1A" w:rsidRPr="003044EB" w:rsidRDefault="00525ECF" w:rsidP="00D8473C">
      <w:pPr>
        <w:tabs>
          <w:tab w:val="right" w:pos="9360"/>
        </w:tabs>
        <w:autoSpaceDE w:val="0"/>
        <w:autoSpaceDN w:val="0"/>
        <w:adjustRightInd w:val="0"/>
        <w:spacing w:after="240"/>
        <w:rPr>
          <w:rFonts w:ascii="Arial" w:hAnsi="Arial" w:cs="Arial"/>
        </w:rPr>
      </w:pPr>
      <w:r w:rsidRPr="003044EB">
        <w:rPr>
          <w:rFonts w:ascii="Arial" w:hAnsi="Arial" w:cs="Arial"/>
        </w:rPr>
        <w:t xml:space="preserve">Defined as CTE </w:t>
      </w:r>
      <w:r w:rsidR="000A57E4" w:rsidRPr="003044EB">
        <w:rPr>
          <w:rFonts w:ascii="Arial" w:hAnsi="Arial" w:cs="Arial"/>
        </w:rPr>
        <w:t>C</w:t>
      </w:r>
      <w:r w:rsidRPr="003044EB">
        <w:rPr>
          <w:rFonts w:ascii="Arial" w:hAnsi="Arial" w:cs="Arial"/>
        </w:rPr>
        <w:t xml:space="preserve">oncentrators who achieved reading/language arts and mathematics proficiency </w:t>
      </w:r>
      <w:r w:rsidR="00186BD7" w:rsidRPr="003044EB">
        <w:rPr>
          <w:rFonts w:ascii="Arial" w:hAnsi="Arial" w:cs="Arial"/>
        </w:rPr>
        <w:t xml:space="preserve">after taking the </w:t>
      </w:r>
      <w:r w:rsidR="00186BD7" w:rsidRPr="003044EB">
        <w:rPr>
          <w:rFonts w:ascii="Arial" w:hAnsi="Arial" w:cs="Arial"/>
          <w:bCs/>
        </w:rPr>
        <w:t>Elementary and Secondary Education Act of 1965 assessments.</w:t>
      </w:r>
    </w:p>
    <w:p w14:paraId="0C0DB696" w14:textId="77777777" w:rsidR="007E13FD" w:rsidRPr="003044EB" w:rsidRDefault="00400A1A" w:rsidP="00D8473C">
      <w:pPr>
        <w:tabs>
          <w:tab w:val="right" w:pos="9360"/>
        </w:tabs>
        <w:autoSpaceDE w:val="0"/>
        <w:autoSpaceDN w:val="0"/>
        <w:adjustRightInd w:val="0"/>
        <w:spacing w:after="240"/>
        <w:rPr>
          <w:rFonts w:ascii="Arial" w:hAnsi="Arial" w:cs="Arial"/>
        </w:rPr>
      </w:pPr>
      <w:r w:rsidRPr="003044EB">
        <w:rPr>
          <w:rFonts w:ascii="Arial" w:hAnsi="Arial" w:cs="Arial"/>
        </w:rPr>
        <w:lastRenderedPageBreak/>
        <w:t>Metric 4: The number of pupils obtaining an industry-recognized credential, certificate, license, or other measure of technical skill attainment.</w:t>
      </w:r>
    </w:p>
    <w:p w14:paraId="05223FE9" w14:textId="77777777" w:rsidR="007E13FD" w:rsidRPr="003044EB" w:rsidRDefault="007E13FD" w:rsidP="00D8473C">
      <w:pPr>
        <w:tabs>
          <w:tab w:val="right" w:pos="9360"/>
        </w:tabs>
        <w:autoSpaceDE w:val="0"/>
        <w:autoSpaceDN w:val="0"/>
        <w:adjustRightInd w:val="0"/>
        <w:spacing w:after="240"/>
        <w:rPr>
          <w:rFonts w:ascii="Arial" w:hAnsi="Arial" w:cs="Arial"/>
        </w:rPr>
      </w:pPr>
      <w:r w:rsidRPr="003044EB">
        <w:rPr>
          <w:rFonts w:ascii="Arial" w:hAnsi="Arial" w:cs="Arial"/>
        </w:rPr>
        <w:t xml:space="preserve">Defined as a subset of Metric </w:t>
      </w:r>
      <w:r w:rsidR="006260BE" w:rsidRPr="003044EB">
        <w:rPr>
          <w:rFonts w:ascii="Arial" w:hAnsi="Arial" w:cs="Arial"/>
        </w:rPr>
        <w:t>2</w:t>
      </w:r>
      <w:r w:rsidRPr="003044EB">
        <w:rPr>
          <w:rFonts w:ascii="Arial" w:hAnsi="Arial" w:cs="Arial"/>
        </w:rPr>
        <w:t>.</w:t>
      </w:r>
    </w:p>
    <w:p w14:paraId="0DFA6F97" w14:textId="77777777" w:rsidR="007E13FD" w:rsidRPr="003044EB" w:rsidRDefault="00400A1A" w:rsidP="00D8473C">
      <w:pPr>
        <w:tabs>
          <w:tab w:val="right" w:pos="9360"/>
        </w:tabs>
        <w:autoSpaceDE w:val="0"/>
        <w:autoSpaceDN w:val="0"/>
        <w:adjustRightInd w:val="0"/>
        <w:spacing w:after="240"/>
        <w:rPr>
          <w:rFonts w:ascii="Arial" w:hAnsi="Arial" w:cs="Arial"/>
        </w:rPr>
      </w:pPr>
      <w:r w:rsidRPr="003044EB">
        <w:rPr>
          <w:rFonts w:ascii="Arial" w:hAnsi="Arial" w:cs="Arial"/>
        </w:rPr>
        <w:t>Metric 5: The number of former pupils employed and the types of businesses in which they are employed.</w:t>
      </w:r>
    </w:p>
    <w:p w14:paraId="5B97B232" w14:textId="77777777" w:rsidR="00400A1A" w:rsidRPr="003044EB" w:rsidRDefault="007E13FD" w:rsidP="00D8473C">
      <w:pPr>
        <w:tabs>
          <w:tab w:val="right" w:pos="9360"/>
        </w:tabs>
        <w:autoSpaceDE w:val="0"/>
        <w:autoSpaceDN w:val="0"/>
        <w:adjustRightInd w:val="0"/>
        <w:spacing w:after="240"/>
        <w:rPr>
          <w:rFonts w:ascii="Arial" w:hAnsi="Arial" w:cs="Arial"/>
        </w:rPr>
      </w:pPr>
      <w:r w:rsidRPr="003044EB">
        <w:rPr>
          <w:rFonts w:ascii="Arial" w:hAnsi="Arial" w:cs="Arial"/>
        </w:rPr>
        <w:t xml:space="preserve">Defined as a subset of Metric </w:t>
      </w:r>
      <w:r w:rsidR="006260BE" w:rsidRPr="003044EB">
        <w:rPr>
          <w:rFonts w:ascii="Arial" w:hAnsi="Arial" w:cs="Arial"/>
        </w:rPr>
        <w:t>2</w:t>
      </w:r>
      <w:r w:rsidRPr="003044EB">
        <w:rPr>
          <w:rFonts w:ascii="Arial" w:hAnsi="Arial" w:cs="Arial"/>
        </w:rPr>
        <w:t>.</w:t>
      </w:r>
    </w:p>
    <w:p w14:paraId="659C06CC" w14:textId="77777777" w:rsidR="00400A1A" w:rsidRPr="003044EB" w:rsidRDefault="00400A1A" w:rsidP="00D8473C">
      <w:pPr>
        <w:tabs>
          <w:tab w:val="right" w:pos="9360"/>
        </w:tabs>
        <w:autoSpaceDE w:val="0"/>
        <w:autoSpaceDN w:val="0"/>
        <w:adjustRightInd w:val="0"/>
        <w:spacing w:after="240"/>
        <w:rPr>
          <w:rFonts w:ascii="Arial" w:hAnsi="Arial" w:cs="Arial"/>
        </w:rPr>
      </w:pPr>
      <w:r w:rsidRPr="003044EB">
        <w:rPr>
          <w:rFonts w:ascii="Arial" w:hAnsi="Arial" w:cs="Arial"/>
        </w:rPr>
        <w:t>Metric 6: The number of former pupils enrolled in each of the following:</w:t>
      </w:r>
    </w:p>
    <w:p w14:paraId="2DBDA9C2" w14:textId="77777777" w:rsidR="00400A1A" w:rsidRPr="003044EB" w:rsidRDefault="00400A1A" w:rsidP="00400331">
      <w:pPr>
        <w:tabs>
          <w:tab w:val="left" w:pos="900"/>
          <w:tab w:val="left" w:pos="1260"/>
          <w:tab w:val="right" w:pos="9360"/>
        </w:tabs>
        <w:autoSpaceDE w:val="0"/>
        <w:autoSpaceDN w:val="0"/>
        <w:adjustRightInd w:val="0"/>
        <w:ind w:firstLine="360"/>
        <w:rPr>
          <w:rFonts w:ascii="Arial" w:hAnsi="Arial" w:cs="Arial"/>
        </w:rPr>
      </w:pPr>
      <w:r w:rsidRPr="003044EB">
        <w:rPr>
          <w:rFonts w:ascii="Arial" w:hAnsi="Arial" w:cs="Arial"/>
        </w:rPr>
        <w:t>(I)</w:t>
      </w:r>
      <w:r w:rsidR="00E136F6" w:rsidRPr="003044EB">
        <w:rPr>
          <w:rFonts w:ascii="Arial" w:hAnsi="Arial" w:cs="Arial"/>
        </w:rPr>
        <w:tab/>
      </w:r>
      <w:r w:rsidRPr="003044EB">
        <w:rPr>
          <w:rFonts w:ascii="Arial" w:hAnsi="Arial" w:cs="Arial"/>
        </w:rPr>
        <w:t>A postsecondary educational institution.</w:t>
      </w:r>
    </w:p>
    <w:p w14:paraId="602655A9" w14:textId="77777777" w:rsidR="00400A1A" w:rsidRPr="003044EB" w:rsidRDefault="00400A1A" w:rsidP="00400331">
      <w:pPr>
        <w:tabs>
          <w:tab w:val="left" w:pos="900"/>
          <w:tab w:val="left" w:pos="1260"/>
          <w:tab w:val="right" w:pos="9360"/>
        </w:tabs>
        <w:autoSpaceDE w:val="0"/>
        <w:autoSpaceDN w:val="0"/>
        <w:adjustRightInd w:val="0"/>
        <w:ind w:firstLine="360"/>
        <w:rPr>
          <w:rFonts w:ascii="Arial" w:hAnsi="Arial" w:cs="Arial"/>
        </w:rPr>
      </w:pPr>
      <w:r w:rsidRPr="003044EB">
        <w:rPr>
          <w:rFonts w:ascii="Arial" w:hAnsi="Arial" w:cs="Arial"/>
        </w:rPr>
        <w:t>(II)</w:t>
      </w:r>
      <w:r w:rsidR="00E136F6" w:rsidRPr="003044EB">
        <w:rPr>
          <w:rFonts w:ascii="Arial" w:hAnsi="Arial" w:cs="Arial"/>
        </w:rPr>
        <w:tab/>
      </w:r>
      <w:r w:rsidRPr="003044EB">
        <w:rPr>
          <w:rFonts w:ascii="Arial" w:hAnsi="Arial" w:cs="Arial"/>
        </w:rPr>
        <w:t>A state apprenticeship program.</w:t>
      </w:r>
    </w:p>
    <w:p w14:paraId="39B11A99" w14:textId="77777777" w:rsidR="00A53EC2" w:rsidRPr="003044EB" w:rsidRDefault="00400A1A" w:rsidP="00400331">
      <w:pPr>
        <w:tabs>
          <w:tab w:val="left" w:pos="900"/>
          <w:tab w:val="left" w:pos="1260"/>
        </w:tabs>
        <w:spacing w:after="240"/>
        <w:ind w:firstLine="360"/>
        <w:rPr>
          <w:rFonts w:ascii="Arial" w:eastAsiaTheme="minorEastAsia" w:hAnsi="Arial" w:cs="Arial"/>
        </w:rPr>
      </w:pPr>
      <w:r w:rsidRPr="003044EB">
        <w:rPr>
          <w:rFonts w:ascii="Arial" w:hAnsi="Arial" w:cs="Arial"/>
        </w:rPr>
        <w:t>(III)</w:t>
      </w:r>
      <w:r w:rsidR="00E136F6" w:rsidRPr="003044EB">
        <w:rPr>
          <w:rFonts w:ascii="Arial" w:hAnsi="Arial" w:cs="Arial"/>
        </w:rPr>
        <w:tab/>
      </w:r>
      <w:r w:rsidRPr="003044EB">
        <w:rPr>
          <w:rFonts w:ascii="Arial" w:hAnsi="Arial" w:cs="Arial"/>
        </w:rPr>
        <w:t>A form of job training other than a state apprenticeship program.</w:t>
      </w:r>
    </w:p>
    <w:p w14:paraId="5A563021" w14:textId="77777777" w:rsidR="00301CE2" w:rsidRPr="003044EB" w:rsidRDefault="007E13FD" w:rsidP="0028140F">
      <w:pPr>
        <w:spacing w:after="240"/>
        <w:rPr>
          <w:rFonts w:ascii="Arial" w:eastAsiaTheme="minorEastAsia" w:hAnsi="Arial" w:cs="Arial"/>
        </w:rPr>
      </w:pPr>
      <w:r w:rsidRPr="003044EB">
        <w:rPr>
          <w:rFonts w:ascii="Arial" w:eastAsiaTheme="minorEastAsia" w:hAnsi="Arial" w:cs="Arial"/>
        </w:rPr>
        <w:t xml:space="preserve">Defined as a subset of Metric </w:t>
      </w:r>
      <w:r w:rsidR="006260BE" w:rsidRPr="003044EB">
        <w:rPr>
          <w:rFonts w:ascii="Arial" w:eastAsiaTheme="minorEastAsia" w:hAnsi="Arial" w:cs="Arial"/>
        </w:rPr>
        <w:t>2</w:t>
      </w:r>
      <w:r w:rsidRPr="003044EB">
        <w:rPr>
          <w:rFonts w:ascii="Arial" w:eastAsiaTheme="minorEastAsia" w:hAnsi="Arial" w:cs="Arial"/>
        </w:rPr>
        <w:t xml:space="preserve">. </w:t>
      </w:r>
      <w:r w:rsidR="006260BE" w:rsidRPr="003044EB">
        <w:rPr>
          <w:rFonts w:ascii="Arial" w:eastAsiaTheme="minorEastAsia" w:hAnsi="Arial" w:cs="Arial"/>
        </w:rPr>
        <w:t xml:space="preserve">Disaggregated by </w:t>
      </w:r>
      <w:r w:rsidR="008B0492" w:rsidRPr="003044EB">
        <w:rPr>
          <w:rFonts w:ascii="Arial" w:eastAsiaTheme="minorEastAsia" w:hAnsi="Arial" w:cs="Arial"/>
        </w:rPr>
        <w:t>public, private nonprofit, and private for-profit institutions</w:t>
      </w:r>
      <w:r w:rsidR="00147EAD" w:rsidRPr="003044EB">
        <w:rPr>
          <w:rFonts w:ascii="Arial" w:eastAsiaTheme="minorEastAsia" w:hAnsi="Arial" w:cs="Arial"/>
        </w:rPr>
        <w:t>.</w:t>
      </w:r>
      <w:r w:rsidR="008B0492" w:rsidRPr="003044EB">
        <w:rPr>
          <w:rFonts w:ascii="Arial" w:eastAsiaTheme="minorEastAsia" w:hAnsi="Arial" w:cs="Arial"/>
        </w:rPr>
        <w:t xml:space="preserve"> </w:t>
      </w:r>
      <w:r w:rsidR="00147EAD" w:rsidRPr="003044EB">
        <w:rPr>
          <w:rFonts w:ascii="Arial" w:eastAsiaTheme="minorEastAsia" w:hAnsi="Arial" w:cs="Arial"/>
        </w:rPr>
        <w:t>(</w:t>
      </w:r>
      <w:r w:rsidR="00704160" w:rsidRPr="003044EB">
        <w:rPr>
          <w:rFonts w:ascii="Arial" w:hAnsi="Arial" w:cs="Arial"/>
        </w:rPr>
        <w:t>K–12 SW</w:t>
      </w:r>
      <w:r w:rsidR="00691FBB" w:rsidRPr="003044EB">
        <w:rPr>
          <w:rFonts w:ascii="Arial" w:hAnsi="Arial" w:cs="Arial"/>
        </w:rPr>
        <w:t>P</w:t>
      </w:r>
      <w:r w:rsidR="00147EAD" w:rsidRPr="003044EB">
        <w:rPr>
          <w:rFonts w:ascii="Arial" w:eastAsiaTheme="minorEastAsia" w:hAnsi="Arial" w:cs="Arial"/>
        </w:rPr>
        <w:t>)</w:t>
      </w:r>
      <w:r w:rsidR="00D36175" w:rsidRPr="003044EB">
        <w:rPr>
          <w:rFonts w:ascii="Arial" w:eastAsiaTheme="minorEastAsia" w:hAnsi="Arial" w:cs="Arial"/>
        </w:rPr>
        <w:t>.</w:t>
      </w:r>
    </w:p>
    <w:p w14:paraId="378145F2" w14:textId="02705A4E" w:rsidR="00E44B40" w:rsidRPr="003044EB" w:rsidRDefault="0043461E" w:rsidP="00691FBB">
      <w:pPr>
        <w:pStyle w:val="Heading2"/>
        <w:spacing w:before="480"/>
        <w:jc w:val="left"/>
      </w:pPr>
      <w:bookmarkStart w:id="15" w:name="_Toc161226402"/>
      <w:r>
        <w:rPr>
          <w:sz w:val="28"/>
        </w:rPr>
        <w:t xml:space="preserve">CWPJAC </w:t>
      </w:r>
      <w:r w:rsidR="00CB7239" w:rsidRPr="003044EB">
        <w:rPr>
          <w:sz w:val="28"/>
        </w:rPr>
        <w:t>Recommendations</w:t>
      </w:r>
      <w:bookmarkEnd w:id="15"/>
    </w:p>
    <w:p w14:paraId="7565143A" w14:textId="77777777" w:rsidR="000C29CF" w:rsidRPr="003044EB" w:rsidRDefault="0074626A" w:rsidP="00473BC6">
      <w:pPr>
        <w:rPr>
          <w:rFonts w:ascii="Arial" w:eastAsiaTheme="majorEastAsia" w:hAnsi="Arial" w:cs="Arial"/>
        </w:rPr>
      </w:pPr>
      <w:r w:rsidRPr="003044EB">
        <w:rPr>
          <w:rFonts w:ascii="Arial" w:hAnsi="Arial" w:cs="Arial"/>
          <w:i/>
        </w:rPr>
        <w:t>EC</w:t>
      </w:r>
      <w:r w:rsidRPr="003044EB">
        <w:rPr>
          <w:rFonts w:ascii="Arial" w:hAnsi="Arial" w:cs="Arial"/>
        </w:rPr>
        <w:t xml:space="preserve"> </w:t>
      </w:r>
      <w:r w:rsidR="00092BAC" w:rsidRPr="003044EB">
        <w:rPr>
          <w:rFonts w:ascii="Arial" w:hAnsi="Arial" w:cs="Arial"/>
        </w:rPr>
        <w:t xml:space="preserve">Section </w:t>
      </w:r>
      <w:r w:rsidRPr="003044EB">
        <w:rPr>
          <w:rFonts w:ascii="Arial" w:hAnsi="Arial" w:cs="Arial"/>
        </w:rPr>
        <w:t xml:space="preserve">53071(c)(11)(C) </w:t>
      </w:r>
      <w:r w:rsidR="00837670" w:rsidRPr="003044EB">
        <w:rPr>
          <w:rFonts w:ascii="Arial" w:hAnsi="Arial" w:cs="Arial"/>
        </w:rPr>
        <w:t xml:space="preserve">requires </w:t>
      </w:r>
      <w:r w:rsidRPr="003044EB">
        <w:rPr>
          <w:rFonts w:ascii="Arial" w:hAnsi="Arial" w:cs="Arial"/>
        </w:rPr>
        <w:t xml:space="preserve">the CWPJAC </w:t>
      </w:r>
      <w:r w:rsidR="00837670" w:rsidRPr="003044EB">
        <w:rPr>
          <w:rFonts w:ascii="Arial" w:hAnsi="Arial" w:cs="Arial"/>
        </w:rPr>
        <w:t>to</w:t>
      </w:r>
      <w:r w:rsidRPr="003044EB">
        <w:rPr>
          <w:rFonts w:ascii="Arial" w:hAnsi="Arial" w:cs="Arial"/>
        </w:rPr>
        <w:t xml:space="preserve"> annually review the data metrics and make recommendations on whether the data metrics remain the most appropriate and whether other metrics should be included. </w:t>
      </w:r>
      <w:r w:rsidR="00494A1B" w:rsidRPr="003044EB">
        <w:rPr>
          <w:rFonts w:ascii="Arial" w:hAnsi="Arial" w:cs="Arial"/>
        </w:rPr>
        <w:t xml:space="preserve">After </w:t>
      </w:r>
      <w:proofErr w:type="gramStart"/>
      <w:r w:rsidR="00494A1B" w:rsidRPr="003044EB">
        <w:rPr>
          <w:rFonts w:ascii="Arial" w:hAnsi="Arial" w:cs="Arial"/>
        </w:rPr>
        <w:t>review</w:t>
      </w:r>
      <w:proofErr w:type="gramEnd"/>
      <w:r w:rsidR="00494A1B" w:rsidRPr="003044EB">
        <w:rPr>
          <w:rFonts w:ascii="Arial" w:hAnsi="Arial" w:cs="Arial"/>
        </w:rPr>
        <w:t xml:space="preserve"> and discussion of the data metrics currently in statute, the</w:t>
      </w:r>
      <w:r w:rsidRPr="003044EB">
        <w:rPr>
          <w:rFonts w:ascii="Arial" w:hAnsi="Arial" w:cs="Arial"/>
        </w:rPr>
        <w:t xml:space="preserve"> CWPJAC’s recommendation </w:t>
      </w:r>
      <w:r w:rsidR="00837670" w:rsidRPr="003044EB">
        <w:rPr>
          <w:rFonts w:ascii="Arial" w:hAnsi="Arial" w:cs="Arial"/>
        </w:rPr>
        <w:t xml:space="preserve">is to maintain </w:t>
      </w:r>
      <w:r w:rsidR="00494A1B" w:rsidRPr="003044EB">
        <w:rPr>
          <w:rFonts w:ascii="Arial" w:hAnsi="Arial" w:cs="Arial"/>
        </w:rPr>
        <w:t>the</w:t>
      </w:r>
      <w:r w:rsidRPr="003044EB">
        <w:rPr>
          <w:rFonts w:ascii="Arial" w:hAnsi="Arial" w:cs="Arial"/>
        </w:rPr>
        <w:t xml:space="preserve"> current metrics</w:t>
      </w:r>
      <w:r w:rsidR="00837670" w:rsidRPr="003044EB">
        <w:rPr>
          <w:rFonts w:ascii="Arial" w:hAnsi="Arial" w:cs="Arial"/>
        </w:rPr>
        <w:t xml:space="preserve"> </w:t>
      </w:r>
      <w:r w:rsidR="00494A1B" w:rsidRPr="003044EB">
        <w:rPr>
          <w:rFonts w:ascii="Arial" w:hAnsi="Arial" w:cs="Arial"/>
        </w:rPr>
        <w:t xml:space="preserve">for both </w:t>
      </w:r>
      <w:r w:rsidR="00837670" w:rsidRPr="003044EB">
        <w:rPr>
          <w:rFonts w:ascii="Arial" w:hAnsi="Arial" w:cs="Arial"/>
        </w:rPr>
        <w:t>state grant programs. N</w:t>
      </w:r>
      <w:r w:rsidRPr="003044EB">
        <w:rPr>
          <w:rFonts w:ascii="Arial" w:hAnsi="Arial" w:cs="Arial"/>
        </w:rPr>
        <w:t xml:space="preserve">o other metrics are required </w:t>
      </w:r>
      <w:proofErr w:type="gramStart"/>
      <w:r w:rsidRPr="003044EB">
        <w:rPr>
          <w:rFonts w:ascii="Arial" w:hAnsi="Arial" w:cs="Arial"/>
        </w:rPr>
        <w:t>at this time</w:t>
      </w:r>
      <w:proofErr w:type="gramEnd"/>
      <w:r w:rsidRPr="003044EB">
        <w:rPr>
          <w:rFonts w:ascii="Arial" w:hAnsi="Arial" w:cs="Arial"/>
        </w:rPr>
        <w:t>.</w:t>
      </w:r>
    </w:p>
    <w:p w14:paraId="41C5E191" w14:textId="77777777" w:rsidR="00C049D4" w:rsidRPr="003044EB" w:rsidRDefault="00710481" w:rsidP="00C049D4">
      <w:pPr>
        <w:rPr>
          <w:rFonts w:eastAsiaTheme="majorEastAsia"/>
          <w:b/>
        </w:rPr>
      </w:pPr>
      <w:r w:rsidRPr="003044EB">
        <w:rPr>
          <w:rFonts w:eastAsiaTheme="majorEastAsia"/>
          <w:b/>
        </w:rPr>
        <w:br w:type="page"/>
      </w:r>
    </w:p>
    <w:p w14:paraId="5F6B521D" w14:textId="7EBBF4BE" w:rsidR="00330ABC" w:rsidRPr="003044EB" w:rsidRDefault="00330ABC" w:rsidP="00330ABC">
      <w:pPr>
        <w:pStyle w:val="Heading2"/>
        <w:rPr>
          <w:sz w:val="28"/>
        </w:rPr>
      </w:pPr>
      <w:bookmarkStart w:id="16" w:name="_Toc161226403"/>
      <w:r w:rsidRPr="003044EB">
        <w:rPr>
          <w:rFonts w:eastAsia="Calibri"/>
          <w:sz w:val="28"/>
        </w:rPr>
        <w:lastRenderedPageBreak/>
        <w:t xml:space="preserve">Appendix </w:t>
      </w:r>
      <w:r w:rsidR="00C049D4" w:rsidRPr="003044EB">
        <w:rPr>
          <w:rFonts w:eastAsia="Calibri"/>
          <w:sz w:val="28"/>
        </w:rPr>
        <w:t>A</w:t>
      </w:r>
      <w:r w:rsidRPr="003044EB">
        <w:rPr>
          <w:rFonts w:eastAsia="Calibri"/>
          <w:sz w:val="28"/>
        </w:rPr>
        <w:t>: 202</w:t>
      </w:r>
      <w:r w:rsidR="009A7223">
        <w:rPr>
          <w:rFonts w:eastAsia="Calibri"/>
          <w:sz w:val="28"/>
        </w:rPr>
        <w:t>5</w:t>
      </w:r>
      <w:r w:rsidRPr="003044EB">
        <w:rPr>
          <w:rFonts w:eastAsia="Calibri"/>
          <w:sz w:val="28"/>
        </w:rPr>
        <w:t xml:space="preserve"> Career Technical Education Completer Data Survey Template (20</w:t>
      </w:r>
      <w:r w:rsidR="00CE6222" w:rsidRPr="003044EB">
        <w:rPr>
          <w:rFonts w:eastAsia="Calibri"/>
          <w:sz w:val="28"/>
        </w:rPr>
        <w:t>2</w:t>
      </w:r>
      <w:r w:rsidR="009A7223">
        <w:rPr>
          <w:rFonts w:eastAsia="Calibri"/>
          <w:sz w:val="28"/>
        </w:rPr>
        <w:t>3</w:t>
      </w:r>
      <w:r w:rsidRPr="003044EB">
        <w:rPr>
          <w:rFonts w:eastAsia="Calibri"/>
          <w:sz w:val="28"/>
        </w:rPr>
        <w:t>–2</w:t>
      </w:r>
      <w:r w:rsidR="009A7223">
        <w:rPr>
          <w:rFonts w:eastAsia="Calibri"/>
          <w:sz w:val="28"/>
        </w:rPr>
        <w:t>4</w:t>
      </w:r>
      <w:r w:rsidRPr="003044EB">
        <w:rPr>
          <w:rFonts w:eastAsia="Calibri"/>
          <w:sz w:val="28"/>
        </w:rPr>
        <w:t xml:space="preserve"> Academic Year)</w:t>
      </w:r>
      <w:bookmarkEnd w:id="16"/>
    </w:p>
    <w:p w14:paraId="333A0597" w14:textId="74CC069F" w:rsidR="00330ABC" w:rsidRPr="003044EB" w:rsidRDefault="00CE6222" w:rsidP="00330ABC">
      <w:pPr>
        <w:spacing w:after="240"/>
        <w:rPr>
          <w:rFonts w:ascii="Arial" w:hAnsi="Arial" w:cs="Arial"/>
        </w:rPr>
      </w:pPr>
      <w:r w:rsidRPr="003044EB">
        <w:rPr>
          <w:rFonts w:ascii="Arial" w:hAnsi="Arial" w:cs="Arial"/>
        </w:rPr>
        <w:t>A</w:t>
      </w:r>
      <w:r w:rsidR="00330ABC" w:rsidRPr="003044EB">
        <w:rPr>
          <w:rFonts w:ascii="Arial" w:hAnsi="Arial" w:cs="Arial"/>
        </w:rPr>
        <w:t xml:space="preserve">ll Career Technical Education Completer data will be reported in your Student Information System and exported into the </w:t>
      </w:r>
      <w:bookmarkStart w:id="17" w:name="_Hlk209089783"/>
      <w:r w:rsidR="009C0C39" w:rsidRPr="003044EB">
        <w:rPr>
          <w:rFonts w:ascii="Arial" w:hAnsi="Arial" w:cs="Arial"/>
        </w:rPr>
        <w:t>California Longitudinal Pupil Achievement Data System</w:t>
      </w:r>
      <w:bookmarkEnd w:id="17"/>
      <w:r w:rsidR="009C0C39" w:rsidRPr="003044EB">
        <w:rPr>
          <w:rFonts w:ascii="Arial" w:hAnsi="Arial" w:cs="Arial"/>
        </w:rPr>
        <w:t xml:space="preserve"> </w:t>
      </w:r>
      <w:r w:rsidR="00330ABC" w:rsidRPr="003044EB">
        <w:rPr>
          <w:rFonts w:ascii="Arial" w:hAnsi="Arial" w:cs="Arial"/>
        </w:rPr>
        <w:t>file.</w:t>
      </w:r>
    </w:p>
    <w:p w14:paraId="53F550A4" w14:textId="77777777" w:rsidR="00330ABC" w:rsidRPr="003044EB" w:rsidRDefault="00330ABC" w:rsidP="00330ABC">
      <w:pPr>
        <w:numPr>
          <w:ilvl w:val="0"/>
          <w:numId w:val="1"/>
        </w:numPr>
        <w:spacing w:after="240"/>
        <w:rPr>
          <w:rFonts w:ascii="Arial" w:eastAsiaTheme="majorEastAsia" w:hAnsi="Arial" w:cs="Arial"/>
        </w:rPr>
      </w:pPr>
      <w:r w:rsidRPr="003044EB">
        <w:rPr>
          <w:rFonts w:ascii="Arial" w:eastAsiaTheme="majorEastAsia" w:hAnsi="Arial" w:cs="Arial"/>
        </w:rPr>
        <w:t>Are you enrolled in one of the following educational or training programs? Select the one that best applies. If you are not enrolled in any educational or training program, do not check any</w:t>
      </w:r>
      <w:r w:rsidR="001928F6" w:rsidRPr="003044EB">
        <w:rPr>
          <w:rFonts w:ascii="Arial" w:eastAsiaTheme="majorEastAsia" w:hAnsi="Arial" w:cs="Arial"/>
        </w:rPr>
        <w:t xml:space="preserve"> of them</w:t>
      </w:r>
      <w:r w:rsidRPr="003044EB">
        <w:rPr>
          <w:rFonts w:ascii="Arial" w:eastAsiaTheme="majorEastAsia" w:hAnsi="Arial" w:cs="Arial"/>
        </w:rPr>
        <w:t>.</w:t>
      </w:r>
    </w:p>
    <w:p w14:paraId="052374CE" w14:textId="77777777" w:rsidR="00330ABC" w:rsidRPr="003044EB" w:rsidRDefault="00330ABC" w:rsidP="00FE7EAD">
      <w:pPr>
        <w:numPr>
          <w:ilvl w:val="0"/>
          <w:numId w:val="21"/>
        </w:numPr>
        <w:ind w:left="1440"/>
        <w:rPr>
          <w:rFonts w:ascii="Arial" w:eastAsiaTheme="majorEastAsia" w:hAnsi="Arial" w:cs="Arial"/>
        </w:rPr>
      </w:pPr>
      <w:r w:rsidRPr="003044EB">
        <w:rPr>
          <w:rFonts w:ascii="Arial" w:eastAsiaTheme="majorEastAsia" w:hAnsi="Arial" w:cs="Arial"/>
        </w:rPr>
        <w:t>Four-year College/University</w:t>
      </w:r>
    </w:p>
    <w:p w14:paraId="3C44B26A" w14:textId="77777777" w:rsidR="00330ABC" w:rsidRPr="003044EB" w:rsidRDefault="00330ABC" w:rsidP="00FE7EAD">
      <w:pPr>
        <w:numPr>
          <w:ilvl w:val="0"/>
          <w:numId w:val="21"/>
        </w:numPr>
        <w:ind w:left="1440"/>
        <w:rPr>
          <w:rFonts w:ascii="Arial" w:eastAsiaTheme="majorEastAsia" w:hAnsi="Arial" w:cs="Arial"/>
        </w:rPr>
      </w:pPr>
      <w:r w:rsidRPr="003044EB">
        <w:rPr>
          <w:rFonts w:ascii="Arial" w:eastAsiaTheme="majorEastAsia" w:hAnsi="Arial" w:cs="Arial"/>
        </w:rPr>
        <w:t xml:space="preserve">Community </w:t>
      </w:r>
      <w:r w:rsidR="00D02510" w:rsidRPr="003044EB">
        <w:rPr>
          <w:rFonts w:ascii="Arial" w:eastAsiaTheme="majorEastAsia" w:hAnsi="Arial" w:cs="Arial"/>
        </w:rPr>
        <w:t>C</w:t>
      </w:r>
      <w:r w:rsidRPr="003044EB">
        <w:rPr>
          <w:rFonts w:ascii="Arial" w:eastAsiaTheme="majorEastAsia" w:hAnsi="Arial" w:cs="Arial"/>
        </w:rPr>
        <w:t>ollege</w:t>
      </w:r>
    </w:p>
    <w:p w14:paraId="327D7376" w14:textId="77777777" w:rsidR="00330ABC" w:rsidRPr="003044EB" w:rsidRDefault="00330ABC" w:rsidP="00FE7EAD">
      <w:pPr>
        <w:numPr>
          <w:ilvl w:val="0"/>
          <w:numId w:val="21"/>
        </w:numPr>
        <w:ind w:left="1440"/>
        <w:rPr>
          <w:rFonts w:ascii="Arial" w:eastAsiaTheme="majorEastAsia" w:hAnsi="Arial" w:cs="Arial"/>
        </w:rPr>
      </w:pPr>
      <w:r w:rsidRPr="003044EB">
        <w:rPr>
          <w:rFonts w:ascii="Arial" w:eastAsiaTheme="majorEastAsia" w:hAnsi="Arial" w:cs="Arial"/>
        </w:rPr>
        <w:t>Vocational or technical school (two-year degree program)</w:t>
      </w:r>
    </w:p>
    <w:p w14:paraId="11C33F60" w14:textId="77777777" w:rsidR="00330ABC" w:rsidRPr="003044EB" w:rsidRDefault="00330ABC" w:rsidP="00FE7EAD">
      <w:pPr>
        <w:numPr>
          <w:ilvl w:val="0"/>
          <w:numId w:val="21"/>
        </w:numPr>
        <w:ind w:left="1440"/>
        <w:rPr>
          <w:rFonts w:ascii="Arial" w:eastAsiaTheme="majorEastAsia" w:hAnsi="Arial" w:cs="Arial"/>
        </w:rPr>
      </w:pPr>
      <w:r w:rsidRPr="003044EB">
        <w:rPr>
          <w:rFonts w:ascii="Arial" w:eastAsiaTheme="majorEastAsia" w:hAnsi="Arial" w:cs="Arial"/>
        </w:rPr>
        <w:t>High School Equivalency Test Preparation Program</w:t>
      </w:r>
    </w:p>
    <w:p w14:paraId="0A63009F" w14:textId="77777777" w:rsidR="00330ABC" w:rsidRPr="003044EB" w:rsidRDefault="00330ABC" w:rsidP="00FE7EAD">
      <w:pPr>
        <w:numPr>
          <w:ilvl w:val="0"/>
          <w:numId w:val="21"/>
        </w:numPr>
        <w:ind w:left="1440"/>
        <w:rPr>
          <w:rFonts w:ascii="Arial" w:eastAsiaTheme="majorEastAsia" w:hAnsi="Arial" w:cs="Arial"/>
        </w:rPr>
      </w:pPr>
      <w:r w:rsidRPr="003044EB">
        <w:rPr>
          <w:rFonts w:ascii="Arial" w:eastAsiaTheme="majorEastAsia" w:hAnsi="Arial" w:cs="Arial"/>
        </w:rPr>
        <w:t>Vocational or technical school (certificate program)</w:t>
      </w:r>
    </w:p>
    <w:p w14:paraId="131B96D3" w14:textId="77777777" w:rsidR="00330ABC" w:rsidRPr="003044EB" w:rsidRDefault="00330ABC" w:rsidP="00FE7EAD">
      <w:pPr>
        <w:numPr>
          <w:ilvl w:val="0"/>
          <w:numId w:val="21"/>
        </w:numPr>
        <w:ind w:left="1440"/>
        <w:rPr>
          <w:rFonts w:ascii="Arial" w:eastAsiaTheme="majorEastAsia" w:hAnsi="Arial" w:cs="Arial"/>
        </w:rPr>
      </w:pPr>
      <w:r w:rsidRPr="003044EB">
        <w:rPr>
          <w:rFonts w:ascii="Arial" w:eastAsiaTheme="majorEastAsia" w:hAnsi="Arial" w:cs="Arial"/>
        </w:rPr>
        <w:t>Regional Occupational Program</w:t>
      </w:r>
    </w:p>
    <w:p w14:paraId="2475E5EF" w14:textId="77777777" w:rsidR="00330ABC" w:rsidRPr="003044EB" w:rsidRDefault="00330ABC" w:rsidP="00FE7EAD">
      <w:pPr>
        <w:numPr>
          <w:ilvl w:val="0"/>
          <w:numId w:val="21"/>
        </w:numPr>
        <w:ind w:left="1440"/>
        <w:rPr>
          <w:rFonts w:ascii="Arial" w:eastAsiaTheme="majorEastAsia" w:hAnsi="Arial" w:cs="Arial"/>
        </w:rPr>
      </w:pPr>
      <w:r w:rsidRPr="003044EB">
        <w:rPr>
          <w:rFonts w:ascii="Arial" w:eastAsiaTheme="majorEastAsia" w:hAnsi="Arial" w:cs="Arial"/>
        </w:rPr>
        <w:t>Work Force Innovation and Opportunity Act Supported Program</w:t>
      </w:r>
    </w:p>
    <w:p w14:paraId="5A02CE06" w14:textId="77777777" w:rsidR="00330ABC" w:rsidRPr="003044EB" w:rsidRDefault="00330ABC" w:rsidP="00FE7EAD">
      <w:pPr>
        <w:numPr>
          <w:ilvl w:val="0"/>
          <w:numId w:val="21"/>
        </w:numPr>
        <w:ind w:left="1440"/>
        <w:rPr>
          <w:rFonts w:ascii="Arial" w:eastAsiaTheme="majorEastAsia" w:hAnsi="Arial" w:cs="Arial"/>
        </w:rPr>
      </w:pPr>
      <w:r w:rsidRPr="003044EB">
        <w:rPr>
          <w:rFonts w:ascii="Arial" w:eastAsiaTheme="majorEastAsia" w:hAnsi="Arial" w:cs="Arial"/>
        </w:rPr>
        <w:t>Non-Workability Employment Program</w:t>
      </w:r>
    </w:p>
    <w:p w14:paraId="38A6B1F8" w14:textId="77777777" w:rsidR="00330ABC" w:rsidRPr="003044EB" w:rsidRDefault="00330ABC" w:rsidP="00FE7EAD">
      <w:pPr>
        <w:numPr>
          <w:ilvl w:val="0"/>
          <w:numId w:val="21"/>
        </w:numPr>
        <w:ind w:left="1440"/>
        <w:rPr>
          <w:rFonts w:ascii="Arial" w:eastAsiaTheme="majorEastAsia" w:hAnsi="Arial" w:cs="Arial"/>
        </w:rPr>
      </w:pPr>
      <w:r w:rsidRPr="003044EB">
        <w:rPr>
          <w:rFonts w:ascii="Arial" w:eastAsiaTheme="majorEastAsia" w:hAnsi="Arial" w:cs="Arial"/>
        </w:rPr>
        <w:t>Adult Training Program</w:t>
      </w:r>
    </w:p>
    <w:p w14:paraId="6E063F3F" w14:textId="77777777" w:rsidR="00330ABC" w:rsidRPr="003044EB" w:rsidRDefault="00330ABC" w:rsidP="00FE7EAD">
      <w:pPr>
        <w:numPr>
          <w:ilvl w:val="0"/>
          <w:numId w:val="21"/>
        </w:numPr>
        <w:ind w:left="1440"/>
        <w:rPr>
          <w:rFonts w:ascii="Arial" w:eastAsiaTheme="majorEastAsia" w:hAnsi="Arial" w:cs="Arial"/>
        </w:rPr>
      </w:pPr>
      <w:r w:rsidRPr="003044EB">
        <w:rPr>
          <w:rFonts w:ascii="Arial" w:eastAsiaTheme="majorEastAsia" w:hAnsi="Arial" w:cs="Arial"/>
        </w:rPr>
        <w:t>State Apprenticeship Program</w:t>
      </w:r>
    </w:p>
    <w:p w14:paraId="00B55105" w14:textId="77777777" w:rsidR="00330ABC" w:rsidRPr="003044EB" w:rsidRDefault="00330ABC" w:rsidP="00FE7EAD">
      <w:pPr>
        <w:numPr>
          <w:ilvl w:val="0"/>
          <w:numId w:val="21"/>
        </w:numPr>
        <w:spacing w:after="240"/>
        <w:ind w:left="1440"/>
        <w:rPr>
          <w:rFonts w:ascii="Arial" w:eastAsiaTheme="majorEastAsia" w:hAnsi="Arial" w:cs="Arial"/>
        </w:rPr>
      </w:pPr>
      <w:r w:rsidRPr="003044EB">
        <w:rPr>
          <w:rFonts w:ascii="Arial" w:eastAsiaTheme="majorEastAsia" w:hAnsi="Arial" w:cs="Arial"/>
        </w:rPr>
        <w:t>Other Job Training Program</w:t>
      </w:r>
    </w:p>
    <w:p w14:paraId="46F1ED7B" w14:textId="77777777" w:rsidR="00330ABC" w:rsidRPr="003044EB" w:rsidRDefault="00330ABC" w:rsidP="00330ABC">
      <w:pPr>
        <w:numPr>
          <w:ilvl w:val="0"/>
          <w:numId w:val="1"/>
        </w:numPr>
        <w:spacing w:after="240"/>
        <w:rPr>
          <w:rFonts w:ascii="Arial" w:eastAsiaTheme="majorEastAsia" w:hAnsi="Arial" w:cs="Arial"/>
        </w:rPr>
      </w:pPr>
      <w:r w:rsidRPr="003044EB">
        <w:rPr>
          <w:rFonts w:ascii="Arial" w:eastAsiaTheme="majorEastAsia" w:hAnsi="Arial" w:cs="Arial"/>
        </w:rPr>
        <w:t xml:space="preserve">If you checked one of the above for </w:t>
      </w:r>
      <w:r w:rsidR="00FE7EAD" w:rsidRPr="003044EB">
        <w:rPr>
          <w:rFonts w:ascii="Arial" w:eastAsiaTheme="majorEastAsia" w:hAnsi="Arial" w:cs="Arial"/>
        </w:rPr>
        <w:t>Q</w:t>
      </w:r>
      <w:r w:rsidRPr="003044EB">
        <w:rPr>
          <w:rFonts w:ascii="Arial" w:eastAsiaTheme="majorEastAsia" w:hAnsi="Arial" w:cs="Arial"/>
        </w:rPr>
        <w:t>uestion 1, was the program:</w:t>
      </w:r>
    </w:p>
    <w:p w14:paraId="4A305828" w14:textId="77777777" w:rsidR="00330ABC" w:rsidRPr="003044EB" w:rsidRDefault="00330ABC" w:rsidP="00FE7EAD">
      <w:pPr>
        <w:numPr>
          <w:ilvl w:val="0"/>
          <w:numId w:val="20"/>
        </w:numPr>
        <w:ind w:left="1440"/>
        <w:rPr>
          <w:rFonts w:ascii="Arial" w:eastAsiaTheme="majorEastAsia" w:hAnsi="Arial" w:cs="Arial"/>
        </w:rPr>
      </w:pPr>
      <w:r w:rsidRPr="003044EB">
        <w:rPr>
          <w:rFonts w:ascii="Arial" w:eastAsiaTheme="majorEastAsia" w:hAnsi="Arial" w:cs="Arial"/>
        </w:rPr>
        <w:t>Public</w:t>
      </w:r>
    </w:p>
    <w:p w14:paraId="3BB2DEFB" w14:textId="77777777" w:rsidR="00330ABC" w:rsidRPr="003044EB" w:rsidRDefault="00330ABC" w:rsidP="00FE7EAD">
      <w:pPr>
        <w:numPr>
          <w:ilvl w:val="0"/>
          <w:numId w:val="20"/>
        </w:numPr>
        <w:ind w:left="1440"/>
        <w:rPr>
          <w:rFonts w:ascii="Arial" w:eastAsiaTheme="majorEastAsia" w:hAnsi="Arial" w:cs="Arial"/>
        </w:rPr>
      </w:pPr>
      <w:r w:rsidRPr="003044EB">
        <w:rPr>
          <w:rFonts w:ascii="Arial" w:eastAsiaTheme="majorEastAsia" w:hAnsi="Arial" w:cs="Arial"/>
        </w:rPr>
        <w:t>Private Nonprofit</w:t>
      </w:r>
    </w:p>
    <w:p w14:paraId="582124F7" w14:textId="77777777" w:rsidR="00330ABC" w:rsidRPr="003044EB" w:rsidRDefault="00330ABC" w:rsidP="00FE7EAD">
      <w:pPr>
        <w:numPr>
          <w:ilvl w:val="0"/>
          <w:numId w:val="20"/>
        </w:numPr>
        <w:spacing w:after="240"/>
        <w:ind w:left="1440"/>
        <w:rPr>
          <w:rFonts w:ascii="Arial" w:eastAsiaTheme="majorEastAsia" w:hAnsi="Arial" w:cs="Arial"/>
        </w:rPr>
      </w:pPr>
      <w:r w:rsidRPr="003044EB">
        <w:rPr>
          <w:rFonts w:ascii="Arial" w:eastAsiaTheme="majorEastAsia" w:hAnsi="Arial" w:cs="Arial"/>
        </w:rPr>
        <w:t>For Profit</w:t>
      </w:r>
    </w:p>
    <w:p w14:paraId="0A93F326" w14:textId="77777777" w:rsidR="00330ABC" w:rsidRPr="003044EB" w:rsidRDefault="00330ABC" w:rsidP="00330ABC">
      <w:pPr>
        <w:numPr>
          <w:ilvl w:val="0"/>
          <w:numId w:val="1"/>
        </w:numPr>
        <w:spacing w:after="240"/>
        <w:rPr>
          <w:rFonts w:ascii="Arial" w:eastAsiaTheme="majorEastAsia" w:hAnsi="Arial" w:cs="Arial"/>
        </w:rPr>
      </w:pPr>
      <w:r w:rsidRPr="003044EB">
        <w:rPr>
          <w:rFonts w:ascii="Arial" w:eastAsiaTheme="majorEastAsia" w:hAnsi="Arial" w:cs="Arial"/>
        </w:rPr>
        <w:t>Are you enlisted in the military?</w:t>
      </w:r>
    </w:p>
    <w:p w14:paraId="68E39CFE" w14:textId="77777777" w:rsidR="00330ABC" w:rsidRPr="003044EB" w:rsidRDefault="00330ABC" w:rsidP="00FE7EAD">
      <w:pPr>
        <w:numPr>
          <w:ilvl w:val="0"/>
          <w:numId w:val="19"/>
        </w:numPr>
        <w:ind w:left="1440"/>
        <w:rPr>
          <w:rFonts w:ascii="Arial" w:eastAsiaTheme="majorEastAsia" w:hAnsi="Arial" w:cs="Arial"/>
        </w:rPr>
      </w:pPr>
      <w:r w:rsidRPr="003044EB">
        <w:rPr>
          <w:rFonts w:ascii="Arial" w:eastAsiaTheme="majorEastAsia" w:hAnsi="Arial" w:cs="Arial"/>
        </w:rPr>
        <w:t>Yes</w:t>
      </w:r>
    </w:p>
    <w:p w14:paraId="7F0AB235" w14:textId="77777777" w:rsidR="00330ABC" w:rsidRPr="003044EB" w:rsidRDefault="00330ABC" w:rsidP="00FE7EAD">
      <w:pPr>
        <w:numPr>
          <w:ilvl w:val="0"/>
          <w:numId w:val="19"/>
        </w:numPr>
        <w:spacing w:after="240"/>
        <w:ind w:left="1440"/>
        <w:rPr>
          <w:rFonts w:ascii="Arial" w:eastAsiaTheme="majorEastAsia" w:hAnsi="Arial" w:cs="Arial"/>
        </w:rPr>
      </w:pPr>
      <w:r w:rsidRPr="003044EB">
        <w:rPr>
          <w:rFonts w:ascii="Arial" w:eastAsiaTheme="majorEastAsia" w:hAnsi="Arial" w:cs="Arial"/>
        </w:rPr>
        <w:t>No</w:t>
      </w:r>
    </w:p>
    <w:p w14:paraId="586397B5" w14:textId="77777777" w:rsidR="00330ABC" w:rsidRPr="003044EB" w:rsidRDefault="00330ABC" w:rsidP="00330ABC">
      <w:pPr>
        <w:numPr>
          <w:ilvl w:val="0"/>
          <w:numId w:val="1"/>
        </w:numPr>
        <w:spacing w:after="240"/>
        <w:rPr>
          <w:rFonts w:ascii="Arial" w:eastAsiaTheme="majorEastAsia" w:hAnsi="Arial" w:cs="Arial"/>
        </w:rPr>
      </w:pPr>
      <w:r w:rsidRPr="003044EB">
        <w:rPr>
          <w:rFonts w:ascii="Arial" w:eastAsiaTheme="majorEastAsia" w:hAnsi="Arial" w:cs="Arial"/>
        </w:rPr>
        <w:t>Are you incarcerated?</w:t>
      </w:r>
    </w:p>
    <w:p w14:paraId="7FBFEFB7" w14:textId="77777777" w:rsidR="00330ABC" w:rsidRPr="003044EB" w:rsidRDefault="00330ABC" w:rsidP="00FE7EAD">
      <w:pPr>
        <w:numPr>
          <w:ilvl w:val="0"/>
          <w:numId w:val="18"/>
        </w:numPr>
        <w:ind w:left="1440"/>
        <w:rPr>
          <w:rFonts w:ascii="Arial" w:eastAsiaTheme="majorEastAsia" w:hAnsi="Arial" w:cs="Arial"/>
        </w:rPr>
      </w:pPr>
      <w:r w:rsidRPr="003044EB">
        <w:rPr>
          <w:rFonts w:ascii="Arial" w:eastAsiaTheme="majorEastAsia" w:hAnsi="Arial" w:cs="Arial"/>
        </w:rPr>
        <w:t>Yes</w:t>
      </w:r>
    </w:p>
    <w:p w14:paraId="015C2E14" w14:textId="77777777" w:rsidR="00330ABC" w:rsidRPr="003044EB" w:rsidRDefault="00330ABC" w:rsidP="00FE7EAD">
      <w:pPr>
        <w:numPr>
          <w:ilvl w:val="0"/>
          <w:numId w:val="18"/>
        </w:numPr>
        <w:spacing w:after="240"/>
        <w:ind w:left="1440"/>
        <w:rPr>
          <w:rFonts w:ascii="Arial" w:eastAsiaTheme="majorEastAsia" w:hAnsi="Arial" w:cs="Arial"/>
        </w:rPr>
      </w:pPr>
      <w:r w:rsidRPr="003044EB">
        <w:rPr>
          <w:rFonts w:ascii="Arial" w:eastAsiaTheme="majorEastAsia" w:hAnsi="Arial" w:cs="Arial"/>
        </w:rPr>
        <w:t>No</w:t>
      </w:r>
    </w:p>
    <w:p w14:paraId="48606CA3" w14:textId="77777777" w:rsidR="00330ABC" w:rsidRPr="003044EB" w:rsidRDefault="00330ABC" w:rsidP="00330ABC">
      <w:pPr>
        <w:numPr>
          <w:ilvl w:val="0"/>
          <w:numId w:val="1"/>
        </w:numPr>
        <w:spacing w:after="240"/>
        <w:rPr>
          <w:rFonts w:ascii="Arial" w:eastAsiaTheme="majorEastAsia" w:hAnsi="Arial" w:cs="Arial"/>
        </w:rPr>
      </w:pPr>
      <w:r w:rsidRPr="003044EB">
        <w:rPr>
          <w:rFonts w:ascii="Arial" w:eastAsiaTheme="majorEastAsia" w:hAnsi="Arial" w:cs="Arial"/>
        </w:rPr>
        <w:t>Are you employed?</w:t>
      </w:r>
    </w:p>
    <w:p w14:paraId="36348BF9" w14:textId="77777777" w:rsidR="00330ABC" w:rsidRPr="003044EB" w:rsidRDefault="00330ABC" w:rsidP="00FE7EAD">
      <w:pPr>
        <w:numPr>
          <w:ilvl w:val="0"/>
          <w:numId w:val="17"/>
        </w:numPr>
        <w:spacing w:after="240"/>
        <w:ind w:left="1440"/>
        <w:rPr>
          <w:rFonts w:ascii="Arial" w:eastAsiaTheme="majorEastAsia" w:hAnsi="Arial" w:cs="Arial"/>
        </w:rPr>
      </w:pPr>
      <w:r w:rsidRPr="003044EB">
        <w:rPr>
          <w:rFonts w:ascii="Arial" w:eastAsiaTheme="majorEastAsia" w:hAnsi="Arial" w:cs="Arial"/>
        </w:rPr>
        <w:t xml:space="preserve">Yes, Full-time or part-time employment with compensation </w:t>
      </w:r>
      <w:r w:rsidRPr="00E15A15">
        <w:rPr>
          <w:rFonts w:ascii="Arial" w:eastAsiaTheme="majorEastAsia" w:hAnsi="Arial" w:cs="Arial"/>
        </w:rPr>
        <w:t>at or above</w:t>
      </w:r>
      <w:r w:rsidRPr="003044EB">
        <w:rPr>
          <w:rFonts w:ascii="Arial" w:eastAsiaTheme="majorEastAsia" w:hAnsi="Arial" w:cs="Arial"/>
        </w:rPr>
        <w:t xml:space="preserve"> minimum wage</w:t>
      </w:r>
    </w:p>
    <w:p w14:paraId="18EA9DD6" w14:textId="77777777" w:rsidR="00330ABC" w:rsidRPr="003044EB" w:rsidRDefault="00330ABC" w:rsidP="00FE7EAD">
      <w:pPr>
        <w:numPr>
          <w:ilvl w:val="0"/>
          <w:numId w:val="17"/>
        </w:numPr>
        <w:spacing w:after="240"/>
        <w:ind w:left="1440"/>
        <w:rPr>
          <w:rFonts w:ascii="Arial" w:eastAsiaTheme="majorEastAsia" w:hAnsi="Arial" w:cs="Arial"/>
        </w:rPr>
      </w:pPr>
      <w:r w:rsidRPr="003044EB">
        <w:rPr>
          <w:rFonts w:ascii="Arial" w:eastAsiaTheme="majorEastAsia" w:hAnsi="Arial" w:cs="Arial"/>
        </w:rPr>
        <w:t xml:space="preserve">Yes, Full-time or part-time employment with compensation </w:t>
      </w:r>
      <w:r w:rsidRPr="00E15A15">
        <w:rPr>
          <w:rFonts w:ascii="Arial" w:eastAsiaTheme="majorEastAsia" w:hAnsi="Arial" w:cs="Arial"/>
        </w:rPr>
        <w:t>less than</w:t>
      </w:r>
      <w:r w:rsidRPr="003044EB">
        <w:rPr>
          <w:rFonts w:ascii="Arial" w:eastAsiaTheme="majorEastAsia" w:hAnsi="Arial" w:cs="Arial"/>
        </w:rPr>
        <w:t xml:space="preserve"> minimum wage</w:t>
      </w:r>
    </w:p>
    <w:p w14:paraId="7BB5CE11" w14:textId="77777777" w:rsidR="00330ABC" w:rsidRPr="003044EB" w:rsidRDefault="00330ABC" w:rsidP="00FE7EAD">
      <w:pPr>
        <w:numPr>
          <w:ilvl w:val="0"/>
          <w:numId w:val="17"/>
        </w:numPr>
        <w:spacing w:after="240"/>
        <w:ind w:left="1440"/>
        <w:rPr>
          <w:rFonts w:ascii="Arial" w:eastAsiaTheme="majorEastAsia" w:hAnsi="Arial" w:cs="Arial"/>
        </w:rPr>
      </w:pPr>
      <w:r w:rsidRPr="003044EB">
        <w:rPr>
          <w:rFonts w:ascii="Arial" w:eastAsiaTheme="majorEastAsia" w:hAnsi="Arial" w:cs="Arial"/>
        </w:rPr>
        <w:t>Yes, Other type of employment</w:t>
      </w:r>
    </w:p>
    <w:p w14:paraId="08AF4C47" w14:textId="77777777" w:rsidR="00330ABC" w:rsidRPr="003044EB" w:rsidRDefault="00330ABC" w:rsidP="00FE7EAD">
      <w:pPr>
        <w:numPr>
          <w:ilvl w:val="0"/>
          <w:numId w:val="17"/>
        </w:numPr>
        <w:spacing w:after="240"/>
        <w:ind w:left="1440"/>
        <w:rPr>
          <w:rFonts w:ascii="Arial" w:eastAsiaTheme="majorEastAsia" w:hAnsi="Arial" w:cs="Arial"/>
        </w:rPr>
      </w:pPr>
      <w:r w:rsidRPr="003044EB">
        <w:rPr>
          <w:rFonts w:ascii="Arial" w:eastAsiaTheme="majorEastAsia" w:hAnsi="Arial" w:cs="Arial"/>
        </w:rPr>
        <w:lastRenderedPageBreak/>
        <w:t>No</w:t>
      </w:r>
    </w:p>
    <w:p w14:paraId="480DFB10" w14:textId="77777777" w:rsidR="00330ABC" w:rsidRPr="003044EB" w:rsidRDefault="00330ABC" w:rsidP="00330ABC">
      <w:pPr>
        <w:numPr>
          <w:ilvl w:val="0"/>
          <w:numId w:val="1"/>
        </w:numPr>
        <w:spacing w:after="240"/>
        <w:rPr>
          <w:rFonts w:ascii="Arial" w:eastAsiaTheme="majorEastAsia" w:hAnsi="Arial" w:cs="Arial"/>
        </w:rPr>
      </w:pPr>
      <w:r w:rsidRPr="003044EB">
        <w:rPr>
          <w:rFonts w:ascii="Arial" w:eastAsiaTheme="majorEastAsia" w:hAnsi="Arial" w:cs="Arial"/>
        </w:rPr>
        <w:t>Are you enrolled in one of the following? (Only check if applicable):</w:t>
      </w:r>
    </w:p>
    <w:p w14:paraId="5B656249" w14:textId="77777777" w:rsidR="00330ABC" w:rsidRPr="003044EB" w:rsidRDefault="00330ABC" w:rsidP="00FE7EAD">
      <w:pPr>
        <w:numPr>
          <w:ilvl w:val="0"/>
          <w:numId w:val="16"/>
        </w:numPr>
        <w:ind w:left="1440"/>
        <w:rPr>
          <w:rFonts w:ascii="Arial" w:eastAsiaTheme="majorEastAsia" w:hAnsi="Arial" w:cs="Arial"/>
        </w:rPr>
      </w:pPr>
      <w:r w:rsidRPr="003044EB">
        <w:rPr>
          <w:rFonts w:ascii="Arial" w:eastAsiaTheme="majorEastAsia" w:hAnsi="Arial" w:cs="Arial"/>
        </w:rPr>
        <w:t>Peace Corps</w:t>
      </w:r>
    </w:p>
    <w:p w14:paraId="5B7883AD" w14:textId="77777777" w:rsidR="00330ABC" w:rsidRPr="003044EB" w:rsidRDefault="00330ABC" w:rsidP="00FE7EAD">
      <w:pPr>
        <w:numPr>
          <w:ilvl w:val="0"/>
          <w:numId w:val="16"/>
        </w:numPr>
        <w:spacing w:after="240"/>
        <w:ind w:left="1440"/>
        <w:rPr>
          <w:rFonts w:ascii="Arial" w:eastAsiaTheme="majorEastAsia" w:hAnsi="Arial" w:cs="Arial"/>
        </w:rPr>
      </w:pPr>
      <w:r w:rsidRPr="003044EB">
        <w:rPr>
          <w:rFonts w:ascii="Arial" w:eastAsiaTheme="majorEastAsia" w:hAnsi="Arial" w:cs="Arial"/>
        </w:rPr>
        <w:t>Ameri Corps</w:t>
      </w:r>
    </w:p>
    <w:p w14:paraId="39607909" w14:textId="77777777" w:rsidR="00330ABC" w:rsidRPr="003044EB" w:rsidRDefault="00330ABC" w:rsidP="00330ABC">
      <w:pPr>
        <w:numPr>
          <w:ilvl w:val="0"/>
          <w:numId w:val="1"/>
        </w:numPr>
        <w:spacing w:after="240"/>
        <w:rPr>
          <w:rFonts w:ascii="Arial" w:eastAsiaTheme="majorEastAsia" w:hAnsi="Arial" w:cs="Arial"/>
        </w:rPr>
      </w:pPr>
      <w:r w:rsidRPr="003044EB">
        <w:rPr>
          <w:rFonts w:ascii="Arial" w:eastAsiaTheme="majorEastAsia" w:hAnsi="Arial" w:cs="Arial"/>
        </w:rPr>
        <w:t>If none of the above options apply, check one of the following:</w:t>
      </w:r>
    </w:p>
    <w:p w14:paraId="45102B68" w14:textId="77777777" w:rsidR="00330ABC" w:rsidRPr="003044EB" w:rsidRDefault="00330ABC" w:rsidP="00FE7EAD">
      <w:pPr>
        <w:numPr>
          <w:ilvl w:val="0"/>
          <w:numId w:val="15"/>
        </w:numPr>
        <w:ind w:left="1440"/>
        <w:rPr>
          <w:rFonts w:ascii="Arial" w:eastAsiaTheme="majorEastAsia" w:hAnsi="Arial" w:cs="Arial"/>
        </w:rPr>
      </w:pPr>
      <w:r w:rsidRPr="003044EB">
        <w:rPr>
          <w:rFonts w:ascii="Arial" w:eastAsiaTheme="majorEastAsia" w:hAnsi="Arial" w:cs="Arial"/>
        </w:rPr>
        <w:t>None of the options apply</w:t>
      </w:r>
    </w:p>
    <w:p w14:paraId="185E0628" w14:textId="77777777" w:rsidR="00330ABC" w:rsidRPr="003044EB" w:rsidRDefault="00330ABC" w:rsidP="00FE7EAD">
      <w:pPr>
        <w:numPr>
          <w:ilvl w:val="0"/>
          <w:numId w:val="15"/>
        </w:numPr>
        <w:spacing w:after="240"/>
        <w:ind w:left="1440"/>
        <w:rPr>
          <w:rFonts w:ascii="Arial" w:eastAsiaTheme="majorEastAsia" w:hAnsi="Arial" w:cs="Arial"/>
          <w:b/>
        </w:rPr>
      </w:pPr>
      <w:r w:rsidRPr="003044EB">
        <w:rPr>
          <w:rFonts w:ascii="Arial" w:eastAsiaTheme="majorEastAsia" w:hAnsi="Arial" w:cs="Arial"/>
        </w:rPr>
        <w:t>I decline to respond</w:t>
      </w:r>
    </w:p>
    <w:p w14:paraId="6A1EEA0C" w14:textId="77777777" w:rsidR="00330ABC" w:rsidRPr="003044EB" w:rsidRDefault="00330ABC" w:rsidP="00330ABC">
      <w:pPr>
        <w:numPr>
          <w:ilvl w:val="0"/>
          <w:numId w:val="1"/>
        </w:numPr>
        <w:spacing w:after="240"/>
        <w:rPr>
          <w:rFonts w:ascii="Arial" w:eastAsiaTheme="majorEastAsia" w:hAnsi="Arial" w:cs="Arial"/>
        </w:rPr>
      </w:pPr>
      <w:r w:rsidRPr="003044EB">
        <w:rPr>
          <w:rFonts w:ascii="Arial" w:eastAsiaTheme="majorEastAsia" w:hAnsi="Arial" w:cs="Arial"/>
        </w:rPr>
        <w:t xml:space="preserve">If you are employed, what type of business </w:t>
      </w:r>
      <w:proofErr w:type="gramStart"/>
      <w:r w:rsidRPr="003044EB">
        <w:rPr>
          <w:rFonts w:ascii="Arial" w:eastAsiaTheme="majorEastAsia" w:hAnsi="Arial" w:cs="Arial"/>
        </w:rPr>
        <w:t>or</w:t>
      </w:r>
      <w:proofErr w:type="gramEnd"/>
      <w:r w:rsidRPr="003044EB">
        <w:rPr>
          <w:rFonts w:ascii="Arial" w:eastAsiaTheme="majorEastAsia" w:hAnsi="Arial" w:cs="Arial"/>
        </w:rPr>
        <w:t xml:space="preserve"> in what field are you employed? Check the industry that best represents the type of employment.</w:t>
      </w:r>
    </w:p>
    <w:p w14:paraId="3F05AD12" w14:textId="77777777" w:rsidR="00330ABC" w:rsidRPr="003044EB" w:rsidRDefault="00330ABC" w:rsidP="00FE7EAD">
      <w:pPr>
        <w:numPr>
          <w:ilvl w:val="0"/>
          <w:numId w:val="13"/>
        </w:numPr>
        <w:ind w:left="1440"/>
        <w:rPr>
          <w:rFonts w:ascii="Arial" w:eastAsiaTheme="majorEastAsia" w:hAnsi="Arial" w:cs="Arial"/>
        </w:rPr>
      </w:pPr>
      <w:r w:rsidRPr="003044EB">
        <w:rPr>
          <w:rFonts w:ascii="Arial" w:eastAsiaTheme="majorEastAsia" w:hAnsi="Arial" w:cs="Arial"/>
        </w:rPr>
        <w:t>Agriculture and Natural Resources</w:t>
      </w:r>
    </w:p>
    <w:p w14:paraId="57CD55CB" w14:textId="77777777" w:rsidR="00330ABC" w:rsidRPr="003044EB" w:rsidRDefault="00330ABC" w:rsidP="00FE7EAD">
      <w:pPr>
        <w:numPr>
          <w:ilvl w:val="0"/>
          <w:numId w:val="13"/>
        </w:numPr>
        <w:ind w:left="1440"/>
        <w:rPr>
          <w:rFonts w:ascii="Arial" w:eastAsiaTheme="majorEastAsia" w:hAnsi="Arial" w:cs="Arial"/>
        </w:rPr>
      </w:pPr>
      <w:r w:rsidRPr="003044EB">
        <w:rPr>
          <w:rFonts w:ascii="Arial" w:eastAsiaTheme="majorEastAsia" w:hAnsi="Arial" w:cs="Arial"/>
        </w:rPr>
        <w:t>Arts, Media, and Entertainment</w:t>
      </w:r>
    </w:p>
    <w:p w14:paraId="7B6126CE" w14:textId="77777777" w:rsidR="00330ABC" w:rsidRPr="003044EB" w:rsidRDefault="00330ABC" w:rsidP="00FE7EAD">
      <w:pPr>
        <w:numPr>
          <w:ilvl w:val="0"/>
          <w:numId w:val="13"/>
        </w:numPr>
        <w:ind w:left="1440"/>
        <w:rPr>
          <w:rFonts w:ascii="Arial" w:eastAsiaTheme="majorEastAsia" w:hAnsi="Arial" w:cs="Arial"/>
        </w:rPr>
      </w:pPr>
      <w:r w:rsidRPr="003044EB">
        <w:rPr>
          <w:rFonts w:ascii="Arial" w:eastAsiaTheme="majorEastAsia" w:hAnsi="Arial" w:cs="Arial"/>
        </w:rPr>
        <w:t>Building and Construction Trades</w:t>
      </w:r>
    </w:p>
    <w:p w14:paraId="591AB9C6" w14:textId="77777777" w:rsidR="00330ABC" w:rsidRPr="003044EB" w:rsidRDefault="00330ABC" w:rsidP="00FE7EAD">
      <w:pPr>
        <w:numPr>
          <w:ilvl w:val="0"/>
          <w:numId w:val="13"/>
        </w:numPr>
        <w:ind w:left="1440"/>
        <w:rPr>
          <w:rFonts w:ascii="Arial" w:eastAsiaTheme="majorEastAsia" w:hAnsi="Arial" w:cs="Arial"/>
        </w:rPr>
      </w:pPr>
      <w:r w:rsidRPr="003044EB">
        <w:rPr>
          <w:rFonts w:ascii="Arial" w:eastAsiaTheme="majorEastAsia" w:hAnsi="Arial" w:cs="Arial"/>
        </w:rPr>
        <w:t>Business and Finance</w:t>
      </w:r>
    </w:p>
    <w:p w14:paraId="7155D464" w14:textId="77777777" w:rsidR="00330ABC" w:rsidRPr="003044EB" w:rsidRDefault="00330ABC" w:rsidP="00FE7EAD">
      <w:pPr>
        <w:numPr>
          <w:ilvl w:val="0"/>
          <w:numId w:val="13"/>
        </w:numPr>
        <w:ind w:left="1440"/>
        <w:rPr>
          <w:rFonts w:ascii="Arial" w:eastAsiaTheme="majorEastAsia" w:hAnsi="Arial" w:cs="Arial"/>
        </w:rPr>
      </w:pPr>
      <w:r w:rsidRPr="003044EB">
        <w:rPr>
          <w:rFonts w:ascii="Arial" w:eastAsiaTheme="majorEastAsia" w:hAnsi="Arial" w:cs="Arial"/>
        </w:rPr>
        <w:t>Education, Child Development, and Family Services</w:t>
      </w:r>
    </w:p>
    <w:p w14:paraId="04C1FD03" w14:textId="77777777" w:rsidR="00330ABC" w:rsidRPr="003044EB" w:rsidRDefault="00330ABC" w:rsidP="00FE7EAD">
      <w:pPr>
        <w:numPr>
          <w:ilvl w:val="0"/>
          <w:numId w:val="13"/>
        </w:numPr>
        <w:ind w:left="1440"/>
        <w:rPr>
          <w:rFonts w:ascii="Arial" w:eastAsiaTheme="majorEastAsia" w:hAnsi="Arial" w:cs="Arial"/>
        </w:rPr>
      </w:pPr>
      <w:r w:rsidRPr="003044EB">
        <w:rPr>
          <w:rFonts w:ascii="Arial" w:eastAsiaTheme="majorEastAsia" w:hAnsi="Arial" w:cs="Arial"/>
        </w:rPr>
        <w:t>Energy, Environment, and Utilities</w:t>
      </w:r>
    </w:p>
    <w:p w14:paraId="21141929" w14:textId="77777777" w:rsidR="00330ABC" w:rsidRPr="003044EB" w:rsidRDefault="00330ABC" w:rsidP="00FE7EAD">
      <w:pPr>
        <w:numPr>
          <w:ilvl w:val="0"/>
          <w:numId w:val="13"/>
        </w:numPr>
        <w:ind w:left="1440"/>
        <w:rPr>
          <w:rFonts w:ascii="Arial" w:eastAsiaTheme="majorEastAsia" w:hAnsi="Arial" w:cs="Arial"/>
        </w:rPr>
      </w:pPr>
      <w:r w:rsidRPr="003044EB">
        <w:rPr>
          <w:rFonts w:ascii="Arial" w:eastAsiaTheme="majorEastAsia" w:hAnsi="Arial" w:cs="Arial"/>
        </w:rPr>
        <w:t>Engineering and Architecture</w:t>
      </w:r>
    </w:p>
    <w:p w14:paraId="1B15EECC" w14:textId="77777777" w:rsidR="00330ABC" w:rsidRPr="003044EB" w:rsidRDefault="00330ABC" w:rsidP="00FE7EAD">
      <w:pPr>
        <w:numPr>
          <w:ilvl w:val="0"/>
          <w:numId w:val="13"/>
        </w:numPr>
        <w:ind w:left="1440"/>
        <w:rPr>
          <w:rFonts w:ascii="Arial" w:eastAsiaTheme="majorEastAsia" w:hAnsi="Arial" w:cs="Arial"/>
        </w:rPr>
      </w:pPr>
      <w:r w:rsidRPr="003044EB">
        <w:rPr>
          <w:rFonts w:ascii="Arial" w:eastAsiaTheme="majorEastAsia" w:hAnsi="Arial" w:cs="Arial"/>
        </w:rPr>
        <w:t>Fashion and Interior Design</w:t>
      </w:r>
    </w:p>
    <w:p w14:paraId="3376C4BA" w14:textId="77777777" w:rsidR="00330ABC" w:rsidRPr="003044EB" w:rsidRDefault="00330ABC" w:rsidP="00FE7EAD">
      <w:pPr>
        <w:numPr>
          <w:ilvl w:val="0"/>
          <w:numId w:val="13"/>
        </w:numPr>
        <w:ind w:left="1440"/>
        <w:rPr>
          <w:rFonts w:ascii="Arial" w:eastAsiaTheme="majorEastAsia" w:hAnsi="Arial" w:cs="Arial"/>
        </w:rPr>
      </w:pPr>
      <w:r w:rsidRPr="003044EB">
        <w:rPr>
          <w:rFonts w:ascii="Arial" w:eastAsiaTheme="majorEastAsia" w:hAnsi="Arial" w:cs="Arial"/>
        </w:rPr>
        <w:t>Information and Communication Technologies</w:t>
      </w:r>
    </w:p>
    <w:p w14:paraId="6E65EB62" w14:textId="77777777" w:rsidR="00330ABC" w:rsidRPr="003044EB" w:rsidRDefault="00330ABC" w:rsidP="00FE7EAD">
      <w:pPr>
        <w:numPr>
          <w:ilvl w:val="0"/>
          <w:numId w:val="13"/>
        </w:numPr>
        <w:ind w:left="1440"/>
        <w:rPr>
          <w:rFonts w:ascii="Arial" w:eastAsiaTheme="majorEastAsia" w:hAnsi="Arial" w:cs="Arial"/>
        </w:rPr>
      </w:pPr>
      <w:r w:rsidRPr="003044EB">
        <w:rPr>
          <w:rFonts w:ascii="Arial" w:eastAsiaTheme="majorEastAsia" w:hAnsi="Arial" w:cs="Arial"/>
        </w:rPr>
        <w:t>Health Science and Medical Technology</w:t>
      </w:r>
    </w:p>
    <w:p w14:paraId="57040A4F" w14:textId="77777777" w:rsidR="00330ABC" w:rsidRPr="003044EB" w:rsidRDefault="00330ABC" w:rsidP="00FE7EAD">
      <w:pPr>
        <w:numPr>
          <w:ilvl w:val="0"/>
          <w:numId w:val="13"/>
        </w:numPr>
        <w:ind w:left="1440"/>
        <w:rPr>
          <w:rFonts w:ascii="Arial" w:eastAsiaTheme="majorEastAsia" w:hAnsi="Arial" w:cs="Arial"/>
        </w:rPr>
      </w:pPr>
      <w:r w:rsidRPr="003044EB">
        <w:rPr>
          <w:rFonts w:ascii="Arial" w:eastAsiaTheme="majorEastAsia" w:hAnsi="Arial" w:cs="Arial"/>
        </w:rPr>
        <w:t>Hospitality, Tourism, and Recreation</w:t>
      </w:r>
    </w:p>
    <w:p w14:paraId="510C4E57" w14:textId="77777777" w:rsidR="00330ABC" w:rsidRPr="003044EB" w:rsidRDefault="00330ABC" w:rsidP="00FE7EAD">
      <w:pPr>
        <w:numPr>
          <w:ilvl w:val="0"/>
          <w:numId w:val="13"/>
        </w:numPr>
        <w:ind w:left="1440"/>
        <w:rPr>
          <w:rFonts w:ascii="Arial" w:eastAsiaTheme="majorEastAsia" w:hAnsi="Arial" w:cs="Arial"/>
        </w:rPr>
      </w:pPr>
      <w:r w:rsidRPr="003044EB">
        <w:rPr>
          <w:rFonts w:ascii="Arial" w:eastAsiaTheme="majorEastAsia" w:hAnsi="Arial" w:cs="Arial"/>
        </w:rPr>
        <w:t>Manufacturing and Product Development</w:t>
      </w:r>
    </w:p>
    <w:p w14:paraId="6026510C" w14:textId="77777777" w:rsidR="00330ABC" w:rsidRPr="003044EB" w:rsidRDefault="00330ABC" w:rsidP="00FE7EAD">
      <w:pPr>
        <w:numPr>
          <w:ilvl w:val="0"/>
          <w:numId w:val="13"/>
        </w:numPr>
        <w:ind w:left="1440"/>
        <w:rPr>
          <w:rFonts w:ascii="Arial" w:eastAsiaTheme="majorEastAsia" w:hAnsi="Arial" w:cs="Arial"/>
        </w:rPr>
      </w:pPr>
      <w:r w:rsidRPr="003044EB">
        <w:rPr>
          <w:rFonts w:ascii="Arial" w:eastAsiaTheme="majorEastAsia" w:hAnsi="Arial" w:cs="Arial"/>
        </w:rPr>
        <w:t>Marketing, Sales, and Service</w:t>
      </w:r>
    </w:p>
    <w:p w14:paraId="39001359" w14:textId="77777777" w:rsidR="00330ABC" w:rsidRPr="003044EB" w:rsidRDefault="00330ABC" w:rsidP="00FE7EAD">
      <w:pPr>
        <w:numPr>
          <w:ilvl w:val="0"/>
          <w:numId w:val="13"/>
        </w:numPr>
        <w:ind w:left="1440"/>
        <w:rPr>
          <w:rFonts w:ascii="Arial" w:eastAsiaTheme="majorEastAsia" w:hAnsi="Arial" w:cs="Arial"/>
        </w:rPr>
      </w:pPr>
      <w:r w:rsidRPr="003044EB">
        <w:rPr>
          <w:rFonts w:ascii="Arial" w:eastAsiaTheme="majorEastAsia" w:hAnsi="Arial" w:cs="Arial"/>
        </w:rPr>
        <w:t>Transportation</w:t>
      </w:r>
    </w:p>
    <w:p w14:paraId="52F31CF1" w14:textId="77777777" w:rsidR="00330ABC" w:rsidRPr="003044EB" w:rsidRDefault="00330ABC" w:rsidP="00FE7EAD">
      <w:pPr>
        <w:numPr>
          <w:ilvl w:val="0"/>
          <w:numId w:val="13"/>
        </w:numPr>
        <w:ind w:left="1440"/>
        <w:rPr>
          <w:rFonts w:ascii="Arial" w:eastAsiaTheme="majorEastAsia" w:hAnsi="Arial" w:cs="Arial"/>
        </w:rPr>
      </w:pPr>
      <w:r w:rsidRPr="003044EB">
        <w:rPr>
          <w:rFonts w:ascii="Arial" w:eastAsiaTheme="majorEastAsia" w:hAnsi="Arial" w:cs="Arial"/>
        </w:rPr>
        <w:t>Public Services</w:t>
      </w:r>
    </w:p>
    <w:p w14:paraId="53AA1AB2" w14:textId="77777777" w:rsidR="00330ABC" w:rsidRPr="003044EB" w:rsidRDefault="00330ABC" w:rsidP="00FE7EAD">
      <w:pPr>
        <w:numPr>
          <w:ilvl w:val="0"/>
          <w:numId w:val="13"/>
        </w:numPr>
        <w:spacing w:after="240"/>
        <w:ind w:left="1440"/>
        <w:rPr>
          <w:rFonts w:ascii="Arial" w:eastAsiaTheme="majorEastAsia" w:hAnsi="Arial" w:cs="Arial"/>
        </w:rPr>
      </w:pPr>
      <w:r w:rsidRPr="003044EB">
        <w:rPr>
          <w:rFonts w:ascii="Arial" w:eastAsiaTheme="majorEastAsia" w:hAnsi="Arial" w:cs="Arial"/>
        </w:rPr>
        <w:t>Other</w:t>
      </w:r>
    </w:p>
    <w:p w14:paraId="3FCF1401" w14:textId="77777777" w:rsidR="00330ABC" w:rsidRPr="003044EB" w:rsidRDefault="00330ABC" w:rsidP="00330ABC">
      <w:pPr>
        <w:numPr>
          <w:ilvl w:val="0"/>
          <w:numId w:val="1"/>
        </w:numPr>
        <w:spacing w:after="240"/>
        <w:rPr>
          <w:rFonts w:ascii="Arial" w:eastAsiaTheme="majorEastAsia" w:hAnsi="Arial" w:cs="Arial"/>
        </w:rPr>
      </w:pPr>
      <w:r w:rsidRPr="003044EB">
        <w:rPr>
          <w:rFonts w:ascii="Arial" w:eastAsiaTheme="majorEastAsia" w:hAnsi="Arial" w:cs="Arial"/>
        </w:rPr>
        <w:t>Have you received one of the following?</w:t>
      </w:r>
    </w:p>
    <w:p w14:paraId="063F2F14" w14:textId="77777777" w:rsidR="00330ABC" w:rsidRPr="003044EB" w:rsidRDefault="00330ABC" w:rsidP="00FE7EAD">
      <w:pPr>
        <w:numPr>
          <w:ilvl w:val="0"/>
          <w:numId w:val="14"/>
        </w:numPr>
        <w:spacing w:after="240"/>
        <w:ind w:left="1440"/>
        <w:rPr>
          <w:rFonts w:ascii="Arial" w:eastAsiaTheme="majorEastAsia" w:hAnsi="Arial" w:cs="Arial"/>
        </w:rPr>
      </w:pPr>
      <w:r w:rsidRPr="003044EB">
        <w:rPr>
          <w:rFonts w:ascii="Arial" w:eastAsiaTheme="majorEastAsia" w:hAnsi="Arial" w:cs="Arial"/>
        </w:rPr>
        <w:t>Industry-recognized credential (e.g.</w:t>
      </w:r>
      <w:r w:rsidR="00FE7EAD" w:rsidRPr="003044EB">
        <w:rPr>
          <w:rFonts w:ascii="Arial" w:eastAsiaTheme="majorEastAsia" w:hAnsi="Arial" w:cs="Arial"/>
        </w:rPr>
        <w:t>,</w:t>
      </w:r>
      <w:r w:rsidRPr="003044EB">
        <w:rPr>
          <w:rFonts w:ascii="Arial" w:eastAsiaTheme="majorEastAsia" w:hAnsi="Arial" w:cs="Arial"/>
        </w:rPr>
        <w:t xml:space="preserve"> Serv-Safe, National Institute of Metalworking Skills, </w:t>
      </w:r>
      <w:r w:rsidR="009C0C39" w:rsidRPr="003044EB">
        <w:rPr>
          <w:rFonts w:ascii="Arial" w:eastAsiaTheme="majorEastAsia" w:hAnsi="Arial" w:cs="Arial"/>
        </w:rPr>
        <w:t xml:space="preserve">and </w:t>
      </w:r>
      <w:r w:rsidRPr="003044EB">
        <w:rPr>
          <w:rFonts w:ascii="Arial" w:eastAsiaTheme="majorEastAsia" w:hAnsi="Arial" w:cs="Arial"/>
        </w:rPr>
        <w:t>American Welding Society)</w:t>
      </w:r>
    </w:p>
    <w:p w14:paraId="40FDB508" w14:textId="005BA2B2" w:rsidR="00330ABC" w:rsidRPr="003044EB" w:rsidRDefault="00330ABC" w:rsidP="00FE7EAD">
      <w:pPr>
        <w:numPr>
          <w:ilvl w:val="0"/>
          <w:numId w:val="14"/>
        </w:numPr>
        <w:spacing w:after="240"/>
        <w:ind w:left="1440"/>
        <w:rPr>
          <w:rFonts w:ascii="Arial" w:eastAsiaTheme="majorEastAsia" w:hAnsi="Arial" w:cs="Arial"/>
        </w:rPr>
      </w:pPr>
      <w:r w:rsidRPr="003044EB">
        <w:rPr>
          <w:rFonts w:ascii="Arial" w:eastAsiaTheme="majorEastAsia" w:hAnsi="Arial" w:cs="Arial"/>
        </w:rPr>
        <w:t>Certificate issued by a postsecondary institution</w:t>
      </w:r>
    </w:p>
    <w:p w14:paraId="6016D889" w14:textId="20DCCA06" w:rsidR="00330ABC" w:rsidRPr="003044EB" w:rsidRDefault="00330ABC" w:rsidP="00FE7EAD">
      <w:pPr>
        <w:numPr>
          <w:ilvl w:val="0"/>
          <w:numId w:val="14"/>
        </w:numPr>
        <w:spacing w:after="240"/>
        <w:ind w:left="1440"/>
        <w:rPr>
          <w:rFonts w:ascii="Arial" w:eastAsiaTheme="majorEastAsia" w:hAnsi="Arial" w:cs="Arial"/>
        </w:rPr>
      </w:pPr>
      <w:r w:rsidRPr="003044EB">
        <w:rPr>
          <w:rFonts w:ascii="Arial" w:eastAsiaTheme="majorEastAsia" w:hAnsi="Arial" w:cs="Arial"/>
        </w:rPr>
        <w:t>Degree awarded by a postsecondary institution</w:t>
      </w:r>
    </w:p>
    <w:p w14:paraId="677DD76F" w14:textId="23F160E8" w:rsidR="00330ABC" w:rsidRPr="003044EB" w:rsidRDefault="00330ABC" w:rsidP="00FE7EAD">
      <w:pPr>
        <w:numPr>
          <w:ilvl w:val="0"/>
          <w:numId w:val="14"/>
        </w:numPr>
        <w:spacing w:after="240"/>
        <w:ind w:left="1440"/>
        <w:rPr>
          <w:rFonts w:ascii="Arial" w:eastAsiaTheme="majorEastAsia" w:hAnsi="Arial" w:cs="Arial"/>
        </w:rPr>
      </w:pPr>
      <w:r w:rsidRPr="003044EB">
        <w:rPr>
          <w:rFonts w:ascii="Arial" w:eastAsiaTheme="majorEastAsia" w:hAnsi="Arial" w:cs="Arial"/>
        </w:rPr>
        <w:t>License issued by the State of California (e.g.</w:t>
      </w:r>
      <w:r w:rsidR="00FE7EAD" w:rsidRPr="003044EB">
        <w:rPr>
          <w:rFonts w:ascii="Arial" w:eastAsiaTheme="majorEastAsia" w:hAnsi="Arial" w:cs="Arial"/>
        </w:rPr>
        <w:t>,</w:t>
      </w:r>
      <w:r w:rsidRPr="003044EB">
        <w:rPr>
          <w:rFonts w:ascii="Arial" w:eastAsiaTheme="majorEastAsia" w:hAnsi="Arial" w:cs="Arial"/>
        </w:rPr>
        <w:t xml:space="preserve"> Cosmetology </w:t>
      </w:r>
      <w:r w:rsidR="009C0C39" w:rsidRPr="003044EB">
        <w:rPr>
          <w:rFonts w:ascii="Arial" w:eastAsiaTheme="majorEastAsia" w:hAnsi="Arial" w:cs="Arial"/>
        </w:rPr>
        <w:t xml:space="preserve">and </w:t>
      </w:r>
      <w:r w:rsidRPr="003044EB">
        <w:rPr>
          <w:rFonts w:ascii="Arial" w:eastAsiaTheme="majorEastAsia" w:hAnsi="Arial" w:cs="Arial"/>
        </w:rPr>
        <w:t>Certified Nursing Assistant)</w:t>
      </w:r>
    </w:p>
    <w:p w14:paraId="61BEAB18" w14:textId="77777777" w:rsidR="00330ABC" w:rsidRPr="003044EB" w:rsidRDefault="00330ABC" w:rsidP="00FE7EAD">
      <w:pPr>
        <w:numPr>
          <w:ilvl w:val="0"/>
          <w:numId w:val="14"/>
        </w:numPr>
        <w:spacing w:after="240"/>
        <w:ind w:left="1440"/>
        <w:rPr>
          <w:rFonts w:ascii="Arial" w:eastAsiaTheme="majorEastAsia" w:hAnsi="Arial" w:cs="Arial"/>
        </w:rPr>
      </w:pPr>
      <w:r w:rsidRPr="003044EB">
        <w:rPr>
          <w:rFonts w:ascii="Arial" w:eastAsiaTheme="majorEastAsia" w:hAnsi="Arial" w:cs="Arial"/>
        </w:rPr>
        <w:t>Other measure of technical skill attainment (e.g.</w:t>
      </w:r>
      <w:r w:rsidR="00FE7EAD" w:rsidRPr="003044EB">
        <w:rPr>
          <w:rFonts w:ascii="Arial" w:eastAsiaTheme="majorEastAsia" w:hAnsi="Arial" w:cs="Arial"/>
        </w:rPr>
        <w:t>,</w:t>
      </w:r>
      <w:r w:rsidRPr="003044EB">
        <w:rPr>
          <w:rFonts w:ascii="Arial" w:eastAsiaTheme="majorEastAsia" w:hAnsi="Arial" w:cs="Arial"/>
        </w:rPr>
        <w:t xml:space="preserve"> third-party certification, National Occupational Competency Testing Institute,</w:t>
      </w:r>
      <w:r w:rsidR="009C0C39" w:rsidRPr="003044EB">
        <w:rPr>
          <w:rFonts w:ascii="Arial" w:eastAsiaTheme="majorEastAsia" w:hAnsi="Arial" w:cs="Arial"/>
        </w:rPr>
        <w:t xml:space="preserve"> and</w:t>
      </w:r>
      <w:r w:rsidRPr="003044EB">
        <w:rPr>
          <w:rFonts w:ascii="Arial" w:eastAsiaTheme="majorEastAsia" w:hAnsi="Arial" w:cs="Arial"/>
        </w:rPr>
        <w:t xml:space="preserve"> </w:t>
      </w:r>
      <w:proofErr w:type="spellStart"/>
      <w:r w:rsidRPr="003044EB">
        <w:rPr>
          <w:rFonts w:ascii="Arial" w:eastAsiaTheme="majorEastAsia" w:hAnsi="Arial" w:cs="Arial"/>
        </w:rPr>
        <w:t>Certiport</w:t>
      </w:r>
      <w:proofErr w:type="spellEnd"/>
      <w:r w:rsidRPr="003044EB">
        <w:rPr>
          <w:rFonts w:ascii="Arial" w:eastAsiaTheme="majorEastAsia" w:hAnsi="Arial" w:cs="Arial"/>
        </w:rPr>
        <w:t>)</w:t>
      </w:r>
    </w:p>
    <w:p w14:paraId="6AB69587" w14:textId="77777777" w:rsidR="00330ABC" w:rsidRPr="003044EB" w:rsidRDefault="00330ABC" w:rsidP="00FE7EAD">
      <w:pPr>
        <w:numPr>
          <w:ilvl w:val="0"/>
          <w:numId w:val="14"/>
        </w:numPr>
        <w:spacing w:after="240"/>
        <w:ind w:left="1440"/>
        <w:rPr>
          <w:rFonts w:ascii="Arial" w:hAnsi="Arial" w:cs="Arial"/>
          <w:b/>
        </w:rPr>
      </w:pPr>
      <w:r w:rsidRPr="003044EB">
        <w:rPr>
          <w:rFonts w:ascii="Arial" w:eastAsiaTheme="majorEastAsia" w:hAnsi="Arial" w:cs="Arial"/>
        </w:rPr>
        <w:t>None of the above</w:t>
      </w:r>
    </w:p>
    <w:sectPr w:rsidR="00330ABC" w:rsidRPr="003044EB" w:rsidSect="004D710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014E8" w14:textId="77777777" w:rsidR="005C4B6D" w:rsidRDefault="005C4B6D">
      <w:r>
        <w:separator/>
      </w:r>
    </w:p>
    <w:p w14:paraId="15DF10A7" w14:textId="77777777" w:rsidR="005C4B6D" w:rsidRDefault="005C4B6D"/>
  </w:endnote>
  <w:endnote w:type="continuationSeparator" w:id="0">
    <w:p w14:paraId="5FB4D850" w14:textId="77777777" w:rsidR="005C4B6D" w:rsidRDefault="005C4B6D">
      <w:r>
        <w:continuationSeparator/>
      </w:r>
    </w:p>
    <w:p w14:paraId="37DB6C20" w14:textId="77777777" w:rsidR="005C4B6D" w:rsidRDefault="005C4B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409840"/>
      <w:docPartObj>
        <w:docPartGallery w:val="Page Numbers (Bottom of Page)"/>
        <w:docPartUnique/>
      </w:docPartObj>
    </w:sdtPr>
    <w:sdtEndPr>
      <w:rPr>
        <w:noProof/>
      </w:rPr>
    </w:sdtEndPr>
    <w:sdtContent>
      <w:p w14:paraId="31B811E4" w14:textId="77777777" w:rsidR="00330ABC" w:rsidRDefault="00330A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932EE4" w14:textId="77777777" w:rsidR="00330ABC" w:rsidRDefault="00330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196424"/>
      <w:docPartObj>
        <w:docPartGallery w:val="Page Numbers (Bottom of Page)"/>
        <w:docPartUnique/>
      </w:docPartObj>
    </w:sdtPr>
    <w:sdtEndPr>
      <w:rPr>
        <w:rFonts w:ascii="Arial" w:hAnsi="Arial" w:cs="Arial"/>
        <w:noProof/>
      </w:rPr>
    </w:sdtEndPr>
    <w:sdtContent>
      <w:p w14:paraId="5605E399" w14:textId="77777777" w:rsidR="00330ABC" w:rsidRPr="00330ABC" w:rsidRDefault="00330ABC">
        <w:pPr>
          <w:pStyle w:val="Footer"/>
          <w:jc w:val="center"/>
          <w:rPr>
            <w:rFonts w:ascii="Arial" w:hAnsi="Arial" w:cs="Arial"/>
          </w:rPr>
        </w:pPr>
        <w:r w:rsidRPr="00D50C94">
          <w:rPr>
            <w:rFonts w:ascii="Arial" w:hAnsi="Arial" w:cs="Arial"/>
          </w:rPr>
          <w:fldChar w:fldCharType="begin"/>
        </w:r>
        <w:r w:rsidRPr="00D50C94">
          <w:rPr>
            <w:rFonts w:ascii="Arial" w:hAnsi="Arial" w:cs="Arial"/>
          </w:rPr>
          <w:instrText xml:space="preserve"> PAGE   \* MERGEFORMAT </w:instrText>
        </w:r>
        <w:r w:rsidRPr="00D50C94">
          <w:rPr>
            <w:rFonts w:ascii="Arial" w:hAnsi="Arial" w:cs="Arial"/>
          </w:rPr>
          <w:fldChar w:fldCharType="separate"/>
        </w:r>
        <w:r w:rsidRPr="00D50C94">
          <w:rPr>
            <w:rFonts w:ascii="Arial" w:hAnsi="Arial" w:cs="Arial"/>
            <w:noProof/>
          </w:rPr>
          <w:t>2</w:t>
        </w:r>
        <w:r w:rsidRPr="00D50C94">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55880" w14:textId="77777777" w:rsidR="005C4B6D" w:rsidRDefault="005C4B6D">
      <w:r>
        <w:separator/>
      </w:r>
    </w:p>
    <w:p w14:paraId="1021080F" w14:textId="77777777" w:rsidR="005C4B6D" w:rsidRDefault="005C4B6D"/>
  </w:footnote>
  <w:footnote w:type="continuationSeparator" w:id="0">
    <w:p w14:paraId="2F3BA6EC" w14:textId="77777777" w:rsidR="005C4B6D" w:rsidRDefault="005C4B6D">
      <w:r>
        <w:continuationSeparator/>
      </w:r>
    </w:p>
    <w:p w14:paraId="1E7F7A30" w14:textId="77777777" w:rsidR="005C4B6D" w:rsidRDefault="005C4B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0A49"/>
    <w:multiLevelType w:val="hybridMultilevel"/>
    <w:tmpl w:val="6B6CA18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B64A94"/>
    <w:multiLevelType w:val="hybridMultilevel"/>
    <w:tmpl w:val="79123AB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AA2D3E"/>
    <w:multiLevelType w:val="hybridMultilevel"/>
    <w:tmpl w:val="CE645BD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E74E1D"/>
    <w:multiLevelType w:val="hybridMultilevel"/>
    <w:tmpl w:val="068EF6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367B92"/>
    <w:multiLevelType w:val="hybridMultilevel"/>
    <w:tmpl w:val="BB0A002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2F652A"/>
    <w:multiLevelType w:val="hybridMultilevel"/>
    <w:tmpl w:val="9814AB66"/>
    <w:lvl w:ilvl="0" w:tplc="58FE9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33814"/>
    <w:multiLevelType w:val="hybridMultilevel"/>
    <w:tmpl w:val="25C68B3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DF3DDB"/>
    <w:multiLevelType w:val="hybridMultilevel"/>
    <w:tmpl w:val="549E8DC4"/>
    <w:lvl w:ilvl="0" w:tplc="342ABD4C">
      <w:start w:val="1"/>
      <w:numFmt w:val="bullet"/>
      <w:lvlText w:val="•"/>
      <w:lvlJc w:val="left"/>
      <w:pPr>
        <w:tabs>
          <w:tab w:val="num" w:pos="720"/>
        </w:tabs>
        <w:ind w:left="720" w:hanging="360"/>
      </w:pPr>
      <w:rPr>
        <w:rFonts w:ascii="Arial" w:hAnsi="Arial" w:hint="default"/>
      </w:rPr>
    </w:lvl>
    <w:lvl w:ilvl="1" w:tplc="B47435D8" w:tentative="1">
      <w:start w:val="1"/>
      <w:numFmt w:val="bullet"/>
      <w:lvlText w:val="•"/>
      <w:lvlJc w:val="left"/>
      <w:pPr>
        <w:tabs>
          <w:tab w:val="num" w:pos="1440"/>
        </w:tabs>
        <w:ind w:left="1440" w:hanging="360"/>
      </w:pPr>
      <w:rPr>
        <w:rFonts w:ascii="Arial" w:hAnsi="Arial" w:hint="default"/>
      </w:rPr>
    </w:lvl>
    <w:lvl w:ilvl="2" w:tplc="0972D80A" w:tentative="1">
      <w:start w:val="1"/>
      <w:numFmt w:val="bullet"/>
      <w:lvlText w:val="•"/>
      <w:lvlJc w:val="left"/>
      <w:pPr>
        <w:tabs>
          <w:tab w:val="num" w:pos="2160"/>
        </w:tabs>
        <w:ind w:left="2160" w:hanging="360"/>
      </w:pPr>
      <w:rPr>
        <w:rFonts w:ascii="Arial" w:hAnsi="Arial" w:hint="default"/>
      </w:rPr>
    </w:lvl>
    <w:lvl w:ilvl="3" w:tplc="8F286F4C" w:tentative="1">
      <w:start w:val="1"/>
      <w:numFmt w:val="bullet"/>
      <w:lvlText w:val="•"/>
      <w:lvlJc w:val="left"/>
      <w:pPr>
        <w:tabs>
          <w:tab w:val="num" w:pos="2880"/>
        </w:tabs>
        <w:ind w:left="2880" w:hanging="360"/>
      </w:pPr>
      <w:rPr>
        <w:rFonts w:ascii="Arial" w:hAnsi="Arial" w:hint="default"/>
      </w:rPr>
    </w:lvl>
    <w:lvl w:ilvl="4" w:tplc="105C0982" w:tentative="1">
      <w:start w:val="1"/>
      <w:numFmt w:val="bullet"/>
      <w:lvlText w:val="•"/>
      <w:lvlJc w:val="left"/>
      <w:pPr>
        <w:tabs>
          <w:tab w:val="num" w:pos="3600"/>
        </w:tabs>
        <w:ind w:left="3600" w:hanging="360"/>
      </w:pPr>
      <w:rPr>
        <w:rFonts w:ascii="Arial" w:hAnsi="Arial" w:hint="default"/>
      </w:rPr>
    </w:lvl>
    <w:lvl w:ilvl="5" w:tplc="2D52EF04" w:tentative="1">
      <w:start w:val="1"/>
      <w:numFmt w:val="bullet"/>
      <w:lvlText w:val="•"/>
      <w:lvlJc w:val="left"/>
      <w:pPr>
        <w:tabs>
          <w:tab w:val="num" w:pos="4320"/>
        </w:tabs>
        <w:ind w:left="4320" w:hanging="360"/>
      </w:pPr>
      <w:rPr>
        <w:rFonts w:ascii="Arial" w:hAnsi="Arial" w:hint="default"/>
      </w:rPr>
    </w:lvl>
    <w:lvl w:ilvl="6" w:tplc="25AA5252" w:tentative="1">
      <w:start w:val="1"/>
      <w:numFmt w:val="bullet"/>
      <w:lvlText w:val="•"/>
      <w:lvlJc w:val="left"/>
      <w:pPr>
        <w:tabs>
          <w:tab w:val="num" w:pos="5040"/>
        </w:tabs>
        <w:ind w:left="5040" w:hanging="360"/>
      </w:pPr>
      <w:rPr>
        <w:rFonts w:ascii="Arial" w:hAnsi="Arial" w:hint="default"/>
      </w:rPr>
    </w:lvl>
    <w:lvl w:ilvl="7" w:tplc="6E204614" w:tentative="1">
      <w:start w:val="1"/>
      <w:numFmt w:val="bullet"/>
      <w:lvlText w:val="•"/>
      <w:lvlJc w:val="left"/>
      <w:pPr>
        <w:tabs>
          <w:tab w:val="num" w:pos="5760"/>
        </w:tabs>
        <w:ind w:left="5760" w:hanging="360"/>
      </w:pPr>
      <w:rPr>
        <w:rFonts w:ascii="Arial" w:hAnsi="Arial" w:hint="default"/>
      </w:rPr>
    </w:lvl>
    <w:lvl w:ilvl="8" w:tplc="E16C925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8B67EE"/>
    <w:multiLevelType w:val="hybridMultilevel"/>
    <w:tmpl w:val="A308182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924381"/>
    <w:multiLevelType w:val="hybridMultilevel"/>
    <w:tmpl w:val="DC5415CC"/>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6610B9"/>
    <w:multiLevelType w:val="hybridMultilevel"/>
    <w:tmpl w:val="73EA7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326EEA"/>
    <w:multiLevelType w:val="hybridMultilevel"/>
    <w:tmpl w:val="F6CA2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C06297"/>
    <w:multiLevelType w:val="hybridMultilevel"/>
    <w:tmpl w:val="307A1A3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C550FCC"/>
    <w:multiLevelType w:val="hybridMultilevel"/>
    <w:tmpl w:val="884E9A9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96C5174"/>
    <w:multiLevelType w:val="hybridMultilevel"/>
    <w:tmpl w:val="1AA21B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AD86BDF"/>
    <w:multiLevelType w:val="hybridMultilevel"/>
    <w:tmpl w:val="509E182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C1C6D11"/>
    <w:multiLevelType w:val="hybridMultilevel"/>
    <w:tmpl w:val="5322A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BE1747"/>
    <w:multiLevelType w:val="hybridMultilevel"/>
    <w:tmpl w:val="45B456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1F11FE3"/>
    <w:multiLevelType w:val="hybridMultilevel"/>
    <w:tmpl w:val="02CEF1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9430159"/>
    <w:multiLevelType w:val="hybridMultilevel"/>
    <w:tmpl w:val="D77E770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FD915F9"/>
    <w:multiLevelType w:val="hybridMultilevel"/>
    <w:tmpl w:val="622A830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11F71C3"/>
    <w:multiLevelType w:val="hybridMultilevel"/>
    <w:tmpl w:val="29F89C1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2364300"/>
    <w:multiLevelType w:val="hybridMultilevel"/>
    <w:tmpl w:val="0F1C246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98D5CA0"/>
    <w:multiLevelType w:val="hybridMultilevel"/>
    <w:tmpl w:val="48FAEC2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BD57D99"/>
    <w:multiLevelType w:val="hybridMultilevel"/>
    <w:tmpl w:val="442A8F1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42733313">
    <w:abstractNumId w:val="11"/>
  </w:num>
  <w:num w:numId="2" w16cid:durableId="2125953010">
    <w:abstractNumId w:val="6"/>
  </w:num>
  <w:num w:numId="3" w16cid:durableId="383332198">
    <w:abstractNumId w:val="12"/>
  </w:num>
  <w:num w:numId="4" w16cid:durableId="1219783644">
    <w:abstractNumId w:val="18"/>
  </w:num>
  <w:num w:numId="5" w16cid:durableId="641814610">
    <w:abstractNumId w:val="22"/>
  </w:num>
  <w:num w:numId="6" w16cid:durableId="134031493">
    <w:abstractNumId w:val="14"/>
  </w:num>
  <w:num w:numId="7" w16cid:durableId="1822847457">
    <w:abstractNumId w:val="20"/>
  </w:num>
  <w:num w:numId="8" w16cid:durableId="1056246376">
    <w:abstractNumId w:val="9"/>
  </w:num>
  <w:num w:numId="9" w16cid:durableId="971669472">
    <w:abstractNumId w:val="21"/>
  </w:num>
  <w:num w:numId="10" w16cid:durableId="386413056">
    <w:abstractNumId w:val="13"/>
  </w:num>
  <w:num w:numId="11" w16cid:durableId="1532376752">
    <w:abstractNumId w:val="10"/>
  </w:num>
  <w:num w:numId="12" w16cid:durableId="1816600689">
    <w:abstractNumId w:val="7"/>
  </w:num>
  <w:num w:numId="13" w16cid:durableId="532698006">
    <w:abstractNumId w:val="0"/>
  </w:num>
  <w:num w:numId="14" w16cid:durableId="924653029">
    <w:abstractNumId w:val="15"/>
  </w:num>
  <w:num w:numId="15" w16cid:durableId="581256298">
    <w:abstractNumId w:val="17"/>
  </w:num>
  <w:num w:numId="16" w16cid:durableId="898707685">
    <w:abstractNumId w:val="24"/>
  </w:num>
  <w:num w:numId="17" w16cid:durableId="1855919881">
    <w:abstractNumId w:val="8"/>
  </w:num>
  <w:num w:numId="18" w16cid:durableId="2070107493">
    <w:abstractNumId w:val="23"/>
  </w:num>
  <w:num w:numId="19" w16cid:durableId="1493914624">
    <w:abstractNumId w:val="4"/>
  </w:num>
  <w:num w:numId="20" w16cid:durableId="1828788123">
    <w:abstractNumId w:val="19"/>
  </w:num>
  <w:num w:numId="21" w16cid:durableId="630215087">
    <w:abstractNumId w:val="2"/>
  </w:num>
  <w:num w:numId="22" w16cid:durableId="1947158183">
    <w:abstractNumId w:val="5"/>
  </w:num>
  <w:num w:numId="23" w16cid:durableId="595090363">
    <w:abstractNumId w:val="16"/>
  </w:num>
  <w:num w:numId="24" w16cid:durableId="1222525915">
    <w:abstractNumId w:val="1"/>
  </w:num>
  <w:num w:numId="25" w16cid:durableId="1346400693">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A0"/>
    <w:rsid w:val="00000FBF"/>
    <w:rsid w:val="00002C45"/>
    <w:rsid w:val="000071B8"/>
    <w:rsid w:val="00011A32"/>
    <w:rsid w:val="00012990"/>
    <w:rsid w:val="00015B44"/>
    <w:rsid w:val="000314D9"/>
    <w:rsid w:val="00032B59"/>
    <w:rsid w:val="000369D3"/>
    <w:rsid w:val="00037686"/>
    <w:rsid w:val="00041CC8"/>
    <w:rsid w:val="00052FFA"/>
    <w:rsid w:val="00057444"/>
    <w:rsid w:val="00057B73"/>
    <w:rsid w:val="000629D8"/>
    <w:rsid w:val="00063655"/>
    <w:rsid w:val="00072252"/>
    <w:rsid w:val="00073DBD"/>
    <w:rsid w:val="00074AB9"/>
    <w:rsid w:val="0007627C"/>
    <w:rsid w:val="00077C0B"/>
    <w:rsid w:val="00082874"/>
    <w:rsid w:val="000830FB"/>
    <w:rsid w:val="000838F2"/>
    <w:rsid w:val="000840F7"/>
    <w:rsid w:val="00092090"/>
    <w:rsid w:val="00092BAC"/>
    <w:rsid w:val="00093203"/>
    <w:rsid w:val="00094116"/>
    <w:rsid w:val="00094495"/>
    <w:rsid w:val="00097B4A"/>
    <w:rsid w:val="000A038C"/>
    <w:rsid w:val="000A443D"/>
    <w:rsid w:val="000A57E4"/>
    <w:rsid w:val="000A598F"/>
    <w:rsid w:val="000A5EF1"/>
    <w:rsid w:val="000A69FD"/>
    <w:rsid w:val="000B0C57"/>
    <w:rsid w:val="000B0CAD"/>
    <w:rsid w:val="000B29BB"/>
    <w:rsid w:val="000B3DF2"/>
    <w:rsid w:val="000B5DE5"/>
    <w:rsid w:val="000C01A9"/>
    <w:rsid w:val="000C29CF"/>
    <w:rsid w:val="000C5EB9"/>
    <w:rsid w:val="000C5F08"/>
    <w:rsid w:val="000D15EE"/>
    <w:rsid w:val="000D3BCE"/>
    <w:rsid w:val="000D5100"/>
    <w:rsid w:val="000D5824"/>
    <w:rsid w:val="000D66A8"/>
    <w:rsid w:val="000D6BC1"/>
    <w:rsid w:val="000E54C9"/>
    <w:rsid w:val="000F1BA7"/>
    <w:rsid w:val="000F6C22"/>
    <w:rsid w:val="00100316"/>
    <w:rsid w:val="00105086"/>
    <w:rsid w:val="0010581D"/>
    <w:rsid w:val="00105AEB"/>
    <w:rsid w:val="00112257"/>
    <w:rsid w:val="00116841"/>
    <w:rsid w:val="00117B85"/>
    <w:rsid w:val="00117D04"/>
    <w:rsid w:val="0012232E"/>
    <w:rsid w:val="00125B5D"/>
    <w:rsid w:val="00131782"/>
    <w:rsid w:val="00143864"/>
    <w:rsid w:val="00146ECD"/>
    <w:rsid w:val="00147288"/>
    <w:rsid w:val="00147EAD"/>
    <w:rsid w:val="0015489E"/>
    <w:rsid w:val="00155C30"/>
    <w:rsid w:val="00156484"/>
    <w:rsid w:val="001564DF"/>
    <w:rsid w:val="00156903"/>
    <w:rsid w:val="00157CD0"/>
    <w:rsid w:val="00160143"/>
    <w:rsid w:val="00161DB7"/>
    <w:rsid w:val="001626DF"/>
    <w:rsid w:val="0017409F"/>
    <w:rsid w:val="0017488E"/>
    <w:rsid w:val="00175BC6"/>
    <w:rsid w:val="00177A0A"/>
    <w:rsid w:val="00184368"/>
    <w:rsid w:val="00184765"/>
    <w:rsid w:val="00186BD7"/>
    <w:rsid w:val="00191CD4"/>
    <w:rsid w:val="00191EBE"/>
    <w:rsid w:val="00192508"/>
    <w:rsid w:val="001928F6"/>
    <w:rsid w:val="00192BD0"/>
    <w:rsid w:val="001A4B9C"/>
    <w:rsid w:val="001B003F"/>
    <w:rsid w:val="001B02EF"/>
    <w:rsid w:val="001B10EA"/>
    <w:rsid w:val="001B254F"/>
    <w:rsid w:val="001B5C88"/>
    <w:rsid w:val="001B6278"/>
    <w:rsid w:val="001B6E2E"/>
    <w:rsid w:val="001C1783"/>
    <w:rsid w:val="001C21BC"/>
    <w:rsid w:val="001C251C"/>
    <w:rsid w:val="001C3C00"/>
    <w:rsid w:val="001C52DE"/>
    <w:rsid w:val="001C78A1"/>
    <w:rsid w:val="001D3F2B"/>
    <w:rsid w:val="001D459F"/>
    <w:rsid w:val="001D5342"/>
    <w:rsid w:val="001E1196"/>
    <w:rsid w:val="001E195B"/>
    <w:rsid w:val="001F07EC"/>
    <w:rsid w:val="001F1AE7"/>
    <w:rsid w:val="001F33A6"/>
    <w:rsid w:val="001F3C83"/>
    <w:rsid w:val="001F6AAC"/>
    <w:rsid w:val="00203A52"/>
    <w:rsid w:val="00210FF7"/>
    <w:rsid w:val="002255BF"/>
    <w:rsid w:val="002344C6"/>
    <w:rsid w:val="00237437"/>
    <w:rsid w:val="0024091B"/>
    <w:rsid w:val="00244C12"/>
    <w:rsid w:val="002506B8"/>
    <w:rsid w:val="00250B86"/>
    <w:rsid w:val="00250DAC"/>
    <w:rsid w:val="00253318"/>
    <w:rsid w:val="00255AE4"/>
    <w:rsid w:val="00260901"/>
    <w:rsid w:val="00260D02"/>
    <w:rsid w:val="00261BB4"/>
    <w:rsid w:val="0026353F"/>
    <w:rsid w:val="00263859"/>
    <w:rsid w:val="00273FE6"/>
    <w:rsid w:val="002769ED"/>
    <w:rsid w:val="0027739E"/>
    <w:rsid w:val="0028140F"/>
    <w:rsid w:val="0028301B"/>
    <w:rsid w:val="00283238"/>
    <w:rsid w:val="00284337"/>
    <w:rsid w:val="00290C38"/>
    <w:rsid w:val="0029344F"/>
    <w:rsid w:val="00293CC4"/>
    <w:rsid w:val="002A6764"/>
    <w:rsid w:val="002A6A94"/>
    <w:rsid w:val="002B5A94"/>
    <w:rsid w:val="002B77E9"/>
    <w:rsid w:val="002B7C0B"/>
    <w:rsid w:val="002C2D64"/>
    <w:rsid w:val="002C4179"/>
    <w:rsid w:val="002C4BAE"/>
    <w:rsid w:val="002D13AF"/>
    <w:rsid w:val="002D158F"/>
    <w:rsid w:val="002D6FDE"/>
    <w:rsid w:val="002D7196"/>
    <w:rsid w:val="002D74CA"/>
    <w:rsid w:val="002E2E83"/>
    <w:rsid w:val="002E33DE"/>
    <w:rsid w:val="002E76E6"/>
    <w:rsid w:val="002E7AFB"/>
    <w:rsid w:val="002F205E"/>
    <w:rsid w:val="002F2B76"/>
    <w:rsid w:val="002F2EAB"/>
    <w:rsid w:val="002F3038"/>
    <w:rsid w:val="003008A1"/>
    <w:rsid w:val="003009F9"/>
    <w:rsid w:val="00300B34"/>
    <w:rsid w:val="00301CE2"/>
    <w:rsid w:val="003035E4"/>
    <w:rsid w:val="00303763"/>
    <w:rsid w:val="003044EB"/>
    <w:rsid w:val="00304B46"/>
    <w:rsid w:val="00315109"/>
    <w:rsid w:val="0031591D"/>
    <w:rsid w:val="00316FBE"/>
    <w:rsid w:val="00317227"/>
    <w:rsid w:val="00320237"/>
    <w:rsid w:val="0032572B"/>
    <w:rsid w:val="00327C10"/>
    <w:rsid w:val="00330ABC"/>
    <w:rsid w:val="00333E12"/>
    <w:rsid w:val="00336810"/>
    <w:rsid w:val="003443EC"/>
    <w:rsid w:val="00346F99"/>
    <w:rsid w:val="00350A42"/>
    <w:rsid w:val="00351B92"/>
    <w:rsid w:val="00355B34"/>
    <w:rsid w:val="00357215"/>
    <w:rsid w:val="00357D98"/>
    <w:rsid w:val="00365462"/>
    <w:rsid w:val="00365BF1"/>
    <w:rsid w:val="00367D09"/>
    <w:rsid w:val="00373BEB"/>
    <w:rsid w:val="003750C8"/>
    <w:rsid w:val="00375F5F"/>
    <w:rsid w:val="00376E7A"/>
    <w:rsid w:val="003773AA"/>
    <w:rsid w:val="00384036"/>
    <w:rsid w:val="00384E27"/>
    <w:rsid w:val="00386C8C"/>
    <w:rsid w:val="00387435"/>
    <w:rsid w:val="003877B9"/>
    <w:rsid w:val="00390F0F"/>
    <w:rsid w:val="00393668"/>
    <w:rsid w:val="00395F29"/>
    <w:rsid w:val="003A7AFC"/>
    <w:rsid w:val="003B069B"/>
    <w:rsid w:val="003B0CF6"/>
    <w:rsid w:val="003B533D"/>
    <w:rsid w:val="003B5992"/>
    <w:rsid w:val="003C14F6"/>
    <w:rsid w:val="003C1900"/>
    <w:rsid w:val="003C29B7"/>
    <w:rsid w:val="003C2F70"/>
    <w:rsid w:val="003C3A17"/>
    <w:rsid w:val="003D3117"/>
    <w:rsid w:val="003D31BB"/>
    <w:rsid w:val="003D53AC"/>
    <w:rsid w:val="003D5504"/>
    <w:rsid w:val="003E1A31"/>
    <w:rsid w:val="003E327F"/>
    <w:rsid w:val="003E5330"/>
    <w:rsid w:val="003E7375"/>
    <w:rsid w:val="003F6B01"/>
    <w:rsid w:val="003F7146"/>
    <w:rsid w:val="00400331"/>
    <w:rsid w:val="00400A1A"/>
    <w:rsid w:val="00400A1D"/>
    <w:rsid w:val="00404851"/>
    <w:rsid w:val="00411194"/>
    <w:rsid w:val="0041143D"/>
    <w:rsid w:val="00411D1A"/>
    <w:rsid w:val="00413B6F"/>
    <w:rsid w:val="0041626C"/>
    <w:rsid w:val="00416FC4"/>
    <w:rsid w:val="004216AE"/>
    <w:rsid w:val="004237AF"/>
    <w:rsid w:val="004340C3"/>
    <w:rsid w:val="0043461E"/>
    <w:rsid w:val="0043570C"/>
    <w:rsid w:val="0043732A"/>
    <w:rsid w:val="00441540"/>
    <w:rsid w:val="0044244B"/>
    <w:rsid w:val="00444FFE"/>
    <w:rsid w:val="0044684C"/>
    <w:rsid w:val="0045250D"/>
    <w:rsid w:val="00453658"/>
    <w:rsid w:val="004548D5"/>
    <w:rsid w:val="00456708"/>
    <w:rsid w:val="0045760E"/>
    <w:rsid w:val="00457D95"/>
    <w:rsid w:val="00460EE2"/>
    <w:rsid w:val="004611D9"/>
    <w:rsid w:val="004614D3"/>
    <w:rsid w:val="0046636D"/>
    <w:rsid w:val="004727C8"/>
    <w:rsid w:val="00473BC6"/>
    <w:rsid w:val="00475856"/>
    <w:rsid w:val="00475C9C"/>
    <w:rsid w:val="00483192"/>
    <w:rsid w:val="0048325C"/>
    <w:rsid w:val="00487096"/>
    <w:rsid w:val="0049168F"/>
    <w:rsid w:val="00493CDE"/>
    <w:rsid w:val="004940B0"/>
    <w:rsid w:val="00494A1B"/>
    <w:rsid w:val="00496991"/>
    <w:rsid w:val="004A1423"/>
    <w:rsid w:val="004A25BC"/>
    <w:rsid w:val="004A2826"/>
    <w:rsid w:val="004B11C3"/>
    <w:rsid w:val="004B1897"/>
    <w:rsid w:val="004B3123"/>
    <w:rsid w:val="004B37FA"/>
    <w:rsid w:val="004B53D3"/>
    <w:rsid w:val="004B5A86"/>
    <w:rsid w:val="004C0B59"/>
    <w:rsid w:val="004C17BD"/>
    <w:rsid w:val="004C63CA"/>
    <w:rsid w:val="004C6741"/>
    <w:rsid w:val="004D1D94"/>
    <w:rsid w:val="004D401F"/>
    <w:rsid w:val="004D4F2B"/>
    <w:rsid w:val="004D7102"/>
    <w:rsid w:val="004D71AB"/>
    <w:rsid w:val="004E0083"/>
    <w:rsid w:val="004E2472"/>
    <w:rsid w:val="004E452D"/>
    <w:rsid w:val="004E5C3A"/>
    <w:rsid w:val="004E65A2"/>
    <w:rsid w:val="004F0831"/>
    <w:rsid w:val="004F1FAE"/>
    <w:rsid w:val="004F57E4"/>
    <w:rsid w:val="004F58B1"/>
    <w:rsid w:val="004F5B0C"/>
    <w:rsid w:val="005006C6"/>
    <w:rsid w:val="0050081F"/>
    <w:rsid w:val="00501401"/>
    <w:rsid w:val="00501CE8"/>
    <w:rsid w:val="0050222C"/>
    <w:rsid w:val="00502BB9"/>
    <w:rsid w:val="00503556"/>
    <w:rsid w:val="00503B50"/>
    <w:rsid w:val="00507668"/>
    <w:rsid w:val="005147AA"/>
    <w:rsid w:val="00517BD9"/>
    <w:rsid w:val="00521056"/>
    <w:rsid w:val="00523552"/>
    <w:rsid w:val="00525ECF"/>
    <w:rsid w:val="0052635F"/>
    <w:rsid w:val="00532307"/>
    <w:rsid w:val="00536980"/>
    <w:rsid w:val="0054460C"/>
    <w:rsid w:val="00544CC4"/>
    <w:rsid w:val="0055035E"/>
    <w:rsid w:val="00550DA0"/>
    <w:rsid w:val="00551E93"/>
    <w:rsid w:val="00552E7E"/>
    <w:rsid w:val="00553AF6"/>
    <w:rsid w:val="005639A8"/>
    <w:rsid w:val="00571A5E"/>
    <w:rsid w:val="005729F9"/>
    <w:rsid w:val="0057519F"/>
    <w:rsid w:val="00577E5F"/>
    <w:rsid w:val="005803CF"/>
    <w:rsid w:val="005810C6"/>
    <w:rsid w:val="0058218A"/>
    <w:rsid w:val="00582EEE"/>
    <w:rsid w:val="0058327F"/>
    <w:rsid w:val="00583A08"/>
    <w:rsid w:val="00584BF6"/>
    <w:rsid w:val="005935EB"/>
    <w:rsid w:val="005938E4"/>
    <w:rsid w:val="005A2948"/>
    <w:rsid w:val="005A29B7"/>
    <w:rsid w:val="005A3A52"/>
    <w:rsid w:val="005A66E4"/>
    <w:rsid w:val="005B3E5C"/>
    <w:rsid w:val="005B7D3D"/>
    <w:rsid w:val="005C1BE0"/>
    <w:rsid w:val="005C4B6D"/>
    <w:rsid w:val="005C6242"/>
    <w:rsid w:val="005C7047"/>
    <w:rsid w:val="005D1E42"/>
    <w:rsid w:val="005D38B4"/>
    <w:rsid w:val="005D56AF"/>
    <w:rsid w:val="005D6857"/>
    <w:rsid w:val="005E0DF9"/>
    <w:rsid w:val="005E4C56"/>
    <w:rsid w:val="005E704C"/>
    <w:rsid w:val="005E7E5E"/>
    <w:rsid w:val="00600487"/>
    <w:rsid w:val="00603F90"/>
    <w:rsid w:val="006062A5"/>
    <w:rsid w:val="006064DB"/>
    <w:rsid w:val="00624487"/>
    <w:rsid w:val="006260BE"/>
    <w:rsid w:val="00626A9D"/>
    <w:rsid w:val="00630509"/>
    <w:rsid w:val="006313ED"/>
    <w:rsid w:val="0063359E"/>
    <w:rsid w:val="0064121D"/>
    <w:rsid w:val="00642412"/>
    <w:rsid w:val="00643414"/>
    <w:rsid w:val="006470F5"/>
    <w:rsid w:val="006472FA"/>
    <w:rsid w:val="00652ADC"/>
    <w:rsid w:val="00652D5C"/>
    <w:rsid w:val="00654A0A"/>
    <w:rsid w:val="00657910"/>
    <w:rsid w:val="006606F6"/>
    <w:rsid w:val="00665D53"/>
    <w:rsid w:val="00666044"/>
    <w:rsid w:val="00667A43"/>
    <w:rsid w:val="00670F46"/>
    <w:rsid w:val="0067108D"/>
    <w:rsid w:val="0067139D"/>
    <w:rsid w:val="006715BB"/>
    <w:rsid w:val="00674E80"/>
    <w:rsid w:val="00676369"/>
    <w:rsid w:val="0067796F"/>
    <w:rsid w:val="00681D77"/>
    <w:rsid w:val="00685CB8"/>
    <w:rsid w:val="0069095C"/>
    <w:rsid w:val="00690AD2"/>
    <w:rsid w:val="00691FBB"/>
    <w:rsid w:val="00693F62"/>
    <w:rsid w:val="00694798"/>
    <w:rsid w:val="006951AA"/>
    <w:rsid w:val="006953DC"/>
    <w:rsid w:val="006A1802"/>
    <w:rsid w:val="006A323F"/>
    <w:rsid w:val="006A3EAB"/>
    <w:rsid w:val="006C25C8"/>
    <w:rsid w:val="006C3DC5"/>
    <w:rsid w:val="006C4F1D"/>
    <w:rsid w:val="006D0E7D"/>
    <w:rsid w:val="006D1FA9"/>
    <w:rsid w:val="006F1FCD"/>
    <w:rsid w:val="006F2567"/>
    <w:rsid w:val="006F5D6E"/>
    <w:rsid w:val="00700E16"/>
    <w:rsid w:val="00703A81"/>
    <w:rsid w:val="00703E2C"/>
    <w:rsid w:val="00704160"/>
    <w:rsid w:val="00705790"/>
    <w:rsid w:val="00710481"/>
    <w:rsid w:val="00717458"/>
    <w:rsid w:val="00720827"/>
    <w:rsid w:val="00721A3D"/>
    <w:rsid w:val="00724F91"/>
    <w:rsid w:val="00725437"/>
    <w:rsid w:val="00725F38"/>
    <w:rsid w:val="0072742A"/>
    <w:rsid w:val="00732CE8"/>
    <w:rsid w:val="00732E6C"/>
    <w:rsid w:val="00733B66"/>
    <w:rsid w:val="0073740A"/>
    <w:rsid w:val="0073742B"/>
    <w:rsid w:val="0074626A"/>
    <w:rsid w:val="00747235"/>
    <w:rsid w:val="00747C61"/>
    <w:rsid w:val="00750137"/>
    <w:rsid w:val="0075112F"/>
    <w:rsid w:val="00752726"/>
    <w:rsid w:val="00752AC6"/>
    <w:rsid w:val="00755DE5"/>
    <w:rsid w:val="007560FB"/>
    <w:rsid w:val="007602FA"/>
    <w:rsid w:val="00761CC3"/>
    <w:rsid w:val="007623F1"/>
    <w:rsid w:val="00764382"/>
    <w:rsid w:val="00764CCC"/>
    <w:rsid w:val="00766343"/>
    <w:rsid w:val="00771F9C"/>
    <w:rsid w:val="007739B7"/>
    <w:rsid w:val="007751A1"/>
    <w:rsid w:val="00775F53"/>
    <w:rsid w:val="007774C1"/>
    <w:rsid w:val="00781B66"/>
    <w:rsid w:val="00783100"/>
    <w:rsid w:val="00783CB2"/>
    <w:rsid w:val="0078634E"/>
    <w:rsid w:val="00795DD8"/>
    <w:rsid w:val="00796322"/>
    <w:rsid w:val="0079687E"/>
    <w:rsid w:val="00796C8D"/>
    <w:rsid w:val="007C0763"/>
    <w:rsid w:val="007C23FC"/>
    <w:rsid w:val="007C2EB2"/>
    <w:rsid w:val="007C2EE0"/>
    <w:rsid w:val="007C41C8"/>
    <w:rsid w:val="007D00E4"/>
    <w:rsid w:val="007D1016"/>
    <w:rsid w:val="007D1978"/>
    <w:rsid w:val="007D6CD0"/>
    <w:rsid w:val="007D70B5"/>
    <w:rsid w:val="007E13FD"/>
    <w:rsid w:val="007E2565"/>
    <w:rsid w:val="007E2BB9"/>
    <w:rsid w:val="007E464B"/>
    <w:rsid w:val="007E46D5"/>
    <w:rsid w:val="007E5130"/>
    <w:rsid w:val="007F0914"/>
    <w:rsid w:val="007F4AB8"/>
    <w:rsid w:val="007F4DAC"/>
    <w:rsid w:val="007F5045"/>
    <w:rsid w:val="007F655C"/>
    <w:rsid w:val="007F6860"/>
    <w:rsid w:val="0080714A"/>
    <w:rsid w:val="00807A81"/>
    <w:rsid w:val="008114C7"/>
    <w:rsid w:val="00811D77"/>
    <w:rsid w:val="00815003"/>
    <w:rsid w:val="0081568C"/>
    <w:rsid w:val="00815C6A"/>
    <w:rsid w:val="0081763B"/>
    <w:rsid w:val="00817A5D"/>
    <w:rsid w:val="008206AC"/>
    <w:rsid w:val="00821A7F"/>
    <w:rsid w:val="00823012"/>
    <w:rsid w:val="00824818"/>
    <w:rsid w:val="00826C40"/>
    <w:rsid w:val="00831037"/>
    <w:rsid w:val="008323DD"/>
    <w:rsid w:val="00832C0E"/>
    <w:rsid w:val="00832D14"/>
    <w:rsid w:val="0083512F"/>
    <w:rsid w:val="0083562C"/>
    <w:rsid w:val="00836156"/>
    <w:rsid w:val="00837670"/>
    <w:rsid w:val="008424FA"/>
    <w:rsid w:val="00845E6C"/>
    <w:rsid w:val="008501D8"/>
    <w:rsid w:val="00857ABC"/>
    <w:rsid w:val="00871825"/>
    <w:rsid w:val="00873A57"/>
    <w:rsid w:val="0087451D"/>
    <w:rsid w:val="008753E9"/>
    <w:rsid w:val="00881159"/>
    <w:rsid w:val="00881F89"/>
    <w:rsid w:val="00886BE3"/>
    <w:rsid w:val="0089163A"/>
    <w:rsid w:val="00892278"/>
    <w:rsid w:val="008947DC"/>
    <w:rsid w:val="00895BAA"/>
    <w:rsid w:val="00895FFA"/>
    <w:rsid w:val="0089662B"/>
    <w:rsid w:val="00896BC3"/>
    <w:rsid w:val="008971B9"/>
    <w:rsid w:val="008A194A"/>
    <w:rsid w:val="008A23C4"/>
    <w:rsid w:val="008B0492"/>
    <w:rsid w:val="008B0B84"/>
    <w:rsid w:val="008B26AE"/>
    <w:rsid w:val="008B28FA"/>
    <w:rsid w:val="008B2F45"/>
    <w:rsid w:val="008B4429"/>
    <w:rsid w:val="008B5774"/>
    <w:rsid w:val="008B5B4F"/>
    <w:rsid w:val="008B703A"/>
    <w:rsid w:val="008B7BEF"/>
    <w:rsid w:val="008C09B3"/>
    <w:rsid w:val="008C2580"/>
    <w:rsid w:val="008C37AD"/>
    <w:rsid w:val="008C42CC"/>
    <w:rsid w:val="008C72D0"/>
    <w:rsid w:val="008C7552"/>
    <w:rsid w:val="008D63FC"/>
    <w:rsid w:val="008E5A56"/>
    <w:rsid w:val="008E5F53"/>
    <w:rsid w:val="008E6644"/>
    <w:rsid w:val="008F21F9"/>
    <w:rsid w:val="008F42BC"/>
    <w:rsid w:val="008F442D"/>
    <w:rsid w:val="00901193"/>
    <w:rsid w:val="00901D49"/>
    <w:rsid w:val="00903CB4"/>
    <w:rsid w:val="00904E9E"/>
    <w:rsid w:val="00906268"/>
    <w:rsid w:val="00906E4B"/>
    <w:rsid w:val="009101D7"/>
    <w:rsid w:val="0091077B"/>
    <w:rsid w:val="009131B3"/>
    <w:rsid w:val="00913BB9"/>
    <w:rsid w:val="00913E58"/>
    <w:rsid w:val="009160D8"/>
    <w:rsid w:val="009319BA"/>
    <w:rsid w:val="00933E2F"/>
    <w:rsid w:val="0094274C"/>
    <w:rsid w:val="00942EBF"/>
    <w:rsid w:val="00942F5F"/>
    <w:rsid w:val="009430A4"/>
    <w:rsid w:val="00944644"/>
    <w:rsid w:val="00951583"/>
    <w:rsid w:val="00955F8F"/>
    <w:rsid w:val="00960062"/>
    <w:rsid w:val="009634C0"/>
    <w:rsid w:val="00963706"/>
    <w:rsid w:val="00974FD0"/>
    <w:rsid w:val="00975CE5"/>
    <w:rsid w:val="009769E4"/>
    <w:rsid w:val="00977B04"/>
    <w:rsid w:val="009805FF"/>
    <w:rsid w:val="00980646"/>
    <w:rsid w:val="009859ED"/>
    <w:rsid w:val="0098632A"/>
    <w:rsid w:val="009870FC"/>
    <w:rsid w:val="00990E8C"/>
    <w:rsid w:val="00993D24"/>
    <w:rsid w:val="0099464F"/>
    <w:rsid w:val="009A7223"/>
    <w:rsid w:val="009B523B"/>
    <w:rsid w:val="009B6DEB"/>
    <w:rsid w:val="009B7261"/>
    <w:rsid w:val="009C0C39"/>
    <w:rsid w:val="009C2022"/>
    <w:rsid w:val="009C274D"/>
    <w:rsid w:val="009C366B"/>
    <w:rsid w:val="009C6230"/>
    <w:rsid w:val="009C6967"/>
    <w:rsid w:val="009D10F8"/>
    <w:rsid w:val="009D2F82"/>
    <w:rsid w:val="009D4209"/>
    <w:rsid w:val="009D5313"/>
    <w:rsid w:val="009D5550"/>
    <w:rsid w:val="009E1432"/>
    <w:rsid w:val="009E309D"/>
    <w:rsid w:val="009E496F"/>
    <w:rsid w:val="009E61CD"/>
    <w:rsid w:val="009E733E"/>
    <w:rsid w:val="009F2471"/>
    <w:rsid w:val="009F3A9D"/>
    <w:rsid w:val="009F5914"/>
    <w:rsid w:val="00A01176"/>
    <w:rsid w:val="00A02E32"/>
    <w:rsid w:val="00A13490"/>
    <w:rsid w:val="00A14B5E"/>
    <w:rsid w:val="00A24BC9"/>
    <w:rsid w:val="00A25AC1"/>
    <w:rsid w:val="00A25C43"/>
    <w:rsid w:val="00A25DA0"/>
    <w:rsid w:val="00A265D7"/>
    <w:rsid w:val="00A26B0A"/>
    <w:rsid w:val="00A26B5C"/>
    <w:rsid w:val="00A31875"/>
    <w:rsid w:val="00A31A2B"/>
    <w:rsid w:val="00A34047"/>
    <w:rsid w:val="00A3592E"/>
    <w:rsid w:val="00A36696"/>
    <w:rsid w:val="00A41362"/>
    <w:rsid w:val="00A41FE5"/>
    <w:rsid w:val="00A426A4"/>
    <w:rsid w:val="00A447D2"/>
    <w:rsid w:val="00A5230E"/>
    <w:rsid w:val="00A52B59"/>
    <w:rsid w:val="00A52CA7"/>
    <w:rsid w:val="00A535A7"/>
    <w:rsid w:val="00A53B74"/>
    <w:rsid w:val="00A53EC2"/>
    <w:rsid w:val="00A54325"/>
    <w:rsid w:val="00A62D60"/>
    <w:rsid w:val="00A63E2B"/>
    <w:rsid w:val="00A64F22"/>
    <w:rsid w:val="00A6704A"/>
    <w:rsid w:val="00A677C5"/>
    <w:rsid w:val="00A70529"/>
    <w:rsid w:val="00A77D96"/>
    <w:rsid w:val="00A80C5D"/>
    <w:rsid w:val="00A80E96"/>
    <w:rsid w:val="00A815DA"/>
    <w:rsid w:val="00A8201A"/>
    <w:rsid w:val="00A835B6"/>
    <w:rsid w:val="00A86869"/>
    <w:rsid w:val="00A907D4"/>
    <w:rsid w:val="00A92280"/>
    <w:rsid w:val="00AA256A"/>
    <w:rsid w:val="00AA2641"/>
    <w:rsid w:val="00AA3214"/>
    <w:rsid w:val="00AA39E8"/>
    <w:rsid w:val="00AA4478"/>
    <w:rsid w:val="00AA6561"/>
    <w:rsid w:val="00AB1ED3"/>
    <w:rsid w:val="00AB270B"/>
    <w:rsid w:val="00AC4BDB"/>
    <w:rsid w:val="00AD0719"/>
    <w:rsid w:val="00AD0E52"/>
    <w:rsid w:val="00AD53F7"/>
    <w:rsid w:val="00AD7988"/>
    <w:rsid w:val="00AE11C1"/>
    <w:rsid w:val="00AE3010"/>
    <w:rsid w:val="00AE56C6"/>
    <w:rsid w:val="00AE6C61"/>
    <w:rsid w:val="00AE78B8"/>
    <w:rsid w:val="00AF342D"/>
    <w:rsid w:val="00AF3C6C"/>
    <w:rsid w:val="00AF50FD"/>
    <w:rsid w:val="00AF542D"/>
    <w:rsid w:val="00B03E28"/>
    <w:rsid w:val="00B04D44"/>
    <w:rsid w:val="00B06B7A"/>
    <w:rsid w:val="00B07BC9"/>
    <w:rsid w:val="00B11128"/>
    <w:rsid w:val="00B127B1"/>
    <w:rsid w:val="00B165E1"/>
    <w:rsid w:val="00B23210"/>
    <w:rsid w:val="00B247AA"/>
    <w:rsid w:val="00B34B3A"/>
    <w:rsid w:val="00B413A3"/>
    <w:rsid w:val="00B415AF"/>
    <w:rsid w:val="00B44A18"/>
    <w:rsid w:val="00B50EBA"/>
    <w:rsid w:val="00B57287"/>
    <w:rsid w:val="00B57BA0"/>
    <w:rsid w:val="00B66A8D"/>
    <w:rsid w:val="00B67FE3"/>
    <w:rsid w:val="00B7215C"/>
    <w:rsid w:val="00B83882"/>
    <w:rsid w:val="00B84EE1"/>
    <w:rsid w:val="00B861B4"/>
    <w:rsid w:val="00B91982"/>
    <w:rsid w:val="00B94462"/>
    <w:rsid w:val="00B945AB"/>
    <w:rsid w:val="00B95815"/>
    <w:rsid w:val="00B96725"/>
    <w:rsid w:val="00B97E75"/>
    <w:rsid w:val="00B97FD0"/>
    <w:rsid w:val="00BA0940"/>
    <w:rsid w:val="00BA1E58"/>
    <w:rsid w:val="00BA2353"/>
    <w:rsid w:val="00BA548E"/>
    <w:rsid w:val="00BB439E"/>
    <w:rsid w:val="00BB73AA"/>
    <w:rsid w:val="00BC0EA6"/>
    <w:rsid w:val="00BC7E8A"/>
    <w:rsid w:val="00BD0088"/>
    <w:rsid w:val="00BD2893"/>
    <w:rsid w:val="00BD30EB"/>
    <w:rsid w:val="00BD44C9"/>
    <w:rsid w:val="00BD490A"/>
    <w:rsid w:val="00BD67BC"/>
    <w:rsid w:val="00BE14E8"/>
    <w:rsid w:val="00BE58C4"/>
    <w:rsid w:val="00BE6769"/>
    <w:rsid w:val="00BF04F5"/>
    <w:rsid w:val="00BF4E80"/>
    <w:rsid w:val="00BF54B6"/>
    <w:rsid w:val="00BF66E6"/>
    <w:rsid w:val="00BF75D9"/>
    <w:rsid w:val="00C00038"/>
    <w:rsid w:val="00C00A4A"/>
    <w:rsid w:val="00C049D4"/>
    <w:rsid w:val="00C114A3"/>
    <w:rsid w:val="00C11A48"/>
    <w:rsid w:val="00C12D64"/>
    <w:rsid w:val="00C13B41"/>
    <w:rsid w:val="00C1418C"/>
    <w:rsid w:val="00C16E7C"/>
    <w:rsid w:val="00C21A21"/>
    <w:rsid w:val="00C32100"/>
    <w:rsid w:val="00C34360"/>
    <w:rsid w:val="00C356C2"/>
    <w:rsid w:val="00C47E50"/>
    <w:rsid w:val="00C51910"/>
    <w:rsid w:val="00C5770B"/>
    <w:rsid w:val="00C63684"/>
    <w:rsid w:val="00C66A5D"/>
    <w:rsid w:val="00C676CF"/>
    <w:rsid w:val="00C71652"/>
    <w:rsid w:val="00C72A7C"/>
    <w:rsid w:val="00C829EA"/>
    <w:rsid w:val="00C83913"/>
    <w:rsid w:val="00C84149"/>
    <w:rsid w:val="00C86E64"/>
    <w:rsid w:val="00C871A3"/>
    <w:rsid w:val="00C877CF"/>
    <w:rsid w:val="00C87ADC"/>
    <w:rsid w:val="00C96DAB"/>
    <w:rsid w:val="00CA0218"/>
    <w:rsid w:val="00CA2BBA"/>
    <w:rsid w:val="00CA3F49"/>
    <w:rsid w:val="00CA54B5"/>
    <w:rsid w:val="00CA6DB1"/>
    <w:rsid w:val="00CB5FCD"/>
    <w:rsid w:val="00CB6AFF"/>
    <w:rsid w:val="00CB7239"/>
    <w:rsid w:val="00CB7AA7"/>
    <w:rsid w:val="00CC1950"/>
    <w:rsid w:val="00CC2D88"/>
    <w:rsid w:val="00CC3871"/>
    <w:rsid w:val="00CD4EF5"/>
    <w:rsid w:val="00CD5014"/>
    <w:rsid w:val="00CE02B1"/>
    <w:rsid w:val="00CE142A"/>
    <w:rsid w:val="00CE146E"/>
    <w:rsid w:val="00CE1C7A"/>
    <w:rsid w:val="00CE6222"/>
    <w:rsid w:val="00CE7226"/>
    <w:rsid w:val="00CF1AA0"/>
    <w:rsid w:val="00D011EC"/>
    <w:rsid w:val="00D02510"/>
    <w:rsid w:val="00D03596"/>
    <w:rsid w:val="00D0453B"/>
    <w:rsid w:val="00D05E3E"/>
    <w:rsid w:val="00D130E0"/>
    <w:rsid w:val="00D24D9B"/>
    <w:rsid w:val="00D26B50"/>
    <w:rsid w:val="00D26D31"/>
    <w:rsid w:val="00D3437B"/>
    <w:rsid w:val="00D3475A"/>
    <w:rsid w:val="00D35FDC"/>
    <w:rsid w:val="00D36175"/>
    <w:rsid w:val="00D37174"/>
    <w:rsid w:val="00D440EC"/>
    <w:rsid w:val="00D45D3B"/>
    <w:rsid w:val="00D50C90"/>
    <w:rsid w:val="00D50C94"/>
    <w:rsid w:val="00D52F85"/>
    <w:rsid w:val="00D5465E"/>
    <w:rsid w:val="00D57CB1"/>
    <w:rsid w:val="00D57FAF"/>
    <w:rsid w:val="00D60CC7"/>
    <w:rsid w:val="00D6724B"/>
    <w:rsid w:val="00D71C7F"/>
    <w:rsid w:val="00D7422E"/>
    <w:rsid w:val="00D748C7"/>
    <w:rsid w:val="00D772E0"/>
    <w:rsid w:val="00D8473C"/>
    <w:rsid w:val="00D84F51"/>
    <w:rsid w:val="00D87286"/>
    <w:rsid w:val="00D87D89"/>
    <w:rsid w:val="00D91199"/>
    <w:rsid w:val="00D95228"/>
    <w:rsid w:val="00DA222C"/>
    <w:rsid w:val="00DA2C7A"/>
    <w:rsid w:val="00DA3A38"/>
    <w:rsid w:val="00DA3BED"/>
    <w:rsid w:val="00DA5B81"/>
    <w:rsid w:val="00DA7F10"/>
    <w:rsid w:val="00DA7FF6"/>
    <w:rsid w:val="00DB0865"/>
    <w:rsid w:val="00DB2DE3"/>
    <w:rsid w:val="00DC2605"/>
    <w:rsid w:val="00DC2A93"/>
    <w:rsid w:val="00DD0B2B"/>
    <w:rsid w:val="00DD2444"/>
    <w:rsid w:val="00DD2664"/>
    <w:rsid w:val="00DD451B"/>
    <w:rsid w:val="00DD4B1E"/>
    <w:rsid w:val="00DD7FDD"/>
    <w:rsid w:val="00DE1EA5"/>
    <w:rsid w:val="00DF15AA"/>
    <w:rsid w:val="00DF3BBF"/>
    <w:rsid w:val="00E02ED6"/>
    <w:rsid w:val="00E03B2B"/>
    <w:rsid w:val="00E04BB6"/>
    <w:rsid w:val="00E108AB"/>
    <w:rsid w:val="00E10B7A"/>
    <w:rsid w:val="00E136F6"/>
    <w:rsid w:val="00E15A15"/>
    <w:rsid w:val="00E218E6"/>
    <w:rsid w:val="00E21C5B"/>
    <w:rsid w:val="00E21D08"/>
    <w:rsid w:val="00E22030"/>
    <w:rsid w:val="00E30267"/>
    <w:rsid w:val="00E318AC"/>
    <w:rsid w:val="00E3403F"/>
    <w:rsid w:val="00E341D9"/>
    <w:rsid w:val="00E37529"/>
    <w:rsid w:val="00E378D1"/>
    <w:rsid w:val="00E42F9A"/>
    <w:rsid w:val="00E4369B"/>
    <w:rsid w:val="00E43C6D"/>
    <w:rsid w:val="00E44B40"/>
    <w:rsid w:val="00E5128D"/>
    <w:rsid w:val="00E515D2"/>
    <w:rsid w:val="00E54A39"/>
    <w:rsid w:val="00E5565D"/>
    <w:rsid w:val="00E60753"/>
    <w:rsid w:val="00E60C05"/>
    <w:rsid w:val="00E61859"/>
    <w:rsid w:val="00E625A1"/>
    <w:rsid w:val="00E646E3"/>
    <w:rsid w:val="00E678CF"/>
    <w:rsid w:val="00E72AB5"/>
    <w:rsid w:val="00E86C8C"/>
    <w:rsid w:val="00E871DB"/>
    <w:rsid w:val="00E92E24"/>
    <w:rsid w:val="00E93482"/>
    <w:rsid w:val="00E946C9"/>
    <w:rsid w:val="00E949E5"/>
    <w:rsid w:val="00E95E98"/>
    <w:rsid w:val="00E97608"/>
    <w:rsid w:val="00EA0548"/>
    <w:rsid w:val="00EA18B6"/>
    <w:rsid w:val="00EA2392"/>
    <w:rsid w:val="00EA74E4"/>
    <w:rsid w:val="00EB0E18"/>
    <w:rsid w:val="00EB0FAF"/>
    <w:rsid w:val="00EB51D9"/>
    <w:rsid w:val="00EB62A7"/>
    <w:rsid w:val="00EC1311"/>
    <w:rsid w:val="00EC1B28"/>
    <w:rsid w:val="00EC4D98"/>
    <w:rsid w:val="00EC59C1"/>
    <w:rsid w:val="00EC69B2"/>
    <w:rsid w:val="00ED0BB4"/>
    <w:rsid w:val="00ED10B3"/>
    <w:rsid w:val="00ED167D"/>
    <w:rsid w:val="00ED4563"/>
    <w:rsid w:val="00ED6F02"/>
    <w:rsid w:val="00EE0E66"/>
    <w:rsid w:val="00EE1F98"/>
    <w:rsid w:val="00EE578C"/>
    <w:rsid w:val="00EF05A6"/>
    <w:rsid w:val="00EF14AE"/>
    <w:rsid w:val="00EF1C72"/>
    <w:rsid w:val="00EF3863"/>
    <w:rsid w:val="00F112DB"/>
    <w:rsid w:val="00F11429"/>
    <w:rsid w:val="00F122E4"/>
    <w:rsid w:val="00F1584E"/>
    <w:rsid w:val="00F21E8B"/>
    <w:rsid w:val="00F24684"/>
    <w:rsid w:val="00F31137"/>
    <w:rsid w:val="00F5033C"/>
    <w:rsid w:val="00F51AC2"/>
    <w:rsid w:val="00F5724F"/>
    <w:rsid w:val="00F578AC"/>
    <w:rsid w:val="00F60CA7"/>
    <w:rsid w:val="00F614E3"/>
    <w:rsid w:val="00F633EE"/>
    <w:rsid w:val="00F63934"/>
    <w:rsid w:val="00F65D92"/>
    <w:rsid w:val="00F67C00"/>
    <w:rsid w:val="00F70727"/>
    <w:rsid w:val="00F71752"/>
    <w:rsid w:val="00F717A6"/>
    <w:rsid w:val="00F73229"/>
    <w:rsid w:val="00F73620"/>
    <w:rsid w:val="00F7600E"/>
    <w:rsid w:val="00F854FA"/>
    <w:rsid w:val="00F96ABF"/>
    <w:rsid w:val="00FA0AC6"/>
    <w:rsid w:val="00FA155F"/>
    <w:rsid w:val="00FA1A81"/>
    <w:rsid w:val="00FA2911"/>
    <w:rsid w:val="00FA4813"/>
    <w:rsid w:val="00FB5D2D"/>
    <w:rsid w:val="00FC132B"/>
    <w:rsid w:val="00FC179B"/>
    <w:rsid w:val="00FC4AEF"/>
    <w:rsid w:val="00FC7D1A"/>
    <w:rsid w:val="00FD16DE"/>
    <w:rsid w:val="00FD36F4"/>
    <w:rsid w:val="00FE1D23"/>
    <w:rsid w:val="00FE249C"/>
    <w:rsid w:val="00FE3C5E"/>
    <w:rsid w:val="00FE4C9F"/>
    <w:rsid w:val="00FE7BA8"/>
    <w:rsid w:val="00FE7EAD"/>
    <w:rsid w:val="00FF1B11"/>
    <w:rsid w:val="00FF60FD"/>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5E6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C6A"/>
    <w:rPr>
      <w:sz w:val="24"/>
      <w:szCs w:val="24"/>
    </w:rPr>
  </w:style>
  <w:style w:type="paragraph" w:styleId="Heading1">
    <w:name w:val="heading 1"/>
    <w:basedOn w:val="Normal"/>
    <w:next w:val="Normal"/>
    <w:qFormat/>
    <w:rsid w:val="0028140F"/>
    <w:pPr>
      <w:pBdr>
        <w:top w:val="single" w:sz="24" w:space="1" w:color="auto"/>
        <w:left w:val="single" w:sz="24" w:space="4" w:color="auto"/>
        <w:bottom w:val="single" w:sz="24" w:space="1" w:color="auto"/>
        <w:right w:val="single" w:sz="24" w:space="4" w:color="auto"/>
      </w:pBdr>
      <w:spacing w:after="720"/>
      <w:jc w:val="center"/>
      <w:outlineLvl w:val="0"/>
    </w:pPr>
    <w:rPr>
      <w:rFonts w:ascii="Arial" w:hAnsi="Arial" w:cs="Arial"/>
      <w:b/>
      <w:sz w:val="28"/>
      <w:szCs w:val="28"/>
    </w:rPr>
  </w:style>
  <w:style w:type="paragraph" w:styleId="Heading2">
    <w:name w:val="heading 2"/>
    <w:basedOn w:val="Heading1"/>
    <w:next w:val="Normal"/>
    <w:link w:val="Heading2Char"/>
    <w:unhideWhenUsed/>
    <w:qFormat/>
    <w:rsid w:val="0028140F"/>
    <w:pPr>
      <w:pBdr>
        <w:top w:val="none" w:sz="0" w:space="0" w:color="auto"/>
        <w:left w:val="none" w:sz="0" w:space="0" w:color="auto"/>
        <w:bottom w:val="none" w:sz="0" w:space="0" w:color="auto"/>
        <w:right w:val="none" w:sz="0" w:space="0" w:color="auto"/>
      </w:pBdr>
      <w:spacing w:after="240"/>
      <w:outlineLvl w:val="1"/>
    </w:pPr>
    <w:rPr>
      <w:sz w:val="24"/>
    </w:rPr>
  </w:style>
  <w:style w:type="paragraph" w:styleId="Heading3">
    <w:name w:val="heading 3"/>
    <w:basedOn w:val="Normal"/>
    <w:next w:val="Normal"/>
    <w:link w:val="Heading3Char"/>
    <w:unhideWhenUsed/>
    <w:qFormat/>
    <w:rsid w:val="008C42CC"/>
    <w:pPr>
      <w:keepNext/>
      <w:keepLines/>
      <w:spacing w:after="240"/>
      <w:jc w:val="center"/>
      <w:outlineLvl w:val="2"/>
    </w:pPr>
    <w:rPr>
      <w:rFonts w:ascii="Arial" w:eastAsiaTheme="majorEastAsia" w:hAnsi="Arial"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5DA0"/>
    <w:rPr>
      <w:rFonts w:ascii="Tahoma" w:hAnsi="Tahoma" w:cs="Tahoma"/>
      <w:sz w:val="16"/>
      <w:szCs w:val="16"/>
    </w:rPr>
  </w:style>
  <w:style w:type="character" w:styleId="Hyperlink">
    <w:name w:val="Hyperlink"/>
    <w:uiPriority w:val="99"/>
    <w:rsid w:val="00A80C5D"/>
    <w:rPr>
      <w:color w:val="0000FF"/>
      <w:u w:val="single"/>
    </w:rPr>
  </w:style>
  <w:style w:type="table" w:styleId="TableGrid">
    <w:name w:val="Table Grid"/>
    <w:basedOn w:val="TableNormal"/>
    <w:rsid w:val="00A80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614E3"/>
    <w:rPr>
      <w:rFonts w:ascii="Arial" w:hAnsi="Arial"/>
      <w:szCs w:val="20"/>
    </w:rPr>
  </w:style>
  <w:style w:type="paragraph" w:styleId="Header">
    <w:name w:val="header"/>
    <w:basedOn w:val="Normal"/>
    <w:rsid w:val="00F614E3"/>
    <w:pPr>
      <w:tabs>
        <w:tab w:val="center" w:pos="4320"/>
        <w:tab w:val="right" w:pos="8640"/>
      </w:tabs>
    </w:pPr>
  </w:style>
  <w:style w:type="character" w:styleId="CommentReference">
    <w:name w:val="annotation reference"/>
    <w:uiPriority w:val="99"/>
    <w:rsid w:val="00B06B7A"/>
    <w:rPr>
      <w:sz w:val="16"/>
      <w:szCs w:val="16"/>
    </w:rPr>
  </w:style>
  <w:style w:type="paragraph" w:styleId="CommentText">
    <w:name w:val="annotation text"/>
    <w:basedOn w:val="Normal"/>
    <w:link w:val="CommentTextChar"/>
    <w:uiPriority w:val="99"/>
    <w:rsid w:val="00B06B7A"/>
    <w:rPr>
      <w:sz w:val="20"/>
      <w:szCs w:val="20"/>
    </w:rPr>
  </w:style>
  <w:style w:type="character" w:customStyle="1" w:styleId="CommentTextChar">
    <w:name w:val="Comment Text Char"/>
    <w:basedOn w:val="DefaultParagraphFont"/>
    <w:link w:val="CommentText"/>
    <w:uiPriority w:val="99"/>
    <w:rsid w:val="00B06B7A"/>
  </w:style>
  <w:style w:type="paragraph" w:styleId="CommentSubject">
    <w:name w:val="annotation subject"/>
    <w:basedOn w:val="CommentText"/>
    <w:next w:val="CommentText"/>
    <w:link w:val="CommentSubjectChar"/>
    <w:rsid w:val="00B06B7A"/>
    <w:rPr>
      <w:b/>
      <w:bCs/>
    </w:rPr>
  </w:style>
  <w:style w:type="character" w:customStyle="1" w:styleId="CommentSubjectChar">
    <w:name w:val="Comment Subject Char"/>
    <w:link w:val="CommentSubject"/>
    <w:rsid w:val="00B06B7A"/>
    <w:rPr>
      <w:b/>
      <w:bCs/>
    </w:rPr>
  </w:style>
  <w:style w:type="paragraph" w:styleId="Footer">
    <w:name w:val="footer"/>
    <w:basedOn w:val="Normal"/>
    <w:link w:val="FooterChar"/>
    <w:uiPriority w:val="99"/>
    <w:rsid w:val="00315109"/>
    <w:pPr>
      <w:tabs>
        <w:tab w:val="center" w:pos="4680"/>
        <w:tab w:val="right" w:pos="9360"/>
      </w:tabs>
    </w:pPr>
  </w:style>
  <w:style w:type="character" w:customStyle="1" w:styleId="FooterChar">
    <w:name w:val="Footer Char"/>
    <w:link w:val="Footer"/>
    <w:uiPriority w:val="99"/>
    <w:rsid w:val="00315109"/>
    <w:rPr>
      <w:sz w:val="24"/>
      <w:szCs w:val="24"/>
    </w:rPr>
  </w:style>
  <w:style w:type="paragraph" w:styleId="ListParagraph">
    <w:name w:val="List Paragraph"/>
    <w:basedOn w:val="Normal"/>
    <w:uiPriority w:val="34"/>
    <w:qFormat/>
    <w:rsid w:val="00063655"/>
    <w:pPr>
      <w:spacing w:after="160" w:line="259" w:lineRule="auto"/>
      <w:ind w:left="720"/>
      <w:contextualSpacing/>
    </w:pPr>
    <w:rPr>
      <w:rFonts w:ascii="Arial" w:eastAsiaTheme="minorHAnsi" w:hAnsi="Arial" w:cstheme="minorBidi"/>
      <w:szCs w:val="22"/>
    </w:rPr>
  </w:style>
  <w:style w:type="character" w:styleId="UnresolvedMention">
    <w:name w:val="Unresolved Mention"/>
    <w:basedOn w:val="DefaultParagraphFont"/>
    <w:uiPriority w:val="99"/>
    <w:semiHidden/>
    <w:unhideWhenUsed/>
    <w:rsid w:val="007E46D5"/>
    <w:rPr>
      <w:color w:val="605E5C"/>
      <w:shd w:val="clear" w:color="auto" w:fill="E1DFDD"/>
    </w:rPr>
  </w:style>
  <w:style w:type="paragraph" w:styleId="NormalWeb">
    <w:name w:val="Normal (Web)"/>
    <w:basedOn w:val="Normal"/>
    <w:uiPriority w:val="99"/>
    <w:unhideWhenUsed/>
    <w:rsid w:val="00B165E1"/>
    <w:pPr>
      <w:spacing w:before="100" w:beforeAutospacing="1" w:after="100" w:afterAutospacing="1"/>
    </w:pPr>
  </w:style>
  <w:style w:type="character" w:customStyle="1" w:styleId="Heading3Char">
    <w:name w:val="Heading 3 Char"/>
    <w:basedOn w:val="DefaultParagraphFont"/>
    <w:link w:val="Heading3"/>
    <w:rsid w:val="008C42CC"/>
    <w:rPr>
      <w:rFonts w:ascii="Arial" w:eastAsiaTheme="majorEastAsia" w:hAnsi="Arial" w:cstheme="majorBidi"/>
      <w:b/>
      <w:sz w:val="24"/>
      <w:szCs w:val="24"/>
    </w:rPr>
  </w:style>
  <w:style w:type="paragraph" w:customStyle="1" w:styleId="Default">
    <w:name w:val="Default"/>
    <w:rsid w:val="00831037"/>
    <w:pPr>
      <w:autoSpaceDE w:val="0"/>
      <w:autoSpaceDN w:val="0"/>
      <w:adjustRightInd w:val="0"/>
    </w:pPr>
    <w:rPr>
      <w:rFonts w:ascii="Arial" w:eastAsiaTheme="minorHAnsi" w:hAnsi="Arial" w:cs="Arial"/>
      <w:color w:val="000000"/>
      <w:sz w:val="24"/>
      <w:szCs w:val="24"/>
    </w:rPr>
  </w:style>
  <w:style w:type="paragraph" w:styleId="TOCHeading">
    <w:name w:val="TOC Heading"/>
    <w:basedOn w:val="Heading1"/>
    <w:next w:val="Normal"/>
    <w:uiPriority w:val="39"/>
    <w:unhideWhenUsed/>
    <w:qFormat/>
    <w:rsid w:val="004C6741"/>
    <w:pPr>
      <w:keepLines/>
      <w:spacing w:before="240" w:line="259" w:lineRule="auto"/>
      <w:jc w:val="left"/>
      <w:outlineLvl w:val="9"/>
    </w:pPr>
    <w:rPr>
      <w:rFonts w:asciiTheme="majorHAnsi" w:eastAsiaTheme="majorEastAsia" w:hAnsiTheme="majorHAnsi" w:cstheme="majorBidi"/>
      <w:b w:val="0"/>
      <w:bCs/>
      <w:color w:val="2F5496" w:themeColor="accent1" w:themeShade="BF"/>
      <w:sz w:val="32"/>
      <w:szCs w:val="32"/>
    </w:rPr>
  </w:style>
  <w:style w:type="paragraph" w:styleId="TOC3">
    <w:name w:val="toc 3"/>
    <w:basedOn w:val="Normal"/>
    <w:next w:val="Normal"/>
    <w:autoRedefine/>
    <w:uiPriority w:val="39"/>
    <w:rsid w:val="004C6741"/>
    <w:pPr>
      <w:spacing w:after="100"/>
      <w:ind w:left="480"/>
    </w:pPr>
  </w:style>
  <w:style w:type="character" w:customStyle="1" w:styleId="Heading2Char">
    <w:name w:val="Heading 2 Char"/>
    <w:basedOn w:val="DefaultParagraphFont"/>
    <w:link w:val="Heading2"/>
    <w:rsid w:val="0028140F"/>
    <w:rPr>
      <w:rFonts w:ascii="Arial" w:hAnsi="Arial" w:cs="Arial"/>
      <w:b/>
      <w:sz w:val="24"/>
      <w:szCs w:val="28"/>
    </w:rPr>
  </w:style>
  <w:style w:type="character" w:styleId="Strong">
    <w:name w:val="Strong"/>
    <w:basedOn w:val="DefaultParagraphFont"/>
    <w:uiPriority w:val="22"/>
    <w:qFormat/>
    <w:rsid w:val="004611D9"/>
    <w:rPr>
      <w:b/>
      <w:bCs/>
    </w:rPr>
  </w:style>
  <w:style w:type="table" w:styleId="GridTable4">
    <w:name w:val="Grid Table 4"/>
    <w:basedOn w:val="TableNormal"/>
    <w:uiPriority w:val="49"/>
    <w:rsid w:val="004611D9"/>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next w:val="GridTable4"/>
    <w:uiPriority w:val="49"/>
    <w:rsid w:val="00E5128D"/>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2">
    <w:name w:val="Grid Table 42"/>
    <w:basedOn w:val="TableNormal"/>
    <w:next w:val="GridTable4"/>
    <w:uiPriority w:val="49"/>
    <w:rsid w:val="00E5128D"/>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OC2">
    <w:name w:val="toc 2"/>
    <w:basedOn w:val="Normal"/>
    <w:next w:val="Normal"/>
    <w:autoRedefine/>
    <w:uiPriority w:val="39"/>
    <w:rsid w:val="009C0C39"/>
    <w:pPr>
      <w:tabs>
        <w:tab w:val="left" w:pos="0"/>
        <w:tab w:val="right" w:leader="hyphen" w:pos="9350"/>
      </w:tabs>
      <w:spacing w:after="240"/>
    </w:pPr>
  </w:style>
  <w:style w:type="character" w:styleId="FollowedHyperlink">
    <w:name w:val="FollowedHyperlink"/>
    <w:basedOn w:val="DefaultParagraphFont"/>
    <w:rsid w:val="0031591D"/>
    <w:rPr>
      <w:color w:val="954F72" w:themeColor="followedHyperlink"/>
      <w:u w:val="single"/>
    </w:rPr>
  </w:style>
  <w:style w:type="paragraph" w:styleId="TOC1">
    <w:name w:val="toc 1"/>
    <w:basedOn w:val="Normal"/>
    <w:next w:val="Normal"/>
    <w:autoRedefine/>
    <w:uiPriority w:val="39"/>
    <w:rsid w:val="003E5330"/>
    <w:pPr>
      <w:tabs>
        <w:tab w:val="left" w:pos="0"/>
        <w:tab w:val="right" w:leader="hyphen" w:pos="9350"/>
      </w:tabs>
      <w:spacing w:after="100"/>
    </w:pPr>
    <w:rPr>
      <w:rFonts w:ascii="Arial" w:hAnsi="Arial" w:cs="Arial"/>
      <w:noProof/>
      <w:sz w:val="28"/>
    </w:rPr>
  </w:style>
  <w:style w:type="paragraph" w:styleId="Revision">
    <w:name w:val="Revision"/>
    <w:hidden/>
    <w:uiPriority w:val="99"/>
    <w:semiHidden/>
    <w:rsid w:val="001A4B9C"/>
    <w:rPr>
      <w:sz w:val="24"/>
      <w:szCs w:val="24"/>
    </w:rPr>
  </w:style>
  <w:style w:type="paragraph" w:styleId="FootnoteText">
    <w:name w:val="footnote text"/>
    <w:basedOn w:val="Normal"/>
    <w:link w:val="FootnoteTextChar"/>
    <w:uiPriority w:val="99"/>
    <w:rsid w:val="003D5504"/>
    <w:rPr>
      <w:sz w:val="20"/>
      <w:szCs w:val="20"/>
    </w:rPr>
  </w:style>
  <w:style w:type="character" w:customStyle="1" w:styleId="FootnoteTextChar">
    <w:name w:val="Footnote Text Char"/>
    <w:basedOn w:val="DefaultParagraphFont"/>
    <w:link w:val="FootnoteText"/>
    <w:uiPriority w:val="99"/>
    <w:rsid w:val="003D5504"/>
  </w:style>
  <w:style w:type="character" w:styleId="FootnoteReference">
    <w:name w:val="footnote reference"/>
    <w:basedOn w:val="DefaultParagraphFont"/>
    <w:uiPriority w:val="99"/>
    <w:rsid w:val="003D55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8620">
      <w:bodyDiv w:val="1"/>
      <w:marLeft w:val="0"/>
      <w:marRight w:val="0"/>
      <w:marTop w:val="0"/>
      <w:marBottom w:val="0"/>
      <w:divBdr>
        <w:top w:val="none" w:sz="0" w:space="0" w:color="auto"/>
        <w:left w:val="none" w:sz="0" w:space="0" w:color="auto"/>
        <w:bottom w:val="none" w:sz="0" w:space="0" w:color="auto"/>
        <w:right w:val="none" w:sz="0" w:space="0" w:color="auto"/>
      </w:divBdr>
    </w:div>
    <w:div w:id="235097089">
      <w:bodyDiv w:val="1"/>
      <w:marLeft w:val="0"/>
      <w:marRight w:val="0"/>
      <w:marTop w:val="0"/>
      <w:marBottom w:val="0"/>
      <w:divBdr>
        <w:top w:val="none" w:sz="0" w:space="0" w:color="auto"/>
        <w:left w:val="none" w:sz="0" w:space="0" w:color="auto"/>
        <w:bottom w:val="none" w:sz="0" w:space="0" w:color="auto"/>
        <w:right w:val="none" w:sz="0" w:space="0" w:color="auto"/>
      </w:divBdr>
    </w:div>
    <w:div w:id="403643601">
      <w:bodyDiv w:val="1"/>
      <w:marLeft w:val="0"/>
      <w:marRight w:val="0"/>
      <w:marTop w:val="0"/>
      <w:marBottom w:val="0"/>
      <w:divBdr>
        <w:top w:val="none" w:sz="0" w:space="0" w:color="auto"/>
        <w:left w:val="none" w:sz="0" w:space="0" w:color="auto"/>
        <w:bottom w:val="none" w:sz="0" w:space="0" w:color="auto"/>
        <w:right w:val="none" w:sz="0" w:space="0" w:color="auto"/>
      </w:divBdr>
    </w:div>
    <w:div w:id="642731848">
      <w:bodyDiv w:val="1"/>
      <w:marLeft w:val="0"/>
      <w:marRight w:val="0"/>
      <w:marTop w:val="0"/>
      <w:marBottom w:val="0"/>
      <w:divBdr>
        <w:top w:val="none" w:sz="0" w:space="0" w:color="auto"/>
        <w:left w:val="none" w:sz="0" w:space="0" w:color="auto"/>
        <w:bottom w:val="none" w:sz="0" w:space="0" w:color="auto"/>
        <w:right w:val="none" w:sz="0" w:space="0" w:color="auto"/>
      </w:divBdr>
    </w:div>
    <w:div w:id="1023289013">
      <w:bodyDiv w:val="1"/>
      <w:marLeft w:val="0"/>
      <w:marRight w:val="0"/>
      <w:marTop w:val="0"/>
      <w:marBottom w:val="0"/>
      <w:divBdr>
        <w:top w:val="none" w:sz="0" w:space="0" w:color="auto"/>
        <w:left w:val="none" w:sz="0" w:space="0" w:color="auto"/>
        <w:bottom w:val="none" w:sz="0" w:space="0" w:color="auto"/>
        <w:right w:val="none" w:sz="0" w:space="0" w:color="auto"/>
      </w:divBdr>
    </w:div>
    <w:div w:id="1111242579">
      <w:bodyDiv w:val="1"/>
      <w:marLeft w:val="0"/>
      <w:marRight w:val="0"/>
      <w:marTop w:val="0"/>
      <w:marBottom w:val="0"/>
      <w:divBdr>
        <w:top w:val="none" w:sz="0" w:space="0" w:color="auto"/>
        <w:left w:val="none" w:sz="0" w:space="0" w:color="auto"/>
        <w:bottom w:val="none" w:sz="0" w:space="0" w:color="auto"/>
        <w:right w:val="none" w:sz="0" w:space="0" w:color="auto"/>
      </w:divBdr>
      <w:divsChild>
        <w:div w:id="135492830">
          <w:marLeft w:val="0"/>
          <w:marRight w:val="0"/>
          <w:marTop w:val="0"/>
          <w:marBottom w:val="240"/>
          <w:divBdr>
            <w:top w:val="none" w:sz="0" w:space="0" w:color="auto"/>
            <w:left w:val="none" w:sz="0" w:space="0" w:color="auto"/>
            <w:bottom w:val="none" w:sz="0" w:space="0" w:color="auto"/>
            <w:right w:val="none" w:sz="0" w:space="0" w:color="auto"/>
          </w:divBdr>
        </w:div>
        <w:div w:id="163984568">
          <w:marLeft w:val="0"/>
          <w:marRight w:val="0"/>
          <w:marTop w:val="0"/>
          <w:marBottom w:val="240"/>
          <w:divBdr>
            <w:top w:val="none" w:sz="0" w:space="0" w:color="auto"/>
            <w:left w:val="none" w:sz="0" w:space="0" w:color="auto"/>
            <w:bottom w:val="none" w:sz="0" w:space="0" w:color="auto"/>
            <w:right w:val="none" w:sz="0" w:space="0" w:color="auto"/>
          </w:divBdr>
        </w:div>
        <w:div w:id="235285099">
          <w:marLeft w:val="0"/>
          <w:marRight w:val="0"/>
          <w:marTop w:val="0"/>
          <w:marBottom w:val="240"/>
          <w:divBdr>
            <w:top w:val="none" w:sz="0" w:space="0" w:color="auto"/>
            <w:left w:val="none" w:sz="0" w:space="0" w:color="auto"/>
            <w:bottom w:val="none" w:sz="0" w:space="0" w:color="auto"/>
            <w:right w:val="none" w:sz="0" w:space="0" w:color="auto"/>
          </w:divBdr>
        </w:div>
        <w:div w:id="842742306">
          <w:marLeft w:val="0"/>
          <w:marRight w:val="0"/>
          <w:marTop w:val="0"/>
          <w:marBottom w:val="240"/>
          <w:divBdr>
            <w:top w:val="none" w:sz="0" w:space="0" w:color="auto"/>
            <w:left w:val="none" w:sz="0" w:space="0" w:color="auto"/>
            <w:bottom w:val="none" w:sz="0" w:space="0" w:color="auto"/>
            <w:right w:val="none" w:sz="0" w:space="0" w:color="auto"/>
          </w:divBdr>
        </w:div>
        <w:div w:id="957024888">
          <w:marLeft w:val="0"/>
          <w:marRight w:val="0"/>
          <w:marTop w:val="0"/>
          <w:marBottom w:val="240"/>
          <w:divBdr>
            <w:top w:val="none" w:sz="0" w:space="0" w:color="auto"/>
            <w:left w:val="none" w:sz="0" w:space="0" w:color="auto"/>
            <w:bottom w:val="none" w:sz="0" w:space="0" w:color="auto"/>
            <w:right w:val="none" w:sz="0" w:space="0" w:color="auto"/>
          </w:divBdr>
        </w:div>
        <w:div w:id="1076392770">
          <w:marLeft w:val="0"/>
          <w:marRight w:val="0"/>
          <w:marTop w:val="0"/>
          <w:marBottom w:val="240"/>
          <w:divBdr>
            <w:top w:val="none" w:sz="0" w:space="0" w:color="auto"/>
            <w:left w:val="none" w:sz="0" w:space="0" w:color="auto"/>
            <w:bottom w:val="none" w:sz="0" w:space="0" w:color="auto"/>
            <w:right w:val="none" w:sz="0" w:space="0" w:color="auto"/>
          </w:divBdr>
        </w:div>
        <w:div w:id="1532962178">
          <w:marLeft w:val="0"/>
          <w:marRight w:val="0"/>
          <w:marTop w:val="0"/>
          <w:marBottom w:val="240"/>
          <w:divBdr>
            <w:top w:val="none" w:sz="0" w:space="0" w:color="auto"/>
            <w:left w:val="none" w:sz="0" w:space="0" w:color="auto"/>
            <w:bottom w:val="none" w:sz="0" w:space="0" w:color="auto"/>
            <w:right w:val="none" w:sz="0" w:space="0" w:color="auto"/>
          </w:divBdr>
        </w:div>
        <w:div w:id="1637758598">
          <w:marLeft w:val="0"/>
          <w:marRight w:val="0"/>
          <w:marTop w:val="0"/>
          <w:marBottom w:val="240"/>
          <w:divBdr>
            <w:top w:val="none" w:sz="0" w:space="0" w:color="auto"/>
            <w:left w:val="none" w:sz="0" w:space="0" w:color="auto"/>
            <w:bottom w:val="none" w:sz="0" w:space="0" w:color="auto"/>
            <w:right w:val="none" w:sz="0" w:space="0" w:color="auto"/>
          </w:divBdr>
        </w:div>
        <w:div w:id="1915164094">
          <w:marLeft w:val="0"/>
          <w:marRight w:val="0"/>
          <w:marTop w:val="0"/>
          <w:marBottom w:val="240"/>
          <w:divBdr>
            <w:top w:val="none" w:sz="0" w:space="0" w:color="auto"/>
            <w:left w:val="none" w:sz="0" w:space="0" w:color="auto"/>
            <w:bottom w:val="none" w:sz="0" w:space="0" w:color="auto"/>
            <w:right w:val="none" w:sz="0" w:space="0" w:color="auto"/>
          </w:divBdr>
        </w:div>
      </w:divsChild>
    </w:div>
    <w:div w:id="1122379277">
      <w:bodyDiv w:val="1"/>
      <w:marLeft w:val="0"/>
      <w:marRight w:val="0"/>
      <w:marTop w:val="0"/>
      <w:marBottom w:val="0"/>
      <w:divBdr>
        <w:top w:val="none" w:sz="0" w:space="0" w:color="auto"/>
        <w:left w:val="none" w:sz="0" w:space="0" w:color="auto"/>
        <w:bottom w:val="none" w:sz="0" w:space="0" w:color="auto"/>
        <w:right w:val="none" w:sz="0" w:space="0" w:color="auto"/>
      </w:divBdr>
    </w:div>
    <w:div w:id="1392650978">
      <w:bodyDiv w:val="1"/>
      <w:marLeft w:val="0"/>
      <w:marRight w:val="0"/>
      <w:marTop w:val="0"/>
      <w:marBottom w:val="0"/>
      <w:divBdr>
        <w:top w:val="none" w:sz="0" w:space="0" w:color="auto"/>
        <w:left w:val="none" w:sz="0" w:space="0" w:color="auto"/>
        <w:bottom w:val="none" w:sz="0" w:space="0" w:color="auto"/>
        <w:right w:val="none" w:sz="0" w:space="0" w:color="auto"/>
      </w:divBdr>
      <w:divsChild>
        <w:div w:id="388581200">
          <w:marLeft w:val="0"/>
          <w:marRight w:val="0"/>
          <w:marTop w:val="0"/>
          <w:marBottom w:val="240"/>
          <w:divBdr>
            <w:top w:val="none" w:sz="0" w:space="0" w:color="auto"/>
            <w:left w:val="none" w:sz="0" w:space="0" w:color="auto"/>
            <w:bottom w:val="none" w:sz="0" w:space="0" w:color="auto"/>
            <w:right w:val="none" w:sz="0" w:space="0" w:color="auto"/>
          </w:divBdr>
        </w:div>
        <w:div w:id="427383884">
          <w:marLeft w:val="0"/>
          <w:marRight w:val="0"/>
          <w:marTop w:val="0"/>
          <w:marBottom w:val="240"/>
          <w:divBdr>
            <w:top w:val="none" w:sz="0" w:space="0" w:color="auto"/>
            <w:left w:val="none" w:sz="0" w:space="0" w:color="auto"/>
            <w:bottom w:val="none" w:sz="0" w:space="0" w:color="auto"/>
            <w:right w:val="none" w:sz="0" w:space="0" w:color="auto"/>
          </w:divBdr>
        </w:div>
        <w:div w:id="712383180">
          <w:marLeft w:val="0"/>
          <w:marRight w:val="0"/>
          <w:marTop w:val="0"/>
          <w:marBottom w:val="240"/>
          <w:divBdr>
            <w:top w:val="none" w:sz="0" w:space="0" w:color="auto"/>
            <w:left w:val="none" w:sz="0" w:space="0" w:color="auto"/>
            <w:bottom w:val="none" w:sz="0" w:space="0" w:color="auto"/>
            <w:right w:val="none" w:sz="0" w:space="0" w:color="auto"/>
          </w:divBdr>
        </w:div>
        <w:div w:id="1251045001">
          <w:marLeft w:val="0"/>
          <w:marRight w:val="0"/>
          <w:marTop w:val="0"/>
          <w:marBottom w:val="240"/>
          <w:divBdr>
            <w:top w:val="none" w:sz="0" w:space="0" w:color="auto"/>
            <w:left w:val="none" w:sz="0" w:space="0" w:color="auto"/>
            <w:bottom w:val="none" w:sz="0" w:space="0" w:color="auto"/>
            <w:right w:val="none" w:sz="0" w:space="0" w:color="auto"/>
          </w:divBdr>
        </w:div>
        <w:div w:id="1891728604">
          <w:marLeft w:val="0"/>
          <w:marRight w:val="0"/>
          <w:marTop w:val="0"/>
          <w:marBottom w:val="240"/>
          <w:divBdr>
            <w:top w:val="none" w:sz="0" w:space="0" w:color="auto"/>
            <w:left w:val="none" w:sz="0" w:space="0" w:color="auto"/>
            <w:bottom w:val="none" w:sz="0" w:space="0" w:color="auto"/>
            <w:right w:val="none" w:sz="0" w:space="0" w:color="auto"/>
          </w:divBdr>
        </w:div>
      </w:divsChild>
    </w:div>
    <w:div w:id="1578514682">
      <w:bodyDiv w:val="1"/>
      <w:marLeft w:val="0"/>
      <w:marRight w:val="0"/>
      <w:marTop w:val="0"/>
      <w:marBottom w:val="0"/>
      <w:divBdr>
        <w:top w:val="none" w:sz="0" w:space="0" w:color="auto"/>
        <w:left w:val="none" w:sz="0" w:space="0" w:color="auto"/>
        <w:bottom w:val="none" w:sz="0" w:space="0" w:color="auto"/>
        <w:right w:val="none" w:sz="0" w:space="0" w:color="auto"/>
      </w:divBdr>
      <w:divsChild>
        <w:div w:id="97526408">
          <w:marLeft w:val="0"/>
          <w:marRight w:val="0"/>
          <w:marTop w:val="0"/>
          <w:marBottom w:val="240"/>
          <w:divBdr>
            <w:top w:val="none" w:sz="0" w:space="0" w:color="auto"/>
            <w:left w:val="none" w:sz="0" w:space="0" w:color="auto"/>
            <w:bottom w:val="none" w:sz="0" w:space="0" w:color="auto"/>
            <w:right w:val="none" w:sz="0" w:space="0" w:color="auto"/>
          </w:divBdr>
        </w:div>
        <w:div w:id="505756245">
          <w:marLeft w:val="0"/>
          <w:marRight w:val="0"/>
          <w:marTop w:val="0"/>
          <w:marBottom w:val="240"/>
          <w:divBdr>
            <w:top w:val="none" w:sz="0" w:space="0" w:color="auto"/>
            <w:left w:val="none" w:sz="0" w:space="0" w:color="auto"/>
            <w:bottom w:val="none" w:sz="0" w:space="0" w:color="auto"/>
            <w:right w:val="none" w:sz="0" w:space="0" w:color="auto"/>
          </w:divBdr>
        </w:div>
        <w:div w:id="830370430">
          <w:marLeft w:val="0"/>
          <w:marRight w:val="0"/>
          <w:marTop w:val="0"/>
          <w:marBottom w:val="240"/>
          <w:divBdr>
            <w:top w:val="none" w:sz="0" w:space="0" w:color="auto"/>
            <w:left w:val="none" w:sz="0" w:space="0" w:color="auto"/>
            <w:bottom w:val="none" w:sz="0" w:space="0" w:color="auto"/>
            <w:right w:val="none" w:sz="0" w:space="0" w:color="auto"/>
          </w:divBdr>
        </w:div>
        <w:div w:id="1174416730">
          <w:marLeft w:val="0"/>
          <w:marRight w:val="0"/>
          <w:marTop w:val="0"/>
          <w:marBottom w:val="240"/>
          <w:divBdr>
            <w:top w:val="none" w:sz="0" w:space="0" w:color="auto"/>
            <w:left w:val="none" w:sz="0" w:space="0" w:color="auto"/>
            <w:bottom w:val="none" w:sz="0" w:space="0" w:color="auto"/>
            <w:right w:val="none" w:sz="0" w:space="0" w:color="auto"/>
          </w:divBdr>
        </w:div>
        <w:div w:id="1176965274">
          <w:marLeft w:val="0"/>
          <w:marRight w:val="0"/>
          <w:marTop w:val="0"/>
          <w:marBottom w:val="240"/>
          <w:divBdr>
            <w:top w:val="none" w:sz="0" w:space="0" w:color="auto"/>
            <w:left w:val="none" w:sz="0" w:space="0" w:color="auto"/>
            <w:bottom w:val="none" w:sz="0" w:space="0" w:color="auto"/>
            <w:right w:val="none" w:sz="0" w:space="0" w:color="auto"/>
          </w:divBdr>
        </w:div>
        <w:div w:id="1874075754">
          <w:marLeft w:val="0"/>
          <w:marRight w:val="0"/>
          <w:marTop w:val="0"/>
          <w:marBottom w:val="240"/>
          <w:divBdr>
            <w:top w:val="none" w:sz="0" w:space="0" w:color="auto"/>
            <w:left w:val="none" w:sz="0" w:space="0" w:color="auto"/>
            <w:bottom w:val="none" w:sz="0" w:space="0" w:color="auto"/>
            <w:right w:val="none" w:sz="0" w:space="0" w:color="auto"/>
          </w:divBdr>
        </w:div>
        <w:div w:id="1948731679">
          <w:marLeft w:val="0"/>
          <w:marRight w:val="0"/>
          <w:marTop w:val="0"/>
          <w:marBottom w:val="240"/>
          <w:divBdr>
            <w:top w:val="none" w:sz="0" w:space="0" w:color="auto"/>
            <w:left w:val="none" w:sz="0" w:space="0" w:color="auto"/>
            <w:bottom w:val="none" w:sz="0" w:space="0" w:color="auto"/>
            <w:right w:val="none" w:sz="0" w:space="0" w:color="auto"/>
          </w:divBdr>
        </w:div>
        <w:div w:id="2035306466">
          <w:marLeft w:val="0"/>
          <w:marRight w:val="0"/>
          <w:marTop w:val="0"/>
          <w:marBottom w:val="240"/>
          <w:divBdr>
            <w:top w:val="none" w:sz="0" w:space="0" w:color="auto"/>
            <w:left w:val="none" w:sz="0" w:space="0" w:color="auto"/>
            <w:bottom w:val="none" w:sz="0" w:space="0" w:color="auto"/>
            <w:right w:val="none" w:sz="0" w:space="0" w:color="auto"/>
          </w:divBdr>
        </w:div>
      </w:divsChild>
    </w:div>
    <w:div w:id="1880162830">
      <w:bodyDiv w:val="1"/>
      <w:marLeft w:val="0"/>
      <w:marRight w:val="0"/>
      <w:marTop w:val="0"/>
      <w:marBottom w:val="0"/>
      <w:divBdr>
        <w:top w:val="none" w:sz="0" w:space="0" w:color="auto"/>
        <w:left w:val="none" w:sz="0" w:space="0" w:color="auto"/>
        <w:bottom w:val="none" w:sz="0" w:space="0" w:color="auto"/>
        <w:right w:val="none" w:sz="0" w:space="0" w:color="auto"/>
      </w:divBdr>
      <w:divsChild>
        <w:div w:id="179005531">
          <w:marLeft w:val="0"/>
          <w:marRight w:val="0"/>
          <w:marTop w:val="0"/>
          <w:marBottom w:val="240"/>
          <w:divBdr>
            <w:top w:val="none" w:sz="0" w:space="0" w:color="auto"/>
            <w:left w:val="none" w:sz="0" w:space="0" w:color="auto"/>
            <w:bottom w:val="none" w:sz="0" w:space="0" w:color="auto"/>
            <w:right w:val="none" w:sz="0" w:space="0" w:color="auto"/>
          </w:divBdr>
        </w:div>
        <w:div w:id="197862956">
          <w:marLeft w:val="0"/>
          <w:marRight w:val="0"/>
          <w:marTop w:val="0"/>
          <w:marBottom w:val="240"/>
          <w:divBdr>
            <w:top w:val="none" w:sz="0" w:space="0" w:color="auto"/>
            <w:left w:val="none" w:sz="0" w:space="0" w:color="auto"/>
            <w:bottom w:val="none" w:sz="0" w:space="0" w:color="auto"/>
            <w:right w:val="none" w:sz="0" w:space="0" w:color="auto"/>
          </w:divBdr>
        </w:div>
        <w:div w:id="345446976">
          <w:marLeft w:val="0"/>
          <w:marRight w:val="0"/>
          <w:marTop w:val="0"/>
          <w:marBottom w:val="240"/>
          <w:divBdr>
            <w:top w:val="none" w:sz="0" w:space="0" w:color="auto"/>
            <w:left w:val="none" w:sz="0" w:space="0" w:color="auto"/>
            <w:bottom w:val="none" w:sz="0" w:space="0" w:color="auto"/>
            <w:right w:val="none" w:sz="0" w:space="0" w:color="auto"/>
          </w:divBdr>
        </w:div>
        <w:div w:id="633483062">
          <w:marLeft w:val="0"/>
          <w:marRight w:val="0"/>
          <w:marTop w:val="0"/>
          <w:marBottom w:val="240"/>
          <w:divBdr>
            <w:top w:val="none" w:sz="0" w:space="0" w:color="auto"/>
            <w:left w:val="none" w:sz="0" w:space="0" w:color="auto"/>
            <w:bottom w:val="none" w:sz="0" w:space="0" w:color="auto"/>
            <w:right w:val="none" w:sz="0" w:space="0" w:color="auto"/>
          </w:divBdr>
        </w:div>
        <w:div w:id="969943169">
          <w:marLeft w:val="0"/>
          <w:marRight w:val="0"/>
          <w:marTop w:val="0"/>
          <w:marBottom w:val="240"/>
          <w:divBdr>
            <w:top w:val="none" w:sz="0" w:space="0" w:color="auto"/>
            <w:left w:val="none" w:sz="0" w:space="0" w:color="auto"/>
            <w:bottom w:val="none" w:sz="0" w:space="0" w:color="auto"/>
            <w:right w:val="none" w:sz="0" w:space="0" w:color="auto"/>
          </w:divBdr>
        </w:div>
        <w:div w:id="1074742714">
          <w:marLeft w:val="0"/>
          <w:marRight w:val="0"/>
          <w:marTop w:val="0"/>
          <w:marBottom w:val="240"/>
          <w:divBdr>
            <w:top w:val="none" w:sz="0" w:space="0" w:color="auto"/>
            <w:left w:val="none" w:sz="0" w:space="0" w:color="auto"/>
            <w:bottom w:val="none" w:sz="0" w:space="0" w:color="auto"/>
            <w:right w:val="none" w:sz="0" w:space="0" w:color="auto"/>
          </w:divBdr>
        </w:div>
        <w:div w:id="1580020515">
          <w:marLeft w:val="0"/>
          <w:marRight w:val="0"/>
          <w:marTop w:val="0"/>
          <w:marBottom w:val="240"/>
          <w:divBdr>
            <w:top w:val="none" w:sz="0" w:space="0" w:color="auto"/>
            <w:left w:val="none" w:sz="0" w:space="0" w:color="auto"/>
            <w:bottom w:val="none" w:sz="0" w:space="0" w:color="auto"/>
            <w:right w:val="none" w:sz="0" w:space="0" w:color="auto"/>
          </w:divBdr>
        </w:div>
        <w:div w:id="1602490148">
          <w:marLeft w:val="0"/>
          <w:marRight w:val="0"/>
          <w:marTop w:val="0"/>
          <w:marBottom w:val="240"/>
          <w:divBdr>
            <w:top w:val="none" w:sz="0" w:space="0" w:color="auto"/>
            <w:left w:val="none" w:sz="0" w:space="0" w:color="auto"/>
            <w:bottom w:val="none" w:sz="0" w:space="0" w:color="auto"/>
            <w:right w:val="none" w:sz="0" w:space="0" w:color="auto"/>
          </w:divBdr>
        </w:div>
        <w:div w:id="1844736423">
          <w:marLeft w:val="0"/>
          <w:marRight w:val="0"/>
          <w:marTop w:val="0"/>
          <w:marBottom w:val="240"/>
          <w:divBdr>
            <w:top w:val="none" w:sz="0" w:space="0" w:color="auto"/>
            <w:left w:val="none" w:sz="0" w:space="0" w:color="auto"/>
            <w:bottom w:val="none" w:sz="0" w:space="0" w:color="auto"/>
            <w:right w:val="none" w:sz="0" w:space="0" w:color="auto"/>
          </w:divBdr>
        </w:div>
      </w:divsChild>
    </w:div>
    <w:div w:id="2140763898">
      <w:bodyDiv w:val="1"/>
      <w:marLeft w:val="0"/>
      <w:marRight w:val="0"/>
      <w:marTop w:val="0"/>
      <w:marBottom w:val="0"/>
      <w:divBdr>
        <w:top w:val="none" w:sz="0" w:space="0" w:color="auto"/>
        <w:left w:val="none" w:sz="0" w:space="0" w:color="auto"/>
        <w:bottom w:val="none" w:sz="0" w:space="0" w:color="auto"/>
        <w:right w:val="none" w:sz="0" w:space="0" w:color="auto"/>
      </w:divBdr>
      <w:divsChild>
        <w:div w:id="178274040">
          <w:marLeft w:val="0"/>
          <w:marRight w:val="0"/>
          <w:marTop w:val="0"/>
          <w:marBottom w:val="240"/>
          <w:divBdr>
            <w:top w:val="none" w:sz="0" w:space="0" w:color="auto"/>
            <w:left w:val="none" w:sz="0" w:space="0" w:color="auto"/>
            <w:bottom w:val="none" w:sz="0" w:space="0" w:color="auto"/>
            <w:right w:val="none" w:sz="0" w:space="0" w:color="auto"/>
          </w:divBdr>
        </w:div>
        <w:div w:id="295842146">
          <w:marLeft w:val="0"/>
          <w:marRight w:val="0"/>
          <w:marTop w:val="0"/>
          <w:marBottom w:val="240"/>
          <w:divBdr>
            <w:top w:val="none" w:sz="0" w:space="0" w:color="auto"/>
            <w:left w:val="none" w:sz="0" w:space="0" w:color="auto"/>
            <w:bottom w:val="none" w:sz="0" w:space="0" w:color="auto"/>
            <w:right w:val="none" w:sz="0" w:space="0" w:color="auto"/>
          </w:divBdr>
        </w:div>
        <w:div w:id="638219852">
          <w:marLeft w:val="0"/>
          <w:marRight w:val="0"/>
          <w:marTop w:val="0"/>
          <w:marBottom w:val="240"/>
          <w:divBdr>
            <w:top w:val="none" w:sz="0" w:space="0" w:color="auto"/>
            <w:left w:val="none" w:sz="0" w:space="0" w:color="auto"/>
            <w:bottom w:val="none" w:sz="0" w:space="0" w:color="auto"/>
            <w:right w:val="none" w:sz="0" w:space="0" w:color="auto"/>
          </w:divBdr>
        </w:div>
        <w:div w:id="1324746334">
          <w:marLeft w:val="0"/>
          <w:marRight w:val="0"/>
          <w:marTop w:val="0"/>
          <w:marBottom w:val="240"/>
          <w:divBdr>
            <w:top w:val="none" w:sz="0" w:space="0" w:color="auto"/>
            <w:left w:val="none" w:sz="0" w:space="0" w:color="auto"/>
            <w:bottom w:val="none" w:sz="0" w:space="0" w:color="auto"/>
            <w:right w:val="none" w:sz="0" w:space="0" w:color="auto"/>
          </w:divBdr>
        </w:div>
        <w:div w:id="1418165946">
          <w:marLeft w:val="0"/>
          <w:marRight w:val="0"/>
          <w:marTop w:val="0"/>
          <w:marBottom w:val="240"/>
          <w:divBdr>
            <w:top w:val="none" w:sz="0" w:space="0" w:color="auto"/>
            <w:left w:val="none" w:sz="0" w:space="0" w:color="auto"/>
            <w:bottom w:val="none" w:sz="0" w:space="0" w:color="auto"/>
            <w:right w:val="none" w:sz="0" w:space="0" w:color="auto"/>
          </w:divBdr>
        </w:div>
        <w:div w:id="1541748530">
          <w:marLeft w:val="0"/>
          <w:marRight w:val="0"/>
          <w:marTop w:val="0"/>
          <w:marBottom w:val="240"/>
          <w:divBdr>
            <w:top w:val="none" w:sz="0" w:space="0" w:color="auto"/>
            <w:left w:val="none" w:sz="0" w:space="0" w:color="auto"/>
            <w:bottom w:val="none" w:sz="0" w:space="0" w:color="auto"/>
            <w:right w:val="none" w:sz="0" w:space="0" w:color="auto"/>
          </w:divBdr>
        </w:div>
        <w:div w:id="1576040339">
          <w:marLeft w:val="0"/>
          <w:marRight w:val="0"/>
          <w:marTop w:val="0"/>
          <w:marBottom w:val="240"/>
          <w:divBdr>
            <w:top w:val="none" w:sz="0" w:space="0" w:color="auto"/>
            <w:left w:val="none" w:sz="0" w:space="0" w:color="auto"/>
            <w:bottom w:val="none" w:sz="0" w:space="0" w:color="auto"/>
            <w:right w:val="none" w:sz="0" w:space="0" w:color="auto"/>
          </w:divBdr>
        </w:div>
        <w:div w:id="189858544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zachary@cde.c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ci/ct/i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4A837-BA65-4F43-88BB-B4178C136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2086</Words>
  <Characters>11602</Characters>
  <Application>Microsoft Office Word</Application>
  <DocSecurity>0</DocSecurity>
  <Lines>252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13533</CharactersWithSpaces>
  <SharedDoc>false</SharedDoc>
  <HLinks>
    <vt:vector size="18" baseType="variant">
      <vt:variant>
        <vt:i4>2359365</vt:i4>
      </vt:variant>
      <vt:variant>
        <vt:i4>9</vt:i4>
      </vt:variant>
      <vt:variant>
        <vt:i4>0</vt:i4>
      </vt:variant>
      <vt:variant>
        <vt:i4>5</vt:i4>
      </vt:variant>
      <vt:variant>
        <vt:lpwstr>mailto:fname@cde.ca.gov</vt:lpwstr>
      </vt:variant>
      <vt:variant>
        <vt:lpwstr/>
      </vt:variant>
      <vt:variant>
        <vt:i4>4718682</vt:i4>
      </vt:variant>
      <vt:variant>
        <vt:i4>6</vt:i4>
      </vt:variant>
      <vt:variant>
        <vt:i4>0</vt:i4>
      </vt:variant>
      <vt:variant>
        <vt:i4>5</vt:i4>
      </vt:variant>
      <vt:variant>
        <vt:lpwstr>http://www.cde.ca.gov/xx/xx/xx/documents/filename.doc</vt:lpwstr>
      </vt:variant>
      <vt:variant>
        <vt:lpwstr/>
      </vt:variant>
      <vt:variant>
        <vt:i4>4587582</vt:i4>
      </vt:variant>
      <vt:variant>
        <vt:i4>3</vt:i4>
      </vt:variant>
      <vt:variant>
        <vt:i4>0</vt:i4>
      </vt:variant>
      <vt:variant>
        <vt:i4>5</vt:i4>
      </vt:variant>
      <vt:variant>
        <vt:lpwstr>mailto:xxx@cde.ca.gov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2025 Legislative Report - CTEIG (CA Dept of Education)</dc:title>
  <dc:subject>Career Technical Education Incentive Grant (CTEIG) Legislative Reports prepared by the California Department of Education November 2025.</dc:subject>
  <dc:creator/>
  <cp:keywords/>
  <dc:description/>
  <cp:lastModifiedBy/>
  <cp:revision>1</cp:revision>
  <dcterms:created xsi:type="dcterms:W3CDTF">2026-04-14T21:54:00Z</dcterms:created>
  <dcterms:modified xsi:type="dcterms:W3CDTF">2026-04-14T21:55:00Z</dcterms:modified>
</cp:coreProperties>
</file>