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5608B" w14:textId="0D678E0C" w:rsidR="00E8607C" w:rsidRPr="00E8607C" w:rsidRDefault="00E8607C" w:rsidP="00E8607C">
      <w:pPr>
        <w:spacing w:line="240" w:lineRule="auto"/>
        <w:jc w:val="right"/>
        <w:rPr>
          <w:color w:val="242424"/>
          <w:sz w:val="24"/>
          <w:szCs w:val="24"/>
        </w:rPr>
      </w:pPr>
      <w:r w:rsidRPr="00E8607C">
        <w:rPr>
          <w:i/>
          <w:iCs/>
          <w:color w:val="242424"/>
          <w:sz w:val="24"/>
          <w:szCs w:val="24"/>
        </w:rPr>
        <w:t>Mathematics Framework</w:t>
      </w:r>
    </w:p>
    <w:p w14:paraId="51856D4A" w14:textId="7A9CCDC6" w:rsidR="00E8607C" w:rsidRPr="00E8607C" w:rsidRDefault="00466F56" w:rsidP="00E8607C">
      <w:pPr>
        <w:spacing w:line="240" w:lineRule="auto"/>
        <w:jc w:val="right"/>
        <w:rPr>
          <w:color w:val="242424"/>
          <w:sz w:val="24"/>
          <w:szCs w:val="24"/>
        </w:rPr>
      </w:pPr>
      <w:r>
        <w:rPr>
          <w:color w:val="242424"/>
          <w:sz w:val="24"/>
          <w:szCs w:val="24"/>
        </w:rPr>
        <w:t>Adopted by</w:t>
      </w:r>
      <w:r w:rsidR="00E8607C" w:rsidRPr="00E8607C">
        <w:rPr>
          <w:color w:val="242424"/>
          <w:sz w:val="24"/>
          <w:szCs w:val="24"/>
        </w:rPr>
        <w:t xml:space="preserve"> the State Board of Education </w:t>
      </w:r>
      <w:r>
        <w:rPr>
          <w:color w:val="242424"/>
          <w:sz w:val="24"/>
          <w:szCs w:val="24"/>
        </w:rPr>
        <w:t>on</w:t>
      </w:r>
      <w:r w:rsidR="00E8607C" w:rsidRPr="00E8607C">
        <w:rPr>
          <w:color w:val="242424"/>
          <w:sz w:val="24"/>
          <w:szCs w:val="24"/>
        </w:rPr>
        <w:t xml:space="preserve"> July 12, 2023</w:t>
      </w:r>
    </w:p>
    <w:p w14:paraId="5D816276" w14:textId="797A3737" w:rsidR="00B471BA" w:rsidRPr="00B471BA" w:rsidRDefault="00B471BA" w:rsidP="00363BA4">
      <w:pPr>
        <w:spacing w:line="240" w:lineRule="auto"/>
        <w:jc w:val="right"/>
        <w:rPr>
          <w:rFonts w:eastAsia="Calibri"/>
          <w:sz w:val="24"/>
          <w:szCs w:val="24"/>
        </w:rPr>
      </w:pPr>
      <w:r w:rsidRPr="00B471BA">
        <w:rPr>
          <w:rFonts w:eastAsia="Calibri"/>
          <w:sz w:val="24"/>
          <w:szCs w:val="24"/>
        </w:rPr>
        <w:t xml:space="preserve">Page </w:t>
      </w:r>
      <w:r w:rsidRPr="00B471BA">
        <w:rPr>
          <w:rFonts w:eastAsia="Calibri"/>
          <w:sz w:val="24"/>
          <w:szCs w:val="24"/>
        </w:rPr>
        <w:fldChar w:fldCharType="begin"/>
      </w:r>
      <w:r w:rsidRPr="00B471BA">
        <w:rPr>
          <w:rFonts w:eastAsia="Calibri"/>
          <w:sz w:val="24"/>
          <w:szCs w:val="24"/>
        </w:rPr>
        <w:instrText xml:space="preserve"> PAGE  \* Arabic  \* MERGEFORMAT </w:instrText>
      </w:r>
      <w:r w:rsidRPr="00B471BA">
        <w:rPr>
          <w:rFonts w:eastAsia="Calibri"/>
          <w:sz w:val="24"/>
          <w:szCs w:val="24"/>
        </w:rPr>
        <w:fldChar w:fldCharType="separate"/>
      </w:r>
      <w:r w:rsidRPr="00B471BA">
        <w:rPr>
          <w:rFonts w:eastAsia="Calibri"/>
          <w:noProof/>
          <w:sz w:val="24"/>
          <w:szCs w:val="24"/>
        </w:rPr>
        <w:t>1</w:t>
      </w:r>
      <w:r w:rsidRPr="00B471BA">
        <w:rPr>
          <w:rFonts w:eastAsia="Calibri"/>
          <w:sz w:val="24"/>
          <w:szCs w:val="24"/>
        </w:rPr>
        <w:fldChar w:fldCharType="end"/>
      </w:r>
      <w:r w:rsidRPr="00B471BA">
        <w:rPr>
          <w:rFonts w:eastAsia="Calibri"/>
          <w:sz w:val="24"/>
          <w:szCs w:val="24"/>
        </w:rPr>
        <w:t xml:space="preserve"> of </w:t>
      </w:r>
      <w:r w:rsidRPr="00B471BA">
        <w:rPr>
          <w:rFonts w:eastAsia="Calibri"/>
          <w:sz w:val="24"/>
          <w:szCs w:val="24"/>
        </w:rPr>
        <w:fldChar w:fldCharType="begin"/>
      </w:r>
      <w:r w:rsidRPr="00B471BA">
        <w:rPr>
          <w:rFonts w:eastAsia="Calibri"/>
          <w:sz w:val="24"/>
          <w:szCs w:val="24"/>
        </w:rPr>
        <w:instrText xml:space="preserve"> NUMPAGES  \* Arabic  \* MERGEFORMAT </w:instrText>
      </w:r>
      <w:r w:rsidRPr="00B471BA">
        <w:rPr>
          <w:rFonts w:eastAsia="Calibri"/>
          <w:sz w:val="24"/>
          <w:szCs w:val="24"/>
        </w:rPr>
        <w:fldChar w:fldCharType="separate"/>
      </w:r>
      <w:r w:rsidR="00987389">
        <w:rPr>
          <w:rFonts w:eastAsia="Calibri"/>
          <w:noProof/>
          <w:sz w:val="24"/>
          <w:szCs w:val="24"/>
        </w:rPr>
        <w:t>21</w:t>
      </w:r>
      <w:r w:rsidRPr="00B471BA">
        <w:rPr>
          <w:rFonts w:eastAsia="Calibri"/>
          <w:sz w:val="24"/>
          <w:szCs w:val="24"/>
        </w:rPr>
        <w:fldChar w:fldCharType="end"/>
      </w:r>
    </w:p>
    <w:p w14:paraId="431DF94F" w14:textId="252F857B" w:rsidR="005D5E75" w:rsidRPr="00B471BA" w:rsidRDefault="00B471BA" w:rsidP="00F76F79">
      <w:pPr>
        <w:pStyle w:val="Heading1"/>
        <w:spacing w:before="360" w:after="240" w:line="240" w:lineRule="auto"/>
        <w:jc w:val="center"/>
        <w:rPr>
          <w:b/>
          <w:bCs/>
          <w:sz w:val="36"/>
          <w:szCs w:val="36"/>
        </w:rPr>
      </w:pPr>
      <w:bookmarkStart w:id="0" w:name="_Toc96929896"/>
      <w:bookmarkStart w:id="1" w:name="_Toc135813001"/>
      <w:r w:rsidRPr="00B471BA">
        <w:rPr>
          <w:b/>
          <w:bCs/>
          <w:sz w:val="36"/>
          <w:szCs w:val="36"/>
        </w:rPr>
        <w:t>Mathematics Framework</w:t>
      </w:r>
      <w:r w:rsidRPr="00B471BA">
        <w:rPr>
          <w:b/>
          <w:bCs/>
          <w:sz w:val="36"/>
          <w:szCs w:val="36"/>
        </w:rPr>
        <w:br/>
      </w:r>
      <w:r w:rsidR="00687DBF" w:rsidRPr="00B471BA">
        <w:rPr>
          <w:b/>
          <w:bCs/>
          <w:sz w:val="36"/>
          <w:szCs w:val="36"/>
        </w:rPr>
        <w:t xml:space="preserve">Chapter 9: Structuring </w:t>
      </w:r>
      <w:r w:rsidR="00E402CD" w:rsidRPr="00B471BA">
        <w:rPr>
          <w:b/>
          <w:bCs/>
          <w:sz w:val="36"/>
          <w:szCs w:val="36"/>
        </w:rPr>
        <w:t>S</w:t>
      </w:r>
      <w:r w:rsidR="00687DBF" w:rsidRPr="00B471BA">
        <w:rPr>
          <w:b/>
          <w:bCs/>
          <w:sz w:val="36"/>
          <w:szCs w:val="36"/>
        </w:rPr>
        <w:t xml:space="preserve">chool </w:t>
      </w:r>
      <w:r w:rsidR="00E402CD" w:rsidRPr="00B471BA">
        <w:rPr>
          <w:b/>
          <w:bCs/>
          <w:sz w:val="36"/>
          <w:szCs w:val="36"/>
        </w:rPr>
        <w:t>E</w:t>
      </w:r>
      <w:r w:rsidR="00687DBF" w:rsidRPr="00B471BA">
        <w:rPr>
          <w:b/>
          <w:bCs/>
          <w:sz w:val="36"/>
          <w:szCs w:val="36"/>
        </w:rPr>
        <w:t xml:space="preserve">xperiences for </w:t>
      </w:r>
      <w:r w:rsidR="00E402CD" w:rsidRPr="00B471BA">
        <w:rPr>
          <w:b/>
          <w:bCs/>
          <w:sz w:val="36"/>
          <w:szCs w:val="36"/>
        </w:rPr>
        <w:t>E</w:t>
      </w:r>
      <w:r w:rsidR="00687DBF" w:rsidRPr="00B471BA">
        <w:rPr>
          <w:b/>
          <w:bCs/>
          <w:sz w:val="36"/>
          <w:szCs w:val="36"/>
        </w:rPr>
        <w:t xml:space="preserve">quity and </w:t>
      </w:r>
      <w:r w:rsidR="00E402CD" w:rsidRPr="00B471BA">
        <w:rPr>
          <w:b/>
          <w:bCs/>
          <w:sz w:val="36"/>
          <w:szCs w:val="36"/>
        </w:rPr>
        <w:t>E</w:t>
      </w:r>
      <w:r w:rsidR="00687DBF" w:rsidRPr="00B471BA">
        <w:rPr>
          <w:b/>
          <w:bCs/>
          <w:sz w:val="36"/>
          <w:szCs w:val="36"/>
        </w:rPr>
        <w:t>ngagement</w:t>
      </w:r>
      <w:bookmarkEnd w:id="0"/>
      <w:bookmarkEnd w:id="1"/>
    </w:p>
    <w:p w14:paraId="46AD7516" w14:textId="6F8AF468" w:rsidR="00B471BA" w:rsidRPr="00C350C7" w:rsidRDefault="00B471BA" w:rsidP="008636E8">
      <w:pPr>
        <w:pStyle w:val="NormalWeb"/>
      </w:pPr>
      <w:r w:rsidRPr="00D651ED">
        <w:rPr>
          <w:sz w:val="32"/>
          <w:szCs w:val="32"/>
        </w:rPr>
        <w:br w:type="page"/>
      </w:r>
    </w:p>
    <w:bookmarkStart w:id="2" w:name="_30j0zll" w:colFirst="0" w:colLast="0"/>
    <w:bookmarkStart w:id="3" w:name="_Toc96929897"/>
    <w:bookmarkEnd w:id="2"/>
    <w:p w14:paraId="314A7917" w14:textId="6F7ABBED" w:rsidR="00151475" w:rsidRDefault="00003E14">
      <w:pPr>
        <w:pStyle w:val="TOC1"/>
        <w:rPr>
          <w:rFonts w:asciiTheme="minorHAnsi" w:eastAsiaTheme="minorEastAsia" w:hAnsiTheme="minorHAnsi" w:cstheme="minorBidi"/>
          <w:noProof/>
          <w:sz w:val="22"/>
          <w:lang w:val="en-US"/>
        </w:rPr>
      </w:pPr>
      <w:r>
        <w:rPr>
          <w:rFonts w:eastAsia="Calibri"/>
          <w:szCs w:val="24"/>
        </w:rPr>
        <w:lastRenderedPageBreak/>
        <w:fldChar w:fldCharType="begin"/>
      </w:r>
      <w:r>
        <w:rPr>
          <w:rFonts w:eastAsia="Calibri"/>
          <w:szCs w:val="24"/>
        </w:rPr>
        <w:instrText xml:space="preserve"> TOC \o "1-3" \h \z \u </w:instrText>
      </w:r>
      <w:r>
        <w:rPr>
          <w:rFonts w:eastAsia="Calibri"/>
          <w:szCs w:val="24"/>
        </w:rPr>
        <w:fldChar w:fldCharType="separate"/>
      </w:r>
      <w:hyperlink w:anchor="_Toc135813001" w:history="1">
        <w:r w:rsidR="00151475" w:rsidRPr="00A67AF1">
          <w:rPr>
            <w:rStyle w:val="Hyperlink"/>
            <w:b/>
            <w:bCs/>
            <w:noProof/>
          </w:rPr>
          <w:t>Mathematics Framework Chapter 9: Structuring School Experiences for Equity and Engagement</w:t>
        </w:r>
        <w:r w:rsidR="00151475">
          <w:rPr>
            <w:noProof/>
            <w:webHidden/>
          </w:rPr>
          <w:tab/>
        </w:r>
        <w:r w:rsidR="00151475">
          <w:rPr>
            <w:noProof/>
            <w:webHidden/>
          </w:rPr>
          <w:fldChar w:fldCharType="begin"/>
        </w:r>
        <w:r w:rsidR="00151475">
          <w:rPr>
            <w:noProof/>
            <w:webHidden/>
          </w:rPr>
          <w:instrText xml:space="preserve"> PAGEREF _Toc135813001 \h </w:instrText>
        </w:r>
        <w:r w:rsidR="00151475">
          <w:rPr>
            <w:noProof/>
            <w:webHidden/>
          </w:rPr>
        </w:r>
        <w:r w:rsidR="00151475">
          <w:rPr>
            <w:noProof/>
            <w:webHidden/>
          </w:rPr>
          <w:fldChar w:fldCharType="separate"/>
        </w:r>
        <w:r w:rsidR="00987389">
          <w:rPr>
            <w:noProof/>
            <w:webHidden/>
          </w:rPr>
          <w:t>1</w:t>
        </w:r>
        <w:r w:rsidR="00151475">
          <w:rPr>
            <w:noProof/>
            <w:webHidden/>
          </w:rPr>
          <w:fldChar w:fldCharType="end"/>
        </w:r>
      </w:hyperlink>
    </w:p>
    <w:p w14:paraId="11143356" w14:textId="62165B39" w:rsidR="00151475" w:rsidRDefault="00D45137">
      <w:pPr>
        <w:pStyle w:val="TOC2"/>
        <w:rPr>
          <w:rFonts w:asciiTheme="minorHAnsi" w:eastAsiaTheme="minorEastAsia" w:hAnsiTheme="minorHAnsi" w:cstheme="minorBidi"/>
          <w:noProof/>
          <w:sz w:val="22"/>
          <w:lang w:val="en-US"/>
        </w:rPr>
      </w:pPr>
      <w:hyperlink w:anchor="_Toc135813002" w:history="1">
        <w:r w:rsidR="00151475" w:rsidRPr="00A67AF1">
          <w:rPr>
            <w:rStyle w:val="Hyperlink"/>
            <w:noProof/>
          </w:rPr>
          <w:t>Introduction</w:t>
        </w:r>
        <w:r w:rsidR="00151475">
          <w:rPr>
            <w:noProof/>
            <w:webHidden/>
          </w:rPr>
          <w:tab/>
        </w:r>
        <w:r w:rsidR="00151475">
          <w:rPr>
            <w:noProof/>
            <w:webHidden/>
          </w:rPr>
          <w:fldChar w:fldCharType="begin"/>
        </w:r>
        <w:r w:rsidR="00151475">
          <w:rPr>
            <w:noProof/>
            <w:webHidden/>
          </w:rPr>
          <w:instrText xml:space="preserve"> PAGEREF _Toc135813002 \h </w:instrText>
        </w:r>
        <w:r w:rsidR="00151475">
          <w:rPr>
            <w:noProof/>
            <w:webHidden/>
          </w:rPr>
        </w:r>
        <w:r w:rsidR="00151475">
          <w:rPr>
            <w:noProof/>
            <w:webHidden/>
          </w:rPr>
          <w:fldChar w:fldCharType="separate"/>
        </w:r>
        <w:r w:rsidR="00987389">
          <w:rPr>
            <w:noProof/>
            <w:webHidden/>
          </w:rPr>
          <w:t>2</w:t>
        </w:r>
        <w:r w:rsidR="00151475">
          <w:rPr>
            <w:noProof/>
            <w:webHidden/>
          </w:rPr>
          <w:fldChar w:fldCharType="end"/>
        </w:r>
      </w:hyperlink>
    </w:p>
    <w:p w14:paraId="4F0224C3" w14:textId="1D3FE2EE" w:rsidR="00151475" w:rsidRDefault="00D45137">
      <w:pPr>
        <w:pStyle w:val="TOC2"/>
        <w:rPr>
          <w:rFonts w:asciiTheme="minorHAnsi" w:eastAsiaTheme="minorEastAsia" w:hAnsiTheme="minorHAnsi" w:cstheme="minorBidi"/>
          <w:noProof/>
          <w:sz w:val="22"/>
          <w:lang w:val="en-US"/>
        </w:rPr>
      </w:pPr>
      <w:hyperlink w:anchor="_Toc135813003" w:history="1">
        <w:r w:rsidR="00151475" w:rsidRPr="00A67AF1">
          <w:rPr>
            <w:rStyle w:val="Hyperlink"/>
            <w:noProof/>
          </w:rPr>
          <w:t>Expanding Access to Rigorous Mathematics for All</w:t>
        </w:r>
        <w:r w:rsidR="00151475">
          <w:rPr>
            <w:noProof/>
            <w:webHidden/>
          </w:rPr>
          <w:tab/>
        </w:r>
        <w:r w:rsidR="00151475">
          <w:rPr>
            <w:noProof/>
            <w:webHidden/>
          </w:rPr>
          <w:fldChar w:fldCharType="begin"/>
        </w:r>
        <w:r w:rsidR="00151475">
          <w:rPr>
            <w:noProof/>
            <w:webHidden/>
          </w:rPr>
          <w:instrText xml:space="preserve"> PAGEREF _Toc135813003 \h </w:instrText>
        </w:r>
        <w:r w:rsidR="00151475">
          <w:rPr>
            <w:noProof/>
            <w:webHidden/>
          </w:rPr>
        </w:r>
        <w:r w:rsidR="00151475">
          <w:rPr>
            <w:noProof/>
            <w:webHidden/>
          </w:rPr>
          <w:fldChar w:fldCharType="separate"/>
        </w:r>
        <w:r w:rsidR="00987389">
          <w:rPr>
            <w:noProof/>
            <w:webHidden/>
          </w:rPr>
          <w:t>2</w:t>
        </w:r>
        <w:r w:rsidR="00151475">
          <w:rPr>
            <w:noProof/>
            <w:webHidden/>
          </w:rPr>
          <w:fldChar w:fldCharType="end"/>
        </w:r>
      </w:hyperlink>
    </w:p>
    <w:p w14:paraId="2049215C" w14:textId="049B48E5" w:rsidR="00151475" w:rsidRDefault="00D45137">
      <w:pPr>
        <w:pStyle w:val="TOC2"/>
        <w:rPr>
          <w:rFonts w:asciiTheme="minorHAnsi" w:eastAsiaTheme="minorEastAsia" w:hAnsiTheme="minorHAnsi" w:cstheme="minorBidi"/>
          <w:noProof/>
          <w:sz w:val="22"/>
          <w:lang w:val="en-US"/>
        </w:rPr>
      </w:pPr>
      <w:hyperlink w:anchor="_Toc135813004" w:history="1">
        <w:r w:rsidR="00151475" w:rsidRPr="00A67AF1">
          <w:rPr>
            <w:rStyle w:val="Hyperlink"/>
            <w:noProof/>
          </w:rPr>
          <w:t>Replacing Early Tracking with Adaptive Teaching and Flexible Student Grouping</w:t>
        </w:r>
        <w:r w:rsidR="00151475">
          <w:rPr>
            <w:noProof/>
            <w:webHidden/>
          </w:rPr>
          <w:tab/>
        </w:r>
        <w:r w:rsidR="00151475">
          <w:rPr>
            <w:noProof/>
            <w:webHidden/>
          </w:rPr>
          <w:fldChar w:fldCharType="begin"/>
        </w:r>
        <w:r w:rsidR="00151475">
          <w:rPr>
            <w:noProof/>
            <w:webHidden/>
          </w:rPr>
          <w:instrText xml:space="preserve"> PAGEREF _Toc135813004 \h </w:instrText>
        </w:r>
        <w:r w:rsidR="00151475">
          <w:rPr>
            <w:noProof/>
            <w:webHidden/>
          </w:rPr>
        </w:r>
        <w:r w:rsidR="00151475">
          <w:rPr>
            <w:noProof/>
            <w:webHidden/>
          </w:rPr>
          <w:fldChar w:fldCharType="separate"/>
        </w:r>
        <w:r w:rsidR="00987389">
          <w:rPr>
            <w:noProof/>
            <w:webHidden/>
          </w:rPr>
          <w:t>5</w:t>
        </w:r>
        <w:r w:rsidR="00151475">
          <w:rPr>
            <w:noProof/>
            <w:webHidden/>
          </w:rPr>
          <w:fldChar w:fldCharType="end"/>
        </w:r>
      </w:hyperlink>
    </w:p>
    <w:p w14:paraId="30919C11" w14:textId="314DA3FA" w:rsidR="00151475" w:rsidRDefault="00D45137">
      <w:pPr>
        <w:pStyle w:val="TOC2"/>
        <w:rPr>
          <w:rFonts w:asciiTheme="minorHAnsi" w:eastAsiaTheme="minorEastAsia" w:hAnsiTheme="minorHAnsi" w:cstheme="minorBidi"/>
          <w:noProof/>
          <w:sz w:val="22"/>
          <w:lang w:val="en-US"/>
        </w:rPr>
      </w:pPr>
      <w:hyperlink w:anchor="_Toc135813005" w:history="1">
        <w:r w:rsidR="00151475" w:rsidRPr="00A67AF1">
          <w:rPr>
            <w:rStyle w:val="Hyperlink"/>
            <w:noProof/>
          </w:rPr>
          <w:t>Productive Strategies for Teaching Diverse Students</w:t>
        </w:r>
        <w:r w:rsidR="00151475">
          <w:rPr>
            <w:noProof/>
            <w:webHidden/>
          </w:rPr>
          <w:tab/>
        </w:r>
        <w:r w:rsidR="00151475">
          <w:rPr>
            <w:noProof/>
            <w:webHidden/>
          </w:rPr>
          <w:fldChar w:fldCharType="begin"/>
        </w:r>
        <w:r w:rsidR="00151475">
          <w:rPr>
            <w:noProof/>
            <w:webHidden/>
          </w:rPr>
          <w:instrText xml:space="preserve"> PAGEREF _Toc135813005 \h </w:instrText>
        </w:r>
        <w:r w:rsidR="00151475">
          <w:rPr>
            <w:noProof/>
            <w:webHidden/>
          </w:rPr>
        </w:r>
        <w:r w:rsidR="00151475">
          <w:rPr>
            <w:noProof/>
            <w:webHidden/>
          </w:rPr>
          <w:fldChar w:fldCharType="separate"/>
        </w:r>
        <w:r w:rsidR="00987389">
          <w:rPr>
            <w:noProof/>
            <w:webHidden/>
          </w:rPr>
          <w:t>8</w:t>
        </w:r>
        <w:r w:rsidR="00151475">
          <w:rPr>
            <w:noProof/>
            <w:webHidden/>
          </w:rPr>
          <w:fldChar w:fldCharType="end"/>
        </w:r>
      </w:hyperlink>
    </w:p>
    <w:p w14:paraId="5D1D0341" w14:textId="2687C7A0" w:rsidR="00151475" w:rsidRDefault="00D45137">
      <w:pPr>
        <w:pStyle w:val="TOC2"/>
        <w:rPr>
          <w:rFonts w:asciiTheme="minorHAnsi" w:eastAsiaTheme="minorEastAsia" w:hAnsiTheme="minorHAnsi" w:cstheme="minorBidi"/>
          <w:noProof/>
          <w:sz w:val="22"/>
          <w:lang w:val="en-US"/>
        </w:rPr>
      </w:pPr>
      <w:hyperlink w:anchor="_Toc135813006" w:history="1">
        <w:r w:rsidR="00151475" w:rsidRPr="00A67AF1">
          <w:rPr>
            <w:rStyle w:val="Hyperlink"/>
            <w:noProof/>
          </w:rPr>
          <w:t>Increasing Student Success with Multidimensional Teaching</w:t>
        </w:r>
        <w:r w:rsidR="00151475">
          <w:rPr>
            <w:noProof/>
            <w:webHidden/>
          </w:rPr>
          <w:tab/>
        </w:r>
        <w:r w:rsidR="00151475">
          <w:rPr>
            <w:noProof/>
            <w:webHidden/>
          </w:rPr>
          <w:fldChar w:fldCharType="begin"/>
        </w:r>
        <w:r w:rsidR="00151475">
          <w:rPr>
            <w:noProof/>
            <w:webHidden/>
          </w:rPr>
          <w:instrText xml:space="preserve"> PAGEREF _Toc135813006 \h </w:instrText>
        </w:r>
        <w:r w:rsidR="00151475">
          <w:rPr>
            <w:noProof/>
            <w:webHidden/>
          </w:rPr>
        </w:r>
        <w:r w:rsidR="00151475">
          <w:rPr>
            <w:noProof/>
            <w:webHidden/>
          </w:rPr>
          <w:fldChar w:fldCharType="separate"/>
        </w:r>
        <w:r w:rsidR="00987389">
          <w:rPr>
            <w:noProof/>
            <w:webHidden/>
          </w:rPr>
          <w:t>15</w:t>
        </w:r>
        <w:r w:rsidR="00151475">
          <w:rPr>
            <w:noProof/>
            <w:webHidden/>
          </w:rPr>
          <w:fldChar w:fldCharType="end"/>
        </w:r>
      </w:hyperlink>
    </w:p>
    <w:p w14:paraId="3D12AE9A" w14:textId="494F9D12" w:rsidR="00151475" w:rsidRDefault="00D45137">
      <w:pPr>
        <w:pStyle w:val="TOC2"/>
        <w:rPr>
          <w:rFonts w:asciiTheme="minorHAnsi" w:eastAsiaTheme="minorEastAsia" w:hAnsiTheme="minorHAnsi" w:cstheme="minorBidi"/>
          <w:noProof/>
          <w:sz w:val="22"/>
          <w:lang w:val="en-US"/>
        </w:rPr>
      </w:pPr>
      <w:hyperlink w:anchor="_Toc135813007" w:history="1">
        <w:r w:rsidR="00151475" w:rsidRPr="00A67AF1">
          <w:rPr>
            <w:rStyle w:val="Hyperlink"/>
            <w:noProof/>
          </w:rPr>
          <w:t>Discussion and Conclusion</w:t>
        </w:r>
        <w:r w:rsidR="00151475">
          <w:rPr>
            <w:noProof/>
            <w:webHidden/>
          </w:rPr>
          <w:tab/>
        </w:r>
        <w:r w:rsidR="00151475">
          <w:rPr>
            <w:noProof/>
            <w:webHidden/>
          </w:rPr>
          <w:fldChar w:fldCharType="begin"/>
        </w:r>
        <w:r w:rsidR="00151475">
          <w:rPr>
            <w:noProof/>
            <w:webHidden/>
          </w:rPr>
          <w:instrText xml:space="preserve"> PAGEREF _Toc135813007 \h </w:instrText>
        </w:r>
        <w:r w:rsidR="00151475">
          <w:rPr>
            <w:noProof/>
            <w:webHidden/>
          </w:rPr>
        </w:r>
        <w:r w:rsidR="00151475">
          <w:rPr>
            <w:noProof/>
            <w:webHidden/>
          </w:rPr>
          <w:fldChar w:fldCharType="separate"/>
        </w:r>
        <w:r w:rsidR="00987389">
          <w:rPr>
            <w:noProof/>
            <w:webHidden/>
          </w:rPr>
          <w:t>18</w:t>
        </w:r>
        <w:r w:rsidR="00151475">
          <w:rPr>
            <w:noProof/>
            <w:webHidden/>
          </w:rPr>
          <w:fldChar w:fldCharType="end"/>
        </w:r>
      </w:hyperlink>
    </w:p>
    <w:p w14:paraId="10C1298F" w14:textId="29CD1850" w:rsidR="00151475" w:rsidRDefault="00D45137">
      <w:pPr>
        <w:pStyle w:val="TOC2"/>
        <w:rPr>
          <w:rFonts w:asciiTheme="minorHAnsi" w:eastAsiaTheme="minorEastAsia" w:hAnsiTheme="minorHAnsi" w:cstheme="minorBidi"/>
          <w:noProof/>
          <w:sz w:val="22"/>
          <w:lang w:val="en-US"/>
        </w:rPr>
      </w:pPr>
      <w:hyperlink w:anchor="_Toc135813008" w:history="1">
        <w:r w:rsidR="00151475" w:rsidRPr="00A67AF1">
          <w:rPr>
            <w:rStyle w:val="Hyperlink"/>
            <w:noProof/>
          </w:rPr>
          <w:t>Long Description for Chapter 9</w:t>
        </w:r>
        <w:r w:rsidR="00151475">
          <w:rPr>
            <w:noProof/>
            <w:webHidden/>
          </w:rPr>
          <w:tab/>
        </w:r>
        <w:r w:rsidR="00151475">
          <w:rPr>
            <w:noProof/>
            <w:webHidden/>
          </w:rPr>
          <w:fldChar w:fldCharType="begin"/>
        </w:r>
        <w:r w:rsidR="00151475">
          <w:rPr>
            <w:noProof/>
            <w:webHidden/>
          </w:rPr>
          <w:instrText xml:space="preserve"> PAGEREF _Toc135813008 \h </w:instrText>
        </w:r>
        <w:r w:rsidR="00151475">
          <w:rPr>
            <w:noProof/>
            <w:webHidden/>
          </w:rPr>
        </w:r>
        <w:r w:rsidR="00151475">
          <w:rPr>
            <w:noProof/>
            <w:webHidden/>
          </w:rPr>
          <w:fldChar w:fldCharType="separate"/>
        </w:r>
        <w:r w:rsidR="00987389">
          <w:rPr>
            <w:noProof/>
            <w:webHidden/>
          </w:rPr>
          <w:t>20</w:t>
        </w:r>
        <w:r w:rsidR="00151475">
          <w:rPr>
            <w:noProof/>
            <w:webHidden/>
          </w:rPr>
          <w:fldChar w:fldCharType="end"/>
        </w:r>
      </w:hyperlink>
    </w:p>
    <w:p w14:paraId="348ED3B9" w14:textId="4240214E" w:rsidR="005D5E75" w:rsidRDefault="00003E14" w:rsidP="00E8607C">
      <w:pPr>
        <w:pStyle w:val="Heading2"/>
        <w:spacing w:before="240"/>
      </w:pPr>
      <w:r>
        <w:rPr>
          <w:rFonts w:eastAsia="Calibri"/>
          <w:sz w:val="24"/>
          <w:szCs w:val="24"/>
        </w:rPr>
        <w:fldChar w:fldCharType="end"/>
      </w:r>
      <w:bookmarkStart w:id="4" w:name="_Toc135813002"/>
      <w:r w:rsidR="00687DBF" w:rsidRPr="00142070">
        <w:t>Introduction</w:t>
      </w:r>
      <w:bookmarkEnd w:id="3"/>
      <w:bookmarkEnd w:id="4"/>
    </w:p>
    <w:p w14:paraId="70ECAA12" w14:textId="33D651FC" w:rsidR="0011622F" w:rsidRPr="001D38B4" w:rsidRDefault="0011622F" w:rsidP="005543DF">
      <w:pPr>
        <w:spacing w:after="240" w:line="360" w:lineRule="auto"/>
        <w:rPr>
          <w:rFonts w:eastAsia="Calibri"/>
          <w:strike/>
          <w:sz w:val="24"/>
          <w:szCs w:val="24"/>
        </w:rPr>
      </w:pPr>
      <w:r w:rsidRPr="00061B2E">
        <w:rPr>
          <w:rFonts w:eastAsia="Calibri"/>
          <w:sz w:val="24"/>
          <w:szCs w:val="24"/>
        </w:rPr>
        <w:t xml:space="preserve">The previous chapter described ways in which courses can </w:t>
      </w:r>
      <w:proofErr w:type="gramStart"/>
      <w:r w:rsidRPr="00061B2E">
        <w:rPr>
          <w:rFonts w:eastAsia="Calibri"/>
          <w:sz w:val="24"/>
          <w:szCs w:val="24"/>
        </w:rPr>
        <w:t>be sequenced</w:t>
      </w:r>
      <w:proofErr w:type="gramEnd"/>
      <w:r w:rsidRPr="00061B2E">
        <w:rPr>
          <w:rFonts w:eastAsia="Calibri"/>
          <w:sz w:val="24"/>
          <w:szCs w:val="24"/>
        </w:rPr>
        <w:t xml:space="preserve"> to offer all students access to high level </w:t>
      </w:r>
      <w:r w:rsidR="00E9397F">
        <w:rPr>
          <w:rFonts w:eastAsia="Calibri"/>
          <w:sz w:val="24"/>
          <w:szCs w:val="24"/>
        </w:rPr>
        <w:t xml:space="preserve">mathematics </w:t>
      </w:r>
      <w:r w:rsidRPr="00061B2E">
        <w:rPr>
          <w:rFonts w:eastAsia="Calibri"/>
          <w:sz w:val="24"/>
          <w:szCs w:val="24"/>
        </w:rPr>
        <w:t xml:space="preserve">content. This chapter describes methods of teaching that enable all students to </w:t>
      </w:r>
      <w:proofErr w:type="gramStart"/>
      <w:r w:rsidRPr="00061B2E">
        <w:rPr>
          <w:rFonts w:eastAsia="Calibri"/>
          <w:sz w:val="24"/>
          <w:szCs w:val="24"/>
        </w:rPr>
        <w:t>be appropriately challenged</w:t>
      </w:r>
      <w:proofErr w:type="gramEnd"/>
      <w:r w:rsidRPr="00061B2E">
        <w:rPr>
          <w:rFonts w:eastAsia="Calibri"/>
          <w:sz w:val="24"/>
          <w:szCs w:val="24"/>
        </w:rPr>
        <w:t xml:space="preserve">, </w:t>
      </w:r>
      <w:r w:rsidR="00182181" w:rsidRPr="00061B2E">
        <w:rPr>
          <w:rFonts w:eastAsia="Calibri"/>
          <w:sz w:val="24"/>
          <w:szCs w:val="24"/>
        </w:rPr>
        <w:t>without</w:t>
      </w:r>
      <w:r w:rsidR="00FC6427" w:rsidRPr="00061B2E">
        <w:rPr>
          <w:rFonts w:eastAsia="Calibri"/>
          <w:sz w:val="24"/>
          <w:szCs w:val="24"/>
        </w:rPr>
        <w:t xml:space="preserve"> requir</w:t>
      </w:r>
      <w:r w:rsidR="00182181" w:rsidRPr="00061B2E">
        <w:rPr>
          <w:rFonts w:eastAsia="Calibri"/>
          <w:sz w:val="24"/>
          <w:szCs w:val="24"/>
        </w:rPr>
        <w:t>ing</w:t>
      </w:r>
      <w:r w:rsidRPr="00061B2E">
        <w:rPr>
          <w:rFonts w:eastAsia="Calibri"/>
          <w:sz w:val="24"/>
          <w:szCs w:val="24"/>
        </w:rPr>
        <w:t xml:space="preserve"> that all students work on the same mathematics</w:t>
      </w:r>
      <w:r w:rsidR="00FC6427" w:rsidRPr="00061B2E">
        <w:rPr>
          <w:rFonts w:eastAsia="Calibri"/>
          <w:sz w:val="24"/>
          <w:szCs w:val="24"/>
        </w:rPr>
        <w:t xml:space="preserve"> or</w:t>
      </w:r>
      <w:r w:rsidR="00182181" w:rsidRPr="00061B2E">
        <w:rPr>
          <w:rFonts w:eastAsia="Calibri"/>
          <w:sz w:val="24"/>
          <w:szCs w:val="24"/>
        </w:rPr>
        <w:t xml:space="preserve"> be</w:t>
      </w:r>
      <w:r w:rsidRPr="00061B2E">
        <w:rPr>
          <w:rFonts w:eastAsia="Calibri"/>
          <w:sz w:val="24"/>
          <w:szCs w:val="24"/>
        </w:rPr>
        <w:t xml:space="preserve"> plac</w:t>
      </w:r>
      <w:r w:rsidR="00FC6427" w:rsidRPr="00061B2E">
        <w:rPr>
          <w:rFonts w:eastAsia="Calibri"/>
          <w:sz w:val="24"/>
          <w:szCs w:val="24"/>
        </w:rPr>
        <w:t>e</w:t>
      </w:r>
      <w:r w:rsidR="00182181" w:rsidRPr="00061B2E">
        <w:rPr>
          <w:rFonts w:eastAsia="Calibri"/>
          <w:sz w:val="24"/>
          <w:szCs w:val="24"/>
        </w:rPr>
        <w:t xml:space="preserve">d </w:t>
      </w:r>
      <w:r w:rsidRPr="00061B2E">
        <w:rPr>
          <w:rFonts w:eastAsia="Calibri"/>
          <w:sz w:val="24"/>
          <w:szCs w:val="24"/>
        </w:rPr>
        <w:t xml:space="preserve">in inflexible course sequences that make it difficult for </w:t>
      </w:r>
      <w:r w:rsidR="00182181" w:rsidRPr="00061B2E">
        <w:rPr>
          <w:rFonts w:eastAsia="Calibri"/>
          <w:sz w:val="24"/>
          <w:szCs w:val="24"/>
        </w:rPr>
        <w:t xml:space="preserve">them </w:t>
      </w:r>
      <w:r w:rsidRPr="00061B2E">
        <w:rPr>
          <w:rFonts w:eastAsia="Calibri"/>
          <w:sz w:val="24"/>
          <w:szCs w:val="24"/>
        </w:rPr>
        <w:t>to move into or between STEM or non-STEM pathways if they so choose.</w:t>
      </w:r>
      <w:r w:rsidRPr="00DE1E56">
        <w:rPr>
          <w:rFonts w:eastAsia="Calibri"/>
          <w:sz w:val="24"/>
          <w:szCs w:val="24"/>
        </w:rPr>
        <w:t xml:space="preserve"> The</w:t>
      </w:r>
      <w:r w:rsidRPr="41B9E208">
        <w:rPr>
          <w:rFonts w:eastAsia="Calibri"/>
          <w:sz w:val="24"/>
          <w:szCs w:val="24"/>
        </w:rPr>
        <w:t xml:space="preserve"> goal is to expand access to rigorous mathematics for all students</w:t>
      </w:r>
      <w:r w:rsidR="00182181">
        <w:rPr>
          <w:rFonts w:eastAsia="Calibri"/>
          <w:sz w:val="24"/>
          <w:szCs w:val="24"/>
        </w:rPr>
        <w:t>, allowing</w:t>
      </w:r>
      <w:r w:rsidRPr="41B9E208">
        <w:rPr>
          <w:rFonts w:eastAsia="Calibri"/>
          <w:sz w:val="24"/>
          <w:szCs w:val="24"/>
        </w:rPr>
        <w:t xml:space="preserve"> each </w:t>
      </w:r>
      <w:r w:rsidR="00182181">
        <w:rPr>
          <w:rFonts w:eastAsia="Calibri"/>
          <w:sz w:val="24"/>
          <w:szCs w:val="24"/>
        </w:rPr>
        <w:t xml:space="preserve">to </w:t>
      </w:r>
      <w:r w:rsidRPr="41B9E208">
        <w:rPr>
          <w:rFonts w:eastAsia="Calibri"/>
          <w:sz w:val="24"/>
          <w:szCs w:val="24"/>
        </w:rPr>
        <w:t>experience the joy and excitement of well-taught mathematics in ways that stimulate their learning and engagement</w:t>
      </w:r>
      <w:r w:rsidR="005543DF">
        <w:rPr>
          <w:rFonts w:eastAsia="Calibri"/>
          <w:sz w:val="24"/>
          <w:szCs w:val="24"/>
        </w:rPr>
        <w:t>.</w:t>
      </w:r>
    </w:p>
    <w:p w14:paraId="38BCBAAF" w14:textId="5AD0C806" w:rsidR="005F0AD5" w:rsidRPr="00A423CF" w:rsidRDefault="005F0AD5" w:rsidP="00E8607C">
      <w:pPr>
        <w:pStyle w:val="Heading2"/>
      </w:pPr>
      <w:bookmarkStart w:id="5" w:name="_Toc135813003"/>
      <w:r w:rsidRPr="00A423CF">
        <w:t>Expand</w:t>
      </w:r>
      <w:r w:rsidR="00A429B4">
        <w:t>ing</w:t>
      </w:r>
      <w:r w:rsidRPr="00A423CF">
        <w:t xml:space="preserve"> Access to Rigorous Mathematics for All</w:t>
      </w:r>
      <w:bookmarkEnd w:id="5"/>
    </w:p>
    <w:p w14:paraId="66A0E440" w14:textId="1E3279CB" w:rsidR="00E573B0" w:rsidRDefault="00687DBF" w:rsidP="001333C2">
      <w:pPr>
        <w:spacing w:after="240" w:line="360" w:lineRule="auto"/>
        <w:rPr>
          <w:rFonts w:eastAsia="Calibri"/>
          <w:sz w:val="24"/>
          <w:szCs w:val="24"/>
        </w:rPr>
      </w:pPr>
      <w:r w:rsidRPr="00B471BA">
        <w:rPr>
          <w:rFonts w:eastAsia="Calibri"/>
          <w:sz w:val="24"/>
          <w:szCs w:val="24"/>
        </w:rPr>
        <w:t xml:space="preserve">As schools become </w:t>
      </w:r>
      <w:r w:rsidR="00E425F1" w:rsidRPr="00B471BA">
        <w:rPr>
          <w:rFonts w:eastAsia="Calibri"/>
          <w:sz w:val="24"/>
          <w:szCs w:val="24"/>
        </w:rPr>
        <w:t xml:space="preserve">increasingly </w:t>
      </w:r>
      <w:r w:rsidRPr="00B471BA">
        <w:rPr>
          <w:rFonts w:eastAsia="Calibri"/>
          <w:sz w:val="24"/>
          <w:szCs w:val="24"/>
        </w:rPr>
        <w:t xml:space="preserve">diverse in terms of language, culture, socio-economic status, </w:t>
      </w:r>
      <w:proofErr w:type="gramStart"/>
      <w:r w:rsidRPr="00B471BA">
        <w:rPr>
          <w:rFonts w:eastAsia="Calibri"/>
          <w:sz w:val="24"/>
          <w:szCs w:val="24"/>
        </w:rPr>
        <w:t>past experience</w:t>
      </w:r>
      <w:proofErr w:type="gramEnd"/>
      <w:r w:rsidRPr="00B471BA">
        <w:rPr>
          <w:rFonts w:eastAsia="Calibri"/>
          <w:sz w:val="24"/>
          <w:szCs w:val="24"/>
        </w:rPr>
        <w:t>, interests,</w:t>
      </w:r>
      <w:r w:rsidR="00266A70">
        <w:rPr>
          <w:rFonts w:eastAsia="Calibri"/>
          <w:sz w:val="24"/>
          <w:szCs w:val="24"/>
        </w:rPr>
        <w:t xml:space="preserve"> and learning needs,</w:t>
      </w:r>
      <w:r w:rsidRPr="00B471BA">
        <w:rPr>
          <w:rFonts w:eastAsia="Calibri"/>
          <w:sz w:val="24"/>
          <w:szCs w:val="24"/>
        </w:rPr>
        <w:t xml:space="preserve"> it </w:t>
      </w:r>
      <w:r w:rsidR="0055579D">
        <w:rPr>
          <w:rFonts w:eastAsia="Calibri"/>
          <w:sz w:val="24"/>
          <w:szCs w:val="24"/>
        </w:rPr>
        <w:t>is</w:t>
      </w:r>
      <w:r w:rsidRPr="00B471BA">
        <w:rPr>
          <w:rFonts w:eastAsia="Calibri"/>
          <w:sz w:val="24"/>
          <w:szCs w:val="24"/>
        </w:rPr>
        <w:t xml:space="preserve"> important</w:t>
      </w:r>
      <w:r w:rsidR="0055579D">
        <w:rPr>
          <w:rFonts w:eastAsia="Calibri"/>
          <w:sz w:val="24"/>
          <w:szCs w:val="24"/>
        </w:rPr>
        <w:t xml:space="preserve"> for California educators</w:t>
      </w:r>
      <w:r w:rsidRPr="00B471BA">
        <w:rPr>
          <w:rFonts w:eastAsia="Calibri"/>
          <w:sz w:val="24"/>
          <w:szCs w:val="24"/>
        </w:rPr>
        <w:t xml:space="preserve"> to carefully</w:t>
      </w:r>
      <w:r w:rsidR="0055579D">
        <w:rPr>
          <w:rFonts w:eastAsia="Calibri"/>
          <w:sz w:val="24"/>
          <w:szCs w:val="24"/>
        </w:rPr>
        <w:t xml:space="preserve"> </w:t>
      </w:r>
      <w:r w:rsidR="0055579D" w:rsidRPr="00B471BA">
        <w:rPr>
          <w:rFonts w:eastAsia="Calibri"/>
          <w:sz w:val="24"/>
          <w:szCs w:val="24"/>
        </w:rPr>
        <w:t>consider</w:t>
      </w:r>
      <w:r w:rsidRPr="00B471BA">
        <w:rPr>
          <w:rFonts w:eastAsia="Calibri"/>
          <w:sz w:val="24"/>
          <w:szCs w:val="24"/>
        </w:rPr>
        <w:t xml:space="preserve"> the best ways to enable all students to excel in mathematics. All students are different</w:t>
      </w:r>
      <w:r w:rsidR="00182181">
        <w:rPr>
          <w:rFonts w:eastAsia="Calibri"/>
          <w:sz w:val="24"/>
          <w:szCs w:val="24"/>
        </w:rPr>
        <w:t xml:space="preserve">, </w:t>
      </w:r>
      <w:r w:rsidR="00E425F1" w:rsidRPr="00B471BA">
        <w:rPr>
          <w:rFonts w:eastAsia="Calibri"/>
          <w:sz w:val="24"/>
          <w:szCs w:val="24"/>
        </w:rPr>
        <w:t>a fact</w:t>
      </w:r>
      <w:r w:rsidRPr="00B471BA">
        <w:rPr>
          <w:rFonts w:eastAsia="Calibri"/>
          <w:sz w:val="24"/>
          <w:szCs w:val="24"/>
        </w:rPr>
        <w:t xml:space="preserve"> to </w:t>
      </w:r>
      <w:proofErr w:type="gramStart"/>
      <w:r w:rsidRPr="00B471BA">
        <w:rPr>
          <w:rFonts w:eastAsia="Calibri"/>
          <w:sz w:val="24"/>
          <w:szCs w:val="24"/>
        </w:rPr>
        <w:t>be celebrated</w:t>
      </w:r>
      <w:proofErr w:type="gramEnd"/>
      <w:r w:rsidRPr="00B471BA">
        <w:rPr>
          <w:rFonts w:eastAsia="Calibri"/>
          <w:sz w:val="24"/>
          <w:szCs w:val="24"/>
        </w:rPr>
        <w:t xml:space="preserve">. </w:t>
      </w:r>
      <w:r w:rsidR="00182181">
        <w:rPr>
          <w:rFonts w:eastAsia="Calibri"/>
          <w:sz w:val="24"/>
          <w:szCs w:val="24"/>
        </w:rPr>
        <w:t>The differing ways students think and work make t</w:t>
      </w:r>
      <w:r w:rsidRPr="00B471BA">
        <w:rPr>
          <w:rFonts w:eastAsia="Calibri"/>
          <w:sz w:val="24"/>
          <w:szCs w:val="24"/>
        </w:rPr>
        <w:t>eaching rewarding and interesting</w:t>
      </w:r>
      <w:r w:rsidR="00182181">
        <w:rPr>
          <w:rFonts w:eastAsia="Calibri"/>
          <w:sz w:val="24"/>
          <w:szCs w:val="24"/>
        </w:rPr>
        <w:t>.</w:t>
      </w:r>
      <w:r w:rsidRPr="00B471BA">
        <w:rPr>
          <w:rFonts w:eastAsia="Calibri"/>
          <w:sz w:val="24"/>
          <w:szCs w:val="24"/>
        </w:rPr>
        <w:t xml:space="preserve"> Teachers of mathematics </w:t>
      </w:r>
      <w:proofErr w:type="gramStart"/>
      <w:r w:rsidRPr="00B471BA">
        <w:rPr>
          <w:rFonts w:eastAsia="Calibri"/>
          <w:sz w:val="24"/>
          <w:szCs w:val="24"/>
        </w:rPr>
        <w:t xml:space="preserve">are </w:t>
      </w:r>
      <w:r w:rsidR="00E425F1" w:rsidRPr="00B471BA">
        <w:rPr>
          <w:rFonts w:eastAsia="Calibri"/>
          <w:sz w:val="24"/>
          <w:szCs w:val="24"/>
        </w:rPr>
        <w:t>accustomed</w:t>
      </w:r>
      <w:proofErr w:type="gramEnd"/>
      <w:r w:rsidRPr="00B471BA">
        <w:rPr>
          <w:rFonts w:eastAsia="Calibri"/>
          <w:sz w:val="24"/>
          <w:szCs w:val="24"/>
        </w:rPr>
        <w:t xml:space="preserve"> to classrooms </w:t>
      </w:r>
      <w:r w:rsidR="00266A70">
        <w:rPr>
          <w:rFonts w:eastAsia="Calibri"/>
          <w:sz w:val="24"/>
          <w:szCs w:val="24"/>
        </w:rPr>
        <w:t>where</w:t>
      </w:r>
      <w:r w:rsidRPr="00B471BA">
        <w:rPr>
          <w:rFonts w:eastAsia="Calibri"/>
          <w:sz w:val="24"/>
          <w:szCs w:val="24"/>
        </w:rPr>
        <w:t xml:space="preserve"> students </w:t>
      </w:r>
      <w:r w:rsidR="00266A70">
        <w:rPr>
          <w:rFonts w:eastAsia="Calibri"/>
          <w:sz w:val="24"/>
          <w:szCs w:val="24"/>
        </w:rPr>
        <w:t xml:space="preserve">with a range of prior mathematics exposure </w:t>
      </w:r>
      <w:r w:rsidRPr="00B471BA">
        <w:rPr>
          <w:rFonts w:eastAsia="Calibri"/>
          <w:sz w:val="24"/>
          <w:szCs w:val="24"/>
        </w:rPr>
        <w:t>offer different ideas and strategies</w:t>
      </w:r>
      <w:r w:rsidR="00266A70">
        <w:rPr>
          <w:rFonts w:eastAsia="Calibri"/>
          <w:sz w:val="24"/>
          <w:szCs w:val="24"/>
        </w:rPr>
        <w:t xml:space="preserve"> for solving problems.</w:t>
      </w:r>
    </w:p>
    <w:p w14:paraId="5ABC54BB" w14:textId="75578A04" w:rsidR="005D5E75" w:rsidRPr="00B471BA" w:rsidRDefault="00E573B0" w:rsidP="00E573B0">
      <w:pPr>
        <w:spacing w:after="240" w:line="360" w:lineRule="auto"/>
        <w:rPr>
          <w:rFonts w:eastAsia="Calibri"/>
          <w:sz w:val="24"/>
          <w:szCs w:val="24"/>
        </w:rPr>
      </w:pPr>
      <w:proofErr w:type="gramStart"/>
      <w:r>
        <w:rPr>
          <w:rFonts w:eastAsia="Calibri"/>
          <w:sz w:val="24"/>
          <w:szCs w:val="24"/>
        </w:rPr>
        <w:t>S</w:t>
      </w:r>
      <w:r w:rsidR="00687DBF" w:rsidRPr="00B471BA">
        <w:rPr>
          <w:rFonts w:eastAsia="Calibri"/>
          <w:sz w:val="24"/>
          <w:szCs w:val="24"/>
        </w:rPr>
        <w:t>ome</w:t>
      </w:r>
      <w:proofErr w:type="gramEnd"/>
      <w:r w:rsidR="00687DBF" w:rsidRPr="00B471BA">
        <w:rPr>
          <w:rFonts w:eastAsia="Calibri"/>
          <w:sz w:val="24"/>
          <w:szCs w:val="24"/>
        </w:rPr>
        <w:t xml:space="preserve"> students grasp </w:t>
      </w:r>
      <w:r w:rsidR="00E501F5">
        <w:rPr>
          <w:rFonts w:eastAsia="Calibri"/>
          <w:sz w:val="24"/>
          <w:szCs w:val="24"/>
        </w:rPr>
        <w:t>certain</w:t>
      </w:r>
      <w:r w:rsidR="00DB3D77">
        <w:rPr>
          <w:rFonts w:eastAsia="Calibri"/>
          <w:sz w:val="24"/>
          <w:szCs w:val="24"/>
        </w:rPr>
        <w:t xml:space="preserve"> </w:t>
      </w:r>
      <w:r w:rsidR="00687DBF" w:rsidRPr="00B471BA">
        <w:rPr>
          <w:rFonts w:eastAsia="Calibri"/>
          <w:sz w:val="24"/>
          <w:szCs w:val="24"/>
        </w:rPr>
        <w:t>ideas more quickly</w:t>
      </w:r>
      <w:r>
        <w:rPr>
          <w:rFonts w:eastAsia="Calibri"/>
          <w:sz w:val="24"/>
          <w:szCs w:val="24"/>
        </w:rPr>
        <w:t>,</w:t>
      </w:r>
      <w:r w:rsidR="00687DBF" w:rsidRPr="00B471BA">
        <w:rPr>
          <w:rFonts w:eastAsia="Calibri"/>
          <w:sz w:val="24"/>
          <w:szCs w:val="24"/>
        </w:rPr>
        <w:t xml:space="preserve"> while others appreciate more time to think about </w:t>
      </w:r>
      <w:r w:rsidR="00DB3D77">
        <w:rPr>
          <w:rFonts w:eastAsia="Calibri"/>
          <w:sz w:val="24"/>
          <w:szCs w:val="24"/>
        </w:rPr>
        <w:t>and engage more fully</w:t>
      </w:r>
      <w:r w:rsidR="00266A70">
        <w:rPr>
          <w:rFonts w:eastAsia="Calibri"/>
          <w:sz w:val="24"/>
          <w:szCs w:val="24"/>
        </w:rPr>
        <w:t xml:space="preserve"> with those ideas</w:t>
      </w:r>
      <w:r>
        <w:rPr>
          <w:rFonts w:eastAsia="Calibri"/>
          <w:sz w:val="24"/>
          <w:szCs w:val="24"/>
        </w:rPr>
        <w:t>. T</w:t>
      </w:r>
      <w:r w:rsidR="00DB3D77">
        <w:rPr>
          <w:rFonts w:eastAsia="Calibri"/>
          <w:sz w:val="24"/>
          <w:szCs w:val="24"/>
        </w:rPr>
        <w:t>hese differences do</w:t>
      </w:r>
      <w:r w:rsidR="00687DBF" w:rsidRPr="00B471BA">
        <w:rPr>
          <w:rFonts w:eastAsia="Calibri"/>
          <w:sz w:val="24"/>
          <w:szCs w:val="24"/>
        </w:rPr>
        <w:t xml:space="preserve"> not indicate </w:t>
      </w:r>
      <w:r w:rsidR="00266A70">
        <w:rPr>
          <w:rFonts w:eastAsia="Calibri"/>
          <w:sz w:val="24"/>
          <w:szCs w:val="24"/>
        </w:rPr>
        <w:lastRenderedPageBreak/>
        <w:t>students’ degree</w:t>
      </w:r>
      <w:r w:rsidR="00687DBF" w:rsidRPr="00B471BA">
        <w:rPr>
          <w:rFonts w:eastAsia="Calibri"/>
          <w:sz w:val="24"/>
          <w:szCs w:val="24"/>
        </w:rPr>
        <w:t xml:space="preserve"> of mathematics potential.</w:t>
      </w:r>
      <w:r>
        <w:rPr>
          <w:rFonts w:eastAsia="Calibri"/>
          <w:sz w:val="24"/>
          <w:szCs w:val="24"/>
        </w:rPr>
        <w:t xml:space="preserve"> </w:t>
      </w:r>
      <w:r w:rsidR="00266A70">
        <w:rPr>
          <w:rFonts w:eastAsia="Calibri"/>
          <w:sz w:val="24"/>
          <w:szCs w:val="24"/>
        </w:rPr>
        <w:t>Among m</w:t>
      </w:r>
      <w:r w:rsidR="00687DBF" w:rsidRPr="00B471BA">
        <w:rPr>
          <w:rFonts w:eastAsia="Calibri"/>
          <w:sz w:val="24"/>
          <w:szCs w:val="24"/>
        </w:rPr>
        <w:t xml:space="preserve">athematicians, some of the highest-level </w:t>
      </w:r>
      <w:proofErr w:type="gramStart"/>
      <w:r w:rsidR="00687DBF" w:rsidRPr="00B471BA">
        <w:rPr>
          <w:rFonts w:eastAsia="Calibri"/>
          <w:sz w:val="24"/>
          <w:szCs w:val="24"/>
        </w:rPr>
        <w:t>achievers</w:t>
      </w:r>
      <w:proofErr w:type="gramEnd"/>
      <w:r w:rsidR="00266A70">
        <w:rPr>
          <w:rFonts w:eastAsia="Calibri"/>
          <w:sz w:val="24"/>
          <w:szCs w:val="24"/>
        </w:rPr>
        <w:t xml:space="preserve"> report</w:t>
      </w:r>
      <w:r w:rsidR="00687DBF" w:rsidRPr="00B471BA">
        <w:rPr>
          <w:rFonts w:eastAsia="Calibri"/>
          <w:sz w:val="24"/>
          <w:szCs w:val="24"/>
        </w:rPr>
        <w:t xml:space="preserve"> that they think slowly and deeply. Laurent Schwartz, who won the Fields Medal in mathematics, reflected on his school days with these words:</w:t>
      </w:r>
    </w:p>
    <w:p w14:paraId="01C82906" w14:textId="7A541E2F" w:rsidR="005D5E75" w:rsidRPr="00B471BA" w:rsidRDefault="00687DBF" w:rsidP="001333C2">
      <w:pPr>
        <w:spacing w:after="240" w:line="360" w:lineRule="auto"/>
        <w:ind w:left="720"/>
        <w:rPr>
          <w:rFonts w:eastAsia="Calibri"/>
          <w:sz w:val="24"/>
          <w:szCs w:val="24"/>
        </w:rPr>
      </w:pPr>
      <w:r w:rsidRPr="00B471BA">
        <w:rPr>
          <w:rFonts w:eastAsia="Calibri"/>
          <w:sz w:val="24"/>
          <w:szCs w:val="24"/>
        </w:rPr>
        <w:t xml:space="preserve">I was always deeply uncertain about my own intellectual capacity; I thought I was unintelligent. And it is true that I was, and still am, </w:t>
      </w:r>
      <w:proofErr w:type="gramStart"/>
      <w:r w:rsidRPr="00B471BA">
        <w:rPr>
          <w:rFonts w:eastAsia="Calibri"/>
          <w:sz w:val="24"/>
          <w:szCs w:val="24"/>
        </w:rPr>
        <w:t>rather slow</w:t>
      </w:r>
      <w:proofErr w:type="gramEnd"/>
      <w:r w:rsidRPr="00B471BA">
        <w:rPr>
          <w:rFonts w:eastAsia="Calibri"/>
          <w:sz w:val="24"/>
          <w:szCs w:val="24"/>
        </w:rPr>
        <w:t>. I need time to seize things because I always need to understand them fully. Towards the end of the eleventh grade, I secretly thought of myself as stupid. I worried about this for a long time.</w:t>
      </w:r>
    </w:p>
    <w:p w14:paraId="360072CE" w14:textId="297E8F68" w:rsidR="005D5E75" w:rsidRPr="00B471BA" w:rsidRDefault="00687DBF" w:rsidP="001333C2">
      <w:pPr>
        <w:spacing w:after="240" w:line="360" w:lineRule="auto"/>
        <w:ind w:left="720"/>
        <w:rPr>
          <w:rFonts w:eastAsia="Calibri"/>
          <w:sz w:val="24"/>
          <w:szCs w:val="24"/>
        </w:rPr>
      </w:pPr>
      <w:proofErr w:type="gramStart"/>
      <w:r w:rsidRPr="00B471BA">
        <w:rPr>
          <w:rFonts w:eastAsia="Calibri"/>
          <w:sz w:val="24"/>
          <w:szCs w:val="24"/>
        </w:rPr>
        <w:t>I’m</w:t>
      </w:r>
      <w:proofErr w:type="gramEnd"/>
      <w:r w:rsidRPr="00B471BA">
        <w:rPr>
          <w:rFonts w:eastAsia="Calibri"/>
          <w:sz w:val="24"/>
          <w:szCs w:val="24"/>
        </w:rPr>
        <w:t xml:space="preserve"> still just as slow...At the end of the eleventh grade, I took the measure of the situation, and came to the conclusion that rapidity doesn't have a precise relation to intelligence. What is important is to deeply understand things and their relations to each other. </w:t>
      </w:r>
      <w:r w:rsidR="00B471BA">
        <w:rPr>
          <w:rFonts w:eastAsia="Calibri"/>
          <w:sz w:val="24"/>
          <w:szCs w:val="24"/>
        </w:rPr>
        <w:t>T</w:t>
      </w:r>
      <w:r w:rsidRPr="00B471BA">
        <w:rPr>
          <w:rFonts w:eastAsia="Calibri"/>
          <w:sz w:val="24"/>
          <w:szCs w:val="24"/>
        </w:rPr>
        <w:t xml:space="preserve">his is where intelligence lies. The fact of being quick or slow </w:t>
      </w:r>
      <w:proofErr w:type="gramStart"/>
      <w:r w:rsidRPr="00B471BA">
        <w:rPr>
          <w:rFonts w:eastAsia="Calibri"/>
          <w:sz w:val="24"/>
          <w:szCs w:val="24"/>
        </w:rPr>
        <w:t>isn't</w:t>
      </w:r>
      <w:proofErr w:type="gramEnd"/>
      <w:r w:rsidRPr="00B471BA">
        <w:rPr>
          <w:rFonts w:eastAsia="Calibri"/>
          <w:sz w:val="24"/>
          <w:szCs w:val="24"/>
        </w:rPr>
        <w:t xml:space="preserve"> really relevant. (Schwartz</w:t>
      </w:r>
      <w:r w:rsidR="0074686E">
        <w:rPr>
          <w:rFonts w:eastAsia="Calibri"/>
          <w:sz w:val="24"/>
          <w:szCs w:val="24"/>
        </w:rPr>
        <w:t>,</w:t>
      </w:r>
      <w:r w:rsidRPr="00B471BA">
        <w:rPr>
          <w:rFonts w:eastAsia="Calibri"/>
          <w:sz w:val="24"/>
          <w:szCs w:val="24"/>
        </w:rPr>
        <w:t xml:space="preserve"> 2001).</w:t>
      </w:r>
    </w:p>
    <w:p w14:paraId="1E1952DC" w14:textId="02619577" w:rsidR="00E501F5" w:rsidRPr="00FD3667" w:rsidRDefault="00687DBF" w:rsidP="001333C2">
      <w:pPr>
        <w:spacing w:after="240" w:line="360" w:lineRule="auto"/>
        <w:rPr>
          <w:rFonts w:eastAsia="Calibri"/>
          <w:sz w:val="24"/>
          <w:szCs w:val="24"/>
        </w:rPr>
      </w:pPr>
      <w:r w:rsidRPr="00B471BA">
        <w:rPr>
          <w:rFonts w:eastAsia="Calibri"/>
          <w:sz w:val="24"/>
          <w:szCs w:val="24"/>
        </w:rPr>
        <w:t xml:space="preserve">Despite </w:t>
      </w:r>
      <w:r w:rsidR="00266A70">
        <w:rPr>
          <w:rFonts w:eastAsia="Calibri"/>
          <w:sz w:val="24"/>
          <w:szCs w:val="24"/>
        </w:rPr>
        <w:t xml:space="preserve">such </w:t>
      </w:r>
      <w:r w:rsidR="00AB05B6">
        <w:rPr>
          <w:rFonts w:eastAsia="Calibri"/>
          <w:sz w:val="24"/>
          <w:szCs w:val="24"/>
        </w:rPr>
        <w:t>high-profile</w:t>
      </w:r>
      <w:r w:rsidR="00266A70">
        <w:rPr>
          <w:rFonts w:eastAsia="Calibri"/>
          <w:sz w:val="24"/>
          <w:szCs w:val="24"/>
        </w:rPr>
        <w:t xml:space="preserve"> examples of deliberative mathematical thinkers, </w:t>
      </w:r>
      <w:r w:rsidRPr="00B471BA">
        <w:rPr>
          <w:rFonts w:eastAsia="Calibri"/>
          <w:sz w:val="24"/>
          <w:szCs w:val="24"/>
        </w:rPr>
        <w:t xml:space="preserve">it has long been a practice in mathematics education to value speedy thinking and fast memorization of facts. </w:t>
      </w:r>
      <w:r w:rsidR="00266A70">
        <w:rPr>
          <w:rFonts w:eastAsia="Calibri"/>
          <w:sz w:val="24"/>
          <w:szCs w:val="24"/>
        </w:rPr>
        <w:t xml:space="preserve">Yet </w:t>
      </w:r>
      <w:r w:rsidRPr="00B471BA">
        <w:rPr>
          <w:rFonts w:eastAsia="Calibri"/>
          <w:sz w:val="24"/>
          <w:szCs w:val="24"/>
          <w:highlight w:val="white"/>
        </w:rPr>
        <w:t>deep understanding should be the primary goal of classrooms</w:t>
      </w:r>
      <w:r w:rsidR="00266A70">
        <w:rPr>
          <w:rFonts w:eastAsia="Calibri"/>
          <w:sz w:val="24"/>
          <w:szCs w:val="24"/>
          <w:highlight w:val="white"/>
        </w:rPr>
        <w:t>. I</w:t>
      </w:r>
      <w:r w:rsidRPr="00B471BA">
        <w:rPr>
          <w:rFonts w:eastAsia="Calibri"/>
          <w:sz w:val="24"/>
          <w:szCs w:val="24"/>
          <w:highlight w:val="white"/>
        </w:rPr>
        <w:t>t is deep understanding that</w:t>
      </w:r>
      <w:r w:rsidR="00266A70">
        <w:rPr>
          <w:rFonts w:eastAsia="Calibri"/>
          <w:sz w:val="24"/>
          <w:szCs w:val="24"/>
          <w:highlight w:val="white"/>
        </w:rPr>
        <w:t xml:space="preserve"> allows people to apply mathematics</w:t>
      </w:r>
      <w:r w:rsidR="008D7B00" w:rsidRPr="00FD3667">
        <w:rPr>
          <w:rFonts w:eastAsia="Calibri"/>
          <w:sz w:val="24"/>
          <w:szCs w:val="24"/>
          <w:highlight w:val="white"/>
        </w:rPr>
        <w:t>,</w:t>
      </w:r>
      <w:r w:rsidR="00266A70">
        <w:rPr>
          <w:rFonts w:eastAsia="Calibri"/>
          <w:sz w:val="24"/>
          <w:szCs w:val="24"/>
          <w:highlight w:val="white"/>
        </w:rPr>
        <w:t xml:space="preserve"> make discoveries, and expand mathematical learning.</w:t>
      </w:r>
      <w:r w:rsidRPr="00B471BA">
        <w:rPr>
          <w:rFonts w:eastAsia="Calibri"/>
          <w:sz w:val="24"/>
          <w:szCs w:val="24"/>
          <w:highlight w:val="white"/>
        </w:rPr>
        <w:t xml:space="preserve"> </w:t>
      </w:r>
      <w:r w:rsidR="00A31FD1" w:rsidRPr="00DE1E56">
        <w:rPr>
          <w:rStyle w:val="normaltextrun"/>
          <w:color w:val="000000"/>
          <w:sz w:val="24"/>
          <w:szCs w:val="24"/>
          <w:shd w:val="clear" w:color="auto" w:fill="FFFFFF"/>
        </w:rPr>
        <w:t xml:space="preserve">As explained in the previous chapter, mathematics experts and leading institutions of higher education have concluded that racing through mathematics without deep understanding </w:t>
      </w:r>
      <w:proofErr w:type="gramStart"/>
      <w:r w:rsidR="00A31FD1" w:rsidRPr="00DE1E56">
        <w:rPr>
          <w:rStyle w:val="normaltextrun"/>
          <w:color w:val="000000"/>
          <w:sz w:val="24"/>
          <w:szCs w:val="24"/>
          <w:shd w:val="clear" w:color="auto" w:fill="FFFFFF"/>
        </w:rPr>
        <w:t>is misguided</w:t>
      </w:r>
      <w:proofErr w:type="gramEnd"/>
      <w:r w:rsidR="00A31FD1" w:rsidRPr="00DE1E56">
        <w:rPr>
          <w:rStyle w:val="normaltextrun"/>
          <w:color w:val="000000"/>
          <w:sz w:val="24"/>
          <w:szCs w:val="24"/>
          <w:shd w:val="clear" w:color="auto" w:fill="FFFFFF"/>
        </w:rPr>
        <w:t>, as it does not develop the mathematical foundation that is required for ongoing progress in quantitative fields.</w:t>
      </w:r>
      <w:r w:rsidR="00A31FD1" w:rsidRPr="00DE1E56">
        <w:rPr>
          <w:rFonts w:eastAsia="Calibri"/>
          <w:sz w:val="24"/>
          <w:szCs w:val="24"/>
        </w:rPr>
        <w:t xml:space="preserve"> </w:t>
      </w:r>
      <w:r w:rsidR="00E573B0" w:rsidRPr="00DE1E56">
        <w:rPr>
          <w:rFonts w:eastAsia="Calibri"/>
          <w:sz w:val="24"/>
          <w:szCs w:val="24"/>
        </w:rPr>
        <w:t>Moreover,</w:t>
      </w:r>
      <w:r w:rsidR="00ED7A03" w:rsidRPr="00DE1E56">
        <w:rPr>
          <w:rFonts w:eastAsia="Calibri"/>
          <w:sz w:val="24"/>
          <w:szCs w:val="24"/>
        </w:rPr>
        <w:t xml:space="preserve"> students’ o</w:t>
      </w:r>
      <w:r w:rsidR="00D657C0" w:rsidRPr="00DE1E56">
        <w:rPr>
          <w:rFonts w:eastAsia="Calibri"/>
          <w:sz w:val="24"/>
          <w:szCs w:val="24"/>
        </w:rPr>
        <w:t>pportunities</w:t>
      </w:r>
      <w:r w:rsidR="00D657C0">
        <w:rPr>
          <w:rFonts w:eastAsia="Calibri"/>
          <w:sz w:val="24"/>
          <w:szCs w:val="24"/>
        </w:rPr>
        <w:t xml:space="preserve"> for learning should </w:t>
      </w:r>
      <w:r w:rsidR="00ED7A03">
        <w:rPr>
          <w:rFonts w:eastAsia="Calibri"/>
          <w:sz w:val="24"/>
          <w:szCs w:val="24"/>
        </w:rPr>
        <w:t>never</w:t>
      </w:r>
      <w:r w:rsidR="00D657C0">
        <w:rPr>
          <w:rFonts w:eastAsia="Calibri"/>
          <w:sz w:val="24"/>
          <w:szCs w:val="24"/>
        </w:rPr>
        <w:t xml:space="preserve"> </w:t>
      </w:r>
      <w:proofErr w:type="gramStart"/>
      <w:r w:rsidR="00D657C0">
        <w:rPr>
          <w:rFonts w:eastAsia="Calibri"/>
          <w:sz w:val="24"/>
          <w:szCs w:val="24"/>
        </w:rPr>
        <w:t>be limited</w:t>
      </w:r>
      <w:proofErr w:type="gramEnd"/>
      <w:r w:rsidR="00D657C0">
        <w:rPr>
          <w:rFonts w:eastAsia="Calibri"/>
          <w:sz w:val="24"/>
          <w:szCs w:val="24"/>
        </w:rPr>
        <w:t xml:space="preserve"> by </w:t>
      </w:r>
      <w:r w:rsidR="00861A33">
        <w:rPr>
          <w:rFonts w:eastAsia="Calibri"/>
          <w:sz w:val="24"/>
          <w:szCs w:val="24"/>
        </w:rPr>
        <w:t xml:space="preserve">perceptions of their ability based on factors such as </w:t>
      </w:r>
      <w:r w:rsidR="00D657C0">
        <w:rPr>
          <w:rFonts w:eastAsia="Calibri"/>
          <w:sz w:val="24"/>
          <w:szCs w:val="24"/>
        </w:rPr>
        <w:t xml:space="preserve">their gender, race, </w:t>
      </w:r>
      <w:r w:rsidR="00861A33">
        <w:rPr>
          <w:rFonts w:eastAsia="Calibri"/>
          <w:sz w:val="24"/>
          <w:szCs w:val="24"/>
        </w:rPr>
        <w:t xml:space="preserve">or </w:t>
      </w:r>
      <w:r w:rsidR="00D657C0">
        <w:rPr>
          <w:rFonts w:eastAsia="Calibri"/>
          <w:sz w:val="24"/>
          <w:szCs w:val="24"/>
        </w:rPr>
        <w:t>language</w:t>
      </w:r>
      <w:r w:rsidR="00E255B0">
        <w:rPr>
          <w:rFonts w:eastAsia="Calibri"/>
          <w:sz w:val="24"/>
          <w:szCs w:val="24"/>
        </w:rPr>
        <w:t xml:space="preserve"> </w:t>
      </w:r>
      <w:r w:rsidR="00E255B0" w:rsidRPr="00061B2E">
        <w:rPr>
          <w:rFonts w:eastAsia="Calibri"/>
          <w:sz w:val="24"/>
          <w:szCs w:val="24"/>
        </w:rPr>
        <w:t>background</w:t>
      </w:r>
      <w:r w:rsidR="00D657C0" w:rsidRPr="00061B2E">
        <w:rPr>
          <w:rFonts w:eastAsia="Calibri"/>
          <w:sz w:val="24"/>
          <w:szCs w:val="24"/>
        </w:rPr>
        <w:t xml:space="preserve"> </w:t>
      </w:r>
      <w:r w:rsidR="00EF6586" w:rsidRPr="00061B2E">
        <w:rPr>
          <w:rFonts w:eastAsia="Calibri"/>
          <w:sz w:val="24"/>
          <w:szCs w:val="24"/>
        </w:rPr>
        <w:t>(Chestnut</w:t>
      </w:r>
      <w:r w:rsidR="00EF6586">
        <w:rPr>
          <w:rFonts w:eastAsia="Calibri"/>
          <w:sz w:val="24"/>
          <w:szCs w:val="24"/>
        </w:rPr>
        <w:t xml:space="preserve"> </w:t>
      </w:r>
      <w:r w:rsidR="00E8607C">
        <w:rPr>
          <w:rFonts w:eastAsia="Calibri"/>
          <w:sz w:val="24"/>
          <w:szCs w:val="24"/>
        </w:rPr>
        <w:t>et al.</w:t>
      </w:r>
      <w:r w:rsidR="00EF6586">
        <w:rPr>
          <w:rFonts w:eastAsia="Calibri"/>
          <w:sz w:val="24"/>
          <w:szCs w:val="24"/>
        </w:rPr>
        <w:t>, 2018; Fennema</w:t>
      </w:r>
      <w:r w:rsidR="00E8607C">
        <w:rPr>
          <w:rFonts w:eastAsia="Calibri"/>
          <w:sz w:val="24"/>
          <w:szCs w:val="24"/>
        </w:rPr>
        <w:t xml:space="preserve"> et al.</w:t>
      </w:r>
      <w:r w:rsidR="00EF6586">
        <w:rPr>
          <w:rFonts w:eastAsia="Calibri"/>
          <w:sz w:val="24"/>
          <w:szCs w:val="24"/>
        </w:rPr>
        <w:t>, 1990; Del Pinal, Madva, and Reuter, 2017; Elmore and Luna-Lucero, 2017; Tiedemann, 2000).</w:t>
      </w:r>
    </w:p>
    <w:p w14:paraId="05A5348C" w14:textId="1A8149E7" w:rsidR="00A944ED" w:rsidRDefault="00BF7202" w:rsidP="001333C2">
      <w:pPr>
        <w:spacing w:after="240" w:line="360" w:lineRule="auto"/>
        <w:rPr>
          <w:sz w:val="24"/>
          <w:szCs w:val="24"/>
        </w:rPr>
      </w:pPr>
      <w:r>
        <w:rPr>
          <w:rFonts w:eastAsia="Calibri"/>
          <w:sz w:val="24"/>
          <w:szCs w:val="24"/>
        </w:rPr>
        <w:t>For</w:t>
      </w:r>
      <w:r w:rsidRPr="00B806E0">
        <w:rPr>
          <w:rFonts w:eastAsia="Calibri"/>
          <w:sz w:val="24"/>
          <w:szCs w:val="24"/>
        </w:rPr>
        <w:t xml:space="preserve"> </w:t>
      </w:r>
      <w:proofErr w:type="gramStart"/>
      <w:r w:rsidRPr="00B806E0">
        <w:rPr>
          <w:rFonts w:eastAsia="Calibri"/>
          <w:sz w:val="24"/>
          <w:szCs w:val="24"/>
        </w:rPr>
        <w:t>many</w:t>
      </w:r>
      <w:proofErr w:type="gramEnd"/>
      <w:r w:rsidRPr="00B806E0">
        <w:rPr>
          <w:rFonts w:eastAsia="Calibri"/>
          <w:sz w:val="24"/>
          <w:szCs w:val="24"/>
        </w:rPr>
        <w:t xml:space="preserve"> years</w:t>
      </w:r>
      <w:r>
        <w:rPr>
          <w:rFonts w:eastAsia="Calibri"/>
          <w:sz w:val="24"/>
          <w:szCs w:val="24"/>
        </w:rPr>
        <w:t xml:space="preserve"> there has been an assumption </w:t>
      </w:r>
      <w:r w:rsidRPr="00B806E0">
        <w:rPr>
          <w:rFonts w:eastAsia="Calibri"/>
          <w:sz w:val="24"/>
          <w:szCs w:val="24"/>
        </w:rPr>
        <w:t>that people</w:t>
      </w:r>
      <w:r>
        <w:rPr>
          <w:rFonts w:eastAsia="Calibri"/>
          <w:sz w:val="24"/>
          <w:szCs w:val="24"/>
        </w:rPr>
        <w:t xml:space="preserve"> either</w:t>
      </w:r>
      <w:r w:rsidRPr="00B806E0">
        <w:rPr>
          <w:rFonts w:eastAsia="Calibri"/>
          <w:sz w:val="24"/>
          <w:szCs w:val="24"/>
        </w:rPr>
        <w:t xml:space="preserve"> are</w:t>
      </w:r>
      <w:r>
        <w:rPr>
          <w:rFonts w:eastAsia="Calibri"/>
          <w:sz w:val="24"/>
          <w:szCs w:val="24"/>
        </w:rPr>
        <w:t xml:space="preserve"> or are not</w:t>
      </w:r>
      <w:r w:rsidRPr="00B806E0">
        <w:rPr>
          <w:rFonts w:eastAsia="Calibri"/>
          <w:sz w:val="24"/>
          <w:szCs w:val="24"/>
        </w:rPr>
        <w:t xml:space="preserve"> born with a “math brain” (Doidge, 2007; Maguire et al., 2006). This does not mean that all people are born with the same brain; it does mean that abilities</w:t>
      </w:r>
      <w:r w:rsidRPr="45C5C46C">
        <w:rPr>
          <w:rFonts w:eastAsia="Calibri"/>
          <w:sz w:val="24"/>
          <w:szCs w:val="24"/>
        </w:rPr>
        <w:t xml:space="preserve"> grow through the many </w:t>
      </w:r>
      <w:proofErr w:type="gramStart"/>
      <w:r w:rsidRPr="45C5C46C">
        <w:rPr>
          <w:rFonts w:eastAsia="Calibri"/>
          <w:sz w:val="24"/>
          <w:szCs w:val="24"/>
        </w:rPr>
        <w:t>opportunities</w:t>
      </w:r>
      <w:proofErr w:type="gramEnd"/>
      <w:r w:rsidRPr="45C5C46C">
        <w:rPr>
          <w:rFonts w:eastAsia="Calibri"/>
          <w:sz w:val="24"/>
          <w:szCs w:val="24"/>
        </w:rPr>
        <w:t xml:space="preserve"> students receive for brain development.</w:t>
      </w:r>
      <w:r>
        <w:rPr>
          <w:rFonts w:eastAsia="Calibri"/>
          <w:sz w:val="24"/>
          <w:szCs w:val="24"/>
        </w:rPr>
        <w:t xml:space="preserve"> </w:t>
      </w:r>
      <w:r w:rsidR="00E573B0">
        <w:rPr>
          <w:rFonts w:eastAsia="Calibri"/>
          <w:sz w:val="24"/>
          <w:szCs w:val="24"/>
        </w:rPr>
        <w:t>Th</w:t>
      </w:r>
      <w:r w:rsidR="00870AF3">
        <w:rPr>
          <w:rFonts w:eastAsia="Calibri"/>
          <w:sz w:val="24"/>
          <w:szCs w:val="24"/>
        </w:rPr>
        <w:t>e</w:t>
      </w:r>
      <w:r>
        <w:rPr>
          <w:sz w:val="24"/>
          <w:szCs w:val="24"/>
        </w:rPr>
        <w:t xml:space="preserve"> belief</w:t>
      </w:r>
      <w:r w:rsidR="45C5C46C" w:rsidRPr="45C5C46C">
        <w:rPr>
          <w:sz w:val="24"/>
          <w:szCs w:val="24"/>
        </w:rPr>
        <w:t xml:space="preserve"> </w:t>
      </w:r>
      <w:r w:rsidR="00E573B0">
        <w:rPr>
          <w:sz w:val="24"/>
          <w:szCs w:val="24"/>
        </w:rPr>
        <w:t xml:space="preserve">nonetheless </w:t>
      </w:r>
      <w:r w:rsidR="00A944ED">
        <w:rPr>
          <w:sz w:val="24"/>
          <w:szCs w:val="24"/>
        </w:rPr>
        <w:t xml:space="preserve">persists </w:t>
      </w:r>
      <w:r w:rsidR="45C5C46C" w:rsidRPr="45C5C46C">
        <w:rPr>
          <w:sz w:val="24"/>
          <w:szCs w:val="24"/>
        </w:rPr>
        <w:lastRenderedPageBreak/>
        <w:t xml:space="preserve">that </w:t>
      </w:r>
      <w:proofErr w:type="gramStart"/>
      <w:r w:rsidR="45C5C46C" w:rsidRPr="45C5C46C">
        <w:rPr>
          <w:sz w:val="24"/>
          <w:szCs w:val="24"/>
        </w:rPr>
        <w:t>some</w:t>
      </w:r>
      <w:proofErr w:type="gramEnd"/>
      <w:r w:rsidR="45C5C46C" w:rsidRPr="45C5C46C">
        <w:rPr>
          <w:sz w:val="24"/>
          <w:szCs w:val="24"/>
        </w:rPr>
        <w:t xml:space="preserve"> people are</w:t>
      </w:r>
      <w:r w:rsidR="00DD2507">
        <w:rPr>
          <w:sz w:val="24"/>
          <w:szCs w:val="24"/>
        </w:rPr>
        <w:t xml:space="preserve"> innately “good” or</w:t>
      </w:r>
      <w:r w:rsidR="45C5C46C" w:rsidRPr="45C5C46C">
        <w:rPr>
          <w:sz w:val="24"/>
          <w:szCs w:val="24"/>
        </w:rPr>
        <w:t xml:space="preserve"> “bad</w:t>
      </w:r>
      <w:r w:rsidR="00DD2507">
        <w:rPr>
          <w:sz w:val="24"/>
          <w:szCs w:val="24"/>
        </w:rPr>
        <w:t>”</w:t>
      </w:r>
      <w:r w:rsidR="45C5C46C" w:rsidRPr="45C5C46C">
        <w:rPr>
          <w:sz w:val="24"/>
          <w:szCs w:val="24"/>
        </w:rPr>
        <w:t xml:space="preserve"> in math</w:t>
      </w:r>
      <w:r w:rsidR="00861A33">
        <w:rPr>
          <w:sz w:val="24"/>
          <w:szCs w:val="24"/>
        </w:rPr>
        <w:t xml:space="preserve"> or</w:t>
      </w:r>
      <w:r w:rsidR="00DD2507">
        <w:rPr>
          <w:sz w:val="24"/>
          <w:szCs w:val="24"/>
        </w:rPr>
        <w:t xml:space="preserve">, </w:t>
      </w:r>
      <w:r w:rsidR="00861A33">
        <w:rPr>
          <w:sz w:val="24"/>
          <w:szCs w:val="24"/>
        </w:rPr>
        <w:t>for other rea</w:t>
      </w:r>
      <w:r>
        <w:rPr>
          <w:sz w:val="24"/>
          <w:szCs w:val="24"/>
        </w:rPr>
        <w:t>s</w:t>
      </w:r>
      <w:r w:rsidR="00861A33">
        <w:rPr>
          <w:sz w:val="24"/>
          <w:szCs w:val="24"/>
        </w:rPr>
        <w:t>ons, do not belong in higher level math classes</w:t>
      </w:r>
      <w:r w:rsidR="00DD2507">
        <w:rPr>
          <w:sz w:val="24"/>
          <w:szCs w:val="24"/>
        </w:rPr>
        <w:t xml:space="preserve">. </w:t>
      </w:r>
      <w:r w:rsidR="00A944ED" w:rsidRPr="0B254218">
        <w:rPr>
          <w:rFonts w:eastAsia="Calibri"/>
          <w:sz w:val="24"/>
          <w:szCs w:val="24"/>
        </w:rPr>
        <w:t>Attaching labels to students</w:t>
      </w:r>
      <w:r w:rsidR="00A944ED">
        <w:rPr>
          <w:rFonts w:eastAsia="Calibri"/>
          <w:sz w:val="24"/>
          <w:szCs w:val="24"/>
        </w:rPr>
        <w:t xml:space="preserve"> that suggest fixed ideas about ability </w:t>
      </w:r>
      <w:r w:rsidR="00A944ED" w:rsidRPr="0B254218">
        <w:rPr>
          <w:rFonts w:eastAsia="Calibri"/>
          <w:sz w:val="24"/>
          <w:szCs w:val="24"/>
        </w:rPr>
        <w:t xml:space="preserve">is unproductive, </w:t>
      </w:r>
      <w:r w:rsidR="00E573B0">
        <w:rPr>
          <w:rFonts w:eastAsia="Calibri"/>
          <w:sz w:val="24"/>
          <w:szCs w:val="24"/>
        </w:rPr>
        <w:t>since</w:t>
      </w:r>
      <w:r w:rsidR="00A944ED" w:rsidRPr="0B254218">
        <w:rPr>
          <w:rFonts w:eastAsia="Calibri"/>
          <w:sz w:val="24"/>
          <w:szCs w:val="24"/>
        </w:rPr>
        <w:t xml:space="preserve"> such labels </w:t>
      </w:r>
      <w:r w:rsidR="00A944ED">
        <w:rPr>
          <w:rFonts w:eastAsia="Calibri"/>
          <w:sz w:val="24"/>
          <w:szCs w:val="24"/>
        </w:rPr>
        <w:t xml:space="preserve">often </w:t>
      </w:r>
      <w:r w:rsidR="00A944ED" w:rsidRPr="0B254218">
        <w:rPr>
          <w:rFonts w:eastAsia="Calibri"/>
          <w:sz w:val="24"/>
          <w:szCs w:val="24"/>
        </w:rPr>
        <w:t>lead to</w:t>
      </w:r>
      <w:r w:rsidR="00A944ED">
        <w:rPr>
          <w:rFonts w:eastAsia="Calibri"/>
          <w:sz w:val="24"/>
          <w:szCs w:val="24"/>
        </w:rPr>
        <w:t xml:space="preserve"> differential </w:t>
      </w:r>
      <w:proofErr w:type="gramStart"/>
      <w:r w:rsidR="00A944ED">
        <w:rPr>
          <w:rFonts w:eastAsia="Calibri"/>
          <w:sz w:val="24"/>
          <w:szCs w:val="24"/>
        </w:rPr>
        <w:t>opportunities to learn</w:t>
      </w:r>
      <w:proofErr w:type="gramEnd"/>
      <w:r w:rsidR="00A944ED">
        <w:rPr>
          <w:rFonts w:eastAsia="Calibri"/>
          <w:sz w:val="24"/>
          <w:szCs w:val="24"/>
        </w:rPr>
        <w:t xml:space="preserve"> that underestimate the possibilities for growth.</w:t>
      </w:r>
    </w:p>
    <w:p w14:paraId="2446B494" w14:textId="3BE626DD" w:rsidR="004D7ACD" w:rsidRDefault="45C5C46C" w:rsidP="001333C2">
      <w:pPr>
        <w:spacing w:after="240" w:line="360" w:lineRule="auto"/>
        <w:rPr>
          <w:rFonts w:eastAsia="Calibri"/>
          <w:sz w:val="24"/>
          <w:szCs w:val="24"/>
        </w:rPr>
      </w:pPr>
      <w:r w:rsidRPr="45C5C46C">
        <w:rPr>
          <w:rFonts w:eastAsia="Calibri"/>
          <w:sz w:val="24"/>
          <w:szCs w:val="24"/>
        </w:rPr>
        <w:t xml:space="preserve">While this framework recognizes that </w:t>
      </w:r>
      <w:proofErr w:type="gramStart"/>
      <w:r w:rsidRPr="45C5C46C">
        <w:rPr>
          <w:rFonts w:eastAsia="Calibri"/>
          <w:sz w:val="24"/>
          <w:szCs w:val="24"/>
        </w:rPr>
        <w:t>some</w:t>
      </w:r>
      <w:proofErr w:type="gramEnd"/>
      <w:r w:rsidRPr="45C5C46C">
        <w:rPr>
          <w:rFonts w:eastAsia="Calibri"/>
          <w:sz w:val="24"/>
          <w:szCs w:val="24"/>
        </w:rPr>
        <w:t xml:space="preserve"> students are born with learning challenges and </w:t>
      </w:r>
      <w:r w:rsidR="002821A3">
        <w:rPr>
          <w:rFonts w:eastAsia="Calibri"/>
          <w:sz w:val="24"/>
          <w:szCs w:val="24"/>
        </w:rPr>
        <w:t>others</w:t>
      </w:r>
      <w:r w:rsidRPr="45C5C46C">
        <w:rPr>
          <w:rFonts w:eastAsia="Calibri"/>
          <w:sz w:val="24"/>
          <w:szCs w:val="24"/>
        </w:rPr>
        <w:t xml:space="preserve"> with learning advantages, and that students</w:t>
      </w:r>
      <w:r w:rsidR="002821A3">
        <w:rPr>
          <w:rFonts w:eastAsia="Calibri"/>
          <w:sz w:val="24"/>
          <w:szCs w:val="24"/>
        </w:rPr>
        <w:t xml:space="preserve"> have differing</w:t>
      </w:r>
      <w:r w:rsidRPr="45C5C46C">
        <w:rPr>
          <w:rFonts w:eastAsia="Calibri"/>
          <w:sz w:val="24"/>
          <w:szCs w:val="24"/>
        </w:rPr>
        <w:t xml:space="preserve"> experience</w:t>
      </w:r>
      <w:r w:rsidR="002821A3">
        <w:rPr>
          <w:rFonts w:eastAsia="Calibri"/>
          <w:sz w:val="24"/>
          <w:szCs w:val="24"/>
        </w:rPr>
        <w:t xml:space="preserve">s and </w:t>
      </w:r>
      <w:r w:rsidRPr="45C5C46C">
        <w:rPr>
          <w:rFonts w:eastAsia="Calibri"/>
          <w:sz w:val="24"/>
          <w:szCs w:val="24"/>
        </w:rPr>
        <w:t xml:space="preserve">opportunities before they arrive at school, it also recognizes that </w:t>
      </w:r>
      <w:r w:rsidR="00DD2507">
        <w:rPr>
          <w:rFonts w:eastAsia="Calibri"/>
          <w:sz w:val="24"/>
          <w:szCs w:val="24"/>
        </w:rPr>
        <w:t>no student</w:t>
      </w:r>
      <w:r w:rsidR="002821A3">
        <w:rPr>
          <w:rFonts w:eastAsia="Calibri"/>
          <w:sz w:val="24"/>
          <w:szCs w:val="24"/>
        </w:rPr>
        <w:t xml:space="preserve">’s </w:t>
      </w:r>
      <w:r w:rsidR="00DD2507">
        <w:rPr>
          <w:rFonts w:eastAsia="Calibri"/>
          <w:sz w:val="24"/>
          <w:szCs w:val="24"/>
        </w:rPr>
        <w:t>mathematical ability</w:t>
      </w:r>
      <w:r w:rsidR="002821A3">
        <w:rPr>
          <w:rFonts w:eastAsia="Calibri"/>
          <w:sz w:val="24"/>
          <w:szCs w:val="24"/>
        </w:rPr>
        <w:t xml:space="preserve"> is fixed</w:t>
      </w:r>
      <w:r w:rsidR="00E573B0">
        <w:rPr>
          <w:rFonts w:eastAsia="Calibri"/>
          <w:sz w:val="24"/>
          <w:szCs w:val="24"/>
        </w:rPr>
        <w:t>. A</w:t>
      </w:r>
      <w:r w:rsidRPr="45C5C46C">
        <w:rPr>
          <w:rFonts w:eastAsia="Calibri"/>
          <w:sz w:val="24"/>
          <w:szCs w:val="24"/>
        </w:rPr>
        <w:t xml:space="preserve">ll students are capable of strong </w:t>
      </w:r>
      <w:r w:rsidR="00EB64C3">
        <w:rPr>
          <w:rFonts w:eastAsia="Calibri"/>
          <w:sz w:val="24"/>
          <w:szCs w:val="24"/>
        </w:rPr>
        <w:t>learning</w:t>
      </w:r>
      <w:r w:rsidRPr="45C5C46C">
        <w:rPr>
          <w:rFonts w:eastAsia="Calibri"/>
          <w:sz w:val="24"/>
          <w:szCs w:val="24"/>
        </w:rPr>
        <w:t xml:space="preserve"> gains, </w:t>
      </w:r>
      <w:r w:rsidR="004D7ACD">
        <w:rPr>
          <w:rFonts w:eastAsia="Calibri"/>
          <w:sz w:val="24"/>
          <w:szCs w:val="24"/>
        </w:rPr>
        <w:t>given</w:t>
      </w:r>
      <w:r w:rsidRPr="45C5C46C">
        <w:rPr>
          <w:rFonts w:eastAsia="Calibri"/>
          <w:sz w:val="24"/>
          <w:szCs w:val="24"/>
        </w:rPr>
        <w:t xml:space="preserve"> effective teaching and </w:t>
      </w:r>
      <w:r w:rsidR="00DD2507">
        <w:rPr>
          <w:rFonts w:eastAsia="Calibri"/>
          <w:sz w:val="24"/>
          <w:szCs w:val="24"/>
        </w:rPr>
        <w:t xml:space="preserve">support </w:t>
      </w:r>
      <w:r w:rsidR="002821A3">
        <w:rPr>
          <w:rFonts w:eastAsia="Calibri"/>
          <w:sz w:val="24"/>
          <w:szCs w:val="24"/>
        </w:rPr>
        <w:t>that fosters</w:t>
      </w:r>
      <w:r w:rsidR="00DD2507">
        <w:rPr>
          <w:rFonts w:eastAsia="Calibri"/>
          <w:sz w:val="24"/>
          <w:szCs w:val="24"/>
        </w:rPr>
        <w:t xml:space="preserve"> a growth </w:t>
      </w:r>
      <w:r w:rsidRPr="45C5C46C">
        <w:rPr>
          <w:rFonts w:eastAsia="Calibri"/>
          <w:sz w:val="24"/>
          <w:szCs w:val="24"/>
        </w:rPr>
        <w:t>mindset</w:t>
      </w:r>
      <w:r w:rsidR="00DD2507">
        <w:rPr>
          <w:rFonts w:eastAsia="Calibri"/>
          <w:sz w:val="24"/>
          <w:szCs w:val="24"/>
        </w:rPr>
        <w:t>.</w:t>
      </w:r>
      <w:r w:rsidRPr="45C5C46C">
        <w:rPr>
          <w:rFonts w:eastAsia="Calibri"/>
          <w:sz w:val="24"/>
          <w:szCs w:val="24"/>
        </w:rPr>
        <w:t xml:space="preserve"> </w:t>
      </w:r>
      <w:proofErr w:type="gramStart"/>
      <w:r w:rsidR="00642061" w:rsidRPr="008C096B">
        <w:rPr>
          <w:rFonts w:eastAsia="Calibri"/>
          <w:sz w:val="24"/>
          <w:szCs w:val="24"/>
        </w:rPr>
        <w:t>Many</w:t>
      </w:r>
      <w:proofErr w:type="gramEnd"/>
      <w:r w:rsidR="00642061" w:rsidRPr="008C096B">
        <w:rPr>
          <w:rFonts w:eastAsia="Calibri"/>
          <w:sz w:val="24"/>
          <w:szCs w:val="24"/>
        </w:rPr>
        <w:t xml:space="preserve"> studies show that student </w:t>
      </w:r>
      <w:r w:rsidR="0016071F" w:rsidRPr="001D38B4">
        <w:rPr>
          <w:rFonts w:eastAsia="Calibri"/>
          <w:sz w:val="24"/>
          <w:szCs w:val="24"/>
        </w:rPr>
        <w:t>l</w:t>
      </w:r>
      <w:r w:rsidR="009F0611" w:rsidRPr="008C096B">
        <w:rPr>
          <w:rFonts w:eastAsia="Calibri"/>
          <w:sz w:val="24"/>
          <w:szCs w:val="24"/>
        </w:rPr>
        <w:t>ag</w:t>
      </w:r>
      <w:r w:rsidR="00870AF3" w:rsidRPr="001D38B4">
        <w:rPr>
          <w:rFonts w:eastAsia="Calibri"/>
          <w:sz w:val="24"/>
          <w:szCs w:val="24"/>
        </w:rPr>
        <w:t>s in</w:t>
      </w:r>
      <w:r w:rsidR="00642061" w:rsidRPr="008C096B">
        <w:rPr>
          <w:rFonts w:eastAsia="Calibri"/>
          <w:sz w:val="24"/>
          <w:szCs w:val="24"/>
        </w:rPr>
        <w:t xml:space="preserve"> math performance, which may seem </w:t>
      </w:r>
      <w:r w:rsidR="009F0611" w:rsidRPr="001D38B4">
        <w:rPr>
          <w:rFonts w:eastAsia="Calibri"/>
          <w:sz w:val="24"/>
          <w:szCs w:val="24"/>
        </w:rPr>
        <w:t>to signify</w:t>
      </w:r>
      <w:r w:rsidR="00642061" w:rsidRPr="008C096B">
        <w:rPr>
          <w:rFonts w:eastAsia="Calibri"/>
          <w:sz w:val="24"/>
          <w:szCs w:val="24"/>
        </w:rPr>
        <w:t xml:space="preserve"> difference in ability, can be changed </w:t>
      </w:r>
      <w:r w:rsidR="009F0611" w:rsidRPr="001D38B4">
        <w:rPr>
          <w:rFonts w:eastAsia="Calibri"/>
          <w:sz w:val="24"/>
          <w:szCs w:val="24"/>
        </w:rPr>
        <w:t>through</w:t>
      </w:r>
      <w:r w:rsidR="00642061" w:rsidRPr="008C096B">
        <w:rPr>
          <w:rFonts w:eastAsia="Calibri"/>
          <w:sz w:val="24"/>
          <w:szCs w:val="24"/>
        </w:rPr>
        <w:t xml:space="preserve"> interventions (Kwon et al., 2021;</w:t>
      </w:r>
      <w:r w:rsidR="00642061">
        <w:rPr>
          <w:rFonts w:eastAsia="Calibri"/>
          <w:sz w:val="24"/>
          <w:szCs w:val="24"/>
        </w:rPr>
        <w:t xml:space="preserve"> Frontiers et al., 2007; Moses and Cobb, 2002).</w:t>
      </w:r>
    </w:p>
    <w:p w14:paraId="2CA9EC5C" w14:textId="2475DDEE" w:rsidR="00AA2863" w:rsidRDefault="00A944ED" w:rsidP="00A944ED">
      <w:pPr>
        <w:spacing w:after="240" w:line="360" w:lineRule="auto"/>
        <w:rPr>
          <w:sz w:val="24"/>
          <w:szCs w:val="24"/>
        </w:rPr>
      </w:pPr>
      <w:r w:rsidRPr="007B24E1">
        <w:rPr>
          <w:rFonts w:eastAsia="Calibri"/>
          <w:sz w:val="24"/>
          <w:szCs w:val="24"/>
        </w:rPr>
        <w:t xml:space="preserve">Students should have early, ongoing, and equitable opportunities to </w:t>
      </w:r>
      <w:r w:rsidR="00257E32" w:rsidRPr="007B24E1">
        <w:rPr>
          <w:rFonts w:eastAsia="Calibri"/>
          <w:sz w:val="24"/>
          <w:szCs w:val="24"/>
        </w:rPr>
        <w:t>develop their abilities</w:t>
      </w:r>
      <w:r w:rsidRPr="007B24E1">
        <w:rPr>
          <w:rFonts w:eastAsia="Calibri"/>
          <w:sz w:val="24"/>
          <w:szCs w:val="24"/>
        </w:rPr>
        <w:t>.</w:t>
      </w:r>
      <w:r w:rsidRPr="449EEBED">
        <w:rPr>
          <w:rFonts w:eastAsia="Calibri"/>
          <w:sz w:val="24"/>
          <w:szCs w:val="24"/>
        </w:rPr>
        <w:t xml:space="preserve"> </w:t>
      </w:r>
      <w:r w:rsidR="009F0611">
        <w:rPr>
          <w:rFonts w:eastAsia="Calibri"/>
          <w:sz w:val="24"/>
          <w:szCs w:val="24"/>
        </w:rPr>
        <w:t>M</w:t>
      </w:r>
      <w:r w:rsidR="0041736C">
        <w:rPr>
          <w:rFonts w:eastAsia="Calibri"/>
          <w:sz w:val="24"/>
          <w:szCs w:val="24"/>
        </w:rPr>
        <w:t xml:space="preserve">athematical </w:t>
      </w:r>
      <w:r w:rsidR="006F2D6E">
        <w:rPr>
          <w:rFonts w:eastAsia="Calibri"/>
          <w:sz w:val="24"/>
          <w:szCs w:val="24"/>
        </w:rPr>
        <w:t>excellence can develop or reveal itself at any life stage</w:t>
      </w:r>
      <w:r w:rsidR="009F0611">
        <w:rPr>
          <w:rFonts w:eastAsia="Calibri"/>
          <w:sz w:val="24"/>
          <w:szCs w:val="24"/>
        </w:rPr>
        <w:t xml:space="preserve">. Consider, for example, </w:t>
      </w:r>
      <w:r w:rsidR="009F0611" w:rsidRPr="449EEBED">
        <w:rPr>
          <w:rFonts w:eastAsia="Calibri"/>
          <w:sz w:val="24"/>
          <w:szCs w:val="24"/>
        </w:rPr>
        <w:t>Nicholas Letchford</w:t>
      </w:r>
      <w:r w:rsidR="009F0611">
        <w:rPr>
          <w:rFonts w:eastAsia="Calibri"/>
          <w:sz w:val="24"/>
          <w:szCs w:val="24"/>
        </w:rPr>
        <w:t>,</w:t>
      </w:r>
      <w:r w:rsidR="009F0611" w:rsidRPr="449EEBED">
        <w:rPr>
          <w:rFonts w:eastAsia="Calibri"/>
          <w:sz w:val="24"/>
          <w:szCs w:val="24"/>
        </w:rPr>
        <w:t xml:space="preserve"> who started school labeled as having a low IQ and significant special educational needs</w:t>
      </w:r>
      <w:r w:rsidR="009F0611">
        <w:rPr>
          <w:rFonts w:eastAsia="Calibri"/>
          <w:sz w:val="24"/>
          <w:szCs w:val="24"/>
        </w:rPr>
        <w:t>. He</w:t>
      </w:r>
      <w:r w:rsidR="009F0611" w:rsidRPr="449EEBED">
        <w:rPr>
          <w:rFonts w:eastAsia="Calibri"/>
          <w:sz w:val="24"/>
          <w:szCs w:val="24"/>
        </w:rPr>
        <w:t xml:space="preserve"> went on to graduate from Oxford University with a doctorate in applied mathematics (Letchford, 2018).</w:t>
      </w:r>
    </w:p>
    <w:p w14:paraId="1DBBD25F" w14:textId="36E98E78" w:rsidR="006C638B" w:rsidRDefault="496FBE46" w:rsidP="0B254218">
      <w:pPr>
        <w:spacing w:after="240" w:line="360" w:lineRule="auto"/>
        <w:rPr>
          <w:rFonts w:eastAsia="Calibri"/>
          <w:sz w:val="24"/>
          <w:szCs w:val="24"/>
        </w:rPr>
      </w:pPr>
      <w:r w:rsidRPr="496FBE46">
        <w:rPr>
          <w:rFonts w:eastAsia="Calibri"/>
          <w:sz w:val="24"/>
          <w:szCs w:val="24"/>
        </w:rPr>
        <w:t xml:space="preserve">This framework proposes grouping systems and other supports that keep higher level pathways open to more students for a longer time, while enabling high-achieving students to move </w:t>
      </w:r>
      <w:r w:rsidR="003020A8" w:rsidRPr="002B3FC9">
        <w:rPr>
          <w:rFonts w:eastAsia="Calibri"/>
          <w:sz w:val="24"/>
          <w:szCs w:val="24"/>
        </w:rPr>
        <w:t>more rapidly and deeply</w:t>
      </w:r>
      <w:r w:rsidR="003020A8">
        <w:rPr>
          <w:rFonts w:eastAsia="Calibri"/>
          <w:sz w:val="24"/>
          <w:szCs w:val="24"/>
        </w:rPr>
        <w:t xml:space="preserve"> </w:t>
      </w:r>
      <w:r w:rsidRPr="496FBE46">
        <w:rPr>
          <w:rFonts w:eastAsia="Calibri"/>
          <w:sz w:val="24"/>
          <w:szCs w:val="24"/>
        </w:rPr>
        <w:t xml:space="preserve">through </w:t>
      </w:r>
      <w:r w:rsidR="00EB64C3">
        <w:rPr>
          <w:rFonts w:eastAsia="Calibri"/>
          <w:sz w:val="24"/>
          <w:szCs w:val="24"/>
        </w:rPr>
        <w:t>content</w:t>
      </w:r>
      <w:r w:rsidR="00A944ED">
        <w:rPr>
          <w:rFonts w:eastAsia="Calibri"/>
          <w:sz w:val="24"/>
          <w:szCs w:val="24"/>
        </w:rPr>
        <w:t>,</w:t>
      </w:r>
      <w:r w:rsidRPr="496FBE46">
        <w:rPr>
          <w:rFonts w:eastAsia="Calibri"/>
          <w:sz w:val="24"/>
          <w:szCs w:val="24"/>
        </w:rPr>
        <w:t xml:space="preserve"> as appropriate. </w:t>
      </w:r>
      <w:bookmarkStart w:id="6" w:name="_Hlk93505257"/>
      <w:r w:rsidRPr="496FBE46">
        <w:rPr>
          <w:rFonts w:eastAsia="Calibri"/>
          <w:sz w:val="24"/>
          <w:szCs w:val="24"/>
        </w:rPr>
        <w:t xml:space="preserve">The framework recognizes the diversity of student achievement and sets out ways to teach </w:t>
      </w:r>
      <w:r w:rsidR="00A944ED">
        <w:rPr>
          <w:rFonts w:eastAsia="Calibri"/>
          <w:sz w:val="24"/>
          <w:szCs w:val="24"/>
        </w:rPr>
        <w:t>that ensure</w:t>
      </w:r>
      <w:r w:rsidRPr="496FBE46">
        <w:rPr>
          <w:rFonts w:eastAsia="Calibri"/>
          <w:sz w:val="24"/>
          <w:szCs w:val="24"/>
        </w:rPr>
        <w:t xml:space="preserve"> that all students receive appropriate support and challenge</w:t>
      </w:r>
      <w:r w:rsidR="008C2F39">
        <w:rPr>
          <w:rFonts w:eastAsia="Calibri"/>
          <w:sz w:val="24"/>
          <w:szCs w:val="24"/>
        </w:rPr>
        <w:t xml:space="preserve">—including </w:t>
      </w:r>
      <w:r w:rsidRPr="496FBE46">
        <w:rPr>
          <w:rFonts w:eastAsia="Calibri"/>
          <w:sz w:val="24"/>
          <w:szCs w:val="24"/>
        </w:rPr>
        <w:t>providing all students with challenging work</w:t>
      </w:r>
      <w:r w:rsidR="008C2F39">
        <w:rPr>
          <w:rFonts w:eastAsia="Calibri"/>
          <w:sz w:val="24"/>
          <w:szCs w:val="24"/>
        </w:rPr>
        <w:t xml:space="preserve"> rather than</w:t>
      </w:r>
      <w:r w:rsidRPr="496FBE46">
        <w:rPr>
          <w:rFonts w:eastAsia="Calibri"/>
          <w:sz w:val="24"/>
          <w:szCs w:val="24"/>
        </w:rPr>
        <w:t xml:space="preserve"> leaving </w:t>
      </w:r>
      <w:r w:rsidR="008C2F39">
        <w:rPr>
          <w:rFonts w:eastAsia="Calibri"/>
          <w:sz w:val="24"/>
          <w:szCs w:val="24"/>
        </w:rPr>
        <w:t>some</w:t>
      </w:r>
      <w:r w:rsidRPr="496FBE46">
        <w:rPr>
          <w:rFonts w:eastAsia="Calibri"/>
          <w:sz w:val="24"/>
          <w:szCs w:val="24"/>
        </w:rPr>
        <w:t xml:space="preserve"> students bored or working at levels lower than what they may be capable of</w:t>
      </w:r>
      <w:r w:rsidR="008C2F39">
        <w:rPr>
          <w:rFonts w:eastAsia="Calibri"/>
          <w:sz w:val="24"/>
          <w:szCs w:val="24"/>
        </w:rPr>
        <w:t>, which can happen if teachers</w:t>
      </w:r>
      <w:r w:rsidRPr="496FBE46">
        <w:rPr>
          <w:rFonts w:eastAsia="Calibri"/>
          <w:sz w:val="24"/>
          <w:szCs w:val="24"/>
        </w:rPr>
        <w:t xml:space="preserve"> requir</w:t>
      </w:r>
      <w:r w:rsidR="008C2F39">
        <w:rPr>
          <w:rFonts w:eastAsia="Calibri"/>
          <w:sz w:val="24"/>
          <w:szCs w:val="24"/>
        </w:rPr>
        <w:t>e</w:t>
      </w:r>
      <w:r w:rsidRPr="496FBE46">
        <w:rPr>
          <w:rFonts w:eastAsia="Calibri"/>
          <w:sz w:val="24"/>
          <w:szCs w:val="24"/>
        </w:rPr>
        <w:t xml:space="preserve"> </w:t>
      </w:r>
      <w:r w:rsidR="008C2F39">
        <w:rPr>
          <w:rFonts w:eastAsia="Calibri"/>
          <w:sz w:val="24"/>
          <w:szCs w:val="24"/>
        </w:rPr>
        <w:t xml:space="preserve">the entire class to </w:t>
      </w:r>
      <w:r w:rsidRPr="496FBE46">
        <w:rPr>
          <w:rFonts w:eastAsia="Calibri"/>
          <w:sz w:val="24"/>
          <w:szCs w:val="24"/>
        </w:rPr>
        <w:t xml:space="preserve">stay together or learn the same </w:t>
      </w:r>
      <w:r w:rsidRPr="00DC7BB2">
        <w:rPr>
          <w:rFonts w:eastAsia="Calibri"/>
          <w:sz w:val="24"/>
          <w:szCs w:val="24"/>
        </w:rPr>
        <w:t xml:space="preserve">content </w:t>
      </w:r>
      <w:r w:rsidR="00210815" w:rsidRPr="00DC7BB2">
        <w:rPr>
          <w:rFonts w:eastAsia="Calibri"/>
          <w:sz w:val="24"/>
          <w:szCs w:val="24"/>
        </w:rPr>
        <w:t>in the same way or</w:t>
      </w:r>
      <w:r w:rsidR="00210815">
        <w:rPr>
          <w:rFonts w:eastAsia="Calibri"/>
          <w:sz w:val="24"/>
          <w:szCs w:val="24"/>
        </w:rPr>
        <w:t xml:space="preserve"> </w:t>
      </w:r>
      <w:r w:rsidRPr="496FBE46">
        <w:rPr>
          <w:rFonts w:eastAsia="Calibri"/>
          <w:sz w:val="24"/>
          <w:szCs w:val="24"/>
        </w:rPr>
        <w:t>at the same pace.</w:t>
      </w:r>
    </w:p>
    <w:p w14:paraId="144CB80E" w14:textId="58785F7B" w:rsidR="004E1A9E" w:rsidRPr="00DE1E56" w:rsidRDefault="57D65098" w:rsidP="0B254218">
      <w:pPr>
        <w:spacing w:after="240" w:line="360" w:lineRule="auto"/>
        <w:rPr>
          <w:rFonts w:eastAsia="Calibri"/>
          <w:sz w:val="24"/>
          <w:szCs w:val="24"/>
        </w:rPr>
      </w:pPr>
      <w:r w:rsidRPr="7BEA48BE">
        <w:rPr>
          <w:rFonts w:eastAsia="Calibri"/>
          <w:sz w:val="24"/>
          <w:szCs w:val="24"/>
        </w:rPr>
        <w:t xml:space="preserve">High-achieving students may </w:t>
      </w:r>
      <w:proofErr w:type="gramStart"/>
      <w:r w:rsidRPr="7BEA48BE">
        <w:rPr>
          <w:rFonts w:eastAsia="Calibri"/>
          <w:sz w:val="24"/>
          <w:szCs w:val="24"/>
        </w:rPr>
        <w:t>be challenged</w:t>
      </w:r>
      <w:proofErr w:type="gramEnd"/>
      <w:r w:rsidRPr="7BEA48BE">
        <w:rPr>
          <w:rFonts w:eastAsia="Calibri"/>
          <w:sz w:val="24"/>
          <w:szCs w:val="24"/>
        </w:rPr>
        <w:t xml:space="preserve"> in a variety of ways</w:t>
      </w:r>
      <w:r w:rsidR="70D7A461" w:rsidRPr="7BEA48BE">
        <w:rPr>
          <w:rFonts w:eastAsia="Calibri"/>
          <w:sz w:val="24"/>
          <w:szCs w:val="24"/>
        </w:rPr>
        <w:t>, including</w:t>
      </w:r>
      <w:r w:rsidRPr="7BEA48BE">
        <w:rPr>
          <w:rFonts w:eastAsia="Calibri"/>
          <w:sz w:val="24"/>
          <w:szCs w:val="24"/>
        </w:rPr>
        <w:t xml:space="preserve"> </w:t>
      </w:r>
      <w:r w:rsidR="00C92B47">
        <w:rPr>
          <w:rFonts w:eastAsia="Calibri"/>
          <w:sz w:val="24"/>
          <w:szCs w:val="24"/>
        </w:rPr>
        <w:t>by</w:t>
      </w:r>
      <w:r w:rsidRPr="7BEA48BE">
        <w:rPr>
          <w:rFonts w:eastAsia="Calibri"/>
          <w:sz w:val="24"/>
          <w:szCs w:val="24"/>
        </w:rPr>
        <w:t xml:space="preserve"> </w:t>
      </w:r>
      <w:r w:rsidR="00210815" w:rsidRPr="00061B2E">
        <w:rPr>
          <w:rFonts w:eastAsia="Calibri"/>
          <w:sz w:val="24"/>
          <w:szCs w:val="24"/>
        </w:rPr>
        <w:t>engagement in ambitious inquiries in any given course</w:t>
      </w:r>
      <w:r w:rsidR="02C1F56F" w:rsidRPr="00061B2E">
        <w:rPr>
          <w:rFonts w:eastAsia="Calibri"/>
          <w:sz w:val="24"/>
          <w:szCs w:val="24"/>
        </w:rPr>
        <w:t>, by engaging</w:t>
      </w:r>
      <w:r w:rsidR="02C1F56F" w:rsidRPr="7BEA48BE">
        <w:rPr>
          <w:rFonts w:eastAsia="Calibri"/>
          <w:sz w:val="24"/>
          <w:szCs w:val="24"/>
        </w:rPr>
        <w:t xml:space="preserve"> in additional mathematics learning opportunities in </w:t>
      </w:r>
      <w:r w:rsidR="006C638B">
        <w:rPr>
          <w:rFonts w:eastAsia="Calibri"/>
          <w:sz w:val="24"/>
          <w:szCs w:val="24"/>
        </w:rPr>
        <w:t>supplementary</w:t>
      </w:r>
      <w:r w:rsidR="006C638B" w:rsidRPr="7BEA48BE">
        <w:rPr>
          <w:rFonts w:eastAsia="Calibri"/>
          <w:sz w:val="24"/>
          <w:szCs w:val="24"/>
        </w:rPr>
        <w:t xml:space="preserve"> </w:t>
      </w:r>
      <w:r w:rsidR="02C1F56F" w:rsidRPr="7BEA48BE">
        <w:rPr>
          <w:rFonts w:eastAsia="Calibri"/>
          <w:sz w:val="24"/>
          <w:szCs w:val="24"/>
        </w:rPr>
        <w:t xml:space="preserve">courses or extracurricular </w:t>
      </w:r>
      <w:r w:rsidR="02C1F56F" w:rsidRPr="7BEA48BE">
        <w:rPr>
          <w:rFonts w:eastAsia="Calibri"/>
          <w:sz w:val="24"/>
          <w:szCs w:val="24"/>
        </w:rPr>
        <w:lastRenderedPageBreak/>
        <w:t>challenges,</w:t>
      </w:r>
      <w:r w:rsidRPr="7BEA48BE">
        <w:rPr>
          <w:rFonts w:eastAsia="Calibri"/>
          <w:sz w:val="24"/>
          <w:szCs w:val="24"/>
        </w:rPr>
        <w:t xml:space="preserve"> and</w:t>
      </w:r>
      <w:r w:rsidR="4C91AEAF" w:rsidRPr="7BEA48BE">
        <w:rPr>
          <w:rFonts w:eastAsia="Calibri"/>
          <w:sz w:val="24"/>
          <w:szCs w:val="24"/>
        </w:rPr>
        <w:t>/or</w:t>
      </w:r>
      <w:r w:rsidRPr="7BEA48BE">
        <w:rPr>
          <w:rFonts w:eastAsia="Calibri"/>
          <w:sz w:val="24"/>
          <w:szCs w:val="24"/>
        </w:rPr>
        <w:t xml:space="preserve"> </w:t>
      </w:r>
      <w:r w:rsidR="00210815" w:rsidRPr="00DC7BB2">
        <w:rPr>
          <w:rFonts w:eastAsia="Calibri"/>
          <w:sz w:val="24"/>
          <w:szCs w:val="24"/>
        </w:rPr>
        <w:t>by acceleration through a course pathway</w:t>
      </w:r>
      <w:r w:rsidR="73A138F8" w:rsidRPr="00DC7BB2">
        <w:rPr>
          <w:rFonts w:eastAsia="Calibri"/>
          <w:sz w:val="24"/>
          <w:szCs w:val="24"/>
        </w:rPr>
        <w:t>.</w:t>
      </w:r>
      <w:r w:rsidR="73A138F8" w:rsidRPr="7BEA48BE">
        <w:rPr>
          <w:rFonts w:eastAsia="Calibri"/>
          <w:sz w:val="24"/>
          <w:szCs w:val="24"/>
        </w:rPr>
        <w:t xml:space="preserve"> </w:t>
      </w:r>
      <w:r w:rsidR="09A64B2C" w:rsidRPr="7BEA48BE">
        <w:rPr>
          <w:rFonts w:eastAsia="Calibri"/>
          <w:sz w:val="24"/>
          <w:szCs w:val="24"/>
        </w:rPr>
        <w:t>When acceleration occurs</w:t>
      </w:r>
      <w:r w:rsidR="51641828" w:rsidRPr="7BEA48BE">
        <w:rPr>
          <w:rFonts w:eastAsia="Calibri"/>
          <w:sz w:val="24"/>
          <w:szCs w:val="24"/>
        </w:rPr>
        <w:t>,</w:t>
      </w:r>
      <w:r w:rsidR="09A64B2C" w:rsidRPr="7BEA48BE">
        <w:rPr>
          <w:rFonts w:eastAsia="Calibri"/>
          <w:sz w:val="24"/>
          <w:szCs w:val="24"/>
        </w:rPr>
        <w:t xml:space="preserve"> it should be in the context of enabling access for students who are clearly ready for more challenging content</w:t>
      </w:r>
      <w:r w:rsidR="09A64B2C" w:rsidRPr="00B806E0">
        <w:rPr>
          <w:rFonts w:eastAsia="Calibri"/>
          <w:sz w:val="24"/>
          <w:szCs w:val="24"/>
        </w:rPr>
        <w:t xml:space="preserve">, </w:t>
      </w:r>
      <w:r w:rsidR="09A64B2C" w:rsidRPr="00DE1E56">
        <w:rPr>
          <w:rFonts w:eastAsia="Calibri"/>
          <w:sz w:val="24"/>
          <w:szCs w:val="24"/>
        </w:rPr>
        <w:t xml:space="preserve">rather than in the context of </w:t>
      </w:r>
      <w:r w:rsidR="0067311A" w:rsidRPr="00DE1E56">
        <w:rPr>
          <w:rFonts w:eastAsia="Calibri"/>
          <w:sz w:val="24"/>
          <w:szCs w:val="24"/>
        </w:rPr>
        <w:t xml:space="preserve">reducing </w:t>
      </w:r>
      <w:r w:rsidR="7DF52FD3" w:rsidRPr="00DE1E56">
        <w:rPr>
          <w:rFonts w:eastAsia="Calibri"/>
          <w:sz w:val="24"/>
          <w:szCs w:val="24"/>
        </w:rPr>
        <w:t xml:space="preserve">the opportunities for </w:t>
      </w:r>
      <w:r w:rsidR="00541E3F" w:rsidRPr="00DE1E56">
        <w:rPr>
          <w:rFonts w:eastAsia="Calibri"/>
          <w:sz w:val="24"/>
          <w:szCs w:val="24"/>
        </w:rPr>
        <w:t>other</w:t>
      </w:r>
      <w:r w:rsidR="7DF52FD3" w:rsidRPr="00DE1E56">
        <w:rPr>
          <w:rFonts w:eastAsia="Calibri"/>
          <w:sz w:val="24"/>
          <w:szCs w:val="24"/>
        </w:rPr>
        <w:t xml:space="preserve"> young people</w:t>
      </w:r>
      <w:r w:rsidR="43E64BB5" w:rsidRPr="00DE1E56">
        <w:rPr>
          <w:rFonts w:eastAsia="Calibri"/>
          <w:sz w:val="24"/>
          <w:szCs w:val="24"/>
        </w:rPr>
        <w:t xml:space="preserve"> </w:t>
      </w:r>
      <w:r w:rsidR="0067311A" w:rsidRPr="00DE1E56">
        <w:rPr>
          <w:rFonts w:eastAsia="Calibri"/>
          <w:sz w:val="24"/>
          <w:szCs w:val="24"/>
        </w:rPr>
        <w:t>to access challenging content from which they could benefit</w:t>
      </w:r>
      <w:r w:rsidR="00C3381A" w:rsidRPr="00DE1E56">
        <w:rPr>
          <w:rFonts w:eastAsia="Calibri"/>
          <w:sz w:val="24"/>
          <w:szCs w:val="24"/>
        </w:rPr>
        <w:t>—as can happen with such practices as tracking</w:t>
      </w:r>
      <w:r w:rsidR="0C6F9318" w:rsidRPr="00DE1E56">
        <w:rPr>
          <w:rFonts w:eastAsia="Calibri"/>
          <w:sz w:val="24"/>
          <w:szCs w:val="24"/>
        </w:rPr>
        <w:t>.</w:t>
      </w:r>
    </w:p>
    <w:bookmarkEnd w:id="6"/>
    <w:p w14:paraId="79F17AB6" w14:textId="74C09C66" w:rsidR="0027106E" w:rsidRDefault="0027106E" w:rsidP="0027106E">
      <w:pPr>
        <w:spacing w:after="240" w:line="360" w:lineRule="auto"/>
        <w:rPr>
          <w:rFonts w:eastAsia="Calibri"/>
          <w:sz w:val="24"/>
          <w:szCs w:val="24"/>
        </w:rPr>
      </w:pPr>
      <w:r w:rsidRPr="449EEBED">
        <w:rPr>
          <w:rFonts w:eastAsia="Calibri"/>
          <w:sz w:val="24"/>
          <w:szCs w:val="24"/>
        </w:rPr>
        <w:t>The remainder of this chapter set</w:t>
      </w:r>
      <w:r>
        <w:rPr>
          <w:rFonts w:eastAsia="Calibri"/>
          <w:sz w:val="24"/>
          <w:szCs w:val="24"/>
        </w:rPr>
        <w:t>s</w:t>
      </w:r>
      <w:r w:rsidRPr="449EEBED">
        <w:rPr>
          <w:rFonts w:eastAsia="Calibri"/>
          <w:sz w:val="24"/>
          <w:szCs w:val="24"/>
        </w:rPr>
        <w:t xml:space="preserve"> out the </w:t>
      </w:r>
      <w:proofErr w:type="gramStart"/>
      <w:r w:rsidRPr="449EEBED">
        <w:rPr>
          <w:rFonts w:eastAsia="Calibri"/>
          <w:sz w:val="24"/>
          <w:szCs w:val="24"/>
        </w:rPr>
        <w:t>different ways</w:t>
      </w:r>
      <w:proofErr w:type="gramEnd"/>
      <w:r w:rsidRPr="449EEBED">
        <w:rPr>
          <w:rFonts w:eastAsia="Calibri"/>
          <w:sz w:val="24"/>
          <w:szCs w:val="24"/>
        </w:rPr>
        <w:t xml:space="preserve"> students may be challenged and supported in mathematics classes with examples of </w:t>
      </w:r>
      <w:r w:rsidR="006C638B">
        <w:rPr>
          <w:rFonts w:eastAsia="Calibri"/>
          <w:sz w:val="24"/>
          <w:szCs w:val="24"/>
        </w:rPr>
        <w:t xml:space="preserve">how </w:t>
      </w:r>
      <w:r w:rsidRPr="449EEBED">
        <w:rPr>
          <w:rFonts w:eastAsia="Calibri"/>
          <w:sz w:val="24"/>
          <w:szCs w:val="24"/>
        </w:rPr>
        <w:t>districts and schools have enacted systems of grouping that support a wider range of students in accessing higher level content. If the goal is to open mathematics pathways to more students and give greater challenge to high achieving students to develop broader proficiency and long</w:t>
      </w:r>
      <w:r>
        <w:rPr>
          <w:rFonts w:eastAsia="Calibri"/>
          <w:sz w:val="24"/>
          <w:szCs w:val="24"/>
        </w:rPr>
        <w:t>-</w:t>
      </w:r>
      <w:r w:rsidRPr="449EEBED">
        <w:rPr>
          <w:rFonts w:eastAsia="Calibri"/>
          <w:sz w:val="24"/>
          <w:szCs w:val="24"/>
        </w:rPr>
        <w:t xml:space="preserve">term interest in quantitative fields, then </w:t>
      </w:r>
      <w:r>
        <w:rPr>
          <w:rFonts w:eastAsia="Calibri"/>
          <w:sz w:val="24"/>
          <w:szCs w:val="24"/>
        </w:rPr>
        <w:t>this framework</w:t>
      </w:r>
      <w:r w:rsidRPr="449EEBED">
        <w:rPr>
          <w:rFonts w:eastAsia="Calibri"/>
          <w:sz w:val="24"/>
          <w:szCs w:val="24"/>
        </w:rPr>
        <w:t xml:space="preserve"> recommend</w:t>
      </w:r>
      <w:r>
        <w:rPr>
          <w:rFonts w:eastAsia="Calibri"/>
          <w:sz w:val="24"/>
          <w:szCs w:val="24"/>
        </w:rPr>
        <w:t>s</w:t>
      </w:r>
      <w:r w:rsidRPr="449EEBED">
        <w:rPr>
          <w:rFonts w:eastAsia="Calibri"/>
          <w:sz w:val="24"/>
          <w:szCs w:val="24"/>
        </w:rPr>
        <w:t xml:space="preserve"> reshaping the content that </w:t>
      </w:r>
      <w:proofErr w:type="gramStart"/>
      <w:r w:rsidRPr="449EEBED">
        <w:rPr>
          <w:rFonts w:eastAsia="Calibri"/>
          <w:sz w:val="24"/>
          <w:szCs w:val="24"/>
        </w:rPr>
        <w:t>is offered</w:t>
      </w:r>
      <w:proofErr w:type="gramEnd"/>
      <w:r w:rsidRPr="449EEBED">
        <w:rPr>
          <w:rFonts w:eastAsia="Calibri"/>
          <w:sz w:val="24"/>
          <w:szCs w:val="24"/>
        </w:rPr>
        <w:t xml:space="preserve"> to students</w:t>
      </w:r>
      <w:r>
        <w:rPr>
          <w:rFonts w:eastAsia="Calibri"/>
          <w:sz w:val="24"/>
          <w:szCs w:val="24"/>
        </w:rPr>
        <w:t>—</w:t>
      </w:r>
      <w:r w:rsidRPr="449EEBED">
        <w:rPr>
          <w:rFonts w:eastAsia="Calibri"/>
          <w:sz w:val="24"/>
          <w:szCs w:val="24"/>
        </w:rPr>
        <w:t>the way it is taught, and the organization of students learning the content</w:t>
      </w:r>
      <w:r>
        <w:rPr>
          <w:rFonts w:eastAsia="Calibri"/>
          <w:sz w:val="24"/>
          <w:szCs w:val="24"/>
        </w:rPr>
        <w:t>—</w:t>
      </w:r>
      <w:r w:rsidRPr="449EEBED">
        <w:rPr>
          <w:rFonts w:eastAsia="Calibri"/>
          <w:sz w:val="24"/>
          <w:szCs w:val="24"/>
        </w:rPr>
        <w:t>in the following ways.</w:t>
      </w:r>
    </w:p>
    <w:p w14:paraId="1FF41914" w14:textId="0BC9C45E" w:rsidR="00866ECA" w:rsidRDefault="11D2D7BC" w:rsidP="00866ECA">
      <w:pPr>
        <w:pStyle w:val="Heading2"/>
      </w:pPr>
      <w:bookmarkStart w:id="7" w:name="_Toc96929902"/>
      <w:bookmarkStart w:id="8" w:name="_Toc135813004"/>
      <w:bookmarkStart w:id="9" w:name="_Toc96929900"/>
      <w:r w:rsidRPr="007B24E1">
        <w:t>Replac</w:t>
      </w:r>
      <w:r w:rsidR="00A429B4" w:rsidRPr="007B24E1">
        <w:t>ing</w:t>
      </w:r>
      <w:r w:rsidRPr="007B24E1">
        <w:t xml:space="preserve"> </w:t>
      </w:r>
      <w:r w:rsidR="00A429B4" w:rsidRPr="007B24E1">
        <w:t>Early</w:t>
      </w:r>
      <w:r w:rsidR="00B806E0" w:rsidRPr="007B24E1">
        <w:t xml:space="preserve"> </w:t>
      </w:r>
      <w:r w:rsidRPr="007B24E1">
        <w:t xml:space="preserve">Tracking with </w:t>
      </w:r>
      <w:r w:rsidR="00E9397F" w:rsidRPr="007B24E1">
        <w:t xml:space="preserve">Adaptive Teaching and </w:t>
      </w:r>
      <w:r w:rsidRPr="007B24E1">
        <w:t>Flexible Student Grouping</w:t>
      </w:r>
      <w:bookmarkEnd w:id="7"/>
      <w:bookmarkEnd w:id="8"/>
    </w:p>
    <w:p w14:paraId="47782D8C" w14:textId="1FD606C8" w:rsidR="001F1C44" w:rsidRPr="001F1C44" w:rsidRDefault="001F1C44" w:rsidP="006F30B6">
      <w:pPr>
        <w:spacing w:after="240" w:line="360" w:lineRule="auto"/>
      </w:pPr>
      <w:r>
        <w:rPr>
          <w:rFonts w:eastAsia="Calibri"/>
          <w:sz w:val="24"/>
          <w:szCs w:val="24"/>
        </w:rPr>
        <w:t>Grouping strategies can benefit students when they are a means of providing high-quality instruction that meets student needs and broaden</w:t>
      </w:r>
      <w:r w:rsidR="00845564">
        <w:rPr>
          <w:rFonts w:eastAsia="Calibri"/>
          <w:sz w:val="24"/>
          <w:szCs w:val="24"/>
        </w:rPr>
        <w:t>s</w:t>
      </w:r>
      <w:r>
        <w:rPr>
          <w:rFonts w:eastAsia="Calibri"/>
          <w:sz w:val="24"/>
          <w:szCs w:val="24"/>
        </w:rPr>
        <w:t xml:space="preserve"> opportunities for future learning. Such strategies sharply contrast with traditional early tracking, which prescribes the future and </w:t>
      </w:r>
      <w:proofErr w:type="gramStart"/>
      <w:r>
        <w:rPr>
          <w:rFonts w:eastAsia="Calibri"/>
          <w:sz w:val="24"/>
          <w:szCs w:val="24"/>
        </w:rPr>
        <w:t>closes down</w:t>
      </w:r>
      <w:proofErr w:type="gramEnd"/>
      <w:r>
        <w:rPr>
          <w:rFonts w:eastAsia="Calibri"/>
          <w:sz w:val="24"/>
          <w:szCs w:val="24"/>
        </w:rPr>
        <w:t xml:space="preserve"> subsequent opportunities.</w:t>
      </w:r>
    </w:p>
    <w:p w14:paraId="6CED8563" w14:textId="7D949410" w:rsidR="00B911A0" w:rsidRDefault="00866ECA" w:rsidP="00FF6253">
      <w:pPr>
        <w:spacing w:after="240" w:line="360" w:lineRule="auto"/>
        <w:rPr>
          <w:sz w:val="24"/>
          <w:szCs w:val="24"/>
        </w:rPr>
      </w:pPr>
      <w:r w:rsidRPr="007B24E1">
        <w:rPr>
          <w:sz w:val="24"/>
          <w:szCs w:val="24"/>
        </w:rPr>
        <w:t xml:space="preserve">US schools have a long history of placing students in “tracks” </w:t>
      </w:r>
      <w:r w:rsidR="00FF6253" w:rsidRPr="007B24E1">
        <w:rPr>
          <w:sz w:val="24"/>
          <w:szCs w:val="24"/>
        </w:rPr>
        <w:t>for</w:t>
      </w:r>
      <w:r w:rsidRPr="007B24E1">
        <w:rPr>
          <w:sz w:val="24"/>
          <w:szCs w:val="24"/>
        </w:rPr>
        <w:t xml:space="preserve"> math instruction</w:t>
      </w:r>
      <w:r w:rsidR="00FF6253" w:rsidRPr="007B24E1">
        <w:rPr>
          <w:sz w:val="24"/>
          <w:szCs w:val="24"/>
        </w:rPr>
        <w:t xml:space="preserve">. Tracking systems </w:t>
      </w:r>
      <w:proofErr w:type="gramStart"/>
      <w:r w:rsidR="00FF6253" w:rsidRPr="007B24E1">
        <w:rPr>
          <w:sz w:val="24"/>
          <w:szCs w:val="24"/>
        </w:rPr>
        <w:t>were designed</w:t>
      </w:r>
      <w:proofErr w:type="gramEnd"/>
      <w:r w:rsidR="00FF6253" w:rsidRPr="007B24E1">
        <w:rPr>
          <w:sz w:val="24"/>
          <w:szCs w:val="24"/>
        </w:rPr>
        <w:t xml:space="preserve"> in the early </w:t>
      </w:r>
      <w:r w:rsidR="00315C59">
        <w:rPr>
          <w:sz w:val="24"/>
          <w:szCs w:val="24"/>
        </w:rPr>
        <w:t>twentieth</w:t>
      </w:r>
      <w:r w:rsidR="00FF6253" w:rsidRPr="007B24E1">
        <w:rPr>
          <w:sz w:val="24"/>
          <w:szCs w:val="24"/>
        </w:rPr>
        <w:t xml:space="preserve"> century to place students on pathways</w:t>
      </w:r>
      <w:r w:rsidR="00845564" w:rsidRPr="007B24E1">
        <w:rPr>
          <w:sz w:val="24"/>
          <w:szCs w:val="24"/>
        </w:rPr>
        <w:t xml:space="preserve"> through school</w:t>
      </w:r>
      <w:r w:rsidR="00806E71" w:rsidRPr="007B24E1">
        <w:rPr>
          <w:sz w:val="24"/>
          <w:szCs w:val="24"/>
        </w:rPr>
        <w:t>.</w:t>
      </w:r>
      <w:r w:rsidR="00FF6253" w:rsidRPr="007B24E1">
        <w:rPr>
          <w:sz w:val="24"/>
          <w:szCs w:val="24"/>
        </w:rPr>
        <w:t xml:space="preserve"> As with</w:t>
      </w:r>
      <w:r w:rsidR="00FF6253">
        <w:rPr>
          <w:sz w:val="24"/>
          <w:szCs w:val="24"/>
        </w:rPr>
        <w:t xml:space="preserve"> train</w:t>
      </w:r>
      <w:r w:rsidR="00806E71">
        <w:rPr>
          <w:sz w:val="24"/>
          <w:szCs w:val="24"/>
        </w:rPr>
        <w:t>s on</w:t>
      </w:r>
      <w:r w:rsidR="007B63FC">
        <w:rPr>
          <w:sz w:val="24"/>
          <w:szCs w:val="24"/>
        </w:rPr>
        <w:t xml:space="preserve"> track</w:t>
      </w:r>
      <w:r w:rsidR="00FF6253">
        <w:rPr>
          <w:sz w:val="24"/>
          <w:szCs w:val="24"/>
        </w:rPr>
        <w:t xml:space="preserve">s, student </w:t>
      </w:r>
      <w:r w:rsidR="007B63FC">
        <w:rPr>
          <w:sz w:val="24"/>
          <w:szCs w:val="24"/>
        </w:rPr>
        <w:t>pathways</w:t>
      </w:r>
      <w:r w:rsidR="00FF6253">
        <w:rPr>
          <w:sz w:val="24"/>
          <w:szCs w:val="24"/>
        </w:rPr>
        <w:t xml:space="preserve"> led to different, predetermined </w:t>
      </w:r>
      <w:r w:rsidR="007B63FC">
        <w:rPr>
          <w:sz w:val="24"/>
          <w:szCs w:val="24"/>
        </w:rPr>
        <w:t>journeys</w:t>
      </w:r>
      <w:r w:rsidR="00E9397F">
        <w:rPr>
          <w:sz w:val="24"/>
          <w:szCs w:val="24"/>
        </w:rPr>
        <w:t xml:space="preserve"> and destinations</w:t>
      </w:r>
      <w:r w:rsidR="00806E71">
        <w:rPr>
          <w:sz w:val="24"/>
          <w:szCs w:val="24"/>
        </w:rPr>
        <w:t>, in this case</w:t>
      </w:r>
      <w:r w:rsidR="007B63FC">
        <w:rPr>
          <w:sz w:val="24"/>
          <w:szCs w:val="24"/>
        </w:rPr>
        <w:t xml:space="preserve"> through </w:t>
      </w:r>
      <w:r w:rsidR="00FF6253">
        <w:rPr>
          <w:sz w:val="24"/>
          <w:szCs w:val="24"/>
        </w:rPr>
        <w:t xml:space="preserve">subsequent </w:t>
      </w:r>
      <w:r>
        <w:rPr>
          <w:sz w:val="24"/>
          <w:szCs w:val="24"/>
        </w:rPr>
        <w:t>years of education</w:t>
      </w:r>
      <w:r w:rsidR="00806E71">
        <w:rPr>
          <w:sz w:val="24"/>
          <w:szCs w:val="24"/>
        </w:rPr>
        <w:t>.</w:t>
      </w:r>
    </w:p>
    <w:p w14:paraId="531D1300" w14:textId="5900B607" w:rsidR="00124306" w:rsidRDefault="00B911A0" w:rsidP="00866ECA">
      <w:pPr>
        <w:spacing w:after="240" w:line="360" w:lineRule="auto"/>
        <w:rPr>
          <w:sz w:val="24"/>
          <w:szCs w:val="24"/>
        </w:rPr>
      </w:pPr>
      <w:r>
        <w:rPr>
          <w:rFonts w:eastAsia="Calibri"/>
          <w:sz w:val="24"/>
          <w:szCs w:val="24"/>
          <w:highlight w:val="white"/>
        </w:rPr>
        <w:t>A</w:t>
      </w:r>
      <w:r w:rsidR="00866ECA" w:rsidRPr="7BEA48BE">
        <w:rPr>
          <w:rFonts w:eastAsia="Calibri"/>
          <w:sz w:val="24"/>
          <w:szCs w:val="24"/>
          <w:highlight w:val="white"/>
        </w:rPr>
        <w:t xml:space="preserve">pproximately three quarters of US grade eight students </w:t>
      </w:r>
      <w:proofErr w:type="gramStart"/>
      <w:r w:rsidR="00866ECA" w:rsidRPr="7BEA48BE">
        <w:rPr>
          <w:rFonts w:eastAsia="Calibri"/>
          <w:sz w:val="24"/>
          <w:szCs w:val="24"/>
          <w:highlight w:val="white"/>
        </w:rPr>
        <w:t>are tracked</w:t>
      </w:r>
      <w:proofErr w:type="gramEnd"/>
      <w:r w:rsidR="00866ECA">
        <w:rPr>
          <w:rFonts w:eastAsia="Calibri"/>
          <w:sz w:val="24"/>
          <w:szCs w:val="24"/>
          <w:highlight w:val="white"/>
        </w:rPr>
        <w:t xml:space="preserve"> </w:t>
      </w:r>
      <w:r w:rsidR="00866ECA" w:rsidRPr="7BEA48BE">
        <w:rPr>
          <w:rFonts w:eastAsia="Calibri"/>
          <w:sz w:val="24"/>
          <w:szCs w:val="24"/>
          <w:highlight w:val="white"/>
        </w:rPr>
        <w:t>in mathematics, a proportion that has not changed in many years</w:t>
      </w:r>
      <w:r w:rsidR="005F0AD5">
        <w:rPr>
          <w:rFonts w:eastAsia="Calibri"/>
          <w:sz w:val="24"/>
          <w:szCs w:val="24"/>
          <w:highlight w:val="white"/>
        </w:rPr>
        <w:t xml:space="preserve"> </w:t>
      </w:r>
      <w:r w:rsidR="00866ECA" w:rsidRPr="7BEA48BE">
        <w:rPr>
          <w:rFonts w:eastAsia="Calibri"/>
          <w:sz w:val="24"/>
          <w:szCs w:val="24"/>
          <w:highlight w:val="white"/>
        </w:rPr>
        <w:t>(</w:t>
      </w:r>
      <w:r w:rsidR="00B806E0">
        <w:rPr>
          <w:rFonts w:eastAsia="Calibri"/>
          <w:sz w:val="24"/>
          <w:szCs w:val="24"/>
          <w:highlight w:val="white"/>
        </w:rPr>
        <w:t xml:space="preserve">Antonovics et al., 2022; </w:t>
      </w:r>
      <w:r w:rsidR="00866ECA" w:rsidRPr="7BEA48BE">
        <w:rPr>
          <w:rFonts w:eastAsia="Calibri"/>
          <w:sz w:val="24"/>
          <w:szCs w:val="24"/>
          <w:highlight w:val="white"/>
        </w:rPr>
        <w:t xml:space="preserve">Loveless, </w:t>
      </w:r>
      <w:r w:rsidR="00B806E0" w:rsidRPr="7BEA48BE">
        <w:rPr>
          <w:rFonts w:eastAsia="Calibri"/>
          <w:sz w:val="24"/>
          <w:szCs w:val="24"/>
          <w:highlight w:val="white"/>
        </w:rPr>
        <w:t>20</w:t>
      </w:r>
      <w:r w:rsidR="00B806E0">
        <w:rPr>
          <w:rFonts w:eastAsia="Calibri"/>
          <w:sz w:val="24"/>
          <w:szCs w:val="24"/>
        </w:rPr>
        <w:t>21</w:t>
      </w:r>
      <w:r w:rsidR="00866ECA" w:rsidRPr="7BEA48BE">
        <w:rPr>
          <w:rFonts w:eastAsia="Calibri"/>
          <w:sz w:val="24"/>
          <w:szCs w:val="24"/>
          <w:highlight w:val="white"/>
        </w:rPr>
        <w:t>)</w:t>
      </w:r>
      <w:r w:rsidR="00866ECA">
        <w:rPr>
          <w:rFonts w:eastAsia="Calibri"/>
          <w:sz w:val="24"/>
          <w:szCs w:val="24"/>
        </w:rPr>
        <w:t xml:space="preserve">. </w:t>
      </w:r>
      <w:r w:rsidR="00866ECA">
        <w:rPr>
          <w:rFonts w:eastAsia="Calibri"/>
          <w:sz w:val="24"/>
          <w:szCs w:val="24"/>
          <w:highlight w:val="white"/>
        </w:rPr>
        <w:t xml:space="preserve">For </w:t>
      </w:r>
      <w:proofErr w:type="gramStart"/>
      <w:r w:rsidR="00866ECA">
        <w:rPr>
          <w:rFonts w:eastAsia="Calibri"/>
          <w:sz w:val="24"/>
          <w:szCs w:val="24"/>
          <w:highlight w:val="white"/>
        </w:rPr>
        <w:t>many</w:t>
      </w:r>
      <w:proofErr w:type="gramEnd"/>
      <w:r w:rsidR="00866ECA">
        <w:rPr>
          <w:rFonts w:eastAsia="Calibri"/>
          <w:sz w:val="24"/>
          <w:szCs w:val="24"/>
          <w:highlight w:val="white"/>
        </w:rPr>
        <w:t>, this tracking begins in the early years of elementary school</w:t>
      </w:r>
      <w:r w:rsidR="00296E37">
        <w:rPr>
          <w:rFonts w:eastAsia="Calibri"/>
          <w:sz w:val="24"/>
          <w:szCs w:val="24"/>
          <w:highlight w:val="white"/>
        </w:rPr>
        <w:t>—</w:t>
      </w:r>
      <w:r w:rsidR="00927E98">
        <w:rPr>
          <w:rFonts w:eastAsia="Calibri"/>
          <w:sz w:val="24"/>
          <w:szCs w:val="24"/>
          <w:highlight w:val="white"/>
        </w:rPr>
        <w:t xml:space="preserve">often around </w:t>
      </w:r>
      <w:r w:rsidR="00315C59">
        <w:rPr>
          <w:rFonts w:eastAsia="Calibri"/>
          <w:sz w:val="24"/>
          <w:szCs w:val="24"/>
          <w:highlight w:val="white"/>
        </w:rPr>
        <w:t xml:space="preserve">third </w:t>
      </w:r>
      <w:r w:rsidR="00927E98">
        <w:rPr>
          <w:rFonts w:eastAsia="Calibri"/>
          <w:sz w:val="24"/>
          <w:szCs w:val="24"/>
          <w:highlight w:val="white"/>
        </w:rPr>
        <w:t>grade</w:t>
      </w:r>
      <w:r w:rsidR="00296E37">
        <w:rPr>
          <w:rFonts w:eastAsia="Calibri"/>
          <w:sz w:val="24"/>
          <w:szCs w:val="24"/>
          <w:highlight w:val="white"/>
        </w:rPr>
        <w:t>—</w:t>
      </w:r>
      <w:r w:rsidR="00866ECA" w:rsidRPr="001D38B4">
        <w:rPr>
          <w:rFonts w:eastAsia="Calibri"/>
          <w:sz w:val="24"/>
          <w:szCs w:val="24"/>
        </w:rPr>
        <w:t>or at the beginning of middle school in fifth or sixth grade</w:t>
      </w:r>
      <w:r w:rsidR="00DC7BB2" w:rsidRPr="001D38B4">
        <w:rPr>
          <w:rFonts w:eastAsia="Calibri"/>
          <w:sz w:val="24"/>
          <w:szCs w:val="24"/>
        </w:rPr>
        <w:t xml:space="preserve">. </w:t>
      </w:r>
      <w:r w:rsidR="00DC7BB2" w:rsidRPr="00061B2E">
        <w:rPr>
          <w:rFonts w:eastAsia="Calibri"/>
          <w:sz w:val="24"/>
          <w:szCs w:val="24"/>
        </w:rPr>
        <w:t>Schools</w:t>
      </w:r>
      <w:r w:rsidR="00296E37" w:rsidRPr="00061B2E">
        <w:rPr>
          <w:sz w:val="24"/>
          <w:szCs w:val="24"/>
        </w:rPr>
        <w:t xml:space="preserve"> </w:t>
      </w:r>
      <w:r w:rsidR="00296E37" w:rsidRPr="00061B2E">
        <w:rPr>
          <w:sz w:val="24"/>
          <w:szCs w:val="24"/>
        </w:rPr>
        <w:lastRenderedPageBreak/>
        <w:t>sometimes us</w:t>
      </w:r>
      <w:r w:rsidR="00DC7BB2" w:rsidRPr="00061B2E">
        <w:rPr>
          <w:sz w:val="24"/>
          <w:szCs w:val="24"/>
        </w:rPr>
        <w:t>e</w:t>
      </w:r>
      <w:r w:rsidR="00210815" w:rsidRPr="00061B2E">
        <w:rPr>
          <w:sz w:val="24"/>
          <w:szCs w:val="24"/>
        </w:rPr>
        <w:t xml:space="preserve"> elementary school test data</w:t>
      </w:r>
      <w:r w:rsidR="00866ECA" w:rsidRPr="00061B2E">
        <w:rPr>
          <w:sz w:val="24"/>
          <w:szCs w:val="24"/>
        </w:rPr>
        <w:t xml:space="preserve"> to determine student</w:t>
      </w:r>
      <w:r w:rsidR="00DC7BB2" w:rsidRPr="00061B2E">
        <w:rPr>
          <w:sz w:val="24"/>
          <w:szCs w:val="24"/>
        </w:rPr>
        <w:t>s’</w:t>
      </w:r>
      <w:r w:rsidR="00866ECA" w:rsidRPr="00061B2E">
        <w:rPr>
          <w:sz w:val="24"/>
          <w:szCs w:val="24"/>
        </w:rPr>
        <w:t xml:space="preserve"> placemen</w:t>
      </w:r>
      <w:r w:rsidR="00866ECA" w:rsidRPr="00DC7BB2">
        <w:rPr>
          <w:sz w:val="24"/>
          <w:szCs w:val="24"/>
        </w:rPr>
        <w:t>t</w:t>
      </w:r>
      <w:r w:rsidR="00210815" w:rsidRPr="00DC7BB2">
        <w:rPr>
          <w:sz w:val="24"/>
          <w:szCs w:val="24"/>
        </w:rPr>
        <w:t xml:space="preserve">, which typically also determines their </w:t>
      </w:r>
      <w:r w:rsidR="00210815" w:rsidRPr="001D38B4">
        <w:rPr>
          <w:sz w:val="24"/>
          <w:szCs w:val="24"/>
        </w:rPr>
        <w:t>ultimate</w:t>
      </w:r>
      <w:r w:rsidR="00210815" w:rsidRPr="00DC7BB2">
        <w:rPr>
          <w:sz w:val="24"/>
          <w:szCs w:val="24"/>
        </w:rPr>
        <w:t xml:space="preserve"> destination</w:t>
      </w:r>
      <w:r w:rsidR="00866ECA" w:rsidRPr="002B3FC9">
        <w:rPr>
          <w:sz w:val="24"/>
          <w:szCs w:val="24"/>
        </w:rPr>
        <w:t>.</w:t>
      </w:r>
      <w:r w:rsidR="00866ECA">
        <w:rPr>
          <w:sz w:val="24"/>
          <w:szCs w:val="24"/>
        </w:rPr>
        <w:t xml:space="preserve"> </w:t>
      </w:r>
      <w:r w:rsidR="00296E37">
        <w:rPr>
          <w:sz w:val="24"/>
          <w:szCs w:val="24"/>
        </w:rPr>
        <w:t>Because</w:t>
      </w:r>
      <w:r w:rsidR="00927E98">
        <w:rPr>
          <w:sz w:val="24"/>
          <w:szCs w:val="24"/>
        </w:rPr>
        <w:t xml:space="preserve"> students</w:t>
      </w:r>
      <w:r w:rsidR="001E5621">
        <w:rPr>
          <w:sz w:val="24"/>
          <w:szCs w:val="24"/>
        </w:rPr>
        <w:t xml:space="preserve"> </w:t>
      </w:r>
      <w:proofErr w:type="gramStart"/>
      <w:r w:rsidR="001E5621">
        <w:rPr>
          <w:sz w:val="24"/>
          <w:szCs w:val="24"/>
        </w:rPr>
        <w:t>are then taught</w:t>
      </w:r>
      <w:proofErr w:type="gramEnd"/>
      <w:r w:rsidR="001E5621">
        <w:rPr>
          <w:sz w:val="24"/>
          <w:szCs w:val="24"/>
        </w:rPr>
        <w:t xml:space="preserve"> different content, they often</w:t>
      </w:r>
      <w:r w:rsidR="00927E98">
        <w:rPr>
          <w:sz w:val="24"/>
          <w:szCs w:val="24"/>
        </w:rPr>
        <w:t xml:space="preserve"> cannot easily change pathways</w:t>
      </w:r>
      <w:r w:rsidR="001E5621">
        <w:rPr>
          <w:sz w:val="24"/>
          <w:szCs w:val="24"/>
        </w:rPr>
        <w:t xml:space="preserve">. This practice is unjustifiable. </w:t>
      </w:r>
      <w:r w:rsidR="00124306">
        <w:rPr>
          <w:sz w:val="24"/>
          <w:szCs w:val="24"/>
        </w:rPr>
        <w:t>E</w:t>
      </w:r>
      <w:r w:rsidR="00124306" w:rsidRPr="00A423CF">
        <w:rPr>
          <w:sz w:val="24"/>
          <w:szCs w:val="24"/>
        </w:rPr>
        <w:t>ducators cannot predict what a student can do in their later</w:t>
      </w:r>
      <w:r w:rsidR="00806E71">
        <w:rPr>
          <w:sz w:val="24"/>
          <w:szCs w:val="24"/>
        </w:rPr>
        <w:t xml:space="preserve"> school </w:t>
      </w:r>
      <w:r w:rsidR="00124306" w:rsidRPr="00A423CF">
        <w:rPr>
          <w:sz w:val="24"/>
          <w:szCs w:val="24"/>
        </w:rPr>
        <w:t>years based on their</w:t>
      </w:r>
      <w:r w:rsidR="00124306">
        <w:rPr>
          <w:sz w:val="24"/>
          <w:szCs w:val="24"/>
        </w:rPr>
        <w:t xml:space="preserve"> </w:t>
      </w:r>
      <w:r w:rsidR="00124306" w:rsidRPr="00A423CF">
        <w:rPr>
          <w:sz w:val="24"/>
          <w:szCs w:val="24"/>
        </w:rPr>
        <w:t>proficiencies</w:t>
      </w:r>
      <w:r w:rsidR="00124306">
        <w:rPr>
          <w:sz w:val="24"/>
          <w:szCs w:val="24"/>
        </w:rPr>
        <w:t xml:space="preserve"> </w:t>
      </w:r>
      <w:r w:rsidR="00806E71">
        <w:rPr>
          <w:sz w:val="24"/>
          <w:szCs w:val="24"/>
        </w:rPr>
        <w:t>at the</w:t>
      </w:r>
      <w:r w:rsidR="00124306">
        <w:rPr>
          <w:sz w:val="24"/>
          <w:szCs w:val="24"/>
        </w:rPr>
        <w:t xml:space="preserve"> </w:t>
      </w:r>
      <w:r w:rsidR="00124306" w:rsidRPr="00A423CF">
        <w:rPr>
          <w:sz w:val="24"/>
          <w:szCs w:val="24"/>
        </w:rPr>
        <w:t xml:space="preserve">elementary </w:t>
      </w:r>
      <w:r w:rsidR="00806E71">
        <w:rPr>
          <w:sz w:val="24"/>
          <w:szCs w:val="24"/>
        </w:rPr>
        <w:t>level</w:t>
      </w:r>
      <w:r w:rsidR="00210815">
        <w:rPr>
          <w:sz w:val="24"/>
          <w:szCs w:val="24"/>
        </w:rPr>
        <w:t xml:space="preserve"> </w:t>
      </w:r>
      <w:r w:rsidR="00210815" w:rsidRPr="00DC7BB2">
        <w:rPr>
          <w:sz w:val="24"/>
          <w:szCs w:val="24"/>
        </w:rPr>
        <w:t>in mathematics or their English language facility at that time</w:t>
      </w:r>
      <w:r w:rsidR="00124306" w:rsidRPr="00DC7BB2">
        <w:rPr>
          <w:sz w:val="24"/>
          <w:szCs w:val="24"/>
        </w:rPr>
        <w:t xml:space="preserve">. </w:t>
      </w:r>
      <w:r w:rsidR="00124306">
        <w:rPr>
          <w:sz w:val="24"/>
          <w:szCs w:val="24"/>
        </w:rPr>
        <w:t xml:space="preserve">Yet tracking is pervasive, </w:t>
      </w:r>
      <w:r w:rsidR="001E5621">
        <w:rPr>
          <w:sz w:val="24"/>
          <w:szCs w:val="24"/>
        </w:rPr>
        <w:t>unnecessari</w:t>
      </w:r>
      <w:r w:rsidR="00124306">
        <w:rPr>
          <w:sz w:val="24"/>
          <w:szCs w:val="24"/>
        </w:rPr>
        <w:t>l</w:t>
      </w:r>
      <w:r w:rsidR="001E5621">
        <w:rPr>
          <w:sz w:val="24"/>
          <w:szCs w:val="24"/>
        </w:rPr>
        <w:t>y limit</w:t>
      </w:r>
      <w:r w:rsidR="00124306">
        <w:rPr>
          <w:sz w:val="24"/>
          <w:szCs w:val="24"/>
        </w:rPr>
        <w:t>ing</w:t>
      </w:r>
      <w:r w:rsidR="00927E98">
        <w:rPr>
          <w:sz w:val="24"/>
          <w:szCs w:val="24"/>
        </w:rPr>
        <w:t xml:space="preserve"> </w:t>
      </w:r>
      <w:proofErr w:type="gramStart"/>
      <w:r w:rsidR="00124306">
        <w:rPr>
          <w:sz w:val="24"/>
          <w:szCs w:val="24"/>
        </w:rPr>
        <w:t>many</w:t>
      </w:r>
      <w:proofErr w:type="gramEnd"/>
      <w:r w:rsidR="00124306">
        <w:rPr>
          <w:sz w:val="24"/>
          <w:szCs w:val="24"/>
        </w:rPr>
        <w:t xml:space="preserve"> </w:t>
      </w:r>
      <w:r w:rsidR="001E5621">
        <w:rPr>
          <w:sz w:val="24"/>
          <w:szCs w:val="24"/>
        </w:rPr>
        <w:t>students’</w:t>
      </w:r>
      <w:r w:rsidR="00927E98">
        <w:rPr>
          <w:sz w:val="24"/>
          <w:szCs w:val="24"/>
        </w:rPr>
        <w:t xml:space="preserve"> future options.</w:t>
      </w:r>
    </w:p>
    <w:p w14:paraId="57A131B5" w14:textId="3DF8FF44" w:rsidR="00975658" w:rsidRDefault="00DF4A75" w:rsidP="731AE8DD">
      <w:pPr>
        <w:spacing w:after="240" w:line="360" w:lineRule="auto"/>
        <w:rPr>
          <w:rFonts w:eastAsia="Calibri"/>
          <w:sz w:val="24"/>
          <w:szCs w:val="24"/>
        </w:rPr>
      </w:pPr>
      <w:r w:rsidRPr="007B24E1">
        <w:rPr>
          <w:rFonts w:eastAsia="Calibri"/>
          <w:sz w:val="24"/>
          <w:szCs w:val="24"/>
        </w:rPr>
        <w:t>Various definitions of tracking exist in practical usage, and the term “tracking” is sometimes confused with grouping</w:t>
      </w:r>
      <w:r w:rsidR="00C520E2" w:rsidRPr="007B24E1">
        <w:rPr>
          <w:rFonts w:eastAsia="Calibri"/>
          <w:sz w:val="24"/>
          <w:szCs w:val="24"/>
        </w:rPr>
        <w:t>, which</w:t>
      </w:r>
      <w:r w:rsidRPr="007B24E1">
        <w:rPr>
          <w:rFonts w:eastAsia="Calibri"/>
          <w:sz w:val="24"/>
          <w:szCs w:val="24"/>
        </w:rPr>
        <w:t xml:space="preserve"> allows students to receive focused instruction that meets their immediate needs at a moment </w:t>
      </w:r>
      <w:r w:rsidR="00B96B6F" w:rsidRPr="007B24E1">
        <w:rPr>
          <w:rFonts w:eastAsia="Calibri"/>
          <w:sz w:val="24"/>
          <w:szCs w:val="24"/>
        </w:rPr>
        <w:t>in</w:t>
      </w:r>
      <w:r w:rsidRPr="007B24E1">
        <w:rPr>
          <w:rFonts w:eastAsia="Calibri"/>
          <w:sz w:val="24"/>
          <w:szCs w:val="24"/>
        </w:rPr>
        <w:t xml:space="preserve"> time, rather than set</w:t>
      </w:r>
      <w:r w:rsidR="00B96B6F" w:rsidRPr="007B24E1">
        <w:rPr>
          <w:rFonts w:eastAsia="Calibri"/>
          <w:sz w:val="24"/>
          <w:szCs w:val="24"/>
        </w:rPr>
        <w:t>ting</w:t>
      </w:r>
      <w:r w:rsidRPr="007B24E1">
        <w:rPr>
          <w:rFonts w:eastAsia="Calibri"/>
          <w:sz w:val="24"/>
          <w:szCs w:val="24"/>
        </w:rPr>
        <w:t xml:space="preserve"> them on a fixed long-term course </w:t>
      </w:r>
      <w:r w:rsidR="009840C1" w:rsidRPr="007B24E1">
        <w:rPr>
          <w:rFonts w:eastAsia="Calibri"/>
          <w:sz w:val="24"/>
          <w:szCs w:val="24"/>
        </w:rPr>
        <w:t xml:space="preserve">(Antonovics et al., 2022; Betts, Zau, </w:t>
      </w:r>
      <w:r w:rsidR="00315C59">
        <w:rPr>
          <w:rFonts w:eastAsia="Calibri"/>
          <w:sz w:val="24"/>
          <w:szCs w:val="24"/>
        </w:rPr>
        <w:t>and</w:t>
      </w:r>
      <w:r w:rsidR="009840C1" w:rsidRPr="007B24E1">
        <w:rPr>
          <w:rFonts w:eastAsia="Calibri"/>
          <w:sz w:val="24"/>
          <w:szCs w:val="24"/>
        </w:rPr>
        <w:t xml:space="preserve"> Rice, 2003; Collins </w:t>
      </w:r>
      <w:r w:rsidR="00315C59">
        <w:rPr>
          <w:rFonts w:eastAsia="Calibri"/>
          <w:sz w:val="24"/>
          <w:szCs w:val="24"/>
        </w:rPr>
        <w:t>and</w:t>
      </w:r>
      <w:r w:rsidR="009840C1" w:rsidRPr="007B24E1">
        <w:rPr>
          <w:rFonts w:eastAsia="Calibri"/>
          <w:sz w:val="24"/>
          <w:szCs w:val="24"/>
        </w:rPr>
        <w:t xml:space="preserve"> Gan, 2013)</w:t>
      </w:r>
      <w:r w:rsidR="00720552" w:rsidRPr="007B24E1">
        <w:rPr>
          <w:rFonts w:eastAsia="Calibri"/>
          <w:sz w:val="24"/>
          <w:szCs w:val="24"/>
        </w:rPr>
        <w:t xml:space="preserve">, </w:t>
      </w:r>
      <w:r w:rsidRPr="007B24E1">
        <w:rPr>
          <w:rFonts w:eastAsia="Calibri"/>
          <w:sz w:val="24"/>
          <w:szCs w:val="24"/>
        </w:rPr>
        <w:t xml:space="preserve">However, </w:t>
      </w:r>
      <w:r w:rsidR="00975658" w:rsidRPr="007B24E1">
        <w:rPr>
          <w:rFonts w:eastAsia="Calibri"/>
          <w:sz w:val="24"/>
          <w:szCs w:val="24"/>
        </w:rPr>
        <w:t>s</w:t>
      </w:r>
      <w:r w:rsidR="731AE8DD" w:rsidRPr="007B24E1">
        <w:rPr>
          <w:rFonts w:eastAsia="Calibri"/>
          <w:sz w:val="24"/>
          <w:szCs w:val="24"/>
        </w:rPr>
        <w:t xml:space="preserve">tudents of color, recent immigrants, and those from low-income families </w:t>
      </w:r>
      <w:r w:rsidR="00C520E2" w:rsidRPr="007B24E1">
        <w:rPr>
          <w:rFonts w:eastAsia="Calibri"/>
          <w:sz w:val="24"/>
          <w:szCs w:val="24"/>
        </w:rPr>
        <w:t xml:space="preserve">have often been </w:t>
      </w:r>
      <w:r w:rsidR="731AE8DD" w:rsidRPr="007B24E1">
        <w:rPr>
          <w:rFonts w:eastAsia="Calibri"/>
          <w:sz w:val="24"/>
          <w:szCs w:val="24"/>
        </w:rPr>
        <w:t xml:space="preserve"> “tracked down” into less challenging, rote-oriented coursework</w:t>
      </w:r>
      <w:r w:rsidR="00975658" w:rsidRPr="007B24E1">
        <w:rPr>
          <w:rFonts w:eastAsia="Calibri"/>
          <w:sz w:val="24"/>
          <w:szCs w:val="24"/>
        </w:rPr>
        <w:t>. Such coursework</w:t>
      </w:r>
      <w:r w:rsidR="731AE8DD" w:rsidRPr="007B24E1">
        <w:rPr>
          <w:rFonts w:eastAsia="Calibri"/>
          <w:sz w:val="24"/>
          <w:szCs w:val="24"/>
        </w:rPr>
        <w:t xml:space="preserve"> is also generally less well-taught, in large part because these classes </w:t>
      </w:r>
      <w:proofErr w:type="gramStart"/>
      <w:r w:rsidR="731AE8DD" w:rsidRPr="007B24E1">
        <w:rPr>
          <w:rFonts w:eastAsia="Calibri"/>
          <w:sz w:val="24"/>
          <w:szCs w:val="24"/>
        </w:rPr>
        <w:t>are often assigned</w:t>
      </w:r>
      <w:proofErr w:type="gramEnd"/>
      <w:r w:rsidR="731AE8DD" w:rsidRPr="007B24E1">
        <w:rPr>
          <w:rFonts w:eastAsia="Calibri"/>
          <w:sz w:val="24"/>
          <w:szCs w:val="24"/>
        </w:rPr>
        <w:t xml:space="preserve"> to the least experienced and least expert teachers</w:t>
      </w:r>
      <w:r w:rsidR="00C520E2" w:rsidRPr="007B24E1">
        <w:rPr>
          <w:rFonts w:eastAsia="Calibri"/>
          <w:sz w:val="24"/>
          <w:szCs w:val="24"/>
        </w:rPr>
        <w:t>,</w:t>
      </w:r>
      <w:r w:rsidRPr="007B24E1">
        <w:rPr>
          <w:rFonts w:eastAsia="Calibri"/>
          <w:sz w:val="24"/>
          <w:szCs w:val="24"/>
        </w:rPr>
        <w:t xml:space="preserve"> </w:t>
      </w:r>
      <w:r w:rsidR="00E9397F" w:rsidRPr="007B24E1">
        <w:rPr>
          <w:rFonts w:eastAsia="Calibri"/>
          <w:sz w:val="24"/>
          <w:szCs w:val="24"/>
        </w:rPr>
        <w:t>which further</w:t>
      </w:r>
      <w:r w:rsidRPr="007B24E1">
        <w:rPr>
          <w:rFonts w:eastAsia="Calibri"/>
          <w:sz w:val="24"/>
          <w:szCs w:val="24"/>
        </w:rPr>
        <w:t xml:space="preserve"> restricts later opportunities</w:t>
      </w:r>
      <w:r w:rsidR="009840C1" w:rsidRPr="007B24E1">
        <w:rPr>
          <w:rFonts w:eastAsia="Calibri"/>
          <w:sz w:val="24"/>
          <w:szCs w:val="24"/>
        </w:rPr>
        <w:t xml:space="preserve"> (Bacher</w:t>
      </w:r>
      <w:r w:rsidR="009840C1" w:rsidRPr="00061B2E">
        <w:rPr>
          <w:rFonts w:eastAsia="Calibri"/>
          <w:sz w:val="24"/>
          <w:szCs w:val="24"/>
        </w:rPr>
        <w:t>-Hicks</w:t>
      </w:r>
      <w:r w:rsidR="009840C1" w:rsidRPr="001D38B4">
        <w:rPr>
          <w:rFonts w:eastAsia="Calibri"/>
          <w:sz w:val="24"/>
          <w:szCs w:val="24"/>
        </w:rPr>
        <w:t xml:space="preserve"> </w:t>
      </w:r>
      <w:r w:rsidR="00315C59">
        <w:rPr>
          <w:rFonts w:eastAsia="Calibri"/>
          <w:sz w:val="24"/>
          <w:szCs w:val="24"/>
        </w:rPr>
        <w:t>and</w:t>
      </w:r>
      <w:r w:rsidR="009840C1" w:rsidRPr="001D38B4">
        <w:rPr>
          <w:rFonts w:eastAsia="Calibri"/>
          <w:sz w:val="24"/>
          <w:szCs w:val="24"/>
        </w:rPr>
        <w:t xml:space="preserve"> Avery, 2018; Reardon, 2019; Oakes, 2005)</w:t>
      </w:r>
      <w:r w:rsidR="731AE8DD" w:rsidRPr="001D38B4">
        <w:rPr>
          <w:rFonts w:eastAsia="Calibri"/>
          <w:sz w:val="24"/>
          <w:szCs w:val="24"/>
        </w:rPr>
        <w:t>.</w:t>
      </w:r>
    </w:p>
    <w:p w14:paraId="7205E1C5" w14:textId="2A2553AA" w:rsidR="00866ECA" w:rsidRDefault="731AE8DD" w:rsidP="00B96B6F">
      <w:pPr>
        <w:spacing w:after="240" w:line="360" w:lineRule="auto"/>
        <w:rPr>
          <w:rFonts w:eastAsia="Calibri"/>
          <w:sz w:val="24"/>
          <w:szCs w:val="24"/>
          <w:highlight w:val="white"/>
        </w:rPr>
      </w:pPr>
      <w:r w:rsidRPr="001D38B4">
        <w:rPr>
          <w:rFonts w:eastAsia="Calibri"/>
          <w:sz w:val="24"/>
          <w:szCs w:val="24"/>
        </w:rPr>
        <w:t xml:space="preserve">Tracking of this sort has been frequently critiqued </w:t>
      </w:r>
      <w:r w:rsidR="00FA2E72">
        <w:rPr>
          <w:rFonts w:eastAsia="Calibri"/>
          <w:sz w:val="24"/>
          <w:szCs w:val="24"/>
        </w:rPr>
        <w:t xml:space="preserve">not only </w:t>
      </w:r>
      <w:r w:rsidRPr="001D38B4">
        <w:rPr>
          <w:rFonts w:eastAsia="Calibri"/>
          <w:sz w:val="24"/>
          <w:szCs w:val="24"/>
        </w:rPr>
        <w:t>because it depresses the achievement of students in the lower track</w:t>
      </w:r>
      <w:r w:rsidR="00FA2E72">
        <w:rPr>
          <w:rFonts w:eastAsia="Calibri"/>
          <w:sz w:val="24"/>
          <w:szCs w:val="24"/>
        </w:rPr>
        <w:t>. It also</w:t>
      </w:r>
      <w:r w:rsidR="004F6191">
        <w:rPr>
          <w:rFonts w:eastAsia="Calibri"/>
          <w:sz w:val="24"/>
          <w:szCs w:val="24"/>
        </w:rPr>
        <w:t xml:space="preserve"> often rations</w:t>
      </w:r>
      <w:r w:rsidRPr="001D38B4">
        <w:rPr>
          <w:rFonts w:eastAsia="Calibri"/>
          <w:sz w:val="24"/>
          <w:szCs w:val="24"/>
        </w:rPr>
        <w:t xml:space="preserve"> access to higher tracks </w:t>
      </w:r>
      <w:r w:rsidR="00DF4A75" w:rsidRPr="00B96B6F">
        <w:rPr>
          <w:rFonts w:eastAsia="Calibri"/>
          <w:sz w:val="24"/>
          <w:szCs w:val="24"/>
        </w:rPr>
        <w:t>for a set number of students</w:t>
      </w:r>
      <w:r w:rsidR="00DF4A75">
        <w:rPr>
          <w:rFonts w:eastAsia="Calibri"/>
          <w:sz w:val="24"/>
          <w:szCs w:val="24"/>
        </w:rPr>
        <w:t xml:space="preserve"> </w:t>
      </w:r>
      <w:r w:rsidRPr="001D38B4">
        <w:rPr>
          <w:rFonts w:eastAsia="Calibri"/>
          <w:sz w:val="24"/>
          <w:szCs w:val="24"/>
        </w:rPr>
        <w:t xml:space="preserve">on the basis of criteria that do not predict success in the more ambitious curriculum (e.g., Callahan, Humphries, and Buontempo, 2020; </w:t>
      </w:r>
      <w:r w:rsidR="00820F24" w:rsidRPr="001D38B4">
        <w:rPr>
          <w:rFonts w:eastAsia="Calibri"/>
          <w:sz w:val="24"/>
          <w:szCs w:val="24"/>
        </w:rPr>
        <w:t xml:space="preserve">Grissom </w:t>
      </w:r>
      <w:r w:rsidR="00315C59">
        <w:rPr>
          <w:rFonts w:eastAsia="Calibri"/>
          <w:sz w:val="24"/>
          <w:szCs w:val="24"/>
        </w:rPr>
        <w:t>and</w:t>
      </w:r>
      <w:r w:rsidR="00820F24" w:rsidRPr="001D38B4">
        <w:rPr>
          <w:rFonts w:eastAsia="Calibri"/>
          <w:sz w:val="24"/>
          <w:szCs w:val="24"/>
        </w:rPr>
        <w:t xml:space="preserve"> Redding, 2016); </w:t>
      </w:r>
      <w:r w:rsidRPr="001D38B4">
        <w:rPr>
          <w:rFonts w:eastAsia="Calibri"/>
          <w:sz w:val="24"/>
          <w:szCs w:val="24"/>
        </w:rPr>
        <w:t xml:space="preserve">Guyon, Maurin, and McNally, 2011; </w:t>
      </w:r>
      <w:r w:rsidR="00820F24" w:rsidRPr="001D38B4">
        <w:rPr>
          <w:rFonts w:eastAsia="Calibri"/>
          <w:sz w:val="24"/>
          <w:szCs w:val="24"/>
        </w:rPr>
        <w:t xml:space="preserve">Kalogrides </w:t>
      </w:r>
      <w:r w:rsidR="00315C59">
        <w:rPr>
          <w:rFonts w:eastAsia="Calibri"/>
          <w:sz w:val="24"/>
          <w:szCs w:val="24"/>
        </w:rPr>
        <w:t>and</w:t>
      </w:r>
      <w:r w:rsidR="00820F24" w:rsidRPr="001D38B4">
        <w:rPr>
          <w:rFonts w:eastAsia="Calibri"/>
          <w:sz w:val="24"/>
          <w:szCs w:val="24"/>
        </w:rPr>
        <w:t xml:space="preserve"> Loeb, 2013; </w:t>
      </w:r>
      <w:r w:rsidRPr="001D38B4">
        <w:rPr>
          <w:rFonts w:eastAsia="Calibri"/>
          <w:sz w:val="24"/>
          <w:szCs w:val="24"/>
        </w:rPr>
        <w:t>Oakes, 2005).</w:t>
      </w:r>
    </w:p>
    <w:p w14:paraId="7E1FE140" w14:textId="1F2C8FD2" w:rsidR="002E143C" w:rsidRDefault="00866ECA" w:rsidP="00866ECA">
      <w:pPr>
        <w:spacing w:after="240" w:line="360" w:lineRule="auto"/>
        <w:rPr>
          <w:sz w:val="24"/>
          <w:szCs w:val="24"/>
        </w:rPr>
      </w:pPr>
      <w:r>
        <w:rPr>
          <w:rFonts w:eastAsia="Calibri"/>
          <w:sz w:val="24"/>
          <w:szCs w:val="24"/>
          <w:highlight w:val="white"/>
        </w:rPr>
        <w:t xml:space="preserve">A meta-analysis of </w:t>
      </w:r>
      <w:proofErr w:type="gramStart"/>
      <w:r>
        <w:rPr>
          <w:rFonts w:eastAsia="Calibri"/>
          <w:sz w:val="24"/>
          <w:szCs w:val="24"/>
          <w:highlight w:val="white"/>
        </w:rPr>
        <w:t>15</w:t>
      </w:r>
      <w:proofErr w:type="gramEnd"/>
      <w:r w:rsidRPr="7BEA48BE">
        <w:rPr>
          <w:rFonts w:eastAsia="Calibri"/>
          <w:sz w:val="24"/>
          <w:szCs w:val="24"/>
          <w:highlight w:val="white"/>
        </w:rPr>
        <w:t xml:space="preserve"> studies</w:t>
      </w:r>
      <w:r>
        <w:rPr>
          <w:rFonts w:eastAsia="Calibri"/>
          <w:sz w:val="24"/>
          <w:szCs w:val="24"/>
          <w:highlight w:val="white"/>
        </w:rPr>
        <w:t xml:space="preserve"> on tracking</w:t>
      </w:r>
      <w:r w:rsidRPr="7BEA48BE">
        <w:rPr>
          <w:rFonts w:eastAsia="Calibri"/>
          <w:sz w:val="24"/>
          <w:szCs w:val="24"/>
          <w:highlight w:val="white"/>
        </w:rPr>
        <w:t>, conducted in and outside the US,</w:t>
      </w:r>
      <w:r w:rsidR="00DE1516">
        <w:rPr>
          <w:rFonts w:eastAsia="Calibri"/>
          <w:sz w:val="24"/>
          <w:szCs w:val="24"/>
          <w:highlight w:val="white"/>
        </w:rPr>
        <w:t xml:space="preserve"> found that classes</w:t>
      </w:r>
      <w:r w:rsidRPr="7BEA48BE">
        <w:rPr>
          <w:rFonts w:eastAsia="Calibri"/>
          <w:sz w:val="24"/>
          <w:szCs w:val="24"/>
          <w:highlight w:val="white"/>
        </w:rPr>
        <w:t xml:space="preserve"> that offer a more ambitious curriculum </w:t>
      </w:r>
      <w:r w:rsidR="00B000FF">
        <w:rPr>
          <w:rFonts w:eastAsia="Calibri"/>
          <w:sz w:val="24"/>
          <w:szCs w:val="24"/>
          <w:highlight w:val="white"/>
        </w:rPr>
        <w:t xml:space="preserve">to all students </w:t>
      </w:r>
      <w:r w:rsidR="002E143C" w:rsidRPr="002B3FC9">
        <w:rPr>
          <w:rFonts w:eastAsia="Calibri"/>
          <w:sz w:val="24"/>
          <w:szCs w:val="24"/>
        </w:rPr>
        <w:t>have tended to</w:t>
      </w:r>
      <w:r w:rsidR="002E143C">
        <w:rPr>
          <w:rFonts w:eastAsia="Calibri"/>
          <w:sz w:val="24"/>
          <w:szCs w:val="24"/>
        </w:rPr>
        <w:t xml:space="preserve"> </w:t>
      </w:r>
      <w:r w:rsidR="00DE1516" w:rsidRPr="00AF38EF">
        <w:rPr>
          <w:color w:val="000000"/>
          <w:sz w:val="24"/>
          <w:szCs w:val="24"/>
          <w:lang w:val="en-US"/>
        </w:rPr>
        <w:t>support improved outcomes for initially lower-achieving students, with</w:t>
      </w:r>
      <w:r w:rsidR="00B000FF">
        <w:rPr>
          <w:color w:val="000000"/>
          <w:sz w:val="24"/>
          <w:szCs w:val="24"/>
          <w:lang w:val="en-US"/>
        </w:rPr>
        <w:t>out</w:t>
      </w:r>
      <w:r w:rsidR="00DE1516" w:rsidRPr="00AF38EF">
        <w:rPr>
          <w:color w:val="000000"/>
          <w:sz w:val="24"/>
          <w:szCs w:val="24"/>
          <w:lang w:val="en-US"/>
        </w:rPr>
        <w:t xml:space="preserve"> negative effects for higher-achieving students</w:t>
      </w:r>
      <w:r w:rsidR="00315C59">
        <w:rPr>
          <w:color w:val="000000"/>
          <w:sz w:val="24"/>
          <w:szCs w:val="24"/>
          <w:lang w:val="en-US"/>
        </w:rPr>
        <w:t xml:space="preserve"> </w:t>
      </w:r>
      <w:r w:rsidRPr="7BEA48BE">
        <w:rPr>
          <w:rFonts w:eastAsia="Calibri"/>
          <w:sz w:val="24"/>
          <w:szCs w:val="24"/>
          <w:highlight w:val="white"/>
        </w:rPr>
        <w:t>(Rui, 2009).</w:t>
      </w:r>
      <w:r>
        <w:rPr>
          <w:rFonts w:eastAsia="Calibri"/>
          <w:sz w:val="24"/>
          <w:szCs w:val="24"/>
          <w:highlight w:val="white"/>
        </w:rPr>
        <w:t xml:space="preserve"> Another review of international evidence about tracking found that, while most </w:t>
      </w:r>
      <w:r w:rsidRPr="006C076C">
        <w:rPr>
          <w:rFonts w:eastAsia="Calibri"/>
          <w:sz w:val="24"/>
          <w:szCs w:val="24"/>
        </w:rPr>
        <w:t>Organisation for Economic Co-operation and Development</w:t>
      </w:r>
      <w:r w:rsidRPr="006C076C">
        <w:rPr>
          <w:rFonts w:eastAsia="Calibri"/>
          <w:sz w:val="24"/>
          <w:szCs w:val="24"/>
          <w:highlight w:val="white"/>
        </w:rPr>
        <w:t xml:space="preserve"> </w:t>
      </w:r>
      <w:r>
        <w:rPr>
          <w:rFonts w:eastAsia="Calibri"/>
          <w:sz w:val="24"/>
          <w:szCs w:val="24"/>
          <w:highlight w:val="white"/>
        </w:rPr>
        <w:t xml:space="preserve">(OECD) </w:t>
      </w:r>
      <w:r w:rsidRPr="00AC000E">
        <w:rPr>
          <w:rFonts w:eastAsia="Calibri"/>
          <w:sz w:val="24"/>
          <w:szCs w:val="24"/>
          <w:highlight w:val="white"/>
        </w:rPr>
        <w:t xml:space="preserve">countries do not </w:t>
      </w:r>
      <w:r w:rsidR="002E143C" w:rsidRPr="001D38B4">
        <w:rPr>
          <w:rFonts w:eastAsia="Calibri"/>
          <w:sz w:val="24"/>
          <w:szCs w:val="24"/>
        </w:rPr>
        <w:t xml:space="preserve">differentiate curriculum options for </w:t>
      </w:r>
      <w:r w:rsidRPr="00AC000E">
        <w:rPr>
          <w:rFonts w:eastAsia="Calibri"/>
          <w:sz w:val="24"/>
          <w:szCs w:val="24"/>
          <w:highlight w:val="white"/>
        </w:rPr>
        <w:t xml:space="preserve">students </w:t>
      </w:r>
      <w:r w:rsidR="00B000FF">
        <w:rPr>
          <w:rFonts w:eastAsia="Calibri"/>
          <w:sz w:val="24"/>
          <w:szCs w:val="24"/>
          <w:highlight w:val="white"/>
        </w:rPr>
        <w:t xml:space="preserve">in </w:t>
      </w:r>
      <w:r w:rsidR="00B000FF">
        <w:rPr>
          <w:rFonts w:eastAsia="Calibri"/>
          <w:sz w:val="24"/>
          <w:szCs w:val="24"/>
          <w:highlight w:val="white"/>
        </w:rPr>
        <w:lastRenderedPageBreak/>
        <w:t>the early grades</w:t>
      </w:r>
      <w:r w:rsidRPr="00AC000E">
        <w:rPr>
          <w:rFonts w:eastAsia="Calibri"/>
          <w:sz w:val="24"/>
          <w:szCs w:val="24"/>
          <w:highlight w:val="white"/>
        </w:rPr>
        <w:t xml:space="preserve">, those that track students </w:t>
      </w:r>
      <w:r w:rsidR="002E143C" w:rsidRPr="001D38B4">
        <w:rPr>
          <w:rFonts w:eastAsia="Calibri"/>
          <w:sz w:val="24"/>
          <w:szCs w:val="24"/>
        </w:rPr>
        <w:t xml:space="preserve">into different </w:t>
      </w:r>
      <w:r w:rsidR="00B000FF">
        <w:rPr>
          <w:rFonts w:eastAsia="Calibri"/>
          <w:sz w:val="24"/>
          <w:szCs w:val="24"/>
        </w:rPr>
        <w:t>schools or curriculum pathways in elementary school</w:t>
      </w:r>
      <w:r w:rsidRPr="00AC000E">
        <w:rPr>
          <w:rFonts w:eastAsia="Calibri"/>
          <w:sz w:val="24"/>
          <w:szCs w:val="24"/>
          <w:highlight w:val="white"/>
        </w:rPr>
        <w:t xml:space="preserve"> increase inequality in learning significantly (</w:t>
      </w:r>
      <w:r w:rsidR="00B000FF">
        <w:rPr>
          <w:rFonts w:eastAsia="Calibri"/>
          <w:sz w:val="24"/>
          <w:szCs w:val="24"/>
          <w:highlight w:val="white"/>
        </w:rPr>
        <w:t xml:space="preserve">Hanushek and </w:t>
      </w:r>
      <w:r w:rsidR="009148D1">
        <w:rPr>
          <w:rFonts w:eastAsia="Calibri"/>
          <w:sz w:val="24"/>
          <w:szCs w:val="24"/>
          <w:highlight w:val="white"/>
        </w:rPr>
        <w:t>W</w:t>
      </w:r>
      <w:r w:rsidR="00B000FF">
        <w:rPr>
          <w:rFonts w:eastAsia="Calibri"/>
          <w:sz w:val="24"/>
          <w:szCs w:val="24"/>
          <w:highlight w:val="white"/>
        </w:rPr>
        <w:t>oessman</w:t>
      </w:r>
      <w:r w:rsidR="0090554A">
        <w:rPr>
          <w:rFonts w:eastAsia="Calibri"/>
          <w:sz w:val="24"/>
          <w:szCs w:val="24"/>
          <w:highlight w:val="white"/>
        </w:rPr>
        <w:t>n</w:t>
      </w:r>
      <w:r w:rsidR="00B000FF">
        <w:rPr>
          <w:rFonts w:eastAsia="Calibri"/>
          <w:sz w:val="24"/>
          <w:szCs w:val="24"/>
          <w:highlight w:val="white"/>
        </w:rPr>
        <w:t xml:space="preserve">, 2006; </w:t>
      </w:r>
      <w:r w:rsidRPr="00AC000E">
        <w:rPr>
          <w:rFonts w:eastAsia="Calibri"/>
          <w:sz w:val="24"/>
          <w:szCs w:val="24"/>
          <w:highlight w:val="white"/>
        </w:rPr>
        <w:t xml:space="preserve">Woessmann, 2009). </w:t>
      </w:r>
      <w:r w:rsidR="0090554A">
        <w:rPr>
          <w:rFonts w:eastAsia="Calibri"/>
          <w:sz w:val="24"/>
          <w:szCs w:val="24"/>
          <w:highlight w:val="white"/>
        </w:rPr>
        <w:t>Woessmann (2009)</w:t>
      </w:r>
      <w:r w:rsidRPr="00AC000E">
        <w:rPr>
          <w:rFonts w:eastAsia="Calibri"/>
          <w:sz w:val="24"/>
          <w:szCs w:val="24"/>
          <w:highlight w:val="white"/>
        </w:rPr>
        <w:t xml:space="preserve"> concludes </w:t>
      </w:r>
      <w:r w:rsidRPr="00061B2E">
        <w:rPr>
          <w:rFonts w:eastAsia="Calibri"/>
          <w:sz w:val="24"/>
          <w:szCs w:val="24"/>
        </w:rPr>
        <w:t>that “E</w:t>
      </w:r>
      <w:r w:rsidRPr="00061B2E">
        <w:rPr>
          <w:sz w:val="24"/>
          <w:szCs w:val="24"/>
        </w:rPr>
        <w:t xml:space="preserve">arly tracking leads to a systematic increase in inequality of student performance </w:t>
      </w:r>
      <w:r w:rsidR="00D63995">
        <w:rPr>
          <w:sz w:val="24"/>
          <w:szCs w:val="24"/>
        </w:rPr>
        <w:t>b</w:t>
      </w:r>
      <w:r w:rsidRPr="00061B2E">
        <w:rPr>
          <w:sz w:val="24"/>
          <w:szCs w:val="24"/>
        </w:rPr>
        <w:t>etween the end of the primary and the end of lower-secondary school;</w:t>
      </w:r>
      <w:r w:rsidR="00A76B65" w:rsidRPr="00061B2E">
        <w:rPr>
          <w:sz w:val="24"/>
          <w:szCs w:val="24"/>
        </w:rPr>
        <w:t>”</w:t>
      </w:r>
      <w:r w:rsidRPr="00061B2E">
        <w:rPr>
          <w:sz w:val="24"/>
          <w:szCs w:val="24"/>
        </w:rPr>
        <w:t xml:space="preserve"> furthermore, </w:t>
      </w:r>
      <w:r w:rsidR="00B000FF">
        <w:rPr>
          <w:sz w:val="24"/>
          <w:szCs w:val="24"/>
        </w:rPr>
        <w:t>while “later school tracking increases equality of opportunity, [it] is not associated with a lower performance level</w:t>
      </w:r>
      <w:r w:rsidR="003D7275">
        <w:rPr>
          <w:sz w:val="24"/>
          <w:szCs w:val="24"/>
        </w:rPr>
        <w:t>.</w:t>
      </w:r>
      <w:r w:rsidRPr="00AC000E">
        <w:rPr>
          <w:sz w:val="24"/>
          <w:szCs w:val="24"/>
        </w:rPr>
        <w:t>”</w:t>
      </w:r>
    </w:p>
    <w:p w14:paraId="2BDD9DB4" w14:textId="5AE8E42D" w:rsidR="00866ECA" w:rsidRDefault="00866ECA" w:rsidP="00866ECA">
      <w:pPr>
        <w:spacing w:after="240" w:line="360" w:lineRule="auto"/>
        <w:rPr>
          <w:rFonts w:eastAsia="Calibri"/>
          <w:sz w:val="24"/>
          <w:szCs w:val="24"/>
        </w:rPr>
      </w:pPr>
      <w:r w:rsidRPr="00541E3F">
        <w:rPr>
          <w:rFonts w:eastAsia="Calibri"/>
          <w:sz w:val="24"/>
          <w:szCs w:val="24"/>
        </w:rPr>
        <w:t>Although no country’s approach directly translates to the context of another, there are common curricular approaches resembl</w:t>
      </w:r>
      <w:r w:rsidR="003E41C7">
        <w:rPr>
          <w:rFonts w:eastAsia="Calibri"/>
          <w:sz w:val="24"/>
          <w:szCs w:val="24"/>
        </w:rPr>
        <w:t>ing</w:t>
      </w:r>
      <w:r w:rsidRPr="00541E3F">
        <w:rPr>
          <w:rFonts w:eastAsia="Calibri"/>
          <w:sz w:val="24"/>
          <w:szCs w:val="24"/>
        </w:rPr>
        <w:t xml:space="preserve"> those suggested in this framework </w:t>
      </w:r>
      <w:r w:rsidR="003E41C7">
        <w:rPr>
          <w:rFonts w:eastAsia="Calibri"/>
          <w:sz w:val="24"/>
          <w:szCs w:val="24"/>
        </w:rPr>
        <w:t xml:space="preserve">that are </w:t>
      </w:r>
      <w:r w:rsidRPr="00541E3F">
        <w:rPr>
          <w:rFonts w:eastAsia="Calibri"/>
          <w:sz w:val="24"/>
          <w:szCs w:val="24"/>
        </w:rPr>
        <w:t>taught in non-tracked classes across many of the highest-achieving nations in mathematics, including Japan, Korea, Estonia, and Finland</w:t>
      </w:r>
      <w:r w:rsidR="00A31FD1">
        <w:rPr>
          <w:rFonts w:eastAsia="Calibri"/>
          <w:sz w:val="24"/>
          <w:szCs w:val="24"/>
        </w:rPr>
        <w:t xml:space="preserve"> (</w:t>
      </w:r>
      <w:r w:rsidR="00A31FD1" w:rsidRPr="128DBD29">
        <w:rPr>
          <w:sz w:val="24"/>
          <w:szCs w:val="24"/>
        </w:rPr>
        <w:t xml:space="preserve">see Hemmi, Brating, </w:t>
      </w:r>
      <w:r w:rsidR="00A31FD1">
        <w:rPr>
          <w:sz w:val="24"/>
          <w:szCs w:val="24"/>
        </w:rPr>
        <w:t>and</w:t>
      </w:r>
      <w:r w:rsidR="00A31FD1" w:rsidRPr="128DBD29">
        <w:rPr>
          <w:sz w:val="24"/>
          <w:szCs w:val="24"/>
        </w:rPr>
        <w:t xml:space="preserve"> Lepik, 2020</w:t>
      </w:r>
      <w:r w:rsidR="00A31FD1">
        <w:rPr>
          <w:sz w:val="24"/>
          <w:szCs w:val="24"/>
        </w:rPr>
        <w:t xml:space="preserve">; </w:t>
      </w:r>
      <w:r w:rsidR="00A31FD1" w:rsidRPr="11E5DA31">
        <w:rPr>
          <w:sz w:val="24"/>
          <w:szCs w:val="24"/>
        </w:rPr>
        <w:t>National Center on Education and the Economy, n.d.</w:t>
      </w:r>
      <w:r w:rsidR="00A31FD1">
        <w:rPr>
          <w:sz w:val="24"/>
          <w:szCs w:val="24"/>
        </w:rPr>
        <w:t>;</w:t>
      </w:r>
      <w:r w:rsidR="00A31FD1" w:rsidRPr="128DBD29">
        <w:rPr>
          <w:sz w:val="24"/>
          <w:szCs w:val="24"/>
        </w:rPr>
        <w:t xml:space="preserve"> </w:t>
      </w:r>
      <w:r w:rsidR="00A31FD1" w:rsidRPr="4485EE97">
        <w:rPr>
          <w:sz w:val="24"/>
          <w:szCs w:val="24"/>
        </w:rPr>
        <w:t>Okano and Tsuchiya, 1999</w:t>
      </w:r>
      <w:r w:rsidR="00A27B67">
        <w:rPr>
          <w:sz w:val="24"/>
          <w:szCs w:val="24"/>
        </w:rPr>
        <w:t>;</w:t>
      </w:r>
      <w:r w:rsidR="00A31FD1" w:rsidRPr="4485EE97">
        <w:rPr>
          <w:sz w:val="24"/>
          <w:szCs w:val="24"/>
        </w:rPr>
        <w:t xml:space="preserve"> Stigler and Hiebert, 1997</w:t>
      </w:r>
      <w:r w:rsidR="009E7BD3">
        <w:rPr>
          <w:sz w:val="24"/>
          <w:szCs w:val="24"/>
        </w:rPr>
        <w:t>.</w:t>
      </w:r>
      <w:r w:rsidR="009E7BD3">
        <w:rPr>
          <w:rFonts w:eastAsia="Calibri"/>
          <w:sz w:val="24"/>
          <w:szCs w:val="24"/>
        </w:rPr>
        <w:t xml:space="preserve"> </w:t>
      </w:r>
      <w:r w:rsidR="00BB4E51">
        <w:rPr>
          <w:rFonts w:eastAsia="Calibri"/>
          <w:sz w:val="24"/>
          <w:szCs w:val="24"/>
        </w:rPr>
        <w:t xml:space="preserve">See also </w:t>
      </w:r>
      <w:r w:rsidR="003D7275">
        <w:rPr>
          <w:rFonts w:eastAsia="Calibri"/>
          <w:sz w:val="24"/>
          <w:szCs w:val="24"/>
        </w:rPr>
        <w:t>c</w:t>
      </w:r>
      <w:r w:rsidR="00BB4E51">
        <w:rPr>
          <w:rFonts w:eastAsia="Calibri"/>
          <w:sz w:val="24"/>
          <w:szCs w:val="24"/>
        </w:rPr>
        <w:t>hapter 8.)</w:t>
      </w:r>
      <w:r w:rsidR="003D7275">
        <w:rPr>
          <w:rFonts w:eastAsia="Calibri"/>
          <w:sz w:val="24"/>
          <w:szCs w:val="24"/>
        </w:rPr>
        <w:t>.</w:t>
      </w:r>
      <w:r w:rsidR="00BB4E51">
        <w:rPr>
          <w:rFonts w:eastAsia="Calibri"/>
          <w:sz w:val="24"/>
          <w:szCs w:val="24"/>
        </w:rPr>
        <w:t xml:space="preserve"> </w:t>
      </w:r>
      <w:r>
        <w:rPr>
          <w:rFonts w:eastAsia="Calibri"/>
          <w:sz w:val="24"/>
          <w:szCs w:val="24"/>
        </w:rPr>
        <w:t xml:space="preserve">In keeping with approaches used in </w:t>
      </w:r>
      <w:r w:rsidR="00E81BE4">
        <w:rPr>
          <w:rFonts w:eastAsia="Calibri"/>
          <w:sz w:val="24"/>
          <w:szCs w:val="24"/>
        </w:rPr>
        <w:t xml:space="preserve">these and </w:t>
      </w:r>
      <w:proofErr w:type="gramStart"/>
      <w:r>
        <w:rPr>
          <w:rFonts w:eastAsia="Calibri"/>
          <w:sz w:val="24"/>
          <w:szCs w:val="24"/>
        </w:rPr>
        <w:t>many</w:t>
      </w:r>
      <w:proofErr w:type="gramEnd"/>
      <w:r>
        <w:rPr>
          <w:rFonts w:eastAsia="Calibri"/>
          <w:sz w:val="24"/>
          <w:szCs w:val="24"/>
        </w:rPr>
        <w:t xml:space="preserve"> other countries, </w:t>
      </w:r>
      <w:r w:rsidRPr="0B254218">
        <w:rPr>
          <w:rFonts w:eastAsia="Calibri"/>
          <w:sz w:val="24"/>
          <w:szCs w:val="24"/>
        </w:rPr>
        <w:t>the National Council of Teachers of Mathematics (NCTM) strongly advocates for creating a system of middle school mathematics courses that will “dismantle inequitable structures</w:t>
      </w:r>
      <w:r w:rsidR="009E7BD3">
        <w:rPr>
          <w:rFonts w:eastAsia="Calibri"/>
          <w:sz w:val="24"/>
          <w:szCs w:val="24"/>
        </w:rPr>
        <w:t>,</w:t>
      </w:r>
      <w:r w:rsidR="006B09BC">
        <w:rPr>
          <w:rFonts w:eastAsia="Calibri"/>
          <w:sz w:val="24"/>
          <w:szCs w:val="24"/>
        </w:rPr>
        <w:t>”</w:t>
      </w:r>
      <w:r w:rsidRPr="0B254218">
        <w:rPr>
          <w:rFonts w:eastAsia="Calibri"/>
          <w:sz w:val="24"/>
          <w:szCs w:val="24"/>
        </w:rPr>
        <w:t xml:space="preserve"> including </w:t>
      </w:r>
      <w:r w:rsidR="006B09BC">
        <w:rPr>
          <w:rFonts w:eastAsia="Calibri"/>
          <w:sz w:val="24"/>
          <w:szCs w:val="24"/>
        </w:rPr>
        <w:t>“</w:t>
      </w:r>
      <w:r w:rsidRPr="0B254218">
        <w:rPr>
          <w:rFonts w:eastAsia="Calibri"/>
          <w:sz w:val="24"/>
          <w:szCs w:val="24"/>
        </w:rPr>
        <w:t>the practice of ability grouping and tracking students into qualitatively different courses” (NCTM, 2020). NCTM has</w:t>
      </w:r>
      <w:r w:rsidR="00BE5E4C">
        <w:rPr>
          <w:rFonts w:eastAsia="Calibri"/>
          <w:sz w:val="24"/>
          <w:szCs w:val="24"/>
        </w:rPr>
        <w:t xml:space="preserve"> argued</w:t>
      </w:r>
      <w:r w:rsidRPr="0B254218">
        <w:rPr>
          <w:rFonts w:eastAsia="Calibri"/>
          <w:sz w:val="24"/>
          <w:szCs w:val="24"/>
        </w:rPr>
        <w:t xml:space="preserve"> that if the US is to regain its lost ground in mathematics, districts and schools must confront the structural inequities of tracking and ability grouping</w:t>
      </w:r>
      <w:r>
        <w:rPr>
          <w:rFonts w:eastAsia="Calibri"/>
          <w:sz w:val="24"/>
          <w:szCs w:val="24"/>
        </w:rPr>
        <w:t xml:space="preserve"> that restrict most students from accessing higher level mathematics</w:t>
      </w:r>
      <w:r w:rsidRPr="0B254218">
        <w:rPr>
          <w:rFonts w:eastAsia="Calibri"/>
          <w:sz w:val="24"/>
          <w:szCs w:val="24"/>
        </w:rPr>
        <w:t xml:space="preserve"> and strengthen efforts to support all students in learning a common</w:t>
      </w:r>
      <w:r>
        <w:rPr>
          <w:rFonts w:eastAsia="Calibri"/>
          <w:sz w:val="24"/>
          <w:szCs w:val="24"/>
        </w:rPr>
        <w:t>, rigorous</w:t>
      </w:r>
      <w:r w:rsidRPr="0B254218">
        <w:rPr>
          <w:rFonts w:eastAsia="Calibri"/>
          <w:sz w:val="24"/>
          <w:szCs w:val="24"/>
        </w:rPr>
        <w:t xml:space="preserve"> curriculum.</w:t>
      </w:r>
    </w:p>
    <w:p w14:paraId="3902D9E3" w14:textId="05FBDFA8" w:rsidR="0012471A" w:rsidRDefault="5AA8361C" w:rsidP="00866ECA">
      <w:pPr>
        <w:spacing w:after="240" w:line="360" w:lineRule="auto"/>
        <w:rPr>
          <w:rFonts w:eastAsia="Calibri"/>
          <w:sz w:val="24"/>
          <w:szCs w:val="24"/>
        </w:rPr>
      </w:pPr>
      <w:r w:rsidRPr="5AA8361C">
        <w:rPr>
          <w:rFonts w:eastAsia="Calibri"/>
          <w:sz w:val="24"/>
          <w:szCs w:val="24"/>
        </w:rPr>
        <w:t xml:space="preserve">While early tracking of students into low-level courses has been problematic, there is evidence that thoughtful grouping of students to ensure they receive high-quality instruction geared to their needs at a moment in time can be helpful. </w:t>
      </w:r>
      <w:r w:rsidR="009B123B">
        <w:rPr>
          <w:rFonts w:eastAsia="Calibri"/>
          <w:sz w:val="24"/>
          <w:szCs w:val="24"/>
        </w:rPr>
        <w:t>Such an approach can help</w:t>
      </w:r>
      <w:r w:rsidRPr="5AA8361C">
        <w:rPr>
          <w:rFonts w:eastAsia="Calibri"/>
          <w:sz w:val="24"/>
          <w:szCs w:val="24"/>
        </w:rPr>
        <w:t xml:space="preserve"> students who need to fill gaps in their prior learning a</w:t>
      </w:r>
      <w:r w:rsidR="009B123B">
        <w:rPr>
          <w:rFonts w:eastAsia="Calibri"/>
          <w:sz w:val="24"/>
          <w:szCs w:val="24"/>
        </w:rPr>
        <w:t>s well as</w:t>
      </w:r>
      <w:r w:rsidRPr="5AA8361C">
        <w:rPr>
          <w:rFonts w:eastAsia="Calibri"/>
          <w:sz w:val="24"/>
          <w:szCs w:val="24"/>
        </w:rPr>
        <w:t xml:space="preserve"> high-achieving students who are ready for greater challenges. </w:t>
      </w:r>
      <w:r w:rsidR="0012471A" w:rsidRPr="007B24E1">
        <w:rPr>
          <w:rFonts w:eastAsia="Calibri"/>
          <w:sz w:val="24"/>
          <w:szCs w:val="24"/>
        </w:rPr>
        <w:t>As noted in the earlier discussion of the New York de</w:t>
      </w:r>
      <w:r w:rsidR="001D38B4" w:rsidRPr="007B24E1">
        <w:rPr>
          <w:rFonts w:eastAsia="Calibri"/>
          <w:sz w:val="24"/>
          <w:szCs w:val="24"/>
        </w:rPr>
        <w:t>-</w:t>
      </w:r>
      <w:r w:rsidR="0012471A" w:rsidRPr="007B24E1">
        <w:rPr>
          <w:rFonts w:eastAsia="Calibri"/>
          <w:sz w:val="24"/>
          <w:szCs w:val="24"/>
        </w:rPr>
        <w:t>tracking study</w:t>
      </w:r>
      <w:r w:rsidR="000E02BD" w:rsidRPr="007B24E1">
        <w:rPr>
          <w:rFonts w:eastAsia="Calibri"/>
          <w:sz w:val="24"/>
          <w:szCs w:val="24"/>
        </w:rPr>
        <w:t xml:space="preserve"> (see chapter 8)</w:t>
      </w:r>
      <w:r w:rsidR="0012471A" w:rsidRPr="007B24E1">
        <w:rPr>
          <w:rFonts w:eastAsia="Calibri"/>
          <w:sz w:val="24"/>
          <w:szCs w:val="24"/>
        </w:rPr>
        <w:t>, additional math labs attached to more rigorous courses can also be a useful strategy for supporting mathematics learning.</w:t>
      </w:r>
    </w:p>
    <w:p w14:paraId="2ABFD5A6" w14:textId="3598D7D5" w:rsidR="009148D1" w:rsidRDefault="009148D1" w:rsidP="00866ECA">
      <w:pPr>
        <w:spacing w:after="240" w:line="360" w:lineRule="auto"/>
        <w:rPr>
          <w:rFonts w:eastAsia="Calibri"/>
          <w:sz w:val="24"/>
          <w:szCs w:val="24"/>
        </w:rPr>
      </w:pPr>
      <w:r w:rsidRPr="009148D1">
        <w:rPr>
          <w:rFonts w:eastAsia="Calibri"/>
          <w:sz w:val="24"/>
          <w:szCs w:val="24"/>
        </w:rPr>
        <w:lastRenderedPageBreak/>
        <w:t>In addition, successful strategies for teaching broader and deeper mathematics to heterogenous groups of students require attention to teacher learning. Teachers need support to rethink math teaching and acquire skills and strategies that result in the changes in practice required for teaching mathematics with multidimensional tasks to a wide range of learners. Districts and schools need to accompany these structural, curricular, and pedagogical changes with professional development and time for collaborative learning and planning. (See chapter 10 for more on teacher support.)</w:t>
      </w:r>
    </w:p>
    <w:p w14:paraId="65E384E2" w14:textId="3B45A9F0" w:rsidR="006B09BC" w:rsidRPr="00E843F3" w:rsidRDefault="006B09BC" w:rsidP="001D38B4">
      <w:pPr>
        <w:pStyle w:val="Heading2"/>
      </w:pPr>
      <w:bookmarkStart w:id="10" w:name="_Toc135813005"/>
      <w:r>
        <w:t>Productive Strategies for Teaching Diverse Students</w:t>
      </w:r>
      <w:bookmarkEnd w:id="10"/>
    </w:p>
    <w:p w14:paraId="5DFD93FD" w14:textId="16009D7C" w:rsidR="001D38B4" w:rsidRDefault="001D38B4" w:rsidP="00866ECA">
      <w:pPr>
        <w:spacing w:after="240" w:line="360" w:lineRule="auto"/>
        <w:rPr>
          <w:rFonts w:eastAsia="Calibri"/>
          <w:b/>
          <w:bCs/>
          <w:sz w:val="24"/>
          <w:szCs w:val="24"/>
        </w:rPr>
      </w:pPr>
      <w:proofErr w:type="gramStart"/>
      <w:r>
        <w:rPr>
          <w:rFonts w:eastAsia="Calibri"/>
          <w:sz w:val="24"/>
          <w:szCs w:val="24"/>
        </w:rPr>
        <w:t>A</w:t>
      </w:r>
      <w:r w:rsidRPr="00E843F3">
        <w:rPr>
          <w:rFonts w:eastAsia="Calibri"/>
          <w:sz w:val="24"/>
          <w:szCs w:val="24"/>
        </w:rPr>
        <w:t xml:space="preserve"> number of</w:t>
      </w:r>
      <w:proofErr w:type="gramEnd"/>
      <w:r w:rsidRPr="00E843F3">
        <w:rPr>
          <w:rFonts w:eastAsia="Calibri"/>
          <w:sz w:val="24"/>
          <w:szCs w:val="24"/>
        </w:rPr>
        <w:t xml:space="preserve"> California districts are attempting to improve opportunities for all students to excel in mathematics through innovative approaches to grouping students that </w:t>
      </w:r>
      <w:r>
        <w:rPr>
          <w:rFonts w:eastAsia="Calibri"/>
          <w:sz w:val="24"/>
          <w:szCs w:val="24"/>
        </w:rPr>
        <w:t>seek</w:t>
      </w:r>
      <w:r w:rsidRPr="00E843F3">
        <w:rPr>
          <w:rFonts w:eastAsia="Calibri"/>
          <w:sz w:val="24"/>
          <w:szCs w:val="24"/>
        </w:rPr>
        <w:t xml:space="preserve"> to ameliorate the negative impacts of </w:t>
      </w:r>
      <w:r>
        <w:rPr>
          <w:rFonts w:eastAsia="Calibri"/>
          <w:sz w:val="24"/>
          <w:szCs w:val="24"/>
        </w:rPr>
        <w:t xml:space="preserve">long-term </w:t>
      </w:r>
      <w:r w:rsidRPr="00E843F3">
        <w:rPr>
          <w:rFonts w:eastAsia="Calibri"/>
          <w:sz w:val="24"/>
          <w:szCs w:val="24"/>
        </w:rPr>
        <w:t>tracking.</w:t>
      </w:r>
      <w:r>
        <w:rPr>
          <w:rFonts w:eastAsia="Calibri"/>
          <w:sz w:val="24"/>
          <w:szCs w:val="24"/>
        </w:rPr>
        <w:t xml:space="preserve"> These approaches include:</w:t>
      </w:r>
    </w:p>
    <w:p w14:paraId="6B5A58DC" w14:textId="38DEFF86" w:rsidR="00C21265" w:rsidRDefault="003976F9" w:rsidP="00866ECA">
      <w:pPr>
        <w:spacing w:after="240" w:line="360" w:lineRule="auto"/>
        <w:rPr>
          <w:rFonts w:eastAsia="Calibri"/>
          <w:sz w:val="24"/>
          <w:szCs w:val="24"/>
        </w:rPr>
      </w:pPr>
      <w:r>
        <w:rPr>
          <w:rFonts w:eastAsia="Calibri"/>
          <w:b/>
          <w:bCs/>
          <w:sz w:val="24"/>
          <w:szCs w:val="24"/>
        </w:rPr>
        <w:t xml:space="preserve">Grouping students later and offering multiple junctures for acceleration. </w:t>
      </w:r>
      <w:r w:rsidR="00031B9F">
        <w:rPr>
          <w:rFonts w:eastAsia="Calibri"/>
          <w:sz w:val="24"/>
          <w:szCs w:val="24"/>
        </w:rPr>
        <w:t>One form of flexible grouping involve</w:t>
      </w:r>
      <w:r w:rsidR="00CD4831">
        <w:rPr>
          <w:rFonts w:eastAsia="Calibri"/>
          <w:sz w:val="24"/>
          <w:szCs w:val="24"/>
        </w:rPr>
        <w:t>s</w:t>
      </w:r>
      <w:r w:rsidR="00031B9F">
        <w:rPr>
          <w:rFonts w:eastAsia="Calibri"/>
          <w:sz w:val="24"/>
          <w:szCs w:val="24"/>
        </w:rPr>
        <w:t xml:space="preserve"> m</w:t>
      </w:r>
      <w:r w:rsidR="00031B9F" w:rsidRPr="001A6925">
        <w:rPr>
          <w:rFonts w:eastAsia="Calibri"/>
          <w:sz w:val="24"/>
          <w:szCs w:val="24"/>
        </w:rPr>
        <w:t xml:space="preserve">oving </w:t>
      </w:r>
      <w:r w:rsidR="00866ECA" w:rsidRPr="001A6925">
        <w:rPr>
          <w:rFonts w:eastAsia="Calibri"/>
          <w:sz w:val="24"/>
          <w:szCs w:val="24"/>
        </w:rPr>
        <w:t>the beginning of separate course pathways to later grades—e.g., from fourth, fifth, or sixth grade to at least eighth grade</w:t>
      </w:r>
      <w:r w:rsidR="006D12CC" w:rsidRPr="001A6925">
        <w:rPr>
          <w:rFonts w:eastAsia="Calibri"/>
          <w:sz w:val="24"/>
          <w:szCs w:val="24"/>
        </w:rPr>
        <w:t>—</w:t>
      </w:r>
      <w:r w:rsidR="00866ECA" w:rsidRPr="00284D4E">
        <w:rPr>
          <w:rFonts w:eastAsia="Calibri"/>
          <w:sz w:val="24"/>
          <w:szCs w:val="24"/>
        </w:rPr>
        <w:t>and supporting extra course</w:t>
      </w:r>
      <w:r w:rsidR="00CD4831" w:rsidRPr="001D38B4">
        <w:rPr>
          <w:rFonts w:eastAsia="Calibri"/>
          <w:sz w:val="24"/>
          <w:szCs w:val="24"/>
        </w:rPr>
        <w:t>-</w:t>
      </w:r>
      <w:r w:rsidR="00866ECA" w:rsidRPr="00284D4E">
        <w:rPr>
          <w:rFonts w:eastAsia="Calibri"/>
          <w:sz w:val="24"/>
          <w:szCs w:val="24"/>
        </w:rPr>
        <w:t>taking options</w:t>
      </w:r>
      <w:r w:rsidR="00866ECA" w:rsidRPr="001A6925">
        <w:rPr>
          <w:rFonts w:eastAsia="Calibri"/>
          <w:sz w:val="24"/>
          <w:szCs w:val="24"/>
        </w:rPr>
        <w:t xml:space="preserve"> during the school year or during summer school so that students may accelerate at any time during middle or high school. Since student interest and engagement can fluctuate significantly during adolescent years, this</w:t>
      </w:r>
      <w:r w:rsidR="00CD4831">
        <w:rPr>
          <w:rFonts w:eastAsia="Calibri"/>
          <w:sz w:val="24"/>
          <w:szCs w:val="24"/>
        </w:rPr>
        <w:t xml:space="preserve"> approach</w:t>
      </w:r>
      <w:r w:rsidR="00866ECA" w:rsidRPr="001A6925">
        <w:rPr>
          <w:rFonts w:eastAsia="Calibri"/>
          <w:sz w:val="24"/>
          <w:szCs w:val="24"/>
        </w:rPr>
        <w:t xml:space="preserve"> enables more students to build a strong mathematics identity and skill set both before and after they </w:t>
      </w:r>
      <w:proofErr w:type="gramStart"/>
      <w:r w:rsidR="00866ECA" w:rsidRPr="001A6925">
        <w:rPr>
          <w:rFonts w:eastAsia="Calibri"/>
          <w:sz w:val="24"/>
          <w:szCs w:val="24"/>
        </w:rPr>
        <w:t>are assigned</w:t>
      </w:r>
      <w:proofErr w:type="gramEnd"/>
      <w:r w:rsidR="00866ECA" w:rsidRPr="001A6925">
        <w:rPr>
          <w:rFonts w:eastAsia="Calibri"/>
          <w:sz w:val="24"/>
          <w:szCs w:val="24"/>
        </w:rPr>
        <w:t xml:space="preserve"> to (or choose) a placement.</w:t>
      </w:r>
      <w:r w:rsidR="00D52CE8">
        <w:rPr>
          <w:rFonts w:eastAsia="Calibri"/>
          <w:sz w:val="24"/>
          <w:szCs w:val="24"/>
        </w:rPr>
        <w:t xml:space="preserve"> Importantly, w</w:t>
      </w:r>
      <w:r w:rsidR="00031B9F" w:rsidRPr="001D38B4">
        <w:rPr>
          <w:rFonts w:eastAsia="Calibri"/>
          <w:sz w:val="24"/>
          <w:szCs w:val="24"/>
        </w:rPr>
        <w:t>ithin the course pathways offered by a school or district, there should also be the opportunity for high-achieving students to accelerate at any time, when they are ready to do so.</w:t>
      </w:r>
    </w:p>
    <w:p w14:paraId="17804CC3" w14:textId="75F7C33D" w:rsidR="00866ECA" w:rsidRPr="003D7275" w:rsidRDefault="00D52CE8" w:rsidP="00866ECA">
      <w:pPr>
        <w:spacing w:after="240" w:line="360" w:lineRule="auto"/>
        <w:rPr>
          <w:rFonts w:eastAsia="Calibri"/>
          <w:sz w:val="24"/>
          <w:szCs w:val="24"/>
        </w:rPr>
      </w:pPr>
      <w:r>
        <w:rPr>
          <w:rFonts w:eastAsia="Calibri"/>
          <w:sz w:val="24"/>
          <w:szCs w:val="24"/>
        </w:rPr>
        <w:t>Districts and schools should also f</w:t>
      </w:r>
      <w:r w:rsidRPr="001A6925">
        <w:rPr>
          <w:rFonts w:eastAsia="Calibri"/>
          <w:sz w:val="24"/>
          <w:szCs w:val="24"/>
        </w:rPr>
        <w:t>actor student interest and desire into student placement</w:t>
      </w:r>
      <w:r>
        <w:rPr>
          <w:rFonts w:eastAsia="Calibri"/>
          <w:sz w:val="24"/>
          <w:szCs w:val="24"/>
        </w:rPr>
        <w:t xml:space="preserve">. </w:t>
      </w:r>
      <w:proofErr w:type="gramStart"/>
      <w:r>
        <w:rPr>
          <w:rFonts w:eastAsia="Calibri"/>
          <w:sz w:val="24"/>
          <w:szCs w:val="24"/>
        </w:rPr>
        <w:t>M</w:t>
      </w:r>
      <w:r w:rsidRPr="001A6925">
        <w:rPr>
          <w:rFonts w:eastAsia="Calibri"/>
          <w:sz w:val="24"/>
          <w:szCs w:val="24"/>
        </w:rPr>
        <w:t>any</w:t>
      </w:r>
      <w:proofErr w:type="gramEnd"/>
      <w:r w:rsidRPr="001A6925">
        <w:rPr>
          <w:rFonts w:eastAsia="Calibri"/>
          <w:sz w:val="24"/>
          <w:szCs w:val="24"/>
        </w:rPr>
        <w:t xml:space="preserve"> students blossom when they are offered higher level content</w:t>
      </w:r>
      <w:r>
        <w:rPr>
          <w:rFonts w:eastAsia="Calibri"/>
          <w:sz w:val="24"/>
          <w:szCs w:val="24"/>
        </w:rPr>
        <w:t>,</w:t>
      </w:r>
      <w:r w:rsidRPr="001A6925">
        <w:rPr>
          <w:rFonts w:eastAsia="Calibri"/>
          <w:sz w:val="24"/>
          <w:szCs w:val="24"/>
        </w:rPr>
        <w:t xml:space="preserve"> and they</w:t>
      </w:r>
      <w:r>
        <w:rPr>
          <w:rFonts w:eastAsia="Calibri"/>
          <w:sz w:val="24"/>
          <w:szCs w:val="24"/>
        </w:rPr>
        <w:t xml:space="preserve"> frequently</w:t>
      </w:r>
      <w:r w:rsidRPr="001A6925">
        <w:rPr>
          <w:rFonts w:eastAsia="Calibri"/>
          <w:sz w:val="24"/>
          <w:szCs w:val="24"/>
        </w:rPr>
        <w:t xml:space="preserve"> choose to step up to challenges, especially when they have the support they need to succeed. </w:t>
      </w:r>
      <w:r w:rsidR="00866ECA" w:rsidRPr="00061B2E">
        <w:rPr>
          <w:rFonts w:eastAsia="Calibri"/>
          <w:sz w:val="24"/>
          <w:szCs w:val="24"/>
        </w:rPr>
        <w:t xml:space="preserve">Studies </w:t>
      </w:r>
      <w:r w:rsidR="0064755B" w:rsidRPr="00061B2E">
        <w:rPr>
          <w:rFonts w:eastAsia="Calibri"/>
          <w:sz w:val="24"/>
          <w:szCs w:val="24"/>
        </w:rPr>
        <w:t>verify</w:t>
      </w:r>
      <w:r w:rsidR="00866ECA" w:rsidRPr="00061B2E">
        <w:rPr>
          <w:rFonts w:eastAsia="Calibri"/>
          <w:sz w:val="24"/>
          <w:szCs w:val="24"/>
        </w:rPr>
        <w:t xml:space="preserve"> that</w:t>
      </w:r>
      <w:r w:rsidR="0064755B" w:rsidRPr="00061B2E">
        <w:rPr>
          <w:rFonts w:eastAsia="Calibri"/>
          <w:sz w:val="24"/>
          <w:szCs w:val="24"/>
        </w:rPr>
        <w:t xml:space="preserve"> such</w:t>
      </w:r>
      <w:r w:rsidR="00866ECA" w:rsidRPr="00061B2E">
        <w:rPr>
          <w:rFonts w:eastAsia="Calibri"/>
          <w:sz w:val="24"/>
          <w:szCs w:val="24"/>
        </w:rPr>
        <w:t xml:space="preserve"> “tracking</w:t>
      </w:r>
      <w:r w:rsidR="00866ECA" w:rsidRPr="001A6925">
        <w:rPr>
          <w:rFonts w:eastAsia="Calibri"/>
          <w:sz w:val="24"/>
          <w:szCs w:val="24"/>
        </w:rPr>
        <w:t xml:space="preserve"> up” into more challenging classes </w:t>
      </w:r>
      <w:r w:rsidR="00264041">
        <w:rPr>
          <w:rFonts w:eastAsia="Calibri"/>
          <w:sz w:val="24"/>
          <w:szCs w:val="24"/>
        </w:rPr>
        <w:t xml:space="preserve">can have </w:t>
      </w:r>
      <w:r w:rsidR="00FF1A32">
        <w:rPr>
          <w:rFonts w:eastAsia="Calibri"/>
          <w:sz w:val="24"/>
          <w:szCs w:val="24"/>
        </w:rPr>
        <w:t>benefits for students, and th</w:t>
      </w:r>
      <w:r w:rsidR="00C0540F">
        <w:rPr>
          <w:rFonts w:eastAsia="Calibri"/>
          <w:sz w:val="24"/>
          <w:szCs w:val="24"/>
        </w:rPr>
        <w:t>o</w:t>
      </w:r>
      <w:r w:rsidR="00FF1A32">
        <w:rPr>
          <w:rFonts w:eastAsia="Calibri"/>
          <w:sz w:val="24"/>
          <w:szCs w:val="24"/>
        </w:rPr>
        <w:t>se</w:t>
      </w:r>
      <w:r w:rsidR="00C0540F">
        <w:rPr>
          <w:rFonts w:eastAsia="Calibri"/>
          <w:sz w:val="24"/>
          <w:szCs w:val="24"/>
        </w:rPr>
        <w:t xml:space="preserve"> benefits</w:t>
      </w:r>
      <w:r w:rsidR="00FF1A32">
        <w:rPr>
          <w:rFonts w:eastAsia="Calibri"/>
          <w:sz w:val="24"/>
          <w:szCs w:val="24"/>
        </w:rPr>
        <w:t xml:space="preserve"> are particularly strong</w:t>
      </w:r>
      <w:r w:rsidR="00866ECA" w:rsidRPr="001A6925">
        <w:rPr>
          <w:rFonts w:eastAsia="Calibri"/>
          <w:sz w:val="24"/>
          <w:szCs w:val="24"/>
        </w:rPr>
        <w:t xml:space="preserve"> for students of color (see, for example, Card and Giuliano, 2016, who also found that high-achieving students of color </w:t>
      </w:r>
      <w:proofErr w:type="gramStart"/>
      <w:r w:rsidR="00866ECA" w:rsidRPr="001A6925">
        <w:rPr>
          <w:rFonts w:eastAsia="Calibri"/>
          <w:sz w:val="24"/>
          <w:szCs w:val="24"/>
        </w:rPr>
        <w:t>are typically overlooked</w:t>
      </w:r>
      <w:proofErr w:type="gramEnd"/>
      <w:r w:rsidR="00866ECA" w:rsidRPr="001A6925">
        <w:rPr>
          <w:rFonts w:eastAsia="Calibri"/>
          <w:sz w:val="24"/>
          <w:szCs w:val="24"/>
        </w:rPr>
        <w:t xml:space="preserve"> for these opportunities).</w:t>
      </w:r>
      <w:r w:rsidR="001A5D4C">
        <w:rPr>
          <w:rFonts w:eastAsia="Calibri"/>
          <w:sz w:val="24"/>
          <w:szCs w:val="24"/>
        </w:rPr>
        <w:t xml:space="preserve"> Where separate </w:t>
      </w:r>
      <w:r w:rsidR="001A5D4C">
        <w:rPr>
          <w:rFonts w:eastAsia="Calibri"/>
          <w:sz w:val="24"/>
          <w:szCs w:val="24"/>
        </w:rPr>
        <w:lastRenderedPageBreak/>
        <w:t xml:space="preserve">pathways </w:t>
      </w:r>
      <w:proofErr w:type="gramStart"/>
      <w:r w:rsidR="001A5D4C">
        <w:rPr>
          <w:rFonts w:eastAsia="Calibri"/>
          <w:sz w:val="24"/>
          <w:szCs w:val="24"/>
        </w:rPr>
        <w:t>are used</w:t>
      </w:r>
      <w:proofErr w:type="gramEnd"/>
      <w:r w:rsidR="001A5D4C">
        <w:rPr>
          <w:rFonts w:eastAsia="Calibri"/>
          <w:sz w:val="24"/>
          <w:szCs w:val="24"/>
        </w:rPr>
        <w:t xml:space="preserve">, </w:t>
      </w:r>
      <w:r w:rsidR="001A5D4C" w:rsidRPr="001A6925">
        <w:rPr>
          <w:rFonts w:eastAsia="Calibri"/>
          <w:sz w:val="24"/>
          <w:szCs w:val="24"/>
        </w:rPr>
        <w:t xml:space="preserve">students </w:t>
      </w:r>
      <w:r w:rsidR="001A5D4C">
        <w:rPr>
          <w:rFonts w:eastAsia="Calibri"/>
          <w:sz w:val="24"/>
          <w:szCs w:val="24"/>
        </w:rPr>
        <w:t xml:space="preserve">should be enabled </w:t>
      </w:r>
      <w:r w:rsidR="001A5D4C" w:rsidRPr="001A6925">
        <w:rPr>
          <w:rFonts w:eastAsia="Calibri"/>
          <w:sz w:val="24"/>
          <w:szCs w:val="24"/>
        </w:rPr>
        <w:t xml:space="preserve">to pursue additional study options at multiple </w:t>
      </w:r>
      <w:r w:rsidR="001A5D4C" w:rsidRPr="003D7275">
        <w:rPr>
          <w:rFonts w:eastAsia="Calibri"/>
          <w:sz w:val="24"/>
          <w:szCs w:val="24"/>
        </w:rPr>
        <w:t>junctures if they wish to shift the rate at which they progress.</w:t>
      </w:r>
    </w:p>
    <w:p w14:paraId="1213BE86" w14:textId="325DF5A0" w:rsidR="00866ECA" w:rsidRPr="003D7275" w:rsidRDefault="003976F9" w:rsidP="003D7275">
      <w:pPr>
        <w:spacing w:after="240" w:line="360" w:lineRule="auto"/>
        <w:rPr>
          <w:sz w:val="24"/>
          <w:szCs w:val="24"/>
        </w:rPr>
      </w:pPr>
      <w:r w:rsidRPr="003D7275">
        <w:rPr>
          <w:b/>
          <w:bCs/>
          <w:sz w:val="24"/>
          <w:szCs w:val="24"/>
        </w:rPr>
        <w:t>Rethinking course pathways.</w:t>
      </w:r>
      <w:r w:rsidRPr="003D7275">
        <w:rPr>
          <w:sz w:val="24"/>
          <w:szCs w:val="24"/>
        </w:rPr>
        <w:t xml:space="preserve"> </w:t>
      </w:r>
      <w:r w:rsidR="001A5D4C" w:rsidRPr="003D7275">
        <w:rPr>
          <w:sz w:val="24"/>
          <w:szCs w:val="24"/>
        </w:rPr>
        <w:t>It would be helpful for the state to convene</w:t>
      </w:r>
      <w:r w:rsidR="00B75FF1" w:rsidRPr="003D7275">
        <w:rPr>
          <w:sz w:val="24"/>
          <w:szCs w:val="24"/>
        </w:rPr>
        <w:t xml:space="preserve"> a working group of math</w:t>
      </w:r>
      <w:r w:rsidR="001A5D4C" w:rsidRPr="003D7275">
        <w:rPr>
          <w:sz w:val="24"/>
          <w:szCs w:val="24"/>
        </w:rPr>
        <w:t>ematics</w:t>
      </w:r>
      <w:r w:rsidR="00B75FF1" w:rsidRPr="003D7275">
        <w:rPr>
          <w:sz w:val="24"/>
          <w:szCs w:val="24"/>
        </w:rPr>
        <w:t xml:space="preserve"> experts to discuss and clarify possible high school pathways. Such guidance could help districts </w:t>
      </w:r>
      <w:r w:rsidRPr="003D7275">
        <w:rPr>
          <w:sz w:val="24"/>
          <w:szCs w:val="24"/>
        </w:rPr>
        <w:t>and schools r</w:t>
      </w:r>
      <w:r w:rsidR="00866ECA" w:rsidRPr="003D7275">
        <w:rPr>
          <w:sz w:val="24"/>
          <w:szCs w:val="24"/>
        </w:rPr>
        <w:t xml:space="preserve">everse-engineer high school pathways so that advanced courses are attainable by students </w:t>
      </w:r>
      <w:r w:rsidR="00C0540F" w:rsidRPr="003D7275">
        <w:rPr>
          <w:sz w:val="24"/>
          <w:szCs w:val="24"/>
        </w:rPr>
        <w:t xml:space="preserve">who </w:t>
      </w:r>
      <w:r w:rsidR="00866ECA" w:rsidRPr="003D7275">
        <w:rPr>
          <w:sz w:val="24"/>
          <w:szCs w:val="24"/>
        </w:rPr>
        <w:t>begin with the default</w:t>
      </w:r>
      <w:r w:rsidR="00FF1A32" w:rsidRPr="003D7275">
        <w:rPr>
          <w:sz w:val="24"/>
          <w:szCs w:val="24"/>
        </w:rPr>
        <w:t xml:space="preserve"> Algebra I or Math</w:t>
      </w:r>
      <w:r w:rsidR="003D7275">
        <w:rPr>
          <w:sz w:val="24"/>
          <w:szCs w:val="24"/>
        </w:rPr>
        <w:t>ematics</w:t>
      </w:r>
      <w:r w:rsidR="00FF1A32" w:rsidRPr="003D7275">
        <w:rPr>
          <w:sz w:val="24"/>
          <w:szCs w:val="24"/>
        </w:rPr>
        <w:t xml:space="preserve"> </w:t>
      </w:r>
      <w:r w:rsidR="003D7275">
        <w:rPr>
          <w:sz w:val="24"/>
          <w:szCs w:val="24"/>
        </w:rPr>
        <w:t>I</w:t>
      </w:r>
      <w:r w:rsidR="00866ECA" w:rsidRPr="003D7275">
        <w:rPr>
          <w:sz w:val="24"/>
          <w:szCs w:val="24"/>
        </w:rPr>
        <w:t xml:space="preserve"> course in ninth grade</w:t>
      </w:r>
      <w:r w:rsidR="00C0540F" w:rsidRPr="003D7275">
        <w:rPr>
          <w:sz w:val="24"/>
          <w:szCs w:val="24"/>
        </w:rPr>
        <w:t>, rather than eighth grade</w:t>
      </w:r>
      <w:r w:rsidR="00866ECA" w:rsidRPr="003D7275">
        <w:rPr>
          <w:sz w:val="24"/>
          <w:szCs w:val="24"/>
        </w:rPr>
        <w:t xml:space="preserve">. As discussed in </w:t>
      </w:r>
      <w:r w:rsidR="003D7275">
        <w:rPr>
          <w:sz w:val="24"/>
          <w:szCs w:val="24"/>
        </w:rPr>
        <w:t>c</w:t>
      </w:r>
      <w:r w:rsidR="00866ECA" w:rsidRPr="003D7275">
        <w:rPr>
          <w:sz w:val="24"/>
          <w:szCs w:val="24"/>
        </w:rPr>
        <w:t xml:space="preserve">hapter </w:t>
      </w:r>
      <w:r w:rsidR="00C4062A">
        <w:rPr>
          <w:sz w:val="24"/>
          <w:szCs w:val="24"/>
        </w:rPr>
        <w:t>eight</w:t>
      </w:r>
      <w:r w:rsidR="00866ECA" w:rsidRPr="003D7275">
        <w:rPr>
          <w:sz w:val="24"/>
          <w:szCs w:val="24"/>
        </w:rPr>
        <w:t>, this is possible</w:t>
      </w:r>
      <w:r w:rsidR="001A5D4C" w:rsidRPr="003D7275">
        <w:rPr>
          <w:sz w:val="24"/>
          <w:szCs w:val="24"/>
        </w:rPr>
        <w:t xml:space="preserve"> both because there is repetitive content in the current traditional pathway to calculus and</w:t>
      </w:r>
      <w:r w:rsidR="00866ECA" w:rsidRPr="003D7275">
        <w:rPr>
          <w:sz w:val="24"/>
          <w:szCs w:val="24"/>
        </w:rPr>
        <w:t xml:space="preserve"> because the C</w:t>
      </w:r>
      <w:r w:rsidR="003D7275">
        <w:rPr>
          <w:sz w:val="24"/>
          <w:szCs w:val="24"/>
        </w:rPr>
        <w:t>alifornia Common Core State Standards for Mathematics (CA</w:t>
      </w:r>
      <w:r w:rsidR="00866ECA" w:rsidRPr="003D7275">
        <w:rPr>
          <w:sz w:val="24"/>
          <w:szCs w:val="24"/>
        </w:rPr>
        <w:t xml:space="preserve"> CCSSM</w:t>
      </w:r>
      <w:r w:rsidR="003D7275">
        <w:rPr>
          <w:sz w:val="24"/>
          <w:szCs w:val="24"/>
        </w:rPr>
        <w:t>)</w:t>
      </w:r>
      <w:r w:rsidR="00866ECA" w:rsidRPr="003D7275">
        <w:rPr>
          <w:sz w:val="24"/>
          <w:szCs w:val="24"/>
        </w:rPr>
        <w:t xml:space="preserve"> middle grades expectations</w:t>
      </w:r>
      <w:r w:rsidR="00C21265" w:rsidRPr="003D7275">
        <w:rPr>
          <w:sz w:val="24"/>
          <w:szCs w:val="24"/>
        </w:rPr>
        <w:t xml:space="preserve">, which include a strong start on </w:t>
      </w:r>
      <w:r w:rsidR="00C0540F" w:rsidRPr="003D7275">
        <w:rPr>
          <w:sz w:val="24"/>
          <w:szCs w:val="24"/>
        </w:rPr>
        <w:t>a</w:t>
      </w:r>
      <w:r w:rsidR="00C21265" w:rsidRPr="003D7275">
        <w:rPr>
          <w:sz w:val="24"/>
          <w:szCs w:val="24"/>
        </w:rPr>
        <w:t>lgebra,</w:t>
      </w:r>
      <w:r w:rsidR="00866ECA" w:rsidRPr="003D7275">
        <w:rPr>
          <w:sz w:val="24"/>
          <w:szCs w:val="24"/>
        </w:rPr>
        <w:t xml:space="preserve"> are sufficiently rigorous preparation for a four-year high school pathway </w:t>
      </w:r>
      <w:r w:rsidR="006D12CC" w:rsidRPr="003D7275">
        <w:rPr>
          <w:sz w:val="24"/>
          <w:szCs w:val="24"/>
        </w:rPr>
        <w:t>that</w:t>
      </w:r>
      <w:r w:rsidR="00866ECA" w:rsidRPr="003D7275">
        <w:rPr>
          <w:sz w:val="24"/>
          <w:szCs w:val="24"/>
        </w:rPr>
        <w:t xml:space="preserve"> include</w:t>
      </w:r>
      <w:r w:rsidR="006D12CC" w:rsidRPr="003D7275">
        <w:rPr>
          <w:sz w:val="24"/>
          <w:szCs w:val="24"/>
        </w:rPr>
        <w:t>s</w:t>
      </w:r>
      <w:r w:rsidR="00866ECA" w:rsidRPr="003D7275">
        <w:rPr>
          <w:sz w:val="24"/>
          <w:szCs w:val="24"/>
        </w:rPr>
        <w:t xml:space="preserve"> advanced classes </w:t>
      </w:r>
      <w:r w:rsidR="006D12CC" w:rsidRPr="003D7275">
        <w:rPr>
          <w:sz w:val="24"/>
          <w:szCs w:val="24"/>
        </w:rPr>
        <w:t>such as</w:t>
      </w:r>
      <w:r w:rsidR="00866ECA" w:rsidRPr="003D7275">
        <w:rPr>
          <w:sz w:val="24"/>
          <w:szCs w:val="24"/>
        </w:rPr>
        <w:t xml:space="preserve"> </w:t>
      </w:r>
      <w:r w:rsidR="00C0540F" w:rsidRPr="003D7275">
        <w:rPr>
          <w:sz w:val="24"/>
          <w:szCs w:val="24"/>
        </w:rPr>
        <w:t>s</w:t>
      </w:r>
      <w:r w:rsidR="00866ECA" w:rsidRPr="003D7275">
        <w:rPr>
          <w:sz w:val="24"/>
          <w:szCs w:val="24"/>
        </w:rPr>
        <w:t xml:space="preserve">tatistics or </w:t>
      </w:r>
      <w:r w:rsidR="00C0540F" w:rsidRPr="003D7275">
        <w:rPr>
          <w:sz w:val="24"/>
          <w:szCs w:val="24"/>
        </w:rPr>
        <w:t>c</w:t>
      </w:r>
      <w:r w:rsidR="00866ECA" w:rsidRPr="003D7275">
        <w:rPr>
          <w:sz w:val="24"/>
          <w:szCs w:val="24"/>
        </w:rPr>
        <w:t>alculus.</w:t>
      </w:r>
    </w:p>
    <w:p w14:paraId="06B41F21" w14:textId="600F31E6" w:rsidR="00D15724" w:rsidRPr="00E843F3" w:rsidRDefault="003976F9" w:rsidP="00D15724">
      <w:pPr>
        <w:spacing w:after="240" w:line="360" w:lineRule="auto"/>
        <w:rPr>
          <w:rFonts w:eastAsia="Calibri"/>
          <w:sz w:val="24"/>
          <w:szCs w:val="24"/>
        </w:rPr>
      </w:pPr>
      <w:r w:rsidRPr="00A423CF">
        <w:rPr>
          <w:rFonts w:eastAsia="Calibri"/>
          <w:b/>
          <w:bCs/>
          <w:sz w:val="24"/>
          <w:szCs w:val="24"/>
        </w:rPr>
        <w:t>Providing additional support and expanded learning time</w:t>
      </w:r>
      <w:r>
        <w:rPr>
          <w:rFonts w:eastAsia="Times New Roman"/>
          <w:color w:val="000000" w:themeColor="text1"/>
          <w:sz w:val="24"/>
          <w:szCs w:val="24"/>
          <w:lang w:val="en-US"/>
        </w:rPr>
        <w:t xml:space="preserve">. </w:t>
      </w:r>
      <w:r w:rsidR="0A57337B" w:rsidRPr="0A57337B">
        <w:rPr>
          <w:rFonts w:eastAsia="Times New Roman"/>
          <w:color w:val="000000" w:themeColor="text1"/>
          <w:sz w:val="24"/>
          <w:szCs w:val="24"/>
          <w:lang w:val="en-US"/>
        </w:rPr>
        <w:t xml:space="preserve">Students may benefit from support or co-requisite courses taken alongside their primary math class to help them gain deep understanding and mastery of important math ideas </w:t>
      </w:r>
      <w:r w:rsidR="00955683" w:rsidRPr="003976F9">
        <w:rPr>
          <w:rFonts w:eastAsia="Times New Roman"/>
          <w:color w:val="000000" w:themeColor="text1"/>
          <w:sz w:val="24"/>
          <w:szCs w:val="24"/>
          <w:lang w:val="en-US"/>
        </w:rPr>
        <w:t xml:space="preserve">and to revisit content that </w:t>
      </w:r>
      <w:r w:rsidR="00264041">
        <w:rPr>
          <w:rFonts w:eastAsia="Times New Roman"/>
          <w:color w:val="000000" w:themeColor="text1"/>
          <w:sz w:val="24"/>
          <w:szCs w:val="24"/>
          <w:lang w:val="en-US"/>
        </w:rPr>
        <w:t xml:space="preserve">may have </w:t>
      </w:r>
      <w:proofErr w:type="gramStart"/>
      <w:r w:rsidR="00264041">
        <w:rPr>
          <w:rFonts w:eastAsia="Times New Roman"/>
          <w:color w:val="000000" w:themeColor="text1"/>
          <w:sz w:val="24"/>
          <w:szCs w:val="24"/>
          <w:lang w:val="en-US"/>
        </w:rPr>
        <w:t>been</w:t>
      </w:r>
      <w:r w:rsidR="00955683" w:rsidRPr="003976F9">
        <w:rPr>
          <w:rFonts w:eastAsia="Times New Roman"/>
          <w:color w:val="000000" w:themeColor="text1"/>
          <w:sz w:val="24"/>
          <w:szCs w:val="24"/>
          <w:lang w:val="en-US"/>
        </w:rPr>
        <w:t xml:space="preserve"> missed</w:t>
      </w:r>
      <w:proofErr w:type="gramEnd"/>
      <w:r w:rsidR="00264041">
        <w:rPr>
          <w:rFonts w:eastAsia="Times New Roman"/>
          <w:color w:val="000000" w:themeColor="text1"/>
          <w:sz w:val="24"/>
          <w:szCs w:val="24"/>
          <w:lang w:val="en-US"/>
        </w:rPr>
        <w:t xml:space="preserve"> or poorly understood</w:t>
      </w:r>
      <w:r w:rsidR="00955683" w:rsidRPr="003976F9">
        <w:rPr>
          <w:rFonts w:eastAsia="Times New Roman"/>
          <w:color w:val="000000" w:themeColor="text1"/>
          <w:sz w:val="24"/>
          <w:szCs w:val="24"/>
          <w:lang w:val="en-US"/>
        </w:rPr>
        <w:t xml:space="preserve"> in previous years. They may also take more than one mathematics course a year </w:t>
      </w:r>
      <w:proofErr w:type="gramStart"/>
      <w:r w:rsidR="00955683" w:rsidRPr="003976F9">
        <w:rPr>
          <w:rFonts w:eastAsia="Times New Roman"/>
          <w:color w:val="000000" w:themeColor="text1"/>
          <w:sz w:val="24"/>
          <w:szCs w:val="24"/>
          <w:lang w:val="en-US"/>
        </w:rPr>
        <w:t>in order to</w:t>
      </w:r>
      <w:proofErr w:type="gramEnd"/>
      <w:r w:rsidR="00955683" w:rsidRPr="003976F9">
        <w:rPr>
          <w:rFonts w:eastAsia="Times New Roman"/>
          <w:color w:val="000000" w:themeColor="text1"/>
          <w:sz w:val="24"/>
          <w:szCs w:val="24"/>
          <w:lang w:val="en-US"/>
        </w:rPr>
        <w:t xml:space="preserve"> reach more advanced courses</w:t>
      </w:r>
      <w:r w:rsidR="00955683">
        <w:rPr>
          <w:rFonts w:eastAsia="Times New Roman"/>
          <w:color w:val="000000" w:themeColor="text1"/>
          <w:sz w:val="24"/>
          <w:szCs w:val="24"/>
          <w:lang w:val="en-US"/>
        </w:rPr>
        <w:t xml:space="preserve"> </w:t>
      </w:r>
      <w:r w:rsidR="0A57337B" w:rsidRPr="0A57337B">
        <w:rPr>
          <w:rFonts w:eastAsia="Times New Roman"/>
          <w:color w:val="000000" w:themeColor="text1"/>
          <w:sz w:val="24"/>
          <w:szCs w:val="24"/>
          <w:lang w:val="en-US"/>
        </w:rPr>
        <w:t>during their high school years</w:t>
      </w:r>
      <w:r w:rsidR="0A57337B" w:rsidRPr="007B24E1">
        <w:rPr>
          <w:rFonts w:eastAsia="Times New Roman"/>
          <w:color w:val="000000" w:themeColor="text1"/>
          <w:sz w:val="24"/>
          <w:szCs w:val="24"/>
          <w:lang w:val="en-US"/>
        </w:rPr>
        <w:t xml:space="preserve">. </w:t>
      </w:r>
      <w:r w:rsidR="00077D69" w:rsidRPr="007B24E1">
        <w:rPr>
          <w:rFonts w:eastAsia="Calibri"/>
          <w:sz w:val="24"/>
          <w:szCs w:val="24"/>
        </w:rPr>
        <w:t xml:space="preserve">One </w:t>
      </w:r>
      <w:r w:rsidR="0058048A" w:rsidRPr="007B24E1">
        <w:rPr>
          <w:rFonts w:eastAsia="Calibri"/>
          <w:sz w:val="24"/>
          <w:szCs w:val="24"/>
        </w:rPr>
        <w:t xml:space="preserve">approach </w:t>
      </w:r>
      <w:r w:rsidR="00077D69" w:rsidRPr="007B24E1">
        <w:rPr>
          <w:rFonts w:eastAsia="Calibri"/>
          <w:sz w:val="24"/>
          <w:szCs w:val="24"/>
        </w:rPr>
        <w:t>is to</w:t>
      </w:r>
      <w:r w:rsidR="00866ECA" w:rsidRPr="007B24E1">
        <w:rPr>
          <w:rFonts w:eastAsia="Calibri"/>
          <w:sz w:val="24"/>
          <w:szCs w:val="24"/>
        </w:rPr>
        <w:t xml:space="preserve"> offer summer class</w:t>
      </w:r>
      <w:r w:rsidRPr="007B24E1">
        <w:rPr>
          <w:rFonts w:eastAsia="Calibri"/>
          <w:sz w:val="24"/>
          <w:szCs w:val="24"/>
        </w:rPr>
        <w:t>es—</w:t>
      </w:r>
      <w:r w:rsidR="00866ECA" w:rsidRPr="007B24E1">
        <w:rPr>
          <w:rFonts w:eastAsia="Calibri"/>
          <w:sz w:val="24"/>
          <w:szCs w:val="24"/>
        </w:rPr>
        <w:t>before high school</w:t>
      </w:r>
      <w:r w:rsidRPr="007B24E1">
        <w:rPr>
          <w:rFonts w:eastAsia="Calibri"/>
          <w:sz w:val="24"/>
          <w:szCs w:val="24"/>
        </w:rPr>
        <w:t xml:space="preserve"> and during high school summers—</w:t>
      </w:r>
      <w:r w:rsidR="0058048A" w:rsidRPr="007B24E1">
        <w:rPr>
          <w:rFonts w:eastAsia="Calibri"/>
          <w:sz w:val="24"/>
          <w:szCs w:val="24"/>
        </w:rPr>
        <w:t>where</w:t>
      </w:r>
      <w:r w:rsidR="00866ECA" w:rsidRPr="007B24E1">
        <w:rPr>
          <w:rFonts w:eastAsia="Calibri"/>
          <w:sz w:val="24"/>
          <w:szCs w:val="24"/>
        </w:rPr>
        <w:t xml:space="preserve"> students </w:t>
      </w:r>
      <w:r w:rsidR="0058048A" w:rsidRPr="007B24E1">
        <w:rPr>
          <w:rFonts w:eastAsia="Calibri"/>
          <w:sz w:val="24"/>
          <w:szCs w:val="24"/>
        </w:rPr>
        <w:t>can</w:t>
      </w:r>
      <w:r w:rsidR="000E02BD" w:rsidRPr="007B24E1">
        <w:rPr>
          <w:rFonts w:eastAsia="Calibri"/>
          <w:sz w:val="24"/>
          <w:szCs w:val="24"/>
        </w:rPr>
        <w:t xml:space="preserve"> take a course or</w:t>
      </w:r>
      <w:r w:rsidR="00866ECA" w:rsidRPr="007B24E1">
        <w:rPr>
          <w:rFonts w:eastAsia="Calibri"/>
          <w:sz w:val="24"/>
          <w:szCs w:val="24"/>
        </w:rPr>
        <w:t xml:space="preserve"> strengthen their readiness for the next sequence of courses</w:t>
      </w:r>
      <w:r w:rsidRPr="007B24E1">
        <w:rPr>
          <w:rFonts w:eastAsia="Calibri"/>
          <w:sz w:val="24"/>
          <w:szCs w:val="24"/>
        </w:rPr>
        <w:t xml:space="preserve">. </w:t>
      </w:r>
      <w:r w:rsidR="0058048A" w:rsidRPr="00DC3652">
        <w:rPr>
          <w:sz w:val="24"/>
          <w:szCs w:val="24"/>
        </w:rPr>
        <w:t xml:space="preserve">The </w:t>
      </w:r>
      <w:r w:rsidR="00866ECA" w:rsidRPr="00D109BB">
        <w:rPr>
          <w:rFonts w:eastAsia="Calibri"/>
          <w:sz w:val="24"/>
          <w:szCs w:val="24"/>
        </w:rPr>
        <w:t>Algebra Project, created by Bob Moses, has designed curricul</w:t>
      </w:r>
      <w:r w:rsidR="0058048A">
        <w:rPr>
          <w:rFonts w:eastAsia="Calibri"/>
          <w:sz w:val="24"/>
          <w:szCs w:val="24"/>
        </w:rPr>
        <w:t>a</w:t>
      </w:r>
      <w:r w:rsidR="00866ECA" w:rsidRPr="00D109BB">
        <w:rPr>
          <w:rFonts w:eastAsia="Calibri"/>
          <w:sz w:val="24"/>
          <w:szCs w:val="24"/>
        </w:rPr>
        <w:t xml:space="preserve"> used in </w:t>
      </w:r>
      <w:r w:rsidR="0058048A">
        <w:rPr>
          <w:rFonts w:eastAsia="Calibri"/>
          <w:sz w:val="24"/>
          <w:szCs w:val="24"/>
        </w:rPr>
        <w:t>summer-</w:t>
      </w:r>
      <w:r w:rsidR="00866ECA" w:rsidRPr="00D109BB">
        <w:rPr>
          <w:rFonts w:eastAsia="Calibri"/>
          <w:sz w:val="24"/>
          <w:szCs w:val="24"/>
        </w:rPr>
        <w:t xml:space="preserve"> and </w:t>
      </w:r>
      <w:r w:rsidR="0058048A">
        <w:rPr>
          <w:rFonts w:eastAsia="Calibri"/>
          <w:sz w:val="24"/>
          <w:szCs w:val="24"/>
        </w:rPr>
        <w:t xml:space="preserve">after-school </w:t>
      </w:r>
      <w:r w:rsidR="00866ECA" w:rsidRPr="00D109BB">
        <w:rPr>
          <w:rFonts w:eastAsia="Calibri"/>
          <w:sz w:val="24"/>
          <w:szCs w:val="24"/>
        </w:rPr>
        <w:t xml:space="preserve">programs, as well as during school-year courses, </w:t>
      </w:r>
      <w:proofErr w:type="gramStart"/>
      <w:r w:rsidR="00866ECA" w:rsidRPr="00D109BB">
        <w:rPr>
          <w:rFonts w:eastAsia="Calibri"/>
          <w:sz w:val="24"/>
          <w:szCs w:val="24"/>
        </w:rPr>
        <w:t>that</w:t>
      </w:r>
      <w:proofErr w:type="gramEnd"/>
      <w:r w:rsidR="00866ECA" w:rsidRPr="00D109BB">
        <w:rPr>
          <w:rFonts w:eastAsia="Calibri"/>
          <w:sz w:val="24"/>
          <w:szCs w:val="24"/>
        </w:rPr>
        <w:t xml:space="preserve"> enable students </w:t>
      </w:r>
      <w:r w:rsidR="000A33C7">
        <w:rPr>
          <w:rFonts w:eastAsia="Calibri"/>
          <w:sz w:val="24"/>
          <w:szCs w:val="24"/>
        </w:rPr>
        <w:t>both</w:t>
      </w:r>
      <w:r w:rsidR="000A33C7" w:rsidRPr="00D109BB">
        <w:rPr>
          <w:rFonts w:eastAsia="Calibri"/>
          <w:sz w:val="24"/>
          <w:szCs w:val="24"/>
        </w:rPr>
        <w:t xml:space="preserve"> </w:t>
      </w:r>
      <w:r w:rsidR="00866ECA" w:rsidRPr="00D109BB">
        <w:rPr>
          <w:rFonts w:eastAsia="Calibri"/>
          <w:sz w:val="24"/>
          <w:szCs w:val="24"/>
        </w:rPr>
        <w:t>to</w:t>
      </w:r>
      <w:r w:rsidR="00926BFB">
        <w:rPr>
          <w:rFonts w:eastAsia="Calibri"/>
          <w:sz w:val="24"/>
          <w:szCs w:val="24"/>
        </w:rPr>
        <w:t xml:space="preserve"> </w:t>
      </w:r>
      <w:r w:rsidR="00866ECA" w:rsidRPr="00D109BB">
        <w:rPr>
          <w:rFonts w:eastAsia="Calibri"/>
          <w:sz w:val="24"/>
          <w:szCs w:val="24"/>
        </w:rPr>
        <w:t>strengthen their skills and develop a strong mathematics identity.</w:t>
      </w:r>
      <w:r w:rsidR="00866ECA" w:rsidRPr="00D623AB">
        <w:t xml:space="preserve"> </w:t>
      </w:r>
      <w:r w:rsidR="00866ECA" w:rsidRPr="00D623AB">
        <w:rPr>
          <w:rFonts w:eastAsia="Calibri"/>
          <w:sz w:val="24"/>
          <w:szCs w:val="24"/>
        </w:rPr>
        <w:t xml:space="preserve">Similarly, </w:t>
      </w:r>
      <w:r w:rsidR="00BC4331">
        <w:rPr>
          <w:rFonts w:eastAsia="Calibri"/>
          <w:sz w:val="24"/>
          <w:szCs w:val="24"/>
        </w:rPr>
        <w:t>T</w:t>
      </w:r>
      <w:r w:rsidR="00866ECA" w:rsidRPr="00D623AB">
        <w:rPr>
          <w:rFonts w:eastAsia="Calibri"/>
          <w:sz w:val="24"/>
          <w:szCs w:val="24"/>
        </w:rPr>
        <w:t xml:space="preserve">he Calculus Project enables higher achievement for traditionally underrepresented students by </w:t>
      </w:r>
      <w:proofErr w:type="gramStart"/>
      <w:r w:rsidR="00866ECA" w:rsidRPr="00D623AB">
        <w:rPr>
          <w:rFonts w:eastAsia="Calibri"/>
          <w:sz w:val="24"/>
          <w:szCs w:val="24"/>
        </w:rPr>
        <w:t>working</w:t>
      </w:r>
      <w:proofErr w:type="gramEnd"/>
      <w:r w:rsidR="00866ECA" w:rsidRPr="00D623AB">
        <w:rPr>
          <w:rFonts w:eastAsia="Calibri"/>
          <w:sz w:val="24"/>
          <w:szCs w:val="24"/>
        </w:rPr>
        <w:t xml:space="preserve"> with schools to offer preparatory courses in the summer, as well as after</w:t>
      </w:r>
      <w:r w:rsidR="0058048A">
        <w:rPr>
          <w:rFonts w:eastAsia="Calibri"/>
          <w:sz w:val="24"/>
          <w:szCs w:val="24"/>
        </w:rPr>
        <w:t>-</w:t>
      </w:r>
      <w:r w:rsidR="00866ECA" w:rsidRPr="00D623AB">
        <w:rPr>
          <w:rFonts w:eastAsia="Calibri"/>
          <w:sz w:val="24"/>
          <w:szCs w:val="24"/>
        </w:rPr>
        <w:t xml:space="preserve">school study groups and tutoring during the school year to support mathematics instruction from grades </w:t>
      </w:r>
      <w:r w:rsidR="00866ECA">
        <w:rPr>
          <w:rFonts w:eastAsia="Calibri"/>
          <w:sz w:val="24"/>
          <w:szCs w:val="24"/>
        </w:rPr>
        <w:t>eight through twelve</w:t>
      </w:r>
      <w:r w:rsidR="00580569">
        <w:rPr>
          <w:rFonts w:eastAsia="Calibri"/>
          <w:sz w:val="24"/>
          <w:szCs w:val="24"/>
        </w:rPr>
        <w:t>.</w:t>
      </w:r>
    </w:p>
    <w:p w14:paraId="13D8E049" w14:textId="41605DB3" w:rsidR="00866ECA" w:rsidRPr="00E843F3" w:rsidRDefault="7C64D9FE" w:rsidP="11C49142">
      <w:pPr>
        <w:spacing w:after="240" w:line="360" w:lineRule="auto"/>
        <w:rPr>
          <w:rFonts w:eastAsia="Calibri"/>
          <w:sz w:val="24"/>
          <w:szCs w:val="24"/>
        </w:rPr>
      </w:pPr>
      <w:r w:rsidRPr="7C64D9FE">
        <w:rPr>
          <w:rFonts w:eastAsia="Calibri"/>
          <w:sz w:val="24"/>
          <w:szCs w:val="24"/>
        </w:rPr>
        <w:t xml:space="preserve">In another example, Louisiana implemented a pilot program where high school students enrolled in two periods of Algebra I with the same teacher for both periods, using </w:t>
      </w:r>
      <w:r w:rsidR="0043202A">
        <w:rPr>
          <w:rFonts w:eastAsia="Calibri"/>
          <w:sz w:val="24"/>
          <w:szCs w:val="24"/>
        </w:rPr>
        <w:t xml:space="preserve">a </w:t>
      </w:r>
      <w:r w:rsidRPr="7C64D9FE">
        <w:rPr>
          <w:rFonts w:eastAsia="Calibri"/>
          <w:sz w:val="24"/>
          <w:szCs w:val="24"/>
        </w:rPr>
        <w:lastRenderedPageBreak/>
        <w:t>curriculum that interwove foundational mathematics and algebra content (NCTM, 2018). The extended time</w:t>
      </w:r>
      <w:r w:rsidR="0043202A">
        <w:rPr>
          <w:rFonts w:eastAsia="Calibri"/>
          <w:sz w:val="24"/>
          <w:szCs w:val="24"/>
        </w:rPr>
        <w:t>—as well as</w:t>
      </w:r>
      <w:r w:rsidRPr="7C64D9FE">
        <w:rPr>
          <w:rFonts w:eastAsia="Calibri"/>
          <w:sz w:val="24"/>
          <w:szCs w:val="24"/>
        </w:rPr>
        <w:t xml:space="preserve"> additional supports </w:t>
      </w:r>
      <w:r w:rsidRPr="004A28E9">
        <w:rPr>
          <w:rFonts w:eastAsia="Calibri"/>
          <w:color w:val="000000" w:themeColor="text1"/>
          <w:sz w:val="24"/>
          <w:szCs w:val="24"/>
        </w:rPr>
        <w:t>for teachers</w:t>
      </w:r>
      <w:r w:rsidR="0043202A" w:rsidRPr="004A28E9">
        <w:rPr>
          <w:rFonts w:eastAsia="Calibri"/>
          <w:color w:val="000000" w:themeColor="text1"/>
          <w:sz w:val="24"/>
          <w:szCs w:val="24"/>
        </w:rPr>
        <w:t>—</w:t>
      </w:r>
      <w:r w:rsidRPr="004A28E9">
        <w:rPr>
          <w:rFonts w:eastAsia="Calibri"/>
          <w:color w:val="000000" w:themeColor="text1"/>
          <w:sz w:val="24"/>
          <w:szCs w:val="24"/>
        </w:rPr>
        <w:t xml:space="preserve">were critical </w:t>
      </w:r>
      <w:r w:rsidR="0043202A" w:rsidRPr="004A28E9">
        <w:rPr>
          <w:rFonts w:eastAsia="Calibri"/>
          <w:color w:val="000000" w:themeColor="text1"/>
          <w:sz w:val="24"/>
          <w:szCs w:val="24"/>
        </w:rPr>
        <w:t xml:space="preserve">in </w:t>
      </w:r>
      <w:r w:rsidRPr="004A28E9">
        <w:rPr>
          <w:color w:val="000000" w:themeColor="text1"/>
          <w:sz w:val="24"/>
          <w:szCs w:val="24"/>
        </w:rPr>
        <w:t>helping ninth graders successfully complete Algebra I</w:t>
      </w:r>
      <w:r w:rsidRPr="004A28E9">
        <w:rPr>
          <w:rFonts w:eastAsia="Calibri"/>
          <w:color w:val="000000" w:themeColor="text1"/>
          <w:sz w:val="24"/>
          <w:szCs w:val="24"/>
        </w:rPr>
        <w:t xml:space="preserve">. </w:t>
      </w:r>
      <w:proofErr w:type="gramStart"/>
      <w:r w:rsidR="0023763D" w:rsidRPr="004A28E9">
        <w:rPr>
          <w:rFonts w:eastAsia="Calibri"/>
          <w:color w:val="000000" w:themeColor="text1"/>
          <w:sz w:val="24"/>
          <w:szCs w:val="24"/>
        </w:rPr>
        <w:t>A</w:t>
      </w:r>
      <w:r w:rsidR="0043202A" w:rsidRPr="004A28E9">
        <w:rPr>
          <w:rFonts w:eastAsia="Calibri"/>
          <w:color w:val="000000" w:themeColor="text1"/>
          <w:sz w:val="24"/>
          <w:szCs w:val="24"/>
        </w:rPr>
        <w:t xml:space="preserve"> number of</w:t>
      </w:r>
      <w:proofErr w:type="gramEnd"/>
      <w:r w:rsidR="0043202A" w:rsidRPr="004A28E9">
        <w:rPr>
          <w:rFonts w:eastAsia="Calibri"/>
          <w:color w:val="000000" w:themeColor="text1"/>
          <w:sz w:val="24"/>
          <w:szCs w:val="24"/>
        </w:rPr>
        <w:t xml:space="preserve"> studies</w:t>
      </w:r>
      <w:r w:rsidR="0023763D" w:rsidRPr="004A28E9">
        <w:rPr>
          <w:rFonts w:eastAsia="Calibri"/>
          <w:color w:val="000000" w:themeColor="text1"/>
          <w:sz w:val="24"/>
          <w:szCs w:val="24"/>
        </w:rPr>
        <w:t xml:space="preserve"> have shown that</w:t>
      </w:r>
      <w:r w:rsidR="0043202A" w:rsidRPr="004A28E9">
        <w:rPr>
          <w:rFonts w:eastAsia="Calibri"/>
          <w:color w:val="000000" w:themeColor="text1"/>
          <w:sz w:val="24"/>
          <w:szCs w:val="24"/>
        </w:rPr>
        <w:t xml:space="preserve"> a</w:t>
      </w:r>
      <w:r w:rsidRPr="004A28E9">
        <w:rPr>
          <w:rFonts w:eastAsia="Calibri"/>
          <w:color w:val="000000" w:themeColor="text1"/>
          <w:sz w:val="24"/>
          <w:szCs w:val="24"/>
        </w:rPr>
        <w:t>cademic support courses for high</w:t>
      </w:r>
      <w:r w:rsidR="0070339F">
        <w:rPr>
          <w:rFonts w:eastAsia="Calibri"/>
          <w:color w:val="000000" w:themeColor="text1"/>
          <w:sz w:val="24"/>
          <w:szCs w:val="24"/>
        </w:rPr>
        <w:t xml:space="preserve"> </w:t>
      </w:r>
      <w:r w:rsidRPr="004A28E9">
        <w:rPr>
          <w:rFonts w:eastAsia="Calibri"/>
          <w:color w:val="000000" w:themeColor="text1"/>
          <w:sz w:val="24"/>
          <w:szCs w:val="24"/>
        </w:rPr>
        <w:t xml:space="preserve">school mathematics </w:t>
      </w:r>
      <w:r w:rsidR="00264041" w:rsidRPr="004A28E9">
        <w:rPr>
          <w:rFonts w:eastAsia="Calibri"/>
          <w:color w:val="000000" w:themeColor="text1"/>
          <w:sz w:val="24"/>
          <w:szCs w:val="24"/>
        </w:rPr>
        <w:t>can be</w:t>
      </w:r>
      <w:r w:rsidR="0023763D" w:rsidRPr="004A28E9">
        <w:rPr>
          <w:rFonts w:eastAsia="Calibri"/>
          <w:color w:val="000000" w:themeColor="text1"/>
          <w:sz w:val="24"/>
          <w:szCs w:val="24"/>
        </w:rPr>
        <w:t xml:space="preserve"> </w:t>
      </w:r>
      <w:r w:rsidRPr="004A28E9">
        <w:rPr>
          <w:rFonts w:eastAsia="Calibri"/>
          <w:color w:val="000000" w:themeColor="text1"/>
          <w:sz w:val="24"/>
          <w:szCs w:val="24"/>
        </w:rPr>
        <w:t xml:space="preserve">effective </w:t>
      </w:r>
      <w:r w:rsidR="0043202A" w:rsidRPr="004A28E9">
        <w:rPr>
          <w:rFonts w:eastAsia="Calibri"/>
          <w:color w:val="000000" w:themeColor="text1"/>
          <w:sz w:val="24"/>
          <w:szCs w:val="24"/>
        </w:rPr>
        <w:t>in</w:t>
      </w:r>
      <w:r w:rsidR="0070339F" w:rsidRPr="0070339F">
        <w:rPr>
          <w:color w:val="000000" w:themeColor="text1"/>
          <w:sz w:val="24"/>
          <w:szCs w:val="24"/>
        </w:rPr>
        <w:t xml:space="preserve"> </w:t>
      </w:r>
      <w:r w:rsidRPr="004A28E9">
        <w:rPr>
          <w:color w:val="000000" w:themeColor="text1"/>
          <w:sz w:val="24"/>
          <w:szCs w:val="24"/>
        </w:rPr>
        <w:t xml:space="preserve">supporting more students to </w:t>
      </w:r>
      <w:r w:rsidR="000E35FB" w:rsidRPr="004A28E9">
        <w:rPr>
          <w:color w:val="000000" w:themeColor="text1"/>
          <w:sz w:val="24"/>
          <w:szCs w:val="24"/>
        </w:rPr>
        <w:t xml:space="preserve">succeed </w:t>
      </w:r>
      <w:r w:rsidRPr="004A28E9">
        <w:rPr>
          <w:color w:val="000000" w:themeColor="text1"/>
          <w:sz w:val="24"/>
          <w:szCs w:val="24"/>
        </w:rPr>
        <w:t>in mathematics learning</w:t>
      </w:r>
      <w:r w:rsidRPr="004A28E9">
        <w:rPr>
          <w:rFonts w:eastAsia="Calibri"/>
          <w:color w:val="000000" w:themeColor="text1"/>
          <w:sz w:val="24"/>
          <w:szCs w:val="24"/>
        </w:rPr>
        <w:t xml:space="preserve"> (see </w:t>
      </w:r>
      <w:r w:rsidRPr="7C64D9FE">
        <w:rPr>
          <w:rFonts w:eastAsia="Calibri"/>
          <w:sz w:val="24"/>
          <w:szCs w:val="24"/>
        </w:rPr>
        <w:t xml:space="preserve">US Department of Education, 2018). </w:t>
      </w:r>
      <w:r w:rsidR="0023763D">
        <w:rPr>
          <w:rFonts w:eastAsia="Calibri"/>
          <w:sz w:val="24"/>
          <w:szCs w:val="24"/>
        </w:rPr>
        <w:t xml:space="preserve">Such </w:t>
      </w:r>
      <w:r w:rsidRPr="7C64D9FE">
        <w:rPr>
          <w:rFonts w:eastAsia="Calibri"/>
          <w:sz w:val="24"/>
          <w:szCs w:val="24"/>
        </w:rPr>
        <w:t>courses can provide additional time for classroom instruction (as in the Louisiana pilot), homework support, and supplemental assignments</w:t>
      </w:r>
      <w:r w:rsidR="0023763D">
        <w:rPr>
          <w:rFonts w:eastAsia="Calibri"/>
          <w:sz w:val="24"/>
          <w:szCs w:val="24"/>
        </w:rPr>
        <w:t xml:space="preserve"> that</w:t>
      </w:r>
      <w:r w:rsidRPr="7C64D9FE">
        <w:rPr>
          <w:rFonts w:eastAsia="Calibri"/>
          <w:sz w:val="24"/>
          <w:szCs w:val="24"/>
        </w:rPr>
        <w:t xml:space="preserve"> emphasiz</w:t>
      </w:r>
      <w:r w:rsidR="0023763D">
        <w:rPr>
          <w:rFonts w:eastAsia="Calibri"/>
          <w:sz w:val="24"/>
          <w:szCs w:val="24"/>
        </w:rPr>
        <w:t xml:space="preserve">e </w:t>
      </w:r>
      <w:r w:rsidRPr="7C64D9FE">
        <w:rPr>
          <w:rFonts w:eastAsia="Calibri"/>
          <w:sz w:val="24"/>
          <w:szCs w:val="24"/>
        </w:rPr>
        <w:t>study skills and preparation in the core companion courses.</w:t>
      </w:r>
    </w:p>
    <w:p w14:paraId="0221075F" w14:textId="1C447BBD" w:rsidR="00866ECA" w:rsidRPr="001D38B4" w:rsidRDefault="00866ECA" w:rsidP="00866ECA">
      <w:pPr>
        <w:spacing w:after="240" w:line="360" w:lineRule="auto"/>
        <w:rPr>
          <w:rFonts w:eastAsia="Calibri"/>
          <w:strike/>
          <w:sz w:val="24"/>
          <w:szCs w:val="24"/>
        </w:rPr>
      </w:pPr>
      <w:proofErr w:type="gramStart"/>
      <w:r w:rsidRPr="00061B2E">
        <w:rPr>
          <w:rFonts w:eastAsia="Calibri"/>
          <w:sz w:val="24"/>
          <w:szCs w:val="24"/>
        </w:rPr>
        <w:t>Some</w:t>
      </w:r>
      <w:proofErr w:type="gramEnd"/>
      <w:r w:rsidRPr="00061B2E">
        <w:rPr>
          <w:rFonts w:eastAsia="Calibri"/>
          <w:sz w:val="24"/>
          <w:szCs w:val="24"/>
        </w:rPr>
        <w:t xml:space="preserve"> districts offer support classes </w:t>
      </w:r>
      <w:r w:rsidR="00955683" w:rsidRPr="00061B2E">
        <w:rPr>
          <w:rFonts w:eastAsia="Calibri"/>
          <w:sz w:val="24"/>
          <w:szCs w:val="24"/>
        </w:rPr>
        <w:t xml:space="preserve">that are open to everyone. </w:t>
      </w:r>
      <w:r w:rsidRPr="00061B2E">
        <w:rPr>
          <w:rFonts w:eastAsia="Calibri"/>
          <w:sz w:val="24"/>
          <w:szCs w:val="24"/>
        </w:rPr>
        <w:t>In</w:t>
      </w:r>
      <w:r w:rsidRPr="00B26A1A">
        <w:rPr>
          <w:rFonts w:eastAsia="Calibri"/>
          <w:sz w:val="24"/>
          <w:szCs w:val="24"/>
        </w:rPr>
        <w:t xml:space="preserve"> one</w:t>
      </w:r>
      <w:r w:rsidR="00452F72">
        <w:rPr>
          <w:rFonts w:eastAsia="Calibri"/>
          <w:sz w:val="24"/>
          <w:szCs w:val="24"/>
        </w:rPr>
        <w:t xml:space="preserve"> California district,</w:t>
      </w:r>
      <w:r w:rsidRPr="00B26A1A">
        <w:rPr>
          <w:rFonts w:eastAsia="Calibri"/>
          <w:sz w:val="24"/>
          <w:szCs w:val="24"/>
        </w:rPr>
        <w:t xml:space="preserve"> </w:t>
      </w:r>
      <w:r w:rsidRPr="449EEBED">
        <w:rPr>
          <w:rFonts w:eastAsia="Calibri"/>
          <w:sz w:val="24"/>
          <w:szCs w:val="24"/>
        </w:rPr>
        <w:t>middle schools offered a class</w:t>
      </w:r>
      <w:r w:rsidR="003976F9">
        <w:rPr>
          <w:rFonts w:eastAsia="Calibri"/>
          <w:sz w:val="24"/>
          <w:szCs w:val="24"/>
        </w:rPr>
        <w:t>, open to all students,</w:t>
      </w:r>
      <w:r w:rsidRPr="449EEBED">
        <w:rPr>
          <w:rFonts w:eastAsia="Calibri"/>
          <w:sz w:val="24"/>
          <w:szCs w:val="24"/>
        </w:rPr>
        <w:t xml:space="preserve"> </w:t>
      </w:r>
      <w:proofErr w:type="gramStart"/>
      <w:r w:rsidRPr="449EEBED">
        <w:rPr>
          <w:rFonts w:eastAsia="Calibri"/>
          <w:sz w:val="24"/>
          <w:szCs w:val="24"/>
        </w:rPr>
        <w:t>that</w:t>
      </w:r>
      <w:proofErr w:type="gramEnd"/>
      <w:r w:rsidRPr="449EEBED">
        <w:rPr>
          <w:rFonts w:eastAsia="Calibri"/>
          <w:sz w:val="24"/>
          <w:szCs w:val="24"/>
        </w:rPr>
        <w:t xml:space="preserve"> followed the regular mathematics class (see Boaler, 2016). T</w:t>
      </w:r>
      <w:r w:rsidR="00452F72">
        <w:rPr>
          <w:rFonts w:eastAsia="Calibri"/>
          <w:sz w:val="24"/>
          <w:szCs w:val="24"/>
        </w:rPr>
        <w:t>hough t</w:t>
      </w:r>
      <w:r w:rsidRPr="449EEBED">
        <w:rPr>
          <w:rFonts w:eastAsia="Calibri"/>
          <w:sz w:val="24"/>
          <w:szCs w:val="24"/>
        </w:rPr>
        <w:t xml:space="preserve">he content was the same as the </w:t>
      </w:r>
      <w:r w:rsidR="00452F72">
        <w:rPr>
          <w:rFonts w:eastAsia="Calibri"/>
          <w:sz w:val="24"/>
          <w:szCs w:val="24"/>
        </w:rPr>
        <w:t xml:space="preserve">previous </w:t>
      </w:r>
      <w:r w:rsidRPr="449EEBED">
        <w:rPr>
          <w:rFonts w:eastAsia="Calibri"/>
          <w:sz w:val="24"/>
          <w:szCs w:val="24"/>
        </w:rPr>
        <w:t>class</w:t>
      </w:r>
      <w:r w:rsidR="00452F72">
        <w:rPr>
          <w:rFonts w:eastAsia="Calibri"/>
          <w:sz w:val="24"/>
          <w:szCs w:val="24"/>
        </w:rPr>
        <w:t>,</w:t>
      </w:r>
      <w:r w:rsidRPr="449EEBED">
        <w:rPr>
          <w:rFonts w:eastAsia="Calibri"/>
          <w:sz w:val="24"/>
          <w:szCs w:val="24"/>
        </w:rPr>
        <w:t xml:space="preserve"> the extra time allowed students to discuss ideas</w:t>
      </w:r>
      <w:r w:rsidR="00452F72">
        <w:rPr>
          <w:rFonts w:eastAsia="Calibri"/>
          <w:sz w:val="24"/>
          <w:szCs w:val="24"/>
        </w:rPr>
        <w:t xml:space="preserve"> further</w:t>
      </w:r>
      <w:r w:rsidRPr="449EEBED">
        <w:rPr>
          <w:rFonts w:eastAsia="Calibri"/>
          <w:sz w:val="24"/>
          <w:szCs w:val="24"/>
        </w:rPr>
        <w:t xml:space="preserve"> and ask more questions. </w:t>
      </w:r>
      <w:proofErr w:type="gramStart"/>
      <w:r w:rsidRPr="449EEBED">
        <w:rPr>
          <w:rFonts w:eastAsia="Calibri"/>
          <w:sz w:val="24"/>
          <w:szCs w:val="24"/>
        </w:rPr>
        <w:t>Many</w:t>
      </w:r>
      <w:proofErr w:type="gramEnd"/>
      <w:r w:rsidRPr="449EEBED">
        <w:rPr>
          <w:rFonts w:eastAsia="Calibri"/>
          <w:sz w:val="24"/>
          <w:szCs w:val="24"/>
        </w:rPr>
        <w:t xml:space="preserve"> students</w:t>
      </w:r>
      <w:r w:rsidR="00452F72">
        <w:rPr>
          <w:rFonts w:eastAsia="Calibri"/>
          <w:sz w:val="24"/>
          <w:szCs w:val="24"/>
        </w:rPr>
        <w:t>—both higher and lower achieving—</w:t>
      </w:r>
      <w:r w:rsidRPr="449EEBED">
        <w:rPr>
          <w:rFonts w:eastAsia="Calibri"/>
          <w:sz w:val="24"/>
          <w:szCs w:val="24"/>
        </w:rPr>
        <w:t xml:space="preserve">chose to enroll in the class. It is important that such classes </w:t>
      </w:r>
      <w:proofErr w:type="gramStart"/>
      <w:r w:rsidR="0023763D">
        <w:rPr>
          <w:rFonts w:eastAsia="Calibri"/>
          <w:sz w:val="24"/>
          <w:szCs w:val="24"/>
        </w:rPr>
        <w:t>be given</w:t>
      </w:r>
      <w:proofErr w:type="gramEnd"/>
      <w:r w:rsidR="0023763D">
        <w:rPr>
          <w:rFonts w:eastAsia="Calibri"/>
          <w:sz w:val="24"/>
          <w:szCs w:val="24"/>
        </w:rPr>
        <w:t xml:space="preserve"> </w:t>
      </w:r>
      <w:r w:rsidRPr="449EEBED">
        <w:rPr>
          <w:rFonts w:eastAsia="Calibri"/>
          <w:sz w:val="24"/>
          <w:szCs w:val="24"/>
        </w:rPr>
        <w:t>positive</w:t>
      </w:r>
      <w:r w:rsidR="0023763D">
        <w:rPr>
          <w:rFonts w:eastAsia="Calibri"/>
          <w:sz w:val="24"/>
          <w:szCs w:val="24"/>
        </w:rPr>
        <w:t xml:space="preserve"> names </w:t>
      </w:r>
      <w:r w:rsidR="00452F72">
        <w:rPr>
          <w:rFonts w:eastAsia="Calibri"/>
          <w:sz w:val="24"/>
          <w:szCs w:val="24"/>
        </w:rPr>
        <w:t>that characterize them as provid</w:t>
      </w:r>
      <w:r w:rsidR="0023763D">
        <w:rPr>
          <w:rFonts w:eastAsia="Calibri"/>
          <w:sz w:val="24"/>
          <w:szCs w:val="24"/>
        </w:rPr>
        <w:t>ing</w:t>
      </w:r>
      <w:r w:rsidR="00452F72">
        <w:rPr>
          <w:rFonts w:eastAsia="Calibri"/>
          <w:sz w:val="24"/>
          <w:szCs w:val="24"/>
        </w:rPr>
        <w:t xml:space="preserve"> additional depth</w:t>
      </w:r>
      <w:r w:rsidR="0023763D">
        <w:rPr>
          <w:rFonts w:eastAsia="Calibri"/>
          <w:sz w:val="24"/>
          <w:szCs w:val="24"/>
        </w:rPr>
        <w:t>,</w:t>
      </w:r>
      <w:r w:rsidR="00452F72">
        <w:rPr>
          <w:rFonts w:eastAsia="Calibri"/>
          <w:sz w:val="24"/>
          <w:szCs w:val="24"/>
        </w:rPr>
        <w:t xml:space="preserve"> not remedi</w:t>
      </w:r>
      <w:r w:rsidR="00926BFB">
        <w:rPr>
          <w:rFonts w:eastAsia="Calibri"/>
          <w:sz w:val="24"/>
          <w:szCs w:val="24"/>
        </w:rPr>
        <w:t>ation</w:t>
      </w:r>
      <w:r w:rsidR="00075C1E">
        <w:rPr>
          <w:rFonts w:eastAsia="Calibri"/>
          <w:sz w:val="24"/>
          <w:szCs w:val="24"/>
        </w:rPr>
        <w:t>.</w:t>
      </w:r>
    </w:p>
    <w:p w14:paraId="4824797D" w14:textId="2F106AF3" w:rsidR="00866ECA" w:rsidRDefault="6D5DF921" w:rsidP="00866ECA">
      <w:pPr>
        <w:spacing w:after="240" w:line="360" w:lineRule="auto"/>
        <w:rPr>
          <w:rFonts w:eastAsia="Calibri"/>
          <w:sz w:val="24"/>
          <w:szCs w:val="24"/>
        </w:rPr>
      </w:pPr>
      <w:r w:rsidRPr="6D5DF921">
        <w:rPr>
          <w:rFonts w:eastAsia="Calibri"/>
          <w:sz w:val="24"/>
          <w:szCs w:val="24"/>
        </w:rPr>
        <w:t xml:space="preserve">Additional opportunities may also </w:t>
      </w:r>
      <w:proofErr w:type="gramStart"/>
      <w:r w:rsidRPr="6D5DF921">
        <w:rPr>
          <w:rFonts w:eastAsia="Calibri"/>
          <w:sz w:val="24"/>
          <w:szCs w:val="24"/>
        </w:rPr>
        <w:t>be provided</w:t>
      </w:r>
      <w:proofErr w:type="gramEnd"/>
      <w:r w:rsidRPr="6D5DF921">
        <w:rPr>
          <w:rFonts w:eastAsia="Calibri"/>
          <w:sz w:val="24"/>
          <w:szCs w:val="24"/>
        </w:rPr>
        <w:t xml:space="preserve"> outside of the regular school day. Such opportunities can provide experiences with mathematics</w:t>
      </w:r>
      <w:r w:rsidR="004E7FAC">
        <w:rPr>
          <w:rFonts w:eastAsia="Calibri"/>
          <w:sz w:val="24"/>
          <w:szCs w:val="24"/>
        </w:rPr>
        <w:t xml:space="preserve"> that</w:t>
      </w:r>
      <w:r w:rsidRPr="6D5DF921">
        <w:rPr>
          <w:rFonts w:eastAsia="Calibri"/>
          <w:sz w:val="24"/>
          <w:szCs w:val="24"/>
        </w:rPr>
        <w:t xml:space="preserve"> differ</w:t>
      </w:r>
      <w:r w:rsidR="004E7FAC">
        <w:rPr>
          <w:rFonts w:eastAsia="Calibri"/>
          <w:sz w:val="24"/>
          <w:szCs w:val="24"/>
        </w:rPr>
        <w:t xml:space="preserve"> </w:t>
      </w:r>
      <w:r w:rsidRPr="6D5DF921">
        <w:rPr>
          <w:rFonts w:eastAsia="Calibri"/>
          <w:sz w:val="24"/>
          <w:szCs w:val="24"/>
        </w:rPr>
        <w:t xml:space="preserve">from those </w:t>
      </w:r>
      <w:r w:rsidR="000D0959">
        <w:rPr>
          <w:rFonts w:eastAsia="Calibri"/>
          <w:sz w:val="24"/>
          <w:szCs w:val="24"/>
        </w:rPr>
        <w:t xml:space="preserve">that </w:t>
      </w:r>
      <w:r w:rsidRPr="6D5DF921">
        <w:rPr>
          <w:rFonts w:eastAsia="Calibri"/>
          <w:sz w:val="24"/>
          <w:szCs w:val="24"/>
        </w:rPr>
        <w:t>students typically encounter in school</w:t>
      </w:r>
      <w:r w:rsidR="004E7FAC">
        <w:rPr>
          <w:rFonts w:eastAsia="Calibri"/>
          <w:sz w:val="24"/>
          <w:szCs w:val="24"/>
        </w:rPr>
        <w:t>—</w:t>
      </w:r>
      <w:r w:rsidRPr="6D5DF921">
        <w:rPr>
          <w:rFonts w:eastAsia="Calibri"/>
          <w:sz w:val="24"/>
          <w:szCs w:val="24"/>
        </w:rPr>
        <w:t>in particular, experiences</w:t>
      </w:r>
      <w:r w:rsidR="00595686">
        <w:rPr>
          <w:rFonts w:eastAsia="Calibri"/>
          <w:sz w:val="24"/>
          <w:szCs w:val="24"/>
        </w:rPr>
        <w:t xml:space="preserve"> that </w:t>
      </w:r>
      <w:r w:rsidRPr="6D5DF921">
        <w:rPr>
          <w:rFonts w:eastAsia="Calibri"/>
          <w:sz w:val="24"/>
          <w:szCs w:val="24"/>
        </w:rPr>
        <w:t>lend themselves to a more investigative approach. Two highly regarded examples include math circles and Math Olympiad classes. Both programs offer opportunities for mathematical problem solving for students at different grade levels</w:t>
      </w:r>
      <w:r w:rsidR="000E35FB">
        <w:rPr>
          <w:rFonts w:eastAsia="Calibri"/>
          <w:sz w:val="24"/>
          <w:szCs w:val="24"/>
        </w:rPr>
        <w:t xml:space="preserve"> as well as professional development for teachers</w:t>
      </w:r>
      <w:r w:rsidRPr="6D5DF921">
        <w:rPr>
          <w:rFonts w:eastAsia="Calibri"/>
          <w:sz w:val="24"/>
          <w:szCs w:val="24"/>
        </w:rPr>
        <w:t xml:space="preserve"> (Math Circle Network, n.d.; Math Olympiads for Elementary and Middle Schools, n.d.). These opportunities for students to engage in mathematical problem solving outside of regular school hours are often </w:t>
      </w:r>
      <w:proofErr w:type="gramStart"/>
      <w:r w:rsidRPr="6D5DF921">
        <w:rPr>
          <w:rFonts w:eastAsia="Calibri"/>
          <w:sz w:val="24"/>
          <w:szCs w:val="24"/>
        </w:rPr>
        <w:t>highly successful</w:t>
      </w:r>
      <w:proofErr w:type="gramEnd"/>
      <w:r w:rsidR="004E7FAC">
        <w:rPr>
          <w:rFonts w:eastAsia="Calibri"/>
          <w:sz w:val="24"/>
          <w:szCs w:val="24"/>
        </w:rPr>
        <w:t>, since</w:t>
      </w:r>
      <w:r w:rsidRPr="6D5DF921">
        <w:rPr>
          <w:rFonts w:eastAsia="Calibri"/>
          <w:sz w:val="24"/>
          <w:szCs w:val="24"/>
        </w:rPr>
        <w:t xml:space="preserve"> they can help students develop a positive mathematics identity (Langer-Osuna, 2007, 2017) and broaden their view of what it means to do mathematics.</w:t>
      </w:r>
    </w:p>
    <w:p w14:paraId="2A3452CD" w14:textId="0F9A3AA8" w:rsidR="0059762D" w:rsidRPr="006C178B" w:rsidRDefault="004E7FAC" w:rsidP="0059762D">
      <w:pPr>
        <w:spacing w:after="240" w:line="360" w:lineRule="auto"/>
        <w:rPr>
          <w:rFonts w:eastAsia="Calibri"/>
          <w:sz w:val="24"/>
          <w:szCs w:val="24"/>
        </w:rPr>
      </w:pPr>
      <w:r>
        <w:rPr>
          <w:rFonts w:eastAsia="Calibri"/>
          <w:sz w:val="24"/>
          <w:szCs w:val="24"/>
        </w:rPr>
        <w:t>Structures</w:t>
      </w:r>
      <w:r w:rsidR="00144B91">
        <w:rPr>
          <w:rFonts w:eastAsia="Calibri"/>
          <w:sz w:val="24"/>
          <w:szCs w:val="24"/>
        </w:rPr>
        <w:t xml:space="preserve"> that diverge from traditional course scheduling,</w:t>
      </w:r>
      <w:r>
        <w:rPr>
          <w:rFonts w:eastAsia="Calibri"/>
          <w:sz w:val="24"/>
          <w:szCs w:val="24"/>
        </w:rPr>
        <w:t xml:space="preserve"> such as </w:t>
      </w:r>
      <w:r w:rsidRPr="006C178B">
        <w:rPr>
          <w:rFonts w:eastAsia="Calibri"/>
          <w:sz w:val="24"/>
          <w:szCs w:val="24"/>
        </w:rPr>
        <w:t>double periods or block schedul</w:t>
      </w:r>
      <w:r>
        <w:rPr>
          <w:rFonts w:eastAsia="Calibri"/>
          <w:sz w:val="24"/>
          <w:szCs w:val="24"/>
        </w:rPr>
        <w:t>ing</w:t>
      </w:r>
      <w:r w:rsidR="00144B91">
        <w:rPr>
          <w:rFonts w:eastAsia="Calibri"/>
          <w:sz w:val="24"/>
          <w:szCs w:val="24"/>
        </w:rPr>
        <w:t>,</w:t>
      </w:r>
      <w:r>
        <w:rPr>
          <w:rFonts w:eastAsia="Calibri"/>
          <w:sz w:val="24"/>
          <w:szCs w:val="24"/>
        </w:rPr>
        <w:t xml:space="preserve"> can e</w:t>
      </w:r>
      <w:r w:rsidR="0059762D">
        <w:rPr>
          <w:rFonts w:eastAsia="Calibri"/>
          <w:sz w:val="24"/>
          <w:szCs w:val="24"/>
        </w:rPr>
        <w:t>xpand learning</w:t>
      </w:r>
      <w:r>
        <w:rPr>
          <w:rFonts w:eastAsia="Calibri"/>
          <w:sz w:val="24"/>
          <w:szCs w:val="24"/>
        </w:rPr>
        <w:t xml:space="preserve"> and instructional</w:t>
      </w:r>
      <w:r w:rsidR="0059762D">
        <w:rPr>
          <w:rFonts w:eastAsia="Calibri"/>
          <w:sz w:val="24"/>
          <w:szCs w:val="24"/>
        </w:rPr>
        <w:t xml:space="preserve"> </w:t>
      </w:r>
      <w:r>
        <w:rPr>
          <w:rFonts w:eastAsia="Calibri"/>
          <w:sz w:val="24"/>
          <w:szCs w:val="24"/>
        </w:rPr>
        <w:t xml:space="preserve">time, </w:t>
      </w:r>
      <w:r w:rsidR="00144B91">
        <w:rPr>
          <w:rFonts w:eastAsia="Calibri"/>
          <w:sz w:val="24"/>
          <w:szCs w:val="24"/>
        </w:rPr>
        <w:t>th</w:t>
      </w:r>
      <w:r w:rsidR="000D0959">
        <w:rPr>
          <w:rFonts w:eastAsia="Calibri"/>
          <w:sz w:val="24"/>
          <w:szCs w:val="24"/>
        </w:rPr>
        <w:t>ereby</w:t>
      </w:r>
      <w:r w:rsidR="00144B91">
        <w:rPr>
          <w:rFonts w:eastAsia="Calibri"/>
          <w:sz w:val="24"/>
          <w:szCs w:val="24"/>
        </w:rPr>
        <w:t xml:space="preserve"> </w:t>
      </w:r>
      <w:r>
        <w:rPr>
          <w:rFonts w:eastAsia="Calibri"/>
          <w:sz w:val="24"/>
          <w:szCs w:val="24"/>
        </w:rPr>
        <w:t xml:space="preserve">allowing for the </w:t>
      </w:r>
      <w:r w:rsidR="0059762D">
        <w:rPr>
          <w:rFonts w:eastAsia="Calibri"/>
          <w:sz w:val="24"/>
          <w:szCs w:val="24"/>
        </w:rPr>
        <w:t>support students</w:t>
      </w:r>
      <w:r>
        <w:rPr>
          <w:rFonts w:eastAsia="Calibri"/>
          <w:sz w:val="24"/>
          <w:szCs w:val="24"/>
        </w:rPr>
        <w:t xml:space="preserve"> may need to</w:t>
      </w:r>
      <w:r w:rsidR="0059762D">
        <w:rPr>
          <w:rFonts w:eastAsia="Calibri"/>
          <w:sz w:val="24"/>
          <w:szCs w:val="24"/>
        </w:rPr>
        <w:t xml:space="preserve"> </w:t>
      </w:r>
      <w:r w:rsidR="0059762D" w:rsidRPr="006C178B">
        <w:rPr>
          <w:rFonts w:eastAsia="Calibri"/>
          <w:sz w:val="24"/>
          <w:szCs w:val="24"/>
        </w:rPr>
        <w:t>master foundational skills and accelerat</w:t>
      </w:r>
      <w:r w:rsidR="0059762D">
        <w:rPr>
          <w:rFonts w:eastAsia="Calibri"/>
          <w:sz w:val="24"/>
          <w:szCs w:val="24"/>
        </w:rPr>
        <w:t>e</w:t>
      </w:r>
      <w:r w:rsidR="0059762D" w:rsidRPr="006C178B">
        <w:rPr>
          <w:rFonts w:eastAsia="Calibri"/>
          <w:sz w:val="24"/>
          <w:szCs w:val="24"/>
        </w:rPr>
        <w:t xml:space="preserve"> </w:t>
      </w:r>
      <w:r>
        <w:rPr>
          <w:rFonts w:eastAsia="Calibri"/>
          <w:sz w:val="24"/>
          <w:szCs w:val="24"/>
        </w:rPr>
        <w:t xml:space="preserve">their learning. </w:t>
      </w:r>
      <w:r w:rsidR="0059762D">
        <w:rPr>
          <w:rFonts w:eastAsia="Calibri"/>
          <w:sz w:val="24"/>
          <w:szCs w:val="24"/>
        </w:rPr>
        <w:lastRenderedPageBreak/>
        <w:t>Other</w:t>
      </w:r>
      <w:r w:rsidR="00144B91">
        <w:rPr>
          <w:rFonts w:eastAsia="Calibri"/>
          <w:sz w:val="24"/>
          <w:szCs w:val="24"/>
        </w:rPr>
        <w:t xml:space="preserve"> time-expanding options</w:t>
      </w:r>
      <w:r w:rsidR="0059762D">
        <w:rPr>
          <w:rFonts w:eastAsia="Calibri"/>
          <w:sz w:val="24"/>
          <w:szCs w:val="24"/>
        </w:rPr>
        <w:t xml:space="preserve"> include </w:t>
      </w:r>
      <w:r w:rsidR="0059762D" w:rsidRPr="006C178B">
        <w:rPr>
          <w:rFonts w:eastAsia="Calibri"/>
          <w:sz w:val="24"/>
          <w:szCs w:val="24"/>
        </w:rPr>
        <w:t>math</w:t>
      </w:r>
      <w:r w:rsidR="0059762D">
        <w:rPr>
          <w:rFonts w:eastAsia="Calibri"/>
          <w:sz w:val="24"/>
          <w:szCs w:val="24"/>
        </w:rPr>
        <w:t>ematics</w:t>
      </w:r>
      <w:r w:rsidR="0059762D" w:rsidRPr="006C178B">
        <w:rPr>
          <w:rFonts w:eastAsia="Calibri"/>
          <w:sz w:val="24"/>
          <w:szCs w:val="24"/>
        </w:rPr>
        <w:t xml:space="preserve"> labs appended to courses that allow for more individualized, diagnostic instruction, tutoring</w:t>
      </w:r>
      <w:r w:rsidR="00235AAD">
        <w:rPr>
          <w:rFonts w:eastAsia="Calibri"/>
          <w:sz w:val="24"/>
          <w:szCs w:val="24"/>
        </w:rPr>
        <w:t>,</w:t>
      </w:r>
      <w:r w:rsidR="0059762D" w:rsidRPr="006C178B">
        <w:rPr>
          <w:rFonts w:eastAsia="Calibri"/>
          <w:sz w:val="24"/>
          <w:szCs w:val="24"/>
        </w:rPr>
        <w:t xml:space="preserve"> or small group instruction after school or in the summer</w:t>
      </w:r>
      <w:r w:rsidR="000E35FB">
        <w:rPr>
          <w:rFonts w:eastAsia="Calibri"/>
          <w:sz w:val="24"/>
          <w:szCs w:val="24"/>
        </w:rPr>
        <w:t xml:space="preserve"> (</w:t>
      </w:r>
      <w:r w:rsidR="008B50CD">
        <w:rPr>
          <w:rFonts w:eastAsia="Calibri"/>
          <w:sz w:val="24"/>
          <w:szCs w:val="24"/>
        </w:rPr>
        <w:t>discussed below under Personalized Learning</w:t>
      </w:r>
      <w:r w:rsidR="000E35FB">
        <w:rPr>
          <w:rFonts w:eastAsia="Calibri"/>
          <w:sz w:val="24"/>
          <w:szCs w:val="24"/>
        </w:rPr>
        <w:t>)</w:t>
      </w:r>
      <w:r w:rsidR="008B50CD">
        <w:rPr>
          <w:rFonts w:eastAsia="Calibri"/>
          <w:sz w:val="24"/>
          <w:szCs w:val="24"/>
        </w:rPr>
        <w:t>.</w:t>
      </w:r>
    </w:p>
    <w:bookmarkEnd w:id="9"/>
    <w:p w14:paraId="43D0AEE8" w14:textId="2ED19262" w:rsidR="007C18F7" w:rsidRPr="0061258F" w:rsidRDefault="008C69D0" w:rsidP="00DF0B73">
      <w:pPr>
        <w:spacing w:after="240" w:line="360" w:lineRule="auto"/>
        <w:rPr>
          <w:rFonts w:eastAsia="Calibri"/>
          <w:strike/>
          <w:sz w:val="24"/>
          <w:szCs w:val="24"/>
        </w:rPr>
      </w:pPr>
      <w:r w:rsidRPr="007B24E1">
        <w:rPr>
          <w:rFonts w:eastAsia="Calibri"/>
          <w:b/>
          <w:bCs/>
          <w:sz w:val="24"/>
          <w:szCs w:val="24"/>
        </w:rPr>
        <w:t xml:space="preserve">Providing personalized learning. </w:t>
      </w:r>
      <w:r w:rsidR="358ED9C2" w:rsidRPr="007B24E1">
        <w:rPr>
          <w:rFonts w:eastAsia="Calibri"/>
          <w:sz w:val="24"/>
          <w:szCs w:val="24"/>
        </w:rPr>
        <w:t xml:space="preserve">Another </w:t>
      </w:r>
      <w:r w:rsidR="00235AAD" w:rsidRPr="007B24E1">
        <w:rPr>
          <w:rFonts w:eastAsia="Calibri"/>
          <w:sz w:val="24"/>
          <w:szCs w:val="24"/>
        </w:rPr>
        <w:t xml:space="preserve">strategy </w:t>
      </w:r>
      <w:r w:rsidR="358ED9C2" w:rsidRPr="007B24E1">
        <w:rPr>
          <w:rFonts w:eastAsia="Calibri"/>
          <w:sz w:val="24"/>
          <w:szCs w:val="24"/>
        </w:rPr>
        <w:t xml:space="preserve">for attending to different achievement levels of students is to provide personalized </w:t>
      </w:r>
      <w:r w:rsidR="00AD0C5B" w:rsidRPr="007B24E1">
        <w:rPr>
          <w:rFonts w:eastAsia="Calibri"/>
          <w:sz w:val="24"/>
          <w:szCs w:val="24"/>
        </w:rPr>
        <w:t xml:space="preserve">learning. </w:t>
      </w:r>
      <w:r w:rsidR="00144B91" w:rsidRPr="007B24E1">
        <w:rPr>
          <w:rFonts w:eastAsia="Calibri"/>
          <w:sz w:val="24"/>
          <w:szCs w:val="24"/>
        </w:rPr>
        <w:t>In</w:t>
      </w:r>
      <w:r w:rsidR="00144B91">
        <w:rPr>
          <w:rFonts w:eastAsia="Calibri"/>
          <w:sz w:val="24"/>
          <w:szCs w:val="24"/>
        </w:rPr>
        <w:t xml:space="preserve"> this framework, </w:t>
      </w:r>
      <w:r w:rsidR="00144B91">
        <w:rPr>
          <w:rFonts w:eastAsia="Calibri"/>
          <w:iCs/>
          <w:sz w:val="24"/>
          <w:szCs w:val="24"/>
        </w:rPr>
        <w:t>p</w:t>
      </w:r>
      <w:r w:rsidR="00AD0C5B" w:rsidRPr="001D38B4">
        <w:rPr>
          <w:rFonts w:eastAsia="Calibri"/>
          <w:iCs/>
          <w:sz w:val="24"/>
          <w:szCs w:val="24"/>
        </w:rPr>
        <w:t xml:space="preserve">ersonalized </w:t>
      </w:r>
      <w:r w:rsidR="00144B91">
        <w:rPr>
          <w:rFonts w:eastAsia="Calibri"/>
          <w:iCs/>
          <w:sz w:val="24"/>
          <w:szCs w:val="24"/>
        </w:rPr>
        <w:t>l</w:t>
      </w:r>
      <w:r w:rsidR="00AD0C5B" w:rsidRPr="001D38B4">
        <w:rPr>
          <w:rFonts w:eastAsia="Calibri"/>
          <w:iCs/>
          <w:sz w:val="24"/>
          <w:szCs w:val="24"/>
        </w:rPr>
        <w:t>earning</w:t>
      </w:r>
      <w:r w:rsidR="00AD0C5B" w:rsidRPr="00E843F3">
        <w:rPr>
          <w:rFonts w:eastAsia="Calibri"/>
          <w:i/>
          <w:sz w:val="24"/>
          <w:szCs w:val="24"/>
        </w:rPr>
        <w:t xml:space="preserve"> </w:t>
      </w:r>
      <w:r w:rsidR="00AD0C5B" w:rsidRPr="00E843F3">
        <w:rPr>
          <w:rFonts w:eastAsia="Calibri"/>
          <w:sz w:val="24"/>
          <w:szCs w:val="24"/>
        </w:rPr>
        <w:t>means learning experiences that are customized “for each student according to his or her unique skills, abilities, preferences, background, and experiences” (Herold, 2019).</w:t>
      </w:r>
      <w:r w:rsidR="00CE0916">
        <w:rPr>
          <w:rFonts w:eastAsia="Calibri"/>
          <w:sz w:val="24"/>
          <w:szCs w:val="24"/>
        </w:rPr>
        <w:t xml:space="preserve"> </w:t>
      </w:r>
      <w:r w:rsidR="00144B91">
        <w:rPr>
          <w:rFonts w:eastAsia="Calibri"/>
          <w:sz w:val="24"/>
          <w:szCs w:val="24"/>
        </w:rPr>
        <w:t>It</w:t>
      </w:r>
      <w:r w:rsidR="00866ECA">
        <w:rPr>
          <w:rFonts w:eastAsia="Calibri"/>
          <w:sz w:val="24"/>
          <w:szCs w:val="24"/>
        </w:rPr>
        <w:t xml:space="preserve"> can </w:t>
      </w:r>
      <w:proofErr w:type="gramStart"/>
      <w:r w:rsidR="00866ECA">
        <w:rPr>
          <w:rFonts w:eastAsia="Calibri"/>
          <w:sz w:val="24"/>
          <w:szCs w:val="24"/>
        </w:rPr>
        <w:t>be provided</w:t>
      </w:r>
      <w:proofErr w:type="gramEnd"/>
      <w:r w:rsidR="00866ECA">
        <w:rPr>
          <w:rFonts w:eastAsia="Calibri"/>
          <w:sz w:val="24"/>
          <w:szCs w:val="24"/>
        </w:rPr>
        <w:t xml:space="preserve"> both within individual courses and across course </w:t>
      </w:r>
      <w:r w:rsidR="00866ECA" w:rsidRPr="449EEBED">
        <w:rPr>
          <w:rFonts w:eastAsia="Calibri"/>
          <w:sz w:val="24"/>
          <w:szCs w:val="24"/>
        </w:rPr>
        <w:t>pathways</w:t>
      </w:r>
      <w:r w:rsidR="00866ECA">
        <w:rPr>
          <w:rFonts w:eastAsia="Calibri"/>
          <w:sz w:val="24"/>
          <w:szCs w:val="24"/>
        </w:rPr>
        <w:t xml:space="preserve">. </w:t>
      </w:r>
      <w:r w:rsidR="00D865B6">
        <w:rPr>
          <w:rFonts w:eastAsia="Calibri"/>
          <w:sz w:val="24"/>
          <w:szCs w:val="24"/>
        </w:rPr>
        <w:t xml:space="preserve">For example, </w:t>
      </w:r>
      <w:r w:rsidR="00D865B6" w:rsidRPr="449EEBED">
        <w:rPr>
          <w:rFonts w:eastAsia="Calibri"/>
          <w:sz w:val="24"/>
          <w:szCs w:val="24"/>
        </w:rPr>
        <w:t xml:space="preserve">teachers </w:t>
      </w:r>
      <w:r w:rsidR="00D865B6">
        <w:rPr>
          <w:rFonts w:eastAsia="Calibri"/>
          <w:sz w:val="24"/>
          <w:szCs w:val="24"/>
        </w:rPr>
        <w:t xml:space="preserve">can </w:t>
      </w:r>
      <w:r w:rsidR="00D865B6" w:rsidRPr="449EEBED">
        <w:rPr>
          <w:rFonts w:eastAsia="Calibri"/>
          <w:sz w:val="24"/>
          <w:szCs w:val="24"/>
        </w:rPr>
        <w:t>allow students to work through courses at different paces</w:t>
      </w:r>
      <w:r w:rsidR="00D865B6">
        <w:rPr>
          <w:rFonts w:eastAsia="Calibri"/>
          <w:sz w:val="24"/>
          <w:szCs w:val="24"/>
        </w:rPr>
        <w:t xml:space="preserve">, with decisions </w:t>
      </w:r>
      <w:r w:rsidR="00B20D6E">
        <w:rPr>
          <w:rFonts w:eastAsia="Calibri"/>
          <w:sz w:val="24"/>
          <w:szCs w:val="24"/>
        </w:rPr>
        <w:t xml:space="preserve">about </w:t>
      </w:r>
      <w:r w:rsidR="2FCE9568" w:rsidRPr="449EEBED">
        <w:rPr>
          <w:rFonts w:eastAsia="Calibri"/>
          <w:sz w:val="24"/>
          <w:szCs w:val="24"/>
        </w:rPr>
        <w:t xml:space="preserve">advancement </w:t>
      </w:r>
      <w:r w:rsidR="00144B91">
        <w:rPr>
          <w:rFonts w:eastAsia="Calibri"/>
          <w:sz w:val="24"/>
          <w:szCs w:val="24"/>
        </w:rPr>
        <w:t xml:space="preserve">made </w:t>
      </w:r>
      <w:proofErr w:type="gramStart"/>
      <w:r w:rsidR="00144B91">
        <w:rPr>
          <w:rFonts w:eastAsia="Calibri"/>
          <w:sz w:val="24"/>
          <w:szCs w:val="24"/>
        </w:rPr>
        <w:t>on the basis of</w:t>
      </w:r>
      <w:proofErr w:type="gramEnd"/>
      <w:r w:rsidR="00144B91">
        <w:rPr>
          <w:rFonts w:eastAsia="Calibri"/>
          <w:sz w:val="24"/>
          <w:szCs w:val="24"/>
        </w:rPr>
        <w:t xml:space="preserve"> </w:t>
      </w:r>
      <w:r w:rsidR="2FCE9568" w:rsidRPr="449EEBED">
        <w:rPr>
          <w:rFonts w:eastAsia="Calibri"/>
          <w:sz w:val="24"/>
          <w:szCs w:val="24"/>
        </w:rPr>
        <w:t>student</w:t>
      </w:r>
      <w:r w:rsidR="00D865B6">
        <w:rPr>
          <w:rFonts w:eastAsia="Calibri"/>
          <w:sz w:val="24"/>
          <w:szCs w:val="24"/>
        </w:rPr>
        <w:t xml:space="preserve"> work that</w:t>
      </w:r>
      <w:r w:rsidR="2FCE9568" w:rsidRPr="449EEBED">
        <w:rPr>
          <w:rFonts w:eastAsia="Calibri"/>
          <w:sz w:val="24"/>
          <w:szCs w:val="24"/>
        </w:rPr>
        <w:t xml:space="preserve"> </w:t>
      </w:r>
      <w:r w:rsidR="75FDCA97" w:rsidRPr="449EEBED">
        <w:rPr>
          <w:rFonts w:eastAsia="Calibri"/>
          <w:sz w:val="24"/>
          <w:szCs w:val="24"/>
        </w:rPr>
        <w:t>demonstrat</w:t>
      </w:r>
      <w:r w:rsidR="00D865B6">
        <w:rPr>
          <w:rFonts w:eastAsia="Calibri"/>
          <w:sz w:val="24"/>
          <w:szCs w:val="24"/>
        </w:rPr>
        <w:t>es their</w:t>
      </w:r>
      <w:r w:rsidR="75FDCA97" w:rsidRPr="449EEBED">
        <w:rPr>
          <w:rFonts w:eastAsia="Calibri"/>
          <w:sz w:val="24"/>
          <w:szCs w:val="24"/>
        </w:rPr>
        <w:t xml:space="preserve"> readiness</w:t>
      </w:r>
      <w:r w:rsidR="00D865B6">
        <w:rPr>
          <w:rFonts w:eastAsia="Calibri"/>
          <w:sz w:val="24"/>
          <w:szCs w:val="24"/>
        </w:rPr>
        <w:t xml:space="preserve">. (See the </w:t>
      </w:r>
      <w:r w:rsidR="00821124">
        <w:rPr>
          <w:rFonts w:eastAsia="Calibri"/>
          <w:sz w:val="24"/>
          <w:szCs w:val="24"/>
        </w:rPr>
        <w:t xml:space="preserve">snapshot </w:t>
      </w:r>
      <w:r w:rsidR="00D865B6" w:rsidRPr="001D38B4">
        <w:rPr>
          <w:rFonts w:eastAsia="Calibri"/>
          <w:i/>
          <w:iCs/>
          <w:sz w:val="24"/>
          <w:szCs w:val="24"/>
        </w:rPr>
        <w:t>Personalized by Teachers</w:t>
      </w:r>
      <w:r w:rsidR="00D865B6">
        <w:rPr>
          <w:rFonts w:eastAsia="Calibri"/>
          <w:sz w:val="24"/>
          <w:szCs w:val="24"/>
        </w:rPr>
        <w:t xml:space="preserve">, below.) </w:t>
      </w:r>
      <w:r w:rsidR="00580569">
        <w:rPr>
          <w:rFonts w:eastAsia="Calibri"/>
          <w:sz w:val="24"/>
          <w:szCs w:val="24"/>
        </w:rPr>
        <w:t>Such</w:t>
      </w:r>
      <w:r w:rsidR="00D865B6">
        <w:rPr>
          <w:rFonts w:eastAsia="Calibri"/>
          <w:sz w:val="24"/>
          <w:szCs w:val="24"/>
        </w:rPr>
        <w:t xml:space="preserve"> </w:t>
      </w:r>
      <w:r w:rsidR="00580569">
        <w:rPr>
          <w:rFonts w:eastAsia="Calibri"/>
          <w:sz w:val="24"/>
          <w:szCs w:val="24"/>
        </w:rPr>
        <w:t xml:space="preserve">personalized decisions about advancement are </w:t>
      </w:r>
      <w:proofErr w:type="gramStart"/>
      <w:r w:rsidR="00580569">
        <w:rPr>
          <w:rFonts w:eastAsia="Calibri"/>
          <w:sz w:val="24"/>
          <w:szCs w:val="24"/>
        </w:rPr>
        <w:t>very different</w:t>
      </w:r>
      <w:proofErr w:type="gramEnd"/>
      <w:r w:rsidR="00580569">
        <w:rPr>
          <w:rFonts w:eastAsia="Calibri"/>
          <w:sz w:val="24"/>
          <w:szCs w:val="24"/>
        </w:rPr>
        <w:t xml:space="preserve"> from</w:t>
      </w:r>
      <w:r w:rsidR="75FDCA97" w:rsidRPr="449EEBED">
        <w:rPr>
          <w:rFonts w:eastAsia="Calibri"/>
          <w:sz w:val="24"/>
          <w:szCs w:val="24"/>
        </w:rPr>
        <w:t xml:space="preserve"> </w:t>
      </w:r>
      <w:r w:rsidR="0470AC0A" w:rsidRPr="449EEBED">
        <w:rPr>
          <w:rFonts w:eastAsia="Calibri"/>
          <w:sz w:val="24"/>
          <w:szCs w:val="24"/>
        </w:rPr>
        <w:t xml:space="preserve">group-based, long-term </w:t>
      </w:r>
      <w:r w:rsidR="349798A4" w:rsidRPr="449EEBED">
        <w:rPr>
          <w:rFonts w:eastAsia="Calibri"/>
          <w:sz w:val="24"/>
          <w:szCs w:val="24"/>
        </w:rPr>
        <w:t xml:space="preserve">tracking decisions </w:t>
      </w:r>
      <w:r w:rsidR="10FCFC7D" w:rsidRPr="449EEBED">
        <w:rPr>
          <w:rFonts w:eastAsia="Calibri"/>
          <w:sz w:val="24"/>
          <w:szCs w:val="24"/>
        </w:rPr>
        <w:t xml:space="preserve">that </w:t>
      </w:r>
      <w:r w:rsidR="026A6685" w:rsidRPr="449EEBED">
        <w:rPr>
          <w:rFonts w:eastAsia="Calibri"/>
          <w:sz w:val="24"/>
          <w:szCs w:val="24"/>
        </w:rPr>
        <w:t>predetermine how</w:t>
      </w:r>
      <w:r w:rsidR="10FCFC7D" w:rsidRPr="449EEBED">
        <w:rPr>
          <w:rFonts w:eastAsia="Calibri"/>
          <w:sz w:val="24"/>
          <w:szCs w:val="24"/>
        </w:rPr>
        <w:t xml:space="preserve"> students </w:t>
      </w:r>
      <w:r w:rsidR="53FFDB3D" w:rsidRPr="449EEBED">
        <w:rPr>
          <w:rFonts w:eastAsia="Calibri"/>
          <w:sz w:val="24"/>
          <w:szCs w:val="24"/>
        </w:rPr>
        <w:t xml:space="preserve">will be processed </w:t>
      </w:r>
      <w:r w:rsidR="10FCFC7D" w:rsidRPr="449EEBED">
        <w:rPr>
          <w:rFonts w:eastAsia="Calibri"/>
          <w:sz w:val="24"/>
          <w:szCs w:val="24"/>
        </w:rPr>
        <w:t>through standardized coursework at a standardized pace</w:t>
      </w:r>
      <w:r w:rsidR="349798A4" w:rsidRPr="449EEBED">
        <w:rPr>
          <w:rFonts w:eastAsia="Calibri"/>
          <w:sz w:val="24"/>
          <w:szCs w:val="24"/>
        </w:rPr>
        <w:t>.</w:t>
      </w:r>
      <w:r w:rsidR="00DF0B73">
        <w:rPr>
          <w:rFonts w:eastAsia="Calibri"/>
          <w:sz w:val="24"/>
          <w:szCs w:val="24"/>
        </w:rPr>
        <w:t xml:space="preserve"> </w:t>
      </w:r>
      <w:r w:rsidR="00DF0B73" w:rsidRPr="00366209">
        <w:rPr>
          <w:rFonts w:eastAsia="Calibri"/>
          <w:sz w:val="24"/>
          <w:szCs w:val="24"/>
        </w:rPr>
        <w:t xml:space="preserve">(See also personalized learning </w:t>
      </w:r>
      <w:r w:rsidR="00061B2E" w:rsidRPr="00366209">
        <w:rPr>
          <w:rFonts w:eastAsia="Calibri"/>
          <w:sz w:val="24"/>
          <w:szCs w:val="24"/>
        </w:rPr>
        <w:t>through</w:t>
      </w:r>
      <w:r w:rsidR="00DF0B73" w:rsidRPr="00366209">
        <w:rPr>
          <w:rFonts w:eastAsia="Calibri"/>
          <w:sz w:val="24"/>
          <w:szCs w:val="24"/>
        </w:rPr>
        <w:t xml:space="preserve"> one-on-one and small group tutoring, below.)</w:t>
      </w:r>
    </w:p>
    <w:p w14:paraId="2AFA3105" w14:textId="4361463D" w:rsidR="007E1B51" w:rsidRDefault="007C18F7" w:rsidP="00EE17D5">
      <w:pPr>
        <w:spacing w:after="240" w:line="360" w:lineRule="auto"/>
        <w:rPr>
          <w:rFonts w:eastAsia="Calibri"/>
          <w:sz w:val="24"/>
          <w:szCs w:val="24"/>
        </w:rPr>
      </w:pPr>
      <w:r w:rsidRPr="00BD2BE0">
        <w:rPr>
          <w:rFonts w:eastAsia="Calibri"/>
          <w:sz w:val="24"/>
          <w:szCs w:val="24"/>
        </w:rPr>
        <w:t xml:space="preserve">Personalized learning can </w:t>
      </w:r>
      <w:proofErr w:type="gramStart"/>
      <w:r w:rsidRPr="00BD2BE0">
        <w:rPr>
          <w:rFonts w:eastAsia="Calibri"/>
          <w:sz w:val="24"/>
          <w:szCs w:val="24"/>
        </w:rPr>
        <w:t>be supported</w:t>
      </w:r>
      <w:proofErr w:type="gramEnd"/>
      <w:r w:rsidRPr="00BD2BE0">
        <w:rPr>
          <w:rFonts w:eastAsia="Calibri"/>
          <w:sz w:val="24"/>
          <w:szCs w:val="24"/>
        </w:rPr>
        <w:t xml:space="preserve"> by e</w:t>
      </w:r>
      <w:r w:rsidR="00685EDA" w:rsidRPr="00BD2BE0">
        <w:rPr>
          <w:rFonts w:eastAsia="Calibri"/>
          <w:sz w:val="24"/>
          <w:szCs w:val="24"/>
        </w:rPr>
        <w:t xml:space="preserve">merging </w:t>
      </w:r>
      <w:r w:rsidR="007E1B51" w:rsidRPr="00BD2BE0">
        <w:rPr>
          <w:rFonts w:eastAsia="Calibri"/>
          <w:sz w:val="24"/>
          <w:szCs w:val="24"/>
        </w:rPr>
        <w:t xml:space="preserve">technology-based systems </w:t>
      </w:r>
      <w:r w:rsidRPr="00BD2BE0">
        <w:rPr>
          <w:rFonts w:eastAsia="Calibri"/>
          <w:sz w:val="24"/>
          <w:szCs w:val="24"/>
        </w:rPr>
        <w:t xml:space="preserve">(see, </w:t>
      </w:r>
      <w:r w:rsidR="00F86664" w:rsidRPr="00BD2BE0">
        <w:rPr>
          <w:rFonts w:eastAsia="Calibri"/>
          <w:sz w:val="24"/>
          <w:szCs w:val="24"/>
        </w:rPr>
        <w:t>for example,</w:t>
      </w:r>
      <w:r w:rsidRPr="00BD2BE0">
        <w:rPr>
          <w:rFonts w:eastAsia="Calibri"/>
          <w:sz w:val="24"/>
          <w:szCs w:val="24"/>
        </w:rPr>
        <w:t xml:space="preserve"> Murphy et al., 2014), which </w:t>
      </w:r>
      <w:r w:rsidR="007E1B51" w:rsidRPr="00BD2BE0">
        <w:rPr>
          <w:rFonts w:eastAsia="Calibri"/>
          <w:sz w:val="24"/>
          <w:szCs w:val="24"/>
        </w:rPr>
        <w:t xml:space="preserve">offer promise for </w:t>
      </w:r>
      <w:r w:rsidRPr="00BD2BE0">
        <w:rPr>
          <w:rFonts w:eastAsia="Calibri"/>
          <w:sz w:val="24"/>
          <w:szCs w:val="24"/>
        </w:rPr>
        <w:t xml:space="preserve">helping </w:t>
      </w:r>
      <w:r w:rsidR="007E1B51" w:rsidRPr="00BD2BE0">
        <w:rPr>
          <w:rFonts w:eastAsia="Calibri"/>
          <w:sz w:val="24"/>
          <w:szCs w:val="24"/>
        </w:rPr>
        <w:t>educators meet</w:t>
      </w:r>
      <w:r w:rsidRPr="00BD2BE0">
        <w:rPr>
          <w:rFonts w:eastAsia="Calibri"/>
          <w:sz w:val="24"/>
          <w:szCs w:val="24"/>
        </w:rPr>
        <w:t xml:space="preserve"> the</w:t>
      </w:r>
      <w:r w:rsidR="007E1B51" w:rsidRPr="00BD2BE0">
        <w:rPr>
          <w:rFonts w:eastAsia="Calibri"/>
          <w:sz w:val="24"/>
          <w:szCs w:val="24"/>
        </w:rPr>
        <w:t xml:space="preserve"> individual needs of learners across the achievement spectrum in heterogeneous classrooms (Deunk et al., 2018)</w:t>
      </w:r>
      <w:r w:rsidRPr="00BD2BE0">
        <w:rPr>
          <w:rFonts w:eastAsia="Calibri"/>
          <w:sz w:val="24"/>
          <w:szCs w:val="24"/>
        </w:rPr>
        <w:t xml:space="preserve">. </w:t>
      </w:r>
      <w:r w:rsidR="00444777" w:rsidRPr="00BD2BE0">
        <w:rPr>
          <w:rFonts w:eastAsia="Calibri"/>
          <w:sz w:val="24"/>
          <w:szCs w:val="24"/>
        </w:rPr>
        <w:t xml:space="preserve">When well-designed technology tools </w:t>
      </w:r>
      <w:proofErr w:type="gramStart"/>
      <w:r w:rsidR="00444777" w:rsidRPr="00BD2BE0">
        <w:rPr>
          <w:rFonts w:eastAsia="Calibri"/>
          <w:sz w:val="24"/>
          <w:szCs w:val="24"/>
        </w:rPr>
        <w:t>are used</w:t>
      </w:r>
      <w:proofErr w:type="gramEnd"/>
      <w:r w:rsidR="00444777" w:rsidRPr="00BD2BE0">
        <w:rPr>
          <w:rFonts w:eastAsia="Calibri"/>
          <w:sz w:val="24"/>
          <w:szCs w:val="24"/>
        </w:rPr>
        <w:t xml:space="preserve"> appropriately</w:t>
      </w:r>
      <w:r w:rsidR="00967042" w:rsidRPr="00BD2BE0">
        <w:rPr>
          <w:rFonts w:eastAsia="Calibri"/>
          <w:sz w:val="24"/>
          <w:szCs w:val="24"/>
        </w:rPr>
        <w:t xml:space="preserve">, </w:t>
      </w:r>
      <w:r w:rsidR="00444777" w:rsidRPr="00BD2BE0">
        <w:rPr>
          <w:rFonts w:eastAsia="Calibri"/>
          <w:sz w:val="24"/>
          <w:szCs w:val="24"/>
        </w:rPr>
        <w:t xml:space="preserve">they </w:t>
      </w:r>
      <w:r w:rsidR="00A31FD1" w:rsidRPr="00BD2BE0">
        <w:rPr>
          <w:rFonts w:eastAsia="Calibri"/>
          <w:sz w:val="24"/>
          <w:szCs w:val="24"/>
        </w:rPr>
        <w:t>can</w:t>
      </w:r>
      <w:r w:rsidR="00D4401E" w:rsidRPr="00BD2BE0">
        <w:rPr>
          <w:rFonts w:eastAsia="Calibri"/>
          <w:sz w:val="24"/>
          <w:szCs w:val="24"/>
        </w:rPr>
        <w:t xml:space="preserve"> </w:t>
      </w:r>
      <w:r w:rsidR="00324768" w:rsidRPr="00BD2BE0">
        <w:rPr>
          <w:rFonts w:eastAsia="Calibri"/>
          <w:sz w:val="24"/>
          <w:szCs w:val="24"/>
        </w:rPr>
        <w:t>allow students to work at their own pace on material they are ready to learn</w:t>
      </w:r>
      <w:r w:rsidR="00D4401E" w:rsidRPr="00BD2BE0">
        <w:rPr>
          <w:rFonts w:eastAsia="Calibri"/>
          <w:sz w:val="24"/>
          <w:szCs w:val="24"/>
        </w:rPr>
        <w:t>, with teacher and peer support</w:t>
      </w:r>
      <w:r w:rsidR="00A31FD1" w:rsidRPr="00BD2BE0">
        <w:rPr>
          <w:rFonts w:eastAsia="Calibri"/>
          <w:sz w:val="24"/>
          <w:szCs w:val="24"/>
        </w:rPr>
        <w:t xml:space="preserve"> </w:t>
      </w:r>
      <w:r w:rsidR="00820F24" w:rsidRPr="00BD2BE0">
        <w:rPr>
          <w:rFonts w:eastAsia="Calibri"/>
          <w:sz w:val="24"/>
          <w:szCs w:val="24"/>
        </w:rPr>
        <w:t>(</w:t>
      </w:r>
      <w:r w:rsidR="00A31FD1" w:rsidRPr="00BD2BE0">
        <w:rPr>
          <w:rFonts w:eastAsia="Calibri"/>
          <w:sz w:val="24"/>
          <w:szCs w:val="24"/>
        </w:rPr>
        <w:t>Phillips</w:t>
      </w:r>
      <w:r w:rsidR="00BC4331">
        <w:rPr>
          <w:rFonts w:eastAsia="Calibri"/>
          <w:sz w:val="24"/>
          <w:szCs w:val="24"/>
        </w:rPr>
        <w:t xml:space="preserve"> et al.</w:t>
      </w:r>
      <w:r w:rsidR="00A31FD1" w:rsidRPr="00BD2BE0">
        <w:rPr>
          <w:rFonts w:eastAsia="Calibri"/>
          <w:sz w:val="24"/>
          <w:szCs w:val="24"/>
        </w:rPr>
        <w:t xml:space="preserve">, 2000; </w:t>
      </w:r>
      <w:r w:rsidR="00820F24" w:rsidRPr="00BD2BE0">
        <w:rPr>
          <w:sz w:val="24"/>
          <w:szCs w:val="24"/>
          <w:shd w:val="clear" w:color="auto" w:fill="FFFFFF"/>
        </w:rPr>
        <w:t>Beal</w:t>
      </w:r>
      <w:r w:rsidR="00BC4331">
        <w:rPr>
          <w:sz w:val="24"/>
          <w:szCs w:val="24"/>
          <w:shd w:val="clear" w:color="auto" w:fill="FFFFFF"/>
        </w:rPr>
        <w:t xml:space="preserve"> et al.,</w:t>
      </w:r>
      <w:r w:rsidR="00820F24" w:rsidRPr="00BD2BE0">
        <w:rPr>
          <w:sz w:val="24"/>
          <w:szCs w:val="24"/>
          <w:shd w:val="clear" w:color="auto" w:fill="FFFFFF"/>
        </w:rPr>
        <w:t xml:space="preserve"> 2007; </w:t>
      </w:r>
      <w:r w:rsidR="00820F24" w:rsidRPr="00BD2BE0">
        <w:rPr>
          <w:rFonts w:eastAsia="Calibri"/>
          <w:sz w:val="24"/>
          <w:szCs w:val="24"/>
        </w:rPr>
        <w:t xml:space="preserve">Darling-Hammond, </w:t>
      </w:r>
      <w:r w:rsidR="00820F24" w:rsidRPr="00BD2BE0">
        <w:rPr>
          <w:sz w:val="24"/>
          <w:szCs w:val="24"/>
          <w:shd w:val="clear" w:color="auto" w:fill="FFFFFF"/>
        </w:rPr>
        <w:t xml:space="preserve">Zielezinski, </w:t>
      </w:r>
      <w:r w:rsidR="00BC4331">
        <w:rPr>
          <w:sz w:val="24"/>
          <w:szCs w:val="24"/>
          <w:shd w:val="clear" w:color="auto" w:fill="FFFFFF"/>
        </w:rPr>
        <w:t>and</w:t>
      </w:r>
      <w:r w:rsidR="00820F24" w:rsidRPr="00BD2BE0">
        <w:rPr>
          <w:sz w:val="24"/>
          <w:szCs w:val="24"/>
          <w:shd w:val="clear" w:color="auto" w:fill="FFFFFF"/>
        </w:rPr>
        <w:t xml:space="preserve"> Goldman, 2014; J-PAL Evidence Review, 2019)</w:t>
      </w:r>
      <w:r w:rsidR="00324768" w:rsidRPr="00BD2BE0">
        <w:rPr>
          <w:rFonts w:eastAsia="Calibri"/>
          <w:sz w:val="24"/>
          <w:szCs w:val="24"/>
        </w:rPr>
        <w:t xml:space="preserve">. </w:t>
      </w:r>
      <w:r w:rsidR="00444777" w:rsidRPr="00BD2BE0">
        <w:rPr>
          <w:rFonts w:eastAsia="Calibri"/>
          <w:sz w:val="24"/>
          <w:szCs w:val="24"/>
        </w:rPr>
        <w:t>Chapter 11 of this framework provides more information on integrating technology, and California’s Digital Learning Integration and Standards Guidance (</w:t>
      </w:r>
      <w:r w:rsidR="00BC4331" w:rsidRPr="00BC4331">
        <w:rPr>
          <w:rFonts w:eastAsia="Calibri"/>
          <w:sz w:val="24"/>
          <w:szCs w:val="24"/>
        </w:rPr>
        <w:t>CDE</w:t>
      </w:r>
      <w:r w:rsidR="00BC4331">
        <w:rPr>
          <w:rFonts w:eastAsia="Calibri"/>
          <w:sz w:val="24"/>
          <w:szCs w:val="24"/>
        </w:rPr>
        <w:t>, 2021)</w:t>
      </w:r>
      <w:r w:rsidR="00444777" w:rsidRPr="00BD2BE0">
        <w:rPr>
          <w:rFonts w:eastAsia="Calibri"/>
          <w:sz w:val="24"/>
          <w:szCs w:val="24"/>
        </w:rPr>
        <w:t xml:space="preserve"> may be a particularly helpful resource. Additionally, </w:t>
      </w:r>
      <w:proofErr w:type="gramStart"/>
      <w:r w:rsidR="00444777" w:rsidRPr="00BD2BE0">
        <w:rPr>
          <w:rFonts w:eastAsia="Calibri"/>
          <w:sz w:val="24"/>
          <w:szCs w:val="24"/>
        </w:rPr>
        <w:t>several</w:t>
      </w:r>
      <w:proofErr w:type="gramEnd"/>
      <w:r w:rsidR="00444777" w:rsidRPr="00BD2BE0">
        <w:rPr>
          <w:rFonts w:eastAsia="Calibri"/>
          <w:sz w:val="24"/>
          <w:szCs w:val="24"/>
        </w:rPr>
        <w:t xml:space="preserve"> </w:t>
      </w:r>
      <w:r w:rsidR="00820F24" w:rsidRPr="00BD2BE0">
        <w:rPr>
          <w:rFonts w:eastAsia="Calibri"/>
          <w:sz w:val="24"/>
          <w:szCs w:val="24"/>
        </w:rPr>
        <w:t>organizations now offer online opportunities for targeted practice in particular mathematical topics.</w:t>
      </w:r>
    </w:p>
    <w:p w14:paraId="63777F4E" w14:textId="1FD6974F" w:rsidR="00747A0A" w:rsidRPr="00E13EB5" w:rsidRDefault="00821124" w:rsidP="00BC4331">
      <w:pPr>
        <w:pStyle w:val="Heading4"/>
        <w:spacing w:after="240"/>
      </w:pPr>
      <w:r>
        <w:t>Snapshot</w:t>
      </w:r>
      <w:r w:rsidR="00322500" w:rsidRPr="00E13EB5">
        <w:t xml:space="preserve">: </w:t>
      </w:r>
      <w:r w:rsidR="00747A0A" w:rsidRPr="00E13EB5">
        <w:t>Personalized by Teachers</w:t>
      </w:r>
    </w:p>
    <w:p w14:paraId="1B435C9F" w14:textId="344483DC" w:rsidR="00747A0A" w:rsidRPr="00E843F3" w:rsidRDefault="00747A0A" w:rsidP="001333C2">
      <w:pPr>
        <w:pBdr>
          <w:top w:val="nil"/>
          <w:left w:val="nil"/>
          <w:bottom w:val="nil"/>
          <w:right w:val="nil"/>
          <w:between w:val="nil"/>
        </w:pBdr>
        <w:spacing w:after="240" w:line="360" w:lineRule="auto"/>
        <w:rPr>
          <w:rFonts w:eastAsia="Calibri"/>
          <w:color w:val="000000"/>
          <w:sz w:val="24"/>
          <w:szCs w:val="24"/>
        </w:rPr>
      </w:pPr>
      <w:r w:rsidRPr="00E843F3">
        <w:rPr>
          <w:rFonts w:eastAsia="Calibri"/>
          <w:color w:val="000000"/>
          <w:sz w:val="24"/>
          <w:szCs w:val="24"/>
        </w:rPr>
        <w:t xml:space="preserve">A high school mathematics department wanted to tackle the problems of </w:t>
      </w:r>
      <w:r w:rsidR="00C27DB9">
        <w:rPr>
          <w:rFonts w:eastAsia="Calibri"/>
          <w:color w:val="000000"/>
          <w:sz w:val="24"/>
          <w:szCs w:val="24"/>
        </w:rPr>
        <w:t xml:space="preserve">fixed </w:t>
      </w:r>
      <w:r w:rsidRPr="00E843F3">
        <w:rPr>
          <w:rFonts w:eastAsia="Calibri"/>
          <w:color w:val="000000"/>
          <w:sz w:val="24"/>
          <w:szCs w:val="24"/>
        </w:rPr>
        <w:t>tracking</w:t>
      </w:r>
      <w:r w:rsidR="00C27DB9">
        <w:rPr>
          <w:rFonts w:eastAsia="Calibri"/>
          <w:color w:val="000000"/>
          <w:sz w:val="24"/>
          <w:szCs w:val="24"/>
        </w:rPr>
        <w:t xml:space="preserve"> systems</w:t>
      </w:r>
      <w:r w:rsidRPr="00E843F3">
        <w:rPr>
          <w:rFonts w:eastAsia="Calibri"/>
          <w:color w:val="000000"/>
          <w:sz w:val="24"/>
          <w:szCs w:val="24"/>
        </w:rPr>
        <w:t xml:space="preserve"> by giving students choice and allowing </w:t>
      </w:r>
      <w:r w:rsidR="004E4F21">
        <w:rPr>
          <w:rFonts w:eastAsia="Calibri"/>
          <w:color w:val="000000"/>
          <w:sz w:val="24"/>
          <w:szCs w:val="24"/>
        </w:rPr>
        <w:t>th</w:t>
      </w:r>
      <w:r w:rsidR="00F86664">
        <w:rPr>
          <w:rFonts w:eastAsia="Calibri"/>
          <w:color w:val="000000"/>
          <w:sz w:val="24"/>
          <w:szCs w:val="24"/>
        </w:rPr>
        <w:t>em to use</w:t>
      </w:r>
      <w:r w:rsidR="004E4F21">
        <w:rPr>
          <w:rFonts w:eastAsia="Calibri"/>
          <w:color w:val="000000"/>
          <w:sz w:val="24"/>
          <w:szCs w:val="24"/>
        </w:rPr>
        <w:t xml:space="preserve"> </w:t>
      </w:r>
      <w:r w:rsidRPr="00E843F3">
        <w:rPr>
          <w:rFonts w:eastAsia="Calibri"/>
          <w:color w:val="000000"/>
          <w:sz w:val="24"/>
          <w:szCs w:val="24"/>
        </w:rPr>
        <w:t xml:space="preserve">their </w:t>
      </w:r>
      <w:r w:rsidR="004E4F21">
        <w:rPr>
          <w:rFonts w:eastAsia="Calibri"/>
          <w:color w:val="000000"/>
          <w:sz w:val="24"/>
          <w:szCs w:val="24"/>
        </w:rPr>
        <w:t xml:space="preserve">existing </w:t>
      </w:r>
      <w:r w:rsidRPr="00E843F3">
        <w:rPr>
          <w:rFonts w:eastAsia="Calibri"/>
          <w:color w:val="000000"/>
          <w:sz w:val="24"/>
          <w:szCs w:val="24"/>
        </w:rPr>
        <w:t xml:space="preserve">work in </w:t>
      </w:r>
      <w:r w:rsidRPr="00E843F3">
        <w:rPr>
          <w:rFonts w:eastAsia="Calibri"/>
          <w:color w:val="000000"/>
          <w:sz w:val="24"/>
          <w:szCs w:val="24"/>
        </w:rPr>
        <w:lastRenderedPageBreak/>
        <w:t>different courses</w:t>
      </w:r>
      <w:r w:rsidR="004E4F21">
        <w:rPr>
          <w:rFonts w:eastAsia="Calibri"/>
          <w:color w:val="000000"/>
          <w:sz w:val="24"/>
          <w:szCs w:val="24"/>
        </w:rPr>
        <w:t xml:space="preserve"> </w:t>
      </w:r>
      <w:r w:rsidR="00F86664">
        <w:rPr>
          <w:rFonts w:eastAsia="Calibri"/>
          <w:color w:val="000000"/>
          <w:sz w:val="24"/>
          <w:szCs w:val="24"/>
        </w:rPr>
        <w:t>as</w:t>
      </w:r>
      <w:r w:rsidR="004E4F21">
        <w:rPr>
          <w:rFonts w:eastAsia="Calibri"/>
          <w:color w:val="000000"/>
          <w:sz w:val="24"/>
          <w:szCs w:val="24"/>
        </w:rPr>
        <w:t xml:space="preserve"> the basis for</w:t>
      </w:r>
      <w:r w:rsidRPr="00E843F3">
        <w:rPr>
          <w:rFonts w:eastAsia="Calibri"/>
          <w:color w:val="000000"/>
          <w:sz w:val="24"/>
          <w:szCs w:val="24"/>
        </w:rPr>
        <w:t xml:space="preserve"> deci</w:t>
      </w:r>
      <w:r w:rsidR="004E4F21">
        <w:rPr>
          <w:rFonts w:eastAsia="Calibri"/>
          <w:color w:val="000000"/>
          <w:sz w:val="24"/>
          <w:szCs w:val="24"/>
        </w:rPr>
        <w:t xml:space="preserve">sions about </w:t>
      </w:r>
      <w:r w:rsidRPr="00E843F3">
        <w:rPr>
          <w:rFonts w:eastAsia="Calibri"/>
          <w:color w:val="000000"/>
          <w:sz w:val="24"/>
          <w:szCs w:val="24"/>
        </w:rPr>
        <w:t>which course</w:t>
      </w:r>
      <w:r w:rsidR="003317A8">
        <w:rPr>
          <w:rFonts w:eastAsia="Calibri"/>
          <w:color w:val="000000"/>
          <w:sz w:val="24"/>
          <w:szCs w:val="24"/>
        </w:rPr>
        <w:t>s</w:t>
      </w:r>
      <w:r w:rsidRPr="00E843F3">
        <w:rPr>
          <w:rFonts w:eastAsia="Calibri"/>
          <w:color w:val="000000"/>
          <w:sz w:val="24"/>
          <w:szCs w:val="24"/>
        </w:rPr>
        <w:t xml:space="preserve"> they</w:t>
      </w:r>
      <w:r w:rsidR="004E4F21">
        <w:rPr>
          <w:rFonts w:eastAsia="Calibri"/>
          <w:color w:val="000000"/>
          <w:sz w:val="24"/>
          <w:szCs w:val="24"/>
        </w:rPr>
        <w:t xml:space="preserve"> might advance to</w:t>
      </w:r>
      <w:r w:rsidRPr="00E843F3">
        <w:rPr>
          <w:rFonts w:eastAsia="Calibri"/>
          <w:color w:val="000000"/>
          <w:sz w:val="24"/>
          <w:szCs w:val="24"/>
        </w:rPr>
        <w:t>. The teachers arrange</w:t>
      </w:r>
      <w:r w:rsidR="003317A8">
        <w:rPr>
          <w:rFonts w:eastAsia="Calibri"/>
          <w:color w:val="000000"/>
          <w:sz w:val="24"/>
          <w:szCs w:val="24"/>
        </w:rPr>
        <w:t>d</w:t>
      </w:r>
      <w:r w:rsidRPr="00E843F3">
        <w:rPr>
          <w:rFonts w:eastAsia="Calibri"/>
          <w:color w:val="000000"/>
          <w:sz w:val="24"/>
          <w:szCs w:val="24"/>
        </w:rPr>
        <w:t xml:space="preserve"> for students to take assessments at the end of each course unit</w:t>
      </w:r>
      <w:r w:rsidR="003317A8">
        <w:rPr>
          <w:rFonts w:eastAsia="Calibri"/>
          <w:color w:val="000000"/>
          <w:sz w:val="24"/>
          <w:szCs w:val="24"/>
        </w:rPr>
        <w:t>, allowing them</w:t>
      </w:r>
      <w:r w:rsidR="001E5FFF">
        <w:rPr>
          <w:rFonts w:eastAsia="Calibri"/>
          <w:strike/>
          <w:color w:val="000000"/>
          <w:sz w:val="24"/>
          <w:szCs w:val="24"/>
        </w:rPr>
        <w:t xml:space="preserve"> </w:t>
      </w:r>
      <w:r w:rsidRPr="00E843F3">
        <w:rPr>
          <w:rFonts w:eastAsia="Calibri"/>
          <w:color w:val="000000"/>
          <w:sz w:val="24"/>
          <w:szCs w:val="24"/>
        </w:rPr>
        <w:t xml:space="preserve">to move at </w:t>
      </w:r>
      <w:r w:rsidR="003317A8">
        <w:rPr>
          <w:rFonts w:eastAsia="Calibri"/>
          <w:color w:val="000000"/>
          <w:sz w:val="24"/>
          <w:szCs w:val="24"/>
        </w:rPr>
        <w:t xml:space="preserve">a </w:t>
      </w:r>
      <w:r w:rsidRPr="00E843F3">
        <w:rPr>
          <w:rFonts w:eastAsia="Calibri"/>
          <w:color w:val="000000"/>
          <w:sz w:val="24"/>
          <w:szCs w:val="24"/>
        </w:rPr>
        <w:t xml:space="preserve">pace appropriate </w:t>
      </w:r>
      <w:r w:rsidR="00BB6FB9">
        <w:rPr>
          <w:rFonts w:eastAsia="Calibri"/>
          <w:color w:val="000000"/>
          <w:sz w:val="24"/>
          <w:szCs w:val="24"/>
        </w:rPr>
        <w:t xml:space="preserve">for </w:t>
      </w:r>
      <w:r w:rsidRPr="00E843F3">
        <w:rPr>
          <w:rFonts w:eastAsia="Calibri"/>
          <w:color w:val="000000"/>
          <w:sz w:val="24"/>
          <w:szCs w:val="24"/>
        </w:rPr>
        <w:t>them.</w:t>
      </w:r>
    </w:p>
    <w:p w14:paraId="298204DA" w14:textId="0A1D9C5A" w:rsidR="00747A0A" w:rsidRPr="00E843F3" w:rsidRDefault="6F3A8227" w:rsidP="001333C2">
      <w:pPr>
        <w:pBdr>
          <w:top w:val="nil"/>
          <w:left w:val="nil"/>
          <w:bottom w:val="nil"/>
          <w:right w:val="nil"/>
          <w:between w:val="nil"/>
        </w:pBdr>
        <w:spacing w:after="240" w:line="360" w:lineRule="auto"/>
        <w:rPr>
          <w:rFonts w:eastAsia="Calibri"/>
          <w:color w:val="000000"/>
          <w:sz w:val="24"/>
          <w:szCs w:val="24"/>
        </w:rPr>
      </w:pPr>
      <w:r w:rsidRPr="449EEBED">
        <w:rPr>
          <w:rFonts w:eastAsia="Calibri"/>
          <w:sz w:val="24"/>
          <w:szCs w:val="24"/>
        </w:rPr>
        <w:t>In this team</w:t>
      </w:r>
      <w:r w:rsidR="053E6C49" w:rsidRPr="449EEBED">
        <w:rPr>
          <w:rFonts w:eastAsia="Calibri"/>
          <w:sz w:val="24"/>
          <w:szCs w:val="24"/>
        </w:rPr>
        <w:t>-</w:t>
      </w:r>
      <w:r w:rsidRPr="449EEBED">
        <w:rPr>
          <w:rFonts w:eastAsia="Calibri"/>
          <w:sz w:val="24"/>
          <w:szCs w:val="24"/>
        </w:rPr>
        <w:t>taught program</w:t>
      </w:r>
      <w:r w:rsidR="003317A8">
        <w:rPr>
          <w:rFonts w:eastAsia="Calibri"/>
          <w:sz w:val="24"/>
          <w:szCs w:val="24"/>
        </w:rPr>
        <w:t>,</w:t>
      </w:r>
      <w:r w:rsidRPr="449EEBED">
        <w:rPr>
          <w:rFonts w:eastAsia="Calibri"/>
          <w:sz w:val="24"/>
          <w:szCs w:val="24"/>
        </w:rPr>
        <w:t xml:space="preserve"> e</w:t>
      </w:r>
      <w:r w:rsidRPr="449EEBED">
        <w:rPr>
          <w:rFonts w:eastAsia="Calibri"/>
          <w:color w:val="000000" w:themeColor="text1"/>
          <w:sz w:val="24"/>
          <w:szCs w:val="24"/>
        </w:rPr>
        <w:t xml:space="preserve">ach student </w:t>
      </w:r>
      <w:proofErr w:type="gramStart"/>
      <w:r w:rsidRPr="449EEBED">
        <w:rPr>
          <w:rFonts w:eastAsia="Calibri"/>
          <w:color w:val="000000" w:themeColor="text1"/>
          <w:sz w:val="24"/>
          <w:szCs w:val="24"/>
        </w:rPr>
        <w:t>is assigned</w:t>
      </w:r>
      <w:proofErr w:type="gramEnd"/>
      <w:r w:rsidRPr="449EEBED">
        <w:rPr>
          <w:rFonts w:eastAsia="Calibri"/>
          <w:color w:val="000000" w:themeColor="text1"/>
          <w:sz w:val="24"/>
          <w:szCs w:val="24"/>
        </w:rPr>
        <w:t xml:space="preserve"> to a lead teacher who sets goals for the</w:t>
      </w:r>
      <w:r w:rsidR="009D069F">
        <w:rPr>
          <w:rFonts w:eastAsia="Calibri"/>
          <w:color w:val="000000" w:themeColor="text1"/>
          <w:sz w:val="24"/>
          <w:szCs w:val="24"/>
        </w:rPr>
        <w:t xml:space="preserve"> student</w:t>
      </w:r>
      <w:r w:rsidRPr="449EEBED">
        <w:rPr>
          <w:rFonts w:eastAsia="Calibri"/>
          <w:color w:val="000000" w:themeColor="text1"/>
          <w:sz w:val="24"/>
          <w:szCs w:val="24"/>
        </w:rPr>
        <w:t xml:space="preserve"> and tracks progress. Students meet </w:t>
      </w:r>
      <w:r w:rsidR="00BB6FB9">
        <w:rPr>
          <w:rFonts w:eastAsia="Calibri"/>
          <w:color w:val="000000" w:themeColor="text1"/>
          <w:sz w:val="24"/>
          <w:szCs w:val="24"/>
        </w:rPr>
        <w:t xml:space="preserve">as a class </w:t>
      </w:r>
      <w:r w:rsidRPr="449EEBED">
        <w:rPr>
          <w:rFonts w:eastAsia="Calibri"/>
          <w:color w:val="000000" w:themeColor="text1"/>
          <w:sz w:val="24"/>
          <w:szCs w:val="24"/>
        </w:rPr>
        <w:t>with their lead teacher each day at the beginning of the period to work on open problems or</w:t>
      </w:r>
      <w:r w:rsidR="009D069F">
        <w:rPr>
          <w:rFonts w:eastAsia="Calibri"/>
          <w:color w:val="000000" w:themeColor="text1"/>
          <w:sz w:val="24"/>
          <w:szCs w:val="24"/>
        </w:rPr>
        <w:t xml:space="preserve"> participate in</w:t>
      </w:r>
      <w:r w:rsidRPr="449EEBED">
        <w:rPr>
          <w:rFonts w:eastAsia="Calibri"/>
          <w:color w:val="000000" w:themeColor="text1"/>
          <w:sz w:val="24"/>
          <w:szCs w:val="24"/>
        </w:rPr>
        <w:t xml:space="preserve"> number or data talks. Students then transition to different rooms for each course (e</w:t>
      </w:r>
      <w:r w:rsidR="47A5D25F" w:rsidRPr="449EEBED">
        <w:rPr>
          <w:rFonts w:eastAsia="Calibri"/>
          <w:color w:val="000000" w:themeColor="text1"/>
          <w:sz w:val="24"/>
          <w:szCs w:val="24"/>
        </w:rPr>
        <w:t>.</w:t>
      </w:r>
      <w:r w:rsidRPr="449EEBED">
        <w:rPr>
          <w:rFonts w:eastAsia="Calibri"/>
          <w:color w:val="000000" w:themeColor="text1"/>
          <w:sz w:val="24"/>
          <w:szCs w:val="24"/>
        </w:rPr>
        <w:t>g</w:t>
      </w:r>
      <w:r w:rsidR="47A5D25F" w:rsidRPr="449EEBED">
        <w:rPr>
          <w:rFonts w:eastAsia="Calibri"/>
          <w:color w:val="000000" w:themeColor="text1"/>
          <w:sz w:val="24"/>
          <w:szCs w:val="24"/>
        </w:rPr>
        <w:t>.,</w:t>
      </w:r>
      <w:r w:rsidRPr="449EEBED">
        <w:rPr>
          <w:rFonts w:eastAsia="Calibri"/>
          <w:color w:val="000000" w:themeColor="text1"/>
          <w:sz w:val="24"/>
          <w:szCs w:val="24"/>
        </w:rPr>
        <w:t xml:space="preserve"> </w:t>
      </w:r>
      <w:r w:rsidRPr="449EEBED">
        <w:rPr>
          <w:rFonts w:eastAsia="Calibri"/>
          <w:sz w:val="24"/>
          <w:szCs w:val="24"/>
        </w:rPr>
        <w:t xml:space="preserve">Algebra, Geometry, Algebra </w:t>
      </w:r>
      <w:r w:rsidR="00687E28">
        <w:rPr>
          <w:rFonts w:eastAsia="Calibri"/>
          <w:sz w:val="24"/>
          <w:szCs w:val="24"/>
        </w:rPr>
        <w:t>II</w:t>
      </w:r>
      <w:r w:rsidRPr="449EEBED">
        <w:rPr>
          <w:rFonts w:eastAsia="Calibri"/>
          <w:sz w:val="24"/>
          <w:szCs w:val="24"/>
        </w:rPr>
        <w:t>, or Trigonometry</w:t>
      </w:r>
      <w:r w:rsidRPr="449EEBED">
        <w:rPr>
          <w:rFonts w:eastAsia="Calibri"/>
          <w:color w:val="000000" w:themeColor="text1"/>
          <w:sz w:val="24"/>
          <w:szCs w:val="24"/>
        </w:rPr>
        <w:t>)</w:t>
      </w:r>
      <w:r w:rsidR="47A5D25F" w:rsidRPr="449EEBED">
        <w:rPr>
          <w:rFonts w:eastAsia="Calibri"/>
          <w:color w:val="000000" w:themeColor="text1"/>
          <w:sz w:val="24"/>
          <w:szCs w:val="24"/>
        </w:rPr>
        <w:t>,</w:t>
      </w:r>
      <w:r w:rsidRPr="449EEBED">
        <w:rPr>
          <w:rFonts w:eastAsia="Calibri"/>
          <w:color w:val="000000" w:themeColor="text1"/>
          <w:sz w:val="24"/>
          <w:szCs w:val="24"/>
        </w:rPr>
        <w:t xml:space="preserve"> where they sit in groups and work on the course materials</w:t>
      </w:r>
      <w:r w:rsidR="00BB6FB9">
        <w:rPr>
          <w:rFonts w:eastAsia="Calibri"/>
          <w:color w:val="000000" w:themeColor="text1"/>
          <w:sz w:val="24"/>
          <w:szCs w:val="24"/>
        </w:rPr>
        <w:t xml:space="preserve"> while t</w:t>
      </w:r>
      <w:r w:rsidRPr="449EEBED">
        <w:rPr>
          <w:rFonts w:eastAsia="Calibri"/>
          <w:color w:val="000000" w:themeColor="text1"/>
          <w:sz w:val="24"/>
          <w:szCs w:val="24"/>
        </w:rPr>
        <w:t>he teacher</w:t>
      </w:r>
      <w:r w:rsidR="001E5FFF">
        <w:rPr>
          <w:rFonts w:eastAsia="Calibri"/>
          <w:color w:val="000000" w:themeColor="text1"/>
          <w:sz w:val="24"/>
          <w:szCs w:val="24"/>
        </w:rPr>
        <w:t xml:space="preserve"> </w:t>
      </w:r>
      <w:r w:rsidRPr="449EEBED">
        <w:rPr>
          <w:rFonts w:eastAsia="Calibri"/>
          <w:sz w:val="24"/>
          <w:szCs w:val="24"/>
        </w:rPr>
        <w:t>circulate</w:t>
      </w:r>
      <w:r w:rsidR="00BB6FB9">
        <w:rPr>
          <w:rFonts w:eastAsia="Calibri"/>
          <w:sz w:val="24"/>
          <w:szCs w:val="24"/>
        </w:rPr>
        <w:t>s</w:t>
      </w:r>
      <w:r w:rsidRPr="449EEBED">
        <w:rPr>
          <w:rFonts w:eastAsia="Calibri"/>
          <w:color w:val="000000" w:themeColor="text1"/>
          <w:sz w:val="24"/>
          <w:szCs w:val="24"/>
        </w:rPr>
        <w:t xml:space="preserve"> around the room</w:t>
      </w:r>
      <w:r w:rsidR="009D069F">
        <w:rPr>
          <w:rFonts w:eastAsia="Calibri"/>
          <w:color w:val="000000" w:themeColor="text1"/>
          <w:sz w:val="24"/>
          <w:szCs w:val="24"/>
        </w:rPr>
        <w:t>,</w:t>
      </w:r>
      <w:r w:rsidRPr="449EEBED">
        <w:rPr>
          <w:rFonts w:eastAsia="Calibri"/>
          <w:color w:val="000000" w:themeColor="text1"/>
          <w:sz w:val="24"/>
          <w:szCs w:val="24"/>
        </w:rPr>
        <w:t xml:space="preserve"> providing small group instruction, asking guiding questions, </w:t>
      </w:r>
      <w:r w:rsidR="00BB6FB9">
        <w:rPr>
          <w:rFonts w:eastAsia="Calibri"/>
          <w:color w:val="000000" w:themeColor="text1"/>
          <w:sz w:val="24"/>
          <w:szCs w:val="24"/>
        </w:rPr>
        <w:t xml:space="preserve">and </w:t>
      </w:r>
      <w:r w:rsidRPr="449EEBED">
        <w:rPr>
          <w:rFonts w:eastAsia="Calibri"/>
          <w:color w:val="000000" w:themeColor="text1"/>
          <w:sz w:val="24"/>
          <w:szCs w:val="24"/>
        </w:rPr>
        <w:t>keeping students on task. When student</w:t>
      </w:r>
      <w:r w:rsidR="009D069F">
        <w:rPr>
          <w:rFonts w:eastAsia="Calibri"/>
          <w:color w:val="000000" w:themeColor="text1"/>
          <w:sz w:val="24"/>
          <w:szCs w:val="24"/>
        </w:rPr>
        <w:t>s</w:t>
      </w:r>
      <w:r w:rsidRPr="449EEBED">
        <w:rPr>
          <w:rFonts w:eastAsia="Calibri"/>
          <w:color w:val="000000" w:themeColor="text1"/>
          <w:sz w:val="24"/>
          <w:szCs w:val="24"/>
        </w:rPr>
        <w:t xml:space="preserve"> finish</w:t>
      </w:r>
      <w:r w:rsidR="009D069F">
        <w:rPr>
          <w:rFonts w:eastAsia="Calibri"/>
          <w:color w:val="000000" w:themeColor="text1"/>
          <w:sz w:val="24"/>
          <w:szCs w:val="24"/>
        </w:rPr>
        <w:t xml:space="preserve"> </w:t>
      </w:r>
      <w:r w:rsidRPr="449EEBED">
        <w:rPr>
          <w:rFonts w:eastAsia="Calibri"/>
          <w:color w:val="000000" w:themeColor="text1"/>
          <w:sz w:val="24"/>
          <w:szCs w:val="24"/>
        </w:rPr>
        <w:t xml:space="preserve">a topic, they submit a request to be assessed, which their lead teacher approves after checking that they have completed </w:t>
      </w:r>
      <w:proofErr w:type="gramStart"/>
      <w:r w:rsidRPr="449EEBED">
        <w:rPr>
          <w:rFonts w:eastAsia="Calibri"/>
          <w:color w:val="000000" w:themeColor="text1"/>
          <w:sz w:val="24"/>
          <w:szCs w:val="24"/>
        </w:rPr>
        <w:t>all of</w:t>
      </w:r>
      <w:proofErr w:type="gramEnd"/>
      <w:r w:rsidRPr="449EEBED">
        <w:rPr>
          <w:rFonts w:eastAsia="Calibri"/>
          <w:color w:val="000000" w:themeColor="text1"/>
          <w:sz w:val="24"/>
          <w:szCs w:val="24"/>
        </w:rPr>
        <w:t xml:space="preserve"> the materials for that topic. Students then take an assessment and</w:t>
      </w:r>
      <w:r w:rsidR="16B8ADF4" w:rsidRPr="449EEBED">
        <w:rPr>
          <w:rFonts w:eastAsia="Calibri"/>
          <w:color w:val="000000" w:themeColor="text1"/>
          <w:sz w:val="24"/>
          <w:szCs w:val="24"/>
        </w:rPr>
        <w:t>,</w:t>
      </w:r>
      <w:r w:rsidRPr="449EEBED">
        <w:rPr>
          <w:rFonts w:eastAsia="Calibri"/>
          <w:color w:val="000000" w:themeColor="text1"/>
          <w:sz w:val="24"/>
          <w:szCs w:val="24"/>
        </w:rPr>
        <w:t xml:space="preserve"> if they achieve</w:t>
      </w:r>
      <w:r w:rsidR="009D069F">
        <w:rPr>
          <w:rFonts w:eastAsia="Calibri"/>
          <w:color w:val="000000" w:themeColor="text1"/>
          <w:sz w:val="24"/>
          <w:szCs w:val="24"/>
        </w:rPr>
        <w:t xml:space="preserve"> a score of</w:t>
      </w:r>
      <w:r w:rsidRPr="449EEBED">
        <w:rPr>
          <w:rFonts w:eastAsia="Calibri"/>
          <w:color w:val="000000" w:themeColor="text1"/>
          <w:sz w:val="24"/>
          <w:szCs w:val="24"/>
        </w:rPr>
        <w:t xml:space="preserve"> at least 70</w:t>
      </w:r>
      <w:r w:rsidR="00E13EB5">
        <w:rPr>
          <w:rFonts w:eastAsia="Calibri"/>
          <w:color w:val="000000" w:themeColor="text1"/>
          <w:sz w:val="24"/>
          <w:szCs w:val="24"/>
        </w:rPr>
        <w:t xml:space="preserve"> percent</w:t>
      </w:r>
      <w:r w:rsidR="3D31EEFA" w:rsidRPr="449EEBED">
        <w:rPr>
          <w:rFonts w:eastAsia="Calibri"/>
          <w:color w:val="000000" w:themeColor="text1"/>
          <w:sz w:val="24"/>
          <w:szCs w:val="24"/>
        </w:rPr>
        <w:t>,</w:t>
      </w:r>
      <w:r w:rsidRPr="449EEBED">
        <w:rPr>
          <w:rFonts w:eastAsia="Calibri"/>
          <w:color w:val="000000" w:themeColor="text1"/>
          <w:sz w:val="24"/>
          <w:szCs w:val="24"/>
        </w:rPr>
        <w:t xml:space="preserve"> they are free to move on to the next topic. If they </w:t>
      </w:r>
      <w:r w:rsidR="009D069F">
        <w:rPr>
          <w:rFonts w:eastAsia="Calibri"/>
          <w:color w:val="000000" w:themeColor="text1"/>
          <w:sz w:val="24"/>
          <w:szCs w:val="24"/>
        </w:rPr>
        <w:t>score</w:t>
      </w:r>
      <w:r w:rsidRPr="449EEBED">
        <w:rPr>
          <w:rFonts w:eastAsia="Calibri"/>
          <w:color w:val="000000" w:themeColor="text1"/>
          <w:sz w:val="24"/>
          <w:szCs w:val="24"/>
        </w:rPr>
        <w:t xml:space="preserve"> below 70</w:t>
      </w:r>
      <w:r w:rsidR="00E13EB5">
        <w:rPr>
          <w:rFonts w:eastAsia="Calibri"/>
          <w:color w:val="000000" w:themeColor="text1"/>
          <w:sz w:val="24"/>
          <w:szCs w:val="24"/>
        </w:rPr>
        <w:t xml:space="preserve"> percent</w:t>
      </w:r>
      <w:r w:rsidR="751EA255" w:rsidRPr="449EEBED">
        <w:rPr>
          <w:rFonts w:eastAsia="Calibri"/>
          <w:color w:val="000000" w:themeColor="text1"/>
          <w:sz w:val="24"/>
          <w:szCs w:val="24"/>
        </w:rPr>
        <w:t>,</w:t>
      </w:r>
      <w:r w:rsidRPr="449EEBED">
        <w:rPr>
          <w:rFonts w:eastAsia="Calibri"/>
          <w:color w:val="000000" w:themeColor="text1"/>
          <w:sz w:val="24"/>
          <w:szCs w:val="24"/>
        </w:rPr>
        <w:t xml:space="preserve"> they work with their lead teacher to </w:t>
      </w:r>
      <w:r w:rsidR="31915E29" w:rsidRPr="449EEBED">
        <w:rPr>
          <w:rFonts w:eastAsia="Calibri"/>
          <w:color w:val="000000" w:themeColor="text1"/>
          <w:sz w:val="24"/>
          <w:szCs w:val="24"/>
        </w:rPr>
        <w:t>learn</w:t>
      </w:r>
      <w:r w:rsidR="00924C9A">
        <w:rPr>
          <w:rFonts w:eastAsia="Calibri"/>
          <w:color w:val="000000" w:themeColor="text1"/>
          <w:sz w:val="24"/>
          <w:szCs w:val="24"/>
        </w:rPr>
        <w:t>, understand, and be able to apply</w:t>
      </w:r>
      <w:r w:rsidRPr="449EEBED">
        <w:rPr>
          <w:rFonts w:eastAsia="Calibri"/>
          <w:color w:val="000000" w:themeColor="text1"/>
          <w:sz w:val="24"/>
          <w:szCs w:val="24"/>
        </w:rPr>
        <w:t xml:space="preserve"> the material. Students also have the option to re</w:t>
      </w:r>
      <w:r w:rsidR="00924C9A">
        <w:rPr>
          <w:rFonts w:eastAsia="Calibri"/>
          <w:color w:val="000000" w:themeColor="text1"/>
          <w:sz w:val="24"/>
          <w:szCs w:val="24"/>
        </w:rPr>
        <w:t>take</w:t>
      </w:r>
      <w:r w:rsidRPr="449EEBED">
        <w:rPr>
          <w:rFonts w:eastAsia="Calibri"/>
          <w:color w:val="000000" w:themeColor="text1"/>
          <w:sz w:val="24"/>
          <w:szCs w:val="24"/>
        </w:rPr>
        <w:t xml:space="preserve"> any </w:t>
      </w:r>
      <w:r w:rsidRPr="00F86664">
        <w:rPr>
          <w:rFonts w:eastAsia="Calibri"/>
          <w:color w:val="000000" w:themeColor="text1"/>
          <w:sz w:val="24"/>
          <w:szCs w:val="24"/>
        </w:rPr>
        <w:t>assessment</w:t>
      </w:r>
      <w:r w:rsidR="009D069F" w:rsidRPr="001D38B4">
        <w:rPr>
          <w:rFonts w:eastAsia="Calibri"/>
          <w:color w:val="000000" w:themeColor="text1"/>
          <w:sz w:val="24"/>
          <w:szCs w:val="24"/>
        </w:rPr>
        <w:t>, r</w:t>
      </w:r>
      <w:r w:rsidRPr="00F86664">
        <w:rPr>
          <w:rFonts w:eastAsia="Calibri"/>
          <w:color w:val="000000" w:themeColor="text1"/>
          <w:sz w:val="24"/>
          <w:szCs w:val="24"/>
        </w:rPr>
        <w:t>egardless</w:t>
      </w:r>
      <w:r w:rsidRPr="449EEBED">
        <w:rPr>
          <w:rFonts w:eastAsia="Calibri"/>
          <w:color w:val="000000" w:themeColor="text1"/>
          <w:sz w:val="24"/>
          <w:szCs w:val="24"/>
        </w:rPr>
        <w:t xml:space="preserve"> of their score, and teachers always </w:t>
      </w:r>
      <w:r w:rsidR="00BB6FB9">
        <w:rPr>
          <w:rFonts w:eastAsia="Calibri"/>
          <w:color w:val="000000" w:themeColor="text1"/>
          <w:sz w:val="24"/>
          <w:szCs w:val="24"/>
        </w:rPr>
        <w:t xml:space="preserve">accept </w:t>
      </w:r>
      <w:r w:rsidRPr="449EEBED">
        <w:rPr>
          <w:rFonts w:eastAsia="Calibri"/>
          <w:color w:val="000000" w:themeColor="text1"/>
          <w:sz w:val="24"/>
          <w:szCs w:val="24"/>
        </w:rPr>
        <w:t xml:space="preserve">the higher grade. Once students have completed all work from their </w:t>
      </w:r>
      <w:r w:rsidR="00BB6FB9">
        <w:rPr>
          <w:rFonts w:eastAsia="Calibri"/>
          <w:color w:val="000000" w:themeColor="text1"/>
          <w:sz w:val="24"/>
          <w:szCs w:val="24"/>
        </w:rPr>
        <w:t xml:space="preserve">current </w:t>
      </w:r>
      <w:r w:rsidRPr="449EEBED">
        <w:rPr>
          <w:rFonts w:eastAsia="Calibri"/>
          <w:color w:val="000000" w:themeColor="text1"/>
          <w:sz w:val="24"/>
          <w:szCs w:val="24"/>
        </w:rPr>
        <w:t>course</w:t>
      </w:r>
      <w:r w:rsidR="00924C9A">
        <w:rPr>
          <w:rFonts w:eastAsia="Calibri"/>
          <w:color w:val="000000" w:themeColor="text1"/>
          <w:sz w:val="24"/>
          <w:szCs w:val="24"/>
        </w:rPr>
        <w:t>,</w:t>
      </w:r>
      <w:r w:rsidRPr="449EEBED">
        <w:rPr>
          <w:rFonts w:eastAsia="Calibri"/>
          <w:color w:val="000000" w:themeColor="text1"/>
          <w:sz w:val="24"/>
          <w:szCs w:val="24"/>
        </w:rPr>
        <w:t xml:space="preserve"> they transition directly into the next course. </w:t>
      </w:r>
      <w:r w:rsidR="00924C9A">
        <w:rPr>
          <w:rFonts w:eastAsia="Calibri"/>
          <w:color w:val="000000" w:themeColor="text1"/>
          <w:sz w:val="24"/>
          <w:szCs w:val="24"/>
        </w:rPr>
        <w:t xml:space="preserve">Multiple </w:t>
      </w:r>
      <w:r w:rsidRPr="449EEBED">
        <w:rPr>
          <w:rFonts w:eastAsia="Calibri"/>
          <w:color w:val="000000" w:themeColor="text1"/>
          <w:sz w:val="24"/>
          <w:szCs w:val="24"/>
        </w:rPr>
        <w:t>team</w:t>
      </w:r>
      <w:r w:rsidR="003D7B9A">
        <w:rPr>
          <w:rFonts w:eastAsia="Calibri"/>
          <w:color w:val="000000" w:themeColor="text1"/>
          <w:sz w:val="24"/>
          <w:szCs w:val="24"/>
        </w:rPr>
        <w:t>-</w:t>
      </w:r>
      <w:r w:rsidRPr="449EEBED">
        <w:rPr>
          <w:rFonts w:eastAsia="Calibri"/>
          <w:color w:val="000000" w:themeColor="text1"/>
          <w:sz w:val="24"/>
          <w:szCs w:val="24"/>
        </w:rPr>
        <w:t xml:space="preserve">taught courses (such as </w:t>
      </w:r>
      <w:r w:rsidRPr="449EEBED">
        <w:rPr>
          <w:rFonts w:eastAsia="Calibri"/>
          <w:sz w:val="24"/>
          <w:szCs w:val="24"/>
        </w:rPr>
        <w:t xml:space="preserve">Algebra, Geometry, Algebra </w:t>
      </w:r>
      <w:r w:rsidR="00687E28">
        <w:rPr>
          <w:rFonts w:eastAsia="Calibri"/>
          <w:sz w:val="24"/>
          <w:szCs w:val="24"/>
        </w:rPr>
        <w:t>II</w:t>
      </w:r>
      <w:r w:rsidRPr="449EEBED">
        <w:rPr>
          <w:rFonts w:eastAsia="Calibri"/>
          <w:sz w:val="24"/>
          <w:szCs w:val="24"/>
        </w:rPr>
        <w:t>, and Trigonometry</w:t>
      </w:r>
      <w:r w:rsidRPr="449EEBED">
        <w:rPr>
          <w:rFonts w:eastAsia="Calibri"/>
          <w:color w:val="000000" w:themeColor="text1"/>
          <w:sz w:val="24"/>
          <w:szCs w:val="24"/>
        </w:rPr>
        <w:t>) run in the same period.</w:t>
      </w:r>
    </w:p>
    <w:p w14:paraId="7C00EB8C" w14:textId="1CBE969A" w:rsidR="00747A0A" w:rsidRPr="00E843F3" w:rsidRDefault="6F3A8227" w:rsidP="001333C2">
      <w:pPr>
        <w:spacing w:after="240" w:line="360" w:lineRule="auto"/>
        <w:rPr>
          <w:rFonts w:eastAsia="Calibri"/>
          <w:color w:val="000000"/>
          <w:sz w:val="24"/>
          <w:szCs w:val="24"/>
        </w:rPr>
      </w:pPr>
      <w:r w:rsidRPr="449EEBED">
        <w:rPr>
          <w:rFonts w:eastAsia="Calibri"/>
          <w:color w:val="000000" w:themeColor="text1"/>
          <w:sz w:val="24"/>
          <w:szCs w:val="24"/>
        </w:rPr>
        <w:t xml:space="preserve">This approach has allowed students to </w:t>
      </w:r>
      <w:r w:rsidR="338399F6" w:rsidRPr="449EEBED">
        <w:rPr>
          <w:rFonts w:eastAsia="Calibri"/>
          <w:color w:val="000000" w:themeColor="text1"/>
          <w:sz w:val="24"/>
          <w:szCs w:val="24"/>
        </w:rPr>
        <w:t>exercise agency</w:t>
      </w:r>
      <w:r w:rsidRPr="449EEBED">
        <w:rPr>
          <w:rFonts w:eastAsia="Calibri"/>
          <w:color w:val="000000" w:themeColor="text1"/>
          <w:sz w:val="24"/>
          <w:szCs w:val="24"/>
        </w:rPr>
        <w:t xml:space="preserve"> and to move ahead whenever they have learned the material for a course. </w:t>
      </w:r>
      <w:r w:rsidR="009D069F">
        <w:rPr>
          <w:rFonts w:eastAsia="Calibri"/>
          <w:color w:val="000000" w:themeColor="text1"/>
          <w:sz w:val="24"/>
          <w:szCs w:val="24"/>
        </w:rPr>
        <w:t>Said one t</w:t>
      </w:r>
      <w:r w:rsidRPr="449EEBED">
        <w:rPr>
          <w:rFonts w:eastAsia="Calibri"/>
          <w:color w:val="000000" w:themeColor="text1"/>
          <w:sz w:val="24"/>
          <w:szCs w:val="24"/>
        </w:rPr>
        <w:t>eacher</w:t>
      </w:r>
      <w:r w:rsidR="00CA0599">
        <w:rPr>
          <w:rFonts w:eastAsia="Calibri"/>
          <w:color w:val="000000" w:themeColor="text1"/>
          <w:sz w:val="24"/>
          <w:szCs w:val="24"/>
        </w:rPr>
        <w:t>:</w:t>
      </w:r>
    </w:p>
    <w:p w14:paraId="5F1ABDFE" w14:textId="0A018046" w:rsidR="00747A0A" w:rsidRDefault="00747A0A" w:rsidP="001333C2">
      <w:pPr>
        <w:spacing w:after="240" w:line="360" w:lineRule="auto"/>
        <w:ind w:left="720"/>
        <w:rPr>
          <w:rFonts w:eastAsia="Calibri"/>
          <w:color w:val="000000"/>
          <w:sz w:val="24"/>
          <w:szCs w:val="24"/>
        </w:rPr>
      </w:pPr>
      <w:proofErr w:type="gramStart"/>
      <w:r w:rsidRPr="00E843F3">
        <w:rPr>
          <w:rFonts w:eastAsia="Calibri"/>
          <w:color w:val="000000"/>
          <w:sz w:val="24"/>
          <w:szCs w:val="24"/>
        </w:rPr>
        <w:t>Some</w:t>
      </w:r>
      <w:proofErr w:type="gramEnd"/>
      <w:r w:rsidRPr="00E843F3">
        <w:rPr>
          <w:rFonts w:eastAsia="Calibri"/>
          <w:color w:val="000000"/>
          <w:sz w:val="24"/>
          <w:szCs w:val="24"/>
        </w:rPr>
        <w:t xml:space="preserve"> students who have always hated math have grown to love it because they are able to take control of their learning. They move at the pace that is right for them</w:t>
      </w:r>
      <w:r w:rsidR="009D069F">
        <w:rPr>
          <w:rFonts w:eastAsia="Calibri"/>
          <w:color w:val="000000"/>
          <w:sz w:val="24"/>
          <w:szCs w:val="24"/>
        </w:rPr>
        <w:t>,</w:t>
      </w:r>
      <w:r w:rsidRPr="00E843F3">
        <w:rPr>
          <w:rFonts w:eastAsia="Calibri"/>
          <w:color w:val="000000"/>
          <w:sz w:val="24"/>
          <w:szCs w:val="24"/>
        </w:rPr>
        <w:t xml:space="preserve"> and while it may be slower than in a traditional year-long class, they feel like they are finally learning the material</w:t>
      </w:r>
      <w:r w:rsidR="009D069F">
        <w:rPr>
          <w:rFonts w:eastAsia="Calibri"/>
          <w:color w:val="000000"/>
          <w:sz w:val="24"/>
          <w:szCs w:val="24"/>
        </w:rPr>
        <w:t>,</w:t>
      </w:r>
      <w:r w:rsidRPr="00E843F3">
        <w:rPr>
          <w:rFonts w:eastAsia="Calibri"/>
          <w:color w:val="000000"/>
          <w:sz w:val="24"/>
          <w:szCs w:val="24"/>
        </w:rPr>
        <w:t xml:space="preserve"> and their assessment scores show that. Other students have embraced the idea that sometimes you need to slow down</w:t>
      </w:r>
      <w:r w:rsidR="009D069F">
        <w:rPr>
          <w:rFonts w:eastAsia="Calibri"/>
          <w:color w:val="000000"/>
          <w:sz w:val="24"/>
          <w:szCs w:val="24"/>
        </w:rPr>
        <w:t>,</w:t>
      </w:r>
      <w:r w:rsidRPr="00E843F3">
        <w:rPr>
          <w:rFonts w:eastAsia="Calibri"/>
          <w:color w:val="000000"/>
          <w:sz w:val="24"/>
          <w:szCs w:val="24"/>
        </w:rPr>
        <w:t xml:space="preserve"> </w:t>
      </w:r>
      <w:r w:rsidR="009D069F" w:rsidRPr="00E843F3">
        <w:rPr>
          <w:rFonts w:eastAsia="Calibri"/>
          <w:color w:val="000000"/>
          <w:sz w:val="24"/>
          <w:szCs w:val="24"/>
        </w:rPr>
        <w:t xml:space="preserve">to build that </w:t>
      </w:r>
      <w:proofErr w:type="gramStart"/>
      <w:r w:rsidR="009D069F" w:rsidRPr="00E843F3">
        <w:rPr>
          <w:rFonts w:eastAsia="Calibri"/>
          <w:color w:val="000000"/>
          <w:sz w:val="24"/>
          <w:szCs w:val="24"/>
        </w:rPr>
        <w:t>strong foundation</w:t>
      </w:r>
      <w:proofErr w:type="gramEnd"/>
      <w:r w:rsidR="009D069F">
        <w:rPr>
          <w:rFonts w:eastAsia="Calibri"/>
          <w:color w:val="000000"/>
          <w:sz w:val="24"/>
          <w:szCs w:val="24"/>
        </w:rPr>
        <w:t>,</w:t>
      </w:r>
      <w:r w:rsidR="009D069F" w:rsidRPr="00E843F3">
        <w:rPr>
          <w:rFonts w:eastAsia="Calibri"/>
          <w:color w:val="000000"/>
          <w:sz w:val="24"/>
          <w:szCs w:val="24"/>
        </w:rPr>
        <w:t xml:space="preserve"> </w:t>
      </w:r>
      <w:r w:rsidRPr="00E843F3">
        <w:rPr>
          <w:rFonts w:eastAsia="Calibri"/>
          <w:color w:val="000000"/>
          <w:sz w:val="24"/>
          <w:szCs w:val="24"/>
        </w:rPr>
        <w:t xml:space="preserve">in order to pick up speed later. Other students have set lofty goals for themselves and have </w:t>
      </w:r>
      <w:proofErr w:type="gramStart"/>
      <w:r w:rsidRPr="00E843F3">
        <w:rPr>
          <w:rFonts w:eastAsia="Calibri"/>
          <w:color w:val="000000"/>
          <w:sz w:val="24"/>
          <w:szCs w:val="24"/>
        </w:rPr>
        <w:t>a strong desire</w:t>
      </w:r>
      <w:proofErr w:type="gramEnd"/>
      <w:r w:rsidRPr="00E843F3">
        <w:rPr>
          <w:rFonts w:eastAsia="Calibri"/>
          <w:color w:val="000000"/>
          <w:sz w:val="24"/>
          <w:szCs w:val="24"/>
        </w:rPr>
        <w:t xml:space="preserve"> to complete multiple </w:t>
      </w:r>
      <w:r w:rsidRPr="00E843F3">
        <w:rPr>
          <w:rFonts w:eastAsia="Calibri"/>
          <w:color w:val="000000"/>
          <w:sz w:val="24"/>
          <w:szCs w:val="24"/>
        </w:rPr>
        <w:lastRenderedPageBreak/>
        <w:t xml:space="preserve">courses in one year. Given that they are demonstrating mastery on their assessments, we </w:t>
      </w:r>
      <w:proofErr w:type="gramStart"/>
      <w:r w:rsidRPr="00E843F3">
        <w:rPr>
          <w:rFonts w:eastAsia="Calibri"/>
          <w:color w:val="000000"/>
          <w:sz w:val="24"/>
          <w:szCs w:val="24"/>
        </w:rPr>
        <w:t>don't</w:t>
      </w:r>
      <w:proofErr w:type="gramEnd"/>
      <w:r w:rsidRPr="00E843F3">
        <w:rPr>
          <w:rFonts w:eastAsia="Calibri"/>
          <w:color w:val="000000"/>
          <w:sz w:val="24"/>
          <w:szCs w:val="24"/>
        </w:rPr>
        <w:t xml:space="preserve"> believe in holding them back. This </w:t>
      </w:r>
      <w:proofErr w:type="gramStart"/>
      <w:r w:rsidRPr="00E843F3">
        <w:rPr>
          <w:rFonts w:eastAsia="Calibri"/>
          <w:color w:val="000000"/>
          <w:sz w:val="24"/>
          <w:szCs w:val="24"/>
        </w:rPr>
        <w:t>is allowing</w:t>
      </w:r>
      <w:proofErr w:type="gramEnd"/>
      <w:r w:rsidRPr="00E843F3">
        <w:rPr>
          <w:rFonts w:eastAsia="Calibri"/>
          <w:color w:val="000000"/>
          <w:sz w:val="24"/>
          <w:szCs w:val="24"/>
        </w:rPr>
        <w:t xml:space="preserve"> students to have multiple pathways to higher level math courses. They are no longer limited by a placement decision </w:t>
      </w:r>
      <w:proofErr w:type="gramStart"/>
      <w:r w:rsidRPr="00E843F3">
        <w:rPr>
          <w:rFonts w:eastAsia="Calibri"/>
          <w:color w:val="000000"/>
          <w:sz w:val="24"/>
          <w:szCs w:val="24"/>
        </w:rPr>
        <w:t>most likely made</w:t>
      </w:r>
      <w:proofErr w:type="gramEnd"/>
      <w:r w:rsidRPr="00E843F3">
        <w:rPr>
          <w:rFonts w:eastAsia="Calibri"/>
          <w:color w:val="000000"/>
          <w:sz w:val="24"/>
          <w:szCs w:val="24"/>
        </w:rPr>
        <w:t xml:space="preserve"> in </w:t>
      </w:r>
      <w:r w:rsidR="00595039">
        <w:rPr>
          <w:rFonts w:eastAsia="Calibri"/>
          <w:color w:val="000000"/>
          <w:sz w:val="24"/>
          <w:szCs w:val="24"/>
        </w:rPr>
        <w:t>sixth</w:t>
      </w:r>
      <w:r w:rsidRPr="00E843F3">
        <w:rPr>
          <w:rFonts w:eastAsia="Calibri"/>
          <w:color w:val="000000"/>
          <w:sz w:val="24"/>
          <w:szCs w:val="24"/>
        </w:rPr>
        <w:t xml:space="preserve"> grade. Students can still start high school in algebra and get to calculus or beyond if that is their goal.</w:t>
      </w:r>
    </w:p>
    <w:p w14:paraId="3A0B4E3F" w14:textId="071C45C9" w:rsidR="008914C4" w:rsidRPr="001D38B4" w:rsidRDefault="008914C4" w:rsidP="001D38B4">
      <w:pPr>
        <w:spacing w:after="240" w:line="360" w:lineRule="auto"/>
        <w:rPr>
          <w:rFonts w:eastAsia="Calibri"/>
          <w:i/>
          <w:iCs/>
          <w:sz w:val="24"/>
          <w:szCs w:val="24"/>
        </w:rPr>
      </w:pPr>
      <w:r>
        <w:rPr>
          <w:rFonts w:eastAsia="Calibri"/>
          <w:sz w:val="24"/>
          <w:szCs w:val="24"/>
        </w:rPr>
        <w:t>(</w:t>
      </w:r>
      <w:r>
        <w:rPr>
          <w:rFonts w:eastAsia="Calibri"/>
          <w:i/>
          <w:iCs/>
          <w:sz w:val="24"/>
          <w:szCs w:val="24"/>
        </w:rPr>
        <w:t xml:space="preserve">end </w:t>
      </w:r>
      <w:r w:rsidR="00821124">
        <w:rPr>
          <w:rFonts w:eastAsia="Calibri"/>
          <w:i/>
          <w:iCs/>
          <w:sz w:val="24"/>
          <w:szCs w:val="24"/>
        </w:rPr>
        <w:t>snapshot</w:t>
      </w:r>
      <w:r>
        <w:rPr>
          <w:rFonts w:eastAsia="Calibri"/>
          <w:i/>
          <w:iCs/>
          <w:sz w:val="24"/>
          <w:szCs w:val="24"/>
        </w:rPr>
        <w:t>)</w:t>
      </w:r>
    </w:p>
    <w:p w14:paraId="7397D262" w14:textId="6CA76EE3" w:rsidR="00814712" w:rsidRDefault="00687DBF" w:rsidP="001333C2">
      <w:pPr>
        <w:spacing w:after="240" w:line="360" w:lineRule="auto"/>
        <w:rPr>
          <w:rFonts w:eastAsia="Calibri"/>
          <w:sz w:val="24"/>
          <w:szCs w:val="24"/>
        </w:rPr>
      </w:pPr>
      <w:r w:rsidRPr="00E843F3">
        <w:rPr>
          <w:rFonts w:eastAsia="Calibri"/>
          <w:sz w:val="24"/>
          <w:szCs w:val="24"/>
        </w:rPr>
        <w:t xml:space="preserve">The great benefit of personalized systems is that they allow students to work at their own pace on content that is appropriate for their understanding. </w:t>
      </w:r>
      <w:r w:rsidR="003F7829">
        <w:rPr>
          <w:rFonts w:eastAsia="Calibri"/>
          <w:sz w:val="24"/>
          <w:szCs w:val="24"/>
        </w:rPr>
        <w:t>T</w:t>
      </w:r>
      <w:r w:rsidR="00D623AB">
        <w:rPr>
          <w:rFonts w:eastAsia="Calibri"/>
          <w:sz w:val="24"/>
          <w:szCs w:val="24"/>
        </w:rPr>
        <w:t>o</w:t>
      </w:r>
      <w:r w:rsidR="003F7829">
        <w:rPr>
          <w:rFonts w:eastAsia="Calibri"/>
          <w:sz w:val="24"/>
          <w:szCs w:val="24"/>
        </w:rPr>
        <w:t xml:space="preserve"> ensure that students</w:t>
      </w:r>
      <w:r w:rsidR="00D623AB">
        <w:rPr>
          <w:rFonts w:eastAsia="Calibri"/>
          <w:sz w:val="24"/>
          <w:szCs w:val="24"/>
        </w:rPr>
        <w:t xml:space="preserve"> experience the insights of others and engage in joint problem solving, individualized experiences can </w:t>
      </w:r>
      <w:r w:rsidR="00F95E53">
        <w:rPr>
          <w:rFonts w:eastAsia="Calibri"/>
          <w:sz w:val="24"/>
          <w:szCs w:val="24"/>
        </w:rPr>
        <w:t xml:space="preserve">also </w:t>
      </w:r>
      <w:proofErr w:type="gramStart"/>
      <w:r w:rsidR="00D623AB">
        <w:rPr>
          <w:rFonts w:eastAsia="Calibri"/>
          <w:sz w:val="24"/>
          <w:szCs w:val="24"/>
        </w:rPr>
        <w:t>be combined</w:t>
      </w:r>
      <w:proofErr w:type="gramEnd"/>
      <w:r w:rsidR="00D623AB">
        <w:rPr>
          <w:rFonts w:eastAsia="Calibri"/>
          <w:sz w:val="24"/>
          <w:szCs w:val="24"/>
        </w:rPr>
        <w:t xml:space="preserve"> with</w:t>
      </w:r>
      <w:r w:rsidRPr="00E843F3">
        <w:rPr>
          <w:rFonts w:eastAsia="Calibri"/>
          <w:sz w:val="24"/>
          <w:szCs w:val="24"/>
        </w:rPr>
        <w:t xml:space="preserve"> opportunities for mathematical collaboration.</w:t>
      </w:r>
    </w:p>
    <w:p w14:paraId="13ED8A3C" w14:textId="5264A098" w:rsidR="00485FDF" w:rsidRDefault="003F7829" w:rsidP="001333C2">
      <w:pPr>
        <w:spacing w:after="240" w:line="360" w:lineRule="auto"/>
        <w:rPr>
          <w:sz w:val="24"/>
          <w:szCs w:val="24"/>
        </w:rPr>
      </w:pPr>
      <w:r>
        <w:rPr>
          <w:rFonts w:eastAsia="Calibri"/>
          <w:sz w:val="24"/>
          <w:szCs w:val="24"/>
        </w:rPr>
        <w:t>Among</w:t>
      </w:r>
      <w:r w:rsidR="00687DBF" w:rsidRPr="00E843F3">
        <w:rPr>
          <w:rFonts w:eastAsia="Calibri"/>
          <w:sz w:val="24"/>
          <w:szCs w:val="24"/>
        </w:rPr>
        <w:t xml:space="preserve"> the</w:t>
      </w:r>
      <w:r>
        <w:rPr>
          <w:rFonts w:eastAsia="Calibri"/>
          <w:sz w:val="24"/>
          <w:szCs w:val="24"/>
        </w:rPr>
        <w:t xml:space="preserve"> most effective</w:t>
      </w:r>
      <w:r w:rsidR="00687DBF" w:rsidRPr="00E843F3">
        <w:rPr>
          <w:rFonts w:eastAsia="Calibri"/>
          <w:sz w:val="24"/>
          <w:szCs w:val="24"/>
        </w:rPr>
        <w:t xml:space="preserve"> systems</w:t>
      </w:r>
      <w:r>
        <w:rPr>
          <w:rFonts w:eastAsia="Calibri"/>
          <w:sz w:val="24"/>
          <w:szCs w:val="24"/>
        </w:rPr>
        <w:t xml:space="preserve"> are those that</w:t>
      </w:r>
      <w:r w:rsidR="00687DBF" w:rsidRPr="00E843F3">
        <w:rPr>
          <w:rFonts w:eastAsia="Calibri"/>
          <w:sz w:val="24"/>
          <w:szCs w:val="24"/>
        </w:rPr>
        <w:t xml:space="preserve"> </w:t>
      </w:r>
      <w:r>
        <w:rPr>
          <w:rFonts w:eastAsia="Calibri"/>
          <w:sz w:val="24"/>
          <w:szCs w:val="24"/>
        </w:rPr>
        <w:t>c</w:t>
      </w:r>
      <w:r w:rsidR="00687DBF" w:rsidRPr="00E843F3">
        <w:rPr>
          <w:rFonts w:eastAsia="Calibri"/>
          <w:sz w:val="24"/>
          <w:szCs w:val="24"/>
        </w:rPr>
        <w:t>ombin</w:t>
      </w:r>
      <w:r w:rsidR="00D109BB">
        <w:rPr>
          <w:rFonts w:eastAsia="Calibri"/>
          <w:sz w:val="24"/>
          <w:szCs w:val="24"/>
        </w:rPr>
        <w:t>e</w:t>
      </w:r>
      <w:r w:rsidR="00687DBF" w:rsidRPr="00E843F3">
        <w:rPr>
          <w:rFonts w:eastAsia="Calibri"/>
          <w:sz w:val="24"/>
          <w:szCs w:val="24"/>
        </w:rPr>
        <w:t xml:space="preserve"> different experiences</w:t>
      </w:r>
      <w:r w:rsidR="00364264">
        <w:rPr>
          <w:rFonts w:eastAsia="Calibri"/>
          <w:sz w:val="24"/>
          <w:szCs w:val="24"/>
        </w:rPr>
        <w:t>—</w:t>
      </w:r>
      <w:r>
        <w:rPr>
          <w:rFonts w:eastAsia="Calibri"/>
          <w:sz w:val="24"/>
          <w:szCs w:val="24"/>
        </w:rPr>
        <w:t>that is, where</w:t>
      </w:r>
      <w:r w:rsidR="00687DBF" w:rsidRPr="00E843F3">
        <w:rPr>
          <w:rFonts w:eastAsia="Calibri"/>
          <w:sz w:val="24"/>
          <w:szCs w:val="24"/>
        </w:rPr>
        <w:t xml:space="preserve"> students </w:t>
      </w:r>
      <w:r>
        <w:rPr>
          <w:rFonts w:eastAsia="Calibri"/>
          <w:sz w:val="24"/>
          <w:szCs w:val="24"/>
        </w:rPr>
        <w:t>divide their</w:t>
      </w:r>
      <w:r w:rsidR="00687DBF" w:rsidRPr="00E843F3">
        <w:rPr>
          <w:rFonts w:eastAsia="Calibri"/>
          <w:sz w:val="24"/>
          <w:szCs w:val="24"/>
        </w:rPr>
        <w:t xml:space="preserve"> time</w:t>
      </w:r>
      <w:r>
        <w:rPr>
          <w:rFonts w:eastAsia="Calibri"/>
          <w:sz w:val="24"/>
          <w:szCs w:val="24"/>
        </w:rPr>
        <w:t xml:space="preserve"> between</w:t>
      </w:r>
      <w:r w:rsidR="00687DBF" w:rsidRPr="00E843F3">
        <w:rPr>
          <w:rFonts w:eastAsia="Calibri"/>
          <w:sz w:val="24"/>
          <w:szCs w:val="24"/>
        </w:rPr>
        <w:t xml:space="preserve"> working on a computer and working with other students </w:t>
      </w:r>
      <w:r w:rsidR="00D623AB">
        <w:rPr>
          <w:rFonts w:eastAsia="Calibri"/>
          <w:sz w:val="24"/>
          <w:szCs w:val="24"/>
        </w:rPr>
        <w:t xml:space="preserve">and the teacher </w:t>
      </w:r>
      <w:r w:rsidR="00687DBF" w:rsidRPr="00E843F3">
        <w:rPr>
          <w:rFonts w:eastAsia="Calibri"/>
          <w:sz w:val="24"/>
          <w:szCs w:val="24"/>
        </w:rPr>
        <w:t xml:space="preserve">on rich mathematics developing conceptual understanding. </w:t>
      </w:r>
      <w:r w:rsidR="00DC4668">
        <w:rPr>
          <w:rFonts w:eastAsia="Calibri"/>
          <w:sz w:val="24"/>
          <w:szCs w:val="24"/>
        </w:rPr>
        <w:t xml:space="preserve">In one successful </w:t>
      </w:r>
      <w:r w:rsidR="00B57A46">
        <w:rPr>
          <w:rFonts w:eastAsia="Calibri"/>
          <w:sz w:val="24"/>
          <w:szCs w:val="24"/>
        </w:rPr>
        <w:t xml:space="preserve">teacher-developed </w:t>
      </w:r>
      <w:r w:rsidR="00DC4668">
        <w:rPr>
          <w:rFonts w:eastAsia="Calibri"/>
          <w:sz w:val="24"/>
          <w:szCs w:val="24"/>
        </w:rPr>
        <w:t xml:space="preserve">approach, </w:t>
      </w:r>
      <w:r w:rsidR="00B57A46">
        <w:rPr>
          <w:rFonts w:eastAsia="Calibri"/>
          <w:sz w:val="24"/>
          <w:szCs w:val="24"/>
        </w:rPr>
        <w:t>students engage in blended, self-paced, mastery</w:t>
      </w:r>
      <w:r w:rsidR="00F76F79">
        <w:rPr>
          <w:rFonts w:eastAsia="Calibri"/>
          <w:sz w:val="24"/>
          <w:szCs w:val="24"/>
        </w:rPr>
        <w:t>-</w:t>
      </w:r>
      <w:r w:rsidR="00B57A46">
        <w:rPr>
          <w:rFonts w:eastAsia="Calibri"/>
          <w:sz w:val="24"/>
          <w:szCs w:val="24"/>
        </w:rPr>
        <w:t>based learning with teacher</w:t>
      </w:r>
      <w:r w:rsidR="007E1B51">
        <w:rPr>
          <w:rFonts w:eastAsia="Calibri"/>
          <w:sz w:val="24"/>
          <w:szCs w:val="24"/>
        </w:rPr>
        <w:t>-</w:t>
      </w:r>
      <w:r w:rsidR="00B57A46">
        <w:rPr>
          <w:rFonts w:eastAsia="Calibri"/>
          <w:sz w:val="24"/>
          <w:szCs w:val="24"/>
        </w:rPr>
        <w:t>made videos supplementing in-class problem-solving in</w:t>
      </w:r>
      <w:r w:rsidR="00405342">
        <w:rPr>
          <w:rFonts w:eastAsia="Calibri"/>
          <w:sz w:val="24"/>
          <w:szCs w:val="24"/>
        </w:rPr>
        <w:t>dividually and in</w:t>
      </w:r>
      <w:r w:rsidR="00B57A46">
        <w:rPr>
          <w:rFonts w:eastAsia="Calibri"/>
          <w:sz w:val="24"/>
          <w:szCs w:val="24"/>
        </w:rPr>
        <w:t xml:space="preserve"> collaborative groups, with continual assessment and revision of work moving students toward </w:t>
      </w:r>
      <w:r w:rsidR="00A8550A" w:rsidRPr="002E0C0C">
        <w:rPr>
          <w:rFonts w:eastAsia="Calibri"/>
          <w:sz w:val="24"/>
          <w:szCs w:val="24"/>
        </w:rPr>
        <w:t>confidence and competence (Modern Classroom, 2021</w:t>
      </w:r>
      <w:r w:rsidR="00A8550A" w:rsidRPr="00466F56">
        <w:rPr>
          <w:rFonts w:eastAsia="Calibri"/>
          <w:sz w:val="24"/>
          <w:szCs w:val="24"/>
        </w:rPr>
        <w:t xml:space="preserve">). </w:t>
      </w:r>
      <w:r w:rsidR="00466F56" w:rsidRPr="00987389">
        <w:rPr>
          <w:rStyle w:val="normaltextrun"/>
          <w:color w:val="000000"/>
          <w:sz w:val="24"/>
          <w:szCs w:val="24"/>
          <w:bdr w:val="none" w:sz="0" w:space="0" w:color="auto" w:frame="1"/>
        </w:rPr>
        <w:t xml:space="preserve">A similar model developed by a middle school teacher and now taught in </w:t>
      </w:r>
      <w:proofErr w:type="gramStart"/>
      <w:r w:rsidR="00466F56" w:rsidRPr="00987389">
        <w:rPr>
          <w:rStyle w:val="normaltextrun"/>
          <w:color w:val="000000"/>
          <w:sz w:val="24"/>
          <w:szCs w:val="24"/>
          <w:bdr w:val="none" w:sz="0" w:space="0" w:color="auto" w:frame="1"/>
        </w:rPr>
        <w:t>many</w:t>
      </w:r>
      <w:proofErr w:type="gramEnd"/>
      <w:r w:rsidR="00466F56" w:rsidRPr="00987389">
        <w:rPr>
          <w:rStyle w:val="normaltextrun"/>
          <w:color w:val="000000"/>
          <w:sz w:val="24"/>
          <w:szCs w:val="24"/>
          <w:bdr w:val="none" w:sz="0" w:space="0" w:color="auto" w:frame="1"/>
        </w:rPr>
        <w:t xml:space="preserve"> schools, uses diagnostic assessments to create a tailored set of assignments for each student that the teacher can use in technology-infused mix of direct instruction, collaborative work with peers, and individualized learning.</w:t>
      </w:r>
      <w:r w:rsidR="00466F56">
        <w:rPr>
          <w:rStyle w:val="normaltextrun"/>
          <w:color w:val="000000"/>
          <w:sz w:val="24"/>
          <w:szCs w:val="24"/>
          <w:bdr w:val="none" w:sz="0" w:space="0" w:color="auto" w:frame="1"/>
        </w:rPr>
        <w:t xml:space="preserve"> </w:t>
      </w:r>
      <w:r w:rsidR="00405342" w:rsidRPr="002E0C0C">
        <w:rPr>
          <w:rFonts w:eastAsia="Calibri"/>
          <w:sz w:val="24"/>
          <w:szCs w:val="24"/>
        </w:rPr>
        <w:t xml:space="preserve">A </w:t>
      </w:r>
      <w:r w:rsidR="003D7B9A">
        <w:rPr>
          <w:rFonts w:eastAsia="Calibri"/>
          <w:sz w:val="24"/>
          <w:szCs w:val="24"/>
        </w:rPr>
        <w:t xml:space="preserve">study of this </w:t>
      </w:r>
      <w:r w:rsidR="00405342" w:rsidRPr="002E0C0C">
        <w:rPr>
          <w:rFonts w:eastAsia="Calibri"/>
          <w:sz w:val="24"/>
          <w:szCs w:val="24"/>
        </w:rPr>
        <w:t xml:space="preserve">model </w:t>
      </w:r>
      <w:r w:rsidR="003D7B9A">
        <w:rPr>
          <w:rFonts w:eastAsia="Calibri"/>
          <w:sz w:val="24"/>
          <w:szCs w:val="24"/>
        </w:rPr>
        <w:t xml:space="preserve">found that </w:t>
      </w:r>
      <w:r w:rsidR="008914C4">
        <w:rPr>
          <w:rFonts w:eastAsia="Calibri"/>
          <w:sz w:val="24"/>
          <w:szCs w:val="24"/>
        </w:rPr>
        <w:t xml:space="preserve">participating </w:t>
      </w:r>
      <w:r w:rsidR="003D7B9A">
        <w:rPr>
          <w:rFonts w:eastAsia="Calibri"/>
          <w:sz w:val="24"/>
          <w:szCs w:val="24"/>
        </w:rPr>
        <w:t>students improve</w:t>
      </w:r>
      <w:r w:rsidR="00485FDF">
        <w:rPr>
          <w:rFonts w:eastAsia="Calibri"/>
          <w:sz w:val="24"/>
          <w:szCs w:val="24"/>
        </w:rPr>
        <w:t>d</w:t>
      </w:r>
      <w:r w:rsidR="003D7B9A">
        <w:rPr>
          <w:rFonts w:eastAsia="Calibri"/>
          <w:sz w:val="24"/>
          <w:szCs w:val="24"/>
        </w:rPr>
        <w:t xml:space="preserve"> at a faster rate, on average, on mathematics assessments than </w:t>
      </w:r>
      <w:r w:rsidR="008914C4">
        <w:rPr>
          <w:rFonts w:eastAsia="Calibri"/>
          <w:sz w:val="24"/>
          <w:szCs w:val="24"/>
        </w:rPr>
        <w:t>d</w:t>
      </w:r>
      <w:r w:rsidR="00485FDF">
        <w:rPr>
          <w:rFonts w:eastAsia="Calibri"/>
          <w:sz w:val="24"/>
          <w:szCs w:val="24"/>
        </w:rPr>
        <w:t>id</w:t>
      </w:r>
      <w:r w:rsidR="008914C4">
        <w:rPr>
          <w:rFonts w:eastAsia="Calibri"/>
          <w:sz w:val="24"/>
          <w:szCs w:val="24"/>
        </w:rPr>
        <w:t xml:space="preserve"> </w:t>
      </w:r>
      <w:r w:rsidR="003D7B9A">
        <w:rPr>
          <w:rFonts w:eastAsia="Calibri"/>
          <w:sz w:val="24"/>
          <w:szCs w:val="24"/>
        </w:rPr>
        <w:t xml:space="preserve">a nationally representative comparison group </w:t>
      </w:r>
      <w:r w:rsidR="00900AE5" w:rsidRPr="002E0C0C">
        <w:rPr>
          <w:sz w:val="24"/>
          <w:szCs w:val="24"/>
        </w:rPr>
        <w:t>(Margolis, 2019).</w:t>
      </w:r>
    </w:p>
    <w:p w14:paraId="5A668F05" w14:textId="359799A1" w:rsidR="005D5E75" w:rsidRPr="002E0C0C" w:rsidRDefault="008914C4" w:rsidP="001333C2">
      <w:pPr>
        <w:spacing w:after="240" w:line="360" w:lineRule="auto"/>
        <w:rPr>
          <w:rFonts w:eastAsia="Calibri"/>
          <w:sz w:val="24"/>
          <w:szCs w:val="24"/>
        </w:rPr>
      </w:pPr>
      <w:r>
        <w:rPr>
          <w:sz w:val="24"/>
          <w:szCs w:val="24"/>
        </w:rPr>
        <w:t>Yet another</w:t>
      </w:r>
      <w:r w:rsidR="00D623AB" w:rsidRPr="00D623AB">
        <w:rPr>
          <w:sz w:val="24"/>
          <w:szCs w:val="24"/>
        </w:rPr>
        <w:t xml:space="preserve"> approach</w:t>
      </w:r>
      <w:r w:rsidR="004D03B0">
        <w:rPr>
          <w:sz w:val="24"/>
          <w:szCs w:val="24"/>
        </w:rPr>
        <w:t xml:space="preserve">, </w:t>
      </w:r>
      <w:r>
        <w:rPr>
          <w:sz w:val="24"/>
          <w:szCs w:val="24"/>
        </w:rPr>
        <w:t xml:space="preserve">which </w:t>
      </w:r>
      <w:r w:rsidR="00D623AB" w:rsidRPr="00D623AB">
        <w:rPr>
          <w:sz w:val="24"/>
          <w:szCs w:val="24"/>
        </w:rPr>
        <w:t>offer</w:t>
      </w:r>
      <w:r>
        <w:rPr>
          <w:sz w:val="24"/>
          <w:szCs w:val="24"/>
        </w:rPr>
        <w:t>s</w:t>
      </w:r>
      <w:r w:rsidR="00D623AB" w:rsidRPr="00D623AB">
        <w:rPr>
          <w:sz w:val="24"/>
          <w:szCs w:val="24"/>
        </w:rPr>
        <w:t xml:space="preserve"> multiple strategies that can be used in individual or collaborative study to learn and practice content mapped to standards at each student’s level of mastery</w:t>
      </w:r>
      <w:r w:rsidR="004D03B0">
        <w:rPr>
          <w:sz w:val="24"/>
          <w:szCs w:val="24"/>
        </w:rPr>
        <w:t xml:space="preserve">, </w:t>
      </w:r>
      <w:r w:rsidR="00D623AB" w:rsidRPr="00D623AB">
        <w:rPr>
          <w:sz w:val="24"/>
          <w:szCs w:val="24"/>
        </w:rPr>
        <w:t>has been found to reduce math anxiety and to support greater achievement for students at different initial levels of achievement when used to complement classroom instruction (Murphy et al</w:t>
      </w:r>
      <w:r w:rsidR="00D623AB">
        <w:rPr>
          <w:sz w:val="24"/>
          <w:szCs w:val="24"/>
        </w:rPr>
        <w:t xml:space="preserve">., 2014). </w:t>
      </w:r>
      <w:r>
        <w:rPr>
          <w:sz w:val="24"/>
          <w:szCs w:val="24"/>
        </w:rPr>
        <w:t xml:space="preserve">Whichever approach is used, </w:t>
      </w:r>
      <w:r>
        <w:rPr>
          <w:sz w:val="24"/>
          <w:szCs w:val="24"/>
        </w:rPr>
        <w:lastRenderedPageBreak/>
        <w:t>t</w:t>
      </w:r>
      <w:r w:rsidR="007946EB" w:rsidRPr="002E0C0C">
        <w:rPr>
          <w:rFonts w:eastAsia="Calibri"/>
          <w:sz w:val="24"/>
          <w:szCs w:val="24"/>
        </w:rPr>
        <w:t>he goal should be</w:t>
      </w:r>
      <w:r w:rsidR="00687DBF" w:rsidRPr="002E0C0C">
        <w:rPr>
          <w:rFonts w:eastAsia="Calibri"/>
          <w:sz w:val="24"/>
          <w:szCs w:val="24"/>
        </w:rPr>
        <w:t xml:space="preserve"> to create a personalized learning environment that is focused on rich mathematics</w:t>
      </w:r>
      <w:r>
        <w:rPr>
          <w:rFonts w:eastAsia="Calibri"/>
          <w:sz w:val="24"/>
          <w:szCs w:val="24"/>
        </w:rPr>
        <w:t xml:space="preserve"> and</w:t>
      </w:r>
      <w:r w:rsidR="00687DBF" w:rsidRPr="002E0C0C">
        <w:rPr>
          <w:rFonts w:eastAsia="Calibri"/>
          <w:sz w:val="24"/>
          <w:szCs w:val="24"/>
        </w:rPr>
        <w:t xml:space="preserve"> through which students can conduct mathematical investigations and work on </w:t>
      </w:r>
      <w:proofErr w:type="gramStart"/>
      <w:r w:rsidR="00687DBF" w:rsidRPr="002E0C0C">
        <w:rPr>
          <w:rFonts w:eastAsia="Calibri"/>
          <w:sz w:val="24"/>
          <w:szCs w:val="24"/>
        </w:rPr>
        <w:t>big ideas</w:t>
      </w:r>
      <w:proofErr w:type="gramEnd"/>
      <w:r w:rsidR="00687DBF" w:rsidRPr="002E0C0C">
        <w:rPr>
          <w:rFonts w:eastAsia="Calibri"/>
          <w:sz w:val="24"/>
          <w:szCs w:val="24"/>
        </w:rPr>
        <w:t xml:space="preserve"> and mathematical connections.</w:t>
      </w:r>
    </w:p>
    <w:p w14:paraId="2B89A5C2" w14:textId="3DAD089C" w:rsidR="005D5E75" w:rsidRPr="00E843F3" w:rsidRDefault="00687DBF" w:rsidP="001333C2">
      <w:pPr>
        <w:spacing w:after="240" w:line="360" w:lineRule="auto"/>
        <w:rPr>
          <w:rFonts w:eastAsia="Calibri"/>
          <w:sz w:val="24"/>
          <w:szCs w:val="24"/>
        </w:rPr>
      </w:pPr>
      <w:r w:rsidRPr="00E843F3">
        <w:rPr>
          <w:rFonts w:eastAsia="Calibri"/>
          <w:sz w:val="24"/>
          <w:szCs w:val="24"/>
        </w:rPr>
        <w:t>For now, it is crucial that schools and districts considering personalized learning products</w:t>
      </w:r>
      <w:r w:rsidR="00446D29">
        <w:rPr>
          <w:rFonts w:eastAsia="Calibri"/>
          <w:sz w:val="24"/>
          <w:szCs w:val="24"/>
        </w:rPr>
        <w:t xml:space="preserve"> or programs</w:t>
      </w:r>
      <w:r w:rsidRPr="00E843F3">
        <w:rPr>
          <w:rFonts w:eastAsia="Calibri"/>
          <w:sz w:val="24"/>
          <w:szCs w:val="24"/>
        </w:rPr>
        <w:t xml:space="preserve"> review them carefully to ensure that they:</w:t>
      </w:r>
    </w:p>
    <w:p w14:paraId="5AA8CF61" w14:textId="2BE2DE29" w:rsidR="005D5E75" w:rsidRPr="00E843F3" w:rsidRDefault="00687DBF" w:rsidP="006F30B6">
      <w:pPr>
        <w:pStyle w:val="ListParagraph"/>
        <w:numPr>
          <w:ilvl w:val="0"/>
          <w:numId w:val="7"/>
        </w:numPr>
        <w:spacing w:after="240" w:line="360" w:lineRule="auto"/>
        <w:ind w:left="720"/>
        <w:contextualSpacing w:val="0"/>
        <w:rPr>
          <w:rFonts w:eastAsia="Calibri"/>
          <w:sz w:val="24"/>
          <w:szCs w:val="24"/>
        </w:rPr>
      </w:pPr>
      <w:r w:rsidRPr="00E843F3">
        <w:rPr>
          <w:rFonts w:eastAsia="Calibri"/>
          <w:sz w:val="24"/>
          <w:szCs w:val="24"/>
        </w:rPr>
        <w:t>Develop mathematical concepts, problem-solving strategies (including computation), and application</w:t>
      </w:r>
      <w:r w:rsidR="008914C4">
        <w:rPr>
          <w:rFonts w:eastAsia="Calibri"/>
          <w:sz w:val="24"/>
          <w:szCs w:val="24"/>
        </w:rPr>
        <w:t>s</w:t>
      </w:r>
      <w:r w:rsidRPr="00E843F3">
        <w:rPr>
          <w:rFonts w:eastAsia="Calibri"/>
          <w:sz w:val="24"/>
          <w:szCs w:val="24"/>
        </w:rPr>
        <w:t xml:space="preserve"> in way</w:t>
      </w:r>
      <w:r w:rsidR="00F86664">
        <w:rPr>
          <w:rFonts w:eastAsia="Calibri"/>
          <w:sz w:val="24"/>
          <w:szCs w:val="24"/>
        </w:rPr>
        <w:t>s wherein</w:t>
      </w:r>
      <w:r w:rsidRPr="00E843F3">
        <w:rPr>
          <w:rFonts w:eastAsia="Calibri"/>
          <w:sz w:val="24"/>
          <w:szCs w:val="24"/>
        </w:rPr>
        <w:t xml:space="preserve"> each supports the other</w:t>
      </w:r>
      <w:r w:rsidR="00364264">
        <w:rPr>
          <w:rFonts w:eastAsia="Calibri"/>
          <w:sz w:val="24"/>
          <w:szCs w:val="24"/>
        </w:rPr>
        <w:t>.</w:t>
      </w:r>
    </w:p>
    <w:p w14:paraId="19289628" w14:textId="744D37FC" w:rsidR="005D5E75" w:rsidRPr="00E843F3" w:rsidRDefault="00687DBF" w:rsidP="006F30B6">
      <w:pPr>
        <w:pStyle w:val="ListParagraph"/>
        <w:numPr>
          <w:ilvl w:val="0"/>
          <w:numId w:val="7"/>
        </w:numPr>
        <w:spacing w:after="240" w:line="360" w:lineRule="auto"/>
        <w:ind w:left="720"/>
        <w:contextualSpacing w:val="0"/>
        <w:rPr>
          <w:rFonts w:eastAsia="Calibri"/>
          <w:sz w:val="24"/>
          <w:szCs w:val="24"/>
        </w:rPr>
      </w:pPr>
      <w:r w:rsidRPr="00E843F3">
        <w:rPr>
          <w:rFonts w:eastAsia="Calibri"/>
          <w:sz w:val="24"/>
          <w:szCs w:val="24"/>
        </w:rPr>
        <w:t xml:space="preserve">Design student activities around </w:t>
      </w:r>
      <w:proofErr w:type="gramStart"/>
      <w:r w:rsidRPr="00E843F3">
        <w:rPr>
          <w:rFonts w:eastAsia="Calibri"/>
          <w:sz w:val="24"/>
          <w:szCs w:val="24"/>
        </w:rPr>
        <w:t>big ideas</w:t>
      </w:r>
      <w:proofErr w:type="gramEnd"/>
      <w:r w:rsidRPr="00E843F3">
        <w:rPr>
          <w:rFonts w:eastAsia="Calibri"/>
          <w:sz w:val="24"/>
          <w:szCs w:val="24"/>
        </w:rPr>
        <w:t xml:space="preserve"> that connect multiple content standards through engagement in the </w:t>
      </w:r>
      <w:r w:rsidR="00364CFF">
        <w:rPr>
          <w:rFonts w:eastAsia="Calibri"/>
          <w:sz w:val="24"/>
          <w:szCs w:val="24"/>
        </w:rPr>
        <w:t>Standards for Mathematical Practice (</w:t>
      </w:r>
      <w:r w:rsidRPr="00E843F3">
        <w:rPr>
          <w:rFonts w:eastAsia="Calibri"/>
          <w:sz w:val="24"/>
          <w:szCs w:val="24"/>
        </w:rPr>
        <w:t>SMPs</w:t>
      </w:r>
      <w:r w:rsidR="00364CFF">
        <w:rPr>
          <w:rFonts w:eastAsia="Calibri"/>
          <w:sz w:val="24"/>
          <w:szCs w:val="24"/>
        </w:rPr>
        <w:t>)</w:t>
      </w:r>
      <w:r w:rsidRPr="00E843F3">
        <w:rPr>
          <w:rFonts w:eastAsia="Calibri"/>
          <w:sz w:val="24"/>
          <w:szCs w:val="24"/>
        </w:rPr>
        <w:t xml:space="preserve"> in the context of authentic investigation</w:t>
      </w:r>
      <w:r w:rsidR="00364264">
        <w:rPr>
          <w:rFonts w:eastAsia="Calibri"/>
          <w:sz w:val="24"/>
          <w:szCs w:val="24"/>
        </w:rPr>
        <w:t>.</w:t>
      </w:r>
    </w:p>
    <w:p w14:paraId="45152ECF" w14:textId="3C851168" w:rsidR="005D5E75" w:rsidRPr="00E843F3" w:rsidRDefault="00687DBF" w:rsidP="006F30B6">
      <w:pPr>
        <w:pStyle w:val="ListParagraph"/>
        <w:numPr>
          <w:ilvl w:val="0"/>
          <w:numId w:val="7"/>
        </w:numPr>
        <w:spacing w:after="240" w:line="360" w:lineRule="auto"/>
        <w:ind w:left="720"/>
        <w:contextualSpacing w:val="0"/>
        <w:rPr>
          <w:rFonts w:eastAsia="Calibri"/>
          <w:sz w:val="24"/>
          <w:szCs w:val="24"/>
        </w:rPr>
      </w:pPr>
      <w:r w:rsidRPr="00E843F3">
        <w:rPr>
          <w:rFonts w:eastAsia="Calibri"/>
          <w:sz w:val="24"/>
          <w:szCs w:val="24"/>
        </w:rPr>
        <w:t>Emphasize connections between mathematical ideas, strategies, and representations, rather than isolated skills</w:t>
      </w:r>
      <w:r w:rsidR="00364264">
        <w:rPr>
          <w:rFonts w:eastAsia="Calibri"/>
          <w:sz w:val="24"/>
          <w:szCs w:val="24"/>
        </w:rPr>
        <w:t>.</w:t>
      </w:r>
    </w:p>
    <w:p w14:paraId="58B19077" w14:textId="6B4FFEBF" w:rsidR="005D5E75" w:rsidRDefault="00687DBF" w:rsidP="006F30B6">
      <w:pPr>
        <w:pStyle w:val="ListParagraph"/>
        <w:numPr>
          <w:ilvl w:val="0"/>
          <w:numId w:val="7"/>
        </w:numPr>
        <w:spacing w:after="240" w:line="360" w:lineRule="auto"/>
        <w:ind w:left="720"/>
        <w:contextualSpacing w:val="0"/>
        <w:rPr>
          <w:rFonts w:eastAsia="Calibri"/>
          <w:sz w:val="24"/>
          <w:szCs w:val="24"/>
        </w:rPr>
      </w:pPr>
      <w:r w:rsidRPr="00E843F3">
        <w:rPr>
          <w:rFonts w:eastAsia="Calibri"/>
          <w:sz w:val="24"/>
          <w:szCs w:val="24"/>
        </w:rPr>
        <w:t xml:space="preserve">Include collaborative </w:t>
      </w:r>
      <w:r w:rsidR="00D109BB">
        <w:rPr>
          <w:rFonts w:eastAsia="Calibri"/>
          <w:sz w:val="24"/>
          <w:szCs w:val="24"/>
        </w:rPr>
        <w:t>components</w:t>
      </w:r>
      <w:r w:rsidRPr="00E843F3">
        <w:rPr>
          <w:rFonts w:eastAsia="Calibri"/>
          <w:sz w:val="24"/>
          <w:szCs w:val="24"/>
        </w:rPr>
        <w:t xml:space="preserve"> in student investigations, to build mathematical content and practices that emphasize mathematical communication and discourse</w:t>
      </w:r>
      <w:r w:rsidR="00364264">
        <w:rPr>
          <w:rFonts w:eastAsia="Calibri"/>
          <w:sz w:val="24"/>
          <w:szCs w:val="24"/>
        </w:rPr>
        <w:t>.</w:t>
      </w:r>
    </w:p>
    <w:p w14:paraId="61AB6094" w14:textId="33701014" w:rsidR="00607B17" w:rsidRDefault="008C69D0" w:rsidP="00607B17">
      <w:pPr>
        <w:spacing w:after="240" w:line="360" w:lineRule="auto"/>
        <w:rPr>
          <w:rFonts w:eastAsia="Calibri"/>
          <w:sz w:val="24"/>
          <w:szCs w:val="24"/>
        </w:rPr>
      </w:pPr>
      <w:r>
        <w:rPr>
          <w:rFonts w:eastAsia="Calibri"/>
          <w:b/>
          <w:bCs/>
          <w:sz w:val="24"/>
          <w:szCs w:val="24"/>
        </w:rPr>
        <w:t>Includ</w:t>
      </w:r>
      <w:r w:rsidR="00A429B4">
        <w:rPr>
          <w:rFonts w:eastAsia="Calibri"/>
          <w:b/>
          <w:bCs/>
          <w:sz w:val="24"/>
          <w:szCs w:val="24"/>
        </w:rPr>
        <w:t>ing</w:t>
      </w:r>
      <w:r>
        <w:rPr>
          <w:rFonts w:eastAsia="Calibri"/>
          <w:b/>
          <w:bCs/>
          <w:sz w:val="24"/>
          <w:szCs w:val="24"/>
        </w:rPr>
        <w:t xml:space="preserve"> one-on-one or small group tutoring.</w:t>
      </w:r>
      <w:r w:rsidR="006A08DC">
        <w:rPr>
          <w:rFonts w:eastAsia="Calibri"/>
          <w:sz w:val="24"/>
          <w:szCs w:val="24"/>
        </w:rPr>
        <w:t xml:space="preserve"> </w:t>
      </w:r>
      <w:r w:rsidR="00607B17" w:rsidRPr="00607B17">
        <w:rPr>
          <w:rFonts w:eastAsia="Calibri"/>
          <w:sz w:val="24"/>
          <w:szCs w:val="24"/>
        </w:rPr>
        <w:t>Districts are increasingly deploying one-on-one or small group tutoring to help students secure skills that they may have missed or not fully mastered. A growing research base shows that specific programs offered by trained tutors with frequent, regularly scheduled sessions can result in substantial gains in mathematics achievement, allowing students to accelerate their learning and sustain a path to higher level courses (US Department of Education, 2017; Nickow, Oreopoulos, and Quan, 2020).</w:t>
      </w:r>
      <w:r w:rsidR="00607B17" w:rsidRPr="00D109BB">
        <w:t xml:space="preserve"> </w:t>
      </w:r>
      <w:r w:rsidR="00607B17" w:rsidRPr="00607B17">
        <w:rPr>
          <w:rFonts w:eastAsia="Calibri"/>
          <w:sz w:val="24"/>
          <w:szCs w:val="24"/>
        </w:rPr>
        <w:t>Systematic use of tutoring could reduce the felt need for lower-track classes that derail students</w:t>
      </w:r>
      <w:r w:rsidR="008914C4">
        <w:rPr>
          <w:rFonts w:eastAsia="Calibri"/>
          <w:sz w:val="24"/>
          <w:szCs w:val="24"/>
        </w:rPr>
        <w:t xml:space="preserve"> at an early age</w:t>
      </w:r>
      <w:r w:rsidR="00607B17" w:rsidRPr="00607B17">
        <w:rPr>
          <w:rFonts w:eastAsia="Calibri"/>
          <w:sz w:val="24"/>
          <w:szCs w:val="24"/>
        </w:rPr>
        <w:t xml:space="preserve"> from </w:t>
      </w:r>
      <w:r w:rsidR="008914C4">
        <w:rPr>
          <w:rFonts w:eastAsia="Calibri"/>
          <w:sz w:val="24"/>
          <w:szCs w:val="24"/>
        </w:rPr>
        <w:t>p</w:t>
      </w:r>
      <w:r w:rsidR="006A08DC">
        <w:rPr>
          <w:rFonts w:eastAsia="Calibri"/>
          <w:sz w:val="24"/>
          <w:szCs w:val="24"/>
        </w:rPr>
        <w:t>aths leading to p</w:t>
      </w:r>
      <w:r w:rsidR="008914C4">
        <w:rPr>
          <w:rFonts w:eastAsia="Calibri"/>
          <w:sz w:val="24"/>
          <w:szCs w:val="24"/>
        </w:rPr>
        <w:t xml:space="preserve">otential </w:t>
      </w:r>
      <w:r w:rsidR="00607B17" w:rsidRPr="00607B17">
        <w:rPr>
          <w:rFonts w:eastAsia="Calibri"/>
          <w:sz w:val="24"/>
          <w:szCs w:val="24"/>
        </w:rPr>
        <w:t>STEM careers.</w:t>
      </w:r>
    </w:p>
    <w:p w14:paraId="2B809F3D" w14:textId="546ADAF8" w:rsidR="00B60453" w:rsidRPr="00607B17" w:rsidRDefault="00820F24" w:rsidP="00B60453">
      <w:pPr>
        <w:spacing w:after="240" w:line="360" w:lineRule="auto"/>
        <w:rPr>
          <w:rFonts w:eastAsia="Calibri"/>
          <w:sz w:val="24"/>
          <w:szCs w:val="24"/>
        </w:rPr>
      </w:pPr>
      <w:r w:rsidRPr="001D38B4">
        <w:rPr>
          <w:rFonts w:eastAsia="Calibri"/>
          <w:sz w:val="24"/>
          <w:szCs w:val="24"/>
        </w:rPr>
        <w:t>The COVID-19 pandemic increased the use of both online and in-person tutoring options</w:t>
      </w:r>
      <w:r w:rsidR="006A08DC">
        <w:rPr>
          <w:rFonts w:eastAsia="Calibri"/>
          <w:sz w:val="24"/>
          <w:szCs w:val="24"/>
        </w:rPr>
        <w:t xml:space="preserve"> nationwide</w:t>
      </w:r>
      <w:r w:rsidRPr="001D38B4">
        <w:rPr>
          <w:rFonts w:eastAsia="Calibri"/>
          <w:sz w:val="24"/>
          <w:szCs w:val="24"/>
        </w:rPr>
        <w:t xml:space="preserve">. </w:t>
      </w:r>
      <w:r w:rsidR="00B60453">
        <w:rPr>
          <w:rFonts w:eastAsia="Calibri"/>
          <w:sz w:val="24"/>
          <w:szCs w:val="24"/>
        </w:rPr>
        <w:t>In</w:t>
      </w:r>
      <w:r w:rsidRPr="001D38B4">
        <w:rPr>
          <w:rFonts w:eastAsia="Calibri"/>
          <w:sz w:val="24"/>
          <w:szCs w:val="24"/>
        </w:rPr>
        <w:t xml:space="preserve"> California, </w:t>
      </w:r>
      <w:r w:rsidR="00B60453">
        <w:rPr>
          <w:rFonts w:eastAsia="Calibri"/>
          <w:sz w:val="24"/>
          <w:szCs w:val="24"/>
        </w:rPr>
        <w:t xml:space="preserve">the state responded to the pandemic by providing </w:t>
      </w:r>
      <w:r w:rsidRPr="001D38B4">
        <w:rPr>
          <w:rFonts w:eastAsia="Calibri"/>
          <w:sz w:val="24"/>
          <w:szCs w:val="24"/>
        </w:rPr>
        <w:t xml:space="preserve">resources to </w:t>
      </w:r>
      <w:r w:rsidR="00B60453">
        <w:rPr>
          <w:rFonts w:eastAsia="Calibri"/>
          <w:sz w:val="24"/>
          <w:szCs w:val="24"/>
        </w:rPr>
        <w:t xml:space="preserve">local school districts </w:t>
      </w:r>
      <w:r w:rsidRPr="001D38B4">
        <w:rPr>
          <w:rFonts w:eastAsia="Calibri"/>
          <w:sz w:val="24"/>
          <w:szCs w:val="24"/>
        </w:rPr>
        <w:t>to promote learning acceleration and recovery</w:t>
      </w:r>
      <w:r w:rsidR="00B60453">
        <w:rPr>
          <w:rFonts w:eastAsia="Calibri"/>
          <w:sz w:val="24"/>
          <w:szCs w:val="24"/>
        </w:rPr>
        <w:t xml:space="preserve">, </w:t>
      </w:r>
      <w:r w:rsidR="00B60453">
        <w:rPr>
          <w:rFonts w:eastAsia="Calibri"/>
          <w:sz w:val="24"/>
          <w:szCs w:val="24"/>
        </w:rPr>
        <w:lastRenderedPageBreak/>
        <w:t>including</w:t>
      </w:r>
      <w:r w:rsidRPr="001D38B4">
        <w:rPr>
          <w:rFonts w:eastAsia="Calibri"/>
          <w:sz w:val="24"/>
          <w:szCs w:val="24"/>
        </w:rPr>
        <w:t xml:space="preserve"> for </w:t>
      </w:r>
      <w:r w:rsidR="00F03EFF">
        <w:rPr>
          <w:rFonts w:eastAsia="Calibri"/>
          <w:sz w:val="24"/>
          <w:szCs w:val="24"/>
        </w:rPr>
        <w:t xml:space="preserve">such </w:t>
      </w:r>
      <w:r w:rsidRPr="001D38B4">
        <w:rPr>
          <w:rFonts w:eastAsia="Calibri"/>
          <w:sz w:val="24"/>
          <w:szCs w:val="24"/>
        </w:rPr>
        <w:t>acceleration strategies as summer school, expanded learning time, and the use of high-dose tutoring</w:t>
      </w:r>
      <w:r w:rsidR="00B60453">
        <w:rPr>
          <w:rFonts w:eastAsia="Calibri"/>
          <w:sz w:val="24"/>
          <w:szCs w:val="24"/>
        </w:rPr>
        <w:t xml:space="preserve">—i.e., tutoring that is </w:t>
      </w:r>
      <w:r w:rsidR="00B60453" w:rsidRPr="00A423CF">
        <w:rPr>
          <w:rFonts w:eastAsia="Calibri"/>
          <w:sz w:val="24"/>
          <w:szCs w:val="24"/>
        </w:rPr>
        <w:t>delivered more than three days per week or at a rate of at least 50 hours over 36 weeks</w:t>
      </w:r>
      <w:r w:rsidRPr="001D38B4">
        <w:rPr>
          <w:rFonts w:eastAsia="Calibri"/>
          <w:sz w:val="24"/>
          <w:szCs w:val="24"/>
        </w:rPr>
        <w:t xml:space="preserve">. </w:t>
      </w:r>
      <w:r w:rsidR="00B60453" w:rsidRPr="00A423CF">
        <w:rPr>
          <w:rFonts w:eastAsia="Calibri"/>
          <w:sz w:val="24"/>
          <w:szCs w:val="24"/>
        </w:rPr>
        <w:t xml:space="preserve">A research overview on high-dosage tutoring provided by the National Student Support Accelerator reports that a meta-analysis of almost </w:t>
      </w:r>
      <w:proofErr w:type="gramStart"/>
      <w:r w:rsidR="00B60453" w:rsidRPr="00A423CF">
        <w:rPr>
          <w:rFonts w:eastAsia="Calibri"/>
          <w:sz w:val="24"/>
          <w:szCs w:val="24"/>
        </w:rPr>
        <w:t>200</w:t>
      </w:r>
      <w:proofErr w:type="gramEnd"/>
      <w:r w:rsidR="00B60453" w:rsidRPr="00A423CF">
        <w:rPr>
          <w:rFonts w:eastAsia="Calibri"/>
          <w:sz w:val="24"/>
          <w:szCs w:val="24"/>
        </w:rPr>
        <w:t xml:space="preserve"> studies found </w:t>
      </w:r>
      <w:r w:rsidR="009148D1" w:rsidRPr="009148D1">
        <w:rPr>
          <w:rFonts w:eastAsia="Calibri"/>
          <w:sz w:val="24"/>
          <w:szCs w:val="24"/>
        </w:rPr>
        <w:t>tutoring to have large, positive impacts on student achievement in both math and reading” (White et al., n.d.)</w:t>
      </w:r>
      <w:r w:rsidR="00B60453">
        <w:rPr>
          <w:rFonts w:eastAsia="Calibri"/>
          <w:sz w:val="24"/>
          <w:szCs w:val="24"/>
        </w:rPr>
        <w:t>.</w:t>
      </w:r>
      <w:r w:rsidR="00B60453" w:rsidRPr="00A423CF">
        <w:rPr>
          <w:rFonts w:eastAsia="Calibri"/>
          <w:sz w:val="24"/>
          <w:szCs w:val="24"/>
        </w:rPr>
        <w:t xml:space="preserve"> </w:t>
      </w:r>
      <w:r w:rsidR="00B60453">
        <w:rPr>
          <w:rFonts w:eastAsia="Calibri"/>
          <w:sz w:val="24"/>
          <w:szCs w:val="24"/>
        </w:rPr>
        <w:t>S</w:t>
      </w:r>
      <w:r w:rsidR="00B60453" w:rsidRPr="00A423CF">
        <w:rPr>
          <w:rFonts w:eastAsia="Calibri"/>
          <w:sz w:val="24"/>
          <w:szCs w:val="24"/>
        </w:rPr>
        <w:t>uch tutoring may be particularly impactful for students from lower income families (Dietrichson</w:t>
      </w:r>
      <w:r w:rsidR="00AC0FF1">
        <w:rPr>
          <w:rFonts w:eastAsia="Calibri"/>
          <w:sz w:val="24"/>
          <w:szCs w:val="24"/>
        </w:rPr>
        <w:t xml:space="preserve"> et al.</w:t>
      </w:r>
      <w:r w:rsidR="00444777">
        <w:rPr>
          <w:rFonts w:eastAsia="Calibri"/>
          <w:sz w:val="24"/>
          <w:szCs w:val="24"/>
        </w:rPr>
        <w:t xml:space="preserve">, </w:t>
      </w:r>
      <w:r w:rsidR="00B60453" w:rsidRPr="00A423CF">
        <w:rPr>
          <w:rFonts w:eastAsia="Calibri"/>
          <w:sz w:val="24"/>
          <w:szCs w:val="24"/>
        </w:rPr>
        <w:t>2017).</w:t>
      </w:r>
    </w:p>
    <w:p w14:paraId="18509EA1" w14:textId="58417AC4" w:rsidR="00820F24" w:rsidRPr="001D38B4" w:rsidRDefault="006A08DC" w:rsidP="001D38B4">
      <w:pPr>
        <w:spacing w:after="240" w:line="360" w:lineRule="auto"/>
        <w:rPr>
          <w:rFonts w:eastAsia="Calibri"/>
          <w:sz w:val="24"/>
          <w:szCs w:val="24"/>
        </w:rPr>
      </w:pPr>
      <w:r>
        <w:rPr>
          <w:rFonts w:eastAsia="Calibri"/>
          <w:sz w:val="24"/>
          <w:szCs w:val="24"/>
        </w:rPr>
        <w:t>H</w:t>
      </w:r>
      <w:r w:rsidR="00820F24" w:rsidRPr="001D38B4">
        <w:rPr>
          <w:rFonts w:eastAsia="Calibri"/>
          <w:sz w:val="24"/>
          <w:szCs w:val="24"/>
        </w:rPr>
        <w:t>igh-impact tutoring programs tend to include the following characteristics</w:t>
      </w:r>
      <w:r w:rsidR="00AC0FF1">
        <w:rPr>
          <w:rFonts w:eastAsia="Calibri"/>
          <w:sz w:val="24"/>
          <w:szCs w:val="24"/>
        </w:rPr>
        <w:t xml:space="preserve"> </w:t>
      </w:r>
      <w:r w:rsidR="00AC0FF1" w:rsidRPr="00AC0FF1">
        <w:rPr>
          <w:rFonts w:eastAsia="Calibri"/>
          <w:sz w:val="24"/>
          <w:szCs w:val="24"/>
        </w:rPr>
        <w:t>(National Student Support Accelerator, n.d.)</w:t>
      </w:r>
      <w:r w:rsidR="00820F24" w:rsidRPr="001D38B4">
        <w:rPr>
          <w:rFonts w:eastAsia="Calibri"/>
          <w:sz w:val="24"/>
          <w:szCs w:val="24"/>
        </w:rPr>
        <w:t>:</w:t>
      </w:r>
    </w:p>
    <w:p w14:paraId="67E25383" w14:textId="5AC44F57" w:rsidR="00820F24" w:rsidRPr="00E224F2" w:rsidRDefault="00AC0FF1" w:rsidP="001D38B4">
      <w:pPr>
        <w:pStyle w:val="ListParagraph"/>
        <w:numPr>
          <w:ilvl w:val="0"/>
          <w:numId w:val="12"/>
        </w:numPr>
        <w:spacing w:after="240" w:line="360" w:lineRule="auto"/>
        <w:rPr>
          <w:rFonts w:eastAsia="Calibri"/>
          <w:sz w:val="24"/>
          <w:szCs w:val="24"/>
        </w:rPr>
      </w:pPr>
      <w:r>
        <w:rPr>
          <w:rFonts w:eastAsia="Calibri"/>
          <w:sz w:val="24"/>
          <w:szCs w:val="24"/>
        </w:rPr>
        <w:t>H</w:t>
      </w:r>
      <w:r w:rsidR="00820F24" w:rsidRPr="00E224F2">
        <w:rPr>
          <w:rFonts w:eastAsia="Calibri"/>
          <w:sz w:val="24"/>
          <w:szCs w:val="24"/>
        </w:rPr>
        <w:t>igh-dosage delivery</w:t>
      </w:r>
      <w:r w:rsidR="00D50BA0" w:rsidRPr="00E224F2">
        <w:rPr>
          <w:rFonts w:eastAsia="Calibri"/>
          <w:sz w:val="24"/>
          <w:szCs w:val="24"/>
        </w:rPr>
        <w:t xml:space="preserve"> (at least 30 minutes at least </w:t>
      </w:r>
      <w:proofErr w:type="gramStart"/>
      <w:r w:rsidR="00D50BA0" w:rsidRPr="00E224F2">
        <w:rPr>
          <w:rFonts w:eastAsia="Calibri"/>
          <w:sz w:val="24"/>
          <w:szCs w:val="24"/>
        </w:rPr>
        <w:t>3</w:t>
      </w:r>
      <w:proofErr w:type="gramEnd"/>
      <w:r w:rsidR="00D50BA0" w:rsidRPr="00E224F2">
        <w:rPr>
          <w:rFonts w:eastAsia="Calibri"/>
          <w:sz w:val="24"/>
          <w:szCs w:val="24"/>
        </w:rPr>
        <w:t xml:space="preserve"> times/week)</w:t>
      </w:r>
    </w:p>
    <w:p w14:paraId="70AABE4D" w14:textId="75CFB6C5" w:rsidR="00820F24" w:rsidRPr="001D38B4" w:rsidRDefault="00AC0FF1" w:rsidP="001D38B4">
      <w:pPr>
        <w:pStyle w:val="ListParagraph"/>
        <w:numPr>
          <w:ilvl w:val="0"/>
          <w:numId w:val="12"/>
        </w:numPr>
        <w:spacing w:after="240" w:line="360" w:lineRule="auto"/>
        <w:rPr>
          <w:rFonts w:eastAsia="Calibri"/>
          <w:sz w:val="24"/>
          <w:szCs w:val="24"/>
        </w:rPr>
      </w:pPr>
      <w:r>
        <w:rPr>
          <w:rFonts w:eastAsia="Calibri"/>
          <w:sz w:val="24"/>
          <w:szCs w:val="24"/>
        </w:rPr>
        <w:t>A</w:t>
      </w:r>
      <w:r w:rsidR="00820F24" w:rsidRPr="001D38B4">
        <w:rPr>
          <w:rFonts w:eastAsia="Calibri"/>
          <w:sz w:val="24"/>
          <w:szCs w:val="24"/>
        </w:rPr>
        <w:t xml:space="preserve"> stated focus on cultivating tutor-student relationships</w:t>
      </w:r>
    </w:p>
    <w:p w14:paraId="61537786" w14:textId="649B5512" w:rsidR="00820F24" w:rsidRPr="001D38B4" w:rsidRDefault="00AC0FF1" w:rsidP="001D38B4">
      <w:pPr>
        <w:pStyle w:val="ListParagraph"/>
        <w:numPr>
          <w:ilvl w:val="0"/>
          <w:numId w:val="12"/>
        </w:numPr>
        <w:spacing w:after="240" w:line="360" w:lineRule="auto"/>
        <w:rPr>
          <w:rFonts w:eastAsia="Calibri"/>
          <w:sz w:val="24"/>
          <w:szCs w:val="24"/>
        </w:rPr>
      </w:pPr>
      <w:r>
        <w:rPr>
          <w:rFonts w:eastAsia="Calibri"/>
          <w:sz w:val="24"/>
          <w:szCs w:val="24"/>
        </w:rPr>
        <w:t>U</w:t>
      </w:r>
      <w:r w:rsidR="00820F24" w:rsidRPr="001D38B4">
        <w:rPr>
          <w:rFonts w:eastAsia="Calibri"/>
          <w:sz w:val="24"/>
          <w:szCs w:val="24"/>
        </w:rPr>
        <w:t>se of formative assessments to monitor student learning</w:t>
      </w:r>
    </w:p>
    <w:p w14:paraId="5A1D2AB7" w14:textId="6765FD02" w:rsidR="00820F24" w:rsidRPr="001D38B4" w:rsidRDefault="00AC0FF1" w:rsidP="001D38B4">
      <w:pPr>
        <w:pStyle w:val="ListParagraph"/>
        <w:numPr>
          <w:ilvl w:val="0"/>
          <w:numId w:val="12"/>
        </w:numPr>
        <w:spacing w:after="240" w:line="360" w:lineRule="auto"/>
        <w:rPr>
          <w:rFonts w:eastAsia="Calibri"/>
          <w:sz w:val="24"/>
          <w:szCs w:val="24"/>
        </w:rPr>
      </w:pPr>
      <w:r>
        <w:rPr>
          <w:rFonts w:eastAsia="Calibri"/>
          <w:sz w:val="24"/>
          <w:szCs w:val="24"/>
        </w:rPr>
        <w:t>A</w:t>
      </w:r>
      <w:r w:rsidR="00820F24" w:rsidRPr="001D38B4">
        <w:rPr>
          <w:rFonts w:eastAsia="Calibri"/>
          <w:sz w:val="24"/>
          <w:szCs w:val="24"/>
        </w:rPr>
        <w:t>lignment with the school curriculum</w:t>
      </w:r>
    </w:p>
    <w:p w14:paraId="7D646BD2" w14:textId="77777777" w:rsidR="00AC0FF1" w:rsidRDefault="00AC0FF1" w:rsidP="001D38B4">
      <w:pPr>
        <w:pStyle w:val="ListParagraph"/>
        <w:numPr>
          <w:ilvl w:val="0"/>
          <w:numId w:val="12"/>
        </w:numPr>
        <w:spacing w:after="240" w:line="360" w:lineRule="auto"/>
        <w:rPr>
          <w:rFonts w:eastAsia="Calibri"/>
          <w:sz w:val="24"/>
          <w:szCs w:val="24"/>
        </w:rPr>
      </w:pPr>
      <w:r>
        <w:rPr>
          <w:rFonts w:eastAsia="Calibri"/>
          <w:sz w:val="24"/>
          <w:szCs w:val="24"/>
        </w:rPr>
        <w:t>F</w:t>
      </w:r>
      <w:r w:rsidR="00820F24" w:rsidRPr="001D38B4">
        <w:rPr>
          <w:rFonts w:eastAsia="Calibri"/>
          <w:sz w:val="24"/>
          <w:szCs w:val="24"/>
        </w:rPr>
        <w:t>ormalized tutor training and support</w:t>
      </w:r>
    </w:p>
    <w:p w14:paraId="0591BE17" w14:textId="2102C23D" w:rsidR="00BC6EDC" w:rsidRPr="00607B17" w:rsidRDefault="00BC6EDC" w:rsidP="001D38B4">
      <w:pPr>
        <w:pStyle w:val="Heading2"/>
      </w:pPr>
      <w:bookmarkStart w:id="11" w:name="_Toc135813006"/>
      <w:r>
        <w:t>Increasing Student Success with Multidimensional Teaching</w:t>
      </w:r>
      <w:bookmarkEnd w:id="11"/>
    </w:p>
    <w:p w14:paraId="472ED3FC" w14:textId="6921239A" w:rsidR="004637A2" w:rsidRPr="00F71BDA" w:rsidRDefault="007E2DEA" w:rsidP="004637A2">
      <w:pPr>
        <w:spacing w:after="240" w:line="360" w:lineRule="auto"/>
        <w:rPr>
          <w:rFonts w:eastAsia="Calibri"/>
          <w:sz w:val="24"/>
          <w:szCs w:val="24"/>
        </w:rPr>
      </w:pPr>
      <w:r>
        <w:rPr>
          <w:rFonts w:eastAsia="Calibri"/>
          <w:sz w:val="24"/>
          <w:szCs w:val="24"/>
        </w:rPr>
        <w:t>As highlighted</w:t>
      </w:r>
      <w:r w:rsidR="007B402A">
        <w:rPr>
          <w:rFonts w:eastAsia="Calibri"/>
          <w:sz w:val="24"/>
          <w:szCs w:val="24"/>
        </w:rPr>
        <w:t xml:space="preserve"> above and</w:t>
      </w:r>
      <w:r>
        <w:rPr>
          <w:rFonts w:eastAsia="Calibri"/>
          <w:sz w:val="24"/>
          <w:szCs w:val="24"/>
        </w:rPr>
        <w:t xml:space="preserve"> in earlier chapters</w:t>
      </w:r>
      <w:r w:rsidR="007B402A">
        <w:rPr>
          <w:rFonts w:eastAsia="Calibri"/>
          <w:sz w:val="24"/>
          <w:szCs w:val="24"/>
        </w:rPr>
        <w:t>,</w:t>
      </w:r>
      <w:r>
        <w:rPr>
          <w:rFonts w:eastAsia="Calibri"/>
          <w:sz w:val="24"/>
          <w:szCs w:val="24"/>
        </w:rPr>
        <w:t xml:space="preserve"> </w:t>
      </w:r>
      <w:proofErr w:type="gramStart"/>
      <w:r>
        <w:rPr>
          <w:rFonts w:eastAsia="Calibri"/>
          <w:sz w:val="24"/>
          <w:szCs w:val="24"/>
        </w:rPr>
        <w:t xml:space="preserve">a </w:t>
      </w:r>
      <w:r w:rsidRPr="449EEBED">
        <w:rPr>
          <w:rFonts w:eastAsia="Calibri"/>
          <w:sz w:val="24"/>
          <w:szCs w:val="24"/>
        </w:rPr>
        <w:t>number of</w:t>
      </w:r>
      <w:proofErr w:type="gramEnd"/>
      <w:r w:rsidRPr="449EEBED">
        <w:rPr>
          <w:rFonts w:eastAsia="Calibri"/>
          <w:sz w:val="24"/>
          <w:szCs w:val="24"/>
        </w:rPr>
        <w:t xml:space="preserve"> schools, districts</w:t>
      </w:r>
      <w:r>
        <w:rPr>
          <w:rFonts w:eastAsia="Calibri"/>
          <w:sz w:val="24"/>
          <w:szCs w:val="24"/>
        </w:rPr>
        <w:t>,</w:t>
      </w:r>
      <w:r w:rsidRPr="449EEBED">
        <w:rPr>
          <w:rFonts w:eastAsia="Calibri"/>
          <w:sz w:val="24"/>
          <w:szCs w:val="24"/>
        </w:rPr>
        <w:t xml:space="preserve"> and educational systems have worked to open pathways to high achievement to significantly more students by eliminating low level</w:t>
      </w:r>
      <w:r w:rsidR="007B402A">
        <w:rPr>
          <w:rFonts w:eastAsia="Calibri"/>
          <w:sz w:val="24"/>
          <w:szCs w:val="24"/>
        </w:rPr>
        <w:t xml:space="preserve"> math</w:t>
      </w:r>
      <w:r w:rsidRPr="449EEBED">
        <w:rPr>
          <w:rFonts w:eastAsia="Calibri"/>
          <w:sz w:val="24"/>
          <w:szCs w:val="24"/>
        </w:rPr>
        <w:t xml:space="preserve"> classes and </w:t>
      </w:r>
      <w:r w:rsidR="006C28B8">
        <w:rPr>
          <w:rFonts w:eastAsia="Calibri"/>
          <w:sz w:val="24"/>
          <w:szCs w:val="24"/>
        </w:rPr>
        <w:t xml:space="preserve">providing all students with deeper and broader math through </w:t>
      </w:r>
      <w:r w:rsidRPr="449EEBED">
        <w:rPr>
          <w:rFonts w:eastAsia="Calibri"/>
          <w:sz w:val="24"/>
          <w:szCs w:val="24"/>
        </w:rPr>
        <w:t>multidimensional math</w:t>
      </w:r>
      <w:r w:rsidR="006C28B8">
        <w:rPr>
          <w:rFonts w:eastAsia="Calibri"/>
          <w:sz w:val="24"/>
          <w:szCs w:val="24"/>
        </w:rPr>
        <w:t xml:space="preserve"> teaching.</w:t>
      </w:r>
      <w:r w:rsidRPr="449EEBED">
        <w:rPr>
          <w:rFonts w:eastAsia="Calibri"/>
          <w:sz w:val="24"/>
          <w:szCs w:val="24"/>
        </w:rPr>
        <w:t xml:space="preserve"> Instead of teaching through narrow questions that </w:t>
      </w:r>
      <w:r w:rsidR="004637A2">
        <w:rPr>
          <w:rFonts w:eastAsia="Calibri"/>
          <w:sz w:val="24"/>
          <w:szCs w:val="24"/>
        </w:rPr>
        <w:t>engage</w:t>
      </w:r>
      <w:r w:rsidRPr="449EEBED">
        <w:rPr>
          <w:rFonts w:eastAsia="Calibri"/>
          <w:sz w:val="24"/>
          <w:szCs w:val="24"/>
        </w:rPr>
        <w:t xml:space="preserve"> some students</w:t>
      </w:r>
      <w:r w:rsidR="004637A2">
        <w:rPr>
          <w:rFonts w:eastAsia="Calibri"/>
          <w:sz w:val="24"/>
          <w:szCs w:val="24"/>
        </w:rPr>
        <w:t xml:space="preserve"> but are inaccessible to others and leave still others </w:t>
      </w:r>
      <w:r w:rsidRPr="449EEBED">
        <w:rPr>
          <w:rFonts w:eastAsia="Calibri"/>
          <w:sz w:val="24"/>
          <w:szCs w:val="24"/>
        </w:rPr>
        <w:t xml:space="preserve">bored and unchallenged, </w:t>
      </w:r>
      <w:r w:rsidR="004637A2">
        <w:rPr>
          <w:rFonts w:eastAsia="Calibri"/>
          <w:sz w:val="24"/>
          <w:szCs w:val="24"/>
        </w:rPr>
        <w:t xml:space="preserve">teachers focus on </w:t>
      </w:r>
      <w:proofErr w:type="gramStart"/>
      <w:r w:rsidR="004637A2">
        <w:rPr>
          <w:rFonts w:eastAsia="Calibri"/>
          <w:sz w:val="24"/>
          <w:szCs w:val="24"/>
        </w:rPr>
        <w:t>big ideas</w:t>
      </w:r>
      <w:proofErr w:type="gramEnd"/>
      <w:r w:rsidR="004637A2">
        <w:rPr>
          <w:rFonts w:eastAsia="Calibri"/>
          <w:sz w:val="24"/>
          <w:szCs w:val="24"/>
        </w:rPr>
        <w:t xml:space="preserve"> and connections. They teach </w:t>
      </w:r>
      <w:r w:rsidRPr="449EEBED">
        <w:rPr>
          <w:rFonts w:eastAsia="Calibri"/>
          <w:sz w:val="24"/>
          <w:szCs w:val="24"/>
        </w:rPr>
        <w:t xml:space="preserve">through more open tasks that </w:t>
      </w:r>
      <w:r w:rsidR="004637A2">
        <w:rPr>
          <w:rFonts w:eastAsia="Calibri"/>
          <w:sz w:val="24"/>
          <w:szCs w:val="24"/>
        </w:rPr>
        <w:t>students</w:t>
      </w:r>
      <w:r w:rsidRPr="449EEBED">
        <w:rPr>
          <w:rFonts w:eastAsia="Calibri"/>
          <w:sz w:val="24"/>
          <w:szCs w:val="24"/>
        </w:rPr>
        <w:t xml:space="preserve"> can approach in </w:t>
      </w:r>
      <w:proofErr w:type="gramStart"/>
      <w:r w:rsidRPr="449EEBED">
        <w:rPr>
          <w:rFonts w:eastAsia="Calibri"/>
          <w:sz w:val="24"/>
          <w:szCs w:val="24"/>
        </w:rPr>
        <w:t>different ways</w:t>
      </w:r>
      <w:proofErr w:type="gramEnd"/>
      <w:r w:rsidRPr="449EEBED">
        <w:rPr>
          <w:rFonts w:eastAsia="Calibri"/>
          <w:sz w:val="24"/>
          <w:szCs w:val="24"/>
        </w:rPr>
        <w:t>.</w:t>
      </w:r>
      <w:r w:rsidR="004637A2">
        <w:rPr>
          <w:rFonts w:eastAsia="Calibri"/>
          <w:sz w:val="24"/>
          <w:szCs w:val="24"/>
        </w:rPr>
        <w:t xml:space="preserve"> </w:t>
      </w:r>
      <w:r w:rsidR="004637A2" w:rsidRPr="449EEBED">
        <w:rPr>
          <w:rFonts w:eastAsia="Calibri"/>
          <w:sz w:val="24"/>
          <w:szCs w:val="24"/>
        </w:rPr>
        <w:t xml:space="preserve">Such an approach allows students to explore questions of interest and work on mathematics at </w:t>
      </w:r>
      <w:proofErr w:type="gramStart"/>
      <w:r w:rsidR="004637A2" w:rsidRPr="449EEBED">
        <w:rPr>
          <w:rFonts w:eastAsia="Calibri"/>
          <w:sz w:val="24"/>
          <w:szCs w:val="24"/>
        </w:rPr>
        <w:t>different levels</w:t>
      </w:r>
      <w:proofErr w:type="gramEnd"/>
      <w:r w:rsidR="004637A2" w:rsidRPr="449EEBED">
        <w:rPr>
          <w:rFonts w:eastAsia="Calibri"/>
          <w:sz w:val="24"/>
          <w:szCs w:val="24"/>
        </w:rPr>
        <w:t>.</w:t>
      </w:r>
    </w:p>
    <w:p w14:paraId="370F8E3A" w14:textId="77777777" w:rsidR="007E2DEA" w:rsidRPr="00F71BDA" w:rsidRDefault="007E2DEA" w:rsidP="007E2DEA">
      <w:pPr>
        <w:spacing w:after="240" w:line="360" w:lineRule="auto"/>
        <w:rPr>
          <w:rFonts w:eastAsia="Calibri"/>
          <w:sz w:val="24"/>
          <w:szCs w:val="24"/>
        </w:rPr>
      </w:pPr>
      <w:r w:rsidRPr="00F71BDA">
        <w:rPr>
          <w:rFonts w:eastAsia="Calibri"/>
          <w:sz w:val="24"/>
          <w:szCs w:val="24"/>
        </w:rPr>
        <w:t xml:space="preserve">For example, in a typical algebra classroom students might </w:t>
      </w:r>
      <w:proofErr w:type="gramStart"/>
      <w:r w:rsidRPr="00F71BDA">
        <w:rPr>
          <w:rFonts w:eastAsia="Calibri"/>
          <w:sz w:val="24"/>
          <w:szCs w:val="24"/>
        </w:rPr>
        <w:t>be asked</w:t>
      </w:r>
      <w:proofErr w:type="gramEnd"/>
      <w:r w:rsidRPr="00F71BDA">
        <w:rPr>
          <w:rFonts w:eastAsia="Calibri"/>
          <w:sz w:val="24"/>
          <w:szCs w:val="24"/>
        </w:rPr>
        <w:t xml:space="preserve"> to simplify these expressions:</w:t>
      </w:r>
    </w:p>
    <w:p w14:paraId="6AD01ECF" w14:textId="585E64DE" w:rsidR="007E2DEA" w:rsidRPr="00F71BDA" w:rsidRDefault="007E2DEA" w:rsidP="006F30B6">
      <w:pPr>
        <w:numPr>
          <w:ilvl w:val="0"/>
          <w:numId w:val="1"/>
        </w:numPr>
        <w:spacing w:after="240" w:line="360" w:lineRule="auto"/>
        <w:ind w:left="1080"/>
        <w:rPr>
          <w:rFonts w:eastAsia="Calibri"/>
          <w:sz w:val="24"/>
          <w:szCs w:val="24"/>
        </w:rPr>
      </w:pPr>
      <w:r w:rsidRPr="00F71BDA">
        <w:rPr>
          <w:rFonts w:eastAsia="Calibri"/>
          <w:sz w:val="24"/>
          <w:szCs w:val="24"/>
        </w:rPr>
        <w:lastRenderedPageBreak/>
        <w:t>n + (n +</w:t>
      </w:r>
      <w:r w:rsidR="00D175C6">
        <w:rPr>
          <w:rFonts w:eastAsia="Calibri"/>
          <w:sz w:val="24"/>
          <w:szCs w:val="24"/>
        </w:rPr>
        <w:t xml:space="preserve"> </w:t>
      </w:r>
      <w:r w:rsidRPr="00F71BDA">
        <w:rPr>
          <w:rFonts w:eastAsia="Calibri"/>
          <w:sz w:val="24"/>
          <w:szCs w:val="24"/>
        </w:rPr>
        <w:t xml:space="preserve">2) + n + (n </w:t>
      </w:r>
      <w:r w:rsidR="00916E37">
        <w:rPr>
          <w:rFonts w:eastAsia="Calibri"/>
          <w:sz w:val="24"/>
          <w:szCs w:val="24"/>
        </w:rPr>
        <w:t>–</w:t>
      </w:r>
      <w:r w:rsidR="00D175C6">
        <w:rPr>
          <w:rFonts w:eastAsia="Calibri"/>
          <w:sz w:val="24"/>
          <w:szCs w:val="24"/>
        </w:rPr>
        <w:t xml:space="preserve"> </w:t>
      </w:r>
      <w:r w:rsidRPr="00F71BDA">
        <w:rPr>
          <w:rFonts w:eastAsia="Calibri"/>
          <w:sz w:val="24"/>
          <w:szCs w:val="24"/>
        </w:rPr>
        <w:t>2)</w:t>
      </w:r>
    </w:p>
    <w:p w14:paraId="4D3ADFF0" w14:textId="2418B792" w:rsidR="007E2DEA" w:rsidRPr="00F71BDA" w:rsidRDefault="007E2DEA" w:rsidP="006F30B6">
      <w:pPr>
        <w:numPr>
          <w:ilvl w:val="0"/>
          <w:numId w:val="1"/>
        </w:numPr>
        <w:spacing w:after="240" w:line="360" w:lineRule="auto"/>
        <w:ind w:left="1080"/>
        <w:rPr>
          <w:rFonts w:eastAsia="Calibri"/>
          <w:sz w:val="24"/>
          <w:szCs w:val="24"/>
        </w:rPr>
      </w:pPr>
      <w:r w:rsidRPr="00F71BDA">
        <w:rPr>
          <w:rFonts w:eastAsia="Calibri"/>
          <w:sz w:val="24"/>
          <w:szCs w:val="24"/>
        </w:rPr>
        <w:t>4 (n</w:t>
      </w:r>
      <w:r w:rsidR="00D175C6">
        <w:rPr>
          <w:rFonts w:eastAsia="Calibri"/>
          <w:sz w:val="24"/>
          <w:szCs w:val="24"/>
        </w:rPr>
        <w:t xml:space="preserve"> </w:t>
      </w:r>
      <w:r w:rsidR="00916E37">
        <w:rPr>
          <w:rFonts w:eastAsia="Calibri"/>
          <w:sz w:val="24"/>
          <w:szCs w:val="24"/>
        </w:rPr>
        <w:t>–</w:t>
      </w:r>
      <w:r w:rsidR="00D175C6">
        <w:rPr>
          <w:rFonts w:eastAsia="Calibri"/>
          <w:sz w:val="24"/>
          <w:szCs w:val="24"/>
        </w:rPr>
        <w:t xml:space="preserve"> </w:t>
      </w:r>
      <w:r w:rsidRPr="00F71BDA">
        <w:rPr>
          <w:rFonts w:eastAsia="Calibri"/>
          <w:sz w:val="24"/>
          <w:szCs w:val="24"/>
        </w:rPr>
        <w:t>2) + 4</w:t>
      </w:r>
    </w:p>
    <w:p w14:paraId="66ADD406" w14:textId="22BE2F19" w:rsidR="007E2DEA" w:rsidRPr="00F71BDA" w:rsidRDefault="007E2DEA" w:rsidP="006F30B6">
      <w:pPr>
        <w:numPr>
          <w:ilvl w:val="0"/>
          <w:numId w:val="1"/>
        </w:numPr>
        <w:spacing w:after="240" w:line="360" w:lineRule="auto"/>
        <w:ind w:left="1080"/>
        <w:rPr>
          <w:rFonts w:eastAsia="Calibri"/>
          <w:sz w:val="24"/>
          <w:szCs w:val="24"/>
        </w:rPr>
      </w:pPr>
      <w:r w:rsidRPr="00F71BDA">
        <w:rPr>
          <w:rFonts w:eastAsia="Calibri"/>
          <w:sz w:val="24"/>
          <w:szCs w:val="24"/>
        </w:rPr>
        <w:t xml:space="preserve">n + 2(n </w:t>
      </w:r>
      <w:r w:rsidR="00916E37">
        <w:rPr>
          <w:rFonts w:eastAsia="Calibri"/>
          <w:sz w:val="24"/>
          <w:szCs w:val="24"/>
        </w:rPr>
        <w:t>–</w:t>
      </w:r>
      <w:r w:rsidR="00D175C6">
        <w:rPr>
          <w:rFonts w:eastAsia="Calibri"/>
          <w:sz w:val="24"/>
          <w:szCs w:val="24"/>
        </w:rPr>
        <w:t xml:space="preserve"> </w:t>
      </w:r>
      <w:r w:rsidRPr="00F71BDA">
        <w:rPr>
          <w:rFonts w:eastAsia="Calibri"/>
          <w:sz w:val="24"/>
          <w:szCs w:val="24"/>
        </w:rPr>
        <w:t>1) + (n</w:t>
      </w:r>
      <w:r w:rsidR="00D175C6">
        <w:rPr>
          <w:rFonts w:eastAsia="Calibri"/>
          <w:sz w:val="24"/>
          <w:szCs w:val="24"/>
        </w:rPr>
        <w:t xml:space="preserve"> </w:t>
      </w:r>
      <w:r w:rsidR="00916E37">
        <w:rPr>
          <w:rFonts w:eastAsia="Calibri"/>
          <w:sz w:val="24"/>
          <w:szCs w:val="24"/>
        </w:rPr>
        <w:t>–</w:t>
      </w:r>
      <w:r w:rsidR="00D175C6">
        <w:rPr>
          <w:rFonts w:eastAsia="Calibri"/>
          <w:sz w:val="24"/>
          <w:szCs w:val="24"/>
        </w:rPr>
        <w:t xml:space="preserve"> </w:t>
      </w:r>
      <w:r w:rsidRPr="00F71BDA">
        <w:rPr>
          <w:rFonts w:eastAsia="Calibri"/>
          <w:sz w:val="24"/>
          <w:szCs w:val="24"/>
        </w:rPr>
        <w:t>2)</w:t>
      </w:r>
    </w:p>
    <w:p w14:paraId="35ABE237" w14:textId="3265F922" w:rsidR="007E2DEA" w:rsidRPr="00F71BDA" w:rsidRDefault="007E2DEA" w:rsidP="006F30B6">
      <w:pPr>
        <w:numPr>
          <w:ilvl w:val="0"/>
          <w:numId w:val="1"/>
        </w:numPr>
        <w:spacing w:after="240" w:line="360" w:lineRule="auto"/>
        <w:ind w:left="1080"/>
        <w:rPr>
          <w:rFonts w:eastAsia="Calibri"/>
          <w:sz w:val="24"/>
          <w:szCs w:val="24"/>
        </w:rPr>
      </w:pPr>
      <w:r w:rsidRPr="00F71BDA">
        <w:rPr>
          <w:rFonts w:eastAsia="Calibri"/>
          <w:sz w:val="24"/>
          <w:szCs w:val="24"/>
        </w:rPr>
        <w:t>4(n</w:t>
      </w:r>
      <w:r w:rsidR="00D175C6">
        <w:rPr>
          <w:rFonts w:eastAsia="Calibri"/>
          <w:sz w:val="24"/>
          <w:szCs w:val="24"/>
        </w:rPr>
        <w:t xml:space="preserve"> </w:t>
      </w:r>
      <w:r w:rsidR="00916E37">
        <w:rPr>
          <w:rFonts w:eastAsia="Calibri"/>
          <w:sz w:val="24"/>
          <w:szCs w:val="24"/>
        </w:rPr>
        <w:t>–</w:t>
      </w:r>
      <w:r w:rsidR="00D175C6">
        <w:rPr>
          <w:rFonts w:eastAsia="Calibri"/>
          <w:sz w:val="24"/>
          <w:szCs w:val="24"/>
        </w:rPr>
        <w:t xml:space="preserve"> </w:t>
      </w:r>
      <w:r w:rsidRPr="00F71BDA">
        <w:rPr>
          <w:rFonts w:eastAsia="Calibri"/>
          <w:sz w:val="24"/>
          <w:szCs w:val="24"/>
        </w:rPr>
        <w:t>1)</w:t>
      </w:r>
    </w:p>
    <w:p w14:paraId="3A608018" w14:textId="39E0AFB6" w:rsidR="00916E37" w:rsidRDefault="00D45137" w:rsidP="006F30B6">
      <w:pPr>
        <w:numPr>
          <w:ilvl w:val="0"/>
          <w:numId w:val="1"/>
        </w:numPr>
        <w:spacing w:after="240" w:line="360" w:lineRule="auto"/>
        <w:ind w:left="1080"/>
        <w:rPr>
          <w:rFonts w:eastAsia="Calibri"/>
          <w:sz w:val="24"/>
          <w:szCs w:val="24"/>
        </w:rPr>
      </w:pPr>
      <m:oMath>
        <m:sSup>
          <m:sSupPr>
            <m:ctrlPr>
              <w:rPr>
                <w:rFonts w:ascii="Cambria Math" w:eastAsia="Calibri" w:hAnsi="Cambria Math"/>
                <w:i/>
                <w:sz w:val="24"/>
                <w:szCs w:val="24"/>
              </w:rPr>
            </m:ctrlPr>
          </m:sSupPr>
          <m:e>
            <m:r>
              <w:rPr>
                <w:rFonts w:ascii="Cambria Math" w:eastAsia="Calibri" w:hAnsi="Cambria Math"/>
                <w:sz w:val="24"/>
                <w:szCs w:val="24"/>
              </w:rPr>
              <m:t>n</m:t>
            </m:r>
          </m:e>
          <m:sup>
            <m:r>
              <w:rPr>
                <w:rFonts w:ascii="Cambria Math" w:eastAsia="Calibri" w:hAnsi="Cambria Math"/>
                <w:sz w:val="24"/>
                <w:szCs w:val="24"/>
              </w:rPr>
              <m:t>2</m:t>
            </m:r>
          </m:sup>
        </m:sSup>
        <m:r>
          <w:rPr>
            <w:rFonts w:ascii="Cambria Math" w:eastAsia="Calibri" w:hAnsi="Cambria Math"/>
            <w:sz w:val="24"/>
            <w:szCs w:val="24"/>
          </w:rPr>
          <m:t>-</m:t>
        </m:r>
        <m:sSup>
          <m:sSupPr>
            <m:ctrlPr>
              <w:rPr>
                <w:rFonts w:ascii="Cambria Math" w:eastAsia="Calibri" w:hAnsi="Cambria Math"/>
                <w:i/>
                <w:sz w:val="24"/>
                <w:szCs w:val="24"/>
              </w:rPr>
            </m:ctrlPr>
          </m:sSupPr>
          <m:e>
            <m:r>
              <w:rPr>
                <w:rFonts w:ascii="Cambria Math" w:eastAsia="Calibri" w:hAnsi="Cambria Math"/>
                <w:sz w:val="24"/>
                <w:szCs w:val="24"/>
              </w:rPr>
              <m:t>(n-2)</m:t>
            </m:r>
          </m:e>
          <m:sup>
            <m:r>
              <w:rPr>
                <w:rFonts w:ascii="Cambria Math" w:eastAsia="Calibri" w:hAnsi="Cambria Math"/>
                <w:sz w:val="24"/>
                <w:szCs w:val="24"/>
              </w:rPr>
              <m:t>2</m:t>
            </m:r>
          </m:sup>
        </m:sSup>
      </m:oMath>
    </w:p>
    <w:p w14:paraId="32FF64DA" w14:textId="1F0F9B5C" w:rsidR="0045512E" w:rsidRDefault="007E2DEA" w:rsidP="007E2DEA">
      <w:pPr>
        <w:spacing w:after="240" w:line="360" w:lineRule="auto"/>
        <w:rPr>
          <w:rFonts w:eastAsia="Calibri"/>
          <w:sz w:val="24"/>
          <w:szCs w:val="24"/>
        </w:rPr>
      </w:pPr>
      <w:r w:rsidRPr="449EEBED">
        <w:rPr>
          <w:rFonts w:eastAsia="Calibri"/>
          <w:sz w:val="24"/>
          <w:szCs w:val="24"/>
        </w:rPr>
        <w:t xml:space="preserve">In a classroom focused on </w:t>
      </w:r>
      <w:proofErr w:type="gramStart"/>
      <w:r w:rsidRPr="449EEBED">
        <w:rPr>
          <w:rFonts w:eastAsia="Calibri"/>
          <w:sz w:val="24"/>
          <w:szCs w:val="24"/>
        </w:rPr>
        <w:t>big ideas</w:t>
      </w:r>
      <w:proofErr w:type="gramEnd"/>
      <w:r w:rsidRPr="449EEBED">
        <w:rPr>
          <w:rFonts w:eastAsia="Calibri"/>
          <w:sz w:val="24"/>
          <w:szCs w:val="24"/>
        </w:rPr>
        <w:t xml:space="preserve"> and connections, the teacher may choose generalizing as a big idea and introduce the idea through the “border problem</w:t>
      </w:r>
      <w:r w:rsidR="004637A2">
        <w:rPr>
          <w:rFonts w:eastAsia="Calibri"/>
          <w:sz w:val="24"/>
          <w:szCs w:val="24"/>
        </w:rPr>
        <w:t>,</w:t>
      </w:r>
      <w:r w:rsidRPr="449EEBED">
        <w:rPr>
          <w:rFonts w:eastAsia="Calibri"/>
          <w:sz w:val="24"/>
          <w:szCs w:val="24"/>
        </w:rPr>
        <w:t xml:space="preserve">” as explained in </w:t>
      </w:r>
      <w:r w:rsidR="00AC0FF1">
        <w:rPr>
          <w:rFonts w:eastAsia="Calibri"/>
          <w:sz w:val="24"/>
          <w:szCs w:val="24"/>
        </w:rPr>
        <w:t>c</w:t>
      </w:r>
      <w:r w:rsidRPr="449EEBED">
        <w:rPr>
          <w:rFonts w:eastAsia="Calibri"/>
          <w:sz w:val="24"/>
          <w:szCs w:val="24"/>
        </w:rPr>
        <w:t xml:space="preserve">hapter </w:t>
      </w:r>
      <w:r w:rsidR="00EB26C5">
        <w:rPr>
          <w:rFonts w:eastAsia="Calibri"/>
          <w:sz w:val="24"/>
          <w:szCs w:val="24"/>
        </w:rPr>
        <w:t>seven</w:t>
      </w:r>
      <w:r w:rsidRPr="449EEBED">
        <w:rPr>
          <w:rFonts w:eastAsia="Calibri"/>
          <w:sz w:val="24"/>
          <w:szCs w:val="24"/>
        </w:rPr>
        <w:t>. In this approach</w:t>
      </w:r>
      <w:r w:rsidR="004637A2">
        <w:rPr>
          <w:rFonts w:eastAsia="Calibri"/>
          <w:sz w:val="24"/>
          <w:szCs w:val="24"/>
        </w:rPr>
        <w:t>,</w:t>
      </w:r>
      <w:r w:rsidRPr="449EEBED">
        <w:rPr>
          <w:rFonts w:eastAsia="Calibri"/>
          <w:sz w:val="24"/>
          <w:szCs w:val="24"/>
        </w:rPr>
        <w:t xml:space="preserve"> students consider the tiles on a border of different sized squares, eventually describing the border size with words, and then algebraically, and then forming equivalent algebraic expressions. This is a more open task than the </w:t>
      </w:r>
      <w:r w:rsidR="0045512E">
        <w:rPr>
          <w:rFonts w:eastAsia="Calibri"/>
          <w:sz w:val="24"/>
          <w:szCs w:val="24"/>
        </w:rPr>
        <w:t>initial one</w:t>
      </w:r>
      <w:r w:rsidRPr="449EEBED">
        <w:rPr>
          <w:rFonts w:eastAsia="Calibri"/>
          <w:sz w:val="24"/>
          <w:szCs w:val="24"/>
        </w:rPr>
        <w:t>, as it allows students to explore and make connections in multiple ways. It is also a task with a low floor and high ceiling</w:t>
      </w:r>
      <w:r>
        <w:rPr>
          <w:rFonts w:eastAsia="Calibri"/>
          <w:sz w:val="24"/>
          <w:szCs w:val="24"/>
        </w:rPr>
        <w:t>—</w:t>
      </w:r>
      <w:r w:rsidRPr="449EEBED">
        <w:rPr>
          <w:rFonts w:eastAsia="Calibri"/>
          <w:sz w:val="24"/>
          <w:szCs w:val="24"/>
        </w:rPr>
        <w:t>all students can visualize borders of squares</w:t>
      </w:r>
      <w:r w:rsidR="004637A2">
        <w:rPr>
          <w:rFonts w:eastAsia="Calibri"/>
          <w:sz w:val="24"/>
          <w:szCs w:val="24"/>
        </w:rPr>
        <w:t xml:space="preserve">, </w:t>
      </w:r>
      <w:r w:rsidRPr="449EEBED">
        <w:rPr>
          <w:rFonts w:eastAsia="Calibri"/>
          <w:sz w:val="24"/>
          <w:szCs w:val="24"/>
        </w:rPr>
        <w:t>and higher achieving students can extend the problem to borders of different shapes. Th</w:t>
      </w:r>
      <w:r w:rsidR="004637A2">
        <w:rPr>
          <w:rFonts w:eastAsia="Calibri"/>
          <w:sz w:val="24"/>
          <w:szCs w:val="24"/>
        </w:rPr>
        <w:t>is</w:t>
      </w:r>
      <w:r w:rsidRPr="449EEBED">
        <w:rPr>
          <w:rFonts w:eastAsia="Calibri"/>
          <w:sz w:val="24"/>
          <w:szCs w:val="24"/>
        </w:rPr>
        <w:t xml:space="preserve"> task </w:t>
      </w:r>
      <w:r w:rsidR="006C28B8">
        <w:rPr>
          <w:rFonts w:eastAsia="Calibri"/>
          <w:sz w:val="24"/>
          <w:szCs w:val="24"/>
        </w:rPr>
        <w:t xml:space="preserve">exemplifies multidimensional math teaching </w:t>
      </w:r>
      <w:proofErr w:type="gramStart"/>
      <w:r w:rsidR="006C28B8">
        <w:rPr>
          <w:rFonts w:eastAsia="Calibri"/>
          <w:sz w:val="24"/>
          <w:szCs w:val="24"/>
        </w:rPr>
        <w:t xml:space="preserve">and </w:t>
      </w:r>
      <w:r w:rsidRPr="449EEBED">
        <w:rPr>
          <w:rFonts w:eastAsia="Calibri"/>
          <w:sz w:val="24"/>
          <w:szCs w:val="24"/>
        </w:rPr>
        <w:t>also</w:t>
      </w:r>
      <w:proofErr w:type="gramEnd"/>
      <w:r w:rsidRPr="449EEBED">
        <w:rPr>
          <w:rFonts w:eastAsia="Calibri"/>
          <w:sz w:val="24"/>
          <w:szCs w:val="24"/>
        </w:rPr>
        <w:t xml:space="preserve"> encourages the principles of UDL</w:t>
      </w:r>
      <w:r>
        <w:rPr>
          <w:rFonts w:eastAsia="Calibri"/>
          <w:sz w:val="24"/>
          <w:szCs w:val="24"/>
        </w:rPr>
        <w:t>—</w:t>
      </w:r>
      <w:r w:rsidRPr="449EEBED">
        <w:rPr>
          <w:rFonts w:eastAsia="Calibri"/>
          <w:sz w:val="24"/>
          <w:szCs w:val="24"/>
        </w:rPr>
        <w:t>students can engage with it in different ways</w:t>
      </w:r>
      <w:r w:rsidR="004637A2">
        <w:rPr>
          <w:rFonts w:eastAsia="Calibri"/>
          <w:sz w:val="24"/>
          <w:szCs w:val="24"/>
        </w:rPr>
        <w:t xml:space="preserve">, </w:t>
      </w:r>
      <w:r w:rsidRPr="449EEBED">
        <w:rPr>
          <w:rFonts w:eastAsia="Calibri"/>
          <w:sz w:val="24"/>
          <w:szCs w:val="24"/>
        </w:rPr>
        <w:t>with visuals, words, numbers, and discussion</w:t>
      </w:r>
      <w:r w:rsidR="0045512E">
        <w:rPr>
          <w:rFonts w:eastAsia="Calibri"/>
          <w:sz w:val="24"/>
          <w:szCs w:val="24"/>
        </w:rPr>
        <w:t>, which</w:t>
      </w:r>
      <w:r w:rsidRPr="449EEBED">
        <w:rPr>
          <w:rFonts w:eastAsia="Calibri"/>
          <w:sz w:val="24"/>
          <w:szCs w:val="24"/>
        </w:rPr>
        <w:t xml:space="preserve"> </w:t>
      </w:r>
      <w:r w:rsidR="006C28B8">
        <w:rPr>
          <w:rFonts w:eastAsia="Calibri"/>
          <w:sz w:val="24"/>
          <w:szCs w:val="24"/>
        </w:rPr>
        <w:t>leads to a deep understanding</w:t>
      </w:r>
      <w:r w:rsidR="001716E7">
        <w:rPr>
          <w:rFonts w:eastAsia="Calibri"/>
          <w:sz w:val="24"/>
          <w:szCs w:val="24"/>
        </w:rPr>
        <w:t xml:space="preserve"> </w:t>
      </w:r>
      <w:r w:rsidRPr="449EEBED">
        <w:rPr>
          <w:rFonts w:eastAsia="Calibri"/>
          <w:sz w:val="24"/>
          <w:szCs w:val="24"/>
        </w:rPr>
        <w:t>of generalization and equivalent expressions.</w:t>
      </w:r>
    </w:p>
    <w:p w14:paraId="3AFCD7BD" w14:textId="1E096FD3" w:rsidR="007E2DEA" w:rsidRDefault="007E2DEA" w:rsidP="007E2DEA">
      <w:pPr>
        <w:spacing w:after="240" w:line="360" w:lineRule="auto"/>
        <w:rPr>
          <w:rFonts w:eastAsia="Calibri"/>
          <w:sz w:val="24"/>
          <w:szCs w:val="24"/>
        </w:rPr>
      </w:pPr>
      <w:r w:rsidRPr="449EEBED">
        <w:rPr>
          <w:rFonts w:eastAsia="Calibri"/>
          <w:sz w:val="24"/>
          <w:szCs w:val="24"/>
        </w:rPr>
        <w:t xml:space="preserve">The </w:t>
      </w:r>
      <w:r w:rsidR="0045512E">
        <w:rPr>
          <w:rFonts w:eastAsia="Calibri"/>
          <w:sz w:val="24"/>
          <w:szCs w:val="24"/>
        </w:rPr>
        <w:t>initial</w:t>
      </w:r>
      <w:r w:rsidRPr="449EEBED">
        <w:rPr>
          <w:rFonts w:eastAsia="Calibri"/>
          <w:sz w:val="24"/>
          <w:szCs w:val="24"/>
        </w:rPr>
        <w:t xml:space="preserve"> task is one dimensional</w:t>
      </w:r>
      <w:r>
        <w:rPr>
          <w:rFonts w:eastAsia="Calibri"/>
          <w:sz w:val="24"/>
          <w:szCs w:val="24"/>
        </w:rPr>
        <w:t>—</w:t>
      </w:r>
      <w:r w:rsidRPr="449EEBED">
        <w:rPr>
          <w:rFonts w:eastAsia="Calibri"/>
          <w:sz w:val="24"/>
          <w:szCs w:val="24"/>
        </w:rPr>
        <w:t>students simplify expressions. The border task is multidimensional as students engage in many dimensions of mathematics</w:t>
      </w:r>
      <w:r>
        <w:rPr>
          <w:rFonts w:eastAsia="Calibri"/>
          <w:sz w:val="24"/>
          <w:szCs w:val="24"/>
        </w:rPr>
        <w:t>—</w:t>
      </w:r>
      <w:r w:rsidRPr="449EEBED">
        <w:rPr>
          <w:rFonts w:eastAsia="Calibri"/>
          <w:sz w:val="24"/>
          <w:szCs w:val="24"/>
        </w:rPr>
        <w:t xml:space="preserve">generalizing, </w:t>
      </w:r>
      <w:proofErr w:type="gramStart"/>
      <w:r w:rsidRPr="449EEBED">
        <w:rPr>
          <w:rFonts w:eastAsia="Calibri"/>
          <w:sz w:val="24"/>
          <w:szCs w:val="24"/>
        </w:rPr>
        <w:t>visualizing</w:t>
      </w:r>
      <w:proofErr w:type="gramEnd"/>
      <w:r w:rsidRPr="449EEBED">
        <w:rPr>
          <w:rFonts w:eastAsia="Calibri"/>
          <w:sz w:val="24"/>
          <w:szCs w:val="24"/>
        </w:rPr>
        <w:t xml:space="preserve"> and drawing, communicating, connecting words, expressions and visuals. </w:t>
      </w:r>
      <w:r w:rsidR="00CE4062" w:rsidRPr="449EEBED">
        <w:rPr>
          <w:rFonts w:eastAsia="Calibri"/>
          <w:sz w:val="24"/>
          <w:szCs w:val="24"/>
        </w:rPr>
        <w:t>Such tasks take longer than narrow question</w:t>
      </w:r>
      <w:r w:rsidR="0045512E">
        <w:rPr>
          <w:rFonts w:eastAsia="Calibri"/>
          <w:sz w:val="24"/>
          <w:szCs w:val="24"/>
        </w:rPr>
        <w:t>s</w:t>
      </w:r>
      <w:r w:rsidR="00CE4062" w:rsidRPr="449EEBED">
        <w:rPr>
          <w:rFonts w:eastAsia="Calibri"/>
          <w:sz w:val="24"/>
          <w:szCs w:val="24"/>
        </w:rPr>
        <w:t xml:space="preserve"> involving equivalent expressions</w:t>
      </w:r>
      <w:r w:rsidR="0045512E">
        <w:rPr>
          <w:rFonts w:eastAsia="Calibri"/>
          <w:sz w:val="24"/>
          <w:szCs w:val="24"/>
        </w:rPr>
        <w:t>. B</w:t>
      </w:r>
      <w:r w:rsidR="00CE4062" w:rsidRPr="449EEBED">
        <w:rPr>
          <w:rFonts w:eastAsia="Calibri"/>
          <w:sz w:val="24"/>
          <w:szCs w:val="24"/>
        </w:rPr>
        <w:t xml:space="preserve">ut research has shown that a teaching approach geared to </w:t>
      </w:r>
      <w:proofErr w:type="gramStart"/>
      <w:r w:rsidR="00CE4062" w:rsidRPr="449EEBED">
        <w:rPr>
          <w:rFonts w:eastAsia="Calibri"/>
          <w:sz w:val="24"/>
          <w:szCs w:val="24"/>
        </w:rPr>
        <w:t>big ideas</w:t>
      </w:r>
      <w:proofErr w:type="gramEnd"/>
      <w:r w:rsidR="00CE4062" w:rsidRPr="449EEBED">
        <w:rPr>
          <w:rFonts w:eastAsia="Calibri"/>
          <w:sz w:val="24"/>
          <w:szCs w:val="24"/>
        </w:rPr>
        <w:t xml:space="preserve">, with fewer </w:t>
      </w:r>
      <w:r w:rsidR="0045512E">
        <w:rPr>
          <w:rFonts w:eastAsia="Calibri"/>
          <w:sz w:val="24"/>
          <w:szCs w:val="24"/>
        </w:rPr>
        <w:t xml:space="preserve">but </w:t>
      </w:r>
      <w:r w:rsidR="00CE4062" w:rsidRPr="449EEBED">
        <w:rPr>
          <w:rFonts w:eastAsia="Calibri"/>
          <w:sz w:val="24"/>
          <w:szCs w:val="24"/>
        </w:rPr>
        <w:t>deeper and longer</w:t>
      </w:r>
      <w:r w:rsidR="0045512E">
        <w:rPr>
          <w:rFonts w:eastAsia="Calibri"/>
          <w:sz w:val="24"/>
          <w:szCs w:val="24"/>
        </w:rPr>
        <w:t xml:space="preserve"> tasks</w:t>
      </w:r>
      <w:r w:rsidR="00CE4062" w:rsidRPr="449EEBED">
        <w:rPr>
          <w:rFonts w:eastAsia="Calibri"/>
          <w:sz w:val="24"/>
          <w:szCs w:val="24"/>
        </w:rPr>
        <w:t>, not only engages all students</w:t>
      </w:r>
      <w:r w:rsidR="00CE4062">
        <w:rPr>
          <w:rFonts w:eastAsia="Calibri"/>
          <w:sz w:val="24"/>
          <w:szCs w:val="24"/>
        </w:rPr>
        <w:t>—</w:t>
      </w:r>
      <w:r w:rsidR="00CE4062" w:rsidRPr="449EEBED">
        <w:rPr>
          <w:rFonts w:eastAsia="Calibri"/>
          <w:sz w:val="24"/>
          <w:szCs w:val="24"/>
        </w:rPr>
        <w:t>whatever their prior achievement</w:t>
      </w:r>
      <w:r w:rsidR="00CE4062">
        <w:rPr>
          <w:rFonts w:eastAsia="Calibri"/>
          <w:sz w:val="24"/>
          <w:szCs w:val="24"/>
        </w:rPr>
        <w:t>—</w:t>
      </w:r>
      <w:r w:rsidR="00CE4062" w:rsidRPr="449EEBED">
        <w:rPr>
          <w:rFonts w:eastAsia="Calibri"/>
          <w:sz w:val="24"/>
          <w:szCs w:val="24"/>
        </w:rPr>
        <w:t>but also increases understanding for all students, including the highest achievers (see also Nasir et al</w:t>
      </w:r>
      <w:r w:rsidR="00CE4062">
        <w:rPr>
          <w:rFonts w:eastAsia="Calibri"/>
          <w:sz w:val="24"/>
          <w:szCs w:val="24"/>
        </w:rPr>
        <w:t>.</w:t>
      </w:r>
      <w:r w:rsidR="00CE4062" w:rsidRPr="449EEBED">
        <w:rPr>
          <w:rFonts w:eastAsia="Calibri"/>
          <w:sz w:val="24"/>
          <w:szCs w:val="24"/>
        </w:rPr>
        <w:t xml:space="preserve">, 2014; Boaler </w:t>
      </w:r>
      <w:r w:rsidR="00CE4062">
        <w:rPr>
          <w:rFonts w:eastAsia="Calibri"/>
          <w:sz w:val="24"/>
          <w:szCs w:val="24"/>
        </w:rPr>
        <w:t>and</w:t>
      </w:r>
      <w:r w:rsidR="00CE4062" w:rsidRPr="449EEBED">
        <w:rPr>
          <w:rFonts w:eastAsia="Calibri"/>
          <w:sz w:val="24"/>
          <w:szCs w:val="24"/>
        </w:rPr>
        <w:t xml:space="preserve"> Staples, 2008).</w:t>
      </w:r>
    </w:p>
    <w:p w14:paraId="4C938412" w14:textId="617E8C16" w:rsidR="008636E8" w:rsidRPr="00F71BDA" w:rsidRDefault="008636E8" w:rsidP="007E2DEA">
      <w:pPr>
        <w:spacing w:after="240" w:line="360" w:lineRule="auto"/>
        <w:rPr>
          <w:rFonts w:eastAsia="Calibri"/>
          <w:sz w:val="24"/>
          <w:szCs w:val="24"/>
        </w:rPr>
      </w:pPr>
      <w:bookmarkStart w:id="12" w:name="Fig3"/>
      <w:bookmarkEnd w:id="12"/>
      <w:r>
        <w:rPr>
          <w:rFonts w:eastAsia="Calibri"/>
          <w:sz w:val="24"/>
          <w:szCs w:val="24"/>
        </w:rPr>
        <w:t>Figure 9.</w:t>
      </w:r>
      <w:r w:rsidR="007F37FB">
        <w:rPr>
          <w:rFonts w:eastAsia="Calibri"/>
          <w:sz w:val="24"/>
          <w:szCs w:val="24"/>
        </w:rPr>
        <w:t>1</w:t>
      </w:r>
      <w:r>
        <w:rPr>
          <w:rFonts w:eastAsia="Calibri"/>
          <w:sz w:val="24"/>
          <w:szCs w:val="24"/>
        </w:rPr>
        <w:t xml:space="preserve"> The Border Problem</w:t>
      </w:r>
    </w:p>
    <w:p w14:paraId="10ED396A" w14:textId="67F8CA74" w:rsidR="007E2DEA" w:rsidRDefault="007E2DEA" w:rsidP="007E2DEA">
      <w:pPr>
        <w:spacing w:after="240" w:line="360" w:lineRule="auto"/>
        <w:jc w:val="center"/>
        <w:rPr>
          <w:rFonts w:eastAsia="Calibri"/>
          <w:noProof/>
          <w:sz w:val="24"/>
          <w:szCs w:val="24"/>
          <w:lang w:val="en-US"/>
        </w:rPr>
      </w:pPr>
      <w:r w:rsidRPr="005931B8">
        <w:rPr>
          <w:rFonts w:eastAsia="Calibri"/>
          <w:noProof/>
          <w:sz w:val="24"/>
          <w:szCs w:val="24"/>
          <w:lang w:val="en-US"/>
        </w:rPr>
        <w:lastRenderedPageBreak/>
        <w:drawing>
          <wp:inline distT="0" distB="0" distL="0" distR="0" wp14:anchorId="5D3F0911" wp14:editId="07DB558E">
            <wp:extent cx="6117240" cy="5848350"/>
            <wp:effectExtent l="0" t="0" r="0" b="0"/>
            <wp:docPr id="10" name="Picture 10" descr="The Border Problem. 10 by10 grids next to diagrams of the border of the grids, shaded, and used to rewrite equivalent algebraic expressions. Link to long description belo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he Border Problem. 10 by10 grids next to diagrams of the border of the grids, shaded, and used to rewrite equivalent algebraic expressions. Link to long description below image."/>
                    <pic:cNvPicPr/>
                  </pic:nvPicPr>
                  <pic:blipFill rotWithShape="1">
                    <a:blip r:embed="rId8"/>
                    <a:srcRect l="8493" r="33173" b="855"/>
                    <a:stretch/>
                  </pic:blipFill>
                  <pic:spPr bwMode="auto">
                    <a:xfrm>
                      <a:off x="0" y="0"/>
                      <a:ext cx="6160084" cy="5889311"/>
                    </a:xfrm>
                    <a:prstGeom prst="rect">
                      <a:avLst/>
                    </a:prstGeom>
                    <a:ln>
                      <a:noFill/>
                    </a:ln>
                    <a:extLst>
                      <a:ext uri="{53640926-AAD7-44D8-BBD7-CCE9431645EC}">
                        <a14:shadowObscured xmlns:a14="http://schemas.microsoft.com/office/drawing/2010/main"/>
                      </a:ext>
                    </a:extLst>
                  </pic:spPr>
                </pic:pic>
              </a:graphicData>
            </a:graphic>
          </wp:inline>
        </w:drawing>
      </w:r>
    </w:p>
    <w:p w14:paraId="4E7BAFD0" w14:textId="0CC6D41F" w:rsidR="009F1E05" w:rsidRDefault="009F1E05" w:rsidP="00821124">
      <w:pPr>
        <w:spacing w:after="240" w:line="360" w:lineRule="auto"/>
        <w:rPr>
          <w:rFonts w:eastAsia="Calibri"/>
          <w:noProof/>
          <w:sz w:val="24"/>
          <w:szCs w:val="24"/>
          <w:lang w:val="en-US"/>
        </w:rPr>
      </w:pPr>
      <w:r w:rsidRPr="00821124">
        <w:rPr>
          <w:rFonts w:eastAsia="Calibri"/>
          <w:noProof/>
          <w:sz w:val="24"/>
          <w:szCs w:val="24"/>
          <w:lang w:val="en-US"/>
        </w:rPr>
        <w:t>Source</w:t>
      </w:r>
      <w:r w:rsidRPr="004A28E9">
        <w:rPr>
          <w:rFonts w:eastAsia="Calibri"/>
          <w:noProof/>
          <w:sz w:val="24"/>
          <w:szCs w:val="24"/>
          <w:lang w:val="en-US"/>
        </w:rPr>
        <w:t xml:space="preserve">: </w:t>
      </w:r>
      <w:r w:rsidR="00821124">
        <w:rPr>
          <w:rFonts w:eastAsia="Calibri"/>
          <w:noProof/>
          <w:sz w:val="24"/>
          <w:szCs w:val="24"/>
          <w:lang w:val="en-US"/>
        </w:rPr>
        <w:t>YouCubed</w:t>
      </w:r>
      <w:r w:rsidR="00AC0FF1">
        <w:rPr>
          <w:rFonts w:eastAsia="Calibri"/>
          <w:noProof/>
          <w:sz w:val="24"/>
          <w:szCs w:val="24"/>
          <w:lang w:val="en-US"/>
        </w:rPr>
        <w:t>, 2018.</w:t>
      </w:r>
    </w:p>
    <w:p w14:paraId="77C0637B" w14:textId="7A38961E" w:rsidR="007E2DEA" w:rsidRPr="00F71BDA" w:rsidRDefault="00D45137" w:rsidP="007E2DEA">
      <w:pPr>
        <w:spacing w:after="240" w:line="360" w:lineRule="auto"/>
        <w:rPr>
          <w:rFonts w:eastAsia="Calibri"/>
          <w:sz w:val="24"/>
          <w:szCs w:val="24"/>
        </w:rPr>
      </w:pPr>
      <w:hyperlink w:anchor="LD3" w:tooltip="Long description of Figure 9.3 The Border Problem" w:history="1">
        <w:r w:rsidR="007F37FB">
          <w:rPr>
            <w:rStyle w:val="Hyperlink"/>
            <w:rFonts w:eastAsia="Calibri"/>
            <w:sz w:val="24"/>
            <w:szCs w:val="24"/>
          </w:rPr>
          <w:t>Long descripti</w:t>
        </w:r>
        <w:r w:rsidR="007F37FB">
          <w:rPr>
            <w:rStyle w:val="Hyperlink"/>
            <w:rFonts w:eastAsia="Calibri"/>
            <w:sz w:val="24"/>
            <w:szCs w:val="24"/>
          </w:rPr>
          <w:t>o</w:t>
        </w:r>
        <w:r w:rsidR="007F37FB">
          <w:rPr>
            <w:rStyle w:val="Hyperlink"/>
            <w:rFonts w:eastAsia="Calibri"/>
            <w:sz w:val="24"/>
            <w:szCs w:val="24"/>
          </w:rPr>
          <w:t>n of figure 9.1</w:t>
        </w:r>
      </w:hyperlink>
    </w:p>
    <w:p w14:paraId="7E2E6E1A" w14:textId="78D72882" w:rsidR="007E2DEA" w:rsidRPr="00E843F3" w:rsidRDefault="007E2DEA" w:rsidP="007E2DEA">
      <w:pPr>
        <w:spacing w:after="240" w:line="360" w:lineRule="auto"/>
        <w:rPr>
          <w:rFonts w:eastAsia="Calibri"/>
          <w:sz w:val="24"/>
          <w:szCs w:val="24"/>
        </w:rPr>
      </w:pPr>
      <w:proofErr w:type="gramStart"/>
      <w:r w:rsidRPr="449EEBED">
        <w:rPr>
          <w:rFonts w:eastAsia="Calibri"/>
          <w:sz w:val="24"/>
          <w:szCs w:val="24"/>
        </w:rPr>
        <w:t>An important resource</w:t>
      </w:r>
      <w:proofErr w:type="gramEnd"/>
      <w:r w:rsidRPr="449EEBED">
        <w:rPr>
          <w:rFonts w:eastAsia="Calibri"/>
          <w:sz w:val="24"/>
          <w:szCs w:val="24"/>
        </w:rPr>
        <w:t xml:space="preserve"> for districts and schools that choose to offer higher level mathematics to all students are the textbooks and instructional resources </w:t>
      </w:r>
      <w:r w:rsidR="009762BA">
        <w:rPr>
          <w:rFonts w:eastAsia="Calibri"/>
          <w:sz w:val="24"/>
          <w:szCs w:val="24"/>
        </w:rPr>
        <w:t>designed to support</w:t>
      </w:r>
      <w:r w:rsidRPr="449EEBED">
        <w:rPr>
          <w:rFonts w:eastAsia="Calibri"/>
          <w:sz w:val="24"/>
          <w:szCs w:val="24"/>
        </w:rPr>
        <w:t xml:space="preserve"> teach</w:t>
      </w:r>
      <w:r w:rsidR="009762BA">
        <w:rPr>
          <w:rFonts w:eastAsia="Calibri"/>
          <w:sz w:val="24"/>
          <w:szCs w:val="24"/>
        </w:rPr>
        <w:t>ing</w:t>
      </w:r>
      <w:r w:rsidRPr="449EEBED">
        <w:rPr>
          <w:rFonts w:eastAsia="Calibri"/>
          <w:sz w:val="24"/>
          <w:szCs w:val="24"/>
        </w:rPr>
        <w:t xml:space="preserve"> big ideas and connections. Textbooks that share deep mathematics tasks </w:t>
      </w:r>
      <w:r w:rsidR="009762BA">
        <w:rPr>
          <w:rFonts w:eastAsia="Calibri"/>
          <w:sz w:val="24"/>
          <w:szCs w:val="24"/>
        </w:rPr>
        <w:t>that</w:t>
      </w:r>
      <w:r w:rsidRPr="449EEBED">
        <w:rPr>
          <w:rFonts w:eastAsia="Calibri"/>
          <w:sz w:val="24"/>
          <w:szCs w:val="24"/>
        </w:rPr>
        <w:t xml:space="preserve"> can </w:t>
      </w:r>
      <w:proofErr w:type="gramStart"/>
      <w:r w:rsidRPr="449EEBED">
        <w:rPr>
          <w:rFonts w:eastAsia="Calibri"/>
          <w:sz w:val="24"/>
          <w:szCs w:val="24"/>
        </w:rPr>
        <w:t>be worked</w:t>
      </w:r>
      <w:proofErr w:type="gramEnd"/>
      <w:r w:rsidRPr="449EEBED">
        <w:rPr>
          <w:rFonts w:eastAsia="Calibri"/>
          <w:sz w:val="24"/>
          <w:szCs w:val="24"/>
        </w:rPr>
        <w:t xml:space="preserve"> on across a sequence of multi-day investigations are appropriate, as opposed to textbooks that offer short, closed questions, with limited </w:t>
      </w:r>
      <w:r w:rsidRPr="449EEBED">
        <w:rPr>
          <w:rFonts w:eastAsia="Calibri"/>
          <w:sz w:val="24"/>
          <w:szCs w:val="24"/>
        </w:rPr>
        <w:lastRenderedPageBreak/>
        <w:t xml:space="preserve">interest or appeal to many students. In high school, truly integrated content provides greater opportunities for broad and deep tasks that </w:t>
      </w:r>
      <w:r w:rsidR="009762BA">
        <w:rPr>
          <w:rFonts w:eastAsia="Calibri"/>
          <w:sz w:val="24"/>
          <w:szCs w:val="24"/>
        </w:rPr>
        <w:t>provide</w:t>
      </w:r>
      <w:r w:rsidRPr="449EEBED">
        <w:rPr>
          <w:rFonts w:eastAsia="Calibri"/>
          <w:sz w:val="24"/>
          <w:szCs w:val="24"/>
        </w:rPr>
        <w:t xml:space="preserve"> appropriate challenge for all students. </w:t>
      </w:r>
      <w:r w:rsidR="009762BA">
        <w:rPr>
          <w:rFonts w:eastAsia="Calibri"/>
          <w:sz w:val="24"/>
          <w:szCs w:val="24"/>
        </w:rPr>
        <w:t>S</w:t>
      </w:r>
      <w:r w:rsidRPr="449EEBED">
        <w:rPr>
          <w:sz w:val="24"/>
          <w:szCs w:val="24"/>
        </w:rPr>
        <w:t xml:space="preserve">tudies of </w:t>
      </w:r>
      <w:r w:rsidR="009762BA">
        <w:rPr>
          <w:sz w:val="24"/>
          <w:szCs w:val="24"/>
        </w:rPr>
        <w:t>such</w:t>
      </w:r>
      <w:r w:rsidRPr="449EEBED">
        <w:rPr>
          <w:sz w:val="24"/>
          <w:szCs w:val="24"/>
        </w:rPr>
        <w:t xml:space="preserve"> curricul</w:t>
      </w:r>
      <w:r>
        <w:rPr>
          <w:sz w:val="24"/>
          <w:szCs w:val="24"/>
        </w:rPr>
        <w:t>a</w:t>
      </w:r>
      <w:r w:rsidRPr="449EEBED">
        <w:rPr>
          <w:sz w:val="24"/>
          <w:szCs w:val="24"/>
        </w:rPr>
        <w:t xml:space="preserve"> </w:t>
      </w:r>
      <w:proofErr w:type="gramStart"/>
      <w:r w:rsidR="009762BA">
        <w:rPr>
          <w:sz w:val="24"/>
          <w:szCs w:val="24"/>
        </w:rPr>
        <w:t>being</w:t>
      </w:r>
      <w:r w:rsidRPr="449EEBED">
        <w:rPr>
          <w:sz w:val="24"/>
          <w:szCs w:val="24"/>
        </w:rPr>
        <w:t xml:space="preserve"> use</w:t>
      </w:r>
      <w:r w:rsidR="009762BA">
        <w:rPr>
          <w:sz w:val="24"/>
          <w:szCs w:val="24"/>
        </w:rPr>
        <w:t>d</w:t>
      </w:r>
      <w:proofErr w:type="gramEnd"/>
      <w:r w:rsidRPr="449EEBED">
        <w:rPr>
          <w:rFonts w:eastAsia="Calibri"/>
          <w:sz w:val="24"/>
          <w:szCs w:val="24"/>
        </w:rPr>
        <w:t xml:space="preserve"> in urban, suburban, and rural districts, including in California, </w:t>
      </w:r>
      <w:r w:rsidR="009762BA">
        <w:rPr>
          <w:rFonts w:eastAsia="Calibri"/>
          <w:sz w:val="24"/>
          <w:szCs w:val="24"/>
        </w:rPr>
        <w:t xml:space="preserve">show that </w:t>
      </w:r>
      <w:r w:rsidRPr="449EEBED">
        <w:rPr>
          <w:rFonts w:eastAsia="Calibri"/>
          <w:sz w:val="24"/>
          <w:szCs w:val="24"/>
        </w:rPr>
        <w:t xml:space="preserve">students have achieved at significantly higher levels on tests of problem solving, conceptual understanding, and applied mathematics and have enrolled </w:t>
      </w:r>
      <w:r w:rsidR="009762BA">
        <w:rPr>
          <w:rFonts w:eastAsia="Calibri"/>
          <w:sz w:val="24"/>
          <w:szCs w:val="24"/>
        </w:rPr>
        <w:t>at</w:t>
      </w:r>
      <w:r w:rsidRPr="449EEBED">
        <w:rPr>
          <w:rFonts w:eastAsia="Calibri"/>
          <w:sz w:val="24"/>
          <w:szCs w:val="24"/>
        </w:rPr>
        <w:t xml:space="preserve"> significantly</w:t>
      </w:r>
      <w:r w:rsidR="009762BA">
        <w:rPr>
          <w:rFonts w:eastAsia="Calibri"/>
          <w:sz w:val="24"/>
          <w:szCs w:val="24"/>
        </w:rPr>
        <w:t xml:space="preserve"> higher rates in</w:t>
      </w:r>
      <w:r w:rsidRPr="449EEBED">
        <w:rPr>
          <w:rFonts w:eastAsia="Calibri"/>
          <w:sz w:val="24"/>
          <w:szCs w:val="24"/>
        </w:rPr>
        <w:t xml:space="preserve"> more high school mathematics courses </w:t>
      </w:r>
      <w:r w:rsidRPr="001F05DA">
        <w:rPr>
          <w:rFonts w:eastAsia="Calibri"/>
          <w:sz w:val="24"/>
          <w:szCs w:val="24"/>
        </w:rPr>
        <w:t>(</w:t>
      </w:r>
      <w:r w:rsidRPr="001F05DA">
        <w:rPr>
          <w:color w:val="000000" w:themeColor="text1"/>
          <w:sz w:val="24"/>
          <w:szCs w:val="24"/>
        </w:rPr>
        <w:t>Core-Plus Mathematics, n.d.</w:t>
      </w:r>
      <w:r w:rsidRPr="001F05DA">
        <w:rPr>
          <w:rFonts w:eastAsia="Calibri"/>
          <w:sz w:val="24"/>
          <w:szCs w:val="24"/>
        </w:rPr>
        <w:t>)</w:t>
      </w:r>
      <w:r w:rsidRPr="449EEBED">
        <w:rPr>
          <w:rFonts w:eastAsia="Calibri"/>
          <w:sz w:val="24"/>
          <w:szCs w:val="24"/>
        </w:rPr>
        <w:t>.</w:t>
      </w:r>
    </w:p>
    <w:p w14:paraId="5CCB79A9" w14:textId="3421B83D" w:rsidR="005D5E75" w:rsidRPr="001333C2" w:rsidRDefault="00687DBF" w:rsidP="00142070">
      <w:pPr>
        <w:pStyle w:val="Heading2"/>
      </w:pPr>
      <w:bookmarkStart w:id="13" w:name="_Toc96929903"/>
      <w:bookmarkStart w:id="14" w:name="_Toc135813007"/>
      <w:r w:rsidRPr="001333C2">
        <w:t>Discussion and Conclusion</w:t>
      </w:r>
      <w:bookmarkEnd w:id="13"/>
      <w:bookmarkEnd w:id="14"/>
    </w:p>
    <w:p w14:paraId="7EA4DEDC" w14:textId="565ACBA9" w:rsidR="005D5E75" w:rsidRPr="001333C2" w:rsidRDefault="358ED9C2" w:rsidP="001333C2">
      <w:pPr>
        <w:spacing w:after="240" w:line="360" w:lineRule="auto"/>
        <w:rPr>
          <w:rFonts w:eastAsia="Calibri"/>
          <w:sz w:val="24"/>
          <w:szCs w:val="24"/>
        </w:rPr>
      </w:pPr>
      <w:r w:rsidRPr="449EEBED">
        <w:rPr>
          <w:rFonts w:eastAsia="Calibri"/>
          <w:sz w:val="24"/>
          <w:szCs w:val="24"/>
        </w:rPr>
        <w:t xml:space="preserve">Districts are at liberty to group students as they choose, but for districts wanting to open mathematics pathways to more students and create opportunities for </w:t>
      </w:r>
      <w:r w:rsidR="004D03B0">
        <w:rPr>
          <w:rFonts w:eastAsia="Calibri"/>
          <w:sz w:val="24"/>
          <w:szCs w:val="24"/>
        </w:rPr>
        <w:t xml:space="preserve">greater </w:t>
      </w:r>
      <w:r w:rsidRPr="449EEBED">
        <w:rPr>
          <w:rFonts w:eastAsia="Calibri"/>
          <w:sz w:val="24"/>
          <w:szCs w:val="24"/>
        </w:rPr>
        <w:t xml:space="preserve">achievement, </w:t>
      </w:r>
      <w:r w:rsidR="004D03B0">
        <w:rPr>
          <w:rFonts w:eastAsia="Calibri"/>
          <w:sz w:val="24"/>
          <w:szCs w:val="24"/>
        </w:rPr>
        <w:t xml:space="preserve">this chapter has described </w:t>
      </w:r>
      <w:proofErr w:type="gramStart"/>
      <w:r w:rsidRPr="449EEBED">
        <w:rPr>
          <w:rFonts w:eastAsia="Calibri"/>
          <w:sz w:val="24"/>
          <w:szCs w:val="24"/>
        </w:rPr>
        <w:t>many</w:t>
      </w:r>
      <w:proofErr w:type="gramEnd"/>
      <w:r w:rsidRPr="449EEBED">
        <w:rPr>
          <w:rFonts w:eastAsia="Calibri"/>
          <w:sz w:val="24"/>
          <w:szCs w:val="24"/>
        </w:rPr>
        <w:t xml:space="preserve"> options to consider.</w:t>
      </w:r>
    </w:p>
    <w:p w14:paraId="4895D37D" w14:textId="1C95160D" w:rsidR="04836D67" w:rsidRDefault="55AFEBAE" w:rsidP="0B254218">
      <w:pPr>
        <w:spacing w:after="240" w:line="360" w:lineRule="auto"/>
        <w:rPr>
          <w:rFonts w:eastAsia="Calibri"/>
          <w:sz w:val="24"/>
          <w:szCs w:val="24"/>
        </w:rPr>
      </w:pPr>
      <w:r w:rsidRPr="449EEBED">
        <w:rPr>
          <w:rFonts w:eastAsia="Calibri"/>
          <w:sz w:val="24"/>
          <w:szCs w:val="24"/>
        </w:rPr>
        <w:t xml:space="preserve">In the elementary years, students </w:t>
      </w:r>
      <w:r w:rsidR="00D109BB">
        <w:rPr>
          <w:rFonts w:eastAsia="Calibri"/>
          <w:sz w:val="24"/>
          <w:szCs w:val="24"/>
        </w:rPr>
        <w:t>should experience common mathematics content</w:t>
      </w:r>
      <w:r w:rsidR="00D4401E">
        <w:rPr>
          <w:rFonts w:eastAsia="Calibri"/>
          <w:sz w:val="24"/>
          <w:szCs w:val="24"/>
        </w:rPr>
        <w:t xml:space="preserve"> that lays a productive groundwork of conceptual understanding for more advanced mathematics</w:t>
      </w:r>
      <w:r w:rsidR="00D109BB">
        <w:rPr>
          <w:rFonts w:eastAsia="Calibri"/>
          <w:sz w:val="24"/>
          <w:szCs w:val="24"/>
        </w:rPr>
        <w:t xml:space="preserve">. </w:t>
      </w:r>
      <w:r w:rsidRPr="449EEBED">
        <w:rPr>
          <w:rFonts w:eastAsia="Calibri"/>
          <w:sz w:val="24"/>
          <w:szCs w:val="24"/>
        </w:rPr>
        <w:t>Students work</w:t>
      </w:r>
      <w:r w:rsidR="00D109BB">
        <w:rPr>
          <w:rFonts w:eastAsia="Calibri"/>
          <w:sz w:val="24"/>
          <w:szCs w:val="24"/>
        </w:rPr>
        <w:t xml:space="preserve"> in </w:t>
      </w:r>
      <w:proofErr w:type="gramStart"/>
      <w:r w:rsidR="00D109BB">
        <w:rPr>
          <w:rFonts w:eastAsia="Calibri"/>
          <w:sz w:val="24"/>
          <w:szCs w:val="24"/>
        </w:rPr>
        <w:t>different ways</w:t>
      </w:r>
      <w:proofErr w:type="gramEnd"/>
      <w:r w:rsidR="00D109BB">
        <w:rPr>
          <w:rFonts w:eastAsia="Calibri"/>
          <w:sz w:val="24"/>
          <w:szCs w:val="24"/>
        </w:rPr>
        <w:t xml:space="preserve"> and </w:t>
      </w:r>
      <w:r w:rsidRPr="449EEBED">
        <w:rPr>
          <w:rFonts w:eastAsia="Calibri"/>
          <w:sz w:val="24"/>
          <w:szCs w:val="24"/>
        </w:rPr>
        <w:t xml:space="preserve">at faster or slower rates, but this does not mean that they should be exposed to different content. </w:t>
      </w:r>
      <w:proofErr w:type="gramStart"/>
      <w:r w:rsidRPr="449EEBED">
        <w:rPr>
          <w:rFonts w:eastAsia="Calibri"/>
          <w:sz w:val="24"/>
          <w:szCs w:val="24"/>
        </w:rPr>
        <w:t>Many</w:t>
      </w:r>
      <w:proofErr w:type="gramEnd"/>
      <w:r w:rsidRPr="449EEBED">
        <w:rPr>
          <w:rFonts w:eastAsia="Calibri"/>
          <w:sz w:val="24"/>
          <w:szCs w:val="24"/>
        </w:rPr>
        <w:t xml:space="preserve"> of the teaching approaches and activities described</w:t>
      </w:r>
      <w:r w:rsidR="009762BA">
        <w:rPr>
          <w:rFonts w:eastAsia="Calibri"/>
          <w:sz w:val="24"/>
          <w:szCs w:val="24"/>
        </w:rPr>
        <w:t xml:space="preserve"> above and </w:t>
      </w:r>
      <w:r w:rsidRPr="449EEBED">
        <w:rPr>
          <w:rFonts w:eastAsia="Calibri"/>
          <w:sz w:val="24"/>
          <w:szCs w:val="24"/>
        </w:rPr>
        <w:t xml:space="preserve">in </w:t>
      </w:r>
      <w:r w:rsidR="006F30B6">
        <w:rPr>
          <w:rFonts w:eastAsia="Calibri"/>
          <w:sz w:val="24"/>
          <w:szCs w:val="24"/>
        </w:rPr>
        <w:t>c</w:t>
      </w:r>
      <w:r w:rsidRPr="449EEBED">
        <w:rPr>
          <w:rFonts w:eastAsia="Calibri"/>
          <w:sz w:val="24"/>
          <w:szCs w:val="24"/>
        </w:rPr>
        <w:t xml:space="preserve">hapters </w:t>
      </w:r>
      <w:r w:rsidR="00EB26C5">
        <w:rPr>
          <w:rFonts w:eastAsia="Calibri"/>
          <w:sz w:val="24"/>
          <w:szCs w:val="24"/>
        </w:rPr>
        <w:t>three</w:t>
      </w:r>
      <w:r w:rsidRPr="449EEBED">
        <w:rPr>
          <w:rFonts w:eastAsia="Calibri"/>
          <w:sz w:val="24"/>
          <w:szCs w:val="24"/>
        </w:rPr>
        <w:t xml:space="preserve"> and </w:t>
      </w:r>
      <w:r w:rsidR="00EB26C5">
        <w:rPr>
          <w:rFonts w:eastAsia="Calibri"/>
          <w:sz w:val="24"/>
          <w:szCs w:val="24"/>
        </w:rPr>
        <w:t>six</w:t>
      </w:r>
      <w:r w:rsidRPr="449EEBED">
        <w:rPr>
          <w:rFonts w:eastAsia="Calibri"/>
          <w:sz w:val="24"/>
          <w:szCs w:val="24"/>
        </w:rPr>
        <w:t xml:space="preserve"> emphasize </w:t>
      </w:r>
      <w:r w:rsidRPr="00061B2E">
        <w:rPr>
          <w:rFonts w:eastAsia="Calibri"/>
          <w:sz w:val="24"/>
          <w:szCs w:val="24"/>
        </w:rPr>
        <w:t xml:space="preserve">multidimensional </w:t>
      </w:r>
      <w:r w:rsidR="001716E7">
        <w:rPr>
          <w:rFonts w:eastAsia="Calibri"/>
          <w:sz w:val="24"/>
          <w:szCs w:val="24"/>
        </w:rPr>
        <w:t>math teaching</w:t>
      </w:r>
      <w:r w:rsidRPr="00061B2E">
        <w:rPr>
          <w:rFonts w:eastAsia="Calibri"/>
          <w:sz w:val="24"/>
          <w:szCs w:val="24"/>
        </w:rPr>
        <w:t xml:space="preserve"> </w:t>
      </w:r>
      <w:r w:rsidR="00490DC4" w:rsidRPr="00061B2E">
        <w:rPr>
          <w:rFonts w:eastAsia="Calibri"/>
          <w:sz w:val="24"/>
          <w:szCs w:val="24"/>
        </w:rPr>
        <w:t>that supports depth of understanding</w:t>
      </w:r>
      <w:r w:rsidR="00490DC4">
        <w:rPr>
          <w:rFonts w:eastAsia="Calibri"/>
          <w:sz w:val="24"/>
          <w:szCs w:val="24"/>
        </w:rPr>
        <w:t xml:space="preserve"> </w:t>
      </w:r>
      <w:r w:rsidRPr="449EEBED">
        <w:rPr>
          <w:rFonts w:eastAsia="Calibri"/>
          <w:sz w:val="24"/>
          <w:szCs w:val="24"/>
        </w:rPr>
        <w:t xml:space="preserve">over speed and memorization. When mathematics questions invite students to engage in reasoning, making connections, and seeing and representing ideas in </w:t>
      </w:r>
      <w:proofErr w:type="gramStart"/>
      <w:r w:rsidRPr="449EEBED">
        <w:rPr>
          <w:rFonts w:eastAsia="Calibri"/>
          <w:sz w:val="24"/>
          <w:szCs w:val="24"/>
        </w:rPr>
        <w:t>different ways</w:t>
      </w:r>
      <w:proofErr w:type="gramEnd"/>
      <w:r w:rsidRPr="449EEBED">
        <w:rPr>
          <w:rFonts w:eastAsia="Calibri"/>
          <w:sz w:val="24"/>
          <w:szCs w:val="24"/>
        </w:rPr>
        <w:t xml:space="preserve">, they </w:t>
      </w:r>
      <w:r w:rsidR="44089AC1" w:rsidRPr="449EEBED">
        <w:rPr>
          <w:rFonts w:eastAsia="Calibri"/>
          <w:sz w:val="24"/>
          <w:szCs w:val="24"/>
        </w:rPr>
        <w:t xml:space="preserve">can </w:t>
      </w:r>
      <w:r w:rsidRPr="449EEBED">
        <w:rPr>
          <w:rFonts w:eastAsia="Calibri"/>
          <w:sz w:val="24"/>
          <w:szCs w:val="24"/>
        </w:rPr>
        <w:t>engage all students appropriately.</w:t>
      </w:r>
      <w:r w:rsidR="6A147E6F" w:rsidRPr="449EEBED">
        <w:rPr>
          <w:rFonts w:eastAsia="Calibri"/>
          <w:sz w:val="24"/>
          <w:szCs w:val="24"/>
        </w:rPr>
        <w:t xml:space="preserve"> In addition, strategies like tutoring and personalized supplementary program</w:t>
      </w:r>
      <w:r w:rsidR="0012416E">
        <w:rPr>
          <w:rFonts w:eastAsia="Calibri"/>
          <w:sz w:val="24"/>
          <w:szCs w:val="24"/>
        </w:rPr>
        <w:t>s</w:t>
      </w:r>
      <w:r w:rsidR="6A147E6F" w:rsidRPr="449EEBED">
        <w:rPr>
          <w:rFonts w:eastAsia="Calibri"/>
          <w:sz w:val="24"/>
          <w:szCs w:val="24"/>
        </w:rPr>
        <w:t xml:space="preserve"> can help students s</w:t>
      </w:r>
      <w:r w:rsidR="211ACD4A" w:rsidRPr="449EEBED">
        <w:rPr>
          <w:rFonts w:eastAsia="Calibri"/>
          <w:sz w:val="24"/>
          <w:szCs w:val="24"/>
        </w:rPr>
        <w:t xml:space="preserve">ecure and reinforce skills that allow them to progress successfully </w:t>
      </w:r>
      <w:r w:rsidR="004D03B0">
        <w:rPr>
          <w:rFonts w:eastAsia="Calibri"/>
          <w:sz w:val="24"/>
          <w:szCs w:val="24"/>
        </w:rPr>
        <w:t xml:space="preserve">through </w:t>
      </w:r>
      <w:r w:rsidR="211ACD4A" w:rsidRPr="449EEBED">
        <w:rPr>
          <w:rFonts w:eastAsia="Calibri"/>
          <w:sz w:val="24"/>
          <w:szCs w:val="24"/>
        </w:rPr>
        <w:t>the curriculum.</w:t>
      </w:r>
    </w:p>
    <w:p w14:paraId="60F0251D" w14:textId="303527AF" w:rsidR="00D623AB" w:rsidRDefault="358ED9C2" w:rsidP="009416DA">
      <w:pPr>
        <w:spacing w:after="240" w:line="360" w:lineRule="auto"/>
        <w:rPr>
          <w:rFonts w:eastAsia="Calibri"/>
          <w:sz w:val="24"/>
          <w:szCs w:val="24"/>
        </w:rPr>
      </w:pPr>
      <w:r w:rsidRPr="449EEBED">
        <w:rPr>
          <w:rFonts w:eastAsia="Calibri"/>
          <w:sz w:val="24"/>
          <w:szCs w:val="24"/>
        </w:rPr>
        <w:t xml:space="preserve">Middle schools also have </w:t>
      </w:r>
      <w:proofErr w:type="gramStart"/>
      <w:r w:rsidRPr="449EEBED">
        <w:rPr>
          <w:rFonts w:eastAsia="Calibri"/>
          <w:sz w:val="24"/>
          <w:szCs w:val="24"/>
        </w:rPr>
        <w:t>an important role</w:t>
      </w:r>
      <w:proofErr w:type="gramEnd"/>
      <w:r w:rsidRPr="449EEBED">
        <w:rPr>
          <w:rFonts w:eastAsia="Calibri"/>
          <w:sz w:val="24"/>
          <w:szCs w:val="24"/>
        </w:rPr>
        <w:t xml:space="preserve"> to play in </w:t>
      </w:r>
      <w:r w:rsidR="00D109BB" w:rsidRPr="00D109BB">
        <w:rPr>
          <w:rFonts w:eastAsia="Calibri"/>
          <w:sz w:val="24"/>
          <w:szCs w:val="24"/>
        </w:rPr>
        <w:t>ensuring that all students receive well-taught, challenging coursework that does not</w:t>
      </w:r>
      <w:r w:rsidRPr="449EEBED">
        <w:rPr>
          <w:rFonts w:eastAsia="Calibri"/>
          <w:sz w:val="24"/>
          <w:szCs w:val="24"/>
        </w:rPr>
        <w:t xml:space="preserve"> close</w:t>
      </w:r>
      <w:r w:rsidR="00D109BB">
        <w:rPr>
          <w:rFonts w:eastAsia="Calibri"/>
          <w:sz w:val="24"/>
          <w:szCs w:val="24"/>
        </w:rPr>
        <w:t xml:space="preserve"> off later</w:t>
      </w:r>
      <w:r w:rsidRPr="449EEBED">
        <w:rPr>
          <w:rFonts w:eastAsia="Calibri"/>
          <w:sz w:val="24"/>
          <w:szCs w:val="24"/>
        </w:rPr>
        <w:t xml:space="preserve"> options. </w:t>
      </w:r>
      <w:r w:rsidR="00FE4B67" w:rsidRPr="00FE4B67">
        <w:rPr>
          <w:rFonts w:eastAsia="Calibri"/>
          <w:sz w:val="24"/>
          <w:szCs w:val="24"/>
        </w:rPr>
        <w:t xml:space="preserve">By maintaining </w:t>
      </w:r>
      <w:r w:rsidR="00D109BB">
        <w:rPr>
          <w:rFonts w:eastAsia="Calibri"/>
          <w:sz w:val="24"/>
          <w:szCs w:val="24"/>
        </w:rPr>
        <w:t>rich mathematical</w:t>
      </w:r>
      <w:r w:rsidR="00FE4B67" w:rsidRPr="00FE4B67">
        <w:rPr>
          <w:rFonts w:eastAsia="Calibri"/>
          <w:sz w:val="24"/>
          <w:szCs w:val="24"/>
        </w:rPr>
        <w:t xml:space="preserve"> content along with strong and supportive teaching, they </w:t>
      </w:r>
      <w:r w:rsidR="0012416E">
        <w:rPr>
          <w:rFonts w:eastAsia="Calibri"/>
          <w:sz w:val="24"/>
          <w:szCs w:val="24"/>
        </w:rPr>
        <w:t>give more students</w:t>
      </w:r>
      <w:r w:rsidR="00FE4B67" w:rsidRPr="00FE4B67">
        <w:rPr>
          <w:rFonts w:eastAsia="Calibri"/>
          <w:sz w:val="24"/>
          <w:szCs w:val="24"/>
        </w:rPr>
        <w:t xml:space="preserve"> access to higher-level mathematics</w:t>
      </w:r>
      <w:r w:rsidR="0012416E">
        <w:rPr>
          <w:rFonts w:eastAsia="Calibri"/>
          <w:sz w:val="24"/>
          <w:szCs w:val="24"/>
        </w:rPr>
        <w:t>. Given changes in course content with the advent of the CA CCSSM,</w:t>
      </w:r>
      <w:r w:rsidR="007D465B">
        <w:rPr>
          <w:rFonts w:eastAsia="Calibri"/>
          <w:sz w:val="24"/>
          <w:szCs w:val="24"/>
        </w:rPr>
        <w:t xml:space="preserve"> middle school students </w:t>
      </w:r>
      <w:r w:rsidR="00F54C67">
        <w:rPr>
          <w:rFonts w:eastAsia="Calibri"/>
          <w:sz w:val="24"/>
          <w:szCs w:val="24"/>
        </w:rPr>
        <w:t>can</w:t>
      </w:r>
      <w:r w:rsidR="007D465B">
        <w:rPr>
          <w:rFonts w:eastAsia="Calibri"/>
          <w:sz w:val="24"/>
          <w:szCs w:val="24"/>
        </w:rPr>
        <w:t xml:space="preserve"> </w:t>
      </w:r>
      <w:r w:rsidR="003D7B9A">
        <w:rPr>
          <w:rFonts w:eastAsia="Calibri"/>
          <w:sz w:val="24"/>
          <w:szCs w:val="24"/>
        </w:rPr>
        <w:t xml:space="preserve">rely on richer algebra content </w:t>
      </w:r>
      <w:r w:rsidRPr="449EEBED">
        <w:rPr>
          <w:rFonts w:eastAsia="Calibri"/>
          <w:sz w:val="24"/>
          <w:szCs w:val="24"/>
        </w:rPr>
        <w:t>in grade eight</w:t>
      </w:r>
      <w:r w:rsidR="00F54C67">
        <w:rPr>
          <w:rFonts w:eastAsia="Calibri"/>
          <w:sz w:val="24"/>
          <w:szCs w:val="24"/>
        </w:rPr>
        <w:t>, preparing them for</w:t>
      </w:r>
      <w:r w:rsidR="007D465B">
        <w:rPr>
          <w:rFonts w:eastAsia="Calibri"/>
          <w:sz w:val="24"/>
          <w:szCs w:val="24"/>
        </w:rPr>
        <w:t xml:space="preserve"> </w:t>
      </w:r>
      <w:r w:rsidRPr="449EEBED">
        <w:rPr>
          <w:rFonts w:eastAsia="Calibri"/>
          <w:sz w:val="24"/>
          <w:szCs w:val="24"/>
        </w:rPr>
        <w:t xml:space="preserve">Mathematics I </w:t>
      </w:r>
      <w:r w:rsidR="007768D8">
        <w:rPr>
          <w:rFonts w:eastAsia="Calibri"/>
          <w:sz w:val="24"/>
          <w:szCs w:val="24"/>
        </w:rPr>
        <w:t xml:space="preserve">or </w:t>
      </w:r>
      <w:r w:rsidRPr="449EEBED">
        <w:rPr>
          <w:rFonts w:eastAsia="Calibri"/>
          <w:sz w:val="24"/>
          <w:szCs w:val="24"/>
        </w:rPr>
        <w:t>Algebra I courses</w:t>
      </w:r>
      <w:r w:rsidR="001E5FFF">
        <w:rPr>
          <w:rFonts w:eastAsia="Calibri"/>
          <w:strike/>
          <w:sz w:val="24"/>
          <w:szCs w:val="24"/>
        </w:rPr>
        <w:t xml:space="preserve"> </w:t>
      </w:r>
      <w:r w:rsidR="007D465B">
        <w:rPr>
          <w:rFonts w:eastAsia="Calibri"/>
          <w:sz w:val="24"/>
          <w:szCs w:val="24"/>
        </w:rPr>
        <w:t xml:space="preserve">and </w:t>
      </w:r>
      <w:r w:rsidRPr="449EEBED">
        <w:rPr>
          <w:rFonts w:eastAsia="Calibri"/>
          <w:sz w:val="24"/>
          <w:szCs w:val="24"/>
        </w:rPr>
        <w:t xml:space="preserve">more in-depth </w:t>
      </w:r>
      <w:r w:rsidRPr="449EEBED">
        <w:rPr>
          <w:rFonts w:eastAsia="Calibri"/>
          <w:sz w:val="24"/>
          <w:szCs w:val="24"/>
        </w:rPr>
        <w:lastRenderedPageBreak/>
        <w:t xml:space="preserve">work with linear functions and exponential functions and relationships. </w:t>
      </w:r>
      <w:r w:rsidR="65AE8714" w:rsidRPr="449EEBED">
        <w:rPr>
          <w:rFonts w:eastAsia="Calibri"/>
          <w:sz w:val="24"/>
          <w:szCs w:val="24"/>
        </w:rPr>
        <w:t xml:space="preserve">The integrated </w:t>
      </w:r>
      <w:r w:rsidR="00F54C67">
        <w:rPr>
          <w:rFonts w:eastAsia="Calibri"/>
          <w:sz w:val="24"/>
          <w:szCs w:val="24"/>
        </w:rPr>
        <w:t xml:space="preserve">high school </w:t>
      </w:r>
      <w:r w:rsidR="65AE8714" w:rsidRPr="449EEBED">
        <w:rPr>
          <w:rFonts w:eastAsia="Calibri"/>
          <w:sz w:val="24"/>
          <w:szCs w:val="24"/>
        </w:rPr>
        <w:t>course pathways that start w</w:t>
      </w:r>
      <w:r w:rsidR="2709A1E3" w:rsidRPr="449EEBED">
        <w:rPr>
          <w:rFonts w:eastAsia="Calibri"/>
          <w:sz w:val="24"/>
          <w:szCs w:val="24"/>
        </w:rPr>
        <w:t>ith</w:t>
      </w:r>
      <w:r w:rsidR="65AE8714" w:rsidRPr="449EEBED">
        <w:rPr>
          <w:rFonts w:eastAsia="Calibri"/>
          <w:sz w:val="24"/>
          <w:szCs w:val="24"/>
        </w:rPr>
        <w:t xml:space="preserve"> </w:t>
      </w:r>
      <w:r w:rsidRPr="449EEBED">
        <w:rPr>
          <w:rFonts w:eastAsia="Calibri"/>
          <w:sz w:val="24"/>
          <w:szCs w:val="24"/>
        </w:rPr>
        <w:t>Mathematics I</w:t>
      </w:r>
      <w:r w:rsidR="2F4D07C4" w:rsidRPr="449EEBED">
        <w:rPr>
          <w:rFonts w:eastAsia="Calibri"/>
          <w:sz w:val="24"/>
          <w:szCs w:val="24"/>
        </w:rPr>
        <w:t xml:space="preserve"> </w:t>
      </w:r>
      <w:r w:rsidRPr="449EEBED">
        <w:rPr>
          <w:rFonts w:eastAsia="Calibri"/>
          <w:sz w:val="24"/>
          <w:szCs w:val="24"/>
        </w:rPr>
        <w:t xml:space="preserve">build directly on the CA CCSSM for </w:t>
      </w:r>
      <w:r w:rsidR="00270299">
        <w:rPr>
          <w:rFonts w:eastAsia="Calibri"/>
          <w:sz w:val="24"/>
          <w:szCs w:val="24"/>
        </w:rPr>
        <w:t xml:space="preserve">eighth </w:t>
      </w:r>
      <w:r w:rsidRPr="449EEBED">
        <w:rPr>
          <w:rFonts w:eastAsia="Calibri"/>
          <w:sz w:val="24"/>
          <w:szCs w:val="24"/>
        </w:rPr>
        <w:t>grade and provide a seamless transition of content through an integrated curriculum.</w:t>
      </w:r>
      <w:r w:rsidR="6ECB5315" w:rsidRPr="449EEBED">
        <w:rPr>
          <w:rFonts w:eastAsia="Calibri"/>
          <w:sz w:val="24"/>
          <w:szCs w:val="24"/>
        </w:rPr>
        <w:t xml:space="preserve"> </w:t>
      </w:r>
      <w:r w:rsidR="00270299">
        <w:rPr>
          <w:rFonts w:eastAsia="Calibri"/>
          <w:sz w:val="24"/>
          <w:szCs w:val="24"/>
        </w:rPr>
        <w:t xml:space="preserve">As noted earlier, schools may also enable students with interest and readiness to begin the high school pathway in middle school. Schools should be mindful of addressing potential curriculum gaps for these students, so that they can be successful. </w:t>
      </w:r>
      <w:r w:rsidR="6ECB5315" w:rsidRPr="449EEBED">
        <w:rPr>
          <w:rFonts w:eastAsia="Calibri"/>
          <w:sz w:val="24"/>
          <w:szCs w:val="24"/>
        </w:rPr>
        <w:t xml:space="preserve">(See </w:t>
      </w:r>
      <w:r w:rsidR="006F30B6">
        <w:rPr>
          <w:rFonts w:eastAsia="Calibri"/>
          <w:sz w:val="24"/>
          <w:szCs w:val="24"/>
        </w:rPr>
        <w:t>c</w:t>
      </w:r>
      <w:r w:rsidR="6ECB5315" w:rsidRPr="449EEBED">
        <w:rPr>
          <w:rFonts w:eastAsia="Calibri"/>
          <w:sz w:val="24"/>
          <w:szCs w:val="24"/>
        </w:rPr>
        <w:t xml:space="preserve">hapter </w:t>
      </w:r>
      <w:r w:rsidR="00EB26C5">
        <w:rPr>
          <w:rFonts w:eastAsia="Calibri"/>
          <w:sz w:val="24"/>
          <w:szCs w:val="24"/>
        </w:rPr>
        <w:t>eight</w:t>
      </w:r>
      <w:r w:rsidR="6ECB5315" w:rsidRPr="449EEBED">
        <w:rPr>
          <w:rFonts w:eastAsia="Calibri"/>
          <w:sz w:val="24"/>
          <w:szCs w:val="24"/>
        </w:rPr>
        <w:t xml:space="preserve"> for discussions of </w:t>
      </w:r>
      <w:r w:rsidR="60C4B322" w:rsidRPr="449EEBED">
        <w:rPr>
          <w:rFonts w:eastAsia="Calibri"/>
          <w:sz w:val="24"/>
          <w:szCs w:val="24"/>
        </w:rPr>
        <w:t>various high school course pathways</w:t>
      </w:r>
      <w:r w:rsidR="30266DE4" w:rsidRPr="449EEBED">
        <w:rPr>
          <w:rFonts w:eastAsia="Calibri"/>
          <w:sz w:val="24"/>
          <w:szCs w:val="24"/>
        </w:rPr>
        <w:t>.)</w:t>
      </w:r>
    </w:p>
    <w:p w14:paraId="2AC4C23D" w14:textId="44983127" w:rsidR="00D623AB" w:rsidRPr="001333C2" w:rsidRDefault="00D623AB" w:rsidP="00D623AB">
      <w:pPr>
        <w:spacing w:after="240" w:line="360" w:lineRule="auto"/>
        <w:rPr>
          <w:rFonts w:eastAsia="Calibri"/>
          <w:sz w:val="24"/>
          <w:szCs w:val="24"/>
        </w:rPr>
      </w:pPr>
      <w:r>
        <w:rPr>
          <w:rFonts w:eastAsia="Calibri"/>
          <w:sz w:val="24"/>
          <w:szCs w:val="24"/>
        </w:rPr>
        <w:t xml:space="preserve">Even </w:t>
      </w:r>
      <w:r w:rsidR="00270299">
        <w:rPr>
          <w:rFonts w:eastAsia="Calibri"/>
          <w:sz w:val="24"/>
          <w:szCs w:val="24"/>
        </w:rPr>
        <w:t xml:space="preserve">as </w:t>
      </w:r>
      <w:r>
        <w:rPr>
          <w:rFonts w:eastAsia="Calibri"/>
          <w:sz w:val="24"/>
          <w:szCs w:val="24"/>
        </w:rPr>
        <w:t>high schools differentiate mathematics course</w:t>
      </w:r>
      <w:r w:rsidR="00F54C67">
        <w:rPr>
          <w:rFonts w:eastAsia="Calibri"/>
          <w:sz w:val="24"/>
          <w:szCs w:val="24"/>
        </w:rPr>
        <w:t>-</w:t>
      </w:r>
      <w:r>
        <w:rPr>
          <w:rFonts w:eastAsia="Calibri"/>
          <w:sz w:val="24"/>
          <w:szCs w:val="24"/>
        </w:rPr>
        <w:t>taking options, they</w:t>
      </w:r>
      <w:r w:rsidRPr="449EEBED">
        <w:rPr>
          <w:rFonts w:eastAsia="Calibri"/>
          <w:sz w:val="24"/>
          <w:szCs w:val="24"/>
        </w:rPr>
        <w:t xml:space="preserve"> can </w:t>
      </w:r>
      <w:proofErr w:type="gramStart"/>
      <w:r w:rsidRPr="449EEBED">
        <w:rPr>
          <w:rFonts w:eastAsia="Calibri"/>
          <w:sz w:val="24"/>
          <w:szCs w:val="24"/>
        </w:rPr>
        <w:t>open up</w:t>
      </w:r>
      <w:proofErr w:type="gramEnd"/>
      <w:r w:rsidRPr="449EEBED">
        <w:rPr>
          <w:rFonts w:eastAsia="Calibri"/>
          <w:sz w:val="24"/>
          <w:szCs w:val="24"/>
        </w:rPr>
        <w:t xml:space="preserve"> opportunity </w:t>
      </w:r>
      <w:r>
        <w:rPr>
          <w:rFonts w:eastAsia="Calibri"/>
          <w:sz w:val="24"/>
          <w:szCs w:val="24"/>
        </w:rPr>
        <w:t xml:space="preserve">for more students to engage in advanced course-taking </w:t>
      </w:r>
      <w:r w:rsidRPr="449EEBED">
        <w:rPr>
          <w:rFonts w:eastAsia="Calibri"/>
          <w:sz w:val="24"/>
          <w:szCs w:val="24"/>
        </w:rPr>
        <w:t>by reducing the redundancies in current courses that</w:t>
      </w:r>
      <w:r>
        <w:rPr>
          <w:rFonts w:eastAsia="Calibri"/>
          <w:sz w:val="24"/>
          <w:szCs w:val="24"/>
        </w:rPr>
        <w:t xml:space="preserve"> may</w:t>
      </w:r>
      <w:r w:rsidRPr="449EEBED">
        <w:rPr>
          <w:rFonts w:eastAsia="Calibri"/>
          <w:sz w:val="24"/>
          <w:szCs w:val="24"/>
        </w:rPr>
        <w:t xml:space="preserve"> unnecessarily slow progress toward the highest-level courses like calculus or statistics. </w:t>
      </w:r>
      <w:r w:rsidRPr="00D109BB">
        <w:rPr>
          <w:rFonts w:eastAsia="Calibri"/>
          <w:sz w:val="24"/>
          <w:szCs w:val="24"/>
        </w:rPr>
        <w:t xml:space="preserve">This framework proposes that the state convene experts to evaluate </w:t>
      </w:r>
      <w:r w:rsidR="00862485">
        <w:rPr>
          <w:rFonts w:eastAsia="Calibri"/>
          <w:sz w:val="24"/>
          <w:szCs w:val="24"/>
        </w:rPr>
        <w:t>options for doing so.</w:t>
      </w:r>
      <w:r w:rsidRPr="00D109BB">
        <w:rPr>
          <w:rFonts w:eastAsia="Calibri"/>
          <w:sz w:val="24"/>
          <w:szCs w:val="24"/>
        </w:rPr>
        <w:t xml:space="preserve"> </w:t>
      </w:r>
      <w:r w:rsidR="00270299">
        <w:rPr>
          <w:rFonts w:eastAsia="Calibri"/>
          <w:sz w:val="24"/>
          <w:szCs w:val="24"/>
        </w:rPr>
        <w:t>For students who do not begin the high school sequence in middle school, h</w:t>
      </w:r>
      <w:r w:rsidRPr="00D109BB">
        <w:rPr>
          <w:rFonts w:eastAsia="Calibri"/>
          <w:sz w:val="24"/>
          <w:szCs w:val="24"/>
        </w:rPr>
        <w:t>igh schools</w:t>
      </w:r>
      <w:r w:rsidRPr="449EEBED">
        <w:rPr>
          <w:rFonts w:eastAsia="Calibri"/>
          <w:sz w:val="24"/>
          <w:szCs w:val="24"/>
        </w:rPr>
        <w:t xml:space="preserve"> can provide multiple ways to reach </w:t>
      </w:r>
      <w:r w:rsidR="00270299">
        <w:rPr>
          <w:rFonts w:eastAsia="Calibri"/>
          <w:sz w:val="24"/>
          <w:szCs w:val="24"/>
        </w:rPr>
        <w:t>advanced</w:t>
      </w:r>
      <w:r w:rsidRPr="449EEBED">
        <w:rPr>
          <w:rFonts w:eastAsia="Calibri"/>
          <w:sz w:val="24"/>
          <w:szCs w:val="24"/>
        </w:rPr>
        <w:t xml:space="preserve"> courses—</w:t>
      </w:r>
      <w:r w:rsidR="00862485">
        <w:rPr>
          <w:rFonts w:eastAsia="Calibri"/>
          <w:sz w:val="24"/>
          <w:szCs w:val="24"/>
        </w:rPr>
        <w:t xml:space="preserve">e.g., </w:t>
      </w:r>
      <w:r w:rsidRPr="449EEBED">
        <w:rPr>
          <w:rFonts w:eastAsia="Calibri"/>
          <w:sz w:val="24"/>
          <w:szCs w:val="24"/>
        </w:rPr>
        <w:t>through block scheduling or supplementary courses</w:t>
      </w:r>
      <w:r w:rsidR="00270299">
        <w:rPr>
          <w:rFonts w:eastAsia="Calibri"/>
          <w:sz w:val="24"/>
          <w:szCs w:val="24"/>
        </w:rPr>
        <w:t xml:space="preserve"> during the school year or summer</w:t>
      </w:r>
      <w:r w:rsidRPr="449EEBED">
        <w:rPr>
          <w:rFonts w:eastAsia="Calibri"/>
          <w:sz w:val="24"/>
          <w:szCs w:val="24"/>
        </w:rPr>
        <w:t xml:space="preserve">, by </w:t>
      </w:r>
      <w:r w:rsidR="00270299">
        <w:rPr>
          <w:rFonts w:eastAsia="Calibri"/>
          <w:sz w:val="24"/>
          <w:szCs w:val="24"/>
        </w:rPr>
        <w:t>ongoing</w:t>
      </w:r>
      <w:r w:rsidR="00270299" w:rsidRPr="449EEBED">
        <w:rPr>
          <w:rFonts w:eastAsia="Calibri"/>
          <w:sz w:val="24"/>
          <w:szCs w:val="24"/>
        </w:rPr>
        <w:t xml:space="preserve"> </w:t>
      </w:r>
      <w:r w:rsidRPr="449EEBED">
        <w:rPr>
          <w:rFonts w:eastAsia="Calibri"/>
          <w:sz w:val="24"/>
          <w:szCs w:val="24"/>
        </w:rPr>
        <w:t xml:space="preserve">tutoring opportunities, and/or by offering </w:t>
      </w:r>
      <w:r w:rsidR="000D09AF">
        <w:rPr>
          <w:rFonts w:eastAsia="Calibri"/>
          <w:sz w:val="24"/>
          <w:szCs w:val="24"/>
        </w:rPr>
        <w:t xml:space="preserve">a range of rigorous </w:t>
      </w:r>
      <w:r w:rsidR="00EB5422">
        <w:rPr>
          <w:rFonts w:eastAsia="Calibri"/>
          <w:sz w:val="24"/>
          <w:szCs w:val="24"/>
        </w:rPr>
        <w:t xml:space="preserve">third- and fourth-year </w:t>
      </w:r>
      <w:r w:rsidRPr="449EEBED">
        <w:rPr>
          <w:rFonts w:eastAsia="Calibri"/>
          <w:sz w:val="24"/>
          <w:szCs w:val="24"/>
        </w:rPr>
        <w:t xml:space="preserve">courses that do not </w:t>
      </w:r>
      <w:r w:rsidR="00EB5422">
        <w:rPr>
          <w:rFonts w:eastAsia="Calibri"/>
          <w:sz w:val="24"/>
          <w:szCs w:val="24"/>
        </w:rPr>
        <w:t xml:space="preserve">require </w:t>
      </w:r>
      <w:r w:rsidRPr="449EEBED">
        <w:rPr>
          <w:rFonts w:eastAsia="Calibri"/>
          <w:sz w:val="24"/>
          <w:szCs w:val="24"/>
        </w:rPr>
        <w:t>prior acceleration.</w:t>
      </w:r>
    </w:p>
    <w:p w14:paraId="4B25E01A" w14:textId="7FD464F5" w:rsidR="00433D90" w:rsidRPr="00E843F3" w:rsidRDefault="00D846FE" w:rsidP="00433D90">
      <w:pPr>
        <w:spacing w:after="240" w:line="360" w:lineRule="auto"/>
        <w:rPr>
          <w:rFonts w:eastAsia="Calibri"/>
          <w:sz w:val="24"/>
          <w:szCs w:val="24"/>
        </w:rPr>
      </w:pPr>
      <w:r>
        <w:rPr>
          <w:rFonts w:eastAsia="Calibri"/>
          <w:sz w:val="24"/>
          <w:szCs w:val="24"/>
        </w:rPr>
        <w:t>This chapter has</w:t>
      </w:r>
      <w:r w:rsidR="00433D90" w:rsidRPr="00E843F3">
        <w:rPr>
          <w:rFonts w:eastAsia="Calibri"/>
          <w:sz w:val="24"/>
          <w:szCs w:val="24"/>
        </w:rPr>
        <w:t xml:space="preserve"> described alternative approaches to student grouping</w:t>
      </w:r>
      <w:r w:rsidR="00433D90">
        <w:rPr>
          <w:rFonts w:eastAsia="Calibri"/>
          <w:sz w:val="24"/>
          <w:szCs w:val="24"/>
        </w:rPr>
        <w:t>, especially in elementary and middle school</w:t>
      </w:r>
      <w:r w:rsidR="00433D90" w:rsidRPr="00E843F3">
        <w:rPr>
          <w:rFonts w:eastAsia="Calibri"/>
          <w:sz w:val="24"/>
          <w:szCs w:val="24"/>
        </w:rPr>
        <w:t xml:space="preserve">. </w:t>
      </w:r>
      <w:r w:rsidR="00774BD3">
        <w:rPr>
          <w:rFonts w:eastAsia="Calibri"/>
          <w:sz w:val="24"/>
          <w:szCs w:val="24"/>
        </w:rPr>
        <w:t>In planning course offerings, d</w:t>
      </w:r>
      <w:r w:rsidR="00433D90" w:rsidRPr="00E843F3">
        <w:rPr>
          <w:rFonts w:eastAsia="Calibri"/>
          <w:sz w:val="24"/>
          <w:szCs w:val="24"/>
        </w:rPr>
        <w:t>istricts</w:t>
      </w:r>
      <w:r w:rsidR="00774BD3">
        <w:rPr>
          <w:rFonts w:eastAsia="Calibri"/>
          <w:sz w:val="24"/>
          <w:szCs w:val="24"/>
        </w:rPr>
        <w:t xml:space="preserve"> should take note of</w:t>
      </w:r>
      <w:r w:rsidR="00433D90" w:rsidRPr="00E843F3">
        <w:rPr>
          <w:rFonts w:eastAsia="Calibri"/>
          <w:sz w:val="24"/>
          <w:szCs w:val="24"/>
        </w:rPr>
        <w:t xml:space="preserve"> the California Mathematics Placement Act of 2015</w:t>
      </w:r>
      <w:r w:rsidR="00433D90">
        <w:rPr>
          <w:rFonts w:eastAsia="Calibri"/>
          <w:sz w:val="24"/>
          <w:szCs w:val="24"/>
        </w:rPr>
        <w:t>,</w:t>
      </w:r>
      <w:r w:rsidR="00433D90" w:rsidRPr="00E843F3">
        <w:rPr>
          <w:rFonts w:eastAsia="Calibri"/>
          <w:sz w:val="24"/>
          <w:szCs w:val="24"/>
        </w:rPr>
        <w:t xml:space="preserve"> which requires that every high school placement policy of a local educational agency meet the following requirements (CDE, 2016):</w:t>
      </w:r>
    </w:p>
    <w:p w14:paraId="07131147" w14:textId="7881FEE7" w:rsidR="00433D90" w:rsidRPr="00E843F3" w:rsidRDefault="00433D90" w:rsidP="00433D90">
      <w:pPr>
        <w:numPr>
          <w:ilvl w:val="0"/>
          <w:numId w:val="2"/>
        </w:numPr>
        <w:spacing w:after="240" w:line="360" w:lineRule="auto"/>
        <w:ind w:left="1080"/>
        <w:rPr>
          <w:rFonts w:eastAsia="Calibri"/>
          <w:sz w:val="24"/>
          <w:szCs w:val="24"/>
        </w:rPr>
      </w:pPr>
      <w:r w:rsidRPr="00E843F3">
        <w:rPr>
          <w:rFonts w:eastAsia="Calibri"/>
          <w:sz w:val="24"/>
          <w:szCs w:val="24"/>
        </w:rPr>
        <w:t>Systematically takes multiple objective academic measures of pupil performance into consideration</w:t>
      </w:r>
    </w:p>
    <w:p w14:paraId="018A7D61" w14:textId="36C95219" w:rsidR="00433D90" w:rsidRPr="00E843F3" w:rsidRDefault="00433D90" w:rsidP="00433D90">
      <w:pPr>
        <w:numPr>
          <w:ilvl w:val="0"/>
          <w:numId w:val="2"/>
        </w:numPr>
        <w:spacing w:after="240" w:line="360" w:lineRule="auto"/>
        <w:ind w:left="1080"/>
        <w:rPr>
          <w:sz w:val="24"/>
          <w:szCs w:val="24"/>
        </w:rPr>
      </w:pPr>
      <w:r w:rsidRPr="00E843F3">
        <w:rPr>
          <w:rFonts w:eastAsia="Calibri"/>
          <w:sz w:val="24"/>
          <w:szCs w:val="24"/>
        </w:rPr>
        <w:t>Includes at least one placement checkpoint within the first month of the school year to ensure accurate placement and to permit reevaluation of individual student progress</w:t>
      </w:r>
    </w:p>
    <w:p w14:paraId="38F8A8A3" w14:textId="0E49351B" w:rsidR="00433D90" w:rsidRPr="001333C2" w:rsidRDefault="00433D90" w:rsidP="00433D90">
      <w:pPr>
        <w:numPr>
          <w:ilvl w:val="0"/>
          <w:numId w:val="2"/>
        </w:numPr>
        <w:spacing w:after="240" w:line="360" w:lineRule="auto"/>
        <w:ind w:left="1080"/>
        <w:rPr>
          <w:rFonts w:eastAsia="Calibri"/>
          <w:sz w:val="24"/>
          <w:szCs w:val="24"/>
        </w:rPr>
      </w:pPr>
      <w:r w:rsidRPr="001333C2">
        <w:rPr>
          <w:rFonts w:eastAsia="Calibri"/>
          <w:sz w:val="24"/>
          <w:szCs w:val="24"/>
        </w:rPr>
        <w:lastRenderedPageBreak/>
        <w:t xml:space="preserve">Requires an annual examination of pupil placement data to ensure that students are not held back in a disproportionate manner </w:t>
      </w:r>
      <w:proofErr w:type="gramStart"/>
      <w:r w:rsidRPr="001333C2">
        <w:rPr>
          <w:rFonts w:eastAsia="Calibri"/>
          <w:sz w:val="24"/>
          <w:szCs w:val="24"/>
        </w:rPr>
        <w:t>on the basis of</w:t>
      </w:r>
      <w:proofErr w:type="gramEnd"/>
      <w:r w:rsidRPr="001333C2">
        <w:rPr>
          <w:rFonts w:eastAsia="Calibri"/>
          <w:sz w:val="24"/>
          <w:szCs w:val="24"/>
        </w:rPr>
        <w:t xml:space="preserve"> their race, ethnicity, gender, or socioeconomic background</w:t>
      </w:r>
    </w:p>
    <w:p w14:paraId="366A4A1C" w14:textId="724A1506" w:rsidR="00433D90" w:rsidRPr="001333C2" w:rsidRDefault="00433D90" w:rsidP="00433D90">
      <w:pPr>
        <w:numPr>
          <w:ilvl w:val="0"/>
          <w:numId w:val="2"/>
        </w:numPr>
        <w:spacing w:after="240" w:line="360" w:lineRule="auto"/>
        <w:ind w:left="1080"/>
        <w:rPr>
          <w:sz w:val="24"/>
          <w:szCs w:val="24"/>
        </w:rPr>
      </w:pPr>
      <w:r w:rsidRPr="001333C2">
        <w:rPr>
          <w:rFonts w:eastAsia="Times New Roman"/>
          <w:sz w:val="24"/>
          <w:szCs w:val="24"/>
        </w:rPr>
        <w:t xml:space="preserve"> </w:t>
      </w:r>
      <w:r w:rsidRPr="001333C2">
        <w:rPr>
          <w:rFonts w:eastAsia="Calibri"/>
          <w:sz w:val="24"/>
          <w:szCs w:val="24"/>
        </w:rPr>
        <w:t>Requires a report on the results of the annual examination by the local educational agency to its governing board or body</w:t>
      </w:r>
    </w:p>
    <w:p w14:paraId="26A9F1C2" w14:textId="6B5AAB66" w:rsidR="00433D90" w:rsidRPr="001333C2" w:rsidRDefault="00433D90" w:rsidP="00433D90">
      <w:pPr>
        <w:numPr>
          <w:ilvl w:val="0"/>
          <w:numId w:val="2"/>
        </w:numPr>
        <w:spacing w:after="240" w:line="360" w:lineRule="auto"/>
        <w:ind w:left="1080"/>
        <w:rPr>
          <w:rFonts w:eastAsia="Calibri"/>
          <w:sz w:val="24"/>
          <w:szCs w:val="24"/>
        </w:rPr>
      </w:pPr>
      <w:r w:rsidRPr="001333C2">
        <w:rPr>
          <w:rFonts w:eastAsia="Calibri"/>
          <w:sz w:val="24"/>
          <w:szCs w:val="24"/>
        </w:rPr>
        <w:t>Offers clear and timely recourse for each pupil and his or her parent or legal guardian who questions the student’s placement</w:t>
      </w:r>
    </w:p>
    <w:p w14:paraId="7F59B5CA" w14:textId="13951E39" w:rsidR="00433D90" w:rsidRDefault="00433D90" w:rsidP="001D38B4">
      <w:pPr>
        <w:numPr>
          <w:ilvl w:val="0"/>
          <w:numId w:val="2"/>
        </w:numPr>
        <w:spacing w:after="240" w:line="360" w:lineRule="auto"/>
        <w:ind w:left="1080"/>
        <w:rPr>
          <w:rFonts w:eastAsia="Calibri"/>
          <w:sz w:val="24"/>
          <w:szCs w:val="24"/>
        </w:rPr>
      </w:pPr>
      <w:r w:rsidRPr="001333C2">
        <w:rPr>
          <w:rFonts w:eastAsia="Calibri"/>
          <w:sz w:val="24"/>
          <w:szCs w:val="24"/>
        </w:rPr>
        <w:t>For non-unified school districts, addresses the consistency of placement policies between elementary and high school districts</w:t>
      </w:r>
    </w:p>
    <w:p w14:paraId="3CDD3B96" w14:textId="4A1467E3" w:rsidR="00444777" w:rsidRPr="00CE4062" w:rsidRDefault="00444777" w:rsidP="00821124">
      <w:pPr>
        <w:spacing w:after="240" w:line="360" w:lineRule="auto"/>
        <w:rPr>
          <w:rFonts w:eastAsia="Calibri"/>
          <w:sz w:val="24"/>
          <w:szCs w:val="24"/>
        </w:rPr>
      </w:pPr>
      <w:r w:rsidRPr="00821124">
        <w:rPr>
          <w:rFonts w:eastAsia="Calibri"/>
          <w:sz w:val="24"/>
          <w:szCs w:val="24"/>
        </w:rPr>
        <w:t xml:space="preserve">By designing curriculum and teaching in ways that invite personalization and by providing open-ended tasks wherein many </w:t>
      </w:r>
      <w:proofErr w:type="gramStart"/>
      <w:r w:rsidRPr="00821124">
        <w:rPr>
          <w:rFonts w:eastAsia="Calibri"/>
          <w:sz w:val="24"/>
          <w:szCs w:val="24"/>
        </w:rPr>
        <w:t>possible approaches</w:t>
      </w:r>
      <w:proofErr w:type="gramEnd"/>
      <w:r w:rsidRPr="00821124">
        <w:rPr>
          <w:rFonts w:eastAsia="Calibri"/>
          <w:sz w:val="24"/>
          <w:szCs w:val="24"/>
        </w:rPr>
        <w:t xml:space="preserve"> enable deep learning, teachers allow more students to tackle ambitious mathematics successfully. Students who are already eager and able mathematicians will be able to excel with a stronger foundation, joined now by more of their peers who gain from greater opportunities to develop their potential.</w:t>
      </w:r>
    </w:p>
    <w:p w14:paraId="259AB3FA" w14:textId="77777777" w:rsidR="00CE4062" w:rsidRDefault="00CE4062" w:rsidP="00CE4062">
      <w:pPr>
        <w:pStyle w:val="Heading2"/>
      </w:pPr>
      <w:bookmarkStart w:id="15" w:name="_Toc135813008"/>
      <w:r>
        <w:t>Long Description for Chapter 9</w:t>
      </w:r>
      <w:bookmarkEnd w:id="15"/>
    </w:p>
    <w:p w14:paraId="3AF73831" w14:textId="317E5F76" w:rsidR="00CE4062" w:rsidRDefault="002A1650" w:rsidP="003552E9">
      <w:pPr>
        <w:pStyle w:val="Heading3"/>
      </w:pPr>
      <w:bookmarkStart w:id="16" w:name="LD3"/>
      <w:bookmarkEnd w:id="16"/>
      <w:r>
        <w:t>Figure 9.</w:t>
      </w:r>
      <w:r w:rsidR="007F37FB">
        <w:t>1</w:t>
      </w:r>
      <w:r>
        <w:t xml:space="preserve">: </w:t>
      </w:r>
      <w:r w:rsidR="00CE4062">
        <w:t>Border Problem</w:t>
      </w:r>
    </w:p>
    <w:p w14:paraId="78F3D7A8" w14:textId="49F0322D" w:rsidR="00C84820" w:rsidRDefault="00CE4062" w:rsidP="004A28E9">
      <w:pPr>
        <w:spacing w:after="240" w:line="360" w:lineRule="auto"/>
        <w:rPr>
          <w:rFonts w:eastAsia="Calibri"/>
          <w:sz w:val="24"/>
          <w:szCs w:val="24"/>
        </w:rPr>
      </w:pPr>
      <w:r w:rsidRPr="009416DA">
        <w:rPr>
          <w:rFonts w:eastAsia="Calibri"/>
          <w:sz w:val="24"/>
          <w:szCs w:val="24"/>
        </w:rPr>
        <w:t xml:space="preserve">Six rectangles include two squares each. Squares include borders comprised of various shadings. Rectangle one includes two squares shaded to indicate 10 + 10 + 8 + 8 and n + (n – 2) + n + n (n – 2). Rectangle two includes two squares shaded 10 + 9 + 9 + 8 and n + 2(n – 1) + (n – 2). Rectangle three includes two squares shaded 4 </w:t>
      </w:r>
      <w:r w:rsidR="00493351" w:rsidRPr="00493351">
        <w:rPr>
          <w:sz w:val="24"/>
          <w:szCs w:val="24"/>
        </w:rPr>
        <w:t>×</w:t>
      </w:r>
      <w:r w:rsidRPr="009416DA">
        <w:rPr>
          <w:rFonts w:eastAsia="Calibri"/>
          <w:sz w:val="24"/>
          <w:szCs w:val="24"/>
        </w:rPr>
        <w:t xml:space="preserve"> 8 + 4 and 4(n – 2) + 4. Rectangle five includes two squares shaded 9 + 9 + 9 + 9 = 9 </w:t>
      </w:r>
      <w:r w:rsidR="00493351" w:rsidRPr="00493351">
        <w:rPr>
          <w:sz w:val="24"/>
          <w:szCs w:val="24"/>
        </w:rPr>
        <w:t>×</w:t>
      </w:r>
      <w:r w:rsidRPr="009416DA">
        <w:rPr>
          <w:rFonts w:eastAsia="Calibri"/>
          <w:sz w:val="24"/>
          <w:szCs w:val="24"/>
        </w:rPr>
        <w:t xml:space="preserve"> 4 and (n – 1) </w:t>
      </w:r>
      <w:r w:rsidR="00493351" w:rsidRPr="00493351">
        <w:rPr>
          <w:sz w:val="24"/>
          <w:szCs w:val="24"/>
        </w:rPr>
        <w:t>×</w:t>
      </w:r>
      <w:r w:rsidRPr="009416DA">
        <w:rPr>
          <w:rFonts w:eastAsia="Calibri"/>
          <w:sz w:val="24"/>
          <w:szCs w:val="24"/>
        </w:rPr>
        <w:t xml:space="preserve"> 4. Rectangle five includes two squares shaded 4 </w:t>
      </w:r>
      <w:r w:rsidR="00493351" w:rsidRPr="00493351">
        <w:rPr>
          <w:sz w:val="24"/>
          <w:szCs w:val="24"/>
        </w:rPr>
        <w:t>×</w:t>
      </w:r>
      <w:r w:rsidRPr="009416DA">
        <w:rPr>
          <w:rFonts w:eastAsia="Calibri"/>
          <w:sz w:val="24"/>
          <w:szCs w:val="24"/>
        </w:rPr>
        <w:t xml:space="preserve"> 10 – 4 and 4n – 4. Rectangle six includes two squares shaded (10 </w:t>
      </w:r>
      <w:r w:rsidR="00493351" w:rsidRPr="00493351">
        <w:rPr>
          <w:sz w:val="24"/>
          <w:szCs w:val="24"/>
        </w:rPr>
        <w:t>×</w:t>
      </w:r>
      <w:r w:rsidRPr="009416DA">
        <w:rPr>
          <w:rFonts w:eastAsia="Calibri"/>
          <w:sz w:val="24"/>
          <w:szCs w:val="24"/>
        </w:rPr>
        <w:t xml:space="preserve"> 10) – (8 </w:t>
      </w:r>
      <w:r w:rsidR="00493351" w:rsidRPr="00493351">
        <w:rPr>
          <w:sz w:val="24"/>
          <w:szCs w:val="24"/>
        </w:rPr>
        <w:t>×</w:t>
      </w:r>
      <w:r w:rsidRPr="009416DA">
        <w:rPr>
          <w:rFonts w:eastAsia="Calibri"/>
          <w:sz w:val="24"/>
          <w:szCs w:val="24"/>
        </w:rPr>
        <w:t xml:space="preserve"> 8) and n squared </w:t>
      </w:r>
      <w:r w:rsidR="002A1650" w:rsidRPr="009416DA">
        <w:rPr>
          <w:rFonts w:eastAsia="Calibri"/>
          <w:sz w:val="24"/>
          <w:szCs w:val="24"/>
        </w:rPr>
        <w:t>–</w:t>
      </w:r>
      <w:r w:rsidRPr="009416DA">
        <w:rPr>
          <w:rFonts w:eastAsia="Calibri"/>
          <w:sz w:val="24"/>
          <w:szCs w:val="24"/>
        </w:rPr>
        <w:t xml:space="preserve"> (n – 2) squared.</w:t>
      </w:r>
    </w:p>
    <w:p w14:paraId="2FB00C44" w14:textId="0BD7F8F1" w:rsidR="00A31FD1" w:rsidRDefault="00D45137" w:rsidP="004A28E9">
      <w:pPr>
        <w:spacing w:after="240" w:line="360" w:lineRule="auto"/>
        <w:rPr>
          <w:rFonts w:eastAsia="Calibri"/>
          <w:sz w:val="24"/>
          <w:szCs w:val="24"/>
        </w:rPr>
      </w:pPr>
      <w:hyperlink w:anchor="Fig3" w:tooltip="Return to Figure 9.3 The Border Problem" w:history="1">
        <w:r w:rsidR="00CE4062" w:rsidRPr="009416DA">
          <w:rPr>
            <w:rStyle w:val="Hyperlink"/>
            <w:rFonts w:eastAsia="Calibri"/>
            <w:sz w:val="24"/>
            <w:szCs w:val="24"/>
          </w:rPr>
          <w:t xml:space="preserve">Return to </w:t>
        </w:r>
        <w:r w:rsidR="00493351">
          <w:rPr>
            <w:rStyle w:val="Hyperlink"/>
            <w:rFonts w:eastAsia="Calibri"/>
            <w:sz w:val="24"/>
            <w:szCs w:val="24"/>
          </w:rPr>
          <w:t>figu</w:t>
        </w:r>
        <w:r w:rsidR="00493351">
          <w:rPr>
            <w:rStyle w:val="Hyperlink"/>
            <w:rFonts w:eastAsia="Calibri"/>
            <w:sz w:val="24"/>
            <w:szCs w:val="24"/>
          </w:rPr>
          <w:t>r</w:t>
        </w:r>
        <w:r w:rsidR="00493351">
          <w:rPr>
            <w:rStyle w:val="Hyperlink"/>
            <w:rFonts w:eastAsia="Calibri"/>
            <w:sz w:val="24"/>
            <w:szCs w:val="24"/>
          </w:rPr>
          <w:t>e 9.</w:t>
        </w:r>
        <w:r w:rsidR="007F37FB">
          <w:rPr>
            <w:rStyle w:val="Hyperlink"/>
            <w:rFonts w:eastAsia="Calibri"/>
            <w:sz w:val="24"/>
            <w:szCs w:val="24"/>
          </w:rPr>
          <w:t>1</w:t>
        </w:r>
        <w:r w:rsidR="00493351">
          <w:rPr>
            <w:rStyle w:val="Hyperlink"/>
            <w:rFonts w:eastAsia="Calibri"/>
            <w:sz w:val="24"/>
            <w:szCs w:val="24"/>
          </w:rPr>
          <w:t xml:space="preserve"> </w:t>
        </w:r>
        <w:r w:rsidR="00CE4062" w:rsidRPr="009416DA">
          <w:rPr>
            <w:rStyle w:val="Hyperlink"/>
            <w:rFonts w:eastAsia="Calibri"/>
            <w:sz w:val="24"/>
            <w:szCs w:val="24"/>
          </w:rPr>
          <w:t>graphic</w:t>
        </w:r>
      </w:hyperlink>
    </w:p>
    <w:p w14:paraId="2EED8159" w14:textId="68932E96" w:rsidR="006F30B6" w:rsidRPr="001333C2" w:rsidRDefault="006F30B6" w:rsidP="006F30B6">
      <w:pPr>
        <w:suppressLineNumbers/>
        <w:spacing w:before="720" w:after="240" w:line="360" w:lineRule="auto"/>
        <w:rPr>
          <w:sz w:val="24"/>
          <w:szCs w:val="24"/>
        </w:rPr>
      </w:pPr>
      <w:r w:rsidRPr="001333C2">
        <w:rPr>
          <w:sz w:val="24"/>
          <w:szCs w:val="24"/>
        </w:rPr>
        <w:lastRenderedPageBreak/>
        <w:t xml:space="preserve">California Department of Education, </w:t>
      </w:r>
      <w:r w:rsidR="009148D1">
        <w:rPr>
          <w:sz w:val="24"/>
          <w:szCs w:val="24"/>
        </w:rPr>
        <w:t>October</w:t>
      </w:r>
      <w:r w:rsidR="00466F56">
        <w:rPr>
          <w:sz w:val="24"/>
          <w:szCs w:val="24"/>
        </w:rPr>
        <w:t xml:space="preserve"> </w:t>
      </w:r>
      <w:r>
        <w:rPr>
          <w:sz w:val="24"/>
          <w:szCs w:val="24"/>
        </w:rPr>
        <w:t>2023</w:t>
      </w:r>
    </w:p>
    <w:sectPr w:rsidR="006F30B6" w:rsidRPr="001333C2" w:rsidSect="00B471B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lnNumType w:countBy="1" w:restart="continuou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64B7E" w14:textId="77777777" w:rsidR="005128BB" w:rsidRDefault="005128BB">
      <w:pPr>
        <w:spacing w:line="240" w:lineRule="auto"/>
      </w:pPr>
      <w:r>
        <w:separator/>
      </w:r>
    </w:p>
  </w:endnote>
  <w:endnote w:type="continuationSeparator" w:id="0">
    <w:p w14:paraId="2EB6916B" w14:textId="77777777" w:rsidR="005128BB" w:rsidRDefault="005128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E8091" w14:textId="77777777" w:rsidR="00D45137" w:rsidRDefault="00D451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A1722" w14:textId="7117547C" w:rsidR="00764325" w:rsidRDefault="00764325">
    <w:pPr>
      <w:jc w:val="right"/>
    </w:pPr>
    <w:r>
      <w:fldChar w:fldCharType="begin"/>
    </w:r>
    <w:r>
      <w:instrText>PAGE</w:instrText>
    </w:r>
    <w:r>
      <w:fldChar w:fldCharType="separate"/>
    </w:r>
    <w:r>
      <w:rPr>
        <w:noProof/>
      </w:rPr>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7ADE2" w14:textId="77777777" w:rsidR="00D45137" w:rsidRDefault="00D451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E8E8E" w14:textId="77777777" w:rsidR="005128BB" w:rsidRDefault="005128BB">
      <w:pPr>
        <w:spacing w:line="240" w:lineRule="auto"/>
      </w:pPr>
      <w:r>
        <w:separator/>
      </w:r>
    </w:p>
  </w:footnote>
  <w:footnote w:type="continuationSeparator" w:id="0">
    <w:p w14:paraId="7FAB41EF" w14:textId="77777777" w:rsidR="005128BB" w:rsidRDefault="005128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7D371" w14:textId="77777777" w:rsidR="00D45137" w:rsidRDefault="00D451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01794" w14:textId="77777777" w:rsidR="00D45137" w:rsidRDefault="00D451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854C7" w14:textId="77777777" w:rsidR="00D45137" w:rsidRDefault="00D451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81DD0"/>
    <w:multiLevelType w:val="multilevel"/>
    <w:tmpl w:val="E9BC9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CC6520"/>
    <w:multiLevelType w:val="multilevel"/>
    <w:tmpl w:val="D884CFA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1E8D4EBA"/>
    <w:multiLevelType w:val="multilevel"/>
    <w:tmpl w:val="D884CFA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1EBF3F5D"/>
    <w:multiLevelType w:val="multilevel"/>
    <w:tmpl w:val="0136B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B16741"/>
    <w:multiLevelType w:val="hybridMultilevel"/>
    <w:tmpl w:val="EE5A9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E60A2E"/>
    <w:multiLevelType w:val="hybridMultilevel"/>
    <w:tmpl w:val="65B2E9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0BE6DAE"/>
    <w:multiLevelType w:val="hybridMultilevel"/>
    <w:tmpl w:val="55F62CFC"/>
    <w:lvl w:ilvl="0" w:tplc="BC26B45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8C15C68"/>
    <w:multiLevelType w:val="hybridMultilevel"/>
    <w:tmpl w:val="DC94B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8B365B"/>
    <w:multiLevelType w:val="multilevel"/>
    <w:tmpl w:val="0136B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AF4108"/>
    <w:multiLevelType w:val="hybridMultilevel"/>
    <w:tmpl w:val="49140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2672C9"/>
    <w:multiLevelType w:val="multilevel"/>
    <w:tmpl w:val="0136B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567B4F"/>
    <w:multiLevelType w:val="hybridMultilevel"/>
    <w:tmpl w:val="C54EEF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894174F"/>
    <w:multiLevelType w:val="hybridMultilevel"/>
    <w:tmpl w:val="B9D84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AE0831"/>
    <w:multiLevelType w:val="multilevel"/>
    <w:tmpl w:val="E28467F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7EE457D9"/>
    <w:multiLevelType w:val="hybridMultilevel"/>
    <w:tmpl w:val="CD68B6C6"/>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861628537">
    <w:abstractNumId w:val="2"/>
  </w:num>
  <w:num w:numId="2" w16cid:durableId="354507261">
    <w:abstractNumId w:val="13"/>
  </w:num>
  <w:num w:numId="3" w16cid:durableId="1640304186">
    <w:abstractNumId w:val="5"/>
  </w:num>
  <w:num w:numId="4" w16cid:durableId="634019493">
    <w:abstractNumId w:val="9"/>
  </w:num>
  <w:num w:numId="5" w16cid:durableId="1218590576">
    <w:abstractNumId w:val="11"/>
  </w:num>
  <w:num w:numId="6" w16cid:durableId="24865181">
    <w:abstractNumId w:val="6"/>
  </w:num>
  <w:num w:numId="7" w16cid:durableId="1466578365">
    <w:abstractNumId w:val="14"/>
  </w:num>
  <w:num w:numId="8" w16cid:durableId="28116977">
    <w:abstractNumId w:val="8"/>
  </w:num>
  <w:num w:numId="9" w16cid:durableId="1425112043">
    <w:abstractNumId w:val="3"/>
  </w:num>
  <w:num w:numId="10" w16cid:durableId="166868428">
    <w:abstractNumId w:val="10"/>
  </w:num>
  <w:num w:numId="11" w16cid:durableId="1040591393">
    <w:abstractNumId w:val="0"/>
  </w:num>
  <w:num w:numId="12" w16cid:durableId="1546017759">
    <w:abstractNumId w:val="12"/>
  </w:num>
  <w:num w:numId="13" w16cid:durableId="2019234841">
    <w:abstractNumId w:val="7"/>
  </w:num>
  <w:num w:numId="14" w16cid:durableId="1259093242">
    <w:abstractNumId w:val="4"/>
  </w:num>
  <w:num w:numId="15" w16cid:durableId="1180850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removePersonalInformation/>
  <w:removeDateAndTime/>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E75"/>
    <w:rsid w:val="00000082"/>
    <w:rsid w:val="000010B4"/>
    <w:rsid w:val="0000206E"/>
    <w:rsid w:val="00003E14"/>
    <w:rsid w:val="00015BBB"/>
    <w:rsid w:val="0002471A"/>
    <w:rsid w:val="00031B9F"/>
    <w:rsid w:val="00032F42"/>
    <w:rsid w:val="00034D5D"/>
    <w:rsid w:val="000413D3"/>
    <w:rsid w:val="00047975"/>
    <w:rsid w:val="00050B55"/>
    <w:rsid w:val="00051034"/>
    <w:rsid w:val="00053120"/>
    <w:rsid w:val="000540A5"/>
    <w:rsid w:val="00054268"/>
    <w:rsid w:val="00054296"/>
    <w:rsid w:val="00061B2E"/>
    <w:rsid w:val="000627B1"/>
    <w:rsid w:val="00074B8C"/>
    <w:rsid w:val="00075C1E"/>
    <w:rsid w:val="00077D69"/>
    <w:rsid w:val="00084F0C"/>
    <w:rsid w:val="00085950"/>
    <w:rsid w:val="000957AC"/>
    <w:rsid w:val="000A33C7"/>
    <w:rsid w:val="000A42F4"/>
    <w:rsid w:val="000B4DE9"/>
    <w:rsid w:val="000B769E"/>
    <w:rsid w:val="000B79A7"/>
    <w:rsid w:val="000C1640"/>
    <w:rsid w:val="000C45A2"/>
    <w:rsid w:val="000C76EE"/>
    <w:rsid w:val="000D0959"/>
    <w:rsid w:val="000D09AF"/>
    <w:rsid w:val="000D0D76"/>
    <w:rsid w:val="000D2544"/>
    <w:rsid w:val="000D3329"/>
    <w:rsid w:val="000E02BD"/>
    <w:rsid w:val="000E35FB"/>
    <w:rsid w:val="000F1F6B"/>
    <w:rsid w:val="00104314"/>
    <w:rsid w:val="00107356"/>
    <w:rsid w:val="0011622F"/>
    <w:rsid w:val="0012067F"/>
    <w:rsid w:val="0012416E"/>
    <w:rsid w:val="00124306"/>
    <w:rsid w:val="0012471A"/>
    <w:rsid w:val="00125E30"/>
    <w:rsid w:val="001333C2"/>
    <w:rsid w:val="001358FB"/>
    <w:rsid w:val="00142070"/>
    <w:rsid w:val="001439B5"/>
    <w:rsid w:val="001440C9"/>
    <w:rsid w:val="00144B91"/>
    <w:rsid w:val="00150327"/>
    <w:rsid w:val="00151475"/>
    <w:rsid w:val="00151868"/>
    <w:rsid w:val="00153CE6"/>
    <w:rsid w:val="001563BC"/>
    <w:rsid w:val="0016071F"/>
    <w:rsid w:val="00161993"/>
    <w:rsid w:val="00163FA1"/>
    <w:rsid w:val="00166283"/>
    <w:rsid w:val="001716E7"/>
    <w:rsid w:val="00182181"/>
    <w:rsid w:val="00187A10"/>
    <w:rsid w:val="00197940"/>
    <w:rsid w:val="001A1F42"/>
    <w:rsid w:val="001A357B"/>
    <w:rsid w:val="001A5D4C"/>
    <w:rsid w:val="001A6925"/>
    <w:rsid w:val="001A7307"/>
    <w:rsid w:val="001B21CC"/>
    <w:rsid w:val="001C392A"/>
    <w:rsid w:val="001C42D4"/>
    <w:rsid w:val="001C48E8"/>
    <w:rsid w:val="001C6201"/>
    <w:rsid w:val="001D38B4"/>
    <w:rsid w:val="001D4C23"/>
    <w:rsid w:val="001D62A2"/>
    <w:rsid w:val="001E5621"/>
    <w:rsid w:val="001E5FFF"/>
    <w:rsid w:val="001F05DA"/>
    <w:rsid w:val="001F1C44"/>
    <w:rsid w:val="0020262C"/>
    <w:rsid w:val="00210815"/>
    <w:rsid w:val="00210F24"/>
    <w:rsid w:val="00211805"/>
    <w:rsid w:val="0023471E"/>
    <w:rsid w:val="00235AAD"/>
    <w:rsid w:val="0023763D"/>
    <w:rsid w:val="002472F6"/>
    <w:rsid w:val="002544C1"/>
    <w:rsid w:val="00257E32"/>
    <w:rsid w:val="00260BF1"/>
    <w:rsid w:val="00264041"/>
    <w:rsid w:val="00266953"/>
    <w:rsid w:val="00266A70"/>
    <w:rsid w:val="0027004D"/>
    <w:rsid w:val="00270299"/>
    <w:rsid w:val="0027106E"/>
    <w:rsid w:val="002821A3"/>
    <w:rsid w:val="002834E9"/>
    <w:rsid w:val="00284D4E"/>
    <w:rsid w:val="00294E15"/>
    <w:rsid w:val="00296E37"/>
    <w:rsid w:val="002A1650"/>
    <w:rsid w:val="002A3805"/>
    <w:rsid w:val="002A644F"/>
    <w:rsid w:val="002A722A"/>
    <w:rsid w:val="002B1184"/>
    <w:rsid w:val="002B30A5"/>
    <w:rsid w:val="002B3C39"/>
    <w:rsid w:val="002B3FC9"/>
    <w:rsid w:val="002C6A83"/>
    <w:rsid w:val="002D06E9"/>
    <w:rsid w:val="002D5120"/>
    <w:rsid w:val="002D51F9"/>
    <w:rsid w:val="002D5D74"/>
    <w:rsid w:val="002D7144"/>
    <w:rsid w:val="002E0C0C"/>
    <w:rsid w:val="002E143C"/>
    <w:rsid w:val="002E5899"/>
    <w:rsid w:val="00300F1B"/>
    <w:rsid w:val="003020A8"/>
    <w:rsid w:val="003104FD"/>
    <w:rsid w:val="00315C59"/>
    <w:rsid w:val="00322500"/>
    <w:rsid w:val="003238A5"/>
    <w:rsid w:val="00324768"/>
    <w:rsid w:val="00324C0A"/>
    <w:rsid w:val="00324D7A"/>
    <w:rsid w:val="003317A8"/>
    <w:rsid w:val="003360DF"/>
    <w:rsid w:val="00340B9F"/>
    <w:rsid w:val="00342F51"/>
    <w:rsid w:val="00345AB7"/>
    <w:rsid w:val="003462FB"/>
    <w:rsid w:val="00347E3B"/>
    <w:rsid w:val="00350FC4"/>
    <w:rsid w:val="003552E9"/>
    <w:rsid w:val="00363BA4"/>
    <w:rsid w:val="00364264"/>
    <w:rsid w:val="003649E4"/>
    <w:rsid w:val="00364CFF"/>
    <w:rsid w:val="00365FAA"/>
    <w:rsid w:val="00366209"/>
    <w:rsid w:val="00370D63"/>
    <w:rsid w:val="003807BE"/>
    <w:rsid w:val="00381284"/>
    <w:rsid w:val="00392F99"/>
    <w:rsid w:val="003976F9"/>
    <w:rsid w:val="003A466B"/>
    <w:rsid w:val="003B0E98"/>
    <w:rsid w:val="003B6402"/>
    <w:rsid w:val="003C2D6A"/>
    <w:rsid w:val="003C50D6"/>
    <w:rsid w:val="003D1C4D"/>
    <w:rsid w:val="003D3C8F"/>
    <w:rsid w:val="003D7275"/>
    <w:rsid w:val="003D7B9A"/>
    <w:rsid w:val="003E3CED"/>
    <w:rsid w:val="003E41C7"/>
    <w:rsid w:val="003E619A"/>
    <w:rsid w:val="003E762C"/>
    <w:rsid w:val="003F03DF"/>
    <w:rsid w:val="003F0CAB"/>
    <w:rsid w:val="003F7829"/>
    <w:rsid w:val="004003F2"/>
    <w:rsid w:val="004004E1"/>
    <w:rsid w:val="00403612"/>
    <w:rsid w:val="00405342"/>
    <w:rsid w:val="00405CC5"/>
    <w:rsid w:val="004121DE"/>
    <w:rsid w:val="0041736C"/>
    <w:rsid w:val="0042653B"/>
    <w:rsid w:val="0043118D"/>
    <w:rsid w:val="0043202A"/>
    <w:rsid w:val="004323F2"/>
    <w:rsid w:val="00433547"/>
    <w:rsid w:val="00433D90"/>
    <w:rsid w:val="00437E3F"/>
    <w:rsid w:val="004406B1"/>
    <w:rsid w:val="00441C0C"/>
    <w:rsid w:val="00444777"/>
    <w:rsid w:val="00446D29"/>
    <w:rsid w:val="00452F72"/>
    <w:rsid w:val="004548B5"/>
    <w:rsid w:val="0045512E"/>
    <w:rsid w:val="00457187"/>
    <w:rsid w:val="00463614"/>
    <w:rsid w:val="004637A2"/>
    <w:rsid w:val="00466F56"/>
    <w:rsid w:val="00477602"/>
    <w:rsid w:val="004841DC"/>
    <w:rsid w:val="0048420A"/>
    <w:rsid w:val="00485FDF"/>
    <w:rsid w:val="0048602D"/>
    <w:rsid w:val="004869EB"/>
    <w:rsid w:val="00486F61"/>
    <w:rsid w:val="00490DC4"/>
    <w:rsid w:val="00493351"/>
    <w:rsid w:val="004A1239"/>
    <w:rsid w:val="004A28E9"/>
    <w:rsid w:val="004C52EE"/>
    <w:rsid w:val="004C7ADB"/>
    <w:rsid w:val="004D03B0"/>
    <w:rsid w:val="004D2823"/>
    <w:rsid w:val="004D395C"/>
    <w:rsid w:val="004D4BCF"/>
    <w:rsid w:val="004D6C8D"/>
    <w:rsid w:val="004D7ACD"/>
    <w:rsid w:val="004D7D3B"/>
    <w:rsid w:val="004E1A9E"/>
    <w:rsid w:val="004E4F21"/>
    <w:rsid w:val="004E4FBE"/>
    <w:rsid w:val="004E7FAC"/>
    <w:rsid w:val="004F13F9"/>
    <w:rsid w:val="004F6191"/>
    <w:rsid w:val="005034D7"/>
    <w:rsid w:val="00506249"/>
    <w:rsid w:val="00511B12"/>
    <w:rsid w:val="005128BB"/>
    <w:rsid w:val="005236AF"/>
    <w:rsid w:val="0053326E"/>
    <w:rsid w:val="00541B90"/>
    <w:rsid w:val="00541E3F"/>
    <w:rsid w:val="00544A77"/>
    <w:rsid w:val="005543DF"/>
    <w:rsid w:val="0055579D"/>
    <w:rsid w:val="00560D07"/>
    <w:rsid w:val="00573658"/>
    <w:rsid w:val="00574289"/>
    <w:rsid w:val="005765F1"/>
    <w:rsid w:val="0057667F"/>
    <w:rsid w:val="00580223"/>
    <w:rsid w:val="0058048A"/>
    <w:rsid w:val="00580569"/>
    <w:rsid w:val="0058124F"/>
    <w:rsid w:val="005849F9"/>
    <w:rsid w:val="00585AC3"/>
    <w:rsid w:val="0058711E"/>
    <w:rsid w:val="005915FD"/>
    <w:rsid w:val="005931B8"/>
    <w:rsid w:val="00595039"/>
    <w:rsid w:val="00595686"/>
    <w:rsid w:val="0059611D"/>
    <w:rsid w:val="00596FBE"/>
    <w:rsid w:val="00596FD5"/>
    <w:rsid w:val="0059762D"/>
    <w:rsid w:val="005A2C10"/>
    <w:rsid w:val="005A2DF4"/>
    <w:rsid w:val="005A64B4"/>
    <w:rsid w:val="005A7CE5"/>
    <w:rsid w:val="005B1049"/>
    <w:rsid w:val="005B3DE0"/>
    <w:rsid w:val="005C0169"/>
    <w:rsid w:val="005C0F8A"/>
    <w:rsid w:val="005C1B93"/>
    <w:rsid w:val="005D5E75"/>
    <w:rsid w:val="005D658C"/>
    <w:rsid w:val="005D6A34"/>
    <w:rsid w:val="005F0AD5"/>
    <w:rsid w:val="005F5107"/>
    <w:rsid w:val="005F56EF"/>
    <w:rsid w:val="005F6B04"/>
    <w:rsid w:val="006001AF"/>
    <w:rsid w:val="00607B17"/>
    <w:rsid w:val="0061258F"/>
    <w:rsid w:val="00614443"/>
    <w:rsid w:val="00615537"/>
    <w:rsid w:val="00616CD8"/>
    <w:rsid w:val="00625D36"/>
    <w:rsid w:val="00625F8D"/>
    <w:rsid w:val="0063211D"/>
    <w:rsid w:val="006326D1"/>
    <w:rsid w:val="006338A5"/>
    <w:rsid w:val="00634A17"/>
    <w:rsid w:val="00641517"/>
    <w:rsid w:val="00642061"/>
    <w:rsid w:val="006473F7"/>
    <w:rsid w:val="0064755B"/>
    <w:rsid w:val="00660ADC"/>
    <w:rsid w:val="00665321"/>
    <w:rsid w:val="00670157"/>
    <w:rsid w:val="00672F05"/>
    <w:rsid w:val="00672FA2"/>
    <w:rsid w:val="0067311A"/>
    <w:rsid w:val="00685EDA"/>
    <w:rsid w:val="006878F6"/>
    <w:rsid w:val="00687DBF"/>
    <w:rsid w:val="00687E28"/>
    <w:rsid w:val="00696EEF"/>
    <w:rsid w:val="006A08DC"/>
    <w:rsid w:val="006B09BC"/>
    <w:rsid w:val="006B10C5"/>
    <w:rsid w:val="006B21CF"/>
    <w:rsid w:val="006C05B5"/>
    <w:rsid w:val="006C076C"/>
    <w:rsid w:val="006C178B"/>
    <w:rsid w:val="006C28B8"/>
    <w:rsid w:val="006C32A1"/>
    <w:rsid w:val="006C599A"/>
    <w:rsid w:val="006C638B"/>
    <w:rsid w:val="006C639D"/>
    <w:rsid w:val="006D017F"/>
    <w:rsid w:val="006D12CC"/>
    <w:rsid w:val="006D50EF"/>
    <w:rsid w:val="006E32BB"/>
    <w:rsid w:val="006F2D6E"/>
    <w:rsid w:val="006F30B6"/>
    <w:rsid w:val="006F32B0"/>
    <w:rsid w:val="00701F7E"/>
    <w:rsid w:val="0070339F"/>
    <w:rsid w:val="00703672"/>
    <w:rsid w:val="00720552"/>
    <w:rsid w:val="007232EE"/>
    <w:rsid w:val="00724CC0"/>
    <w:rsid w:val="00730616"/>
    <w:rsid w:val="0073282F"/>
    <w:rsid w:val="007409DA"/>
    <w:rsid w:val="00743551"/>
    <w:rsid w:val="007441AB"/>
    <w:rsid w:val="0074686E"/>
    <w:rsid w:val="00747A0A"/>
    <w:rsid w:val="0075355C"/>
    <w:rsid w:val="007535F2"/>
    <w:rsid w:val="00756E2F"/>
    <w:rsid w:val="00763C8F"/>
    <w:rsid w:val="00763F54"/>
    <w:rsid w:val="00764325"/>
    <w:rsid w:val="007671B3"/>
    <w:rsid w:val="007728D0"/>
    <w:rsid w:val="00773E95"/>
    <w:rsid w:val="00774BD3"/>
    <w:rsid w:val="007768D8"/>
    <w:rsid w:val="00782673"/>
    <w:rsid w:val="00786238"/>
    <w:rsid w:val="0078750B"/>
    <w:rsid w:val="00787CC5"/>
    <w:rsid w:val="007924BC"/>
    <w:rsid w:val="00794406"/>
    <w:rsid w:val="007946EB"/>
    <w:rsid w:val="007972EF"/>
    <w:rsid w:val="007B24E1"/>
    <w:rsid w:val="007B402A"/>
    <w:rsid w:val="007B5920"/>
    <w:rsid w:val="007B63FC"/>
    <w:rsid w:val="007C18F7"/>
    <w:rsid w:val="007D1964"/>
    <w:rsid w:val="007D465B"/>
    <w:rsid w:val="007E1B51"/>
    <w:rsid w:val="007E2DEA"/>
    <w:rsid w:val="007F37FB"/>
    <w:rsid w:val="007F3C57"/>
    <w:rsid w:val="007F5153"/>
    <w:rsid w:val="007F530B"/>
    <w:rsid w:val="007F6C52"/>
    <w:rsid w:val="00806E71"/>
    <w:rsid w:val="0081288B"/>
    <w:rsid w:val="00814712"/>
    <w:rsid w:val="00814ACE"/>
    <w:rsid w:val="00820F24"/>
    <w:rsid w:val="00821124"/>
    <w:rsid w:val="008226C1"/>
    <w:rsid w:val="00823026"/>
    <w:rsid w:val="00831028"/>
    <w:rsid w:val="00833CC7"/>
    <w:rsid w:val="0083408E"/>
    <w:rsid w:val="008409B4"/>
    <w:rsid w:val="0084153E"/>
    <w:rsid w:val="00845564"/>
    <w:rsid w:val="008459DF"/>
    <w:rsid w:val="0085032E"/>
    <w:rsid w:val="00852979"/>
    <w:rsid w:val="00852DDA"/>
    <w:rsid w:val="00853FF2"/>
    <w:rsid w:val="008544AF"/>
    <w:rsid w:val="00861A33"/>
    <w:rsid w:val="00862485"/>
    <w:rsid w:val="008636E8"/>
    <w:rsid w:val="00866ECA"/>
    <w:rsid w:val="00867C15"/>
    <w:rsid w:val="00870AF3"/>
    <w:rsid w:val="008749F2"/>
    <w:rsid w:val="00876732"/>
    <w:rsid w:val="00877664"/>
    <w:rsid w:val="008778DD"/>
    <w:rsid w:val="00887EC3"/>
    <w:rsid w:val="008914C4"/>
    <w:rsid w:val="00897B93"/>
    <w:rsid w:val="008A021E"/>
    <w:rsid w:val="008A634F"/>
    <w:rsid w:val="008B04B6"/>
    <w:rsid w:val="008B244E"/>
    <w:rsid w:val="008B50CD"/>
    <w:rsid w:val="008B5C3E"/>
    <w:rsid w:val="008C096B"/>
    <w:rsid w:val="008C2857"/>
    <w:rsid w:val="008C2F39"/>
    <w:rsid w:val="008C624B"/>
    <w:rsid w:val="008C69D0"/>
    <w:rsid w:val="008D5092"/>
    <w:rsid w:val="008D52AA"/>
    <w:rsid w:val="008D5B9D"/>
    <w:rsid w:val="008D7B00"/>
    <w:rsid w:val="008F2C83"/>
    <w:rsid w:val="00900AE5"/>
    <w:rsid w:val="009023B9"/>
    <w:rsid w:val="0090554A"/>
    <w:rsid w:val="00913A0D"/>
    <w:rsid w:val="009148D1"/>
    <w:rsid w:val="00916E37"/>
    <w:rsid w:val="00924C9A"/>
    <w:rsid w:val="00926BFB"/>
    <w:rsid w:val="00927E98"/>
    <w:rsid w:val="009311F7"/>
    <w:rsid w:val="009416DA"/>
    <w:rsid w:val="0095368D"/>
    <w:rsid w:val="00954949"/>
    <w:rsid w:val="00954AA3"/>
    <w:rsid w:val="00955683"/>
    <w:rsid w:val="00964D04"/>
    <w:rsid w:val="00966947"/>
    <w:rsid w:val="00967042"/>
    <w:rsid w:val="0096771F"/>
    <w:rsid w:val="00971BE4"/>
    <w:rsid w:val="009726BE"/>
    <w:rsid w:val="0097296B"/>
    <w:rsid w:val="00974D47"/>
    <w:rsid w:val="00975658"/>
    <w:rsid w:val="009762BA"/>
    <w:rsid w:val="00980085"/>
    <w:rsid w:val="00980415"/>
    <w:rsid w:val="0098308C"/>
    <w:rsid w:val="009840C1"/>
    <w:rsid w:val="00987389"/>
    <w:rsid w:val="009903CF"/>
    <w:rsid w:val="009973A9"/>
    <w:rsid w:val="009A09EE"/>
    <w:rsid w:val="009A424C"/>
    <w:rsid w:val="009A783D"/>
    <w:rsid w:val="009B123B"/>
    <w:rsid w:val="009B39FC"/>
    <w:rsid w:val="009C6B86"/>
    <w:rsid w:val="009D069F"/>
    <w:rsid w:val="009D5A78"/>
    <w:rsid w:val="009E4314"/>
    <w:rsid w:val="009E7BD3"/>
    <w:rsid w:val="009F0611"/>
    <w:rsid w:val="009F1E05"/>
    <w:rsid w:val="009F50BC"/>
    <w:rsid w:val="009F5D28"/>
    <w:rsid w:val="009F71D3"/>
    <w:rsid w:val="00A010BB"/>
    <w:rsid w:val="00A01A71"/>
    <w:rsid w:val="00A026D4"/>
    <w:rsid w:val="00A05BE7"/>
    <w:rsid w:val="00A07565"/>
    <w:rsid w:val="00A11F0C"/>
    <w:rsid w:val="00A128A3"/>
    <w:rsid w:val="00A17EFE"/>
    <w:rsid w:val="00A20D25"/>
    <w:rsid w:val="00A23B9C"/>
    <w:rsid w:val="00A24AF6"/>
    <w:rsid w:val="00A25512"/>
    <w:rsid w:val="00A25F3D"/>
    <w:rsid w:val="00A27B67"/>
    <w:rsid w:val="00A31FD1"/>
    <w:rsid w:val="00A35A16"/>
    <w:rsid w:val="00A411A4"/>
    <w:rsid w:val="00A429B4"/>
    <w:rsid w:val="00A4341F"/>
    <w:rsid w:val="00A44977"/>
    <w:rsid w:val="00A45945"/>
    <w:rsid w:val="00A5067E"/>
    <w:rsid w:val="00A529D4"/>
    <w:rsid w:val="00A5B03E"/>
    <w:rsid w:val="00A60D45"/>
    <w:rsid w:val="00A66C7F"/>
    <w:rsid w:val="00A679F8"/>
    <w:rsid w:val="00A7233F"/>
    <w:rsid w:val="00A76B65"/>
    <w:rsid w:val="00A84CD9"/>
    <w:rsid w:val="00A8550A"/>
    <w:rsid w:val="00A944ED"/>
    <w:rsid w:val="00AA2863"/>
    <w:rsid w:val="00AA4721"/>
    <w:rsid w:val="00AA514C"/>
    <w:rsid w:val="00AB05B6"/>
    <w:rsid w:val="00AB10AD"/>
    <w:rsid w:val="00AB153E"/>
    <w:rsid w:val="00AB40E7"/>
    <w:rsid w:val="00AB4CA9"/>
    <w:rsid w:val="00AB4F31"/>
    <w:rsid w:val="00AB7696"/>
    <w:rsid w:val="00AB7AC0"/>
    <w:rsid w:val="00AC000E"/>
    <w:rsid w:val="00AC0FF1"/>
    <w:rsid w:val="00AC10C3"/>
    <w:rsid w:val="00AC5D41"/>
    <w:rsid w:val="00AC6652"/>
    <w:rsid w:val="00AD0C5B"/>
    <w:rsid w:val="00AD2B9F"/>
    <w:rsid w:val="00AD7B7E"/>
    <w:rsid w:val="00AD7F76"/>
    <w:rsid w:val="00AE11AB"/>
    <w:rsid w:val="00AF33A5"/>
    <w:rsid w:val="00AF38EF"/>
    <w:rsid w:val="00AF4560"/>
    <w:rsid w:val="00B000FF"/>
    <w:rsid w:val="00B035C3"/>
    <w:rsid w:val="00B1283B"/>
    <w:rsid w:val="00B20D6E"/>
    <w:rsid w:val="00B26A1A"/>
    <w:rsid w:val="00B4253A"/>
    <w:rsid w:val="00B45F63"/>
    <w:rsid w:val="00B471BA"/>
    <w:rsid w:val="00B53349"/>
    <w:rsid w:val="00B564D6"/>
    <w:rsid w:val="00B57A46"/>
    <w:rsid w:val="00B60453"/>
    <w:rsid w:val="00B64BA1"/>
    <w:rsid w:val="00B65E4B"/>
    <w:rsid w:val="00B73393"/>
    <w:rsid w:val="00B75FF1"/>
    <w:rsid w:val="00B77EF7"/>
    <w:rsid w:val="00B806E0"/>
    <w:rsid w:val="00B86B0B"/>
    <w:rsid w:val="00B911A0"/>
    <w:rsid w:val="00B94B5C"/>
    <w:rsid w:val="00B9637D"/>
    <w:rsid w:val="00B96B6F"/>
    <w:rsid w:val="00BA2149"/>
    <w:rsid w:val="00BA3C9A"/>
    <w:rsid w:val="00BB4E51"/>
    <w:rsid w:val="00BB6FB9"/>
    <w:rsid w:val="00BB7032"/>
    <w:rsid w:val="00BC4331"/>
    <w:rsid w:val="00BC4D46"/>
    <w:rsid w:val="00BC5D47"/>
    <w:rsid w:val="00BC6EDC"/>
    <w:rsid w:val="00BD225C"/>
    <w:rsid w:val="00BD2BE0"/>
    <w:rsid w:val="00BD3186"/>
    <w:rsid w:val="00BE5E4C"/>
    <w:rsid w:val="00BF4680"/>
    <w:rsid w:val="00BF7202"/>
    <w:rsid w:val="00C00FD9"/>
    <w:rsid w:val="00C02B8B"/>
    <w:rsid w:val="00C0540F"/>
    <w:rsid w:val="00C12B32"/>
    <w:rsid w:val="00C1427D"/>
    <w:rsid w:val="00C20072"/>
    <w:rsid w:val="00C21265"/>
    <w:rsid w:val="00C27DB9"/>
    <w:rsid w:val="00C3381A"/>
    <w:rsid w:val="00C350C7"/>
    <w:rsid w:val="00C35B33"/>
    <w:rsid w:val="00C4062A"/>
    <w:rsid w:val="00C438EB"/>
    <w:rsid w:val="00C43C1D"/>
    <w:rsid w:val="00C520E2"/>
    <w:rsid w:val="00C565F2"/>
    <w:rsid w:val="00C6169A"/>
    <w:rsid w:val="00C64130"/>
    <w:rsid w:val="00C70D5C"/>
    <w:rsid w:val="00C72126"/>
    <w:rsid w:val="00C7C0CC"/>
    <w:rsid w:val="00C82EA9"/>
    <w:rsid w:val="00C84820"/>
    <w:rsid w:val="00C849B5"/>
    <w:rsid w:val="00C86579"/>
    <w:rsid w:val="00C86880"/>
    <w:rsid w:val="00C86B93"/>
    <w:rsid w:val="00C92B47"/>
    <w:rsid w:val="00CA0599"/>
    <w:rsid w:val="00CA2578"/>
    <w:rsid w:val="00CA41B2"/>
    <w:rsid w:val="00CA662A"/>
    <w:rsid w:val="00CA7CEA"/>
    <w:rsid w:val="00CC0C90"/>
    <w:rsid w:val="00CD4831"/>
    <w:rsid w:val="00CE05F7"/>
    <w:rsid w:val="00CE0916"/>
    <w:rsid w:val="00CE4062"/>
    <w:rsid w:val="00D03EC1"/>
    <w:rsid w:val="00D044C7"/>
    <w:rsid w:val="00D101AD"/>
    <w:rsid w:val="00D109BB"/>
    <w:rsid w:val="00D1288C"/>
    <w:rsid w:val="00D15724"/>
    <w:rsid w:val="00D16FC4"/>
    <w:rsid w:val="00D175C6"/>
    <w:rsid w:val="00D39658"/>
    <w:rsid w:val="00D41A7E"/>
    <w:rsid w:val="00D41D51"/>
    <w:rsid w:val="00D43805"/>
    <w:rsid w:val="00D4401E"/>
    <w:rsid w:val="00D45137"/>
    <w:rsid w:val="00D45D76"/>
    <w:rsid w:val="00D50BA0"/>
    <w:rsid w:val="00D52CE8"/>
    <w:rsid w:val="00D56AD6"/>
    <w:rsid w:val="00D623AB"/>
    <w:rsid w:val="00D63995"/>
    <w:rsid w:val="00D651ED"/>
    <w:rsid w:val="00D657C0"/>
    <w:rsid w:val="00D74C59"/>
    <w:rsid w:val="00D767A0"/>
    <w:rsid w:val="00D814A1"/>
    <w:rsid w:val="00D826F3"/>
    <w:rsid w:val="00D846FE"/>
    <w:rsid w:val="00D865B6"/>
    <w:rsid w:val="00D904B0"/>
    <w:rsid w:val="00D947E8"/>
    <w:rsid w:val="00DA26FB"/>
    <w:rsid w:val="00DB00BD"/>
    <w:rsid w:val="00DB2EE2"/>
    <w:rsid w:val="00DB3D77"/>
    <w:rsid w:val="00DB562B"/>
    <w:rsid w:val="00DB7378"/>
    <w:rsid w:val="00DB7B4A"/>
    <w:rsid w:val="00DC3652"/>
    <w:rsid w:val="00DC38C0"/>
    <w:rsid w:val="00DC3CE9"/>
    <w:rsid w:val="00DC4390"/>
    <w:rsid w:val="00DC43CC"/>
    <w:rsid w:val="00DC4668"/>
    <w:rsid w:val="00DC6A5F"/>
    <w:rsid w:val="00DC7BB2"/>
    <w:rsid w:val="00DD2507"/>
    <w:rsid w:val="00DD2D4B"/>
    <w:rsid w:val="00DD6D4A"/>
    <w:rsid w:val="00DE1516"/>
    <w:rsid w:val="00DE1751"/>
    <w:rsid w:val="00DE1E56"/>
    <w:rsid w:val="00DE1E9F"/>
    <w:rsid w:val="00DE20FF"/>
    <w:rsid w:val="00DE3863"/>
    <w:rsid w:val="00DE4991"/>
    <w:rsid w:val="00DF0B73"/>
    <w:rsid w:val="00DF4A75"/>
    <w:rsid w:val="00E00F9C"/>
    <w:rsid w:val="00E04449"/>
    <w:rsid w:val="00E1090F"/>
    <w:rsid w:val="00E12CFF"/>
    <w:rsid w:val="00E13EB5"/>
    <w:rsid w:val="00E15A3A"/>
    <w:rsid w:val="00E224F2"/>
    <w:rsid w:val="00E23898"/>
    <w:rsid w:val="00E2410C"/>
    <w:rsid w:val="00E255B0"/>
    <w:rsid w:val="00E33DC6"/>
    <w:rsid w:val="00E368E4"/>
    <w:rsid w:val="00E368F0"/>
    <w:rsid w:val="00E402CD"/>
    <w:rsid w:val="00E425F1"/>
    <w:rsid w:val="00E4334F"/>
    <w:rsid w:val="00E501F5"/>
    <w:rsid w:val="00E51B2D"/>
    <w:rsid w:val="00E53479"/>
    <w:rsid w:val="00E573B0"/>
    <w:rsid w:val="00E611DD"/>
    <w:rsid w:val="00E62605"/>
    <w:rsid w:val="00E6378F"/>
    <w:rsid w:val="00E63A54"/>
    <w:rsid w:val="00E6587E"/>
    <w:rsid w:val="00E727C2"/>
    <w:rsid w:val="00E746FF"/>
    <w:rsid w:val="00E804E9"/>
    <w:rsid w:val="00E81BE4"/>
    <w:rsid w:val="00E843F3"/>
    <w:rsid w:val="00E8607C"/>
    <w:rsid w:val="00E92F22"/>
    <w:rsid w:val="00E9397F"/>
    <w:rsid w:val="00EA36ED"/>
    <w:rsid w:val="00EA7B01"/>
    <w:rsid w:val="00EB26C5"/>
    <w:rsid w:val="00EB5422"/>
    <w:rsid w:val="00EB6404"/>
    <w:rsid w:val="00EB64C3"/>
    <w:rsid w:val="00EC55B7"/>
    <w:rsid w:val="00ED2137"/>
    <w:rsid w:val="00ED3736"/>
    <w:rsid w:val="00ED7A03"/>
    <w:rsid w:val="00EE17D5"/>
    <w:rsid w:val="00EE22DE"/>
    <w:rsid w:val="00EF10CC"/>
    <w:rsid w:val="00EF2D5B"/>
    <w:rsid w:val="00EF6586"/>
    <w:rsid w:val="00EF661E"/>
    <w:rsid w:val="00F001F4"/>
    <w:rsid w:val="00F03EFF"/>
    <w:rsid w:val="00F073DE"/>
    <w:rsid w:val="00F11FAB"/>
    <w:rsid w:val="00F17CF9"/>
    <w:rsid w:val="00F413E8"/>
    <w:rsid w:val="00F548E9"/>
    <w:rsid w:val="00F54C67"/>
    <w:rsid w:val="00F608C0"/>
    <w:rsid w:val="00F65352"/>
    <w:rsid w:val="00F66504"/>
    <w:rsid w:val="00F66871"/>
    <w:rsid w:val="00F71ACD"/>
    <w:rsid w:val="00F71BDA"/>
    <w:rsid w:val="00F75296"/>
    <w:rsid w:val="00F76F79"/>
    <w:rsid w:val="00F86664"/>
    <w:rsid w:val="00F92E25"/>
    <w:rsid w:val="00F95E53"/>
    <w:rsid w:val="00F97AD1"/>
    <w:rsid w:val="00FA2E72"/>
    <w:rsid w:val="00FA3EA8"/>
    <w:rsid w:val="00FB06D8"/>
    <w:rsid w:val="00FB1396"/>
    <w:rsid w:val="00FB3E5B"/>
    <w:rsid w:val="00FC4446"/>
    <w:rsid w:val="00FC48E0"/>
    <w:rsid w:val="00FC4E18"/>
    <w:rsid w:val="00FC6427"/>
    <w:rsid w:val="00FC67C4"/>
    <w:rsid w:val="00FD15DB"/>
    <w:rsid w:val="00FD3667"/>
    <w:rsid w:val="00FE1DDC"/>
    <w:rsid w:val="00FE4B67"/>
    <w:rsid w:val="00FF1A32"/>
    <w:rsid w:val="00FF2697"/>
    <w:rsid w:val="00FF5147"/>
    <w:rsid w:val="00FF6076"/>
    <w:rsid w:val="00FF6253"/>
    <w:rsid w:val="0137273F"/>
    <w:rsid w:val="01447DC5"/>
    <w:rsid w:val="01654B94"/>
    <w:rsid w:val="01BF907E"/>
    <w:rsid w:val="01EA562C"/>
    <w:rsid w:val="02191B5C"/>
    <w:rsid w:val="022D5DAC"/>
    <w:rsid w:val="026A6685"/>
    <w:rsid w:val="028410BF"/>
    <w:rsid w:val="02C1F56F"/>
    <w:rsid w:val="034EE2A2"/>
    <w:rsid w:val="03582D5C"/>
    <w:rsid w:val="0386D9DB"/>
    <w:rsid w:val="03E97680"/>
    <w:rsid w:val="0440E987"/>
    <w:rsid w:val="0470AC0A"/>
    <w:rsid w:val="04836D67"/>
    <w:rsid w:val="04A573A1"/>
    <w:rsid w:val="04BCEC50"/>
    <w:rsid w:val="04F44E18"/>
    <w:rsid w:val="0529C1C9"/>
    <w:rsid w:val="053E6C49"/>
    <w:rsid w:val="05531A39"/>
    <w:rsid w:val="05D3EB81"/>
    <w:rsid w:val="05E07A5D"/>
    <w:rsid w:val="06F05ADB"/>
    <w:rsid w:val="07056821"/>
    <w:rsid w:val="074A8645"/>
    <w:rsid w:val="074D1039"/>
    <w:rsid w:val="076D182C"/>
    <w:rsid w:val="07702767"/>
    <w:rsid w:val="08408B2B"/>
    <w:rsid w:val="086A243E"/>
    <w:rsid w:val="088D41BC"/>
    <w:rsid w:val="089A1C49"/>
    <w:rsid w:val="08B10135"/>
    <w:rsid w:val="0906D8EC"/>
    <w:rsid w:val="09649F78"/>
    <w:rsid w:val="0996F832"/>
    <w:rsid w:val="09A64B2C"/>
    <w:rsid w:val="09C3C643"/>
    <w:rsid w:val="0A1A417F"/>
    <w:rsid w:val="0A3DFC08"/>
    <w:rsid w:val="0A3E8A76"/>
    <w:rsid w:val="0A57337B"/>
    <w:rsid w:val="0A8B664A"/>
    <w:rsid w:val="0AE292DE"/>
    <w:rsid w:val="0AEB24A3"/>
    <w:rsid w:val="0AED0FF3"/>
    <w:rsid w:val="0B254218"/>
    <w:rsid w:val="0B4CAB62"/>
    <w:rsid w:val="0B9830BF"/>
    <w:rsid w:val="0BBA0906"/>
    <w:rsid w:val="0BCE01F9"/>
    <w:rsid w:val="0BD618F8"/>
    <w:rsid w:val="0C6F9318"/>
    <w:rsid w:val="0C87A1CF"/>
    <w:rsid w:val="0CD8B50E"/>
    <w:rsid w:val="0D71E7CE"/>
    <w:rsid w:val="0DD3AE90"/>
    <w:rsid w:val="0E246F8B"/>
    <w:rsid w:val="0E2777B2"/>
    <w:rsid w:val="0E37F807"/>
    <w:rsid w:val="0E5A1F3E"/>
    <w:rsid w:val="0E8BD33C"/>
    <w:rsid w:val="0E96A452"/>
    <w:rsid w:val="0EAA8C1D"/>
    <w:rsid w:val="0EE6F70C"/>
    <w:rsid w:val="0F011EFA"/>
    <w:rsid w:val="0F43E476"/>
    <w:rsid w:val="0F4E71E7"/>
    <w:rsid w:val="0F88B047"/>
    <w:rsid w:val="0FC61BD0"/>
    <w:rsid w:val="10C5A93C"/>
    <w:rsid w:val="10FCFC7D"/>
    <w:rsid w:val="112F0FA4"/>
    <w:rsid w:val="11422C27"/>
    <w:rsid w:val="116163CC"/>
    <w:rsid w:val="11B801E1"/>
    <w:rsid w:val="11C49142"/>
    <w:rsid w:val="11D2D7BC"/>
    <w:rsid w:val="126B31CF"/>
    <w:rsid w:val="12784BBB"/>
    <w:rsid w:val="1314812E"/>
    <w:rsid w:val="13156EB3"/>
    <w:rsid w:val="13432A8C"/>
    <w:rsid w:val="13C8ECF6"/>
    <w:rsid w:val="14070F2A"/>
    <w:rsid w:val="146B7ED7"/>
    <w:rsid w:val="14BD7B76"/>
    <w:rsid w:val="14C88CF6"/>
    <w:rsid w:val="15B74C9E"/>
    <w:rsid w:val="15B97FAF"/>
    <w:rsid w:val="15E5C795"/>
    <w:rsid w:val="160E2074"/>
    <w:rsid w:val="16138866"/>
    <w:rsid w:val="165E3639"/>
    <w:rsid w:val="166BC366"/>
    <w:rsid w:val="16B8ADF4"/>
    <w:rsid w:val="17A7ED89"/>
    <w:rsid w:val="17B0ED22"/>
    <w:rsid w:val="17F6ED92"/>
    <w:rsid w:val="1847A486"/>
    <w:rsid w:val="18DA63A7"/>
    <w:rsid w:val="18DA804D"/>
    <w:rsid w:val="18F1E324"/>
    <w:rsid w:val="1929AE6A"/>
    <w:rsid w:val="19654985"/>
    <w:rsid w:val="19E95BB0"/>
    <w:rsid w:val="19FB241C"/>
    <w:rsid w:val="1A026254"/>
    <w:rsid w:val="1A69851B"/>
    <w:rsid w:val="1A763408"/>
    <w:rsid w:val="1A9C70C4"/>
    <w:rsid w:val="1AC9B256"/>
    <w:rsid w:val="1AE010A2"/>
    <w:rsid w:val="1B7435C9"/>
    <w:rsid w:val="1B913AB0"/>
    <w:rsid w:val="1BAC900A"/>
    <w:rsid w:val="1BE1A250"/>
    <w:rsid w:val="1C647B6E"/>
    <w:rsid w:val="1C987785"/>
    <w:rsid w:val="1CD39BE3"/>
    <w:rsid w:val="1D0C0086"/>
    <w:rsid w:val="1D35588A"/>
    <w:rsid w:val="1D495C8A"/>
    <w:rsid w:val="1D9698FD"/>
    <w:rsid w:val="1DD2C967"/>
    <w:rsid w:val="1DE67CDD"/>
    <w:rsid w:val="1DEA28DD"/>
    <w:rsid w:val="1DECD5E2"/>
    <w:rsid w:val="1E05699E"/>
    <w:rsid w:val="1E3E4D14"/>
    <w:rsid w:val="1EB1EDDC"/>
    <w:rsid w:val="1F038FAF"/>
    <w:rsid w:val="1F302C3A"/>
    <w:rsid w:val="1F3E5409"/>
    <w:rsid w:val="1F571BBB"/>
    <w:rsid w:val="2015E417"/>
    <w:rsid w:val="2027D27E"/>
    <w:rsid w:val="20453336"/>
    <w:rsid w:val="2046682F"/>
    <w:rsid w:val="2066AC0E"/>
    <w:rsid w:val="20BF9E42"/>
    <w:rsid w:val="20F8DB72"/>
    <w:rsid w:val="211ACD4A"/>
    <w:rsid w:val="216BE8A8"/>
    <w:rsid w:val="22026B74"/>
    <w:rsid w:val="22739A77"/>
    <w:rsid w:val="22ADD430"/>
    <w:rsid w:val="22CFCF01"/>
    <w:rsid w:val="236241E6"/>
    <w:rsid w:val="23A7133B"/>
    <w:rsid w:val="23CEB350"/>
    <w:rsid w:val="23FEF963"/>
    <w:rsid w:val="240A004A"/>
    <w:rsid w:val="241DBF9C"/>
    <w:rsid w:val="2476C977"/>
    <w:rsid w:val="247FE6BE"/>
    <w:rsid w:val="2510F5E7"/>
    <w:rsid w:val="253EED29"/>
    <w:rsid w:val="2546AF05"/>
    <w:rsid w:val="25646FF6"/>
    <w:rsid w:val="25C41238"/>
    <w:rsid w:val="25C6C7E8"/>
    <w:rsid w:val="25C89E52"/>
    <w:rsid w:val="261FAF91"/>
    <w:rsid w:val="262EDCD8"/>
    <w:rsid w:val="2636D41D"/>
    <w:rsid w:val="265B8152"/>
    <w:rsid w:val="266ED5F2"/>
    <w:rsid w:val="269A3543"/>
    <w:rsid w:val="26B99AB9"/>
    <w:rsid w:val="26E2288D"/>
    <w:rsid w:val="26E4A022"/>
    <w:rsid w:val="26F42ECC"/>
    <w:rsid w:val="2709A1E3"/>
    <w:rsid w:val="272EC5F0"/>
    <w:rsid w:val="27303D91"/>
    <w:rsid w:val="27646EB3"/>
    <w:rsid w:val="27791493"/>
    <w:rsid w:val="284E5BD0"/>
    <w:rsid w:val="2853F263"/>
    <w:rsid w:val="288732F9"/>
    <w:rsid w:val="2898E1E4"/>
    <w:rsid w:val="28F28534"/>
    <w:rsid w:val="29003F14"/>
    <w:rsid w:val="29862621"/>
    <w:rsid w:val="29E7C49A"/>
    <w:rsid w:val="2A2073A4"/>
    <w:rsid w:val="2A2795E6"/>
    <w:rsid w:val="2A6CB50E"/>
    <w:rsid w:val="2A8D1AAF"/>
    <w:rsid w:val="2B0244F5"/>
    <w:rsid w:val="2B0F6AF7"/>
    <w:rsid w:val="2B3183EA"/>
    <w:rsid w:val="2C113779"/>
    <w:rsid w:val="2C2094D6"/>
    <w:rsid w:val="2C35527E"/>
    <w:rsid w:val="2C7A16E2"/>
    <w:rsid w:val="2CA0DB3A"/>
    <w:rsid w:val="2D206E70"/>
    <w:rsid w:val="2D5AA41C"/>
    <w:rsid w:val="2DAD0F59"/>
    <w:rsid w:val="2DBD739A"/>
    <w:rsid w:val="2DF2C14E"/>
    <w:rsid w:val="2E98E596"/>
    <w:rsid w:val="2EAB8FC3"/>
    <w:rsid w:val="2ED59316"/>
    <w:rsid w:val="2F02421C"/>
    <w:rsid w:val="2F4D07C4"/>
    <w:rsid w:val="2FC691D7"/>
    <w:rsid w:val="2FCE9568"/>
    <w:rsid w:val="2FD1337A"/>
    <w:rsid w:val="2FD9595D"/>
    <w:rsid w:val="300B9509"/>
    <w:rsid w:val="30266DE4"/>
    <w:rsid w:val="302DB49E"/>
    <w:rsid w:val="3034FB76"/>
    <w:rsid w:val="30677BB6"/>
    <w:rsid w:val="30A70649"/>
    <w:rsid w:val="30A87816"/>
    <w:rsid w:val="30E531BD"/>
    <w:rsid w:val="30FE53DB"/>
    <w:rsid w:val="31915E29"/>
    <w:rsid w:val="31963CF0"/>
    <w:rsid w:val="319E92C8"/>
    <w:rsid w:val="31D34D55"/>
    <w:rsid w:val="3218AB88"/>
    <w:rsid w:val="329BE8E2"/>
    <w:rsid w:val="32C3C529"/>
    <w:rsid w:val="32F88956"/>
    <w:rsid w:val="3347C952"/>
    <w:rsid w:val="338399F6"/>
    <w:rsid w:val="3397303F"/>
    <w:rsid w:val="339E9290"/>
    <w:rsid w:val="33B890FC"/>
    <w:rsid w:val="33E73E4D"/>
    <w:rsid w:val="34187D6B"/>
    <w:rsid w:val="345E7537"/>
    <w:rsid w:val="346329D1"/>
    <w:rsid w:val="349798A4"/>
    <w:rsid w:val="34A54E53"/>
    <w:rsid w:val="34E92984"/>
    <w:rsid w:val="358ED9C2"/>
    <w:rsid w:val="35BD47D9"/>
    <w:rsid w:val="35FB65EB"/>
    <w:rsid w:val="3670C98B"/>
    <w:rsid w:val="3671A082"/>
    <w:rsid w:val="368508A5"/>
    <w:rsid w:val="36DF3672"/>
    <w:rsid w:val="36E14CF7"/>
    <w:rsid w:val="36E85E05"/>
    <w:rsid w:val="36F53826"/>
    <w:rsid w:val="371CB150"/>
    <w:rsid w:val="376FFACC"/>
    <w:rsid w:val="3789E6C4"/>
    <w:rsid w:val="37CBEEC1"/>
    <w:rsid w:val="380C99EC"/>
    <w:rsid w:val="38629FB4"/>
    <w:rsid w:val="38674227"/>
    <w:rsid w:val="387203B3"/>
    <w:rsid w:val="3887ED0C"/>
    <w:rsid w:val="38A82FBC"/>
    <w:rsid w:val="38CBE88C"/>
    <w:rsid w:val="38D5B1AA"/>
    <w:rsid w:val="39303E8B"/>
    <w:rsid w:val="3949FD65"/>
    <w:rsid w:val="39B470AD"/>
    <w:rsid w:val="39B67AE7"/>
    <w:rsid w:val="39C0973C"/>
    <w:rsid w:val="39C51E7F"/>
    <w:rsid w:val="3A29A94D"/>
    <w:rsid w:val="3A7F13CF"/>
    <w:rsid w:val="3A89BBDC"/>
    <w:rsid w:val="3B07F944"/>
    <w:rsid w:val="3C7711B0"/>
    <w:rsid w:val="3CD5A1CD"/>
    <w:rsid w:val="3CE56192"/>
    <w:rsid w:val="3D2DF342"/>
    <w:rsid w:val="3D31EEFA"/>
    <w:rsid w:val="3D630CB8"/>
    <w:rsid w:val="3D6AFD7B"/>
    <w:rsid w:val="3D784318"/>
    <w:rsid w:val="3DA895ED"/>
    <w:rsid w:val="3DAF6896"/>
    <w:rsid w:val="3F891FD4"/>
    <w:rsid w:val="3FBF7348"/>
    <w:rsid w:val="3FBF8798"/>
    <w:rsid w:val="3FDFD5E7"/>
    <w:rsid w:val="3FE12865"/>
    <w:rsid w:val="40C3A0A4"/>
    <w:rsid w:val="4113DFAC"/>
    <w:rsid w:val="414876A0"/>
    <w:rsid w:val="41637E59"/>
    <w:rsid w:val="416DCD08"/>
    <w:rsid w:val="41939B1E"/>
    <w:rsid w:val="41A5A4AA"/>
    <w:rsid w:val="41A6A67B"/>
    <w:rsid w:val="41ADD20F"/>
    <w:rsid w:val="41B9E208"/>
    <w:rsid w:val="41C66696"/>
    <w:rsid w:val="4202A630"/>
    <w:rsid w:val="42D41BE4"/>
    <w:rsid w:val="4319BF27"/>
    <w:rsid w:val="433FA89D"/>
    <w:rsid w:val="43430320"/>
    <w:rsid w:val="4357B2D3"/>
    <w:rsid w:val="4361D181"/>
    <w:rsid w:val="43903243"/>
    <w:rsid w:val="43D2E52C"/>
    <w:rsid w:val="43E433BB"/>
    <w:rsid w:val="43E64BB5"/>
    <w:rsid w:val="44089AC1"/>
    <w:rsid w:val="44091D82"/>
    <w:rsid w:val="449EEBED"/>
    <w:rsid w:val="44A56DCA"/>
    <w:rsid w:val="44D2229B"/>
    <w:rsid w:val="44D33DCD"/>
    <w:rsid w:val="452EBB17"/>
    <w:rsid w:val="453E278C"/>
    <w:rsid w:val="453FF735"/>
    <w:rsid w:val="45C5C46C"/>
    <w:rsid w:val="464CA673"/>
    <w:rsid w:val="46613926"/>
    <w:rsid w:val="46B3C733"/>
    <w:rsid w:val="46E2529A"/>
    <w:rsid w:val="473110A2"/>
    <w:rsid w:val="47387BE0"/>
    <w:rsid w:val="47A5D25F"/>
    <w:rsid w:val="47D68CAF"/>
    <w:rsid w:val="47E21C62"/>
    <w:rsid w:val="48057740"/>
    <w:rsid w:val="48146873"/>
    <w:rsid w:val="484F9000"/>
    <w:rsid w:val="48B7A4DE"/>
    <w:rsid w:val="48CC0D1B"/>
    <w:rsid w:val="49296B0D"/>
    <w:rsid w:val="49324C1E"/>
    <w:rsid w:val="496FBE46"/>
    <w:rsid w:val="49BE9E7A"/>
    <w:rsid w:val="49CC425A"/>
    <w:rsid w:val="4A266DE7"/>
    <w:rsid w:val="4A67DD7C"/>
    <w:rsid w:val="4A907B54"/>
    <w:rsid w:val="4A945EC7"/>
    <w:rsid w:val="4A9FA88B"/>
    <w:rsid w:val="4B09041D"/>
    <w:rsid w:val="4B551206"/>
    <w:rsid w:val="4B77FFB3"/>
    <w:rsid w:val="4BD8A9C1"/>
    <w:rsid w:val="4BDBB17F"/>
    <w:rsid w:val="4C04FC97"/>
    <w:rsid w:val="4C1B3C12"/>
    <w:rsid w:val="4C373383"/>
    <w:rsid w:val="4C82AD3F"/>
    <w:rsid w:val="4C91AEAF"/>
    <w:rsid w:val="4CB04C2E"/>
    <w:rsid w:val="4D1F8C25"/>
    <w:rsid w:val="4D4A5DC9"/>
    <w:rsid w:val="4D54CF72"/>
    <w:rsid w:val="4D5B7634"/>
    <w:rsid w:val="4D8E9507"/>
    <w:rsid w:val="4DCDFBD7"/>
    <w:rsid w:val="4E485DE9"/>
    <w:rsid w:val="4EF90262"/>
    <w:rsid w:val="5019E041"/>
    <w:rsid w:val="504C5D89"/>
    <w:rsid w:val="5057757E"/>
    <w:rsid w:val="506B59A1"/>
    <w:rsid w:val="5082F8CD"/>
    <w:rsid w:val="50DBE364"/>
    <w:rsid w:val="51347CF2"/>
    <w:rsid w:val="51453213"/>
    <w:rsid w:val="51641828"/>
    <w:rsid w:val="517D6EF5"/>
    <w:rsid w:val="518BCC4A"/>
    <w:rsid w:val="51A441C5"/>
    <w:rsid w:val="521FD1C2"/>
    <w:rsid w:val="52850B48"/>
    <w:rsid w:val="53C5BF88"/>
    <w:rsid w:val="53FFDB3D"/>
    <w:rsid w:val="54737A24"/>
    <w:rsid w:val="54851B67"/>
    <w:rsid w:val="54899A19"/>
    <w:rsid w:val="54A3A456"/>
    <w:rsid w:val="54C79C09"/>
    <w:rsid w:val="5513CD20"/>
    <w:rsid w:val="554AF902"/>
    <w:rsid w:val="555E6660"/>
    <w:rsid w:val="55736800"/>
    <w:rsid w:val="55AFEBAE"/>
    <w:rsid w:val="55CE7080"/>
    <w:rsid w:val="569F8786"/>
    <w:rsid w:val="56A0042D"/>
    <w:rsid w:val="56B24338"/>
    <w:rsid w:val="56EEC7C0"/>
    <w:rsid w:val="57279655"/>
    <w:rsid w:val="578EA7DD"/>
    <w:rsid w:val="57D65098"/>
    <w:rsid w:val="583B0C0C"/>
    <w:rsid w:val="5889622D"/>
    <w:rsid w:val="58E0736C"/>
    <w:rsid w:val="58F28C65"/>
    <w:rsid w:val="590DA31D"/>
    <w:rsid w:val="5923FBB1"/>
    <w:rsid w:val="5969FA6F"/>
    <w:rsid w:val="599FDC02"/>
    <w:rsid w:val="59BEEA85"/>
    <w:rsid w:val="5A1023CC"/>
    <w:rsid w:val="5A28E0D1"/>
    <w:rsid w:val="5A334702"/>
    <w:rsid w:val="5A84C938"/>
    <w:rsid w:val="5AA8361C"/>
    <w:rsid w:val="5AB3E5C9"/>
    <w:rsid w:val="5B61FFFD"/>
    <w:rsid w:val="5B6CC7E9"/>
    <w:rsid w:val="5B9FD42E"/>
    <w:rsid w:val="5BBF4EBF"/>
    <w:rsid w:val="5BDFCCE1"/>
    <w:rsid w:val="5BE386E5"/>
    <w:rsid w:val="5C129A3F"/>
    <w:rsid w:val="5C6B924D"/>
    <w:rsid w:val="5C76CAC3"/>
    <w:rsid w:val="5C99273C"/>
    <w:rsid w:val="5CA1219D"/>
    <w:rsid w:val="5CBD6B95"/>
    <w:rsid w:val="5D4B953A"/>
    <w:rsid w:val="5D7F5746"/>
    <w:rsid w:val="5E995925"/>
    <w:rsid w:val="5ED0E34D"/>
    <w:rsid w:val="5EFDA04E"/>
    <w:rsid w:val="5F472936"/>
    <w:rsid w:val="5F57B52E"/>
    <w:rsid w:val="5FB6D7B7"/>
    <w:rsid w:val="5FDAD7E3"/>
    <w:rsid w:val="5FDC9274"/>
    <w:rsid w:val="60352986"/>
    <w:rsid w:val="60640E1C"/>
    <w:rsid w:val="6097F006"/>
    <w:rsid w:val="60C4B322"/>
    <w:rsid w:val="610593A2"/>
    <w:rsid w:val="61624F27"/>
    <w:rsid w:val="6184492D"/>
    <w:rsid w:val="61F07B38"/>
    <w:rsid w:val="624521FA"/>
    <w:rsid w:val="6283FC8D"/>
    <w:rsid w:val="62EA5A73"/>
    <w:rsid w:val="6346BA7D"/>
    <w:rsid w:val="6379531A"/>
    <w:rsid w:val="639468F0"/>
    <w:rsid w:val="63AE214F"/>
    <w:rsid w:val="63C92127"/>
    <w:rsid w:val="640F47A3"/>
    <w:rsid w:val="6459F6D5"/>
    <w:rsid w:val="6462F789"/>
    <w:rsid w:val="648FDC7D"/>
    <w:rsid w:val="64B936D6"/>
    <w:rsid w:val="64CFB2ED"/>
    <w:rsid w:val="6549F1B0"/>
    <w:rsid w:val="6564BC72"/>
    <w:rsid w:val="658BB68D"/>
    <w:rsid w:val="658E0C84"/>
    <w:rsid w:val="65AE8714"/>
    <w:rsid w:val="65C36446"/>
    <w:rsid w:val="666DC7B5"/>
    <w:rsid w:val="66CC46BC"/>
    <w:rsid w:val="66F62902"/>
    <w:rsid w:val="67353D52"/>
    <w:rsid w:val="673C7524"/>
    <w:rsid w:val="674D4210"/>
    <w:rsid w:val="67A690C2"/>
    <w:rsid w:val="680D517F"/>
    <w:rsid w:val="6819FC7F"/>
    <w:rsid w:val="68651A8C"/>
    <w:rsid w:val="686B2595"/>
    <w:rsid w:val="69050699"/>
    <w:rsid w:val="693CE6F7"/>
    <w:rsid w:val="69BD5114"/>
    <w:rsid w:val="6A147E6F"/>
    <w:rsid w:val="6A4F2F70"/>
    <w:rsid w:val="6ABA6514"/>
    <w:rsid w:val="6AED28F5"/>
    <w:rsid w:val="6BBB0AAF"/>
    <w:rsid w:val="6BC99A25"/>
    <w:rsid w:val="6BF50D47"/>
    <w:rsid w:val="6C217F68"/>
    <w:rsid w:val="6C6B54B8"/>
    <w:rsid w:val="6D0B5B5C"/>
    <w:rsid w:val="6D51EE75"/>
    <w:rsid w:val="6D555397"/>
    <w:rsid w:val="6D5DF921"/>
    <w:rsid w:val="6DCF4DEE"/>
    <w:rsid w:val="6E0B38BF"/>
    <w:rsid w:val="6E130116"/>
    <w:rsid w:val="6E381796"/>
    <w:rsid w:val="6ECB5315"/>
    <w:rsid w:val="6F218A55"/>
    <w:rsid w:val="6F2E62D1"/>
    <w:rsid w:val="6F3A8227"/>
    <w:rsid w:val="6F414C1D"/>
    <w:rsid w:val="6F5FF4D9"/>
    <w:rsid w:val="6F87ED55"/>
    <w:rsid w:val="6F93269C"/>
    <w:rsid w:val="6FA2A665"/>
    <w:rsid w:val="7020AF5D"/>
    <w:rsid w:val="70261C61"/>
    <w:rsid w:val="70381A3B"/>
    <w:rsid w:val="7046F52D"/>
    <w:rsid w:val="70D7A461"/>
    <w:rsid w:val="71794EE4"/>
    <w:rsid w:val="71B33856"/>
    <w:rsid w:val="71E29EED"/>
    <w:rsid w:val="72352D66"/>
    <w:rsid w:val="72C9A906"/>
    <w:rsid w:val="72FD6539"/>
    <w:rsid w:val="731AE8DD"/>
    <w:rsid w:val="73216CEB"/>
    <w:rsid w:val="7351D530"/>
    <w:rsid w:val="737C5462"/>
    <w:rsid w:val="738566DD"/>
    <w:rsid w:val="73940459"/>
    <w:rsid w:val="73A138F8"/>
    <w:rsid w:val="748219C0"/>
    <w:rsid w:val="751EA255"/>
    <w:rsid w:val="7590F50C"/>
    <w:rsid w:val="75FDCA97"/>
    <w:rsid w:val="7685086C"/>
    <w:rsid w:val="7704FAE7"/>
    <w:rsid w:val="77139324"/>
    <w:rsid w:val="77233255"/>
    <w:rsid w:val="77359800"/>
    <w:rsid w:val="775FAFC8"/>
    <w:rsid w:val="777B8CF4"/>
    <w:rsid w:val="779E6485"/>
    <w:rsid w:val="77FF955D"/>
    <w:rsid w:val="7816F7EC"/>
    <w:rsid w:val="786D3CEF"/>
    <w:rsid w:val="786EAF44"/>
    <w:rsid w:val="788D8648"/>
    <w:rsid w:val="791E3657"/>
    <w:rsid w:val="792F8593"/>
    <w:rsid w:val="79CBC5BC"/>
    <w:rsid w:val="7A196F03"/>
    <w:rsid w:val="7A2851C9"/>
    <w:rsid w:val="7A3C9780"/>
    <w:rsid w:val="7A922736"/>
    <w:rsid w:val="7A97508A"/>
    <w:rsid w:val="7AA939B4"/>
    <w:rsid w:val="7ABF6CB9"/>
    <w:rsid w:val="7B77E6A7"/>
    <w:rsid w:val="7BA0204E"/>
    <w:rsid w:val="7BCD3C52"/>
    <w:rsid w:val="7BD867E1"/>
    <w:rsid w:val="7BE66F46"/>
    <w:rsid w:val="7BEA48BE"/>
    <w:rsid w:val="7BFC18C9"/>
    <w:rsid w:val="7C1E46B8"/>
    <w:rsid w:val="7C5F89A4"/>
    <w:rsid w:val="7C64D9FE"/>
    <w:rsid w:val="7C8EF345"/>
    <w:rsid w:val="7CA2B874"/>
    <w:rsid w:val="7CB56943"/>
    <w:rsid w:val="7CF11581"/>
    <w:rsid w:val="7CFDB7BD"/>
    <w:rsid w:val="7D130326"/>
    <w:rsid w:val="7D189581"/>
    <w:rsid w:val="7D469705"/>
    <w:rsid w:val="7DBF564F"/>
    <w:rsid w:val="7DC9C7F8"/>
    <w:rsid w:val="7DF52FD3"/>
    <w:rsid w:val="7E8DB7B3"/>
    <w:rsid w:val="7E983C8B"/>
    <w:rsid w:val="7EE26898"/>
    <w:rsid w:val="7F10BCC1"/>
    <w:rsid w:val="7F141F25"/>
    <w:rsid w:val="7F4C3487"/>
    <w:rsid w:val="7F667F76"/>
    <w:rsid w:val="7F6C0BFC"/>
    <w:rsid w:val="7F7A2B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C638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1BA"/>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rsid w:val="00142070"/>
    <w:pPr>
      <w:keepNext/>
      <w:keepLines/>
      <w:spacing w:after="240" w:line="360" w:lineRule="auto"/>
      <w:outlineLvl w:val="1"/>
    </w:pPr>
    <w:rPr>
      <w:b/>
      <w:bCs/>
      <w:sz w:val="32"/>
      <w:szCs w:val="32"/>
    </w:rPr>
  </w:style>
  <w:style w:type="paragraph" w:styleId="Heading3">
    <w:name w:val="heading 3"/>
    <w:basedOn w:val="Normal"/>
    <w:next w:val="Normal"/>
    <w:uiPriority w:val="9"/>
    <w:unhideWhenUsed/>
    <w:qFormat/>
    <w:rsid w:val="00E8607C"/>
    <w:pPr>
      <w:keepNext/>
      <w:keepLines/>
      <w:spacing w:before="320" w:after="80"/>
      <w:outlineLvl w:val="2"/>
    </w:pPr>
    <w:rPr>
      <w:b/>
      <w:sz w:val="28"/>
      <w:szCs w:val="28"/>
    </w:rPr>
  </w:style>
  <w:style w:type="paragraph" w:styleId="Heading4">
    <w:name w:val="heading 4"/>
    <w:basedOn w:val="Normal"/>
    <w:next w:val="Normal"/>
    <w:uiPriority w:val="9"/>
    <w:unhideWhenUsed/>
    <w:qFormat/>
    <w:rsid w:val="00142070"/>
    <w:pPr>
      <w:keepNext/>
      <w:keepLines/>
      <w:spacing w:before="280" w:after="80"/>
      <w:outlineLvl w:val="3"/>
    </w:pPr>
    <w:rPr>
      <w:b/>
      <w:bCs/>
      <w:i/>
      <w:iCs/>
      <w:sz w:val="26"/>
      <w:szCs w:val="2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3354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547"/>
    <w:rPr>
      <w:rFonts w:ascii="Segoe UI" w:hAnsi="Segoe UI" w:cs="Segoe UI"/>
      <w:sz w:val="18"/>
      <w:szCs w:val="18"/>
    </w:rPr>
  </w:style>
  <w:style w:type="paragraph" w:styleId="ListParagraph">
    <w:name w:val="List Paragraph"/>
    <w:basedOn w:val="Normal"/>
    <w:uiPriority w:val="34"/>
    <w:qFormat/>
    <w:rsid w:val="00EB6404"/>
    <w:pPr>
      <w:ind w:left="720"/>
      <w:contextualSpacing/>
    </w:pPr>
  </w:style>
  <w:style w:type="paragraph" w:styleId="TOCHeading">
    <w:name w:val="TOC Heading"/>
    <w:basedOn w:val="Heading1"/>
    <w:next w:val="Normal"/>
    <w:uiPriority w:val="39"/>
    <w:unhideWhenUsed/>
    <w:qFormat/>
    <w:rsid w:val="00E402CD"/>
    <w:pPr>
      <w:spacing w:before="240" w:after="0" w:line="259" w:lineRule="auto"/>
      <w:outlineLvl w:val="9"/>
    </w:pPr>
    <w:rPr>
      <w:rFonts w:asciiTheme="majorHAnsi" w:eastAsiaTheme="majorEastAsia" w:hAnsiTheme="majorHAnsi" w:cstheme="majorBidi"/>
      <w:color w:val="365F91" w:themeColor="accent1" w:themeShade="BF"/>
      <w:sz w:val="32"/>
      <w:szCs w:val="32"/>
      <w:lang w:val="en-US"/>
    </w:rPr>
  </w:style>
  <w:style w:type="paragraph" w:styleId="TOC1">
    <w:name w:val="toc 1"/>
    <w:basedOn w:val="Normal"/>
    <w:next w:val="Normal"/>
    <w:autoRedefine/>
    <w:uiPriority w:val="39"/>
    <w:unhideWhenUsed/>
    <w:rsid w:val="00003E14"/>
    <w:pPr>
      <w:tabs>
        <w:tab w:val="right" w:leader="dot" w:pos="9350"/>
      </w:tabs>
      <w:spacing w:line="360" w:lineRule="auto"/>
    </w:pPr>
    <w:rPr>
      <w:sz w:val="24"/>
    </w:rPr>
  </w:style>
  <w:style w:type="character" w:styleId="Hyperlink">
    <w:name w:val="Hyperlink"/>
    <w:basedOn w:val="DefaultParagraphFont"/>
    <w:uiPriority w:val="99"/>
    <w:unhideWhenUsed/>
    <w:rsid w:val="00E402CD"/>
    <w:rPr>
      <w:color w:val="0000FF" w:themeColor="hyperlink"/>
      <w:u w:val="single"/>
    </w:rPr>
  </w:style>
  <w:style w:type="paragraph" w:styleId="Revision">
    <w:name w:val="Revision"/>
    <w:hidden/>
    <w:uiPriority w:val="99"/>
    <w:semiHidden/>
    <w:rsid w:val="00D904B0"/>
    <w:pPr>
      <w:spacing w:line="240" w:lineRule="auto"/>
    </w:pPr>
  </w:style>
  <w:style w:type="character" w:styleId="UnresolvedMention">
    <w:name w:val="Unresolved Mention"/>
    <w:basedOn w:val="DefaultParagraphFont"/>
    <w:uiPriority w:val="99"/>
    <w:semiHidden/>
    <w:unhideWhenUsed/>
    <w:rsid w:val="00AF4560"/>
    <w:rPr>
      <w:color w:val="605E5C"/>
      <w:shd w:val="clear" w:color="auto" w:fill="E1DFDD"/>
    </w:rPr>
  </w:style>
  <w:style w:type="character" w:styleId="Emphasis">
    <w:name w:val="Emphasis"/>
    <w:basedOn w:val="DefaultParagraphFont"/>
    <w:uiPriority w:val="20"/>
    <w:qFormat/>
    <w:rsid w:val="00FD3667"/>
    <w:rPr>
      <w:i/>
      <w:iCs/>
    </w:rPr>
  </w:style>
  <w:style w:type="character" w:styleId="FollowedHyperlink">
    <w:name w:val="FollowedHyperlink"/>
    <w:basedOn w:val="DefaultParagraphFont"/>
    <w:uiPriority w:val="99"/>
    <w:semiHidden/>
    <w:unhideWhenUsed/>
    <w:rsid w:val="00B035C3"/>
    <w:rPr>
      <w:color w:val="800080" w:themeColor="followedHyperlink"/>
      <w:u w:val="single"/>
    </w:rPr>
  </w:style>
  <w:style w:type="character" w:styleId="LineNumber">
    <w:name w:val="line number"/>
    <w:basedOn w:val="DefaultParagraphFont"/>
    <w:uiPriority w:val="99"/>
    <w:semiHidden/>
    <w:unhideWhenUsed/>
    <w:rsid w:val="00B471BA"/>
    <w:rPr>
      <w:rFonts w:ascii="Arial" w:hAnsi="Arial"/>
      <w:sz w:val="24"/>
    </w:rPr>
  </w:style>
  <w:style w:type="paragraph" w:styleId="TOC2">
    <w:name w:val="toc 2"/>
    <w:basedOn w:val="Normal"/>
    <w:next w:val="Normal"/>
    <w:autoRedefine/>
    <w:uiPriority w:val="39"/>
    <w:unhideWhenUsed/>
    <w:rsid w:val="00003E14"/>
    <w:pPr>
      <w:tabs>
        <w:tab w:val="right" w:leader="dot" w:pos="9350"/>
      </w:tabs>
      <w:spacing w:line="360" w:lineRule="auto"/>
      <w:ind w:left="216"/>
    </w:pPr>
    <w:rPr>
      <w:sz w:val="24"/>
    </w:rPr>
  </w:style>
  <w:style w:type="paragraph" w:styleId="CommentSubject">
    <w:name w:val="annotation subject"/>
    <w:basedOn w:val="CommentText"/>
    <w:next w:val="CommentText"/>
    <w:link w:val="CommentSubjectChar"/>
    <w:uiPriority w:val="99"/>
    <w:semiHidden/>
    <w:unhideWhenUsed/>
    <w:rsid w:val="00F548E9"/>
    <w:rPr>
      <w:b/>
      <w:bCs/>
    </w:rPr>
  </w:style>
  <w:style w:type="character" w:customStyle="1" w:styleId="CommentSubjectChar">
    <w:name w:val="Comment Subject Char"/>
    <w:basedOn w:val="CommentTextChar"/>
    <w:link w:val="CommentSubject"/>
    <w:uiPriority w:val="99"/>
    <w:semiHidden/>
    <w:rsid w:val="00F548E9"/>
    <w:rPr>
      <w:b/>
      <w:bCs/>
      <w:sz w:val="20"/>
      <w:szCs w:val="20"/>
    </w:rPr>
  </w:style>
  <w:style w:type="paragraph" w:styleId="Header">
    <w:name w:val="header"/>
    <w:basedOn w:val="Normal"/>
    <w:link w:val="HeaderChar"/>
    <w:uiPriority w:val="99"/>
    <w:unhideWhenUsed/>
    <w:rsid w:val="00363BA4"/>
    <w:pPr>
      <w:tabs>
        <w:tab w:val="center" w:pos="4680"/>
        <w:tab w:val="right" w:pos="9360"/>
      </w:tabs>
      <w:spacing w:line="240" w:lineRule="auto"/>
    </w:pPr>
  </w:style>
  <w:style w:type="character" w:customStyle="1" w:styleId="HeaderChar">
    <w:name w:val="Header Char"/>
    <w:basedOn w:val="DefaultParagraphFont"/>
    <w:link w:val="Header"/>
    <w:uiPriority w:val="99"/>
    <w:rsid w:val="00363BA4"/>
  </w:style>
  <w:style w:type="paragraph" w:styleId="Footer">
    <w:name w:val="footer"/>
    <w:basedOn w:val="Normal"/>
    <w:link w:val="FooterChar"/>
    <w:uiPriority w:val="99"/>
    <w:unhideWhenUsed/>
    <w:rsid w:val="00363BA4"/>
    <w:pPr>
      <w:tabs>
        <w:tab w:val="center" w:pos="4680"/>
        <w:tab w:val="right" w:pos="9360"/>
      </w:tabs>
      <w:spacing w:line="240" w:lineRule="auto"/>
    </w:pPr>
  </w:style>
  <w:style w:type="character" w:customStyle="1" w:styleId="FooterChar">
    <w:name w:val="Footer Char"/>
    <w:basedOn w:val="DefaultParagraphFont"/>
    <w:link w:val="Footer"/>
    <w:uiPriority w:val="99"/>
    <w:rsid w:val="00363BA4"/>
  </w:style>
  <w:style w:type="paragraph" w:styleId="NormalWeb">
    <w:name w:val="Normal (Web)"/>
    <w:basedOn w:val="Normal"/>
    <w:uiPriority w:val="99"/>
    <w:unhideWhenUsed/>
    <w:rsid w:val="00C350C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5F0AD5"/>
    <w:rPr>
      <w:b/>
      <w:bCs/>
      <w:sz w:val="32"/>
      <w:szCs w:val="32"/>
    </w:rPr>
  </w:style>
  <w:style w:type="character" w:customStyle="1" w:styleId="normaltextrun">
    <w:name w:val="normaltextrun"/>
    <w:basedOn w:val="DefaultParagraphFont"/>
    <w:rsid w:val="00A31FD1"/>
  </w:style>
  <w:style w:type="paragraph" w:styleId="TOC3">
    <w:name w:val="toc 3"/>
    <w:basedOn w:val="Normal"/>
    <w:next w:val="Normal"/>
    <w:autoRedefine/>
    <w:uiPriority w:val="39"/>
    <w:unhideWhenUsed/>
    <w:rsid w:val="00FC4446"/>
    <w:pPr>
      <w:spacing w:line="360" w:lineRule="auto"/>
      <w:ind w:left="446"/>
    </w:pPr>
    <w:rPr>
      <w:sz w:val="24"/>
    </w:rPr>
  </w:style>
  <w:style w:type="character" w:styleId="PlaceholderText">
    <w:name w:val="Placeholder Text"/>
    <w:basedOn w:val="DefaultParagraphFont"/>
    <w:uiPriority w:val="99"/>
    <w:semiHidden/>
    <w:rsid w:val="00916E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35010">
      <w:bodyDiv w:val="1"/>
      <w:marLeft w:val="0"/>
      <w:marRight w:val="0"/>
      <w:marTop w:val="0"/>
      <w:marBottom w:val="0"/>
      <w:divBdr>
        <w:top w:val="none" w:sz="0" w:space="0" w:color="auto"/>
        <w:left w:val="none" w:sz="0" w:space="0" w:color="auto"/>
        <w:bottom w:val="none" w:sz="0" w:space="0" w:color="auto"/>
        <w:right w:val="none" w:sz="0" w:space="0" w:color="auto"/>
      </w:divBdr>
    </w:div>
    <w:div w:id="230115303">
      <w:bodyDiv w:val="1"/>
      <w:marLeft w:val="0"/>
      <w:marRight w:val="0"/>
      <w:marTop w:val="0"/>
      <w:marBottom w:val="0"/>
      <w:divBdr>
        <w:top w:val="none" w:sz="0" w:space="0" w:color="auto"/>
        <w:left w:val="none" w:sz="0" w:space="0" w:color="auto"/>
        <w:bottom w:val="none" w:sz="0" w:space="0" w:color="auto"/>
        <w:right w:val="none" w:sz="0" w:space="0" w:color="auto"/>
      </w:divBdr>
    </w:div>
    <w:div w:id="296952635">
      <w:bodyDiv w:val="1"/>
      <w:marLeft w:val="0"/>
      <w:marRight w:val="0"/>
      <w:marTop w:val="0"/>
      <w:marBottom w:val="0"/>
      <w:divBdr>
        <w:top w:val="none" w:sz="0" w:space="0" w:color="auto"/>
        <w:left w:val="none" w:sz="0" w:space="0" w:color="auto"/>
        <w:bottom w:val="none" w:sz="0" w:space="0" w:color="auto"/>
        <w:right w:val="none" w:sz="0" w:space="0" w:color="auto"/>
      </w:divBdr>
    </w:div>
    <w:div w:id="415128975">
      <w:bodyDiv w:val="1"/>
      <w:marLeft w:val="0"/>
      <w:marRight w:val="0"/>
      <w:marTop w:val="0"/>
      <w:marBottom w:val="0"/>
      <w:divBdr>
        <w:top w:val="none" w:sz="0" w:space="0" w:color="auto"/>
        <w:left w:val="none" w:sz="0" w:space="0" w:color="auto"/>
        <w:bottom w:val="none" w:sz="0" w:space="0" w:color="auto"/>
        <w:right w:val="none" w:sz="0" w:space="0" w:color="auto"/>
      </w:divBdr>
    </w:div>
    <w:div w:id="548732956">
      <w:bodyDiv w:val="1"/>
      <w:marLeft w:val="0"/>
      <w:marRight w:val="0"/>
      <w:marTop w:val="0"/>
      <w:marBottom w:val="0"/>
      <w:divBdr>
        <w:top w:val="none" w:sz="0" w:space="0" w:color="auto"/>
        <w:left w:val="none" w:sz="0" w:space="0" w:color="auto"/>
        <w:bottom w:val="none" w:sz="0" w:space="0" w:color="auto"/>
        <w:right w:val="none" w:sz="0" w:space="0" w:color="auto"/>
      </w:divBdr>
    </w:div>
    <w:div w:id="554318336">
      <w:bodyDiv w:val="1"/>
      <w:marLeft w:val="0"/>
      <w:marRight w:val="0"/>
      <w:marTop w:val="0"/>
      <w:marBottom w:val="0"/>
      <w:divBdr>
        <w:top w:val="none" w:sz="0" w:space="0" w:color="auto"/>
        <w:left w:val="none" w:sz="0" w:space="0" w:color="auto"/>
        <w:bottom w:val="none" w:sz="0" w:space="0" w:color="auto"/>
        <w:right w:val="none" w:sz="0" w:space="0" w:color="auto"/>
      </w:divBdr>
    </w:div>
    <w:div w:id="663169228">
      <w:bodyDiv w:val="1"/>
      <w:marLeft w:val="0"/>
      <w:marRight w:val="0"/>
      <w:marTop w:val="0"/>
      <w:marBottom w:val="0"/>
      <w:divBdr>
        <w:top w:val="none" w:sz="0" w:space="0" w:color="auto"/>
        <w:left w:val="none" w:sz="0" w:space="0" w:color="auto"/>
        <w:bottom w:val="none" w:sz="0" w:space="0" w:color="auto"/>
        <w:right w:val="none" w:sz="0" w:space="0" w:color="auto"/>
      </w:divBdr>
    </w:div>
    <w:div w:id="717631440">
      <w:bodyDiv w:val="1"/>
      <w:marLeft w:val="0"/>
      <w:marRight w:val="0"/>
      <w:marTop w:val="0"/>
      <w:marBottom w:val="0"/>
      <w:divBdr>
        <w:top w:val="none" w:sz="0" w:space="0" w:color="auto"/>
        <w:left w:val="none" w:sz="0" w:space="0" w:color="auto"/>
        <w:bottom w:val="none" w:sz="0" w:space="0" w:color="auto"/>
        <w:right w:val="none" w:sz="0" w:space="0" w:color="auto"/>
      </w:divBdr>
    </w:div>
    <w:div w:id="786196225">
      <w:bodyDiv w:val="1"/>
      <w:marLeft w:val="0"/>
      <w:marRight w:val="0"/>
      <w:marTop w:val="0"/>
      <w:marBottom w:val="0"/>
      <w:divBdr>
        <w:top w:val="none" w:sz="0" w:space="0" w:color="auto"/>
        <w:left w:val="none" w:sz="0" w:space="0" w:color="auto"/>
        <w:bottom w:val="none" w:sz="0" w:space="0" w:color="auto"/>
        <w:right w:val="none" w:sz="0" w:space="0" w:color="auto"/>
      </w:divBdr>
    </w:div>
    <w:div w:id="798182934">
      <w:bodyDiv w:val="1"/>
      <w:marLeft w:val="0"/>
      <w:marRight w:val="0"/>
      <w:marTop w:val="0"/>
      <w:marBottom w:val="0"/>
      <w:divBdr>
        <w:top w:val="none" w:sz="0" w:space="0" w:color="auto"/>
        <w:left w:val="none" w:sz="0" w:space="0" w:color="auto"/>
        <w:bottom w:val="none" w:sz="0" w:space="0" w:color="auto"/>
        <w:right w:val="none" w:sz="0" w:space="0" w:color="auto"/>
      </w:divBdr>
    </w:div>
    <w:div w:id="913853455">
      <w:bodyDiv w:val="1"/>
      <w:marLeft w:val="0"/>
      <w:marRight w:val="0"/>
      <w:marTop w:val="0"/>
      <w:marBottom w:val="0"/>
      <w:divBdr>
        <w:top w:val="none" w:sz="0" w:space="0" w:color="auto"/>
        <w:left w:val="none" w:sz="0" w:space="0" w:color="auto"/>
        <w:bottom w:val="none" w:sz="0" w:space="0" w:color="auto"/>
        <w:right w:val="none" w:sz="0" w:space="0" w:color="auto"/>
      </w:divBdr>
    </w:div>
    <w:div w:id="963847059">
      <w:bodyDiv w:val="1"/>
      <w:marLeft w:val="0"/>
      <w:marRight w:val="0"/>
      <w:marTop w:val="0"/>
      <w:marBottom w:val="0"/>
      <w:divBdr>
        <w:top w:val="none" w:sz="0" w:space="0" w:color="auto"/>
        <w:left w:val="none" w:sz="0" w:space="0" w:color="auto"/>
        <w:bottom w:val="none" w:sz="0" w:space="0" w:color="auto"/>
        <w:right w:val="none" w:sz="0" w:space="0" w:color="auto"/>
      </w:divBdr>
    </w:div>
    <w:div w:id="1615550953">
      <w:bodyDiv w:val="1"/>
      <w:marLeft w:val="0"/>
      <w:marRight w:val="0"/>
      <w:marTop w:val="0"/>
      <w:marBottom w:val="0"/>
      <w:divBdr>
        <w:top w:val="none" w:sz="0" w:space="0" w:color="auto"/>
        <w:left w:val="none" w:sz="0" w:space="0" w:color="auto"/>
        <w:bottom w:val="none" w:sz="0" w:space="0" w:color="auto"/>
        <w:right w:val="none" w:sz="0" w:space="0" w:color="auto"/>
      </w:divBdr>
    </w:div>
    <w:div w:id="1618678387">
      <w:bodyDiv w:val="1"/>
      <w:marLeft w:val="0"/>
      <w:marRight w:val="0"/>
      <w:marTop w:val="0"/>
      <w:marBottom w:val="0"/>
      <w:divBdr>
        <w:top w:val="none" w:sz="0" w:space="0" w:color="auto"/>
        <w:left w:val="none" w:sz="0" w:space="0" w:color="auto"/>
        <w:bottom w:val="none" w:sz="0" w:space="0" w:color="auto"/>
        <w:right w:val="none" w:sz="0" w:space="0" w:color="auto"/>
      </w:divBdr>
    </w:div>
    <w:div w:id="1827355878">
      <w:bodyDiv w:val="1"/>
      <w:marLeft w:val="0"/>
      <w:marRight w:val="0"/>
      <w:marTop w:val="0"/>
      <w:marBottom w:val="0"/>
      <w:divBdr>
        <w:top w:val="none" w:sz="0" w:space="0" w:color="auto"/>
        <w:left w:val="none" w:sz="0" w:space="0" w:color="auto"/>
        <w:bottom w:val="none" w:sz="0" w:space="0" w:color="auto"/>
        <w:right w:val="none" w:sz="0" w:space="0" w:color="auto"/>
      </w:divBdr>
    </w:div>
    <w:div w:id="1877810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FBF00-6345-48F1-813D-F726E0E74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5885</Words>
  <Characters>33292</Characters>
  <Application>Microsoft Office Word</Application>
  <DocSecurity>0</DocSecurity>
  <Lines>519</Lines>
  <Paragraphs>102</Paragraphs>
  <ScaleCrop>false</ScaleCrop>
  <HeadingPairs>
    <vt:vector size="2" baseType="variant">
      <vt:variant>
        <vt:lpstr>Title</vt:lpstr>
      </vt:variant>
      <vt:variant>
        <vt:i4>1</vt:i4>
      </vt:variant>
    </vt:vector>
  </HeadingPairs>
  <TitlesOfParts>
    <vt:vector size="1" baseType="lpstr">
      <vt:lpstr>Math Framework Chapter 9 - Curriculum Frameworks (CA Dept of Education)</vt:lpstr>
    </vt:vector>
  </TitlesOfParts>
  <Company/>
  <LinksUpToDate>false</LinksUpToDate>
  <CharactersWithSpaces>39078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 Framework Chapter 9 - Curriculum Frameworks (CA Dept of Education)</dc:title>
  <dc:subject>Chapter 9: Structuring School Experiences for Equity and Engagement.</dc:subject>
  <dc:creator/>
  <cp:lastModifiedBy/>
  <cp:revision>1</cp:revision>
  <dcterms:created xsi:type="dcterms:W3CDTF">2023-06-16T16:48:00Z</dcterms:created>
  <dcterms:modified xsi:type="dcterms:W3CDTF">2023-10-10T18:03:00Z</dcterms:modified>
</cp:coreProperties>
</file>