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E53D" w14:textId="77777777" w:rsidR="00483725" w:rsidRDefault="00483725" w:rsidP="00EA61B9">
      <w:pPr>
        <w:pBdr>
          <w:top w:val="single" w:sz="24" w:space="1" w:color="auto"/>
          <w:left w:val="single" w:sz="24" w:space="4" w:color="auto"/>
          <w:bottom w:val="single" w:sz="24" w:space="1" w:color="auto"/>
          <w:right w:val="single" w:sz="24" w:space="4" w:color="auto"/>
        </w:pBdr>
        <w:spacing w:after="240"/>
        <w:jc w:val="both"/>
        <w:rPr>
          <w:b/>
          <w:bCs/>
        </w:rPr>
      </w:pPr>
    </w:p>
    <w:p w14:paraId="33F8FF32" w14:textId="77777777" w:rsidR="00483725" w:rsidRPr="003A5A39" w:rsidRDefault="00483725" w:rsidP="003A5A39">
      <w:pPr>
        <w:pBdr>
          <w:top w:val="single" w:sz="24" w:space="1" w:color="auto"/>
          <w:left w:val="single" w:sz="24" w:space="4" w:color="auto"/>
          <w:bottom w:val="single" w:sz="24" w:space="1" w:color="auto"/>
          <w:right w:val="single" w:sz="24" w:space="4" w:color="auto"/>
        </w:pBdr>
        <w:spacing w:after="240"/>
        <w:jc w:val="center"/>
        <w:rPr>
          <w:b/>
          <w:bCs/>
          <w:sz w:val="28"/>
          <w:szCs w:val="28"/>
        </w:rPr>
      </w:pPr>
      <w:bookmarkStart w:id="0" w:name="_Toc220420857"/>
      <w:bookmarkStart w:id="1" w:name="_Toc221186038"/>
      <w:bookmarkStart w:id="2" w:name="_Toc221186240"/>
      <w:bookmarkStart w:id="3" w:name="_Toc226018358"/>
      <w:bookmarkStart w:id="4" w:name="_Toc226018472"/>
      <w:bookmarkStart w:id="5" w:name="_Toc230962691"/>
      <w:r w:rsidRPr="003A5A39">
        <w:rPr>
          <w:b/>
          <w:bCs/>
          <w:sz w:val="28"/>
          <w:szCs w:val="28"/>
        </w:rPr>
        <w:t>California Department of Education</w:t>
      </w:r>
      <w:bookmarkEnd w:id="0"/>
      <w:bookmarkEnd w:id="1"/>
      <w:bookmarkEnd w:id="2"/>
      <w:bookmarkEnd w:id="3"/>
      <w:bookmarkEnd w:id="4"/>
      <w:bookmarkEnd w:id="5"/>
    </w:p>
    <w:p w14:paraId="121463CA" w14:textId="1DD49540" w:rsidR="0007789B" w:rsidRDefault="001150EF" w:rsidP="003A5A39">
      <w:pPr>
        <w:pStyle w:val="Heading1"/>
      </w:pPr>
      <w:r w:rsidRPr="0007789B">
        <w:t xml:space="preserve">Report </w:t>
      </w:r>
      <w:proofErr w:type="gramStart"/>
      <w:r w:rsidRPr="0007789B">
        <w:t>to</w:t>
      </w:r>
      <w:proofErr w:type="gramEnd"/>
      <w:r w:rsidRPr="0007789B">
        <w:t xml:space="preserve"> the </w:t>
      </w:r>
      <w:r>
        <w:t xml:space="preserve">Legislature: </w:t>
      </w:r>
      <w:r w:rsidR="0007789B" w:rsidRPr="0007789B">
        <w:t xml:space="preserve">Implementation of the California Serves Grant 2025 </w:t>
      </w:r>
    </w:p>
    <w:p w14:paraId="2BD6D027" w14:textId="377EAF35" w:rsidR="00483725" w:rsidRDefault="00483725" w:rsidP="00EA61B9">
      <w:pPr>
        <w:pBdr>
          <w:top w:val="single" w:sz="24" w:space="1" w:color="auto"/>
          <w:left w:val="single" w:sz="24" w:space="4" w:color="auto"/>
          <w:bottom w:val="single" w:sz="24" w:space="1" w:color="auto"/>
          <w:right w:val="single" w:sz="24" w:space="4" w:color="auto"/>
        </w:pBdr>
        <w:spacing w:after="240"/>
        <w:jc w:val="center"/>
        <w:rPr>
          <w:b/>
          <w:bCs/>
        </w:rPr>
      </w:pPr>
      <w:r>
        <w:rPr>
          <w:color w:val="C0C0C0"/>
        </w:rPr>
        <w:object w:dxaOrig="5999" w:dyaOrig="5999" w14:anchorId="5B631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9.25pt;height:179.25pt" o:ole="">
            <v:imagedata r:id="rId7" o:title=""/>
          </v:shape>
          <o:OLEObject Type="Embed" ProgID="MSPhotoEd.3" ShapeID="_x0000_i1025" DrawAspect="Content" ObjectID="_1842605695" r:id="rId8"/>
        </w:object>
      </w:r>
    </w:p>
    <w:p w14:paraId="6AFC2395" w14:textId="77777777" w:rsidR="00483725" w:rsidRDefault="00483725" w:rsidP="00F711BA">
      <w:pPr>
        <w:pBdr>
          <w:top w:val="single" w:sz="24" w:space="1" w:color="auto"/>
          <w:left w:val="single" w:sz="24" w:space="4" w:color="auto"/>
          <w:bottom w:val="single" w:sz="24" w:space="1" w:color="auto"/>
          <w:right w:val="single" w:sz="24" w:space="4" w:color="auto"/>
        </w:pBdr>
        <w:spacing w:after="240"/>
        <w:jc w:val="center"/>
        <w:rPr>
          <w:b/>
          <w:bCs/>
          <w:iCs/>
        </w:rPr>
      </w:pPr>
      <w:r>
        <w:rPr>
          <w:b/>
          <w:bCs/>
          <w:iCs/>
        </w:rPr>
        <w:t>Prepared by:</w:t>
      </w:r>
    </w:p>
    <w:p w14:paraId="7871EAD5" w14:textId="6B63F164" w:rsidR="00483725" w:rsidRPr="00DD4FA7" w:rsidRDefault="00483725" w:rsidP="005B1F66">
      <w:pPr>
        <w:pBdr>
          <w:top w:val="single" w:sz="24" w:space="1" w:color="auto"/>
          <w:left w:val="single" w:sz="24" w:space="4" w:color="auto"/>
          <w:bottom w:val="single" w:sz="24" w:space="1" w:color="auto"/>
          <w:right w:val="single" w:sz="24" w:space="4" w:color="auto"/>
        </w:pBdr>
        <w:spacing w:after="240"/>
        <w:jc w:val="center"/>
        <w:rPr>
          <w:b/>
          <w:bCs/>
          <w:sz w:val="28"/>
          <w:szCs w:val="28"/>
        </w:rPr>
      </w:pPr>
      <w:r>
        <w:rPr>
          <w:b/>
          <w:bCs/>
          <w:sz w:val="28"/>
          <w:szCs w:val="28"/>
        </w:rPr>
        <w:t>Professional Learning Support Division</w:t>
      </w:r>
    </w:p>
    <w:p w14:paraId="454AE351" w14:textId="0EE205AC" w:rsidR="00483725" w:rsidRPr="00DD4FA7" w:rsidRDefault="00227439" w:rsidP="005B1F66">
      <w:pPr>
        <w:pBdr>
          <w:top w:val="single" w:sz="24" w:space="1" w:color="auto"/>
          <w:left w:val="single" w:sz="24" w:space="4" w:color="auto"/>
          <w:bottom w:val="single" w:sz="24" w:space="1" w:color="auto"/>
          <w:right w:val="single" w:sz="24" w:space="4" w:color="auto"/>
        </w:pBdr>
        <w:spacing w:after="240"/>
        <w:jc w:val="center"/>
        <w:rPr>
          <w:b/>
          <w:bCs/>
          <w:sz w:val="28"/>
          <w:szCs w:val="28"/>
        </w:rPr>
      </w:pPr>
      <w:r>
        <w:rPr>
          <w:b/>
          <w:bCs/>
          <w:sz w:val="28"/>
          <w:szCs w:val="28"/>
        </w:rPr>
        <w:t>Building Educational Success Together</w:t>
      </w:r>
      <w:r w:rsidR="00483725" w:rsidRPr="00DD4FA7">
        <w:rPr>
          <w:b/>
          <w:bCs/>
          <w:sz w:val="28"/>
          <w:szCs w:val="28"/>
        </w:rPr>
        <w:t xml:space="preserve"> Branch</w:t>
      </w:r>
    </w:p>
    <w:p w14:paraId="36922C95" w14:textId="6CDC1083" w:rsidR="00483725" w:rsidRPr="00DD4FA7" w:rsidRDefault="001150EF" w:rsidP="00F711BA">
      <w:pPr>
        <w:pBdr>
          <w:top w:val="single" w:sz="24" w:space="1" w:color="auto"/>
          <w:left w:val="single" w:sz="24" w:space="4" w:color="auto"/>
          <w:bottom w:val="single" w:sz="24" w:space="1" w:color="auto"/>
          <w:right w:val="single" w:sz="24" w:space="4" w:color="auto"/>
        </w:pBdr>
        <w:spacing w:after="240"/>
        <w:jc w:val="center"/>
        <w:rPr>
          <w:iCs/>
        </w:rPr>
      </w:pPr>
      <w:r>
        <w:rPr>
          <w:iCs/>
        </w:rPr>
        <w:t>January 2026</w:t>
      </w:r>
    </w:p>
    <w:p w14:paraId="29013481" w14:textId="4A4298A0" w:rsidR="00483725" w:rsidRPr="005274CE" w:rsidRDefault="00483725" w:rsidP="00F711BA">
      <w:pPr>
        <w:pBdr>
          <w:top w:val="single" w:sz="24" w:space="1" w:color="auto"/>
          <w:left w:val="single" w:sz="24" w:space="4" w:color="auto"/>
          <w:bottom w:val="single" w:sz="24" w:space="1" w:color="auto"/>
          <w:right w:val="single" w:sz="24" w:space="4" w:color="auto"/>
        </w:pBdr>
        <w:spacing w:after="240"/>
        <w:jc w:val="both"/>
        <w:rPr>
          <w:lang w:bidi="en-US"/>
        </w:rPr>
      </w:pPr>
      <w:r w:rsidRPr="005274CE">
        <w:rPr>
          <w:i/>
          <w:lang w:bidi="en-US"/>
        </w:rPr>
        <w:t>Description</w:t>
      </w:r>
      <w:r w:rsidRPr="005274CE">
        <w:rPr>
          <w:lang w:bidi="en-US"/>
        </w:rPr>
        <w:t>: Implementation of the California Serves Grant Program</w:t>
      </w:r>
    </w:p>
    <w:p w14:paraId="1AAC9B7A" w14:textId="44778FAB" w:rsidR="00483725" w:rsidRPr="005274CE" w:rsidRDefault="00483725" w:rsidP="00F711BA">
      <w:pPr>
        <w:pBdr>
          <w:top w:val="single" w:sz="24" w:space="1" w:color="auto"/>
          <w:left w:val="single" w:sz="24" w:space="4" w:color="auto"/>
          <w:bottom w:val="single" w:sz="24" w:space="1" w:color="auto"/>
          <w:right w:val="single" w:sz="24" w:space="4" w:color="auto"/>
        </w:pBdr>
        <w:spacing w:after="240"/>
        <w:jc w:val="both"/>
        <w:rPr>
          <w:lang w:bidi="en-US"/>
        </w:rPr>
      </w:pPr>
      <w:r w:rsidRPr="005274CE">
        <w:rPr>
          <w:i/>
          <w:lang w:bidi="en-US"/>
        </w:rPr>
        <w:t>Authority</w:t>
      </w:r>
      <w:r w:rsidRPr="005274CE">
        <w:rPr>
          <w:lang w:bidi="en-US"/>
        </w:rPr>
        <w:t xml:space="preserve">: </w:t>
      </w:r>
      <w:r w:rsidR="00A218F4" w:rsidRPr="005274CE">
        <w:rPr>
          <w:lang w:bidi="en-US"/>
        </w:rPr>
        <w:t xml:space="preserve">California </w:t>
      </w:r>
      <w:r w:rsidR="00A218F4" w:rsidRPr="005274CE">
        <w:rPr>
          <w:i/>
          <w:iCs/>
          <w:lang w:bidi="en-US"/>
        </w:rPr>
        <w:t>Education Code</w:t>
      </w:r>
      <w:r w:rsidR="00A218F4" w:rsidRPr="005274CE">
        <w:rPr>
          <w:lang w:bidi="en-US"/>
        </w:rPr>
        <w:t xml:space="preserve"> Section 51475</w:t>
      </w:r>
    </w:p>
    <w:p w14:paraId="13052CE6" w14:textId="3E3D1F8D" w:rsidR="00483725" w:rsidRPr="005274CE" w:rsidRDefault="00483725" w:rsidP="00F711BA">
      <w:pPr>
        <w:pBdr>
          <w:top w:val="single" w:sz="24" w:space="1" w:color="auto"/>
          <w:left w:val="single" w:sz="24" w:space="4" w:color="auto"/>
          <w:bottom w:val="single" w:sz="24" w:space="1" w:color="auto"/>
          <w:right w:val="single" w:sz="24" w:space="4" w:color="auto"/>
        </w:pBdr>
        <w:spacing w:after="240"/>
        <w:jc w:val="both"/>
        <w:rPr>
          <w:lang w:bidi="en-US"/>
        </w:rPr>
      </w:pPr>
      <w:r w:rsidRPr="005274CE">
        <w:rPr>
          <w:i/>
          <w:lang w:bidi="en-US"/>
        </w:rPr>
        <w:t>Recipient</w:t>
      </w:r>
      <w:r w:rsidRPr="005274CE">
        <w:rPr>
          <w:lang w:bidi="en-US"/>
        </w:rPr>
        <w:t xml:space="preserve">: </w:t>
      </w:r>
      <w:r w:rsidR="001150EF" w:rsidRPr="005274CE">
        <w:rPr>
          <w:lang w:bidi="en-US"/>
        </w:rPr>
        <w:t xml:space="preserve">The </w:t>
      </w:r>
      <w:r w:rsidRPr="005274CE">
        <w:rPr>
          <w:lang w:bidi="en-US"/>
        </w:rPr>
        <w:t xml:space="preserve">Governor, </w:t>
      </w:r>
      <w:r w:rsidR="001150EF" w:rsidRPr="005274CE">
        <w:rPr>
          <w:lang w:bidi="en-US"/>
        </w:rPr>
        <w:t xml:space="preserve">the California State </w:t>
      </w:r>
      <w:r w:rsidRPr="005274CE">
        <w:rPr>
          <w:lang w:bidi="en-US"/>
        </w:rPr>
        <w:t>Legislature, and the Legislative Analyst’s Office</w:t>
      </w:r>
    </w:p>
    <w:p w14:paraId="0F88B64E" w14:textId="0E5F81D1" w:rsidR="00483725" w:rsidRPr="005274CE" w:rsidRDefault="00483725" w:rsidP="00F711BA">
      <w:pPr>
        <w:pBdr>
          <w:top w:val="single" w:sz="24" w:space="1" w:color="auto"/>
          <w:left w:val="single" w:sz="24" w:space="4" w:color="auto"/>
          <w:bottom w:val="single" w:sz="24" w:space="1" w:color="auto"/>
          <w:right w:val="single" w:sz="24" w:space="4" w:color="auto"/>
        </w:pBdr>
        <w:spacing w:after="240"/>
        <w:jc w:val="both"/>
        <w:rPr>
          <w:lang w:bidi="en-US"/>
        </w:rPr>
      </w:pPr>
      <w:r w:rsidRPr="005274CE">
        <w:rPr>
          <w:i/>
          <w:lang w:bidi="en-US"/>
        </w:rPr>
        <w:t>Due Date</w:t>
      </w:r>
      <w:r w:rsidRPr="005274CE">
        <w:rPr>
          <w:lang w:bidi="en-US"/>
        </w:rPr>
        <w:t xml:space="preserve">: November </w:t>
      </w:r>
      <w:r w:rsidR="00EE0485" w:rsidRPr="005274CE">
        <w:rPr>
          <w:lang w:bidi="en-US"/>
        </w:rPr>
        <w:t>5</w:t>
      </w:r>
      <w:r w:rsidRPr="005274CE">
        <w:rPr>
          <w:lang w:bidi="en-US"/>
        </w:rPr>
        <w:t>, 202</w:t>
      </w:r>
      <w:r w:rsidR="006B730F" w:rsidRPr="005274CE">
        <w:rPr>
          <w:lang w:bidi="en-US"/>
        </w:rPr>
        <w:t>5</w:t>
      </w:r>
    </w:p>
    <w:p w14:paraId="0AC697D8" w14:textId="77777777" w:rsidR="00483725" w:rsidRDefault="00483725" w:rsidP="00EA61B9">
      <w:pPr>
        <w:pBdr>
          <w:top w:val="single" w:sz="24" w:space="1" w:color="auto"/>
          <w:left w:val="single" w:sz="24" w:space="4" w:color="auto"/>
          <w:bottom w:val="single" w:sz="24" w:space="1" w:color="auto"/>
          <w:right w:val="single" w:sz="24" w:space="4" w:color="auto"/>
        </w:pBdr>
        <w:spacing w:after="240"/>
        <w:rPr>
          <w:lang w:bidi="en-US"/>
        </w:rPr>
      </w:pPr>
    </w:p>
    <w:p w14:paraId="77E61C25" w14:textId="77777777" w:rsidR="00483725" w:rsidRDefault="00483725" w:rsidP="00EA61B9">
      <w:pPr>
        <w:spacing w:after="240"/>
        <w:sectPr w:rsidR="00483725">
          <w:footerReference w:type="default" r:id="rId9"/>
          <w:pgSz w:w="12240" w:h="15840"/>
          <w:pgMar w:top="1440" w:right="1440" w:bottom="1440" w:left="1440" w:header="720" w:footer="720" w:gutter="0"/>
          <w:cols w:space="720"/>
          <w:docGrid w:linePitch="360"/>
        </w:sectPr>
      </w:pPr>
    </w:p>
    <w:p w14:paraId="03524915" w14:textId="77777777" w:rsidR="00140319" w:rsidRPr="00140319" w:rsidRDefault="00140319" w:rsidP="00140319">
      <w:pPr>
        <w:tabs>
          <w:tab w:val="decimal" w:leader="dot" w:pos="8820"/>
        </w:tabs>
        <w:spacing w:line="360" w:lineRule="auto"/>
        <w:ind w:right="-180"/>
        <w:jc w:val="center"/>
        <w:rPr>
          <w:rFonts w:eastAsia="Times New Roman"/>
          <w:b/>
          <w:bCs/>
          <w:color w:val="auto"/>
        </w:rPr>
      </w:pPr>
      <w:r w:rsidRPr="00140319">
        <w:rPr>
          <w:rFonts w:eastAsia="Times New Roman"/>
          <w:b/>
          <w:bCs/>
          <w:color w:val="auto"/>
        </w:rPr>
        <w:lastRenderedPageBreak/>
        <w:t>California Department of Education</w:t>
      </w:r>
    </w:p>
    <w:p w14:paraId="1BFF09B1" w14:textId="595C18C6" w:rsidR="00140319" w:rsidRPr="009C263F" w:rsidRDefault="00140319" w:rsidP="00CF6616">
      <w:pPr>
        <w:spacing w:line="360" w:lineRule="auto"/>
        <w:jc w:val="center"/>
        <w:rPr>
          <w:rFonts w:eastAsia="Times New Roman"/>
          <w:b/>
          <w:bCs/>
          <w:color w:val="000000" w:themeColor="text1"/>
        </w:rPr>
      </w:pPr>
      <w:r w:rsidRPr="009C263F">
        <w:rPr>
          <w:rFonts w:eastAsia="Times New Roman"/>
          <w:b/>
          <w:color w:val="000000" w:themeColor="text1"/>
        </w:rPr>
        <w:t xml:space="preserve">Report </w:t>
      </w:r>
      <w:proofErr w:type="gramStart"/>
      <w:r w:rsidRPr="009C263F">
        <w:rPr>
          <w:rFonts w:eastAsia="Times New Roman"/>
          <w:b/>
          <w:color w:val="000000" w:themeColor="text1"/>
        </w:rPr>
        <w:t>to</w:t>
      </w:r>
      <w:proofErr w:type="gramEnd"/>
      <w:r w:rsidRPr="009C263F">
        <w:rPr>
          <w:rFonts w:eastAsia="Times New Roman"/>
          <w:b/>
          <w:color w:val="000000" w:themeColor="text1"/>
        </w:rPr>
        <w:t xml:space="preserve"> the </w:t>
      </w:r>
      <w:r w:rsidR="00CF6616" w:rsidRPr="009C263F">
        <w:rPr>
          <w:rFonts w:eastAsia="Times New Roman"/>
          <w:b/>
          <w:color w:val="000000" w:themeColor="text1"/>
        </w:rPr>
        <w:t xml:space="preserve">Legislature: </w:t>
      </w:r>
      <w:r w:rsidR="009C263F" w:rsidRPr="009C263F">
        <w:rPr>
          <w:rFonts w:eastAsia="Times New Roman"/>
          <w:b/>
          <w:bCs/>
          <w:color w:val="000000" w:themeColor="text1"/>
        </w:rPr>
        <w:t>Implementation of the California Serves Grant</w:t>
      </w:r>
      <w:r w:rsidR="006932AA">
        <w:rPr>
          <w:rFonts w:eastAsia="Times New Roman"/>
          <w:b/>
          <w:bCs/>
          <w:color w:val="000000" w:themeColor="text1"/>
        </w:rPr>
        <w:t xml:space="preserve"> 2025</w:t>
      </w:r>
    </w:p>
    <w:p w14:paraId="22239B51" w14:textId="77777777" w:rsidR="00140319" w:rsidRPr="00140319" w:rsidRDefault="00140319" w:rsidP="00140319">
      <w:pPr>
        <w:jc w:val="center"/>
        <w:rPr>
          <w:rFonts w:eastAsia="Times New Roman"/>
          <w:b/>
          <w:color w:val="auto"/>
          <w:sz w:val="28"/>
        </w:rPr>
      </w:pPr>
      <w:r w:rsidRPr="00140319">
        <w:rPr>
          <w:rFonts w:eastAsia="Times New Roman"/>
          <w:b/>
          <w:color w:val="auto"/>
          <w:sz w:val="28"/>
        </w:rPr>
        <w:t>Table of Contents</w:t>
      </w:r>
    </w:p>
    <w:p w14:paraId="4B0A3CB8" w14:textId="77777777" w:rsidR="00140319" w:rsidRPr="00140319" w:rsidRDefault="00140319" w:rsidP="00140319">
      <w:pPr>
        <w:jc w:val="both"/>
        <w:rPr>
          <w:rFonts w:eastAsia="Times New Roman"/>
          <w:color w:val="auto"/>
        </w:rPr>
      </w:pPr>
    </w:p>
    <w:p w14:paraId="1C7C46D3" w14:textId="70395B11" w:rsidR="006B37F2" w:rsidRDefault="00324C4F" w:rsidP="006B37F2">
      <w:pPr>
        <w:pStyle w:val="TOC1"/>
        <w:tabs>
          <w:tab w:val="right" w:leader="dot" w:pos="9350"/>
        </w:tabs>
        <w:rPr>
          <w:rFonts w:asciiTheme="minorHAnsi" w:eastAsiaTheme="minorEastAsia" w:hAnsiTheme="minorHAnsi" w:cstheme="minorBidi"/>
          <w:noProof/>
          <w:color w:val="auto"/>
          <w:kern w:val="2"/>
          <w14:ligatures w14:val="standardContextual"/>
        </w:rPr>
      </w:pPr>
      <w:r>
        <w:fldChar w:fldCharType="begin"/>
      </w:r>
      <w:r>
        <w:instrText xml:space="preserve"> TOC \o "1-2" \u </w:instrText>
      </w:r>
      <w:r>
        <w:fldChar w:fldCharType="separate"/>
      </w:r>
      <w:r w:rsidR="006B37F2">
        <w:rPr>
          <w:noProof/>
        </w:rPr>
        <w:t>Executive Summary</w:t>
      </w:r>
      <w:r w:rsidR="006B37F2">
        <w:rPr>
          <w:noProof/>
        </w:rPr>
        <w:tab/>
      </w:r>
      <w:r w:rsidR="006B37F2">
        <w:rPr>
          <w:noProof/>
        </w:rPr>
        <w:fldChar w:fldCharType="begin"/>
      </w:r>
      <w:r w:rsidR="006B37F2">
        <w:rPr>
          <w:noProof/>
        </w:rPr>
        <w:instrText xml:space="preserve"> PAGEREF _Toc230962692 \h </w:instrText>
      </w:r>
      <w:r w:rsidR="006B37F2">
        <w:rPr>
          <w:noProof/>
        </w:rPr>
      </w:r>
      <w:r w:rsidR="006B37F2">
        <w:rPr>
          <w:noProof/>
        </w:rPr>
        <w:fldChar w:fldCharType="separate"/>
      </w:r>
      <w:r w:rsidR="00304BD2">
        <w:rPr>
          <w:noProof/>
        </w:rPr>
        <w:t>3</w:t>
      </w:r>
      <w:r w:rsidR="006B37F2">
        <w:rPr>
          <w:noProof/>
        </w:rPr>
        <w:fldChar w:fldCharType="end"/>
      </w:r>
    </w:p>
    <w:p w14:paraId="66B5DF99" w14:textId="180E7202" w:rsidR="006B37F2" w:rsidRDefault="006B37F2" w:rsidP="006B37F2">
      <w:pPr>
        <w:pStyle w:val="TOC2"/>
        <w:tabs>
          <w:tab w:val="right" w:leader="dot" w:pos="9350"/>
        </w:tabs>
        <w:ind w:left="0"/>
        <w:rPr>
          <w:rFonts w:asciiTheme="minorHAnsi" w:eastAsiaTheme="minorEastAsia" w:hAnsiTheme="minorHAnsi" w:cstheme="minorBidi"/>
          <w:noProof/>
          <w:color w:val="auto"/>
          <w:kern w:val="2"/>
          <w14:ligatures w14:val="standardContextual"/>
        </w:rPr>
      </w:pPr>
      <w:r>
        <w:rPr>
          <w:noProof/>
        </w:rPr>
        <w:t>Introduction</w:t>
      </w:r>
      <w:r>
        <w:rPr>
          <w:noProof/>
        </w:rPr>
        <w:tab/>
      </w:r>
      <w:r>
        <w:rPr>
          <w:noProof/>
        </w:rPr>
        <w:fldChar w:fldCharType="begin"/>
      </w:r>
      <w:r>
        <w:rPr>
          <w:noProof/>
        </w:rPr>
        <w:instrText xml:space="preserve"> PAGEREF _Toc230962693 \h </w:instrText>
      </w:r>
      <w:r>
        <w:rPr>
          <w:noProof/>
        </w:rPr>
      </w:r>
      <w:r>
        <w:rPr>
          <w:noProof/>
        </w:rPr>
        <w:fldChar w:fldCharType="separate"/>
      </w:r>
      <w:r w:rsidR="00304BD2">
        <w:rPr>
          <w:noProof/>
        </w:rPr>
        <w:t>4</w:t>
      </w:r>
      <w:r>
        <w:rPr>
          <w:noProof/>
        </w:rPr>
        <w:fldChar w:fldCharType="end"/>
      </w:r>
    </w:p>
    <w:p w14:paraId="6A4FCD57" w14:textId="775509D0" w:rsidR="006B37F2" w:rsidRDefault="006B37F2" w:rsidP="006B37F2">
      <w:pPr>
        <w:pStyle w:val="TOC2"/>
        <w:tabs>
          <w:tab w:val="right" w:leader="dot" w:pos="9350"/>
        </w:tabs>
        <w:ind w:left="0"/>
        <w:rPr>
          <w:rFonts w:asciiTheme="minorHAnsi" w:eastAsiaTheme="minorEastAsia" w:hAnsiTheme="minorHAnsi" w:cstheme="minorBidi"/>
          <w:noProof/>
          <w:color w:val="auto"/>
          <w:kern w:val="2"/>
          <w14:ligatures w14:val="standardContextual"/>
        </w:rPr>
      </w:pPr>
      <w:r>
        <w:rPr>
          <w:noProof/>
        </w:rPr>
        <w:t>Cohort 1</w:t>
      </w:r>
      <w:r>
        <w:rPr>
          <w:noProof/>
        </w:rPr>
        <w:tab/>
      </w:r>
      <w:r>
        <w:rPr>
          <w:noProof/>
        </w:rPr>
        <w:fldChar w:fldCharType="begin"/>
      </w:r>
      <w:r>
        <w:rPr>
          <w:noProof/>
        </w:rPr>
        <w:instrText xml:space="preserve"> PAGEREF _Toc230962694 \h </w:instrText>
      </w:r>
      <w:r>
        <w:rPr>
          <w:noProof/>
        </w:rPr>
      </w:r>
      <w:r>
        <w:rPr>
          <w:noProof/>
        </w:rPr>
        <w:fldChar w:fldCharType="separate"/>
      </w:r>
      <w:r w:rsidR="00304BD2">
        <w:rPr>
          <w:noProof/>
        </w:rPr>
        <w:t>9</w:t>
      </w:r>
      <w:r>
        <w:rPr>
          <w:noProof/>
        </w:rPr>
        <w:fldChar w:fldCharType="end"/>
      </w:r>
    </w:p>
    <w:p w14:paraId="12857DDE" w14:textId="352F8CEC" w:rsidR="006B37F2" w:rsidRDefault="006B37F2" w:rsidP="006B37F2">
      <w:pPr>
        <w:pStyle w:val="TOC2"/>
        <w:tabs>
          <w:tab w:val="right" w:leader="dot" w:pos="9350"/>
        </w:tabs>
        <w:ind w:left="0"/>
        <w:rPr>
          <w:rFonts w:asciiTheme="minorHAnsi" w:eastAsiaTheme="minorEastAsia" w:hAnsiTheme="minorHAnsi" w:cstheme="minorBidi"/>
          <w:noProof/>
          <w:color w:val="auto"/>
          <w:kern w:val="2"/>
          <w14:ligatures w14:val="standardContextual"/>
        </w:rPr>
      </w:pPr>
      <w:r>
        <w:rPr>
          <w:noProof/>
        </w:rPr>
        <w:t>Cohort 2</w:t>
      </w:r>
      <w:r>
        <w:rPr>
          <w:noProof/>
        </w:rPr>
        <w:tab/>
      </w:r>
      <w:r>
        <w:rPr>
          <w:noProof/>
        </w:rPr>
        <w:fldChar w:fldCharType="begin"/>
      </w:r>
      <w:r>
        <w:rPr>
          <w:noProof/>
        </w:rPr>
        <w:instrText xml:space="preserve"> PAGEREF _Toc230962695 \h </w:instrText>
      </w:r>
      <w:r>
        <w:rPr>
          <w:noProof/>
        </w:rPr>
      </w:r>
      <w:r>
        <w:rPr>
          <w:noProof/>
        </w:rPr>
        <w:fldChar w:fldCharType="separate"/>
      </w:r>
      <w:r w:rsidR="00304BD2">
        <w:rPr>
          <w:noProof/>
        </w:rPr>
        <w:t>20</w:t>
      </w:r>
      <w:r>
        <w:rPr>
          <w:noProof/>
        </w:rPr>
        <w:fldChar w:fldCharType="end"/>
      </w:r>
    </w:p>
    <w:p w14:paraId="263A5969" w14:textId="72BE7460" w:rsidR="006B37F2" w:rsidRDefault="006B37F2" w:rsidP="006B37F2">
      <w:pPr>
        <w:pStyle w:val="TOC2"/>
        <w:tabs>
          <w:tab w:val="right" w:leader="dot" w:pos="9350"/>
        </w:tabs>
        <w:ind w:left="0"/>
        <w:rPr>
          <w:rFonts w:asciiTheme="minorHAnsi" w:eastAsiaTheme="minorEastAsia" w:hAnsiTheme="minorHAnsi" w:cstheme="minorBidi"/>
          <w:noProof/>
          <w:color w:val="auto"/>
          <w:kern w:val="2"/>
          <w14:ligatures w14:val="standardContextual"/>
        </w:rPr>
      </w:pPr>
      <w:r>
        <w:rPr>
          <w:noProof/>
        </w:rPr>
        <w:t>Cohort 3</w:t>
      </w:r>
      <w:r>
        <w:rPr>
          <w:noProof/>
        </w:rPr>
        <w:tab/>
      </w:r>
      <w:r>
        <w:rPr>
          <w:noProof/>
        </w:rPr>
        <w:fldChar w:fldCharType="begin"/>
      </w:r>
      <w:r>
        <w:rPr>
          <w:noProof/>
        </w:rPr>
        <w:instrText xml:space="preserve"> PAGEREF _Toc230962696 \h </w:instrText>
      </w:r>
      <w:r>
        <w:rPr>
          <w:noProof/>
        </w:rPr>
      </w:r>
      <w:r>
        <w:rPr>
          <w:noProof/>
        </w:rPr>
        <w:fldChar w:fldCharType="separate"/>
      </w:r>
      <w:r w:rsidR="00304BD2">
        <w:rPr>
          <w:noProof/>
        </w:rPr>
        <w:t>30</w:t>
      </w:r>
      <w:r>
        <w:rPr>
          <w:noProof/>
        </w:rPr>
        <w:fldChar w:fldCharType="end"/>
      </w:r>
    </w:p>
    <w:p w14:paraId="2784C79F" w14:textId="430D2595" w:rsidR="006B37F2" w:rsidRDefault="006B37F2" w:rsidP="006B37F2">
      <w:pPr>
        <w:pStyle w:val="TOC2"/>
        <w:tabs>
          <w:tab w:val="right" w:leader="dot" w:pos="9350"/>
        </w:tabs>
        <w:ind w:left="0"/>
        <w:rPr>
          <w:rFonts w:asciiTheme="minorHAnsi" w:eastAsiaTheme="minorEastAsia" w:hAnsiTheme="minorHAnsi" w:cstheme="minorBidi"/>
          <w:noProof/>
          <w:color w:val="auto"/>
          <w:kern w:val="2"/>
          <w14:ligatures w14:val="standardContextual"/>
        </w:rPr>
      </w:pPr>
      <w:r>
        <w:rPr>
          <w:noProof/>
        </w:rPr>
        <w:t>Overall Findings and Recommendations</w:t>
      </w:r>
      <w:r>
        <w:rPr>
          <w:noProof/>
        </w:rPr>
        <w:tab/>
      </w:r>
      <w:r>
        <w:rPr>
          <w:noProof/>
        </w:rPr>
        <w:fldChar w:fldCharType="begin"/>
      </w:r>
      <w:r>
        <w:rPr>
          <w:noProof/>
        </w:rPr>
        <w:instrText xml:space="preserve"> PAGEREF _Toc230962697 \h </w:instrText>
      </w:r>
      <w:r>
        <w:rPr>
          <w:noProof/>
        </w:rPr>
      </w:r>
      <w:r>
        <w:rPr>
          <w:noProof/>
        </w:rPr>
        <w:fldChar w:fldCharType="separate"/>
      </w:r>
      <w:r w:rsidR="00304BD2">
        <w:rPr>
          <w:noProof/>
        </w:rPr>
        <w:t>39</w:t>
      </w:r>
      <w:r>
        <w:rPr>
          <w:noProof/>
        </w:rPr>
        <w:fldChar w:fldCharType="end"/>
      </w:r>
    </w:p>
    <w:p w14:paraId="2BEAD443" w14:textId="24F9B9E1" w:rsidR="006B37F2" w:rsidRDefault="006B37F2" w:rsidP="006B37F2">
      <w:pPr>
        <w:pStyle w:val="TOC2"/>
        <w:tabs>
          <w:tab w:val="right" w:leader="dot" w:pos="9350"/>
        </w:tabs>
        <w:ind w:left="0"/>
        <w:rPr>
          <w:rFonts w:asciiTheme="minorHAnsi" w:eastAsiaTheme="minorEastAsia" w:hAnsiTheme="minorHAnsi" w:cstheme="minorBidi"/>
          <w:noProof/>
          <w:color w:val="auto"/>
          <w:kern w:val="2"/>
          <w14:ligatures w14:val="standardContextual"/>
        </w:rPr>
      </w:pPr>
      <w:r>
        <w:rPr>
          <w:noProof/>
        </w:rPr>
        <w:t>Conclusion</w:t>
      </w:r>
      <w:r>
        <w:rPr>
          <w:noProof/>
        </w:rPr>
        <w:tab/>
      </w:r>
      <w:r>
        <w:rPr>
          <w:noProof/>
        </w:rPr>
        <w:fldChar w:fldCharType="begin"/>
      </w:r>
      <w:r>
        <w:rPr>
          <w:noProof/>
        </w:rPr>
        <w:instrText xml:space="preserve"> PAGEREF _Toc230962698 \h </w:instrText>
      </w:r>
      <w:r>
        <w:rPr>
          <w:noProof/>
        </w:rPr>
      </w:r>
      <w:r>
        <w:rPr>
          <w:noProof/>
        </w:rPr>
        <w:fldChar w:fldCharType="separate"/>
      </w:r>
      <w:r w:rsidR="00304BD2">
        <w:rPr>
          <w:noProof/>
        </w:rPr>
        <w:t>41</w:t>
      </w:r>
      <w:r>
        <w:rPr>
          <w:noProof/>
        </w:rPr>
        <w:fldChar w:fldCharType="end"/>
      </w:r>
    </w:p>
    <w:p w14:paraId="6ADDDC57" w14:textId="4DFC32D0" w:rsidR="006B37F2" w:rsidRDefault="006B37F2" w:rsidP="006B37F2">
      <w:pPr>
        <w:pStyle w:val="TOC2"/>
        <w:tabs>
          <w:tab w:val="right" w:leader="dot" w:pos="9350"/>
        </w:tabs>
        <w:ind w:left="0"/>
        <w:rPr>
          <w:rFonts w:asciiTheme="minorHAnsi" w:eastAsiaTheme="minorEastAsia" w:hAnsiTheme="minorHAnsi" w:cstheme="minorBidi"/>
          <w:noProof/>
          <w:color w:val="auto"/>
          <w:kern w:val="2"/>
          <w14:ligatures w14:val="standardContextual"/>
        </w:rPr>
      </w:pPr>
      <w:r>
        <w:rPr>
          <w:noProof/>
        </w:rPr>
        <w:t xml:space="preserve">Appendix A: </w:t>
      </w:r>
      <w:r w:rsidRPr="006B37F2">
        <w:rPr>
          <w:i/>
          <w:iCs/>
          <w:noProof/>
        </w:rPr>
        <w:t>Education Code</w:t>
      </w:r>
      <w:r>
        <w:rPr>
          <w:noProof/>
        </w:rPr>
        <w:tab/>
      </w:r>
      <w:r>
        <w:rPr>
          <w:noProof/>
        </w:rPr>
        <w:fldChar w:fldCharType="begin"/>
      </w:r>
      <w:r>
        <w:rPr>
          <w:noProof/>
        </w:rPr>
        <w:instrText xml:space="preserve"> PAGEREF _Toc230962699 \h </w:instrText>
      </w:r>
      <w:r>
        <w:rPr>
          <w:noProof/>
        </w:rPr>
      </w:r>
      <w:r>
        <w:rPr>
          <w:noProof/>
        </w:rPr>
        <w:fldChar w:fldCharType="separate"/>
      </w:r>
      <w:r w:rsidR="00304BD2">
        <w:rPr>
          <w:noProof/>
        </w:rPr>
        <w:t>43</w:t>
      </w:r>
      <w:r>
        <w:rPr>
          <w:noProof/>
        </w:rPr>
        <w:fldChar w:fldCharType="end"/>
      </w:r>
    </w:p>
    <w:p w14:paraId="12E16CFA" w14:textId="5F3630AC" w:rsidR="00140319" w:rsidRPr="00304BD2" w:rsidRDefault="00324C4F" w:rsidP="00304BD2">
      <w:pPr>
        <w:pStyle w:val="TOC2"/>
        <w:tabs>
          <w:tab w:val="right" w:leader="dot" w:pos="9345"/>
        </w:tabs>
        <w:ind w:left="0"/>
      </w:pPr>
      <w:r>
        <w:fldChar w:fldCharType="end"/>
      </w:r>
    </w:p>
    <w:p w14:paraId="5C871A35" w14:textId="346B6619" w:rsidR="00483725" w:rsidRDefault="00483725" w:rsidP="00140319">
      <w:pPr>
        <w:spacing w:after="240"/>
        <w:sectPr w:rsidR="00483725">
          <w:pgSz w:w="12240" w:h="15840"/>
          <w:pgMar w:top="1440" w:right="1440" w:bottom="1440" w:left="1440" w:header="720" w:footer="720" w:gutter="0"/>
          <w:cols w:space="720"/>
          <w:docGrid w:linePitch="360"/>
        </w:sectPr>
      </w:pPr>
    </w:p>
    <w:p w14:paraId="32FA1008" w14:textId="77777777" w:rsidR="00483725" w:rsidRPr="00483725" w:rsidRDefault="00483725" w:rsidP="00991B82">
      <w:pPr>
        <w:tabs>
          <w:tab w:val="decimal" w:leader="dot" w:pos="8820"/>
        </w:tabs>
        <w:spacing w:line="360" w:lineRule="auto"/>
        <w:ind w:right="-180"/>
        <w:jc w:val="center"/>
        <w:rPr>
          <w:b/>
          <w:bCs/>
        </w:rPr>
      </w:pPr>
      <w:r w:rsidRPr="00483725">
        <w:rPr>
          <w:b/>
          <w:bCs/>
        </w:rPr>
        <w:lastRenderedPageBreak/>
        <w:t>California Department of Education</w:t>
      </w:r>
    </w:p>
    <w:p w14:paraId="15FF21EB" w14:textId="7F6E7D1B" w:rsidR="00483725" w:rsidRPr="00483725" w:rsidRDefault="00483725" w:rsidP="00991B82">
      <w:pPr>
        <w:spacing w:after="240" w:line="360" w:lineRule="auto"/>
        <w:jc w:val="center"/>
        <w:rPr>
          <w:b/>
        </w:rPr>
      </w:pPr>
      <w:r w:rsidRPr="00483725">
        <w:rPr>
          <w:b/>
        </w:rPr>
        <w:t xml:space="preserve">Report </w:t>
      </w:r>
      <w:proofErr w:type="gramStart"/>
      <w:r w:rsidRPr="00483725">
        <w:rPr>
          <w:b/>
        </w:rPr>
        <w:t>to</w:t>
      </w:r>
      <w:proofErr w:type="gramEnd"/>
      <w:r w:rsidRPr="00483725">
        <w:rPr>
          <w:b/>
        </w:rPr>
        <w:t xml:space="preserve"> the </w:t>
      </w:r>
      <w:r w:rsidR="006932AA">
        <w:rPr>
          <w:b/>
        </w:rPr>
        <w:t>Legislature</w:t>
      </w:r>
      <w:r w:rsidRPr="00483725">
        <w:rPr>
          <w:b/>
        </w:rPr>
        <w:t>:</w:t>
      </w:r>
      <w:r w:rsidR="00991B82">
        <w:rPr>
          <w:b/>
        </w:rPr>
        <w:t xml:space="preserve"> </w:t>
      </w:r>
      <w:r w:rsidR="006932AA">
        <w:rPr>
          <w:b/>
        </w:rPr>
        <w:t xml:space="preserve">Implementation of the </w:t>
      </w:r>
      <w:r w:rsidR="00613AB3">
        <w:rPr>
          <w:b/>
          <w:bCs/>
        </w:rPr>
        <w:t xml:space="preserve">California Serves </w:t>
      </w:r>
      <w:r w:rsidR="00E00234">
        <w:rPr>
          <w:b/>
          <w:bCs/>
        </w:rPr>
        <w:t>Grant 2025</w:t>
      </w:r>
    </w:p>
    <w:p w14:paraId="5D609027" w14:textId="77C4FEFF" w:rsidR="00483725" w:rsidRPr="00A308F5" w:rsidRDefault="00483725" w:rsidP="00FF56BE">
      <w:pPr>
        <w:pStyle w:val="Heading2"/>
      </w:pPr>
      <w:bookmarkStart w:id="6" w:name="_Toc130219019"/>
      <w:bookmarkStart w:id="7" w:name="_Toc220420858"/>
      <w:bookmarkStart w:id="8" w:name="_Toc221186039"/>
      <w:bookmarkStart w:id="9" w:name="_Toc230962692"/>
      <w:r w:rsidRPr="00A308F5">
        <w:t>Executive Summary</w:t>
      </w:r>
      <w:bookmarkEnd w:id="6"/>
      <w:bookmarkEnd w:id="7"/>
      <w:bookmarkEnd w:id="8"/>
      <w:bookmarkEnd w:id="9"/>
    </w:p>
    <w:p w14:paraId="38A6B0A3" w14:textId="6BFA4C37" w:rsidR="00475624" w:rsidRPr="00F41872" w:rsidRDefault="00A97335" w:rsidP="005B1F66">
      <w:pPr>
        <w:spacing w:before="100" w:beforeAutospacing="1" w:after="240"/>
        <w:rPr>
          <w:rFonts w:eastAsia="Times New Roman"/>
        </w:rPr>
      </w:pPr>
      <w:r>
        <w:rPr>
          <w:rFonts w:eastAsia="Times New Roman"/>
        </w:rPr>
        <w:t xml:space="preserve">California </w:t>
      </w:r>
      <w:r w:rsidR="00475624" w:rsidRPr="007E177B">
        <w:rPr>
          <w:rFonts w:eastAsia="Times New Roman"/>
          <w:i/>
          <w:iCs/>
        </w:rPr>
        <w:t xml:space="preserve">Education Code </w:t>
      </w:r>
      <w:r w:rsidR="00475624" w:rsidRPr="00EF5118">
        <w:rPr>
          <w:rFonts w:eastAsia="Times New Roman"/>
          <w:i/>
          <w:iCs/>
        </w:rPr>
        <w:t>(EC)</w:t>
      </w:r>
      <w:r w:rsidR="00475624" w:rsidRPr="007F5529">
        <w:rPr>
          <w:rFonts w:eastAsia="Times New Roman"/>
        </w:rPr>
        <w:t xml:space="preserve"> </w:t>
      </w:r>
      <w:r w:rsidR="00475624" w:rsidRPr="007E177B">
        <w:rPr>
          <w:rFonts w:eastAsia="Times New Roman"/>
        </w:rPr>
        <w:t>Section</w:t>
      </w:r>
      <w:r w:rsidR="00475624" w:rsidRPr="00F41872">
        <w:rPr>
          <w:rFonts w:eastAsia="Times New Roman"/>
        </w:rPr>
        <w:t xml:space="preserve"> 51475 </w:t>
      </w:r>
      <w:r w:rsidR="00475624" w:rsidRPr="007F5529">
        <w:t xml:space="preserve">(Assembly Bill 181, Section 71, Budget Act of 2022) </w:t>
      </w:r>
      <w:r w:rsidR="00475624" w:rsidRPr="00F41872">
        <w:rPr>
          <w:rFonts w:eastAsia="Times New Roman"/>
        </w:rPr>
        <w:t>establishe</w:t>
      </w:r>
      <w:r w:rsidR="00755278">
        <w:rPr>
          <w:rFonts w:eastAsia="Times New Roman"/>
        </w:rPr>
        <w:t>d</w:t>
      </w:r>
      <w:r w:rsidR="00475624" w:rsidRPr="00F41872">
        <w:rPr>
          <w:rFonts w:eastAsia="Times New Roman"/>
        </w:rPr>
        <w:t xml:space="preserve"> the California Serves Program as a collaboration between the </w:t>
      </w:r>
      <w:r w:rsidR="00475624" w:rsidRPr="007F5529">
        <w:rPr>
          <w:rFonts w:eastAsia="Times New Roman"/>
        </w:rPr>
        <w:t xml:space="preserve">California Department of Education </w:t>
      </w:r>
      <w:r w:rsidR="00475624" w:rsidRPr="00EF5118">
        <w:rPr>
          <w:rFonts w:eastAsia="Times New Roman"/>
        </w:rPr>
        <w:t>(CDE)</w:t>
      </w:r>
      <w:r w:rsidR="00475624" w:rsidRPr="00F41872">
        <w:rPr>
          <w:rFonts w:eastAsia="Times New Roman"/>
        </w:rPr>
        <w:t xml:space="preserve"> and California Volunteers</w:t>
      </w:r>
      <w:r w:rsidR="00475624">
        <w:rPr>
          <w:rFonts w:eastAsia="Times New Roman"/>
        </w:rPr>
        <w:t xml:space="preserve">. </w:t>
      </w:r>
      <w:r w:rsidR="00475624" w:rsidRPr="00F41872">
        <w:rPr>
          <w:rFonts w:eastAsia="Times New Roman"/>
        </w:rPr>
        <w:t xml:space="preserve">Beginning in fiscal year 2022–23, </w:t>
      </w:r>
      <w:r w:rsidR="00475624">
        <w:rPr>
          <w:rFonts w:eastAsia="Times New Roman"/>
        </w:rPr>
        <w:t xml:space="preserve">statute </w:t>
      </w:r>
      <w:r w:rsidR="00475624" w:rsidRPr="00F41872">
        <w:rPr>
          <w:rFonts w:eastAsia="Times New Roman"/>
        </w:rPr>
        <w:t xml:space="preserve">provides for an annual grant program of up to $5 million with eligible local educational agencies </w:t>
      </w:r>
      <w:r w:rsidR="00475624" w:rsidRPr="00EF5118">
        <w:rPr>
          <w:rFonts w:eastAsia="Times New Roman"/>
        </w:rPr>
        <w:t>(LEAs)</w:t>
      </w:r>
      <w:r w:rsidR="00475624" w:rsidRPr="00F41872">
        <w:rPr>
          <w:rFonts w:eastAsia="Times New Roman"/>
        </w:rPr>
        <w:t xml:space="preserve"> able to receive grants of up to $500,000 to support </w:t>
      </w:r>
      <w:r w:rsidR="00123F23">
        <w:rPr>
          <w:rFonts w:eastAsia="Times New Roman"/>
        </w:rPr>
        <w:t xml:space="preserve">State Seal of Civic Engagement </w:t>
      </w:r>
      <w:r w:rsidR="00123F23" w:rsidRPr="00EF5118">
        <w:rPr>
          <w:rFonts w:eastAsia="Times New Roman"/>
        </w:rPr>
        <w:t>(SSCE)</w:t>
      </w:r>
      <w:r w:rsidR="00475624" w:rsidRPr="00F41872">
        <w:rPr>
          <w:rFonts w:eastAsia="Times New Roman"/>
        </w:rPr>
        <w:t xml:space="preserve">-aligned service-learning </w:t>
      </w:r>
      <w:r w:rsidR="00475624">
        <w:rPr>
          <w:rFonts w:eastAsia="Times New Roman"/>
        </w:rPr>
        <w:t>projects</w:t>
      </w:r>
      <w:r w:rsidR="00475624" w:rsidRPr="00F41872">
        <w:rPr>
          <w:rFonts w:eastAsia="Times New Roman"/>
        </w:rPr>
        <w:t xml:space="preserve">. </w:t>
      </w:r>
      <w:r w:rsidR="00475624">
        <w:rPr>
          <w:rFonts w:eastAsia="Times New Roman"/>
        </w:rPr>
        <w:t xml:space="preserve">Statute also identifies </w:t>
      </w:r>
      <w:r w:rsidR="00475624" w:rsidRPr="00F41872">
        <w:rPr>
          <w:rFonts w:eastAsia="Times New Roman"/>
        </w:rPr>
        <w:t xml:space="preserve">several statewide responsibilities: (1) reviewing evidence on </w:t>
      </w:r>
      <w:r w:rsidR="00475624" w:rsidRPr="007F5529">
        <w:rPr>
          <w:rFonts w:eastAsia="Times New Roman"/>
        </w:rPr>
        <w:t>best practices in</w:t>
      </w:r>
      <w:r w:rsidR="00475624" w:rsidRPr="00F41872">
        <w:rPr>
          <w:rFonts w:eastAsia="Times New Roman"/>
        </w:rPr>
        <w:t xml:space="preserve"> </w:t>
      </w:r>
      <w:r w:rsidR="001123A1">
        <w:rPr>
          <w:rFonts w:eastAsia="Times New Roman"/>
        </w:rPr>
        <w:t>service-learning</w:t>
      </w:r>
      <w:r w:rsidR="00475624" w:rsidRPr="007F5529">
        <w:rPr>
          <w:rFonts w:eastAsia="Times New Roman"/>
        </w:rPr>
        <w:t>;</w:t>
      </w:r>
      <w:r w:rsidR="00475624" w:rsidRPr="00F41872">
        <w:rPr>
          <w:rFonts w:eastAsia="Times New Roman"/>
        </w:rPr>
        <w:t xml:space="preserve"> (2) providing recommendations to expand equitable access to </w:t>
      </w:r>
      <w:r w:rsidR="001123A1">
        <w:rPr>
          <w:rFonts w:eastAsia="Times New Roman"/>
        </w:rPr>
        <w:t>service-learning</w:t>
      </w:r>
      <w:r w:rsidR="00475624" w:rsidRPr="007F5529">
        <w:rPr>
          <w:rFonts w:eastAsia="Times New Roman"/>
        </w:rPr>
        <w:t>;</w:t>
      </w:r>
      <w:r w:rsidR="00475624" w:rsidRPr="00F41872">
        <w:rPr>
          <w:rFonts w:eastAsia="Times New Roman"/>
        </w:rPr>
        <w:t xml:space="preserve"> (3) developing and posting statewide service-learning strategies</w:t>
      </w:r>
      <w:r w:rsidR="00475624" w:rsidRPr="007F5529">
        <w:rPr>
          <w:rFonts w:eastAsia="Times New Roman"/>
        </w:rPr>
        <w:t xml:space="preserve">; </w:t>
      </w:r>
      <w:r w:rsidR="00475624" w:rsidRPr="00F41872">
        <w:rPr>
          <w:rFonts w:eastAsia="Times New Roman"/>
        </w:rPr>
        <w:t xml:space="preserve">(4) developing model uniform metrics aligned to </w:t>
      </w:r>
      <w:r w:rsidR="00475624" w:rsidRPr="007F5529">
        <w:rPr>
          <w:rFonts w:eastAsia="Times New Roman"/>
        </w:rPr>
        <w:t>SSCE statewide</w:t>
      </w:r>
      <w:r w:rsidR="00475624" w:rsidRPr="00F41872">
        <w:rPr>
          <w:rFonts w:eastAsia="Times New Roman"/>
        </w:rPr>
        <w:t xml:space="preserve"> criteria</w:t>
      </w:r>
      <w:r w:rsidR="00475624" w:rsidRPr="007F5529">
        <w:rPr>
          <w:rFonts w:eastAsia="Times New Roman"/>
        </w:rPr>
        <w:t>;</w:t>
      </w:r>
      <w:r w:rsidR="00475624" w:rsidRPr="00F41872">
        <w:rPr>
          <w:rFonts w:eastAsia="Times New Roman"/>
        </w:rPr>
        <w:t xml:space="preserve"> and (5) administering the </w:t>
      </w:r>
      <w:r w:rsidR="00475624" w:rsidRPr="007F5529">
        <w:rPr>
          <w:rFonts w:eastAsia="Times New Roman"/>
        </w:rPr>
        <w:t xml:space="preserve">annual </w:t>
      </w:r>
      <w:r w:rsidR="00475624" w:rsidRPr="00F41872">
        <w:rPr>
          <w:rFonts w:eastAsia="Times New Roman"/>
        </w:rPr>
        <w:t xml:space="preserve">California Serves Grant using the evidence, recommendations, and </w:t>
      </w:r>
      <w:r w:rsidR="00475624" w:rsidRPr="007F5529">
        <w:rPr>
          <w:rFonts w:eastAsia="Times New Roman"/>
        </w:rPr>
        <w:t xml:space="preserve">model uniform </w:t>
      </w:r>
      <w:r w:rsidR="00475624" w:rsidRPr="00F41872">
        <w:rPr>
          <w:rFonts w:eastAsia="Times New Roman"/>
        </w:rPr>
        <w:t>metrics.</w:t>
      </w:r>
    </w:p>
    <w:p w14:paraId="6E71993E" w14:textId="1F3EA5A4" w:rsidR="00181EE9" w:rsidRPr="00F41872" w:rsidRDefault="00181EE9" w:rsidP="005B1F66">
      <w:pPr>
        <w:spacing w:before="100" w:beforeAutospacing="1" w:after="240"/>
        <w:rPr>
          <w:rFonts w:eastAsia="Times New Roman"/>
        </w:rPr>
      </w:pPr>
      <w:r w:rsidRPr="00F41872">
        <w:rPr>
          <w:rFonts w:eastAsia="Times New Roman"/>
        </w:rPr>
        <w:t>Th</w:t>
      </w:r>
      <w:r w:rsidR="00755278">
        <w:rPr>
          <w:rFonts w:eastAsia="Times New Roman"/>
        </w:rPr>
        <w:t>is report</w:t>
      </w:r>
      <w:r w:rsidRPr="00F41872">
        <w:rPr>
          <w:rFonts w:eastAsia="Times New Roman"/>
        </w:rPr>
        <w:t xml:space="preserve"> summarizes </w:t>
      </w:r>
      <w:r w:rsidR="0044076A">
        <w:rPr>
          <w:rFonts w:eastAsia="Times New Roman"/>
        </w:rPr>
        <w:t xml:space="preserve">2024 and 2025 </w:t>
      </w:r>
      <w:r w:rsidR="00B57021">
        <w:rPr>
          <w:rFonts w:eastAsia="Times New Roman"/>
        </w:rPr>
        <w:t xml:space="preserve">data and </w:t>
      </w:r>
      <w:r w:rsidRPr="00F41872">
        <w:rPr>
          <w:rFonts w:eastAsia="Times New Roman"/>
        </w:rPr>
        <w:t xml:space="preserve">outcomes from </w:t>
      </w:r>
      <w:r w:rsidR="00755278">
        <w:rPr>
          <w:rFonts w:eastAsia="Times New Roman"/>
        </w:rPr>
        <w:t>c</w:t>
      </w:r>
      <w:r w:rsidRPr="00F41872">
        <w:rPr>
          <w:rFonts w:eastAsia="Times New Roman"/>
        </w:rPr>
        <w:t>ohort</w:t>
      </w:r>
      <w:r w:rsidR="008145A9">
        <w:rPr>
          <w:rFonts w:eastAsia="Times New Roman"/>
        </w:rPr>
        <w:t>s</w:t>
      </w:r>
      <w:r w:rsidRPr="00F41872">
        <w:rPr>
          <w:rFonts w:eastAsia="Times New Roman"/>
        </w:rPr>
        <w:t xml:space="preserve"> 1</w:t>
      </w:r>
      <w:r w:rsidR="006A0B51">
        <w:rPr>
          <w:rFonts w:eastAsia="Times New Roman"/>
        </w:rPr>
        <w:t xml:space="preserve">, </w:t>
      </w:r>
      <w:r w:rsidR="008145A9">
        <w:rPr>
          <w:rFonts w:eastAsia="Times New Roman"/>
        </w:rPr>
        <w:t>2</w:t>
      </w:r>
      <w:r w:rsidRPr="00F41872">
        <w:rPr>
          <w:rFonts w:eastAsia="Times New Roman"/>
        </w:rPr>
        <w:t>,</w:t>
      </w:r>
      <w:r w:rsidR="006A0B51">
        <w:rPr>
          <w:rFonts w:eastAsia="Times New Roman"/>
        </w:rPr>
        <w:t xml:space="preserve"> and 3,</w:t>
      </w:r>
      <w:r w:rsidRPr="00F41872">
        <w:rPr>
          <w:rFonts w:eastAsia="Times New Roman"/>
        </w:rPr>
        <w:t xml:space="preserve"> </w:t>
      </w:r>
      <w:r w:rsidR="00755278">
        <w:rPr>
          <w:rFonts w:eastAsia="Times New Roman"/>
        </w:rPr>
        <w:t>which encompasses</w:t>
      </w:r>
      <w:r w:rsidR="00755278" w:rsidRPr="00F41872">
        <w:rPr>
          <w:rFonts w:eastAsia="Times New Roman"/>
        </w:rPr>
        <w:t xml:space="preserve"> </w:t>
      </w:r>
      <w:r w:rsidR="006A0B51">
        <w:rPr>
          <w:rFonts w:eastAsia="Times New Roman"/>
        </w:rPr>
        <w:t>35</w:t>
      </w:r>
      <w:r w:rsidRPr="00F41872">
        <w:rPr>
          <w:rFonts w:eastAsia="Times New Roman"/>
        </w:rPr>
        <w:t xml:space="preserve"> LEAs across urban, suburban, and rural regions of California. </w:t>
      </w:r>
    </w:p>
    <w:p w14:paraId="55907FDE" w14:textId="5D0BC121" w:rsidR="00A218F4" w:rsidRDefault="00A218F4" w:rsidP="00EF5118">
      <w:pPr>
        <w:spacing w:after="240"/>
      </w:pPr>
      <w:r>
        <w:t xml:space="preserve">Across both cohorts, grantees embedded </w:t>
      </w:r>
      <w:r w:rsidR="001123A1">
        <w:t>service-learning</w:t>
      </w:r>
      <w:r>
        <w:t xml:space="preserve"> into core academic subjects and career </w:t>
      </w:r>
      <w:r w:rsidR="00755278">
        <w:t xml:space="preserve">and </w:t>
      </w:r>
      <w:r>
        <w:t>technical education</w:t>
      </w:r>
      <w:r w:rsidR="009A404A">
        <w:t xml:space="preserve"> (CTE)</w:t>
      </w:r>
      <w:r w:rsidR="00755278">
        <w:t xml:space="preserve"> to connect</w:t>
      </w:r>
      <w:r>
        <w:t xml:space="preserve"> classroom learning to community needs</w:t>
      </w:r>
      <w:r w:rsidR="005C2AD0">
        <w:t xml:space="preserve"> while increasing the number of SSCE insignias requested</w:t>
      </w:r>
      <w:r>
        <w:t>. Projects addressed pressing local issues such as public health, environmental stewardship, agricultural sustainability, civic literacy, and transportation safety.</w:t>
      </w:r>
      <w:r w:rsidR="00140319">
        <w:t xml:space="preserve"> </w:t>
      </w:r>
      <w:r w:rsidR="00BE6B25" w:rsidRPr="00BE6B25">
        <w:t>Capacity-building strategies</w:t>
      </w:r>
      <w:r w:rsidR="00BE6B25">
        <w:t xml:space="preserve">, </w:t>
      </w:r>
      <w:r w:rsidR="00BE6B25" w:rsidRPr="00BE6B25">
        <w:t>particularly professional learning for educators, partnerships, and infrastructure for student leadership</w:t>
      </w:r>
      <w:r w:rsidR="00BE6B25">
        <w:t xml:space="preserve">, </w:t>
      </w:r>
      <w:r w:rsidR="00BE6B25" w:rsidRPr="00BE6B25">
        <w:t>are strengthening local systems likely to sustain civic engagement work beyond the grant cycle.</w:t>
      </w:r>
      <w:r w:rsidR="004B2F97">
        <w:t xml:space="preserve"> </w:t>
      </w:r>
      <w:r w:rsidR="00140319">
        <w:t>This report expands upon these findings</w:t>
      </w:r>
      <w:r w:rsidR="0010772F">
        <w:t xml:space="preserve"> and provides recommendations </w:t>
      </w:r>
      <w:r w:rsidR="00F65CDD">
        <w:t xml:space="preserve">for deepened </w:t>
      </w:r>
      <w:r w:rsidR="00970842">
        <w:t xml:space="preserve">statewide </w:t>
      </w:r>
      <w:r w:rsidR="00F65CDD">
        <w:t>implementation of the program.</w:t>
      </w:r>
    </w:p>
    <w:p w14:paraId="17A2410D" w14:textId="77777777" w:rsidR="007F76EF" w:rsidRDefault="007F76EF" w:rsidP="00EF5118">
      <w:pPr>
        <w:spacing w:after="240"/>
      </w:pPr>
      <w:r>
        <w:t xml:space="preserve">This report is available on the CDE California Serves Program web page at </w:t>
      </w:r>
      <w:hyperlink r:id="rId10" w:tooltip="CDE California Serves web page" w:history="1">
        <w:r w:rsidRPr="001F232E">
          <w:rPr>
            <w:rStyle w:val="Hyperlink"/>
          </w:rPr>
          <w:t>https://www.cde.ca.gov/ci/pl/californiaserves.asp</w:t>
        </w:r>
      </w:hyperlink>
      <w:r>
        <w:t>.</w:t>
      </w:r>
    </w:p>
    <w:p w14:paraId="622B50DF" w14:textId="3B0A59CB" w:rsidR="00A218F4" w:rsidRDefault="00A218F4" w:rsidP="00EF5118">
      <w:pPr>
        <w:spacing w:after="240"/>
      </w:pPr>
      <w:r>
        <w:t>If you have any questions regarding this report</w:t>
      </w:r>
      <w:r w:rsidR="007F76EF">
        <w:t xml:space="preserve"> or need a copy</w:t>
      </w:r>
      <w:r>
        <w:t xml:space="preserve">, please contact </w:t>
      </w:r>
      <w:r w:rsidR="00AD17A0">
        <w:t>Sarah Smith</w:t>
      </w:r>
      <w:r>
        <w:t xml:space="preserve">, Education Programs Consultant, </w:t>
      </w:r>
      <w:r w:rsidR="00AD17A0">
        <w:t>Professional Learning Support</w:t>
      </w:r>
      <w:r>
        <w:t xml:space="preserve"> Division, at </w:t>
      </w:r>
      <w:hyperlink r:id="rId11" w:history="1">
        <w:r w:rsidR="00AD17A0" w:rsidRPr="00EE4C69">
          <w:rPr>
            <w:rStyle w:val="Hyperlink"/>
          </w:rPr>
          <w:t>ssmith@cde.ca.gov</w:t>
        </w:r>
      </w:hyperlink>
      <w:r w:rsidR="00AD17A0">
        <w:t>.</w:t>
      </w:r>
    </w:p>
    <w:p w14:paraId="62CDA7B2" w14:textId="77777777" w:rsidR="00140319" w:rsidRDefault="00140319" w:rsidP="00FF56BE">
      <w:pPr>
        <w:pStyle w:val="Heading2"/>
        <w:sectPr w:rsidR="00140319">
          <w:pgSz w:w="12240" w:h="15840"/>
          <w:pgMar w:top="1440" w:right="1440" w:bottom="1440" w:left="1440" w:header="720" w:footer="720" w:gutter="0"/>
          <w:cols w:space="720"/>
          <w:docGrid w:linePitch="360"/>
        </w:sectPr>
      </w:pPr>
    </w:p>
    <w:p w14:paraId="2BF0B723" w14:textId="3C988AD3" w:rsidR="00EA61B9" w:rsidRPr="00FF56BE" w:rsidRDefault="009D6C63" w:rsidP="00FF56BE">
      <w:pPr>
        <w:pStyle w:val="Heading2"/>
      </w:pPr>
      <w:bookmarkStart w:id="10" w:name="_Toc220420859"/>
      <w:bookmarkStart w:id="11" w:name="_Toc221186040"/>
      <w:bookmarkStart w:id="12" w:name="_Toc230962693"/>
      <w:r>
        <w:lastRenderedPageBreak/>
        <w:t>Introduction</w:t>
      </w:r>
      <w:bookmarkEnd w:id="10"/>
      <w:bookmarkEnd w:id="11"/>
      <w:bookmarkEnd w:id="12"/>
    </w:p>
    <w:p w14:paraId="5C6B99A9" w14:textId="77777777" w:rsidR="005618F2" w:rsidRPr="00ED5B14" w:rsidRDefault="005618F2" w:rsidP="00ED5B14">
      <w:pPr>
        <w:pStyle w:val="Heading3"/>
      </w:pPr>
      <w:bookmarkStart w:id="13" w:name="_Toc201236630"/>
      <w:bookmarkStart w:id="14" w:name="_Toc203053761"/>
      <w:bookmarkStart w:id="15" w:name="_Toc221186041"/>
      <w:r w:rsidRPr="00ED5B14">
        <w:t>State Seal of Civic Engagement</w:t>
      </w:r>
      <w:bookmarkEnd w:id="13"/>
      <w:bookmarkEnd w:id="14"/>
      <w:bookmarkEnd w:id="15"/>
    </w:p>
    <w:p w14:paraId="26F2E201" w14:textId="3EED2D3F" w:rsidR="005618F2" w:rsidRDefault="005618F2" w:rsidP="005618F2">
      <w:pPr>
        <w:spacing w:after="240"/>
        <w:rPr>
          <w:rFonts w:eastAsia="Calibri"/>
          <w:color w:val="auto"/>
          <w:bdr w:val="nil"/>
        </w:rPr>
      </w:pPr>
      <w:r w:rsidRPr="00E80D84">
        <w:rPr>
          <w:rFonts w:eastAsia="Calibri"/>
          <w:color w:val="auto"/>
          <w:bdr w:val="nil"/>
        </w:rPr>
        <w:t>In 2017, Assembly Bill 24, Chapter 604 (</w:t>
      </w:r>
      <w:r w:rsidRPr="00E80D84">
        <w:rPr>
          <w:rFonts w:eastAsia="Calibri"/>
          <w:i/>
          <w:iCs/>
          <w:color w:val="auto"/>
          <w:bdr w:val="nil"/>
        </w:rPr>
        <w:t>EC</w:t>
      </w:r>
      <w:r w:rsidRPr="00E80D84">
        <w:rPr>
          <w:rFonts w:eastAsia="Calibri"/>
          <w:iCs/>
          <w:color w:val="auto"/>
          <w:u w:color="000000"/>
          <w:bdr w:val="nil"/>
        </w:rPr>
        <w:t xml:space="preserve"> </w:t>
      </w:r>
      <w:r w:rsidRPr="00E80D84">
        <w:rPr>
          <w:rFonts w:eastAsia="Calibri"/>
          <w:color w:val="auto"/>
          <w:bdr w:val="nil"/>
        </w:rPr>
        <w:t xml:space="preserve">sections 51470–74) directed the State Superintendent of Public Instruction to develop, and the State Board of Education </w:t>
      </w:r>
      <w:r w:rsidRPr="00EF5118">
        <w:rPr>
          <w:rFonts w:eastAsia="Calibri"/>
          <w:color w:val="auto"/>
          <w:bdr w:val="nil"/>
        </w:rPr>
        <w:t>(SBE)</w:t>
      </w:r>
      <w:r w:rsidRPr="00E80D84">
        <w:rPr>
          <w:rFonts w:eastAsia="Calibri"/>
          <w:color w:val="auto"/>
          <w:bdr w:val="nil"/>
        </w:rPr>
        <w:t xml:space="preserve"> to adopt, a set of criteria for </w:t>
      </w:r>
      <w:r>
        <w:rPr>
          <w:rFonts w:eastAsia="Calibri"/>
          <w:color w:val="auto"/>
          <w:bdr w:val="nil"/>
        </w:rPr>
        <w:t>LEAs</w:t>
      </w:r>
      <w:r w:rsidRPr="00E80D84">
        <w:rPr>
          <w:rFonts w:eastAsia="Calibri"/>
          <w:color w:val="auto"/>
          <w:bdr w:val="nil"/>
        </w:rPr>
        <w:t xml:space="preserve"> choosing to offer the SSCE locally. The SBE adopted statewide criteria and guidance for awarding an SSCE on September 10, 2020</w:t>
      </w:r>
      <w:r w:rsidRPr="00E80D84">
        <w:rPr>
          <w:rFonts w:eastAsia="Calibri"/>
          <w:color w:val="auto"/>
          <w:u w:color="000000"/>
          <w:bdr w:val="nil"/>
        </w:rPr>
        <w:t xml:space="preserve">, </w:t>
      </w:r>
      <w:r w:rsidRPr="00E80D84">
        <w:rPr>
          <w:rFonts w:eastAsia="Calibri"/>
          <w:color w:val="auto"/>
          <w:bdr w:val="nil"/>
        </w:rPr>
        <w:t>and the SSCE was first offered during the 2020–21 school year.</w:t>
      </w:r>
    </w:p>
    <w:p w14:paraId="640C33A2" w14:textId="3B96D0B3" w:rsidR="00684157" w:rsidRDefault="001E69F1" w:rsidP="005618F2">
      <w:pPr>
        <w:spacing w:after="240"/>
        <w:rPr>
          <w:rFonts w:eastAsia="Calibri"/>
          <w:color w:val="auto"/>
          <w:bdr w:val="nil"/>
        </w:rPr>
      </w:pPr>
      <w:r>
        <w:rPr>
          <w:rFonts w:eastAsia="Calibri"/>
          <w:color w:val="auto"/>
          <w:bdr w:val="nil"/>
        </w:rPr>
        <w:t xml:space="preserve">The statewide SSCE criteria require each student </w:t>
      </w:r>
      <w:proofErr w:type="gramStart"/>
      <w:r>
        <w:rPr>
          <w:rFonts w:eastAsia="Calibri"/>
          <w:color w:val="auto"/>
          <w:bdr w:val="nil"/>
        </w:rPr>
        <w:t>receiving</w:t>
      </w:r>
      <w:proofErr w:type="gramEnd"/>
      <w:r>
        <w:rPr>
          <w:rFonts w:eastAsia="Calibri"/>
          <w:color w:val="auto"/>
          <w:bdr w:val="nil"/>
        </w:rPr>
        <w:t xml:space="preserve"> a SSCE to:</w:t>
      </w:r>
    </w:p>
    <w:p w14:paraId="7DB21A1D" w14:textId="5CB13557" w:rsidR="00684157" w:rsidRPr="00684157" w:rsidRDefault="00684157" w:rsidP="001E69F1">
      <w:pPr>
        <w:pStyle w:val="ListParagraph"/>
        <w:numPr>
          <w:ilvl w:val="0"/>
          <w:numId w:val="35"/>
        </w:numPr>
        <w:spacing w:after="240"/>
        <w:contextualSpacing w:val="0"/>
        <w:rPr>
          <w:rFonts w:eastAsia="Calibri"/>
          <w:color w:val="auto"/>
        </w:rPr>
      </w:pPr>
      <w:r w:rsidRPr="00684157">
        <w:rPr>
          <w:rFonts w:eastAsia="Calibri"/>
          <w:color w:val="auto"/>
        </w:rPr>
        <w:t>Be engaged in academic work in a productive way</w:t>
      </w:r>
      <w:r w:rsidR="001E69F1">
        <w:rPr>
          <w:rFonts w:eastAsia="Calibri"/>
          <w:color w:val="auto"/>
        </w:rPr>
        <w:t>.</w:t>
      </w:r>
    </w:p>
    <w:p w14:paraId="34A0CCC3" w14:textId="75520EDB" w:rsidR="00684157" w:rsidRPr="00684157" w:rsidRDefault="00684157" w:rsidP="001E69F1">
      <w:pPr>
        <w:pStyle w:val="ListParagraph"/>
        <w:numPr>
          <w:ilvl w:val="0"/>
          <w:numId w:val="35"/>
        </w:numPr>
        <w:spacing w:after="240"/>
        <w:contextualSpacing w:val="0"/>
        <w:rPr>
          <w:rFonts w:eastAsia="Calibri"/>
          <w:color w:val="auto"/>
        </w:rPr>
      </w:pPr>
      <w:r w:rsidRPr="00684157">
        <w:rPr>
          <w:rFonts w:eastAsia="Calibri"/>
          <w:color w:val="auto"/>
        </w:rPr>
        <w:t>Demonstrate a competent understanding of United States and California constitutions; functions and governance of local governments; tribal government structures and organizations; the role of the citizen in a constitutional democracy; and democratic principles, concepts, and processes</w:t>
      </w:r>
      <w:r w:rsidR="001E69F1">
        <w:rPr>
          <w:rFonts w:eastAsia="Calibri"/>
          <w:color w:val="auto"/>
        </w:rPr>
        <w:t>.</w:t>
      </w:r>
    </w:p>
    <w:p w14:paraId="17DC22FE" w14:textId="6748273F" w:rsidR="00684157" w:rsidRPr="00684157" w:rsidRDefault="00684157" w:rsidP="001E69F1">
      <w:pPr>
        <w:pStyle w:val="ListParagraph"/>
        <w:numPr>
          <w:ilvl w:val="0"/>
          <w:numId w:val="35"/>
        </w:numPr>
        <w:spacing w:after="240"/>
        <w:contextualSpacing w:val="0"/>
        <w:rPr>
          <w:rFonts w:eastAsia="Calibri"/>
          <w:color w:val="auto"/>
        </w:rPr>
      </w:pPr>
      <w:r w:rsidRPr="00684157">
        <w:rPr>
          <w:rFonts w:eastAsia="Calibri"/>
          <w:color w:val="auto"/>
        </w:rPr>
        <w:t xml:space="preserve">Participate in one or more informed civic engagement project(s) that address real-world problems and require students to identify and inquire into civic needs or problems, consider varied responses, </w:t>
      </w:r>
      <w:proofErr w:type="gramStart"/>
      <w:r w:rsidRPr="00684157">
        <w:rPr>
          <w:rFonts w:eastAsia="Calibri"/>
          <w:color w:val="auto"/>
        </w:rPr>
        <w:t>take action</w:t>
      </w:r>
      <w:proofErr w:type="gramEnd"/>
      <w:r w:rsidRPr="00684157">
        <w:rPr>
          <w:rFonts w:eastAsia="Calibri"/>
          <w:color w:val="auto"/>
        </w:rPr>
        <w:t>, and reflect on efforts</w:t>
      </w:r>
      <w:r w:rsidR="001E69F1">
        <w:rPr>
          <w:rFonts w:eastAsia="Calibri"/>
          <w:color w:val="auto"/>
        </w:rPr>
        <w:t>.</w:t>
      </w:r>
    </w:p>
    <w:p w14:paraId="73372F0E" w14:textId="1AE9BB16" w:rsidR="00684157" w:rsidRPr="00684157" w:rsidRDefault="00684157" w:rsidP="001E69F1">
      <w:pPr>
        <w:pStyle w:val="ListParagraph"/>
        <w:numPr>
          <w:ilvl w:val="0"/>
          <w:numId w:val="35"/>
        </w:numPr>
        <w:spacing w:after="240"/>
        <w:contextualSpacing w:val="0"/>
        <w:rPr>
          <w:rFonts w:eastAsia="Calibri"/>
          <w:color w:val="auto"/>
        </w:rPr>
      </w:pPr>
      <w:r w:rsidRPr="00684157">
        <w:rPr>
          <w:rFonts w:eastAsia="Calibri"/>
          <w:color w:val="auto"/>
        </w:rPr>
        <w:t>Demonstrate civic knowledge, skills, and dispositions through self-reflection</w:t>
      </w:r>
      <w:r w:rsidR="001E69F1">
        <w:rPr>
          <w:rFonts w:eastAsia="Calibri"/>
          <w:color w:val="auto"/>
        </w:rPr>
        <w:t>.</w:t>
      </w:r>
    </w:p>
    <w:p w14:paraId="5D18F30B" w14:textId="2715228D" w:rsidR="00684157" w:rsidRPr="00684157" w:rsidRDefault="00684157" w:rsidP="001E69F1">
      <w:pPr>
        <w:pStyle w:val="ListParagraph"/>
        <w:numPr>
          <w:ilvl w:val="0"/>
          <w:numId w:val="35"/>
        </w:numPr>
        <w:spacing w:after="240"/>
        <w:contextualSpacing w:val="0"/>
        <w:rPr>
          <w:rFonts w:eastAsia="Calibri"/>
          <w:color w:val="auto"/>
        </w:rPr>
      </w:pPr>
      <w:r w:rsidRPr="00684157">
        <w:rPr>
          <w:rFonts w:eastAsia="Calibri"/>
          <w:color w:val="auto"/>
        </w:rPr>
        <w:t xml:space="preserve">Exhibit character traits that reflect civic-mindedness and a commitment to positively </w:t>
      </w:r>
      <w:proofErr w:type="gramStart"/>
      <w:r w:rsidRPr="00684157">
        <w:rPr>
          <w:rFonts w:eastAsia="Calibri"/>
          <w:color w:val="auto"/>
        </w:rPr>
        <w:t>impact</w:t>
      </w:r>
      <w:proofErr w:type="gramEnd"/>
      <w:r w:rsidRPr="00684157">
        <w:rPr>
          <w:rFonts w:eastAsia="Calibri"/>
          <w:color w:val="auto"/>
        </w:rPr>
        <w:t xml:space="preserve"> the classroom, school, community and/or society.</w:t>
      </w:r>
    </w:p>
    <w:p w14:paraId="0C5B60B6" w14:textId="4AE6A789" w:rsidR="009B26DD" w:rsidRDefault="009B26DD" w:rsidP="005618F2">
      <w:pPr>
        <w:spacing w:after="240"/>
        <w:rPr>
          <w:rFonts w:eastAsia="Calibri"/>
          <w:color w:val="auto"/>
          <w:u w:color="000000"/>
          <w:bdr w:val="nil"/>
        </w:rPr>
      </w:pPr>
      <w:r>
        <w:rPr>
          <w:rFonts w:eastAsia="Calibri"/>
          <w:color w:val="auto"/>
          <w:u w:color="000000"/>
          <w:bdr w:val="nil"/>
        </w:rPr>
        <w:t xml:space="preserve">LEAs that choose to offer the SSCE develop </w:t>
      </w:r>
      <w:r w:rsidR="00F43F4A">
        <w:rPr>
          <w:rFonts w:eastAsia="Calibri"/>
          <w:color w:val="auto"/>
          <w:u w:color="000000"/>
          <w:bdr w:val="nil"/>
        </w:rPr>
        <w:t>local</w:t>
      </w:r>
      <w:r w:rsidR="004F67DC">
        <w:rPr>
          <w:rFonts w:eastAsia="Calibri"/>
          <w:color w:val="auto"/>
          <w:u w:color="000000"/>
          <w:bdr w:val="nil"/>
        </w:rPr>
        <w:t xml:space="preserve"> requirements and procedures, including additional optional criteria</w:t>
      </w:r>
      <w:r w:rsidR="00F43F4A">
        <w:rPr>
          <w:rFonts w:eastAsia="Calibri"/>
          <w:color w:val="auto"/>
          <w:u w:color="000000"/>
          <w:bdr w:val="nil"/>
        </w:rPr>
        <w:t xml:space="preserve"> for awarding a SSCE to eligible students.</w:t>
      </w:r>
      <w:r w:rsidR="004F67DC">
        <w:rPr>
          <w:rFonts w:eastAsia="Calibri"/>
          <w:color w:val="auto"/>
          <w:u w:color="000000"/>
          <w:bdr w:val="nil"/>
        </w:rPr>
        <w:t xml:space="preserve"> </w:t>
      </w:r>
    </w:p>
    <w:p w14:paraId="4ED512A2" w14:textId="28599E35" w:rsidR="005618F2" w:rsidRPr="00CF4DE7" w:rsidRDefault="005618F2" w:rsidP="005618F2">
      <w:pPr>
        <w:spacing w:after="240"/>
        <w:rPr>
          <w:rFonts w:eastAsia="Calibri"/>
          <w:color w:val="auto"/>
          <w:u w:color="000000"/>
          <w:bdr w:val="nil"/>
        </w:rPr>
      </w:pPr>
      <w:r w:rsidRPr="00E80D84">
        <w:rPr>
          <w:rFonts w:eastAsia="Calibri"/>
          <w:color w:val="auto"/>
          <w:u w:color="000000"/>
          <w:bdr w:val="nil"/>
        </w:rPr>
        <w:t xml:space="preserve">More information </w:t>
      </w:r>
      <w:r w:rsidR="007F76EF">
        <w:rPr>
          <w:rFonts w:eastAsia="Calibri"/>
          <w:color w:val="auto"/>
          <w:u w:color="000000"/>
          <w:bdr w:val="nil"/>
        </w:rPr>
        <w:t>on</w:t>
      </w:r>
      <w:r w:rsidR="007F76EF" w:rsidRPr="00E80D84">
        <w:rPr>
          <w:rFonts w:eastAsia="Calibri"/>
          <w:color w:val="auto"/>
          <w:u w:color="000000"/>
          <w:bdr w:val="nil"/>
        </w:rPr>
        <w:t xml:space="preserve"> </w:t>
      </w:r>
      <w:r w:rsidRPr="00E80D84">
        <w:rPr>
          <w:rFonts w:eastAsia="Calibri"/>
          <w:color w:val="auto"/>
          <w:u w:color="000000"/>
          <w:bdr w:val="nil"/>
        </w:rPr>
        <w:t>the development of the SSCE, including adopted statew</w:t>
      </w:r>
      <w:r w:rsidR="00F67CD5">
        <w:rPr>
          <w:rFonts w:eastAsia="Calibri"/>
          <w:color w:val="auto"/>
          <w:u w:color="000000"/>
          <w:bdr w:val="nil"/>
        </w:rPr>
        <w:t xml:space="preserve">ide implementation </w:t>
      </w:r>
      <w:r w:rsidRPr="00E80D84">
        <w:rPr>
          <w:rFonts w:eastAsia="Calibri"/>
          <w:color w:val="auto"/>
          <w:u w:color="000000"/>
          <w:bdr w:val="nil"/>
        </w:rPr>
        <w:t>guidance</w:t>
      </w:r>
      <w:r w:rsidR="005947B3">
        <w:rPr>
          <w:rFonts w:eastAsia="Calibri"/>
          <w:color w:val="auto"/>
          <w:u w:color="000000"/>
          <w:bdr w:val="nil"/>
        </w:rPr>
        <w:t xml:space="preserve"> that accompany the criteria</w:t>
      </w:r>
      <w:r w:rsidRPr="00E80D84">
        <w:rPr>
          <w:rFonts w:eastAsia="Calibri"/>
          <w:color w:val="auto"/>
          <w:u w:color="000000"/>
          <w:bdr w:val="nil"/>
        </w:rPr>
        <w:t xml:space="preserve">, is available </w:t>
      </w:r>
      <w:r w:rsidR="007F76EF">
        <w:rPr>
          <w:rFonts w:eastAsia="Calibri"/>
          <w:color w:val="auto"/>
          <w:u w:color="000000"/>
          <w:bdr w:val="nil"/>
        </w:rPr>
        <w:t>under</w:t>
      </w:r>
      <w:r w:rsidR="007F76EF" w:rsidRPr="00E80D84">
        <w:rPr>
          <w:rFonts w:eastAsia="Calibri"/>
          <w:color w:val="auto"/>
          <w:u w:color="000000"/>
          <w:bdr w:val="nil"/>
        </w:rPr>
        <w:t xml:space="preserve"> </w:t>
      </w:r>
      <w:r w:rsidRPr="00E80D84">
        <w:rPr>
          <w:rFonts w:eastAsia="Calibri"/>
          <w:color w:val="auto"/>
          <w:u w:color="000000"/>
          <w:bdr w:val="nil"/>
        </w:rPr>
        <w:t xml:space="preserve">the “Criteria and Guidance” tab on the CDE SSCE web page at </w:t>
      </w:r>
      <w:hyperlink r:id="rId12" w:tooltip="CDE State Seal of Civic Engagement web page " w:history="1">
        <w:r w:rsidR="003A5A39">
          <w:rPr>
            <w:rStyle w:val="Hyperlink"/>
          </w:rPr>
          <w:t>https://www.cde.ca.gov/ci/pl/hssstateseal.asp</w:t>
        </w:r>
      </w:hyperlink>
      <w:r w:rsidRPr="00E80D84">
        <w:rPr>
          <w:rFonts w:eastAsia="Calibri"/>
          <w:color w:val="auto"/>
          <w:u w:color="000000"/>
          <w:bdr w:val="nil"/>
        </w:rPr>
        <w:t>.</w:t>
      </w:r>
    </w:p>
    <w:p w14:paraId="49E2E087" w14:textId="00625E91" w:rsidR="00C750C8" w:rsidRDefault="00C750C8" w:rsidP="00ED5B14">
      <w:pPr>
        <w:pStyle w:val="Heading3"/>
      </w:pPr>
      <w:bookmarkStart w:id="16" w:name="_Toc221186042"/>
      <w:r>
        <w:t>California Serves Program</w:t>
      </w:r>
      <w:bookmarkEnd w:id="16"/>
    </w:p>
    <w:p w14:paraId="7AEF20A5" w14:textId="525CBD94" w:rsidR="00E80D84" w:rsidRPr="00E80D84" w:rsidRDefault="00E80D84" w:rsidP="00E80D84">
      <w:pPr>
        <w:spacing w:after="240"/>
        <w:rPr>
          <w:rFonts w:eastAsia="Calibri"/>
          <w:color w:val="auto"/>
        </w:rPr>
      </w:pPr>
      <w:r w:rsidRPr="00E80D84">
        <w:rPr>
          <w:rFonts w:eastAsia="Calibri"/>
          <w:color w:val="auto"/>
        </w:rPr>
        <w:t xml:space="preserve">The 2022 California State Budget </w:t>
      </w:r>
      <w:r w:rsidR="00B36183">
        <w:rPr>
          <w:rFonts w:eastAsia="Calibri"/>
          <w:color w:val="auto"/>
        </w:rPr>
        <w:t>(</w:t>
      </w:r>
      <w:r w:rsidR="00B36183">
        <w:rPr>
          <w:rFonts w:eastAsia="Calibri"/>
          <w:i/>
          <w:iCs/>
          <w:color w:val="auto"/>
        </w:rPr>
        <w:t xml:space="preserve">EC </w:t>
      </w:r>
      <w:r w:rsidR="00B36183">
        <w:rPr>
          <w:rFonts w:eastAsia="Calibri"/>
          <w:color w:val="auto"/>
        </w:rPr>
        <w:t xml:space="preserve">Section 51475) </w:t>
      </w:r>
      <w:r w:rsidRPr="00E80D84">
        <w:rPr>
          <w:rFonts w:eastAsia="Calibri"/>
          <w:color w:val="auto"/>
        </w:rPr>
        <w:t xml:space="preserve">established the California Serves Program, a collaboration between the CDE and California Volunteers. The California Serves Program promotes access to effective service-learning for students in grade twelve with the goal of expanding access for high school graduates in obtaining a SSCE through </w:t>
      </w:r>
      <w:r w:rsidR="001123A1">
        <w:rPr>
          <w:rFonts w:eastAsia="Calibri"/>
          <w:color w:val="auto"/>
        </w:rPr>
        <w:t>service-learning</w:t>
      </w:r>
      <w:r w:rsidRPr="00E80D84">
        <w:rPr>
          <w:rFonts w:eastAsia="Calibri"/>
          <w:color w:val="auto"/>
        </w:rPr>
        <w:t xml:space="preserve">. Additional information is available </w:t>
      </w:r>
      <w:r w:rsidR="007F76EF">
        <w:rPr>
          <w:rFonts w:eastAsia="Calibri"/>
          <w:color w:val="auto"/>
        </w:rPr>
        <w:t>on</w:t>
      </w:r>
      <w:r w:rsidR="007F76EF" w:rsidRPr="00E80D84">
        <w:rPr>
          <w:rFonts w:eastAsia="Calibri"/>
          <w:color w:val="auto"/>
        </w:rPr>
        <w:t xml:space="preserve"> </w:t>
      </w:r>
      <w:r w:rsidRPr="00E80D84">
        <w:rPr>
          <w:rFonts w:eastAsia="Calibri"/>
          <w:color w:val="auto"/>
        </w:rPr>
        <w:t xml:space="preserve">the CDE California Serves web page at </w:t>
      </w:r>
      <w:hyperlink r:id="rId13" w:tooltip="CDE California Serves web page" w:history="1">
        <w:r w:rsidRPr="00FD1B93">
          <w:rPr>
            <w:rStyle w:val="Hyperlink"/>
          </w:rPr>
          <w:t>https://www.cde.ca.gov/ci/pl/californiaserves.asp</w:t>
        </w:r>
      </w:hyperlink>
      <w:r w:rsidRPr="00E80D84">
        <w:rPr>
          <w:rFonts w:eastAsia="Calibri"/>
          <w:color w:val="auto"/>
        </w:rPr>
        <w:t xml:space="preserve">. </w:t>
      </w:r>
    </w:p>
    <w:p w14:paraId="42C45A98" w14:textId="3B1D7AB3" w:rsidR="00E80D84" w:rsidRPr="00E80D84" w:rsidRDefault="00E80D84" w:rsidP="00E80D84">
      <w:pPr>
        <w:spacing w:after="240"/>
        <w:rPr>
          <w:rFonts w:eastAsia="Calibri"/>
          <w:color w:val="auto"/>
        </w:rPr>
      </w:pPr>
      <w:r w:rsidRPr="00E80D84">
        <w:rPr>
          <w:rFonts w:eastAsia="Calibri"/>
          <w:color w:val="auto"/>
        </w:rPr>
        <w:lastRenderedPageBreak/>
        <w:t xml:space="preserve">In administering the California Serves Program, </w:t>
      </w:r>
      <w:r w:rsidRPr="00E80D84">
        <w:rPr>
          <w:rFonts w:eastAsia="Calibri"/>
          <w:i/>
          <w:iCs/>
          <w:color w:val="auto"/>
        </w:rPr>
        <w:t xml:space="preserve">EC </w:t>
      </w:r>
      <w:r w:rsidRPr="00E80D84">
        <w:rPr>
          <w:rFonts w:eastAsia="Calibri"/>
          <w:color w:val="auto"/>
        </w:rPr>
        <w:t>Section</w:t>
      </w:r>
      <w:r w:rsidR="0006763C">
        <w:rPr>
          <w:rFonts w:eastAsia="Calibri"/>
          <w:color w:val="auto"/>
        </w:rPr>
        <w:t xml:space="preserve"> 51475</w:t>
      </w:r>
      <w:r w:rsidR="00B36183">
        <w:rPr>
          <w:rFonts w:eastAsia="Calibri"/>
          <w:color w:val="auto"/>
        </w:rPr>
        <w:t xml:space="preserve"> </w:t>
      </w:r>
      <w:r w:rsidRPr="00E80D84">
        <w:rPr>
          <w:rFonts w:eastAsia="Calibri"/>
          <w:color w:val="auto"/>
        </w:rPr>
        <w:t>instructs the CDE and California Volunteers to:</w:t>
      </w:r>
    </w:p>
    <w:p w14:paraId="4B42E24F" w14:textId="520F9BA6" w:rsidR="00C750C8" w:rsidRPr="00E80D84" w:rsidRDefault="00C750C8" w:rsidP="00C750C8">
      <w:pPr>
        <w:numPr>
          <w:ilvl w:val="0"/>
          <w:numId w:val="1"/>
        </w:numPr>
        <w:spacing w:after="240"/>
        <w:rPr>
          <w:rFonts w:eastAsia="Calibri"/>
          <w:color w:val="auto"/>
          <w:u w:color="000000"/>
          <w:bdr w:val="nil"/>
        </w:rPr>
      </w:pPr>
      <w:r w:rsidRPr="00E80D84">
        <w:rPr>
          <w:rFonts w:eastAsia="Calibri"/>
          <w:color w:val="auto"/>
          <w:u w:color="000000"/>
          <w:bdr w:val="nil"/>
        </w:rPr>
        <w:t xml:space="preserve">Review the available evidence on ways to incorporate effective </w:t>
      </w:r>
      <w:r w:rsidR="001123A1">
        <w:rPr>
          <w:rFonts w:eastAsia="Calibri"/>
          <w:color w:val="auto"/>
          <w:u w:color="000000"/>
          <w:bdr w:val="nil"/>
        </w:rPr>
        <w:t>service-learning</w:t>
      </w:r>
      <w:r w:rsidRPr="00E80D84">
        <w:rPr>
          <w:rFonts w:eastAsia="Calibri"/>
          <w:color w:val="auto"/>
          <w:u w:color="000000"/>
          <w:bdr w:val="nil"/>
        </w:rPr>
        <w:t xml:space="preserve"> for students in grades nine through twelve.</w:t>
      </w:r>
    </w:p>
    <w:p w14:paraId="5FF0C97D" w14:textId="5EFB49EE" w:rsidR="00C750C8" w:rsidRPr="00E80D84" w:rsidRDefault="00C750C8" w:rsidP="00C750C8">
      <w:pPr>
        <w:numPr>
          <w:ilvl w:val="0"/>
          <w:numId w:val="1"/>
        </w:numPr>
        <w:spacing w:after="240"/>
        <w:rPr>
          <w:rFonts w:eastAsia="Calibri"/>
          <w:color w:val="auto"/>
        </w:rPr>
      </w:pPr>
      <w:r w:rsidRPr="00E80D84">
        <w:rPr>
          <w:rFonts w:eastAsia="Calibri"/>
          <w:color w:val="auto"/>
          <w:bdr w:val="nil"/>
        </w:rPr>
        <w:t>Provide recommendations to the</w:t>
      </w:r>
      <w:r w:rsidR="007F76EF">
        <w:rPr>
          <w:rFonts w:eastAsia="Calibri"/>
          <w:color w:val="auto"/>
          <w:bdr w:val="nil"/>
        </w:rPr>
        <w:t xml:space="preserve"> California State</w:t>
      </w:r>
      <w:r w:rsidRPr="00E80D84">
        <w:rPr>
          <w:rFonts w:eastAsia="Calibri"/>
          <w:color w:val="auto"/>
          <w:bdr w:val="nil"/>
        </w:rPr>
        <w:t xml:space="preserve"> Legislature on evidence-based strategies to expand access to high-quality service-learning programs in California high schools and promote equitable access to these programs.</w:t>
      </w:r>
      <w:r w:rsidRPr="00E80D84">
        <w:rPr>
          <w:rFonts w:eastAsia="Calibri"/>
          <w:color w:val="auto"/>
          <w:u w:color="000000"/>
          <w:bdr w:val="nil"/>
        </w:rPr>
        <w:t xml:space="preserve"> </w:t>
      </w:r>
      <w:r w:rsidRPr="00E80D84">
        <w:rPr>
          <w:rFonts w:eastAsia="Calibri"/>
          <w:color w:val="auto"/>
          <w:bdr w:val="nil"/>
        </w:rPr>
        <w:t xml:space="preserve">The </w:t>
      </w:r>
      <w:r w:rsidRPr="00E80D84">
        <w:rPr>
          <w:rFonts w:eastAsia="Calibri"/>
          <w:i/>
          <w:iCs/>
          <w:color w:val="auto"/>
          <w:bdr w:val="nil"/>
        </w:rPr>
        <w:t>California Serves: Strategies to Expand High-Quality and Accessible Service-Learning Programs in California High Schools Report</w:t>
      </w:r>
      <w:r w:rsidRPr="00E80D84">
        <w:rPr>
          <w:rFonts w:eastAsia="Calibri"/>
          <w:color w:val="auto"/>
          <w:bdr w:val="nil"/>
        </w:rPr>
        <w:t xml:space="preserve"> is available </w:t>
      </w:r>
      <w:r w:rsidR="007F76EF">
        <w:rPr>
          <w:rFonts w:eastAsia="Calibri"/>
          <w:color w:val="auto"/>
          <w:bdr w:val="nil"/>
        </w:rPr>
        <w:t xml:space="preserve">on the CDE </w:t>
      </w:r>
      <w:r w:rsidR="007F76EF" w:rsidRPr="007F76EF">
        <w:rPr>
          <w:rFonts w:eastAsia="Calibri"/>
          <w:color w:val="auto"/>
          <w:bdr w:val="nil"/>
        </w:rPr>
        <w:t>Expanding C</w:t>
      </w:r>
      <w:r w:rsidR="007F76EF">
        <w:rPr>
          <w:rFonts w:eastAsia="Calibri"/>
          <w:color w:val="auto"/>
          <w:bdr w:val="nil"/>
        </w:rPr>
        <w:t>alifornia</w:t>
      </w:r>
      <w:r w:rsidR="007F76EF" w:rsidRPr="007F76EF">
        <w:rPr>
          <w:rFonts w:eastAsia="Calibri"/>
          <w:color w:val="auto"/>
          <w:bdr w:val="nil"/>
        </w:rPr>
        <w:t xml:space="preserve"> High School </w:t>
      </w:r>
      <w:r w:rsidR="001123A1">
        <w:rPr>
          <w:rFonts w:eastAsia="Calibri"/>
          <w:color w:val="auto"/>
          <w:bdr w:val="nil"/>
        </w:rPr>
        <w:t>Service-Learning</w:t>
      </w:r>
      <w:r w:rsidR="007F76EF" w:rsidRPr="007F76EF">
        <w:rPr>
          <w:rFonts w:eastAsia="Calibri"/>
          <w:color w:val="auto"/>
          <w:bdr w:val="nil"/>
        </w:rPr>
        <w:t xml:space="preserve"> Programs Legislative Report </w:t>
      </w:r>
      <w:r w:rsidR="007F76EF">
        <w:rPr>
          <w:rFonts w:eastAsia="Calibri"/>
          <w:color w:val="auto"/>
          <w:bdr w:val="nil"/>
        </w:rPr>
        <w:t xml:space="preserve">web page </w:t>
      </w:r>
      <w:r w:rsidRPr="00E80D84">
        <w:rPr>
          <w:rFonts w:eastAsia="Calibri"/>
          <w:color w:val="auto"/>
          <w:bdr w:val="nil"/>
        </w:rPr>
        <w:t xml:space="preserve">at </w:t>
      </w:r>
      <w:hyperlink r:id="rId14" w:tooltip="CDE California Serves web page" w:history="1">
        <w:r w:rsidRPr="00FD1B93">
          <w:rPr>
            <w:rStyle w:val="Hyperlink"/>
          </w:rPr>
          <w:t>https://www.cde.ca.gov/ci/pl/caserveslegreport.asp</w:t>
        </w:r>
      </w:hyperlink>
      <w:r w:rsidRPr="00E80D84">
        <w:rPr>
          <w:rFonts w:eastAsia="Calibri"/>
          <w:color w:val="auto"/>
          <w:u w:color="000000"/>
          <w:bdr w:val="nil"/>
        </w:rPr>
        <w:t xml:space="preserve">. </w:t>
      </w:r>
    </w:p>
    <w:p w14:paraId="336EA39E" w14:textId="52E82D71" w:rsidR="00C750C8" w:rsidRPr="00E80D84" w:rsidRDefault="00C750C8" w:rsidP="00C750C8">
      <w:pPr>
        <w:numPr>
          <w:ilvl w:val="0"/>
          <w:numId w:val="1"/>
        </w:numPr>
        <w:spacing w:after="240"/>
        <w:rPr>
          <w:rFonts w:eastAsia="Calibri"/>
          <w:color w:val="auto"/>
          <w:u w:color="000000"/>
          <w:bdr w:val="nil"/>
        </w:rPr>
      </w:pPr>
      <w:r w:rsidRPr="00E80D84">
        <w:rPr>
          <w:rFonts w:eastAsia="Calibri"/>
          <w:color w:val="auto"/>
          <w:u w:color="000000"/>
          <w:bdr w:val="nil"/>
        </w:rPr>
        <w:t>Develop and post information on evidence-based strategies for expanding access to high-quality service-learning programs that may be used by teachers and LEAs. Strategies and additional recommendations are available</w:t>
      </w:r>
      <w:r w:rsidR="007F76EF">
        <w:rPr>
          <w:rFonts w:eastAsia="Calibri"/>
          <w:color w:val="auto"/>
          <w:u w:color="000000"/>
          <w:bdr w:val="nil"/>
        </w:rPr>
        <w:t xml:space="preserve"> on</w:t>
      </w:r>
      <w:r w:rsidRPr="00E80D84">
        <w:rPr>
          <w:rFonts w:eastAsia="Calibri"/>
          <w:color w:val="auto"/>
          <w:u w:color="000000"/>
          <w:bdr w:val="nil"/>
        </w:rPr>
        <w:t xml:space="preserve"> the CDE California Serves web page at </w:t>
      </w:r>
      <w:hyperlink r:id="rId15" w:tooltip="CDE California Serves web page" w:history="1">
        <w:r w:rsidRPr="00A461A6">
          <w:rPr>
            <w:rStyle w:val="Hyperlink"/>
          </w:rPr>
          <w:t>https://www.cde.ca.gov/ci/pl/californiaserves.asp</w:t>
        </w:r>
      </w:hyperlink>
      <w:r w:rsidRPr="00E80D84">
        <w:rPr>
          <w:rFonts w:eastAsia="Calibri"/>
          <w:color w:val="auto"/>
          <w:u w:color="000000"/>
          <w:bdr w:val="nil"/>
        </w:rPr>
        <w:t>.</w:t>
      </w:r>
    </w:p>
    <w:p w14:paraId="3687AAC2" w14:textId="41813F38" w:rsidR="00C750C8" w:rsidRPr="00E80D84" w:rsidRDefault="00C750C8" w:rsidP="00C750C8">
      <w:pPr>
        <w:numPr>
          <w:ilvl w:val="0"/>
          <w:numId w:val="1"/>
        </w:numPr>
        <w:spacing w:after="240"/>
        <w:rPr>
          <w:rFonts w:eastAsia="Calibri"/>
          <w:color w:val="auto"/>
          <w:u w:color="000000"/>
          <w:bdr w:val="nil"/>
        </w:rPr>
      </w:pPr>
      <w:r w:rsidRPr="00E80D84">
        <w:rPr>
          <w:rFonts w:eastAsia="Calibri"/>
          <w:color w:val="auto"/>
          <w:u w:color="000000"/>
          <w:bdr w:val="nil"/>
        </w:rPr>
        <w:t>Develop model uniform metrics based on the recommended criteria for the SSCE for the measurement of student progress toward academic, civic engagement, and other learning objectives, including awarding the SSCE.</w:t>
      </w:r>
      <w:r>
        <w:rPr>
          <w:rFonts w:eastAsia="Calibri"/>
          <w:color w:val="auto"/>
          <w:u w:color="000000"/>
          <w:bdr w:val="nil"/>
        </w:rPr>
        <w:t xml:space="preserve"> The model uniform metrics are available</w:t>
      </w:r>
      <w:r w:rsidR="00AA0AAC" w:rsidRPr="00AA0AAC">
        <w:rPr>
          <w:rFonts w:eastAsia="Calibri"/>
          <w:color w:val="auto"/>
          <w:u w:color="000000"/>
          <w:bdr w:val="nil"/>
        </w:rPr>
        <w:t xml:space="preserve"> </w:t>
      </w:r>
      <w:r w:rsidR="007F76EF">
        <w:rPr>
          <w:rFonts w:eastAsia="Calibri"/>
          <w:color w:val="auto"/>
          <w:u w:color="000000"/>
          <w:bdr w:val="nil"/>
        </w:rPr>
        <w:t xml:space="preserve">on </w:t>
      </w:r>
      <w:r w:rsidR="00AA0AAC">
        <w:rPr>
          <w:rFonts w:eastAsia="Calibri"/>
          <w:color w:val="auto"/>
          <w:u w:color="000000"/>
          <w:bdr w:val="nil"/>
        </w:rPr>
        <w:t xml:space="preserve">the </w:t>
      </w:r>
      <w:r w:rsidR="00AA0AAC" w:rsidRPr="00E80D84">
        <w:rPr>
          <w:rFonts w:eastAsia="Calibri"/>
          <w:color w:val="auto"/>
          <w:u w:color="000000"/>
          <w:bdr w:val="nil"/>
        </w:rPr>
        <w:t xml:space="preserve">CDE California Serves web page at </w:t>
      </w:r>
      <w:hyperlink r:id="rId16" w:tooltip="CDE California Serves web page" w:history="1">
        <w:r w:rsidR="00AA0AAC" w:rsidRPr="008808C8">
          <w:rPr>
            <w:rStyle w:val="Hyperlink"/>
          </w:rPr>
          <w:t>https://www.cde.ca.gov/ci/pl/californiaserves.asp</w:t>
        </w:r>
      </w:hyperlink>
      <w:r w:rsidR="00AA0AAC" w:rsidRPr="00E80D84">
        <w:rPr>
          <w:rFonts w:eastAsia="Calibri"/>
          <w:color w:val="auto"/>
          <w:u w:color="000000"/>
          <w:bdr w:val="nil"/>
        </w:rPr>
        <w:t>.</w:t>
      </w:r>
    </w:p>
    <w:p w14:paraId="0DAE9D76" w14:textId="70295D38" w:rsidR="00C750C8" w:rsidRPr="00E80D84" w:rsidRDefault="00C750C8" w:rsidP="00C750C8">
      <w:pPr>
        <w:numPr>
          <w:ilvl w:val="0"/>
          <w:numId w:val="1"/>
        </w:numPr>
        <w:spacing w:after="240"/>
        <w:rPr>
          <w:rFonts w:eastAsia="Calibri"/>
          <w:color w:val="auto"/>
          <w:u w:color="000000"/>
          <w:bdr w:val="nil"/>
        </w:rPr>
      </w:pPr>
      <w:r w:rsidRPr="00E80D84">
        <w:rPr>
          <w:rFonts w:eastAsia="Calibri"/>
          <w:color w:val="auto"/>
          <w:u w:color="000000"/>
          <w:bdr w:val="nil"/>
        </w:rPr>
        <w:t xml:space="preserve">Use the evidence, recommendations, and metrics identified to administer the California Serves Grant Program. </w:t>
      </w:r>
    </w:p>
    <w:p w14:paraId="21AF1CDB" w14:textId="064CC7DF" w:rsidR="00E80D84" w:rsidRPr="00ED5B14" w:rsidRDefault="00E80D84" w:rsidP="00ED5B14">
      <w:pPr>
        <w:pStyle w:val="Heading4"/>
      </w:pPr>
      <w:bookmarkStart w:id="17" w:name="_Toc201236632"/>
      <w:bookmarkStart w:id="18" w:name="_Toc203053763"/>
      <w:bookmarkStart w:id="19" w:name="_Toc221186043"/>
      <w:r w:rsidRPr="00ED5B14">
        <w:t>California Serves Grants</w:t>
      </w:r>
      <w:bookmarkEnd w:id="17"/>
      <w:bookmarkEnd w:id="18"/>
      <w:bookmarkEnd w:id="19"/>
    </w:p>
    <w:p w14:paraId="55F2D440" w14:textId="2AD61952" w:rsidR="00E80D84" w:rsidRPr="00E80D84" w:rsidRDefault="00E80D84" w:rsidP="00E80D84">
      <w:pPr>
        <w:spacing w:after="240"/>
        <w:rPr>
          <w:rFonts w:eastAsia="Calibri"/>
          <w:color w:val="auto"/>
        </w:rPr>
      </w:pPr>
      <w:r w:rsidRPr="00E80D84">
        <w:rPr>
          <w:rFonts w:eastAsia="Calibri"/>
          <w:color w:val="auto"/>
          <w:bdr w:val="nil"/>
        </w:rPr>
        <w:t>The California Serves Grant Program began in the 2022–23 fiscal year. Each year, the CDE and California Volunteers administer</w:t>
      </w:r>
      <w:r w:rsidR="00A01F77">
        <w:rPr>
          <w:rFonts w:eastAsia="Calibri"/>
          <w:color w:val="auto"/>
          <w:bdr w:val="nil"/>
        </w:rPr>
        <w:t xml:space="preserve"> </w:t>
      </w:r>
      <w:r w:rsidRPr="00E80D84">
        <w:rPr>
          <w:rFonts w:eastAsia="Calibri"/>
          <w:color w:val="auto"/>
          <w:bdr w:val="nil"/>
        </w:rPr>
        <w:t>this</w:t>
      </w:r>
      <w:r w:rsidRPr="00E80D84">
        <w:rPr>
          <w:rFonts w:eastAsia="Calibri"/>
          <w:color w:val="auto"/>
          <w:u w:color="000000"/>
          <w:bdr w:val="nil"/>
        </w:rPr>
        <w:t xml:space="preserve"> </w:t>
      </w:r>
      <w:r w:rsidRPr="00E80D84">
        <w:rPr>
          <w:rFonts w:eastAsia="Calibri"/>
          <w:color w:val="auto"/>
          <w:bdr w:val="nil"/>
        </w:rPr>
        <w:t xml:space="preserve">$5 million grant program. Eligible LEAs may receive grants up to $500,000 to support local programming that expands access to the SSCE through </w:t>
      </w:r>
      <w:r w:rsidR="001123A1">
        <w:rPr>
          <w:rFonts w:eastAsia="Calibri"/>
          <w:color w:val="auto"/>
          <w:bdr w:val="nil"/>
        </w:rPr>
        <w:t>service-learning</w:t>
      </w:r>
      <w:r w:rsidRPr="00E80D84">
        <w:rPr>
          <w:rFonts w:eastAsia="Calibri"/>
          <w:color w:val="auto"/>
          <w:bdr w:val="nil"/>
        </w:rPr>
        <w:t>.</w:t>
      </w:r>
    </w:p>
    <w:p w14:paraId="5FC57B28" w14:textId="1BB1F788" w:rsidR="00E80D84" w:rsidRPr="00E80D84" w:rsidRDefault="00E80D84" w:rsidP="00A515C5">
      <w:pPr>
        <w:spacing w:after="240"/>
        <w:rPr>
          <w:rFonts w:eastAsia="Calibri"/>
          <w:color w:val="auto"/>
          <w:u w:color="000000"/>
          <w:bdr w:val="nil"/>
        </w:rPr>
      </w:pPr>
      <w:r w:rsidRPr="00E80D84">
        <w:rPr>
          <w:rFonts w:eastAsia="Calibri"/>
          <w:color w:val="auto"/>
          <w:u w:color="000000"/>
          <w:bdr w:val="nil"/>
        </w:rPr>
        <w:t xml:space="preserve">Additional information, including past and current grant recipients, is available </w:t>
      </w:r>
      <w:r w:rsidR="00934AC8">
        <w:rPr>
          <w:rFonts w:eastAsia="Calibri"/>
          <w:color w:val="auto"/>
          <w:u w:color="000000"/>
          <w:bdr w:val="nil"/>
        </w:rPr>
        <w:t>on</w:t>
      </w:r>
      <w:r w:rsidR="00934AC8" w:rsidRPr="00E80D84">
        <w:rPr>
          <w:rFonts w:eastAsia="Calibri"/>
          <w:color w:val="auto"/>
          <w:u w:color="000000"/>
          <w:bdr w:val="nil"/>
        </w:rPr>
        <w:t xml:space="preserve"> </w:t>
      </w:r>
      <w:r w:rsidRPr="00E80D84">
        <w:rPr>
          <w:rFonts w:eastAsia="Calibri"/>
          <w:color w:val="auto"/>
          <w:u w:color="000000"/>
          <w:bdr w:val="nil"/>
        </w:rPr>
        <w:t xml:space="preserve">the CDE California Serves web page at </w:t>
      </w:r>
      <w:hyperlink r:id="rId17" w:tooltip="CDE California Serves web page" w:history="1">
        <w:r w:rsidRPr="008808C8">
          <w:rPr>
            <w:rStyle w:val="Hyperlink"/>
          </w:rPr>
          <w:t>https://www.cde.ca.gov/ci/pl/californiaserves.asp</w:t>
        </w:r>
      </w:hyperlink>
      <w:r w:rsidRPr="00E80D84">
        <w:rPr>
          <w:rFonts w:eastAsia="Calibri"/>
          <w:color w:val="auto"/>
          <w:u w:color="000000"/>
          <w:bdr w:val="nil"/>
        </w:rPr>
        <w:t>.</w:t>
      </w:r>
    </w:p>
    <w:p w14:paraId="1D6F6566" w14:textId="38A1AECF" w:rsidR="00EA61B9" w:rsidRPr="00F64E64" w:rsidRDefault="00EA61B9" w:rsidP="00F64E64">
      <w:pPr>
        <w:pStyle w:val="Heading5"/>
      </w:pPr>
      <w:bookmarkStart w:id="20" w:name="_Toc221186044"/>
      <w:r w:rsidRPr="00F64E64">
        <w:t>Applicant Eligibility</w:t>
      </w:r>
      <w:bookmarkEnd w:id="20"/>
    </w:p>
    <w:p w14:paraId="0B46ADF8" w14:textId="5590AC17" w:rsidR="00AC5906" w:rsidRPr="00AC5906" w:rsidRDefault="00AC5906" w:rsidP="00AC5906">
      <w:pPr>
        <w:shd w:val="clear" w:color="auto" w:fill="FFFFFF"/>
        <w:spacing w:after="240"/>
        <w:rPr>
          <w:rFonts w:eastAsia="Cambria"/>
        </w:rPr>
      </w:pPr>
      <w:r w:rsidRPr="00AC5906">
        <w:rPr>
          <w:rFonts w:eastAsia="Cambria"/>
        </w:rPr>
        <w:t xml:space="preserve">Per </w:t>
      </w:r>
      <w:r w:rsidRPr="00AC5906">
        <w:rPr>
          <w:rFonts w:eastAsia="Cambria"/>
          <w:i/>
        </w:rPr>
        <w:t xml:space="preserve">EC </w:t>
      </w:r>
      <w:r w:rsidRPr="00AC5906">
        <w:rPr>
          <w:rFonts w:eastAsia="Cambria"/>
        </w:rPr>
        <w:t>Section 51475(a), eligibility is limited to LEAs</w:t>
      </w:r>
      <w:r w:rsidR="00934AC8">
        <w:rPr>
          <w:rFonts w:eastAsia="Cambria"/>
        </w:rPr>
        <w:t>—</w:t>
      </w:r>
      <w:r w:rsidRPr="00AC5906">
        <w:rPr>
          <w:rFonts w:eastAsia="Cambria"/>
        </w:rPr>
        <w:t xml:space="preserve">defined as a school district, </w:t>
      </w:r>
      <w:r w:rsidR="00DC5F63">
        <w:rPr>
          <w:rFonts w:eastAsia="Cambria"/>
        </w:rPr>
        <w:t xml:space="preserve">County Office of Education </w:t>
      </w:r>
      <w:r w:rsidR="00DC5F63" w:rsidRPr="00EF5118">
        <w:rPr>
          <w:rFonts w:eastAsia="Cambria"/>
        </w:rPr>
        <w:t>(</w:t>
      </w:r>
      <w:r w:rsidRPr="00EF5118">
        <w:rPr>
          <w:rFonts w:eastAsia="Cambria"/>
        </w:rPr>
        <w:t>COE</w:t>
      </w:r>
      <w:r w:rsidR="00DC5F63" w:rsidRPr="00EF5118">
        <w:rPr>
          <w:rFonts w:eastAsia="Cambria"/>
        </w:rPr>
        <w:t>)</w:t>
      </w:r>
      <w:r w:rsidRPr="00AC5906">
        <w:rPr>
          <w:rFonts w:eastAsia="Cambria"/>
        </w:rPr>
        <w:t>, or charter school</w:t>
      </w:r>
      <w:r w:rsidR="00934AC8">
        <w:rPr>
          <w:rFonts w:eastAsia="Cambria"/>
        </w:rPr>
        <w:t>—</w:t>
      </w:r>
      <w:r w:rsidRPr="00AC5906">
        <w:rPr>
          <w:rFonts w:eastAsia="Cambria"/>
        </w:rPr>
        <w:t xml:space="preserve">within the </w:t>
      </w:r>
      <w:r w:rsidR="00934AC8">
        <w:rPr>
          <w:rFonts w:eastAsia="Cambria"/>
        </w:rPr>
        <w:t>s</w:t>
      </w:r>
      <w:r w:rsidRPr="00AC5906">
        <w:rPr>
          <w:rFonts w:eastAsia="Cambria"/>
        </w:rPr>
        <w:t xml:space="preserve">tate of California. </w:t>
      </w:r>
      <w:r w:rsidR="00EE400E">
        <w:rPr>
          <w:rFonts w:eastAsia="Cambria"/>
        </w:rPr>
        <w:t xml:space="preserve">Applicant </w:t>
      </w:r>
      <w:r w:rsidRPr="00AC5906">
        <w:rPr>
          <w:rFonts w:eastAsia="Cambria"/>
        </w:rPr>
        <w:t>LEA</w:t>
      </w:r>
      <w:r w:rsidR="00EE400E">
        <w:rPr>
          <w:rFonts w:eastAsia="Cambria"/>
        </w:rPr>
        <w:t>s</w:t>
      </w:r>
      <w:r w:rsidRPr="00AC5906">
        <w:rPr>
          <w:rFonts w:eastAsia="Cambria"/>
        </w:rPr>
        <w:t xml:space="preserve"> must serve students in grade twelve.</w:t>
      </w:r>
    </w:p>
    <w:p w14:paraId="318CC9FA" w14:textId="4E970E75" w:rsidR="00AC5906" w:rsidRPr="00AC5906" w:rsidRDefault="00AC5906" w:rsidP="00AC5906">
      <w:pPr>
        <w:shd w:val="clear" w:color="auto" w:fill="FFFFFF"/>
        <w:spacing w:after="240"/>
        <w:rPr>
          <w:rFonts w:eastAsia="Cambria"/>
        </w:rPr>
      </w:pPr>
      <w:r w:rsidRPr="00AC5906">
        <w:rPr>
          <w:rFonts w:eastAsia="Cambria"/>
        </w:rPr>
        <w:t xml:space="preserve">Additionally, per </w:t>
      </w:r>
      <w:r w:rsidRPr="00AC5906">
        <w:rPr>
          <w:rFonts w:eastAsia="Cambria"/>
          <w:i/>
          <w:iCs/>
        </w:rPr>
        <w:t xml:space="preserve">EC </w:t>
      </w:r>
      <w:r w:rsidRPr="00AC5906">
        <w:rPr>
          <w:rFonts w:eastAsia="Cambria"/>
        </w:rPr>
        <w:t xml:space="preserve">Section 51475(d), at least 55 percent of the pupils enrolled in the applicant LEA shall be unduplicated pupils as defined in </w:t>
      </w:r>
      <w:r w:rsidRPr="00AC5906">
        <w:rPr>
          <w:rFonts w:eastAsia="Cambria"/>
          <w:i/>
          <w:iCs/>
        </w:rPr>
        <w:t xml:space="preserve">EC </w:t>
      </w:r>
      <w:r w:rsidRPr="00AC5906">
        <w:rPr>
          <w:rFonts w:eastAsia="Cambria"/>
        </w:rPr>
        <w:t xml:space="preserve">Section 2574 or 42238.02, </w:t>
      </w:r>
      <w:r w:rsidRPr="00AC5906">
        <w:rPr>
          <w:rFonts w:eastAsia="Cambria"/>
        </w:rPr>
        <w:lastRenderedPageBreak/>
        <w:t xml:space="preserve">as applicable. </w:t>
      </w:r>
      <w:r w:rsidR="00694886">
        <w:rPr>
          <w:rFonts w:eastAsia="Cambria"/>
        </w:rPr>
        <w:t xml:space="preserve">Eligibility information is provided annually </w:t>
      </w:r>
      <w:r w:rsidR="00934AC8">
        <w:rPr>
          <w:rFonts w:eastAsia="Cambria"/>
        </w:rPr>
        <w:t xml:space="preserve">on </w:t>
      </w:r>
      <w:r w:rsidR="00694886">
        <w:rPr>
          <w:rFonts w:eastAsia="Cambria"/>
        </w:rPr>
        <w:t xml:space="preserve">the </w:t>
      </w:r>
      <w:r w:rsidR="00D468D2">
        <w:rPr>
          <w:rFonts w:eastAsia="Cambria"/>
        </w:rPr>
        <w:t xml:space="preserve">CDE </w:t>
      </w:r>
      <w:r w:rsidR="00694886">
        <w:rPr>
          <w:rFonts w:eastAsia="Cambria"/>
        </w:rPr>
        <w:t xml:space="preserve">California Serves web page at </w:t>
      </w:r>
      <w:hyperlink r:id="rId18" w:tooltip="CDE California Serves web page">
        <w:r w:rsidR="003A5A39">
          <w:rPr>
            <w:rStyle w:val="Hyperlink"/>
          </w:rPr>
          <w:t>https://www.cde.ca.gov/ci/pl/californiaserves.asp</w:t>
        </w:r>
      </w:hyperlink>
      <w:r w:rsidR="00694886">
        <w:rPr>
          <w:rFonts w:eastAsia="Cambria"/>
        </w:rPr>
        <w:t>.</w:t>
      </w:r>
    </w:p>
    <w:p w14:paraId="4244D130" w14:textId="2C28BFDB" w:rsidR="00AC5906" w:rsidRDefault="00AC5906" w:rsidP="00010659">
      <w:pPr>
        <w:shd w:val="clear" w:color="auto" w:fill="FFFFFF"/>
        <w:spacing w:after="240"/>
        <w:rPr>
          <w:rFonts w:eastAsia="Cambria"/>
        </w:rPr>
      </w:pPr>
      <w:r w:rsidRPr="00AC5906">
        <w:rPr>
          <w:rFonts w:eastAsia="Cambria"/>
        </w:rPr>
        <w:t xml:space="preserve">Individuals, community agencies, private schools, nonprofit organizations, public school sites, state special schools, and LEAs that previously received a California Serves </w:t>
      </w:r>
      <w:r w:rsidR="00934AC8">
        <w:rPr>
          <w:rFonts w:eastAsia="Cambria"/>
        </w:rPr>
        <w:t>G</w:t>
      </w:r>
      <w:r w:rsidRPr="00AC5906">
        <w:rPr>
          <w:rFonts w:eastAsia="Cambria"/>
        </w:rPr>
        <w:t xml:space="preserve">rant and are still participating in a grant cycle are not eligible to apply for the California Serves Grant. </w:t>
      </w:r>
    </w:p>
    <w:p w14:paraId="62B51974" w14:textId="77777777" w:rsidR="004C53D0" w:rsidRDefault="004C53D0" w:rsidP="00F64E64">
      <w:pPr>
        <w:pStyle w:val="Heading5"/>
      </w:pPr>
      <w:bookmarkStart w:id="21" w:name="_Toc221186045"/>
      <w:r>
        <w:t>Allowable Expenses</w:t>
      </w:r>
      <w:bookmarkEnd w:id="21"/>
    </w:p>
    <w:p w14:paraId="589E5E64" w14:textId="11C25DE6" w:rsidR="004C53D0" w:rsidRPr="00AC5906" w:rsidRDefault="004C53D0" w:rsidP="004C53D0">
      <w:pPr>
        <w:shd w:val="clear" w:color="auto" w:fill="FFFFFF"/>
        <w:spacing w:after="240"/>
        <w:rPr>
          <w:rFonts w:eastAsia="Cambria"/>
        </w:rPr>
      </w:pPr>
      <w:r w:rsidRPr="00AC5906">
        <w:rPr>
          <w:rFonts w:eastAsia="Cambria"/>
        </w:rPr>
        <w:t xml:space="preserve">Grant funding can be used for a wide range of purposes that promote access to effective </w:t>
      </w:r>
      <w:r w:rsidR="001123A1">
        <w:rPr>
          <w:rFonts w:eastAsia="Cambria"/>
        </w:rPr>
        <w:t>service-learning</w:t>
      </w:r>
      <w:r w:rsidRPr="00AC5906">
        <w:rPr>
          <w:rFonts w:eastAsia="Cambria"/>
        </w:rPr>
        <w:t xml:space="preserve"> for students in grade twelve with the goal of expanding access for high school graduates </w:t>
      </w:r>
      <w:r w:rsidR="00934AC8">
        <w:rPr>
          <w:rFonts w:eastAsia="Cambria"/>
        </w:rPr>
        <w:t xml:space="preserve">to obtain </w:t>
      </w:r>
      <w:r w:rsidRPr="00AC5906">
        <w:rPr>
          <w:rFonts w:eastAsia="Cambria"/>
        </w:rPr>
        <w:t xml:space="preserve">an SSCE through </w:t>
      </w:r>
      <w:r w:rsidR="001123A1">
        <w:rPr>
          <w:rFonts w:eastAsia="Cambria"/>
        </w:rPr>
        <w:t>service-learning</w:t>
      </w:r>
      <w:r w:rsidRPr="00AC5906">
        <w:rPr>
          <w:rFonts w:eastAsia="Cambria"/>
        </w:rPr>
        <w:t xml:space="preserve">. </w:t>
      </w:r>
    </w:p>
    <w:p w14:paraId="4E9807B5" w14:textId="77777777" w:rsidR="004C53D0" w:rsidRPr="00AC5906" w:rsidRDefault="004C53D0" w:rsidP="004C53D0">
      <w:pPr>
        <w:shd w:val="clear" w:color="auto" w:fill="FFFFFF"/>
        <w:spacing w:after="240"/>
        <w:rPr>
          <w:rFonts w:eastAsia="Cambria"/>
        </w:rPr>
      </w:pPr>
      <w:r w:rsidRPr="00AC5906">
        <w:rPr>
          <w:rFonts w:eastAsia="Cambria"/>
        </w:rPr>
        <w:t xml:space="preserve">Per </w:t>
      </w:r>
      <w:r w:rsidRPr="00AC5906">
        <w:rPr>
          <w:rFonts w:eastAsia="Cambria"/>
          <w:i/>
          <w:iCs/>
        </w:rPr>
        <w:t xml:space="preserve">EC </w:t>
      </w:r>
      <w:r w:rsidRPr="00AC5906">
        <w:rPr>
          <w:rFonts w:eastAsia="Cambria"/>
        </w:rPr>
        <w:t>Section 51475(f), allowable expenditures include:</w:t>
      </w:r>
    </w:p>
    <w:p w14:paraId="396C7B61" w14:textId="51BC4736" w:rsidR="004C53D0" w:rsidRPr="00AC5906" w:rsidRDefault="004C53D0" w:rsidP="004C53D0">
      <w:pPr>
        <w:numPr>
          <w:ilvl w:val="0"/>
          <w:numId w:val="14"/>
        </w:numPr>
        <w:shd w:val="clear" w:color="auto" w:fill="FFFFFF"/>
        <w:spacing w:after="240"/>
        <w:rPr>
          <w:rFonts w:eastAsia="Cambria"/>
        </w:rPr>
      </w:pPr>
      <w:r w:rsidRPr="00AC5906">
        <w:rPr>
          <w:rFonts w:eastAsia="Cambria"/>
        </w:rPr>
        <w:t xml:space="preserve">Paid planning time for teachers to increase the use of </w:t>
      </w:r>
      <w:r w:rsidR="001123A1">
        <w:rPr>
          <w:rFonts w:eastAsia="Cambria"/>
        </w:rPr>
        <w:t>service-learning</w:t>
      </w:r>
      <w:r w:rsidRPr="00AC5906">
        <w:rPr>
          <w:rFonts w:eastAsia="Cambria"/>
        </w:rPr>
        <w:t xml:space="preserve"> in instruction.</w:t>
      </w:r>
    </w:p>
    <w:p w14:paraId="11C5FCCD" w14:textId="35511412" w:rsidR="004C53D0" w:rsidRPr="00AC5906" w:rsidRDefault="003B0389" w:rsidP="004C53D0">
      <w:pPr>
        <w:numPr>
          <w:ilvl w:val="0"/>
          <w:numId w:val="14"/>
        </w:numPr>
        <w:shd w:val="clear" w:color="auto" w:fill="FFFFFF"/>
        <w:spacing w:after="240"/>
        <w:rPr>
          <w:rFonts w:eastAsia="Cambria"/>
        </w:rPr>
      </w:pPr>
      <w:r>
        <w:rPr>
          <w:rFonts w:eastAsia="Cambria"/>
        </w:rPr>
        <w:t>Professional development (PD)</w:t>
      </w:r>
      <w:r w:rsidR="004C53D0" w:rsidRPr="00AC5906">
        <w:rPr>
          <w:rFonts w:eastAsia="Cambria"/>
        </w:rPr>
        <w:t xml:space="preserve"> on </w:t>
      </w:r>
      <w:r w:rsidR="001123A1">
        <w:rPr>
          <w:rFonts w:eastAsia="Cambria"/>
        </w:rPr>
        <w:t>service-learning</w:t>
      </w:r>
      <w:r w:rsidR="004C53D0" w:rsidRPr="00AC5906">
        <w:rPr>
          <w:rFonts w:eastAsia="Cambria"/>
        </w:rPr>
        <w:t xml:space="preserve"> for administrators and teachers.</w:t>
      </w:r>
    </w:p>
    <w:p w14:paraId="737FFFAA" w14:textId="62AB2E45" w:rsidR="004C53D0" w:rsidRPr="00AC5906" w:rsidRDefault="004C53D0" w:rsidP="004C53D0">
      <w:pPr>
        <w:numPr>
          <w:ilvl w:val="0"/>
          <w:numId w:val="14"/>
        </w:numPr>
        <w:shd w:val="clear" w:color="auto" w:fill="FFFFFF"/>
        <w:spacing w:after="240"/>
        <w:rPr>
          <w:rFonts w:eastAsia="Cambria"/>
        </w:rPr>
      </w:pPr>
      <w:r w:rsidRPr="00AC5906">
        <w:rPr>
          <w:rFonts w:eastAsia="Cambria"/>
        </w:rPr>
        <w:t xml:space="preserve">Purchase of instructional materials to help integrate </w:t>
      </w:r>
      <w:r w:rsidR="001123A1">
        <w:rPr>
          <w:rFonts w:eastAsia="Cambria"/>
        </w:rPr>
        <w:t>service-learning</w:t>
      </w:r>
      <w:r w:rsidRPr="00AC5906">
        <w:rPr>
          <w:rFonts w:eastAsia="Cambria"/>
        </w:rPr>
        <w:t xml:space="preserve"> </w:t>
      </w:r>
      <w:proofErr w:type="gramStart"/>
      <w:r w:rsidRPr="00AC5906">
        <w:rPr>
          <w:rFonts w:eastAsia="Cambria"/>
        </w:rPr>
        <w:t>in</w:t>
      </w:r>
      <w:proofErr w:type="gramEnd"/>
      <w:r w:rsidRPr="00AC5906">
        <w:rPr>
          <w:rFonts w:eastAsia="Cambria"/>
        </w:rPr>
        <w:t xml:space="preserve"> instruction.</w:t>
      </w:r>
    </w:p>
    <w:p w14:paraId="108009A2" w14:textId="77777777" w:rsidR="004C53D0" w:rsidRPr="00AC5906" w:rsidRDefault="004C53D0" w:rsidP="004C53D0">
      <w:pPr>
        <w:numPr>
          <w:ilvl w:val="0"/>
          <w:numId w:val="14"/>
        </w:numPr>
        <w:shd w:val="clear" w:color="auto" w:fill="FFFFFF"/>
        <w:spacing w:after="240"/>
        <w:rPr>
          <w:rFonts w:eastAsia="Cambria"/>
        </w:rPr>
      </w:pPr>
      <w:r w:rsidRPr="00AC5906">
        <w:rPr>
          <w:rFonts w:eastAsia="Cambria"/>
        </w:rPr>
        <w:t>Participation costs, including materials or travel expenses related to service-learning activities.</w:t>
      </w:r>
    </w:p>
    <w:p w14:paraId="1AFE3C7C" w14:textId="1397073B" w:rsidR="004C53D0" w:rsidRPr="00AC5906" w:rsidRDefault="004C53D0" w:rsidP="004C53D0">
      <w:pPr>
        <w:numPr>
          <w:ilvl w:val="0"/>
          <w:numId w:val="14"/>
        </w:numPr>
        <w:shd w:val="clear" w:color="auto" w:fill="FFFFFF"/>
        <w:spacing w:after="240"/>
        <w:rPr>
          <w:rFonts w:eastAsia="Cambria"/>
        </w:rPr>
      </w:pPr>
      <w:r w:rsidRPr="00AC5906">
        <w:rPr>
          <w:rFonts w:eastAsia="Cambria"/>
        </w:rPr>
        <w:t xml:space="preserve">Personnel costs for coordinating </w:t>
      </w:r>
      <w:r w:rsidR="001123A1">
        <w:rPr>
          <w:rFonts w:eastAsia="Cambria"/>
        </w:rPr>
        <w:t>service-learning</w:t>
      </w:r>
      <w:r w:rsidRPr="00AC5906">
        <w:rPr>
          <w:rFonts w:eastAsia="Cambria"/>
        </w:rPr>
        <w:t xml:space="preserve"> at the LEA or a school site.</w:t>
      </w:r>
    </w:p>
    <w:p w14:paraId="321B771B" w14:textId="01445FFD" w:rsidR="004C53D0" w:rsidRPr="004C53D0" w:rsidRDefault="004C53D0" w:rsidP="00010659">
      <w:pPr>
        <w:numPr>
          <w:ilvl w:val="0"/>
          <w:numId w:val="14"/>
        </w:numPr>
        <w:shd w:val="clear" w:color="auto" w:fill="FFFFFF"/>
        <w:spacing w:after="240"/>
        <w:rPr>
          <w:rFonts w:eastAsia="Cambria"/>
        </w:rPr>
      </w:pPr>
      <w:r w:rsidRPr="00AC5906">
        <w:rPr>
          <w:rFonts w:eastAsia="Cambria"/>
        </w:rPr>
        <w:t>Participation costs associated with grant program evaluation.</w:t>
      </w:r>
    </w:p>
    <w:p w14:paraId="20FC0F47" w14:textId="2FA544DB" w:rsidR="00EA61B9" w:rsidRDefault="00E80D84" w:rsidP="00ED5B14">
      <w:pPr>
        <w:pStyle w:val="Heading4"/>
      </w:pPr>
      <w:bookmarkStart w:id="22" w:name="_Toc221186046"/>
      <w:r>
        <w:t>Applicant</w:t>
      </w:r>
      <w:r w:rsidR="00EA61B9">
        <w:t xml:space="preserve"> Timeline</w:t>
      </w:r>
      <w:bookmarkEnd w:id="22"/>
    </w:p>
    <w:p w14:paraId="022AE6D2" w14:textId="3DF39C55" w:rsidR="00827B53" w:rsidRPr="00827B53" w:rsidRDefault="0039625A" w:rsidP="0039625A">
      <w:pPr>
        <w:spacing w:after="240"/>
        <w:rPr>
          <w:lang w:val="en"/>
        </w:rPr>
      </w:pPr>
      <w:r>
        <w:rPr>
          <w:lang w:val="en"/>
        </w:rPr>
        <w:t>The California Serves Grant timelines are updated and posted each year on the CDE California Serves web page at</w:t>
      </w:r>
      <w:r>
        <w:rPr>
          <w:rFonts w:eastAsia="Cambria"/>
        </w:rPr>
        <w:t xml:space="preserve"> </w:t>
      </w:r>
      <w:hyperlink r:id="rId19" w:tooltip="CDE California Serves web page">
        <w:r w:rsidR="003A5A39">
          <w:rPr>
            <w:rStyle w:val="Hyperlink"/>
          </w:rPr>
          <w:t>https://www.cde.ca.gov/ci/pl/californiaserves.asp</w:t>
        </w:r>
      </w:hyperlink>
      <w:r>
        <w:t>.</w:t>
      </w:r>
    </w:p>
    <w:p w14:paraId="20A97774" w14:textId="77777777" w:rsidR="00DA125A" w:rsidRDefault="00DA125A">
      <w:pPr>
        <w:spacing w:after="240"/>
        <w:rPr>
          <w:b/>
          <w:bCs/>
          <w:color w:val="auto"/>
          <w:szCs w:val="22"/>
          <w:lang w:val="en"/>
        </w:rPr>
      </w:pPr>
      <w:r>
        <w:rPr>
          <w:lang w:val="en"/>
        </w:rPr>
        <w:br w:type="page"/>
      </w:r>
    </w:p>
    <w:p w14:paraId="6DC09DF3" w14:textId="25A406E6" w:rsidR="00357B07" w:rsidRPr="00827B53" w:rsidRDefault="00827B53" w:rsidP="00593B4C">
      <w:pPr>
        <w:pStyle w:val="TableTitle"/>
        <w:rPr>
          <w:lang w:val="en"/>
        </w:rPr>
      </w:pPr>
      <w:r>
        <w:rPr>
          <w:lang w:val="en"/>
        </w:rPr>
        <w:lastRenderedPageBreak/>
        <w:t>Table 1: California Serves Grant Timeline, Cohorts 1</w:t>
      </w:r>
      <w:r w:rsidR="000E45A2">
        <w:rPr>
          <w:lang w:val="en"/>
        </w:rPr>
        <w:t xml:space="preserve">, </w:t>
      </w:r>
      <w:r>
        <w:rPr>
          <w:lang w:val="en"/>
        </w:rPr>
        <w:t>2</w:t>
      </w:r>
      <w:r w:rsidR="000E45A2">
        <w:rPr>
          <w:lang w:val="en"/>
        </w:rPr>
        <w:t>, and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Table 1: California Serves Grant Timeline, Cohorts 1, 2, and 3"/>
        <w:tblDescription w:val="Includes the application timelines for cohorts 1, 2, and 3."/>
      </w:tblPr>
      <w:tblGrid>
        <w:gridCol w:w="2590"/>
        <w:gridCol w:w="2152"/>
        <w:gridCol w:w="2304"/>
        <w:gridCol w:w="2304"/>
      </w:tblGrid>
      <w:tr w:rsidR="000E45A2" w:rsidRPr="0039625A" w14:paraId="727A57E0" w14:textId="2C756BFC" w:rsidTr="008808C8">
        <w:trPr>
          <w:cantSplit/>
          <w:trHeight w:val="428"/>
          <w:tblHeader/>
        </w:trPr>
        <w:tc>
          <w:tcPr>
            <w:tcW w:w="1385" w:type="pct"/>
            <w:tcMar>
              <w:top w:w="120" w:type="dxa"/>
              <w:left w:w="120" w:type="dxa"/>
              <w:bottom w:w="120" w:type="dxa"/>
              <w:right w:w="120" w:type="dxa"/>
            </w:tcMar>
            <w:hideMark/>
          </w:tcPr>
          <w:p w14:paraId="0F9BED29" w14:textId="77777777" w:rsidR="000E45A2" w:rsidRPr="0039625A" w:rsidRDefault="000E45A2" w:rsidP="005B1F66">
            <w:pPr>
              <w:jc w:val="center"/>
              <w:rPr>
                <w:b/>
                <w:bCs/>
                <w:color w:val="auto"/>
              </w:rPr>
            </w:pPr>
            <w:r w:rsidRPr="0039625A">
              <w:rPr>
                <w:b/>
                <w:bCs/>
                <w:color w:val="auto"/>
              </w:rPr>
              <w:t>Activity</w:t>
            </w:r>
          </w:p>
        </w:tc>
        <w:tc>
          <w:tcPr>
            <w:tcW w:w="1151" w:type="pct"/>
          </w:tcPr>
          <w:p w14:paraId="256B1EC8" w14:textId="3E8E9EBA" w:rsidR="000E45A2" w:rsidRPr="0039625A" w:rsidRDefault="000E45A2" w:rsidP="005B1F66">
            <w:pPr>
              <w:jc w:val="center"/>
              <w:rPr>
                <w:b/>
                <w:bCs/>
                <w:color w:val="auto"/>
              </w:rPr>
            </w:pPr>
            <w:r w:rsidRPr="0039625A">
              <w:rPr>
                <w:b/>
                <w:bCs/>
                <w:color w:val="auto"/>
              </w:rPr>
              <w:t>Date</w:t>
            </w:r>
            <w:r w:rsidR="00934AC8">
              <w:rPr>
                <w:b/>
                <w:bCs/>
                <w:color w:val="auto"/>
              </w:rPr>
              <w:t xml:space="preserve">: </w:t>
            </w:r>
            <w:r w:rsidRPr="0039625A">
              <w:rPr>
                <w:b/>
                <w:bCs/>
                <w:color w:val="auto"/>
              </w:rPr>
              <w:t>Cohort 1</w:t>
            </w:r>
          </w:p>
        </w:tc>
        <w:tc>
          <w:tcPr>
            <w:tcW w:w="1232" w:type="pct"/>
            <w:tcMar>
              <w:top w:w="120" w:type="dxa"/>
              <w:left w:w="120" w:type="dxa"/>
              <w:bottom w:w="120" w:type="dxa"/>
              <w:right w:w="120" w:type="dxa"/>
            </w:tcMar>
            <w:hideMark/>
          </w:tcPr>
          <w:p w14:paraId="6BE605D3" w14:textId="006C2050" w:rsidR="000E45A2" w:rsidRPr="0039625A" w:rsidRDefault="000E45A2" w:rsidP="005B1F66">
            <w:pPr>
              <w:jc w:val="center"/>
              <w:rPr>
                <w:b/>
                <w:bCs/>
                <w:color w:val="auto"/>
              </w:rPr>
            </w:pPr>
            <w:r w:rsidRPr="0039625A">
              <w:rPr>
                <w:b/>
                <w:bCs/>
                <w:color w:val="auto"/>
              </w:rPr>
              <w:t>Date</w:t>
            </w:r>
            <w:r w:rsidR="00934AC8">
              <w:rPr>
                <w:b/>
                <w:bCs/>
                <w:color w:val="auto"/>
              </w:rPr>
              <w:t xml:space="preserve">: </w:t>
            </w:r>
            <w:r w:rsidRPr="0039625A">
              <w:rPr>
                <w:b/>
                <w:bCs/>
                <w:color w:val="auto"/>
              </w:rPr>
              <w:t>Cohort 2</w:t>
            </w:r>
          </w:p>
        </w:tc>
        <w:tc>
          <w:tcPr>
            <w:tcW w:w="1232" w:type="pct"/>
          </w:tcPr>
          <w:p w14:paraId="2FBC75DE" w14:textId="4F204F44" w:rsidR="000E45A2" w:rsidRPr="0039625A" w:rsidRDefault="000E45A2" w:rsidP="005B1F66">
            <w:pPr>
              <w:jc w:val="center"/>
              <w:rPr>
                <w:b/>
                <w:bCs/>
                <w:color w:val="auto"/>
              </w:rPr>
            </w:pPr>
            <w:r>
              <w:rPr>
                <w:b/>
                <w:bCs/>
                <w:color w:val="auto"/>
              </w:rPr>
              <w:t>Date</w:t>
            </w:r>
            <w:r w:rsidR="00934AC8">
              <w:rPr>
                <w:b/>
                <w:bCs/>
                <w:color w:val="auto"/>
              </w:rPr>
              <w:t xml:space="preserve">: </w:t>
            </w:r>
            <w:r>
              <w:rPr>
                <w:b/>
                <w:bCs/>
                <w:color w:val="auto"/>
              </w:rPr>
              <w:t>Cohort 3</w:t>
            </w:r>
          </w:p>
        </w:tc>
      </w:tr>
      <w:tr w:rsidR="000E45A2" w:rsidRPr="0039625A" w14:paraId="7E5A8BC0" w14:textId="10B2C00C" w:rsidTr="008808C8">
        <w:trPr>
          <w:cantSplit/>
        </w:trPr>
        <w:tc>
          <w:tcPr>
            <w:tcW w:w="1385" w:type="pct"/>
            <w:shd w:val="clear" w:color="auto" w:fill="FFFFFF"/>
            <w:tcMar>
              <w:top w:w="120" w:type="dxa"/>
              <w:left w:w="120" w:type="dxa"/>
              <w:bottom w:w="120" w:type="dxa"/>
              <w:right w:w="120" w:type="dxa"/>
            </w:tcMar>
            <w:hideMark/>
          </w:tcPr>
          <w:p w14:paraId="5A8A1FB0" w14:textId="258DB202" w:rsidR="000E45A2" w:rsidRPr="0039625A" w:rsidRDefault="000E45A2" w:rsidP="005B1F66">
            <w:r w:rsidRPr="0052174C">
              <w:t>Request for Application (RFA)</w:t>
            </w:r>
            <w:r w:rsidR="00934AC8">
              <w:t xml:space="preserve"> </w:t>
            </w:r>
            <w:r w:rsidRPr="0039625A">
              <w:t>Release</w:t>
            </w:r>
          </w:p>
        </w:tc>
        <w:tc>
          <w:tcPr>
            <w:tcW w:w="1151" w:type="pct"/>
            <w:shd w:val="clear" w:color="auto" w:fill="FFFFFF"/>
          </w:tcPr>
          <w:p w14:paraId="2B54863E" w14:textId="47F2AE8C" w:rsidR="000E45A2" w:rsidRPr="0039625A" w:rsidRDefault="000E45A2" w:rsidP="005B1F66">
            <w:r w:rsidRPr="0039625A">
              <w:rPr>
                <w:rFonts w:eastAsia="Times New Roman"/>
              </w:rPr>
              <w:t>Week of January 23, 2023</w:t>
            </w:r>
          </w:p>
        </w:tc>
        <w:tc>
          <w:tcPr>
            <w:tcW w:w="1232" w:type="pct"/>
            <w:shd w:val="clear" w:color="auto" w:fill="FFFFFF"/>
            <w:tcMar>
              <w:top w:w="120" w:type="dxa"/>
              <w:left w:w="120" w:type="dxa"/>
              <w:bottom w:w="120" w:type="dxa"/>
              <w:right w:w="120" w:type="dxa"/>
            </w:tcMar>
            <w:hideMark/>
          </w:tcPr>
          <w:p w14:paraId="7FEE91C1" w14:textId="441F1710" w:rsidR="000E45A2" w:rsidRPr="0039625A" w:rsidRDefault="000E45A2" w:rsidP="005B1F66">
            <w:r w:rsidRPr="0039625A">
              <w:t>Week of January 22, 2024</w:t>
            </w:r>
          </w:p>
        </w:tc>
        <w:tc>
          <w:tcPr>
            <w:tcW w:w="1232" w:type="pct"/>
          </w:tcPr>
          <w:p w14:paraId="347E3F29" w14:textId="77C4915B" w:rsidR="000E45A2" w:rsidRPr="0039625A" w:rsidRDefault="00464EA5" w:rsidP="005B1F66">
            <w:r>
              <w:t>Week of December 2, 2024</w:t>
            </w:r>
          </w:p>
        </w:tc>
      </w:tr>
      <w:tr w:rsidR="000E45A2" w:rsidRPr="0039625A" w14:paraId="47178135" w14:textId="0636D8F5" w:rsidTr="008808C8">
        <w:trPr>
          <w:cantSplit/>
        </w:trPr>
        <w:tc>
          <w:tcPr>
            <w:tcW w:w="1385" w:type="pct"/>
            <w:shd w:val="clear" w:color="auto" w:fill="FFFFFF"/>
            <w:tcMar>
              <w:top w:w="120" w:type="dxa"/>
              <w:left w:w="120" w:type="dxa"/>
              <w:bottom w:w="120" w:type="dxa"/>
              <w:right w:w="120" w:type="dxa"/>
            </w:tcMar>
            <w:hideMark/>
          </w:tcPr>
          <w:p w14:paraId="72B041A7" w14:textId="77777777" w:rsidR="000E45A2" w:rsidRPr="0039625A" w:rsidRDefault="000E45A2" w:rsidP="005B1F66">
            <w:r w:rsidRPr="0039625A">
              <w:t>Application Workshop Webinar</w:t>
            </w:r>
          </w:p>
        </w:tc>
        <w:tc>
          <w:tcPr>
            <w:tcW w:w="1151" w:type="pct"/>
            <w:shd w:val="clear" w:color="auto" w:fill="FFFFFF"/>
          </w:tcPr>
          <w:p w14:paraId="218F8E0C" w14:textId="797C62F9" w:rsidR="000E45A2" w:rsidRPr="0039625A" w:rsidRDefault="000E45A2" w:rsidP="005B1F66">
            <w:r w:rsidRPr="0039625A">
              <w:rPr>
                <w:rFonts w:eastAsia="Times New Roman"/>
              </w:rPr>
              <w:t>February 3, 2023</w:t>
            </w:r>
          </w:p>
        </w:tc>
        <w:tc>
          <w:tcPr>
            <w:tcW w:w="1232" w:type="pct"/>
            <w:shd w:val="clear" w:color="auto" w:fill="FFFFFF"/>
            <w:tcMar>
              <w:top w:w="120" w:type="dxa"/>
              <w:left w:w="120" w:type="dxa"/>
              <w:bottom w:w="120" w:type="dxa"/>
              <w:right w:w="120" w:type="dxa"/>
            </w:tcMar>
            <w:hideMark/>
          </w:tcPr>
          <w:p w14:paraId="6ED39C13" w14:textId="07DD831E" w:rsidR="000E45A2" w:rsidRPr="0039625A" w:rsidRDefault="000E45A2" w:rsidP="005B1F66">
            <w:r w:rsidRPr="0039625A">
              <w:t>February 8, 2024</w:t>
            </w:r>
          </w:p>
        </w:tc>
        <w:tc>
          <w:tcPr>
            <w:tcW w:w="1232" w:type="pct"/>
          </w:tcPr>
          <w:p w14:paraId="012DF418" w14:textId="0600C672" w:rsidR="000E45A2" w:rsidRPr="0039625A" w:rsidRDefault="00464EA5" w:rsidP="005B1F66">
            <w:r>
              <w:t>December 16, 2024</w:t>
            </w:r>
          </w:p>
        </w:tc>
      </w:tr>
      <w:tr w:rsidR="000E45A2" w:rsidRPr="0039625A" w14:paraId="55A70CA0" w14:textId="2B716B1E" w:rsidTr="008808C8">
        <w:trPr>
          <w:cantSplit/>
        </w:trPr>
        <w:tc>
          <w:tcPr>
            <w:tcW w:w="1385" w:type="pct"/>
            <w:shd w:val="clear" w:color="auto" w:fill="FFFFFF"/>
            <w:tcMar>
              <w:top w:w="120" w:type="dxa"/>
              <w:left w:w="120" w:type="dxa"/>
              <w:bottom w:w="120" w:type="dxa"/>
              <w:right w:w="120" w:type="dxa"/>
            </w:tcMar>
            <w:hideMark/>
          </w:tcPr>
          <w:p w14:paraId="6BC4B547" w14:textId="77777777" w:rsidR="000E45A2" w:rsidRPr="0039625A" w:rsidRDefault="000E45A2" w:rsidP="005B1F66">
            <w:r w:rsidRPr="0039625A">
              <w:t>Application due to the CDE</w:t>
            </w:r>
          </w:p>
        </w:tc>
        <w:tc>
          <w:tcPr>
            <w:tcW w:w="1151" w:type="pct"/>
            <w:shd w:val="clear" w:color="auto" w:fill="FFFFFF"/>
          </w:tcPr>
          <w:p w14:paraId="5EA0BB5C" w14:textId="72419B94" w:rsidR="000E45A2" w:rsidRPr="0039625A" w:rsidRDefault="000E45A2" w:rsidP="005B1F66">
            <w:r w:rsidRPr="0039625A">
              <w:rPr>
                <w:rFonts w:eastAsia="Times New Roman"/>
              </w:rPr>
              <w:t>March 10, 2023</w:t>
            </w:r>
          </w:p>
        </w:tc>
        <w:tc>
          <w:tcPr>
            <w:tcW w:w="1232" w:type="pct"/>
            <w:shd w:val="clear" w:color="auto" w:fill="FFFFFF"/>
            <w:tcMar>
              <w:top w:w="120" w:type="dxa"/>
              <w:left w:w="120" w:type="dxa"/>
              <w:bottom w:w="120" w:type="dxa"/>
              <w:right w:w="120" w:type="dxa"/>
            </w:tcMar>
            <w:hideMark/>
          </w:tcPr>
          <w:p w14:paraId="746B5BA0" w14:textId="3A8602A2" w:rsidR="000E45A2" w:rsidRPr="0039625A" w:rsidRDefault="000E45A2" w:rsidP="005B1F66">
            <w:r w:rsidRPr="0039625A">
              <w:t>March 11, 2024</w:t>
            </w:r>
          </w:p>
        </w:tc>
        <w:tc>
          <w:tcPr>
            <w:tcW w:w="1232" w:type="pct"/>
          </w:tcPr>
          <w:p w14:paraId="3927320B" w14:textId="262C32AC" w:rsidR="000E45A2" w:rsidRPr="0039625A" w:rsidRDefault="00D46FE3" w:rsidP="005B1F66">
            <w:r>
              <w:t>January 30, 2025</w:t>
            </w:r>
          </w:p>
        </w:tc>
      </w:tr>
      <w:tr w:rsidR="000E45A2" w:rsidRPr="0039625A" w14:paraId="215A3D0E" w14:textId="699C2AE1" w:rsidTr="008808C8">
        <w:trPr>
          <w:cantSplit/>
        </w:trPr>
        <w:tc>
          <w:tcPr>
            <w:tcW w:w="1385" w:type="pct"/>
            <w:shd w:val="clear" w:color="auto" w:fill="FFFFFF"/>
            <w:tcMar>
              <w:top w:w="120" w:type="dxa"/>
              <w:left w:w="120" w:type="dxa"/>
              <w:bottom w:w="120" w:type="dxa"/>
              <w:right w:w="120" w:type="dxa"/>
            </w:tcMar>
            <w:hideMark/>
          </w:tcPr>
          <w:p w14:paraId="049C2793" w14:textId="77777777" w:rsidR="000E45A2" w:rsidRPr="0039625A" w:rsidRDefault="000E45A2" w:rsidP="005B1F66">
            <w:r w:rsidRPr="0039625A">
              <w:t>Intent to Award</w:t>
            </w:r>
          </w:p>
        </w:tc>
        <w:tc>
          <w:tcPr>
            <w:tcW w:w="1151" w:type="pct"/>
            <w:shd w:val="clear" w:color="auto" w:fill="FFFFFF"/>
          </w:tcPr>
          <w:p w14:paraId="65E9C6F9" w14:textId="7FC66778" w:rsidR="000E45A2" w:rsidRPr="0039625A" w:rsidRDefault="000E45A2" w:rsidP="005B1F66">
            <w:r w:rsidRPr="0039625A">
              <w:rPr>
                <w:rFonts w:eastAsia="Times New Roman"/>
              </w:rPr>
              <w:t>Week of May 1, 2023</w:t>
            </w:r>
          </w:p>
        </w:tc>
        <w:tc>
          <w:tcPr>
            <w:tcW w:w="1232" w:type="pct"/>
            <w:shd w:val="clear" w:color="auto" w:fill="FFFFFF"/>
            <w:tcMar>
              <w:top w:w="120" w:type="dxa"/>
              <w:left w:w="120" w:type="dxa"/>
              <w:bottom w:w="120" w:type="dxa"/>
              <w:right w:w="120" w:type="dxa"/>
            </w:tcMar>
            <w:hideMark/>
          </w:tcPr>
          <w:p w14:paraId="75A6F6E2" w14:textId="7299EBD6" w:rsidR="000E45A2" w:rsidRPr="0039625A" w:rsidRDefault="000E45A2" w:rsidP="005B1F66">
            <w:r w:rsidRPr="0039625A">
              <w:t>April 29, 2024</w:t>
            </w:r>
          </w:p>
        </w:tc>
        <w:tc>
          <w:tcPr>
            <w:tcW w:w="1232" w:type="pct"/>
          </w:tcPr>
          <w:p w14:paraId="2725EAF5" w14:textId="1A69B855" w:rsidR="000E45A2" w:rsidRPr="0039625A" w:rsidRDefault="00D46FE3" w:rsidP="005B1F66">
            <w:r>
              <w:t>Week of March 17, 2025</w:t>
            </w:r>
          </w:p>
        </w:tc>
      </w:tr>
      <w:tr w:rsidR="000E45A2" w:rsidRPr="0039625A" w14:paraId="6798E50A" w14:textId="7F33BCD3" w:rsidTr="008808C8">
        <w:trPr>
          <w:cantSplit/>
        </w:trPr>
        <w:tc>
          <w:tcPr>
            <w:tcW w:w="1385" w:type="pct"/>
            <w:shd w:val="clear" w:color="auto" w:fill="FFFFFF"/>
            <w:tcMar>
              <w:top w:w="120" w:type="dxa"/>
              <w:left w:w="120" w:type="dxa"/>
              <w:bottom w:w="120" w:type="dxa"/>
              <w:right w:w="120" w:type="dxa"/>
            </w:tcMar>
            <w:hideMark/>
          </w:tcPr>
          <w:p w14:paraId="1DE50CCB" w14:textId="40DCFAB4" w:rsidR="000E45A2" w:rsidRPr="0039625A" w:rsidRDefault="000E45A2" w:rsidP="005B1F66">
            <w:r w:rsidRPr="0039625A">
              <w:t>Last day for</w:t>
            </w:r>
            <w:r w:rsidR="00934AC8">
              <w:t xml:space="preserve"> </w:t>
            </w:r>
            <w:r w:rsidRPr="0039625A">
              <w:t>California Serves Grant appeals</w:t>
            </w:r>
            <w:r w:rsidR="00934AC8">
              <w:t xml:space="preserve"> </w:t>
            </w:r>
            <w:r w:rsidRPr="0039625A">
              <w:t>to be received by the CDE</w:t>
            </w:r>
          </w:p>
        </w:tc>
        <w:tc>
          <w:tcPr>
            <w:tcW w:w="1151" w:type="pct"/>
            <w:shd w:val="clear" w:color="auto" w:fill="FFFFFF"/>
          </w:tcPr>
          <w:p w14:paraId="45789F93" w14:textId="2005C104" w:rsidR="000E45A2" w:rsidRPr="0039625A" w:rsidRDefault="000E45A2" w:rsidP="005B1F66">
            <w:r w:rsidRPr="0039625A">
              <w:t>May 11, 2023</w:t>
            </w:r>
          </w:p>
        </w:tc>
        <w:tc>
          <w:tcPr>
            <w:tcW w:w="1232" w:type="pct"/>
            <w:shd w:val="clear" w:color="auto" w:fill="FFFFFF"/>
            <w:tcMar>
              <w:top w:w="120" w:type="dxa"/>
              <w:left w:w="120" w:type="dxa"/>
              <w:bottom w:w="120" w:type="dxa"/>
              <w:right w:w="120" w:type="dxa"/>
            </w:tcMar>
            <w:hideMark/>
          </w:tcPr>
          <w:p w14:paraId="77287EE4" w14:textId="70FCDEA0" w:rsidR="000E45A2" w:rsidRPr="0039625A" w:rsidRDefault="000E45A2" w:rsidP="005B1F66">
            <w:r w:rsidRPr="0039625A">
              <w:t>May 7, 2024</w:t>
            </w:r>
          </w:p>
        </w:tc>
        <w:tc>
          <w:tcPr>
            <w:tcW w:w="1232" w:type="pct"/>
          </w:tcPr>
          <w:p w14:paraId="7EDFF185" w14:textId="5C8C88BF" w:rsidR="000E45A2" w:rsidRPr="0039625A" w:rsidRDefault="00BE3CE1" w:rsidP="005B1F66">
            <w:r>
              <w:t>March 24, 2025</w:t>
            </w:r>
          </w:p>
        </w:tc>
      </w:tr>
      <w:tr w:rsidR="000E45A2" w:rsidRPr="0039625A" w14:paraId="40A47A5B" w14:textId="3C13ABDF" w:rsidTr="008808C8">
        <w:trPr>
          <w:cantSplit/>
        </w:trPr>
        <w:tc>
          <w:tcPr>
            <w:tcW w:w="1385" w:type="pct"/>
            <w:shd w:val="clear" w:color="auto" w:fill="FFFFFF"/>
            <w:tcMar>
              <w:top w:w="120" w:type="dxa"/>
              <w:left w:w="120" w:type="dxa"/>
              <w:bottom w:w="120" w:type="dxa"/>
              <w:right w:w="120" w:type="dxa"/>
            </w:tcMar>
            <w:hideMark/>
          </w:tcPr>
          <w:p w14:paraId="6F97A658" w14:textId="788A9F75" w:rsidR="000E45A2" w:rsidRPr="0039625A" w:rsidRDefault="000E45A2" w:rsidP="005B1F66">
            <w:r w:rsidRPr="0039625A">
              <w:t xml:space="preserve">Final Awards </w:t>
            </w:r>
            <w:r w:rsidR="00934AC8">
              <w:t>P</w:t>
            </w:r>
            <w:r w:rsidRPr="0039625A">
              <w:t>osted</w:t>
            </w:r>
          </w:p>
        </w:tc>
        <w:tc>
          <w:tcPr>
            <w:tcW w:w="1151" w:type="pct"/>
            <w:shd w:val="clear" w:color="auto" w:fill="FFFFFF"/>
          </w:tcPr>
          <w:p w14:paraId="5BF54A94" w14:textId="05413C00" w:rsidR="000E45A2" w:rsidRPr="0039625A" w:rsidRDefault="000E45A2" w:rsidP="005B1F66">
            <w:r w:rsidRPr="0039625A">
              <w:t>May 26, 2023</w:t>
            </w:r>
          </w:p>
        </w:tc>
        <w:tc>
          <w:tcPr>
            <w:tcW w:w="1232" w:type="pct"/>
            <w:shd w:val="clear" w:color="auto" w:fill="FFFFFF"/>
            <w:tcMar>
              <w:top w:w="120" w:type="dxa"/>
              <w:left w:w="120" w:type="dxa"/>
              <w:bottom w:w="120" w:type="dxa"/>
              <w:right w:w="120" w:type="dxa"/>
            </w:tcMar>
            <w:hideMark/>
          </w:tcPr>
          <w:p w14:paraId="27D56585" w14:textId="1B24600C" w:rsidR="000E45A2" w:rsidRPr="0039625A" w:rsidRDefault="000E45A2" w:rsidP="005B1F66">
            <w:r w:rsidRPr="0039625A">
              <w:t>Week of July 15, 2024</w:t>
            </w:r>
          </w:p>
        </w:tc>
        <w:tc>
          <w:tcPr>
            <w:tcW w:w="1232" w:type="pct"/>
          </w:tcPr>
          <w:p w14:paraId="59B55217" w14:textId="3F51FE59" w:rsidR="000E45A2" w:rsidRPr="0039625A" w:rsidRDefault="00D46FE3" w:rsidP="005B1F66">
            <w:r>
              <w:t>Week of May 12, 2025</w:t>
            </w:r>
          </w:p>
        </w:tc>
      </w:tr>
    </w:tbl>
    <w:p w14:paraId="75841B07" w14:textId="30989AB6" w:rsidR="00EA61B9" w:rsidRDefault="00EA61B9" w:rsidP="00F64E64">
      <w:pPr>
        <w:pStyle w:val="Heading5"/>
      </w:pPr>
      <w:bookmarkStart w:id="23" w:name="_Toc221186047"/>
      <w:r>
        <w:t>Application Review</w:t>
      </w:r>
      <w:bookmarkEnd w:id="23"/>
    </w:p>
    <w:p w14:paraId="31ECEAD1" w14:textId="75FCA5E4" w:rsidR="007B7B59" w:rsidRPr="00D922B2" w:rsidRDefault="00DD6A93" w:rsidP="007B7B59">
      <w:pPr>
        <w:shd w:val="clear" w:color="auto" w:fill="FFFFFF"/>
        <w:spacing w:after="240"/>
        <w:rPr>
          <w:rFonts w:eastAsia="Cambria"/>
        </w:rPr>
      </w:pPr>
      <w:r>
        <w:rPr>
          <w:rFonts w:eastAsia="Cambria"/>
        </w:rPr>
        <w:t>A reading panel reviews and scores eligible applications</w:t>
      </w:r>
      <w:r w:rsidR="00D922B2">
        <w:rPr>
          <w:rFonts w:eastAsia="Cambria"/>
        </w:rPr>
        <w:t xml:space="preserve"> using an evaluation rubric provided in the RFA. </w:t>
      </w:r>
      <w:r w:rsidR="007B7B59" w:rsidRPr="007B7B59">
        <w:rPr>
          <w:rFonts w:eastAsia="Cambria"/>
        </w:rPr>
        <w:t xml:space="preserve">Care is taken to ensure that reviewers have no conflicts of interest with the applicants. </w:t>
      </w:r>
      <w:r w:rsidR="00D922B2">
        <w:rPr>
          <w:rFonts w:eastAsia="Cambria"/>
        </w:rPr>
        <w:t>Reading panel</w:t>
      </w:r>
      <w:r w:rsidR="007B7B59" w:rsidRPr="007B7B59">
        <w:rPr>
          <w:rFonts w:eastAsia="Cambria"/>
        </w:rPr>
        <w:t xml:space="preserve"> members </w:t>
      </w:r>
      <w:r w:rsidR="00D922B2">
        <w:rPr>
          <w:rFonts w:eastAsia="Cambria"/>
        </w:rPr>
        <w:t>are</w:t>
      </w:r>
      <w:r w:rsidR="007B7B59" w:rsidRPr="007B7B59">
        <w:rPr>
          <w:rFonts w:eastAsia="Cambria"/>
        </w:rPr>
        <w:t xml:space="preserve"> instructed to take a holistic approach in the application review process to rank and evaluate the application. The readers make every effort to allow any part of the narrative to satisfy the evaluation points in the</w:t>
      </w:r>
      <w:r w:rsidR="007B7B59" w:rsidRPr="007B7B59">
        <w:rPr>
          <w:rFonts w:eastAsia="Cambria"/>
          <w:spacing w:val="-4"/>
        </w:rPr>
        <w:t xml:space="preserve"> </w:t>
      </w:r>
      <w:r w:rsidR="007B7B59" w:rsidRPr="007B7B59">
        <w:rPr>
          <w:rFonts w:eastAsia="Cambria"/>
        </w:rPr>
        <w:t>rubric. Although scores from the review of the applications are important, they are not the sole determiners for funding.</w:t>
      </w:r>
    </w:p>
    <w:p w14:paraId="10408E5B" w14:textId="5E96B503" w:rsidR="00227439" w:rsidRDefault="00227439" w:rsidP="00F64E64">
      <w:pPr>
        <w:pStyle w:val="Heading5"/>
      </w:pPr>
      <w:bookmarkStart w:id="24" w:name="_Toc221186048"/>
      <w:r>
        <w:t>Reporting Requirements</w:t>
      </w:r>
      <w:bookmarkEnd w:id="24"/>
    </w:p>
    <w:p w14:paraId="698F1FA6" w14:textId="1983FDB2" w:rsidR="004F4FB0" w:rsidRPr="004F4FB0" w:rsidRDefault="004F4FB0" w:rsidP="004F4FB0">
      <w:pPr>
        <w:shd w:val="clear" w:color="auto" w:fill="FFFFFF"/>
        <w:spacing w:after="240"/>
        <w:rPr>
          <w:rFonts w:eastAsia="Cambria"/>
        </w:rPr>
      </w:pPr>
      <w:r w:rsidRPr="004F4FB0">
        <w:rPr>
          <w:rFonts w:eastAsia="Cambria"/>
        </w:rPr>
        <w:t xml:space="preserve">To ensure the successful implementation of the California Serves Grant Program, </w:t>
      </w:r>
      <w:r w:rsidR="00460998">
        <w:rPr>
          <w:rFonts w:eastAsia="Cambria"/>
        </w:rPr>
        <w:t>Cohort 1 and 2 grantees</w:t>
      </w:r>
      <w:r w:rsidRPr="004F4FB0">
        <w:rPr>
          <w:rFonts w:eastAsia="Cambria"/>
        </w:rPr>
        <w:t xml:space="preserve"> are required to submit </w:t>
      </w:r>
      <w:r w:rsidR="00460998">
        <w:rPr>
          <w:rFonts w:eastAsia="Cambria"/>
        </w:rPr>
        <w:t>biannual</w:t>
      </w:r>
      <w:r w:rsidRPr="004F4FB0">
        <w:rPr>
          <w:rFonts w:eastAsia="Cambria"/>
        </w:rPr>
        <w:t xml:space="preserve"> progress</w:t>
      </w:r>
      <w:r w:rsidR="00460998">
        <w:rPr>
          <w:rFonts w:eastAsia="Cambria"/>
        </w:rPr>
        <w:t xml:space="preserve"> and expenditure reports</w:t>
      </w:r>
      <w:r w:rsidRPr="004F4FB0">
        <w:rPr>
          <w:rFonts w:eastAsia="Cambria"/>
        </w:rPr>
        <w:t xml:space="preserve"> and </w:t>
      </w:r>
      <w:r w:rsidR="00460998">
        <w:rPr>
          <w:rFonts w:eastAsia="Cambria"/>
        </w:rPr>
        <w:t xml:space="preserve">an </w:t>
      </w:r>
      <w:r w:rsidRPr="004F4FB0">
        <w:rPr>
          <w:rFonts w:eastAsia="Cambria"/>
        </w:rPr>
        <w:t xml:space="preserve">end-of-project report to show that program outcome measures are being met. </w:t>
      </w:r>
      <w:r w:rsidR="008B7E1B">
        <w:rPr>
          <w:rFonts w:eastAsia="Cambria"/>
        </w:rPr>
        <w:t>Cohort 3 grantees are required to submit quarterly progress and expenditure reports along with an end-of-project report.</w:t>
      </w:r>
    </w:p>
    <w:p w14:paraId="32BE06BC" w14:textId="77A84E15" w:rsidR="004F4FB0" w:rsidRPr="004F4FB0" w:rsidRDefault="00A10218" w:rsidP="004F4FB0">
      <w:pPr>
        <w:shd w:val="clear" w:color="auto" w:fill="FFFFFF"/>
        <w:spacing w:after="240"/>
        <w:rPr>
          <w:rFonts w:eastAsia="Cambria"/>
        </w:rPr>
      </w:pPr>
      <w:r>
        <w:rPr>
          <w:rFonts w:eastAsia="Cambria"/>
        </w:rPr>
        <w:t>Reports must provide</w:t>
      </w:r>
      <w:r w:rsidRPr="004F4FB0">
        <w:rPr>
          <w:rFonts w:eastAsia="Cambria"/>
        </w:rPr>
        <w:t xml:space="preserve"> all elements required by the CDE as well as any locally determined measures. </w:t>
      </w:r>
      <w:r>
        <w:rPr>
          <w:rFonts w:eastAsia="Cambria"/>
        </w:rPr>
        <w:t>This includes</w:t>
      </w:r>
      <w:r w:rsidR="004F4FB0" w:rsidRPr="004F4FB0">
        <w:rPr>
          <w:rFonts w:eastAsia="Cambria"/>
        </w:rPr>
        <w:t xml:space="preserve"> quantitative and qualitative data aligned with the </w:t>
      </w:r>
      <w:r w:rsidR="004F4FB0" w:rsidRPr="004F4FB0">
        <w:rPr>
          <w:rFonts w:eastAsia="Cambria"/>
        </w:rPr>
        <w:lastRenderedPageBreak/>
        <w:t>five SSCE criteria, including, where possible, disaggregated student outcomes and reflections on implementation fidelity.</w:t>
      </w:r>
    </w:p>
    <w:p w14:paraId="3F15358F" w14:textId="0EC87338" w:rsidR="004F4FB0" w:rsidRPr="004F4FB0" w:rsidRDefault="004F4FB0" w:rsidP="004F4FB0">
      <w:pPr>
        <w:shd w:val="clear" w:color="auto" w:fill="FFFFFF"/>
        <w:spacing w:after="240"/>
        <w:rPr>
          <w:rFonts w:eastAsia="Cambria"/>
        </w:rPr>
      </w:pPr>
      <w:r w:rsidRPr="004F4FB0">
        <w:rPr>
          <w:rFonts w:eastAsia="Cambria"/>
        </w:rPr>
        <w:t xml:space="preserve">LEAs </w:t>
      </w:r>
      <w:r w:rsidR="00482D9B">
        <w:rPr>
          <w:rFonts w:eastAsia="Cambria"/>
        </w:rPr>
        <w:t>are</w:t>
      </w:r>
      <w:r w:rsidRPr="004F4FB0">
        <w:rPr>
          <w:rFonts w:eastAsia="Cambria"/>
        </w:rPr>
        <w:t xml:space="preserve"> expected to measure outcomes in areas specifically identified in the LEA’s grant application. Program outcomes identified in the California Serves Grant Program application can target and include </w:t>
      </w:r>
      <w:r w:rsidR="00AC2A70">
        <w:rPr>
          <w:rFonts w:eastAsia="Cambria"/>
        </w:rPr>
        <w:t>(</w:t>
      </w:r>
      <w:r w:rsidRPr="004F4FB0">
        <w:rPr>
          <w:rFonts w:eastAsia="Cambria"/>
        </w:rPr>
        <w:t>but are not limited to</w:t>
      </w:r>
      <w:r w:rsidR="00AC2A70">
        <w:rPr>
          <w:rFonts w:eastAsia="Cambria"/>
        </w:rPr>
        <w:t>)</w:t>
      </w:r>
      <w:r w:rsidRPr="004F4FB0">
        <w:rPr>
          <w:rFonts w:eastAsia="Cambria"/>
        </w:rPr>
        <w:t>:</w:t>
      </w:r>
    </w:p>
    <w:p w14:paraId="2BB491EE" w14:textId="77777777" w:rsidR="004F4FB0" w:rsidRPr="004F4FB0" w:rsidRDefault="004F4FB0" w:rsidP="004F4FB0">
      <w:pPr>
        <w:numPr>
          <w:ilvl w:val="0"/>
          <w:numId w:val="15"/>
        </w:numPr>
        <w:shd w:val="clear" w:color="auto" w:fill="FFFFFF"/>
        <w:spacing w:after="240"/>
        <w:rPr>
          <w:rFonts w:eastAsia="Cambria"/>
        </w:rPr>
      </w:pPr>
      <w:r w:rsidRPr="004F4FB0">
        <w:rPr>
          <w:rFonts w:eastAsia="Cambria"/>
        </w:rPr>
        <w:t>Number of SSCE insignias awarded or anticipated</w:t>
      </w:r>
    </w:p>
    <w:p w14:paraId="494F2F47" w14:textId="4A2CF8B0" w:rsidR="004F4FB0" w:rsidRPr="004F4FB0" w:rsidRDefault="004F4FB0" w:rsidP="004F4FB0">
      <w:pPr>
        <w:numPr>
          <w:ilvl w:val="0"/>
          <w:numId w:val="15"/>
        </w:numPr>
        <w:shd w:val="clear" w:color="auto" w:fill="FFFFFF"/>
        <w:spacing w:after="240"/>
        <w:rPr>
          <w:rFonts w:eastAsia="Cambria"/>
        </w:rPr>
      </w:pPr>
      <w:r w:rsidRPr="004F4FB0">
        <w:rPr>
          <w:rFonts w:eastAsia="Cambria"/>
        </w:rPr>
        <w:t>Government or U</w:t>
      </w:r>
      <w:r w:rsidR="00AC2A70">
        <w:rPr>
          <w:rFonts w:eastAsia="Cambria"/>
        </w:rPr>
        <w:t>.</w:t>
      </w:r>
      <w:r w:rsidRPr="004F4FB0">
        <w:rPr>
          <w:rFonts w:eastAsia="Cambria"/>
        </w:rPr>
        <w:t>S</w:t>
      </w:r>
      <w:r w:rsidR="00AC2A70">
        <w:rPr>
          <w:rFonts w:eastAsia="Cambria"/>
        </w:rPr>
        <w:t>.</w:t>
      </w:r>
      <w:r w:rsidRPr="004F4FB0">
        <w:rPr>
          <w:rFonts w:eastAsia="Cambria"/>
        </w:rPr>
        <w:t xml:space="preserve"> History course pass rate</w:t>
      </w:r>
    </w:p>
    <w:p w14:paraId="7DD58C22" w14:textId="77777777" w:rsidR="004F4FB0" w:rsidRPr="004F4FB0" w:rsidRDefault="004F4FB0" w:rsidP="004F4FB0">
      <w:pPr>
        <w:numPr>
          <w:ilvl w:val="0"/>
          <w:numId w:val="15"/>
        </w:numPr>
        <w:shd w:val="clear" w:color="auto" w:fill="FFFFFF"/>
        <w:spacing w:after="240"/>
        <w:rPr>
          <w:rFonts w:eastAsia="Cambria"/>
        </w:rPr>
      </w:pPr>
      <w:r w:rsidRPr="004F4FB0">
        <w:rPr>
          <w:rFonts w:eastAsia="Cambria"/>
        </w:rPr>
        <w:t>School attendance rate</w:t>
      </w:r>
    </w:p>
    <w:p w14:paraId="046DF049" w14:textId="77777777" w:rsidR="004F4FB0" w:rsidRPr="004F4FB0" w:rsidRDefault="004F4FB0" w:rsidP="004F4FB0">
      <w:pPr>
        <w:numPr>
          <w:ilvl w:val="0"/>
          <w:numId w:val="15"/>
        </w:numPr>
        <w:shd w:val="clear" w:color="auto" w:fill="FFFFFF"/>
        <w:spacing w:after="240"/>
        <w:rPr>
          <w:rFonts w:eastAsia="Cambria"/>
        </w:rPr>
      </w:pPr>
      <w:r w:rsidRPr="004F4FB0">
        <w:rPr>
          <w:rFonts w:eastAsia="Cambria"/>
        </w:rPr>
        <w:t>Chronic absenteeism rate</w:t>
      </w:r>
    </w:p>
    <w:p w14:paraId="08A7E4C8" w14:textId="77777777" w:rsidR="004F4FB0" w:rsidRPr="004F4FB0" w:rsidRDefault="004F4FB0" w:rsidP="004F4FB0">
      <w:pPr>
        <w:numPr>
          <w:ilvl w:val="0"/>
          <w:numId w:val="15"/>
        </w:numPr>
        <w:shd w:val="clear" w:color="auto" w:fill="FFFFFF"/>
        <w:spacing w:after="240"/>
        <w:rPr>
          <w:rFonts w:eastAsia="Cambria"/>
        </w:rPr>
      </w:pPr>
      <w:r w:rsidRPr="004F4FB0">
        <w:rPr>
          <w:rFonts w:eastAsia="Cambria"/>
        </w:rPr>
        <w:t>Pupil suspension rate</w:t>
      </w:r>
    </w:p>
    <w:p w14:paraId="2C009257" w14:textId="77777777" w:rsidR="004F4FB0" w:rsidRPr="004F4FB0" w:rsidRDefault="004F4FB0" w:rsidP="004F4FB0">
      <w:pPr>
        <w:numPr>
          <w:ilvl w:val="0"/>
          <w:numId w:val="15"/>
        </w:numPr>
        <w:shd w:val="clear" w:color="auto" w:fill="FFFFFF"/>
        <w:spacing w:after="240"/>
        <w:rPr>
          <w:rFonts w:eastAsia="Cambria"/>
        </w:rPr>
      </w:pPr>
      <w:r w:rsidRPr="004F4FB0">
        <w:rPr>
          <w:rFonts w:eastAsia="Cambria"/>
        </w:rPr>
        <w:t>Pupil engagement</w:t>
      </w:r>
    </w:p>
    <w:p w14:paraId="2CFAEA99" w14:textId="67E76308" w:rsidR="004F4FB0" w:rsidRPr="004F4FB0" w:rsidRDefault="004F4FB0" w:rsidP="004F4FB0">
      <w:pPr>
        <w:numPr>
          <w:ilvl w:val="0"/>
          <w:numId w:val="15"/>
        </w:numPr>
        <w:shd w:val="clear" w:color="auto" w:fill="FFFFFF"/>
        <w:spacing w:after="240"/>
        <w:rPr>
          <w:rFonts w:eastAsia="Cambria"/>
        </w:rPr>
      </w:pPr>
      <w:r w:rsidRPr="004F4FB0">
        <w:rPr>
          <w:rFonts w:eastAsia="Cambria"/>
        </w:rPr>
        <w:t>School climate</w:t>
      </w:r>
      <w:r w:rsidR="002A7FCF">
        <w:rPr>
          <w:rStyle w:val="FootnoteReference"/>
          <w:rFonts w:eastAsia="Cambria"/>
        </w:rPr>
        <w:footnoteReference w:id="1"/>
      </w:r>
    </w:p>
    <w:p w14:paraId="3106C500" w14:textId="59E4CFE6" w:rsidR="004F4FB0" w:rsidRPr="004F4FB0" w:rsidRDefault="004F4FB0" w:rsidP="004F4FB0">
      <w:pPr>
        <w:numPr>
          <w:ilvl w:val="0"/>
          <w:numId w:val="15"/>
        </w:numPr>
        <w:shd w:val="clear" w:color="auto" w:fill="FFFFFF"/>
        <w:spacing w:after="240"/>
        <w:rPr>
          <w:rFonts w:eastAsia="Cambria"/>
        </w:rPr>
      </w:pPr>
      <w:r w:rsidRPr="004F4FB0">
        <w:rPr>
          <w:rFonts w:eastAsia="Cambria"/>
        </w:rPr>
        <w:t>Model uniform metric-aligned progress</w:t>
      </w:r>
      <w:r w:rsidR="002B3CF6">
        <w:rPr>
          <w:rStyle w:val="FootnoteReference"/>
          <w:rFonts w:eastAsia="Cambria"/>
        </w:rPr>
        <w:footnoteReference w:id="2"/>
      </w:r>
      <w:r w:rsidRPr="004F4FB0">
        <w:rPr>
          <w:rFonts w:eastAsia="Cambria"/>
        </w:rPr>
        <w:t xml:space="preserve"> </w:t>
      </w:r>
    </w:p>
    <w:p w14:paraId="6BC06D89" w14:textId="20A677D5" w:rsidR="004F4FB0" w:rsidRPr="004F4FB0" w:rsidRDefault="004F4FB0" w:rsidP="004F4FB0">
      <w:pPr>
        <w:numPr>
          <w:ilvl w:val="0"/>
          <w:numId w:val="15"/>
        </w:numPr>
        <w:shd w:val="clear" w:color="auto" w:fill="FFFFFF"/>
        <w:spacing w:after="240"/>
        <w:rPr>
          <w:rFonts w:eastAsia="Cambria"/>
        </w:rPr>
      </w:pPr>
      <w:r w:rsidRPr="004F4FB0">
        <w:rPr>
          <w:rFonts w:eastAsia="Cambria"/>
        </w:rPr>
        <w:t>Student reflections and project documentation</w:t>
      </w:r>
      <w:r w:rsidR="00124F39">
        <w:rPr>
          <w:rStyle w:val="FootnoteReference"/>
          <w:rFonts w:eastAsia="Cambria"/>
        </w:rPr>
        <w:footnoteReference w:id="3"/>
      </w:r>
      <w:r w:rsidRPr="004F4FB0">
        <w:rPr>
          <w:rFonts w:eastAsia="Cambria"/>
        </w:rPr>
        <w:t xml:space="preserve"> </w:t>
      </w:r>
    </w:p>
    <w:p w14:paraId="5037071F" w14:textId="77777777" w:rsidR="004F4FB0" w:rsidRPr="004F4FB0" w:rsidRDefault="004F4FB0" w:rsidP="004F4FB0">
      <w:pPr>
        <w:numPr>
          <w:ilvl w:val="0"/>
          <w:numId w:val="15"/>
        </w:numPr>
        <w:shd w:val="clear" w:color="auto" w:fill="FFFFFF"/>
        <w:spacing w:after="240"/>
        <w:rPr>
          <w:rFonts w:eastAsia="Cambria"/>
        </w:rPr>
      </w:pPr>
      <w:r w:rsidRPr="004F4FB0">
        <w:rPr>
          <w:rFonts w:eastAsia="Cambria"/>
        </w:rPr>
        <w:t>Interview and focus groups with participating students</w:t>
      </w:r>
    </w:p>
    <w:p w14:paraId="70D6E598" w14:textId="77F376AF" w:rsidR="004F4FB0" w:rsidRDefault="004F4FB0" w:rsidP="00482D9B">
      <w:pPr>
        <w:shd w:val="clear" w:color="auto" w:fill="FFFFFF"/>
        <w:spacing w:after="240"/>
        <w:rPr>
          <w:rFonts w:eastAsia="Cambria"/>
        </w:rPr>
      </w:pPr>
      <w:r w:rsidRPr="004F4FB0">
        <w:rPr>
          <w:rFonts w:eastAsia="Cambria"/>
        </w:rPr>
        <w:t xml:space="preserve">Applicants </w:t>
      </w:r>
      <w:r w:rsidR="00BB452B">
        <w:rPr>
          <w:rFonts w:eastAsia="Cambria"/>
        </w:rPr>
        <w:t>are instructed to</w:t>
      </w:r>
      <w:r w:rsidRPr="004F4FB0">
        <w:rPr>
          <w:rFonts w:eastAsia="Cambria"/>
        </w:rPr>
        <w:t xml:space="preserve"> measure the number of SSCE insignias awarded </w:t>
      </w:r>
      <w:r w:rsidR="00272B78">
        <w:rPr>
          <w:rFonts w:eastAsia="Cambria"/>
        </w:rPr>
        <w:t>and</w:t>
      </w:r>
      <w:r w:rsidRPr="004F4FB0">
        <w:rPr>
          <w:rFonts w:eastAsia="Cambria"/>
        </w:rPr>
        <w:t xml:space="preserve"> anticipated as well as at least one other measurable objective.</w:t>
      </w:r>
    </w:p>
    <w:p w14:paraId="7EDFCB7D" w14:textId="6923742A" w:rsidR="00227439" w:rsidRDefault="00227439" w:rsidP="00ED5B14">
      <w:pPr>
        <w:pStyle w:val="Heading4"/>
      </w:pPr>
      <w:bookmarkStart w:id="25" w:name="_Toc221186049"/>
      <w:r>
        <w:t>Program Deliverables</w:t>
      </w:r>
      <w:bookmarkEnd w:id="25"/>
    </w:p>
    <w:p w14:paraId="44942B6D" w14:textId="521D0771" w:rsidR="004F4FB0" w:rsidRPr="004F4FB0" w:rsidRDefault="009F6B38" w:rsidP="004F4FB0">
      <w:pPr>
        <w:shd w:val="clear" w:color="auto" w:fill="FFFFFF"/>
        <w:spacing w:after="240"/>
        <w:rPr>
          <w:rFonts w:eastAsia="Cambria"/>
        </w:rPr>
      </w:pPr>
      <w:r>
        <w:rPr>
          <w:rFonts w:eastAsia="Cambria"/>
        </w:rPr>
        <w:t xml:space="preserve">Grantees </w:t>
      </w:r>
      <w:r w:rsidR="004F4FB0" w:rsidRPr="004F4FB0">
        <w:rPr>
          <w:rFonts w:eastAsia="Cambria"/>
        </w:rPr>
        <w:t>provide a summary of activities</w:t>
      </w:r>
      <w:r w:rsidR="00A37ECB">
        <w:rPr>
          <w:rFonts w:eastAsia="Cambria"/>
        </w:rPr>
        <w:t xml:space="preserve"> and links to relevant resources</w:t>
      </w:r>
      <w:r w:rsidR="004F4FB0" w:rsidRPr="004F4FB0">
        <w:rPr>
          <w:rFonts w:eastAsia="Cambria"/>
        </w:rPr>
        <w:t xml:space="preserve"> in a</w:t>
      </w:r>
      <w:r w:rsidR="00482D9B">
        <w:rPr>
          <w:rFonts w:eastAsia="Cambria"/>
        </w:rPr>
        <w:t>n end-of-project</w:t>
      </w:r>
      <w:r w:rsidR="004F4FB0" w:rsidRPr="004F4FB0">
        <w:rPr>
          <w:rFonts w:eastAsia="Cambria"/>
        </w:rPr>
        <w:t xml:space="preserve"> report identifying contributions including </w:t>
      </w:r>
      <w:r w:rsidR="00AC2A70">
        <w:rPr>
          <w:rFonts w:eastAsia="Cambria"/>
        </w:rPr>
        <w:t>(</w:t>
      </w:r>
      <w:r w:rsidR="004F4FB0" w:rsidRPr="004F4FB0">
        <w:rPr>
          <w:rFonts w:eastAsia="Cambria"/>
        </w:rPr>
        <w:t>but not limited to</w:t>
      </w:r>
      <w:r w:rsidR="00AC2A70">
        <w:rPr>
          <w:rFonts w:eastAsia="Cambria"/>
        </w:rPr>
        <w:t>)</w:t>
      </w:r>
      <w:r w:rsidR="004F4FB0" w:rsidRPr="004F4FB0">
        <w:rPr>
          <w:rFonts w:eastAsia="Cambria"/>
        </w:rPr>
        <w:t>:</w:t>
      </w:r>
    </w:p>
    <w:p w14:paraId="0352D2F0" w14:textId="01BFD6D5" w:rsidR="004F4FB0" w:rsidRPr="004F4FB0" w:rsidRDefault="004F4FB0" w:rsidP="004F4FB0">
      <w:pPr>
        <w:numPr>
          <w:ilvl w:val="0"/>
          <w:numId w:val="16"/>
        </w:numPr>
        <w:shd w:val="clear" w:color="auto" w:fill="FFFFFF"/>
        <w:spacing w:after="240"/>
        <w:rPr>
          <w:rFonts w:eastAsia="Cambria"/>
        </w:rPr>
      </w:pPr>
      <w:r w:rsidRPr="004F4FB0">
        <w:rPr>
          <w:rFonts w:eastAsia="Cambria"/>
        </w:rPr>
        <w:lastRenderedPageBreak/>
        <w:t>Proposed measures to evaluate progress toward the program goals, including implementing service-learning programs that lead to awarding of the SSCE</w:t>
      </w:r>
      <w:r w:rsidR="00A27D8E">
        <w:rPr>
          <w:rFonts w:eastAsia="Cambria"/>
        </w:rPr>
        <w:t>.</w:t>
      </w:r>
    </w:p>
    <w:p w14:paraId="22522441" w14:textId="37A1482D" w:rsidR="004F4FB0" w:rsidRPr="004F4FB0" w:rsidRDefault="004F4FB0" w:rsidP="004F4FB0">
      <w:pPr>
        <w:numPr>
          <w:ilvl w:val="0"/>
          <w:numId w:val="16"/>
        </w:numPr>
        <w:shd w:val="clear" w:color="auto" w:fill="FFFFFF"/>
        <w:spacing w:after="240"/>
        <w:rPr>
          <w:rFonts w:eastAsia="Cambria"/>
        </w:rPr>
      </w:pPr>
      <w:r w:rsidRPr="004F4FB0">
        <w:rPr>
          <w:rFonts w:eastAsia="Cambria"/>
        </w:rPr>
        <w:t xml:space="preserve">Resources (including training materials, videos, briefs, etc.) to support teachers, administrators, pupils, and other school staff </w:t>
      </w:r>
      <w:r w:rsidR="00AC2A70">
        <w:rPr>
          <w:rFonts w:eastAsia="Cambria"/>
        </w:rPr>
        <w:t>who</w:t>
      </w:r>
      <w:r w:rsidRPr="004F4FB0">
        <w:rPr>
          <w:rFonts w:eastAsia="Cambria"/>
        </w:rPr>
        <w:t xml:space="preserve"> provide support for local SSCE programming</w:t>
      </w:r>
      <w:r w:rsidR="00DF55B2">
        <w:rPr>
          <w:rFonts w:eastAsia="Cambria"/>
        </w:rPr>
        <w:t>.</w:t>
      </w:r>
    </w:p>
    <w:p w14:paraId="4445A6F5" w14:textId="3DFF4BAC" w:rsidR="004F4FB0" w:rsidRPr="004F4FB0" w:rsidRDefault="004F4FB0" w:rsidP="004F4FB0">
      <w:pPr>
        <w:numPr>
          <w:ilvl w:val="0"/>
          <w:numId w:val="16"/>
        </w:numPr>
        <w:shd w:val="clear" w:color="auto" w:fill="FFFFFF"/>
        <w:spacing w:after="240"/>
        <w:rPr>
          <w:rFonts w:eastAsia="Cambria"/>
        </w:rPr>
      </w:pPr>
      <w:r w:rsidRPr="004F4FB0">
        <w:rPr>
          <w:rFonts w:eastAsia="Cambria"/>
        </w:rPr>
        <w:t xml:space="preserve">Technical assistance and </w:t>
      </w:r>
      <w:r w:rsidR="00DF55B2">
        <w:rPr>
          <w:rFonts w:eastAsia="Cambria"/>
        </w:rPr>
        <w:t>PD</w:t>
      </w:r>
      <w:r w:rsidRPr="004F4FB0">
        <w:rPr>
          <w:rFonts w:eastAsia="Cambria"/>
        </w:rPr>
        <w:t xml:space="preserve"> opportunities provided for purposes of implementing and expanding access to the SSCE through </w:t>
      </w:r>
      <w:r w:rsidR="001123A1">
        <w:rPr>
          <w:rFonts w:eastAsia="Cambria"/>
        </w:rPr>
        <w:t>service-learning</w:t>
      </w:r>
      <w:r w:rsidR="00DF55B2">
        <w:rPr>
          <w:rFonts w:eastAsia="Cambria"/>
        </w:rPr>
        <w:t>.</w:t>
      </w:r>
    </w:p>
    <w:p w14:paraId="3F22DA93" w14:textId="2F0BFC57" w:rsidR="004F4FB0" w:rsidRPr="004F4FB0" w:rsidRDefault="004F4FB0" w:rsidP="004F4FB0">
      <w:pPr>
        <w:numPr>
          <w:ilvl w:val="0"/>
          <w:numId w:val="16"/>
        </w:numPr>
        <w:shd w:val="clear" w:color="auto" w:fill="FFFFFF"/>
        <w:spacing w:after="240"/>
        <w:rPr>
          <w:rFonts w:eastAsia="Cambria"/>
        </w:rPr>
      </w:pPr>
      <w:r w:rsidRPr="004F4FB0">
        <w:rPr>
          <w:rFonts w:eastAsia="Cambria"/>
        </w:rPr>
        <w:t xml:space="preserve">Number of </w:t>
      </w:r>
      <w:proofErr w:type="gramStart"/>
      <w:r w:rsidRPr="004F4FB0">
        <w:rPr>
          <w:rFonts w:eastAsia="Cambria"/>
        </w:rPr>
        <w:t>participating educators</w:t>
      </w:r>
      <w:proofErr w:type="gramEnd"/>
      <w:r w:rsidRPr="004F4FB0">
        <w:rPr>
          <w:rFonts w:eastAsia="Cambria"/>
        </w:rPr>
        <w:t>, disaggregated by role, classrooms, and schools</w:t>
      </w:r>
      <w:r w:rsidR="00DF55B2">
        <w:rPr>
          <w:rFonts w:eastAsia="Cambria"/>
        </w:rPr>
        <w:t>.</w:t>
      </w:r>
    </w:p>
    <w:p w14:paraId="3727FD83" w14:textId="5030EAA5" w:rsidR="004F4FB0" w:rsidRPr="004F4FB0" w:rsidRDefault="004F4FB0" w:rsidP="004F4FB0">
      <w:pPr>
        <w:numPr>
          <w:ilvl w:val="0"/>
          <w:numId w:val="16"/>
        </w:numPr>
        <w:shd w:val="clear" w:color="auto" w:fill="FFFFFF"/>
        <w:spacing w:after="240"/>
        <w:rPr>
          <w:rFonts w:eastAsia="Cambria"/>
        </w:rPr>
      </w:pPr>
      <w:r w:rsidRPr="004F4FB0">
        <w:rPr>
          <w:rFonts w:eastAsia="Cambria"/>
        </w:rPr>
        <w:t xml:space="preserve">Number of students earning and actively working toward the SSCE through </w:t>
      </w:r>
      <w:r w:rsidR="001123A1">
        <w:rPr>
          <w:rFonts w:eastAsia="Cambria"/>
        </w:rPr>
        <w:t>service-learning</w:t>
      </w:r>
      <w:r w:rsidR="00DF55B2">
        <w:rPr>
          <w:rFonts w:eastAsia="Cambria"/>
        </w:rPr>
        <w:t>.</w:t>
      </w:r>
    </w:p>
    <w:p w14:paraId="143568B4" w14:textId="144B2C87" w:rsidR="004F4FB0" w:rsidRPr="004F4FB0" w:rsidRDefault="004F4FB0" w:rsidP="004F4FB0">
      <w:pPr>
        <w:numPr>
          <w:ilvl w:val="0"/>
          <w:numId w:val="16"/>
        </w:numPr>
        <w:shd w:val="clear" w:color="auto" w:fill="FFFFFF"/>
        <w:spacing w:after="240"/>
        <w:rPr>
          <w:rFonts w:eastAsia="Cambria"/>
        </w:rPr>
      </w:pPr>
      <w:r w:rsidRPr="004F4FB0">
        <w:rPr>
          <w:rFonts w:eastAsia="Cambria"/>
        </w:rPr>
        <w:t>Reflections on model uniform metric implementation and adjustments made during the grant period</w:t>
      </w:r>
      <w:r w:rsidR="00DF55B2">
        <w:rPr>
          <w:rFonts w:eastAsia="Cambria"/>
        </w:rPr>
        <w:t>.</w:t>
      </w:r>
    </w:p>
    <w:p w14:paraId="0C5A0EDD" w14:textId="0AFC672B" w:rsidR="00DF55B2" w:rsidRPr="00DF55B2" w:rsidRDefault="004F4FB0" w:rsidP="00DF55B2">
      <w:pPr>
        <w:numPr>
          <w:ilvl w:val="0"/>
          <w:numId w:val="16"/>
        </w:numPr>
        <w:shd w:val="clear" w:color="auto" w:fill="FFFFFF"/>
        <w:spacing w:after="240"/>
        <w:rPr>
          <w:rFonts w:eastAsia="Cambria"/>
        </w:rPr>
      </w:pPr>
      <w:r w:rsidRPr="004F4FB0">
        <w:rPr>
          <w:rFonts w:eastAsia="Cambria"/>
        </w:rPr>
        <w:t>Evaluation of civic-minded traits using structured reflections or rubrics</w:t>
      </w:r>
      <w:r w:rsidR="00DF55B2">
        <w:rPr>
          <w:rFonts w:eastAsia="Cambria"/>
        </w:rPr>
        <w:t>.</w:t>
      </w:r>
    </w:p>
    <w:p w14:paraId="56B0787D" w14:textId="5C796637" w:rsidR="00A308F5" w:rsidRPr="00FF56BE" w:rsidRDefault="00113F36" w:rsidP="00FF56BE">
      <w:pPr>
        <w:pStyle w:val="Heading2"/>
      </w:pPr>
      <w:bookmarkStart w:id="26" w:name="_Toc220420860"/>
      <w:bookmarkStart w:id="27" w:name="_Toc221186050"/>
      <w:bookmarkStart w:id="28" w:name="_Toc230962694"/>
      <w:r>
        <w:t>Cohort 1</w:t>
      </w:r>
      <w:bookmarkEnd w:id="26"/>
      <w:bookmarkEnd w:id="27"/>
      <w:bookmarkEnd w:id="28"/>
    </w:p>
    <w:p w14:paraId="1BD8CEE2" w14:textId="7D575A0C" w:rsidR="00CB32A3" w:rsidRDefault="000D308F" w:rsidP="005B1F66">
      <w:pPr>
        <w:pStyle w:val="NormalWeb"/>
        <w:spacing w:before="0" w:beforeAutospacing="0" w:after="240" w:afterAutospacing="0"/>
        <w:rPr>
          <w:rFonts w:ascii="Arial" w:hAnsi="Arial" w:cs="Arial"/>
        </w:rPr>
      </w:pPr>
      <w:r w:rsidRPr="00BB452B">
        <w:rPr>
          <w:rFonts w:ascii="Arial" w:hAnsi="Arial" w:cs="Arial"/>
        </w:rPr>
        <w:t xml:space="preserve">Cohort 1 grantees </w:t>
      </w:r>
      <w:r w:rsidR="00CB32A3">
        <w:rPr>
          <w:rFonts w:ascii="Arial" w:hAnsi="Arial" w:cs="Arial"/>
        </w:rPr>
        <w:t xml:space="preserve">were able to utilize grant funding from </w:t>
      </w:r>
      <w:r w:rsidR="00322E47">
        <w:rPr>
          <w:rFonts w:ascii="Arial" w:hAnsi="Arial" w:cs="Arial"/>
        </w:rPr>
        <w:t>May 15, 2023</w:t>
      </w:r>
      <w:r w:rsidR="001C5D26">
        <w:rPr>
          <w:rFonts w:ascii="Arial" w:hAnsi="Arial" w:cs="Arial"/>
        </w:rPr>
        <w:t>,</w:t>
      </w:r>
      <w:r w:rsidR="0052174C">
        <w:rPr>
          <w:rFonts w:ascii="Arial" w:hAnsi="Arial" w:cs="Arial"/>
        </w:rPr>
        <w:t xml:space="preserve"> </w:t>
      </w:r>
      <w:r w:rsidR="00CB32A3">
        <w:rPr>
          <w:rFonts w:ascii="Arial" w:hAnsi="Arial" w:cs="Arial"/>
        </w:rPr>
        <w:t>through</w:t>
      </w:r>
      <w:r w:rsidR="0052174C">
        <w:rPr>
          <w:rFonts w:ascii="Arial" w:hAnsi="Arial" w:cs="Arial"/>
        </w:rPr>
        <w:t xml:space="preserve"> either June 30, 2025</w:t>
      </w:r>
      <w:r w:rsidR="001C5D26">
        <w:rPr>
          <w:rFonts w:ascii="Arial" w:hAnsi="Arial" w:cs="Arial"/>
        </w:rPr>
        <w:t>,</w:t>
      </w:r>
      <w:r w:rsidR="0052174C">
        <w:rPr>
          <w:rFonts w:ascii="Arial" w:hAnsi="Arial" w:cs="Arial"/>
        </w:rPr>
        <w:t xml:space="preserve"> or March 30, 2026. Grantees were given the option to extend their funding through March 30, 2026; Table 2 identifies the grant end </w:t>
      </w:r>
      <w:r w:rsidR="00C464E8">
        <w:rPr>
          <w:rFonts w:ascii="Arial" w:hAnsi="Arial" w:cs="Arial"/>
        </w:rPr>
        <w:t>date</w:t>
      </w:r>
      <w:r w:rsidR="0052174C">
        <w:rPr>
          <w:rFonts w:ascii="Arial" w:hAnsi="Arial" w:cs="Arial"/>
        </w:rPr>
        <w:t xml:space="preserve"> for each grantee</w:t>
      </w:r>
      <w:r w:rsidRPr="00BB452B">
        <w:rPr>
          <w:rFonts w:ascii="Arial" w:hAnsi="Arial" w:cs="Arial"/>
        </w:rPr>
        <w:t xml:space="preserve">. </w:t>
      </w:r>
    </w:p>
    <w:p w14:paraId="7DFF4EF9" w14:textId="176F95CC" w:rsidR="000D308F" w:rsidRPr="00322E47" w:rsidRDefault="00C464E8" w:rsidP="005B1F66">
      <w:pPr>
        <w:pStyle w:val="NormalWeb"/>
        <w:spacing w:before="0" w:beforeAutospacing="0" w:after="240" w:afterAutospacing="0"/>
        <w:rPr>
          <w:rFonts w:ascii="Arial" w:hAnsi="Arial" w:cs="Arial"/>
        </w:rPr>
      </w:pPr>
      <w:r>
        <w:rPr>
          <w:rFonts w:ascii="Arial" w:hAnsi="Arial" w:cs="Arial"/>
        </w:rPr>
        <w:t xml:space="preserve">Cohort 1 </w:t>
      </w:r>
      <w:proofErr w:type="gramStart"/>
      <w:r>
        <w:rPr>
          <w:rFonts w:ascii="Arial" w:hAnsi="Arial" w:cs="Arial"/>
        </w:rPr>
        <w:t>grantees</w:t>
      </w:r>
      <w:proofErr w:type="gramEnd"/>
      <w:r>
        <w:rPr>
          <w:rFonts w:ascii="Arial" w:hAnsi="Arial" w:cs="Arial"/>
        </w:rPr>
        <w:t xml:space="preserve"> submitted biannual expenditure and progress reports. </w:t>
      </w:r>
      <w:r w:rsidR="000D308F" w:rsidRPr="00BB452B">
        <w:rPr>
          <w:rFonts w:ascii="Arial" w:hAnsi="Arial" w:cs="Arial"/>
        </w:rPr>
        <w:t xml:space="preserve">This section summarizes activities and outcomes from </w:t>
      </w:r>
      <w:r w:rsidR="00297579">
        <w:rPr>
          <w:rFonts w:ascii="Arial" w:hAnsi="Arial" w:cs="Arial"/>
        </w:rPr>
        <w:t xml:space="preserve">the following </w:t>
      </w:r>
      <w:r w:rsidR="00297579">
        <w:rPr>
          <w:rStyle w:val="Strong"/>
          <w:rFonts w:ascii="Arial" w:hAnsi="Arial" w:cs="Arial"/>
          <w:b w:val="0"/>
          <w:bCs w:val="0"/>
        </w:rPr>
        <w:t>reporting</w:t>
      </w:r>
      <w:r w:rsidR="000D308F" w:rsidRPr="00322E47">
        <w:rPr>
          <w:rStyle w:val="Strong"/>
          <w:rFonts w:ascii="Arial" w:hAnsi="Arial" w:cs="Arial"/>
          <w:b w:val="0"/>
          <w:bCs w:val="0"/>
        </w:rPr>
        <w:t xml:space="preserve"> period</w:t>
      </w:r>
      <w:r w:rsidR="00297579">
        <w:rPr>
          <w:rStyle w:val="Strong"/>
          <w:rFonts w:ascii="Arial" w:hAnsi="Arial" w:cs="Arial"/>
          <w:b w:val="0"/>
          <w:bCs w:val="0"/>
        </w:rPr>
        <w:t>s</w:t>
      </w:r>
      <w:r w:rsidR="00A7244E">
        <w:rPr>
          <w:rStyle w:val="FootnoteReference"/>
          <w:rFonts w:ascii="Arial" w:hAnsi="Arial" w:cs="Arial"/>
        </w:rPr>
        <w:footnoteReference w:id="4"/>
      </w:r>
      <w:r w:rsidR="000D308F" w:rsidRPr="00322E47">
        <w:rPr>
          <w:rFonts w:ascii="Arial" w:hAnsi="Arial" w:cs="Arial"/>
        </w:rPr>
        <w:t>:</w:t>
      </w:r>
    </w:p>
    <w:p w14:paraId="0F1B7A81" w14:textId="50D4D23A" w:rsidR="00297579" w:rsidRDefault="000D308F" w:rsidP="000D308F">
      <w:pPr>
        <w:pStyle w:val="NormalWeb"/>
        <w:numPr>
          <w:ilvl w:val="0"/>
          <w:numId w:val="2"/>
        </w:numPr>
        <w:rPr>
          <w:rStyle w:val="Strong"/>
          <w:rFonts w:ascii="Arial" w:hAnsi="Arial" w:cs="Arial"/>
          <w:b w:val="0"/>
          <w:bCs w:val="0"/>
        </w:rPr>
      </w:pPr>
      <w:r w:rsidRPr="00322E47">
        <w:rPr>
          <w:rStyle w:val="Strong"/>
          <w:rFonts w:ascii="Arial" w:hAnsi="Arial" w:cs="Arial"/>
          <w:b w:val="0"/>
          <w:bCs w:val="0"/>
        </w:rPr>
        <w:t>Year 1</w:t>
      </w:r>
      <w:r w:rsidR="00AC2A70">
        <w:rPr>
          <w:rStyle w:val="Strong"/>
          <w:rFonts w:ascii="Arial" w:hAnsi="Arial" w:cs="Arial"/>
          <w:b w:val="0"/>
          <w:bCs w:val="0"/>
        </w:rPr>
        <w:t>,</w:t>
      </w:r>
      <w:r w:rsidRPr="00322E47">
        <w:rPr>
          <w:rStyle w:val="Strong"/>
          <w:rFonts w:ascii="Arial" w:hAnsi="Arial" w:cs="Arial"/>
          <w:b w:val="0"/>
          <w:bCs w:val="0"/>
        </w:rPr>
        <w:t xml:space="preserve"> Quarter 4</w:t>
      </w:r>
      <w:r w:rsidR="001024D1">
        <w:rPr>
          <w:rStyle w:val="Strong"/>
          <w:rFonts w:ascii="Arial" w:hAnsi="Arial" w:cs="Arial"/>
          <w:b w:val="0"/>
          <w:bCs w:val="0"/>
        </w:rPr>
        <w:t xml:space="preserve"> (May 1–June 30, 2023)</w:t>
      </w:r>
    </w:p>
    <w:p w14:paraId="46859786" w14:textId="6B333F08" w:rsidR="000D308F" w:rsidRPr="00322E47" w:rsidRDefault="000D308F" w:rsidP="000D308F">
      <w:pPr>
        <w:pStyle w:val="NormalWeb"/>
        <w:numPr>
          <w:ilvl w:val="0"/>
          <w:numId w:val="2"/>
        </w:numPr>
        <w:rPr>
          <w:rFonts w:ascii="Arial" w:hAnsi="Arial" w:cs="Arial"/>
        </w:rPr>
      </w:pPr>
      <w:r w:rsidRPr="00322E47">
        <w:rPr>
          <w:rStyle w:val="Strong"/>
          <w:rFonts w:ascii="Arial" w:hAnsi="Arial" w:cs="Arial"/>
          <w:b w:val="0"/>
          <w:bCs w:val="0"/>
        </w:rPr>
        <w:t>Year 2</w:t>
      </w:r>
      <w:r w:rsidR="00AC2A70">
        <w:rPr>
          <w:rStyle w:val="Strong"/>
          <w:rFonts w:ascii="Arial" w:hAnsi="Arial" w:cs="Arial"/>
          <w:b w:val="0"/>
          <w:bCs w:val="0"/>
        </w:rPr>
        <w:t>,</w:t>
      </w:r>
      <w:r w:rsidRPr="00322E47">
        <w:rPr>
          <w:rStyle w:val="Strong"/>
          <w:rFonts w:ascii="Arial" w:hAnsi="Arial" w:cs="Arial"/>
          <w:b w:val="0"/>
          <w:bCs w:val="0"/>
        </w:rPr>
        <w:t xml:space="preserve"> Quarters 1–2</w:t>
      </w:r>
      <w:r w:rsidR="001024D1">
        <w:rPr>
          <w:rStyle w:val="Strong"/>
          <w:rFonts w:ascii="Arial" w:hAnsi="Arial" w:cs="Arial"/>
          <w:b w:val="0"/>
          <w:bCs w:val="0"/>
        </w:rPr>
        <w:t xml:space="preserve"> (July 1–December 31, 2023)</w:t>
      </w:r>
    </w:p>
    <w:p w14:paraId="0E12CD45" w14:textId="02958FCD" w:rsidR="000D308F" w:rsidRPr="00322E47" w:rsidRDefault="000D308F" w:rsidP="000D308F">
      <w:pPr>
        <w:pStyle w:val="NormalWeb"/>
        <w:numPr>
          <w:ilvl w:val="0"/>
          <w:numId w:val="2"/>
        </w:numPr>
        <w:rPr>
          <w:rFonts w:ascii="Arial" w:hAnsi="Arial" w:cs="Arial"/>
        </w:rPr>
      </w:pPr>
      <w:r w:rsidRPr="00322E47">
        <w:rPr>
          <w:rStyle w:val="Strong"/>
          <w:rFonts w:ascii="Arial" w:hAnsi="Arial" w:cs="Arial"/>
          <w:b w:val="0"/>
          <w:bCs w:val="0"/>
        </w:rPr>
        <w:t>Year 2</w:t>
      </w:r>
      <w:r w:rsidR="00AC2A70">
        <w:rPr>
          <w:rStyle w:val="Strong"/>
          <w:rFonts w:ascii="Arial" w:hAnsi="Arial" w:cs="Arial"/>
          <w:b w:val="0"/>
          <w:bCs w:val="0"/>
        </w:rPr>
        <w:t>,</w:t>
      </w:r>
      <w:r w:rsidRPr="00322E47">
        <w:rPr>
          <w:rStyle w:val="Strong"/>
          <w:rFonts w:ascii="Arial" w:hAnsi="Arial" w:cs="Arial"/>
          <w:b w:val="0"/>
          <w:bCs w:val="0"/>
        </w:rPr>
        <w:t xml:space="preserve"> Quarters 3–4</w:t>
      </w:r>
      <w:r w:rsidR="001024D1">
        <w:rPr>
          <w:rStyle w:val="Strong"/>
          <w:rFonts w:ascii="Arial" w:hAnsi="Arial" w:cs="Arial"/>
          <w:b w:val="0"/>
          <w:bCs w:val="0"/>
        </w:rPr>
        <w:t xml:space="preserve"> (</w:t>
      </w:r>
      <w:r w:rsidR="001260FF">
        <w:rPr>
          <w:rStyle w:val="Strong"/>
          <w:rFonts w:ascii="Arial" w:hAnsi="Arial" w:cs="Arial"/>
          <w:b w:val="0"/>
          <w:bCs w:val="0"/>
        </w:rPr>
        <w:t>January 1–June 30, 2024)</w:t>
      </w:r>
    </w:p>
    <w:p w14:paraId="02597E87" w14:textId="78397162" w:rsidR="000D308F" w:rsidRDefault="000D308F" w:rsidP="000D308F">
      <w:pPr>
        <w:pStyle w:val="NormalWeb"/>
        <w:numPr>
          <w:ilvl w:val="0"/>
          <w:numId w:val="2"/>
        </w:numPr>
        <w:rPr>
          <w:rStyle w:val="Strong"/>
          <w:rFonts w:ascii="Arial" w:hAnsi="Arial" w:cs="Arial"/>
          <w:b w:val="0"/>
          <w:bCs w:val="0"/>
        </w:rPr>
      </w:pPr>
      <w:r w:rsidRPr="00322E47">
        <w:rPr>
          <w:rStyle w:val="Strong"/>
          <w:rFonts w:ascii="Arial" w:hAnsi="Arial" w:cs="Arial"/>
          <w:b w:val="0"/>
          <w:bCs w:val="0"/>
        </w:rPr>
        <w:t>Year 3</w:t>
      </w:r>
      <w:r w:rsidR="00AC2A70">
        <w:rPr>
          <w:rStyle w:val="Strong"/>
          <w:rFonts w:ascii="Arial" w:hAnsi="Arial" w:cs="Arial"/>
          <w:b w:val="0"/>
          <w:bCs w:val="0"/>
        </w:rPr>
        <w:t>,</w:t>
      </w:r>
      <w:r w:rsidRPr="00322E47">
        <w:rPr>
          <w:rStyle w:val="Strong"/>
          <w:rFonts w:ascii="Arial" w:hAnsi="Arial" w:cs="Arial"/>
          <w:b w:val="0"/>
          <w:bCs w:val="0"/>
        </w:rPr>
        <w:t xml:space="preserve"> Quarters 1–2</w:t>
      </w:r>
      <w:r w:rsidR="001260FF">
        <w:rPr>
          <w:rStyle w:val="Strong"/>
          <w:rFonts w:ascii="Arial" w:hAnsi="Arial" w:cs="Arial"/>
          <w:b w:val="0"/>
          <w:bCs w:val="0"/>
        </w:rPr>
        <w:t xml:space="preserve"> (July 1–December 31, 2024)</w:t>
      </w:r>
    </w:p>
    <w:p w14:paraId="5F7DB32B" w14:textId="513BC39B" w:rsidR="0033214D" w:rsidRDefault="0033214D" w:rsidP="000D308F">
      <w:pPr>
        <w:pStyle w:val="NormalWeb"/>
        <w:numPr>
          <w:ilvl w:val="0"/>
          <w:numId w:val="2"/>
        </w:numPr>
        <w:rPr>
          <w:rStyle w:val="Strong"/>
          <w:rFonts w:ascii="Arial" w:hAnsi="Arial" w:cs="Arial"/>
          <w:b w:val="0"/>
          <w:bCs w:val="0"/>
        </w:rPr>
      </w:pPr>
      <w:r>
        <w:rPr>
          <w:rStyle w:val="Strong"/>
          <w:rFonts w:ascii="Arial" w:hAnsi="Arial" w:cs="Arial"/>
          <w:b w:val="0"/>
          <w:bCs w:val="0"/>
        </w:rPr>
        <w:t>Year 3</w:t>
      </w:r>
      <w:r w:rsidR="00AC2A70">
        <w:rPr>
          <w:rStyle w:val="Strong"/>
          <w:rFonts w:ascii="Arial" w:hAnsi="Arial" w:cs="Arial"/>
          <w:b w:val="0"/>
          <w:bCs w:val="0"/>
        </w:rPr>
        <w:t>,</w:t>
      </w:r>
      <w:r>
        <w:rPr>
          <w:rStyle w:val="Strong"/>
          <w:rFonts w:ascii="Arial" w:hAnsi="Arial" w:cs="Arial"/>
          <w:b w:val="0"/>
          <w:bCs w:val="0"/>
        </w:rPr>
        <w:t xml:space="preserve"> Quarters 3–4</w:t>
      </w:r>
      <w:r w:rsidR="001260FF">
        <w:rPr>
          <w:rStyle w:val="Strong"/>
          <w:rFonts w:ascii="Arial" w:hAnsi="Arial" w:cs="Arial"/>
          <w:b w:val="0"/>
          <w:bCs w:val="0"/>
        </w:rPr>
        <w:t xml:space="preserve"> (January 1–June 30, 2025)</w:t>
      </w:r>
    </w:p>
    <w:p w14:paraId="11F359C3" w14:textId="64C8A406" w:rsidR="00A05A28" w:rsidRDefault="00E6106E" w:rsidP="005B1F66">
      <w:pPr>
        <w:pStyle w:val="NormalWeb"/>
        <w:spacing w:before="0" w:beforeAutospacing="0" w:after="240" w:afterAutospacing="0"/>
        <w:rPr>
          <w:rStyle w:val="Strong"/>
          <w:rFonts w:ascii="Arial" w:hAnsi="Arial" w:cs="Arial"/>
          <w:b w:val="0"/>
          <w:bCs w:val="0"/>
        </w:rPr>
      </w:pPr>
      <w:r>
        <w:rPr>
          <w:rStyle w:val="Strong"/>
          <w:rFonts w:ascii="Arial" w:hAnsi="Arial" w:cs="Arial"/>
          <w:b w:val="0"/>
          <w:bCs w:val="0"/>
        </w:rPr>
        <w:t xml:space="preserve">Due to the </w:t>
      </w:r>
      <w:r w:rsidR="005F1E89">
        <w:rPr>
          <w:rStyle w:val="Strong"/>
          <w:rFonts w:ascii="Arial" w:hAnsi="Arial" w:cs="Arial"/>
          <w:b w:val="0"/>
          <w:bCs w:val="0"/>
        </w:rPr>
        <w:t>funding and application</w:t>
      </w:r>
      <w:r>
        <w:rPr>
          <w:rStyle w:val="Strong"/>
          <w:rFonts w:ascii="Arial" w:hAnsi="Arial" w:cs="Arial"/>
          <w:b w:val="0"/>
          <w:bCs w:val="0"/>
        </w:rPr>
        <w:t xml:space="preserve"> timeline, </w:t>
      </w:r>
      <w:r w:rsidR="009C4D7F">
        <w:rPr>
          <w:rStyle w:val="Strong"/>
          <w:rFonts w:ascii="Arial" w:hAnsi="Arial" w:cs="Arial"/>
          <w:b w:val="0"/>
          <w:bCs w:val="0"/>
        </w:rPr>
        <w:t xml:space="preserve">grantees </w:t>
      </w:r>
      <w:r w:rsidR="00856444">
        <w:rPr>
          <w:rStyle w:val="Strong"/>
          <w:rFonts w:ascii="Arial" w:hAnsi="Arial" w:cs="Arial"/>
          <w:b w:val="0"/>
          <w:bCs w:val="0"/>
        </w:rPr>
        <w:t>did</w:t>
      </w:r>
      <w:r w:rsidR="009C4D7F">
        <w:rPr>
          <w:rStyle w:val="Strong"/>
          <w:rFonts w:ascii="Arial" w:hAnsi="Arial" w:cs="Arial"/>
          <w:b w:val="0"/>
          <w:bCs w:val="0"/>
        </w:rPr>
        <w:t xml:space="preserve"> not receive funding until late in Year 1</w:t>
      </w:r>
      <w:r w:rsidR="00AC2A70">
        <w:rPr>
          <w:rStyle w:val="Strong"/>
          <w:rFonts w:ascii="Arial" w:hAnsi="Arial" w:cs="Arial"/>
          <w:b w:val="0"/>
          <w:bCs w:val="0"/>
        </w:rPr>
        <w:t>,</w:t>
      </w:r>
      <w:r w:rsidR="009C4D7F">
        <w:rPr>
          <w:rStyle w:val="Strong"/>
          <w:rFonts w:ascii="Arial" w:hAnsi="Arial" w:cs="Arial"/>
          <w:b w:val="0"/>
          <w:bCs w:val="0"/>
        </w:rPr>
        <w:t xml:space="preserve"> Quarter 4. </w:t>
      </w:r>
      <w:proofErr w:type="gramStart"/>
      <w:r w:rsidR="00A05A28">
        <w:rPr>
          <w:rStyle w:val="Strong"/>
          <w:rFonts w:ascii="Arial" w:hAnsi="Arial" w:cs="Arial"/>
          <w:b w:val="0"/>
          <w:bCs w:val="0"/>
        </w:rPr>
        <w:t>The majority of</w:t>
      </w:r>
      <w:proofErr w:type="gramEnd"/>
      <w:r w:rsidR="00A05A28">
        <w:rPr>
          <w:rStyle w:val="Strong"/>
          <w:rFonts w:ascii="Arial" w:hAnsi="Arial" w:cs="Arial"/>
          <w:b w:val="0"/>
          <w:bCs w:val="0"/>
        </w:rPr>
        <w:t xml:space="preserve"> grant activities commence</w:t>
      </w:r>
      <w:r w:rsidR="00CB32A3">
        <w:rPr>
          <w:rStyle w:val="Strong"/>
          <w:rFonts w:ascii="Arial" w:hAnsi="Arial" w:cs="Arial"/>
          <w:b w:val="0"/>
          <w:bCs w:val="0"/>
        </w:rPr>
        <w:t>d</w:t>
      </w:r>
      <w:r w:rsidR="00A05A28">
        <w:rPr>
          <w:rStyle w:val="Strong"/>
          <w:rFonts w:ascii="Arial" w:hAnsi="Arial" w:cs="Arial"/>
          <w:b w:val="0"/>
          <w:bCs w:val="0"/>
        </w:rPr>
        <w:t xml:space="preserve"> in Year 2</w:t>
      </w:r>
      <w:r w:rsidR="005F1E89">
        <w:rPr>
          <w:rStyle w:val="Strong"/>
          <w:rFonts w:ascii="Arial" w:hAnsi="Arial" w:cs="Arial"/>
          <w:b w:val="0"/>
          <w:bCs w:val="0"/>
        </w:rPr>
        <w:t xml:space="preserve">. </w:t>
      </w:r>
    </w:p>
    <w:p w14:paraId="4CC4079F" w14:textId="21560515" w:rsidR="00961F05" w:rsidRPr="00322E47" w:rsidRDefault="00961F05" w:rsidP="005B1F66">
      <w:pPr>
        <w:pStyle w:val="NormalWeb"/>
        <w:spacing w:before="0" w:beforeAutospacing="0" w:after="240" w:afterAutospacing="0"/>
        <w:rPr>
          <w:rFonts w:ascii="Arial" w:hAnsi="Arial" w:cs="Arial"/>
        </w:rPr>
      </w:pPr>
      <w:r>
        <w:rPr>
          <w:rStyle w:val="Strong"/>
          <w:rFonts w:ascii="Arial" w:hAnsi="Arial" w:cs="Arial"/>
          <w:b w:val="0"/>
          <w:bCs w:val="0"/>
        </w:rPr>
        <w:t xml:space="preserve">Future legislative reports will include data </w:t>
      </w:r>
      <w:r w:rsidR="00D27334">
        <w:rPr>
          <w:rStyle w:val="Strong"/>
          <w:rFonts w:ascii="Arial" w:hAnsi="Arial" w:cs="Arial"/>
          <w:b w:val="0"/>
          <w:bCs w:val="0"/>
        </w:rPr>
        <w:t>from</w:t>
      </w:r>
      <w:r>
        <w:rPr>
          <w:rStyle w:val="Strong"/>
          <w:rFonts w:ascii="Arial" w:hAnsi="Arial" w:cs="Arial"/>
          <w:b w:val="0"/>
          <w:bCs w:val="0"/>
        </w:rPr>
        <w:t xml:space="preserve"> Year 4</w:t>
      </w:r>
      <w:r w:rsidR="00AC2A70">
        <w:rPr>
          <w:rStyle w:val="Strong"/>
          <w:rFonts w:ascii="Arial" w:hAnsi="Arial" w:cs="Arial"/>
          <w:b w:val="0"/>
          <w:bCs w:val="0"/>
        </w:rPr>
        <w:t>,</w:t>
      </w:r>
      <w:r w:rsidR="00D27334">
        <w:rPr>
          <w:rStyle w:val="Strong"/>
          <w:rFonts w:ascii="Arial" w:hAnsi="Arial" w:cs="Arial"/>
          <w:b w:val="0"/>
          <w:bCs w:val="0"/>
        </w:rPr>
        <w:t xml:space="preserve"> Quarters 1–2 (as applicable) and end-of-project reports.</w:t>
      </w:r>
    </w:p>
    <w:p w14:paraId="53D763E3" w14:textId="77777777" w:rsidR="006B37F2" w:rsidRDefault="006B37F2">
      <w:pPr>
        <w:spacing w:after="240"/>
        <w:rPr>
          <w:rStyle w:val="Strong"/>
          <w:color w:val="auto"/>
          <w:szCs w:val="22"/>
        </w:rPr>
      </w:pPr>
      <w:r>
        <w:rPr>
          <w:rStyle w:val="Strong"/>
          <w:b w:val="0"/>
          <w:bCs w:val="0"/>
        </w:rPr>
        <w:br w:type="page"/>
      </w:r>
    </w:p>
    <w:p w14:paraId="79BE3483" w14:textId="13DE57B5" w:rsidR="00B02CBD" w:rsidRPr="00973654" w:rsidRDefault="00BE0F04" w:rsidP="00E759E4">
      <w:pPr>
        <w:pStyle w:val="TableTitle"/>
        <w:rPr>
          <w:rStyle w:val="Strong"/>
          <w:b/>
          <w:bCs/>
        </w:rPr>
      </w:pPr>
      <w:r w:rsidRPr="00973654">
        <w:rPr>
          <w:rStyle w:val="Strong"/>
          <w:b/>
          <w:bCs/>
        </w:rPr>
        <w:lastRenderedPageBreak/>
        <w:t>Table 2: Cohort 1 Grantee Summary</w:t>
      </w:r>
    </w:p>
    <w:tbl>
      <w:tblPr>
        <w:tblStyle w:val="TableGrid"/>
        <w:tblW w:w="5000" w:type="pct"/>
        <w:tblLook w:val="04A0" w:firstRow="1" w:lastRow="0" w:firstColumn="1" w:lastColumn="0" w:noHBand="0" w:noVBand="1"/>
        <w:tblCaption w:val="Table 2: Cohort 1 Grantee Summary"/>
        <w:tblDescription w:val="Table listing the Cohort 1 grantees, their award amounts, their 2022-23 Unduplicated Pupil Count rate, and their grant end date."/>
      </w:tblPr>
      <w:tblGrid>
        <w:gridCol w:w="3594"/>
        <w:gridCol w:w="1530"/>
        <w:gridCol w:w="2162"/>
        <w:gridCol w:w="2064"/>
      </w:tblGrid>
      <w:tr w:rsidR="00D27334" w14:paraId="1576B5DA" w14:textId="77777777" w:rsidTr="000C71CF">
        <w:trPr>
          <w:tblHeader/>
        </w:trPr>
        <w:tc>
          <w:tcPr>
            <w:tcW w:w="1922" w:type="pct"/>
          </w:tcPr>
          <w:p w14:paraId="32C23C0C" w14:textId="58F8C8FB" w:rsidR="00D27334" w:rsidRPr="005110E8" w:rsidRDefault="00D27334" w:rsidP="00517F86">
            <w:pPr>
              <w:rPr>
                <w:b/>
                <w:bCs/>
              </w:rPr>
            </w:pPr>
            <w:r w:rsidRPr="005110E8">
              <w:rPr>
                <w:b/>
                <w:bCs/>
              </w:rPr>
              <w:t>Grantee Name</w:t>
            </w:r>
          </w:p>
        </w:tc>
        <w:tc>
          <w:tcPr>
            <w:tcW w:w="818" w:type="pct"/>
          </w:tcPr>
          <w:p w14:paraId="60867079" w14:textId="126D6BD2" w:rsidR="00D27334" w:rsidRPr="005110E8" w:rsidRDefault="00D27334" w:rsidP="00517F86">
            <w:pPr>
              <w:rPr>
                <w:b/>
                <w:bCs/>
              </w:rPr>
            </w:pPr>
            <w:r w:rsidRPr="005110E8">
              <w:rPr>
                <w:b/>
                <w:bCs/>
              </w:rPr>
              <w:t>Award Amount</w:t>
            </w:r>
          </w:p>
        </w:tc>
        <w:tc>
          <w:tcPr>
            <w:tcW w:w="1156" w:type="pct"/>
          </w:tcPr>
          <w:p w14:paraId="2095C32D" w14:textId="768ED0A1" w:rsidR="00D27334" w:rsidRPr="005110E8" w:rsidRDefault="00D27334" w:rsidP="00517F86">
            <w:pPr>
              <w:rPr>
                <w:b/>
                <w:bCs/>
              </w:rPr>
            </w:pPr>
            <w:r w:rsidRPr="005110E8">
              <w:rPr>
                <w:b/>
                <w:bCs/>
              </w:rPr>
              <w:t>2022–23 Unduplicated Pupil Count Rate</w:t>
            </w:r>
          </w:p>
        </w:tc>
        <w:tc>
          <w:tcPr>
            <w:tcW w:w="1104" w:type="pct"/>
          </w:tcPr>
          <w:p w14:paraId="7A3319EE" w14:textId="44583DA8" w:rsidR="00D27334" w:rsidRPr="005110E8" w:rsidRDefault="00D27334" w:rsidP="00517F86">
            <w:pPr>
              <w:rPr>
                <w:b/>
                <w:bCs/>
              </w:rPr>
            </w:pPr>
            <w:r w:rsidRPr="005110E8">
              <w:rPr>
                <w:b/>
                <w:bCs/>
              </w:rPr>
              <w:t>Grant Ends</w:t>
            </w:r>
          </w:p>
        </w:tc>
      </w:tr>
      <w:tr w:rsidR="00D27334" w14:paraId="01DE0E41" w14:textId="77777777" w:rsidTr="000C71CF">
        <w:tc>
          <w:tcPr>
            <w:tcW w:w="1922" w:type="pct"/>
          </w:tcPr>
          <w:p w14:paraId="2B253D6F" w14:textId="5F38AEBF" w:rsidR="00D27334" w:rsidRDefault="00D27334" w:rsidP="005B1F66">
            <w:r>
              <w:t>Antioch Unified School District (USD)</w:t>
            </w:r>
          </w:p>
        </w:tc>
        <w:tc>
          <w:tcPr>
            <w:tcW w:w="818" w:type="pct"/>
          </w:tcPr>
          <w:p w14:paraId="4EB282B2" w14:textId="537F5966" w:rsidR="00D27334" w:rsidRDefault="00D27334" w:rsidP="005B1F66">
            <w:r>
              <w:t>$499,911</w:t>
            </w:r>
          </w:p>
        </w:tc>
        <w:tc>
          <w:tcPr>
            <w:tcW w:w="1156" w:type="pct"/>
          </w:tcPr>
          <w:p w14:paraId="314CC96C" w14:textId="5E2E66E0" w:rsidR="00D27334" w:rsidRDefault="00D27334" w:rsidP="005B1F66">
            <w:r>
              <w:t>74.16</w:t>
            </w:r>
            <w:r w:rsidR="00FD2695">
              <w:t>%</w:t>
            </w:r>
          </w:p>
        </w:tc>
        <w:tc>
          <w:tcPr>
            <w:tcW w:w="1104" w:type="pct"/>
          </w:tcPr>
          <w:p w14:paraId="1D312826" w14:textId="34C2F11F" w:rsidR="00D27334" w:rsidRDefault="00D27334" w:rsidP="005B1F66">
            <w:r>
              <w:t>March 30, 2026</w:t>
            </w:r>
          </w:p>
        </w:tc>
      </w:tr>
      <w:tr w:rsidR="00D27334" w14:paraId="50AF2F0E" w14:textId="77777777" w:rsidTr="000C71CF">
        <w:tc>
          <w:tcPr>
            <w:tcW w:w="1922" w:type="pct"/>
          </w:tcPr>
          <w:p w14:paraId="63DC6B27" w14:textId="5BE336C3" w:rsidR="00D27334" w:rsidRDefault="00D27334" w:rsidP="005B1F66">
            <w:r>
              <w:t>Fresno County Superintendent of Schools</w:t>
            </w:r>
          </w:p>
        </w:tc>
        <w:tc>
          <w:tcPr>
            <w:tcW w:w="818" w:type="pct"/>
          </w:tcPr>
          <w:p w14:paraId="1A07A40B" w14:textId="3A989F85" w:rsidR="00D27334" w:rsidRDefault="00D27334" w:rsidP="005B1F66">
            <w:r>
              <w:t>$500,000</w:t>
            </w:r>
          </w:p>
        </w:tc>
        <w:tc>
          <w:tcPr>
            <w:tcW w:w="1156" w:type="pct"/>
          </w:tcPr>
          <w:p w14:paraId="322CEA8D" w14:textId="0DF10C3A" w:rsidR="00D27334" w:rsidRDefault="00D27334" w:rsidP="005B1F66">
            <w:r>
              <w:t>83.22</w:t>
            </w:r>
            <w:r w:rsidR="00FD2695">
              <w:t>%</w:t>
            </w:r>
          </w:p>
        </w:tc>
        <w:tc>
          <w:tcPr>
            <w:tcW w:w="1104" w:type="pct"/>
          </w:tcPr>
          <w:p w14:paraId="23FA3425" w14:textId="0F932E68" w:rsidR="00D27334" w:rsidRDefault="00D27334" w:rsidP="005B1F66">
            <w:r>
              <w:t>June 30, 2025</w:t>
            </w:r>
          </w:p>
        </w:tc>
      </w:tr>
      <w:tr w:rsidR="00D27334" w14:paraId="18F72C0A" w14:textId="77777777" w:rsidTr="000C71CF">
        <w:tc>
          <w:tcPr>
            <w:tcW w:w="1922" w:type="pct"/>
          </w:tcPr>
          <w:p w14:paraId="518ECF47" w14:textId="10D846EB" w:rsidR="00D27334" w:rsidRDefault="00D27334" w:rsidP="005B1F66">
            <w:r>
              <w:t>Glenn COE</w:t>
            </w:r>
          </w:p>
        </w:tc>
        <w:tc>
          <w:tcPr>
            <w:tcW w:w="818" w:type="pct"/>
          </w:tcPr>
          <w:p w14:paraId="6EB2C28A" w14:textId="2C38B19A" w:rsidR="00D27334" w:rsidRDefault="00D27334" w:rsidP="005B1F66">
            <w:r>
              <w:t>$431,614</w:t>
            </w:r>
          </w:p>
        </w:tc>
        <w:tc>
          <w:tcPr>
            <w:tcW w:w="1156" w:type="pct"/>
          </w:tcPr>
          <w:p w14:paraId="5ADE099D" w14:textId="41CDA456" w:rsidR="00D27334" w:rsidRDefault="00D27334" w:rsidP="005B1F66">
            <w:r>
              <w:t>64.10</w:t>
            </w:r>
            <w:r w:rsidR="00FD2695">
              <w:t>%</w:t>
            </w:r>
          </w:p>
        </w:tc>
        <w:tc>
          <w:tcPr>
            <w:tcW w:w="1104" w:type="pct"/>
          </w:tcPr>
          <w:p w14:paraId="5B70FF18" w14:textId="2F08ECBA" w:rsidR="00D27334" w:rsidRDefault="00D27334" w:rsidP="005B1F66">
            <w:r>
              <w:t>March 30, 2026</w:t>
            </w:r>
          </w:p>
        </w:tc>
      </w:tr>
      <w:tr w:rsidR="00D27334" w14:paraId="54A3BECF" w14:textId="77777777" w:rsidTr="000C71CF">
        <w:tc>
          <w:tcPr>
            <w:tcW w:w="1922" w:type="pct"/>
          </w:tcPr>
          <w:p w14:paraId="3FF69CA0" w14:textId="2B336AED" w:rsidR="00D27334" w:rsidRDefault="00D27334" w:rsidP="005B1F66">
            <w:r>
              <w:t>Hacienda La Puente USD</w:t>
            </w:r>
          </w:p>
        </w:tc>
        <w:tc>
          <w:tcPr>
            <w:tcW w:w="818" w:type="pct"/>
          </w:tcPr>
          <w:p w14:paraId="72E37F36" w14:textId="24683A72" w:rsidR="00D27334" w:rsidRDefault="00D27334" w:rsidP="005B1F66">
            <w:r>
              <w:t>$500,000</w:t>
            </w:r>
          </w:p>
        </w:tc>
        <w:tc>
          <w:tcPr>
            <w:tcW w:w="1156" w:type="pct"/>
          </w:tcPr>
          <w:p w14:paraId="1C9439B3" w14:textId="0D34A932" w:rsidR="00D27334" w:rsidRDefault="00D27334" w:rsidP="005B1F66">
            <w:r>
              <w:t>74.05</w:t>
            </w:r>
            <w:r w:rsidR="0032260A">
              <w:t>%</w:t>
            </w:r>
          </w:p>
        </w:tc>
        <w:tc>
          <w:tcPr>
            <w:tcW w:w="1104" w:type="pct"/>
          </w:tcPr>
          <w:p w14:paraId="3C319166" w14:textId="046E58F1" w:rsidR="00D27334" w:rsidRDefault="00D27334" w:rsidP="005B1F66">
            <w:r>
              <w:t>March 30, 2026</w:t>
            </w:r>
          </w:p>
        </w:tc>
      </w:tr>
      <w:tr w:rsidR="00D27334" w14:paraId="40FA8111" w14:textId="77777777" w:rsidTr="000C71CF">
        <w:tc>
          <w:tcPr>
            <w:tcW w:w="1922" w:type="pct"/>
          </w:tcPr>
          <w:p w14:paraId="224A937E" w14:textId="420DDE9D" w:rsidR="00D27334" w:rsidRDefault="00D27334" w:rsidP="005B1F66">
            <w:r>
              <w:t>Health Sciences High and Middle College</w:t>
            </w:r>
          </w:p>
        </w:tc>
        <w:tc>
          <w:tcPr>
            <w:tcW w:w="818" w:type="pct"/>
          </w:tcPr>
          <w:p w14:paraId="2208FDE6" w14:textId="6853D016" w:rsidR="00D27334" w:rsidRDefault="00D27334" w:rsidP="005B1F66">
            <w:r>
              <w:t>$499,833</w:t>
            </w:r>
          </w:p>
        </w:tc>
        <w:tc>
          <w:tcPr>
            <w:tcW w:w="1156" w:type="pct"/>
          </w:tcPr>
          <w:p w14:paraId="4E013213" w14:textId="09D4C1CA" w:rsidR="00D27334" w:rsidRDefault="00D27334" w:rsidP="005B1F66">
            <w:r>
              <w:t>74.92</w:t>
            </w:r>
            <w:r w:rsidR="0032260A">
              <w:t>%</w:t>
            </w:r>
          </w:p>
        </w:tc>
        <w:tc>
          <w:tcPr>
            <w:tcW w:w="1104" w:type="pct"/>
          </w:tcPr>
          <w:p w14:paraId="36BB0D50" w14:textId="5D8D31AE" w:rsidR="00D27334" w:rsidRDefault="00D27334" w:rsidP="005B1F66">
            <w:r>
              <w:t>June 30, 2025</w:t>
            </w:r>
          </w:p>
        </w:tc>
      </w:tr>
      <w:tr w:rsidR="00D27334" w14:paraId="31B7CB8D" w14:textId="77777777" w:rsidTr="000C71CF">
        <w:tc>
          <w:tcPr>
            <w:tcW w:w="1922" w:type="pct"/>
          </w:tcPr>
          <w:p w14:paraId="03F2C653" w14:textId="68F01CC2" w:rsidR="00D27334" w:rsidRDefault="00D27334" w:rsidP="005B1F66">
            <w:r>
              <w:t>John Muir Charter School</w:t>
            </w:r>
          </w:p>
        </w:tc>
        <w:tc>
          <w:tcPr>
            <w:tcW w:w="818" w:type="pct"/>
          </w:tcPr>
          <w:p w14:paraId="13AF117B" w14:textId="5CDD417A" w:rsidR="00D27334" w:rsidRDefault="00D27334" w:rsidP="005B1F66">
            <w:r>
              <w:t>$344,409</w:t>
            </w:r>
          </w:p>
        </w:tc>
        <w:tc>
          <w:tcPr>
            <w:tcW w:w="1156" w:type="pct"/>
          </w:tcPr>
          <w:p w14:paraId="3E3E5F6B" w14:textId="5885F11B" w:rsidR="00D27334" w:rsidRDefault="00D27334" w:rsidP="005B1F66">
            <w:r>
              <w:t>96.12</w:t>
            </w:r>
            <w:r w:rsidR="0032260A">
              <w:t>%</w:t>
            </w:r>
          </w:p>
        </w:tc>
        <w:tc>
          <w:tcPr>
            <w:tcW w:w="1104" w:type="pct"/>
          </w:tcPr>
          <w:p w14:paraId="0B78BB58" w14:textId="1856BFF7" w:rsidR="00D27334" w:rsidRDefault="00D27334" w:rsidP="005B1F66">
            <w:r>
              <w:t>March 30, 2026</w:t>
            </w:r>
          </w:p>
        </w:tc>
      </w:tr>
      <w:tr w:rsidR="00D27334" w14:paraId="33364EE9" w14:textId="77777777" w:rsidTr="000C71CF">
        <w:tc>
          <w:tcPr>
            <w:tcW w:w="1922" w:type="pct"/>
          </w:tcPr>
          <w:p w14:paraId="7936F633" w14:textId="5D5F73CD" w:rsidR="00D27334" w:rsidRDefault="00D27334" w:rsidP="005B1F66">
            <w:r>
              <w:t>Kern COE</w:t>
            </w:r>
          </w:p>
        </w:tc>
        <w:tc>
          <w:tcPr>
            <w:tcW w:w="818" w:type="pct"/>
          </w:tcPr>
          <w:p w14:paraId="4C8FF83D" w14:textId="4D96F7E3" w:rsidR="00D27334" w:rsidRDefault="00D27334" w:rsidP="005B1F66">
            <w:r>
              <w:t>$500,000</w:t>
            </w:r>
          </w:p>
        </w:tc>
        <w:tc>
          <w:tcPr>
            <w:tcW w:w="1156" w:type="pct"/>
          </w:tcPr>
          <w:p w14:paraId="4A3323C9" w14:textId="6A6A7BC2" w:rsidR="00D27334" w:rsidRDefault="00D27334" w:rsidP="005B1F66">
            <w:r>
              <w:t>76.94</w:t>
            </w:r>
            <w:r w:rsidR="0032260A">
              <w:t>%</w:t>
            </w:r>
          </w:p>
        </w:tc>
        <w:tc>
          <w:tcPr>
            <w:tcW w:w="1104" w:type="pct"/>
          </w:tcPr>
          <w:p w14:paraId="7BCAEEC1" w14:textId="530F12DD" w:rsidR="00D27334" w:rsidRDefault="00D27334" w:rsidP="005B1F66">
            <w:r>
              <w:t>March 30, 2026</w:t>
            </w:r>
          </w:p>
        </w:tc>
      </w:tr>
      <w:tr w:rsidR="00D27334" w14:paraId="4AF33EBD" w14:textId="77777777" w:rsidTr="000C71CF">
        <w:tc>
          <w:tcPr>
            <w:tcW w:w="1922" w:type="pct"/>
          </w:tcPr>
          <w:p w14:paraId="6CB8EC07" w14:textId="087FCE1E" w:rsidR="00D27334" w:rsidRDefault="00D27334" w:rsidP="005B1F66">
            <w:r>
              <w:t>New Village Girls Academy</w:t>
            </w:r>
          </w:p>
        </w:tc>
        <w:tc>
          <w:tcPr>
            <w:tcW w:w="818" w:type="pct"/>
          </w:tcPr>
          <w:p w14:paraId="0D43ADC6" w14:textId="6FD94380" w:rsidR="00D27334" w:rsidRDefault="00D27334" w:rsidP="005B1F66">
            <w:r>
              <w:t>$24,343</w:t>
            </w:r>
          </w:p>
        </w:tc>
        <w:tc>
          <w:tcPr>
            <w:tcW w:w="1156" w:type="pct"/>
          </w:tcPr>
          <w:p w14:paraId="786E47B0" w14:textId="51F6E5DD" w:rsidR="00D27334" w:rsidRDefault="00D27334" w:rsidP="005B1F66">
            <w:r>
              <w:t>95.45</w:t>
            </w:r>
            <w:r w:rsidR="0032260A">
              <w:t>%</w:t>
            </w:r>
          </w:p>
        </w:tc>
        <w:tc>
          <w:tcPr>
            <w:tcW w:w="1104" w:type="pct"/>
          </w:tcPr>
          <w:p w14:paraId="41B80060" w14:textId="368991F4" w:rsidR="00D27334" w:rsidRDefault="00D27334" w:rsidP="005B1F66">
            <w:r>
              <w:t>June 30, 2025</w:t>
            </w:r>
          </w:p>
        </w:tc>
      </w:tr>
      <w:tr w:rsidR="00D27334" w14:paraId="29689C5D" w14:textId="77777777" w:rsidTr="000C71CF">
        <w:tc>
          <w:tcPr>
            <w:tcW w:w="1922" w:type="pct"/>
          </w:tcPr>
          <w:p w14:paraId="2D86594A" w14:textId="2F58DCF7" w:rsidR="00D27334" w:rsidRDefault="00D27334" w:rsidP="005B1F66">
            <w:r>
              <w:t>Rialto USD</w:t>
            </w:r>
          </w:p>
        </w:tc>
        <w:tc>
          <w:tcPr>
            <w:tcW w:w="818" w:type="pct"/>
          </w:tcPr>
          <w:p w14:paraId="161C2DAC" w14:textId="33B09C74" w:rsidR="00D27334" w:rsidRDefault="00D27334" w:rsidP="005B1F66">
            <w:r>
              <w:t>$500,000</w:t>
            </w:r>
          </w:p>
        </w:tc>
        <w:tc>
          <w:tcPr>
            <w:tcW w:w="1156" w:type="pct"/>
          </w:tcPr>
          <w:p w14:paraId="5210E564" w14:textId="6041F4B6" w:rsidR="00D27334" w:rsidRDefault="00D27334" w:rsidP="005B1F66">
            <w:r>
              <w:t>86.44</w:t>
            </w:r>
            <w:r w:rsidR="0032260A">
              <w:t>%</w:t>
            </w:r>
          </w:p>
        </w:tc>
        <w:tc>
          <w:tcPr>
            <w:tcW w:w="1104" w:type="pct"/>
          </w:tcPr>
          <w:p w14:paraId="5BFD8F20" w14:textId="0453819B" w:rsidR="00D27334" w:rsidRDefault="00D27334" w:rsidP="005B1F66">
            <w:r>
              <w:t>March 30, 2026</w:t>
            </w:r>
          </w:p>
        </w:tc>
      </w:tr>
      <w:tr w:rsidR="00D27334" w14:paraId="06741C3B" w14:textId="77777777" w:rsidTr="000C71CF">
        <w:tc>
          <w:tcPr>
            <w:tcW w:w="1922" w:type="pct"/>
          </w:tcPr>
          <w:p w14:paraId="2B6CD0C5" w14:textId="2F9FF3E8" w:rsidR="00D27334" w:rsidRDefault="00D27334" w:rsidP="005B1F66">
            <w:r>
              <w:t>Santa Clara COE</w:t>
            </w:r>
          </w:p>
        </w:tc>
        <w:tc>
          <w:tcPr>
            <w:tcW w:w="818" w:type="pct"/>
          </w:tcPr>
          <w:p w14:paraId="0891E79E" w14:textId="196ED194" w:rsidR="00D27334" w:rsidRDefault="00D27334" w:rsidP="005B1F66">
            <w:r>
              <w:t>$500,000</w:t>
            </w:r>
          </w:p>
        </w:tc>
        <w:tc>
          <w:tcPr>
            <w:tcW w:w="1156" w:type="pct"/>
          </w:tcPr>
          <w:p w14:paraId="606F47E7" w14:textId="74CB4E94" w:rsidR="00D27334" w:rsidRDefault="00D27334" w:rsidP="005B1F66">
            <w:r>
              <w:t>64.15</w:t>
            </w:r>
            <w:r w:rsidR="0032260A">
              <w:t>%</w:t>
            </w:r>
          </w:p>
        </w:tc>
        <w:tc>
          <w:tcPr>
            <w:tcW w:w="1104" w:type="pct"/>
          </w:tcPr>
          <w:p w14:paraId="5FC7938B" w14:textId="129FB835" w:rsidR="00D27334" w:rsidRDefault="00D27334" w:rsidP="005B1F66">
            <w:r>
              <w:t>March 30, 2026</w:t>
            </w:r>
          </w:p>
        </w:tc>
      </w:tr>
      <w:tr w:rsidR="00D27334" w14:paraId="6C033859" w14:textId="77777777" w:rsidTr="000C71CF">
        <w:tc>
          <w:tcPr>
            <w:tcW w:w="1922" w:type="pct"/>
          </w:tcPr>
          <w:p w14:paraId="5E8236CA" w14:textId="67031259" w:rsidR="00D27334" w:rsidRDefault="00D27334" w:rsidP="005B1F66">
            <w:r>
              <w:t>San Joaquin COE</w:t>
            </w:r>
          </w:p>
        </w:tc>
        <w:tc>
          <w:tcPr>
            <w:tcW w:w="818" w:type="pct"/>
          </w:tcPr>
          <w:p w14:paraId="447CD32D" w14:textId="4B6AE086" w:rsidR="00D27334" w:rsidRDefault="00D27334" w:rsidP="005B1F66">
            <w:r>
              <w:t>$500,000</w:t>
            </w:r>
          </w:p>
        </w:tc>
        <w:tc>
          <w:tcPr>
            <w:tcW w:w="1156" w:type="pct"/>
          </w:tcPr>
          <w:p w14:paraId="03BE3F7E" w14:textId="00E1010B" w:rsidR="00D27334" w:rsidRDefault="00D27334" w:rsidP="005B1F66">
            <w:r>
              <w:t>71.22</w:t>
            </w:r>
            <w:r w:rsidR="0032260A">
              <w:t>%</w:t>
            </w:r>
          </w:p>
        </w:tc>
        <w:tc>
          <w:tcPr>
            <w:tcW w:w="1104" w:type="pct"/>
          </w:tcPr>
          <w:p w14:paraId="08C44121" w14:textId="765C1AF7" w:rsidR="00D27334" w:rsidRDefault="00D27334" w:rsidP="005B1F66">
            <w:r>
              <w:t>June 30, 2025</w:t>
            </w:r>
          </w:p>
        </w:tc>
      </w:tr>
      <w:tr w:rsidR="00D27334" w14:paraId="6CC65841" w14:textId="77777777" w:rsidTr="000C71CF">
        <w:tc>
          <w:tcPr>
            <w:tcW w:w="1922" w:type="pct"/>
          </w:tcPr>
          <w:p w14:paraId="185F1011" w14:textId="10AC2DE2" w:rsidR="00D27334" w:rsidRDefault="00D27334" w:rsidP="005B1F66">
            <w:r>
              <w:t xml:space="preserve">We </w:t>
            </w:r>
            <w:proofErr w:type="gramStart"/>
            <w:r>
              <w:t>the People</w:t>
            </w:r>
            <w:proofErr w:type="gramEnd"/>
            <w:r>
              <w:t xml:space="preserve"> High School</w:t>
            </w:r>
          </w:p>
        </w:tc>
        <w:tc>
          <w:tcPr>
            <w:tcW w:w="818" w:type="pct"/>
          </w:tcPr>
          <w:p w14:paraId="11F81AE5" w14:textId="3E3C27CA" w:rsidR="00D27334" w:rsidRDefault="00D27334" w:rsidP="005B1F66">
            <w:r>
              <w:t>$199,890</w:t>
            </w:r>
          </w:p>
        </w:tc>
        <w:tc>
          <w:tcPr>
            <w:tcW w:w="1156" w:type="pct"/>
          </w:tcPr>
          <w:p w14:paraId="762C77F0" w14:textId="7C3B3343" w:rsidR="00D27334" w:rsidRDefault="00D27334" w:rsidP="005B1F66">
            <w:r>
              <w:t>86.27</w:t>
            </w:r>
            <w:r w:rsidR="0032260A">
              <w:t>%</w:t>
            </w:r>
          </w:p>
        </w:tc>
        <w:tc>
          <w:tcPr>
            <w:tcW w:w="1104" w:type="pct"/>
          </w:tcPr>
          <w:p w14:paraId="259C005B" w14:textId="5BA806C8" w:rsidR="00D27334" w:rsidRDefault="00A801F2" w:rsidP="005B1F66">
            <w:r>
              <w:t>June 30, 2025</w:t>
            </w:r>
          </w:p>
        </w:tc>
      </w:tr>
    </w:tbl>
    <w:p w14:paraId="19F93040" w14:textId="3D59DAA2" w:rsidR="00517F86" w:rsidRPr="00517F86" w:rsidRDefault="00593B4C" w:rsidP="00ED5B14">
      <w:pPr>
        <w:pStyle w:val="Heading3"/>
      </w:pPr>
      <w:bookmarkStart w:id="29" w:name="_Toc221186051"/>
      <w:r>
        <w:t>Cohort 1 Reporting Summaries</w:t>
      </w:r>
      <w:bookmarkEnd w:id="29"/>
    </w:p>
    <w:p w14:paraId="2CE0E7BA" w14:textId="77777777" w:rsidR="00FC6E4B" w:rsidRPr="00593B4C" w:rsidRDefault="00FC6E4B" w:rsidP="00ED5B14">
      <w:pPr>
        <w:pStyle w:val="Heading4"/>
      </w:pPr>
      <w:bookmarkStart w:id="30" w:name="_Toc221186052"/>
      <w:r w:rsidRPr="00593B4C">
        <w:t>Antioch Unified School District</w:t>
      </w:r>
      <w:bookmarkEnd w:id="30"/>
    </w:p>
    <w:p w14:paraId="243D514C" w14:textId="33C75719" w:rsidR="00AA3D32" w:rsidRDefault="00FC6E4B" w:rsidP="00AA3D32">
      <w:pPr>
        <w:spacing w:after="240"/>
      </w:pPr>
      <w:r w:rsidRPr="00AA3D32">
        <w:t>Antioch USD implemented a districtwide</w:t>
      </w:r>
      <w:r w:rsidR="000D308F" w:rsidRPr="00AA3D32">
        <w:t xml:space="preserve"> program with a focus on integrating </w:t>
      </w:r>
      <w:r w:rsidR="001123A1">
        <w:t>service-learning</w:t>
      </w:r>
      <w:r w:rsidR="000D308F" w:rsidRPr="00AA3D32">
        <w:t xml:space="preserve"> into </w:t>
      </w:r>
      <w:r w:rsidR="00AC2A70">
        <w:t>H</w:t>
      </w:r>
      <w:r w:rsidR="000D308F" w:rsidRPr="00AA3D32">
        <w:t>istory–</w:t>
      </w:r>
      <w:r w:rsidR="00AC2A70">
        <w:t>S</w:t>
      </w:r>
      <w:r w:rsidR="000D308F" w:rsidRPr="00AA3D32">
        <w:t xml:space="preserve">ocial </w:t>
      </w:r>
      <w:r w:rsidR="00AC2A70">
        <w:t>S</w:t>
      </w:r>
      <w:r w:rsidR="000D308F" w:rsidRPr="00AA3D32">
        <w:t>cience</w:t>
      </w:r>
      <w:r w:rsidR="00AA3D32" w:rsidRPr="00AA3D32">
        <w:t xml:space="preserve"> (HSS)</w:t>
      </w:r>
      <w:r w:rsidR="000D308F" w:rsidRPr="00AA3D32">
        <w:t xml:space="preserve"> and English </w:t>
      </w:r>
      <w:r w:rsidR="00AA3D32" w:rsidRPr="00AA3D32">
        <w:t>Language Arts (ELA)</w:t>
      </w:r>
      <w:r w:rsidR="000D308F" w:rsidRPr="00AA3D32">
        <w:t xml:space="preserve"> courses at all comprehensive high schools</w:t>
      </w:r>
      <w:r w:rsidR="00AA3D32" w:rsidRPr="00AA3D32">
        <w:t>, including Dozier Libbey Medical High School, Deer Valley High School, and Antioch High School</w:t>
      </w:r>
      <w:r w:rsidR="000D308F" w:rsidRPr="00AA3D32">
        <w:t xml:space="preserve">. </w:t>
      </w:r>
    </w:p>
    <w:p w14:paraId="68FD0846" w14:textId="63530264" w:rsidR="004A080A" w:rsidRDefault="000D308F" w:rsidP="00AA3D32">
      <w:pPr>
        <w:spacing w:after="240"/>
      </w:pPr>
      <w:r w:rsidRPr="00AA3D32">
        <w:t xml:space="preserve">Early projects centered on community infrastructure and environmental </w:t>
      </w:r>
      <w:proofErr w:type="gramStart"/>
      <w:r w:rsidRPr="00AA3D32">
        <w:t xml:space="preserve">health </w:t>
      </w:r>
      <w:r w:rsidR="00AC2A70">
        <w:t xml:space="preserve"> and</w:t>
      </w:r>
      <w:proofErr w:type="gramEnd"/>
      <w:r w:rsidR="00AC2A70">
        <w:t xml:space="preserve"> included </w:t>
      </w:r>
      <w:r w:rsidRPr="00AA3D32">
        <w:t>student</w:t>
      </w:r>
      <w:r w:rsidRPr="00AA3D32">
        <w:noBreakHyphen/>
        <w:t xml:space="preserve">led research on local park maintenance and water system reliability. Students partnered with the City of Antioch’s </w:t>
      </w:r>
      <w:r w:rsidR="00AC2A70">
        <w:t>P</w:t>
      </w:r>
      <w:r w:rsidRPr="00AA3D32">
        <w:t xml:space="preserve">ublic </w:t>
      </w:r>
      <w:r w:rsidR="00AC2A70">
        <w:t>W</w:t>
      </w:r>
      <w:r w:rsidRPr="00AA3D32">
        <w:t xml:space="preserve">orks </w:t>
      </w:r>
      <w:r w:rsidR="00AC2A70">
        <w:t>D</w:t>
      </w:r>
      <w:r w:rsidRPr="00AA3D32">
        <w:t xml:space="preserve">epartment to conduct site assessments and present improvement proposals during </w:t>
      </w:r>
      <w:r w:rsidR="00AC2A70">
        <w:t>C</w:t>
      </w:r>
      <w:r w:rsidRPr="00AA3D32">
        <w:t xml:space="preserve">ity </w:t>
      </w:r>
      <w:r w:rsidR="00AC2A70">
        <w:t>C</w:t>
      </w:r>
      <w:r w:rsidRPr="00AA3D32">
        <w:t>ouncil meetings.</w:t>
      </w:r>
      <w:r w:rsidR="004A080A">
        <w:t xml:space="preserve"> </w:t>
      </w:r>
      <w:r w:rsidRPr="00AA3D32">
        <w:t>The program also incorporated student voice in project planning</w:t>
      </w:r>
      <w:r w:rsidR="00AC2A70">
        <w:t>;</w:t>
      </w:r>
      <w:r w:rsidRPr="00AA3D32">
        <w:t xml:space="preserve"> a youth civic advisory team </w:t>
      </w:r>
      <w:r w:rsidR="00AC2A70" w:rsidRPr="00AA3D32">
        <w:t>help</w:t>
      </w:r>
      <w:r w:rsidR="00AC2A70">
        <w:t>ed</w:t>
      </w:r>
      <w:r w:rsidR="00AC2A70" w:rsidRPr="00AA3D32">
        <w:t xml:space="preserve"> </w:t>
      </w:r>
      <w:r w:rsidRPr="00AA3D32">
        <w:t xml:space="preserve">shape service-learning priorities for the year. </w:t>
      </w:r>
      <w:r w:rsidR="00291171">
        <w:t>Students produced reflective essays on their learning and</w:t>
      </w:r>
      <w:r w:rsidR="00AC2A70">
        <w:t xml:space="preserve"> the</w:t>
      </w:r>
      <w:r w:rsidR="00291171">
        <w:t xml:space="preserve"> impact of their projects. </w:t>
      </w:r>
    </w:p>
    <w:p w14:paraId="2A43BED1" w14:textId="212CC5ED" w:rsidR="004A080A" w:rsidRDefault="000E5801" w:rsidP="00AA3D32">
      <w:pPr>
        <w:spacing w:after="240"/>
      </w:pPr>
      <w:r>
        <w:t xml:space="preserve">Twelve educators </w:t>
      </w:r>
      <w:r w:rsidR="00D17C68">
        <w:t>were able to use planning time to develop and share service-learning curriculum</w:t>
      </w:r>
      <w:r w:rsidR="00AC2A70">
        <w:t>, and</w:t>
      </w:r>
      <w:r w:rsidR="003E0801">
        <w:t xml:space="preserve"> several staff members </w:t>
      </w:r>
      <w:r w:rsidR="00637A72">
        <w:t>also attend</w:t>
      </w:r>
      <w:r w:rsidR="00AC2A70">
        <w:t>ed</w:t>
      </w:r>
      <w:r w:rsidR="00637A72">
        <w:t xml:space="preserve"> a national service-learning conference during which they developed local service-learning projects and rubrics. </w:t>
      </w:r>
      <w:r w:rsidR="00246EFB">
        <w:t xml:space="preserve">Staff also used grant funds to purchase </w:t>
      </w:r>
      <w:r w:rsidR="00515386">
        <w:t>supplies and instructional materials</w:t>
      </w:r>
      <w:r w:rsidR="00AC2A70">
        <w:t>, including student laptops and interactive boards,</w:t>
      </w:r>
      <w:r w:rsidR="00515386">
        <w:t xml:space="preserve"> to integrate </w:t>
      </w:r>
      <w:r w:rsidR="001123A1">
        <w:t>service-learning</w:t>
      </w:r>
      <w:r w:rsidR="00515386">
        <w:t xml:space="preserve"> into instruction. </w:t>
      </w:r>
      <w:r w:rsidR="00755A1D">
        <w:t xml:space="preserve">A new SSCE website provides a districtwide rubric and application process, </w:t>
      </w:r>
      <w:r w:rsidR="00AC2A70">
        <w:t xml:space="preserve">which </w:t>
      </w:r>
      <w:r w:rsidR="00755A1D">
        <w:lastRenderedPageBreak/>
        <w:t>streamlin</w:t>
      </w:r>
      <w:r w:rsidR="00AC2A70">
        <w:t>es</w:t>
      </w:r>
      <w:r w:rsidR="00755A1D">
        <w:t xml:space="preserve"> the SSCE process. </w:t>
      </w:r>
      <w:r w:rsidR="002F38C4">
        <w:t>The district also reported a U.S. History course pass rate of 76.55 percent and site-level attendance rates ranging from 89.72 percent</w:t>
      </w:r>
      <w:r w:rsidR="00AC2A70">
        <w:t xml:space="preserve"> to </w:t>
      </w:r>
      <w:r w:rsidR="00274E84">
        <w:t xml:space="preserve">94.52 percent. </w:t>
      </w:r>
    </w:p>
    <w:p w14:paraId="163A9CCA" w14:textId="75EFD84E" w:rsidR="000B1983" w:rsidRDefault="00274E84" w:rsidP="00AA3D32">
      <w:pPr>
        <w:spacing w:after="240"/>
      </w:pPr>
      <w:r>
        <w:t xml:space="preserve">While reports did not provide demographic breakdowns of participants, </w:t>
      </w:r>
      <w:r w:rsidR="000D308F" w:rsidRPr="00AA3D32">
        <w:t>Antioch USD reported strong engagement from schools serving predominantly low</w:t>
      </w:r>
      <w:r w:rsidR="000D308F" w:rsidRPr="00AA3D32">
        <w:noBreakHyphen/>
        <w:t xml:space="preserve">income and English </w:t>
      </w:r>
      <w:r w:rsidR="00AC2A70">
        <w:t>L</w:t>
      </w:r>
      <w:r w:rsidR="000D308F" w:rsidRPr="00AA3D32">
        <w:t xml:space="preserve">earner populations. </w:t>
      </w:r>
    </w:p>
    <w:p w14:paraId="23E795F3" w14:textId="77777777" w:rsidR="00FC6E4B" w:rsidRPr="00593B4C" w:rsidRDefault="00FC6E4B" w:rsidP="00ED5B14">
      <w:pPr>
        <w:pStyle w:val="Heading4"/>
      </w:pPr>
      <w:bookmarkStart w:id="31" w:name="_Toc221186053"/>
      <w:r w:rsidRPr="00593B4C">
        <w:t>Fresno County Superintendent of Schools</w:t>
      </w:r>
      <w:bookmarkEnd w:id="31"/>
    </w:p>
    <w:p w14:paraId="53C2BE0D" w14:textId="5CE53E0F" w:rsidR="00B92F50" w:rsidRDefault="000D308F" w:rsidP="00291171">
      <w:pPr>
        <w:spacing w:after="240"/>
      </w:pPr>
      <w:r w:rsidRPr="00291171">
        <w:t>Fresno COE coordinated a broad network of participating districts to implement service</w:t>
      </w:r>
      <w:r w:rsidRPr="00291171">
        <w:noBreakHyphen/>
        <w:t>learning projects addressing public health, digital equity, and environmental stewardship. High school students collaborated with county health departments to design bilingual outreach campaigns on preventative health care and mental wellness and with community organizations to create digital literacy workshops for residents lacking reliable internet access.</w:t>
      </w:r>
      <w:r w:rsidR="00B92F50">
        <w:t xml:space="preserve"> </w:t>
      </w:r>
      <w:r w:rsidRPr="00291171">
        <w:t xml:space="preserve">Service-learning was embedded in both </w:t>
      </w:r>
      <w:r w:rsidR="00F13DD7">
        <w:t>CTE</w:t>
      </w:r>
      <w:r w:rsidRPr="00291171">
        <w:t xml:space="preserve"> and science courses</w:t>
      </w:r>
      <w:r w:rsidR="001410A3">
        <w:t xml:space="preserve"> to ensure</w:t>
      </w:r>
      <w:r w:rsidRPr="00291171">
        <w:t xml:space="preserve"> alignment with </w:t>
      </w:r>
      <w:r w:rsidR="00F76D0C">
        <w:t>criterion</w:t>
      </w:r>
      <w:r w:rsidRPr="00291171">
        <w:t xml:space="preserve"> (academic work) while fostering real</w:t>
      </w:r>
      <w:r w:rsidRPr="00291171">
        <w:noBreakHyphen/>
        <w:t xml:space="preserve">world skills. </w:t>
      </w:r>
    </w:p>
    <w:p w14:paraId="650FFF1C" w14:textId="425F3AC1" w:rsidR="00FC6E4B" w:rsidRPr="00291171" w:rsidRDefault="000D308F" w:rsidP="00291171">
      <w:pPr>
        <w:spacing w:after="240"/>
      </w:pPr>
      <w:r w:rsidRPr="00291171">
        <w:t xml:space="preserve">The county </w:t>
      </w:r>
      <w:r w:rsidR="00F4421B">
        <w:t xml:space="preserve">provided </w:t>
      </w:r>
      <w:r w:rsidR="008808C8">
        <w:t>PD</w:t>
      </w:r>
      <w:r w:rsidRPr="00291171">
        <w:t xml:space="preserve"> for teachers in integrating service</w:t>
      </w:r>
      <w:r w:rsidRPr="00291171">
        <w:noBreakHyphen/>
        <w:t>learning pedagogy into existing curricula. Early anecdotal reports indicated high enthusiasm from rural districts</w:t>
      </w:r>
      <w:r w:rsidR="007F08F5">
        <w:t>.</w:t>
      </w:r>
    </w:p>
    <w:p w14:paraId="31BAD1A1" w14:textId="77777777" w:rsidR="00FC6E4B" w:rsidRPr="00593B4C" w:rsidRDefault="00FC6E4B" w:rsidP="00ED5B14">
      <w:pPr>
        <w:pStyle w:val="Heading4"/>
      </w:pPr>
      <w:bookmarkStart w:id="32" w:name="_Toc221186054"/>
      <w:r w:rsidRPr="00593B4C">
        <w:t>Glenn County Office of Education</w:t>
      </w:r>
      <w:bookmarkEnd w:id="32"/>
    </w:p>
    <w:p w14:paraId="014F5E57" w14:textId="618A9A7E" w:rsidR="003130B0" w:rsidRDefault="000D308F" w:rsidP="00593B4C">
      <w:pPr>
        <w:spacing w:after="240"/>
      </w:pPr>
      <w:r w:rsidRPr="00593B4C">
        <w:t xml:space="preserve">Glenn COE used its California Serves </w:t>
      </w:r>
      <w:r w:rsidR="001410A3">
        <w:t>G</w:t>
      </w:r>
      <w:r w:rsidRPr="00593B4C">
        <w:t>rant to expand service</w:t>
      </w:r>
      <w:r w:rsidRPr="00593B4C">
        <w:noBreakHyphen/>
        <w:t>learning opportunities focused on agricultural sustainability and rural civic engagement. Students partnered with local government planning departments and agricultural extension services to research soil conservation practices, design educational workshops for local farmers, and advocate for sustainable water usage policies.</w:t>
      </w:r>
    </w:p>
    <w:p w14:paraId="3CC425BD" w14:textId="1D55B3D5" w:rsidR="00E80D84" w:rsidRPr="00593B4C" w:rsidRDefault="000D308F" w:rsidP="00593B4C">
      <w:pPr>
        <w:spacing w:after="240"/>
      </w:pPr>
      <w:r w:rsidRPr="00593B4C">
        <w:t xml:space="preserve">Given Glenn </w:t>
      </w:r>
      <w:r w:rsidR="00A617E0">
        <w:t>COE’s</w:t>
      </w:r>
      <w:r w:rsidRPr="00593B4C">
        <w:t xml:space="preserve"> rural geography, </w:t>
      </w:r>
      <w:r w:rsidR="006E6D72">
        <w:t xml:space="preserve">grant funds supported </w:t>
      </w:r>
      <w:r w:rsidR="00A617E0">
        <w:t>m</w:t>
      </w:r>
      <w:r w:rsidRPr="00593B4C">
        <w:t>obile service</w:t>
      </w:r>
      <w:r w:rsidRPr="00593B4C">
        <w:noBreakHyphen/>
        <w:t>learning project teams</w:t>
      </w:r>
      <w:r w:rsidR="006E2A71">
        <w:t xml:space="preserve"> that</w:t>
      </w:r>
      <w:r w:rsidRPr="00593B4C">
        <w:t xml:space="preserve"> traveled to small school sites to deliver hands</w:t>
      </w:r>
      <w:r w:rsidRPr="00593B4C">
        <w:noBreakHyphen/>
        <w:t>on civic engagement experiences. The COE also began developing a student leadership program to train project facilitators for peer</w:t>
      </w:r>
      <w:r w:rsidRPr="00593B4C">
        <w:noBreakHyphen/>
        <w:t>to</w:t>
      </w:r>
      <w:r w:rsidRPr="00593B4C">
        <w:noBreakHyphen/>
        <w:t>peer instruction.</w:t>
      </w:r>
    </w:p>
    <w:p w14:paraId="2893A376" w14:textId="77777777" w:rsidR="000D308F" w:rsidRPr="00593B4C" w:rsidRDefault="000D308F" w:rsidP="00ED5B14">
      <w:pPr>
        <w:pStyle w:val="Heading4"/>
      </w:pPr>
      <w:bookmarkStart w:id="33" w:name="_Toc221186055"/>
      <w:r w:rsidRPr="00593B4C">
        <w:t>Hacienda La Puente Unified School District</w:t>
      </w:r>
      <w:bookmarkEnd w:id="33"/>
    </w:p>
    <w:p w14:paraId="7AA3E54E" w14:textId="793E1B11" w:rsidR="003130B0" w:rsidRDefault="00B02CBD" w:rsidP="00593B4C">
      <w:pPr>
        <w:spacing w:after="240"/>
      </w:pPr>
      <w:r w:rsidRPr="00593B4C">
        <w:t>Hacienda La Puente USD implemented a multi</w:t>
      </w:r>
      <w:r w:rsidRPr="00593B4C">
        <w:noBreakHyphen/>
        <w:t>school service</w:t>
      </w:r>
      <w:r w:rsidRPr="00593B4C">
        <w:noBreakHyphen/>
        <w:t xml:space="preserve">learning initiative aimed at fostering civic engagement through multilingual community projects and public art installations that reflected civic themes. Students partnered with local government and nonprofit organizations to design murals addressing topics such as environmental justice and cultural diversity. The LEA embedded service-learning projects into </w:t>
      </w:r>
      <w:r w:rsidR="00A666D9">
        <w:t>HSS</w:t>
      </w:r>
      <w:r w:rsidRPr="00593B4C">
        <w:t xml:space="preserve"> classes</w:t>
      </w:r>
      <w:r w:rsidR="00591D8A">
        <w:t xml:space="preserve"> and required</w:t>
      </w:r>
      <w:r w:rsidRPr="00593B4C">
        <w:t xml:space="preserve"> students to research the civic issue depicted in their art and present their work to community stakeholders.</w:t>
      </w:r>
    </w:p>
    <w:p w14:paraId="786DC09B" w14:textId="480D8C75" w:rsidR="000D308F" w:rsidRPr="00593B4C" w:rsidRDefault="00B02CBD" w:rsidP="00593B4C">
      <w:pPr>
        <w:spacing w:after="240"/>
      </w:pPr>
      <w:r w:rsidRPr="00593B4C">
        <w:lastRenderedPageBreak/>
        <w:t>A strong emphasis was placed on student reflection with written journals and oral presentations</w:t>
      </w:r>
      <w:r w:rsidR="00024737">
        <w:t>. The</w:t>
      </w:r>
      <w:r w:rsidRPr="00593B4C">
        <w:t xml:space="preserve"> program also facilitated public forums in multiple languages</w:t>
      </w:r>
      <w:r w:rsidR="00591D8A">
        <w:t xml:space="preserve"> to</w:t>
      </w:r>
      <w:r w:rsidRPr="00593B4C">
        <w:t xml:space="preserve"> expand access for families and community members from diverse backgrounds. </w:t>
      </w:r>
    </w:p>
    <w:p w14:paraId="2582E888" w14:textId="77777777" w:rsidR="000D308F" w:rsidRPr="00593B4C" w:rsidRDefault="000D308F" w:rsidP="00ED5B14">
      <w:pPr>
        <w:pStyle w:val="Heading4"/>
      </w:pPr>
      <w:bookmarkStart w:id="34" w:name="_Toc221186056"/>
      <w:r w:rsidRPr="00593B4C">
        <w:t>Health Sciences High and Middle College</w:t>
      </w:r>
      <w:bookmarkEnd w:id="34"/>
    </w:p>
    <w:p w14:paraId="77867CAB" w14:textId="3D761261" w:rsidR="00AA5F37" w:rsidRDefault="005472C1" w:rsidP="00593B4C">
      <w:pPr>
        <w:spacing w:after="240"/>
      </w:pPr>
      <w:r w:rsidRPr="00593B4C">
        <w:t xml:space="preserve">Health Sciences High and Middle College centered its program on </w:t>
      </w:r>
      <w:r w:rsidR="001123A1">
        <w:t>service-learning</w:t>
      </w:r>
      <w:r w:rsidRPr="00593B4C">
        <w:t xml:space="preserve"> related to public health policy and mental health awareness. Students conducted needs assessments in their local community, created informational brochures, and developed advocacy campaigns to improve access to mental health services. The LEA integrated these projects into science and </w:t>
      </w:r>
      <w:r w:rsidR="006C27EC">
        <w:t>HSS cour</w:t>
      </w:r>
      <w:r w:rsidRPr="00593B4C">
        <w:t>ses.</w:t>
      </w:r>
    </w:p>
    <w:p w14:paraId="5A26B162" w14:textId="7F71FED8" w:rsidR="000D308F" w:rsidRPr="00593B4C" w:rsidRDefault="005472C1" w:rsidP="00593B4C">
      <w:pPr>
        <w:spacing w:after="240"/>
      </w:pPr>
      <w:r w:rsidRPr="00593B4C">
        <w:t xml:space="preserve">Reflective components included multimedia storytelling where students recorded video diaries detailing their civic growth and understanding of public health systems. Partnerships with local clinics and health advocacy groups ensured real-world application of student work. </w:t>
      </w:r>
    </w:p>
    <w:p w14:paraId="196FF04B" w14:textId="77777777" w:rsidR="000D308F" w:rsidRPr="00593B4C" w:rsidRDefault="000D308F" w:rsidP="00ED5B14">
      <w:pPr>
        <w:pStyle w:val="Heading4"/>
      </w:pPr>
      <w:bookmarkStart w:id="35" w:name="_Toc221186057"/>
      <w:r w:rsidRPr="00593B4C">
        <w:t>John Muir Charter School</w:t>
      </w:r>
      <w:bookmarkEnd w:id="35"/>
    </w:p>
    <w:p w14:paraId="5816504B" w14:textId="46CAB181" w:rsidR="00915E0E" w:rsidRDefault="005472C1" w:rsidP="00593B4C">
      <w:pPr>
        <w:spacing w:after="240"/>
      </w:pPr>
      <w:r w:rsidRPr="00593B4C">
        <w:t>John Muir Charter School designed a flexible, site-based service-learning model to accommodate its widely dispersed student population. Students engaged in local government observation, attend</w:t>
      </w:r>
      <w:r w:rsidR="009E713A">
        <w:t>ed</w:t>
      </w:r>
      <w:r w:rsidRPr="00593B4C">
        <w:t xml:space="preserve"> city council and school board meetings, and developed civic education outreach materials for their peers. The curriculum emphasized </w:t>
      </w:r>
      <w:r w:rsidR="00DF614E">
        <w:t>content related to the U.S. Constitution, history, and governmental structures</w:t>
      </w:r>
      <w:r w:rsidR="00024737">
        <w:t xml:space="preserve">, </w:t>
      </w:r>
      <w:r w:rsidR="009E713A">
        <w:t>and</w:t>
      </w:r>
      <w:r w:rsidR="009E713A" w:rsidRPr="00593B4C">
        <w:t xml:space="preserve"> </w:t>
      </w:r>
      <w:r w:rsidRPr="00593B4C">
        <w:t>students produc</w:t>
      </w:r>
      <w:r w:rsidR="009E713A">
        <w:t>ed</w:t>
      </w:r>
      <w:r w:rsidRPr="00593B4C">
        <w:t xml:space="preserve"> reports summarizing governmental processes and decision-making.</w:t>
      </w:r>
    </w:p>
    <w:p w14:paraId="6BD8DFF9" w14:textId="6B132B81" w:rsidR="005472C1" w:rsidRPr="00593B4C" w:rsidRDefault="005472C1" w:rsidP="00593B4C">
      <w:pPr>
        <w:spacing w:after="240"/>
      </w:pPr>
      <w:r w:rsidRPr="00593B4C">
        <w:t xml:space="preserve">Service-learning activities were often tied to workforce readiness, such as creating informational materials for community agencies and presenting them during public events. The LEA noted that transportation and scheduling flexibility were key strategies for ensuring rural access. </w:t>
      </w:r>
    </w:p>
    <w:p w14:paraId="01A19083" w14:textId="19304522" w:rsidR="000D308F" w:rsidRPr="00593B4C" w:rsidRDefault="000D308F" w:rsidP="00ED5B14">
      <w:pPr>
        <w:pStyle w:val="Heading4"/>
      </w:pPr>
      <w:bookmarkStart w:id="36" w:name="_Toc221186058"/>
      <w:r w:rsidRPr="00593B4C">
        <w:t>Kern County Superintendent of Schools</w:t>
      </w:r>
      <w:bookmarkEnd w:id="36"/>
    </w:p>
    <w:p w14:paraId="4055BB32" w14:textId="69087C00" w:rsidR="003130B0" w:rsidRDefault="005472C1" w:rsidP="00593B4C">
      <w:pPr>
        <w:spacing w:after="240"/>
      </w:pPr>
      <w:r w:rsidRPr="00593B4C">
        <w:t>Kern COE coordinated a countywide service-learning initiative focused on drought education and water conservation. Students partnered with local water agencies to create bilingual educational campaigns</w:t>
      </w:r>
      <w:r w:rsidR="009E713A">
        <w:t xml:space="preserve"> that include</w:t>
      </w:r>
      <w:r w:rsidRPr="00593B4C">
        <w:t xml:space="preserve"> printed materials, classroom presentations for younger students, and social media outreach. These activities were integrated into both science and </w:t>
      </w:r>
      <w:r w:rsidR="001A51FD">
        <w:t>HSS</w:t>
      </w:r>
      <w:r w:rsidRPr="00593B4C">
        <w:t xml:space="preserve"> classes</w:t>
      </w:r>
      <w:r w:rsidR="00AD2BC2">
        <w:t>.</w:t>
      </w:r>
    </w:p>
    <w:p w14:paraId="3868D951" w14:textId="19A8D264" w:rsidR="000D308F" w:rsidRPr="00593B4C" w:rsidRDefault="005472C1" w:rsidP="00593B4C">
      <w:pPr>
        <w:spacing w:after="240"/>
      </w:pPr>
      <w:r w:rsidRPr="00593B4C">
        <w:t xml:space="preserve">The program also included student-led town hall meetings where participants presented conservation proposals to community leaders. Rural access was supported through mobile workshop teams that traveled to remote schools within the county. </w:t>
      </w:r>
    </w:p>
    <w:p w14:paraId="2965DD95" w14:textId="77777777" w:rsidR="000D308F" w:rsidRPr="00593B4C" w:rsidRDefault="000D308F" w:rsidP="00ED5B14">
      <w:pPr>
        <w:pStyle w:val="Heading4"/>
      </w:pPr>
      <w:bookmarkStart w:id="37" w:name="_Toc221186059"/>
      <w:r w:rsidRPr="00593B4C">
        <w:lastRenderedPageBreak/>
        <w:t>New Village Girls Academy</w:t>
      </w:r>
      <w:bookmarkEnd w:id="37"/>
    </w:p>
    <w:p w14:paraId="0611DB1C" w14:textId="0ACE31C0" w:rsidR="003130B0" w:rsidRDefault="005472C1" w:rsidP="00593B4C">
      <w:pPr>
        <w:spacing w:after="240"/>
      </w:pPr>
      <w:r w:rsidRPr="00593B4C">
        <w:t xml:space="preserve">New Village Girls Academy implemented service-learning projects focused on restorative justice and community wellness. Students engaged in peer mediation training, partnered with local community centers to host wellness fairs, and developed public awareness campaigns addressing domestic violence prevention. These projects were embedded into advisory and </w:t>
      </w:r>
      <w:r w:rsidR="00AD2BC2">
        <w:t xml:space="preserve">HSS curricula. </w:t>
      </w:r>
    </w:p>
    <w:p w14:paraId="217EC58C" w14:textId="322D2502" w:rsidR="000D308F" w:rsidRPr="00593B4C" w:rsidRDefault="005472C1" w:rsidP="00593B4C">
      <w:pPr>
        <w:spacing w:after="240"/>
      </w:pPr>
      <w:r w:rsidRPr="00593B4C">
        <w:t xml:space="preserve">Reflection activities included student-led group discussions and portfolio reviews highlighting personal growth in civic engagement. The small school size allowed for highly individualized mentorship and project design. </w:t>
      </w:r>
    </w:p>
    <w:p w14:paraId="176D5CEF" w14:textId="77777777" w:rsidR="000D308F" w:rsidRPr="00593B4C" w:rsidRDefault="000D308F" w:rsidP="00ED5B14">
      <w:pPr>
        <w:pStyle w:val="Heading4"/>
      </w:pPr>
      <w:bookmarkStart w:id="38" w:name="_Toc221186060"/>
      <w:r w:rsidRPr="00593B4C">
        <w:t>Rialto Unified School District</w:t>
      </w:r>
      <w:bookmarkEnd w:id="38"/>
    </w:p>
    <w:p w14:paraId="4B38B384" w14:textId="5FDE07FF" w:rsidR="003130B0" w:rsidRDefault="005472C1" w:rsidP="00593B4C">
      <w:pPr>
        <w:spacing w:after="240"/>
      </w:pPr>
      <w:r w:rsidRPr="00593B4C">
        <w:t xml:space="preserve">Rialto USD’s program centered on </w:t>
      </w:r>
      <w:r w:rsidR="001123A1">
        <w:t>service-learning</w:t>
      </w:r>
      <w:r w:rsidRPr="00593B4C">
        <w:t xml:space="preserve"> related to safe transportation and pedestrian safety. Students conducted traffic pattern studies around schools, presented their findings to city traffic engineers, and collaborated on design proposals for safer crosswalks and bike lanes. </w:t>
      </w:r>
    </w:p>
    <w:p w14:paraId="5F16A630" w14:textId="7CB80FE6" w:rsidR="005472C1" w:rsidRPr="00593B4C" w:rsidRDefault="005472C1" w:rsidP="00593B4C">
      <w:pPr>
        <w:spacing w:after="240"/>
      </w:pPr>
      <w:r w:rsidRPr="00593B4C">
        <w:t xml:space="preserve">The district integrated its </w:t>
      </w:r>
      <w:r w:rsidR="001123A1">
        <w:t>service-learning</w:t>
      </w:r>
      <w:r w:rsidRPr="00593B4C">
        <w:t xml:space="preserve"> into mathematics, science, and </w:t>
      </w:r>
      <w:r w:rsidR="00E97C45">
        <w:t>HSS courses</w:t>
      </w:r>
      <w:r w:rsidR="009E713A">
        <w:t xml:space="preserve"> to ensure</w:t>
      </w:r>
      <w:r w:rsidRPr="00593B4C">
        <w:t xml:space="preserve"> students applied academic skills to real-world civic problems. Public presentations were delivered in both English and Spanish to engage a broader community audience. </w:t>
      </w:r>
    </w:p>
    <w:p w14:paraId="700642A1" w14:textId="77777777" w:rsidR="005472C1" w:rsidRPr="00593B4C" w:rsidRDefault="005472C1" w:rsidP="00ED5B14">
      <w:pPr>
        <w:pStyle w:val="Heading4"/>
      </w:pPr>
      <w:bookmarkStart w:id="39" w:name="_Toc221186061"/>
      <w:r w:rsidRPr="00593B4C">
        <w:t>Santa Clara County Office of Education</w:t>
      </w:r>
      <w:bookmarkEnd w:id="39"/>
    </w:p>
    <w:p w14:paraId="4987DB26" w14:textId="550A25F6" w:rsidR="003130B0" w:rsidRDefault="005472C1" w:rsidP="00593B4C">
      <w:pPr>
        <w:spacing w:after="240"/>
      </w:pPr>
      <w:r w:rsidRPr="00593B4C">
        <w:t>Santa Clara COE implemented a regional service-learning framework focused on youth mental health policy and advocacy</w:t>
      </w:r>
      <w:r w:rsidR="00995FEC">
        <w:t xml:space="preserve"> for its Opportunity Youth Academy students</w:t>
      </w:r>
      <w:r w:rsidRPr="00593B4C">
        <w:t xml:space="preserve">. Students </w:t>
      </w:r>
      <w:proofErr w:type="gramStart"/>
      <w:r w:rsidRPr="00593B4C">
        <w:t>served on</w:t>
      </w:r>
      <w:proofErr w:type="gramEnd"/>
      <w:r w:rsidRPr="00593B4C">
        <w:t xml:space="preserve"> youth advisory panels, collaborated with mental health professionals, and developed policy recommendations that were presented to the county board of education. SSCE </w:t>
      </w:r>
      <w:r w:rsidR="00B8715F">
        <w:t>criteria</w:t>
      </w:r>
      <w:r w:rsidR="00E97C45">
        <w:t xml:space="preserve"> </w:t>
      </w:r>
      <w:r w:rsidRPr="00593B4C">
        <w:t xml:space="preserve">were </w:t>
      </w:r>
      <w:r w:rsidR="00345213">
        <w:t xml:space="preserve">directly </w:t>
      </w:r>
      <w:r w:rsidRPr="00593B4C">
        <w:t>embedded into the program design.</w:t>
      </w:r>
    </w:p>
    <w:p w14:paraId="3B370ACE" w14:textId="6EEB6CE7" w:rsidR="005472C1" w:rsidRPr="00593B4C" w:rsidRDefault="005472C1" w:rsidP="00593B4C">
      <w:pPr>
        <w:spacing w:after="240"/>
      </w:pPr>
      <w:r w:rsidRPr="00593B4C">
        <w:t>Service</w:t>
      </w:r>
      <w:r w:rsidR="001123A1">
        <w:t>-</w:t>
      </w:r>
      <w:r w:rsidRPr="00593B4C">
        <w:t xml:space="preserve">learning was integrated into health, </w:t>
      </w:r>
      <w:r w:rsidR="0038667E">
        <w:t>HSS</w:t>
      </w:r>
      <w:r w:rsidRPr="00593B4C">
        <w:t xml:space="preserve">, and English courses, </w:t>
      </w:r>
      <w:r w:rsidR="009E713A">
        <w:t>and</w:t>
      </w:r>
      <w:r w:rsidR="009E713A" w:rsidRPr="00593B4C">
        <w:t xml:space="preserve"> </w:t>
      </w:r>
      <w:r w:rsidRPr="00593B4C">
        <w:t>students produc</w:t>
      </w:r>
      <w:r w:rsidR="009E713A">
        <w:t>ed</w:t>
      </w:r>
      <w:r w:rsidRPr="00593B4C">
        <w:t xml:space="preserve"> reflective essays and presentations for both school and community audiences. The program also emphasized outreach to high</w:t>
      </w:r>
      <w:r w:rsidRPr="00593B4C">
        <w:noBreakHyphen/>
        <w:t xml:space="preserve">needs schools in the region. </w:t>
      </w:r>
    </w:p>
    <w:p w14:paraId="49A66577" w14:textId="77777777" w:rsidR="005472C1" w:rsidRPr="00593B4C" w:rsidRDefault="005472C1" w:rsidP="00ED5B14">
      <w:pPr>
        <w:pStyle w:val="Heading4"/>
      </w:pPr>
      <w:bookmarkStart w:id="40" w:name="_Toc221186062"/>
      <w:r w:rsidRPr="00593B4C">
        <w:t>San Joaquin County Office of Education</w:t>
      </w:r>
      <w:bookmarkEnd w:id="40"/>
    </w:p>
    <w:p w14:paraId="28CCC693" w14:textId="08835C66" w:rsidR="003130B0" w:rsidRDefault="005472C1" w:rsidP="00593B4C">
      <w:pPr>
        <w:spacing w:after="240"/>
      </w:pPr>
      <w:r w:rsidRPr="00593B4C">
        <w:t>San Joaquin COE designed service-learning projects centered on agricultural sustainability and water rights advocacy. Students conducted policy research on irrigation systems, interviewed local farmers, and prepared recommendations for water conservation measures that were presented to elected officials. These activities were closely tied to the region’s economic and environmental context.</w:t>
      </w:r>
      <w:r w:rsidR="002407C9">
        <w:t xml:space="preserve"> San Joaquin COE also </w:t>
      </w:r>
      <w:r w:rsidR="002407C9">
        <w:lastRenderedPageBreak/>
        <w:t xml:space="preserve">instituted extensive </w:t>
      </w:r>
      <w:r w:rsidR="0034480C">
        <w:t xml:space="preserve">teacher PD opportunities, including a teachers’ institute focused on civics and </w:t>
      </w:r>
      <w:r w:rsidR="001123A1">
        <w:t>service-learning</w:t>
      </w:r>
      <w:r w:rsidR="0034480C">
        <w:t>.</w:t>
      </w:r>
    </w:p>
    <w:p w14:paraId="0F8F5DE6" w14:textId="74D83842" w:rsidR="005472C1" w:rsidRPr="00593B4C" w:rsidRDefault="005472C1" w:rsidP="00593B4C">
      <w:pPr>
        <w:spacing w:after="240"/>
      </w:pPr>
      <w:r w:rsidRPr="00593B4C">
        <w:t>The LEA reported strong engagement from rural and small school sites.</w:t>
      </w:r>
    </w:p>
    <w:p w14:paraId="0A1207F7" w14:textId="77777777" w:rsidR="005472C1" w:rsidRPr="00593B4C" w:rsidRDefault="005472C1" w:rsidP="00ED5B14">
      <w:pPr>
        <w:pStyle w:val="Heading4"/>
      </w:pPr>
      <w:bookmarkStart w:id="41" w:name="_Toc221186063"/>
      <w:r w:rsidRPr="00593B4C">
        <w:t>We the People High School (Closed)</w:t>
      </w:r>
      <w:bookmarkEnd w:id="41"/>
    </w:p>
    <w:p w14:paraId="0322C661" w14:textId="69CB9AB0" w:rsidR="003130B0" w:rsidRDefault="005472C1" w:rsidP="00593B4C">
      <w:pPr>
        <w:spacing w:after="240"/>
      </w:pPr>
      <w:r w:rsidRPr="00593B4C">
        <w:t xml:space="preserve">Before closing operations, We the People High School implemented </w:t>
      </w:r>
      <w:r w:rsidR="001123A1">
        <w:t>service-learning</w:t>
      </w:r>
      <w:r w:rsidRPr="00593B4C">
        <w:t xml:space="preserve"> focused on civic literacy and constitutional education. Students led peer workshops on constitutional rights, organized mock legislative sessions, and created public education materials to distribute within the community. </w:t>
      </w:r>
    </w:p>
    <w:p w14:paraId="46C52DFD" w14:textId="63D64E33" w:rsidR="005472C1" w:rsidRDefault="005472C1" w:rsidP="0000594A">
      <w:pPr>
        <w:pStyle w:val="TableTitle"/>
        <w:rPr>
          <w:rStyle w:val="Strong"/>
          <w:b/>
          <w:bCs/>
        </w:rPr>
      </w:pPr>
      <w:r>
        <w:rPr>
          <w:rStyle w:val="Strong"/>
          <w:b/>
          <w:bCs/>
        </w:rPr>
        <w:t>Table</w:t>
      </w:r>
      <w:r w:rsidR="00E579AE">
        <w:rPr>
          <w:rStyle w:val="Strong"/>
          <w:b/>
          <w:bCs/>
        </w:rPr>
        <w:t xml:space="preserve"> </w:t>
      </w:r>
      <w:r w:rsidR="0000594A">
        <w:rPr>
          <w:rStyle w:val="Strong"/>
          <w:b/>
          <w:bCs/>
        </w:rPr>
        <w:t xml:space="preserve">3: </w:t>
      </w:r>
      <w:r>
        <w:rPr>
          <w:rStyle w:val="Strong"/>
          <w:b/>
          <w:bCs/>
        </w:rPr>
        <w:t>Summary of Major Service</w:t>
      </w:r>
      <w:r>
        <w:rPr>
          <w:rStyle w:val="Strong"/>
          <w:b/>
          <w:bCs/>
        </w:rPr>
        <w:noBreakHyphen/>
        <w:t>Learning Themes</w:t>
      </w:r>
      <w:r w:rsidR="0000594A">
        <w:rPr>
          <w:rStyle w:val="Strong"/>
          <w:b/>
          <w:bCs/>
        </w:rPr>
        <w:t>, Cohort 1</w:t>
      </w:r>
    </w:p>
    <w:tbl>
      <w:tblPr>
        <w:tblStyle w:val="TableGrid"/>
        <w:tblW w:w="0" w:type="auto"/>
        <w:tblLook w:val="04A0" w:firstRow="1" w:lastRow="0" w:firstColumn="1" w:lastColumn="0" w:noHBand="0" w:noVBand="1"/>
        <w:tblCaption w:val="Table 3: Summary of Major Service-Learning Themes, Cohort 1"/>
        <w:tblDescription w:val="Table that identifies the major service-learning theme of each Cohort 1 grantee."/>
      </w:tblPr>
      <w:tblGrid>
        <w:gridCol w:w="3505"/>
        <w:gridCol w:w="5845"/>
      </w:tblGrid>
      <w:tr w:rsidR="0000594A" w14:paraId="72F676B6" w14:textId="77777777" w:rsidTr="00AA5F37">
        <w:trPr>
          <w:tblHeader/>
        </w:trPr>
        <w:tc>
          <w:tcPr>
            <w:tcW w:w="3505" w:type="dxa"/>
          </w:tcPr>
          <w:p w14:paraId="4A28EAF9" w14:textId="454039D1" w:rsidR="0000594A" w:rsidRDefault="0000594A" w:rsidP="005B1F66">
            <w:pPr>
              <w:pStyle w:val="TableTitle"/>
            </w:pPr>
            <w:r>
              <w:t>Grantee</w:t>
            </w:r>
          </w:p>
        </w:tc>
        <w:tc>
          <w:tcPr>
            <w:tcW w:w="5845" w:type="dxa"/>
          </w:tcPr>
          <w:p w14:paraId="1ECB2927" w14:textId="74520330" w:rsidR="0000594A" w:rsidRDefault="0000594A" w:rsidP="005B1F66">
            <w:pPr>
              <w:pStyle w:val="TableTitle"/>
            </w:pPr>
            <w:r>
              <w:t>Service-Learning Theme</w:t>
            </w:r>
          </w:p>
        </w:tc>
      </w:tr>
      <w:tr w:rsidR="0000594A" w14:paraId="3C259731" w14:textId="77777777" w:rsidTr="0000594A">
        <w:tc>
          <w:tcPr>
            <w:tcW w:w="3505" w:type="dxa"/>
          </w:tcPr>
          <w:p w14:paraId="74351123" w14:textId="101C4407" w:rsidR="0000594A" w:rsidRPr="0000594A" w:rsidRDefault="0000594A" w:rsidP="005B1F66">
            <w:pPr>
              <w:pStyle w:val="TableTitle"/>
              <w:rPr>
                <w:b w:val="0"/>
                <w:bCs w:val="0"/>
              </w:rPr>
            </w:pPr>
            <w:r w:rsidRPr="0000594A">
              <w:rPr>
                <w:b w:val="0"/>
                <w:bCs w:val="0"/>
              </w:rPr>
              <w:t>Antioch USD</w:t>
            </w:r>
          </w:p>
        </w:tc>
        <w:tc>
          <w:tcPr>
            <w:tcW w:w="5845" w:type="dxa"/>
          </w:tcPr>
          <w:p w14:paraId="32DF50A5" w14:textId="106A14DF" w:rsidR="0000594A" w:rsidRPr="0000594A" w:rsidRDefault="0000594A" w:rsidP="005B1F66">
            <w:pPr>
              <w:pStyle w:val="TableTitle"/>
              <w:rPr>
                <w:b w:val="0"/>
                <w:bCs w:val="0"/>
              </w:rPr>
            </w:pPr>
            <w:r w:rsidRPr="0000594A">
              <w:rPr>
                <w:b w:val="0"/>
                <w:bCs w:val="0"/>
              </w:rPr>
              <w:t>Community improvement projects and civic engagement integration in HSS/ELA</w:t>
            </w:r>
          </w:p>
        </w:tc>
      </w:tr>
      <w:tr w:rsidR="0000594A" w14:paraId="61E677E6" w14:textId="77777777" w:rsidTr="0000594A">
        <w:tc>
          <w:tcPr>
            <w:tcW w:w="3505" w:type="dxa"/>
          </w:tcPr>
          <w:p w14:paraId="1F3CD762" w14:textId="2FDE917A" w:rsidR="0000594A" w:rsidRPr="0000594A" w:rsidRDefault="0000594A" w:rsidP="005B1F66">
            <w:pPr>
              <w:pStyle w:val="TableTitle"/>
              <w:rPr>
                <w:b w:val="0"/>
                <w:bCs w:val="0"/>
              </w:rPr>
            </w:pPr>
            <w:r w:rsidRPr="0000594A">
              <w:rPr>
                <w:b w:val="0"/>
                <w:bCs w:val="0"/>
              </w:rPr>
              <w:t>Fresno County Superintendent of Schools</w:t>
            </w:r>
          </w:p>
        </w:tc>
        <w:tc>
          <w:tcPr>
            <w:tcW w:w="5845" w:type="dxa"/>
          </w:tcPr>
          <w:p w14:paraId="7C1F900F" w14:textId="534E93DD" w:rsidR="0000594A" w:rsidRPr="0000594A" w:rsidRDefault="0000594A" w:rsidP="005B1F66">
            <w:pPr>
              <w:pStyle w:val="TableTitle"/>
              <w:rPr>
                <w:b w:val="0"/>
                <w:bCs w:val="0"/>
              </w:rPr>
            </w:pPr>
            <w:r w:rsidRPr="0000594A">
              <w:rPr>
                <w:b w:val="0"/>
                <w:bCs w:val="0"/>
              </w:rPr>
              <w:t>Public health and environmental stewardship</w:t>
            </w:r>
          </w:p>
        </w:tc>
      </w:tr>
      <w:tr w:rsidR="0000594A" w14:paraId="0ABE4BE6" w14:textId="77777777" w:rsidTr="0000594A">
        <w:tc>
          <w:tcPr>
            <w:tcW w:w="3505" w:type="dxa"/>
          </w:tcPr>
          <w:p w14:paraId="17242FBE" w14:textId="09AA87DD" w:rsidR="0000594A" w:rsidRPr="0000594A" w:rsidRDefault="0000594A" w:rsidP="005B1F66">
            <w:pPr>
              <w:pStyle w:val="TableTitle"/>
              <w:rPr>
                <w:b w:val="0"/>
                <w:bCs w:val="0"/>
              </w:rPr>
            </w:pPr>
            <w:r w:rsidRPr="0000594A">
              <w:rPr>
                <w:b w:val="0"/>
                <w:bCs w:val="0"/>
              </w:rPr>
              <w:t>Glenn COE</w:t>
            </w:r>
          </w:p>
        </w:tc>
        <w:tc>
          <w:tcPr>
            <w:tcW w:w="5845" w:type="dxa"/>
          </w:tcPr>
          <w:p w14:paraId="62484CFC" w14:textId="088B5BC2" w:rsidR="0000594A" w:rsidRPr="0000594A" w:rsidRDefault="0000594A" w:rsidP="005B1F66">
            <w:pPr>
              <w:pStyle w:val="TableTitle"/>
              <w:rPr>
                <w:b w:val="0"/>
                <w:bCs w:val="0"/>
              </w:rPr>
            </w:pPr>
            <w:r w:rsidRPr="0000594A">
              <w:rPr>
                <w:b w:val="0"/>
                <w:bCs w:val="0"/>
              </w:rPr>
              <w:t>Agricultural sustainability and youth civic participation</w:t>
            </w:r>
          </w:p>
        </w:tc>
      </w:tr>
      <w:tr w:rsidR="0000594A" w14:paraId="060EAED0" w14:textId="77777777" w:rsidTr="0000594A">
        <w:tc>
          <w:tcPr>
            <w:tcW w:w="3505" w:type="dxa"/>
          </w:tcPr>
          <w:p w14:paraId="7CDDAD6A" w14:textId="34F0A413" w:rsidR="0000594A" w:rsidRPr="0000594A" w:rsidRDefault="0000594A" w:rsidP="005B1F66">
            <w:pPr>
              <w:pStyle w:val="TableTitle"/>
              <w:rPr>
                <w:b w:val="0"/>
                <w:bCs w:val="0"/>
              </w:rPr>
            </w:pPr>
            <w:r w:rsidRPr="0000594A">
              <w:rPr>
                <w:b w:val="0"/>
                <w:bCs w:val="0"/>
              </w:rPr>
              <w:t>Hacienda La Puente USD</w:t>
            </w:r>
          </w:p>
        </w:tc>
        <w:tc>
          <w:tcPr>
            <w:tcW w:w="5845" w:type="dxa"/>
          </w:tcPr>
          <w:p w14:paraId="5F52C9A5" w14:textId="654BC61D" w:rsidR="0000594A" w:rsidRPr="0000594A" w:rsidRDefault="0000594A" w:rsidP="005B1F66">
            <w:pPr>
              <w:pStyle w:val="TableTitle"/>
              <w:rPr>
                <w:b w:val="0"/>
                <w:bCs w:val="0"/>
              </w:rPr>
            </w:pPr>
            <w:r w:rsidRPr="0000594A">
              <w:rPr>
                <w:b w:val="0"/>
                <w:bCs w:val="0"/>
              </w:rPr>
              <w:t>Multilingual civic dialogue and public art</w:t>
            </w:r>
          </w:p>
        </w:tc>
      </w:tr>
      <w:tr w:rsidR="0000594A" w14:paraId="64B986B1" w14:textId="77777777" w:rsidTr="0000594A">
        <w:tc>
          <w:tcPr>
            <w:tcW w:w="3505" w:type="dxa"/>
          </w:tcPr>
          <w:p w14:paraId="724E9331" w14:textId="0ED32DCB" w:rsidR="0000594A" w:rsidRPr="0000594A" w:rsidRDefault="0000594A" w:rsidP="005B1F66">
            <w:pPr>
              <w:pStyle w:val="TableTitle"/>
              <w:rPr>
                <w:b w:val="0"/>
                <w:bCs w:val="0"/>
              </w:rPr>
            </w:pPr>
            <w:r w:rsidRPr="0000594A">
              <w:rPr>
                <w:b w:val="0"/>
                <w:bCs w:val="0"/>
              </w:rPr>
              <w:t>Health Sciences High and Middle College</w:t>
            </w:r>
          </w:p>
        </w:tc>
        <w:tc>
          <w:tcPr>
            <w:tcW w:w="5845" w:type="dxa"/>
          </w:tcPr>
          <w:p w14:paraId="4B71B856" w14:textId="26FC3FEC" w:rsidR="0000594A" w:rsidRPr="0000594A" w:rsidRDefault="0000594A" w:rsidP="005B1F66">
            <w:pPr>
              <w:pStyle w:val="TableTitle"/>
              <w:rPr>
                <w:b w:val="0"/>
                <w:bCs w:val="0"/>
              </w:rPr>
            </w:pPr>
            <w:r w:rsidRPr="0000594A">
              <w:rPr>
                <w:b w:val="0"/>
                <w:bCs w:val="0"/>
              </w:rPr>
              <w:t>Public health policy and mental health awareness</w:t>
            </w:r>
          </w:p>
        </w:tc>
      </w:tr>
      <w:tr w:rsidR="0000594A" w14:paraId="433A3769" w14:textId="77777777" w:rsidTr="0000594A">
        <w:tc>
          <w:tcPr>
            <w:tcW w:w="3505" w:type="dxa"/>
          </w:tcPr>
          <w:p w14:paraId="2D586615" w14:textId="569083C2" w:rsidR="0000594A" w:rsidRPr="0000594A" w:rsidRDefault="0000594A" w:rsidP="005B1F66">
            <w:pPr>
              <w:pStyle w:val="TableTitle"/>
              <w:rPr>
                <w:b w:val="0"/>
                <w:bCs w:val="0"/>
              </w:rPr>
            </w:pPr>
            <w:r w:rsidRPr="0000594A">
              <w:rPr>
                <w:b w:val="0"/>
                <w:bCs w:val="0"/>
              </w:rPr>
              <w:t>John Muir Charter School</w:t>
            </w:r>
          </w:p>
        </w:tc>
        <w:tc>
          <w:tcPr>
            <w:tcW w:w="5845" w:type="dxa"/>
          </w:tcPr>
          <w:p w14:paraId="3350F0FF" w14:textId="362CFE1A" w:rsidR="0000594A" w:rsidRPr="0000594A" w:rsidRDefault="0000594A" w:rsidP="005B1F66">
            <w:pPr>
              <w:pStyle w:val="TableTitle"/>
              <w:rPr>
                <w:b w:val="0"/>
                <w:bCs w:val="0"/>
              </w:rPr>
            </w:pPr>
            <w:r w:rsidRPr="0000594A">
              <w:rPr>
                <w:b w:val="0"/>
                <w:bCs w:val="0"/>
              </w:rPr>
              <w:t>Government observation and civic education outreach</w:t>
            </w:r>
          </w:p>
        </w:tc>
      </w:tr>
      <w:tr w:rsidR="0000594A" w14:paraId="763C7E37" w14:textId="77777777" w:rsidTr="0000594A">
        <w:tc>
          <w:tcPr>
            <w:tcW w:w="3505" w:type="dxa"/>
          </w:tcPr>
          <w:p w14:paraId="762BE572" w14:textId="011BA078" w:rsidR="0000594A" w:rsidRPr="0000594A" w:rsidRDefault="0000594A" w:rsidP="005B1F66">
            <w:pPr>
              <w:pStyle w:val="TableTitle"/>
              <w:rPr>
                <w:b w:val="0"/>
                <w:bCs w:val="0"/>
              </w:rPr>
            </w:pPr>
            <w:r w:rsidRPr="0000594A">
              <w:rPr>
                <w:b w:val="0"/>
                <w:bCs w:val="0"/>
              </w:rPr>
              <w:t>Kern COE</w:t>
            </w:r>
          </w:p>
        </w:tc>
        <w:tc>
          <w:tcPr>
            <w:tcW w:w="5845" w:type="dxa"/>
          </w:tcPr>
          <w:p w14:paraId="0D0E3CBB" w14:textId="771CFC37" w:rsidR="0000594A" w:rsidRPr="0000594A" w:rsidRDefault="0000594A" w:rsidP="005B1F66">
            <w:pPr>
              <w:pStyle w:val="TableTitle"/>
              <w:rPr>
                <w:b w:val="0"/>
                <w:bCs w:val="0"/>
              </w:rPr>
            </w:pPr>
            <w:r w:rsidRPr="0000594A">
              <w:rPr>
                <w:b w:val="0"/>
                <w:bCs w:val="0"/>
              </w:rPr>
              <w:t>Drought education and water conservation</w:t>
            </w:r>
          </w:p>
        </w:tc>
      </w:tr>
      <w:tr w:rsidR="0000594A" w14:paraId="7BFA1C98" w14:textId="77777777" w:rsidTr="0000594A">
        <w:tc>
          <w:tcPr>
            <w:tcW w:w="3505" w:type="dxa"/>
          </w:tcPr>
          <w:p w14:paraId="12888AEE" w14:textId="1BE7B9CB" w:rsidR="0000594A" w:rsidRPr="0000594A" w:rsidRDefault="0000594A" w:rsidP="005B1F66">
            <w:pPr>
              <w:pStyle w:val="TableTitle"/>
              <w:rPr>
                <w:b w:val="0"/>
                <w:bCs w:val="0"/>
              </w:rPr>
            </w:pPr>
            <w:r w:rsidRPr="0000594A">
              <w:rPr>
                <w:b w:val="0"/>
                <w:bCs w:val="0"/>
              </w:rPr>
              <w:t>New Village Girls Academy</w:t>
            </w:r>
          </w:p>
        </w:tc>
        <w:tc>
          <w:tcPr>
            <w:tcW w:w="5845" w:type="dxa"/>
          </w:tcPr>
          <w:p w14:paraId="1B4688C8" w14:textId="2E04C2D7" w:rsidR="0000594A" w:rsidRPr="0000594A" w:rsidRDefault="0000594A" w:rsidP="005B1F66">
            <w:pPr>
              <w:pStyle w:val="TableTitle"/>
              <w:rPr>
                <w:b w:val="0"/>
                <w:bCs w:val="0"/>
              </w:rPr>
            </w:pPr>
            <w:r w:rsidRPr="0000594A">
              <w:rPr>
                <w:b w:val="0"/>
                <w:bCs w:val="0"/>
              </w:rPr>
              <w:t>Restorative justice and community wellness</w:t>
            </w:r>
          </w:p>
        </w:tc>
      </w:tr>
      <w:tr w:rsidR="0000594A" w14:paraId="28124E6E" w14:textId="77777777" w:rsidTr="0000594A">
        <w:tc>
          <w:tcPr>
            <w:tcW w:w="3505" w:type="dxa"/>
          </w:tcPr>
          <w:p w14:paraId="58609983" w14:textId="6157A355" w:rsidR="0000594A" w:rsidRPr="0000594A" w:rsidRDefault="0000594A" w:rsidP="005B1F66">
            <w:pPr>
              <w:pStyle w:val="TableTitle"/>
              <w:rPr>
                <w:b w:val="0"/>
                <w:bCs w:val="0"/>
              </w:rPr>
            </w:pPr>
            <w:r w:rsidRPr="0000594A">
              <w:rPr>
                <w:b w:val="0"/>
                <w:bCs w:val="0"/>
              </w:rPr>
              <w:t>Rialto USD</w:t>
            </w:r>
          </w:p>
        </w:tc>
        <w:tc>
          <w:tcPr>
            <w:tcW w:w="5845" w:type="dxa"/>
          </w:tcPr>
          <w:p w14:paraId="0CEE2BC8" w14:textId="07B38B80" w:rsidR="0000594A" w:rsidRPr="0000594A" w:rsidRDefault="0000594A" w:rsidP="005B1F66">
            <w:pPr>
              <w:pStyle w:val="TableTitle"/>
              <w:rPr>
                <w:b w:val="0"/>
                <w:bCs w:val="0"/>
              </w:rPr>
            </w:pPr>
            <w:r w:rsidRPr="0000594A">
              <w:rPr>
                <w:b w:val="0"/>
                <w:bCs w:val="0"/>
              </w:rPr>
              <w:t>Safe transportation and pedestrian safety</w:t>
            </w:r>
          </w:p>
        </w:tc>
      </w:tr>
      <w:tr w:rsidR="0000594A" w14:paraId="3AE5E54F" w14:textId="77777777" w:rsidTr="0000594A">
        <w:tc>
          <w:tcPr>
            <w:tcW w:w="3505" w:type="dxa"/>
          </w:tcPr>
          <w:p w14:paraId="7C6357B0" w14:textId="209AD793" w:rsidR="0000594A" w:rsidRPr="0000594A" w:rsidRDefault="0000594A" w:rsidP="005B1F66">
            <w:pPr>
              <w:pStyle w:val="TableTitle"/>
              <w:rPr>
                <w:b w:val="0"/>
                <w:bCs w:val="0"/>
              </w:rPr>
            </w:pPr>
            <w:r w:rsidRPr="0000594A">
              <w:rPr>
                <w:b w:val="0"/>
                <w:bCs w:val="0"/>
              </w:rPr>
              <w:t>Santa Clara COE</w:t>
            </w:r>
          </w:p>
        </w:tc>
        <w:tc>
          <w:tcPr>
            <w:tcW w:w="5845" w:type="dxa"/>
          </w:tcPr>
          <w:p w14:paraId="0A27FB71" w14:textId="0DFB555E" w:rsidR="0000594A" w:rsidRPr="0000594A" w:rsidRDefault="0000594A" w:rsidP="005B1F66">
            <w:pPr>
              <w:pStyle w:val="TableTitle"/>
              <w:rPr>
                <w:b w:val="0"/>
                <w:bCs w:val="0"/>
              </w:rPr>
            </w:pPr>
            <w:r w:rsidRPr="0000594A">
              <w:rPr>
                <w:b w:val="0"/>
                <w:bCs w:val="0"/>
              </w:rPr>
              <w:t>Youth mental health policy and advocacy</w:t>
            </w:r>
          </w:p>
        </w:tc>
      </w:tr>
      <w:tr w:rsidR="0000594A" w14:paraId="030E3715" w14:textId="77777777" w:rsidTr="0000594A">
        <w:tc>
          <w:tcPr>
            <w:tcW w:w="3505" w:type="dxa"/>
          </w:tcPr>
          <w:p w14:paraId="1F7FC854" w14:textId="5363C412" w:rsidR="0000594A" w:rsidRPr="0000594A" w:rsidRDefault="0000594A" w:rsidP="005B1F66">
            <w:pPr>
              <w:pStyle w:val="TableTitle"/>
              <w:rPr>
                <w:b w:val="0"/>
                <w:bCs w:val="0"/>
              </w:rPr>
            </w:pPr>
            <w:r w:rsidRPr="0000594A">
              <w:rPr>
                <w:b w:val="0"/>
                <w:bCs w:val="0"/>
              </w:rPr>
              <w:t>San Joaquin COE</w:t>
            </w:r>
          </w:p>
        </w:tc>
        <w:tc>
          <w:tcPr>
            <w:tcW w:w="5845" w:type="dxa"/>
          </w:tcPr>
          <w:p w14:paraId="0435125D" w14:textId="7E069C89" w:rsidR="0000594A" w:rsidRPr="0000594A" w:rsidRDefault="0000594A" w:rsidP="005B1F66">
            <w:pPr>
              <w:pStyle w:val="TableTitle"/>
              <w:rPr>
                <w:b w:val="0"/>
                <w:bCs w:val="0"/>
              </w:rPr>
            </w:pPr>
            <w:r w:rsidRPr="0000594A">
              <w:rPr>
                <w:b w:val="0"/>
                <w:bCs w:val="0"/>
              </w:rPr>
              <w:t>Agricultural sustainability and water rights</w:t>
            </w:r>
          </w:p>
        </w:tc>
      </w:tr>
      <w:tr w:rsidR="0000594A" w14:paraId="54ED6645" w14:textId="77777777" w:rsidTr="0000594A">
        <w:tc>
          <w:tcPr>
            <w:tcW w:w="3505" w:type="dxa"/>
          </w:tcPr>
          <w:p w14:paraId="4CBDE508" w14:textId="3279541C" w:rsidR="0000594A" w:rsidRPr="0000594A" w:rsidRDefault="0000594A" w:rsidP="005B1F66">
            <w:pPr>
              <w:pStyle w:val="TableTitle"/>
              <w:rPr>
                <w:b w:val="0"/>
                <w:bCs w:val="0"/>
              </w:rPr>
            </w:pPr>
            <w:r w:rsidRPr="0000594A">
              <w:rPr>
                <w:b w:val="0"/>
                <w:bCs w:val="0"/>
              </w:rPr>
              <w:t xml:space="preserve">We </w:t>
            </w:r>
            <w:proofErr w:type="gramStart"/>
            <w:r w:rsidRPr="0000594A">
              <w:rPr>
                <w:b w:val="0"/>
                <w:bCs w:val="0"/>
              </w:rPr>
              <w:t>the People</w:t>
            </w:r>
            <w:proofErr w:type="gramEnd"/>
            <w:r w:rsidRPr="0000594A">
              <w:rPr>
                <w:b w:val="0"/>
                <w:bCs w:val="0"/>
              </w:rPr>
              <w:t xml:space="preserve"> High School</w:t>
            </w:r>
          </w:p>
        </w:tc>
        <w:tc>
          <w:tcPr>
            <w:tcW w:w="5845" w:type="dxa"/>
          </w:tcPr>
          <w:p w14:paraId="2C084936" w14:textId="5EB0261C" w:rsidR="0000594A" w:rsidRPr="0000594A" w:rsidRDefault="0000594A" w:rsidP="005B1F66">
            <w:pPr>
              <w:pStyle w:val="TableTitle"/>
              <w:rPr>
                <w:b w:val="0"/>
                <w:bCs w:val="0"/>
              </w:rPr>
            </w:pPr>
            <w:r w:rsidRPr="0000594A">
              <w:rPr>
                <w:b w:val="0"/>
                <w:bCs w:val="0"/>
              </w:rPr>
              <w:t>Civic literacy and constitutional education</w:t>
            </w:r>
          </w:p>
        </w:tc>
      </w:tr>
    </w:tbl>
    <w:p w14:paraId="0815B662" w14:textId="46D7C981" w:rsidR="00942808" w:rsidRDefault="00861216" w:rsidP="00ED5B14">
      <w:pPr>
        <w:pStyle w:val="Heading3"/>
      </w:pPr>
      <w:bookmarkStart w:id="42" w:name="_Toc221186064"/>
      <w:r>
        <w:t xml:space="preserve">Impact on </w:t>
      </w:r>
      <w:r w:rsidR="00942808">
        <w:t xml:space="preserve">State Seal of Civic Engagement </w:t>
      </w:r>
      <w:r>
        <w:t>Insignia Requests</w:t>
      </w:r>
      <w:bookmarkEnd w:id="42"/>
    </w:p>
    <w:p w14:paraId="239245A6" w14:textId="01D3F215" w:rsidR="00861216" w:rsidRDefault="0045122E" w:rsidP="0000594A">
      <w:pPr>
        <w:pStyle w:val="TableTitle"/>
        <w:rPr>
          <w:b w:val="0"/>
          <w:bCs w:val="0"/>
        </w:rPr>
      </w:pPr>
      <w:r>
        <w:rPr>
          <w:b w:val="0"/>
          <w:bCs w:val="0"/>
        </w:rPr>
        <w:t>Table 4</w:t>
      </w:r>
      <w:r w:rsidR="00A50140" w:rsidRPr="00856444">
        <w:rPr>
          <w:b w:val="0"/>
          <w:bCs w:val="0"/>
        </w:rPr>
        <w:t xml:space="preserve"> </w:t>
      </w:r>
      <w:r w:rsidR="006E442D" w:rsidRPr="00856444">
        <w:rPr>
          <w:b w:val="0"/>
          <w:bCs w:val="0"/>
        </w:rPr>
        <w:t>shows the number of insignias requested for each year since the SSCE has been available</w:t>
      </w:r>
      <w:r w:rsidRPr="005B1F66">
        <w:rPr>
          <w:rStyle w:val="FootnoteReference"/>
          <w:b w:val="0"/>
          <w:bCs w:val="0"/>
        </w:rPr>
        <w:footnoteReference w:id="5"/>
      </w:r>
      <w:r w:rsidRPr="005B1F66">
        <w:rPr>
          <w:b w:val="0"/>
          <w:bCs w:val="0"/>
        </w:rPr>
        <w:t>.</w:t>
      </w:r>
      <w:r w:rsidR="006E442D" w:rsidRPr="00856444">
        <w:rPr>
          <w:b w:val="0"/>
          <w:bCs w:val="0"/>
        </w:rPr>
        <w:t xml:space="preserve"> </w:t>
      </w:r>
      <w:r w:rsidR="00E579AE" w:rsidRPr="00856444">
        <w:rPr>
          <w:b w:val="0"/>
          <w:bCs w:val="0"/>
        </w:rPr>
        <w:t>The first year that Cohort 1 grantees requested insignias during a grant-funded year was 2023–24.</w:t>
      </w:r>
    </w:p>
    <w:p w14:paraId="4C55C693" w14:textId="7B0A61C8" w:rsidR="00E579AE" w:rsidRPr="00E579AE" w:rsidRDefault="00E579AE" w:rsidP="00E579AE">
      <w:pPr>
        <w:pStyle w:val="TableTitle"/>
      </w:pPr>
      <w:r w:rsidRPr="00E579AE">
        <w:lastRenderedPageBreak/>
        <w:t>Table 4: Cohort 1 State Seal of Civic Engagement Insignia Requests</w:t>
      </w:r>
    </w:p>
    <w:tbl>
      <w:tblPr>
        <w:tblStyle w:val="TableGrid"/>
        <w:tblW w:w="0" w:type="auto"/>
        <w:tblLayout w:type="fixed"/>
        <w:tblLook w:val="04A0" w:firstRow="1" w:lastRow="0" w:firstColumn="1" w:lastColumn="0" w:noHBand="0" w:noVBand="1"/>
        <w:tblCaption w:val="Table 4: Cohort 1 State Seal of Civic Engagement Insignia Requests"/>
        <w:tblDescription w:val="Provides the number of SSCE insignias requested by Cohort 1 grantees since 2020-21. "/>
      </w:tblPr>
      <w:tblGrid>
        <w:gridCol w:w="3235"/>
        <w:gridCol w:w="1223"/>
        <w:gridCol w:w="1223"/>
        <w:gridCol w:w="1223"/>
        <w:gridCol w:w="1223"/>
        <w:gridCol w:w="1223"/>
      </w:tblGrid>
      <w:tr w:rsidR="005903B0" w:rsidRPr="00E579AE" w14:paraId="13FD04D4" w14:textId="77777777" w:rsidTr="00AA5F37">
        <w:trPr>
          <w:trHeight w:val="288"/>
          <w:tblHeader/>
        </w:trPr>
        <w:tc>
          <w:tcPr>
            <w:tcW w:w="3235" w:type="dxa"/>
            <w:noWrap/>
            <w:hideMark/>
          </w:tcPr>
          <w:p w14:paraId="70A7CC15" w14:textId="06C2D410" w:rsidR="00856444" w:rsidRPr="00895C7B" w:rsidRDefault="00856444" w:rsidP="005B1F66">
            <w:pPr>
              <w:pStyle w:val="NormalWeb"/>
              <w:spacing w:before="0" w:beforeAutospacing="0" w:after="0" w:afterAutospacing="0"/>
              <w:rPr>
                <w:rFonts w:ascii="Arial" w:hAnsi="Arial" w:cs="Arial"/>
                <w:b/>
                <w:bCs/>
              </w:rPr>
            </w:pPr>
            <w:r w:rsidRPr="00895C7B">
              <w:rPr>
                <w:rFonts w:ascii="Arial" w:hAnsi="Arial" w:cs="Arial"/>
                <w:b/>
                <w:bCs/>
              </w:rPr>
              <w:t>Grantee</w:t>
            </w:r>
          </w:p>
        </w:tc>
        <w:tc>
          <w:tcPr>
            <w:tcW w:w="1223" w:type="dxa"/>
            <w:noWrap/>
            <w:hideMark/>
          </w:tcPr>
          <w:p w14:paraId="5F39963F" w14:textId="77777777" w:rsidR="00856444" w:rsidRPr="00895C7B" w:rsidRDefault="00856444" w:rsidP="005B1F66">
            <w:pPr>
              <w:pStyle w:val="NormalWeb"/>
              <w:spacing w:before="0" w:beforeAutospacing="0" w:after="0" w:afterAutospacing="0"/>
              <w:rPr>
                <w:rFonts w:ascii="Arial" w:hAnsi="Arial" w:cs="Arial"/>
                <w:b/>
                <w:bCs/>
              </w:rPr>
            </w:pPr>
            <w:r w:rsidRPr="00895C7B">
              <w:rPr>
                <w:rFonts w:ascii="Arial" w:hAnsi="Arial" w:cs="Arial"/>
                <w:b/>
                <w:bCs/>
              </w:rPr>
              <w:t>2020–21</w:t>
            </w:r>
          </w:p>
        </w:tc>
        <w:tc>
          <w:tcPr>
            <w:tcW w:w="1223" w:type="dxa"/>
            <w:noWrap/>
            <w:hideMark/>
          </w:tcPr>
          <w:p w14:paraId="3F45C6C7" w14:textId="77777777" w:rsidR="00856444" w:rsidRPr="00895C7B" w:rsidRDefault="00856444" w:rsidP="005B1F66">
            <w:pPr>
              <w:pStyle w:val="NormalWeb"/>
              <w:spacing w:before="0" w:beforeAutospacing="0" w:after="0" w:afterAutospacing="0"/>
              <w:rPr>
                <w:rFonts w:ascii="Arial" w:hAnsi="Arial" w:cs="Arial"/>
                <w:b/>
                <w:bCs/>
              </w:rPr>
            </w:pPr>
            <w:r w:rsidRPr="00895C7B">
              <w:rPr>
                <w:rFonts w:ascii="Arial" w:hAnsi="Arial" w:cs="Arial"/>
                <w:b/>
                <w:bCs/>
              </w:rPr>
              <w:t>2021–22</w:t>
            </w:r>
          </w:p>
        </w:tc>
        <w:tc>
          <w:tcPr>
            <w:tcW w:w="1223" w:type="dxa"/>
            <w:noWrap/>
            <w:hideMark/>
          </w:tcPr>
          <w:p w14:paraId="72E79C9A" w14:textId="77777777" w:rsidR="00856444" w:rsidRPr="00895C7B" w:rsidRDefault="00856444" w:rsidP="005B1F66">
            <w:pPr>
              <w:pStyle w:val="NormalWeb"/>
              <w:spacing w:before="0" w:beforeAutospacing="0" w:after="0" w:afterAutospacing="0"/>
              <w:rPr>
                <w:rFonts w:ascii="Arial" w:hAnsi="Arial" w:cs="Arial"/>
                <w:b/>
                <w:bCs/>
              </w:rPr>
            </w:pPr>
            <w:r w:rsidRPr="00895C7B">
              <w:rPr>
                <w:rFonts w:ascii="Arial" w:hAnsi="Arial" w:cs="Arial"/>
                <w:b/>
                <w:bCs/>
              </w:rPr>
              <w:t>2022–23</w:t>
            </w:r>
          </w:p>
        </w:tc>
        <w:tc>
          <w:tcPr>
            <w:tcW w:w="1223" w:type="dxa"/>
            <w:noWrap/>
            <w:hideMark/>
          </w:tcPr>
          <w:p w14:paraId="3A6FB7C2" w14:textId="77777777" w:rsidR="00856444" w:rsidRPr="00895C7B" w:rsidRDefault="00856444" w:rsidP="005B1F66">
            <w:pPr>
              <w:pStyle w:val="NormalWeb"/>
              <w:spacing w:before="0" w:beforeAutospacing="0" w:after="0" w:afterAutospacing="0"/>
              <w:rPr>
                <w:rFonts w:ascii="Arial" w:hAnsi="Arial" w:cs="Arial"/>
                <w:b/>
                <w:bCs/>
              </w:rPr>
            </w:pPr>
            <w:r w:rsidRPr="00895C7B">
              <w:rPr>
                <w:rFonts w:ascii="Arial" w:hAnsi="Arial" w:cs="Arial"/>
                <w:b/>
                <w:bCs/>
              </w:rPr>
              <w:t>2023–24</w:t>
            </w:r>
          </w:p>
        </w:tc>
        <w:tc>
          <w:tcPr>
            <w:tcW w:w="1223" w:type="dxa"/>
            <w:noWrap/>
            <w:hideMark/>
          </w:tcPr>
          <w:p w14:paraId="6AE95209" w14:textId="595D4BE2" w:rsidR="00856444" w:rsidRPr="00895C7B" w:rsidRDefault="00856444" w:rsidP="005B1F66">
            <w:pPr>
              <w:pStyle w:val="NormalWeb"/>
              <w:spacing w:before="0" w:beforeAutospacing="0" w:after="0" w:afterAutospacing="0"/>
              <w:rPr>
                <w:rFonts w:ascii="Arial" w:hAnsi="Arial" w:cs="Arial"/>
                <w:b/>
                <w:bCs/>
              </w:rPr>
            </w:pPr>
            <w:r w:rsidRPr="00895C7B">
              <w:rPr>
                <w:rFonts w:ascii="Arial" w:hAnsi="Arial" w:cs="Arial"/>
                <w:b/>
                <w:bCs/>
              </w:rPr>
              <w:t>2024–25</w:t>
            </w:r>
          </w:p>
        </w:tc>
      </w:tr>
      <w:tr w:rsidR="00895C7B" w:rsidRPr="00E579AE" w14:paraId="53568846" w14:textId="77777777" w:rsidTr="005903B0">
        <w:trPr>
          <w:trHeight w:val="288"/>
        </w:trPr>
        <w:tc>
          <w:tcPr>
            <w:tcW w:w="3235" w:type="dxa"/>
            <w:noWrap/>
            <w:hideMark/>
          </w:tcPr>
          <w:p w14:paraId="6CAEFFAC" w14:textId="08F4AFE5"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 xml:space="preserve">Antioch </w:t>
            </w:r>
            <w:r w:rsidR="00936768">
              <w:rPr>
                <w:rFonts w:ascii="Arial" w:hAnsi="Arial" w:cs="Arial"/>
              </w:rPr>
              <w:t>USD</w:t>
            </w:r>
          </w:p>
        </w:tc>
        <w:tc>
          <w:tcPr>
            <w:tcW w:w="1223" w:type="dxa"/>
            <w:noWrap/>
            <w:hideMark/>
          </w:tcPr>
          <w:p w14:paraId="7E3125F6" w14:textId="583C31C5"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3E8A3DB6" w14:textId="0BBF4FCD"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586E45F5" w14:textId="516CF873"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197EB5DA" w14:textId="59BF2B10"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127</w:t>
            </w:r>
          </w:p>
        </w:tc>
        <w:tc>
          <w:tcPr>
            <w:tcW w:w="1223" w:type="dxa"/>
            <w:noWrap/>
            <w:hideMark/>
          </w:tcPr>
          <w:p w14:paraId="2D132A9D" w14:textId="655C963F"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210</w:t>
            </w:r>
          </w:p>
        </w:tc>
      </w:tr>
      <w:tr w:rsidR="00895C7B" w:rsidRPr="00E579AE" w14:paraId="68018911" w14:textId="77777777" w:rsidTr="005903B0">
        <w:trPr>
          <w:trHeight w:val="288"/>
        </w:trPr>
        <w:tc>
          <w:tcPr>
            <w:tcW w:w="3235" w:type="dxa"/>
            <w:noWrap/>
            <w:hideMark/>
          </w:tcPr>
          <w:p w14:paraId="39B6CAF5" w14:textId="75F901BB"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Fresno C</w:t>
            </w:r>
            <w:r w:rsidR="00936768">
              <w:rPr>
                <w:rFonts w:ascii="Arial" w:hAnsi="Arial" w:cs="Arial"/>
              </w:rPr>
              <w:t>OE</w:t>
            </w:r>
          </w:p>
        </w:tc>
        <w:tc>
          <w:tcPr>
            <w:tcW w:w="1223" w:type="dxa"/>
            <w:noWrap/>
            <w:hideMark/>
          </w:tcPr>
          <w:p w14:paraId="51EA31FE" w14:textId="1FA12BB9"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208CBF95" w14:textId="612ABE9B"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76</w:t>
            </w:r>
          </w:p>
        </w:tc>
        <w:tc>
          <w:tcPr>
            <w:tcW w:w="1223" w:type="dxa"/>
            <w:noWrap/>
            <w:hideMark/>
          </w:tcPr>
          <w:p w14:paraId="529E7698" w14:textId="6ED26044"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216</w:t>
            </w:r>
          </w:p>
        </w:tc>
        <w:tc>
          <w:tcPr>
            <w:tcW w:w="1223" w:type="dxa"/>
            <w:noWrap/>
            <w:hideMark/>
          </w:tcPr>
          <w:p w14:paraId="2438794A" w14:textId="542BCFAC"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374</w:t>
            </w:r>
          </w:p>
        </w:tc>
        <w:tc>
          <w:tcPr>
            <w:tcW w:w="1223" w:type="dxa"/>
            <w:noWrap/>
            <w:hideMark/>
          </w:tcPr>
          <w:p w14:paraId="2591DE15" w14:textId="11B858BC"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545</w:t>
            </w:r>
          </w:p>
        </w:tc>
      </w:tr>
      <w:tr w:rsidR="00895C7B" w:rsidRPr="00E579AE" w14:paraId="37E0DF84" w14:textId="77777777" w:rsidTr="005903B0">
        <w:trPr>
          <w:trHeight w:val="288"/>
        </w:trPr>
        <w:tc>
          <w:tcPr>
            <w:tcW w:w="3235" w:type="dxa"/>
            <w:noWrap/>
            <w:hideMark/>
          </w:tcPr>
          <w:p w14:paraId="1DF44F48" w14:textId="7777777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Glenn COE</w:t>
            </w:r>
          </w:p>
        </w:tc>
        <w:tc>
          <w:tcPr>
            <w:tcW w:w="1223" w:type="dxa"/>
            <w:noWrap/>
            <w:hideMark/>
          </w:tcPr>
          <w:p w14:paraId="47687A18" w14:textId="35FAAB48"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0E20D4D2" w14:textId="25FDE906"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16</w:t>
            </w:r>
          </w:p>
        </w:tc>
        <w:tc>
          <w:tcPr>
            <w:tcW w:w="1223" w:type="dxa"/>
            <w:noWrap/>
            <w:hideMark/>
          </w:tcPr>
          <w:p w14:paraId="1C91378F" w14:textId="6A4DAFA0"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83</w:t>
            </w:r>
          </w:p>
        </w:tc>
        <w:tc>
          <w:tcPr>
            <w:tcW w:w="1223" w:type="dxa"/>
            <w:noWrap/>
            <w:hideMark/>
          </w:tcPr>
          <w:p w14:paraId="0A0D366E" w14:textId="7495A93E" w:rsidR="00895C7B" w:rsidRPr="00895C7B" w:rsidRDefault="001D6CEC" w:rsidP="005B1F66">
            <w:pPr>
              <w:pStyle w:val="NormalWeb"/>
              <w:spacing w:before="0" w:beforeAutospacing="0" w:after="0" w:afterAutospacing="0"/>
              <w:rPr>
                <w:rFonts w:ascii="Arial" w:hAnsi="Arial" w:cs="Arial"/>
              </w:rPr>
            </w:pPr>
            <w:r>
              <w:rPr>
                <w:rFonts w:ascii="Arial" w:hAnsi="Arial" w:cs="Arial"/>
              </w:rPr>
              <w:t>89</w:t>
            </w:r>
          </w:p>
        </w:tc>
        <w:tc>
          <w:tcPr>
            <w:tcW w:w="1223" w:type="dxa"/>
            <w:noWrap/>
            <w:hideMark/>
          </w:tcPr>
          <w:p w14:paraId="37EDC665" w14:textId="7DD9EFCC"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w:t>
            </w:r>
          </w:p>
        </w:tc>
      </w:tr>
      <w:tr w:rsidR="00895C7B" w:rsidRPr="00E579AE" w14:paraId="5C510FC0" w14:textId="77777777" w:rsidTr="005903B0">
        <w:trPr>
          <w:trHeight w:val="288"/>
        </w:trPr>
        <w:tc>
          <w:tcPr>
            <w:tcW w:w="3235" w:type="dxa"/>
            <w:noWrap/>
            <w:hideMark/>
          </w:tcPr>
          <w:p w14:paraId="48EBA817" w14:textId="7777777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Hacienda La Puente USD</w:t>
            </w:r>
          </w:p>
        </w:tc>
        <w:tc>
          <w:tcPr>
            <w:tcW w:w="1223" w:type="dxa"/>
            <w:noWrap/>
            <w:hideMark/>
          </w:tcPr>
          <w:p w14:paraId="6E120272" w14:textId="786D7CB4"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43F4D47D" w14:textId="4BC8A512"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228889AB" w14:textId="7AC170F8"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6B1618D2" w14:textId="2F32B1F6"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202</w:t>
            </w:r>
          </w:p>
        </w:tc>
        <w:tc>
          <w:tcPr>
            <w:tcW w:w="1223" w:type="dxa"/>
            <w:noWrap/>
            <w:hideMark/>
          </w:tcPr>
          <w:p w14:paraId="49C316DE" w14:textId="67A89859"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272</w:t>
            </w:r>
          </w:p>
        </w:tc>
      </w:tr>
      <w:tr w:rsidR="00895C7B" w:rsidRPr="00E579AE" w14:paraId="49DE6D47" w14:textId="77777777" w:rsidTr="005903B0">
        <w:trPr>
          <w:trHeight w:val="288"/>
        </w:trPr>
        <w:tc>
          <w:tcPr>
            <w:tcW w:w="3235" w:type="dxa"/>
            <w:noWrap/>
            <w:hideMark/>
          </w:tcPr>
          <w:p w14:paraId="2CD60F12" w14:textId="7777777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Health Sciences High and Middle College</w:t>
            </w:r>
          </w:p>
        </w:tc>
        <w:tc>
          <w:tcPr>
            <w:tcW w:w="1223" w:type="dxa"/>
            <w:noWrap/>
            <w:hideMark/>
          </w:tcPr>
          <w:p w14:paraId="285E2F93" w14:textId="1B484668"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4053D705" w14:textId="2C51E61A"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6B6CB2A1" w14:textId="479A7299"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440DC632" w14:textId="158F1154"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101</w:t>
            </w:r>
          </w:p>
        </w:tc>
        <w:tc>
          <w:tcPr>
            <w:tcW w:w="1223" w:type="dxa"/>
            <w:noWrap/>
            <w:hideMark/>
          </w:tcPr>
          <w:p w14:paraId="5F7941CE" w14:textId="7186CF85"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129</w:t>
            </w:r>
          </w:p>
        </w:tc>
      </w:tr>
      <w:tr w:rsidR="00895C7B" w:rsidRPr="00E579AE" w14:paraId="383D37E9" w14:textId="77777777" w:rsidTr="005903B0">
        <w:trPr>
          <w:trHeight w:val="288"/>
        </w:trPr>
        <w:tc>
          <w:tcPr>
            <w:tcW w:w="3235" w:type="dxa"/>
            <w:noWrap/>
            <w:hideMark/>
          </w:tcPr>
          <w:p w14:paraId="751316C7" w14:textId="7777777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John Muir Charter School</w:t>
            </w:r>
          </w:p>
        </w:tc>
        <w:tc>
          <w:tcPr>
            <w:tcW w:w="1223" w:type="dxa"/>
            <w:noWrap/>
            <w:hideMark/>
          </w:tcPr>
          <w:p w14:paraId="42F1BFDA" w14:textId="7053C84F"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4F59DD3E" w14:textId="6743D76B"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45898590" w14:textId="557DEF42"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47D5D0AF" w14:textId="3BED5DD1"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6</w:t>
            </w:r>
          </w:p>
        </w:tc>
        <w:tc>
          <w:tcPr>
            <w:tcW w:w="1223" w:type="dxa"/>
            <w:noWrap/>
            <w:hideMark/>
          </w:tcPr>
          <w:p w14:paraId="70B3AE93" w14:textId="339997AA"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14</w:t>
            </w:r>
          </w:p>
        </w:tc>
      </w:tr>
      <w:tr w:rsidR="00895C7B" w:rsidRPr="00E579AE" w14:paraId="3E889690" w14:textId="77777777" w:rsidTr="005903B0">
        <w:trPr>
          <w:trHeight w:val="288"/>
        </w:trPr>
        <w:tc>
          <w:tcPr>
            <w:tcW w:w="3235" w:type="dxa"/>
            <w:noWrap/>
            <w:hideMark/>
          </w:tcPr>
          <w:p w14:paraId="1F96BEE3" w14:textId="7777777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Kern COE</w:t>
            </w:r>
          </w:p>
        </w:tc>
        <w:tc>
          <w:tcPr>
            <w:tcW w:w="1223" w:type="dxa"/>
            <w:noWrap/>
            <w:hideMark/>
          </w:tcPr>
          <w:p w14:paraId="45E0221C" w14:textId="38CADCE3"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w:t>
            </w:r>
          </w:p>
        </w:tc>
        <w:tc>
          <w:tcPr>
            <w:tcW w:w="1223" w:type="dxa"/>
            <w:noWrap/>
            <w:hideMark/>
          </w:tcPr>
          <w:p w14:paraId="4289577A" w14:textId="6BE6309F"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5</w:t>
            </w:r>
          </w:p>
        </w:tc>
        <w:tc>
          <w:tcPr>
            <w:tcW w:w="1223" w:type="dxa"/>
            <w:noWrap/>
            <w:hideMark/>
          </w:tcPr>
          <w:p w14:paraId="29EDABDA" w14:textId="6858092B"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w:t>
            </w:r>
          </w:p>
        </w:tc>
        <w:tc>
          <w:tcPr>
            <w:tcW w:w="1223" w:type="dxa"/>
            <w:noWrap/>
            <w:hideMark/>
          </w:tcPr>
          <w:p w14:paraId="1DE69D71" w14:textId="72C73C5D"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92</w:t>
            </w:r>
          </w:p>
        </w:tc>
        <w:tc>
          <w:tcPr>
            <w:tcW w:w="1223" w:type="dxa"/>
            <w:noWrap/>
            <w:hideMark/>
          </w:tcPr>
          <w:p w14:paraId="3332CA53" w14:textId="49DE8027" w:rsidR="00895C7B" w:rsidRPr="00895C7B" w:rsidRDefault="00680439" w:rsidP="005B1F66">
            <w:pPr>
              <w:pStyle w:val="NormalWeb"/>
              <w:spacing w:before="0" w:beforeAutospacing="0" w:after="0" w:afterAutospacing="0"/>
              <w:rPr>
                <w:rFonts w:ascii="Arial" w:hAnsi="Arial" w:cs="Arial"/>
              </w:rPr>
            </w:pPr>
            <w:r>
              <w:rPr>
                <w:rFonts w:ascii="Arial" w:hAnsi="Arial" w:cs="Arial"/>
              </w:rPr>
              <w:t>982</w:t>
            </w:r>
          </w:p>
        </w:tc>
      </w:tr>
      <w:tr w:rsidR="00895C7B" w:rsidRPr="00E579AE" w14:paraId="75E433B9" w14:textId="77777777" w:rsidTr="005903B0">
        <w:trPr>
          <w:trHeight w:val="288"/>
        </w:trPr>
        <w:tc>
          <w:tcPr>
            <w:tcW w:w="3235" w:type="dxa"/>
            <w:noWrap/>
            <w:hideMark/>
          </w:tcPr>
          <w:p w14:paraId="1904E5EF" w14:textId="7777777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New Village Girls Academy</w:t>
            </w:r>
          </w:p>
        </w:tc>
        <w:tc>
          <w:tcPr>
            <w:tcW w:w="1223" w:type="dxa"/>
            <w:noWrap/>
            <w:hideMark/>
          </w:tcPr>
          <w:p w14:paraId="504F6D92" w14:textId="4B57898B"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122B4FAF" w14:textId="73F2A875"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229CB7A8" w14:textId="01992890"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713E5BA7" w14:textId="36B543CB"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24</w:t>
            </w:r>
          </w:p>
        </w:tc>
        <w:tc>
          <w:tcPr>
            <w:tcW w:w="1223" w:type="dxa"/>
            <w:noWrap/>
            <w:hideMark/>
          </w:tcPr>
          <w:p w14:paraId="004F1BA5" w14:textId="27F94E2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10</w:t>
            </w:r>
          </w:p>
        </w:tc>
      </w:tr>
      <w:tr w:rsidR="00895C7B" w:rsidRPr="00E579AE" w14:paraId="613A08D3" w14:textId="77777777" w:rsidTr="005903B0">
        <w:trPr>
          <w:trHeight w:val="288"/>
        </w:trPr>
        <w:tc>
          <w:tcPr>
            <w:tcW w:w="3235" w:type="dxa"/>
            <w:noWrap/>
            <w:hideMark/>
          </w:tcPr>
          <w:p w14:paraId="4EA1358C" w14:textId="7777777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Rialto USD</w:t>
            </w:r>
          </w:p>
        </w:tc>
        <w:tc>
          <w:tcPr>
            <w:tcW w:w="1223" w:type="dxa"/>
            <w:noWrap/>
            <w:hideMark/>
          </w:tcPr>
          <w:p w14:paraId="469A9157" w14:textId="5648380F"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32C68342" w14:textId="06B4A5C8"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04A64DDA" w14:textId="0B147AC9"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7B05539F" w14:textId="2E7E111A"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124</w:t>
            </w:r>
          </w:p>
        </w:tc>
        <w:tc>
          <w:tcPr>
            <w:tcW w:w="1223" w:type="dxa"/>
            <w:noWrap/>
            <w:hideMark/>
          </w:tcPr>
          <w:p w14:paraId="1665FA25" w14:textId="2A1EB719"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225</w:t>
            </w:r>
          </w:p>
        </w:tc>
      </w:tr>
      <w:tr w:rsidR="00895C7B" w:rsidRPr="00E579AE" w14:paraId="2157BE0E" w14:textId="77777777" w:rsidTr="005903B0">
        <w:trPr>
          <w:trHeight w:val="288"/>
        </w:trPr>
        <w:tc>
          <w:tcPr>
            <w:tcW w:w="3235" w:type="dxa"/>
            <w:noWrap/>
            <w:hideMark/>
          </w:tcPr>
          <w:p w14:paraId="0A716704" w14:textId="25AF3C31"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Santa Clara COE</w:t>
            </w:r>
          </w:p>
        </w:tc>
        <w:tc>
          <w:tcPr>
            <w:tcW w:w="1223" w:type="dxa"/>
            <w:noWrap/>
            <w:hideMark/>
          </w:tcPr>
          <w:p w14:paraId="2B06524B" w14:textId="2AB607CF"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2C8FCFB4" w14:textId="225151C1"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241FF8AB" w14:textId="1486E03B"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8</w:t>
            </w:r>
          </w:p>
        </w:tc>
        <w:tc>
          <w:tcPr>
            <w:tcW w:w="1223" w:type="dxa"/>
            <w:noWrap/>
            <w:hideMark/>
          </w:tcPr>
          <w:p w14:paraId="79938E83" w14:textId="78D29B23"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17</w:t>
            </w:r>
          </w:p>
        </w:tc>
        <w:tc>
          <w:tcPr>
            <w:tcW w:w="1223" w:type="dxa"/>
            <w:noWrap/>
            <w:hideMark/>
          </w:tcPr>
          <w:p w14:paraId="2CCF21FD" w14:textId="237C1161"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21</w:t>
            </w:r>
          </w:p>
        </w:tc>
      </w:tr>
      <w:tr w:rsidR="00895C7B" w:rsidRPr="00E579AE" w14:paraId="49D8FCA8" w14:textId="77777777" w:rsidTr="005903B0">
        <w:trPr>
          <w:trHeight w:val="288"/>
        </w:trPr>
        <w:tc>
          <w:tcPr>
            <w:tcW w:w="3235" w:type="dxa"/>
            <w:noWrap/>
            <w:hideMark/>
          </w:tcPr>
          <w:p w14:paraId="3E22DC14" w14:textId="77777777"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San Joaquin COE</w:t>
            </w:r>
          </w:p>
        </w:tc>
        <w:tc>
          <w:tcPr>
            <w:tcW w:w="1223" w:type="dxa"/>
            <w:noWrap/>
            <w:hideMark/>
          </w:tcPr>
          <w:p w14:paraId="72FEB80C" w14:textId="27C80B28"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0</w:t>
            </w:r>
          </w:p>
        </w:tc>
        <w:tc>
          <w:tcPr>
            <w:tcW w:w="1223" w:type="dxa"/>
            <w:noWrap/>
            <w:hideMark/>
          </w:tcPr>
          <w:p w14:paraId="30E7A22A" w14:textId="5B2DEBF9"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10</w:t>
            </w:r>
          </w:p>
        </w:tc>
        <w:tc>
          <w:tcPr>
            <w:tcW w:w="1223" w:type="dxa"/>
            <w:noWrap/>
            <w:hideMark/>
          </w:tcPr>
          <w:p w14:paraId="4144FE33" w14:textId="407061E9"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5</w:t>
            </w:r>
          </w:p>
        </w:tc>
        <w:tc>
          <w:tcPr>
            <w:tcW w:w="1223" w:type="dxa"/>
            <w:noWrap/>
            <w:hideMark/>
          </w:tcPr>
          <w:p w14:paraId="0ED8B54F" w14:textId="034ACE20"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11</w:t>
            </w:r>
          </w:p>
        </w:tc>
        <w:tc>
          <w:tcPr>
            <w:tcW w:w="1223" w:type="dxa"/>
            <w:noWrap/>
            <w:hideMark/>
          </w:tcPr>
          <w:p w14:paraId="2AB055D1" w14:textId="0B5F74E4" w:rsidR="00895C7B" w:rsidRPr="00895C7B" w:rsidRDefault="00895C7B" w:rsidP="005B1F66">
            <w:pPr>
              <w:pStyle w:val="NormalWeb"/>
              <w:spacing w:before="0" w:beforeAutospacing="0" w:after="0" w:afterAutospacing="0"/>
              <w:rPr>
                <w:rFonts w:ascii="Arial" w:hAnsi="Arial" w:cs="Arial"/>
              </w:rPr>
            </w:pPr>
            <w:r w:rsidRPr="00895C7B">
              <w:rPr>
                <w:rFonts w:ascii="Arial" w:hAnsi="Arial" w:cs="Arial"/>
              </w:rPr>
              <w:t>18</w:t>
            </w:r>
          </w:p>
        </w:tc>
      </w:tr>
      <w:tr w:rsidR="00895C7B" w:rsidRPr="00E579AE" w14:paraId="61B3A00F" w14:textId="77777777" w:rsidTr="005903B0">
        <w:trPr>
          <w:trHeight w:val="288"/>
        </w:trPr>
        <w:tc>
          <w:tcPr>
            <w:tcW w:w="3235" w:type="dxa"/>
            <w:noWrap/>
          </w:tcPr>
          <w:p w14:paraId="1A020A02" w14:textId="3D7E11E3" w:rsidR="00895C7B" w:rsidRPr="00895C7B" w:rsidRDefault="00895C7B" w:rsidP="005B1F66">
            <w:pPr>
              <w:pStyle w:val="NormalWeb"/>
              <w:spacing w:before="0" w:beforeAutospacing="0" w:after="0" w:afterAutospacing="0"/>
              <w:rPr>
                <w:rFonts w:ascii="Arial" w:hAnsi="Arial" w:cs="Arial"/>
              </w:rPr>
            </w:pPr>
            <w:r>
              <w:rPr>
                <w:rFonts w:ascii="Arial" w:hAnsi="Arial" w:cs="Arial"/>
              </w:rPr>
              <w:t xml:space="preserve">We </w:t>
            </w:r>
            <w:proofErr w:type="gramStart"/>
            <w:r>
              <w:rPr>
                <w:rFonts w:ascii="Arial" w:hAnsi="Arial" w:cs="Arial"/>
              </w:rPr>
              <w:t>the People</w:t>
            </w:r>
            <w:proofErr w:type="gramEnd"/>
            <w:r>
              <w:rPr>
                <w:rFonts w:ascii="Arial" w:hAnsi="Arial" w:cs="Arial"/>
              </w:rPr>
              <w:t xml:space="preserve"> High School</w:t>
            </w:r>
          </w:p>
        </w:tc>
        <w:tc>
          <w:tcPr>
            <w:tcW w:w="1223" w:type="dxa"/>
            <w:noWrap/>
          </w:tcPr>
          <w:p w14:paraId="5B46B17D" w14:textId="28810FE0" w:rsidR="00895C7B" w:rsidRPr="00895C7B" w:rsidRDefault="00895C7B" w:rsidP="005B1F66">
            <w:pPr>
              <w:pStyle w:val="NormalWeb"/>
              <w:spacing w:before="0" w:beforeAutospacing="0" w:after="0" w:afterAutospacing="0"/>
              <w:rPr>
                <w:rFonts w:ascii="Arial" w:hAnsi="Arial" w:cs="Arial"/>
              </w:rPr>
            </w:pPr>
            <w:r>
              <w:rPr>
                <w:rFonts w:ascii="Arial" w:hAnsi="Arial" w:cs="Arial"/>
              </w:rPr>
              <w:t>0</w:t>
            </w:r>
          </w:p>
        </w:tc>
        <w:tc>
          <w:tcPr>
            <w:tcW w:w="1223" w:type="dxa"/>
            <w:noWrap/>
          </w:tcPr>
          <w:p w14:paraId="4213DC2E" w14:textId="7A4AD91E" w:rsidR="00895C7B" w:rsidRPr="00895C7B" w:rsidRDefault="00895C7B" w:rsidP="005B1F66">
            <w:pPr>
              <w:pStyle w:val="NormalWeb"/>
              <w:spacing w:before="0" w:beforeAutospacing="0" w:after="0" w:afterAutospacing="0"/>
              <w:rPr>
                <w:rFonts w:ascii="Arial" w:hAnsi="Arial" w:cs="Arial"/>
              </w:rPr>
            </w:pPr>
            <w:r>
              <w:rPr>
                <w:rFonts w:ascii="Arial" w:hAnsi="Arial" w:cs="Arial"/>
              </w:rPr>
              <w:t>0</w:t>
            </w:r>
          </w:p>
        </w:tc>
        <w:tc>
          <w:tcPr>
            <w:tcW w:w="1223" w:type="dxa"/>
            <w:noWrap/>
          </w:tcPr>
          <w:p w14:paraId="0EF2AD67" w14:textId="24783E73" w:rsidR="00895C7B" w:rsidRPr="00895C7B" w:rsidRDefault="00895C7B" w:rsidP="005B1F66">
            <w:pPr>
              <w:pStyle w:val="NormalWeb"/>
              <w:spacing w:before="0" w:beforeAutospacing="0" w:after="0" w:afterAutospacing="0"/>
              <w:rPr>
                <w:rFonts w:ascii="Arial" w:hAnsi="Arial" w:cs="Arial"/>
              </w:rPr>
            </w:pPr>
            <w:r>
              <w:rPr>
                <w:rFonts w:ascii="Arial" w:hAnsi="Arial" w:cs="Arial"/>
              </w:rPr>
              <w:t>0</w:t>
            </w:r>
          </w:p>
        </w:tc>
        <w:tc>
          <w:tcPr>
            <w:tcW w:w="1223" w:type="dxa"/>
            <w:noWrap/>
          </w:tcPr>
          <w:p w14:paraId="0EF2EFFC" w14:textId="340080A5" w:rsidR="00895C7B" w:rsidRPr="00895C7B" w:rsidRDefault="00895C7B" w:rsidP="005B1F66">
            <w:pPr>
              <w:pStyle w:val="NormalWeb"/>
              <w:spacing w:before="0" w:beforeAutospacing="0" w:after="0" w:afterAutospacing="0"/>
              <w:rPr>
                <w:rFonts w:ascii="Arial" w:hAnsi="Arial" w:cs="Arial"/>
              </w:rPr>
            </w:pPr>
            <w:r>
              <w:rPr>
                <w:rFonts w:ascii="Arial" w:hAnsi="Arial" w:cs="Arial"/>
              </w:rPr>
              <w:t>0</w:t>
            </w:r>
          </w:p>
        </w:tc>
        <w:tc>
          <w:tcPr>
            <w:tcW w:w="1223" w:type="dxa"/>
            <w:noWrap/>
          </w:tcPr>
          <w:p w14:paraId="18ED466E" w14:textId="07C9F7F7" w:rsidR="00895C7B" w:rsidRPr="00895C7B" w:rsidRDefault="00895C7B" w:rsidP="005B1F66">
            <w:pPr>
              <w:pStyle w:val="NormalWeb"/>
              <w:spacing w:before="0" w:beforeAutospacing="0" w:after="0" w:afterAutospacing="0"/>
              <w:rPr>
                <w:rFonts w:ascii="Arial" w:hAnsi="Arial" w:cs="Arial"/>
              </w:rPr>
            </w:pPr>
            <w:r>
              <w:rPr>
                <w:rFonts w:ascii="Arial" w:hAnsi="Arial" w:cs="Arial"/>
              </w:rPr>
              <w:t>N/A</w:t>
            </w:r>
          </w:p>
        </w:tc>
      </w:tr>
    </w:tbl>
    <w:p w14:paraId="5B575AD7" w14:textId="179F3234" w:rsidR="0000594A" w:rsidRDefault="006B18C3" w:rsidP="00ED5B14">
      <w:pPr>
        <w:pStyle w:val="Heading3"/>
      </w:pPr>
      <w:bookmarkStart w:id="43" w:name="_Toc221186065"/>
      <w:r>
        <w:t xml:space="preserve">Connection to the </w:t>
      </w:r>
      <w:r w:rsidR="009F08A9">
        <w:t>Model Uniform Metrics</w:t>
      </w:r>
      <w:bookmarkEnd w:id="43"/>
    </w:p>
    <w:p w14:paraId="18E06E4E" w14:textId="70E3F47C" w:rsidR="00995F51" w:rsidRPr="0029341A" w:rsidRDefault="00A63059" w:rsidP="0029341A">
      <w:pPr>
        <w:spacing w:after="240"/>
        <w:rPr>
          <w:rFonts w:eastAsia="Calibri"/>
          <w:color w:val="auto"/>
          <w:u w:color="000000"/>
          <w:bdr w:val="nil"/>
        </w:rPr>
      </w:pPr>
      <w:r w:rsidRPr="005903B0">
        <w:rPr>
          <w:rFonts w:eastAsia="Calibri"/>
          <w:color w:val="auto"/>
          <w:u w:color="000000"/>
          <w:bdr w:val="nil"/>
        </w:rPr>
        <w:t xml:space="preserve">The model uniform metrics required by </w:t>
      </w:r>
      <w:r w:rsidRPr="005903B0">
        <w:rPr>
          <w:rFonts w:eastAsia="Calibri"/>
          <w:i/>
          <w:iCs/>
          <w:color w:val="auto"/>
          <w:u w:color="000000"/>
          <w:bdr w:val="nil"/>
        </w:rPr>
        <w:t xml:space="preserve">EC </w:t>
      </w:r>
      <w:r w:rsidRPr="005903B0">
        <w:rPr>
          <w:rFonts w:eastAsia="Calibri"/>
          <w:color w:val="auto"/>
          <w:u w:color="000000"/>
          <w:bdr w:val="nil"/>
        </w:rPr>
        <w:t xml:space="preserve">Section 51475 were under development during the </w:t>
      </w:r>
      <w:r w:rsidR="00667D9F" w:rsidRPr="005903B0">
        <w:rPr>
          <w:rFonts w:eastAsia="Calibri"/>
          <w:color w:val="auto"/>
          <w:u w:color="000000"/>
          <w:bdr w:val="nil"/>
        </w:rPr>
        <w:t xml:space="preserve">reporting periods covered by this </w:t>
      </w:r>
      <w:r w:rsidR="00441501" w:rsidRPr="005903B0">
        <w:rPr>
          <w:rFonts w:eastAsia="Calibri"/>
          <w:color w:val="auto"/>
          <w:u w:color="000000"/>
          <w:bdr w:val="nil"/>
        </w:rPr>
        <w:t>report and</w:t>
      </w:r>
      <w:r w:rsidR="00667D9F" w:rsidRPr="005903B0">
        <w:rPr>
          <w:rFonts w:eastAsia="Calibri"/>
          <w:color w:val="auto"/>
          <w:u w:color="000000"/>
          <w:bdr w:val="nil"/>
        </w:rPr>
        <w:t xml:space="preserve"> were not available for </w:t>
      </w:r>
      <w:r w:rsidR="00321AC9">
        <w:rPr>
          <w:rFonts w:eastAsia="Calibri"/>
          <w:color w:val="auto"/>
          <w:u w:color="000000"/>
          <w:bdr w:val="nil"/>
        </w:rPr>
        <w:t>C</w:t>
      </w:r>
      <w:r w:rsidR="005903B0" w:rsidRPr="005903B0">
        <w:rPr>
          <w:rFonts w:eastAsia="Calibri"/>
          <w:color w:val="auto"/>
          <w:u w:color="000000"/>
          <w:bdr w:val="nil"/>
        </w:rPr>
        <w:t>ohort 1 grantees to use in reporting</w:t>
      </w:r>
      <w:r w:rsidR="00667D9F" w:rsidRPr="005903B0">
        <w:rPr>
          <w:rFonts w:eastAsia="Calibri"/>
          <w:color w:val="auto"/>
          <w:u w:color="000000"/>
          <w:bdr w:val="nil"/>
        </w:rPr>
        <w:t xml:space="preserve">. </w:t>
      </w:r>
      <w:r w:rsidR="00C53FA2" w:rsidRPr="005903B0">
        <w:rPr>
          <w:rFonts w:eastAsia="Calibri"/>
          <w:color w:val="auto"/>
          <w:u w:color="000000"/>
          <w:bdr w:val="nil"/>
        </w:rPr>
        <w:t xml:space="preserve">However, the following section </w:t>
      </w:r>
      <w:r w:rsidR="0029341A" w:rsidRPr="005903B0">
        <w:rPr>
          <w:rFonts w:eastAsia="Calibri"/>
          <w:color w:val="auto"/>
          <w:u w:color="000000"/>
          <w:bdr w:val="nil"/>
        </w:rPr>
        <w:t>reports on how Cohort 1 grantees supported the model uniform metrics</w:t>
      </w:r>
      <w:r w:rsidR="00321AC9">
        <w:rPr>
          <w:rFonts w:eastAsia="Calibri"/>
          <w:color w:val="auto"/>
          <w:u w:color="000000"/>
          <w:bdr w:val="nil"/>
        </w:rPr>
        <w:t xml:space="preserve"> using information provided from their progress reports</w:t>
      </w:r>
      <w:r w:rsidR="00995F51" w:rsidRPr="005903B0">
        <w:rPr>
          <w:rFonts w:eastAsia="Calibri"/>
          <w:color w:val="auto"/>
          <w:u w:color="000000"/>
          <w:bdr w:val="nil"/>
        </w:rPr>
        <w:t xml:space="preserve">. The model uniform metrics are </w:t>
      </w:r>
      <w:r w:rsidR="001366E6">
        <w:rPr>
          <w:rFonts w:eastAsia="Calibri"/>
          <w:color w:val="auto"/>
          <w:u w:color="000000"/>
          <w:bdr w:val="nil"/>
        </w:rPr>
        <w:t xml:space="preserve">now </w:t>
      </w:r>
      <w:r w:rsidR="00995F51" w:rsidRPr="005903B0">
        <w:rPr>
          <w:rFonts w:eastAsia="Calibri"/>
          <w:color w:val="auto"/>
          <w:u w:color="000000"/>
          <w:bdr w:val="nil"/>
        </w:rPr>
        <w:t xml:space="preserve">available </w:t>
      </w:r>
      <w:r w:rsidR="00513D0A">
        <w:rPr>
          <w:rFonts w:eastAsia="Calibri"/>
          <w:color w:val="auto"/>
          <w:u w:color="000000"/>
          <w:bdr w:val="nil"/>
        </w:rPr>
        <w:t>under</w:t>
      </w:r>
      <w:r w:rsidR="00513D0A" w:rsidRPr="005903B0">
        <w:rPr>
          <w:rFonts w:eastAsia="Calibri"/>
          <w:color w:val="auto"/>
          <w:u w:color="000000"/>
          <w:bdr w:val="nil"/>
        </w:rPr>
        <w:t xml:space="preserve"> </w:t>
      </w:r>
      <w:r w:rsidR="00995F51" w:rsidRPr="005903B0">
        <w:rPr>
          <w:rFonts w:eastAsia="Calibri"/>
          <w:color w:val="auto"/>
          <w:u w:color="000000"/>
          <w:bdr w:val="nil"/>
        </w:rPr>
        <w:t xml:space="preserve">the “Metrics” tab of the CDE California Serves web page at </w:t>
      </w:r>
      <w:hyperlink r:id="rId20" w:tooltip="CDE California Serves web page" w:history="1">
        <w:r w:rsidR="00995F51" w:rsidRPr="008808C8">
          <w:rPr>
            <w:rStyle w:val="Hyperlink"/>
          </w:rPr>
          <w:t>https://www.cde.ca.gov/ci/pl/californiaserves.asp</w:t>
        </w:r>
      </w:hyperlink>
      <w:r w:rsidR="00995F51" w:rsidRPr="005903B0">
        <w:rPr>
          <w:rFonts w:eastAsia="Calibri"/>
          <w:color w:val="auto"/>
          <w:u w:color="000000"/>
          <w:bdr w:val="nil"/>
        </w:rPr>
        <w:t>.</w:t>
      </w:r>
    </w:p>
    <w:p w14:paraId="6F2A2174" w14:textId="77FFC4F2" w:rsidR="005472C1" w:rsidRPr="00321AC9" w:rsidRDefault="005472C1" w:rsidP="00ED5B14">
      <w:pPr>
        <w:pStyle w:val="Heading4"/>
      </w:pPr>
      <w:bookmarkStart w:id="44" w:name="_Toc221186066"/>
      <w:r w:rsidRPr="00321AC9">
        <w:rPr>
          <w:rStyle w:val="Strong"/>
          <w:b/>
          <w:bCs w:val="0"/>
        </w:rPr>
        <w:t>SSCE Criterion 1</w:t>
      </w:r>
      <w:r w:rsidR="000469A1">
        <w:rPr>
          <w:rStyle w:val="Strong"/>
          <w:b/>
          <w:bCs w:val="0"/>
        </w:rPr>
        <w:t>:</w:t>
      </w:r>
      <w:r w:rsidRPr="00321AC9">
        <w:rPr>
          <w:rStyle w:val="Strong"/>
          <w:b/>
          <w:bCs w:val="0"/>
        </w:rPr>
        <w:t xml:space="preserve"> Academic Work</w:t>
      </w:r>
      <w:bookmarkEnd w:id="44"/>
    </w:p>
    <w:p w14:paraId="3E524B7D" w14:textId="742725FD"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Metric:</w:t>
      </w:r>
      <w:r w:rsidRPr="0029341A">
        <w:rPr>
          <w:rFonts w:ascii="Arial" w:hAnsi="Arial" w:cs="Arial"/>
        </w:rPr>
        <w:t xml:space="preserve"> </w:t>
      </w:r>
      <w:r w:rsidR="00867866" w:rsidRPr="00867866">
        <w:rPr>
          <w:rFonts w:ascii="Arial" w:hAnsi="Arial" w:cs="Arial"/>
        </w:rPr>
        <w:t xml:space="preserve">Maintain a passing grade (as defined locally) or higher in core </w:t>
      </w:r>
      <w:r w:rsidR="00867866">
        <w:rPr>
          <w:rFonts w:ascii="Arial" w:hAnsi="Arial" w:cs="Arial"/>
        </w:rPr>
        <w:t>HSS</w:t>
      </w:r>
      <w:r w:rsidR="00867866" w:rsidRPr="00867866">
        <w:rPr>
          <w:rFonts w:ascii="Arial" w:hAnsi="Arial" w:cs="Arial"/>
        </w:rPr>
        <w:t xml:space="preserve"> courses and demonstrate cross-curricular connections to civic issues, where applicable.</w:t>
      </w:r>
    </w:p>
    <w:p w14:paraId="7626C70F" w14:textId="77777777"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Evidence from Cohort 1:</w:t>
      </w:r>
    </w:p>
    <w:p w14:paraId="48AF83AF" w14:textId="164276DE" w:rsidR="005472C1" w:rsidRPr="0029341A" w:rsidRDefault="005472C1" w:rsidP="0029341A">
      <w:pPr>
        <w:pStyle w:val="NormalWeb"/>
        <w:numPr>
          <w:ilvl w:val="0"/>
          <w:numId w:val="3"/>
        </w:numPr>
        <w:spacing w:before="0" w:beforeAutospacing="0" w:after="240" w:afterAutospacing="0"/>
        <w:rPr>
          <w:rFonts w:ascii="Arial" w:hAnsi="Arial" w:cs="Arial"/>
        </w:rPr>
      </w:pPr>
      <w:r w:rsidRPr="0029341A">
        <w:rPr>
          <w:rFonts w:ascii="Arial" w:hAnsi="Arial" w:cs="Arial"/>
        </w:rPr>
        <w:t xml:space="preserve">All LEAs embedded </w:t>
      </w:r>
      <w:r w:rsidR="001123A1">
        <w:rPr>
          <w:rStyle w:val="Strong"/>
          <w:rFonts w:ascii="Arial" w:hAnsi="Arial" w:cs="Arial"/>
          <w:b w:val="0"/>
          <w:bCs w:val="0"/>
        </w:rPr>
        <w:t>service-learning</w:t>
      </w:r>
      <w:r w:rsidRPr="0029341A">
        <w:rPr>
          <w:rStyle w:val="Strong"/>
          <w:rFonts w:ascii="Arial" w:hAnsi="Arial" w:cs="Arial"/>
          <w:b w:val="0"/>
          <w:bCs w:val="0"/>
        </w:rPr>
        <w:t xml:space="preserve"> into HSS</w:t>
      </w:r>
      <w:r w:rsidRPr="0029341A">
        <w:rPr>
          <w:rFonts w:ascii="Arial" w:hAnsi="Arial" w:cs="Arial"/>
        </w:rPr>
        <w:t xml:space="preserve">; many also incorporated </w:t>
      </w:r>
      <w:r w:rsidR="00263FE4">
        <w:rPr>
          <w:rFonts w:ascii="Arial" w:hAnsi="Arial" w:cs="Arial"/>
        </w:rPr>
        <w:t>into ELA</w:t>
      </w:r>
      <w:r w:rsidRPr="0029341A">
        <w:rPr>
          <w:rFonts w:ascii="Arial" w:hAnsi="Arial" w:cs="Arial"/>
        </w:rPr>
        <w:t xml:space="preserve">, science, and </w:t>
      </w:r>
      <w:r w:rsidR="00263FE4">
        <w:rPr>
          <w:rFonts w:ascii="Arial" w:hAnsi="Arial" w:cs="Arial"/>
        </w:rPr>
        <w:t>CTE</w:t>
      </w:r>
      <w:r w:rsidRPr="0029341A">
        <w:rPr>
          <w:rFonts w:ascii="Arial" w:hAnsi="Arial" w:cs="Arial"/>
        </w:rPr>
        <w:t>.</w:t>
      </w:r>
    </w:p>
    <w:p w14:paraId="105BA685" w14:textId="3FFA320A" w:rsidR="005472C1" w:rsidRPr="0029341A" w:rsidRDefault="005472C1" w:rsidP="0029341A">
      <w:pPr>
        <w:pStyle w:val="NormalWeb"/>
        <w:numPr>
          <w:ilvl w:val="0"/>
          <w:numId w:val="3"/>
        </w:numPr>
        <w:spacing w:before="0" w:beforeAutospacing="0" w:after="240" w:afterAutospacing="0"/>
        <w:rPr>
          <w:rFonts w:ascii="Arial" w:hAnsi="Arial" w:cs="Arial"/>
        </w:rPr>
      </w:pPr>
      <w:r w:rsidRPr="0029341A">
        <w:rPr>
          <w:rStyle w:val="Strong"/>
          <w:rFonts w:ascii="Arial" w:hAnsi="Arial" w:cs="Arial"/>
          <w:b w:val="0"/>
          <w:bCs w:val="0"/>
        </w:rPr>
        <w:t>Hacienda La Puente USD</w:t>
      </w:r>
      <w:r w:rsidRPr="0029341A">
        <w:rPr>
          <w:rFonts w:ascii="Arial" w:hAnsi="Arial" w:cs="Arial"/>
        </w:rPr>
        <w:t xml:space="preserve"> integrated civic research into art </w:t>
      </w:r>
      <w:proofErr w:type="gramStart"/>
      <w:r w:rsidRPr="0029341A">
        <w:rPr>
          <w:rFonts w:ascii="Arial" w:hAnsi="Arial" w:cs="Arial"/>
        </w:rPr>
        <w:t xml:space="preserve">classes </w:t>
      </w:r>
      <w:r w:rsidR="00513D0A">
        <w:rPr>
          <w:rFonts w:ascii="Arial" w:hAnsi="Arial" w:cs="Arial"/>
        </w:rPr>
        <w:t xml:space="preserve"> and</w:t>
      </w:r>
      <w:proofErr w:type="gramEnd"/>
      <w:r w:rsidR="00513D0A">
        <w:rPr>
          <w:rFonts w:ascii="Arial" w:hAnsi="Arial" w:cs="Arial"/>
        </w:rPr>
        <w:t xml:space="preserve"> required </w:t>
      </w:r>
      <w:r w:rsidRPr="0029341A">
        <w:rPr>
          <w:rFonts w:ascii="Arial" w:hAnsi="Arial" w:cs="Arial"/>
        </w:rPr>
        <w:t>academic essays on social issues depicted in public murals.</w:t>
      </w:r>
    </w:p>
    <w:p w14:paraId="270FFCE8" w14:textId="7C5E8963" w:rsidR="005472C1" w:rsidRPr="0029341A" w:rsidRDefault="005472C1" w:rsidP="0029341A">
      <w:pPr>
        <w:pStyle w:val="NormalWeb"/>
        <w:numPr>
          <w:ilvl w:val="0"/>
          <w:numId w:val="3"/>
        </w:numPr>
        <w:spacing w:before="0" w:beforeAutospacing="0" w:after="240" w:afterAutospacing="0"/>
        <w:rPr>
          <w:rFonts w:ascii="Arial" w:hAnsi="Arial" w:cs="Arial"/>
        </w:rPr>
      </w:pPr>
      <w:r w:rsidRPr="0029341A">
        <w:rPr>
          <w:rStyle w:val="Strong"/>
          <w:rFonts w:ascii="Arial" w:hAnsi="Arial" w:cs="Arial"/>
          <w:b w:val="0"/>
          <w:bCs w:val="0"/>
        </w:rPr>
        <w:t>Kern COE</w:t>
      </w:r>
      <w:r w:rsidRPr="0029341A">
        <w:rPr>
          <w:rFonts w:ascii="Arial" w:hAnsi="Arial" w:cs="Arial"/>
        </w:rPr>
        <w:t xml:space="preserve"> used water conservation projects as a cross</w:t>
      </w:r>
      <w:r w:rsidRPr="0029341A">
        <w:rPr>
          <w:rFonts w:ascii="Arial" w:hAnsi="Arial" w:cs="Arial"/>
        </w:rPr>
        <w:noBreakHyphen/>
        <w:t xml:space="preserve">disciplinary unit </w:t>
      </w:r>
      <w:r w:rsidR="00513D0A">
        <w:rPr>
          <w:rFonts w:ascii="Arial" w:hAnsi="Arial" w:cs="Arial"/>
        </w:rPr>
        <w:t>to link</w:t>
      </w:r>
      <w:r w:rsidR="00513D0A" w:rsidRPr="0029341A">
        <w:rPr>
          <w:rFonts w:ascii="Arial" w:hAnsi="Arial" w:cs="Arial"/>
        </w:rPr>
        <w:t xml:space="preserve"> </w:t>
      </w:r>
      <w:r w:rsidRPr="0029341A">
        <w:rPr>
          <w:rFonts w:ascii="Arial" w:hAnsi="Arial" w:cs="Arial"/>
        </w:rPr>
        <w:t>science, civics, and mathematics.</w:t>
      </w:r>
    </w:p>
    <w:p w14:paraId="2B6619CA" w14:textId="7F1ECDDA"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lastRenderedPageBreak/>
        <w:t>Outcome Trend:</w:t>
      </w:r>
      <w:r w:rsidR="0029341A">
        <w:rPr>
          <w:rFonts w:ascii="Arial" w:hAnsi="Arial" w:cs="Arial"/>
        </w:rPr>
        <w:t xml:space="preserve"> </w:t>
      </w:r>
      <w:r w:rsidRPr="0029341A">
        <w:rPr>
          <w:rFonts w:ascii="Arial" w:hAnsi="Arial" w:cs="Arial"/>
        </w:rPr>
        <w:t>At least 9 of 12 LEAs described measurable academic connections between service-learning activities and coursework. Quantitative grade data was not consistently reported, but qualitative teacher feedback indicated improved engagement and participation.</w:t>
      </w:r>
    </w:p>
    <w:p w14:paraId="764F560C" w14:textId="5A365D63" w:rsidR="005472C1" w:rsidRPr="00263FE4" w:rsidRDefault="005472C1" w:rsidP="00ED5B14">
      <w:pPr>
        <w:pStyle w:val="Heading4"/>
      </w:pPr>
      <w:bookmarkStart w:id="45" w:name="_Toc221186067"/>
      <w:r w:rsidRPr="00263FE4">
        <w:rPr>
          <w:rStyle w:val="Strong"/>
          <w:b/>
          <w:bCs w:val="0"/>
        </w:rPr>
        <w:t>SSCE Criterion 2</w:t>
      </w:r>
      <w:r w:rsidR="000469A1">
        <w:rPr>
          <w:rStyle w:val="Strong"/>
          <w:b/>
          <w:bCs w:val="0"/>
        </w:rPr>
        <w:t xml:space="preserve">: </w:t>
      </w:r>
      <w:r w:rsidRPr="00263FE4">
        <w:rPr>
          <w:rStyle w:val="Strong"/>
          <w:b/>
          <w:bCs w:val="0"/>
        </w:rPr>
        <w:t xml:space="preserve">Understanding of </w:t>
      </w:r>
      <w:r w:rsidR="00B9445A">
        <w:rPr>
          <w:rStyle w:val="Strong"/>
          <w:b/>
          <w:bCs w:val="0"/>
        </w:rPr>
        <w:t>the U.S. Constitution and Government</w:t>
      </w:r>
      <w:bookmarkEnd w:id="45"/>
    </w:p>
    <w:p w14:paraId="5CA4FA00" w14:textId="37E56FED"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Metric:</w:t>
      </w:r>
      <w:r w:rsidRPr="0029341A">
        <w:rPr>
          <w:rFonts w:ascii="Arial" w:hAnsi="Arial" w:cs="Arial"/>
        </w:rPr>
        <w:t xml:space="preserve"> </w:t>
      </w:r>
      <w:r w:rsidR="00B501ED" w:rsidRPr="00B501ED">
        <w:rPr>
          <w:rFonts w:ascii="Arial" w:hAnsi="Arial" w:cs="Arial"/>
        </w:rPr>
        <w:t>Demonstrate proficiency in understanding governmental structures and democratic principles through assessments and reflective civic learning activities.</w:t>
      </w:r>
    </w:p>
    <w:p w14:paraId="4017C4B7" w14:textId="77777777"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Evidence from Cohort 1:</w:t>
      </w:r>
    </w:p>
    <w:p w14:paraId="6AE27DD7" w14:textId="77777777" w:rsidR="005472C1" w:rsidRPr="0029341A" w:rsidRDefault="005472C1" w:rsidP="0029341A">
      <w:pPr>
        <w:pStyle w:val="NormalWeb"/>
        <w:numPr>
          <w:ilvl w:val="0"/>
          <w:numId w:val="4"/>
        </w:numPr>
        <w:spacing w:before="0" w:beforeAutospacing="0" w:after="240" w:afterAutospacing="0"/>
        <w:rPr>
          <w:rFonts w:ascii="Arial" w:hAnsi="Arial" w:cs="Arial"/>
        </w:rPr>
      </w:pPr>
      <w:r w:rsidRPr="0029341A">
        <w:rPr>
          <w:rStyle w:val="Strong"/>
          <w:rFonts w:ascii="Arial" w:hAnsi="Arial" w:cs="Arial"/>
          <w:b w:val="0"/>
          <w:bCs w:val="0"/>
        </w:rPr>
        <w:t>John Muir Charter School</w:t>
      </w:r>
      <w:r w:rsidRPr="0029341A">
        <w:rPr>
          <w:rFonts w:ascii="Arial" w:hAnsi="Arial" w:cs="Arial"/>
        </w:rPr>
        <w:t xml:space="preserve"> had students observe public meetings and prepare reports on decision</w:t>
      </w:r>
      <w:r w:rsidRPr="0029341A">
        <w:rPr>
          <w:rFonts w:ascii="Arial" w:hAnsi="Arial" w:cs="Arial"/>
        </w:rPr>
        <w:noBreakHyphen/>
        <w:t>making processes.</w:t>
      </w:r>
    </w:p>
    <w:p w14:paraId="0E028763" w14:textId="77777777" w:rsidR="005472C1" w:rsidRPr="0029341A" w:rsidRDefault="005472C1" w:rsidP="0029341A">
      <w:pPr>
        <w:pStyle w:val="NormalWeb"/>
        <w:numPr>
          <w:ilvl w:val="0"/>
          <w:numId w:val="4"/>
        </w:numPr>
        <w:spacing w:before="0" w:beforeAutospacing="0" w:after="240" w:afterAutospacing="0"/>
        <w:rPr>
          <w:rFonts w:ascii="Arial" w:hAnsi="Arial" w:cs="Arial"/>
        </w:rPr>
      </w:pPr>
      <w:r w:rsidRPr="0029341A">
        <w:rPr>
          <w:rStyle w:val="Strong"/>
          <w:rFonts w:ascii="Arial" w:hAnsi="Arial" w:cs="Arial"/>
          <w:b w:val="0"/>
          <w:bCs w:val="0"/>
        </w:rPr>
        <w:t>Santa Clara COE</w:t>
      </w:r>
      <w:r w:rsidRPr="0029341A">
        <w:rPr>
          <w:rFonts w:ascii="Arial" w:hAnsi="Arial" w:cs="Arial"/>
        </w:rPr>
        <w:t xml:space="preserve"> facilitated youth advisory panels presenting recommendations to the county board.</w:t>
      </w:r>
    </w:p>
    <w:p w14:paraId="12109232" w14:textId="77777777" w:rsidR="005472C1" w:rsidRPr="0029341A" w:rsidRDefault="005472C1" w:rsidP="0029341A">
      <w:pPr>
        <w:pStyle w:val="NormalWeb"/>
        <w:numPr>
          <w:ilvl w:val="0"/>
          <w:numId w:val="4"/>
        </w:numPr>
        <w:spacing w:before="0" w:beforeAutospacing="0" w:after="240" w:afterAutospacing="0"/>
        <w:rPr>
          <w:rFonts w:ascii="Arial" w:hAnsi="Arial" w:cs="Arial"/>
        </w:rPr>
      </w:pPr>
      <w:r w:rsidRPr="0029341A">
        <w:rPr>
          <w:rStyle w:val="Strong"/>
          <w:rFonts w:ascii="Arial" w:hAnsi="Arial" w:cs="Arial"/>
          <w:b w:val="0"/>
          <w:bCs w:val="0"/>
        </w:rPr>
        <w:t>San Joaquin COE</w:t>
      </w:r>
      <w:r w:rsidRPr="0029341A">
        <w:rPr>
          <w:rFonts w:ascii="Arial" w:hAnsi="Arial" w:cs="Arial"/>
          <w:b/>
          <w:bCs/>
        </w:rPr>
        <w:t xml:space="preserve"> </w:t>
      </w:r>
      <w:r w:rsidRPr="00DF7D0A">
        <w:rPr>
          <w:rFonts w:ascii="Arial" w:hAnsi="Arial" w:cs="Arial"/>
        </w:rPr>
        <w:t>and</w:t>
      </w:r>
      <w:r w:rsidRPr="0029341A">
        <w:rPr>
          <w:rFonts w:ascii="Arial" w:hAnsi="Arial" w:cs="Arial"/>
          <w:b/>
          <w:bCs/>
        </w:rPr>
        <w:t xml:space="preserve"> </w:t>
      </w:r>
      <w:r w:rsidRPr="0029341A">
        <w:rPr>
          <w:rStyle w:val="Strong"/>
          <w:rFonts w:ascii="Arial" w:hAnsi="Arial" w:cs="Arial"/>
          <w:b w:val="0"/>
          <w:bCs w:val="0"/>
        </w:rPr>
        <w:t>Glenn COE</w:t>
      </w:r>
      <w:r w:rsidRPr="0029341A">
        <w:rPr>
          <w:rFonts w:ascii="Arial" w:hAnsi="Arial" w:cs="Arial"/>
        </w:rPr>
        <w:t xml:space="preserve"> engaged students in policy research and direct presentations to local officials.</w:t>
      </w:r>
    </w:p>
    <w:p w14:paraId="20C5489B" w14:textId="51C9A069"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Outcome Trend:</w:t>
      </w:r>
      <w:r w:rsidR="00CD677B">
        <w:rPr>
          <w:rFonts w:ascii="Arial" w:hAnsi="Arial" w:cs="Arial"/>
        </w:rPr>
        <w:t xml:space="preserve"> </w:t>
      </w:r>
      <w:r w:rsidRPr="0029341A">
        <w:rPr>
          <w:rFonts w:ascii="Arial" w:hAnsi="Arial" w:cs="Arial"/>
        </w:rPr>
        <w:t>Civic literacy and understanding of governmental processes</w:t>
      </w:r>
      <w:r w:rsidR="00513D0A" w:rsidRPr="0029341A">
        <w:rPr>
          <w:rFonts w:ascii="Arial" w:hAnsi="Arial" w:cs="Arial"/>
        </w:rPr>
        <w:t>, as measured by student self</w:t>
      </w:r>
      <w:r w:rsidR="00513D0A" w:rsidRPr="0029341A">
        <w:rPr>
          <w:rFonts w:ascii="Arial" w:hAnsi="Arial" w:cs="Arial"/>
        </w:rPr>
        <w:noBreakHyphen/>
        <w:t>reflections and teacher observations</w:t>
      </w:r>
      <w:r w:rsidR="00513D0A">
        <w:rPr>
          <w:rFonts w:ascii="Arial" w:hAnsi="Arial" w:cs="Arial"/>
        </w:rPr>
        <w:t>,</w:t>
      </w:r>
      <w:r w:rsidRPr="0029341A">
        <w:rPr>
          <w:rFonts w:ascii="Arial" w:hAnsi="Arial" w:cs="Arial"/>
        </w:rPr>
        <w:t xml:space="preserve"> </w:t>
      </w:r>
      <w:proofErr w:type="gramStart"/>
      <w:r w:rsidRPr="0029341A">
        <w:rPr>
          <w:rFonts w:ascii="Arial" w:hAnsi="Arial" w:cs="Arial"/>
        </w:rPr>
        <w:t>increased</w:t>
      </w:r>
      <w:r w:rsidR="00513D0A">
        <w:rPr>
          <w:rFonts w:ascii="Arial" w:hAnsi="Arial" w:cs="Arial"/>
        </w:rPr>
        <w:t>.</w:t>
      </w:r>
      <w:r w:rsidRPr="0029341A">
        <w:rPr>
          <w:rFonts w:ascii="Arial" w:hAnsi="Arial" w:cs="Arial"/>
        </w:rPr>
        <w:t>.</w:t>
      </w:r>
      <w:proofErr w:type="gramEnd"/>
      <w:r w:rsidRPr="0029341A">
        <w:rPr>
          <w:rFonts w:ascii="Arial" w:hAnsi="Arial" w:cs="Arial"/>
        </w:rPr>
        <w:t xml:space="preserve"> Formal assessments were not uniformly implemented.</w:t>
      </w:r>
    </w:p>
    <w:p w14:paraId="66AA03B9" w14:textId="2C48F116" w:rsidR="005472C1" w:rsidRPr="00DF7D0A" w:rsidRDefault="005472C1" w:rsidP="00ED5B14">
      <w:pPr>
        <w:pStyle w:val="Heading4"/>
      </w:pPr>
      <w:bookmarkStart w:id="46" w:name="_Toc221186068"/>
      <w:r w:rsidRPr="00DF7D0A">
        <w:rPr>
          <w:rStyle w:val="Strong"/>
          <w:b/>
          <w:bCs w:val="0"/>
        </w:rPr>
        <w:t>SSCE Criterion 3</w:t>
      </w:r>
      <w:r w:rsidR="000469A1">
        <w:rPr>
          <w:rStyle w:val="Strong"/>
          <w:b/>
          <w:bCs w:val="0"/>
        </w:rPr>
        <w:t>:</w:t>
      </w:r>
      <w:r w:rsidRPr="00DF7D0A">
        <w:rPr>
          <w:rStyle w:val="Strong"/>
          <w:b/>
          <w:bCs w:val="0"/>
        </w:rPr>
        <w:t xml:space="preserve"> Informed Civic Engagement Projects</w:t>
      </w:r>
      <w:bookmarkEnd w:id="46"/>
    </w:p>
    <w:p w14:paraId="7B2B498E" w14:textId="77777777" w:rsidR="00AF026D" w:rsidRDefault="007A0A06" w:rsidP="0029341A">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00AF026D" w:rsidRPr="00AF026D">
        <w:rPr>
          <w:rFonts w:ascii="Arial" w:hAnsi="Arial" w:cs="Arial"/>
        </w:rPr>
        <w:t>Completion of a student-led civic engagement project that addresses a community issue, including documented research, planning, action, and reflection.</w:t>
      </w:r>
    </w:p>
    <w:p w14:paraId="5D8A866C" w14:textId="3DEAFE51"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Evidence from Cohort 1:</w:t>
      </w:r>
    </w:p>
    <w:p w14:paraId="78C4F5FB" w14:textId="574719AB" w:rsidR="005472C1" w:rsidRPr="006B37F2" w:rsidRDefault="005472C1" w:rsidP="005B1F66">
      <w:pPr>
        <w:pStyle w:val="NormalWeb"/>
        <w:numPr>
          <w:ilvl w:val="0"/>
          <w:numId w:val="5"/>
        </w:numPr>
        <w:spacing w:before="0" w:beforeAutospacing="0" w:after="240" w:afterAutospacing="0"/>
        <w:rPr>
          <w:rFonts w:ascii="Arial" w:hAnsi="Arial" w:cs="Arial"/>
        </w:rPr>
      </w:pPr>
      <w:r w:rsidRPr="0029341A">
        <w:rPr>
          <w:rFonts w:ascii="Arial" w:hAnsi="Arial" w:cs="Arial"/>
        </w:rPr>
        <w:t xml:space="preserve">All LEAs implemented at least one </w:t>
      </w:r>
      <w:r w:rsidRPr="00CD677B">
        <w:rPr>
          <w:rStyle w:val="Strong"/>
          <w:rFonts w:ascii="Arial" w:hAnsi="Arial" w:cs="Arial"/>
          <w:b w:val="0"/>
          <w:bCs w:val="0"/>
        </w:rPr>
        <w:t>major service-learning project</w:t>
      </w:r>
      <w:r w:rsidRPr="0029341A">
        <w:rPr>
          <w:rFonts w:ascii="Arial" w:hAnsi="Arial" w:cs="Arial"/>
        </w:rPr>
        <w:t xml:space="preserve"> tied to community priorities.</w:t>
      </w:r>
      <w:r w:rsidR="006B37F2">
        <w:rPr>
          <w:rFonts w:ascii="Arial" w:hAnsi="Arial" w:cs="Arial"/>
        </w:rPr>
        <w:t xml:space="preserve"> </w:t>
      </w:r>
      <w:r w:rsidRPr="006B37F2">
        <w:rPr>
          <w:rFonts w:ascii="Arial" w:hAnsi="Arial" w:cs="Arial"/>
        </w:rPr>
        <w:t>Examples include:</w:t>
      </w:r>
    </w:p>
    <w:p w14:paraId="371D898F" w14:textId="34209347" w:rsidR="005472C1" w:rsidRPr="0029341A" w:rsidRDefault="00CD677B" w:rsidP="0029341A">
      <w:pPr>
        <w:pStyle w:val="NormalWeb"/>
        <w:numPr>
          <w:ilvl w:val="1"/>
          <w:numId w:val="5"/>
        </w:numPr>
        <w:spacing w:before="0" w:beforeAutospacing="0" w:after="240" w:afterAutospacing="0"/>
        <w:rPr>
          <w:rFonts w:ascii="Arial" w:hAnsi="Arial" w:cs="Arial"/>
        </w:rPr>
      </w:pPr>
      <w:r>
        <w:rPr>
          <w:rStyle w:val="Strong"/>
          <w:rFonts w:ascii="Arial" w:hAnsi="Arial" w:cs="Arial"/>
          <w:b w:val="0"/>
          <w:bCs w:val="0"/>
        </w:rPr>
        <w:t>Antioch USD implemented co</w:t>
      </w:r>
      <w:r w:rsidR="005472C1" w:rsidRPr="0029341A">
        <w:rPr>
          <w:rFonts w:ascii="Arial" w:hAnsi="Arial" w:cs="Arial"/>
        </w:rPr>
        <w:t>mmunity improvement initiatives with city partnerships.</w:t>
      </w:r>
    </w:p>
    <w:p w14:paraId="0332F1AB" w14:textId="1B5E7605" w:rsidR="005472C1" w:rsidRPr="0029341A" w:rsidRDefault="00CD677B" w:rsidP="0029341A">
      <w:pPr>
        <w:pStyle w:val="NormalWeb"/>
        <w:numPr>
          <w:ilvl w:val="1"/>
          <w:numId w:val="5"/>
        </w:numPr>
        <w:spacing w:before="0" w:beforeAutospacing="0" w:after="240" w:afterAutospacing="0"/>
        <w:rPr>
          <w:rFonts w:ascii="Arial" w:hAnsi="Arial" w:cs="Arial"/>
        </w:rPr>
      </w:pPr>
      <w:r>
        <w:rPr>
          <w:rStyle w:val="Strong"/>
          <w:rFonts w:ascii="Arial" w:hAnsi="Arial" w:cs="Arial"/>
          <w:b w:val="0"/>
          <w:bCs w:val="0"/>
        </w:rPr>
        <w:t>Rialto USD</w:t>
      </w:r>
      <w:r w:rsidR="00206451">
        <w:rPr>
          <w:rStyle w:val="Strong"/>
          <w:rFonts w:ascii="Arial" w:hAnsi="Arial" w:cs="Arial"/>
          <w:b w:val="0"/>
          <w:bCs w:val="0"/>
        </w:rPr>
        <w:t xml:space="preserve"> students participated in t</w:t>
      </w:r>
      <w:r w:rsidR="005472C1" w:rsidRPr="0029341A">
        <w:rPr>
          <w:rFonts w:ascii="Arial" w:hAnsi="Arial" w:cs="Arial"/>
        </w:rPr>
        <w:t>ransportation safety audits with municipal engineers.</w:t>
      </w:r>
    </w:p>
    <w:p w14:paraId="546DE1DF" w14:textId="2806F4DB" w:rsidR="005472C1" w:rsidRPr="0029341A" w:rsidRDefault="00206451" w:rsidP="0029341A">
      <w:pPr>
        <w:pStyle w:val="NormalWeb"/>
        <w:numPr>
          <w:ilvl w:val="1"/>
          <w:numId w:val="5"/>
        </w:numPr>
        <w:spacing w:before="0" w:beforeAutospacing="0" w:after="240" w:afterAutospacing="0"/>
        <w:rPr>
          <w:rFonts w:ascii="Arial" w:hAnsi="Arial" w:cs="Arial"/>
        </w:rPr>
      </w:pPr>
      <w:r>
        <w:rPr>
          <w:rStyle w:val="Strong"/>
          <w:rFonts w:ascii="Arial" w:hAnsi="Arial" w:cs="Arial"/>
          <w:b w:val="0"/>
          <w:bCs w:val="0"/>
        </w:rPr>
        <w:t>Fresno COE students engaged in</w:t>
      </w:r>
      <w:r w:rsidR="005472C1" w:rsidRPr="0029341A">
        <w:rPr>
          <w:rFonts w:ascii="Arial" w:hAnsi="Arial" w:cs="Arial"/>
        </w:rPr>
        <w:t xml:space="preserve"> health campaigns in multiple languages.</w:t>
      </w:r>
    </w:p>
    <w:p w14:paraId="167EFD0F" w14:textId="2DEC3387"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lastRenderedPageBreak/>
        <w:t>Outcome Trend:</w:t>
      </w:r>
      <w:r w:rsidR="00206451">
        <w:rPr>
          <w:rFonts w:ascii="Arial" w:hAnsi="Arial" w:cs="Arial"/>
        </w:rPr>
        <w:t xml:space="preserve"> </w:t>
      </w:r>
      <w:r w:rsidR="00513D0A">
        <w:rPr>
          <w:rFonts w:ascii="Arial" w:hAnsi="Arial" w:cs="Arial"/>
        </w:rPr>
        <w:t>There was h</w:t>
      </w:r>
      <w:r w:rsidRPr="0029341A">
        <w:rPr>
          <w:rFonts w:ascii="Arial" w:hAnsi="Arial" w:cs="Arial"/>
        </w:rPr>
        <w:t>igh participation in civic projects, though not all LEAs provided counts of student involvement. Projects were community</w:t>
      </w:r>
      <w:r w:rsidRPr="0029341A">
        <w:rPr>
          <w:rFonts w:ascii="Arial" w:hAnsi="Arial" w:cs="Arial"/>
        </w:rPr>
        <w:noBreakHyphen/>
        <w:t>driven and often produced tangible outcomes (e.g., infrastructure proposals, policy recommendations).</w:t>
      </w:r>
    </w:p>
    <w:p w14:paraId="5968F255" w14:textId="3FC2292C" w:rsidR="005472C1" w:rsidRPr="00DF7D0A" w:rsidRDefault="005472C1" w:rsidP="00ED5B14">
      <w:pPr>
        <w:pStyle w:val="Heading4"/>
      </w:pPr>
      <w:bookmarkStart w:id="47" w:name="_Toc221186069"/>
      <w:r w:rsidRPr="00DF7D0A">
        <w:rPr>
          <w:rStyle w:val="Strong"/>
          <w:b/>
          <w:bCs w:val="0"/>
        </w:rPr>
        <w:t>SSCE Criterion 4</w:t>
      </w:r>
      <w:r w:rsidR="000469A1">
        <w:rPr>
          <w:rStyle w:val="Strong"/>
          <w:b/>
          <w:bCs w:val="0"/>
        </w:rPr>
        <w:t>:</w:t>
      </w:r>
      <w:r w:rsidRPr="00DF7D0A">
        <w:rPr>
          <w:rStyle w:val="Strong"/>
          <w:b/>
          <w:bCs w:val="0"/>
        </w:rPr>
        <w:t xml:space="preserve"> Reflection on Civic Knowledge and Skills</w:t>
      </w:r>
      <w:bookmarkEnd w:id="47"/>
    </w:p>
    <w:p w14:paraId="7E3F95BF" w14:textId="77777777" w:rsidR="007A0A06" w:rsidRPr="0045122E" w:rsidRDefault="007A0A06" w:rsidP="007A0A06">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Pr="000D1917">
        <w:rPr>
          <w:rFonts w:ascii="Arial" w:hAnsi="Arial" w:cs="Arial"/>
        </w:rPr>
        <w:t>Reflective writing or multimedia projects that assess personal growth in civic knowledge, skills, and dispositions resulting from service-learning activities.</w:t>
      </w:r>
    </w:p>
    <w:p w14:paraId="7C51DE4E" w14:textId="77777777"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Evidence from Cohort 1:</w:t>
      </w:r>
    </w:p>
    <w:p w14:paraId="6BCA5018" w14:textId="77777777" w:rsidR="005472C1" w:rsidRPr="0029341A" w:rsidRDefault="005472C1" w:rsidP="0029341A">
      <w:pPr>
        <w:pStyle w:val="NormalWeb"/>
        <w:numPr>
          <w:ilvl w:val="0"/>
          <w:numId w:val="6"/>
        </w:numPr>
        <w:spacing w:before="0" w:beforeAutospacing="0" w:after="240" w:afterAutospacing="0"/>
        <w:rPr>
          <w:rFonts w:ascii="Arial" w:hAnsi="Arial" w:cs="Arial"/>
        </w:rPr>
      </w:pPr>
      <w:r w:rsidRPr="00206451">
        <w:rPr>
          <w:rStyle w:val="Strong"/>
          <w:rFonts w:ascii="Arial" w:hAnsi="Arial" w:cs="Arial"/>
          <w:b w:val="0"/>
          <w:bCs w:val="0"/>
        </w:rPr>
        <w:t>Health Sciences High and Middle College</w:t>
      </w:r>
      <w:r w:rsidRPr="0029341A">
        <w:rPr>
          <w:rFonts w:ascii="Arial" w:hAnsi="Arial" w:cs="Arial"/>
        </w:rPr>
        <w:t xml:space="preserve"> required video diaries documenting civic learning.</w:t>
      </w:r>
    </w:p>
    <w:p w14:paraId="4B6F8900" w14:textId="77777777" w:rsidR="005472C1" w:rsidRPr="0029341A" w:rsidRDefault="005472C1" w:rsidP="0029341A">
      <w:pPr>
        <w:pStyle w:val="NormalWeb"/>
        <w:numPr>
          <w:ilvl w:val="0"/>
          <w:numId w:val="6"/>
        </w:numPr>
        <w:spacing w:before="0" w:beforeAutospacing="0" w:after="240" w:afterAutospacing="0"/>
        <w:rPr>
          <w:rFonts w:ascii="Arial" w:hAnsi="Arial" w:cs="Arial"/>
        </w:rPr>
      </w:pPr>
      <w:r w:rsidRPr="00206451">
        <w:rPr>
          <w:rStyle w:val="Strong"/>
          <w:rFonts w:ascii="Arial" w:hAnsi="Arial" w:cs="Arial"/>
          <w:b w:val="0"/>
          <w:bCs w:val="0"/>
        </w:rPr>
        <w:t>Hacienda La Puente</w:t>
      </w:r>
      <w:r w:rsidRPr="0029341A">
        <w:rPr>
          <w:rStyle w:val="Strong"/>
          <w:rFonts w:ascii="Arial" w:hAnsi="Arial" w:cs="Arial"/>
        </w:rPr>
        <w:t xml:space="preserve"> </w:t>
      </w:r>
      <w:r w:rsidRPr="00206451">
        <w:rPr>
          <w:rStyle w:val="Strong"/>
          <w:rFonts w:ascii="Arial" w:hAnsi="Arial" w:cs="Arial"/>
          <w:b w:val="0"/>
          <w:bCs w:val="0"/>
        </w:rPr>
        <w:t>USD</w:t>
      </w:r>
      <w:r w:rsidRPr="0029341A">
        <w:rPr>
          <w:rFonts w:ascii="Arial" w:hAnsi="Arial" w:cs="Arial"/>
        </w:rPr>
        <w:t xml:space="preserve"> incorporated journals and oral presentations linked to student projects.</w:t>
      </w:r>
    </w:p>
    <w:p w14:paraId="10E7AE94" w14:textId="77777777" w:rsidR="005472C1" w:rsidRPr="0029341A" w:rsidRDefault="005472C1" w:rsidP="0029341A">
      <w:pPr>
        <w:pStyle w:val="NormalWeb"/>
        <w:numPr>
          <w:ilvl w:val="0"/>
          <w:numId w:val="6"/>
        </w:numPr>
        <w:spacing w:before="0" w:beforeAutospacing="0" w:after="240" w:afterAutospacing="0"/>
        <w:rPr>
          <w:rFonts w:ascii="Arial" w:hAnsi="Arial" w:cs="Arial"/>
        </w:rPr>
      </w:pPr>
      <w:r w:rsidRPr="00206451">
        <w:rPr>
          <w:rStyle w:val="Strong"/>
          <w:rFonts w:ascii="Arial" w:hAnsi="Arial" w:cs="Arial"/>
          <w:b w:val="0"/>
          <w:bCs w:val="0"/>
        </w:rPr>
        <w:t>New Village Girls Academy</w:t>
      </w:r>
      <w:r w:rsidRPr="0029341A">
        <w:rPr>
          <w:rFonts w:ascii="Arial" w:hAnsi="Arial" w:cs="Arial"/>
        </w:rPr>
        <w:t xml:space="preserve"> conducted group reflections and portfolio reviews.</w:t>
      </w:r>
    </w:p>
    <w:p w14:paraId="2321149F" w14:textId="139B8B1D"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Outcome Trend:</w:t>
      </w:r>
      <w:r w:rsidR="00B008B5">
        <w:rPr>
          <w:rFonts w:ascii="Arial" w:hAnsi="Arial" w:cs="Arial"/>
        </w:rPr>
        <w:t xml:space="preserve"> </w:t>
      </w:r>
      <w:r w:rsidRPr="0029341A">
        <w:rPr>
          <w:rFonts w:ascii="Arial" w:hAnsi="Arial" w:cs="Arial"/>
        </w:rPr>
        <w:t xml:space="preserve">Reflection activities were widely implemented and cited by educators as a key factor in deepening civic identity. </w:t>
      </w:r>
      <w:r w:rsidR="00B008B5">
        <w:rPr>
          <w:rFonts w:ascii="Arial" w:hAnsi="Arial" w:cs="Arial"/>
        </w:rPr>
        <w:t>Q</w:t>
      </w:r>
      <w:r w:rsidRPr="0029341A">
        <w:rPr>
          <w:rFonts w:ascii="Arial" w:hAnsi="Arial" w:cs="Arial"/>
        </w:rPr>
        <w:t>ualitative evidence showed strong student engagement</w:t>
      </w:r>
      <w:r w:rsidR="00B008B5">
        <w:rPr>
          <w:rFonts w:ascii="Arial" w:hAnsi="Arial" w:cs="Arial"/>
        </w:rPr>
        <w:t xml:space="preserve"> from student reflections.</w:t>
      </w:r>
    </w:p>
    <w:p w14:paraId="529A1861" w14:textId="59817DD6" w:rsidR="005472C1" w:rsidRPr="00050ED4" w:rsidRDefault="005472C1" w:rsidP="00ED5B14">
      <w:pPr>
        <w:pStyle w:val="Heading4"/>
      </w:pPr>
      <w:bookmarkStart w:id="48" w:name="_Toc221186070"/>
      <w:r w:rsidRPr="00050ED4">
        <w:rPr>
          <w:rStyle w:val="Strong"/>
          <w:b/>
          <w:bCs w:val="0"/>
        </w:rPr>
        <w:t>SSCE Criterion</w:t>
      </w:r>
      <w:r w:rsidR="0076713B">
        <w:rPr>
          <w:rStyle w:val="Strong"/>
          <w:b/>
          <w:bCs w:val="0"/>
        </w:rPr>
        <w:t xml:space="preserve"> </w:t>
      </w:r>
      <w:r w:rsidRPr="00050ED4">
        <w:rPr>
          <w:rStyle w:val="Strong"/>
          <w:b/>
          <w:bCs w:val="0"/>
        </w:rPr>
        <w:t>5</w:t>
      </w:r>
      <w:r w:rsidR="002C2FE7">
        <w:rPr>
          <w:rStyle w:val="Strong"/>
          <w:b/>
          <w:bCs w:val="0"/>
        </w:rPr>
        <w:t xml:space="preserve">: </w:t>
      </w:r>
      <w:r w:rsidRPr="00050ED4">
        <w:rPr>
          <w:rStyle w:val="Strong"/>
          <w:b/>
          <w:bCs w:val="0"/>
        </w:rPr>
        <w:t>Civic</w:t>
      </w:r>
      <w:r w:rsidR="00050ED4" w:rsidRPr="00050ED4">
        <w:rPr>
          <w:rStyle w:val="Strong"/>
          <w:b/>
          <w:bCs w:val="0"/>
        </w:rPr>
        <w:t>-</w:t>
      </w:r>
      <w:r w:rsidRPr="00050ED4">
        <w:rPr>
          <w:rStyle w:val="Strong"/>
          <w:b/>
          <w:bCs w:val="0"/>
        </w:rPr>
        <w:t>Minded Character Traits</w:t>
      </w:r>
      <w:bookmarkEnd w:id="48"/>
    </w:p>
    <w:p w14:paraId="31FDD711" w14:textId="77777777" w:rsidR="002C2FE7" w:rsidRPr="0045122E" w:rsidRDefault="002C2FE7" w:rsidP="002C2FE7">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Pr="001A7B26">
        <w:rPr>
          <w:rFonts w:ascii="Arial" w:hAnsi="Arial" w:cs="Arial"/>
        </w:rPr>
        <w:t>Demonstration of traits such as responsibility, respect, and commitment through teacher evaluations, peer reviews, or community partner feedback.</w:t>
      </w:r>
    </w:p>
    <w:p w14:paraId="0D74C867" w14:textId="77777777" w:rsidR="005472C1" w:rsidRPr="0029341A" w:rsidRDefault="005472C1" w:rsidP="0029341A">
      <w:pPr>
        <w:pStyle w:val="NormalWeb"/>
        <w:spacing w:before="0" w:beforeAutospacing="0" w:after="240" w:afterAutospacing="0"/>
        <w:rPr>
          <w:rFonts w:ascii="Arial" w:hAnsi="Arial" w:cs="Arial"/>
        </w:rPr>
      </w:pPr>
      <w:r w:rsidRPr="0029341A">
        <w:rPr>
          <w:rStyle w:val="Strong"/>
          <w:rFonts w:ascii="Arial" w:hAnsi="Arial" w:cs="Arial"/>
        </w:rPr>
        <w:t>Evidence from Cohort 1:</w:t>
      </w:r>
    </w:p>
    <w:p w14:paraId="5438DBAD" w14:textId="77777777" w:rsidR="005472C1" w:rsidRPr="0029341A" w:rsidRDefault="005472C1" w:rsidP="0029341A">
      <w:pPr>
        <w:pStyle w:val="NormalWeb"/>
        <w:numPr>
          <w:ilvl w:val="0"/>
          <w:numId w:val="7"/>
        </w:numPr>
        <w:spacing w:before="0" w:beforeAutospacing="0" w:after="240" w:afterAutospacing="0"/>
        <w:rPr>
          <w:rFonts w:ascii="Arial" w:hAnsi="Arial" w:cs="Arial"/>
        </w:rPr>
      </w:pPr>
      <w:r w:rsidRPr="00B008B5">
        <w:rPr>
          <w:rStyle w:val="Strong"/>
          <w:rFonts w:ascii="Arial" w:hAnsi="Arial" w:cs="Arial"/>
          <w:b w:val="0"/>
          <w:bCs w:val="0"/>
        </w:rPr>
        <w:t>New Village Girls Academy</w:t>
      </w:r>
      <w:r w:rsidRPr="00B008B5">
        <w:rPr>
          <w:rFonts w:ascii="Arial" w:hAnsi="Arial" w:cs="Arial"/>
          <w:b/>
          <w:bCs/>
        </w:rPr>
        <w:t xml:space="preserve"> </w:t>
      </w:r>
      <w:r w:rsidRPr="00B008B5">
        <w:rPr>
          <w:rFonts w:ascii="Arial" w:hAnsi="Arial" w:cs="Arial"/>
        </w:rPr>
        <w:t>emphasized</w:t>
      </w:r>
      <w:r w:rsidRPr="0029341A">
        <w:rPr>
          <w:rFonts w:ascii="Arial" w:hAnsi="Arial" w:cs="Arial"/>
        </w:rPr>
        <w:t xml:space="preserve"> restorative justice principles and conflict resolution skills.</w:t>
      </w:r>
    </w:p>
    <w:p w14:paraId="245067E5" w14:textId="77777777" w:rsidR="005472C1" w:rsidRPr="0029341A" w:rsidRDefault="005472C1" w:rsidP="0029341A">
      <w:pPr>
        <w:pStyle w:val="NormalWeb"/>
        <w:numPr>
          <w:ilvl w:val="0"/>
          <w:numId w:val="7"/>
        </w:numPr>
        <w:spacing w:before="0" w:beforeAutospacing="0" w:after="240" w:afterAutospacing="0"/>
        <w:rPr>
          <w:rFonts w:ascii="Arial" w:hAnsi="Arial" w:cs="Arial"/>
        </w:rPr>
      </w:pPr>
      <w:r w:rsidRPr="00B008B5">
        <w:rPr>
          <w:rStyle w:val="Strong"/>
          <w:rFonts w:ascii="Arial" w:hAnsi="Arial" w:cs="Arial"/>
          <w:b w:val="0"/>
          <w:bCs w:val="0"/>
        </w:rPr>
        <w:t>Santa Clara COE</w:t>
      </w:r>
      <w:r w:rsidRPr="0029341A">
        <w:rPr>
          <w:rFonts w:ascii="Arial" w:hAnsi="Arial" w:cs="Arial"/>
        </w:rPr>
        <w:t xml:space="preserve"> reported increased student leadership in mental health advocacy.</w:t>
      </w:r>
    </w:p>
    <w:p w14:paraId="3BAE932F" w14:textId="77777777" w:rsidR="005472C1" w:rsidRPr="0029341A" w:rsidRDefault="005472C1" w:rsidP="0029341A">
      <w:pPr>
        <w:pStyle w:val="NormalWeb"/>
        <w:numPr>
          <w:ilvl w:val="0"/>
          <w:numId w:val="7"/>
        </w:numPr>
        <w:spacing w:before="0" w:beforeAutospacing="0" w:after="240" w:afterAutospacing="0"/>
        <w:rPr>
          <w:rFonts w:ascii="Arial" w:hAnsi="Arial" w:cs="Arial"/>
        </w:rPr>
      </w:pPr>
      <w:r w:rsidRPr="00B008B5">
        <w:rPr>
          <w:rStyle w:val="Strong"/>
          <w:rFonts w:ascii="Arial" w:hAnsi="Arial" w:cs="Arial"/>
          <w:b w:val="0"/>
          <w:bCs w:val="0"/>
        </w:rPr>
        <w:t>Kern COE</w:t>
      </w:r>
      <w:r w:rsidRPr="0029341A">
        <w:rPr>
          <w:rFonts w:ascii="Arial" w:hAnsi="Arial" w:cs="Arial"/>
        </w:rPr>
        <w:t xml:space="preserve"> noted strong collaboration and professionalism in student</w:t>
      </w:r>
      <w:r w:rsidRPr="0029341A">
        <w:rPr>
          <w:rFonts w:ascii="Arial" w:hAnsi="Arial" w:cs="Arial"/>
        </w:rPr>
        <w:noBreakHyphen/>
        <w:t>led water conservation efforts.</w:t>
      </w:r>
    </w:p>
    <w:p w14:paraId="73C14D5C" w14:textId="2C909BE1" w:rsidR="00A73C7D" w:rsidRPr="00AF0409" w:rsidRDefault="005472C1" w:rsidP="00AF0409">
      <w:pPr>
        <w:pStyle w:val="NormalWeb"/>
        <w:spacing w:before="0" w:beforeAutospacing="0" w:after="240" w:afterAutospacing="0"/>
        <w:rPr>
          <w:rFonts w:ascii="Arial" w:hAnsi="Arial" w:cs="Arial"/>
        </w:rPr>
      </w:pPr>
      <w:r w:rsidRPr="0029341A">
        <w:rPr>
          <w:rStyle w:val="Strong"/>
          <w:rFonts w:ascii="Arial" w:hAnsi="Arial" w:cs="Arial"/>
        </w:rPr>
        <w:t>Outcome Trend:</w:t>
      </w:r>
      <w:r w:rsidR="00B008B5">
        <w:rPr>
          <w:rFonts w:ascii="Arial" w:hAnsi="Arial" w:cs="Arial"/>
        </w:rPr>
        <w:t xml:space="preserve"> </w:t>
      </w:r>
      <w:r w:rsidRPr="0029341A">
        <w:rPr>
          <w:rFonts w:ascii="Arial" w:hAnsi="Arial" w:cs="Arial"/>
        </w:rPr>
        <w:t>Community partner feedback highlighted positive student contributions, reliability, and professionalism. LEAs reported anecdotal evidence of increased civic responsibility among participating students.</w:t>
      </w:r>
    </w:p>
    <w:p w14:paraId="5CC79E3D" w14:textId="77777777" w:rsidR="006B37F2" w:rsidRDefault="006B37F2">
      <w:pPr>
        <w:spacing w:after="240"/>
        <w:rPr>
          <w:rStyle w:val="Strong"/>
          <w:sz w:val="32"/>
          <w:szCs w:val="32"/>
          <w:lang w:val="en"/>
        </w:rPr>
      </w:pPr>
      <w:bookmarkStart w:id="49" w:name="_Toc221186071"/>
      <w:r>
        <w:rPr>
          <w:rStyle w:val="Strong"/>
          <w:b w:val="0"/>
          <w:bCs w:val="0"/>
        </w:rPr>
        <w:br w:type="page"/>
      </w:r>
    </w:p>
    <w:p w14:paraId="0A79C663" w14:textId="5DB0A570" w:rsidR="005472C1" w:rsidRPr="00C44568" w:rsidRDefault="0056043B" w:rsidP="00ED5B14">
      <w:pPr>
        <w:pStyle w:val="Heading3"/>
      </w:pPr>
      <w:r>
        <w:rPr>
          <w:rStyle w:val="Strong"/>
          <w:b/>
          <w:bCs/>
        </w:rPr>
        <w:lastRenderedPageBreak/>
        <w:t xml:space="preserve">Cohort 1 </w:t>
      </w:r>
      <w:r w:rsidR="00AF0409" w:rsidRPr="00C44568">
        <w:rPr>
          <w:rStyle w:val="Strong"/>
          <w:b/>
          <w:bCs/>
        </w:rPr>
        <w:t xml:space="preserve">Findings </w:t>
      </w:r>
      <w:bookmarkEnd w:id="49"/>
    </w:p>
    <w:p w14:paraId="632853C7" w14:textId="49C5AC4B" w:rsidR="005472C1" w:rsidRPr="004936C5" w:rsidRDefault="005472C1" w:rsidP="004936C5">
      <w:pPr>
        <w:spacing w:after="240"/>
      </w:pPr>
      <w:r w:rsidRPr="004936C5">
        <w:t>Analysis of Cohort 1 grantee reports shows clear alignment with the California Serves program’s statutory purpose to expand high</w:t>
      </w:r>
      <w:r w:rsidRPr="004936C5">
        <w:noBreakHyphen/>
        <w:t>quality service</w:t>
      </w:r>
      <w:r w:rsidRPr="004936C5">
        <w:noBreakHyphen/>
        <w:t xml:space="preserve">learning opportunities and increase </w:t>
      </w:r>
      <w:r w:rsidR="00442B8C">
        <w:t>equitable access to the SSCE</w:t>
      </w:r>
      <w:r w:rsidRPr="004936C5">
        <w:t>. While reporting depth and consistency varied across LEAs, several strong patterns emerged.</w:t>
      </w:r>
    </w:p>
    <w:p w14:paraId="1D22D1F0" w14:textId="77777777" w:rsidR="005472C1" w:rsidRPr="00442B8C" w:rsidRDefault="005472C1" w:rsidP="00ED5B14">
      <w:pPr>
        <w:pStyle w:val="Heading4"/>
      </w:pPr>
      <w:bookmarkStart w:id="50" w:name="_Toc221186072"/>
      <w:r w:rsidRPr="00442B8C">
        <w:t>Equity</w:t>
      </w:r>
      <w:bookmarkEnd w:id="50"/>
    </w:p>
    <w:p w14:paraId="5BDC9317" w14:textId="57C552A2" w:rsidR="005472C1" w:rsidRPr="004936C5" w:rsidRDefault="005472C1" w:rsidP="004936C5">
      <w:pPr>
        <w:spacing w:after="240"/>
      </w:pPr>
      <w:r w:rsidRPr="004936C5">
        <w:t xml:space="preserve">Several </w:t>
      </w:r>
      <w:r w:rsidR="00BB385A">
        <w:t>grantees</w:t>
      </w:r>
      <w:r w:rsidRPr="004936C5">
        <w:t xml:space="preserve"> (e.g., </w:t>
      </w:r>
      <w:r w:rsidR="00404420">
        <w:t>John Muir Charter School, Rialto USD</w:t>
      </w:r>
      <w:r w:rsidRPr="004936C5">
        <w:t xml:space="preserve">, New Village Girls Academy) served populations with </w:t>
      </w:r>
      <w:r w:rsidR="00BD24A9">
        <w:t>unduplicated pupil count</w:t>
      </w:r>
      <w:r w:rsidRPr="004936C5">
        <w:t xml:space="preserve"> rates well over 80–90</w:t>
      </w:r>
      <w:r w:rsidR="002C7D44">
        <w:t xml:space="preserve"> percent</w:t>
      </w:r>
      <w:r w:rsidRPr="004936C5">
        <w:t xml:space="preserve">, </w:t>
      </w:r>
      <w:r w:rsidR="00513D0A">
        <w:t xml:space="preserve">which </w:t>
      </w:r>
      <w:r w:rsidRPr="004936C5">
        <w:t>underscor</w:t>
      </w:r>
      <w:r w:rsidR="00513D0A">
        <w:t>es</w:t>
      </w:r>
      <w:r w:rsidRPr="004936C5">
        <w:t xml:space="preserve"> the program’s reach into high</w:t>
      </w:r>
      <w:r w:rsidRPr="004936C5">
        <w:noBreakHyphen/>
        <w:t>need communities.</w:t>
      </w:r>
    </w:p>
    <w:p w14:paraId="3803CE52" w14:textId="77777777" w:rsidR="005472C1" w:rsidRPr="004936C5" w:rsidRDefault="005472C1" w:rsidP="004936C5">
      <w:pPr>
        <w:spacing w:after="240"/>
      </w:pPr>
      <w:r w:rsidRPr="004936C5">
        <w:t>Service</w:t>
      </w:r>
      <w:r w:rsidRPr="004936C5">
        <w:noBreakHyphen/>
        <w:t>learning projects frequently addressed equity</w:t>
      </w:r>
      <w:r w:rsidRPr="004936C5">
        <w:noBreakHyphen/>
        <w:t>driven topics such as multilingual civic engagement (Hacienda La Puente USD), public health access (Fresno COE, Health Sciences High and Middle College), and restorative justice (New Village Girls Academy).</w:t>
      </w:r>
    </w:p>
    <w:p w14:paraId="050EE806" w14:textId="65E89D1E" w:rsidR="005472C1" w:rsidRPr="004936C5" w:rsidRDefault="005472C1" w:rsidP="004936C5">
      <w:pPr>
        <w:spacing w:after="240"/>
      </w:pPr>
      <w:r w:rsidRPr="004936C5">
        <w:t>In many LEAs, equity was embedded in project design rather than treated as a secondary consideration. For example, bilingual resources were produced as part of the service</w:t>
      </w:r>
      <w:r w:rsidRPr="004936C5">
        <w:noBreakHyphen/>
        <w:t>learning work itsel</w:t>
      </w:r>
      <w:r w:rsidR="000B6168">
        <w:t>f</w:t>
      </w:r>
      <w:r w:rsidRPr="004936C5">
        <w:t>.</w:t>
      </w:r>
    </w:p>
    <w:p w14:paraId="27E7E58E" w14:textId="64EF63A1" w:rsidR="005472C1" w:rsidRPr="004936C5" w:rsidRDefault="005472C1" w:rsidP="004936C5">
      <w:pPr>
        <w:spacing w:after="240"/>
      </w:pPr>
      <w:r w:rsidRPr="004936C5">
        <w:t xml:space="preserve">One consistent gap was the lack of disaggregated outcome reporting for specific student groups (e.g., English </w:t>
      </w:r>
      <w:r w:rsidR="00513D0A">
        <w:t>L</w:t>
      </w:r>
      <w:r w:rsidRPr="004936C5">
        <w:t>earners</w:t>
      </w:r>
      <w:r w:rsidR="00513D0A">
        <w:t>,</w:t>
      </w:r>
      <w:r w:rsidRPr="004936C5">
        <w:t xml:space="preserve"> socioeconomically disadvantaged</w:t>
      </w:r>
      <w:r w:rsidR="00513D0A">
        <w:t>,</w:t>
      </w:r>
      <w:r w:rsidRPr="004936C5">
        <w:t xml:space="preserve"> foster youth). This makes it harder to quantify the differential impact of </w:t>
      </w:r>
      <w:r w:rsidR="001123A1">
        <w:t>service-learning</w:t>
      </w:r>
      <w:r w:rsidRPr="004936C5">
        <w:t xml:space="preserve"> on subpopulations though qualitative evidence suggests positive results across groups.</w:t>
      </w:r>
    </w:p>
    <w:p w14:paraId="67234418" w14:textId="77777777" w:rsidR="005472C1" w:rsidRPr="00BB385A" w:rsidRDefault="005472C1" w:rsidP="00ED5B14">
      <w:pPr>
        <w:pStyle w:val="Heading4"/>
      </w:pPr>
      <w:bookmarkStart w:id="51" w:name="_Toc221186073"/>
      <w:r w:rsidRPr="00BB385A">
        <w:t>Rural Access</w:t>
      </w:r>
      <w:bookmarkEnd w:id="51"/>
    </w:p>
    <w:p w14:paraId="4EF82E6D" w14:textId="77777777" w:rsidR="005472C1" w:rsidRPr="004936C5" w:rsidRDefault="005472C1" w:rsidP="004936C5">
      <w:pPr>
        <w:spacing w:after="240"/>
      </w:pPr>
      <w:r w:rsidRPr="004936C5">
        <w:t>Several Cohort 1 LEAs serve geographically dispersed or remote communities (e.g., Glenn COE, Kern COE, San Joaquin COE, John Muir Charter School). These agencies implemented notable strategies to reduce participation barriers:</w:t>
      </w:r>
    </w:p>
    <w:p w14:paraId="2219E00B" w14:textId="401ED6C8" w:rsidR="005472C1" w:rsidRPr="004936C5" w:rsidRDefault="005472C1" w:rsidP="006B3A57">
      <w:pPr>
        <w:pStyle w:val="ListParagraph"/>
        <w:numPr>
          <w:ilvl w:val="0"/>
          <w:numId w:val="36"/>
        </w:numPr>
        <w:spacing w:after="240"/>
        <w:contextualSpacing w:val="0"/>
      </w:pPr>
      <w:r w:rsidRPr="004936C5">
        <w:t>Transportation support to and from project sites</w:t>
      </w:r>
    </w:p>
    <w:p w14:paraId="55B4D4AB" w14:textId="7A2288A0" w:rsidR="005472C1" w:rsidRPr="004936C5" w:rsidRDefault="005472C1" w:rsidP="006B3A57">
      <w:pPr>
        <w:pStyle w:val="ListParagraph"/>
        <w:numPr>
          <w:ilvl w:val="0"/>
          <w:numId w:val="36"/>
        </w:numPr>
        <w:spacing w:after="240"/>
        <w:contextualSpacing w:val="0"/>
      </w:pPr>
      <w:r w:rsidRPr="004936C5">
        <w:t>Mobile service</w:t>
      </w:r>
      <w:r w:rsidRPr="004936C5">
        <w:noBreakHyphen/>
        <w:t xml:space="preserve">learning workshops that </w:t>
      </w:r>
      <w:proofErr w:type="gramStart"/>
      <w:r w:rsidRPr="004936C5">
        <w:t>traveled</w:t>
      </w:r>
      <w:proofErr w:type="gramEnd"/>
      <w:r w:rsidRPr="004936C5">
        <w:t xml:space="preserve"> to rural school sites (Kern COE)</w:t>
      </w:r>
    </w:p>
    <w:p w14:paraId="154F99B0" w14:textId="19E062DB" w:rsidR="005472C1" w:rsidRPr="004936C5" w:rsidRDefault="005472C1" w:rsidP="006B3A57">
      <w:pPr>
        <w:pStyle w:val="ListParagraph"/>
        <w:numPr>
          <w:ilvl w:val="0"/>
          <w:numId w:val="36"/>
        </w:numPr>
        <w:spacing w:after="240"/>
        <w:contextualSpacing w:val="0"/>
      </w:pPr>
      <w:r w:rsidRPr="004936C5">
        <w:t>Flexible, site</w:t>
      </w:r>
      <w:r w:rsidRPr="004936C5">
        <w:noBreakHyphen/>
        <w:t>based project models allowing local adaptation (John Muir Charter School)</w:t>
      </w:r>
    </w:p>
    <w:p w14:paraId="29C7A831" w14:textId="4F95BF55" w:rsidR="005472C1" w:rsidRPr="004936C5" w:rsidRDefault="005472C1" w:rsidP="004936C5">
      <w:pPr>
        <w:spacing w:after="240"/>
      </w:pPr>
      <w:r w:rsidRPr="004936C5">
        <w:t>Rural projects often addressed locally relevant issues</w:t>
      </w:r>
      <w:r w:rsidR="00BB385A">
        <w:t xml:space="preserve"> including </w:t>
      </w:r>
      <w:r w:rsidRPr="004936C5">
        <w:t>agricultural sustainability, water rights, and environmental stewardship</w:t>
      </w:r>
      <w:r w:rsidR="008A5D8B">
        <w:t xml:space="preserve"> to ensure</w:t>
      </w:r>
      <w:r w:rsidRPr="004936C5">
        <w:t xml:space="preserve"> that </w:t>
      </w:r>
      <w:r w:rsidR="001123A1">
        <w:t>service-learning</w:t>
      </w:r>
      <w:r w:rsidRPr="004936C5">
        <w:t xml:space="preserve"> was culturally and economically contextualized.</w:t>
      </w:r>
    </w:p>
    <w:p w14:paraId="6B8C1C91" w14:textId="5687CFA1" w:rsidR="005472C1" w:rsidRPr="004936C5" w:rsidRDefault="005472C1" w:rsidP="004936C5">
      <w:pPr>
        <w:spacing w:after="240"/>
      </w:pPr>
      <w:r w:rsidRPr="004936C5">
        <w:t>Several rural LEAs partnered with county governments, local nonprofits, and community colleges to extend resources and sustain programs beyond the grant cycle.</w:t>
      </w:r>
    </w:p>
    <w:p w14:paraId="7930CC6D" w14:textId="4A598482" w:rsidR="005472C1" w:rsidRPr="004936C5" w:rsidRDefault="00BB385A" w:rsidP="004936C5">
      <w:pPr>
        <w:spacing w:after="240"/>
      </w:pPr>
      <w:r>
        <w:lastRenderedPageBreak/>
        <w:t>Technology</w:t>
      </w:r>
      <w:r w:rsidR="005472C1" w:rsidRPr="004936C5">
        <w:t xml:space="preserve"> limitations in some rural areas constrained the ability to conduct digital components of </w:t>
      </w:r>
      <w:r w:rsidR="001123A1">
        <w:t>service-learning</w:t>
      </w:r>
      <w:r w:rsidR="005472C1" w:rsidRPr="004936C5">
        <w:t xml:space="preserve"> (e.g., online civic forums or virtual public presentations).</w:t>
      </w:r>
    </w:p>
    <w:p w14:paraId="2F7AACF3" w14:textId="77777777" w:rsidR="005472C1" w:rsidRPr="00BB385A" w:rsidRDefault="005472C1" w:rsidP="00ED5B14">
      <w:pPr>
        <w:pStyle w:val="Heading4"/>
      </w:pPr>
      <w:bookmarkStart w:id="52" w:name="_Toc221186074"/>
      <w:r w:rsidRPr="00BB385A">
        <w:t>Civic Readiness</w:t>
      </w:r>
      <w:bookmarkEnd w:id="52"/>
    </w:p>
    <w:p w14:paraId="1049A213" w14:textId="76A2A957" w:rsidR="005472C1" w:rsidRPr="004936C5" w:rsidRDefault="005472C1" w:rsidP="004936C5">
      <w:pPr>
        <w:spacing w:after="240"/>
      </w:pPr>
      <w:r w:rsidRPr="004936C5">
        <w:t>Across Cohort 1, service</w:t>
      </w:r>
      <w:r w:rsidRPr="004936C5">
        <w:noBreakHyphen/>
        <w:t>learning projects consistently cultivated practical civic skills such as public speaking, policy analysis, and collaboration. Many students gained direct experience in presenting to governing bodies, participating in public hearings, and engaging in advocacy campaigns.</w:t>
      </w:r>
    </w:p>
    <w:p w14:paraId="73DB646D" w14:textId="48D33E86" w:rsidR="005472C1" w:rsidRPr="004936C5" w:rsidRDefault="005472C1" w:rsidP="004936C5">
      <w:pPr>
        <w:spacing w:after="240"/>
      </w:pPr>
      <w:r w:rsidRPr="004936C5">
        <w:t xml:space="preserve">Reflective components embedded in most programs deepened students’ civic identity. Examples include video diaries (Health Sciences </w:t>
      </w:r>
      <w:r w:rsidR="00AE3C60">
        <w:t>High and Middle College</w:t>
      </w:r>
      <w:r w:rsidRPr="004936C5">
        <w:t>), public art as civic storytelling (Hacienda La Puente USD), and structured reflective journals (multiple LEAs).</w:t>
      </w:r>
    </w:p>
    <w:p w14:paraId="42A8AC46" w14:textId="77777777" w:rsidR="005472C1" w:rsidRPr="004936C5" w:rsidRDefault="005472C1" w:rsidP="004936C5">
      <w:pPr>
        <w:spacing w:after="240"/>
      </w:pPr>
      <w:r w:rsidRPr="004936C5">
        <w:t>Several projects resulted in tangible community outcomes:</w:t>
      </w:r>
    </w:p>
    <w:p w14:paraId="5BE5CAE0" w14:textId="59476511" w:rsidR="005472C1" w:rsidRPr="004936C5" w:rsidRDefault="005472C1" w:rsidP="006B3A57">
      <w:pPr>
        <w:pStyle w:val="ListParagraph"/>
        <w:numPr>
          <w:ilvl w:val="0"/>
          <w:numId w:val="37"/>
        </w:numPr>
        <w:spacing w:after="240"/>
        <w:contextualSpacing w:val="0"/>
      </w:pPr>
      <w:r w:rsidRPr="004936C5">
        <w:t>Transportation safety proposals from Rialto USD adopted by municipal engineers</w:t>
      </w:r>
    </w:p>
    <w:p w14:paraId="19A4DE3A" w14:textId="22FD1DC3" w:rsidR="005472C1" w:rsidRPr="004936C5" w:rsidRDefault="005472C1" w:rsidP="006B3A57">
      <w:pPr>
        <w:pStyle w:val="ListParagraph"/>
        <w:numPr>
          <w:ilvl w:val="0"/>
          <w:numId w:val="37"/>
        </w:numPr>
        <w:spacing w:after="240"/>
        <w:contextualSpacing w:val="0"/>
      </w:pPr>
      <w:r w:rsidRPr="004936C5">
        <w:t>Water conservation campaigns by Kern COE integrated into county outreach</w:t>
      </w:r>
    </w:p>
    <w:p w14:paraId="64EE0B4B" w14:textId="636B7A7C" w:rsidR="005472C1" w:rsidRPr="004936C5" w:rsidRDefault="005472C1" w:rsidP="006B3A57">
      <w:pPr>
        <w:pStyle w:val="ListParagraph"/>
        <w:numPr>
          <w:ilvl w:val="0"/>
          <w:numId w:val="37"/>
        </w:numPr>
        <w:spacing w:after="240"/>
        <w:contextualSpacing w:val="0"/>
      </w:pPr>
      <w:r w:rsidRPr="004936C5">
        <w:t>Youth mental health policy recommendations from Santa Clara COE presented to and considered by the county board</w:t>
      </w:r>
    </w:p>
    <w:p w14:paraId="1B342D3E" w14:textId="2D46CD2D" w:rsidR="005472C1" w:rsidRPr="004936C5" w:rsidRDefault="005472C1" w:rsidP="004936C5">
      <w:pPr>
        <w:spacing w:after="240"/>
      </w:pPr>
      <w:r w:rsidRPr="004936C5">
        <w:t xml:space="preserve">While these activities align strongly with SSCE criteria, only some LEAs provided </w:t>
      </w:r>
      <w:r w:rsidR="00AE3C60">
        <w:t>disaggregated</w:t>
      </w:r>
      <w:r w:rsidRPr="004936C5">
        <w:t xml:space="preserve"> counts of students earning the SSCE as a direct result of their service</w:t>
      </w:r>
      <w:r w:rsidRPr="004936C5">
        <w:noBreakHyphen/>
        <w:t xml:space="preserve">learning participation. Improving tracking and documentation would strengthen future </w:t>
      </w:r>
      <w:r w:rsidR="00E00B27">
        <w:t>analysis</w:t>
      </w:r>
      <w:r w:rsidRPr="004936C5">
        <w:t>.</w:t>
      </w:r>
    </w:p>
    <w:p w14:paraId="296FF25D" w14:textId="103A00EE" w:rsidR="005472C1" w:rsidRPr="00AE3C60" w:rsidRDefault="005472C1" w:rsidP="00ED5B14">
      <w:pPr>
        <w:pStyle w:val="Heading4"/>
      </w:pPr>
      <w:bookmarkStart w:id="53" w:name="_Toc221186075"/>
      <w:r w:rsidRPr="00AE3C60">
        <w:t>Program Sustainability and Capacity</w:t>
      </w:r>
      <w:r w:rsidR="000822A0">
        <w:t>-</w:t>
      </w:r>
      <w:r w:rsidRPr="00AE3C60">
        <w:t>Building</w:t>
      </w:r>
      <w:bookmarkEnd w:id="53"/>
    </w:p>
    <w:p w14:paraId="46B1A8AF" w14:textId="77777777" w:rsidR="005472C1" w:rsidRPr="004936C5" w:rsidRDefault="005472C1" w:rsidP="004936C5">
      <w:pPr>
        <w:spacing w:after="240"/>
      </w:pPr>
      <w:r w:rsidRPr="004936C5">
        <w:t xml:space="preserve">Many LEAs reported forming new or expanded partnerships with community organizations, higher education institutions, and local government agencies </w:t>
      </w:r>
      <w:proofErr w:type="gramStart"/>
      <w:r w:rsidRPr="004936C5">
        <w:t>as a result of</w:t>
      </w:r>
      <w:proofErr w:type="gramEnd"/>
      <w:r w:rsidRPr="004936C5">
        <w:t xml:space="preserve"> grant</w:t>
      </w:r>
      <w:r w:rsidRPr="004936C5">
        <w:noBreakHyphen/>
        <w:t>funded service</w:t>
      </w:r>
      <w:r w:rsidRPr="004936C5">
        <w:noBreakHyphen/>
        <w:t>learning projects. These relationships were often described as key to sustaining projects beyond the grant term.</w:t>
      </w:r>
    </w:p>
    <w:p w14:paraId="28A125AE" w14:textId="1C426C2D" w:rsidR="005472C1" w:rsidRPr="004936C5" w:rsidRDefault="005472C1" w:rsidP="004936C5">
      <w:pPr>
        <w:spacing w:after="240"/>
      </w:pPr>
      <w:r w:rsidRPr="004936C5">
        <w:t>Teacher training in service</w:t>
      </w:r>
      <w:r w:rsidRPr="004936C5">
        <w:noBreakHyphen/>
        <w:t>learning methodologies</w:t>
      </w:r>
      <w:r w:rsidR="00993A12" w:rsidRPr="004936C5">
        <w:t>, which may lead to more consistent integration of civic engagement projects into curricula in future years</w:t>
      </w:r>
      <w:r w:rsidR="00993A12">
        <w:t>,</w:t>
      </w:r>
      <w:r w:rsidRPr="004936C5">
        <w:t xml:space="preserve"> was a focus for several grantees.</w:t>
      </w:r>
    </w:p>
    <w:p w14:paraId="492F5176" w14:textId="77777777" w:rsidR="005472C1" w:rsidRPr="004936C5" w:rsidRDefault="005472C1" w:rsidP="004936C5">
      <w:pPr>
        <w:spacing w:after="240"/>
      </w:pPr>
      <w:r w:rsidRPr="004936C5">
        <w:t>Some LEAs began building infrastructure for student leadership, such as youth advisory councils or peer mentor programs, which could serve as ongoing platforms for civic engagement.</w:t>
      </w:r>
    </w:p>
    <w:p w14:paraId="52F28073" w14:textId="77777777" w:rsidR="005472C1" w:rsidRPr="004936C5" w:rsidRDefault="005472C1" w:rsidP="00ED5B14">
      <w:pPr>
        <w:pStyle w:val="Heading4"/>
      </w:pPr>
      <w:bookmarkStart w:id="54" w:name="_Toc221186076"/>
      <w:r w:rsidRPr="004936C5">
        <w:lastRenderedPageBreak/>
        <w:t>Gaps and Areas for Growth</w:t>
      </w:r>
      <w:bookmarkEnd w:id="54"/>
    </w:p>
    <w:p w14:paraId="1569FC53" w14:textId="24A6EDAD" w:rsidR="005472C1" w:rsidRPr="004936C5" w:rsidRDefault="00841EAF" w:rsidP="004936C5">
      <w:pPr>
        <w:spacing w:after="240"/>
      </w:pPr>
      <w:r>
        <w:t>Reliable</w:t>
      </w:r>
      <w:r w:rsidR="0065032D">
        <w:t>, thorough</w:t>
      </w:r>
      <w:r>
        <w:t xml:space="preserve"> quantitative data reporting requires ongoing coordination at multiple levels</w:t>
      </w:r>
      <w:r w:rsidR="006C46AE">
        <w:t xml:space="preserve">, which may not always be feasible. </w:t>
      </w:r>
      <w:r w:rsidR="005472C1" w:rsidRPr="004936C5">
        <w:t xml:space="preserve">While all LEAs submitted narrative descriptions of activities, not all provided </w:t>
      </w:r>
      <w:r w:rsidR="00A90401">
        <w:t>disaggregated</w:t>
      </w:r>
      <w:r w:rsidR="005472C1" w:rsidRPr="004936C5">
        <w:t xml:space="preserve"> pupil</w:t>
      </w:r>
      <w:r w:rsidR="00A90401">
        <w:t xml:space="preserve"> and educator</w:t>
      </w:r>
      <w:r w:rsidR="005472C1" w:rsidRPr="004936C5">
        <w:t xml:space="preserve"> participation counts</w:t>
      </w:r>
      <w:r w:rsidR="00A90401">
        <w:t>.</w:t>
      </w:r>
      <w:r w:rsidR="0065032D">
        <w:t xml:space="preserve"> </w:t>
      </w:r>
      <w:r w:rsidR="00F25D8F">
        <w:t>Similarly, reports provide limited longitudinal measurement.</w:t>
      </w:r>
      <w:r w:rsidR="005472C1" w:rsidRPr="004936C5">
        <w:t xml:space="preserve"> LEAs </w:t>
      </w:r>
      <w:r w:rsidR="00716EE0">
        <w:t>generally did not track</w:t>
      </w:r>
      <w:r w:rsidR="005472C1" w:rsidRPr="004936C5">
        <w:t xml:space="preserve"> whether students continued civic engagement after project completion or graduation.</w:t>
      </w:r>
    </w:p>
    <w:p w14:paraId="1E01AAC3" w14:textId="3B3CB94A" w:rsidR="005472C1" w:rsidRPr="004936C5" w:rsidRDefault="00422B9D" w:rsidP="004936C5">
      <w:pPr>
        <w:spacing w:after="240"/>
      </w:pPr>
      <w:r>
        <w:t>LEAs show a wide variety of project depths.</w:t>
      </w:r>
      <w:r w:rsidR="005472C1" w:rsidRPr="004936C5">
        <w:t xml:space="preserve"> Some LEAs implemented single</w:t>
      </w:r>
      <w:r w:rsidR="005472C1" w:rsidRPr="004936C5">
        <w:noBreakHyphen/>
        <w:t>semester or single</w:t>
      </w:r>
      <w:r w:rsidR="005472C1" w:rsidRPr="004936C5">
        <w:noBreakHyphen/>
        <w:t>event projects while others ran multi</w:t>
      </w:r>
      <w:r w:rsidR="005472C1" w:rsidRPr="004936C5">
        <w:noBreakHyphen/>
        <w:t>year, integrated service</w:t>
      </w:r>
      <w:r w:rsidR="005472C1" w:rsidRPr="004936C5">
        <w:noBreakHyphen/>
        <w:t>learning curricula. Deeper engagement models tended to produce more tangible policy or community outcomes.</w:t>
      </w:r>
    </w:p>
    <w:p w14:paraId="22EA96AB" w14:textId="28F86A4B" w:rsidR="00287C7B" w:rsidRPr="00FF56BE" w:rsidRDefault="00287C7B" w:rsidP="00F41AAD">
      <w:pPr>
        <w:pStyle w:val="Heading2"/>
        <w:spacing w:before="360"/>
      </w:pPr>
      <w:bookmarkStart w:id="55" w:name="_Toc220420861"/>
      <w:bookmarkStart w:id="56" w:name="_Toc221186077"/>
      <w:bookmarkStart w:id="57" w:name="_Toc230962695"/>
      <w:r>
        <w:t>Cohort 2</w:t>
      </w:r>
      <w:bookmarkEnd w:id="55"/>
      <w:bookmarkEnd w:id="56"/>
      <w:bookmarkEnd w:id="57"/>
    </w:p>
    <w:p w14:paraId="5B6C1238" w14:textId="239D158A" w:rsidR="00B4462D" w:rsidRPr="004936C5" w:rsidRDefault="00B4462D" w:rsidP="00EF5118">
      <w:pPr>
        <w:spacing w:after="240"/>
      </w:pPr>
      <w:r w:rsidRPr="004936C5">
        <w:t>Cohort 2 grantees were awarded funding in 2023–24 for implementation beginning in Year 1</w:t>
      </w:r>
      <w:r w:rsidR="00993A12">
        <w:t>,</w:t>
      </w:r>
      <w:r w:rsidRPr="004936C5">
        <w:t xml:space="preserve"> Quarter 4</w:t>
      </w:r>
      <w:r>
        <w:t xml:space="preserve"> (June 1, 2024)</w:t>
      </w:r>
      <w:r w:rsidR="00993A12">
        <w:t xml:space="preserve"> and</w:t>
      </w:r>
      <w:r w:rsidR="006E39AE">
        <w:t xml:space="preserve"> extending through June 30, 2026.</w:t>
      </w:r>
    </w:p>
    <w:p w14:paraId="1CA2F21E" w14:textId="7C39EAA6" w:rsidR="00287C7B" w:rsidRPr="00322E47" w:rsidRDefault="00287C7B" w:rsidP="005B1F66">
      <w:pPr>
        <w:pStyle w:val="NormalWeb"/>
        <w:spacing w:before="0" w:beforeAutospacing="0" w:after="240" w:afterAutospacing="0"/>
        <w:rPr>
          <w:rFonts w:ascii="Arial" w:hAnsi="Arial" w:cs="Arial"/>
        </w:rPr>
      </w:pPr>
      <w:r w:rsidRPr="00BB452B">
        <w:rPr>
          <w:rFonts w:ascii="Arial" w:hAnsi="Arial" w:cs="Arial"/>
        </w:rPr>
        <w:t xml:space="preserve">This section summarizes activities and outcomes from </w:t>
      </w:r>
      <w:r>
        <w:rPr>
          <w:rFonts w:ascii="Arial" w:hAnsi="Arial" w:cs="Arial"/>
        </w:rPr>
        <w:t xml:space="preserve">the following </w:t>
      </w:r>
      <w:r>
        <w:rPr>
          <w:rStyle w:val="Strong"/>
          <w:rFonts w:ascii="Arial" w:hAnsi="Arial" w:cs="Arial"/>
          <w:b w:val="0"/>
          <w:bCs w:val="0"/>
        </w:rPr>
        <w:t>reporting</w:t>
      </w:r>
      <w:r w:rsidRPr="00322E47">
        <w:rPr>
          <w:rStyle w:val="Strong"/>
          <w:rFonts w:ascii="Arial" w:hAnsi="Arial" w:cs="Arial"/>
          <w:b w:val="0"/>
          <w:bCs w:val="0"/>
        </w:rPr>
        <w:t xml:space="preserve"> period</w:t>
      </w:r>
      <w:r>
        <w:rPr>
          <w:rStyle w:val="Strong"/>
          <w:rFonts w:ascii="Arial" w:hAnsi="Arial" w:cs="Arial"/>
          <w:b w:val="0"/>
          <w:bCs w:val="0"/>
        </w:rPr>
        <w:t>s</w:t>
      </w:r>
      <w:r w:rsidRPr="00322E47">
        <w:rPr>
          <w:rFonts w:ascii="Arial" w:hAnsi="Arial" w:cs="Arial"/>
        </w:rPr>
        <w:t>:</w:t>
      </w:r>
    </w:p>
    <w:p w14:paraId="322F3421" w14:textId="72E61F25" w:rsidR="00287C7B" w:rsidRDefault="00287C7B" w:rsidP="00287C7B">
      <w:pPr>
        <w:pStyle w:val="NormalWeb"/>
        <w:numPr>
          <w:ilvl w:val="0"/>
          <w:numId w:val="2"/>
        </w:numPr>
        <w:rPr>
          <w:rStyle w:val="Strong"/>
          <w:rFonts w:ascii="Arial" w:hAnsi="Arial" w:cs="Arial"/>
          <w:b w:val="0"/>
          <w:bCs w:val="0"/>
        </w:rPr>
      </w:pPr>
      <w:r w:rsidRPr="00322E47">
        <w:rPr>
          <w:rStyle w:val="Strong"/>
          <w:rFonts w:ascii="Arial" w:hAnsi="Arial" w:cs="Arial"/>
          <w:b w:val="0"/>
          <w:bCs w:val="0"/>
        </w:rPr>
        <w:t>Year 1</w:t>
      </w:r>
      <w:r w:rsidR="00993A12">
        <w:rPr>
          <w:rStyle w:val="Strong"/>
          <w:rFonts w:ascii="Arial" w:hAnsi="Arial" w:cs="Arial"/>
          <w:b w:val="0"/>
          <w:bCs w:val="0"/>
        </w:rPr>
        <w:t>,</w:t>
      </w:r>
      <w:r w:rsidRPr="00322E47">
        <w:rPr>
          <w:rStyle w:val="Strong"/>
          <w:rFonts w:ascii="Arial" w:hAnsi="Arial" w:cs="Arial"/>
          <w:b w:val="0"/>
          <w:bCs w:val="0"/>
        </w:rPr>
        <w:t xml:space="preserve"> Quarter 4</w:t>
      </w:r>
      <w:r w:rsidR="0088218B">
        <w:rPr>
          <w:rStyle w:val="Strong"/>
          <w:rFonts w:ascii="Arial" w:hAnsi="Arial" w:cs="Arial"/>
          <w:b w:val="0"/>
          <w:bCs w:val="0"/>
        </w:rPr>
        <w:t xml:space="preserve"> (June 1–30, 2024)</w:t>
      </w:r>
    </w:p>
    <w:p w14:paraId="57EF978D" w14:textId="14B14398" w:rsidR="00287C7B" w:rsidRPr="00322E47" w:rsidRDefault="00287C7B" w:rsidP="00287C7B">
      <w:pPr>
        <w:pStyle w:val="NormalWeb"/>
        <w:numPr>
          <w:ilvl w:val="0"/>
          <w:numId w:val="2"/>
        </w:numPr>
        <w:rPr>
          <w:rFonts w:ascii="Arial" w:hAnsi="Arial" w:cs="Arial"/>
        </w:rPr>
      </w:pPr>
      <w:r w:rsidRPr="00322E47">
        <w:rPr>
          <w:rStyle w:val="Strong"/>
          <w:rFonts w:ascii="Arial" w:hAnsi="Arial" w:cs="Arial"/>
          <w:b w:val="0"/>
          <w:bCs w:val="0"/>
        </w:rPr>
        <w:t>Year 2</w:t>
      </w:r>
      <w:r w:rsidR="00993A12">
        <w:rPr>
          <w:rStyle w:val="Strong"/>
          <w:rFonts w:ascii="Arial" w:hAnsi="Arial" w:cs="Arial"/>
          <w:b w:val="0"/>
          <w:bCs w:val="0"/>
        </w:rPr>
        <w:t>,</w:t>
      </w:r>
      <w:r w:rsidRPr="00322E47">
        <w:rPr>
          <w:rStyle w:val="Strong"/>
          <w:rFonts w:ascii="Arial" w:hAnsi="Arial" w:cs="Arial"/>
          <w:b w:val="0"/>
          <w:bCs w:val="0"/>
        </w:rPr>
        <w:t xml:space="preserve"> Quarters 1–2</w:t>
      </w:r>
      <w:r w:rsidR="0088218B">
        <w:rPr>
          <w:rStyle w:val="Strong"/>
          <w:rFonts w:ascii="Arial" w:hAnsi="Arial" w:cs="Arial"/>
          <w:b w:val="0"/>
          <w:bCs w:val="0"/>
        </w:rPr>
        <w:t xml:space="preserve"> (</w:t>
      </w:r>
      <w:r w:rsidR="00A3176C">
        <w:rPr>
          <w:rStyle w:val="Strong"/>
          <w:rFonts w:ascii="Arial" w:hAnsi="Arial" w:cs="Arial"/>
          <w:b w:val="0"/>
          <w:bCs w:val="0"/>
        </w:rPr>
        <w:t>July 1–December 31, 2024)</w:t>
      </w:r>
    </w:p>
    <w:p w14:paraId="1D95D397" w14:textId="67225842" w:rsidR="00287C7B" w:rsidRPr="00322E47" w:rsidRDefault="00287C7B" w:rsidP="00287C7B">
      <w:pPr>
        <w:pStyle w:val="NormalWeb"/>
        <w:numPr>
          <w:ilvl w:val="0"/>
          <w:numId w:val="2"/>
        </w:numPr>
        <w:rPr>
          <w:rFonts w:ascii="Arial" w:hAnsi="Arial" w:cs="Arial"/>
        </w:rPr>
      </w:pPr>
      <w:r w:rsidRPr="00322E47">
        <w:rPr>
          <w:rStyle w:val="Strong"/>
          <w:rFonts w:ascii="Arial" w:hAnsi="Arial" w:cs="Arial"/>
          <w:b w:val="0"/>
          <w:bCs w:val="0"/>
        </w:rPr>
        <w:t>Year 2</w:t>
      </w:r>
      <w:r w:rsidR="00993A12">
        <w:rPr>
          <w:rStyle w:val="Strong"/>
          <w:rFonts w:ascii="Arial" w:hAnsi="Arial" w:cs="Arial"/>
          <w:b w:val="0"/>
          <w:bCs w:val="0"/>
        </w:rPr>
        <w:t>,</w:t>
      </w:r>
      <w:r w:rsidRPr="00322E47">
        <w:rPr>
          <w:rStyle w:val="Strong"/>
          <w:rFonts w:ascii="Arial" w:hAnsi="Arial" w:cs="Arial"/>
          <w:b w:val="0"/>
          <w:bCs w:val="0"/>
        </w:rPr>
        <w:t xml:space="preserve"> Quarters 3–4</w:t>
      </w:r>
      <w:r w:rsidR="00A3176C">
        <w:rPr>
          <w:rStyle w:val="Strong"/>
          <w:rFonts w:ascii="Arial" w:hAnsi="Arial" w:cs="Arial"/>
          <w:b w:val="0"/>
          <w:bCs w:val="0"/>
        </w:rPr>
        <w:t xml:space="preserve"> (January 1–June 30, 2025)</w:t>
      </w:r>
    </w:p>
    <w:p w14:paraId="2EEE2389" w14:textId="564046A4" w:rsidR="00062ACF" w:rsidRDefault="00287C7B" w:rsidP="005B1F66">
      <w:pPr>
        <w:pStyle w:val="NormalWeb"/>
        <w:spacing w:before="0" w:beforeAutospacing="0" w:after="240" w:afterAutospacing="0"/>
        <w:rPr>
          <w:rStyle w:val="Strong"/>
          <w:rFonts w:ascii="Arial" w:hAnsi="Arial" w:cs="Arial"/>
          <w:b w:val="0"/>
          <w:bCs w:val="0"/>
        </w:rPr>
      </w:pPr>
      <w:r>
        <w:rPr>
          <w:rStyle w:val="Strong"/>
          <w:rFonts w:ascii="Arial" w:hAnsi="Arial" w:cs="Arial"/>
          <w:b w:val="0"/>
          <w:bCs w:val="0"/>
        </w:rPr>
        <w:t>Due to the funding and application timeline, grantees did not receive funding until early in Year 2</w:t>
      </w:r>
      <w:r w:rsidR="00993A12">
        <w:rPr>
          <w:rStyle w:val="Strong"/>
          <w:rFonts w:ascii="Arial" w:hAnsi="Arial" w:cs="Arial"/>
          <w:b w:val="0"/>
          <w:bCs w:val="0"/>
        </w:rPr>
        <w:t>,</w:t>
      </w:r>
      <w:r>
        <w:rPr>
          <w:rStyle w:val="Strong"/>
          <w:rFonts w:ascii="Arial" w:hAnsi="Arial" w:cs="Arial"/>
          <w:b w:val="0"/>
          <w:bCs w:val="0"/>
        </w:rPr>
        <w:t xml:space="preserve"> Quarter 1. </w:t>
      </w:r>
      <w:proofErr w:type="gramStart"/>
      <w:r>
        <w:rPr>
          <w:rStyle w:val="Strong"/>
          <w:rFonts w:ascii="Arial" w:hAnsi="Arial" w:cs="Arial"/>
          <w:b w:val="0"/>
          <w:bCs w:val="0"/>
        </w:rPr>
        <w:t>The majority of</w:t>
      </w:r>
      <w:proofErr w:type="gramEnd"/>
      <w:r>
        <w:rPr>
          <w:rStyle w:val="Strong"/>
          <w:rFonts w:ascii="Arial" w:hAnsi="Arial" w:cs="Arial"/>
          <w:b w:val="0"/>
          <w:bCs w:val="0"/>
        </w:rPr>
        <w:t xml:space="preserve"> grant activities commence</w:t>
      </w:r>
      <w:r w:rsidR="00CB32A3">
        <w:rPr>
          <w:rStyle w:val="Strong"/>
          <w:rFonts w:ascii="Arial" w:hAnsi="Arial" w:cs="Arial"/>
          <w:b w:val="0"/>
          <w:bCs w:val="0"/>
        </w:rPr>
        <w:t>d</w:t>
      </w:r>
      <w:r>
        <w:rPr>
          <w:rStyle w:val="Strong"/>
          <w:rFonts w:ascii="Arial" w:hAnsi="Arial" w:cs="Arial"/>
          <w:b w:val="0"/>
          <w:bCs w:val="0"/>
        </w:rPr>
        <w:t xml:space="preserve"> in Year 2. </w:t>
      </w:r>
      <w:r w:rsidR="00062ACF" w:rsidRPr="00110A11">
        <w:rPr>
          <w:rStyle w:val="Strong"/>
          <w:rFonts w:ascii="Arial" w:hAnsi="Arial" w:cs="Arial"/>
          <w:b w:val="0"/>
          <w:bCs w:val="0"/>
        </w:rPr>
        <w:t>Future legislative reports will include data from subsequent reporting periods and end-of-project reports</w:t>
      </w:r>
      <w:r w:rsidR="00062ACF">
        <w:rPr>
          <w:rStyle w:val="Strong"/>
          <w:rFonts w:ascii="Arial" w:hAnsi="Arial" w:cs="Arial"/>
          <w:b w:val="0"/>
          <w:bCs w:val="0"/>
        </w:rPr>
        <w:t>.</w:t>
      </w:r>
    </w:p>
    <w:p w14:paraId="06C97CA9" w14:textId="7C5241EA" w:rsidR="005903B0" w:rsidRPr="00973654" w:rsidRDefault="005903B0" w:rsidP="00EF5118">
      <w:pPr>
        <w:pStyle w:val="TableTitle"/>
        <w:rPr>
          <w:rStyle w:val="Strong"/>
          <w:b/>
          <w:bCs/>
        </w:rPr>
      </w:pPr>
      <w:r w:rsidRPr="00973654">
        <w:rPr>
          <w:rStyle w:val="Strong"/>
          <w:b/>
          <w:bCs/>
        </w:rPr>
        <w:t xml:space="preserve">Table </w:t>
      </w:r>
      <w:r w:rsidR="00AA5F37">
        <w:rPr>
          <w:rStyle w:val="Strong"/>
          <w:b/>
          <w:bCs/>
        </w:rPr>
        <w:t>5</w:t>
      </w:r>
      <w:r w:rsidRPr="00973654">
        <w:rPr>
          <w:rStyle w:val="Strong"/>
          <w:b/>
          <w:bCs/>
        </w:rPr>
        <w:t xml:space="preserve">: Cohort </w:t>
      </w:r>
      <w:r w:rsidR="00AA5F37">
        <w:rPr>
          <w:rStyle w:val="Strong"/>
          <w:b/>
          <w:bCs/>
        </w:rPr>
        <w:t>2</w:t>
      </w:r>
      <w:r w:rsidRPr="00973654">
        <w:rPr>
          <w:rStyle w:val="Strong"/>
          <w:b/>
          <w:bCs/>
        </w:rPr>
        <w:t xml:space="preserve"> Grantee Summary</w:t>
      </w:r>
    </w:p>
    <w:tbl>
      <w:tblPr>
        <w:tblStyle w:val="TableGrid"/>
        <w:tblW w:w="5000" w:type="pct"/>
        <w:tblLook w:val="04A0" w:firstRow="1" w:lastRow="0" w:firstColumn="1" w:lastColumn="0" w:noHBand="0" w:noVBand="1"/>
        <w:tblCaption w:val="Table 5: Cohort 2 Grantee Summary"/>
        <w:tblDescription w:val="Table listing the Cohort 2 grantees, their award amounts, and their 2023-24 Unduplicated Pupil Count rate."/>
      </w:tblPr>
      <w:tblGrid>
        <w:gridCol w:w="4586"/>
        <w:gridCol w:w="1980"/>
        <w:gridCol w:w="2784"/>
      </w:tblGrid>
      <w:tr w:rsidR="00BE2B78" w14:paraId="59B6C9F0" w14:textId="77777777" w:rsidTr="00BF07AB">
        <w:trPr>
          <w:tblHeader/>
        </w:trPr>
        <w:tc>
          <w:tcPr>
            <w:tcW w:w="2452" w:type="pct"/>
          </w:tcPr>
          <w:p w14:paraId="7AC01D48" w14:textId="77777777" w:rsidR="00BE2B78" w:rsidRPr="005110E8" w:rsidRDefault="00BE2B78" w:rsidP="00993A12">
            <w:pPr>
              <w:rPr>
                <w:b/>
                <w:bCs/>
              </w:rPr>
            </w:pPr>
            <w:r w:rsidRPr="005110E8">
              <w:rPr>
                <w:b/>
                <w:bCs/>
              </w:rPr>
              <w:t>Grantee Name</w:t>
            </w:r>
          </w:p>
        </w:tc>
        <w:tc>
          <w:tcPr>
            <w:tcW w:w="1059" w:type="pct"/>
          </w:tcPr>
          <w:p w14:paraId="373054B5" w14:textId="77777777" w:rsidR="00BE2B78" w:rsidRPr="005110E8" w:rsidRDefault="00BE2B78" w:rsidP="00993A12">
            <w:pPr>
              <w:rPr>
                <w:b/>
                <w:bCs/>
              </w:rPr>
            </w:pPr>
            <w:r w:rsidRPr="005110E8">
              <w:rPr>
                <w:b/>
                <w:bCs/>
              </w:rPr>
              <w:t>Award Amount</w:t>
            </w:r>
          </w:p>
        </w:tc>
        <w:tc>
          <w:tcPr>
            <w:tcW w:w="1489" w:type="pct"/>
          </w:tcPr>
          <w:p w14:paraId="542E7FD7" w14:textId="39876E3A" w:rsidR="00BE2B78" w:rsidRPr="005110E8" w:rsidRDefault="00BE2B78" w:rsidP="00993A12">
            <w:pPr>
              <w:rPr>
                <w:b/>
                <w:bCs/>
              </w:rPr>
            </w:pPr>
            <w:r w:rsidRPr="005110E8">
              <w:rPr>
                <w:b/>
                <w:bCs/>
              </w:rPr>
              <w:t>202</w:t>
            </w:r>
            <w:r>
              <w:rPr>
                <w:b/>
                <w:bCs/>
              </w:rPr>
              <w:t>3</w:t>
            </w:r>
            <w:r w:rsidRPr="005110E8">
              <w:rPr>
                <w:b/>
                <w:bCs/>
              </w:rPr>
              <w:t>–2</w:t>
            </w:r>
            <w:r>
              <w:rPr>
                <w:b/>
                <w:bCs/>
              </w:rPr>
              <w:t>4</w:t>
            </w:r>
            <w:r w:rsidRPr="005110E8">
              <w:rPr>
                <w:b/>
                <w:bCs/>
              </w:rPr>
              <w:t xml:space="preserve"> Unduplicated Pupil Count Rate</w:t>
            </w:r>
          </w:p>
        </w:tc>
      </w:tr>
      <w:tr w:rsidR="00BE2B78" w14:paraId="0A58A692" w14:textId="77777777" w:rsidTr="00BF07AB">
        <w:tc>
          <w:tcPr>
            <w:tcW w:w="2452" w:type="pct"/>
          </w:tcPr>
          <w:p w14:paraId="546DD5A7" w14:textId="7DB9A76B" w:rsidR="00BE2B78" w:rsidRDefault="00BE2B78" w:rsidP="005B1F66">
            <w:r>
              <w:t>Alameda COE</w:t>
            </w:r>
          </w:p>
        </w:tc>
        <w:tc>
          <w:tcPr>
            <w:tcW w:w="1059" w:type="pct"/>
          </w:tcPr>
          <w:p w14:paraId="14AA3CDD" w14:textId="464C1371" w:rsidR="00BE2B78" w:rsidRDefault="00BE2B78" w:rsidP="005B1F66">
            <w:r w:rsidRPr="00222DD8">
              <w:t xml:space="preserve"> $335,840</w:t>
            </w:r>
          </w:p>
        </w:tc>
        <w:tc>
          <w:tcPr>
            <w:tcW w:w="1489" w:type="pct"/>
          </w:tcPr>
          <w:p w14:paraId="61EDB1EA" w14:textId="61809240" w:rsidR="00BE2B78" w:rsidRDefault="00BE2B78" w:rsidP="005B1F66">
            <w:r w:rsidRPr="001B0B50">
              <w:t>92.16%</w:t>
            </w:r>
          </w:p>
        </w:tc>
      </w:tr>
      <w:tr w:rsidR="00BE2B78" w14:paraId="3F57AE75" w14:textId="77777777" w:rsidTr="00BF07AB">
        <w:tc>
          <w:tcPr>
            <w:tcW w:w="2452" w:type="pct"/>
          </w:tcPr>
          <w:p w14:paraId="05FAEF1B" w14:textId="4F4C5726" w:rsidR="00BE2B78" w:rsidRDefault="00BE2B78" w:rsidP="005B1F66">
            <w:r>
              <w:t>Chaffey Joint Union High School District</w:t>
            </w:r>
          </w:p>
        </w:tc>
        <w:tc>
          <w:tcPr>
            <w:tcW w:w="1059" w:type="pct"/>
          </w:tcPr>
          <w:p w14:paraId="06B39DE7" w14:textId="1032EE25" w:rsidR="00BE2B78" w:rsidRDefault="00BE2B78" w:rsidP="005B1F66">
            <w:r w:rsidRPr="00222DD8">
              <w:t xml:space="preserve"> $500,000</w:t>
            </w:r>
          </w:p>
        </w:tc>
        <w:tc>
          <w:tcPr>
            <w:tcW w:w="1489" w:type="pct"/>
          </w:tcPr>
          <w:p w14:paraId="33BD5826" w14:textId="3293E6AB" w:rsidR="00BE2B78" w:rsidRDefault="00BE2B78" w:rsidP="005B1F66">
            <w:r w:rsidRPr="001B0B50">
              <w:t>65.75%</w:t>
            </w:r>
          </w:p>
        </w:tc>
      </w:tr>
      <w:tr w:rsidR="00BE2B78" w14:paraId="0F8BAD66" w14:textId="77777777" w:rsidTr="00BF07AB">
        <w:tc>
          <w:tcPr>
            <w:tcW w:w="2452" w:type="pct"/>
          </w:tcPr>
          <w:p w14:paraId="21CC817F" w14:textId="749BE53B" w:rsidR="00BE2B78" w:rsidRDefault="00BE2B78" w:rsidP="005B1F66">
            <w:r>
              <w:t>Environmental Charter High School—Lawndale</w:t>
            </w:r>
          </w:p>
        </w:tc>
        <w:tc>
          <w:tcPr>
            <w:tcW w:w="1059" w:type="pct"/>
          </w:tcPr>
          <w:p w14:paraId="3D909817" w14:textId="55246B06" w:rsidR="00BE2B78" w:rsidRDefault="00BE2B78" w:rsidP="005B1F66">
            <w:r w:rsidRPr="00222DD8">
              <w:t xml:space="preserve"> $381,442</w:t>
            </w:r>
          </w:p>
        </w:tc>
        <w:tc>
          <w:tcPr>
            <w:tcW w:w="1489" w:type="pct"/>
          </w:tcPr>
          <w:p w14:paraId="6F27719C" w14:textId="2FE11099" w:rsidR="00BE2B78" w:rsidRDefault="00BE2B78" w:rsidP="005B1F66">
            <w:r w:rsidRPr="001B0B50">
              <w:t>79.08%</w:t>
            </w:r>
          </w:p>
        </w:tc>
      </w:tr>
      <w:tr w:rsidR="00BE2B78" w14:paraId="0CDCDE49" w14:textId="77777777" w:rsidTr="00BF07AB">
        <w:tc>
          <w:tcPr>
            <w:tcW w:w="2452" w:type="pct"/>
          </w:tcPr>
          <w:p w14:paraId="7C87EE07" w14:textId="6CCC0FF0" w:rsidR="00BE2B78" w:rsidRDefault="00BE2B78" w:rsidP="005B1F66">
            <w:r w:rsidRPr="00C2576D">
              <w:t>Jurupa USD</w:t>
            </w:r>
          </w:p>
        </w:tc>
        <w:tc>
          <w:tcPr>
            <w:tcW w:w="1059" w:type="pct"/>
          </w:tcPr>
          <w:p w14:paraId="05C389CB" w14:textId="06F960F5" w:rsidR="00BE2B78" w:rsidRDefault="00BE2B78" w:rsidP="005B1F66">
            <w:r w:rsidRPr="00222DD8">
              <w:t xml:space="preserve"> $500,000</w:t>
            </w:r>
          </w:p>
        </w:tc>
        <w:tc>
          <w:tcPr>
            <w:tcW w:w="1489" w:type="pct"/>
          </w:tcPr>
          <w:p w14:paraId="3989DEFA" w14:textId="78065213" w:rsidR="00BE2B78" w:rsidRDefault="00BE2B78" w:rsidP="005B1F66">
            <w:r w:rsidRPr="001B0B50">
              <w:t>82.57%</w:t>
            </w:r>
          </w:p>
        </w:tc>
      </w:tr>
      <w:tr w:rsidR="00BE2B78" w14:paraId="206D41FE" w14:textId="77777777" w:rsidTr="00BF07AB">
        <w:tc>
          <w:tcPr>
            <w:tcW w:w="2452" w:type="pct"/>
          </w:tcPr>
          <w:p w14:paraId="5423D154" w14:textId="7FE3C93C" w:rsidR="00BE2B78" w:rsidRDefault="00BE2B78" w:rsidP="005B1F66">
            <w:r w:rsidRPr="00C2576D">
              <w:t>Pajaro Valley USD</w:t>
            </w:r>
          </w:p>
        </w:tc>
        <w:tc>
          <w:tcPr>
            <w:tcW w:w="1059" w:type="pct"/>
          </w:tcPr>
          <w:p w14:paraId="7D227361" w14:textId="09D0EA31" w:rsidR="00BE2B78" w:rsidRDefault="00BE2B78" w:rsidP="005B1F66">
            <w:r w:rsidRPr="00222DD8">
              <w:t xml:space="preserve"> $500,000</w:t>
            </w:r>
          </w:p>
        </w:tc>
        <w:tc>
          <w:tcPr>
            <w:tcW w:w="1489" w:type="pct"/>
          </w:tcPr>
          <w:p w14:paraId="2DB157B6" w14:textId="5E866031" w:rsidR="00BE2B78" w:rsidRDefault="00BE2B78" w:rsidP="005B1F66">
            <w:r w:rsidRPr="001B0B50">
              <w:t>83.83%</w:t>
            </w:r>
          </w:p>
        </w:tc>
      </w:tr>
      <w:tr w:rsidR="00BE2B78" w14:paraId="13BF2B38" w14:textId="77777777" w:rsidTr="00BF07AB">
        <w:tc>
          <w:tcPr>
            <w:tcW w:w="2452" w:type="pct"/>
          </w:tcPr>
          <w:p w14:paraId="1A89797A" w14:textId="60ABF5A9" w:rsidR="00BE2B78" w:rsidRDefault="00BE2B78" w:rsidP="005B1F66">
            <w:r w:rsidRPr="00C2576D">
              <w:t>Riverside USD</w:t>
            </w:r>
          </w:p>
        </w:tc>
        <w:tc>
          <w:tcPr>
            <w:tcW w:w="1059" w:type="pct"/>
          </w:tcPr>
          <w:p w14:paraId="27060CBF" w14:textId="55F7E240" w:rsidR="00BE2B78" w:rsidRDefault="00BE2B78" w:rsidP="005B1F66">
            <w:r w:rsidRPr="00222DD8">
              <w:t xml:space="preserve"> $499,996</w:t>
            </w:r>
          </w:p>
        </w:tc>
        <w:tc>
          <w:tcPr>
            <w:tcW w:w="1489" w:type="pct"/>
          </w:tcPr>
          <w:p w14:paraId="2E23C38B" w14:textId="18155849" w:rsidR="00BE2B78" w:rsidRDefault="00BE2B78" w:rsidP="005B1F66">
            <w:r w:rsidRPr="001B0B50">
              <w:t>74.35</w:t>
            </w:r>
            <w:r w:rsidR="00AF1804">
              <w:t>%</w:t>
            </w:r>
          </w:p>
        </w:tc>
      </w:tr>
      <w:tr w:rsidR="00BE2B78" w14:paraId="663A274F" w14:textId="77777777" w:rsidTr="00BF07AB">
        <w:tc>
          <w:tcPr>
            <w:tcW w:w="2452" w:type="pct"/>
          </w:tcPr>
          <w:p w14:paraId="27E9C5E2" w14:textId="3FFC3FC4" w:rsidR="00BE2B78" w:rsidRDefault="00BE2B78" w:rsidP="005B1F66">
            <w:r w:rsidRPr="00C2576D">
              <w:t>Sacramento City USD</w:t>
            </w:r>
          </w:p>
        </w:tc>
        <w:tc>
          <w:tcPr>
            <w:tcW w:w="1059" w:type="pct"/>
          </w:tcPr>
          <w:p w14:paraId="4E592DF7" w14:textId="7A38AB56" w:rsidR="00BE2B78" w:rsidRDefault="00BE2B78" w:rsidP="005B1F66">
            <w:r w:rsidRPr="00222DD8">
              <w:t xml:space="preserve"> $325,301</w:t>
            </w:r>
          </w:p>
        </w:tc>
        <w:tc>
          <w:tcPr>
            <w:tcW w:w="1489" w:type="pct"/>
          </w:tcPr>
          <w:p w14:paraId="4E4545C8" w14:textId="01BD1ACC" w:rsidR="00BE2B78" w:rsidRDefault="00BE2B78" w:rsidP="005B1F66">
            <w:r w:rsidRPr="001B0B50">
              <w:t>70.76%</w:t>
            </w:r>
          </w:p>
        </w:tc>
      </w:tr>
      <w:tr w:rsidR="00BE2B78" w14:paraId="51E5B4A4" w14:textId="77777777" w:rsidTr="00BF07AB">
        <w:tc>
          <w:tcPr>
            <w:tcW w:w="2452" w:type="pct"/>
          </w:tcPr>
          <w:p w14:paraId="6002F59D" w14:textId="4B272735" w:rsidR="00BE2B78" w:rsidRDefault="00BE2B78" w:rsidP="005B1F66">
            <w:r w:rsidRPr="00C2576D">
              <w:t>Sacramento COE</w:t>
            </w:r>
          </w:p>
        </w:tc>
        <w:tc>
          <w:tcPr>
            <w:tcW w:w="1059" w:type="pct"/>
          </w:tcPr>
          <w:p w14:paraId="6C9561CC" w14:textId="03120F9E" w:rsidR="00BE2B78" w:rsidRDefault="00BE2B78" w:rsidP="005B1F66">
            <w:r w:rsidRPr="00222DD8">
              <w:t xml:space="preserve"> $457,421</w:t>
            </w:r>
          </w:p>
        </w:tc>
        <w:tc>
          <w:tcPr>
            <w:tcW w:w="1489" w:type="pct"/>
          </w:tcPr>
          <w:p w14:paraId="39D5C02D" w14:textId="44EA50FF" w:rsidR="00BE2B78" w:rsidRDefault="00BE2B78" w:rsidP="005B1F66">
            <w:r w:rsidRPr="001B0B50">
              <w:t>68.55%</w:t>
            </w:r>
          </w:p>
        </w:tc>
      </w:tr>
      <w:tr w:rsidR="00BE2B78" w14:paraId="28B70070" w14:textId="77777777" w:rsidTr="00BF07AB">
        <w:tc>
          <w:tcPr>
            <w:tcW w:w="2452" w:type="pct"/>
          </w:tcPr>
          <w:p w14:paraId="744FE917" w14:textId="3817F066" w:rsidR="00BE2B78" w:rsidRDefault="00BE2B78" w:rsidP="005B1F66">
            <w:r w:rsidRPr="00C2576D">
              <w:t>San Diego USD</w:t>
            </w:r>
          </w:p>
        </w:tc>
        <w:tc>
          <w:tcPr>
            <w:tcW w:w="1059" w:type="pct"/>
          </w:tcPr>
          <w:p w14:paraId="38AE1EAD" w14:textId="028B2CAF" w:rsidR="00BE2B78" w:rsidRDefault="00BE2B78" w:rsidP="005B1F66">
            <w:r w:rsidRPr="00222DD8">
              <w:t xml:space="preserve"> $500,000</w:t>
            </w:r>
          </w:p>
        </w:tc>
        <w:tc>
          <w:tcPr>
            <w:tcW w:w="1489" w:type="pct"/>
          </w:tcPr>
          <w:p w14:paraId="0ADBAE7D" w14:textId="58A7AA6A" w:rsidR="00BE2B78" w:rsidRDefault="00BE2B78" w:rsidP="005B1F66">
            <w:r w:rsidRPr="001B0B50">
              <w:t>59.91%</w:t>
            </w:r>
          </w:p>
        </w:tc>
      </w:tr>
      <w:tr w:rsidR="00BE2B78" w14:paraId="10F5CB02" w14:textId="77777777" w:rsidTr="00BF07AB">
        <w:tc>
          <w:tcPr>
            <w:tcW w:w="2452" w:type="pct"/>
          </w:tcPr>
          <w:p w14:paraId="362D777B" w14:textId="7BBFA7B7" w:rsidR="00BE2B78" w:rsidRPr="00C2576D" w:rsidRDefault="00BE2B78" w:rsidP="005B1F66">
            <w:r w:rsidRPr="00C2576D">
              <w:t>SBE</w:t>
            </w:r>
            <w:r>
              <w:t>—</w:t>
            </w:r>
            <w:r w:rsidRPr="00C2576D">
              <w:t>Latitude 37.8 High</w:t>
            </w:r>
          </w:p>
        </w:tc>
        <w:tc>
          <w:tcPr>
            <w:tcW w:w="1059" w:type="pct"/>
          </w:tcPr>
          <w:p w14:paraId="094D70F2" w14:textId="389E4BE1" w:rsidR="00BE2B78" w:rsidRPr="00E23611" w:rsidRDefault="00BE2B78" w:rsidP="005B1F66">
            <w:r w:rsidRPr="00222DD8">
              <w:t xml:space="preserve"> $500,000</w:t>
            </w:r>
          </w:p>
        </w:tc>
        <w:tc>
          <w:tcPr>
            <w:tcW w:w="1489" w:type="pct"/>
          </w:tcPr>
          <w:p w14:paraId="7AF29D6C" w14:textId="763C4419" w:rsidR="00BE2B78" w:rsidRDefault="00BE2B78" w:rsidP="005B1F66">
            <w:r w:rsidRPr="001B0B50">
              <w:t>71.63%</w:t>
            </w:r>
          </w:p>
        </w:tc>
      </w:tr>
      <w:tr w:rsidR="00BE2B78" w14:paraId="19BD9DBE" w14:textId="77777777" w:rsidTr="00BF07AB">
        <w:tc>
          <w:tcPr>
            <w:tcW w:w="2452" w:type="pct"/>
          </w:tcPr>
          <w:p w14:paraId="0F989FE8" w14:textId="096E5239" w:rsidR="00BE2B78" w:rsidRDefault="00BE2B78" w:rsidP="005B1F66">
            <w:r w:rsidRPr="00C2576D">
              <w:t>Tulare COE</w:t>
            </w:r>
          </w:p>
        </w:tc>
        <w:tc>
          <w:tcPr>
            <w:tcW w:w="1059" w:type="pct"/>
          </w:tcPr>
          <w:p w14:paraId="6D3B4B3D" w14:textId="29009640" w:rsidR="00BE2B78" w:rsidRDefault="00BE2B78" w:rsidP="005B1F66">
            <w:r w:rsidRPr="00222DD8">
              <w:t xml:space="preserve"> $500,000</w:t>
            </w:r>
          </w:p>
        </w:tc>
        <w:tc>
          <w:tcPr>
            <w:tcW w:w="1489" w:type="pct"/>
          </w:tcPr>
          <w:p w14:paraId="16C259B3" w14:textId="7D1ABD1B" w:rsidR="00BE2B78" w:rsidRDefault="00BE2B78" w:rsidP="005B1F66">
            <w:r w:rsidRPr="001B0B50">
              <w:t>76.78%</w:t>
            </w:r>
          </w:p>
        </w:tc>
      </w:tr>
    </w:tbl>
    <w:p w14:paraId="52FC3FD9" w14:textId="5912BAE5" w:rsidR="00CB32A3" w:rsidRPr="00994D20" w:rsidRDefault="00CB32A3" w:rsidP="00ED5B14">
      <w:pPr>
        <w:pStyle w:val="Heading3"/>
      </w:pPr>
      <w:bookmarkStart w:id="58" w:name="_Toc221186078"/>
      <w:r w:rsidRPr="00994D20">
        <w:lastRenderedPageBreak/>
        <w:t xml:space="preserve">Cohort </w:t>
      </w:r>
      <w:r w:rsidR="00B86DFA" w:rsidRPr="00994D20">
        <w:t>2</w:t>
      </w:r>
      <w:r w:rsidRPr="00994D20">
        <w:t xml:space="preserve"> Reporting Summaries</w:t>
      </w:r>
      <w:bookmarkEnd w:id="58"/>
    </w:p>
    <w:p w14:paraId="2C3E9BAD" w14:textId="77777777" w:rsidR="00B86DFA" w:rsidRPr="0024679C" w:rsidRDefault="00B86DFA" w:rsidP="00ED5B14">
      <w:pPr>
        <w:pStyle w:val="Heading4"/>
      </w:pPr>
      <w:bookmarkStart w:id="59" w:name="_Toc221186079"/>
      <w:r w:rsidRPr="0024679C">
        <w:rPr>
          <w:rStyle w:val="Strong"/>
          <w:b/>
          <w:bCs w:val="0"/>
        </w:rPr>
        <w:t>Alameda County Office of Education</w:t>
      </w:r>
      <w:bookmarkEnd w:id="59"/>
    </w:p>
    <w:p w14:paraId="7DBE21EE" w14:textId="48CED46A" w:rsidR="001763C2" w:rsidRPr="0024679C" w:rsidRDefault="001763C2" w:rsidP="0024679C">
      <w:pPr>
        <w:pStyle w:val="Body"/>
      </w:pPr>
      <w:r w:rsidRPr="0024679C">
        <w:t xml:space="preserve">The Alameda </w:t>
      </w:r>
      <w:r w:rsidR="00F83B5E" w:rsidRPr="0024679C">
        <w:t>COE</w:t>
      </w:r>
      <w:r w:rsidRPr="0024679C">
        <w:t xml:space="preserve">, in partnership with Hayward and San Leandro </w:t>
      </w:r>
      <w:r w:rsidR="00993A12">
        <w:t>USD</w:t>
      </w:r>
      <w:r w:rsidRPr="0024679C">
        <w:t xml:space="preserve">s, used California Serves funding to strengthen countywide infrastructure for SSCE-aligned service-learning. During Year 2, approximately 561 pupils participated in service-learning experiences. </w:t>
      </w:r>
      <w:r w:rsidR="00876FE6">
        <w:t>Students engaged</w:t>
      </w:r>
      <w:r w:rsidRPr="0024679C">
        <w:t xml:space="preserve"> in project-based learning</w:t>
      </w:r>
      <w:r w:rsidR="00A926D0">
        <w:t xml:space="preserve"> </w:t>
      </w:r>
      <w:r w:rsidRPr="0024679C">
        <w:t>connected to social justice</w:t>
      </w:r>
      <w:r w:rsidR="00993A12">
        <w:t>,</w:t>
      </w:r>
      <w:r w:rsidRPr="0024679C">
        <w:t xml:space="preserve"> local environmental issues, and community journalism, </w:t>
      </w:r>
      <w:r w:rsidR="00993A12">
        <w:t xml:space="preserve">and </w:t>
      </w:r>
      <w:r w:rsidRPr="0024679C">
        <w:t xml:space="preserve">teachers </w:t>
      </w:r>
      <w:r w:rsidR="00993A12">
        <w:t xml:space="preserve">were </w:t>
      </w:r>
      <w:r w:rsidRPr="0024679C">
        <w:t>supported through paid planning time and coaching.</w:t>
      </w:r>
    </w:p>
    <w:p w14:paraId="13D92DAE" w14:textId="6ED4868F" w:rsidR="00820318" w:rsidRPr="0024679C" w:rsidRDefault="001763C2" w:rsidP="0024679C">
      <w:pPr>
        <w:pStyle w:val="Body"/>
      </w:pPr>
      <w:r w:rsidRPr="0024679C">
        <w:t>A</w:t>
      </w:r>
      <w:r w:rsidR="007D5873">
        <w:t xml:space="preserve">lameda </w:t>
      </w:r>
      <w:r w:rsidRPr="0024679C">
        <w:t xml:space="preserve">COE also focused on building systems to track student progress toward the SSCE across multiple high schools and pathways. Staff used grant funds for </w:t>
      </w:r>
      <w:r w:rsidR="0068048A" w:rsidRPr="0024679C">
        <w:t>PD</w:t>
      </w:r>
      <w:r w:rsidRPr="0024679C">
        <w:t xml:space="preserve"> and coordination time to align grading practices, portfolios, and reflection activities so that student work could be consistently documented across partner districts</w:t>
      </w:r>
      <w:r w:rsidR="0068048A" w:rsidRPr="0024679C">
        <w:t>.</w:t>
      </w:r>
    </w:p>
    <w:p w14:paraId="46D30FAB" w14:textId="342BEABD" w:rsidR="00B86DFA" w:rsidRPr="00C60F61" w:rsidRDefault="00B86DFA" w:rsidP="00ED5B14">
      <w:pPr>
        <w:pStyle w:val="Heading4"/>
      </w:pPr>
      <w:bookmarkStart w:id="60" w:name="_Toc221186080"/>
      <w:r w:rsidRPr="00C60F61">
        <w:rPr>
          <w:rStyle w:val="Strong"/>
          <w:b/>
          <w:bCs w:val="0"/>
        </w:rPr>
        <w:t>Chaffey Joint Union High School District</w:t>
      </w:r>
      <w:bookmarkEnd w:id="60"/>
    </w:p>
    <w:p w14:paraId="696394FB" w14:textId="09A70D4E" w:rsidR="00820318" w:rsidRPr="00C60F61" w:rsidRDefault="00820318" w:rsidP="00C60F61">
      <w:pPr>
        <w:pStyle w:val="Body"/>
      </w:pPr>
      <w:r w:rsidRPr="00C60F61">
        <w:t>Chaffey Joint Union High School District emphasized curriculum integration</w:t>
      </w:r>
      <w:r w:rsidR="0024679C" w:rsidRPr="00C60F61">
        <w:t xml:space="preserve"> </w:t>
      </w:r>
      <w:r w:rsidRPr="00C60F61">
        <w:t xml:space="preserve">and professional learning as core grant strategies. In </w:t>
      </w:r>
      <w:r w:rsidR="0024679C" w:rsidRPr="00C60F61">
        <w:t>Year 2,</w:t>
      </w:r>
      <w:r w:rsidRPr="00C60F61">
        <w:t xml:space="preserve"> 72 pupils participated in </w:t>
      </w:r>
      <w:r w:rsidR="001123A1">
        <w:t>service-learning</w:t>
      </w:r>
      <w:r w:rsidRPr="00C60F61">
        <w:t xml:space="preserve">. Grant funds supported teacher collaboration time to embed civic inquiry and </w:t>
      </w:r>
      <w:r w:rsidR="001123A1">
        <w:t>service-learning</w:t>
      </w:r>
      <w:r w:rsidRPr="00C60F61">
        <w:t xml:space="preserve"> into existing high school courses and to identify pilot sites for deeper implementation.</w:t>
      </w:r>
    </w:p>
    <w:p w14:paraId="13E022C0" w14:textId="006CE5F4" w:rsidR="00820318" w:rsidRPr="00C60F61" w:rsidRDefault="00820318" w:rsidP="00C60F61">
      <w:pPr>
        <w:pStyle w:val="Body"/>
      </w:pPr>
      <w:r w:rsidRPr="00C60F61">
        <w:t xml:space="preserve">The </w:t>
      </w:r>
      <w:r w:rsidR="00AA3E06">
        <w:t>district focused</w:t>
      </w:r>
      <w:r w:rsidRPr="00C60F61">
        <w:t xml:space="preserve"> on building a sustainable SSCE infrastructure</w:t>
      </w:r>
      <w:r w:rsidR="00993A12">
        <w:t xml:space="preserve"> that includes</w:t>
      </w:r>
      <w:r w:rsidRPr="00C60F61">
        <w:t xml:space="preserve"> shared rubrics, common reflection prompts, and district-level guidance for counselors and administrators</w:t>
      </w:r>
      <w:r w:rsidR="0024679C" w:rsidRPr="00C60F61">
        <w:t>.</w:t>
      </w:r>
      <w:r w:rsidRPr="00C60F61">
        <w:t xml:space="preserve"> Early implementation schools are being used as demonstration sites to refine processes before expansion across the district.</w:t>
      </w:r>
    </w:p>
    <w:p w14:paraId="19907C39" w14:textId="0BB74D2D" w:rsidR="00B86DFA" w:rsidRPr="00931BE8" w:rsidRDefault="00B86DFA" w:rsidP="00ED5B14">
      <w:pPr>
        <w:pStyle w:val="Heading4"/>
      </w:pPr>
      <w:bookmarkStart w:id="61" w:name="_Toc221186081"/>
      <w:r w:rsidRPr="00931BE8">
        <w:rPr>
          <w:rStyle w:val="Strong"/>
          <w:b/>
          <w:bCs w:val="0"/>
        </w:rPr>
        <w:t>Environmental Charter High School</w:t>
      </w:r>
      <w:r w:rsidR="00EB6572">
        <w:rPr>
          <w:rStyle w:val="Strong"/>
          <w:b/>
          <w:bCs w:val="0"/>
        </w:rPr>
        <w:t>—</w:t>
      </w:r>
      <w:r w:rsidRPr="00931BE8">
        <w:rPr>
          <w:rStyle w:val="Strong"/>
          <w:b/>
          <w:bCs w:val="0"/>
        </w:rPr>
        <w:t>Lawndale</w:t>
      </w:r>
      <w:bookmarkEnd w:id="61"/>
    </w:p>
    <w:p w14:paraId="654290D4" w14:textId="2DAD070A" w:rsidR="00820318" w:rsidRPr="00820318" w:rsidRDefault="00820318" w:rsidP="00931BE8">
      <w:pPr>
        <w:pStyle w:val="Body"/>
        <w:rPr>
          <w:b/>
          <w:i/>
          <w:iCs/>
        </w:rPr>
      </w:pPr>
      <w:r w:rsidRPr="00820318">
        <w:t>Environmental Charter High School</w:t>
      </w:r>
      <w:r w:rsidR="00EB6572">
        <w:t>—</w:t>
      </w:r>
      <w:r w:rsidRPr="00820318">
        <w:t xml:space="preserve">Lawndale reported robust student engagement in </w:t>
      </w:r>
      <w:r w:rsidR="001123A1">
        <w:t>service-learning</w:t>
      </w:r>
      <w:r w:rsidRPr="00820318">
        <w:t xml:space="preserve"> linked to environmental justice and community education. In </w:t>
      </w:r>
      <w:r w:rsidR="00931BE8">
        <w:t>Year 2,</w:t>
      </w:r>
      <w:r w:rsidRPr="00820318">
        <w:t xml:space="preserve"> 217 pupils participated in grant-supported activities. Projects included student-led campaigns </w:t>
      </w:r>
      <w:r w:rsidR="009C5D2E">
        <w:t>on</w:t>
      </w:r>
      <w:r w:rsidR="009C5D2E" w:rsidRPr="00820318">
        <w:t xml:space="preserve"> </w:t>
      </w:r>
      <w:r w:rsidRPr="00820318">
        <w:t>climate resilience, local sustainability initiatives, and community-facing educational events</w:t>
      </w:r>
      <w:r w:rsidR="00C86E42">
        <w:t>.</w:t>
      </w:r>
    </w:p>
    <w:p w14:paraId="19E1F90D" w14:textId="4C3BD25B" w:rsidR="00820318" w:rsidRDefault="00E24E39" w:rsidP="00931BE8">
      <w:pPr>
        <w:pStyle w:val="Body"/>
        <w:rPr>
          <w:b/>
          <w:i/>
          <w:iCs/>
        </w:rPr>
      </w:pPr>
      <w:r>
        <w:t>The school</w:t>
      </w:r>
      <w:r w:rsidR="00820318" w:rsidRPr="00820318">
        <w:t xml:space="preserve"> emphasized the importance of centering historically marginalized student voices in project design and reflection. Grant funds were used to support teacher facilitation time, materials for community projects, and portfolio development so that students could document their civic learning and leadership over time.</w:t>
      </w:r>
    </w:p>
    <w:p w14:paraId="6BBE9850" w14:textId="4D32332C" w:rsidR="00B86DFA" w:rsidRPr="00C86E42" w:rsidRDefault="00B86DFA" w:rsidP="00ED5B14">
      <w:pPr>
        <w:pStyle w:val="Heading4"/>
      </w:pPr>
      <w:bookmarkStart w:id="62" w:name="_Toc221186082"/>
      <w:r w:rsidRPr="00C86E42">
        <w:rPr>
          <w:rStyle w:val="Strong"/>
          <w:b/>
          <w:bCs w:val="0"/>
        </w:rPr>
        <w:lastRenderedPageBreak/>
        <w:t>Jurupa Unified School District</w:t>
      </w:r>
      <w:bookmarkEnd w:id="62"/>
    </w:p>
    <w:p w14:paraId="099F2938" w14:textId="397E1CEF" w:rsidR="00820318" w:rsidRPr="00820318" w:rsidRDefault="00820318" w:rsidP="00A06A8B">
      <w:pPr>
        <w:pStyle w:val="Body"/>
        <w:rPr>
          <w:b/>
          <w:i/>
          <w:iCs/>
        </w:rPr>
      </w:pPr>
      <w:r w:rsidRPr="00820318">
        <w:t xml:space="preserve">Jurupa </w:t>
      </w:r>
      <w:r w:rsidR="00C86E42">
        <w:t>USD</w:t>
      </w:r>
      <w:r w:rsidRPr="00820318">
        <w:t xml:space="preserve"> used grant</w:t>
      </w:r>
      <w:r w:rsidR="00C86E42">
        <w:t xml:space="preserve"> funds</w:t>
      </w:r>
      <w:r w:rsidRPr="00820318">
        <w:t xml:space="preserve"> to prioritize school climate, safety, and student voice. During </w:t>
      </w:r>
      <w:r w:rsidR="00C86E42">
        <w:t>Year 2,</w:t>
      </w:r>
      <w:r w:rsidRPr="00820318">
        <w:t xml:space="preserve"> 150 pupils participated in SSCE-aligned service-learning. Reported activities</w:t>
      </w:r>
      <w:r w:rsidR="005E6AC2">
        <w:t xml:space="preserve"> </w:t>
      </w:r>
      <w:r w:rsidRPr="00820318">
        <w:t xml:space="preserve">include student leadership teams addressing campus safety, peer education campaigns, and collaborative projects connecting civic inquiry with </w:t>
      </w:r>
      <w:r w:rsidR="009A404A">
        <w:t>CTE</w:t>
      </w:r>
      <w:r w:rsidRPr="00820318">
        <w:t xml:space="preserve"> pathways.</w:t>
      </w:r>
    </w:p>
    <w:p w14:paraId="3D019563" w14:textId="75D92453" w:rsidR="00820318" w:rsidRDefault="00820318" w:rsidP="00A06A8B">
      <w:pPr>
        <w:pStyle w:val="Body"/>
        <w:rPr>
          <w:b/>
          <w:i/>
          <w:iCs/>
        </w:rPr>
      </w:pPr>
      <w:r w:rsidRPr="00820318">
        <w:t xml:space="preserve">The district focused on training teachers and site leaders to scaffold SSCE evidence and reflection, particularly for seniors and students in CTE programs. Funds supported </w:t>
      </w:r>
      <w:r w:rsidR="005E6AC2">
        <w:t>PD</w:t>
      </w:r>
      <w:r w:rsidRPr="00820318">
        <w:t>, project coordination, and the development of tools for tracking student progress toward the SSCE across multiple high schools.</w:t>
      </w:r>
    </w:p>
    <w:p w14:paraId="7D30259D" w14:textId="3EC0FCC9" w:rsidR="00B86DFA" w:rsidRPr="00A06A8B" w:rsidRDefault="00B86DFA" w:rsidP="00ED5B14">
      <w:pPr>
        <w:pStyle w:val="Heading4"/>
      </w:pPr>
      <w:bookmarkStart w:id="63" w:name="_Toc221186083"/>
      <w:r w:rsidRPr="00A06A8B">
        <w:rPr>
          <w:rStyle w:val="Strong"/>
          <w:b/>
          <w:bCs w:val="0"/>
        </w:rPr>
        <w:t>Latitude 37.8 High</w:t>
      </w:r>
      <w:bookmarkEnd w:id="63"/>
    </w:p>
    <w:p w14:paraId="3B1FEFFF" w14:textId="4247857E" w:rsidR="00B86DFA" w:rsidRPr="00994D20" w:rsidRDefault="00B86DFA" w:rsidP="00A06A8B">
      <w:pPr>
        <w:pStyle w:val="Body"/>
      </w:pPr>
      <w:r w:rsidRPr="00994D20">
        <w:t xml:space="preserve">Latitude 37.8 High </w:t>
      </w:r>
      <w:r w:rsidR="005E6AC2">
        <w:t xml:space="preserve">launched </w:t>
      </w:r>
      <w:r w:rsidRPr="00994D20">
        <w:t>its SSCE implementation through personalized learning pathways. Teachers supported students in desi</w:t>
      </w:r>
      <w:r w:rsidR="00A06A8B">
        <w:t xml:space="preserve">gning independent civic action pathways </w:t>
      </w:r>
      <w:r w:rsidRPr="00994D20">
        <w:t>connected to their internship experiences and local community needs. Students focused on topics such as food insecurity, voter education, and environmental equity.</w:t>
      </w:r>
    </w:p>
    <w:p w14:paraId="5346DC22" w14:textId="3628D158" w:rsidR="00B86DFA" w:rsidRPr="00994D20" w:rsidRDefault="008958F3" w:rsidP="00A06A8B">
      <w:pPr>
        <w:pStyle w:val="Body"/>
      </w:pPr>
      <w:r>
        <w:t xml:space="preserve">Reports </w:t>
      </w:r>
      <w:r w:rsidR="00B86DFA" w:rsidRPr="00994D20">
        <w:t>highlighted strong student ownership of projects and the use of digital portfolios to document civic learning</w:t>
      </w:r>
      <w:r w:rsidR="009C5D2E">
        <w:t xml:space="preserve"> and focus </w:t>
      </w:r>
      <w:r w:rsidR="00FD4B74">
        <w:t xml:space="preserve">on </w:t>
      </w:r>
      <w:r w:rsidR="00B86DFA" w:rsidRPr="00994D20">
        <w:t>equity by supporting students with individualized coaching and multilingual resources.</w:t>
      </w:r>
    </w:p>
    <w:p w14:paraId="6077DDAA" w14:textId="77777777" w:rsidR="00B86DFA" w:rsidRPr="00A06A8B" w:rsidRDefault="00B86DFA" w:rsidP="00ED5B14">
      <w:pPr>
        <w:pStyle w:val="Heading4"/>
      </w:pPr>
      <w:bookmarkStart w:id="64" w:name="_Toc221186084"/>
      <w:r w:rsidRPr="00A06A8B">
        <w:rPr>
          <w:rStyle w:val="Strong"/>
          <w:b/>
          <w:bCs w:val="0"/>
        </w:rPr>
        <w:t>Pajaro Valley Unified School District</w:t>
      </w:r>
      <w:bookmarkEnd w:id="64"/>
    </w:p>
    <w:p w14:paraId="320F9113" w14:textId="5FBF9F1C" w:rsidR="00820318" w:rsidRPr="00CC0AC0" w:rsidRDefault="00820318" w:rsidP="00CC0AC0">
      <w:pPr>
        <w:pStyle w:val="Body"/>
      </w:pPr>
      <w:r w:rsidRPr="00CC0AC0">
        <w:t xml:space="preserve">Pajaro Valley </w:t>
      </w:r>
      <w:r w:rsidR="00DA3A26" w:rsidRPr="00CC0AC0">
        <w:t>USD</w:t>
      </w:r>
      <w:r w:rsidRPr="00CC0AC0">
        <w:t xml:space="preserve"> emphasized peer collaboration and local civic initiatives as the core of its </w:t>
      </w:r>
      <w:r w:rsidR="00376BD0">
        <w:t xml:space="preserve">grant </w:t>
      </w:r>
      <w:r w:rsidRPr="00CC0AC0">
        <w:t xml:space="preserve">implementation. In </w:t>
      </w:r>
      <w:r w:rsidR="0096229B">
        <w:t>Year 2</w:t>
      </w:r>
      <w:r w:rsidR="00DA3A26" w:rsidRPr="00CC0AC0">
        <w:t>,</w:t>
      </w:r>
      <w:r w:rsidRPr="00CC0AC0">
        <w:t xml:space="preserve"> 484 pupils participated in </w:t>
      </w:r>
      <w:r w:rsidR="001123A1">
        <w:t>service-learning</w:t>
      </w:r>
      <w:r w:rsidRPr="00CC0AC0">
        <w:t>. Projects centered on local community needs, including youth-led efforts related to environmental stewardship, community health, and school improvement.</w:t>
      </w:r>
    </w:p>
    <w:p w14:paraId="4F2CDB08" w14:textId="067CA7FA" w:rsidR="00820318" w:rsidRPr="00CC0AC0" w:rsidRDefault="00820318" w:rsidP="00CC0AC0">
      <w:pPr>
        <w:pStyle w:val="Body"/>
      </w:pPr>
      <w:r w:rsidRPr="00CC0AC0">
        <w:t xml:space="preserve">Grant funds supported teacher planning time, coordination of cross-school activities, and development of reflection and documentation tools. </w:t>
      </w:r>
      <w:r w:rsidR="00175D77">
        <w:t>Service</w:t>
      </w:r>
      <w:r w:rsidR="001123A1">
        <w:t>-</w:t>
      </w:r>
      <w:r w:rsidR="00175D77">
        <w:t>learning</w:t>
      </w:r>
      <w:r w:rsidRPr="00CC0AC0">
        <w:t xml:space="preserve"> is increasingly embedded into core academic courses, and students </w:t>
      </w:r>
      <w:r w:rsidR="009C5D2E">
        <w:t>gain</w:t>
      </w:r>
      <w:r w:rsidRPr="00CC0AC0">
        <w:t xml:space="preserve"> experience presenting their work to peers, families, and community partners.</w:t>
      </w:r>
    </w:p>
    <w:p w14:paraId="3567A94A" w14:textId="3D4D07B1" w:rsidR="00B86DFA" w:rsidRPr="00CC0AC0" w:rsidRDefault="00B86DFA" w:rsidP="00ED5B14">
      <w:pPr>
        <w:pStyle w:val="Heading4"/>
      </w:pPr>
      <w:bookmarkStart w:id="65" w:name="_Toc221186085"/>
      <w:r w:rsidRPr="00CC0AC0">
        <w:rPr>
          <w:rStyle w:val="Strong"/>
          <w:b/>
          <w:bCs w:val="0"/>
        </w:rPr>
        <w:t>Riverside Unified School District</w:t>
      </w:r>
      <w:bookmarkEnd w:id="65"/>
    </w:p>
    <w:p w14:paraId="6822DCCE" w14:textId="3F47D2FA" w:rsidR="00820318" w:rsidRPr="00820318" w:rsidRDefault="00820318" w:rsidP="00CC0AC0">
      <w:pPr>
        <w:pStyle w:val="Body"/>
        <w:rPr>
          <w:b/>
          <w:i/>
          <w:iCs/>
        </w:rPr>
      </w:pPr>
      <w:r w:rsidRPr="00820318">
        <w:t xml:space="preserve">Riverside </w:t>
      </w:r>
      <w:r w:rsidR="00CC0AC0">
        <w:t>USD</w:t>
      </w:r>
      <w:r w:rsidRPr="00820318">
        <w:t xml:space="preserve"> reported the largest scale of student participation among Cohort 2 grantees. During </w:t>
      </w:r>
      <w:r w:rsidR="00CC0AC0">
        <w:t>Year 2</w:t>
      </w:r>
      <w:r w:rsidRPr="00820318">
        <w:t xml:space="preserve">, 5,628 pupils participated in SSCE-aligned </w:t>
      </w:r>
      <w:r w:rsidR="001123A1">
        <w:t>service-learning</w:t>
      </w:r>
      <w:r w:rsidRPr="00820318">
        <w:t>. Student projects included water conservation advocacy, youth voice in local policy discussions, and partnerships with community organizations to support off-campus learning opportunities.</w:t>
      </w:r>
    </w:p>
    <w:p w14:paraId="14FFB931" w14:textId="2AC144B5" w:rsidR="00820318" w:rsidRDefault="00820318" w:rsidP="00CC0AC0">
      <w:pPr>
        <w:pStyle w:val="Body"/>
        <w:rPr>
          <w:b/>
          <w:i/>
          <w:iCs/>
        </w:rPr>
      </w:pPr>
      <w:r w:rsidRPr="00820318">
        <w:t xml:space="preserve">Grant funds were used to refine districtwide systems for identifying eligible students, supporting evidence collection, and aligning course-based projects with the SSCE </w:t>
      </w:r>
      <w:r w:rsidRPr="00820318">
        <w:lastRenderedPageBreak/>
        <w:t>criteria. The district also invested in professional learning for teachers and counselors and began building a centralized portfolio system so that students can document civic inquiry and action across multiple years and courses.</w:t>
      </w:r>
    </w:p>
    <w:p w14:paraId="208BEA5B" w14:textId="1EE36754" w:rsidR="00B86DFA" w:rsidRPr="00CC0AC0" w:rsidRDefault="00B86DFA" w:rsidP="00ED5B14">
      <w:pPr>
        <w:pStyle w:val="Heading4"/>
      </w:pPr>
      <w:bookmarkStart w:id="66" w:name="_Toc221186086"/>
      <w:r w:rsidRPr="00CC0AC0">
        <w:rPr>
          <w:rStyle w:val="Strong"/>
          <w:b/>
          <w:bCs w:val="0"/>
        </w:rPr>
        <w:t>Sacramento City Unified School District</w:t>
      </w:r>
      <w:bookmarkEnd w:id="66"/>
    </w:p>
    <w:p w14:paraId="28B2C288" w14:textId="57CF3629" w:rsidR="00820318" w:rsidRPr="00820318" w:rsidRDefault="00820318" w:rsidP="00CC0AC0">
      <w:pPr>
        <w:pStyle w:val="Body"/>
        <w:rPr>
          <w:b/>
          <w:i/>
          <w:iCs/>
        </w:rPr>
      </w:pPr>
      <w:r w:rsidRPr="00820318">
        <w:t xml:space="preserve">Sacramento City </w:t>
      </w:r>
      <w:r w:rsidR="00997EDF">
        <w:t>USD</w:t>
      </w:r>
      <w:r w:rsidRPr="00820318">
        <w:t xml:space="preserve"> f</w:t>
      </w:r>
      <w:r w:rsidR="00C14DE0">
        <w:t>ocused on</w:t>
      </w:r>
      <w:r w:rsidRPr="00820318">
        <w:t xml:space="preserve"> interdisciplinary civic inquiry and student showcases. In </w:t>
      </w:r>
      <w:r w:rsidR="00997EDF">
        <w:t>Year 2</w:t>
      </w:r>
      <w:r w:rsidRPr="00820318">
        <w:t xml:space="preserve">, 324 pupils participated in </w:t>
      </w:r>
      <w:r w:rsidR="001123A1">
        <w:t>service-learning</w:t>
      </w:r>
      <w:r w:rsidRPr="00820318">
        <w:t>. Reported activities included course-based civic investigations, public presentations of local issue analyses, and student projects that connected classroom learning with community concerns.</w:t>
      </w:r>
    </w:p>
    <w:p w14:paraId="4376EB5C" w14:textId="7BF71D60" w:rsidR="00820318" w:rsidRDefault="00820318" w:rsidP="00CC0AC0">
      <w:pPr>
        <w:pStyle w:val="Body"/>
        <w:rPr>
          <w:b/>
          <w:i/>
          <w:iCs/>
        </w:rPr>
      </w:pPr>
      <w:r w:rsidRPr="00820318">
        <w:t xml:space="preserve">Grant funds supported teacher collaboration time and the coordination of student showcase events where pupils presented their projects to school and community audiences. The </w:t>
      </w:r>
      <w:r w:rsidR="00B43682">
        <w:t xml:space="preserve">district </w:t>
      </w:r>
      <w:r w:rsidRPr="00820318">
        <w:t>plans to scale SSCE participation by aligning capstone experiences, pathways, and graduation-related projects with the SSCE criteria.</w:t>
      </w:r>
    </w:p>
    <w:p w14:paraId="0994D396" w14:textId="0851C172" w:rsidR="00B86DFA" w:rsidRPr="00A245B2" w:rsidRDefault="00B86DFA" w:rsidP="00ED5B14">
      <w:pPr>
        <w:pStyle w:val="Heading4"/>
      </w:pPr>
      <w:bookmarkStart w:id="67" w:name="_Toc221186087"/>
      <w:r w:rsidRPr="00A245B2">
        <w:rPr>
          <w:rStyle w:val="Strong"/>
          <w:b/>
          <w:bCs w:val="0"/>
        </w:rPr>
        <w:t>Sacramento County Office of Education</w:t>
      </w:r>
      <w:bookmarkEnd w:id="67"/>
    </w:p>
    <w:p w14:paraId="201E7EA1" w14:textId="232F49F6" w:rsidR="00820318" w:rsidRPr="00A245B2" w:rsidRDefault="00820318" w:rsidP="00A245B2">
      <w:pPr>
        <w:pStyle w:val="Body"/>
      </w:pPr>
      <w:r w:rsidRPr="00A245B2">
        <w:t xml:space="preserve">The Sacramento </w:t>
      </w:r>
      <w:r w:rsidR="00C635DB" w:rsidRPr="00A245B2">
        <w:t>COE s</w:t>
      </w:r>
      <w:r w:rsidRPr="00A245B2">
        <w:t xml:space="preserve">erved as a regional hub supporting multiple districts in implementing SSCE-aligned service-learning. In </w:t>
      </w:r>
      <w:r w:rsidR="00F02C95">
        <w:t>Year 2</w:t>
      </w:r>
      <w:r w:rsidR="00C635DB" w:rsidRPr="00A245B2">
        <w:t xml:space="preserve">, </w:t>
      </w:r>
      <w:r w:rsidRPr="00A245B2">
        <w:t xml:space="preserve">273 pupils participated in grant-supported activities. </w:t>
      </w:r>
      <w:r w:rsidR="009C5D2E">
        <w:t xml:space="preserve">The </w:t>
      </w:r>
      <w:r w:rsidRPr="00A245B2">
        <w:t>S</w:t>
      </w:r>
      <w:r w:rsidR="009C5D2E">
        <w:t xml:space="preserve">acramento </w:t>
      </w:r>
      <w:r w:rsidRPr="00A245B2">
        <w:t>COE’s role included developing training, tools, and shared resources for districts and schools across the county with a focus on supporting smaller LEAs.</w:t>
      </w:r>
    </w:p>
    <w:p w14:paraId="4A4B324D" w14:textId="7AAE7A51" w:rsidR="00820318" w:rsidRPr="00A245B2" w:rsidRDefault="00820318" w:rsidP="00A245B2">
      <w:pPr>
        <w:pStyle w:val="Body"/>
      </w:pPr>
      <w:r w:rsidRPr="00A245B2">
        <w:t xml:space="preserve">Grant activities emphasized regional professional learning, cross-district collaboration, and the development of common templates for documenting student evidence. </w:t>
      </w:r>
      <w:r w:rsidR="009C5D2E">
        <w:t xml:space="preserve">The </w:t>
      </w:r>
      <w:r w:rsidRPr="00A245B2">
        <w:t>S</w:t>
      </w:r>
      <w:r w:rsidR="009C5D2E">
        <w:t xml:space="preserve">acramento </w:t>
      </w:r>
      <w:r w:rsidRPr="00A245B2">
        <w:t>COE</w:t>
      </w:r>
      <w:r w:rsidR="00D16A18">
        <w:t xml:space="preserve"> demonstrates the important role of </w:t>
      </w:r>
      <w:r w:rsidR="00AF4B2A" w:rsidRPr="00A245B2">
        <w:t>COEs</w:t>
      </w:r>
      <w:r w:rsidRPr="00A245B2">
        <w:t xml:space="preserve"> in sustaining SSCE implementation and ensuring that smaller districts can access high-quality </w:t>
      </w:r>
      <w:r w:rsidR="001123A1">
        <w:t>service-learning</w:t>
      </w:r>
      <w:r w:rsidRPr="00A245B2">
        <w:t xml:space="preserve"> supports.</w:t>
      </w:r>
    </w:p>
    <w:p w14:paraId="4A59B52C" w14:textId="2EFD6652" w:rsidR="00B86DFA" w:rsidRPr="00A245B2" w:rsidRDefault="00B86DFA" w:rsidP="00ED5B14">
      <w:pPr>
        <w:pStyle w:val="Heading4"/>
      </w:pPr>
      <w:bookmarkStart w:id="68" w:name="_Toc221186088"/>
      <w:r w:rsidRPr="00A245B2">
        <w:rPr>
          <w:rStyle w:val="Strong"/>
          <w:b/>
          <w:bCs w:val="0"/>
        </w:rPr>
        <w:t>San Diego Unified School District</w:t>
      </w:r>
      <w:bookmarkEnd w:id="68"/>
    </w:p>
    <w:p w14:paraId="7B2A2B35" w14:textId="52CA9283" w:rsidR="00820318" w:rsidRPr="00A245B2" w:rsidRDefault="00820318" w:rsidP="00A245B2">
      <w:pPr>
        <w:pStyle w:val="Body"/>
      </w:pPr>
      <w:r w:rsidRPr="00A245B2">
        <w:t xml:space="preserve">San Diego </w:t>
      </w:r>
      <w:r w:rsidR="00171282">
        <w:t>USD</w:t>
      </w:r>
      <w:r w:rsidRPr="00A245B2">
        <w:t xml:space="preserve"> </w:t>
      </w:r>
      <w:r w:rsidR="006A7445">
        <w:t>highlighted</w:t>
      </w:r>
      <w:r w:rsidRPr="00A245B2">
        <w:t xml:space="preserve"> asset mapping and student journalism as central strategies for SSCE-aligned </w:t>
      </w:r>
      <w:r w:rsidR="001123A1">
        <w:t>service-learning</w:t>
      </w:r>
      <w:r w:rsidRPr="00A245B2">
        <w:t xml:space="preserve">. During </w:t>
      </w:r>
      <w:r w:rsidR="0096229B">
        <w:t>Year 2</w:t>
      </w:r>
      <w:r w:rsidR="00171282">
        <w:t>,</w:t>
      </w:r>
      <w:r w:rsidRPr="00A245B2">
        <w:t xml:space="preserve"> 277 pupils participated in </w:t>
      </w:r>
      <w:r w:rsidR="001123A1">
        <w:t>service-learning</w:t>
      </w:r>
      <w:r w:rsidRPr="00A245B2">
        <w:t xml:space="preserve">. Students </w:t>
      </w:r>
      <w:r w:rsidR="00171282">
        <w:t xml:space="preserve">focused on </w:t>
      </w:r>
      <w:r w:rsidR="0096229B">
        <w:t>content and civic engagement projects</w:t>
      </w:r>
      <w:r w:rsidR="009D6FCE">
        <w:t>, work</w:t>
      </w:r>
      <w:r w:rsidR="009C5D2E">
        <w:t>ed</w:t>
      </w:r>
      <w:r w:rsidR="009D6FCE">
        <w:t xml:space="preserve"> to integrate youth perspective into project design, </w:t>
      </w:r>
      <w:r w:rsidR="00171282">
        <w:t xml:space="preserve">and </w:t>
      </w:r>
      <w:r w:rsidRPr="00A245B2">
        <w:t xml:space="preserve">often </w:t>
      </w:r>
      <w:r w:rsidR="009D6FCE">
        <w:t>shared</w:t>
      </w:r>
      <w:r w:rsidRPr="00A245B2">
        <w:t xml:space="preserve"> their work through </w:t>
      </w:r>
      <w:r w:rsidR="009D6FCE">
        <w:t>school events</w:t>
      </w:r>
      <w:r w:rsidRPr="00A245B2">
        <w:t xml:space="preserve"> and community media.</w:t>
      </w:r>
    </w:p>
    <w:p w14:paraId="31B4DA33" w14:textId="692672A5" w:rsidR="00820318" w:rsidRPr="00A245B2" w:rsidRDefault="00820318" w:rsidP="00A245B2">
      <w:pPr>
        <w:pStyle w:val="Body"/>
      </w:pPr>
      <w:r w:rsidRPr="00A245B2">
        <w:t xml:space="preserve">Grant funds supported staff coordination, </w:t>
      </w:r>
      <w:r w:rsidR="00171282">
        <w:t>PD</w:t>
      </w:r>
      <w:r w:rsidRPr="00A245B2">
        <w:t xml:space="preserve">, and expanded access to tools for documenting student reflections and civic products. </w:t>
      </w:r>
      <w:r w:rsidR="000A44A5">
        <w:t xml:space="preserve">A district </w:t>
      </w:r>
      <w:r w:rsidRPr="00A245B2">
        <w:t xml:space="preserve">steering committee and cross-department collaboration </w:t>
      </w:r>
      <w:r w:rsidR="000A44A5">
        <w:t>played key roles in</w:t>
      </w:r>
      <w:r w:rsidRPr="00A245B2">
        <w:t xml:space="preserve"> aligning SSCE work with broader equity initiatives.</w:t>
      </w:r>
    </w:p>
    <w:p w14:paraId="4D6CD6C4" w14:textId="77E1EFAE" w:rsidR="00B86DFA" w:rsidRPr="00A245B2" w:rsidRDefault="00B86DFA" w:rsidP="00ED5B14">
      <w:pPr>
        <w:pStyle w:val="Heading4"/>
      </w:pPr>
      <w:bookmarkStart w:id="69" w:name="_Toc221186089"/>
      <w:r w:rsidRPr="00A245B2">
        <w:rPr>
          <w:rStyle w:val="Strong"/>
          <w:b/>
          <w:bCs w:val="0"/>
        </w:rPr>
        <w:lastRenderedPageBreak/>
        <w:t>Tulare County Office of Education</w:t>
      </w:r>
      <w:bookmarkEnd w:id="69"/>
    </w:p>
    <w:p w14:paraId="3FC67ACA" w14:textId="45A682BA" w:rsidR="00820318" w:rsidRPr="00A245B2" w:rsidRDefault="00820318" w:rsidP="00A245B2">
      <w:pPr>
        <w:pStyle w:val="Body"/>
      </w:pPr>
      <w:r w:rsidRPr="00A245B2">
        <w:t xml:space="preserve">Tulare </w:t>
      </w:r>
      <w:r w:rsidR="00171282">
        <w:t>COE</w:t>
      </w:r>
      <w:r w:rsidRPr="00A245B2">
        <w:t xml:space="preserve"> used </w:t>
      </w:r>
      <w:r w:rsidR="00171282">
        <w:t xml:space="preserve">grant </w:t>
      </w:r>
      <w:r w:rsidRPr="00A245B2">
        <w:t>funding to support rural youth civic leadership and local government engagement across</w:t>
      </w:r>
      <w:r w:rsidR="000C245A">
        <w:t xml:space="preserve"> several </w:t>
      </w:r>
      <w:r w:rsidRPr="00A245B2">
        <w:t xml:space="preserve">districts. In </w:t>
      </w:r>
      <w:r w:rsidR="00171282">
        <w:t>Year 2,</w:t>
      </w:r>
      <w:r w:rsidRPr="00A245B2">
        <w:t xml:space="preserve"> 129 pupils participated in SSCE-aligned </w:t>
      </w:r>
      <w:r w:rsidR="001123A1">
        <w:t>service-learning</w:t>
      </w:r>
      <w:r w:rsidRPr="00A245B2">
        <w:t>. Students worked on projects tied to local governance, community improvement, and regional issues</w:t>
      </w:r>
      <w:r w:rsidR="009C5D2E">
        <w:t xml:space="preserve"> and focused</w:t>
      </w:r>
      <w:r w:rsidR="005D2BF7">
        <w:t xml:space="preserve"> on</w:t>
      </w:r>
      <w:r w:rsidRPr="00A245B2">
        <w:t xml:space="preserve"> the needs of smaller and rural schools.</w:t>
      </w:r>
    </w:p>
    <w:p w14:paraId="1A2790F1" w14:textId="21B26054" w:rsidR="00820318" w:rsidRPr="00A245B2" w:rsidRDefault="00820318" w:rsidP="00A245B2">
      <w:pPr>
        <w:pStyle w:val="Body"/>
      </w:pPr>
      <w:r w:rsidRPr="00A245B2">
        <w:t xml:space="preserve">Grant activities included regional professional learning, support for site-based project coordination, and the development of mentoring structures to help students complete SSCE requirements. </w:t>
      </w:r>
    </w:p>
    <w:p w14:paraId="45D15A41" w14:textId="41C33B24" w:rsidR="0080194A" w:rsidRDefault="0080194A" w:rsidP="00820318">
      <w:pPr>
        <w:pStyle w:val="TableTitle"/>
        <w:rPr>
          <w:rStyle w:val="Strong"/>
          <w:b/>
          <w:bCs/>
        </w:rPr>
      </w:pPr>
      <w:r>
        <w:rPr>
          <w:rStyle w:val="Strong"/>
          <w:b/>
          <w:bCs/>
        </w:rPr>
        <w:t xml:space="preserve">Table 6: </w:t>
      </w:r>
      <w:r w:rsidR="009C5D2E">
        <w:rPr>
          <w:rStyle w:val="Strong"/>
          <w:b/>
          <w:bCs/>
        </w:rPr>
        <w:t xml:space="preserve">Cohort 2 </w:t>
      </w:r>
      <w:r>
        <w:rPr>
          <w:rStyle w:val="Strong"/>
          <w:b/>
          <w:bCs/>
        </w:rPr>
        <w:t xml:space="preserve">Summary of Major </w:t>
      </w:r>
      <w:r w:rsidR="001123A1">
        <w:rPr>
          <w:rStyle w:val="Strong"/>
          <w:b/>
          <w:bCs/>
        </w:rPr>
        <w:t>Service-Learning</w:t>
      </w:r>
      <w:r>
        <w:rPr>
          <w:rStyle w:val="Strong"/>
          <w:b/>
          <w:bCs/>
        </w:rPr>
        <w:t xml:space="preserve"> </w:t>
      </w:r>
      <w:r w:rsidR="00DA6455">
        <w:rPr>
          <w:rStyle w:val="Strong"/>
          <w:b/>
          <w:bCs/>
        </w:rPr>
        <w:t xml:space="preserve">and Implementation </w:t>
      </w:r>
      <w:r>
        <w:rPr>
          <w:rStyle w:val="Strong"/>
          <w:b/>
          <w:bCs/>
        </w:rPr>
        <w:t>Themes</w:t>
      </w:r>
    </w:p>
    <w:tbl>
      <w:tblPr>
        <w:tblStyle w:val="TableGrid"/>
        <w:tblW w:w="0" w:type="auto"/>
        <w:tblLook w:val="04A0" w:firstRow="1" w:lastRow="0" w:firstColumn="1" w:lastColumn="0" w:noHBand="0" w:noVBand="1"/>
        <w:tblCaption w:val="Table 6: Summary of Major Service-Learning Themes, Cohort 2"/>
        <w:tblDescription w:val="Table that identifies the major service-learning theme of each Cohort 2 grantee."/>
      </w:tblPr>
      <w:tblGrid>
        <w:gridCol w:w="3505"/>
        <w:gridCol w:w="5845"/>
      </w:tblGrid>
      <w:tr w:rsidR="0080194A" w14:paraId="3F075AA3" w14:textId="77777777">
        <w:trPr>
          <w:tblHeader/>
        </w:trPr>
        <w:tc>
          <w:tcPr>
            <w:tcW w:w="3505" w:type="dxa"/>
          </w:tcPr>
          <w:p w14:paraId="0B80458F" w14:textId="77777777" w:rsidR="0080194A" w:rsidRDefault="0080194A" w:rsidP="005B1F66">
            <w:pPr>
              <w:pStyle w:val="TableTitle"/>
            </w:pPr>
            <w:r>
              <w:t>Grantee</w:t>
            </w:r>
          </w:p>
        </w:tc>
        <w:tc>
          <w:tcPr>
            <w:tcW w:w="5845" w:type="dxa"/>
          </w:tcPr>
          <w:p w14:paraId="52F93F89" w14:textId="77777777" w:rsidR="0080194A" w:rsidRDefault="0080194A" w:rsidP="005B1F66">
            <w:pPr>
              <w:pStyle w:val="TableTitle"/>
            </w:pPr>
            <w:r>
              <w:t>Service-Learning Theme</w:t>
            </w:r>
          </w:p>
        </w:tc>
      </w:tr>
      <w:tr w:rsidR="0080194A" w14:paraId="65238E42" w14:textId="77777777">
        <w:tc>
          <w:tcPr>
            <w:tcW w:w="3505" w:type="dxa"/>
          </w:tcPr>
          <w:p w14:paraId="182D0053" w14:textId="652775A5" w:rsidR="0080194A" w:rsidRPr="0080194A" w:rsidRDefault="0080194A" w:rsidP="005B1F66">
            <w:pPr>
              <w:pStyle w:val="TableTitle"/>
              <w:rPr>
                <w:b w:val="0"/>
                <w:bCs w:val="0"/>
              </w:rPr>
            </w:pPr>
            <w:r w:rsidRPr="0080194A">
              <w:rPr>
                <w:b w:val="0"/>
                <w:bCs w:val="0"/>
              </w:rPr>
              <w:t>Alameda COE</w:t>
            </w:r>
          </w:p>
        </w:tc>
        <w:tc>
          <w:tcPr>
            <w:tcW w:w="5845" w:type="dxa"/>
          </w:tcPr>
          <w:p w14:paraId="11723337" w14:textId="3FF8D4D4" w:rsidR="0080194A" w:rsidRPr="0080194A" w:rsidRDefault="0080194A" w:rsidP="005B1F66">
            <w:pPr>
              <w:pStyle w:val="TableTitle"/>
              <w:rPr>
                <w:b w:val="0"/>
                <w:bCs w:val="0"/>
              </w:rPr>
            </w:pPr>
            <w:r w:rsidRPr="0080194A">
              <w:rPr>
                <w:b w:val="0"/>
                <w:bCs w:val="0"/>
              </w:rPr>
              <w:t>Youth leadership and advisory planning</w:t>
            </w:r>
          </w:p>
        </w:tc>
      </w:tr>
      <w:tr w:rsidR="0080194A" w14:paraId="0A2828E5" w14:textId="77777777">
        <w:tc>
          <w:tcPr>
            <w:tcW w:w="3505" w:type="dxa"/>
          </w:tcPr>
          <w:p w14:paraId="20156C8B" w14:textId="2CE6A86B" w:rsidR="0080194A" w:rsidRPr="0080194A" w:rsidRDefault="0080194A" w:rsidP="005B1F66">
            <w:pPr>
              <w:pStyle w:val="TableTitle"/>
              <w:rPr>
                <w:b w:val="0"/>
                <w:bCs w:val="0"/>
              </w:rPr>
            </w:pPr>
            <w:r w:rsidRPr="0080194A">
              <w:rPr>
                <w:b w:val="0"/>
                <w:bCs w:val="0"/>
              </w:rPr>
              <w:t xml:space="preserve">Chaffey </w:t>
            </w:r>
            <w:r w:rsidR="00DB0A24">
              <w:rPr>
                <w:b w:val="0"/>
                <w:bCs w:val="0"/>
              </w:rPr>
              <w:t>Joint Union High School District</w:t>
            </w:r>
          </w:p>
        </w:tc>
        <w:tc>
          <w:tcPr>
            <w:tcW w:w="5845" w:type="dxa"/>
          </w:tcPr>
          <w:p w14:paraId="70F1DFEB" w14:textId="35B671DA" w:rsidR="0080194A" w:rsidRPr="0080194A" w:rsidRDefault="0080194A" w:rsidP="005B1F66">
            <w:pPr>
              <w:pStyle w:val="TableTitle"/>
              <w:rPr>
                <w:b w:val="0"/>
                <w:bCs w:val="0"/>
              </w:rPr>
            </w:pPr>
            <w:r w:rsidRPr="0080194A">
              <w:rPr>
                <w:b w:val="0"/>
                <w:bCs w:val="0"/>
              </w:rPr>
              <w:t>Curriculum integration and professional learning</w:t>
            </w:r>
          </w:p>
        </w:tc>
      </w:tr>
      <w:tr w:rsidR="0080194A" w14:paraId="05CEB283" w14:textId="77777777">
        <w:tc>
          <w:tcPr>
            <w:tcW w:w="3505" w:type="dxa"/>
          </w:tcPr>
          <w:p w14:paraId="41B589AC" w14:textId="385C9323" w:rsidR="0080194A" w:rsidRPr="0080194A" w:rsidRDefault="0080194A" w:rsidP="005B1F66">
            <w:pPr>
              <w:pStyle w:val="TableTitle"/>
              <w:rPr>
                <w:b w:val="0"/>
                <w:bCs w:val="0"/>
              </w:rPr>
            </w:pPr>
            <w:r w:rsidRPr="0080194A">
              <w:rPr>
                <w:b w:val="0"/>
                <w:bCs w:val="0"/>
              </w:rPr>
              <w:t>Environmental Charter</w:t>
            </w:r>
            <w:r w:rsidR="00EB6572" w:rsidRPr="00EB6572">
              <w:rPr>
                <w:rStyle w:val="Strong"/>
                <w:bCs/>
              </w:rPr>
              <w:t>—</w:t>
            </w:r>
            <w:r w:rsidRPr="0080194A">
              <w:rPr>
                <w:b w:val="0"/>
                <w:bCs w:val="0"/>
              </w:rPr>
              <w:t>Lawndale</w:t>
            </w:r>
          </w:p>
        </w:tc>
        <w:tc>
          <w:tcPr>
            <w:tcW w:w="5845" w:type="dxa"/>
          </w:tcPr>
          <w:p w14:paraId="6C6F52F7" w14:textId="665513B8" w:rsidR="0080194A" w:rsidRPr="0080194A" w:rsidRDefault="0080194A" w:rsidP="005B1F66">
            <w:pPr>
              <w:pStyle w:val="TableTitle"/>
              <w:rPr>
                <w:b w:val="0"/>
                <w:bCs w:val="0"/>
              </w:rPr>
            </w:pPr>
            <w:r w:rsidRPr="0080194A">
              <w:rPr>
                <w:b w:val="0"/>
                <w:bCs w:val="0"/>
              </w:rPr>
              <w:t>Environmental justice and community education</w:t>
            </w:r>
          </w:p>
        </w:tc>
      </w:tr>
      <w:tr w:rsidR="0080194A" w14:paraId="2B42B8F3" w14:textId="77777777">
        <w:tc>
          <w:tcPr>
            <w:tcW w:w="3505" w:type="dxa"/>
          </w:tcPr>
          <w:p w14:paraId="65A30AE7" w14:textId="6D39F1AA" w:rsidR="0080194A" w:rsidRPr="0080194A" w:rsidRDefault="0080194A" w:rsidP="005B1F66">
            <w:pPr>
              <w:pStyle w:val="TableTitle"/>
              <w:rPr>
                <w:b w:val="0"/>
                <w:bCs w:val="0"/>
              </w:rPr>
            </w:pPr>
            <w:r w:rsidRPr="0080194A">
              <w:rPr>
                <w:b w:val="0"/>
                <w:bCs w:val="0"/>
              </w:rPr>
              <w:t>Jurupa USD</w:t>
            </w:r>
          </w:p>
        </w:tc>
        <w:tc>
          <w:tcPr>
            <w:tcW w:w="5845" w:type="dxa"/>
          </w:tcPr>
          <w:p w14:paraId="3AE62C6A" w14:textId="50E18D84" w:rsidR="0080194A" w:rsidRPr="0080194A" w:rsidRDefault="0080194A" w:rsidP="005B1F66">
            <w:pPr>
              <w:pStyle w:val="TableTitle"/>
              <w:rPr>
                <w:b w:val="0"/>
                <w:bCs w:val="0"/>
              </w:rPr>
            </w:pPr>
            <w:r w:rsidRPr="0080194A">
              <w:rPr>
                <w:b w:val="0"/>
                <w:bCs w:val="0"/>
              </w:rPr>
              <w:t>School climate and safety</w:t>
            </w:r>
          </w:p>
        </w:tc>
      </w:tr>
      <w:tr w:rsidR="0080194A" w14:paraId="26025A2D" w14:textId="77777777">
        <w:tc>
          <w:tcPr>
            <w:tcW w:w="3505" w:type="dxa"/>
          </w:tcPr>
          <w:p w14:paraId="0E9F5950" w14:textId="3E51FD90" w:rsidR="0080194A" w:rsidRPr="0080194A" w:rsidRDefault="0080194A" w:rsidP="005B1F66">
            <w:pPr>
              <w:pStyle w:val="TableTitle"/>
              <w:rPr>
                <w:b w:val="0"/>
                <w:bCs w:val="0"/>
              </w:rPr>
            </w:pPr>
            <w:r w:rsidRPr="0080194A">
              <w:rPr>
                <w:b w:val="0"/>
                <w:bCs w:val="0"/>
              </w:rPr>
              <w:t>Pajaro Valley USD</w:t>
            </w:r>
          </w:p>
        </w:tc>
        <w:tc>
          <w:tcPr>
            <w:tcW w:w="5845" w:type="dxa"/>
          </w:tcPr>
          <w:p w14:paraId="123212A7" w14:textId="4DBC2B72" w:rsidR="0080194A" w:rsidRPr="0080194A" w:rsidRDefault="0080194A" w:rsidP="005B1F66">
            <w:pPr>
              <w:pStyle w:val="TableTitle"/>
              <w:rPr>
                <w:b w:val="0"/>
                <w:bCs w:val="0"/>
              </w:rPr>
            </w:pPr>
            <w:r w:rsidRPr="0080194A">
              <w:rPr>
                <w:b w:val="0"/>
                <w:bCs w:val="0"/>
              </w:rPr>
              <w:t>Peer collaboration and local civic initiatives</w:t>
            </w:r>
          </w:p>
        </w:tc>
      </w:tr>
      <w:tr w:rsidR="0080194A" w14:paraId="099893F1" w14:textId="77777777">
        <w:tc>
          <w:tcPr>
            <w:tcW w:w="3505" w:type="dxa"/>
          </w:tcPr>
          <w:p w14:paraId="434A2B17" w14:textId="48F7E889" w:rsidR="0080194A" w:rsidRPr="0080194A" w:rsidRDefault="0080194A" w:rsidP="005B1F66">
            <w:pPr>
              <w:pStyle w:val="TableTitle"/>
              <w:rPr>
                <w:b w:val="0"/>
                <w:bCs w:val="0"/>
              </w:rPr>
            </w:pPr>
            <w:r w:rsidRPr="0080194A">
              <w:rPr>
                <w:b w:val="0"/>
                <w:bCs w:val="0"/>
              </w:rPr>
              <w:t>Riverside USD</w:t>
            </w:r>
          </w:p>
        </w:tc>
        <w:tc>
          <w:tcPr>
            <w:tcW w:w="5845" w:type="dxa"/>
          </w:tcPr>
          <w:p w14:paraId="0F63FAC8" w14:textId="7037E1EC" w:rsidR="0080194A" w:rsidRPr="0080194A" w:rsidRDefault="0080194A" w:rsidP="005B1F66">
            <w:pPr>
              <w:pStyle w:val="TableTitle"/>
              <w:rPr>
                <w:b w:val="0"/>
                <w:bCs w:val="0"/>
              </w:rPr>
            </w:pPr>
            <w:r w:rsidRPr="0080194A">
              <w:rPr>
                <w:b w:val="0"/>
                <w:bCs w:val="0"/>
              </w:rPr>
              <w:t>Civic inquiry and advocacy</w:t>
            </w:r>
          </w:p>
        </w:tc>
      </w:tr>
      <w:tr w:rsidR="0080194A" w14:paraId="76776D44" w14:textId="77777777">
        <w:tc>
          <w:tcPr>
            <w:tcW w:w="3505" w:type="dxa"/>
          </w:tcPr>
          <w:p w14:paraId="3D702A64" w14:textId="5180EF66" w:rsidR="0080194A" w:rsidRPr="0080194A" w:rsidRDefault="0080194A" w:rsidP="005B1F66">
            <w:pPr>
              <w:pStyle w:val="TableTitle"/>
              <w:rPr>
                <w:b w:val="0"/>
                <w:bCs w:val="0"/>
              </w:rPr>
            </w:pPr>
            <w:r w:rsidRPr="0080194A">
              <w:rPr>
                <w:b w:val="0"/>
                <w:bCs w:val="0"/>
              </w:rPr>
              <w:t>Sacramento City USD</w:t>
            </w:r>
          </w:p>
        </w:tc>
        <w:tc>
          <w:tcPr>
            <w:tcW w:w="5845" w:type="dxa"/>
          </w:tcPr>
          <w:p w14:paraId="13170DC1" w14:textId="60ECF037" w:rsidR="0080194A" w:rsidRPr="0080194A" w:rsidRDefault="0080194A" w:rsidP="005B1F66">
            <w:pPr>
              <w:pStyle w:val="TableTitle"/>
              <w:rPr>
                <w:b w:val="0"/>
                <w:bCs w:val="0"/>
              </w:rPr>
            </w:pPr>
            <w:r w:rsidRPr="0080194A">
              <w:rPr>
                <w:b w:val="0"/>
                <w:bCs w:val="0"/>
              </w:rPr>
              <w:t>Interdisciplinary civic inquiry and student showcases</w:t>
            </w:r>
          </w:p>
        </w:tc>
      </w:tr>
      <w:tr w:rsidR="0080194A" w14:paraId="0A792642" w14:textId="77777777">
        <w:tc>
          <w:tcPr>
            <w:tcW w:w="3505" w:type="dxa"/>
          </w:tcPr>
          <w:p w14:paraId="5EA7C6D5" w14:textId="20F425EF" w:rsidR="0080194A" w:rsidRPr="0080194A" w:rsidRDefault="0080194A" w:rsidP="005B1F66">
            <w:pPr>
              <w:pStyle w:val="TableTitle"/>
              <w:rPr>
                <w:b w:val="0"/>
                <w:bCs w:val="0"/>
              </w:rPr>
            </w:pPr>
            <w:r w:rsidRPr="0080194A">
              <w:rPr>
                <w:b w:val="0"/>
                <w:bCs w:val="0"/>
              </w:rPr>
              <w:t>Sacramento COE</w:t>
            </w:r>
          </w:p>
        </w:tc>
        <w:tc>
          <w:tcPr>
            <w:tcW w:w="5845" w:type="dxa"/>
          </w:tcPr>
          <w:p w14:paraId="6583C067" w14:textId="2CED98A4" w:rsidR="0080194A" w:rsidRPr="0080194A" w:rsidRDefault="0080194A" w:rsidP="005B1F66">
            <w:pPr>
              <w:pStyle w:val="TableTitle"/>
              <w:rPr>
                <w:b w:val="0"/>
                <w:bCs w:val="0"/>
              </w:rPr>
            </w:pPr>
            <w:r w:rsidRPr="0080194A">
              <w:rPr>
                <w:b w:val="0"/>
                <w:bCs w:val="0"/>
              </w:rPr>
              <w:t>Regional support and small-district implementation</w:t>
            </w:r>
          </w:p>
        </w:tc>
      </w:tr>
      <w:tr w:rsidR="0080194A" w14:paraId="4F89385C" w14:textId="77777777">
        <w:tc>
          <w:tcPr>
            <w:tcW w:w="3505" w:type="dxa"/>
          </w:tcPr>
          <w:p w14:paraId="64BD6899" w14:textId="6D62EDD3" w:rsidR="0080194A" w:rsidRPr="0080194A" w:rsidRDefault="0080194A" w:rsidP="005B1F66">
            <w:pPr>
              <w:pStyle w:val="TableTitle"/>
              <w:rPr>
                <w:b w:val="0"/>
                <w:bCs w:val="0"/>
              </w:rPr>
            </w:pPr>
            <w:r w:rsidRPr="0080194A">
              <w:rPr>
                <w:b w:val="0"/>
                <w:bCs w:val="0"/>
              </w:rPr>
              <w:t>San Diego USD</w:t>
            </w:r>
          </w:p>
        </w:tc>
        <w:tc>
          <w:tcPr>
            <w:tcW w:w="5845" w:type="dxa"/>
          </w:tcPr>
          <w:p w14:paraId="51629F61" w14:textId="1A942EFB" w:rsidR="0080194A" w:rsidRPr="0080194A" w:rsidRDefault="0080194A" w:rsidP="005B1F66">
            <w:pPr>
              <w:pStyle w:val="TableTitle"/>
              <w:rPr>
                <w:b w:val="0"/>
                <w:bCs w:val="0"/>
              </w:rPr>
            </w:pPr>
            <w:r w:rsidRPr="0080194A">
              <w:rPr>
                <w:b w:val="0"/>
                <w:bCs w:val="0"/>
              </w:rPr>
              <w:t>Asset mapping and student journalism</w:t>
            </w:r>
          </w:p>
        </w:tc>
      </w:tr>
      <w:tr w:rsidR="0080194A" w14:paraId="0AF1FFFD" w14:textId="77777777">
        <w:tc>
          <w:tcPr>
            <w:tcW w:w="3505" w:type="dxa"/>
          </w:tcPr>
          <w:p w14:paraId="1D287560" w14:textId="76FB74CC" w:rsidR="0080194A" w:rsidRPr="0080194A" w:rsidRDefault="0080194A" w:rsidP="005B1F66">
            <w:pPr>
              <w:pStyle w:val="TableTitle"/>
              <w:rPr>
                <w:b w:val="0"/>
                <w:bCs w:val="0"/>
              </w:rPr>
            </w:pPr>
            <w:r w:rsidRPr="0080194A">
              <w:rPr>
                <w:b w:val="0"/>
                <w:bCs w:val="0"/>
              </w:rPr>
              <w:t>SBE Latitude 37.8 High</w:t>
            </w:r>
          </w:p>
        </w:tc>
        <w:tc>
          <w:tcPr>
            <w:tcW w:w="5845" w:type="dxa"/>
          </w:tcPr>
          <w:p w14:paraId="342BAF54" w14:textId="1BE2417A" w:rsidR="0080194A" w:rsidRPr="0080194A" w:rsidRDefault="0080194A" w:rsidP="005B1F66">
            <w:pPr>
              <w:pStyle w:val="TableTitle"/>
              <w:rPr>
                <w:b w:val="0"/>
                <w:bCs w:val="0"/>
              </w:rPr>
            </w:pPr>
            <w:r w:rsidRPr="0080194A">
              <w:rPr>
                <w:b w:val="0"/>
                <w:bCs w:val="0"/>
              </w:rPr>
              <w:t>Personalized civic action linked to internships</w:t>
            </w:r>
          </w:p>
        </w:tc>
      </w:tr>
      <w:tr w:rsidR="0080194A" w14:paraId="00D30B78" w14:textId="77777777">
        <w:tc>
          <w:tcPr>
            <w:tcW w:w="3505" w:type="dxa"/>
          </w:tcPr>
          <w:p w14:paraId="5E43FF61" w14:textId="59119794" w:rsidR="0080194A" w:rsidRPr="0080194A" w:rsidRDefault="0080194A" w:rsidP="005B1F66">
            <w:pPr>
              <w:pStyle w:val="TableTitle"/>
              <w:rPr>
                <w:b w:val="0"/>
                <w:bCs w:val="0"/>
              </w:rPr>
            </w:pPr>
            <w:r w:rsidRPr="0080194A">
              <w:rPr>
                <w:b w:val="0"/>
                <w:bCs w:val="0"/>
              </w:rPr>
              <w:t>Tulare COE</w:t>
            </w:r>
          </w:p>
        </w:tc>
        <w:tc>
          <w:tcPr>
            <w:tcW w:w="5845" w:type="dxa"/>
          </w:tcPr>
          <w:p w14:paraId="71A923E5" w14:textId="0D083723" w:rsidR="0080194A" w:rsidRPr="0080194A" w:rsidRDefault="0080194A" w:rsidP="005B1F66">
            <w:pPr>
              <w:pStyle w:val="TableTitle"/>
              <w:rPr>
                <w:b w:val="0"/>
                <w:bCs w:val="0"/>
              </w:rPr>
            </w:pPr>
            <w:r w:rsidRPr="0080194A">
              <w:rPr>
                <w:b w:val="0"/>
                <w:bCs w:val="0"/>
              </w:rPr>
              <w:t>Rural youth civic leadership and local government engagement</w:t>
            </w:r>
          </w:p>
        </w:tc>
      </w:tr>
    </w:tbl>
    <w:p w14:paraId="4A80F2D3" w14:textId="7A28E2EA" w:rsidR="00287C7B" w:rsidRPr="00994D20" w:rsidRDefault="00287C7B" w:rsidP="00ED5B14">
      <w:pPr>
        <w:pStyle w:val="Heading3"/>
      </w:pPr>
      <w:bookmarkStart w:id="70" w:name="_Toc221186090"/>
      <w:r w:rsidRPr="00994D20">
        <w:t>Impact on State Seal of Civic Engagement Insignia Requests</w:t>
      </w:r>
      <w:bookmarkEnd w:id="70"/>
    </w:p>
    <w:p w14:paraId="2E3F392B" w14:textId="5C9E328E" w:rsidR="00287C7B" w:rsidRPr="00994D20" w:rsidRDefault="0045122E" w:rsidP="00895C7B">
      <w:pPr>
        <w:pStyle w:val="TableTitle"/>
        <w:rPr>
          <w:b w:val="0"/>
          <w:bCs w:val="0"/>
        </w:rPr>
      </w:pPr>
      <w:r>
        <w:rPr>
          <w:b w:val="0"/>
          <w:bCs w:val="0"/>
        </w:rPr>
        <w:t xml:space="preserve">Table </w:t>
      </w:r>
      <w:r w:rsidR="00F23A43">
        <w:rPr>
          <w:b w:val="0"/>
          <w:bCs w:val="0"/>
        </w:rPr>
        <w:t>7</w:t>
      </w:r>
      <w:r w:rsidR="00287C7B" w:rsidRPr="00994D20">
        <w:rPr>
          <w:b w:val="0"/>
          <w:bCs w:val="0"/>
        </w:rPr>
        <w:t xml:space="preserve"> shows the number of insignias requested for each year since the SSCE has been available</w:t>
      </w:r>
      <w:r w:rsidRPr="005B1F66">
        <w:rPr>
          <w:rStyle w:val="FootnoteReference"/>
          <w:b w:val="0"/>
          <w:bCs w:val="0"/>
        </w:rPr>
        <w:footnoteReference w:id="6"/>
      </w:r>
      <w:r w:rsidRPr="005B1F66">
        <w:rPr>
          <w:b w:val="0"/>
          <w:bCs w:val="0"/>
        </w:rPr>
        <w:t>.</w:t>
      </w:r>
      <w:r w:rsidR="00287C7B" w:rsidRPr="009C5D2E">
        <w:rPr>
          <w:b w:val="0"/>
          <w:bCs w:val="0"/>
        </w:rPr>
        <w:t xml:space="preserve"> </w:t>
      </w:r>
      <w:r w:rsidR="00287C7B" w:rsidRPr="00994D20">
        <w:rPr>
          <w:b w:val="0"/>
          <w:bCs w:val="0"/>
        </w:rPr>
        <w:t xml:space="preserve">The first year that Cohort </w:t>
      </w:r>
      <w:r w:rsidR="003352C4">
        <w:rPr>
          <w:b w:val="0"/>
          <w:bCs w:val="0"/>
        </w:rPr>
        <w:t>2</w:t>
      </w:r>
      <w:r w:rsidR="00287C7B" w:rsidRPr="00994D20">
        <w:rPr>
          <w:b w:val="0"/>
          <w:bCs w:val="0"/>
        </w:rPr>
        <w:t xml:space="preserve"> grantees requested insignias during a grant</w:t>
      </w:r>
      <w:r w:rsidR="00287C7B" w:rsidRPr="009C5D2E">
        <w:rPr>
          <w:b w:val="0"/>
          <w:bCs w:val="0"/>
        </w:rPr>
        <w:t>-</w:t>
      </w:r>
      <w:r w:rsidR="00287C7B" w:rsidRPr="00994D20">
        <w:rPr>
          <w:b w:val="0"/>
          <w:bCs w:val="0"/>
        </w:rPr>
        <w:t>funded year was 2024–25.</w:t>
      </w:r>
    </w:p>
    <w:p w14:paraId="5480333C" w14:textId="77777777" w:rsidR="006B37F2" w:rsidRDefault="006B37F2">
      <w:pPr>
        <w:spacing w:after="240"/>
        <w:rPr>
          <w:b/>
          <w:bCs/>
          <w:color w:val="auto"/>
        </w:rPr>
      </w:pPr>
      <w:r>
        <w:br w:type="page"/>
      </w:r>
    </w:p>
    <w:p w14:paraId="6C62DC7C" w14:textId="710E8138" w:rsidR="00895C7B" w:rsidRPr="00994D20" w:rsidRDefault="00895C7B" w:rsidP="00895C7B">
      <w:pPr>
        <w:pStyle w:val="TableTitle"/>
        <w:rPr>
          <w:szCs w:val="24"/>
        </w:rPr>
      </w:pPr>
      <w:r w:rsidRPr="00994D20">
        <w:rPr>
          <w:szCs w:val="24"/>
        </w:rPr>
        <w:lastRenderedPageBreak/>
        <w:t xml:space="preserve">Table </w:t>
      </w:r>
      <w:r w:rsidR="00C0732D">
        <w:rPr>
          <w:szCs w:val="24"/>
        </w:rPr>
        <w:t>7</w:t>
      </w:r>
      <w:r w:rsidRPr="00994D20">
        <w:rPr>
          <w:szCs w:val="24"/>
        </w:rPr>
        <w:t>: Cohort 2 State Seal of Civic Engagement Insignia Requests</w:t>
      </w:r>
    </w:p>
    <w:tbl>
      <w:tblPr>
        <w:tblStyle w:val="TableGrid"/>
        <w:tblW w:w="0" w:type="auto"/>
        <w:tblLayout w:type="fixed"/>
        <w:tblLook w:val="04A0" w:firstRow="1" w:lastRow="0" w:firstColumn="1" w:lastColumn="0" w:noHBand="0" w:noVBand="1"/>
        <w:tblCaption w:val="Table 7: Cohort 2 State Seal of Civic Engagement Insignia Requests"/>
        <w:tblDescription w:val="Provides the number of SSCE insignias requested by each Cohort 2 grantee since 2020-21."/>
      </w:tblPr>
      <w:tblGrid>
        <w:gridCol w:w="3235"/>
        <w:gridCol w:w="1223"/>
        <w:gridCol w:w="1223"/>
        <w:gridCol w:w="1223"/>
        <w:gridCol w:w="1223"/>
        <w:gridCol w:w="1223"/>
      </w:tblGrid>
      <w:tr w:rsidR="00895C7B" w:rsidRPr="00994D20" w14:paraId="1F49CAF8" w14:textId="77777777">
        <w:trPr>
          <w:trHeight w:val="288"/>
          <w:tblHeader/>
        </w:trPr>
        <w:tc>
          <w:tcPr>
            <w:tcW w:w="3235" w:type="dxa"/>
            <w:noWrap/>
            <w:hideMark/>
          </w:tcPr>
          <w:p w14:paraId="27B171F7" w14:textId="77777777" w:rsidR="00895C7B" w:rsidRPr="00994D20" w:rsidRDefault="00895C7B" w:rsidP="005B1F66">
            <w:pPr>
              <w:pStyle w:val="NormalWeb"/>
              <w:spacing w:before="0" w:beforeAutospacing="0" w:after="0" w:afterAutospacing="0"/>
              <w:rPr>
                <w:rFonts w:ascii="Arial" w:hAnsi="Arial" w:cs="Arial"/>
                <w:b/>
                <w:bCs/>
              </w:rPr>
            </w:pPr>
            <w:r w:rsidRPr="00994D20">
              <w:rPr>
                <w:rFonts w:ascii="Arial" w:hAnsi="Arial" w:cs="Arial"/>
                <w:b/>
                <w:bCs/>
              </w:rPr>
              <w:t>Grantee</w:t>
            </w:r>
          </w:p>
        </w:tc>
        <w:tc>
          <w:tcPr>
            <w:tcW w:w="1223" w:type="dxa"/>
            <w:noWrap/>
            <w:hideMark/>
          </w:tcPr>
          <w:p w14:paraId="5D6DE061" w14:textId="77777777" w:rsidR="00895C7B" w:rsidRPr="00994D20" w:rsidRDefault="00895C7B" w:rsidP="005B1F66">
            <w:pPr>
              <w:pStyle w:val="NormalWeb"/>
              <w:spacing w:before="0" w:beforeAutospacing="0" w:after="0" w:afterAutospacing="0"/>
              <w:rPr>
                <w:rFonts w:ascii="Arial" w:hAnsi="Arial" w:cs="Arial"/>
                <w:b/>
                <w:bCs/>
              </w:rPr>
            </w:pPr>
            <w:r w:rsidRPr="00994D20">
              <w:rPr>
                <w:rFonts w:ascii="Arial" w:hAnsi="Arial" w:cs="Arial"/>
                <w:b/>
                <w:bCs/>
              </w:rPr>
              <w:t>2020–21</w:t>
            </w:r>
          </w:p>
        </w:tc>
        <w:tc>
          <w:tcPr>
            <w:tcW w:w="1223" w:type="dxa"/>
            <w:noWrap/>
            <w:hideMark/>
          </w:tcPr>
          <w:p w14:paraId="5B45C64C" w14:textId="77777777" w:rsidR="00895C7B" w:rsidRPr="00994D20" w:rsidRDefault="00895C7B" w:rsidP="005B1F66">
            <w:pPr>
              <w:pStyle w:val="NormalWeb"/>
              <w:spacing w:before="0" w:beforeAutospacing="0" w:after="0" w:afterAutospacing="0"/>
              <w:rPr>
                <w:rFonts w:ascii="Arial" w:hAnsi="Arial" w:cs="Arial"/>
                <w:b/>
                <w:bCs/>
              </w:rPr>
            </w:pPr>
            <w:r w:rsidRPr="00994D20">
              <w:rPr>
                <w:rFonts w:ascii="Arial" w:hAnsi="Arial" w:cs="Arial"/>
                <w:b/>
                <w:bCs/>
              </w:rPr>
              <w:t>2021–22</w:t>
            </w:r>
          </w:p>
        </w:tc>
        <w:tc>
          <w:tcPr>
            <w:tcW w:w="1223" w:type="dxa"/>
            <w:noWrap/>
            <w:hideMark/>
          </w:tcPr>
          <w:p w14:paraId="1ED54261" w14:textId="77777777" w:rsidR="00895C7B" w:rsidRPr="00994D20" w:rsidRDefault="00895C7B" w:rsidP="005B1F66">
            <w:pPr>
              <w:pStyle w:val="NormalWeb"/>
              <w:spacing w:before="0" w:beforeAutospacing="0" w:after="0" w:afterAutospacing="0"/>
              <w:rPr>
                <w:rFonts w:ascii="Arial" w:hAnsi="Arial" w:cs="Arial"/>
                <w:b/>
                <w:bCs/>
              </w:rPr>
            </w:pPr>
            <w:r w:rsidRPr="00994D20">
              <w:rPr>
                <w:rFonts w:ascii="Arial" w:hAnsi="Arial" w:cs="Arial"/>
                <w:b/>
                <w:bCs/>
              </w:rPr>
              <w:t>2022–23</w:t>
            </w:r>
          </w:p>
        </w:tc>
        <w:tc>
          <w:tcPr>
            <w:tcW w:w="1223" w:type="dxa"/>
            <w:noWrap/>
            <w:hideMark/>
          </w:tcPr>
          <w:p w14:paraId="766044DF" w14:textId="77777777" w:rsidR="00895C7B" w:rsidRPr="00994D20" w:rsidRDefault="00895C7B" w:rsidP="005B1F66">
            <w:pPr>
              <w:pStyle w:val="NormalWeb"/>
              <w:spacing w:before="0" w:beforeAutospacing="0" w:after="0" w:afterAutospacing="0"/>
              <w:rPr>
                <w:rFonts w:ascii="Arial" w:hAnsi="Arial" w:cs="Arial"/>
                <w:b/>
                <w:bCs/>
              </w:rPr>
            </w:pPr>
            <w:r w:rsidRPr="00994D20">
              <w:rPr>
                <w:rFonts w:ascii="Arial" w:hAnsi="Arial" w:cs="Arial"/>
                <w:b/>
                <w:bCs/>
              </w:rPr>
              <w:t>2023–24</w:t>
            </w:r>
          </w:p>
        </w:tc>
        <w:tc>
          <w:tcPr>
            <w:tcW w:w="1223" w:type="dxa"/>
            <w:noWrap/>
            <w:hideMark/>
          </w:tcPr>
          <w:p w14:paraId="663F23B5" w14:textId="77777777" w:rsidR="00895C7B" w:rsidRPr="00994D20" w:rsidRDefault="00895C7B" w:rsidP="005B1F66">
            <w:pPr>
              <w:pStyle w:val="NormalWeb"/>
              <w:spacing w:before="0" w:beforeAutospacing="0" w:after="0" w:afterAutospacing="0"/>
              <w:rPr>
                <w:rFonts w:ascii="Arial" w:hAnsi="Arial" w:cs="Arial"/>
                <w:b/>
                <w:bCs/>
              </w:rPr>
            </w:pPr>
            <w:r w:rsidRPr="00994D20">
              <w:rPr>
                <w:rFonts w:ascii="Arial" w:hAnsi="Arial" w:cs="Arial"/>
                <w:b/>
                <w:bCs/>
              </w:rPr>
              <w:t>2024–25</w:t>
            </w:r>
          </w:p>
        </w:tc>
      </w:tr>
      <w:tr w:rsidR="00895C7B" w:rsidRPr="00994D20" w14:paraId="08A92E2E" w14:textId="77777777">
        <w:trPr>
          <w:trHeight w:val="288"/>
        </w:trPr>
        <w:tc>
          <w:tcPr>
            <w:tcW w:w="3235" w:type="dxa"/>
            <w:noWrap/>
            <w:hideMark/>
          </w:tcPr>
          <w:p w14:paraId="6CFC5B5E" w14:textId="3DAA2FBE"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Alameda COE</w:t>
            </w:r>
          </w:p>
        </w:tc>
        <w:tc>
          <w:tcPr>
            <w:tcW w:w="1223" w:type="dxa"/>
            <w:noWrap/>
            <w:hideMark/>
          </w:tcPr>
          <w:p w14:paraId="284A05BC" w14:textId="592560D9"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3ACAB605" w14:textId="6F6BE005"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60</w:t>
            </w:r>
          </w:p>
        </w:tc>
        <w:tc>
          <w:tcPr>
            <w:tcW w:w="1223" w:type="dxa"/>
            <w:noWrap/>
            <w:hideMark/>
          </w:tcPr>
          <w:p w14:paraId="0DB5A48D" w14:textId="3962D45B"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34</w:t>
            </w:r>
          </w:p>
        </w:tc>
        <w:tc>
          <w:tcPr>
            <w:tcW w:w="1223" w:type="dxa"/>
            <w:noWrap/>
            <w:hideMark/>
          </w:tcPr>
          <w:p w14:paraId="0C767AAF" w14:textId="11110339"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66</w:t>
            </w:r>
          </w:p>
        </w:tc>
        <w:tc>
          <w:tcPr>
            <w:tcW w:w="1223" w:type="dxa"/>
            <w:noWrap/>
            <w:hideMark/>
          </w:tcPr>
          <w:p w14:paraId="384D4DA9" w14:textId="4EE77756"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424</w:t>
            </w:r>
          </w:p>
        </w:tc>
      </w:tr>
      <w:tr w:rsidR="00895C7B" w:rsidRPr="00994D20" w14:paraId="111A6E2E" w14:textId="77777777">
        <w:trPr>
          <w:trHeight w:val="288"/>
        </w:trPr>
        <w:tc>
          <w:tcPr>
            <w:tcW w:w="3235" w:type="dxa"/>
            <w:noWrap/>
            <w:hideMark/>
          </w:tcPr>
          <w:p w14:paraId="5D5D4FC2" w14:textId="0CA3C229"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Chaffey Joint Union High School District</w:t>
            </w:r>
          </w:p>
        </w:tc>
        <w:tc>
          <w:tcPr>
            <w:tcW w:w="1223" w:type="dxa"/>
            <w:noWrap/>
            <w:hideMark/>
          </w:tcPr>
          <w:p w14:paraId="5FC9B664" w14:textId="658AA9BD"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58671044" w14:textId="475FF4BB"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04E7D6CD" w14:textId="75C9496C"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4D281EA2" w14:textId="52820DD2"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2</w:t>
            </w:r>
          </w:p>
        </w:tc>
        <w:tc>
          <w:tcPr>
            <w:tcW w:w="1223" w:type="dxa"/>
            <w:noWrap/>
            <w:hideMark/>
          </w:tcPr>
          <w:p w14:paraId="172C147B" w14:textId="4525F512" w:rsidR="00895C7B" w:rsidRPr="00994D20" w:rsidRDefault="00952538" w:rsidP="005B1F66">
            <w:pPr>
              <w:pStyle w:val="NormalWeb"/>
              <w:spacing w:before="0" w:beforeAutospacing="0" w:after="0" w:afterAutospacing="0"/>
              <w:rPr>
                <w:rFonts w:ascii="Arial" w:hAnsi="Arial" w:cs="Arial"/>
              </w:rPr>
            </w:pPr>
            <w:r>
              <w:rPr>
                <w:rFonts w:ascii="Arial" w:hAnsi="Arial" w:cs="Arial"/>
              </w:rPr>
              <w:t>69</w:t>
            </w:r>
          </w:p>
        </w:tc>
      </w:tr>
      <w:tr w:rsidR="00895C7B" w:rsidRPr="00994D20" w14:paraId="6BAE7C8A" w14:textId="77777777">
        <w:trPr>
          <w:trHeight w:val="288"/>
        </w:trPr>
        <w:tc>
          <w:tcPr>
            <w:tcW w:w="3235" w:type="dxa"/>
            <w:noWrap/>
            <w:hideMark/>
          </w:tcPr>
          <w:p w14:paraId="3E0196BB" w14:textId="7652A894"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Environmental Charter High School</w:t>
            </w:r>
            <w:r w:rsidR="00543D15">
              <w:rPr>
                <w:rFonts w:ascii="Arial" w:hAnsi="Arial" w:cs="Arial"/>
              </w:rPr>
              <w:t>—</w:t>
            </w:r>
            <w:r w:rsidRPr="00994D20">
              <w:rPr>
                <w:rFonts w:ascii="Arial" w:hAnsi="Arial" w:cs="Arial"/>
              </w:rPr>
              <w:t>Lawndale</w:t>
            </w:r>
          </w:p>
        </w:tc>
        <w:tc>
          <w:tcPr>
            <w:tcW w:w="1223" w:type="dxa"/>
            <w:noWrap/>
            <w:hideMark/>
          </w:tcPr>
          <w:p w14:paraId="5E004A5D" w14:textId="42B55607"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15</w:t>
            </w:r>
          </w:p>
        </w:tc>
        <w:tc>
          <w:tcPr>
            <w:tcW w:w="1223" w:type="dxa"/>
            <w:noWrap/>
            <w:hideMark/>
          </w:tcPr>
          <w:p w14:paraId="4C31C819" w14:textId="6BAEA3D0"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2CD639A8" w14:textId="1D18CCE4"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316E9BF4" w14:textId="4C88E41A"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7B61A2C6" w14:textId="63C3EF03" w:rsidR="00895C7B" w:rsidRPr="00994D20" w:rsidRDefault="00591BB7" w:rsidP="005B1F66">
            <w:pPr>
              <w:pStyle w:val="NormalWeb"/>
              <w:spacing w:before="0" w:beforeAutospacing="0" w:after="0" w:afterAutospacing="0"/>
              <w:rPr>
                <w:rFonts w:ascii="Arial" w:hAnsi="Arial" w:cs="Arial"/>
              </w:rPr>
            </w:pPr>
            <w:r>
              <w:rPr>
                <w:rFonts w:ascii="Arial" w:hAnsi="Arial" w:cs="Arial"/>
              </w:rPr>
              <w:t>87</w:t>
            </w:r>
          </w:p>
        </w:tc>
      </w:tr>
      <w:tr w:rsidR="00895C7B" w:rsidRPr="00994D20" w14:paraId="494A3919" w14:textId="77777777">
        <w:trPr>
          <w:trHeight w:val="288"/>
        </w:trPr>
        <w:tc>
          <w:tcPr>
            <w:tcW w:w="3235" w:type="dxa"/>
            <w:noWrap/>
            <w:hideMark/>
          </w:tcPr>
          <w:p w14:paraId="1FECA8A8" w14:textId="5238A530"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Jurupa USD</w:t>
            </w:r>
          </w:p>
        </w:tc>
        <w:tc>
          <w:tcPr>
            <w:tcW w:w="1223" w:type="dxa"/>
            <w:noWrap/>
            <w:hideMark/>
          </w:tcPr>
          <w:p w14:paraId="550EE582" w14:textId="1C531CB6"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37879A13" w14:textId="65A5BD37"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682E8951" w14:textId="44906B71"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5C56CE07" w14:textId="27FCFF8E"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60</w:t>
            </w:r>
          </w:p>
        </w:tc>
        <w:tc>
          <w:tcPr>
            <w:tcW w:w="1223" w:type="dxa"/>
            <w:noWrap/>
            <w:hideMark/>
          </w:tcPr>
          <w:p w14:paraId="092AC813" w14:textId="76225D56"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152</w:t>
            </w:r>
          </w:p>
        </w:tc>
      </w:tr>
      <w:tr w:rsidR="00895C7B" w:rsidRPr="00994D20" w14:paraId="758BF684" w14:textId="77777777">
        <w:trPr>
          <w:trHeight w:val="288"/>
        </w:trPr>
        <w:tc>
          <w:tcPr>
            <w:tcW w:w="3235" w:type="dxa"/>
            <w:noWrap/>
            <w:hideMark/>
          </w:tcPr>
          <w:p w14:paraId="3F7D56C3" w14:textId="6599C97B"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Pajaro Valley USD</w:t>
            </w:r>
          </w:p>
        </w:tc>
        <w:tc>
          <w:tcPr>
            <w:tcW w:w="1223" w:type="dxa"/>
            <w:noWrap/>
            <w:hideMark/>
          </w:tcPr>
          <w:p w14:paraId="46765925" w14:textId="4C2C368F"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4546C645" w14:textId="4B5E154D"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47311923" w14:textId="6177F5F2"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3</w:t>
            </w:r>
          </w:p>
        </w:tc>
        <w:tc>
          <w:tcPr>
            <w:tcW w:w="1223" w:type="dxa"/>
            <w:noWrap/>
            <w:hideMark/>
          </w:tcPr>
          <w:p w14:paraId="419E25E9" w14:textId="2A3CCE52"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72</w:t>
            </w:r>
          </w:p>
        </w:tc>
        <w:tc>
          <w:tcPr>
            <w:tcW w:w="1223" w:type="dxa"/>
            <w:noWrap/>
            <w:hideMark/>
          </w:tcPr>
          <w:p w14:paraId="6B213F72" w14:textId="69729F07"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153</w:t>
            </w:r>
          </w:p>
        </w:tc>
      </w:tr>
      <w:tr w:rsidR="00895C7B" w:rsidRPr="00994D20" w14:paraId="61810DFC" w14:textId="77777777">
        <w:trPr>
          <w:trHeight w:val="288"/>
        </w:trPr>
        <w:tc>
          <w:tcPr>
            <w:tcW w:w="3235" w:type="dxa"/>
            <w:noWrap/>
            <w:hideMark/>
          </w:tcPr>
          <w:p w14:paraId="157D1AC5" w14:textId="640C346A"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Riverside USD</w:t>
            </w:r>
          </w:p>
        </w:tc>
        <w:tc>
          <w:tcPr>
            <w:tcW w:w="1223" w:type="dxa"/>
            <w:noWrap/>
            <w:hideMark/>
          </w:tcPr>
          <w:p w14:paraId="7B78B1EF" w14:textId="0CF84BE5"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109</w:t>
            </w:r>
          </w:p>
        </w:tc>
        <w:tc>
          <w:tcPr>
            <w:tcW w:w="1223" w:type="dxa"/>
            <w:noWrap/>
            <w:hideMark/>
          </w:tcPr>
          <w:p w14:paraId="604F0AC5" w14:textId="6997C39E"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290</w:t>
            </w:r>
          </w:p>
        </w:tc>
        <w:tc>
          <w:tcPr>
            <w:tcW w:w="1223" w:type="dxa"/>
            <w:noWrap/>
            <w:hideMark/>
          </w:tcPr>
          <w:p w14:paraId="535D059A" w14:textId="577DAE0D"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218</w:t>
            </w:r>
          </w:p>
        </w:tc>
        <w:tc>
          <w:tcPr>
            <w:tcW w:w="1223" w:type="dxa"/>
            <w:noWrap/>
            <w:hideMark/>
          </w:tcPr>
          <w:p w14:paraId="32ACBD36" w14:textId="6EB4A291"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567</w:t>
            </w:r>
          </w:p>
        </w:tc>
        <w:tc>
          <w:tcPr>
            <w:tcW w:w="1223" w:type="dxa"/>
            <w:noWrap/>
            <w:hideMark/>
          </w:tcPr>
          <w:p w14:paraId="27E39969" w14:textId="449E846F"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569</w:t>
            </w:r>
          </w:p>
        </w:tc>
      </w:tr>
      <w:tr w:rsidR="00895C7B" w:rsidRPr="00994D20" w14:paraId="171A0ED7" w14:textId="77777777">
        <w:trPr>
          <w:trHeight w:val="288"/>
        </w:trPr>
        <w:tc>
          <w:tcPr>
            <w:tcW w:w="3235" w:type="dxa"/>
            <w:noWrap/>
            <w:hideMark/>
          </w:tcPr>
          <w:p w14:paraId="2F026945" w14:textId="1648728A"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Sacramento City USD</w:t>
            </w:r>
          </w:p>
        </w:tc>
        <w:tc>
          <w:tcPr>
            <w:tcW w:w="1223" w:type="dxa"/>
            <w:noWrap/>
            <w:hideMark/>
          </w:tcPr>
          <w:p w14:paraId="0A8D450D" w14:textId="37184414"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689EB40D" w14:textId="33892820"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93</w:t>
            </w:r>
          </w:p>
        </w:tc>
        <w:tc>
          <w:tcPr>
            <w:tcW w:w="1223" w:type="dxa"/>
            <w:noWrap/>
            <w:hideMark/>
          </w:tcPr>
          <w:p w14:paraId="2B6E36A2" w14:textId="209CDBA3"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96</w:t>
            </w:r>
          </w:p>
        </w:tc>
        <w:tc>
          <w:tcPr>
            <w:tcW w:w="1223" w:type="dxa"/>
            <w:noWrap/>
            <w:hideMark/>
          </w:tcPr>
          <w:p w14:paraId="3E32AB82" w14:textId="4AC76D9E"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224</w:t>
            </w:r>
          </w:p>
        </w:tc>
        <w:tc>
          <w:tcPr>
            <w:tcW w:w="1223" w:type="dxa"/>
            <w:noWrap/>
            <w:hideMark/>
          </w:tcPr>
          <w:p w14:paraId="38EA7F15" w14:textId="262B1016"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178</w:t>
            </w:r>
          </w:p>
        </w:tc>
      </w:tr>
      <w:tr w:rsidR="00895C7B" w:rsidRPr="00994D20" w14:paraId="7845C6CD" w14:textId="77777777">
        <w:trPr>
          <w:trHeight w:val="288"/>
        </w:trPr>
        <w:tc>
          <w:tcPr>
            <w:tcW w:w="3235" w:type="dxa"/>
            <w:noWrap/>
            <w:hideMark/>
          </w:tcPr>
          <w:p w14:paraId="5DB80926" w14:textId="749BE6FF"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Sacramento COE</w:t>
            </w:r>
          </w:p>
        </w:tc>
        <w:tc>
          <w:tcPr>
            <w:tcW w:w="1223" w:type="dxa"/>
            <w:noWrap/>
            <w:hideMark/>
          </w:tcPr>
          <w:p w14:paraId="7843D5BC" w14:textId="06F9EBA2"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5D6B92D1" w14:textId="47E68B78"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66</w:t>
            </w:r>
          </w:p>
        </w:tc>
        <w:tc>
          <w:tcPr>
            <w:tcW w:w="1223" w:type="dxa"/>
            <w:noWrap/>
            <w:hideMark/>
          </w:tcPr>
          <w:p w14:paraId="02EC5025" w14:textId="68208605"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75</w:t>
            </w:r>
          </w:p>
        </w:tc>
        <w:tc>
          <w:tcPr>
            <w:tcW w:w="1223" w:type="dxa"/>
            <w:noWrap/>
            <w:hideMark/>
          </w:tcPr>
          <w:p w14:paraId="3ECB445A" w14:textId="329A05D3"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160</w:t>
            </w:r>
          </w:p>
        </w:tc>
        <w:tc>
          <w:tcPr>
            <w:tcW w:w="1223" w:type="dxa"/>
            <w:noWrap/>
            <w:hideMark/>
          </w:tcPr>
          <w:p w14:paraId="170A1148" w14:textId="686CCD32" w:rsidR="00895C7B" w:rsidRPr="00994D20" w:rsidRDefault="00111E70" w:rsidP="005B1F66">
            <w:pPr>
              <w:pStyle w:val="NormalWeb"/>
              <w:spacing w:before="0" w:beforeAutospacing="0" w:after="0" w:afterAutospacing="0"/>
              <w:rPr>
                <w:rFonts w:ascii="Arial" w:hAnsi="Arial" w:cs="Arial"/>
              </w:rPr>
            </w:pPr>
            <w:r>
              <w:rPr>
                <w:rFonts w:ascii="Arial" w:hAnsi="Arial" w:cs="Arial"/>
              </w:rPr>
              <w:t>270</w:t>
            </w:r>
          </w:p>
        </w:tc>
      </w:tr>
      <w:tr w:rsidR="00895C7B" w:rsidRPr="00994D20" w14:paraId="4A21AB98" w14:textId="77777777">
        <w:trPr>
          <w:trHeight w:val="288"/>
        </w:trPr>
        <w:tc>
          <w:tcPr>
            <w:tcW w:w="3235" w:type="dxa"/>
            <w:noWrap/>
            <w:hideMark/>
          </w:tcPr>
          <w:p w14:paraId="27E8A9E6" w14:textId="548BE5AF"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San Diego USD</w:t>
            </w:r>
          </w:p>
        </w:tc>
        <w:tc>
          <w:tcPr>
            <w:tcW w:w="1223" w:type="dxa"/>
            <w:noWrap/>
            <w:hideMark/>
          </w:tcPr>
          <w:p w14:paraId="23CAA71C" w14:textId="300382BB"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100</w:t>
            </w:r>
          </w:p>
        </w:tc>
        <w:tc>
          <w:tcPr>
            <w:tcW w:w="1223" w:type="dxa"/>
            <w:noWrap/>
            <w:hideMark/>
          </w:tcPr>
          <w:p w14:paraId="3079ACBF" w14:textId="4FD329E1"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46E4F17B" w14:textId="0F8107F9"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5810CA35" w14:textId="112D2E27"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148</w:t>
            </w:r>
          </w:p>
        </w:tc>
        <w:tc>
          <w:tcPr>
            <w:tcW w:w="1223" w:type="dxa"/>
            <w:noWrap/>
            <w:hideMark/>
          </w:tcPr>
          <w:p w14:paraId="172A3AE2" w14:textId="5D37CE7D"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159</w:t>
            </w:r>
          </w:p>
        </w:tc>
      </w:tr>
      <w:tr w:rsidR="00895C7B" w:rsidRPr="00994D20" w14:paraId="2DBA8B52" w14:textId="77777777">
        <w:trPr>
          <w:trHeight w:val="288"/>
        </w:trPr>
        <w:tc>
          <w:tcPr>
            <w:tcW w:w="3235" w:type="dxa"/>
            <w:noWrap/>
            <w:hideMark/>
          </w:tcPr>
          <w:p w14:paraId="08C0C89A" w14:textId="2BFA7171"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SBE</w:t>
            </w:r>
            <w:r w:rsidR="009C5D2E">
              <w:rPr>
                <w:rFonts w:ascii="Arial" w:hAnsi="Arial" w:cs="Arial"/>
              </w:rPr>
              <w:t>—</w:t>
            </w:r>
            <w:r w:rsidRPr="00994D20">
              <w:rPr>
                <w:rFonts w:ascii="Arial" w:hAnsi="Arial" w:cs="Arial"/>
              </w:rPr>
              <w:t>Latitude 37.8 High</w:t>
            </w:r>
          </w:p>
        </w:tc>
        <w:tc>
          <w:tcPr>
            <w:tcW w:w="1223" w:type="dxa"/>
            <w:noWrap/>
            <w:hideMark/>
          </w:tcPr>
          <w:p w14:paraId="66DC8260" w14:textId="3D3DB4C8"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34829330" w14:textId="44B4B1DC"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10556B03" w14:textId="2FA6046A"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37F70C03" w14:textId="29FFAEB6"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1B94923A" w14:textId="794A2F91"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r>
      <w:tr w:rsidR="00895C7B" w:rsidRPr="00994D20" w14:paraId="07A1DB3F" w14:textId="77777777">
        <w:trPr>
          <w:trHeight w:val="288"/>
        </w:trPr>
        <w:tc>
          <w:tcPr>
            <w:tcW w:w="3235" w:type="dxa"/>
            <w:noWrap/>
            <w:hideMark/>
          </w:tcPr>
          <w:p w14:paraId="687F90DE" w14:textId="7CDF6C3B"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Tulare COE</w:t>
            </w:r>
          </w:p>
        </w:tc>
        <w:tc>
          <w:tcPr>
            <w:tcW w:w="1223" w:type="dxa"/>
            <w:noWrap/>
            <w:hideMark/>
          </w:tcPr>
          <w:p w14:paraId="00E58AD1" w14:textId="2C4385FA"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010B1233" w14:textId="46CCE13C"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0</w:t>
            </w:r>
          </w:p>
        </w:tc>
        <w:tc>
          <w:tcPr>
            <w:tcW w:w="1223" w:type="dxa"/>
            <w:noWrap/>
            <w:hideMark/>
          </w:tcPr>
          <w:p w14:paraId="20C5F0B1" w14:textId="6742EB08"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11</w:t>
            </w:r>
          </w:p>
        </w:tc>
        <w:tc>
          <w:tcPr>
            <w:tcW w:w="1223" w:type="dxa"/>
            <w:noWrap/>
            <w:hideMark/>
          </w:tcPr>
          <w:p w14:paraId="64AF842F" w14:textId="596DBE02" w:rsidR="00895C7B" w:rsidRPr="00994D20" w:rsidRDefault="00895C7B" w:rsidP="005B1F66">
            <w:pPr>
              <w:pStyle w:val="NormalWeb"/>
              <w:spacing w:before="0" w:beforeAutospacing="0" w:after="0" w:afterAutospacing="0"/>
              <w:rPr>
                <w:rFonts w:ascii="Arial" w:hAnsi="Arial" w:cs="Arial"/>
              </w:rPr>
            </w:pPr>
            <w:r w:rsidRPr="00994D20">
              <w:rPr>
                <w:rFonts w:ascii="Arial" w:hAnsi="Arial" w:cs="Arial"/>
              </w:rPr>
              <w:t>9</w:t>
            </w:r>
          </w:p>
        </w:tc>
        <w:tc>
          <w:tcPr>
            <w:tcW w:w="1223" w:type="dxa"/>
            <w:noWrap/>
            <w:hideMark/>
          </w:tcPr>
          <w:p w14:paraId="3C6EF460" w14:textId="612B9F08" w:rsidR="00895C7B" w:rsidRPr="00994D20" w:rsidRDefault="00111E70" w:rsidP="005B1F66">
            <w:pPr>
              <w:pStyle w:val="NormalWeb"/>
              <w:spacing w:before="0" w:beforeAutospacing="0" w:after="0" w:afterAutospacing="0"/>
              <w:rPr>
                <w:rFonts w:ascii="Arial" w:hAnsi="Arial" w:cs="Arial"/>
              </w:rPr>
            </w:pPr>
            <w:r>
              <w:rPr>
                <w:rFonts w:ascii="Arial" w:hAnsi="Arial" w:cs="Arial"/>
              </w:rPr>
              <w:t>129</w:t>
            </w:r>
          </w:p>
        </w:tc>
      </w:tr>
    </w:tbl>
    <w:p w14:paraId="05A1DE9C" w14:textId="77777777" w:rsidR="0045122E" w:rsidRDefault="0045122E" w:rsidP="00ED5B14">
      <w:pPr>
        <w:pStyle w:val="Heading3"/>
      </w:pPr>
      <w:bookmarkStart w:id="71" w:name="_Toc221186091"/>
      <w:r>
        <w:t>Connection to the Model Uniform Metrics</w:t>
      </w:r>
      <w:bookmarkEnd w:id="71"/>
    </w:p>
    <w:p w14:paraId="62E9410B" w14:textId="1A92B697" w:rsidR="0045122E" w:rsidRPr="0045122E" w:rsidRDefault="0045122E" w:rsidP="0045122E">
      <w:pPr>
        <w:spacing w:after="240"/>
        <w:rPr>
          <w:rFonts w:eastAsia="Calibri"/>
          <w:color w:val="auto"/>
          <w:u w:color="000000"/>
          <w:bdr w:val="nil"/>
        </w:rPr>
      </w:pPr>
      <w:r w:rsidRPr="005903B0">
        <w:rPr>
          <w:rFonts w:eastAsia="Calibri"/>
          <w:color w:val="auto"/>
          <w:u w:color="000000"/>
          <w:bdr w:val="nil"/>
        </w:rPr>
        <w:t xml:space="preserve">The model uniform metrics required by </w:t>
      </w:r>
      <w:r w:rsidRPr="005903B0">
        <w:rPr>
          <w:rFonts w:eastAsia="Calibri"/>
          <w:i/>
          <w:iCs/>
          <w:color w:val="auto"/>
          <w:u w:color="000000"/>
          <w:bdr w:val="nil"/>
        </w:rPr>
        <w:t xml:space="preserve">EC </w:t>
      </w:r>
      <w:r w:rsidRPr="005903B0">
        <w:rPr>
          <w:rFonts w:eastAsia="Calibri"/>
          <w:color w:val="auto"/>
          <w:u w:color="000000"/>
          <w:bdr w:val="nil"/>
        </w:rPr>
        <w:t xml:space="preserve">Section 51475 were under development during the reporting periods covered by this report and were not available for </w:t>
      </w:r>
      <w:r w:rsidR="00A540F6">
        <w:rPr>
          <w:rFonts w:eastAsia="Calibri"/>
          <w:color w:val="auto"/>
          <w:u w:color="000000"/>
          <w:bdr w:val="nil"/>
        </w:rPr>
        <w:t>C</w:t>
      </w:r>
      <w:r w:rsidRPr="005903B0">
        <w:rPr>
          <w:rFonts w:eastAsia="Calibri"/>
          <w:color w:val="auto"/>
          <w:u w:color="000000"/>
          <w:bdr w:val="nil"/>
        </w:rPr>
        <w:t xml:space="preserve">ohort </w:t>
      </w:r>
      <w:r>
        <w:rPr>
          <w:rFonts w:eastAsia="Calibri"/>
          <w:color w:val="auto"/>
          <w:u w:color="000000"/>
          <w:bdr w:val="nil"/>
        </w:rPr>
        <w:t>2</w:t>
      </w:r>
      <w:r w:rsidRPr="005903B0">
        <w:rPr>
          <w:rFonts w:eastAsia="Calibri"/>
          <w:color w:val="auto"/>
          <w:u w:color="000000"/>
          <w:bdr w:val="nil"/>
        </w:rPr>
        <w:t xml:space="preserve"> grantees to use in reporting. However, the following section reports on how Cohort </w:t>
      </w:r>
      <w:r>
        <w:rPr>
          <w:rFonts w:eastAsia="Calibri"/>
          <w:color w:val="auto"/>
          <w:u w:color="000000"/>
          <w:bdr w:val="nil"/>
        </w:rPr>
        <w:t>2</w:t>
      </w:r>
      <w:r w:rsidRPr="005903B0">
        <w:rPr>
          <w:rFonts w:eastAsia="Calibri"/>
          <w:color w:val="auto"/>
          <w:u w:color="000000"/>
          <w:bdr w:val="nil"/>
        </w:rPr>
        <w:t xml:space="preserve"> </w:t>
      </w:r>
      <w:r w:rsidRPr="0045122E">
        <w:rPr>
          <w:rFonts w:eastAsia="Calibri"/>
          <w:color w:val="auto"/>
          <w:u w:color="000000"/>
          <w:bdr w:val="nil"/>
        </w:rPr>
        <w:t xml:space="preserve">grantees supported the model uniform metrics. The model uniform metrics are available </w:t>
      </w:r>
      <w:r w:rsidR="009C5D2E">
        <w:rPr>
          <w:rFonts w:eastAsia="Calibri"/>
          <w:color w:val="auto"/>
          <w:u w:color="000000"/>
          <w:bdr w:val="nil"/>
        </w:rPr>
        <w:t xml:space="preserve">under </w:t>
      </w:r>
      <w:r w:rsidRPr="0045122E">
        <w:rPr>
          <w:rFonts w:eastAsia="Calibri"/>
          <w:color w:val="auto"/>
          <w:u w:color="000000"/>
          <w:bdr w:val="nil"/>
        </w:rPr>
        <w:t xml:space="preserve">the “Metrics” tab of the CDE California Serves web page at </w:t>
      </w:r>
      <w:hyperlink r:id="rId21" w:tooltip="CDE California Serves web page" w:history="1">
        <w:r w:rsidRPr="003A506B">
          <w:rPr>
            <w:rStyle w:val="Hyperlink"/>
          </w:rPr>
          <w:t>https://www.cde.ca.gov/ci/pl/californiaserves.asp</w:t>
        </w:r>
      </w:hyperlink>
      <w:r w:rsidRPr="0045122E">
        <w:rPr>
          <w:rFonts w:eastAsia="Calibri"/>
          <w:color w:val="auto"/>
          <w:u w:color="000000"/>
          <w:bdr w:val="nil"/>
        </w:rPr>
        <w:t>.</w:t>
      </w:r>
    </w:p>
    <w:p w14:paraId="03EF230C" w14:textId="568BD8BB" w:rsidR="0045122E" w:rsidRPr="009A4AB5" w:rsidRDefault="0045122E" w:rsidP="00ED5B14">
      <w:pPr>
        <w:pStyle w:val="Heading4"/>
      </w:pPr>
      <w:bookmarkStart w:id="72" w:name="_Toc221186092"/>
      <w:r w:rsidRPr="009A4AB5">
        <w:rPr>
          <w:rStyle w:val="Strong"/>
          <w:b/>
          <w:bCs w:val="0"/>
        </w:rPr>
        <w:t>SSCE Criterion 1</w:t>
      </w:r>
      <w:r w:rsidR="000469A1">
        <w:rPr>
          <w:rStyle w:val="Strong"/>
          <w:b/>
          <w:bCs w:val="0"/>
        </w:rPr>
        <w:t>:</w:t>
      </w:r>
      <w:r w:rsidRPr="009A4AB5">
        <w:rPr>
          <w:rStyle w:val="Strong"/>
          <w:b/>
          <w:bCs w:val="0"/>
        </w:rPr>
        <w:t xml:space="preserve"> Academic Work</w:t>
      </w:r>
      <w:bookmarkEnd w:id="72"/>
    </w:p>
    <w:p w14:paraId="0820230F" w14:textId="17F300F9"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Maintain passing grades</w:t>
      </w:r>
      <w:r w:rsidR="00DB72EE">
        <w:rPr>
          <w:rFonts w:ascii="Arial" w:hAnsi="Arial" w:cs="Arial"/>
        </w:rPr>
        <w:t xml:space="preserve"> (as defined locally)</w:t>
      </w:r>
      <w:r w:rsidRPr="0045122E">
        <w:rPr>
          <w:rFonts w:ascii="Arial" w:hAnsi="Arial" w:cs="Arial"/>
        </w:rPr>
        <w:t xml:space="preserve"> in core </w:t>
      </w:r>
      <w:r w:rsidR="00A540F6">
        <w:rPr>
          <w:rFonts w:ascii="Arial" w:hAnsi="Arial" w:cs="Arial"/>
        </w:rPr>
        <w:t>HSS</w:t>
      </w:r>
      <w:r w:rsidRPr="0045122E">
        <w:rPr>
          <w:rFonts w:ascii="Arial" w:hAnsi="Arial" w:cs="Arial"/>
        </w:rPr>
        <w:t xml:space="preserve"> courses and demonstrate cross-curricular connections to civic issues</w:t>
      </w:r>
      <w:r w:rsidR="001C7FD6">
        <w:rPr>
          <w:rFonts w:ascii="Arial" w:hAnsi="Arial" w:cs="Arial"/>
        </w:rPr>
        <w:t>, where applicable</w:t>
      </w:r>
      <w:r w:rsidRPr="0045122E">
        <w:rPr>
          <w:rFonts w:ascii="Arial" w:hAnsi="Arial" w:cs="Arial"/>
        </w:rPr>
        <w:t>.</w:t>
      </w:r>
    </w:p>
    <w:p w14:paraId="53EDA38E" w14:textId="77777777"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Evidence from Cohort 2:</w:t>
      </w:r>
    </w:p>
    <w:p w14:paraId="47D9FDF2" w14:textId="1E19EB95" w:rsidR="000D1917" w:rsidRPr="008C1D2C" w:rsidRDefault="000D1917" w:rsidP="008C1D2C">
      <w:pPr>
        <w:pStyle w:val="NormalWeb"/>
        <w:numPr>
          <w:ilvl w:val="0"/>
          <w:numId w:val="39"/>
        </w:numPr>
        <w:spacing w:before="0" w:beforeAutospacing="0" w:after="240" w:afterAutospacing="0"/>
        <w:rPr>
          <w:rFonts w:ascii="Arial" w:hAnsi="Arial" w:cs="Arial"/>
        </w:rPr>
      </w:pPr>
      <w:r w:rsidRPr="000D1917">
        <w:rPr>
          <w:rFonts w:ascii="Arial" w:hAnsi="Arial" w:cs="Arial"/>
        </w:rPr>
        <w:t xml:space="preserve">All </w:t>
      </w:r>
      <w:r w:rsidR="00B725CA">
        <w:rPr>
          <w:rFonts w:ascii="Arial" w:hAnsi="Arial" w:cs="Arial"/>
        </w:rPr>
        <w:t>11</w:t>
      </w:r>
      <w:r w:rsidR="00B725CA" w:rsidRPr="000D1917">
        <w:rPr>
          <w:rFonts w:ascii="Arial" w:hAnsi="Arial" w:cs="Arial"/>
        </w:rPr>
        <w:t xml:space="preserve"> </w:t>
      </w:r>
      <w:r w:rsidRPr="000D1917">
        <w:rPr>
          <w:rFonts w:ascii="Arial" w:hAnsi="Arial" w:cs="Arial"/>
        </w:rPr>
        <w:t xml:space="preserve">Cohort 2 grantees reported aligning </w:t>
      </w:r>
      <w:r w:rsidR="001123A1">
        <w:rPr>
          <w:rFonts w:ascii="Arial" w:hAnsi="Arial" w:cs="Arial"/>
        </w:rPr>
        <w:t>service-learning</w:t>
      </w:r>
      <w:r w:rsidRPr="000D1917">
        <w:rPr>
          <w:rFonts w:ascii="Arial" w:hAnsi="Arial" w:cs="Arial"/>
        </w:rPr>
        <w:t xml:space="preserve"> with </w:t>
      </w:r>
      <w:r w:rsidR="00476E56">
        <w:rPr>
          <w:rFonts w:ascii="Arial" w:hAnsi="Arial" w:cs="Arial"/>
        </w:rPr>
        <w:t>HSS courses</w:t>
      </w:r>
      <w:r w:rsidR="00B725CA">
        <w:rPr>
          <w:rFonts w:ascii="Arial" w:hAnsi="Arial" w:cs="Arial"/>
        </w:rPr>
        <w:t xml:space="preserve"> and</w:t>
      </w:r>
      <w:r w:rsidRPr="000D1917">
        <w:rPr>
          <w:rFonts w:ascii="Arial" w:hAnsi="Arial" w:cs="Arial"/>
        </w:rPr>
        <w:t xml:space="preserve"> often us</w:t>
      </w:r>
      <w:r w:rsidR="00B725CA">
        <w:rPr>
          <w:rFonts w:ascii="Arial" w:hAnsi="Arial" w:cs="Arial"/>
        </w:rPr>
        <w:t>e</w:t>
      </w:r>
      <w:r w:rsidRPr="000D1917">
        <w:rPr>
          <w:rFonts w:ascii="Arial" w:hAnsi="Arial" w:cs="Arial"/>
        </w:rPr>
        <w:t xml:space="preserve"> SSCE-aligned projects as culminating assignments in senior-level </w:t>
      </w:r>
      <w:r w:rsidRPr="008C1D2C">
        <w:rPr>
          <w:rFonts w:ascii="Arial" w:hAnsi="Arial" w:cs="Arial"/>
        </w:rPr>
        <w:t>courses.</w:t>
      </w:r>
    </w:p>
    <w:p w14:paraId="5EA865C3" w14:textId="5F5AF65F" w:rsidR="0045122E" w:rsidRPr="008C1D2C" w:rsidRDefault="0045122E" w:rsidP="008C1D2C">
      <w:pPr>
        <w:pStyle w:val="Body"/>
        <w:numPr>
          <w:ilvl w:val="0"/>
          <w:numId w:val="39"/>
        </w:numPr>
      </w:pPr>
      <w:r w:rsidRPr="008C1D2C">
        <w:t xml:space="preserve">Jurupa USD and Riverside USD implemented </w:t>
      </w:r>
      <w:r w:rsidRPr="008C1D2C">
        <w:rPr>
          <w:rStyle w:val="Strong"/>
          <w:rFonts w:cs="Arial"/>
          <w:b w:val="0"/>
          <w:bCs w:val="0"/>
        </w:rPr>
        <w:t>civic inquiry projects</w:t>
      </w:r>
      <w:r w:rsidRPr="008C1D2C">
        <w:t xml:space="preserve"> within government, history, and economics classes.</w:t>
      </w:r>
    </w:p>
    <w:p w14:paraId="7D54C83F" w14:textId="19580A08" w:rsidR="0045122E" w:rsidRPr="008C1D2C" w:rsidRDefault="0045122E" w:rsidP="008C1D2C">
      <w:pPr>
        <w:pStyle w:val="Body"/>
        <w:numPr>
          <w:ilvl w:val="0"/>
          <w:numId w:val="39"/>
        </w:numPr>
      </w:pPr>
      <w:r w:rsidRPr="008C1D2C">
        <w:t xml:space="preserve">Sacramento City USD piloted </w:t>
      </w:r>
      <w:r w:rsidRPr="008C1D2C">
        <w:rPr>
          <w:rStyle w:val="Strong"/>
          <w:rFonts w:cs="Arial"/>
          <w:b w:val="0"/>
          <w:bCs w:val="0"/>
        </w:rPr>
        <w:t>interdisciplinary rubrics and civic learning showcases</w:t>
      </w:r>
      <w:r w:rsidR="00B04A0A" w:rsidRPr="005B1F66">
        <w:t xml:space="preserve"> to highlight</w:t>
      </w:r>
      <w:r w:rsidRPr="00B04A0A">
        <w:t xml:space="preserve"> </w:t>
      </w:r>
      <w:r w:rsidRPr="008C1D2C">
        <w:t xml:space="preserve">connections between English, </w:t>
      </w:r>
      <w:r w:rsidR="00342419">
        <w:t>HSS</w:t>
      </w:r>
      <w:r w:rsidRPr="008C1D2C">
        <w:t>, and visual arts.</w:t>
      </w:r>
    </w:p>
    <w:p w14:paraId="389313FF" w14:textId="3F622C0D" w:rsidR="0045122E" w:rsidRPr="008C1D2C" w:rsidRDefault="0045122E" w:rsidP="008C1D2C">
      <w:pPr>
        <w:pStyle w:val="Body"/>
        <w:numPr>
          <w:ilvl w:val="0"/>
          <w:numId w:val="39"/>
        </w:numPr>
      </w:pPr>
      <w:r w:rsidRPr="008C1D2C">
        <w:lastRenderedPageBreak/>
        <w:t xml:space="preserve">San Diego USD embedded </w:t>
      </w:r>
      <w:r w:rsidRPr="008C1D2C">
        <w:rPr>
          <w:rStyle w:val="Strong"/>
          <w:rFonts w:cs="Arial"/>
          <w:b w:val="0"/>
          <w:bCs w:val="0"/>
        </w:rPr>
        <w:t>project-based learning</w:t>
      </w:r>
      <w:r w:rsidRPr="008C1D2C">
        <w:t xml:space="preserve"> in CTE and </w:t>
      </w:r>
      <w:r w:rsidR="00B9445A">
        <w:t>HSS courses</w:t>
      </w:r>
      <w:r w:rsidRPr="008C1D2C">
        <w:t>, including student journalism and neighborhood asset mapping.</w:t>
      </w:r>
    </w:p>
    <w:p w14:paraId="7D72E1E5" w14:textId="77777777" w:rsidR="0045122E" w:rsidRPr="008C1D2C" w:rsidRDefault="0045122E" w:rsidP="008C1D2C">
      <w:pPr>
        <w:pStyle w:val="Body"/>
        <w:numPr>
          <w:ilvl w:val="0"/>
          <w:numId w:val="39"/>
        </w:numPr>
      </w:pPr>
      <w:r w:rsidRPr="008C1D2C">
        <w:t xml:space="preserve">Latitude 37.8 High School linked </w:t>
      </w:r>
      <w:r w:rsidRPr="008C1D2C">
        <w:rPr>
          <w:rStyle w:val="Strong"/>
          <w:rFonts w:cs="Arial"/>
          <w:b w:val="0"/>
          <w:bCs w:val="0"/>
        </w:rPr>
        <w:t>independent civic action</w:t>
      </w:r>
      <w:r w:rsidRPr="008C1D2C">
        <w:rPr>
          <w:rStyle w:val="Strong"/>
          <w:rFonts w:cs="Arial"/>
        </w:rPr>
        <w:t xml:space="preserve"> </w:t>
      </w:r>
      <w:r w:rsidRPr="008C1D2C">
        <w:rPr>
          <w:rStyle w:val="Strong"/>
          <w:rFonts w:cs="Arial"/>
          <w:b w:val="0"/>
          <w:bCs w:val="0"/>
        </w:rPr>
        <w:t>projects</w:t>
      </w:r>
      <w:r w:rsidRPr="008C1D2C">
        <w:t xml:space="preserve"> to students’ internships and academic coursework.</w:t>
      </w:r>
    </w:p>
    <w:p w14:paraId="3B50FA3D" w14:textId="4324E0F7"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Outcome Trend:</w:t>
      </w:r>
      <w:r w:rsidR="009A4AB5">
        <w:rPr>
          <w:rFonts w:ascii="Arial" w:hAnsi="Arial" w:cs="Arial"/>
        </w:rPr>
        <w:t xml:space="preserve"> </w:t>
      </w:r>
      <w:r w:rsidR="00DB72EE" w:rsidRPr="00DB72EE">
        <w:rPr>
          <w:rFonts w:ascii="Arial" w:hAnsi="Arial" w:cs="Arial"/>
        </w:rPr>
        <w:t xml:space="preserve">SSCE-aligned </w:t>
      </w:r>
      <w:r w:rsidR="001123A1">
        <w:rPr>
          <w:rFonts w:ascii="Arial" w:hAnsi="Arial" w:cs="Arial"/>
        </w:rPr>
        <w:t>service-learning</w:t>
      </w:r>
      <w:r w:rsidR="00DB72EE" w:rsidRPr="00DB72EE">
        <w:rPr>
          <w:rFonts w:ascii="Arial" w:hAnsi="Arial" w:cs="Arial"/>
        </w:rPr>
        <w:t xml:space="preserve"> is increasingly embedded in core HSS courses, with strong evidence of cross-curricular connections in English, science, and CTE. Quantitative grade data were limited and not reported consistently, but qualitative feedback from teachers and coordinators frequently cited improved student engagement, higher completion rates for major projects, and stronger connections between academic content and real-world civic issues.</w:t>
      </w:r>
    </w:p>
    <w:p w14:paraId="167CE655" w14:textId="30A27715" w:rsidR="0045122E" w:rsidRPr="0045122E" w:rsidRDefault="0045122E" w:rsidP="00ED5B14">
      <w:pPr>
        <w:pStyle w:val="Heading4"/>
      </w:pPr>
      <w:bookmarkStart w:id="73" w:name="_Toc221186093"/>
      <w:r w:rsidRPr="0045122E">
        <w:rPr>
          <w:rStyle w:val="Strong"/>
          <w:b/>
        </w:rPr>
        <w:t>SSCE Criterion 2</w:t>
      </w:r>
      <w:r w:rsidR="000469A1">
        <w:rPr>
          <w:rStyle w:val="Strong"/>
          <w:b/>
        </w:rPr>
        <w:t xml:space="preserve">: </w:t>
      </w:r>
      <w:r w:rsidRPr="0045122E">
        <w:rPr>
          <w:rStyle w:val="Strong"/>
          <w:b/>
        </w:rPr>
        <w:t>Understanding of the U.S. Constitution and Government</w:t>
      </w:r>
      <w:bookmarkEnd w:id="73"/>
    </w:p>
    <w:p w14:paraId="77359DD6" w14:textId="4D1B18D6" w:rsidR="008F7933" w:rsidRPr="0029341A" w:rsidRDefault="008F7933" w:rsidP="008F7933">
      <w:pPr>
        <w:pStyle w:val="NormalWeb"/>
        <w:spacing w:before="0" w:beforeAutospacing="0" w:after="240" w:afterAutospacing="0"/>
        <w:rPr>
          <w:rFonts w:ascii="Arial" w:hAnsi="Arial" w:cs="Arial"/>
        </w:rPr>
      </w:pPr>
      <w:r w:rsidRPr="0029341A">
        <w:rPr>
          <w:rStyle w:val="Strong"/>
          <w:rFonts w:ascii="Arial" w:hAnsi="Arial" w:cs="Arial"/>
        </w:rPr>
        <w:t>Metric:</w:t>
      </w:r>
      <w:r w:rsidRPr="0029341A">
        <w:rPr>
          <w:rFonts w:ascii="Arial" w:hAnsi="Arial" w:cs="Arial"/>
        </w:rPr>
        <w:t xml:space="preserve"> </w:t>
      </w:r>
      <w:r w:rsidR="00625DF3" w:rsidRPr="00625DF3">
        <w:rPr>
          <w:rFonts w:ascii="Arial" w:hAnsi="Arial" w:cs="Arial"/>
        </w:rPr>
        <w:t>Demonstrate proficiency in understanding governmental structures and democratic principles through assessments and reflective civic learning activities.</w:t>
      </w:r>
    </w:p>
    <w:p w14:paraId="3102044D" w14:textId="77777777"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Evidence from Cohort 2:</w:t>
      </w:r>
    </w:p>
    <w:p w14:paraId="356BD56A" w14:textId="77777777" w:rsidR="0045122E" w:rsidRPr="0045122E" w:rsidRDefault="0045122E" w:rsidP="009A4AB5">
      <w:pPr>
        <w:pStyle w:val="NormalWeb"/>
        <w:numPr>
          <w:ilvl w:val="0"/>
          <w:numId w:val="30"/>
        </w:numPr>
        <w:spacing w:before="0" w:beforeAutospacing="0" w:after="240" w:afterAutospacing="0"/>
        <w:rPr>
          <w:rFonts w:ascii="Arial" w:hAnsi="Arial" w:cs="Arial"/>
        </w:rPr>
      </w:pPr>
      <w:r w:rsidRPr="0045122E">
        <w:rPr>
          <w:rFonts w:ascii="Arial" w:hAnsi="Arial" w:cs="Arial"/>
        </w:rPr>
        <w:t>Students in Sacramento City USD and Tulare COE participated in</w:t>
      </w:r>
      <w:r w:rsidRPr="008F7933">
        <w:rPr>
          <w:rFonts w:ascii="Arial" w:hAnsi="Arial" w:cs="Arial"/>
        </w:rPr>
        <w:t xml:space="preserve"> </w:t>
      </w:r>
      <w:r w:rsidRPr="008F7933">
        <w:rPr>
          <w:rStyle w:val="Strong"/>
          <w:rFonts w:ascii="Arial" w:hAnsi="Arial" w:cs="Arial"/>
          <w:b w:val="0"/>
          <w:bCs w:val="0"/>
        </w:rPr>
        <w:t>simulations</w:t>
      </w:r>
      <w:r w:rsidRPr="008F7933">
        <w:rPr>
          <w:rStyle w:val="Strong"/>
          <w:rFonts w:ascii="Arial" w:hAnsi="Arial" w:cs="Arial"/>
        </w:rPr>
        <w:t xml:space="preserve"> </w:t>
      </w:r>
      <w:r w:rsidRPr="008F7933">
        <w:rPr>
          <w:rStyle w:val="Strong"/>
          <w:rFonts w:ascii="Arial" w:hAnsi="Arial" w:cs="Arial"/>
          <w:b w:val="0"/>
          <w:bCs w:val="0"/>
        </w:rPr>
        <w:t>and student summits</w:t>
      </w:r>
      <w:r w:rsidRPr="0045122E">
        <w:rPr>
          <w:rFonts w:ascii="Arial" w:hAnsi="Arial" w:cs="Arial"/>
        </w:rPr>
        <w:t xml:space="preserve"> that examined public policy and local governance.</w:t>
      </w:r>
    </w:p>
    <w:p w14:paraId="04E71C60" w14:textId="48FE4648" w:rsidR="0045122E" w:rsidRPr="0045122E" w:rsidRDefault="0045122E" w:rsidP="009A4AB5">
      <w:pPr>
        <w:pStyle w:val="NormalWeb"/>
        <w:numPr>
          <w:ilvl w:val="0"/>
          <w:numId w:val="30"/>
        </w:numPr>
        <w:spacing w:before="0" w:beforeAutospacing="0" w:after="240" w:afterAutospacing="0"/>
        <w:rPr>
          <w:rFonts w:ascii="Arial" w:hAnsi="Arial" w:cs="Arial"/>
        </w:rPr>
      </w:pPr>
      <w:r w:rsidRPr="0045122E">
        <w:rPr>
          <w:rFonts w:ascii="Arial" w:hAnsi="Arial" w:cs="Arial"/>
        </w:rPr>
        <w:t xml:space="preserve">Riverside USD and Chaffey </w:t>
      </w:r>
      <w:r w:rsidR="008F7933">
        <w:rPr>
          <w:rFonts w:ascii="Arial" w:hAnsi="Arial" w:cs="Arial"/>
        </w:rPr>
        <w:t>Joint Union High School District</w:t>
      </w:r>
      <w:r w:rsidRPr="0045122E">
        <w:rPr>
          <w:rFonts w:ascii="Arial" w:hAnsi="Arial" w:cs="Arial"/>
        </w:rPr>
        <w:t xml:space="preserve"> developed </w:t>
      </w:r>
      <w:r w:rsidRPr="008F7933">
        <w:rPr>
          <w:rStyle w:val="Strong"/>
          <w:rFonts w:ascii="Arial" w:hAnsi="Arial" w:cs="Arial"/>
          <w:b w:val="0"/>
          <w:bCs w:val="0"/>
        </w:rPr>
        <w:t>lesson modules</w:t>
      </w:r>
      <w:r w:rsidRPr="0045122E">
        <w:rPr>
          <w:rFonts w:ascii="Arial" w:hAnsi="Arial" w:cs="Arial"/>
        </w:rPr>
        <w:t xml:space="preserve"> on constitutional principles and civic action frameworks.</w:t>
      </w:r>
    </w:p>
    <w:p w14:paraId="313852B0" w14:textId="11C06641" w:rsidR="0045122E" w:rsidRPr="008F7933" w:rsidRDefault="0045122E" w:rsidP="009A4AB5">
      <w:pPr>
        <w:pStyle w:val="NormalWeb"/>
        <w:numPr>
          <w:ilvl w:val="0"/>
          <w:numId w:val="30"/>
        </w:numPr>
        <w:spacing w:before="0" w:beforeAutospacing="0" w:after="240" w:afterAutospacing="0"/>
        <w:rPr>
          <w:rFonts w:ascii="Arial" w:hAnsi="Arial" w:cs="Arial"/>
          <w:b/>
          <w:bCs/>
        </w:rPr>
      </w:pPr>
      <w:r w:rsidRPr="0045122E">
        <w:rPr>
          <w:rFonts w:ascii="Arial" w:hAnsi="Arial" w:cs="Arial"/>
        </w:rPr>
        <w:t>Environmental Charter High School</w:t>
      </w:r>
      <w:r w:rsidR="00EB6572">
        <w:rPr>
          <w:rStyle w:val="Strong"/>
          <w:bCs w:val="0"/>
        </w:rPr>
        <w:t>—</w:t>
      </w:r>
      <w:r w:rsidR="00D26608">
        <w:rPr>
          <w:rFonts w:ascii="Arial" w:hAnsi="Arial" w:cs="Arial"/>
        </w:rPr>
        <w:t xml:space="preserve">Lawndale </w:t>
      </w:r>
      <w:r w:rsidRPr="0045122E">
        <w:rPr>
          <w:rFonts w:ascii="Arial" w:hAnsi="Arial" w:cs="Arial"/>
        </w:rPr>
        <w:t xml:space="preserve">led student workshops focused on the </w:t>
      </w:r>
      <w:r w:rsidRPr="008F7933">
        <w:rPr>
          <w:rStyle w:val="Strong"/>
          <w:rFonts w:ascii="Arial" w:hAnsi="Arial" w:cs="Arial"/>
          <w:b w:val="0"/>
          <w:bCs w:val="0"/>
        </w:rPr>
        <w:t>intersection of environmental justice and governmental systems</w:t>
      </w:r>
      <w:r w:rsidRPr="008F7933">
        <w:rPr>
          <w:rFonts w:ascii="Arial" w:hAnsi="Arial" w:cs="Arial"/>
          <w:b/>
          <w:bCs/>
        </w:rPr>
        <w:t>.</w:t>
      </w:r>
    </w:p>
    <w:p w14:paraId="10F94CD1" w14:textId="5EC0690F" w:rsidR="000D1917" w:rsidRPr="0045122E" w:rsidRDefault="000D1917" w:rsidP="009A4AB5">
      <w:pPr>
        <w:pStyle w:val="NormalWeb"/>
        <w:numPr>
          <w:ilvl w:val="0"/>
          <w:numId w:val="30"/>
        </w:numPr>
        <w:spacing w:before="0" w:beforeAutospacing="0" w:after="240" w:afterAutospacing="0"/>
        <w:rPr>
          <w:rFonts w:ascii="Arial" w:hAnsi="Arial" w:cs="Arial"/>
        </w:rPr>
      </w:pPr>
      <w:r>
        <w:rPr>
          <w:rFonts w:ascii="Arial" w:hAnsi="Arial" w:cs="Arial"/>
        </w:rPr>
        <w:t>C</w:t>
      </w:r>
      <w:r w:rsidRPr="000D1917">
        <w:rPr>
          <w:rFonts w:ascii="Arial" w:hAnsi="Arial" w:cs="Arial"/>
        </w:rPr>
        <w:t>ounty offices highlighted their role</w:t>
      </w:r>
      <w:r w:rsidR="00B04A0A">
        <w:rPr>
          <w:rFonts w:ascii="Arial" w:hAnsi="Arial" w:cs="Arial"/>
        </w:rPr>
        <w:t>s</w:t>
      </w:r>
      <w:r w:rsidRPr="000D1917">
        <w:rPr>
          <w:rFonts w:ascii="Arial" w:hAnsi="Arial" w:cs="Arial"/>
        </w:rPr>
        <w:t xml:space="preserve"> in providing shared lesson materials and professional learning to help smaller or rural districts integrate government and constitutional content into service-learning projects.</w:t>
      </w:r>
    </w:p>
    <w:p w14:paraId="58C8EC2C" w14:textId="6799BECD"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Outcome Trend:</w:t>
      </w:r>
      <w:r w:rsidR="009A4AB5">
        <w:rPr>
          <w:rFonts w:ascii="Arial" w:hAnsi="Arial" w:cs="Arial"/>
        </w:rPr>
        <w:t xml:space="preserve"> </w:t>
      </w:r>
      <w:r w:rsidR="005B7BB7">
        <w:rPr>
          <w:rFonts w:ascii="Arial" w:hAnsi="Arial" w:cs="Arial"/>
        </w:rPr>
        <w:t>S</w:t>
      </w:r>
      <w:r w:rsidR="000469A1">
        <w:rPr>
          <w:rFonts w:ascii="Arial" w:hAnsi="Arial" w:cs="Arial"/>
        </w:rPr>
        <w:t>even</w:t>
      </w:r>
      <w:r w:rsidRPr="0045122E">
        <w:rPr>
          <w:rFonts w:ascii="Arial" w:hAnsi="Arial" w:cs="Arial"/>
        </w:rPr>
        <w:t xml:space="preserve"> grantees explicitly referenced civic content tied to the U.S. Constitution and government structures. These were often taught through inquiry-based learning and real-world application.</w:t>
      </w:r>
    </w:p>
    <w:p w14:paraId="7747238F" w14:textId="1B1B2847" w:rsidR="0045122E" w:rsidRPr="0045122E" w:rsidRDefault="0045122E" w:rsidP="00ED5B14">
      <w:pPr>
        <w:pStyle w:val="Heading4"/>
      </w:pPr>
      <w:bookmarkStart w:id="74" w:name="_Toc221186094"/>
      <w:r w:rsidRPr="0045122E">
        <w:rPr>
          <w:rStyle w:val="Strong"/>
          <w:b/>
        </w:rPr>
        <w:t>SSCE Criterion 3</w:t>
      </w:r>
      <w:r w:rsidR="000469A1">
        <w:rPr>
          <w:rStyle w:val="Strong"/>
          <w:b/>
        </w:rPr>
        <w:t>:</w:t>
      </w:r>
      <w:r w:rsidRPr="0045122E">
        <w:rPr>
          <w:rStyle w:val="Strong"/>
          <w:b/>
        </w:rPr>
        <w:t xml:space="preserve"> </w:t>
      </w:r>
      <w:r w:rsidR="000469A1">
        <w:rPr>
          <w:rStyle w:val="Strong"/>
          <w:b/>
        </w:rPr>
        <w:t>Informed Civic Engagement Projects</w:t>
      </w:r>
      <w:bookmarkEnd w:id="74"/>
    </w:p>
    <w:p w14:paraId="7F2C169D" w14:textId="27B3D83F"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000D1917" w:rsidRPr="000D1917">
        <w:rPr>
          <w:rFonts w:ascii="Arial" w:hAnsi="Arial" w:cs="Arial"/>
        </w:rPr>
        <w:t>Completion of a student-led civic engagement project that addresses a community issue, including documented research, planning, action, and reflection.</w:t>
      </w:r>
    </w:p>
    <w:p w14:paraId="3BD75EAE" w14:textId="77777777" w:rsidR="006B37F2" w:rsidRDefault="006B37F2">
      <w:pPr>
        <w:spacing w:after="240"/>
        <w:rPr>
          <w:rStyle w:val="Strong"/>
          <w:rFonts w:eastAsia="Times New Roman"/>
          <w:color w:val="auto"/>
        </w:rPr>
      </w:pPr>
      <w:r>
        <w:rPr>
          <w:rStyle w:val="Strong"/>
        </w:rPr>
        <w:br w:type="page"/>
      </w:r>
    </w:p>
    <w:p w14:paraId="596C7401" w14:textId="553A623B"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lastRenderedPageBreak/>
        <w:t>Evidence from Cohort 2:</w:t>
      </w:r>
    </w:p>
    <w:p w14:paraId="30AB24A7" w14:textId="747D2768" w:rsidR="0045122E" w:rsidRPr="0045122E" w:rsidRDefault="0045122E" w:rsidP="009A4AB5">
      <w:pPr>
        <w:pStyle w:val="NormalWeb"/>
        <w:numPr>
          <w:ilvl w:val="0"/>
          <w:numId w:val="31"/>
        </w:numPr>
        <w:spacing w:before="0" w:beforeAutospacing="0" w:after="240" w:afterAutospacing="0"/>
        <w:rPr>
          <w:rFonts w:ascii="Arial" w:hAnsi="Arial" w:cs="Arial"/>
        </w:rPr>
      </w:pPr>
      <w:r w:rsidRPr="0045122E">
        <w:rPr>
          <w:rFonts w:ascii="Arial" w:hAnsi="Arial" w:cs="Arial"/>
        </w:rPr>
        <w:t xml:space="preserve">All 11 grantees described at least one </w:t>
      </w:r>
      <w:r w:rsidRPr="000469A1">
        <w:rPr>
          <w:rStyle w:val="Strong"/>
          <w:rFonts w:ascii="Arial" w:hAnsi="Arial" w:cs="Arial"/>
          <w:b w:val="0"/>
          <w:bCs w:val="0"/>
        </w:rPr>
        <w:t>student-</w:t>
      </w:r>
      <w:proofErr w:type="gramStart"/>
      <w:r w:rsidRPr="000469A1">
        <w:rPr>
          <w:rStyle w:val="Strong"/>
          <w:rFonts w:ascii="Arial" w:hAnsi="Arial" w:cs="Arial"/>
          <w:b w:val="0"/>
          <w:bCs w:val="0"/>
        </w:rPr>
        <w:t>led service-learning</w:t>
      </w:r>
      <w:proofErr w:type="gramEnd"/>
      <w:r w:rsidRPr="000469A1">
        <w:rPr>
          <w:rStyle w:val="Strong"/>
          <w:rFonts w:ascii="Arial" w:hAnsi="Arial" w:cs="Arial"/>
          <w:b w:val="0"/>
          <w:bCs w:val="0"/>
        </w:rPr>
        <w:t xml:space="preserve"> project</w:t>
      </w:r>
      <w:r w:rsidRPr="005B1F66">
        <w:rPr>
          <w:rFonts w:ascii="Arial" w:hAnsi="Arial" w:cs="Arial"/>
        </w:rPr>
        <w:t>,</w:t>
      </w:r>
      <w:r w:rsidRPr="0045122E">
        <w:rPr>
          <w:rFonts w:ascii="Arial" w:hAnsi="Arial" w:cs="Arial"/>
        </w:rPr>
        <w:t xml:space="preserve"> though the level of detail varied.</w:t>
      </w:r>
    </w:p>
    <w:p w14:paraId="0260D90D" w14:textId="6A243949" w:rsidR="0045122E" w:rsidRPr="0045122E" w:rsidRDefault="0045122E" w:rsidP="000D1917">
      <w:pPr>
        <w:pStyle w:val="NormalWeb"/>
        <w:numPr>
          <w:ilvl w:val="0"/>
          <w:numId w:val="31"/>
        </w:numPr>
        <w:spacing w:before="0" w:beforeAutospacing="0" w:after="240" w:afterAutospacing="0"/>
        <w:rPr>
          <w:rFonts w:ascii="Arial" w:hAnsi="Arial" w:cs="Arial"/>
        </w:rPr>
      </w:pPr>
      <w:r w:rsidRPr="0045122E">
        <w:rPr>
          <w:rFonts w:ascii="Arial" w:hAnsi="Arial" w:cs="Arial"/>
        </w:rPr>
        <w:t>Pajaro Valley USD</w:t>
      </w:r>
      <w:r w:rsidR="00AF78A6">
        <w:rPr>
          <w:rFonts w:ascii="Arial" w:hAnsi="Arial" w:cs="Arial"/>
        </w:rPr>
        <w:t xml:space="preserve"> implemented</w:t>
      </w:r>
      <w:r w:rsidRPr="0045122E">
        <w:rPr>
          <w:rFonts w:ascii="Arial" w:hAnsi="Arial" w:cs="Arial"/>
        </w:rPr>
        <w:t xml:space="preserve"> </w:t>
      </w:r>
      <w:r w:rsidRPr="00AF78A6">
        <w:rPr>
          <w:rStyle w:val="Strong"/>
          <w:rFonts w:ascii="Arial" w:hAnsi="Arial" w:cs="Arial"/>
          <w:b w:val="0"/>
          <w:bCs w:val="0"/>
        </w:rPr>
        <w:t>peer-to-peer civic engagement campaigns</w:t>
      </w:r>
      <w:r w:rsidR="00AF78A6">
        <w:rPr>
          <w:rStyle w:val="Strong"/>
          <w:rFonts w:ascii="Arial" w:hAnsi="Arial" w:cs="Arial"/>
          <w:b w:val="0"/>
          <w:bCs w:val="0"/>
        </w:rPr>
        <w:t>.</w:t>
      </w:r>
    </w:p>
    <w:p w14:paraId="5FE2D55E" w14:textId="380D316C" w:rsidR="0045122E" w:rsidRPr="0045122E" w:rsidRDefault="0045122E" w:rsidP="000D1917">
      <w:pPr>
        <w:pStyle w:val="NormalWeb"/>
        <w:numPr>
          <w:ilvl w:val="0"/>
          <w:numId w:val="31"/>
        </w:numPr>
        <w:spacing w:before="0" w:beforeAutospacing="0" w:after="240" w:afterAutospacing="0"/>
        <w:rPr>
          <w:rFonts w:ascii="Arial" w:hAnsi="Arial" w:cs="Arial"/>
        </w:rPr>
      </w:pPr>
      <w:r w:rsidRPr="0045122E">
        <w:rPr>
          <w:rFonts w:ascii="Arial" w:hAnsi="Arial" w:cs="Arial"/>
        </w:rPr>
        <w:t xml:space="preserve">Tulare COE’s </w:t>
      </w:r>
      <w:r w:rsidR="00AF78A6">
        <w:rPr>
          <w:rFonts w:ascii="Arial" w:hAnsi="Arial" w:cs="Arial"/>
        </w:rPr>
        <w:t xml:space="preserve">students showcased civic engagement projects at </w:t>
      </w:r>
      <w:r w:rsidRPr="00AF78A6">
        <w:rPr>
          <w:rStyle w:val="Strong"/>
          <w:rFonts w:ascii="Arial" w:hAnsi="Arial" w:cs="Arial"/>
          <w:b w:val="0"/>
          <w:bCs w:val="0"/>
        </w:rPr>
        <w:t>regional civic leadership summits</w:t>
      </w:r>
      <w:r w:rsidR="00AF78A6">
        <w:rPr>
          <w:rStyle w:val="Strong"/>
          <w:rFonts w:ascii="Arial" w:hAnsi="Arial" w:cs="Arial"/>
          <w:b w:val="0"/>
          <w:bCs w:val="0"/>
        </w:rPr>
        <w:t>.</w:t>
      </w:r>
    </w:p>
    <w:p w14:paraId="75EAB87F" w14:textId="11467F11" w:rsidR="000D1917" w:rsidRPr="000D1917" w:rsidRDefault="000D1917" w:rsidP="009A4AB5">
      <w:pPr>
        <w:pStyle w:val="NormalWeb"/>
        <w:numPr>
          <w:ilvl w:val="0"/>
          <w:numId w:val="31"/>
        </w:numPr>
        <w:spacing w:before="0" w:beforeAutospacing="0" w:after="240" w:afterAutospacing="0"/>
        <w:rPr>
          <w:rFonts w:ascii="Arial" w:hAnsi="Arial" w:cs="Arial"/>
        </w:rPr>
      </w:pPr>
      <w:r w:rsidRPr="000D1917">
        <w:rPr>
          <w:rFonts w:ascii="Arial" w:hAnsi="Arial" w:cs="Arial"/>
        </w:rPr>
        <w:t xml:space="preserve">County offices and charter grantees reported using </w:t>
      </w:r>
      <w:r w:rsidR="005146A3">
        <w:rPr>
          <w:rFonts w:ascii="Arial" w:hAnsi="Arial" w:cs="Arial"/>
        </w:rPr>
        <w:t>grant</w:t>
      </w:r>
      <w:r w:rsidRPr="000D1917">
        <w:rPr>
          <w:rFonts w:ascii="Arial" w:hAnsi="Arial" w:cs="Arial"/>
        </w:rPr>
        <w:t xml:space="preserve"> funding to design structured project frameworks</w:t>
      </w:r>
      <w:r w:rsidR="005146A3">
        <w:rPr>
          <w:rFonts w:ascii="Arial" w:hAnsi="Arial" w:cs="Arial"/>
        </w:rPr>
        <w:t xml:space="preserve">, </w:t>
      </w:r>
      <w:r w:rsidRPr="000D1917">
        <w:rPr>
          <w:rFonts w:ascii="Arial" w:hAnsi="Arial" w:cs="Arial"/>
        </w:rPr>
        <w:t>such as capstone projects, pathway projects, and sequenced civic inquirie</w:t>
      </w:r>
      <w:r w:rsidR="005146A3">
        <w:rPr>
          <w:rFonts w:ascii="Arial" w:hAnsi="Arial" w:cs="Arial"/>
        </w:rPr>
        <w:t>s, t</w:t>
      </w:r>
      <w:r w:rsidRPr="000D1917">
        <w:rPr>
          <w:rFonts w:ascii="Arial" w:hAnsi="Arial" w:cs="Arial"/>
        </w:rPr>
        <w:t>hat can be sustained beyond the grant period.</w:t>
      </w:r>
    </w:p>
    <w:p w14:paraId="16F53BA6" w14:textId="005DA4AA"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Outcome Trend:</w:t>
      </w:r>
      <w:r w:rsidR="009A4AB5">
        <w:rPr>
          <w:rFonts w:ascii="Arial" w:hAnsi="Arial" w:cs="Arial"/>
        </w:rPr>
        <w:t xml:space="preserve"> </w:t>
      </w:r>
      <w:r w:rsidR="000D1917" w:rsidRPr="000D1917">
        <w:rPr>
          <w:rFonts w:ascii="Arial" w:hAnsi="Arial" w:cs="Arial"/>
        </w:rPr>
        <w:t xml:space="preserve">Cohort 2 grantees are using </w:t>
      </w:r>
      <w:r w:rsidR="005146A3">
        <w:rPr>
          <w:rFonts w:ascii="Arial" w:hAnsi="Arial" w:cs="Arial"/>
        </w:rPr>
        <w:t xml:space="preserve">grant </w:t>
      </w:r>
      <w:r w:rsidR="000D1917" w:rsidRPr="000D1917">
        <w:rPr>
          <w:rFonts w:ascii="Arial" w:hAnsi="Arial" w:cs="Arial"/>
        </w:rPr>
        <w:t>funding to significantly expand access to civic engagement projects that meet SSCE expectations. The primary area for continued development is systematizing project documentation and ensuring that all participating students have a clear path from civic project completion to SSCE eligibility.</w:t>
      </w:r>
    </w:p>
    <w:p w14:paraId="2272F334" w14:textId="3E7AA044" w:rsidR="0045122E" w:rsidRPr="0045122E" w:rsidRDefault="0045122E" w:rsidP="00ED5B14">
      <w:pPr>
        <w:pStyle w:val="Heading4"/>
      </w:pPr>
      <w:bookmarkStart w:id="75" w:name="_Toc221186095"/>
      <w:r w:rsidRPr="0045122E">
        <w:rPr>
          <w:rStyle w:val="Strong"/>
          <w:b/>
        </w:rPr>
        <w:t>SSCE Criterion 4</w:t>
      </w:r>
      <w:r w:rsidR="007A0A06">
        <w:rPr>
          <w:rStyle w:val="Strong"/>
          <w:b/>
        </w:rPr>
        <w:t>: Reflection on Civic Knowledge and Skills</w:t>
      </w:r>
      <w:bookmarkEnd w:id="75"/>
    </w:p>
    <w:p w14:paraId="2EE8D27B" w14:textId="74EA80E9"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000D1917" w:rsidRPr="000D1917">
        <w:rPr>
          <w:rFonts w:ascii="Arial" w:hAnsi="Arial" w:cs="Arial"/>
        </w:rPr>
        <w:t>Reflective writing or multimedia projects that assess personal growth in civic knowledge, skills, and dispositions resulting from service-learning activities.</w:t>
      </w:r>
    </w:p>
    <w:p w14:paraId="34DF8230" w14:textId="77777777"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Evidence from Cohort 2:</w:t>
      </w:r>
    </w:p>
    <w:p w14:paraId="58EAA2C7" w14:textId="732B69AD" w:rsidR="001A7B26" w:rsidRDefault="00770F98" w:rsidP="009A4AB5">
      <w:pPr>
        <w:pStyle w:val="NormalWeb"/>
        <w:numPr>
          <w:ilvl w:val="0"/>
          <w:numId w:val="32"/>
        </w:numPr>
        <w:spacing w:before="0" w:beforeAutospacing="0" w:after="240" w:afterAutospacing="0"/>
        <w:rPr>
          <w:rFonts w:ascii="Arial" w:hAnsi="Arial" w:cs="Arial"/>
        </w:rPr>
      </w:pPr>
      <w:r>
        <w:rPr>
          <w:rFonts w:ascii="Arial" w:hAnsi="Arial" w:cs="Arial"/>
        </w:rPr>
        <w:t>Nine</w:t>
      </w:r>
      <w:r w:rsidR="001A7B26" w:rsidRPr="001A7B26">
        <w:rPr>
          <w:rFonts w:ascii="Arial" w:hAnsi="Arial" w:cs="Arial"/>
        </w:rPr>
        <w:t xml:space="preserve"> of the eleven Cohort 2 LEAs explicitly described structured reflection activities (</w:t>
      </w:r>
      <w:r w:rsidR="00D948E4">
        <w:rPr>
          <w:rFonts w:ascii="Arial" w:hAnsi="Arial" w:cs="Arial"/>
        </w:rPr>
        <w:t>e.g.,</w:t>
      </w:r>
      <w:r w:rsidR="001A7B26" w:rsidRPr="001A7B26">
        <w:rPr>
          <w:rFonts w:ascii="Arial" w:hAnsi="Arial" w:cs="Arial"/>
        </w:rPr>
        <w:t xml:space="preserve"> written reflections, guided prompts, or facilitated debriefs) as required components of SSCE-aligned </w:t>
      </w:r>
      <w:r w:rsidR="001123A1">
        <w:rPr>
          <w:rFonts w:ascii="Arial" w:hAnsi="Arial" w:cs="Arial"/>
        </w:rPr>
        <w:t>service-learning</w:t>
      </w:r>
      <w:r w:rsidR="001A7B26" w:rsidRPr="001A7B26">
        <w:rPr>
          <w:rFonts w:ascii="Arial" w:hAnsi="Arial" w:cs="Arial"/>
        </w:rPr>
        <w:t>.</w:t>
      </w:r>
    </w:p>
    <w:p w14:paraId="7D924C8B" w14:textId="17ADDEEC" w:rsidR="0045122E" w:rsidRPr="0045122E" w:rsidRDefault="0045122E" w:rsidP="009A4AB5">
      <w:pPr>
        <w:pStyle w:val="NormalWeb"/>
        <w:numPr>
          <w:ilvl w:val="0"/>
          <w:numId w:val="32"/>
        </w:numPr>
        <w:spacing w:before="0" w:beforeAutospacing="0" w:after="240" w:afterAutospacing="0"/>
        <w:rPr>
          <w:rFonts w:ascii="Arial" w:hAnsi="Arial" w:cs="Arial"/>
        </w:rPr>
      </w:pPr>
      <w:r w:rsidRPr="0045122E">
        <w:rPr>
          <w:rFonts w:ascii="Arial" w:hAnsi="Arial" w:cs="Arial"/>
        </w:rPr>
        <w:t xml:space="preserve">Riverside USD, Chaffey </w:t>
      </w:r>
      <w:r w:rsidR="00770F98">
        <w:rPr>
          <w:rFonts w:ascii="Arial" w:hAnsi="Arial" w:cs="Arial"/>
        </w:rPr>
        <w:t>Joint Union High School District</w:t>
      </w:r>
      <w:r w:rsidRPr="0045122E">
        <w:rPr>
          <w:rFonts w:ascii="Arial" w:hAnsi="Arial" w:cs="Arial"/>
        </w:rPr>
        <w:t xml:space="preserve">, and Latitude 37.8 High supported </w:t>
      </w:r>
      <w:r w:rsidRPr="00D948E4">
        <w:rPr>
          <w:rStyle w:val="Strong"/>
          <w:rFonts w:ascii="Arial" w:hAnsi="Arial" w:cs="Arial"/>
          <w:b w:val="0"/>
          <w:bCs w:val="0"/>
        </w:rPr>
        <w:t xml:space="preserve">digital portfolio </w:t>
      </w:r>
      <w:r w:rsidRPr="0038475C">
        <w:rPr>
          <w:rStyle w:val="Strong"/>
          <w:rFonts w:ascii="Arial" w:hAnsi="Arial" w:cs="Arial"/>
          <w:b w:val="0"/>
          <w:bCs w:val="0"/>
        </w:rPr>
        <w:t>systems</w:t>
      </w:r>
      <w:r w:rsidRPr="0045122E">
        <w:rPr>
          <w:rFonts w:ascii="Arial" w:hAnsi="Arial" w:cs="Arial"/>
        </w:rPr>
        <w:t xml:space="preserve"> that allow students to document and reflect on their civic journeys.</w:t>
      </w:r>
    </w:p>
    <w:p w14:paraId="708F59EB" w14:textId="77777777" w:rsidR="0045122E" w:rsidRPr="0045122E" w:rsidRDefault="0045122E" w:rsidP="009A4AB5">
      <w:pPr>
        <w:pStyle w:val="NormalWeb"/>
        <w:numPr>
          <w:ilvl w:val="0"/>
          <w:numId w:val="32"/>
        </w:numPr>
        <w:spacing w:before="0" w:beforeAutospacing="0" w:after="240" w:afterAutospacing="0"/>
        <w:rPr>
          <w:rFonts w:ascii="Arial" w:hAnsi="Arial" w:cs="Arial"/>
        </w:rPr>
      </w:pPr>
      <w:r w:rsidRPr="0045122E">
        <w:rPr>
          <w:rFonts w:ascii="Arial" w:hAnsi="Arial" w:cs="Arial"/>
        </w:rPr>
        <w:t xml:space="preserve">Pajaro Valley USD provided </w:t>
      </w:r>
      <w:r w:rsidRPr="00D948E4">
        <w:rPr>
          <w:rStyle w:val="Strong"/>
          <w:rFonts w:ascii="Arial" w:hAnsi="Arial" w:cs="Arial"/>
          <w:b w:val="0"/>
          <w:bCs w:val="0"/>
        </w:rPr>
        <w:t>rubric-aligned tools and</w:t>
      </w:r>
      <w:r w:rsidRPr="0045122E">
        <w:rPr>
          <w:rStyle w:val="Strong"/>
          <w:rFonts w:ascii="Arial" w:hAnsi="Arial" w:cs="Arial"/>
        </w:rPr>
        <w:t xml:space="preserve"> </w:t>
      </w:r>
      <w:r w:rsidRPr="00D948E4">
        <w:rPr>
          <w:rStyle w:val="Strong"/>
          <w:rFonts w:ascii="Arial" w:hAnsi="Arial" w:cs="Arial"/>
          <w:b w:val="0"/>
          <w:bCs w:val="0"/>
        </w:rPr>
        <w:t>coaching</w:t>
      </w:r>
      <w:r w:rsidRPr="0045122E">
        <w:rPr>
          <w:rFonts w:ascii="Arial" w:hAnsi="Arial" w:cs="Arial"/>
        </w:rPr>
        <w:t xml:space="preserve"> to guide student reflection.</w:t>
      </w:r>
    </w:p>
    <w:p w14:paraId="46797C17" w14:textId="2C86FE2A" w:rsidR="0045122E" w:rsidRPr="0045122E" w:rsidRDefault="0045122E" w:rsidP="009A4AB5">
      <w:pPr>
        <w:pStyle w:val="NormalWeb"/>
        <w:numPr>
          <w:ilvl w:val="0"/>
          <w:numId w:val="32"/>
        </w:numPr>
        <w:spacing w:before="0" w:beforeAutospacing="0" w:after="240" w:afterAutospacing="0"/>
        <w:rPr>
          <w:rFonts w:ascii="Arial" w:hAnsi="Arial" w:cs="Arial"/>
        </w:rPr>
      </w:pPr>
      <w:r w:rsidRPr="0045122E">
        <w:rPr>
          <w:rFonts w:ascii="Arial" w:hAnsi="Arial" w:cs="Arial"/>
        </w:rPr>
        <w:t>Several LEAs emphasized the importance of</w:t>
      </w:r>
      <w:r w:rsidRPr="00D948E4">
        <w:rPr>
          <w:rFonts w:ascii="Arial" w:hAnsi="Arial" w:cs="Arial"/>
        </w:rPr>
        <w:t xml:space="preserve"> </w:t>
      </w:r>
      <w:r w:rsidRPr="00D948E4">
        <w:rPr>
          <w:rStyle w:val="Strong"/>
          <w:rFonts w:ascii="Arial" w:hAnsi="Arial" w:cs="Arial"/>
          <w:b w:val="0"/>
          <w:bCs w:val="0"/>
        </w:rPr>
        <w:t>structured reflection as part of</w:t>
      </w:r>
      <w:r w:rsidRPr="00D948E4">
        <w:rPr>
          <w:rStyle w:val="Strong"/>
          <w:rFonts w:ascii="Arial" w:hAnsi="Arial" w:cs="Arial"/>
        </w:rPr>
        <w:t xml:space="preserve"> </w:t>
      </w:r>
      <w:r w:rsidRPr="00D948E4">
        <w:rPr>
          <w:rStyle w:val="Strong"/>
          <w:rFonts w:ascii="Arial" w:hAnsi="Arial" w:cs="Arial"/>
          <w:b w:val="0"/>
          <w:bCs w:val="0"/>
        </w:rPr>
        <w:t>SSCE evidence gathering</w:t>
      </w:r>
      <w:r w:rsidRPr="0045122E">
        <w:rPr>
          <w:rFonts w:ascii="Arial" w:hAnsi="Arial" w:cs="Arial"/>
        </w:rPr>
        <w:t xml:space="preserve"> even in early implementation stages.</w:t>
      </w:r>
    </w:p>
    <w:p w14:paraId="3D9A519A" w14:textId="51D149C1"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Outcome Trend:</w:t>
      </w:r>
      <w:r w:rsidR="009A4AB5">
        <w:rPr>
          <w:rFonts w:ascii="Arial" w:hAnsi="Arial" w:cs="Arial"/>
        </w:rPr>
        <w:t xml:space="preserve"> </w:t>
      </w:r>
      <w:r w:rsidR="001A7B26" w:rsidRPr="001A7B26">
        <w:rPr>
          <w:rFonts w:ascii="Arial" w:hAnsi="Arial" w:cs="Arial"/>
        </w:rPr>
        <w:t xml:space="preserve">Reflection is increasingly embedded as an intentional practice </w:t>
      </w:r>
      <w:r w:rsidR="002D35FC">
        <w:rPr>
          <w:rFonts w:ascii="Arial" w:hAnsi="Arial" w:cs="Arial"/>
        </w:rPr>
        <w:t>in all</w:t>
      </w:r>
      <w:r w:rsidR="001A7B26" w:rsidRPr="001A7B26">
        <w:rPr>
          <w:rFonts w:ascii="Arial" w:hAnsi="Arial" w:cs="Arial"/>
        </w:rPr>
        <w:t xml:space="preserve"> Cohort 2 grantees, though it is more systematically documented in some LEAs than others. Most LEAs reported that structured reflection deepened student understanding of community issues and their own civic roles even where formal rubrics or quantitative measures of civic dispositions</w:t>
      </w:r>
      <w:r w:rsidR="002C2FE7">
        <w:rPr>
          <w:rFonts w:ascii="Arial" w:hAnsi="Arial" w:cs="Arial"/>
        </w:rPr>
        <w:t xml:space="preserve"> </w:t>
      </w:r>
      <w:r w:rsidR="001A7B26" w:rsidRPr="001A7B26">
        <w:rPr>
          <w:rFonts w:ascii="Arial" w:hAnsi="Arial" w:cs="Arial"/>
        </w:rPr>
        <w:t>were still in development.</w:t>
      </w:r>
    </w:p>
    <w:p w14:paraId="063A4FC2" w14:textId="764BD6E8" w:rsidR="0045122E" w:rsidRPr="0045122E" w:rsidRDefault="0045122E" w:rsidP="00ED5B14">
      <w:pPr>
        <w:pStyle w:val="Heading4"/>
      </w:pPr>
      <w:bookmarkStart w:id="76" w:name="_Toc221186096"/>
      <w:r w:rsidRPr="0045122E">
        <w:rPr>
          <w:rStyle w:val="Strong"/>
          <w:b/>
        </w:rPr>
        <w:lastRenderedPageBreak/>
        <w:t>SSCE Criterion 5</w:t>
      </w:r>
      <w:r w:rsidR="002C2FE7">
        <w:rPr>
          <w:rStyle w:val="Strong"/>
          <w:b/>
        </w:rPr>
        <w:t>: Civic-Minded Character Traits</w:t>
      </w:r>
      <w:bookmarkEnd w:id="76"/>
    </w:p>
    <w:p w14:paraId="061272BD" w14:textId="00AD8D2F"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001A7B26" w:rsidRPr="001A7B26">
        <w:rPr>
          <w:rFonts w:ascii="Arial" w:hAnsi="Arial" w:cs="Arial"/>
        </w:rPr>
        <w:t>Demonstration of traits such as responsibility, respect, and commitment through teacher evaluations, peer reviews, or community partner feedback.</w:t>
      </w:r>
    </w:p>
    <w:p w14:paraId="0CC8650D" w14:textId="77777777"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Evidence from Cohort 2:</w:t>
      </w:r>
    </w:p>
    <w:p w14:paraId="7ED95386" w14:textId="6507494D" w:rsidR="0045122E" w:rsidRPr="0045122E" w:rsidRDefault="0045122E" w:rsidP="009A4AB5">
      <w:pPr>
        <w:pStyle w:val="NormalWeb"/>
        <w:numPr>
          <w:ilvl w:val="0"/>
          <w:numId w:val="33"/>
        </w:numPr>
        <w:spacing w:before="0" w:beforeAutospacing="0" w:after="240" w:afterAutospacing="0"/>
        <w:rPr>
          <w:rFonts w:ascii="Arial" w:hAnsi="Arial" w:cs="Arial"/>
        </w:rPr>
      </w:pPr>
      <w:r w:rsidRPr="0045122E">
        <w:rPr>
          <w:rFonts w:ascii="Arial" w:hAnsi="Arial" w:cs="Arial"/>
        </w:rPr>
        <w:t>Jurupa and San Diego USD</w:t>
      </w:r>
      <w:r w:rsidR="00B04A0A">
        <w:rPr>
          <w:rFonts w:ascii="Arial" w:hAnsi="Arial" w:cs="Arial"/>
        </w:rPr>
        <w:t>s</w:t>
      </w:r>
      <w:r w:rsidRPr="0045122E">
        <w:rPr>
          <w:rFonts w:ascii="Arial" w:hAnsi="Arial" w:cs="Arial"/>
        </w:rPr>
        <w:t xml:space="preserve"> reported </w:t>
      </w:r>
      <w:r w:rsidRPr="002C2FE7">
        <w:rPr>
          <w:rStyle w:val="Strong"/>
          <w:rFonts w:ascii="Arial" w:hAnsi="Arial" w:cs="Arial"/>
          <w:b w:val="0"/>
          <w:bCs w:val="0"/>
        </w:rPr>
        <w:t>collaborative group projects</w:t>
      </w:r>
      <w:r w:rsidRPr="0045122E">
        <w:rPr>
          <w:rFonts w:ascii="Arial" w:hAnsi="Arial" w:cs="Arial"/>
        </w:rPr>
        <w:t xml:space="preserve"> addressing school safety, mental health, and environmental equity.</w:t>
      </w:r>
    </w:p>
    <w:p w14:paraId="72663789" w14:textId="1FE67BB4" w:rsidR="0045122E" w:rsidRPr="0045122E" w:rsidRDefault="0045122E" w:rsidP="009A4AB5">
      <w:pPr>
        <w:pStyle w:val="NormalWeb"/>
        <w:numPr>
          <w:ilvl w:val="0"/>
          <w:numId w:val="33"/>
        </w:numPr>
        <w:spacing w:before="0" w:beforeAutospacing="0" w:after="240" w:afterAutospacing="0"/>
        <w:rPr>
          <w:rFonts w:ascii="Arial" w:hAnsi="Arial" w:cs="Arial"/>
        </w:rPr>
      </w:pPr>
      <w:r w:rsidRPr="0045122E">
        <w:rPr>
          <w:rFonts w:ascii="Arial" w:hAnsi="Arial" w:cs="Arial"/>
        </w:rPr>
        <w:t xml:space="preserve">Environmental Charter </w:t>
      </w:r>
      <w:r w:rsidR="002C2FE7">
        <w:rPr>
          <w:rFonts w:ascii="Arial" w:hAnsi="Arial" w:cs="Arial"/>
        </w:rPr>
        <w:t>High School</w:t>
      </w:r>
      <w:r w:rsidR="002068BD">
        <w:rPr>
          <w:rFonts w:ascii="Arial" w:hAnsi="Arial" w:cs="Arial"/>
        </w:rPr>
        <w:t>—Lawndale</w:t>
      </w:r>
      <w:r w:rsidRPr="0045122E">
        <w:rPr>
          <w:rFonts w:ascii="Arial" w:hAnsi="Arial" w:cs="Arial"/>
        </w:rPr>
        <w:t xml:space="preserve"> and Sacramento City USD supported </w:t>
      </w:r>
      <w:r w:rsidRPr="002C2FE7">
        <w:rPr>
          <w:rStyle w:val="Strong"/>
          <w:rFonts w:ascii="Arial" w:hAnsi="Arial" w:cs="Arial"/>
          <w:b w:val="0"/>
          <w:bCs w:val="0"/>
        </w:rPr>
        <w:t>public forums and showcases</w:t>
      </w:r>
      <w:r w:rsidRPr="002C2FE7">
        <w:rPr>
          <w:rFonts w:ascii="Arial" w:hAnsi="Arial" w:cs="Arial"/>
          <w:b/>
          <w:bCs/>
        </w:rPr>
        <w:t xml:space="preserve"> </w:t>
      </w:r>
      <w:r w:rsidRPr="0045122E">
        <w:rPr>
          <w:rFonts w:ascii="Arial" w:hAnsi="Arial" w:cs="Arial"/>
        </w:rPr>
        <w:t>where students presented ideas to local stakeholders.</w:t>
      </w:r>
    </w:p>
    <w:p w14:paraId="566D6659" w14:textId="63940728" w:rsidR="0045122E" w:rsidRDefault="0045122E" w:rsidP="009A4AB5">
      <w:pPr>
        <w:pStyle w:val="NormalWeb"/>
        <w:numPr>
          <w:ilvl w:val="0"/>
          <w:numId w:val="33"/>
        </w:numPr>
        <w:spacing w:before="0" w:beforeAutospacing="0" w:after="240" w:afterAutospacing="0"/>
        <w:rPr>
          <w:rFonts w:ascii="Arial" w:hAnsi="Arial" w:cs="Arial"/>
        </w:rPr>
      </w:pPr>
      <w:r w:rsidRPr="0045122E">
        <w:rPr>
          <w:rFonts w:ascii="Arial" w:hAnsi="Arial" w:cs="Arial"/>
        </w:rPr>
        <w:t xml:space="preserve">Tulare COE promoted student leadership through </w:t>
      </w:r>
      <w:r w:rsidRPr="002C2FE7">
        <w:rPr>
          <w:rStyle w:val="Strong"/>
          <w:rFonts w:ascii="Arial" w:hAnsi="Arial" w:cs="Arial"/>
          <w:b w:val="0"/>
          <w:bCs w:val="0"/>
        </w:rPr>
        <w:t>summits and policy presentations</w:t>
      </w:r>
      <w:r w:rsidRPr="0045122E">
        <w:rPr>
          <w:rFonts w:ascii="Arial" w:hAnsi="Arial" w:cs="Arial"/>
        </w:rPr>
        <w:t xml:space="preserve"> targeting rural youth.</w:t>
      </w:r>
    </w:p>
    <w:p w14:paraId="7495D108" w14:textId="0DA5695F" w:rsidR="00843782" w:rsidRPr="0045122E" w:rsidRDefault="002068BD" w:rsidP="009A4AB5">
      <w:pPr>
        <w:pStyle w:val="NormalWeb"/>
        <w:numPr>
          <w:ilvl w:val="0"/>
          <w:numId w:val="33"/>
        </w:numPr>
        <w:spacing w:before="0" w:beforeAutospacing="0" w:after="240" w:afterAutospacing="0"/>
        <w:rPr>
          <w:rFonts w:ascii="Arial" w:hAnsi="Arial" w:cs="Arial"/>
        </w:rPr>
      </w:pPr>
      <w:r>
        <w:rPr>
          <w:rFonts w:ascii="Arial" w:hAnsi="Arial" w:cs="Arial"/>
        </w:rPr>
        <w:t xml:space="preserve">Several </w:t>
      </w:r>
      <w:r w:rsidR="00843782" w:rsidRPr="00843782">
        <w:rPr>
          <w:rFonts w:ascii="Arial" w:hAnsi="Arial" w:cs="Arial"/>
        </w:rPr>
        <w:t xml:space="preserve">grantees explicitly linked </w:t>
      </w:r>
      <w:r w:rsidR="001123A1">
        <w:rPr>
          <w:rFonts w:ascii="Arial" w:hAnsi="Arial" w:cs="Arial"/>
        </w:rPr>
        <w:t>service-learning</w:t>
      </w:r>
      <w:r w:rsidR="00843782" w:rsidRPr="00843782">
        <w:rPr>
          <w:rFonts w:ascii="Arial" w:hAnsi="Arial" w:cs="Arial"/>
        </w:rPr>
        <w:t xml:space="preserve"> and SSCE work to broader district initiatives around equity, school climate, and social</w:t>
      </w:r>
      <w:r w:rsidR="00B04A0A">
        <w:rPr>
          <w:rFonts w:ascii="Arial" w:hAnsi="Arial" w:cs="Arial"/>
        </w:rPr>
        <w:t>–</w:t>
      </w:r>
      <w:r w:rsidR="00843782" w:rsidRPr="00843782">
        <w:rPr>
          <w:rFonts w:ascii="Arial" w:hAnsi="Arial" w:cs="Arial"/>
        </w:rPr>
        <w:t xml:space="preserve">emotional learning, </w:t>
      </w:r>
      <w:r w:rsidR="00B04A0A">
        <w:rPr>
          <w:rFonts w:ascii="Arial" w:hAnsi="Arial" w:cs="Arial"/>
        </w:rPr>
        <w:t xml:space="preserve">which </w:t>
      </w:r>
      <w:r w:rsidR="00843782" w:rsidRPr="00843782">
        <w:rPr>
          <w:rFonts w:ascii="Arial" w:hAnsi="Arial" w:cs="Arial"/>
        </w:rPr>
        <w:t>fram</w:t>
      </w:r>
      <w:r w:rsidR="00B04A0A">
        <w:rPr>
          <w:rFonts w:ascii="Arial" w:hAnsi="Arial" w:cs="Arial"/>
        </w:rPr>
        <w:t>es</w:t>
      </w:r>
      <w:r w:rsidR="00843782" w:rsidRPr="00843782">
        <w:rPr>
          <w:rFonts w:ascii="Arial" w:hAnsi="Arial" w:cs="Arial"/>
        </w:rPr>
        <w:t xml:space="preserve"> civic-minded character traits as integral to college, career, and community readiness.</w:t>
      </w:r>
    </w:p>
    <w:p w14:paraId="3DFC4D9B" w14:textId="22CDFD92" w:rsidR="0045122E" w:rsidRPr="0045122E" w:rsidRDefault="0045122E" w:rsidP="009A4AB5">
      <w:pPr>
        <w:pStyle w:val="NormalWeb"/>
        <w:spacing w:before="0" w:beforeAutospacing="0" w:after="240" w:afterAutospacing="0"/>
        <w:rPr>
          <w:rFonts w:ascii="Arial" w:hAnsi="Arial" w:cs="Arial"/>
        </w:rPr>
      </w:pPr>
      <w:r w:rsidRPr="0045122E">
        <w:rPr>
          <w:rStyle w:val="Strong"/>
          <w:rFonts w:ascii="Arial" w:hAnsi="Arial" w:cs="Arial"/>
        </w:rPr>
        <w:t>Outcome Trend:</w:t>
      </w:r>
      <w:r w:rsidR="009A4AB5">
        <w:rPr>
          <w:rFonts w:ascii="Arial" w:hAnsi="Arial" w:cs="Arial"/>
        </w:rPr>
        <w:t xml:space="preserve"> </w:t>
      </w:r>
      <w:r w:rsidR="00AB7C01">
        <w:rPr>
          <w:rFonts w:ascii="Arial" w:hAnsi="Arial" w:cs="Arial"/>
        </w:rPr>
        <w:t xml:space="preserve">Reports indicate that </w:t>
      </w:r>
      <w:r w:rsidR="00843782" w:rsidRPr="00843782">
        <w:rPr>
          <w:rFonts w:ascii="Arial" w:hAnsi="Arial" w:cs="Arial"/>
        </w:rPr>
        <w:t xml:space="preserve">SSCE-aligned </w:t>
      </w:r>
      <w:r w:rsidR="001123A1">
        <w:rPr>
          <w:rFonts w:ascii="Arial" w:hAnsi="Arial" w:cs="Arial"/>
        </w:rPr>
        <w:t>service-learning</w:t>
      </w:r>
      <w:r w:rsidR="00843782" w:rsidRPr="00843782">
        <w:rPr>
          <w:rFonts w:ascii="Arial" w:hAnsi="Arial" w:cs="Arial"/>
        </w:rPr>
        <w:t xml:space="preserve"> is contributing to the development of civic-minded character traits, especially leadership, collaboration, and empathy. While measurement remains primarily qualitative, teacher and partner feedback indicates that students are increasingly seen as civic</w:t>
      </w:r>
      <w:r w:rsidR="00AB7C01">
        <w:rPr>
          <w:rFonts w:ascii="Arial" w:hAnsi="Arial" w:cs="Arial"/>
        </w:rPr>
        <w:t xml:space="preserve">ally engaged </w:t>
      </w:r>
      <w:r w:rsidR="00843782" w:rsidRPr="00843782">
        <w:rPr>
          <w:rFonts w:ascii="Arial" w:hAnsi="Arial" w:cs="Arial"/>
        </w:rPr>
        <w:t xml:space="preserve">in their schools and communities. </w:t>
      </w:r>
    </w:p>
    <w:p w14:paraId="14C75724" w14:textId="68886B40" w:rsidR="00BA5626" w:rsidRPr="00F52C87" w:rsidRDefault="0056043B" w:rsidP="00ED5B14">
      <w:pPr>
        <w:pStyle w:val="Heading3"/>
        <w:rPr>
          <w:rStyle w:val="Strong"/>
          <w:sz w:val="24"/>
          <w:szCs w:val="26"/>
        </w:rPr>
      </w:pPr>
      <w:r>
        <w:rPr>
          <w:rStyle w:val="Strong"/>
          <w:b/>
          <w:bCs/>
        </w:rPr>
        <w:t>Cohort 2 Findings</w:t>
      </w:r>
    </w:p>
    <w:p w14:paraId="3E66CA8F" w14:textId="053569D3" w:rsidR="00BA5626" w:rsidRPr="00F52C87" w:rsidRDefault="00AB7C01" w:rsidP="00F52C87">
      <w:pPr>
        <w:pStyle w:val="Body"/>
        <w:rPr>
          <w:rStyle w:val="Strong"/>
          <w:b w:val="0"/>
        </w:rPr>
      </w:pPr>
      <w:r w:rsidRPr="0301B154">
        <w:rPr>
          <w:rStyle w:val="Strong"/>
          <w:b w:val="0"/>
        </w:rPr>
        <w:t>Cohort 2 grantees demonstrate</w:t>
      </w:r>
      <w:r w:rsidR="00BA5626" w:rsidRPr="0301B154">
        <w:rPr>
          <w:rStyle w:val="Strong"/>
          <w:b w:val="0"/>
        </w:rPr>
        <w:t xml:space="preserve"> clear alignment with the California Serves program’s statutory purpose</w:t>
      </w:r>
      <w:r w:rsidR="00B7203E" w:rsidRPr="0301B154">
        <w:rPr>
          <w:rStyle w:val="Strong"/>
          <w:b w:val="0"/>
        </w:rPr>
        <w:t xml:space="preserve">. </w:t>
      </w:r>
      <w:r w:rsidR="00BA5626" w:rsidRPr="0301B154">
        <w:rPr>
          <w:rStyle w:val="Strong"/>
          <w:b w:val="0"/>
        </w:rPr>
        <w:t xml:space="preserve">While implementation is earlier in the grant cycle and reporting detail varies across </w:t>
      </w:r>
      <w:r w:rsidR="00B7203E" w:rsidRPr="0301B154">
        <w:rPr>
          <w:rStyle w:val="Strong"/>
          <w:b w:val="0"/>
        </w:rPr>
        <w:t>LEAs</w:t>
      </w:r>
      <w:r w:rsidR="00BA5626" w:rsidRPr="0301B154">
        <w:rPr>
          <w:rStyle w:val="Strong"/>
          <w:b w:val="0"/>
        </w:rPr>
        <w:t>, several consistent patterns emerged across equity, rural access, civic readiness, sustainability, and areas for growth.</w:t>
      </w:r>
    </w:p>
    <w:p w14:paraId="6503DB9F" w14:textId="0AF58DB2" w:rsidR="00BA5626" w:rsidRPr="00C44568" w:rsidRDefault="00BA5626" w:rsidP="00ED5B14">
      <w:pPr>
        <w:pStyle w:val="Heading4"/>
        <w:rPr>
          <w:rStyle w:val="Strong"/>
          <w:b/>
          <w:bCs w:val="0"/>
        </w:rPr>
      </w:pPr>
      <w:bookmarkStart w:id="77" w:name="_Toc221186098"/>
      <w:r w:rsidRPr="00C44568">
        <w:rPr>
          <w:rStyle w:val="Strong"/>
          <w:b/>
          <w:bCs w:val="0"/>
        </w:rPr>
        <w:t>Equity</w:t>
      </w:r>
      <w:bookmarkEnd w:id="77"/>
    </w:p>
    <w:p w14:paraId="7972B3BD" w14:textId="0FA9016E" w:rsidR="00BA5626" w:rsidRPr="00F52C87" w:rsidRDefault="00BA5626" w:rsidP="00F52C87">
      <w:pPr>
        <w:pStyle w:val="Body"/>
        <w:rPr>
          <w:rStyle w:val="Strong"/>
          <w:b w:val="0"/>
          <w:bCs w:val="0"/>
          <w:szCs w:val="26"/>
          <w:lang w:val="en"/>
        </w:rPr>
      </w:pPr>
      <w:r w:rsidRPr="00F52C87">
        <w:rPr>
          <w:rStyle w:val="Strong"/>
          <w:b w:val="0"/>
          <w:bCs w:val="0"/>
          <w:szCs w:val="26"/>
          <w:lang w:val="en"/>
        </w:rPr>
        <w:t>Several grantees</w:t>
      </w:r>
      <w:r w:rsidR="001E620E" w:rsidRPr="00F52C87">
        <w:rPr>
          <w:rStyle w:val="Strong"/>
          <w:b w:val="0"/>
          <w:bCs w:val="0"/>
          <w:szCs w:val="26"/>
          <w:lang w:val="en"/>
        </w:rPr>
        <w:t xml:space="preserve">, including Alameda </w:t>
      </w:r>
      <w:r w:rsidR="001E620E">
        <w:rPr>
          <w:rStyle w:val="Strong"/>
          <w:b w:val="0"/>
          <w:bCs w:val="0"/>
          <w:szCs w:val="26"/>
          <w:lang w:val="en"/>
        </w:rPr>
        <w:t>COE, Jurupa USD, and Riverside USD,</w:t>
      </w:r>
      <w:r w:rsidRPr="00F52C87">
        <w:rPr>
          <w:rStyle w:val="Strong"/>
          <w:b w:val="0"/>
          <w:bCs w:val="0"/>
          <w:szCs w:val="26"/>
          <w:lang w:val="en"/>
        </w:rPr>
        <w:t xml:space="preserve"> reported participation and SSCE outcomes at meaningful </w:t>
      </w:r>
      <w:r w:rsidR="00E40272">
        <w:rPr>
          <w:rStyle w:val="Strong"/>
          <w:b w:val="0"/>
          <w:bCs w:val="0"/>
          <w:szCs w:val="26"/>
          <w:lang w:val="en"/>
        </w:rPr>
        <w:t>levels</w:t>
      </w:r>
      <w:r w:rsidR="00EF4951">
        <w:rPr>
          <w:rStyle w:val="Strong"/>
          <w:b w:val="0"/>
          <w:bCs w:val="0"/>
          <w:szCs w:val="26"/>
          <w:lang w:val="en"/>
        </w:rPr>
        <w:t>.</w:t>
      </w:r>
    </w:p>
    <w:p w14:paraId="32921973" w14:textId="4BFD1874" w:rsidR="00BA5626" w:rsidRPr="00F52C87" w:rsidRDefault="00BA5626" w:rsidP="00F52C87">
      <w:pPr>
        <w:pStyle w:val="Body"/>
        <w:rPr>
          <w:rStyle w:val="Strong"/>
          <w:b w:val="0"/>
          <w:bCs w:val="0"/>
          <w:szCs w:val="26"/>
          <w:lang w:val="en"/>
        </w:rPr>
      </w:pPr>
      <w:proofErr w:type="gramStart"/>
      <w:r w:rsidRPr="00F52C87">
        <w:rPr>
          <w:rStyle w:val="Strong"/>
          <w:b w:val="0"/>
          <w:bCs w:val="0"/>
          <w:szCs w:val="26"/>
          <w:lang w:val="en"/>
        </w:rPr>
        <w:t>Across</w:t>
      </w:r>
      <w:proofErr w:type="gramEnd"/>
      <w:r w:rsidRPr="00F52C87">
        <w:rPr>
          <w:rStyle w:val="Strong"/>
          <w:b w:val="0"/>
          <w:bCs w:val="0"/>
          <w:szCs w:val="26"/>
          <w:lang w:val="en"/>
        </w:rPr>
        <w:t xml:space="preserve"> reports, equity was reflected both in who was served and in how service-learning pathways were structured. </w:t>
      </w:r>
      <w:r w:rsidR="00EF4951">
        <w:rPr>
          <w:rStyle w:val="Strong"/>
          <w:b w:val="0"/>
          <w:bCs w:val="0"/>
          <w:szCs w:val="26"/>
          <w:lang w:val="en"/>
        </w:rPr>
        <w:t>COE</w:t>
      </w:r>
      <w:r w:rsidRPr="00F52C87">
        <w:rPr>
          <w:rStyle w:val="Strong"/>
          <w:b w:val="0"/>
          <w:bCs w:val="0"/>
          <w:szCs w:val="26"/>
          <w:lang w:val="en"/>
        </w:rPr>
        <w:t xml:space="preserve"> models emphasized expanding SSCE access to smaller, rural, and alternative school settings that may not have local civic learning infrastructure. Grantees also described inclusive participation approaches through multilingual </w:t>
      </w:r>
      <w:proofErr w:type="gramStart"/>
      <w:r w:rsidRPr="00F52C87">
        <w:rPr>
          <w:rStyle w:val="Strong"/>
          <w:b w:val="0"/>
          <w:bCs w:val="0"/>
          <w:szCs w:val="26"/>
          <w:lang w:val="en"/>
        </w:rPr>
        <w:t>supports</w:t>
      </w:r>
      <w:proofErr w:type="gramEnd"/>
      <w:r w:rsidRPr="00F52C87">
        <w:rPr>
          <w:rStyle w:val="Strong"/>
          <w:b w:val="0"/>
          <w:bCs w:val="0"/>
          <w:szCs w:val="26"/>
          <w:lang w:val="en"/>
        </w:rPr>
        <w:t xml:space="preserve"> and varied project formats, including individualized coaching and portfolio-based documentation in personalized learning settings.</w:t>
      </w:r>
    </w:p>
    <w:p w14:paraId="211086F7" w14:textId="7CE6278E" w:rsidR="00BA5626" w:rsidRPr="00F52C87" w:rsidRDefault="00BA5626" w:rsidP="00F52C87">
      <w:pPr>
        <w:pStyle w:val="Body"/>
        <w:rPr>
          <w:rStyle w:val="Strong"/>
          <w:b w:val="0"/>
        </w:rPr>
      </w:pPr>
      <w:r w:rsidRPr="0301B154">
        <w:rPr>
          <w:rStyle w:val="Strong"/>
          <w:b w:val="0"/>
        </w:rPr>
        <w:lastRenderedPageBreak/>
        <w:t xml:space="preserve">A continuing equity-related limitation is inconsistent reporting detail across LEAs. </w:t>
      </w:r>
      <w:r w:rsidR="009A0CFE" w:rsidRPr="0301B154">
        <w:rPr>
          <w:rStyle w:val="Strong"/>
          <w:b w:val="0"/>
        </w:rPr>
        <w:t xml:space="preserve">Future use of standardized reporting systems will </w:t>
      </w:r>
      <w:r w:rsidRPr="0301B154">
        <w:rPr>
          <w:rStyle w:val="Strong"/>
          <w:b w:val="0"/>
        </w:rPr>
        <w:t>improve statewide comparability and support more precise equity analysis over time.</w:t>
      </w:r>
    </w:p>
    <w:p w14:paraId="02DEB548" w14:textId="5F562DB3" w:rsidR="00BA5626" w:rsidRPr="00C44568" w:rsidRDefault="00BA5626" w:rsidP="001E620E">
      <w:pPr>
        <w:pStyle w:val="Heading4"/>
        <w:rPr>
          <w:rStyle w:val="Strong"/>
          <w:b/>
          <w:bCs w:val="0"/>
        </w:rPr>
      </w:pPr>
      <w:bookmarkStart w:id="78" w:name="_Toc221186099"/>
      <w:r w:rsidRPr="00C44568">
        <w:rPr>
          <w:rStyle w:val="Strong"/>
          <w:b/>
          <w:bCs w:val="0"/>
        </w:rPr>
        <w:t>Rural Access</w:t>
      </w:r>
      <w:bookmarkEnd w:id="78"/>
    </w:p>
    <w:p w14:paraId="2403DDB2" w14:textId="4768B1DE" w:rsidR="00BA5626" w:rsidRPr="00F52C87" w:rsidRDefault="00BA5626" w:rsidP="00F52C87">
      <w:pPr>
        <w:pStyle w:val="Body"/>
        <w:rPr>
          <w:rStyle w:val="Strong"/>
          <w:b w:val="0"/>
          <w:bCs w:val="0"/>
          <w:szCs w:val="26"/>
          <w:lang w:val="en"/>
        </w:rPr>
      </w:pPr>
      <w:r w:rsidRPr="00F52C87">
        <w:rPr>
          <w:rStyle w:val="Strong"/>
          <w:b w:val="0"/>
          <w:bCs w:val="0"/>
          <w:szCs w:val="26"/>
          <w:lang w:val="en"/>
        </w:rPr>
        <w:t xml:space="preserve">Cohort 2 implementation highlights the critical role of </w:t>
      </w:r>
      <w:r w:rsidR="00AA2022">
        <w:rPr>
          <w:rStyle w:val="Strong"/>
          <w:b w:val="0"/>
          <w:bCs w:val="0"/>
          <w:szCs w:val="26"/>
          <w:lang w:val="en"/>
        </w:rPr>
        <w:t>COEs</w:t>
      </w:r>
      <w:r w:rsidRPr="00F52C87">
        <w:rPr>
          <w:rStyle w:val="Strong"/>
          <w:b w:val="0"/>
          <w:bCs w:val="0"/>
          <w:szCs w:val="26"/>
          <w:lang w:val="en"/>
        </w:rPr>
        <w:t xml:space="preserve"> in expanding rural access to SSCE-aligned </w:t>
      </w:r>
      <w:r w:rsidR="001123A1">
        <w:rPr>
          <w:rStyle w:val="Strong"/>
          <w:b w:val="0"/>
          <w:bCs w:val="0"/>
          <w:szCs w:val="26"/>
          <w:lang w:val="en"/>
        </w:rPr>
        <w:t>service-learning</w:t>
      </w:r>
      <w:r w:rsidRPr="00F52C87">
        <w:rPr>
          <w:rStyle w:val="Strong"/>
          <w:b w:val="0"/>
          <w:bCs w:val="0"/>
          <w:szCs w:val="26"/>
          <w:lang w:val="en"/>
        </w:rPr>
        <w:t xml:space="preserve">. </w:t>
      </w:r>
      <w:r w:rsidR="00AA2022">
        <w:rPr>
          <w:rStyle w:val="Strong"/>
          <w:b w:val="0"/>
          <w:bCs w:val="0"/>
          <w:szCs w:val="26"/>
          <w:lang w:val="en"/>
        </w:rPr>
        <w:t>COE</w:t>
      </w:r>
      <w:r w:rsidRPr="00F52C87">
        <w:rPr>
          <w:rStyle w:val="Strong"/>
          <w:b w:val="0"/>
          <w:bCs w:val="0"/>
          <w:szCs w:val="26"/>
          <w:lang w:val="en"/>
        </w:rPr>
        <w:t xml:space="preserve"> models served as regional hubs</w:t>
      </w:r>
      <w:r w:rsidR="001E620E">
        <w:rPr>
          <w:rStyle w:val="Strong"/>
          <w:b w:val="0"/>
          <w:bCs w:val="0"/>
          <w:szCs w:val="26"/>
          <w:lang w:val="en"/>
        </w:rPr>
        <w:t xml:space="preserve"> to help</w:t>
      </w:r>
      <w:r w:rsidRPr="00F52C87">
        <w:rPr>
          <w:rStyle w:val="Strong"/>
          <w:b w:val="0"/>
          <w:bCs w:val="0"/>
          <w:szCs w:val="26"/>
          <w:lang w:val="en"/>
        </w:rPr>
        <w:t xml:space="preserve"> reduce barriers for districts that may lack staffing capacity, existing SSCE infrastructure, or access to sustained professional learning. In Tulare </w:t>
      </w:r>
      <w:r w:rsidR="00AA2022">
        <w:rPr>
          <w:rStyle w:val="Strong"/>
          <w:b w:val="0"/>
          <w:bCs w:val="0"/>
          <w:szCs w:val="26"/>
          <w:lang w:val="en"/>
        </w:rPr>
        <w:t>COE</w:t>
      </w:r>
      <w:r w:rsidRPr="00F52C87">
        <w:rPr>
          <w:rStyle w:val="Strong"/>
          <w:b w:val="0"/>
          <w:bCs w:val="0"/>
          <w:szCs w:val="26"/>
          <w:lang w:val="en"/>
        </w:rPr>
        <w:t>, grantee reports specifically emphasized rural youth civic leadership and local government engagement across a consortium model</w:t>
      </w:r>
      <w:r w:rsidR="001E620E">
        <w:rPr>
          <w:rStyle w:val="Strong"/>
          <w:b w:val="0"/>
          <w:bCs w:val="0"/>
          <w:szCs w:val="26"/>
          <w:lang w:val="en"/>
        </w:rPr>
        <w:t xml:space="preserve"> that includes</w:t>
      </w:r>
      <w:r w:rsidRPr="00F52C87">
        <w:rPr>
          <w:rStyle w:val="Strong"/>
          <w:b w:val="0"/>
          <w:bCs w:val="0"/>
          <w:szCs w:val="26"/>
          <w:lang w:val="en"/>
        </w:rPr>
        <w:t xml:space="preserve"> regional professional learning, site-based coordination support, and mentoring structures to help pupils </w:t>
      </w:r>
      <w:r w:rsidR="003E7A16">
        <w:rPr>
          <w:rStyle w:val="Strong"/>
          <w:b w:val="0"/>
          <w:bCs w:val="0"/>
          <w:szCs w:val="26"/>
          <w:lang w:val="en"/>
        </w:rPr>
        <w:t>fulfill</w:t>
      </w:r>
      <w:r w:rsidRPr="00F52C87">
        <w:rPr>
          <w:rStyle w:val="Strong"/>
          <w:b w:val="0"/>
          <w:bCs w:val="0"/>
          <w:szCs w:val="26"/>
          <w:lang w:val="en"/>
        </w:rPr>
        <w:t xml:space="preserve"> SSCE requirements.</w:t>
      </w:r>
    </w:p>
    <w:p w14:paraId="578EFC31" w14:textId="2C59F6D3" w:rsidR="00BA5626" w:rsidRPr="00F52C87" w:rsidRDefault="00BA5626" w:rsidP="00F52C87">
      <w:pPr>
        <w:pStyle w:val="Body"/>
        <w:rPr>
          <w:rStyle w:val="Strong"/>
          <w:b w:val="0"/>
        </w:rPr>
      </w:pPr>
      <w:r w:rsidRPr="73EA1E08">
        <w:rPr>
          <w:rStyle w:val="Strong"/>
          <w:b w:val="0"/>
        </w:rPr>
        <w:t>County-led approaches also supported rural access by developing shared resources and staff development opportunities that can be used across multiple districts and school sites</w:t>
      </w:r>
      <w:r w:rsidR="001E620E">
        <w:rPr>
          <w:rStyle w:val="Strong"/>
          <w:b w:val="0"/>
        </w:rPr>
        <w:t xml:space="preserve"> to reduce</w:t>
      </w:r>
      <w:r w:rsidRPr="73EA1E08">
        <w:rPr>
          <w:rStyle w:val="Strong"/>
          <w:b w:val="0"/>
        </w:rPr>
        <w:t xml:space="preserve"> duplication of effort and increas</w:t>
      </w:r>
      <w:r w:rsidR="001E620E">
        <w:rPr>
          <w:rStyle w:val="Strong"/>
          <w:b w:val="0"/>
        </w:rPr>
        <w:t>e</w:t>
      </w:r>
      <w:r w:rsidRPr="73EA1E08">
        <w:rPr>
          <w:rStyle w:val="Strong"/>
          <w:b w:val="0"/>
        </w:rPr>
        <w:t xml:space="preserve"> implementation consistency. As Cohort 2 expands, continued attention to the practical constraints of geographically </w:t>
      </w:r>
      <w:r w:rsidR="00366180" w:rsidRPr="73EA1E08">
        <w:rPr>
          <w:rStyle w:val="Strong"/>
          <w:b w:val="0"/>
        </w:rPr>
        <w:t>isolated</w:t>
      </w:r>
      <w:r w:rsidRPr="73EA1E08">
        <w:rPr>
          <w:rStyle w:val="Strong"/>
          <w:b w:val="0"/>
        </w:rPr>
        <w:t xml:space="preserve"> implementation (including time, travel, and local capacity) will remain important for maintaining equitable access across rural and small-district contexts.</w:t>
      </w:r>
    </w:p>
    <w:p w14:paraId="48891AC7" w14:textId="132B3D7F" w:rsidR="00BA5626" w:rsidRPr="00C44568" w:rsidRDefault="00BA5626" w:rsidP="00ED5B14">
      <w:pPr>
        <w:pStyle w:val="Heading4"/>
        <w:rPr>
          <w:rStyle w:val="Strong"/>
          <w:b/>
          <w:bCs w:val="0"/>
        </w:rPr>
      </w:pPr>
      <w:bookmarkStart w:id="79" w:name="_Toc221186100"/>
      <w:r w:rsidRPr="00C44568">
        <w:rPr>
          <w:rStyle w:val="Strong"/>
          <w:b/>
          <w:bCs w:val="0"/>
        </w:rPr>
        <w:t>Civic Readiness</w:t>
      </w:r>
      <w:bookmarkEnd w:id="79"/>
    </w:p>
    <w:p w14:paraId="624AC081" w14:textId="4105EB9F" w:rsidR="00BA5626" w:rsidRPr="00F52C87" w:rsidRDefault="005677C1" w:rsidP="00F52C87">
      <w:pPr>
        <w:pStyle w:val="Body"/>
        <w:rPr>
          <w:rStyle w:val="Strong"/>
          <w:b w:val="0"/>
        </w:rPr>
      </w:pPr>
      <w:r w:rsidRPr="73EA1E08">
        <w:rPr>
          <w:rStyle w:val="Strong"/>
          <w:b w:val="0"/>
        </w:rPr>
        <w:t>G</w:t>
      </w:r>
      <w:r w:rsidR="00BA5626" w:rsidRPr="73EA1E08">
        <w:rPr>
          <w:rStyle w:val="Strong"/>
          <w:b w:val="0"/>
        </w:rPr>
        <w:t xml:space="preserve">rantees reported strong evidence that SSCE-aligned </w:t>
      </w:r>
      <w:r w:rsidR="001123A1">
        <w:rPr>
          <w:rStyle w:val="Strong"/>
          <w:b w:val="0"/>
        </w:rPr>
        <w:t>service-learning</w:t>
      </w:r>
      <w:r w:rsidR="00BA5626" w:rsidRPr="73EA1E08">
        <w:rPr>
          <w:rStyle w:val="Strong"/>
          <w:b w:val="0"/>
        </w:rPr>
        <w:t xml:space="preserve"> is cultivating civic readiness through real-world projects, student-led advocacy, and public-facing showcases of learning. Projects and program designs reflected both issue-based civic action (</w:t>
      </w:r>
      <w:r w:rsidR="006903AB" w:rsidRPr="73EA1E08">
        <w:rPr>
          <w:rStyle w:val="Strong"/>
          <w:b w:val="0"/>
        </w:rPr>
        <w:t>e.g.</w:t>
      </w:r>
      <w:r w:rsidR="00BA5626" w:rsidRPr="73EA1E08">
        <w:rPr>
          <w:rStyle w:val="Strong"/>
          <w:b w:val="0"/>
        </w:rPr>
        <w:t xml:space="preserve">, environmental justice, school climate and safety, community journalism, and local governance engagement) and </w:t>
      </w:r>
      <w:proofErr w:type="gramStart"/>
      <w:r w:rsidR="00BA5626" w:rsidRPr="73EA1E08">
        <w:rPr>
          <w:rStyle w:val="Strong"/>
          <w:b w:val="0"/>
        </w:rPr>
        <w:t>systems</w:t>
      </w:r>
      <w:proofErr w:type="gramEnd"/>
      <w:r w:rsidR="00BA5626" w:rsidRPr="73EA1E08">
        <w:rPr>
          <w:rStyle w:val="Strong"/>
          <w:b w:val="0"/>
        </w:rPr>
        <w:t>-level planning to create clearer civic pathways for pupils.</w:t>
      </w:r>
    </w:p>
    <w:p w14:paraId="59ACFA98" w14:textId="4AAF5E46" w:rsidR="00BA5626" w:rsidRPr="00F52C87" w:rsidRDefault="00BA5626" w:rsidP="00F52C87">
      <w:pPr>
        <w:pStyle w:val="Body"/>
        <w:rPr>
          <w:rStyle w:val="Strong"/>
          <w:b w:val="0"/>
          <w:bCs w:val="0"/>
          <w:szCs w:val="26"/>
          <w:lang w:val="en"/>
        </w:rPr>
      </w:pPr>
      <w:r w:rsidRPr="00F52C87">
        <w:rPr>
          <w:rStyle w:val="Strong"/>
          <w:b w:val="0"/>
          <w:bCs w:val="0"/>
          <w:szCs w:val="26"/>
          <w:lang w:val="en"/>
        </w:rPr>
        <w:t>Several LEAs also emphasized structured reflection and portfolio practices that deepen civic identity and help pupils document growth in civic knowledge, skills, and dispositions. In addition, increases in Cohort 2 SSCE insignia requests during the grant-funded year 2024–25 suggest that, where tracking systems are in place, service-learning pathways are translating into measurable SSCE outcomes.</w:t>
      </w:r>
    </w:p>
    <w:p w14:paraId="67D52F41" w14:textId="5880322A" w:rsidR="00BA5626" w:rsidRPr="00C44568" w:rsidRDefault="00BA5626" w:rsidP="00ED5B14">
      <w:pPr>
        <w:pStyle w:val="Heading4"/>
        <w:rPr>
          <w:rStyle w:val="Strong"/>
          <w:b/>
          <w:bCs w:val="0"/>
        </w:rPr>
      </w:pPr>
      <w:bookmarkStart w:id="80" w:name="_Toc221186101"/>
      <w:r w:rsidRPr="00C44568">
        <w:rPr>
          <w:rStyle w:val="Strong"/>
          <w:b/>
          <w:bCs w:val="0"/>
        </w:rPr>
        <w:t>Program Sustainability and Capacity</w:t>
      </w:r>
      <w:r w:rsidR="000822A0">
        <w:rPr>
          <w:rStyle w:val="Strong"/>
          <w:b/>
          <w:bCs w:val="0"/>
        </w:rPr>
        <w:t>-</w:t>
      </w:r>
      <w:r w:rsidRPr="00C44568">
        <w:rPr>
          <w:rStyle w:val="Strong"/>
          <w:b/>
          <w:bCs w:val="0"/>
        </w:rPr>
        <w:t>Building</w:t>
      </w:r>
      <w:bookmarkEnd w:id="80"/>
    </w:p>
    <w:p w14:paraId="481132F8" w14:textId="390898C3" w:rsidR="00BA5626" w:rsidRPr="00F52C87" w:rsidRDefault="00BA5626" w:rsidP="00F52C87">
      <w:pPr>
        <w:pStyle w:val="Body"/>
        <w:rPr>
          <w:rStyle w:val="Strong"/>
          <w:b w:val="0"/>
        </w:rPr>
      </w:pPr>
      <w:r w:rsidRPr="73EA1E08">
        <w:rPr>
          <w:rStyle w:val="Strong"/>
          <w:b w:val="0"/>
        </w:rPr>
        <w:t xml:space="preserve">Cohort 2 </w:t>
      </w:r>
      <w:r w:rsidR="00745ED2" w:rsidRPr="73EA1E08">
        <w:rPr>
          <w:rStyle w:val="Strong"/>
          <w:b w:val="0"/>
        </w:rPr>
        <w:t xml:space="preserve">demonstrates a strong </w:t>
      </w:r>
      <w:r w:rsidRPr="73EA1E08">
        <w:rPr>
          <w:rStyle w:val="Strong"/>
          <w:b w:val="0"/>
        </w:rPr>
        <w:t>emphasis on sustainability through professional learning, curriculum alignment, and the development of shared tools that can be scaled across schools and districts. Several grantees explicitly prioritized building SSCE infrastructure</w:t>
      </w:r>
      <w:r w:rsidR="001530DA">
        <w:rPr>
          <w:rStyle w:val="Strong"/>
          <w:b w:val="0"/>
        </w:rPr>
        <w:t xml:space="preserve"> such as</w:t>
      </w:r>
      <w:r w:rsidRPr="73EA1E08">
        <w:rPr>
          <w:rStyle w:val="Strong"/>
          <w:b w:val="0"/>
        </w:rPr>
        <w:t xml:space="preserve"> common rubrics, reflection prompts, staff guidance, and portfolio systems. Alameda </w:t>
      </w:r>
      <w:r w:rsidR="001E7D89" w:rsidRPr="73EA1E08">
        <w:rPr>
          <w:rStyle w:val="Strong"/>
          <w:b w:val="0"/>
        </w:rPr>
        <w:t>COE</w:t>
      </w:r>
      <w:r w:rsidRPr="73EA1E08">
        <w:rPr>
          <w:rStyle w:val="Strong"/>
          <w:b w:val="0"/>
        </w:rPr>
        <w:t xml:space="preserve"> described a focus on strengthening countywide systems to track pupil progress toward the SSCE across multiple high schools and pathways, while </w:t>
      </w:r>
      <w:r w:rsidRPr="73EA1E08">
        <w:rPr>
          <w:rStyle w:val="Strong"/>
          <w:b w:val="0"/>
        </w:rPr>
        <w:lastRenderedPageBreak/>
        <w:t xml:space="preserve">Riverside </w:t>
      </w:r>
      <w:r w:rsidR="001E7D89" w:rsidRPr="73EA1E08">
        <w:rPr>
          <w:rStyle w:val="Strong"/>
          <w:b w:val="0"/>
        </w:rPr>
        <w:t>USD</w:t>
      </w:r>
      <w:r w:rsidRPr="73EA1E08">
        <w:rPr>
          <w:rStyle w:val="Strong"/>
          <w:b w:val="0"/>
        </w:rPr>
        <w:t xml:space="preserve"> described districtwide investments in systems for identifying eligible pupils and aligning projects with SSCE criteria.</w:t>
      </w:r>
    </w:p>
    <w:p w14:paraId="7C101453" w14:textId="78F14C6F" w:rsidR="00BA5626" w:rsidRPr="00F52C87" w:rsidRDefault="001E7D89" w:rsidP="00F52C87">
      <w:pPr>
        <w:pStyle w:val="Body"/>
        <w:rPr>
          <w:rStyle w:val="Strong"/>
          <w:b w:val="0"/>
          <w:bCs w:val="0"/>
          <w:szCs w:val="26"/>
          <w:lang w:val="en"/>
        </w:rPr>
      </w:pPr>
      <w:r>
        <w:rPr>
          <w:rStyle w:val="Strong"/>
          <w:b w:val="0"/>
          <w:bCs w:val="0"/>
          <w:szCs w:val="26"/>
          <w:lang w:val="en"/>
        </w:rPr>
        <w:t>These</w:t>
      </w:r>
      <w:r w:rsidR="00BA5626" w:rsidRPr="00F52C87">
        <w:rPr>
          <w:rStyle w:val="Strong"/>
          <w:b w:val="0"/>
          <w:bCs w:val="0"/>
          <w:szCs w:val="26"/>
          <w:lang w:val="en"/>
        </w:rPr>
        <w:t xml:space="preserve"> capacity-building strategies support long-term sustainability by reducing reliance on isolated </w:t>
      </w:r>
      <w:r w:rsidR="00377FE6">
        <w:rPr>
          <w:rStyle w:val="Strong"/>
          <w:b w:val="0"/>
          <w:bCs w:val="0"/>
          <w:szCs w:val="26"/>
          <w:lang w:val="en"/>
        </w:rPr>
        <w:t>high-level implementers</w:t>
      </w:r>
      <w:r w:rsidR="00BA5626" w:rsidRPr="00F52C87">
        <w:rPr>
          <w:rStyle w:val="Strong"/>
          <w:b w:val="0"/>
          <w:bCs w:val="0"/>
          <w:szCs w:val="26"/>
          <w:lang w:val="en"/>
        </w:rPr>
        <w:t>, clarifying documentation expectations, and building repeatable implementation practices that can continue beyond the grant term.</w:t>
      </w:r>
    </w:p>
    <w:p w14:paraId="6B22B269" w14:textId="4EDAA9A3" w:rsidR="00BA5626" w:rsidRPr="00C44568" w:rsidRDefault="00BA5626" w:rsidP="00ED5B14">
      <w:pPr>
        <w:pStyle w:val="Heading4"/>
        <w:rPr>
          <w:rStyle w:val="Strong"/>
          <w:b/>
          <w:bCs w:val="0"/>
        </w:rPr>
      </w:pPr>
      <w:bookmarkStart w:id="81" w:name="_Toc221186102"/>
      <w:r w:rsidRPr="00C44568">
        <w:rPr>
          <w:rStyle w:val="Strong"/>
          <w:b/>
          <w:bCs w:val="0"/>
        </w:rPr>
        <w:t>Gaps and Areas for Growth</w:t>
      </w:r>
      <w:bookmarkEnd w:id="81"/>
    </w:p>
    <w:p w14:paraId="7BAFCF7E" w14:textId="3F40F053" w:rsidR="00F52C87" w:rsidRPr="00F52C87" w:rsidRDefault="00377FE6" w:rsidP="00F52C87">
      <w:pPr>
        <w:pStyle w:val="Body"/>
        <w:rPr>
          <w:rStyle w:val="Strong"/>
          <w:b w:val="0"/>
        </w:rPr>
      </w:pPr>
      <w:r w:rsidRPr="73EA1E08">
        <w:rPr>
          <w:rStyle w:val="Strong"/>
          <w:b w:val="0"/>
        </w:rPr>
        <w:t>S</w:t>
      </w:r>
      <w:r w:rsidR="00BA5626" w:rsidRPr="73EA1E08">
        <w:rPr>
          <w:rStyle w:val="Strong"/>
          <w:b w:val="0"/>
        </w:rPr>
        <w:t xml:space="preserve">everal areas for improvement parallel those identified in Cohort 1. First, reporting consistency remains uneven. Some LEAs provided limited quantitative detail or high-level narrative that makes cross-site comparison difficult even where implementation appears strong. </w:t>
      </w:r>
      <w:r w:rsidR="004C58BB" w:rsidRPr="73EA1E08">
        <w:rPr>
          <w:rStyle w:val="Strong"/>
          <w:b w:val="0"/>
        </w:rPr>
        <w:t xml:space="preserve">To address this, standardized reporting systems are being implemented for remaining Cohort 2 reports. </w:t>
      </w:r>
      <w:r w:rsidR="00BA5626" w:rsidRPr="73EA1E08">
        <w:rPr>
          <w:rStyle w:val="Strong"/>
          <w:b w:val="0"/>
        </w:rPr>
        <w:t>Second, the primary operational need identified across Cohort 2 is systematizing project documentation and ensuring that participating pupils have a clear, well-supported path from service-learning project completion to SSCE eligibility. Finally, grantees would benefit from continued and expanded inter-district collaboration to amplify effective practices, reduce duplication, and increase shared access to tools and professional learning</w:t>
      </w:r>
      <w:r w:rsidR="001530DA">
        <w:rPr>
          <w:rStyle w:val="Strong"/>
          <w:b w:val="0"/>
        </w:rPr>
        <w:t>—</w:t>
      </w:r>
      <w:r w:rsidR="00BA5626" w:rsidRPr="73EA1E08">
        <w:rPr>
          <w:rStyle w:val="Strong"/>
          <w:b w:val="0"/>
        </w:rPr>
        <w:t>particularly for small, rural, and county-led models.</w:t>
      </w:r>
    </w:p>
    <w:p w14:paraId="12D2B3C3" w14:textId="7D23A892" w:rsidR="0008688F" w:rsidRPr="00FF56BE" w:rsidRDefault="0008688F" w:rsidP="00EA1A37">
      <w:pPr>
        <w:pStyle w:val="Heading2"/>
      </w:pPr>
      <w:bookmarkStart w:id="82" w:name="_Toc220420862"/>
      <w:bookmarkStart w:id="83" w:name="_Toc221186103"/>
      <w:bookmarkStart w:id="84" w:name="_Toc230962696"/>
      <w:r>
        <w:t>Cohort 3</w:t>
      </w:r>
      <w:bookmarkEnd w:id="82"/>
      <w:bookmarkEnd w:id="83"/>
      <w:bookmarkEnd w:id="84"/>
    </w:p>
    <w:p w14:paraId="3846EAED" w14:textId="44D855E7" w:rsidR="0008688F" w:rsidRDefault="0008688F" w:rsidP="005B1F66">
      <w:pPr>
        <w:pStyle w:val="NormalWeb"/>
        <w:spacing w:before="0" w:beforeAutospacing="0" w:after="240" w:afterAutospacing="0"/>
        <w:rPr>
          <w:rFonts w:ascii="Arial" w:hAnsi="Arial" w:cs="Arial"/>
        </w:rPr>
      </w:pPr>
      <w:r w:rsidRPr="00BB452B">
        <w:rPr>
          <w:rFonts w:ascii="Arial" w:hAnsi="Arial" w:cs="Arial"/>
        </w:rPr>
        <w:t>Cohort </w:t>
      </w:r>
      <w:r>
        <w:rPr>
          <w:rFonts w:ascii="Arial" w:hAnsi="Arial" w:cs="Arial"/>
        </w:rPr>
        <w:t>3</w:t>
      </w:r>
      <w:r w:rsidRPr="00BB452B">
        <w:rPr>
          <w:rFonts w:ascii="Arial" w:hAnsi="Arial" w:cs="Arial"/>
        </w:rPr>
        <w:t xml:space="preserve"> grantees </w:t>
      </w:r>
      <w:r w:rsidR="001D6B12">
        <w:rPr>
          <w:rFonts w:ascii="Arial" w:hAnsi="Arial" w:cs="Arial"/>
        </w:rPr>
        <w:t xml:space="preserve">may </w:t>
      </w:r>
      <w:r>
        <w:rPr>
          <w:rFonts w:ascii="Arial" w:hAnsi="Arial" w:cs="Arial"/>
        </w:rPr>
        <w:t>utilize grant funding from May 1, 2025</w:t>
      </w:r>
      <w:r w:rsidR="008A64FB">
        <w:rPr>
          <w:rFonts w:ascii="Arial" w:hAnsi="Arial" w:cs="Arial"/>
        </w:rPr>
        <w:t>,</w:t>
      </w:r>
      <w:r>
        <w:rPr>
          <w:rFonts w:ascii="Arial" w:hAnsi="Arial" w:cs="Arial"/>
        </w:rPr>
        <w:t xml:space="preserve"> through June 30, 2027. </w:t>
      </w:r>
    </w:p>
    <w:p w14:paraId="13AF4A96" w14:textId="39507379" w:rsidR="0008688F" w:rsidRPr="00322E47" w:rsidRDefault="0008688F" w:rsidP="005B1F66">
      <w:pPr>
        <w:pStyle w:val="NormalWeb"/>
        <w:spacing w:before="0" w:beforeAutospacing="0" w:after="240" w:afterAutospacing="0"/>
        <w:rPr>
          <w:rFonts w:ascii="Arial" w:hAnsi="Arial" w:cs="Arial"/>
        </w:rPr>
      </w:pPr>
      <w:r>
        <w:rPr>
          <w:rFonts w:ascii="Arial" w:hAnsi="Arial" w:cs="Arial"/>
        </w:rPr>
        <w:t>Cohort 3 grantees submit quarterly expenditure and progress reports</w:t>
      </w:r>
      <w:r w:rsidR="00EC37DD">
        <w:rPr>
          <w:rFonts w:ascii="Arial" w:hAnsi="Arial" w:cs="Arial"/>
        </w:rPr>
        <w:t xml:space="preserve"> </w:t>
      </w:r>
      <w:r w:rsidR="00EC3766">
        <w:rPr>
          <w:rFonts w:ascii="Arial" w:hAnsi="Arial" w:cs="Arial"/>
        </w:rPr>
        <w:t xml:space="preserve">and were the first grantees to submit progress reports </w:t>
      </w:r>
      <w:r w:rsidR="00EC37DD">
        <w:rPr>
          <w:rFonts w:ascii="Arial" w:hAnsi="Arial" w:cs="Arial"/>
        </w:rPr>
        <w:t>using a standardized reporting form</w:t>
      </w:r>
      <w:r>
        <w:rPr>
          <w:rFonts w:ascii="Arial" w:hAnsi="Arial" w:cs="Arial"/>
        </w:rPr>
        <w:t xml:space="preserve">. </w:t>
      </w:r>
      <w:r w:rsidRPr="00BB452B">
        <w:rPr>
          <w:rFonts w:ascii="Arial" w:hAnsi="Arial" w:cs="Arial"/>
        </w:rPr>
        <w:t xml:space="preserve">This section summarizes activities and outcomes from </w:t>
      </w:r>
      <w:r>
        <w:rPr>
          <w:rFonts w:ascii="Arial" w:hAnsi="Arial" w:cs="Arial"/>
        </w:rPr>
        <w:t xml:space="preserve">the following </w:t>
      </w:r>
      <w:r>
        <w:rPr>
          <w:rStyle w:val="Strong"/>
          <w:rFonts w:ascii="Arial" w:hAnsi="Arial" w:cs="Arial"/>
          <w:b w:val="0"/>
          <w:bCs w:val="0"/>
        </w:rPr>
        <w:t>reporting</w:t>
      </w:r>
      <w:r w:rsidRPr="00322E47">
        <w:rPr>
          <w:rStyle w:val="Strong"/>
          <w:rFonts w:ascii="Arial" w:hAnsi="Arial" w:cs="Arial"/>
          <w:b w:val="0"/>
          <w:bCs w:val="0"/>
        </w:rPr>
        <w:t xml:space="preserve"> period</w:t>
      </w:r>
      <w:r>
        <w:rPr>
          <w:rStyle w:val="Strong"/>
          <w:rFonts w:ascii="Arial" w:hAnsi="Arial" w:cs="Arial"/>
          <w:b w:val="0"/>
          <w:bCs w:val="0"/>
        </w:rPr>
        <w:t>s</w:t>
      </w:r>
      <w:r>
        <w:rPr>
          <w:rStyle w:val="FootnoteReference"/>
          <w:rFonts w:ascii="Arial" w:hAnsi="Arial" w:cs="Arial"/>
        </w:rPr>
        <w:footnoteReference w:id="7"/>
      </w:r>
      <w:r w:rsidRPr="00322E47">
        <w:rPr>
          <w:rFonts w:ascii="Arial" w:hAnsi="Arial" w:cs="Arial"/>
        </w:rPr>
        <w:t>:</w:t>
      </w:r>
    </w:p>
    <w:p w14:paraId="46CD10B8" w14:textId="1DE68DC7" w:rsidR="0008688F" w:rsidRDefault="0008688F" w:rsidP="00EA1A37">
      <w:pPr>
        <w:pStyle w:val="NormalWeb"/>
        <w:numPr>
          <w:ilvl w:val="0"/>
          <w:numId w:val="2"/>
        </w:numPr>
        <w:rPr>
          <w:rStyle w:val="Strong"/>
          <w:rFonts w:ascii="Arial" w:hAnsi="Arial" w:cs="Arial"/>
          <w:b w:val="0"/>
          <w:bCs w:val="0"/>
        </w:rPr>
      </w:pPr>
      <w:r w:rsidRPr="00322E47">
        <w:rPr>
          <w:rStyle w:val="Strong"/>
          <w:rFonts w:ascii="Arial" w:hAnsi="Arial" w:cs="Arial"/>
          <w:b w:val="0"/>
          <w:bCs w:val="0"/>
        </w:rPr>
        <w:t>Year 1</w:t>
      </w:r>
      <w:r w:rsidR="001530DA">
        <w:rPr>
          <w:rStyle w:val="Strong"/>
          <w:rFonts w:ascii="Arial" w:hAnsi="Arial" w:cs="Arial"/>
          <w:b w:val="0"/>
          <w:bCs w:val="0"/>
        </w:rPr>
        <w:t>,</w:t>
      </w:r>
      <w:r w:rsidRPr="00322E47">
        <w:rPr>
          <w:rStyle w:val="Strong"/>
          <w:rFonts w:ascii="Arial" w:hAnsi="Arial" w:cs="Arial"/>
          <w:b w:val="0"/>
          <w:bCs w:val="0"/>
        </w:rPr>
        <w:t xml:space="preserve"> Quarter 4</w:t>
      </w:r>
      <w:r w:rsidR="00270F17">
        <w:rPr>
          <w:rStyle w:val="Strong"/>
          <w:rFonts w:ascii="Arial" w:hAnsi="Arial" w:cs="Arial"/>
          <w:b w:val="0"/>
          <w:bCs w:val="0"/>
        </w:rPr>
        <w:t xml:space="preserve"> (May 1–June 30, 2025)</w:t>
      </w:r>
    </w:p>
    <w:p w14:paraId="106C7F08" w14:textId="4413AD04" w:rsidR="0008688F" w:rsidRDefault="0008688F" w:rsidP="005B1F66">
      <w:pPr>
        <w:pStyle w:val="NormalWeb"/>
        <w:numPr>
          <w:ilvl w:val="0"/>
          <w:numId w:val="2"/>
        </w:numPr>
        <w:spacing w:before="0" w:beforeAutospacing="0" w:after="240" w:afterAutospacing="0"/>
        <w:rPr>
          <w:rStyle w:val="Strong"/>
          <w:rFonts w:ascii="Arial" w:hAnsi="Arial" w:cs="Arial"/>
          <w:b w:val="0"/>
          <w:bCs w:val="0"/>
        </w:rPr>
      </w:pPr>
      <w:r w:rsidRPr="00322E47">
        <w:rPr>
          <w:rStyle w:val="Strong"/>
          <w:rFonts w:ascii="Arial" w:hAnsi="Arial" w:cs="Arial"/>
          <w:b w:val="0"/>
          <w:bCs w:val="0"/>
        </w:rPr>
        <w:t>Year 2</w:t>
      </w:r>
      <w:r w:rsidR="001530DA">
        <w:rPr>
          <w:rStyle w:val="Strong"/>
          <w:rFonts w:ascii="Arial" w:hAnsi="Arial" w:cs="Arial"/>
          <w:b w:val="0"/>
          <w:bCs w:val="0"/>
        </w:rPr>
        <w:t>,</w:t>
      </w:r>
      <w:r w:rsidRPr="00322E47">
        <w:rPr>
          <w:rStyle w:val="Strong"/>
          <w:rFonts w:ascii="Arial" w:hAnsi="Arial" w:cs="Arial"/>
          <w:b w:val="0"/>
          <w:bCs w:val="0"/>
        </w:rPr>
        <w:t xml:space="preserve"> Quarter 1</w:t>
      </w:r>
      <w:r w:rsidR="00270F17">
        <w:rPr>
          <w:rStyle w:val="Strong"/>
          <w:rFonts w:ascii="Arial" w:hAnsi="Arial" w:cs="Arial"/>
          <w:b w:val="0"/>
          <w:bCs w:val="0"/>
        </w:rPr>
        <w:t xml:space="preserve"> (July 1–September 30, 2025)</w:t>
      </w:r>
    </w:p>
    <w:p w14:paraId="3702E52B" w14:textId="2978CBEC" w:rsidR="00110A11" w:rsidRDefault="00110A11" w:rsidP="005B1F66">
      <w:pPr>
        <w:pStyle w:val="NormalWeb"/>
        <w:spacing w:before="0" w:beforeAutospacing="0" w:after="240" w:afterAutospacing="0"/>
        <w:rPr>
          <w:rStyle w:val="Strong"/>
          <w:rFonts w:ascii="Arial" w:hAnsi="Arial" w:cs="Arial"/>
          <w:b w:val="0"/>
          <w:bCs w:val="0"/>
        </w:rPr>
      </w:pPr>
      <w:r w:rsidRPr="00110A11">
        <w:rPr>
          <w:rStyle w:val="Strong"/>
          <w:rFonts w:ascii="Arial" w:hAnsi="Arial" w:cs="Arial"/>
          <w:b w:val="0"/>
          <w:bCs w:val="0"/>
        </w:rPr>
        <w:t xml:space="preserve">Due to the funding and start-up timeline, many Cohort 3 grantees reported early-stage planning and infrastructure development during these initial quarters, </w:t>
      </w:r>
      <w:r w:rsidR="001530DA">
        <w:rPr>
          <w:rStyle w:val="Strong"/>
          <w:rFonts w:ascii="Arial" w:hAnsi="Arial" w:cs="Arial"/>
          <w:b w:val="0"/>
          <w:bCs w:val="0"/>
        </w:rPr>
        <w:t>and</w:t>
      </w:r>
      <w:r w:rsidR="001530DA" w:rsidRPr="00110A11">
        <w:rPr>
          <w:rStyle w:val="Strong"/>
          <w:rFonts w:ascii="Arial" w:hAnsi="Arial" w:cs="Arial"/>
          <w:b w:val="0"/>
          <w:bCs w:val="0"/>
        </w:rPr>
        <w:t xml:space="preserve"> </w:t>
      </w:r>
      <w:r w:rsidRPr="00110A11">
        <w:rPr>
          <w:rStyle w:val="Strong"/>
          <w:rFonts w:ascii="Arial" w:hAnsi="Arial" w:cs="Arial"/>
          <w:b w:val="0"/>
          <w:bCs w:val="0"/>
        </w:rPr>
        <w:t>several LEAs report</w:t>
      </w:r>
      <w:r w:rsidR="001530DA">
        <w:rPr>
          <w:rStyle w:val="Strong"/>
          <w:rFonts w:ascii="Arial" w:hAnsi="Arial" w:cs="Arial"/>
          <w:b w:val="0"/>
          <w:bCs w:val="0"/>
        </w:rPr>
        <w:t>ed</w:t>
      </w:r>
      <w:r w:rsidRPr="00110A11">
        <w:rPr>
          <w:rStyle w:val="Strong"/>
          <w:rFonts w:ascii="Arial" w:hAnsi="Arial" w:cs="Arial"/>
          <w:b w:val="0"/>
          <w:bCs w:val="0"/>
        </w:rPr>
        <w:t xml:space="preserve"> limited or no grant-related activities and expenses during this reporting window. </w:t>
      </w:r>
      <w:r w:rsidR="002D68A4">
        <w:rPr>
          <w:rStyle w:val="Strong"/>
          <w:rFonts w:ascii="Arial" w:hAnsi="Arial" w:cs="Arial"/>
          <w:b w:val="0"/>
          <w:bCs w:val="0"/>
        </w:rPr>
        <w:t>Additionally, although</w:t>
      </w:r>
      <w:r w:rsidR="00FA4641">
        <w:rPr>
          <w:rStyle w:val="Strong"/>
          <w:rFonts w:ascii="Arial" w:hAnsi="Arial" w:cs="Arial"/>
          <w:b w:val="0"/>
          <w:bCs w:val="0"/>
        </w:rPr>
        <w:t xml:space="preserve"> some</w:t>
      </w:r>
      <w:r w:rsidR="002D68A4">
        <w:rPr>
          <w:rStyle w:val="Strong"/>
          <w:rFonts w:ascii="Arial" w:hAnsi="Arial" w:cs="Arial"/>
          <w:b w:val="0"/>
          <w:bCs w:val="0"/>
        </w:rPr>
        <w:t xml:space="preserve"> grantees reported the number of students earning or working toward a SSCE</w:t>
      </w:r>
      <w:r w:rsidR="00FA4641">
        <w:rPr>
          <w:rStyle w:val="Strong"/>
          <w:rFonts w:ascii="Arial" w:hAnsi="Arial" w:cs="Arial"/>
          <w:b w:val="0"/>
          <w:bCs w:val="0"/>
        </w:rPr>
        <w:t xml:space="preserve"> in 2024–25, the first year during which students will earn a SSCE through grant-funded projects will be 2025–26. </w:t>
      </w:r>
      <w:r w:rsidRPr="00110A11">
        <w:rPr>
          <w:rStyle w:val="Strong"/>
          <w:rFonts w:ascii="Arial" w:hAnsi="Arial" w:cs="Arial"/>
          <w:b w:val="0"/>
          <w:bCs w:val="0"/>
        </w:rPr>
        <w:t>Future legislative reports will include data from subsequent reporting periods and end-of-project reports</w:t>
      </w:r>
      <w:r>
        <w:rPr>
          <w:rStyle w:val="Strong"/>
          <w:rFonts w:ascii="Arial" w:hAnsi="Arial" w:cs="Arial"/>
          <w:b w:val="0"/>
          <w:bCs w:val="0"/>
        </w:rPr>
        <w:t>.</w:t>
      </w:r>
    </w:p>
    <w:p w14:paraId="5CE87684" w14:textId="77777777" w:rsidR="006B37F2" w:rsidRDefault="006B37F2">
      <w:pPr>
        <w:spacing w:after="240"/>
        <w:rPr>
          <w:rStyle w:val="Strong"/>
          <w:color w:val="auto"/>
          <w:szCs w:val="22"/>
        </w:rPr>
      </w:pPr>
      <w:r>
        <w:rPr>
          <w:rStyle w:val="Strong"/>
          <w:b w:val="0"/>
          <w:bCs w:val="0"/>
        </w:rPr>
        <w:br w:type="page"/>
      </w:r>
    </w:p>
    <w:p w14:paraId="134CC5FC" w14:textId="50580C9B" w:rsidR="0008688F" w:rsidRPr="00973654" w:rsidRDefault="0008688F" w:rsidP="005B1F66">
      <w:pPr>
        <w:pStyle w:val="TableTitle"/>
        <w:keepLines/>
        <w:rPr>
          <w:rStyle w:val="Strong"/>
          <w:b/>
          <w:bCs/>
        </w:rPr>
      </w:pPr>
      <w:r w:rsidRPr="00973654">
        <w:rPr>
          <w:rStyle w:val="Strong"/>
          <w:b/>
          <w:bCs/>
        </w:rPr>
        <w:lastRenderedPageBreak/>
        <w:t xml:space="preserve">Table </w:t>
      </w:r>
      <w:r>
        <w:rPr>
          <w:rStyle w:val="Strong"/>
          <w:b/>
          <w:bCs/>
        </w:rPr>
        <w:t>8</w:t>
      </w:r>
      <w:r w:rsidRPr="00973654">
        <w:rPr>
          <w:rStyle w:val="Strong"/>
          <w:b/>
          <w:bCs/>
        </w:rPr>
        <w:t xml:space="preserve">: Cohort </w:t>
      </w:r>
      <w:r w:rsidR="005F198F">
        <w:rPr>
          <w:rStyle w:val="Strong"/>
          <w:b/>
          <w:bCs/>
        </w:rPr>
        <w:t>3</w:t>
      </w:r>
      <w:r w:rsidRPr="00973654">
        <w:rPr>
          <w:rStyle w:val="Strong"/>
          <w:b/>
          <w:bCs/>
        </w:rPr>
        <w:t xml:space="preserve"> Grantee Summary</w:t>
      </w:r>
    </w:p>
    <w:tbl>
      <w:tblPr>
        <w:tblStyle w:val="TableGrid"/>
        <w:tblW w:w="5000" w:type="pct"/>
        <w:tblLook w:val="04A0" w:firstRow="1" w:lastRow="0" w:firstColumn="1" w:lastColumn="0" w:noHBand="0" w:noVBand="1"/>
        <w:tblCaption w:val="Table 8: Cohort 3 Grantee Summary"/>
        <w:tblDescription w:val="Table listing the Cohort 3 grantees, their award amounts, and their 2024-25 Unduplicated Pupil Count rate."/>
      </w:tblPr>
      <w:tblGrid>
        <w:gridCol w:w="4495"/>
        <w:gridCol w:w="1799"/>
        <w:gridCol w:w="3056"/>
      </w:tblGrid>
      <w:tr w:rsidR="00110A11" w14:paraId="42EC9146" w14:textId="77777777" w:rsidTr="000D2D11">
        <w:trPr>
          <w:tblHeader/>
        </w:trPr>
        <w:tc>
          <w:tcPr>
            <w:tcW w:w="2404" w:type="pct"/>
          </w:tcPr>
          <w:p w14:paraId="03540986" w14:textId="77777777" w:rsidR="00110A11" w:rsidRPr="005110E8" w:rsidRDefault="00110A11" w:rsidP="005B1F66">
            <w:pPr>
              <w:keepLines/>
              <w:rPr>
                <w:b/>
                <w:bCs/>
              </w:rPr>
            </w:pPr>
            <w:r w:rsidRPr="005110E8">
              <w:rPr>
                <w:b/>
                <w:bCs/>
              </w:rPr>
              <w:t>Grantee Name</w:t>
            </w:r>
          </w:p>
        </w:tc>
        <w:tc>
          <w:tcPr>
            <w:tcW w:w="962" w:type="pct"/>
          </w:tcPr>
          <w:p w14:paraId="49FE1D44" w14:textId="77777777" w:rsidR="00110A11" w:rsidRPr="005110E8" w:rsidRDefault="00110A11" w:rsidP="005B1F66">
            <w:pPr>
              <w:keepLines/>
              <w:rPr>
                <w:b/>
                <w:bCs/>
              </w:rPr>
            </w:pPr>
            <w:r w:rsidRPr="005110E8">
              <w:rPr>
                <w:b/>
                <w:bCs/>
              </w:rPr>
              <w:t>Award Amount</w:t>
            </w:r>
          </w:p>
        </w:tc>
        <w:tc>
          <w:tcPr>
            <w:tcW w:w="1634" w:type="pct"/>
          </w:tcPr>
          <w:p w14:paraId="34B58D67" w14:textId="488D735C" w:rsidR="00110A11" w:rsidRPr="005110E8" w:rsidRDefault="00110A11" w:rsidP="005B1F66">
            <w:pPr>
              <w:keepLines/>
              <w:rPr>
                <w:b/>
                <w:bCs/>
              </w:rPr>
            </w:pPr>
            <w:r w:rsidRPr="005110E8">
              <w:rPr>
                <w:b/>
                <w:bCs/>
              </w:rPr>
              <w:t>202</w:t>
            </w:r>
            <w:r w:rsidR="00FC300D">
              <w:rPr>
                <w:b/>
                <w:bCs/>
              </w:rPr>
              <w:t>4</w:t>
            </w:r>
            <w:r w:rsidRPr="005110E8">
              <w:rPr>
                <w:b/>
                <w:bCs/>
              </w:rPr>
              <w:t>–2</w:t>
            </w:r>
            <w:r w:rsidR="00FC300D">
              <w:rPr>
                <w:b/>
                <w:bCs/>
              </w:rPr>
              <w:t>5</w:t>
            </w:r>
            <w:r w:rsidRPr="005110E8">
              <w:rPr>
                <w:b/>
                <w:bCs/>
              </w:rPr>
              <w:t xml:space="preserve"> Unduplicated Pupil Count Rate</w:t>
            </w:r>
          </w:p>
        </w:tc>
      </w:tr>
      <w:tr w:rsidR="00110A11" w14:paraId="4CBA3888" w14:textId="77777777" w:rsidTr="004E09F2">
        <w:tc>
          <w:tcPr>
            <w:tcW w:w="2404" w:type="pct"/>
          </w:tcPr>
          <w:p w14:paraId="088E0120" w14:textId="0E78582C" w:rsidR="00110A11" w:rsidRDefault="00FC300D" w:rsidP="005B1F66">
            <w:pPr>
              <w:keepLines/>
            </w:pPr>
            <w:r>
              <w:t>Cloverdale USD</w:t>
            </w:r>
          </w:p>
        </w:tc>
        <w:tc>
          <w:tcPr>
            <w:tcW w:w="962" w:type="pct"/>
          </w:tcPr>
          <w:p w14:paraId="4ACDE22B" w14:textId="16FFBD6E" w:rsidR="00110A11" w:rsidRDefault="00AF476B" w:rsidP="005B1F66">
            <w:pPr>
              <w:keepLines/>
            </w:pPr>
            <w:r>
              <w:t>$160,540</w:t>
            </w:r>
          </w:p>
        </w:tc>
        <w:tc>
          <w:tcPr>
            <w:tcW w:w="1634" w:type="pct"/>
          </w:tcPr>
          <w:p w14:paraId="576A78A4" w14:textId="4DC51F1E" w:rsidR="001A3A29" w:rsidRDefault="001A3A29" w:rsidP="005B1F66">
            <w:pPr>
              <w:keepLines/>
            </w:pPr>
            <w:r>
              <w:t>68.12</w:t>
            </w:r>
            <w:r w:rsidR="006E5973">
              <w:t>%</w:t>
            </w:r>
          </w:p>
        </w:tc>
      </w:tr>
      <w:tr w:rsidR="00110A11" w14:paraId="0BA6D667" w14:textId="77777777" w:rsidTr="004E09F2">
        <w:tc>
          <w:tcPr>
            <w:tcW w:w="2404" w:type="pct"/>
          </w:tcPr>
          <w:p w14:paraId="1F179AD1" w14:textId="3F184CCE" w:rsidR="00110A11" w:rsidRDefault="00AF476B" w:rsidP="005B1F66">
            <w:pPr>
              <w:keepLines/>
            </w:pPr>
            <w:r>
              <w:t>Modesto City High School District</w:t>
            </w:r>
          </w:p>
        </w:tc>
        <w:tc>
          <w:tcPr>
            <w:tcW w:w="962" w:type="pct"/>
          </w:tcPr>
          <w:p w14:paraId="679AFC7F" w14:textId="77777777" w:rsidR="00110A11" w:rsidRDefault="00110A11" w:rsidP="005B1F66">
            <w:pPr>
              <w:keepLines/>
            </w:pPr>
            <w:r>
              <w:t>$500,000</w:t>
            </w:r>
          </w:p>
        </w:tc>
        <w:tc>
          <w:tcPr>
            <w:tcW w:w="1634" w:type="pct"/>
          </w:tcPr>
          <w:p w14:paraId="3FD5734C" w14:textId="444CAD8E" w:rsidR="00110A11" w:rsidRDefault="000C2B68" w:rsidP="005B1F66">
            <w:pPr>
              <w:keepLines/>
            </w:pPr>
            <w:r>
              <w:t>69.43</w:t>
            </w:r>
            <w:r w:rsidR="006E5973">
              <w:t>%</w:t>
            </w:r>
          </w:p>
        </w:tc>
      </w:tr>
      <w:tr w:rsidR="00110A11" w14:paraId="4BBB4E74" w14:textId="77777777" w:rsidTr="004E09F2">
        <w:tc>
          <w:tcPr>
            <w:tcW w:w="2404" w:type="pct"/>
          </w:tcPr>
          <w:p w14:paraId="1A7BEFE2" w14:textId="1409C582" w:rsidR="00110A11" w:rsidRDefault="00AF476B" w:rsidP="005B1F66">
            <w:pPr>
              <w:keepLines/>
            </w:pPr>
            <w:r>
              <w:t>Monterey Peninsula USD</w:t>
            </w:r>
          </w:p>
        </w:tc>
        <w:tc>
          <w:tcPr>
            <w:tcW w:w="962" w:type="pct"/>
          </w:tcPr>
          <w:p w14:paraId="1FAE6900" w14:textId="5AD7CC31" w:rsidR="00110A11" w:rsidRDefault="00AF476B" w:rsidP="005B1F66">
            <w:pPr>
              <w:keepLines/>
            </w:pPr>
            <w:r>
              <w:t>$500,000</w:t>
            </w:r>
          </w:p>
        </w:tc>
        <w:tc>
          <w:tcPr>
            <w:tcW w:w="1634" w:type="pct"/>
          </w:tcPr>
          <w:p w14:paraId="00FEEBD0" w14:textId="25E70451" w:rsidR="00110A11" w:rsidRDefault="00A71513" w:rsidP="005B1F66">
            <w:pPr>
              <w:keepLines/>
            </w:pPr>
            <w:r>
              <w:t>71.42</w:t>
            </w:r>
            <w:r w:rsidR="006E5973">
              <w:t>%</w:t>
            </w:r>
          </w:p>
        </w:tc>
      </w:tr>
      <w:tr w:rsidR="00110A11" w14:paraId="531F66F6" w14:textId="77777777" w:rsidTr="004E09F2">
        <w:tc>
          <w:tcPr>
            <w:tcW w:w="2404" w:type="pct"/>
          </w:tcPr>
          <w:p w14:paraId="6BBDA5C2" w14:textId="2D028042" w:rsidR="00110A11" w:rsidRDefault="00AF476B" w:rsidP="005B1F66">
            <w:pPr>
              <w:keepLines/>
            </w:pPr>
            <w:r>
              <w:t>Napa COE</w:t>
            </w:r>
          </w:p>
        </w:tc>
        <w:tc>
          <w:tcPr>
            <w:tcW w:w="962" w:type="pct"/>
          </w:tcPr>
          <w:p w14:paraId="658CF9B6" w14:textId="77777777" w:rsidR="00110A11" w:rsidRDefault="00110A11" w:rsidP="005B1F66">
            <w:pPr>
              <w:keepLines/>
            </w:pPr>
            <w:r>
              <w:t>$500,000</w:t>
            </w:r>
          </w:p>
        </w:tc>
        <w:tc>
          <w:tcPr>
            <w:tcW w:w="1634" w:type="pct"/>
          </w:tcPr>
          <w:p w14:paraId="6C54AD3B" w14:textId="07D52794" w:rsidR="00110A11" w:rsidRDefault="009324A7" w:rsidP="005B1F66">
            <w:pPr>
              <w:keepLines/>
            </w:pPr>
            <w:r>
              <w:t>78.38</w:t>
            </w:r>
            <w:r w:rsidR="006E5973">
              <w:t>%</w:t>
            </w:r>
          </w:p>
        </w:tc>
      </w:tr>
      <w:tr w:rsidR="00110A11" w14:paraId="0D41CB4C" w14:textId="77777777" w:rsidTr="004E09F2">
        <w:tc>
          <w:tcPr>
            <w:tcW w:w="2404" w:type="pct"/>
          </w:tcPr>
          <w:p w14:paraId="76BDCDD2" w14:textId="12931C97" w:rsidR="00110A11" w:rsidRDefault="00AF476B" w:rsidP="005B1F66">
            <w:pPr>
              <w:keepLines/>
            </w:pPr>
            <w:r>
              <w:t>Natomas USD</w:t>
            </w:r>
          </w:p>
        </w:tc>
        <w:tc>
          <w:tcPr>
            <w:tcW w:w="962" w:type="pct"/>
          </w:tcPr>
          <w:p w14:paraId="6A8DE50D" w14:textId="762B8A78" w:rsidR="00110A11" w:rsidRDefault="00AF476B" w:rsidP="005B1F66">
            <w:pPr>
              <w:keepLines/>
            </w:pPr>
            <w:r>
              <w:t>$500,000</w:t>
            </w:r>
          </w:p>
        </w:tc>
        <w:tc>
          <w:tcPr>
            <w:tcW w:w="1634" w:type="pct"/>
          </w:tcPr>
          <w:p w14:paraId="609915FD" w14:textId="441B3C45" w:rsidR="00110A11" w:rsidRDefault="009324A7" w:rsidP="005B1F66">
            <w:pPr>
              <w:keepLines/>
            </w:pPr>
            <w:r>
              <w:t>68.54</w:t>
            </w:r>
            <w:r w:rsidR="006E5973">
              <w:t>%</w:t>
            </w:r>
          </w:p>
        </w:tc>
      </w:tr>
      <w:tr w:rsidR="00110A11" w14:paraId="71565663" w14:textId="77777777" w:rsidTr="004E09F2">
        <w:tc>
          <w:tcPr>
            <w:tcW w:w="2404" w:type="pct"/>
          </w:tcPr>
          <w:p w14:paraId="3020D197" w14:textId="71CEFC07" w:rsidR="00110A11" w:rsidRDefault="00AF476B" w:rsidP="005B1F66">
            <w:pPr>
              <w:keepLines/>
            </w:pPr>
            <w:r>
              <w:t>Oakland USD</w:t>
            </w:r>
          </w:p>
        </w:tc>
        <w:tc>
          <w:tcPr>
            <w:tcW w:w="962" w:type="pct"/>
          </w:tcPr>
          <w:p w14:paraId="7615636C" w14:textId="1A3783CA" w:rsidR="00110A11" w:rsidRDefault="00AF476B" w:rsidP="005B1F66">
            <w:pPr>
              <w:keepLines/>
            </w:pPr>
            <w:r>
              <w:t>$499,986</w:t>
            </w:r>
          </w:p>
        </w:tc>
        <w:tc>
          <w:tcPr>
            <w:tcW w:w="1634" w:type="pct"/>
          </w:tcPr>
          <w:p w14:paraId="2D9410B5" w14:textId="204A08C1" w:rsidR="00110A11" w:rsidRDefault="007D69E2" w:rsidP="005B1F66">
            <w:pPr>
              <w:keepLines/>
            </w:pPr>
            <w:r>
              <w:t>82.30</w:t>
            </w:r>
            <w:r w:rsidR="006E5973">
              <w:t>%</w:t>
            </w:r>
          </w:p>
        </w:tc>
      </w:tr>
      <w:tr w:rsidR="00110A11" w14:paraId="6D98D110" w14:textId="77777777" w:rsidTr="004E09F2">
        <w:tc>
          <w:tcPr>
            <w:tcW w:w="2404" w:type="pct"/>
          </w:tcPr>
          <w:p w14:paraId="183D0AE1" w14:textId="04CB2DFE" w:rsidR="00110A11" w:rsidRDefault="00AF476B" w:rsidP="005B1F66">
            <w:pPr>
              <w:keepLines/>
            </w:pPr>
            <w:r>
              <w:t>Oxnard Union High School District</w:t>
            </w:r>
          </w:p>
        </w:tc>
        <w:tc>
          <w:tcPr>
            <w:tcW w:w="962" w:type="pct"/>
          </w:tcPr>
          <w:p w14:paraId="78D71767" w14:textId="77777777" w:rsidR="00110A11" w:rsidRDefault="00110A11" w:rsidP="005B1F66">
            <w:pPr>
              <w:keepLines/>
            </w:pPr>
            <w:r>
              <w:t>$500,000</w:t>
            </w:r>
          </w:p>
        </w:tc>
        <w:tc>
          <w:tcPr>
            <w:tcW w:w="1634" w:type="pct"/>
          </w:tcPr>
          <w:p w14:paraId="6EA9B710" w14:textId="3B0B0C58" w:rsidR="00110A11" w:rsidRDefault="007D69E2" w:rsidP="005B1F66">
            <w:pPr>
              <w:keepLines/>
            </w:pPr>
            <w:r>
              <w:t>71.04</w:t>
            </w:r>
            <w:r w:rsidR="006E5973">
              <w:t>%</w:t>
            </w:r>
          </w:p>
        </w:tc>
      </w:tr>
      <w:tr w:rsidR="00110A11" w14:paraId="5B667B4E" w14:textId="77777777" w:rsidTr="004E09F2">
        <w:tc>
          <w:tcPr>
            <w:tcW w:w="2404" w:type="pct"/>
          </w:tcPr>
          <w:p w14:paraId="1A995783" w14:textId="6EDBAE45" w:rsidR="00110A11" w:rsidRDefault="00513FB3" w:rsidP="005B1F66">
            <w:pPr>
              <w:keepLines/>
            </w:pPr>
            <w:r>
              <w:t>San Bernardino City USD</w:t>
            </w:r>
          </w:p>
        </w:tc>
        <w:tc>
          <w:tcPr>
            <w:tcW w:w="962" w:type="pct"/>
          </w:tcPr>
          <w:p w14:paraId="07BF0A72" w14:textId="2D7362C2" w:rsidR="00110A11" w:rsidRDefault="00513FB3" w:rsidP="005B1F66">
            <w:pPr>
              <w:keepLines/>
            </w:pPr>
            <w:r>
              <w:t>$226,698</w:t>
            </w:r>
          </w:p>
        </w:tc>
        <w:tc>
          <w:tcPr>
            <w:tcW w:w="1634" w:type="pct"/>
          </w:tcPr>
          <w:p w14:paraId="47006053" w14:textId="6DB336DF" w:rsidR="00110A11" w:rsidRDefault="007C652E" w:rsidP="005B1F66">
            <w:pPr>
              <w:keepLines/>
            </w:pPr>
            <w:r>
              <w:t>92.99</w:t>
            </w:r>
            <w:r w:rsidR="006E5973">
              <w:t>%</w:t>
            </w:r>
          </w:p>
        </w:tc>
      </w:tr>
      <w:tr w:rsidR="00110A11" w14:paraId="6C530FF3" w14:textId="77777777" w:rsidTr="004E09F2">
        <w:tc>
          <w:tcPr>
            <w:tcW w:w="2404" w:type="pct"/>
          </w:tcPr>
          <w:p w14:paraId="05954578" w14:textId="66ABFEE8" w:rsidR="00110A11" w:rsidRDefault="00513FB3" w:rsidP="005B1F66">
            <w:pPr>
              <w:keepLines/>
            </w:pPr>
            <w:r>
              <w:t>Siskiyou COE (Consortium)</w:t>
            </w:r>
          </w:p>
        </w:tc>
        <w:tc>
          <w:tcPr>
            <w:tcW w:w="962" w:type="pct"/>
          </w:tcPr>
          <w:p w14:paraId="4A96AFCF" w14:textId="6636A25C" w:rsidR="00110A11" w:rsidRDefault="00513FB3" w:rsidP="005B1F66">
            <w:pPr>
              <w:keepLines/>
            </w:pPr>
            <w:r>
              <w:t>$393,500</w:t>
            </w:r>
          </w:p>
        </w:tc>
        <w:tc>
          <w:tcPr>
            <w:tcW w:w="1634" w:type="pct"/>
          </w:tcPr>
          <w:p w14:paraId="11E38047" w14:textId="373B4516" w:rsidR="00110A11" w:rsidRDefault="007C652E" w:rsidP="005B1F66">
            <w:pPr>
              <w:keepLines/>
            </w:pPr>
            <w:r>
              <w:t>67.14</w:t>
            </w:r>
            <w:r w:rsidR="006E5973">
              <w:t>%</w:t>
            </w:r>
          </w:p>
        </w:tc>
      </w:tr>
      <w:tr w:rsidR="00110A11" w14:paraId="5D049605" w14:textId="77777777" w:rsidTr="004E09F2">
        <w:tc>
          <w:tcPr>
            <w:tcW w:w="2404" w:type="pct"/>
          </w:tcPr>
          <w:p w14:paraId="4997CC52" w14:textId="1B6AF61D" w:rsidR="00110A11" w:rsidRDefault="00513FB3" w:rsidP="005B1F66">
            <w:pPr>
              <w:keepLines/>
            </w:pPr>
            <w:r>
              <w:t>Sweetwater Union High School District</w:t>
            </w:r>
          </w:p>
        </w:tc>
        <w:tc>
          <w:tcPr>
            <w:tcW w:w="962" w:type="pct"/>
          </w:tcPr>
          <w:p w14:paraId="5F86471F" w14:textId="3346C3FA" w:rsidR="00110A11" w:rsidRDefault="00513FB3" w:rsidP="005B1F66">
            <w:pPr>
              <w:keepLines/>
            </w:pPr>
            <w:r>
              <w:t>$499,194</w:t>
            </w:r>
          </w:p>
        </w:tc>
        <w:tc>
          <w:tcPr>
            <w:tcW w:w="1634" w:type="pct"/>
          </w:tcPr>
          <w:p w14:paraId="3D63483A" w14:textId="0A779858" w:rsidR="00110A11" w:rsidRDefault="000D2D11" w:rsidP="005B1F66">
            <w:pPr>
              <w:keepLines/>
            </w:pPr>
            <w:r>
              <w:t>64.69</w:t>
            </w:r>
            <w:r w:rsidR="006E5973">
              <w:t>%</w:t>
            </w:r>
          </w:p>
        </w:tc>
      </w:tr>
      <w:tr w:rsidR="00110A11" w14:paraId="696B6476" w14:textId="77777777" w:rsidTr="004E09F2">
        <w:tc>
          <w:tcPr>
            <w:tcW w:w="2404" w:type="pct"/>
          </w:tcPr>
          <w:p w14:paraId="13FC290B" w14:textId="2D5CE13C" w:rsidR="00110A11" w:rsidRDefault="00513FB3" w:rsidP="005B1F66">
            <w:pPr>
              <w:keepLines/>
            </w:pPr>
            <w:r>
              <w:t>Yolo COE</w:t>
            </w:r>
            <w:r w:rsidR="00D53DAB">
              <w:t xml:space="preserve"> (Consortium)</w:t>
            </w:r>
          </w:p>
        </w:tc>
        <w:tc>
          <w:tcPr>
            <w:tcW w:w="962" w:type="pct"/>
          </w:tcPr>
          <w:p w14:paraId="4BBF3BB3" w14:textId="18284D7E" w:rsidR="00110A11" w:rsidRDefault="00513FB3" w:rsidP="005B1F66">
            <w:pPr>
              <w:keepLines/>
            </w:pPr>
            <w:r>
              <w:t>$525,728</w:t>
            </w:r>
          </w:p>
        </w:tc>
        <w:tc>
          <w:tcPr>
            <w:tcW w:w="1634" w:type="pct"/>
          </w:tcPr>
          <w:p w14:paraId="02621E6B" w14:textId="79BEA2CB" w:rsidR="00110A11" w:rsidRDefault="000D2D11" w:rsidP="005B1F66">
            <w:pPr>
              <w:keepLines/>
            </w:pPr>
            <w:r>
              <w:t>68.58</w:t>
            </w:r>
            <w:r w:rsidR="006E5973">
              <w:t>%</w:t>
            </w:r>
          </w:p>
        </w:tc>
      </w:tr>
      <w:tr w:rsidR="00110A11" w14:paraId="687C7D49" w14:textId="77777777" w:rsidTr="004E09F2">
        <w:tc>
          <w:tcPr>
            <w:tcW w:w="2404" w:type="pct"/>
          </w:tcPr>
          <w:p w14:paraId="57F9F4D3" w14:textId="25F778BF" w:rsidR="00110A11" w:rsidRDefault="00513FB3" w:rsidP="005B1F66">
            <w:pPr>
              <w:keepLines/>
            </w:pPr>
            <w:r>
              <w:t>Yuba COE</w:t>
            </w:r>
          </w:p>
        </w:tc>
        <w:tc>
          <w:tcPr>
            <w:tcW w:w="962" w:type="pct"/>
          </w:tcPr>
          <w:p w14:paraId="2B3217C6" w14:textId="600F6BC4" w:rsidR="00110A11" w:rsidRDefault="00513FB3" w:rsidP="005B1F66">
            <w:pPr>
              <w:keepLines/>
            </w:pPr>
            <w:r>
              <w:t>$194,354</w:t>
            </w:r>
          </w:p>
        </w:tc>
        <w:tc>
          <w:tcPr>
            <w:tcW w:w="1634" w:type="pct"/>
          </w:tcPr>
          <w:p w14:paraId="3BC6C798" w14:textId="4F470674" w:rsidR="00110A11" w:rsidRDefault="000D2D11" w:rsidP="005B1F66">
            <w:pPr>
              <w:keepLines/>
            </w:pPr>
            <w:r>
              <w:t>68.77</w:t>
            </w:r>
            <w:r w:rsidR="006E5973">
              <w:t>%</w:t>
            </w:r>
          </w:p>
        </w:tc>
      </w:tr>
    </w:tbl>
    <w:p w14:paraId="3226668C" w14:textId="11B55435" w:rsidR="0008688F" w:rsidRPr="00D42147" w:rsidRDefault="0008688F" w:rsidP="00ED5B14">
      <w:pPr>
        <w:pStyle w:val="Heading3"/>
      </w:pPr>
      <w:bookmarkStart w:id="85" w:name="_Toc221186104"/>
      <w:r w:rsidRPr="00D42147">
        <w:t xml:space="preserve">Cohort </w:t>
      </w:r>
      <w:r w:rsidR="007F6DB1" w:rsidRPr="00D42147">
        <w:t>3</w:t>
      </w:r>
      <w:r w:rsidRPr="00D42147">
        <w:t xml:space="preserve"> Reporting Summaries</w:t>
      </w:r>
      <w:bookmarkEnd w:id="85"/>
    </w:p>
    <w:p w14:paraId="0638E6D3" w14:textId="0E661E58" w:rsidR="0008688F" w:rsidRDefault="00E25932" w:rsidP="00ED5B14">
      <w:pPr>
        <w:pStyle w:val="Heading4"/>
      </w:pPr>
      <w:bookmarkStart w:id="86" w:name="_Toc221186105"/>
      <w:r w:rsidRPr="00D42147">
        <w:t>Cloverdale Unified School District</w:t>
      </w:r>
      <w:bookmarkEnd w:id="86"/>
    </w:p>
    <w:p w14:paraId="2B0BE726" w14:textId="2A6E9FF0" w:rsidR="003579E5" w:rsidRPr="003579E5" w:rsidRDefault="003579E5" w:rsidP="005B1F66">
      <w:pPr>
        <w:pStyle w:val="Body"/>
        <w:rPr>
          <w:lang w:val="en"/>
        </w:rPr>
      </w:pPr>
      <w:r w:rsidRPr="003579E5">
        <w:rPr>
          <w:lang w:val="en"/>
        </w:rPr>
        <w:t xml:space="preserve">Cloverdale </w:t>
      </w:r>
      <w:r w:rsidR="00D53DAB">
        <w:rPr>
          <w:lang w:val="en"/>
        </w:rPr>
        <w:t>USD</w:t>
      </w:r>
      <w:r w:rsidRPr="003579E5">
        <w:rPr>
          <w:lang w:val="en"/>
        </w:rPr>
        <w:t xml:space="preserve"> </w:t>
      </w:r>
      <w:r w:rsidR="004D4150">
        <w:rPr>
          <w:lang w:val="en"/>
        </w:rPr>
        <w:t>began</w:t>
      </w:r>
      <w:r w:rsidRPr="003579E5">
        <w:rPr>
          <w:lang w:val="en"/>
        </w:rPr>
        <w:t xml:space="preserve"> grant-supported implementation</w:t>
      </w:r>
      <w:r w:rsidR="001530DA" w:rsidRPr="003579E5">
        <w:rPr>
          <w:lang w:val="en"/>
        </w:rPr>
        <w:t xml:space="preserve">, including staff planning and coordination to strengthen </w:t>
      </w:r>
      <w:r w:rsidR="001123A1">
        <w:rPr>
          <w:lang w:val="en"/>
        </w:rPr>
        <w:t>service-learning</w:t>
      </w:r>
      <w:r w:rsidR="001530DA" w:rsidRPr="003579E5">
        <w:rPr>
          <w:lang w:val="en"/>
        </w:rPr>
        <w:t xml:space="preserve"> in instruction</w:t>
      </w:r>
      <w:r w:rsidR="001530DA">
        <w:rPr>
          <w:lang w:val="en"/>
        </w:rPr>
        <w:t xml:space="preserve"> along with </w:t>
      </w:r>
      <w:r w:rsidR="001530DA" w:rsidRPr="003579E5">
        <w:rPr>
          <w:lang w:val="en"/>
        </w:rPr>
        <w:t>investments in instructional materials and participation costs to support experiential learning opportunities connected to environmental stewardship and outdoor education</w:t>
      </w:r>
      <w:r w:rsidR="001530DA">
        <w:rPr>
          <w:lang w:val="en"/>
        </w:rPr>
        <w:t>,</w:t>
      </w:r>
      <w:r w:rsidRPr="003579E5">
        <w:rPr>
          <w:lang w:val="en"/>
        </w:rPr>
        <w:t xml:space="preserve"> at Cloverdale High School. Cloverdale also </w:t>
      </w:r>
      <w:r w:rsidR="005317D1">
        <w:rPr>
          <w:lang w:val="en"/>
        </w:rPr>
        <w:t xml:space="preserve">used grant funds for </w:t>
      </w:r>
      <w:r w:rsidRPr="003579E5">
        <w:rPr>
          <w:lang w:val="en"/>
        </w:rPr>
        <w:t>costs associated with grant program evaluation, including support for data and reporting needs.</w:t>
      </w:r>
    </w:p>
    <w:p w14:paraId="6AE45E1E" w14:textId="5F2E882C" w:rsidR="003579E5" w:rsidRPr="003579E5" w:rsidRDefault="003579E5" w:rsidP="005B1F66">
      <w:pPr>
        <w:pStyle w:val="Body"/>
      </w:pPr>
      <w:r w:rsidRPr="73EA1E08">
        <w:t xml:space="preserve">During this reporting period, </w:t>
      </w:r>
      <w:r w:rsidR="000271DE" w:rsidRPr="73EA1E08">
        <w:t>Cloverdale USD reported</w:t>
      </w:r>
      <w:r w:rsidR="004B29B3" w:rsidRPr="73EA1E08">
        <w:t xml:space="preserve"> </w:t>
      </w:r>
      <w:r w:rsidRPr="73EA1E08">
        <w:t xml:space="preserve">75 students participating in service-learning activities. </w:t>
      </w:r>
      <w:r w:rsidR="00621EB7" w:rsidRPr="73EA1E08">
        <w:t>T</w:t>
      </w:r>
      <w:r w:rsidR="006F5D77" w:rsidRPr="73EA1E08">
        <w:t>hree</w:t>
      </w:r>
      <w:r w:rsidRPr="73EA1E08">
        <w:t xml:space="preserve"> certificated staff and </w:t>
      </w:r>
      <w:r w:rsidR="006F5D77" w:rsidRPr="73EA1E08">
        <w:t>three</w:t>
      </w:r>
      <w:r w:rsidRPr="73EA1E08">
        <w:t xml:space="preserve"> classified staff </w:t>
      </w:r>
      <w:r w:rsidR="00621EB7" w:rsidRPr="73EA1E08">
        <w:t>supported</w:t>
      </w:r>
      <w:r w:rsidRPr="73EA1E08">
        <w:t xml:space="preserve"> implementation during the period.</w:t>
      </w:r>
    </w:p>
    <w:p w14:paraId="6198F46B" w14:textId="7E98313C" w:rsidR="00E25932" w:rsidRDefault="00E25932" w:rsidP="00ED5B14">
      <w:pPr>
        <w:pStyle w:val="Heading4"/>
      </w:pPr>
      <w:bookmarkStart w:id="87" w:name="_Toc221186106"/>
      <w:r w:rsidRPr="00D42147">
        <w:t>Modesto City High School District</w:t>
      </w:r>
      <w:bookmarkEnd w:id="87"/>
    </w:p>
    <w:p w14:paraId="76680282" w14:textId="55B4DD3E" w:rsidR="0058734F" w:rsidRPr="0058734F" w:rsidRDefault="0058734F" w:rsidP="00EA1A37">
      <w:pPr>
        <w:pStyle w:val="Body"/>
      </w:pPr>
      <w:r w:rsidRPr="73EA1E08">
        <w:t xml:space="preserve">Modesto City High School District reported early implementation across multiple high school sites with a strong emphasis on teacher planning time and professional learning to expand </w:t>
      </w:r>
      <w:r w:rsidR="001123A1">
        <w:t>service-learning</w:t>
      </w:r>
      <w:r w:rsidRPr="73EA1E08">
        <w:t xml:space="preserve"> and civic engagement opportunities. The district </w:t>
      </w:r>
      <w:r w:rsidR="00B13930" w:rsidRPr="73EA1E08">
        <w:t>is</w:t>
      </w:r>
      <w:r w:rsidRPr="73EA1E08">
        <w:t xml:space="preserve"> planning </w:t>
      </w:r>
      <w:proofErr w:type="gramStart"/>
      <w:r w:rsidRPr="73EA1E08">
        <w:t>supports</w:t>
      </w:r>
      <w:proofErr w:type="gramEnd"/>
      <w:r w:rsidRPr="73EA1E08">
        <w:t xml:space="preserve"> for educators and early integration of civic activities intended to strengthen student writing and thinking in preparation for SSCE-aligned work.</w:t>
      </w:r>
    </w:p>
    <w:p w14:paraId="17AC9CCF" w14:textId="0D903858" w:rsidR="0058734F" w:rsidRPr="0058734F" w:rsidRDefault="0058734F" w:rsidP="00EA1A37">
      <w:pPr>
        <w:pStyle w:val="Body"/>
      </w:pPr>
      <w:r w:rsidRPr="73EA1E08">
        <w:t xml:space="preserve">The district also identified a capacity-related challenge connected to staffing </w:t>
      </w:r>
      <w:r w:rsidR="00F0759E">
        <w:t>and</w:t>
      </w:r>
      <w:r w:rsidRPr="73EA1E08">
        <w:t xml:space="preserve"> formalizing roles needed to support teachers and students engaged in civic projects, </w:t>
      </w:r>
      <w:r w:rsidR="001530DA">
        <w:t xml:space="preserve">which </w:t>
      </w:r>
      <w:r w:rsidRPr="73EA1E08">
        <w:t>reflect</w:t>
      </w:r>
      <w:r w:rsidR="001530DA">
        <w:t>s</w:t>
      </w:r>
      <w:r w:rsidRPr="73EA1E08">
        <w:t xml:space="preserve"> common start-up constraints in early grant implementation.</w:t>
      </w:r>
    </w:p>
    <w:p w14:paraId="03D18E8D" w14:textId="2158C2D9" w:rsidR="00E25932" w:rsidRDefault="00E25932" w:rsidP="00ED5B14">
      <w:pPr>
        <w:pStyle w:val="Heading4"/>
      </w:pPr>
      <w:bookmarkStart w:id="88" w:name="_Toc221186107"/>
      <w:r w:rsidRPr="00D42147">
        <w:lastRenderedPageBreak/>
        <w:t>Monterey Peninsula Unified School District</w:t>
      </w:r>
      <w:bookmarkEnd w:id="88"/>
    </w:p>
    <w:p w14:paraId="61C7576F" w14:textId="7331FD3A" w:rsidR="0058734F" w:rsidRPr="0058734F" w:rsidRDefault="0058734F" w:rsidP="00EA1A37">
      <w:pPr>
        <w:pStyle w:val="Body"/>
      </w:pPr>
      <w:r w:rsidRPr="73EA1E08">
        <w:t xml:space="preserve">Monterey Peninsula </w:t>
      </w:r>
      <w:r w:rsidR="00E10A98" w:rsidRPr="73EA1E08">
        <w:t>USD</w:t>
      </w:r>
      <w:r w:rsidR="00C5197D" w:rsidRPr="73EA1E08">
        <w:t xml:space="preserve">, which </w:t>
      </w:r>
      <w:r w:rsidR="00BC271D" w:rsidRPr="73EA1E08">
        <w:t xml:space="preserve">supports </w:t>
      </w:r>
      <w:r w:rsidRPr="73EA1E08">
        <w:t>Monterey High School, Seaside High School, and Marina High School</w:t>
      </w:r>
      <w:r w:rsidR="00C5197D" w:rsidRPr="73EA1E08">
        <w:t>,</w:t>
      </w:r>
      <w:r w:rsidRPr="73EA1E08">
        <w:t xml:space="preserve"> </w:t>
      </w:r>
      <w:r w:rsidR="00BC271D" w:rsidRPr="73EA1E08">
        <w:t>focused on building a</w:t>
      </w:r>
      <w:r w:rsidRPr="73EA1E08">
        <w:t xml:space="preserve"> foundational infrastructure for SSCE-aligned </w:t>
      </w:r>
      <w:r w:rsidR="001123A1">
        <w:t>service-learning</w:t>
      </w:r>
      <w:r w:rsidRPr="73EA1E08">
        <w:t xml:space="preserve">. The LEA </w:t>
      </w:r>
      <w:r w:rsidR="00C171B7" w:rsidRPr="73EA1E08">
        <w:t xml:space="preserve">established </w:t>
      </w:r>
      <w:r w:rsidRPr="73EA1E08">
        <w:t>internal coordination and planning structures intended to expand student access and strengthen implementation over time, including early steps toward clearer systems for communication, support, and tracking.</w:t>
      </w:r>
    </w:p>
    <w:p w14:paraId="14EF2093" w14:textId="381CD45F" w:rsidR="0058734F" w:rsidRPr="0058734F" w:rsidRDefault="0058734F" w:rsidP="00EA1A37">
      <w:pPr>
        <w:pStyle w:val="Body"/>
      </w:pPr>
      <w:r w:rsidRPr="73EA1E08">
        <w:t xml:space="preserve">For this reporting window, </w:t>
      </w:r>
      <w:r w:rsidR="00165305" w:rsidRPr="73EA1E08">
        <w:t xml:space="preserve">no students </w:t>
      </w:r>
      <w:r w:rsidR="00AD396B" w:rsidRPr="73EA1E08">
        <w:t>were reported as being involved in grant-related activities</w:t>
      </w:r>
      <w:r w:rsidR="00165305" w:rsidRPr="73EA1E08">
        <w:t xml:space="preserve">. </w:t>
      </w:r>
      <w:r w:rsidR="00C5197D" w:rsidRPr="73EA1E08">
        <w:t>S</w:t>
      </w:r>
      <w:r w:rsidRPr="73EA1E08">
        <w:t>tart-up and timeline constraints</w:t>
      </w:r>
      <w:r w:rsidR="00C5197D" w:rsidRPr="73EA1E08">
        <w:t xml:space="preserve"> were </w:t>
      </w:r>
      <w:r w:rsidRPr="73EA1E08">
        <w:t xml:space="preserve">a key implementation challenge, </w:t>
      </w:r>
      <w:r w:rsidR="001530DA">
        <w:t>and</w:t>
      </w:r>
      <w:r w:rsidRPr="73EA1E08">
        <w:t xml:space="preserve"> early quarters were primarily used to prepare for fuller implementation in later periods.</w:t>
      </w:r>
    </w:p>
    <w:p w14:paraId="26D6FA51" w14:textId="38064146" w:rsidR="00E25932" w:rsidRDefault="00E25932" w:rsidP="00ED5B14">
      <w:pPr>
        <w:pStyle w:val="Heading4"/>
      </w:pPr>
      <w:bookmarkStart w:id="89" w:name="_Toc221186108"/>
      <w:r w:rsidRPr="00D42147">
        <w:t>Napa County Office of Education</w:t>
      </w:r>
      <w:bookmarkEnd w:id="89"/>
    </w:p>
    <w:p w14:paraId="62532652" w14:textId="7238130C" w:rsidR="0058734F" w:rsidRPr="0058734F" w:rsidRDefault="0058734F" w:rsidP="00EA1A37">
      <w:pPr>
        <w:pStyle w:val="Body"/>
      </w:pPr>
      <w:r w:rsidRPr="73EA1E08">
        <w:t xml:space="preserve">Napa </w:t>
      </w:r>
      <w:r w:rsidR="00BB287C" w:rsidRPr="73EA1E08">
        <w:t>COE</w:t>
      </w:r>
      <w:r w:rsidRPr="73EA1E08">
        <w:t xml:space="preserve"> reported a county-led approach emphasizing coordination with districts and expanded learning structures to build service-learning capacity and increase SSCE access over time. </w:t>
      </w:r>
      <w:r w:rsidR="00BB287C" w:rsidRPr="73EA1E08">
        <w:t xml:space="preserve">This included </w:t>
      </w:r>
      <w:r w:rsidRPr="73EA1E08">
        <w:t xml:space="preserve">outreach and engagement with local education leaders and planning for professional learning </w:t>
      </w:r>
      <w:proofErr w:type="gramStart"/>
      <w:r w:rsidRPr="73EA1E08">
        <w:t>supports</w:t>
      </w:r>
      <w:proofErr w:type="gramEnd"/>
      <w:r w:rsidRPr="73EA1E08">
        <w:t xml:space="preserve">. </w:t>
      </w:r>
      <w:r w:rsidR="00BB287C" w:rsidRPr="73EA1E08">
        <w:t>Students participated</w:t>
      </w:r>
      <w:r w:rsidRPr="73EA1E08">
        <w:t xml:space="preserve"> through expanded learning contexts and community-facing service activities (</w:t>
      </w:r>
      <w:r w:rsidR="00E85F0F" w:rsidRPr="73EA1E08">
        <w:t xml:space="preserve">e.g., </w:t>
      </w:r>
      <w:r w:rsidRPr="73EA1E08">
        <w:t>environmental initiatives and donation/food drive-type projects) as part of early program development and engagement.</w:t>
      </w:r>
    </w:p>
    <w:p w14:paraId="485D90A0" w14:textId="634070ED" w:rsidR="0058734F" w:rsidRPr="0058734F" w:rsidRDefault="00AD396B" w:rsidP="00EA1A37">
      <w:pPr>
        <w:pStyle w:val="Body"/>
        <w:rPr>
          <w:lang w:val="en"/>
        </w:rPr>
      </w:pPr>
      <w:r>
        <w:rPr>
          <w:lang w:val="en"/>
        </w:rPr>
        <w:t xml:space="preserve">During this reporting period, </w:t>
      </w:r>
      <w:r w:rsidR="00E85F0F">
        <w:rPr>
          <w:lang w:val="en"/>
        </w:rPr>
        <w:t>six</w:t>
      </w:r>
      <w:r w:rsidR="0058734F" w:rsidRPr="0058734F">
        <w:rPr>
          <w:lang w:val="en"/>
        </w:rPr>
        <w:t xml:space="preserve"> classified staff </w:t>
      </w:r>
      <w:r w:rsidR="00E85F0F">
        <w:rPr>
          <w:lang w:val="en"/>
        </w:rPr>
        <w:t>supported</w:t>
      </w:r>
      <w:r w:rsidR="0058734F" w:rsidRPr="0058734F">
        <w:rPr>
          <w:lang w:val="en"/>
        </w:rPr>
        <w:t xml:space="preserve"> grant-related </w:t>
      </w:r>
      <w:r w:rsidR="00E85F0F">
        <w:rPr>
          <w:lang w:val="en"/>
        </w:rPr>
        <w:t>development work</w:t>
      </w:r>
      <w:r w:rsidR="0058734F" w:rsidRPr="0058734F">
        <w:rPr>
          <w:lang w:val="en"/>
        </w:rPr>
        <w:t xml:space="preserve">. </w:t>
      </w:r>
      <w:r w:rsidR="00E85F0F">
        <w:rPr>
          <w:lang w:val="en"/>
        </w:rPr>
        <w:t>Implementation ch</w:t>
      </w:r>
      <w:r w:rsidR="0058734F" w:rsidRPr="0058734F">
        <w:rPr>
          <w:lang w:val="en"/>
        </w:rPr>
        <w:t xml:space="preserve">allenges </w:t>
      </w:r>
      <w:r w:rsidR="00E85F0F">
        <w:rPr>
          <w:lang w:val="en"/>
        </w:rPr>
        <w:t xml:space="preserve">included </w:t>
      </w:r>
      <w:r w:rsidR="0058734F" w:rsidRPr="0058734F">
        <w:rPr>
          <w:lang w:val="en"/>
        </w:rPr>
        <w:t>the logistical complexity of coordinating across sites and addressing student access barriers such as transportation and attendance-related constraints.</w:t>
      </w:r>
    </w:p>
    <w:p w14:paraId="04506202" w14:textId="5D7EA961" w:rsidR="00E25932" w:rsidRDefault="00E25932" w:rsidP="00ED5B14">
      <w:pPr>
        <w:pStyle w:val="Heading4"/>
      </w:pPr>
      <w:bookmarkStart w:id="90" w:name="_Toc221186109"/>
      <w:r w:rsidRPr="00D42147">
        <w:t>Natomas Unified School District</w:t>
      </w:r>
      <w:bookmarkEnd w:id="90"/>
    </w:p>
    <w:p w14:paraId="4BE3AB81" w14:textId="5418732D" w:rsidR="00693ED3" w:rsidRPr="00693ED3" w:rsidRDefault="00693ED3" w:rsidP="00EA1A37">
      <w:pPr>
        <w:pStyle w:val="Body"/>
      </w:pPr>
      <w:r w:rsidRPr="73EA1E08">
        <w:t xml:space="preserve">Natomas </w:t>
      </w:r>
      <w:r w:rsidR="00362E7C" w:rsidRPr="73EA1E08">
        <w:t>USD</w:t>
      </w:r>
      <w:r w:rsidRPr="73EA1E08">
        <w:t xml:space="preserve"> </w:t>
      </w:r>
      <w:r w:rsidR="00A6092F" w:rsidRPr="73EA1E08">
        <w:t>implemented</w:t>
      </w:r>
      <w:r w:rsidRPr="73EA1E08">
        <w:t xml:space="preserve"> SSCE-aligned professional learning </w:t>
      </w:r>
      <w:r w:rsidR="00BC4501" w:rsidRPr="73EA1E08">
        <w:t xml:space="preserve">that focused on expanding student access to service-learning opportunities. </w:t>
      </w:r>
      <w:r w:rsidR="008D6F09" w:rsidRPr="73EA1E08">
        <w:t>This included building</w:t>
      </w:r>
      <w:r w:rsidRPr="73EA1E08">
        <w:t xml:space="preserve"> sustainable infrastructure,</w:t>
      </w:r>
      <w:r w:rsidR="008D6F09" w:rsidRPr="73EA1E08">
        <w:t xml:space="preserve"> adjusting staffing, and working toward districtwide coordination.</w:t>
      </w:r>
    </w:p>
    <w:p w14:paraId="19547CA9" w14:textId="459DD451" w:rsidR="00693ED3" w:rsidRPr="00693ED3" w:rsidRDefault="00693ED3" w:rsidP="00EA1A37">
      <w:pPr>
        <w:pStyle w:val="Body"/>
      </w:pPr>
      <w:r w:rsidRPr="0301B154">
        <w:t>Natomas USD</w:t>
      </w:r>
      <w:r w:rsidR="0041200B" w:rsidRPr="0301B154">
        <w:t xml:space="preserve"> reported</w:t>
      </w:r>
      <w:r w:rsidR="008D6F09" w:rsidRPr="0301B154">
        <w:t xml:space="preserve"> </w:t>
      </w:r>
      <w:r w:rsidRPr="0301B154">
        <w:t xml:space="preserve">124 students participating in </w:t>
      </w:r>
      <w:r w:rsidR="001123A1">
        <w:t>service-learning</w:t>
      </w:r>
      <w:r w:rsidRPr="0301B154">
        <w:t xml:space="preserve">. </w:t>
      </w:r>
      <w:r w:rsidR="008D6F09" w:rsidRPr="0301B154">
        <w:t>Twenty</w:t>
      </w:r>
      <w:r w:rsidRPr="0301B154">
        <w:t xml:space="preserve"> certificated staff and </w:t>
      </w:r>
      <w:r w:rsidR="008D6F09" w:rsidRPr="0301B154">
        <w:t>two</w:t>
      </w:r>
      <w:r w:rsidRPr="0301B154">
        <w:t xml:space="preserve"> classified staff </w:t>
      </w:r>
      <w:r w:rsidR="008D6F09" w:rsidRPr="0301B154">
        <w:t>supported</w:t>
      </w:r>
      <w:r w:rsidRPr="0301B154">
        <w:t xml:space="preserve"> implementation during the reporting period. </w:t>
      </w:r>
      <w:r w:rsidR="003B1481" w:rsidRPr="0301B154">
        <w:t>Challenges included</w:t>
      </w:r>
      <w:r w:rsidRPr="0301B154">
        <w:t xml:space="preserve"> balancing district leadership and classroom instruction, coordinating across sites, and navigating staffing shortages while</w:t>
      </w:r>
      <w:r w:rsidR="008B4308" w:rsidRPr="0301B154">
        <w:t xml:space="preserve"> expanding access to the SSCE.</w:t>
      </w:r>
    </w:p>
    <w:p w14:paraId="0B3C4748" w14:textId="329646B3" w:rsidR="00E25932" w:rsidRDefault="00E25932" w:rsidP="00ED5B14">
      <w:pPr>
        <w:pStyle w:val="Heading4"/>
      </w:pPr>
      <w:bookmarkStart w:id="91" w:name="_Toc221186110"/>
      <w:r w:rsidRPr="00D42147">
        <w:t>Oakland Unified School District</w:t>
      </w:r>
      <w:bookmarkEnd w:id="91"/>
    </w:p>
    <w:p w14:paraId="5F1E597D" w14:textId="51A22A6C" w:rsidR="00693ED3" w:rsidRPr="00693ED3" w:rsidRDefault="00693ED3" w:rsidP="00EA1A37">
      <w:pPr>
        <w:pStyle w:val="Body"/>
        <w:rPr>
          <w:lang w:val="en"/>
        </w:rPr>
      </w:pPr>
      <w:r w:rsidRPr="00693ED3">
        <w:rPr>
          <w:lang w:val="en"/>
        </w:rPr>
        <w:t xml:space="preserve">Oakland </w:t>
      </w:r>
      <w:r w:rsidR="008B4308">
        <w:rPr>
          <w:lang w:val="en"/>
        </w:rPr>
        <w:t>USD</w:t>
      </w:r>
      <w:r w:rsidRPr="00693ED3">
        <w:rPr>
          <w:lang w:val="en"/>
        </w:rPr>
        <w:t xml:space="preserve"> </w:t>
      </w:r>
      <w:r w:rsidR="00660B67">
        <w:rPr>
          <w:lang w:val="en"/>
        </w:rPr>
        <w:t>reported efforts toward</w:t>
      </w:r>
      <w:r w:rsidRPr="00693ED3">
        <w:rPr>
          <w:lang w:val="en"/>
        </w:rPr>
        <w:t xml:space="preserve"> capacity-building, communication, and improving SSCE access through outreach and alignment work across multiple school contexts</w:t>
      </w:r>
      <w:r w:rsidR="00660B67">
        <w:rPr>
          <w:lang w:val="en"/>
        </w:rPr>
        <w:t xml:space="preserve"> </w:t>
      </w:r>
      <w:r w:rsidR="00660B67">
        <w:rPr>
          <w:lang w:val="en"/>
        </w:rPr>
        <w:lastRenderedPageBreak/>
        <w:t xml:space="preserve">along with </w:t>
      </w:r>
      <w:r w:rsidRPr="00693ED3">
        <w:rPr>
          <w:lang w:val="en"/>
        </w:rPr>
        <w:t xml:space="preserve">collaboration with internal stakeholders and external partners. </w:t>
      </w:r>
      <w:r w:rsidR="00660B67">
        <w:rPr>
          <w:lang w:val="en"/>
        </w:rPr>
        <w:t xml:space="preserve">The district also implemented SSCE outreach efforts directed at students. </w:t>
      </w:r>
    </w:p>
    <w:p w14:paraId="30CD0094" w14:textId="52FD8F5F" w:rsidR="00693ED3" w:rsidRPr="00693ED3" w:rsidRDefault="00773DBC" w:rsidP="00EA1A37">
      <w:pPr>
        <w:pStyle w:val="Body"/>
        <w:rPr>
          <w:lang w:val="en"/>
        </w:rPr>
      </w:pPr>
      <w:r>
        <w:rPr>
          <w:lang w:val="en"/>
        </w:rPr>
        <w:t xml:space="preserve">Oakland USD </w:t>
      </w:r>
      <w:r w:rsidR="00AD396B">
        <w:rPr>
          <w:lang w:val="en"/>
        </w:rPr>
        <w:t>reported that</w:t>
      </w:r>
      <w:r w:rsidR="00693ED3" w:rsidRPr="00693ED3">
        <w:rPr>
          <w:lang w:val="en"/>
        </w:rPr>
        <w:t xml:space="preserve"> 14 certificated staff and </w:t>
      </w:r>
      <w:r w:rsidR="004608F9">
        <w:rPr>
          <w:lang w:val="en"/>
        </w:rPr>
        <w:t>five</w:t>
      </w:r>
      <w:r w:rsidR="00693ED3" w:rsidRPr="00693ED3">
        <w:rPr>
          <w:lang w:val="en"/>
        </w:rPr>
        <w:t xml:space="preserve"> classified staff </w:t>
      </w:r>
      <w:r w:rsidR="004608F9">
        <w:rPr>
          <w:lang w:val="en"/>
        </w:rPr>
        <w:t>supported early implementation efforts</w:t>
      </w:r>
      <w:r w:rsidR="00693ED3" w:rsidRPr="00693ED3">
        <w:rPr>
          <w:lang w:val="en"/>
        </w:rPr>
        <w:t xml:space="preserve">. </w:t>
      </w:r>
      <w:r w:rsidR="00630270">
        <w:rPr>
          <w:lang w:val="en"/>
        </w:rPr>
        <w:t xml:space="preserve">Logistical challenges </w:t>
      </w:r>
      <w:proofErr w:type="gramStart"/>
      <w:r w:rsidR="00630270">
        <w:rPr>
          <w:lang w:val="en"/>
        </w:rPr>
        <w:t>inclu</w:t>
      </w:r>
      <w:r w:rsidR="006543A4">
        <w:rPr>
          <w:lang w:val="en"/>
        </w:rPr>
        <w:t>ded</w:t>
      </w:r>
      <w:proofErr w:type="gramEnd"/>
      <w:r w:rsidR="00693ED3" w:rsidRPr="00693ED3">
        <w:rPr>
          <w:lang w:val="en"/>
        </w:rPr>
        <w:t xml:space="preserve"> implementing civic engagement supports at scale and coordinating consistent implementation across sites.</w:t>
      </w:r>
    </w:p>
    <w:p w14:paraId="3CF628E9" w14:textId="2AEC9080" w:rsidR="00E25932" w:rsidRDefault="00E25932" w:rsidP="00ED5B14">
      <w:pPr>
        <w:pStyle w:val="Heading4"/>
      </w:pPr>
      <w:bookmarkStart w:id="92" w:name="_Toc221186111"/>
      <w:r w:rsidRPr="00D42147">
        <w:t>Oxnard Union High School District</w:t>
      </w:r>
      <w:bookmarkEnd w:id="92"/>
    </w:p>
    <w:p w14:paraId="494113DA" w14:textId="0EA0C63C" w:rsidR="00693ED3" w:rsidRPr="00693ED3" w:rsidRDefault="00693ED3" w:rsidP="00EA1A37">
      <w:pPr>
        <w:pStyle w:val="Body"/>
        <w:rPr>
          <w:lang w:val="en"/>
        </w:rPr>
      </w:pPr>
      <w:r w:rsidRPr="00693ED3">
        <w:rPr>
          <w:lang w:val="en"/>
        </w:rPr>
        <w:t xml:space="preserve">Oxnard Union High School District reported no grant-related activities or expenses during this reporting period. </w:t>
      </w:r>
    </w:p>
    <w:p w14:paraId="7CC3E3C5" w14:textId="0AFDB78F" w:rsidR="00E25932" w:rsidRDefault="00E25932" w:rsidP="00ED5B14">
      <w:pPr>
        <w:pStyle w:val="Heading4"/>
      </w:pPr>
      <w:bookmarkStart w:id="93" w:name="_Toc221186112"/>
      <w:r w:rsidRPr="00D42147">
        <w:t>San Bernardino City Unified School District</w:t>
      </w:r>
      <w:bookmarkEnd w:id="93"/>
    </w:p>
    <w:p w14:paraId="2115F6EF" w14:textId="11833516" w:rsidR="0008406F" w:rsidRPr="0008406F" w:rsidRDefault="0008406F" w:rsidP="00EA1A37">
      <w:pPr>
        <w:pStyle w:val="Body"/>
        <w:rPr>
          <w:lang w:val="en"/>
        </w:rPr>
      </w:pPr>
      <w:r w:rsidRPr="0008406F">
        <w:rPr>
          <w:lang w:val="en"/>
        </w:rPr>
        <w:t xml:space="preserve">San Bernardino City </w:t>
      </w:r>
      <w:r w:rsidR="006B3D52">
        <w:rPr>
          <w:lang w:val="en"/>
        </w:rPr>
        <w:t>USD</w:t>
      </w:r>
      <w:r w:rsidRPr="0008406F">
        <w:rPr>
          <w:lang w:val="en"/>
        </w:rPr>
        <w:t xml:space="preserve"> reported no grant-related activities or expenses during this reporting period. </w:t>
      </w:r>
    </w:p>
    <w:p w14:paraId="0173D661" w14:textId="1791AC9E" w:rsidR="00E25932" w:rsidRDefault="00E25932" w:rsidP="00ED5B14">
      <w:pPr>
        <w:pStyle w:val="Heading4"/>
      </w:pPr>
      <w:bookmarkStart w:id="94" w:name="_Toc221186113"/>
      <w:r w:rsidRPr="00D42147">
        <w:t>Siskiyou County Office of Education</w:t>
      </w:r>
      <w:r w:rsidR="00D42147" w:rsidRPr="00D42147">
        <w:t xml:space="preserve"> (Consortium)</w:t>
      </w:r>
      <w:bookmarkEnd w:id="94"/>
    </w:p>
    <w:p w14:paraId="238898CE" w14:textId="7A3B64F3" w:rsidR="0008406F" w:rsidRPr="0008406F" w:rsidRDefault="0008406F" w:rsidP="00EA1A37">
      <w:pPr>
        <w:pStyle w:val="Body"/>
        <w:rPr>
          <w:lang w:val="en"/>
        </w:rPr>
      </w:pPr>
      <w:r w:rsidRPr="0008406F">
        <w:rPr>
          <w:lang w:val="en"/>
        </w:rPr>
        <w:t xml:space="preserve">Siskiyou </w:t>
      </w:r>
      <w:r w:rsidR="006B3D52">
        <w:rPr>
          <w:lang w:val="en"/>
        </w:rPr>
        <w:t>COE</w:t>
      </w:r>
      <w:r w:rsidRPr="0008406F">
        <w:rPr>
          <w:lang w:val="en"/>
        </w:rPr>
        <w:t xml:space="preserve"> reported no grant-related activities or expenses during this reporting period. </w:t>
      </w:r>
    </w:p>
    <w:p w14:paraId="1D8C7F6F" w14:textId="4F991FAB" w:rsidR="00D42147" w:rsidRDefault="00D42147" w:rsidP="00ED5B14">
      <w:pPr>
        <w:pStyle w:val="Heading4"/>
      </w:pPr>
      <w:bookmarkStart w:id="95" w:name="_Toc221186114"/>
      <w:r w:rsidRPr="00D42147">
        <w:t>Sweetwater Union High School District</w:t>
      </w:r>
      <w:bookmarkEnd w:id="95"/>
    </w:p>
    <w:p w14:paraId="72092541" w14:textId="48E1A711" w:rsidR="0008406F" w:rsidRPr="0008406F" w:rsidRDefault="0008406F" w:rsidP="00EA1A37">
      <w:pPr>
        <w:pStyle w:val="Body"/>
        <w:rPr>
          <w:lang w:val="en"/>
        </w:rPr>
      </w:pPr>
      <w:r w:rsidRPr="0008406F">
        <w:rPr>
          <w:lang w:val="en"/>
        </w:rPr>
        <w:t xml:space="preserve">Sweetwater Union High School District reported no grant-related activities or expenses during this reporting period. </w:t>
      </w:r>
    </w:p>
    <w:p w14:paraId="5A777874" w14:textId="0992AEB6" w:rsidR="00D42147" w:rsidRDefault="00D42147" w:rsidP="00ED5B14">
      <w:pPr>
        <w:pStyle w:val="Heading4"/>
      </w:pPr>
      <w:bookmarkStart w:id="96" w:name="_Toc221186115"/>
      <w:r w:rsidRPr="00D42147">
        <w:t>Yolo County Office of Education (Consortium)</w:t>
      </w:r>
      <w:bookmarkEnd w:id="96"/>
    </w:p>
    <w:p w14:paraId="3A7BAEE7" w14:textId="6C2CDF3A" w:rsidR="0008406F" w:rsidRDefault="0008406F" w:rsidP="00EA1A37">
      <w:pPr>
        <w:pStyle w:val="Body"/>
      </w:pPr>
      <w:r w:rsidRPr="0301B154">
        <w:t xml:space="preserve">Yolo </w:t>
      </w:r>
      <w:r w:rsidR="006B3D52" w:rsidRPr="0301B154">
        <w:t>COE</w:t>
      </w:r>
      <w:r w:rsidR="005310D3" w:rsidRPr="0301B154">
        <w:t xml:space="preserve"> </w:t>
      </w:r>
      <w:r w:rsidR="00AB6F52" w:rsidRPr="0301B154">
        <w:t>engaged in early implementation efforts</w:t>
      </w:r>
      <w:r w:rsidR="001530DA">
        <w:t xml:space="preserve"> that include</w:t>
      </w:r>
      <w:r w:rsidR="00AB6F52" w:rsidRPr="0301B154">
        <w:t xml:space="preserve"> developing leadership structures and countywide criteria</w:t>
      </w:r>
      <w:r w:rsidR="006543A4" w:rsidRPr="0301B154">
        <w:t xml:space="preserve">. </w:t>
      </w:r>
      <w:r w:rsidR="00C900D4" w:rsidRPr="0301B154">
        <w:t>They experienced</w:t>
      </w:r>
      <w:r w:rsidRPr="0301B154">
        <w:t xml:space="preserve"> challenges related to start-up coordination and </w:t>
      </w:r>
      <w:proofErr w:type="gramStart"/>
      <w:r w:rsidRPr="0301B154">
        <w:t>establishing</w:t>
      </w:r>
      <w:proofErr w:type="gramEnd"/>
      <w:r w:rsidRPr="0301B154">
        <w:t xml:space="preserve"> leadership team membership and timelines, </w:t>
      </w:r>
      <w:r w:rsidR="001530DA">
        <w:t xml:space="preserve">which </w:t>
      </w:r>
      <w:proofErr w:type="gramStart"/>
      <w:r w:rsidRPr="0301B154">
        <w:t>reflect</w:t>
      </w:r>
      <w:r w:rsidR="001530DA">
        <w:t>s</w:t>
      </w:r>
      <w:proofErr w:type="gramEnd"/>
      <w:r w:rsidRPr="0301B154">
        <w:t xml:space="preserve"> the complexity of consortium-based implementation.</w:t>
      </w:r>
    </w:p>
    <w:p w14:paraId="18323283" w14:textId="2EC97D69" w:rsidR="0008406F" w:rsidRDefault="0008406F" w:rsidP="00ED5B14">
      <w:pPr>
        <w:pStyle w:val="Heading4"/>
      </w:pPr>
      <w:bookmarkStart w:id="97" w:name="_Toc221186116"/>
      <w:r>
        <w:t>Yuba</w:t>
      </w:r>
      <w:r w:rsidRPr="00D42147">
        <w:t xml:space="preserve"> County Office of Education</w:t>
      </w:r>
      <w:bookmarkEnd w:id="97"/>
    </w:p>
    <w:p w14:paraId="6A9BAC2B" w14:textId="107C9D0C" w:rsidR="00D331F6" w:rsidRDefault="00D331F6" w:rsidP="00EA1A37">
      <w:pPr>
        <w:pStyle w:val="Body"/>
        <w:rPr>
          <w:lang w:val="en"/>
        </w:rPr>
      </w:pPr>
      <w:r w:rsidRPr="00D331F6">
        <w:rPr>
          <w:lang w:val="en"/>
        </w:rPr>
        <w:t xml:space="preserve">Yuba </w:t>
      </w:r>
      <w:r w:rsidR="001530DA">
        <w:rPr>
          <w:lang w:val="en"/>
        </w:rPr>
        <w:t>COE</w:t>
      </w:r>
      <w:r w:rsidRPr="00D331F6">
        <w:rPr>
          <w:lang w:val="en"/>
        </w:rPr>
        <w:t xml:space="preserve"> reported no grant-related activities or expenses during this reporting period. </w:t>
      </w:r>
    </w:p>
    <w:p w14:paraId="6ADBD16A" w14:textId="77777777" w:rsidR="006B37F2" w:rsidRDefault="006B37F2">
      <w:pPr>
        <w:spacing w:after="240"/>
        <w:rPr>
          <w:rStyle w:val="Strong"/>
          <w:color w:val="auto"/>
          <w:szCs w:val="22"/>
        </w:rPr>
      </w:pPr>
      <w:r>
        <w:rPr>
          <w:rStyle w:val="Strong"/>
          <w:b w:val="0"/>
          <w:bCs w:val="0"/>
        </w:rPr>
        <w:br w:type="page"/>
      </w:r>
    </w:p>
    <w:p w14:paraId="091E5695" w14:textId="5D17887B" w:rsidR="00D31D7E" w:rsidRDefault="00D31D7E" w:rsidP="00EA1A37">
      <w:pPr>
        <w:pStyle w:val="TableTitle"/>
        <w:rPr>
          <w:rStyle w:val="Strong"/>
          <w:b/>
          <w:bCs/>
        </w:rPr>
      </w:pPr>
      <w:r>
        <w:rPr>
          <w:rStyle w:val="Strong"/>
          <w:b/>
          <w:bCs/>
        </w:rPr>
        <w:lastRenderedPageBreak/>
        <w:t xml:space="preserve">Table 9: </w:t>
      </w:r>
      <w:r w:rsidR="001530DA">
        <w:rPr>
          <w:rStyle w:val="Strong"/>
          <w:b/>
          <w:bCs/>
        </w:rPr>
        <w:t xml:space="preserve">Cohort 3 </w:t>
      </w:r>
      <w:r>
        <w:rPr>
          <w:rStyle w:val="Strong"/>
          <w:b/>
          <w:bCs/>
        </w:rPr>
        <w:t>Summary of Major Service</w:t>
      </w:r>
      <w:r>
        <w:rPr>
          <w:rStyle w:val="Strong"/>
          <w:b/>
          <w:bCs/>
        </w:rPr>
        <w:noBreakHyphen/>
        <w:t>Learning Themes</w:t>
      </w:r>
      <w:r w:rsidR="00E2272D">
        <w:rPr>
          <w:rStyle w:val="Strong"/>
          <w:b/>
          <w:bCs/>
        </w:rPr>
        <w:t xml:space="preserve"> or Key Grant Activities</w:t>
      </w:r>
    </w:p>
    <w:tbl>
      <w:tblPr>
        <w:tblStyle w:val="TableGrid"/>
        <w:tblW w:w="0" w:type="auto"/>
        <w:tblLook w:val="04A0" w:firstRow="1" w:lastRow="0" w:firstColumn="1" w:lastColumn="0" w:noHBand="0" w:noVBand="1"/>
        <w:tblCaption w:val="Table 9: Summary of Major Service-Learning Themes or Key Grant Activities, Cohort 3"/>
        <w:tblDescription w:val="Major service-learning themes or key grant activities for Cohort 3 grantees."/>
      </w:tblPr>
      <w:tblGrid>
        <w:gridCol w:w="3505"/>
        <w:gridCol w:w="5845"/>
      </w:tblGrid>
      <w:tr w:rsidR="00D31D7E" w14:paraId="542AB0B8" w14:textId="77777777">
        <w:trPr>
          <w:tblHeader/>
        </w:trPr>
        <w:tc>
          <w:tcPr>
            <w:tcW w:w="3505" w:type="dxa"/>
          </w:tcPr>
          <w:p w14:paraId="6BEC3C03" w14:textId="77777777" w:rsidR="00D31D7E" w:rsidRDefault="00D31D7E" w:rsidP="005B1F66">
            <w:pPr>
              <w:pStyle w:val="TableTitle"/>
            </w:pPr>
            <w:r>
              <w:t>Grantee</w:t>
            </w:r>
          </w:p>
        </w:tc>
        <w:tc>
          <w:tcPr>
            <w:tcW w:w="5845" w:type="dxa"/>
          </w:tcPr>
          <w:p w14:paraId="60C72D88" w14:textId="60B48941" w:rsidR="00D31D7E" w:rsidRDefault="00D31D7E" w:rsidP="005B1F66">
            <w:pPr>
              <w:pStyle w:val="TableTitle"/>
            </w:pPr>
            <w:r>
              <w:t>Service-Learning Theme</w:t>
            </w:r>
            <w:r w:rsidR="0050799E">
              <w:t xml:space="preserve"> or Key Activities</w:t>
            </w:r>
          </w:p>
        </w:tc>
      </w:tr>
      <w:tr w:rsidR="00D31D7E" w14:paraId="480765E2" w14:textId="77777777">
        <w:tc>
          <w:tcPr>
            <w:tcW w:w="3505" w:type="dxa"/>
          </w:tcPr>
          <w:p w14:paraId="04CA556B" w14:textId="54D34E45" w:rsidR="00D31D7E" w:rsidRPr="00D31D7E" w:rsidRDefault="00D31D7E" w:rsidP="005B1F66">
            <w:pPr>
              <w:pStyle w:val="TableTitle"/>
              <w:rPr>
                <w:b w:val="0"/>
                <w:bCs w:val="0"/>
              </w:rPr>
            </w:pPr>
            <w:r w:rsidRPr="00D31D7E">
              <w:rPr>
                <w:b w:val="0"/>
                <w:bCs w:val="0"/>
              </w:rPr>
              <w:t>Cloverdale USD</w:t>
            </w:r>
          </w:p>
        </w:tc>
        <w:tc>
          <w:tcPr>
            <w:tcW w:w="5845" w:type="dxa"/>
          </w:tcPr>
          <w:p w14:paraId="613BA3CA" w14:textId="3B880052" w:rsidR="00D31D7E" w:rsidRPr="0050799E" w:rsidRDefault="00034C0A" w:rsidP="005B1F66">
            <w:pPr>
              <w:pStyle w:val="TableTitle"/>
              <w:rPr>
                <w:b w:val="0"/>
                <w:bCs w:val="0"/>
              </w:rPr>
            </w:pPr>
            <w:r w:rsidRPr="0050799E">
              <w:rPr>
                <w:b w:val="0"/>
                <w:bCs w:val="0"/>
              </w:rPr>
              <w:t>Environmental stewardship and outdoor education</w:t>
            </w:r>
          </w:p>
        </w:tc>
      </w:tr>
      <w:tr w:rsidR="00D31D7E" w14:paraId="67F6ED17" w14:textId="77777777">
        <w:tc>
          <w:tcPr>
            <w:tcW w:w="3505" w:type="dxa"/>
          </w:tcPr>
          <w:p w14:paraId="5EDC5F59" w14:textId="31065AC6" w:rsidR="00D31D7E" w:rsidRPr="00D31D7E" w:rsidRDefault="00D31D7E" w:rsidP="005B1F66">
            <w:pPr>
              <w:pStyle w:val="TableTitle"/>
              <w:rPr>
                <w:b w:val="0"/>
                <w:bCs w:val="0"/>
              </w:rPr>
            </w:pPr>
            <w:r w:rsidRPr="00D31D7E">
              <w:rPr>
                <w:b w:val="0"/>
                <w:bCs w:val="0"/>
              </w:rPr>
              <w:t>Modesto City High School District</w:t>
            </w:r>
          </w:p>
        </w:tc>
        <w:tc>
          <w:tcPr>
            <w:tcW w:w="5845" w:type="dxa"/>
          </w:tcPr>
          <w:p w14:paraId="4742C7C7" w14:textId="02A088E9" w:rsidR="00D31D7E" w:rsidRPr="0050799E" w:rsidRDefault="0025206B" w:rsidP="005B1F66">
            <w:pPr>
              <w:pStyle w:val="TableTitle"/>
              <w:rPr>
                <w:b w:val="0"/>
                <w:bCs w:val="0"/>
              </w:rPr>
            </w:pPr>
            <w:r w:rsidRPr="0050799E">
              <w:rPr>
                <w:b w:val="0"/>
                <w:bCs w:val="0"/>
              </w:rPr>
              <w:t>Early-stage professional learning and planning</w:t>
            </w:r>
          </w:p>
        </w:tc>
      </w:tr>
      <w:tr w:rsidR="00D31D7E" w14:paraId="5E26A418" w14:textId="77777777">
        <w:tc>
          <w:tcPr>
            <w:tcW w:w="3505" w:type="dxa"/>
          </w:tcPr>
          <w:p w14:paraId="06F2765B" w14:textId="1A1D5C88" w:rsidR="00D31D7E" w:rsidRPr="00D31D7E" w:rsidRDefault="00D31D7E" w:rsidP="005B1F66">
            <w:pPr>
              <w:pStyle w:val="TableTitle"/>
              <w:rPr>
                <w:b w:val="0"/>
                <w:bCs w:val="0"/>
              </w:rPr>
            </w:pPr>
            <w:r w:rsidRPr="00D31D7E">
              <w:rPr>
                <w:b w:val="0"/>
                <w:bCs w:val="0"/>
              </w:rPr>
              <w:t>Monterey Peninsula USD</w:t>
            </w:r>
          </w:p>
        </w:tc>
        <w:tc>
          <w:tcPr>
            <w:tcW w:w="5845" w:type="dxa"/>
          </w:tcPr>
          <w:p w14:paraId="1EB34339" w14:textId="752EE7A1" w:rsidR="00D31D7E" w:rsidRPr="0050799E" w:rsidRDefault="0025206B" w:rsidP="005B1F66">
            <w:pPr>
              <w:pStyle w:val="TableTitle"/>
              <w:rPr>
                <w:b w:val="0"/>
                <w:bCs w:val="0"/>
              </w:rPr>
            </w:pPr>
            <w:r w:rsidRPr="0050799E">
              <w:rPr>
                <w:b w:val="0"/>
                <w:bCs w:val="0"/>
              </w:rPr>
              <w:t>Early-stage coordination and infrastructure</w:t>
            </w:r>
          </w:p>
        </w:tc>
      </w:tr>
      <w:tr w:rsidR="00D31D7E" w14:paraId="0B8A35DF" w14:textId="77777777">
        <w:tc>
          <w:tcPr>
            <w:tcW w:w="3505" w:type="dxa"/>
          </w:tcPr>
          <w:p w14:paraId="0B720404" w14:textId="31CDC825" w:rsidR="00D31D7E" w:rsidRPr="00D31D7E" w:rsidRDefault="00D31D7E" w:rsidP="005B1F66">
            <w:pPr>
              <w:pStyle w:val="TableTitle"/>
              <w:rPr>
                <w:b w:val="0"/>
                <w:bCs w:val="0"/>
              </w:rPr>
            </w:pPr>
            <w:r w:rsidRPr="00D31D7E">
              <w:rPr>
                <w:b w:val="0"/>
                <w:bCs w:val="0"/>
              </w:rPr>
              <w:t>Napa COE</w:t>
            </w:r>
          </w:p>
        </w:tc>
        <w:tc>
          <w:tcPr>
            <w:tcW w:w="5845" w:type="dxa"/>
          </w:tcPr>
          <w:p w14:paraId="3010B205" w14:textId="4C074F61" w:rsidR="00D31D7E" w:rsidRPr="0050799E" w:rsidRDefault="0025206B" w:rsidP="005B1F66">
            <w:pPr>
              <w:pStyle w:val="TableTitle"/>
              <w:rPr>
                <w:b w:val="0"/>
                <w:bCs w:val="0"/>
              </w:rPr>
            </w:pPr>
            <w:r w:rsidRPr="0050799E">
              <w:rPr>
                <w:b w:val="0"/>
                <w:bCs w:val="0"/>
              </w:rPr>
              <w:t>Environmental literacy and expanded learning</w:t>
            </w:r>
          </w:p>
        </w:tc>
      </w:tr>
      <w:tr w:rsidR="00D31D7E" w14:paraId="595A2892" w14:textId="77777777">
        <w:tc>
          <w:tcPr>
            <w:tcW w:w="3505" w:type="dxa"/>
          </w:tcPr>
          <w:p w14:paraId="50416D80" w14:textId="68FEABD9" w:rsidR="00D31D7E" w:rsidRPr="00D31D7E" w:rsidRDefault="00D31D7E" w:rsidP="005B1F66">
            <w:pPr>
              <w:pStyle w:val="TableTitle"/>
              <w:rPr>
                <w:b w:val="0"/>
                <w:bCs w:val="0"/>
              </w:rPr>
            </w:pPr>
            <w:r w:rsidRPr="00D31D7E">
              <w:rPr>
                <w:b w:val="0"/>
                <w:bCs w:val="0"/>
              </w:rPr>
              <w:t>Natomas USD</w:t>
            </w:r>
          </w:p>
        </w:tc>
        <w:tc>
          <w:tcPr>
            <w:tcW w:w="5845" w:type="dxa"/>
          </w:tcPr>
          <w:p w14:paraId="791297E5" w14:textId="0EE7013C" w:rsidR="00D31D7E" w:rsidRPr="0050799E" w:rsidRDefault="0025206B" w:rsidP="005B1F66">
            <w:pPr>
              <w:pStyle w:val="TableTitle"/>
              <w:rPr>
                <w:b w:val="0"/>
                <w:bCs w:val="0"/>
              </w:rPr>
            </w:pPr>
            <w:r w:rsidRPr="0050799E">
              <w:rPr>
                <w:b w:val="0"/>
                <w:bCs w:val="0"/>
              </w:rPr>
              <w:t>Classroom implementation and building partnerships</w:t>
            </w:r>
          </w:p>
        </w:tc>
      </w:tr>
      <w:tr w:rsidR="00D31D7E" w14:paraId="32AA0762" w14:textId="77777777">
        <w:tc>
          <w:tcPr>
            <w:tcW w:w="3505" w:type="dxa"/>
          </w:tcPr>
          <w:p w14:paraId="72D356F5" w14:textId="4069F9EA" w:rsidR="00D31D7E" w:rsidRPr="00D31D7E" w:rsidRDefault="00D31D7E" w:rsidP="005B1F66">
            <w:pPr>
              <w:pStyle w:val="TableTitle"/>
              <w:rPr>
                <w:b w:val="0"/>
                <w:bCs w:val="0"/>
              </w:rPr>
            </w:pPr>
            <w:r w:rsidRPr="00D31D7E">
              <w:rPr>
                <w:b w:val="0"/>
                <w:bCs w:val="0"/>
              </w:rPr>
              <w:t>Oakland USD</w:t>
            </w:r>
          </w:p>
        </w:tc>
        <w:tc>
          <w:tcPr>
            <w:tcW w:w="5845" w:type="dxa"/>
          </w:tcPr>
          <w:p w14:paraId="30BBE0C1" w14:textId="7AF329A8" w:rsidR="00D31D7E" w:rsidRPr="0050799E" w:rsidRDefault="0025206B" w:rsidP="005B1F66">
            <w:pPr>
              <w:pStyle w:val="TableTitle"/>
              <w:rPr>
                <w:b w:val="0"/>
                <w:bCs w:val="0"/>
              </w:rPr>
            </w:pPr>
            <w:r w:rsidRPr="0050799E">
              <w:rPr>
                <w:b w:val="0"/>
                <w:bCs w:val="0"/>
              </w:rPr>
              <w:t>Capacity</w:t>
            </w:r>
            <w:r w:rsidR="000822A0">
              <w:rPr>
                <w:b w:val="0"/>
                <w:bCs w:val="0"/>
              </w:rPr>
              <w:t>-</w:t>
            </w:r>
            <w:r w:rsidRPr="0050799E">
              <w:rPr>
                <w:b w:val="0"/>
                <w:bCs w:val="0"/>
              </w:rPr>
              <w:t>building and student outreach</w:t>
            </w:r>
          </w:p>
        </w:tc>
      </w:tr>
      <w:tr w:rsidR="00D31D7E" w14:paraId="37A2C6A3" w14:textId="77777777">
        <w:tc>
          <w:tcPr>
            <w:tcW w:w="3505" w:type="dxa"/>
          </w:tcPr>
          <w:p w14:paraId="3FEA0814" w14:textId="2F329B51" w:rsidR="00D31D7E" w:rsidRPr="00D31D7E" w:rsidRDefault="00D31D7E" w:rsidP="005B1F66">
            <w:pPr>
              <w:pStyle w:val="TableTitle"/>
              <w:rPr>
                <w:b w:val="0"/>
                <w:bCs w:val="0"/>
              </w:rPr>
            </w:pPr>
            <w:r w:rsidRPr="00D31D7E">
              <w:rPr>
                <w:b w:val="0"/>
                <w:bCs w:val="0"/>
              </w:rPr>
              <w:t>Oxnard Union High School District</w:t>
            </w:r>
          </w:p>
        </w:tc>
        <w:tc>
          <w:tcPr>
            <w:tcW w:w="5845" w:type="dxa"/>
          </w:tcPr>
          <w:p w14:paraId="1044BA11" w14:textId="3FF4780B" w:rsidR="00D31D7E" w:rsidRPr="0050799E" w:rsidRDefault="0050799E" w:rsidP="005B1F66">
            <w:pPr>
              <w:pStyle w:val="TableTitle"/>
              <w:rPr>
                <w:b w:val="0"/>
                <w:bCs w:val="0"/>
              </w:rPr>
            </w:pPr>
            <w:r w:rsidRPr="0050799E">
              <w:rPr>
                <w:b w:val="0"/>
                <w:bCs w:val="0"/>
              </w:rPr>
              <w:t>No grant-related activities reported during this period</w:t>
            </w:r>
          </w:p>
        </w:tc>
      </w:tr>
      <w:tr w:rsidR="0050799E" w14:paraId="5BF8BE34" w14:textId="77777777">
        <w:tc>
          <w:tcPr>
            <w:tcW w:w="3505" w:type="dxa"/>
          </w:tcPr>
          <w:p w14:paraId="7AAB3859" w14:textId="35F84000" w:rsidR="0050799E" w:rsidRPr="00D31D7E" w:rsidRDefault="0050799E" w:rsidP="005B1F66">
            <w:pPr>
              <w:pStyle w:val="TableTitle"/>
              <w:rPr>
                <w:b w:val="0"/>
                <w:bCs w:val="0"/>
              </w:rPr>
            </w:pPr>
            <w:r w:rsidRPr="00D31D7E">
              <w:rPr>
                <w:b w:val="0"/>
                <w:bCs w:val="0"/>
              </w:rPr>
              <w:t>San Bernardino City USD</w:t>
            </w:r>
          </w:p>
        </w:tc>
        <w:tc>
          <w:tcPr>
            <w:tcW w:w="5845" w:type="dxa"/>
          </w:tcPr>
          <w:p w14:paraId="159DA612" w14:textId="543785ED" w:rsidR="0050799E" w:rsidRPr="0050799E" w:rsidRDefault="0050799E" w:rsidP="005B1F66">
            <w:pPr>
              <w:pStyle w:val="TableTitle"/>
              <w:rPr>
                <w:b w:val="0"/>
                <w:bCs w:val="0"/>
              </w:rPr>
            </w:pPr>
            <w:r w:rsidRPr="0050799E">
              <w:rPr>
                <w:b w:val="0"/>
                <w:bCs w:val="0"/>
              </w:rPr>
              <w:t>No grant-related activities reported during this period</w:t>
            </w:r>
          </w:p>
        </w:tc>
      </w:tr>
      <w:tr w:rsidR="0050799E" w14:paraId="3E827B54" w14:textId="77777777">
        <w:tc>
          <w:tcPr>
            <w:tcW w:w="3505" w:type="dxa"/>
          </w:tcPr>
          <w:p w14:paraId="70A5BD89" w14:textId="3DBF6436" w:rsidR="0050799E" w:rsidRPr="00D31D7E" w:rsidRDefault="0050799E" w:rsidP="005B1F66">
            <w:pPr>
              <w:pStyle w:val="TableTitle"/>
              <w:rPr>
                <w:b w:val="0"/>
                <w:bCs w:val="0"/>
              </w:rPr>
            </w:pPr>
            <w:r w:rsidRPr="00D31D7E">
              <w:rPr>
                <w:b w:val="0"/>
                <w:bCs w:val="0"/>
              </w:rPr>
              <w:t>Siskiyou COE (Consortium)</w:t>
            </w:r>
          </w:p>
        </w:tc>
        <w:tc>
          <w:tcPr>
            <w:tcW w:w="5845" w:type="dxa"/>
          </w:tcPr>
          <w:p w14:paraId="21651926" w14:textId="138F55EB" w:rsidR="0050799E" w:rsidRPr="0050799E" w:rsidRDefault="0050799E" w:rsidP="005B1F66">
            <w:pPr>
              <w:pStyle w:val="TableTitle"/>
              <w:rPr>
                <w:b w:val="0"/>
                <w:bCs w:val="0"/>
              </w:rPr>
            </w:pPr>
            <w:r w:rsidRPr="0050799E">
              <w:rPr>
                <w:b w:val="0"/>
                <w:bCs w:val="0"/>
              </w:rPr>
              <w:t>No grant-related activities reported during this period</w:t>
            </w:r>
          </w:p>
        </w:tc>
      </w:tr>
      <w:tr w:rsidR="0050799E" w14:paraId="55C641D8" w14:textId="77777777">
        <w:tc>
          <w:tcPr>
            <w:tcW w:w="3505" w:type="dxa"/>
          </w:tcPr>
          <w:p w14:paraId="2EC22C05" w14:textId="6EB98C48" w:rsidR="0050799E" w:rsidRPr="00D31D7E" w:rsidRDefault="0050799E" w:rsidP="005B1F66">
            <w:pPr>
              <w:pStyle w:val="TableTitle"/>
              <w:rPr>
                <w:b w:val="0"/>
                <w:bCs w:val="0"/>
              </w:rPr>
            </w:pPr>
            <w:r w:rsidRPr="00D31D7E">
              <w:rPr>
                <w:b w:val="0"/>
                <w:bCs w:val="0"/>
              </w:rPr>
              <w:t>Sweetwater Union High School District</w:t>
            </w:r>
          </w:p>
        </w:tc>
        <w:tc>
          <w:tcPr>
            <w:tcW w:w="5845" w:type="dxa"/>
          </w:tcPr>
          <w:p w14:paraId="6A1F81DF" w14:textId="3F5CC728" w:rsidR="0050799E" w:rsidRPr="0050799E" w:rsidRDefault="0050799E" w:rsidP="005B1F66">
            <w:pPr>
              <w:pStyle w:val="TableTitle"/>
              <w:rPr>
                <w:b w:val="0"/>
                <w:bCs w:val="0"/>
              </w:rPr>
            </w:pPr>
            <w:r w:rsidRPr="0050799E">
              <w:rPr>
                <w:b w:val="0"/>
                <w:bCs w:val="0"/>
              </w:rPr>
              <w:t>No grant-related activities reported during this period</w:t>
            </w:r>
          </w:p>
        </w:tc>
      </w:tr>
      <w:tr w:rsidR="00D31D7E" w14:paraId="6C75FB70" w14:textId="77777777">
        <w:tc>
          <w:tcPr>
            <w:tcW w:w="3505" w:type="dxa"/>
          </w:tcPr>
          <w:p w14:paraId="31D8E2A5" w14:textId="7671CDE7" w:rsidR="00D31D7E" w:rsidRPr="00D31D7E" w:rsidRDefault="00D31D7E" w:rsidP="005B1F66">
            <w:pPr>
              <w:pStyle w:val="TableTitle"/>
              <w:rPr>
                <w:b w:val="0"/>
                <w:bCs w:val="0"/>
              </w:rPr>
            </w:pPr>
            <w:r w:rsidRPr="00D31D7E">
              <w:rPr>
                <w:b w:val="0"/>
                <w:bCs w:val="0"/>
              </w:rPr>
              <w:t>Yolo COE</w:t>
            </w:r>
            <w:r>
              <w:rPr>
                <w:b w:val="0"/>
                <w:bCs w:val="0"/>
              </w:rPr>
              <w:t xml:space="preserve"> (Consortium)</w:t>
            </w:r>
          </w:p>
        </w:tc>
        <w:tc>
          <w:tcPr>
            <w:tcW w:w="5845" w:type="dxa"/>
          </w:tcPr>
          <w:p w14:paraId="687BB259" w14:textId="3A09B0EF" w:rsidR="00D31D7E" w:rsidRPr="0050799E" w:rsidRDefault="0050799E" w:rsidP="005B1F66">
            <w:pPr>
              <w:pStyle w:val="TableTitle"/>
              <w:rPr>
                <w:b w:val="0"/>
                <w:bCs w:val="0"/>
              </w:rPr>
            </w:pPr>
            <w:r w:rsidRPr="0050799E">
              <w:rPr>
                <w:b w:val="0"/>
                <w:bCs w:val="0"/>
              </w:rPr>
              <w:t>Building countywide criteria and leadership structures</w:t>
            </w:r>
          </w:p>
        </w:tc>
      </w:tr>
      <w:tr w:rsidR="0050799E" w14:paraId="5AE26B0E" w14:textId="77777777">
        <w:tc>
          <w:tcPr>
            <w:tcW w:w="3505" w:type="dxa"/>
          </w:tcPr>
          <w:p w14:paraId="58FC7915" w14:textId="62FA5F5D" w:rsidR="0050799E" w:rsidRPr="00D31D7E" w:rsidRDefault="0050799E" w:rsidP="001530DA">
            <w:pPr>
              <w:pStyle w:val="TableTitle"/>
              <w:rPr>
                <w:b w:val="0"/>
                <w:bCs w:val="0"/>
              </w:rPr>
            </w:pPr>
            <w:r>
              <w:rPr>
                <w:b w:val="0"/>
                <w:bCs w:val="0"/>
              </w:rPr>
              <w:t>Yuba COE</w:t>
            </w:r>
          </w:p>
        </w:tc>
        <w:tc>
          <w:tcPr>
            <w:tcW w:w="5845" w:type="dxa"/>
          </w:tcPr>
          <w:p w14:paraId="68BDF810" w14:textId="66FCB6AC" w:rsidR="0050799E" w:rsidRPr="0050799E" w:rsidRDefault="0050799E" w:rsidP="001530DA">
            <w:pPr>
              <w:pStyle w:val="TableTitle"/>
              <w:rPr>
                <w:b w:val="0"/>
                <w:bCs w:val="0"/>
              </w:rPr>
            </w:pPr>
            <w:r w:rsidRPr="0050799E">
              <w:rPr>
                <w:b w:val="0"/>
                <w:bCs w:val="0"/>
              </w:rPr>
              <w:t>No grant-related activities reported during this period</w:t>
            </w:r>
          </w:p>
        </w:tc>
      </w:tr>
    </w:tbl>
    <w:p w14:paraId="053BE23D" w14:textId="77777777" w:rsidR="00D31D7E" w:rsidRPr="00994D20" w:rsidRDefault="00D31D7E" w:rsidP="00ED5B14">
      <w:pPr>
        <w:pStyle w:val="Heading3"/>
      </w:pPr>
      <w:bookmarkStart w:id="98" w:name="_Toc221186117"/>
      <w:r w:rsidRPr="00994D20">
        <w:t>Impact on State Seal of Civic Engagement Insignia Requests</w:t>
      </w:r>
      <w:bookmarkEnd w:id="98"/>
    </w:p>
    <w:p w14:paraId="6562FD06" w14:textId="5D92142E" w:rsidR="00D31D7E" w:rsidRPr="00994D20" w:rsidRDefault="00D31D7E" w:rsidP="00EA1A37">
      <w:pPr>
        <w:pStyle w:val="TableTitle"/>
        <w:rPr>
          <w:b w:val="0"/>
          <w:bCs w:val="0"/>
        </w:rPr>
      </w:pPr>
      <w:r>
        <w:rPr>
          <w:b w:val="0"/>
          <w:bCs w:val="0"/>
        </w:rPr>
        <w:t xml:space="preserve">Table </w:t>
      </w:r>
      <w:r w:rsidR="009E5A40">
        <w:rPr>
          <w:b w:val="0"/>
          <w:bCs w:val="0"/>
        </w:rPr>
        <w:t>10</w:t>
      </w:r>
      <w:r w:rsidRPr="00994D20">
        <w:rPr>
          <w:b w:val="0"/>
          <w:bCs w:val="0"/>
        </w:rPr>
        <w:t xml:space="preserve"> shows the number of insignias requested each year since the SSCE has been available</w:t>
      </w:r>
      <w:r w:rsidRPr="005B1F66">
        <w:rPr>
          <w:rStyle w:val="FootnoteReference"/>
          <w:b w:val="0"/>
          <w:bCs w:val="0"/>
        </w:rPr>
        <w:footnoteReference w:id="8"/>
      </w:r>
      <w:r w:rsidRPr="005B1F66">
        <w:rPr>
          <w:b w:val="0"/>
          <w:bCs w:val="0"/>
        </w:rPr>
        <w:t>.</w:t>
      </w:r>
      <w:r w:rsidRPr="00994D20">
        <w:rPr>
          <w:b w:val="0"/>
          <w:bCs w:val="0"/>
        </w:rPr>
        <w:t xml:space="preserve"> The first year that Cohort </w:t>
      </w:r>
      <w:r w:rsidR="003352C4">
        <w:rPr>
          <w:b w:val="0"/>
          <w:bCs w:val="0"/>
        </w:rPr>
        <w:t xml:space="preserve">3 </w:t>
      </w:r>
      <w:r w:rsidRPr="00994D20">
        <w:rPr>
          <w:b w:val="0"/>
          <w:bCs w:val="0"/>
        </w:rPr>
        <w:t xml:space="preserve">grantees </w:t>
      </w:r>
      <w:r w:rsidR="003352C4">
        <w:rPr>
          <w:b w:val="0"/>
          <w:bCs w:val="0"/>
        </w:rPr>
        <w:t>will request</w:t>
      </w:r>
      <w:r w:rsidRPr="00994D20">
        <w:rPr>
          <w:b w:val="0"/>
          <w:bCs w:val="0"/>
        </w:rPr>
        <w:t xml:space="preserve"> insignias during a grant-funded year w</w:t>
      </w:r>
      <w:r w:rsidR="003352C4">
        <w:rPr>
          <w:b w:val="0"/>
          <w:bCs w:val="0"/>
        </w:rPr>
        <w:t>ill be 2025–26.</w:t>
      </w:r>
    </w:p>
    <w:p w14:paraId="674B712A" w14:textId="77777777" w:rsidR="005D646F" w:rsidRDefault="005D646F">
      <w:pPr>
        <w:spacing w:after="240"/>
        <w:rPr>
          <w:b/>
          <w:bCs/>
          <w:color w:val="auto"/>
        </w:rPr>
      </w:pPr>
      <w:r>
        <w:br w:type="page"/>
      </w:r>
    </w:p>
    <w:p w14:paraId="2191B83B" w14:textId="71CD2D30" w:rsidR="00D31D7E" w:rsidRPr="00994D20" w:rsidRDefault="00D31D7E" w:rsidP="00EA1A37">
      <w:pPr>
        <w:pStyle w:val="TableTitle"/>
        <w:rPr>
          <w:szCs w:val="24"/>
        </w:rPr>
      </w:pPr>
      <w:r w:rsidRPr="00994D20">
        <w:rPr>
          <w:szCs w:val="24"/>
        </w:rPr>
        <w:lastRenderedPageBreak/>
        <w:t xml:space="preserve">Table </w:t>
      </w:r>
      <w:r w:rsidR="00140AD3">
        <w:rPr>
          <w:szCs w:val="24"/>
        </w:rPr>
        <w:t>10</w:t>
      </w:r>
      <w:r w:rsidRPr="00994D20">
        <w:rPr>
          <w:szCs w:val="24"/>
        </w:rPr>
        <w:t xml:space="preserve">: Cohort </w:t>
      </w:r>
      <w:r w:rsidR="00140AD3">
        <w:rPr>
          <w:szCs w:val="24"/>
        </w:rPr>
        <w:t>3</w:t>
      </w:r>
      <w:r w:rsidRPr="00994D20">
        <w:rPr>
          <w:szCs w:val="24"/>
        </w:rPr>
        <w:t xml:space="preserve"> State Seal of Civic Engagement Insignia Requests</w:t>
      </w:r>
    </w:p>
    <w:tbl>
      <w:tblPr>
        <w:tblStyle w:val="TableGrid"/>
        <w:tblW w:w="0" w:type="auto"/>
        <w:tblLayout w:type="fixed"/>
        <w:tblLook w:val="04A0" w:firstRow="1" w:lastRow="0" w:firstColumn="1" w:lastColumn="0" w:noHBand="0" w:noVBand="1"/>
        <w:tblCaption w:val="Table 10: Cohort 3 State Seal of Civic Engagement Insignia Requests"/>
        <w:tblDescription w:val="The number of insignia requests from 2020–2025 for Cohort 3 grantees. "/>
      </w:tblPr>
      <w:tblGrid>
        <w:gridCol w:w="3235"/>
        <w:gridCol w:w="1223"/>
        <w:gridCol w:w="1223"/>
        <w:gridCol w:w="1223"/>
        <w:gridCol w:w="1223"/>
        <w:gridCol w:w="1223"/>
      </w:tblGrid>
      <w:tr w:rsidR="00D31D7E" w:rsidRPr="00994D20" w14:paraId="3F8968EF" w14:textId="77777777" w:rsidTr="005D646F">
        <w:trPr>
          <w:cantSplit/>
          <w:trHeight w:val="288"/>
          <w:tblHeader/>
        </w:trPr>
        <w:tc>
          <w:tcPr>
            <w:tcW w:w="3235" w:type="dxa"/>
            <w:noWrap/>
            <w:hideMark/>
          </w:tcPr>
          <w:p w14:paraId="6E557C3C" w14:textId="77777777" w:rsidR="00D31D7E" w:rsidRPr="00994D20" w:rsidRDefault="00D31D7E" w:rsidP="005B1F66">
            <w:pPr>
              <w:pStyle w:val="NormalWeb"/>
              <w:spacing w:before="0" w:beforeAutospacing="0" w:after="0" w:afterAutospacing="0"/>
              <w:rPr>
                <w:rFonts w:ascii="Arial" w:hAnsi="Arial" w:cs="Arial"/>
                <w:b/>
                <w:bCs/>
              </w:rPr>
            </w:pPr>
            <w:r w:rsidRPr="00994D20">
              <w:rPr>
                <w:rFonts w:ascii="Arial" w:hAnsi="Arial" w:cs="Arial"/>
                <w:b/>
                <w:bCs/>
              </w:rPr>
              <w:t>Grantee</w:t>
            </w:r>
          </w:p>
        </w:tc>
        <w:tc>
          <w:tcPr>
            <w:tcW w:w="1223" w:type="dxa"/>
            <w:noWrap/>
            <w:hideMark/>
          </w:tcPr>
          <w:p w14:paraId="608BEA9A" w14:textId="77777777" w:rsidR="00D31D7E" w:rsidRPr="00994D20" w:rsidRDefault="00D31D7E" w:rsidP="005B1F66">
            <w:pPr>
              <w:pStyle w:val="NormalWeb"/>
              <w:spacing w:before="0" w:beforeAutospacing="0" w:after="0" w:afterAutospacing="0"/>
              <w:rPr>
                <w:rFonts w:ascii="Arial" w:hAnsi="Arial" w:cs="Arial"/>
                <w:b/>
                <w:bCs/>
              </w:rPr>
            </w:pPr>
            <w:r w:rsidRPr="00994D20">
              <w:rPr>
                <w:rFonts w:ascii="Arial" w:hAnsi="Arial" w:cs="Arial"/>
                <w:b/>
                <w:bCs/>
              </w:rPr>
              <w:t>2020–21</w:t>
            </w:r>
          </w:p>
        </w:tc>
        <w:tc>
          <w:tcPr>
            <w:tcW w:w="1223" w:type="dxa"/>
            <w:noWrap/>
            <w:hideMark/>
          </w:tcPr>
          <w:p w14:paraId="72B409DB" w14:textId="77777777" w:rsidR="00D31D7E" w:rsidRPr="00994D20" w:rsidRDefault="00D31D7E" w:rsidP="005B1F66">
            <w:pPr>
              <w:pStyle w:val="NormalWeb"/>
              <w:spacing w:before="0" w:beforeAutospacing="0" w:after="0" w:afterAutospacing="0"/>
              <w:rPr>
                <w:rFonts w:ascii="Arial" w:hAnsi="Arial" w:cs="Arial"/>
                <w:b/>
                <w:bCs/>
              </w:rPr>
            </w:pPr>
            <w:r w:rsidRPr="00994D20">
              <w:rPr>
                <w:rFonts w:ascii="Arial" w:hAnsi="Arial" w:cs="Arial"/>
                <w:b/>
                <w:bCs/>
              </w:rPr>
              <w:t>2021–22</w:t>
            </w:r>
          </w:p>
        </w:tc>
        <w:tc>
          <w:tcPr>
            <w:tcW w:w="1223" w:type="dxa"/>
            <w:noWrap/>
            <w:hideMark/>
          </w:tcPr>
          <w:p w14:paraId="7FEB16AF" w14:textId="77777777" w:rsidR="00D31D7E" w:rsidRPr="00994D20" w:rsidRDefault="00D31D7E" w:rsidP="005B1F66">
            <w:pPr>
              <w:pStyle w:val="NormalWeb"/>
              <w:spacing w:before="0" w:beforeAutospacing="0" w:after="0" w:afterAutospacing="0"/>
              <w:rPr>
                <w:rFonts w:ascii="Arial" w:hAnsi="Arial" w:cs="Arial"/>
                <w:b/>
                <w:bCs/>
              </w:rPr>
            </w:pPr>
            <w:r w:rsidRPr="00994D20">
              <w:rPr>
                <w:rFonts w:ascii="Arial" w:hAnsi="Arial" w:cs="Arial"/>
                <w:b/>
                <w:bCs/>
              </w:rPr>
              <w:t>2022–23</w:t>
            </w:r>
          </w:p>
        </w:tc>
        <w:tc>
          <w:tcPr>
            <w:tcW w:w="1223" w:type="dxa"/>
            <w:noWrap/>
            <w:hideMark/>
          </w:tcPr>
          <w:p w14:paraId="78D228CA" w14:textId="77777777" w:rsidR="00D31D7E" w:rsidRPr="00994D20" w:rsidRDefault="00D31D7E" w:rsidP="005B1F66">
            <w:pPr>
              <w:pStyle w:val="NormalWeb"/>
              <w:spacing w:before="0" w:beforeAutospacing="0" w:after="0" w:afterAutospacing="0"/>
              <w:rPr>
                <w:rFonts w:ascii="Arial" w:hAnsi="Arial" w:cs="Arial"/>
                <w:b/>
                <w:bCs/>
              </w:rPr>
            </w:pPr>
            <w:r w:rsidRPr="00994D20">
              <w:rPr>
                <w:rFonts w:ascii="Arial" w:hAnsi="Arial" w:cs="Arial"/>
                <w:b/>
                <w:bCs/>
              </w:rPr>
              <w:t>2023–24</w:t>
            </w:r>
          </w:p>
        </w:tc>
        <w:tc>
          <w:tcPr>
            <w:tcW w:w="1223" w:type="dxa"/>
            <w:noWrap/>
            <w:hideMark/>
          </w:tcPr>
          <w:p w14:paraId="3173B8E8" w14:textId="77777777" w:rsidR="00D31D7E" w:rsidRPr="00994D20" w:rsidRDefault="00D31D7E" w:rsidP="005B1F66">
            <w:pPr>
              <w:pStyle w:val="NormalWeb"/>
              <w:spacing w:before="0" w:beforeAutospacing="0" w:after="0" w:afterAutospacing="0"/>
              <w:rPr>
                <w:rFonts w:ascii="Arial" w:hAnsi="Arial" w:cs="Arial"/>
                <w:b/>
                <w:bCs/>
              </w:rPr>
            </w:pPr>
            <w:r w:rsidRPr="00994D20">
              <w:rPr>
                <w:rFonts w:ascii="Arial" w:hAnsi="Arial" w:cs="Arial"/>
                <w:b/>
                <w:bCs/>
              </w:rPr>
              <w:t>2024–25</w:t>
            </w:r>
          </w:p>
        </w:tc>
      </w:tr>
      <w:tr w:rsidR="00140AD3" w:rsidRPr="00994D20" w14:paraId="6AD8E4A6" w14:textId="77777777" w:rsidTr="005D646F">
        <w:trPr>
          <w:cantSplit/>
          <w:trHeight w:val="288"/>
        </w:trPr>
        <w:tc>
          <w:tcPr>
            <w:tcW w:w="3235" w:type="dxa"/>
            <w:noWrap/>
            <w:hideMark/>
          </w:tcPr>
          <w:p w14:paraId="158B6BB3" w14:textId="28B3FB77"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Cloverdale USD</w:t>
            </w:r>
          </w:p>
        </w:tc>
        <w:tc>
          <w:tcPr>
            <w:tcW w:w="1223" w:type="dxa"/>
            <w:noWrap/>
            <w:hideMark/>
          </w:tcPr>
          <w:p w14:paraId="20AF6176" w14:textId="77777777" w:rsidR="00140AD3" w:rsidRPr="003C6AFE" w:rsidRDefault="00140AD3"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33A9E86" w14:textId="72FBABB1" w:rsidR="00140AD3" w:rsidRPr="003C6AFE" w:rsidRDefault="00F550F2"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7AE0260F" w14:textId="006055CE" w:rsidR="00140AD3" w:rsidRPr="003C6AFE" w:rsidRDefault="00F550F2"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421142D" w14:textId="45110BDA" w:rsidR="00140AD3" w:rsidRPr="003C6AFE" w:rsidRDefault="00F550F2"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40FBD2C" w14:textId="3F4BF4A6" w:rsidR="00140AD3" w:rsidRPr="003C6AFE" w:rsidRDefault="00F550F2" w:rsidP="005B1F66">
            <w:pPr>
              <w:pStyle w:val="NormalWeb"/>
              <w:spacing w:before="0" w:beforeAutospacing="0" w:after="0" w:afterAutospacing="0"/>
              <w:rPr>
                <w:rFonts w:ascii="Arial" w:hAnsi="Arial" w:cs="Arial"/>
              </w:rPr>
            </w:pPr>
            <w:r w:rsidRPr="003C6AFE">
              <w:rPr>
                <w:rFonts w:ascii="Arial" w:hAnsi="Arial" w:cs="Arial"/>
              </w:rPr>
              <w:t>0</w:t>
            </w:r>
          </w:p>
        </w:tc>
      </w:tr>
      <w:tr w:rsidR="00140AD3" w:rsidRPr="00994D20" w14:paraId="1CA76138" w14:textId="77777777" w:rsidTr="005D646F">
        <w:trPr>
          <w:cantSplit/>
          <w:trHeight w:val="288"/>
        </w:trPr>
        <w:tc>
          <w:tcPr>
            <w:tcW w:w="3235" w:type="dxa"/>
            <w:noWrap/>
            <w:hideMark/>
          </w:tcPr>
          <w:p w14:paraId="1DC89FD4" w14:textId="1CE8348F"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Modesto City High School District</w:t>
            </w:r>
          </w:p>
        </w:tc>
        <w:tc>
          <w:tcPr>
            <w:tcW w:w="1223" w:type="dxa"/>
            <w:noWrap/>
            <w:hideMark/>
          </w:tcPr>
          <w:p w14:paraId="34A854AB" w14:textId="6DA7E606" w:rsidR="00140AD3" w:rsidRPr="003C6AFE" w:rsidRDefault="00F550F2" w:rsidP="005B1F66">
            <w:pPr>
              <w:pStyle w:val="NormalWeb"/>
              <w:spacing w:before="0" w:beforeAutospacing="0" w:after="0" w:afterAutospacing="0"/>
              <w:rPr>
                <w:rFonts w:ascii="Arial" w:hAnsi="Arial" w:cs="Arial"/>
              </w:rPr>
            </w:pPr>
            <w:r w:rsidRPr="003C6AFE">
              <w:rPr>
                <w:rFonts w:ascii="Arial" w:hAnsi="Arial" w:cs="Arial"/>
              </w:rPr>
              <w:t>110</w:t>
            </w:r>
          </w:p>
        </w:tc>
        <w:tc>
          <w:tcPr>
            <w:tcW w:w="1223" w:type="dxa"/>
            <w:noWrap/>
            <w:hideMark/>
          </w:tcPr>
          <w:p w14:paraId="38C4F6FE" w14:textId="3CFDEE36" w:rsidR="00140AD3" w:rsidRPr="003C6AFE" w:rsidRDefault="00F550F2" w:rsidP="005B1F66">
            <w:pPr>
              <w:pStyle w:val="NormalWeb"/>
              <w:spacing w:before="0" w:beforeAutospacing="0" w:after="0" w:afterAutospacing="0"/>
              <w:rPr>
                <w:rFonts w:ascii="Arial" w:hAnsi="Arial" w:cs="Arial"/>
              </w:rPr>
            </w:pPr>
            <w:r w:rsidRPr="003C6AFE">
              <w:rPr>
                <w:rFonts w:ascii="Arial" w:hAnsi="Arial" w:cs="Arial"/>
              </w:rPr>
              <w:t>65</w:t>
            </w:r>
          </w:p>
        </w:tc>
        <w:tc>
          <w:tcPr>
            <w:tcW w:w="1223" w:type="dxa"/>
            <w:noWrap/>
            <w:hideMark/>
          </w:tcPr>
          <w:p w14:paraId="77444410" w14:textId="747AB5CA"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54</w:t>
            </w:r>
          </w:p>
        </w:tc>
        <w:tc>
          <w:tcPr>
            <w:tcW w:w="1223" w:type="dxa"/>
            <w:noWrap/>
            <w:hideMark/>
          </w:tcPr>
          <w:p w14:paraId="10F41932" w14:textId="33A2125E"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29</w:t>
            </w:r>
          </w:p>
        </w:tc>
        <w:tc>
          <w:tcPr>
            <w:tcW w:w="1223" w:type="dxa"/>
            <w:noWrap/>
            <w:hideMark/>
          </w:tcPr>
          <w:p w14:paraId="7F773E8B" w14:textId="67833EFE"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24</w:t>
            </w:r>
          </w:p>
        </w:tc>
      </w:tr>
      <w:tr w:rsidR="00140AD3" w:rsidRPr="00994D20" w14:paraId="55A51FB5" w14:textId="77777777" w:rsidTr="005D646F">
        <w:trPr>
          <w:cantSplit/>
          <w:trHeight w:val="288"/>
        </w:trPr>
        <w:tc>
          <w:tcPr>
            <w:tcW w:w="3235" w:type="dxa"/>
            <w:noWrap/>
            <w:hideMark/>
          </w:tcPr>
          <w:p w14:paraId="5C496B99" w14:textId="777691BA"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Monterey Peninsula USD</w:t>
            </w:r>
          </w:p>
        </w:tc>
        <w:tc>
          <w:tcPr>
            <w:tcW w:w="1223" w:type="dxa"/>
            <w:noWrap/>
            <w:hideMark/>
          </w:tcPr>
          <w:p w14:paraId="07B1A6A6" w14:textId="7C370B00"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4552EE85" w14:textId="3ADF6E54"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19953158" w14:textId="76AD447B"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B92CC52" w14:textId="75518E74"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19B526FB" w14:textId="3A38349E"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r>
      <w:tr w:rsidR="00140AD3" w:rsidRPr="00994D20" w14:paraId="554D4D31" w14:textId="77777777" w:rsidTr="005D646F">
        <w:trPr>
          <w:cantSplit/>
          <w:trHeight w:val="288"/>
        </w:trPr>
        <w:tc>
          <w:tcPr>
            <w:tcW w:w="3235" w:type="dxa"/>
            <w:noWrap/>
            <w:hideMark/>
          </w:tcPr>
          <w:p w14:paraId="3ABE4942" w14:textId="0E1FDB3B"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Napa COE</w:t>
            </w:r>
          </w:p>
        </w:tc>
        <w:tc>
          <w:tcPr>
            <w:tcW w:w="1223" w:type="dxa"/>
            <w:noWrap/>
            <w:hideMark/>
          </w:tcPr>
          <w:p w14:paraId="310D2F09" w14:textId="611E1508"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61D23FBD" w14:textId="2A66F94E"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59E41CD6" w14:textId="2C39F4C6"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1F331C27" w14:textId="58249A8E"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6CBD8EA" w14:textId="2B3F0716"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1</w:t>
            </w:r>
          </w:p>
        </w:tc>
      </w:tr>
      <w:tr w:rsidR="00140AD3" w:rsidRPr="00994D20" w14:paraId="2EE459A2" w14:textId="77777777" w:rsidTr="005D646F">
        <w:trPr>
          <w:cantSplit/>
          <w:trHeight w:val="288"/>
        </w:trPr>
        <w:tc>
          <w:tcPr>
            <w:tcW w:w="3235" w:type="dxa"/>
            <w:noWrap/>
            <w:hideMark/>
          </w:tcPr>
          <w:p w14:paraId="119735E2" w14:textId="27D452ED"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Natomas USD</w:t>
            </w:r>
          </w:p>
        </w:tc>
        <w:tc>
          <w:tcPr>
            <w:tcW w:w="1223" w:type="dxa"/>
            <w:noWrap/>
            <w:hideMark/>
          </w:tcPr>
          <w:p w14:paraId="70FAD3D9" w14:textId="07F6B22C"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619E273D" w14:textId="7D532D90"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B542F4C" w14:textId="7A10140B"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37A72BCF" w14:textId="5F05A254"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131</w:t>
            </w:r>
          </w:p>
        </w:tc>
        <w:tc>
          <w:tcPr>
            <w:tcW w:w="1223" w:type="dxa"/>
            <w:noWrap/>
            <w:hideMark/>
          </w:tcPr>
          <w:p w14:paraId="23487CB1" w14:textId="6D6531D8"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552</w:t>
            </w:r>
          </w:p>
        </w:tc>
      </w:tr>
      <w:tr w:rsidR="00140AD3" w:rsidRPr="00994D20" w14:paraId="19EC505B" w14:textId="77777777" w:rsidTr="005D646F">
        <w:trPr>
          <w:cantSplit/>
          <w:trHeight w:val="288"/>
        </w:trPr>
        <w:tc>
          <w:tcPr>
            <w:tcW w:w="3235" w:type="dxa"/>
            <w:noWrap/>
            <w:hideMark/>
          </w:tcPr>
          <w:p w14:paraId="094F72B2" w14:textId="5C5944AC"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Oakland USD</w:t>
            </w:r>
          </w:p>
        </w:tc>
        <w:tc>
          <w:tcPr>
            <w:tcW w:w="1223" w:type="dxa"/>
            <w:noWrap/>
            <w:hideMark/>
          </w:tcPr>
          <w:p w14:paraId="47EFDE25" w14:textId="5F30777D"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582A1638" w14:textId="75CC3F71"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61A347F2" w14:textId="6F5E109A"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300</w:t>
            </w:r>
          </w:p>
        </w:tc>
        <w:tc>
          <w:tcPr>
            <w:tcW w:w="1223" w:type="dxa"/>
            <w:noWrap/>
            <w:hideMark/>
          </w:tcPr>
          <w:p w14:paraId="500BF471" w14:textId="22FA626C"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94</w:t>
            </w:r>
          </w:p>
        </w:tc>
        <w:tc>
          <w:tcPr>
            <w:tcW w:w="1223" w:type="dxa"/>
            <w:noWrap/>
            <w:hideMark/>
          </w:tcPr>
          <w:p w14:paraId="75AD719B" w14:textId="043F6621" w:rsidR="00140AD3" w:rsidRPr="003C6AFE" w:rsidRDefault="00397A11" w:rsidP="005B1F66">
            <w:pPr>
              <w:pStyle w:val="NormalWeb"/>
              <w:spacing w:before="0" w:beforeAutospacing="0" w:after="0" w:afterAutospacing="0"/>
              <w:rPr>
                <w:rFonts w:ascii="Arial" w:hAnsi="Arial" w:cs="Arial"/>
              </w:rPr>
            </w:pPr>
            <w:r w:rsidRPr="003C6AFE">
              <w:rPr>
                <w:rFonts w:ascii="Arial" w:hAnsi="Arial" w:cs="Arial"/>
              </w:rPr>
              <w:t>77</w:t>
            </w:r>
          </w:p>
        </w:tc>
      </w:tr>
      <w:tr w:rsidR="00140AD3" w:rsidRPr="00994D20" w14:paraId="11BEC104" w14:textId="77777777" w:rsidTr="005D646F">
        <w:trPr>
          <w:cantSplit/>
          <w:trHeight w:val="288"/>
        </w:trPr>
        <w:tc>
          <w:tcPr>
            <w:tcW w:w="3235" w:type="dxa"/>
            <w:noWrap/>
            <w:hideMark/>
          </w:tcPr>
          <w:p w14:paraId="19D36F14" w14:textId="58E6C8ED"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Oxnard Union High School District</w:t>
            </w:r>
          </w:p>
        </w:tc>
        <w:tc>
          <w:tcPr>
            <w:tcW w:w="1223" w:type="dxa"/>
            <w:noWrap/>
            <w:hideMark/>
          </w:tcPr>
          <w:p w14:paraId="5F5918B2" w14:textId="1E677E7E"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78155AF9" w14:textId="3DD17ED7"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14</w:t>
            </w:r>
          </w:p>
        </w:tc>
        <w:tc>
          <w:tcPr>
            <w:tcW w:w="1223" w:type="dxa"/>
            <w:noWrap/>
            <w:hideMark/>
          </w:tcPr>
          <w:p w14:paraId="664FFB64" w14:textId="60C62E84"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4</w:t>
            </w:r>
          </w:p>
        </w:tc>
        <w:tc>
          <w:tcPr>
            <w:tcW w:w="1223" w:type="dxa"/>
            <w:noWrap/>
            <w:hideMark/>
          </w:tcPr>
          <w:p w14:paraId="256C0BC3" w14:textId="7B1F6F2B"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30</w:t>
            </w:r>
          </w:p>
        </w:tc>
        <w:tc>
          <w:tcPr>
            <w:tcW w:w="1223" w:type="dxa"/>
            <w:noWrap/>
            <w:hideMark/>
          </w:tcPr>
          <w:p w14:paraId="3D0C08EA" w14:textId="4880AADD"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41</w:t>
            </w:r>
          </w:p>
        </w:tc>
      </w:tr>
      <w:tr w:rsidR="00140AD3" w:rsidRPr="00994D20" w14:paraId="1695AC83" w14:textId="77777777" w:rsidTr="005D646F">
        <w:trPr>
          <w:cantSplit/>
          <w:trHeight w:val="288"/>
        </w:trPr>
        <w:tc>
          <w:tcPr>
            <w:tcW w:w="3235" w:type="dxa"/>
            <w:noWrap/>
            <w:hideMark/>
          </w:tcPr>
          <w:p w14:paraId="5DFF7F48" w14:textId="13AD345C"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San Bernardino City USD</w:t>
            </w:r>
          </w:p>
        </w:tc>
        <w:tc>
          <w:tcPr>
            <w:tcW w:w="1223" w:type="dxa"/>
            <w:noWrap/>
            <w:hideMark/>
          </w:tcPr>
          <w:p w14:paraId="2DC2DC47" w14:textId="0E24CEEA"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27895195" w14:textId="09A1CED6"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5A0B8709" w14:textId="58C58D59"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748502C" w14:textId="17D158CE"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7C384AAC" w14:textId="59FA9BBA"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r>
      <w:tr w:rsidR="00140AD3" w:rsidRPr="00994D20" w14:paraId="5747836A" w14:textId="77777777" w:rsidTr="005D646F">
        <w:trPr>
          <w:cantSplit/>
          <w:trHeight w:val="288"/>
        </w:trPr>
        <w:tc>
          <w:tcPr>
            <w:tcW w:w="3235" w:type="dxa"/>
            <w:noWrap/>
            <w:hideMark/>
          </w:tcPr>
          <w:p w14:paraId="0707D32B" w14:textId="7FA6B416"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Siskiyou COE (Consortium)</w:t>
            </w:r>
          </w:p>
        </w:tc>
        <w:tc>
          <w:tcPr>
            <w:tcW w:w="1223" w:type="dxa"/>
            <w:noWrap/>
            <w:hideMark/>
          </w:tcPr>
          <w:p w14:paraId="523CC73A" w14:textId="543FCDED"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0B3D52A" w14:textId="5F8569E4"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0E055E9D" w14:textId="4AAA1BB5"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7F0B62E8" w14:textId="4284BC3C"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72DE5A9F" w14:textId="2DB9ED9C"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r>
      <w:tr w:rsidR="00140AD3" w:rsidRPr="00994D20" w14:paraId="22A52C70" w14:textId="77777777" w:rsidTr="005D646F">
        <w:trPr>
          <w:cantSplit/>
          <w:trHeight w:val="288"/>
        </w:trPr>
        <w:tc>
          <w:tcPr>
            <w:tcW w:w="3235" w:type="dxa"/>
            <w:noWrap/>
            <w:hideMark/>
          </w:tcPr>
          <w:p w14:paraId="6D896ADF" w14:textId="74263EE0"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Sweetwater Union High School District</w:t>
            </w:r>
          </w:p>
        </w:tc>
        <w:tc>
          <w:tcPr>
            <w:tcW w:w="1223" w:type="dxa"/>
            <w:noWrap/>
            <w:hideMark/>
          </w:tcPr>
          <w:p w14:paraId="4BD5E665" w14:textId="56861280"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67F4946B" w14:textId="129A0154"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2CEEC402" w14:textId="0536A94F"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24</w:t>
            </w:r>
          </w:p>
        </w:tc>
        <w:tc>
          <w:tcPr>
            <w:tcW w:w="1223" w:type="dxa"/>
            <w:noWrap/>
            <w:hideMark/>
          </w:tcPr>
          <w:p w14:paraId="5EE25339" w14:textId="2303ADAF"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6</w:t>
            </w:r>
          </w:p>
        </w:tc>
        <w:tc>
          <w:tcPr>
            <w:tcW w:w="1223" w:type="dxa"/>
            <w:noWrap/>
            <w:hideMark/>
          </w:tcPr>
          <w:p w14:paraId="2B9F8B06" w14:textId="4E767D52" w:rsidR="00140AD3" w:rsidRPr="003C6AFE" w:rsidRDefault="00044D81" w:rsidP="005B1F66">
            <w:pPr>
              <w:pStyle w:val="NormalWeb"/>
              <w:spacing w:before="0" w:beforeAutospacing="0" w:after="0" w:afterAutospacing="0"/>
              <w:rPr>
                <w:rFonts w:ascii="Arial" w:hAnsi="Arial" w:cs="Arial"/>
              </w:rPr>
            </w:pPr>
            <w:r w:rsidRPr="003C6AFE">
              <w:rPr>
                <w:rFonts w:ascii="Arial" w:hAnsi="Arial" w:cs="Arial"/>
              </w:rPr>
              <w:t>57</w:t>
            </w:r>
          </w:p>
        </w:tc>
      </w:tr>
      <w:tr w:rsidR="00140AD3" w:rsidRPr="00994D20" w14:paraId="48415EE3" w14:textId="77777777" w:rsidTr="005D646F">
        <w:trPr>
          <w:cantSplit/>
          <w:trHeight w:val="288"/>
        </w:trPr>
        <w:tc>
          <w:tcPr>
            <w:tcW w:w="3235" w:type="dxa"/>
            <w:noWrap/>
            <w:hideMark/>
          </w:tcPr>
          <w:p w14:paraId="35A69490" w14:textId="35E02765"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Yolo COE (Consortium</w:t>
            </w:r>
            <w:r w:rsidR="009E5A40">
              <w:rPr>
                <w:rFonts w:ascii="Arial" w:hAnsi="Arial" w:cs="Arial"/>
              </w:rPr>
              <w:t>)</w:t>
            </w:r>
          </w:p>
        </w:tc>
        <w:tc>
          <w:tcPr>
            <w:tcW w:w="1223" w:type="dxa"/>
            <w:noWrap/>
            <w:hideMark/>
          </w:tcPr>
          <w:p w14:paraId="529E23EA" w14:textId="5965A4F6"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17D4AC6A" w14:textId="7543F582"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54E72145" w14:textId="4F8B2F2D"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41F427D6" w14:textId="20C001FB"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hideMark/>
          </w:tcPr>
          <w:p w14:paraId="4EA9196E" w14:textId="2FDB63BE"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0</w:t>
            </w:r>
          </w:p>
        </w:tc>
      </w:tr>
      <w:tr w:rsidR="00140AD3" w:rsidRPr="00994D20" w14:paraId="16020E76" w14:textId="77777777" w:rsidTr="005D646F">
        <w:trPr>
          <w:cantSplit/>
          <w:trHeight w:val="288"/>
        </w:trPr>
        <w:tc>
          <w:tcPr>
            <w:tcW w:w="3235" w:type="dxa"/>
            <w:noWrap/>
          </w:tcPr>
          <w:p w14:paraId="38FE343B" w14:textId="077BA009" w:rsidR="00140AD3" w:rsidRPr="00140AD3" w:rsidRDefault="00140AD3" w:rsidP="005B1F66">
            <w:pPr>
              <w:pStyle w:val="NormalWeb"/>
              <w:spacing w:before="0" w:beforeAutospacing="0" w:after="0" w:afterAutospacing="0"/>
              <w:rPr>
                <w:rFonts w:ascii="Arial" w:hAnsi="Arial" w:cs="Arial"/>
              </w:rPr>
            </w:pPr>
            <w:r w:rsidRPr="00140AD3">
              <w:rPr>
                <w:rFonts w:ascii="Arial" w:hAnsi="Arial" w:cs="Arial"/>
              </w:rPr>
              <w:t>Yuba COE</w:t>
            </w:r>
          </w:p>
        </w:tc>
        <w:tc>
          <w:tcPr>
            <w:tcW w:w="1223" w:type="dxa"/>
            <w:noWrap/>
          </w:tcPr>
          <w:p w14:paraId="0B269F2B" w14:textId="0E8E3842"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tcPr>
          <w:p w14:paraId="63B4DF07" w14:textId="0110FEDB"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0</w:t>
            </w:r>
          </w:p>
        </w:tc>
        <w:tc>
          <w:tcPr>
            <w:tcW w:w="1223" w:type="dxa"/>
            <w:noWrap/>
          </w:tcPr>
          <w:p w14:paraId="2CDD0867" w14:textId="040DBC3D"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3</w:t>
            </w:r>
          </w:p>
        </w:tc>
        <w:tc>
          <w:tcPr>
            <w:tcW w:w="1223" w:type="dxa"/>
            <w:noWrap/>
          </w:tcPr>
          <w:p w14:paraId="369830BC" w14:textId="1DFB337D"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1</w:t>
            </w:r>
          </w:p>
        </w:tc>
        <w:tc>
          <w:tcPr>
            <w:tcW w:w="1223" w:type="dxa"/>
            <w:noWrap/>
          </w:tcPr>
          <w:p w14:paraId="0792638F" w14:textId="48F2F608" w:rsidR="00140AD3" w:rsidRPr="003C6AFE" w:rsidRDefault="003C6AFE" w:rsidP="005B1F66">
            <w:pPr>
              <w:pStyle w:val="NormalWeb"/>
              <w:spacing w:before="0" w:beforeAutospacing="0" w:after="0" w:afterAutospacing="0"/>
              <w:rPr>
                <w:rFonts w:ascii="Arial" w:hAnsi="Arial" w:cs="Arial"/>
              </w:rPr>
            </w:pPr>
            <w:r w:rsidRPr="003C6AFE">
              <w:rPr>
                <w:rFonts w:ascii="Arial" w:hAnsi="Arial" w:cs="Arial"/>
              </w:rPr>
              <w:t>0</w:t>
            </w:r>
          </w:p>
        </w:tc>
      </w:tr>
    </w:tbl>
    <w:p w14:paraId="0EE200B6" w14:textId="77777777" w:rsidR="00D31D7E" w:rsidRDefault="00D31D7E" w:rsidP="00ED5B14">
      <w:pPr>
        <w:pStyle w:val="Heading3"/>
      </w:pPr>
      <w:bookmarkStart w:id="99" w:name="_Toc221186118"/>
      <w:r>
        <w:t>Connection to the Model Uniform Metrics</w:t>
      </w:r>
      <w:bookmarkEnd w:id="99"/>
    </w:p>
    <w:p w14:paraId="0F41FC38" w14:textId="23F0AE02" w:rsidR="00D31D7E" w:rsidRPr="0045122E" w:rsidRDefault="005404F1" w:rsidP="00EA1A37">
      <w:pPr>
        <w:pStyle w:val="Body"/>
        <w:rPr>
          <w:bdr w:val="nil"/>
        </w:rPr>
      </w:pPr>
      <w:r>
        <w:rPr>
          <w:bdr w:val="nil"/>
        </w:rPr>
        <w:t>The model uniform metrics r</w:t>
      </w:r>
      <w:r w:rsidR="00D31D7E" w:rsidRPr="005903B0">
        <w:rPr>
          <w:bdr w:val="nil"/>
        </w:rPr>
        <w:t xml:space="preserve">equired by </w:t>
      </w:r>
      <w:r w:rsidR="00D31D7E" w:rsidRPr="005903B0">
        <w:rPr>
          <w:i/>
          <w:iCs/>
          <w:bdr w:val="nil"/>
        </w:rPr>
        <w:t xml:space="preserve">EC </w:t>
      </w:r>
      <w:r w:rsidR="00D31D7E" w:rsidRPr="005903B0">
        <w:rPr>
          <w:bdr w:val="nil"/>
        </w:rPr>
        <w:t>Section 51475</w:t>
      </w:r>
      <w:r>
        <w:rPr>
          <w:bdr w:val="nil"/>
        </w:rPr>
        <w:t xml:space="preserve"> have been available for Cohort 3 grantees since the start of their grant cycle</w:t>
      </w:r>
      <w:r w:rsidR="00D31D7E" w:rsidRPr="005903B0">
        <w:rPr>
          <w:bdr w:val="nil"/>
        </w:rPr>
        <w:t xml:space="preserve">. </w:t>
      </w:r>
    </w:p>
    <w:p w14:paraId="7175A95D" w14:textId="77777777" w:rsidR="00D31D7E" w:rsidRPr="009A4AB5" w:rsidRDefault="00D31D7E" w:rsidP="00ED5B14">
      <w:pPr>
        <w:pStyle w:val="Heading4"/>
      </w:pPr>
      <w:bookmarkStart w:id="100" w:name="_Toc221186119"/>
      <w:r w:rsidRPr="009A4AB5">
        <w:rPr>
          <w:rStyle w:val="Strong"/>
          <w:b/>
          <w:bCs w:val="0"/>
        </w:rPr>
        <w:t>SSCE Criterion 1</w:t>
      </w:r>
      <w:r>
        <w:rPr>
          <w:rStyle w:val="Strong"/>
          <w:b/>
          <w:bCs w:val="0"/>
        </w:rPr>
        <w:t>:</w:t>
      </w:r>
      <w:r w:rsidRPr="009A4AB5">
        <w:rPr>
          <w:rStyle w:val="Strong"/>
          <w:b/>
          <w:bCs w:val="0"/>
        </w:rPr>
        <w:t xml:space="preserve"> Academic Work</w:t>
      </w:r>
      <w:bookmarkEnd w:id="100"/>
    </w:p>
    <w:p w14:paraId="49EF3764" w14:textId="366E8FCA" w:rsidR="00D31D7E" w:rsidRPr="0045122E" w:rsidRDefault="00D31D7E" w:rsidP="00EA1A37">
      <w:pPr>
        <w:pStyle w:val="Body"/>
      </w:pPr>
      <w:r w:rsidRPr="0045122E">
        <w:rPr>
          <w:rStyle w:val="Strong"/>
          <w:rFonts w:cs="Arial"/>
        </w:rPr>
        <w:t>Metric:</w:t>
      </w:r>
      <w:r w:rsidRPr="0045122E">
        <w:t xml:space="preserve"> Maintain passing grades</w:t>
      </w:r>
      <w:r>
        <w:t xml:space="preserve"> (as defined locally)</w:t>
      </w:r>
      <w:r w:rsidRPr="0045122E">
        <w:t xml:space="preserve"> in core </w:t>
      </w:r>
      <w:r>
        <w:t>HSS</w:t>
      </w:r>
      <w:r w:rsidRPr="0045122E">
        <w:t xml:space="preserve"> courses and demonstrate cross-curricular connections to civic issues</w:t>
      </w:r>
      <w:r w:rsidR="007F6D40">
        <w:t>, where applicable</w:t>
      </w:r>
      <w:r w:rsidRPr="0045122E">
        <w:t>.</w:t>
      </w:r>
    </w:p>
    <w:p w14:paraId="792CD2AA" w14:textId="79997659" w:rsidR="00D31D7E" w:rsidRPr="0045122E" w:rsidRDefault="00D31D7E" w:rsidP="00EA1A37">
      <w:pPr>
        <w:pStyle w:val="NormalWeb"/>
        <w:spacing w:before="0" w:beforeAutospacing="0" w:after="240" w:afterAutospacing="0"/>
        <w:rPr>
          <w:rFonts w:ascii="Arial" w:hAnsi="Arial" w:cs="Arial"/>
        </w:rPr>
      </w:pPr>
      <w:r w:rsidRPr="0045122E">
        <w:rPr>
          <w:rStyle w:val="Strong"/>
          <w:rFonts w:ascii="Arial" w:hAnsi="Arial" w:cs="Arial"/>
        </w:rPr>
        <w:t>Evidence from Cohort </w:t>
      </w:r>
      <w:r w:rsidR="000F4330">
        <w:rPr>
          <w:rStyle w:val="Strong"/>
          <w:rFonts w:ascii="Arial" w:hAnsi="Arial" w:cs="Arial"/>
        </w:rPr>
        <w:t>3</w:t>
      </w:r>
      <w:r w:rsidRPr="0045122E">
        <w:rPr>
          <w:rStyle w:val="Strong"/>
          <w:rFonts w:ascii="Arial" w:hAnsi="Arial" w:cs="Arial"/>
        </w:rPr>
        <w:t>:</w:t>
      </w:r>
    </w:p>
    <w:p w14:paraId="5CB9B455" w14:textId="77777777" w:rsidR="00954BF5" w:rsidRDefault="007D76B3" w:rsidP="00954BF5">
      <w:pPr>
        <w:pStyle w:val="Body"/>
        <w:numPr>
          <w:ilvl w:val="0"/>
          <w:numId w:val="40"/>
        </w:numPr>
        <w:rPr>
          <w:rStyle w:val="Strong"/>
          <w:rFonts w:cs="Arial"/>
          <w:b w:val="0"/>
          <w:bCs w:val="0"/>
        </w:rPr>
      </w:pPr>
      <w:r w:rsidRPr="006B477F">
        <w:rPr>
          <w:rStyle w:val="Strong"/>
          <w:rFonts w:cs="Arial"/>
          <w:b w:val="0"/>
          <w:bCs w:val="0"/>
        </w:rPr>
        <w:t>Cloverdale USD reported instructional planning and implementation connected to environmental stewardship and outdoor education</w:t>
      </w:r>
      <w:r w:rsidR="00954BF5">
        <w:rPr>
          <w:rStyle w:val="Strong"/>
          <w:rFonts w:cs="Arial"/>
          <w:b w:val="0"/>
          <w:bCs w:val="0"/>
        </w:rPr>
        <w:t>.</w:t>
      </w:r>
    </w:p>
    <w:p w14:paraId="62275A71" w14:textId="77777777" w:rsidR="00954BF5" w:rsidRDefault="007D76B3" w:rsidP="00954BF5">
      <w:pPr>
        <w:pStyle w:val="Body"/>
        <w:numPr>
          <w:ilvl w:val="0"/>
          <w:numId w:val="40"/>
        </w:numPr>
        <w:rPr>
          <w:rStyle w:val="Strong"/>
          <w:rFonts w:cs="Arial"/>
          <w:b w:val="0"/>
          <w:bCs w:val="0"/>
        </w:rPr>
      </w:pPr>
      <w:r w:rsidRPr="006B477F">
        <w:rPr>
          <w:rStyle w:val="Strong"/>
          <w:rFonts w:cs="Arial"/>
          <w:b w:val="0"/>
          <w:bCs w:val="0"/>
        </w:rPr>
        <w:t xml:space="preserve">Modesto City </w:t>
      </w:r>
      <w:r w:rsidR="00954BF5">
        <w:rPr>
          <w:rStyle w:val="Strong"/>
          <w:rFonts w:cs="Arial"/>
          <w:b w:val="0"/>
          <w:bCs w:val="0"/>
        </w:rPr>
        <w:t>High School District</w:t>
      </w:r>
      <w:r w:rsidRPr="006B477F">
        <w:rPr>
          <w:rStyle w:val="Strong"/>
          <w:rFonts w:cs="Arial"/>
          <w:b w:val="0"/>
          <w:bCs w:val="0"/>
        </w:rPr>
        <w:t xml:space="preserve"> described teacher planning and civic learning integration to strengthen student writing and thinking in preparation for SSCE-aligned work. </w:t>
      </w:r>
    </w:p>
    <w:p w14:paraId="48617B5C" w14:textId="0F91A9AF" w:rsidR="007D76B3" w:rsidRPr="006B477F" w:rsidRDefault="007D76B3" w:rsidP="00954BF5">
      <w:pPr>
        <w:pStyle w:val="Body"/>
        <w:numPr>
          <w:ilvl w:val="0"/>
          <w:numId w:val="40"/>
        </w:numPr>
        <w:rPr>
          <w:rStyle w:val="Strong"/>
          <w:rFonts w:cs="Arial"/>
          <w:b w:val="0"/>
          <w:bCs w:val="0"/>
        </w:rPr>
      </w:pPr>
      <w:r w:rsidRPr="006B477F">
        <w:rPr>
          <w:rStyle w:val="Strong"/>
          <w:rFonts w:cs="Arial"/>
          <w:b w:val="0"/>
          <w:bCs w:val="0"/>
        </w:rPr>
        <w:t xml:space="preserve">Natomas USD and Yolo COE also emphasized capacity-building and systems development (including professional learning and countywide criteria development) intended to support stronger alignment between instructional practice and SSCE </w:t>
      </w:r>
      <w:r w:rsidR="006B477F">
        <w:rPr>
          <w:rStyle w:val="Strong"/>
          <w:rFonts w:cs="Arial"/>
          <w:b w:val="0"/>
          <w:bCs w:val="0"/>
        </w:rPr>
        <w:t>expectations</w:t>
      </w:r>
      <w:r w:rsidRPr="006B477F">
        <w:rPr>
          <w:rStyle w:val="Strong"/>
          <w:rFonts w:cs="Arial"/>
          <w:b w:val="0"/>
          <w:bCs w:val="0"/>
        </w:rPr>
        <w:t>.</w:t>
      </w:r>
    </w:p>
    <w:p w14:paraId="055E1747" w14:textId="47E20095" w:rsidR="00D31D7E" w:rsidRPr="0045122E" w:rsidRDefault="00D31D7E" w:rsidP="00EA1A37">
      <w:pPr>
        <w:pStyle w:val="Body"/>
      </w:pPr>
      <w:r w:rsidRPr="0045122E">
        <w:rPr>
          <w:rStyle w:val="Strong"/>
          <w:rFonts w:cs="Arial"/>
        </w:rPr>
        <w:lastRenderedPageBreak/>
        <w:t>Outcome Trend:</w:t>
      </w:r>
      <w:r>
        <w:t xml:space="preserve"> </w:t>
      </w:r>
      <w:r w:rsidR="006B477F" w:rsidRPr="006B477F">
        <w:t xml:space="preserve">Cohort 3 </w:t>
      </w:r>
      <w:r w:rsidR="005D7CDA">
        <w:t>shows early</w:t>
      </w:r>
      <w:r w:rsidR="006B477F" w:rsidRPr="006B477F">
        <w:t xml:space="preserve"> momentum toward academic integration, but most LEAs are still in start-up phases and did not report quantitative academic outcome data during this initial reporting window.</w:t>
      </w:r>
    </w:p>
    <w:p w14:paraId="05AFA336" w14:textId="77777777" w:rsidR="00D31D7E" w:rsidRPr="0045122E" w:rsidRDefault="00D31D7E" w:rsidP="00ED5B14">
      <w:pPr>
        <w:pStyle w:val="Heading4"/>
      </w:pPr>
      <w:bookmarkStart w:id="101" w:name="_Toc221186120"/>
      <w:r w:rsidRPr="0045122E">
        <w:rPr>
          <w:rStyle w:val="Strong"/>
          <w:b/>
        </w:rPr>
        <w:t>SSCE Criterion 2</w:t>
      </w:r>
      <w:r>
        <w:rPr>
          <w:rStyle w:val="Strong"/>
          <w:b/>
        </w:rPr>
        <w:t xml:space="preserve">: </w:t>
      </w:r>
      <w:r w:rsidRPr="0045122E">
        <w:rPr>
          <w:rStyle w:val="Strong"/>
          <w:b/>
        </w:rPr>
        <w:t>Understanding of the U.S. Constitution and Government</w:t>
      </w:r>
      <w:bookmarkEnd w:id="101"/>
    </w:p>
    <w:p w14:paraId="5A5EAA29" w14:textId="12DC9B46" w:rsidR="006B37F2" w:rsidRPr="00304BD2" w:rsidRDefault="00D31D7E" w:rsidP="00304BD2">
      <w:pPr>
        <w:pStyle w:val="NormalWeb"/>
        <w:spacing w:before="0" w:beforeAutospacing="0" w:after="240" w:afterAutospacing="0"/>
        <w:rPr>
          <w:rStyle w:val="Strong"/>
          <w:rFonts w:ascii="Arial" w:hAnsi="Arial" w:cs="Arial"/>
          <w:b w:val="0"/>
          <w:bCs w:val="0"/>
        </w:rPr>
      </w:pPr>
      <w:r w:rsidRPr="0029341A">
        <w:rPr>
          <w:rStyle w:val="Strong"/>
          <w:rFonts w:ascii="Arial" w:hAnsi="Arial" w:cs="Arial"/>
        </w:rPr>
        <w:t>Metric:</w:t>
      </w:r>
      <w:r w:rsidRPr="0029341A">
        <w:rPr>
          <w:rFonts w:ascii="Arial" w:hAnsi="Arial" w:cs="Arial"/>
        </w:rPr>
        <w:t xml:space="preserve"> </w:t>
      </w:r>
      <w:r w:rsidR="00E114A4" w:rsidRPr="00E114A4">
        <w:rPr>
          <w:rFonts w:ascii="Arial" w:hAnsi="Arial" w:cs="Arial"/>
        </w:rPr>
        <w:t>Demonstrate proficiency in understanding governmental structures and democratic principles through assessments and reflective civic learning activities.</w:t>
      </w:r>
    </w:p>
    <w:p w14:paraId="48965207" w14:textId="0DFDBD95" w:rsidR="00D31D7E" w:rsidRPr="0045122E" w:rsidRDefault="00D31D7E" w:rsidP="00EA1A37">
      <w:pPr>
        <w:pStyle w:val="NormalWeb"/>
        <w:spacing w:before="0" w:beforeAutospacing="0" w:after="240" w:afterAutospacing="0"/>
        <w:rPr>
          <w:rFonts w:ascii="Arial" w:hAnsi="Arial" w:cs="Arial"/>
        </w:rPr>
      </w:pPr>
      <w:r w:rsidRPr="0045122E">
        <w:rPr>
          <w:rStyle w:val="Strong"/>
          <w:rFonts w:ascii="Arial" w:hAnsi="Arial" w:cs="Arial"/>
        </w:rPr>
        <w:t>Evidence from Cohort </w:t>
      </w:r>
      <w:r w:rsidR="000F4330">
        <w:rPr>
          <w:rStyle w:val="Strong"/>
          <w:rFonts w:ascii="Arial" w:hAnsi="Arial" w:cs="Arial"/>
        </w:rPr>
        <w:t>3</w:t>
      </w:r>
      <w:r w:rsidRPr="0045122E">
        <w:rPr>
          <w:rStyle w:val="Strong"/>
          <w:rFonts w:ascii="Arial" w:hAnsi="Arial" w:cs="Arial"/>
        </w:rPr>
        <w:t>:</w:t>
      </w:r>
    </w:p>
    <w:p w14:paraId="78630E5B" w14:textId="1EE8CB03" w:rsidR="00EB025D" w:rsidRPr="00EB025D" w:rsidRDefault="00EB025D" w:rsidP="00EA1A37">
      <w:pPr>
        <w:pStyle w:val="Body"/>
        <w:rPr>
          <w:rStyle w:val="Strong"/>
          <w:b w:val="0"/>
          <w:bCs w:val="0"/>
        </w:rPr>
      </w:pPr>
      <w:r w:rsidRPr="00EB025D">
        <w:rPr>
          <w:rStyle w:val="Strong"/>
          <w:b w:val="0"/>
          <w:bCs w:val="0"/>
        </w:rPr>
        <w:t xml:space="preserve">Cohort 3 </w:t>
      </w:r>
      <w:r w:rsidR="009566CF">
        <w:rPr>
          <w:rStyle w:val="Strong"/>
          <w:b w:val="0"/>
          <w:bCs w:val="0"/>
        </w:rPr>
        <w:t>grantees</w:t>
      </w:r>
      <w:r w:rsidRPr="00EB025D">
        <w:rPr>
          <w:rStyle w:val="Strong"/>
          <w:b w:val="0"/>
          <w:bCs w:val="0"/>
        </w:rPr>
        <w:t xml:space="preserve"> most commonly describe civic learning alignment in broad terms (for example, “civic engagement,” “civic activities,” or </w:t>
      </w:r>
      <w:r w:rsidR="00E52ECC">
        <w:rPr>
          <w:rStyle w:val="Strong"/>
          <w:b w:val="0"/>
          <w:bCs w:val="0"/>
        </w:rPr>
        <w:t>“</w:t>
      </w:r>
      <w:r w:rsidRPr="00EB025D">
        <w:rPr>
          <w:rStyle w:val="Strong"/>
          <w:b w:val="0"/>
          <w:bCs w:val="0"/>
        </w:rPr>
        <w:t>SSCE preparation</w:t>
      </w:r>
      <w:r w:rsidR="00E52ECC">
        <w:rPr>
          <w:rStyle w:val="Strong"/>
          <w:b w:val="0"/>
          <w:bCs w:val="0"/>
        </w:rPr>
        <w:t>”</w:t>
      </w:r>
      <w:r w:rsidRPr="00EB025D">
        <w:rPr>
          <w:rStyle w:val="Strong"/>
          <w:b w:val="0"/>
          <w:bCs w:val="0"/>
        </w:rPr>
        <w:t xml:space="preserve">) rather than providing detailed descriptions of </w:t>
      </w:r>
      <w:r w:rsidR="00E52ECC">
        <w:rPr>
          <w:rStyle w:val="Strong"/>
          <w:b w:val="0"/>
          <w:bCs w:val="0"/>
        </w:rPr>
        <w:t>C</w:t>
      </w:r>
      <w:r w:rsidRPr="00EB025D">
        <w:rPr>
          <w:rStyle w:val="Strong"/>
          <w:b w:val="0"/>
          <w:bCs w:val="0"/>
        </w:rPr>
        <w:t>onstitutio</w:t>
      </w:r>
      <w:r w:rsidR="00442D2A">
        <w:rPr>
          <w:rStyle w:val="Strong"/>
          <w:b w:val="0"/>
          <w:bCs w:val="0"/>
        </w:rPr>
        <w:t xml:space="preserve">n </w:t>
      </w:r>
      <w:r w:rsidRPr="00EB025D">
        <w:rPr>
          <w:rStyle w:val="Strong"/>
          <w:b w:val="0"/>
          <w:bCs w:val="0"/>
        </w:rPr>
        <w:t>or government-</w:t>
      </w:r>
      <w:r w:rsidR="00442D2A">
        <w:rPr>
          <w:rStyle w:val="Strong"/>
          <w:b w:val="0"/>
          <w:bCs w:val="0"/>
        </w:rPr>
        <w:t>related</w:t>
      </w:r>
      <w:r w:rsidRPr="00EB025D">
        <w:rPr>
          <w:rStyle w:val="Strong"/>
          <w:b w:val="0"/>
          <w:bCs w:val="0"/>
        </w:rPr>
        <w:t xml:space="preserve"> learning measures. Where described, LEAs emphasized supporting educators to integrate civic learning expectations into instruction and building infrastructure for more consistent implementation and tracking in later reporting periods.</w:t>
      </w:r>
    </w:p>
    <w:p w14:paraId="498E5286" w14:textId="2E2C2AFC" w:rsidR="00D31D7E" w:rsidRPr="0045122E" w:rsidRDefault="00D31D7E" w:rsidP="00EA1A37">
      <w:pPr>
        <w:pStyle w:val="Body"/>
      </w:pPr>
      <w:r w:rsidRPr="0045122E">
        <w:rPr>
          <w:rStyle w:val="Strong"/>
          <w:rFonts w:cs="Arial"/>
        </w:rPr>
        <w:t>Outcome Trend:</w:t>
      </w:r>
      <w:r>
        <w:t xml:space="preserve"> </w:t>
      </w:r>
      <w:r w:rsidR="009566CF">
        <w:t>Early Cohort 3</w:t>
      </w:r>
      <w:r w:rsidR="00EB025D" w:rsidRPr="00EB025D">
        <w:t xml:space="preserve"> evidence suggests that LEAs are prioritizing readiness, staff training, and systems-building that will support stronger documentation of constitutional and governmental learning in subsequent periods.</w:t>
      </w:r>
    </w:p>
    <w:p w14:paraId="7400AC87" w14:textId="77777777" w:rsidR="00D31D7E" w:rsidRPr="0045122E" w:rsidRDefault="00D31D7E" w:rsidP="00ED5B14">
      <w:pPr>
        <w:pStyle w:val="Heading4"/>
      </w:pPr>
      <w:bookmarkStart w:id="102" w:name="_Toc221186121"/>
      <w:r w:rsidRPr="0045122E">
        <w:rPr>
          <w:rStyle w:val="Strong"/>
          <w:b/>
        </w:rPr>
        <w:t>SSCE Criterion 3</w:t>
      </w:r>
      <w:r>
        <w:rPr>
          <w:rStyle w:val="Strong"/>
          <w:b/>
        </w:rPr>
        <w:t>:</w:t>
      </w:r>
      <w:r w:rsidRPr="0045122E">
        <w:rPr>
          <w:rStyle w:val="Strong"/>
          <w:b/>
        </w:rPr>
        <w:t xml:space="preserve"> </w:t>
      </w:r>
      <w:r>
        <w:rPr>
          <w:rStyle w:val="Strong"/>
          <w:b/>
        </w:rPr>
        <w:t>Informed Civic Engagement Projects</w:t>
      </w:r>
      <w:bookmarkEnd w:id="102"/>
    </w:p>
    <w:p w14:paraId="58E7ACAE" w14:textId="0060BB86" w:rsidR="00D31D7E" w:rsidRPr="0045122E" w:rsidRDefault="00D31D7E" w:rsidP="00EA1A37">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009B1637" w:rsidRPr="009B1637">
        <w:rPr>
          <w:rFonts w:ascii="Arial" w:hAnsi="Arial" w:cs="Arial"/>
        </w:rPr>
        <w:t>Completion of a student-led civic engagement project that addresses a community issue, including documented research, planning, action, and reflection.</w:t>
      </w:r>
    </w:p>
    <w:p w14:paraId="4AD86FF1" w14:textId="0C5845DF" w:rsidR="00D31D7E" w:rsidRPr="0045122E" w:rsidRDefault="00D31D7E" w:rsidP="00EA1A37">
      <w:pPr>
        <w:pStyle w:val="NormalWeb"/>
        <w:spacing w:before="0" w:beforeAutospacing="0" w:after="240" w:afterAutospacing="0"/>
        <w:rPr>
          <w:rFonts w:ascii="Arial" w:hAnsi="Arial" w:cs="Arial"/>
        </w:rPr>
      </w:pPr>
      <w:r w:rsidRPr="0045122E">
        <w:rPr>
          <w:rStyle w:val="Strong"/>
          <w:rFonts w:ascii="Arial" w:hAnsi="Arial" w:cs="Arial"/>
        </w:rPr>
        <w:t>Evidence from Cohort </w:t>
      </w:r>
      <w:r w:rsidR="000F4330">
        <w:rPr>
          <w:rStyle w:val="Strong"/>
          <w:rFonts w:ascii="Arial" w:hAnsi="Arial" w:cs="Arial"/>
        </w:rPr>
        <w:t>3</w:t>
      </w:r>
      <w:r w:rsidRPr="0045122E">
        <w:rPr>
          <w:rStyle w:val="Strong"/>
          <w:rFonts w:ascii="Arial" w:hAnsi="Arial" w:cs="Arial"/>
        </w:rPr>
        <w:t>:</w:t>
      </w:r>
    </w:p>
    <w:p w14:paraId="0582DAE1" w14:textId="038CFADA" w:rsidR="00C55514" w:rsidRDefault="00295968" w:rsidP="00C55514">
      <w:pPr>
        <w:pStyle w:val="Body"/>
        <w:numPr>
          <w:ilvl w:val="0"/>
          <w:numId w:val="41"/>
        </w:numPr>
        <w:rPr>
          <w:rStyle w:val="Strong"/>
          <w:b w:val="0"/>
          <w:bCs w:val="0"/>
        </w:rPr>
      </w:pPr>
      <w:r w:rsidRPr="00295968">
        <w:rPr>
          <w:rStyle w:val="Strong"/>
          <w:b w:val="0"/>
          <w:bCs w:val="0"/>
        </w:rPr>
        <w:t xml:space="preserve">Cloverdale USD described direct implementation of </w:t>
      </w:r>
      <w:r w:rsidR="001123A1">
        <w:rPr>
          <w:rStyle w:val="Strong"/>
          <w:b w:val="0"/>
          <w:bCs w:val="0"/>
        </w:rPr>
        <w:t>service-learning</w:t>
      </w:r>
      <w:r w:rsidRPr="00295968">
        <w:rPr>
          <w:rStyle w:val="Strong"/>
          <w:b w:val="0"/>
          <w:bCs w:val="0"/>
        </w:rPr>
        <w:t xml:space="preserve"> connected to environmental stewardship and outdoor education. </w:t>
      </w:r>
    </w:p>
    <w:p w14:paraId="52DF085A" w14:textId="7F0D857A" w:rsidR="00135ED5" w:rsidRDefault="00295968" w:rsidP="00C55514">
      <w:pPr>
        <w:pStyle w:val="Body"/>
        <w:numPr>
          <w:ilvl w:val="0"/>
          <w:numId w:val="41"/>
        </w:numPr>
        <w:rPr>
          <w:rStyle w:val="Strong"/>
          <w:b w:val="0"/>
          <w:bCs w:val="0"/>
        </w:rPr>
      </w:pPr>
      <w:r w:rsidRPr="00295968">
        <w:rPr>
          <w:rStyle w:val="Strong"/>
          <w:b w:val="0"/>
          <w:bCs w:val="0"/>
        </w:rPr>
        <w:t xml:space="preserve">Napa COE described student engagement through expanded learning and community-facing service activities while Natomas USD reported service-learning participation during the period as it built pathways for expanding access. </w:t>
      </w:r>
    </w:p>
    <w:p w14:paraId="65C738E4" w14:textId="558B0F83" w:rsidR="00295968" w:rsidRPr="00295968" w:rsidRDefault="00295968" w:rsidP="00C55514">
      <w:pPr>
        <w:pStyle w:val="Body"/>
        <w:numPr>
          <w:ilvl w:val="0"/>
          <w:numId w:val="41"/>
        </w:numPr>
        <w:rPr>
          <w:rStyle w:val="Strong"/>
          <w:b w:val="0"/>
          <w:bCs w:val="0"/>
        </w:rPr>
      </w:pPr>
      <w:r w:rsidRPr="00295968">
        <w:rPr>
          <w:rStyle w:val="Strong"/>
          <w:b w:val="0"/>
          <w:bCs w:val="0"/>
        </w:rPr>
        <w:t>Several LEAs (including Monterey Peninsula USD, Oakland USD, and Yolo COE) emphasized early-stage planning, outreach, and implementation infrastructure intended to support stronger, student-led civic engagement projects in later periods.</w:t>
      </w:r>
    </w:p>
    <w:p w14:paraId="3BB73753" w14:textId="09B5EA76" w:rsidR="00D31D7E" w:rsidRPr="0045122E" w:rsidRDefault="00D31D7E" w:rsidP="00EA1A37">
      <w:pPr>
        <w:pStyle w:val="Body"/>
      </w:pPr>
      <w:r w:rsidRPr="0045122E">
        <w:rPr>
          <w:rStyle w:val="Strong"/>
          <w:rFonts w:cs="Arial"/>
        </w:rPr>
        <w:t>Outcome Trend:</w:t>
      </w:r>
      <w:r>
        <w:t xml:space="preserve"> </w:t>
      </w:r>
      <w:r w:rsidR="00295968" w:rsidRPr="00295968">
        <w:t>Cohort 3 reporting reflects a split between a small number of LEAs reporting direct early implementation and a larger number of LEAs emphasizing start-up planning and capacity-building that will support later project development and documentation.</w:t>
      </w:r>
    </w:p>
    <w:p w14:paraId="7ED238ED" w14:textId="77777777" w:rsidR="00D31D7E" w:rsidRPr="0045122E" w:rsidRDefault="00D31D7E" w:rsidP="00ED5B14">
      <w:pPr>
        <w:pStyle w:val="Heading4"/>
      </w:pPr>
      <w:bookmarkStart w:id="103" w:name="_Toc221186122"/>
      <w:r w:rsidRPr="0045122E">
        <w:rPr>
          <w:rStyle w:val="Strong"/>
          <w:b/>
        </w:rPr>
        <w:lastRenderedPageBreak/>
        <w:t>SSCE Criterion 4</w:t>
      </w:r>
      <w:r>
        <w:rPr>
          <w:rStyle w:val="Strong"/>
          <w:b/>
        </w:rPr>
        <w:t>: Reflection on Civic Knowledge and Skills</w:t>
      </w:r>
      <w:bookmarkEnd w:id="103"/>
    </w:p>
    <w:p w14:paraId="61DECAC4" w14:textId="1C285907" w:rsidR="00D31D7E" w:rsidRPr="0045122E" w:rsidRDefault="00D31D7E" w:rsidP="00EA1A37">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006E0DF6" w:rsidRPr="006E0DF6">
        <w:rPr>
          <w:rFonts w:ascii="Arial" w:hAnsi="Arial" w:cs="Arial"/>
        </w:rPr>
        <w:t xml:space="preserve">Reflective writing or multimedia projects that assess personal growth in civic knowledge, skills, and dispositions resulting from </w:t>
      </w:r>
      <w:r w:rsidR="001123A1">
        <w:rPr>
          <w:rFonts w:ascii="Arial" w:hAnsi="Arial" w:cs="Arial"/>
        </w:rPr>
        <w:t>service-learning</w:t>
      </w:r>
      <w:r w:rsidR="006E0DF6" w:rsidRPr="006E0DF6">
        <w:rPr>
          <w:rFonts w:ascii="Arial" w:hAnsi="Arial" w:cs="Arial"/>
        </w:rPr>
        <w:t xml:space="preserve"> activities.</w:t>
      </w:r>
    </w:p>
    <w:p w14:paraId="3B15A5FB" w14:textId="3A6CEBA0" w:rsidR="00D31D7E" w:rsidRPr="0045122E" w:rsidRDefault="00D31D7E" w:rsidP="00EA1A37">
      <w:pPr>
        <w:pStyle w:val="NormalWeb"/>
        <w:spacing w:before="0" w:beforeAutospacing="0" w:after="240" w:afterAutospacing="0"/>
        <w:rPr>
          <w:rFonts w:ascii="Arial" w:hAnsi="Arial" w:cs="Arial"/>
        </w:rPr>
      </w:pPr>
      <w:r w:rsidRPr="0045122E">
        <w:rPr>
          <w:rStyle w:val="Strong"/>
          <w:rFonts w:ascii="Arial" w:hAnsi="Arial" w:cs="Arial"/>
        </w:rPr>
        <w:t>Evidence from Cohort </w:t>
      </w:r>
      <w:r w:rsidR="000F4330">
        <w:rPr>
          <w:rStyle w:val="Strong"/>
          <w:rFonts w:ascii="Arial" w:hAnsi="Arial" w:cs="Arial"/>
        </w:rPr>
        <w:t>3</w:t>
      </w:r>
      <w:r w:rsidRPr="0045122E">
        <w:rPr>
          <w:rStyle w:val="Strong"/>
          <w:rFonts w:ascii="Arial" w:hAnsi="Arial" w:cs="Arial"/>
        </w:rPr>
        <w:t>:</w:t>
      </w:r>
    </w:p>
    <w:p w14:paraId="3F96035F" w14:textId="77777777" w:rsidR="00135ED5" w:rsidRDefault="000F4330" w:rsidP="00135ED5">
      <w:pPr>
        <w:pStyle w:val="Body"/>
        <w:numPr>
          <w:ilvl w:val="0"/>
          <w:numId w:val="42"/>
        </w:numPr>
        <w:rPr>
          <w:rStyle w:val="Strong"/>
          <w:b w:val="0"/>
          <w:bCs w:val="0"/>
        </w:rPr>
      </w:pPr>
      <w:r w:rsidRPr="000F4330">
        <w:rPr>
          <w:rStyle w:val="Strong"/>
          <w:b w:val="0"/>
          <w:bCs w:val="0"/>
        </w:rPr>
        <w:t>Natomas USD explicitly described SSCE-aligned implementation approaches that include reflective elements</w:t>
      </w:r>
      <w:r w:rsidR="00135ED5">
        <w:rPr>
          <w:rStyle w:val="Strong"/>
          <w:b w:val="0"/>
          <w:bCs w:val="0"/>
        </w:rPr>
        <w:t>.</w:t>
      </w:r>
    </w:p>
    <w:p w14:paraId="1A67CA51" w14:textId="77777777" w:rsidR="00135ED5" w:rsidRDefault="000F4330" w:rsidP="00135ED5">
      <w:pPr>
        <w:pStyle w:val="Body"/>
        <w:numPr>
          <w:ilvl w:val="0"/>
          <w:numId w:val="42"/>
        </w:numPr>
        <w:rPr>
          <w:rStyle w:val="Strong"/>
          <w:b w:val="0"/>
          <w:bCs w:val="0"/>
        </w:rPr>
      </w:pPr>
      <w:r w:rsidRPr="000F4330">
        <w:rPr>
          <w:rStyle w:val="Strong"/>
          <w:b w:val="0"/>
          <w:bCs w:val="0"/>
        </w:rPr>
        <w:t xml:space="preserve">Modesto City </w:t>
      </w:r>
      <w:r w:rsidR="00135ED5">
        <w:rPr>
          <w:rStyle w:val="Strong"/>
          <w:b w:val="0"/>
          <w:bCs w:val="0"/>
        </w:rPr>
        <w:t>High School District</w:t>
      </w:r>
      <w:r w:rsidRPr="000F4330">
        <w:rPr>
          <w:rStyle w:val="Strong"/>
          <w:b w:val="0"/>
          <w:bCs w:val="0"/>
        </w:rPr>
        <w:t xml:space="preserve"> described strengthening student writing and thinking tied to civic learning expectations. </w:t>
      </w:r>
    </w:p>
    <w:p w14:paraId="456D830D" w14:textId="21782D1F" w:rsidR="000F4330" w:rsidRPr="000F4330" w:rsidRDefault="000F4330" w:rsidP="00135ED5">
      <w:pPr>
        <w:pStyle w:val="Body"/>
        <w:numPr>
          <w:ilvl w:val="0"/>
          <w:numId w:val="42"/>
        </w:numPr>
        <w:rPr>
          <w:rStyle w:val="Strong"/>
          <w:b w:val="0"/>
          <w:bCs w:val="0"/>
        </w:rPr>
      </w:pPr>
      <w:r w:rsidRPr="000F4330">
        <w:rPr>
          <w:rStyle w:val="Strong"/>
          <w:b w:val="0"/>
          <w:bCs w:val="0"/>
        </w:rPr>
        <w:t>Other LEAs emphasized building the systems and staff capacity that will support consistent reflection documentation and SSCE evidence collection in later reporting windows.</w:t>
      </w:r>
    </w:p>
    <w:p w14:paraId="650A7A45" w14:textId="62818194" w:rsidR="00D31D7E" w:rsidRPr="0045122E" w:rsidRDefault="00D31D7E" w:rsidP="00EA1A37">
      <w:pPr>
        <w:pStyle w:val="Body"/>
      </w:pPr>
      <w:r w:rsidRPr="0045122E">
        <w:rPr>
          <w:rStyle w:val="Strong"/>
          <w:rFonts w:cs="Arial"/>
        </w:rPr>
        <w:t>Outcome Trend:</w:t>
      </w:r>
      <w:r>
        <w:t xml:space="preserve"> </w:t>
      </w:r>
      <w:r w:rsidR="00B17832" w:rsidRPr="00B17832">
        <w:t>Reflection is a clear</w:t>
      </w:r>
      <w:r w:rsidR="000822A0">
        <w:t>ly</w:t>
      </w:r>
      <w:r w:rsidR="00B17832" w:rsidRPr="00B17832">
        <w:t xml:space="preserve"> intended component of Cohort 3 implementation, but structured reflection tools and artifacts are still emerging across most Cohort 3 LEAs.</w:t>
      </w:r>
    </w:p>
    <w:p w14:paraId="5E0186A6" w14:textId="77777777" w:rsidR="00D31D7E" w:rsidRPr="0045122E" w:rsidRDefault="00D31D7E" w:rsidP="00ED5B14">
      <w:pPr>
        <w:pStyle w:val="Heading4"/>
      </w:pPr>
      <w:bookmarkStart w:id="104" w:name="_Toc221186123"/>
      <w:r w:rsidRPr="0045122E">
        <w:rPr>
          <w:rStyle w:val="Strong"/>
          <w:b/>
        </w:rPr>
        <w:t>SSCE Criterion 5</w:t>
      </w:r>
      <w:r>
        <w:rPr>
          <w:rStyle w:val="Strong"/>
          <w:b/>
        </w:rPr>
        <w:t>: Civic-Minded Character Traits</w:t>
      </w:r>
      <w:bookmarkEnd w:id="104"/>
    </w:p>
    <w:p w14:paraId="7B97897C" w14:textId="77777777" w:rsidR="00D31D7E" w:rsidRPr="0045122E" w:rsidRDefault="00D31D7E" w:rsidP="00EA1A37">
      <w:pPr>
        <w:pStyle w:val="NormalWeb"/>
        <w:spacing w:before="0" w:beforeAutospacing="0" w:after="240" w:afterAutospacing="0"/>
        <w:rPr>
          <w:rFonts w:ascii="Arial" w:hAnsi="Arial" w:cs="Arial"/>
        </w:rPr>
      </w:pPr>
      <w:r w:rsidRPr="0045122E">
        <w:rPr>
          <w:rStyle w:val="Strong"/>
          <w:rFonts w:ascii="Arial" w:hAnsi="Arial" w:cs="Arial"/>
        </w:rPr>
        <w:t>Metric:</w:t>
      </w:r>
      <w:r w:rsidRPr="0045122E">
        <w:rPr>
          <w:rFonts w:ascii="Arial" w:hAnsi="Arial" w:cs="Arial"/>
        </w:rPr>
        <w:t xml:space="preserve"> </w:t>
      </w:r>
      <w:r w:rsidRPr="001A7B26">
        <w:rPr>
          <w:rFonts w:ascii="Arial" w:hAnsi="Arial" w:cs="Arial"/>
        </w:rPr>
        <w:t>Demonstration of traits such as responsibility, respect, and commitment through teacher evaluations, peer reviews, or community partner feedback.</w:t>
      </w:r>
    </w:p>
    <w:p w14:paraId="7F824B8F" w14:textId="51E52FCF" w:rsidR="00D31D7E" w:rsidRPr="0045122E" w:rsidRDefault="00D31D7E" w:rsidP="00EA1A37">
      <w:pPr>
        <w:pStyle w:val="NormalWeb"/>
        <w:spacing w:before="0" w:beforeAutospacing="0" w:after="240" w:afterAutospacing="0"/>
        <w:rPr>
          <w:rFonts w:ascii="Arial" w:hAnsi="Arial" w:cs="Arial"/>
        </w:rPr>
      </w:pPr>
      <w:r w:rsidRPr="0045122E">
        <w:rPr>
          <w:rStyle w:val="Strong"/>
          <w:rFonts w:ascii="Arial" w:hAnsi="Arial" w:cs="Arial"/>
        </w:rPr>
        <w:t>Evidence from Cohort </w:t>
      </w:r>
      <w:r w:rsidR="00B17832">
        <w:rPr>
          <w:rStyle w:val="Strong"/>
          <w:rFonts w:ascii="Arial" w:hAnsi="Arial" w:cs="Arial"/>
        </w:rPr>
        <w:t>3</w:t>
      </w:r>
      <w:r w:rsidRPr="0045122E">
        <w:rPr>
          <w:rStyle w:val="Strong"/>
          <w:rFonts w:ascii="Arial" w:hAnsi="Arial" w:cs="Arial"/>
        </w:rPr>
        <w:t>:</w:t>
      </w:r>
    </w:p>
    <w:p w14:paraId="2A328A9C" w14:textId="77777777" w:rsidR="00141997" w:rsidRDefault="00B17832" w:rsidP="00141997">
      <w:pPr>
        <w:pStyle w:val="Body"/>
        <w:numPr>
          <w:ilvl w:val="0"/>
          <w:numId w:val="43"/>
        </w:numPr>
      </w:pPr>
      <w:r w:rsidRPr="00141997">
        <w:t>Napa COE described student engagement through expanded learning and community service contexts</w:t>
      </w:r>
      <w:r w:rsidR="00141997">
        <w:t>.</w:t>
      </w:r>
    </w:p>
    <w:p w14:paraId="3BFDA739" w14:textId="77777777" w:rsidR="00141997" w:rsidRDefault="00B17832" w:rsidP="00141997">
      <w:pPr>
        <w:pStyle w:val="Body"/>
        <w:numPr>
          <w:ilvl w:val="0"/>
          <w:numId w:val="43"/>
        </w:numPr>
      </w:pPr>
      <w:r w:rsidRPr="00141997">
        <w:t xml:space="preserve">Cloverdale USD described experiential projects connected to stewardship and outdoor learning. </w:t>
      </w:r>
    </w:p>
    <w:p w14:paraId="580201C0" w14:textId="6FFC455B" w:rsidR="00B17832" w:rsidRPr="00141997" w:rsidRDefault="00B17832" w:rsidP="00141997">
      <w:pPr>
        <w:pStyle w:val="Body"/>
        <w:numPr>
          <w:ilvl w:val="0"/>
          <w:numId w:val="43"/>
        </w:numPr>
      </w:pPr>
      <w:r w:rsidRPr="00141997">
        <w:t>Across multiple reports, LEAs emphasized building leadership structures and staff capacity intended to support consistent student support, project quality, and equitable participation.</w:t>
      </w:r>
    </w:p>
    <w:p w14:paraId="5672703D" w14:textId="485936AF" w:rsidR="00D31D7E" w:rsidRPr="0045122E" w:rsidRDefault="00D31D7E" w:rsidP="00EA1A37">
      <w:pPr>
        <w:pStyle w:val="Body"/>
      </w:pPr>
      <w:r w:rsidRPr="0045122E">
        <w:rPr>
          <w:rStyle w:val="Strong"/>
          <w:rFonts w:cs="Arial"/>
        </w:rPr>
        <w:t>Outcome Trend:</w:t>
      </w:r>
      <w:r>
        <w:t xml:space="preserve"> </w:t>
      </w:r>
      <w:r w:rsidR="008C463D" w:rsidRPr="008C463D">
        <w:t xml:space="preserve">Early Cohort 3 evidence suggests that civic-minded traits are an intended outcome of </w:t>
      </w:r>
      <w:r w:rsidR="001123A1">
        <w:t>service-learning</w:t>
      </w:r>
      <w:r w:rsidR="008C463D" w:rsidRPr="008C463D">
        <w:t xml:space="preserve"> participation, but formal measurement approaches and consistent reporting of trait development are not yet common in this initial reporting window.</w:t>
      </w:r>
    </w:p>
    <w:p w14:paraId="7F48B471" w14:textId="32E2C406" w:rsidR="00D31D7E" w:rsidRPr="00F52C87" w:rsidRDefault="0056043B" w:rsidP="00ED5B14">
      <w:pPr>
        <w:pStyle w:val="Heading3"/>
        <w:rPr>
          <w:rStyle w:val="Strong"/>
          <w:sz w:val="24"/>
          <w:szCs w:val="26"/>
        </w:rPr>
      </w:pPr>
      <w:r>
        <w:rPr>
          <w:rStyle w:val="Strong"/>
          <w:b/>
          <w:bCs/>
        </w:rPr>
        <w:t>Cohort 3 Findings</w:t>
      </w:r>
    </w:p>
    <w:p w14:paraId="0F669613" w14:textId="396BE84B" w:rsidR="008C463D" w:rsidRPr="008C463D" w:rsidRDefault="008C463D" w:rsidP="00EA1A37">
      <w:pPr>
        <w:pStyle w:val="Body"/>
        <w:rPr>
          <w:rStyle w:val="Strong"/>
          <w:b w:val="0"/>
          <w:bCs w:val="0"/>
        </w:rPr>
      </w:pPr>
      <w:r w:rsidRPr="008C463D">
        <w:rPr>
          <w:rStyle w:val="Strong"/>
          <w:b w:val="0"/>
          <w:bCs w:val="0"/>
        </w:rPr>
        <w:lastRenderedPageBreak/>
        <w:t xml:space="preserve">Cohort 3 grantee reports </w:t>
      </w:r>
      <w:r w:rsidR="00011FAA">
        <w:rPr>
          <w:rStyle w:val="Strong"/>
          <w:b w:val="0"/>
          <w:bCs w:val="0"/>
        </w:rPr>
        <w:t>generally show</w:t>
      </w:r>
      <w:r w:rsidRPr="008C463D">
        <w:rPr>
          <w:rStyle w:val="Strong"/>
          <w:b w:val="0"/>
          <w:bCs w:val="0"/>
        </w:rPr>
        <w:t xml:space="preserve"> early alignment with California Serves goals, particularly around capacity-building, educator readiness, and initial implementation efforts to expand SSCE access through </w:t>
      </w:r>
      <w:r w:rsidR="001123A1">
        <w:rPr>
          <w:rStyle w:val="Strong"/>
          <w:b w:val="0"/>
          <w:bCs w:val="0"/>
        </w:rPr>
        <w:t>service-learning</w:t>
      </w:r>
      <w:r w:rsidRPr="008C463D">
        <w:rPr>
          <w:rStyle w:val="Strong"/>
          <w:b w:val="0"/>
          <w:bCs w:val="0"/>
        </w:rPr>
        <w:t>. However,</w:t>
      </w:r>
      <w:r w:rsidR="00776F40">
        <w:rPr>
          <w:rStyle w:val="Strong"/>
          <w:b w:val="0"/>
          <w:bCs w:val="0"/>
        </w:rPr>
        <w:t xml:space="preserve"> many</w:t>
      </w:r>
      <w:r w:rsidRPr="008C463D">
        <w:rPr>
          <w:rStyle w:val="Strong"/>
          <w:b w:val="0"/>
          <w:bCs w:val="0"/>
        </w:rPr>
        <w:t xml:space="preserve"> LEAs are still in early implementation phases with uneven activity levels and limited quantitative outcome reporting during these first two quarters.</w:t>
      </w:r>
    </w:p>
    <w:p w14:paraId="4C02BD78" w14:textId="7704D4DA" w:rsidR="00D31D7E" w:rsidRPr="00C44568" w:rsidRDefault="00D31D7E" w:rsidP="00ED5B14">
      <w:pPr>
        <w:pStyle w:val="Heading4"/>
        <w:rPr>
          <w:rStyle w:val="Strong"/>
          <w:b/>
          <w:bCs w:val="0"/>
        </w:rPr>
      </w:pPr>
      <w:bookmarkStart w:id="105" w:name="_Toc221186125"/>
      <w:r w:rsidRPr="00C44568">
        <w:rPr>
          <w:rStyle w:val="Strong"/>
          <w:b/>
          <w:bCs w:val="0"/>
        </w:rPr>
        <w:t>Equity</w:t>
      </w:r>
      <w:bookmarkEnd w:id="105"/>
    </w:p>
    <w:p w14:paraId="733658EF" w14:textId="25E385AA" w:rsidR="00921E55" w:rsidRPr="00921E55" w:rsidRDefault="00892CE0" w:rsidP="00EA1A37">
      <w:pPr>
        <w:pStyle w:val="Body"/>
        <w:rPr>
          <w:rStyle w:val="Strong"/>
          <w:b w:val="0"/>
          <w:bCs w:val="0"/>
        </w:rPr>
      </w:pPr>
      <w:r>
        <w:rPr>
          <w:rStyle w:val="Strong"/>
          <w:b w:val="0"/>
          <w:bCs w:val="0"/>
        </w:rPr>
        <w:t xml:space="preserve">Many grantees indicate that an </w:t>
      </w:r>
      <w:r w:rsidR="000B501C">
        <w:rPr>
          <w:rStyle w:val="Strong"/>
          <w:b w:val="0"/>
          <w:bCs w:val="0"/>
        </w:rPr>
        <w:t xml:space="preserve">intention to ensure equity </w:t>
      </w:r>
      <w:r>
        <w:rPr>
          <w:rStyle w:val="Strong"/>
          <w:b w:val="0"/>
          <w:bCs w:val="0"/>
        </w:rPr>
        <w:t xml:space="preserve">will be </w:t>
      </w:r>
      <w:r w:rsidR="000B501C">
        <w:rPr>
          <w:rStyle w:val="Strong"/>
          <w:b w:val="0"/>
          <w:bCs w:val="0"/>
        </w:rPr>
        <w:t xml:space="preserve">embedded in later </w:t>
      </w:r>
      <w:r w:rsidR="00F374D2">
        <w:rPr>
          <w:rStyle w:val="Strong"/>
          <w:b w:val="0"/>
          <w:bCs w:val="0"/>
        </w:rPr>
        <w:t>grant program structures.</w:t>
      </w:r>
      <w:r w:rsidR="00921E55" w:rsidRPr="00921E55">
        <w:rPr>
          <w:rStyle w:val="Strong"/>
          <w:b w:val="0"/>
          <w:bCs w:val="0"/>
        </w:rPr>
        <w:t xml:space="preserve"> </w:t>
      </w:r>
      <w:r w:rsidR="00921E55" w:rsidRPr="00546B8E">
        <w:rPr>
          <w:rStyle w:val="Strong"/>
          <w:b w:val="0"/>
          <w:bCs w:val="0"/>
        </w:rPr>
        <w:t>Some</w:t>
      </w:r>
      <w:r w:rsidR="002D0156" w:rsidRPr="00546B8E">
        <w:rPr>
          <w:rStyle w:val="Strong"/>
          <w:b w:val="0"/>
          <w:bCs w:val="0"/>
        </w:rPr>
        <w:t xml:space="preserve"> grantees</w:t>
      </w:r>
      <w:r w:rsidR="00546B8E" w:rsidRPr="00546B8E">
        <w:rPr>
          <w:rStyle w:val="Strong"/>
          <w:b w:val="0"/>
          <w:bCs w:val="0"/>
        </w:rPr>
        <w:t xml:space="preserve"> report</w:t>
      </w:r>
      <w:r w:rsidR="00921E55" w:rsidRPr="00546B8E">
        <w:rPr>
          <w:rStyle w:val="Strong"/>
          <w:b w:val="0"/>
          <w:bCs w:val="0"/>
        </w:rPr>
        <w:t xml:space="preserve"> student subgroups and site contexts,</w:t>
      </w:r>
      <w:r w:rsidR="00921E55" w:rsidRPr="00921E55">
        <w:rPr>
          <w:rStyle w:val="Strong"/>
          <w:b w:val="0"/>
          <w:bCs w:val="0"/>
        </w:rPr>
        <w:t xml:space="preserve"> but the level of demographic detail varied significantly across LEAs. A key equity-related limitation is that multiple grantees reported no activities </w:t>
      </w:r>
      <w:r w:rsidR="00F374D2">
        <w:rPr>
          <w:rStyle w:val="Strong"/>
          <w:b w:val="0"/>
          <w:bCs w:val="0"/>
        </w:rPr>
        <w:t>for these early reporting periods</w:t>
      </w:r>
      <w:r w:rsidR="00921E55" w:rsidRPr="00921E55">
        <w:rPr>
          <w:rStyle w:val="Strong"/>
          <w:b w:val="0"/>
          <w:bCs w:val="0"/>
        </w:rPr>
        <w:t xml:space="preserve">. Continued emphasis on consistent participation, SSCE outcome reporting, and subgroup-level documentation will strengthen equity analysis in future reporting </w:t>
      </w:r>
      <w:r w:rsidR="00085064">
        <w:rPr>
          <w:rStyle w:val="Strong"/>
          <w:b w:val="0"/>
          <w:bCs w:val="0"/>
        </w:rPr>
        <w:t>periods</w:t>
      </w:r>
      <w:r w:rsidR="00921E55" w:rsidRPr="00921E55">
        <w:rPr>
          <w:rStyle w:val="Strong"/>
          <w:b w:val="0"/>
          <w:bCs w:val="0"/>
        </w:rPr>
        <w:t>.</w:t>
      </w:r>
    </w:p>
    <w:p w14:paraId="66449387" w14:textId="4BCF8536" w:rsidR="00D31D7E" w:rsidRPr="00C44568" w:rsidRDefault="00D31D7E" w:rsidP="00ED5B14">
      <w:pPr>
        <w:pStyle w:val="Heading4"/>
        <w:rPr>
          <w:rStyle w:val="Strong"/>
          <w:b/>
          <w:bCs w:val="0"/>
        </w:rPr>
      </w:pPr>
      <w:bookmarkStart w:id="106" w:name="_Toc221186126"/>
      <w:r w:rsidRPr="00C44568">
        <w:rPr>
          <w:rStyle w:val="Strong"/>
          <w:b/>
          <w:bCs w:val="0"/>
        </w:rPr>
        <w:t>Rural Access</w:t>
      </w:r>
      <w:bookmarkEnd w:id="106"/>
    </w:p>
    <w:p w14:paraId="287FD05E" w14:textId="3F563594" w:rsidR="00921E55" w:rsidRPr="00921E55" w:rsidRDefault="00921E55" w:rsidP="00EA1A37">
      <w:pPr>
        <w:pStyle w:val="Body"/>
        <w:rPr>
          <w:rStyle w:val="Strong"/>
          <w:b w:val="0"/>
          <w:bCs w:val="0"/>
        </w:rPr>
      </w:pPr>
      <w:r w:rsidRPr="00921E55">
        <w:rPr>
          <w:rStyle w:val="Strong"/>
          <w:b w:val="0"/>
          <w:bCs w:val="0"/>
        </w:rPr>
        <w:t>Cohort 3 includes a mix o</w:t>
      </w:r>
      <w:r w:rsidR="00973517">
        <w:rPr>
          <w:rStyle w:val="Strong"/>
          <w:b w:val="0"/>
          <w:bCs w:val="0"/>
        </w:rPr>
        <w:t>f</w:t>
      </w:r>
      <w:r w:rsidRPr="00921E55">
        <w:rPr>
          <w:rStyle w:val="Strong"/>
          <w:b w:val="0"/>
          <w:bCs w:val="0"/>
        </w:rPr>
        <w:t xml:space="preserve"> small </w:t>
      </w:r>
      <w:r w:rsidR="00F0759E">
        <w:rPr>
          <w:rStyle w:val="Strong"/>
          <w:b w:val="0"/>
          <w:bCs w:val="0"/>
        </w:rPr>
        <w:t>and</w:t>
      </w:r>
      <w:r w:rsidRPr="00921E55">
        <w:rPr>
          <w:rStyle w:val="Strong"/>
          <w:b w:val="0"/>
          <w:bCs w:val="0"/>
        </w:rPr>
        <w:t xml:space="preserve"> rural </w:t>
      </w:r>
      <w:r w:rsidR="00973517">
        <w:rPr>
          <w:rStyle w:val="Strong"/>
          <w:b w:val="0"/>
          <w:bCs w:val="0"/>
        </w:rPr>
        <w:t>LEAs</w:t>
      </w:r>
      <w:r w:rsidRPr="00921E55">
        <w:rPr>
          <w:rStyle w:val="Strong"/>
          <w:b w:val="0"/>
          <w:bCs w:val="0"/>
        </w:rPr>
        <w:t xml:space="preserve"> and consortium models. Early reporting suggests that start-up timelines and staffing capacity constraints may be particularly relevant for rural and county-led implementation, as several LEAs reported limited or no grant-related activities during this initial reporting period. Where county-led coordination was reported</w:t>
      </w:r>
      <w:r w:rsidR="008C462C">
        <w:rPr>
          <w:rStyle w:val="Strong"/>
          <w:b w:val="0"/>
          <w:bCs w:val="0"/>
        </w:rPr>
        <w:t>, such as</w:t>
      </w:r>
      <w:r w:rsidRPr="00921E55">
        <w:rPr>
          <w:rStyle w:val="Strong"/>
          <w:b w:val="0"/>
          <w:bCs w:val="0"/>
        </w:rPr>
        <w:t xml:space="preserve"> in early systems-building and criteria development, </w:t>
      </w:r>
      <w:r w:rsidR="00973517">
        <w:rPr>
          <w:rStyle w:val="Strong"/>
          <w:b w:val="0"/>
          <w:bCs w:val="0"/>
        </w:rPr>
        <w:t xml:space="preserve">there is </w:t>
      </w:r>
      <w:r w:rsidRPr="00921E55">
        <w:rPr>
          <w:rStyle w:val="Strong"/>
          <w:b w:val="0"/>
          <w:bCs w:val="0"/>
        </w:rPr>
        <w:t>a focus on developing shared infrastructure intended to support broader access in later periods.</w:t>
      </w:r>
    </w:p>
    <w:p w14:paraId="01C1FBA4" w14:textId="4EF502F8" w:rsidR="00D31D7E" w:rsidRPr="00C44568" w:rsidRDefault="00D31D7E" w:rsidP="00ED5B14">
      <w:pPr>
        <w:pStyle w:val="Heading4"/>
        <w:rPr>
          <w:rStyle w:val="Strong"/>
          <w:b/>
          <w:bCs w:val="0"/>
        </w:rPr>
      </w:pPr>
      <w:bookmarkStart w:id="107" w:name="_Toc221186127"/>
      <w:r w:rsidRPr="00C44568">
        <w:rPr>
          <w:rStyle w:val="Strong"/>
          <w:b/>
          <w:bCs w:val="0"/>
        </w:rPr>
        <w:t>Civic Readiness</w:t>
      </w:r>
      <w:bookmarkEnd w:id="107"/>
    </w:p>
    <w:p w14:paraId="609E532D" w14:textId="2AD4D669" w:rsidR="00613478" w:rsidRPr="00613478" w:rsidRDefault="008C3301" w:rsidP="00EA1A37">
      <w:pPr>
        <w:pStyle w:val="Body"/>
        <w:rPr>
          <w:rStyle w:val="Strong"/>
          <w:b w:val="0"/>
          <w:bCs w:val="0"/>
        </w:rPr>
      </w:pPr>
      <w:r>
        <w:rPr>
          <w:rStyle w:val="Strong"/>
          <w:b w:val="0"/>
          <w:bCs w:val="0"/>
        </w:rPr>
        <w:t>Grantees show early</w:t>
      </w:r>
      <w:r w:rsidR="00613478" w:rsidRPr="00613478">
        <w:rPr>
          <w:rStyle w:val="Strong"/>
          <w:b w:val="0"/>
          <w:bCs w:val="0"/>
        </w:rPr>
        <w:t xml:space="preserve"> evidence of civic readiness development where implementation was underway. </w:t>
      </w:r>
      <w:r w:rsidR="002005A0">
        <w:rPr>
          <w:rStyle w:val="Strong"/>
          <w:b w:val="0"/>
          <w:bCs w:val="0"/>
        </w:rPr>
        <w:t xml:space="preserve">LEAs with pre-existing SSCE pathways, such as Modesto City </w:t>
      </w:r>
      <w:r>
        <w:rPr>
          <w:rStyle w:val="Strong"/>
          <w:b w:val="0"/>
          <w:bCs w:val="0"/>
        </w:rPr>
        <w:t>High School District</w:t>
      </w:r>
      <w:r w:rsidR="002005A0">
        <w:rPr>
          <w:rStyle w:val="Strong"/>
          <w:b w:val="0"/>
          <w:bCs w:val="0"/>
        </w:rPr>
        <w:t>, are continuing to move</w:t>
      </w:r>
      <w:r w:rsidR="00613478" w:rsidRPr="00613478">
        <w:rPr>
          <w:rStyle w:val="Strong"/>
          <w:b w:val="0"/>
          <w:bCs w:val="0"/>
        </w:rPr>
        <w:t xml:space="preserve"> students through SSCE-aligned pathways. Other LEAs </w:t>
      </w:r>
      <w:r>
        <w:rPr>
          <w:rStyle w:val="Strong"/>
          <w:b w:val="0"/>
          <w:bCs w:val="0"/>
        </w:rPr>
        <w:t>showed</w:t>
      </w:r>
      <w:r w:rsidR="00613478" w:rsidRPr="00613478">
        <w:rPr>
          <w:rStyle w:val="Strong"/>
          <w:b w:val="0"/>
          <w:bCs w:val="0"/>
        </w:rPr>
        <w:t xml:space="preserve"> early-stage implementation focused on awareness-building, educator readiness, and system development, </w:t>
      </w:r>
      <w:r w:rsidR="000822A0">
        <w:rPr>
          <w:rStyle w:val="Strong"/>
          <w:b w:val="0"/>
          <w:bCs w:val="0"/>
        </w:rPr>
        <w:t>which suggests</w:t>
      </w:r>
      <w:r w:rsidR="00613478" w:rsidRPr="00613478">
        <w:rPr>
          <w:rStyle w:val="Strong"/>
          <w:b w:val="0"/>
          <w:bCs w:val="0"/>
        </w:rPr>
        <w:t xml:space="preserve"> that more robust project reporting and reflection documentation is likely to increase as implementation expands.</w:t>
      </w:r>
    </w:p>
    <w:p w14:paraId="262170B4" w14:textId="42324752" w:rsidR="00D31D7E" w:rsidRPr="00C44568" w:rsidRDefault="00D31D7E" w:rsidP="00ED5B14">
      <w:pPr>
        <w:pStyle w:val="Heading4"/>
        <w:rPr>
          <w:rStyle w:val="Strong"/>
          <w:b/>
          <w:bCs w:val="0"/>
        </w:rPr>
      </w:pPr>
      <w:bookmarkStart w:id="108" w:name="_Toc221186128"/>
      <w:r w:rsidRPr="00C44568">
        <w:rPr>
          <w:rStyle w:val="Strong"/>
          <w:b/>
          <w:bCs w:val="0"/>
        </w:rPr>
        <w:t>Program Sustainability and Capacity</w:t>
      </w:r>
      <w:r w:rsidR="000822A0">
        <w:rPr>
          <w:rStyle w:val="Strong"/>
          <w:b/>
          <w:bCs w:val="0"/>
        </w:rPr>
        <w:t>-</w:t>
      </w:r>
      <w:r w:rsidRPr="00C44568">
        <w:rPr>
          <w:rStyle w:val="Strong"/>
          <w:b/>
          <w:bCs w:val="0"/>
        </w:rPr>
        <w:t>Building</w:t>
      </w:r>
      <w:bookmarkEnd w:id="108"/>
    </w:p>
    <w:p w14:paraId="28B16767" w14:textId="3FE1A236" w:rsidR="00613478" w:rsidRPr="00613478" w:rsidRDefault="00235277" w:rsidP="00EA1A37">
      <w:pPr>
        <w:pStyle w:val="Body"/>
        <w:rPr>
          <w:rStyle w:val="Strong"/>
          <w:b w:val="0"/>
          <w:bCs w:val="0"/>
        </w:rPr>
      </w:pPr>
      <w:r>
        <w:rPr>
          <w:rStyle w:val="Strong"/>
          <w:b w:val="0"/>
          <w:bCs w:val="0"/>
        </w:rPr>
        <w:t>Cohort 3 demonstrates</w:t>
      </w:r>
      <w:r w:rsidR="0067350E">
        <w:rPr>
          <w:rStyle w:val="Strong"/>
          <w:b w:val="0"/>
          <w:bCs w:val="0"/>
        </w:rPr>
        <w:t xml:space="preserve"> a strong</w:t>
      </w:r>
      <w:r w:rsidR="00613478" w:rsidRPr="00613478">
        <w:rPr>
          <w:rStyle w:val="Strong"/>
          <w:b w:val="0"/>
          <w:bCs w:val="0"/>
        </w:rPr>
        <w:t xml:space="preserve"> emphasis on start-up capacity-building</w:t>
      </w:r>
      <w:r w:rsidR="000822A0">
        <w:rPr>
          <w:rStyle w:val="Strong"/>
          <w:b w:val="0"/>
          <w:bCs w:val="0"/>
        </w:rPr>
        <w:t xml:space="preserve"> that includes</w:t>
      </w:r>
      <w:r w:rsidR="00613478" w:rsidRPr="00613478">
        <w:rPr>
          <w:rStyle w:val="Strong"/>
          <w:b w:val="0"/>
          <w:bCs w:val="0"/>
        </w:rPr>
        <w:t xml:space="preserve"> staff coordination, professional learning, partnerships, and system development intended to sustain service-learning implementation beyond the grant period. Multiple LEAs described using early quarters to build structures</w:t>
      </w:r>
      <w:r w:rsidR="000822A0" w:rsidRPr="00613478">
        <w:rPr>
          <w:rStyle w:val="Strong"/>
          <w:b w:val="0"/>
          <w:bCs w:val="0"/>
        </w:rPr>
        <w:t>, including roles dedicated to coordination, criteria and pathway development, and educator support</w:t>
      </w:r>
      <w:r w:rsidR="000822A0">
        <w:rPr>
          <w:rStyle w:val="Strong"/>
          <w:b w:val="0"/>
          <w:bCs w:val="0"/>
        </w:rPr>
        <w:t>,</w:t>
      </w:r>
      <w:r w:rsidR="00613478" w:rsidRPr="00613478">
        <w:rPr>
          <w:rStyle w:val="Strong"/>
          <w:b w:val="0"/>
          <w:bCs w:val="0"/>
        </w:rPr>
        <w:t xml:space="preserve"> that support consistent SSCE-aligned implementation. These early investments align with long-term </w:t>
      </w:r>
      <w:r w:rsidR="00613478" w:rsidRPr="00613478">
        <w:rPr>
          <w:rStyle w:val="Strong"/>
          <w:b w:val="0"/>
          <w:bCs w:val="0"/>
        </w:rPr>
        <w:lastRenderedPageBreak/>
        <w:t xml:space="preserve">sustainability goals and reflect the practical needs of launching </w:t>
      </w:r>
      <w:r w:rsidR="00FF2220">
        <w:rPr>
          <w:rStyle w:val="Strong"/>
          <w:b w:val="0"/>
          <w:bCs w:val="0"/>
        </w:rPr>
        <w:t xml:space="preserve">local </w:t>
      </w:r>
      <w:r w:rsidR="00613478" w:rsidRPr="00613478">
        <w:rPr>
          <w:rStyle w:val="Strong"/>
          <w:b w:val="0"/>
          <w:bCs w:val="0"/>
        </w:rPr>
        <w:t>SSCE-aligned service-learning</w:t>
      </w:r>
      <w:r w:rsidR="00FF2220">
        <w:rPr>
          <w:rStyle w:val="Strong"/>
          <w:b w:val="0"/>
          <w:bCs w:val="0"/>
        </w:rPr>
        <w:t xml:space="preserve"> programs.</w:t>
      </w:r>
    </w:p>
    <w:p w14:paraId="6E3F3EE6" w14:textId="452E9FB3" w:rsidR="00D31D7E" w:rsidRPr="00C44568" w:rsidRDefault="00D31D7E" w:rsidP="00ED5B14">
      <w:pPr>
        <w:pStyle w:val="Heading4"/>
        <w:rPr>
          <w:rStyle w:val="Strong"/>
          <w:b/>
          <w:bCs w:val="0"/>
        </w:rPr>
      </w:pPr>
      <w:bookmarkStart w:id="109" w:name="_Toc221186129"/>
      <w:r w:rsidRPr="00C44568">
        <w:rPr>
          <w:rStyle w:val="Strong"/>
          <w:b/>
          <w:bCs w:val="0"/>
        </w:rPr>
        <w:t>Gaps and Areas for Growth</w:t>
      </w:r>
      <w:bookmarkEnd w:id="109"/>
    </w:p>
    <w:p w14:paraId="5BB3B4F6" w14:textId="28871613" w:rsidR="0008406F" w:rsidRPr="0008406F" w:rsidRDefault="00083F26" w:rsidP="005B1F66">
      <w:pPr>
        <w:pStyle w:val="Body"/>
        <w:rPr>
          <w:lang w:val="en"/>
        </w:rPr>
      </w:pPr>
      <w:r w:rsidRPr="00083F26">
        <w:rPr>
          <w:rStyle w:val="Strong"/>
          <w:b w:val="0"/>
          <w:bCs w:val="0"/>
          <w:szCs w:val="26"/>
          <w:lang w:val="en"/>
        </w:rPr>
        <w:t xml:space="preserve">Cohort 3 </w:t>
      </w:r>
      <w:r w:rsidR="006E0742">
        <w:rPr>
          <w:rStyle w:val="Strong"/>
          <w:b w:val="0"/>
          <w:bCs w:val="0"/>
          <w:szCs w:val="26"/>
          <w:lang w:val="en"/>
        </w:rPr>
        <w:t>highlights</w:t>
      </w:r>
      <w:r w:rsidRPr="00083F26">
        <w:rPr>
          <w:rStyle w:val="Strong"/>
          <w:b w:val="0"/>
          <w:bCs w:val="0"/>
          <w:szCs w:val="26"/>
          <w:lang w:val="en"/>
        </w:rPr>
        <w:t xml:space="preserve"> the </w:t>
      </w:r>
      <w:r w:rsidR="006E0742">
        <w:rPr>
          <w:rStyle w:val="Strong"/>
          <w:b w:val="0"/>
          <w:bCs w:val="0"/>
          <w:szCs w:val="26"/>
          <w:lang w:val="en"/>
        </w:rPr>
        <w:t xml:space="preserve">importance of </w:t>
      </w:r>
      <w:r w:rsidRPr="00083F26">
        <w:rPr>
          <w:rStyle w:val="Strong"/>
          <w:b w:val="0"/>
          <w:bCs w:val="0"/>
          <w:szCs w:val="26"/>
          <w:lang w:val="en"/>
        </w:rPr>
        <w:t>consistent documentati</w:t>
      </w:r>
      <w:r w:rsidR="006E0742">
        <w:rPr>
          <w:rStyle w:val="Strong"/>
          <w:b w:val="0"/>
          <w:bCs w:val="0"/>
          <w:szCs w:val="26"/>
          <w:lang w:val="en"/>
        </w:rPr>
        <w:t>on</w:t>
      </w:r>
      <w:r w:rsidRPr="00083F26">
        <w:rPr>
          <w:rStyle w:val="Strong"/>
          <w:b w:val="0"/>
          <w:bCs w:val="0"/>
          <w:szCs w:val="26"/>
          <w:lang w:val="en"/>
        </w:rPr>
        <w:t>. As Cohort 3 implementation matures, strengthening consistency in reporting</w:t>
      </w:r>
      <w:r w:rsidR="000822A0">
        <w:rPr>
          <w:rStyle w:val="Strong"/>
          <w:b w:val="0"/>
          <w:bCs w:val="0"/>
          <w:szCs w:val="26"/>
          <w:lang w:val="en"/>
        </w:rPr>
        <w:t xml:space="preserve"> (</w:t>
      </w:r>
      <w:r w:rsidRPr="00083F26">
        <w:rPr>
          <w:rStyle w:val="Strong"/>
          <w:b w:val="0"/>
          <w:bCs w:val="0"/>
          <w:szCs w:val="26"/>
          <w:lang w:val="en"/>
        </w:rPr>
        <w:t>including clearer documentation of student-led project components, reflection artifacts, and SSCE outcomes</w:t>
      </w:r>
      <w:r w:rsidR="000822A0">
        <w:rPr>
          <w:rStyle w:val="Strong"/>
          <w:b w:val="0"/>
          <w:bCs w:val="0"/>
          <w:szCs w:val="26"/>
          <w:lang w:val="en"/>
        </w:rPr>
        <w:t>)</w:t>
      </w:r>
      <w:r w:rsidRPr="00083F26">
        <w:rPr>
          <w:rStyle w:val="Strong"/>
          <w:b w:val="0"/>
          <w:bCs w:val="0"/>
          <w:szCs w:val="26"/>
          <w:lang w:val="en"/>
        </w:rPr>
        <w:t xml:space="preserve"> will improve statewide learning about effective approaches, particularly for small, rural, and consortium-based models.</w:t>
      </w:r>
    </w:p>
    <w:p w14:paraId="3909EFAD" w14:textId="05146D3F" w:rsidR="001E3448" w:rsidRDefault="00E9396C" w:rsidP="00EA1A37">
      <w:pPr>
        <w:pStyle w:val="Heading2"/>
      </w:pPr>
      <w:bookmarkStart w:id="110" w:name="_Toc220420863"/>
      <w:bookmarkStart w:id="111" w:name="_Toc221186130"/>
      <w:bookmarkStart w:id="112" w:name="_Toc230962697"/>
      <w:r>
        <w:t>Overall Findings</w:t>
      </w:r>
      <w:r w:rsidR="00A9679B">
        <w:t xml:space="preserve"> and Recommendations</w:t>
      </w:r>
      <w:bookmarkEnd w:id="110"/>
      <w:bookmarkEnd w:id="111"/>
      <w:bookmarkEnd w:id="112"/>
    </w:p>
    <w:p w14:paraId="5468994F" w14:textId="5D4B6341" w:rsidR="00A9679B" w:rsidRDefault="00A9679B" w:rsidP="00ED5B14">
      <w:pPr>
        <w:pStyle w:val="Heading3"/>
      </w:pPr>
      <w:bookmarkStart w:id="113" w:name="_Toc221186131"/>
      <w:r>
        <w:t>Key Findings</w:t>
      </w:r>
      <w:bookmarkEnd w:id="113"/>
    </w:p>
    <w:p w14:paraId="079ED98C" w14:textId="25A45769" w:rsidR="00412A81" w:rsidRDefault="00412A81" w:rsidP="00EA1A37">
      <w:pPr>
        <w:pStyle w:val="Body"/>
        <w:rPr>
          <w:rStyle w:val="Heading4Char"/>
        </w:rPr>
      </w:pPr>
      <w:bookmarkStart w:id="114" w:name="_Toc221186132"/>
      <w:r>
        <w:rPr>
          <w:rStyle w:val="Heading4Char"/>
        </w:rPr>
        <w:t>Data Consistency</w:t>
      </w:r>
      <w:bookmarkEnd w:id="114"/>
    </w:p>
    <w:p w14:paraId="15C807A6" w14:textId="77777777" w:rsidR="000822A0" w:rsidRDefault="0028516A" w:rsidP="0028516A">
      <w:pPr>
        <w:pStyle w:val="Body"/>
      </w:pPr>
      <w:r>
        <w:t xml:space="preserve">Across Cohorts 1–3, reports show meaningful implementation activity and strong alignment with California Serves goals. However, reporting consistency varies across </w:t>
      </w:r>
      <w:r w:rsidR="00C45D2A">
        <w:t>grantees</w:t>
      </w:r>
      <w:r>
        <w:t xml:space="preserve">, and SSCE insignia </w:t>
      </w:r>
      <w:proofErr w:type="gramStart"/>
      <w:r>
        <w:t>request</w:t>
      </w:r>
      <w:proofErr w:type="gramEnd"/>
      <w:r>
        <w:t xml:space="preserve"> totals should be interpreted with </w:t>
      </w:r>
      <w:r w:rsidR="00F07B56">
        <w:t>care</w:t>
      </w:r>
      <w:r>
        <w:t xml:space="preserve"> when reviewing year-to-year changes. </w:t>
      </w:r>
      <w:r w:rsidR="00EF41A8">
        <w:t>D</w:t>
      </w:r>
      <w:r>
        <w:t xml:space="preserve">eclines in requests from one year to the next may reflect structural and administrative factors rather than reduced student interest or diminished program impact. </w:t>
      </w:r>
    </w:p>
    <w:p w14:paraId="31ADABFF" w14:textId="61669A1C" w:rsidR="0028516A" w:rsidRDefault="0028516A" w:rsidP="0028516A">
      <w:pPr>
        <w:pStyle w:val="Body"/>
      </w:pPr>
      <w:r>
        <w:t>For example, some grantees support multiple districts</w:t>
      </w:r>
      <w:r w:rsidR="004F5CE6">
        <w:t xml:space="preserve"> or charter schools</w:t>
      </w:r>
      <w:r>
        <w:t xml:space="preserve">; if one </w:t>
      </w:r>
      <w:proofErr w:type="gramStart"/>
      <w:r>
        <w:t>participating</w:t>
      </w:r>
      <w:proofErr w:type="gramEnd"/>
      <w:r>
        <w:t xml:space="preserve"> LEA experiences a decline in SSCE participation capacity due to staffing, student participation, or competing priorities, that decrease will be reflected in the grantee’s aggregate request totals. In addition, insignia requests are often submitted as estimates while students complete remaining coursework, projects, or other requirements</w:t>
      </w:r>
      <w:r w:rsidR="003B25B6">
        <w:t>. B</w:t>
      </w:r>
      <w:r>
        <w:t>ecause corrections are not always submitted</w:t>
      </w:r>
      <w:r w:rsidR="003B25B6">
        <w:t xml:space="preserve"> by LEAs</w:t>
      </w:r>
      <w:r>
        <w:t xml:space="preserve">, fluctuations in annual request totals may not fully reflect final insignias awarded. Finally, </w:t>
      </w:r>
      <w:r w:rsidR="000822A0">
        <w:t xml:space="preserve">for </w:t>
      </w:r>
      <w:r>
        <w:t>some</w:t>
      </w:r>
      <w:r w:rsidR="00EF41A8">
        <w:t xml:space="preserve"> grantees</w:t>
      </w:r>
      <w:r>
        <w:t>, th</w:t>
      </w:r>
      <w:r w:rsidR="00EF41A8">
        <w:t>e</w:t>
      </w:r>
      <w:r>
        <w:t xml:space="preserve"> project director is not the same staff member responsible for SSCE insignia requests, which can contribute to discrepancies between statewide insignia request data and what is reported in periodic California Serves progress reports.</w:t>
      </w:r>
    </w:p>
    <w:p w14:paraId="245E4DBF" w14:textId="27D68214" w:rsidR="0028516A" w:rsidRPr="00F41872" w:rsidRDefault="0028516A" w:rsidP="0028516A">
      <w:pPr>
        <w:pStyle w:val="Body"/>
      </w:pPr>
      <w:r>
        <w:t>Cohort 3 reports</w:t>
      </w:r>
      <w:proofErr w:type="gramStart"/>
      <w:r>
        <w:t>, in particular, reflect</w:t>
      </w:r>
      <w:proofErr w:type="gramEnd"/>
      <w:r>
        <w:t xml:space="preserve"> early start-up conditions with several grantees reporting limited or no grant-related activities. This limits analysis of early equity reach, SSCE outcomes, and the effectiveness of implementation approaches. Additionally, the model uniform metrics required by </w:t>
      </w:r>
      <w:r w:rsidRPr="0030327C">
        <w:rPr>
          <w:i/>
          <w:iCs/>
        </w:rPr>
        <w:t>EC</w:t>
      </w:r>
      <w:r>
        <w:t xml:space="preserve"> Section 51475 were still under development during earlier reporting periods and were not available for </w:t>
      </w:r>
      <w:r w:rsidR="00A065C9">
        <w:t>c</w:t>
      </w:r>
      <w:r>
        <w:t xml:space="preserve">ohorts 1 or 2 to use at the time, </w:t>
      </w:r>
      <w:r w:rsidR="00A065C9">
        <w:t xml:space="preserve">which </w:t>
      </w:r>
      <w:r>
        <w:t>contribut</w:t>
      </w:r>
      <w:r w:rsidR="00A065C9">
        <w:t>ed</w:t>
      </w:r>
      <w:r>
        <w:t xml:space="preserve"> to variation in what LEAs tracked and reported.</w:t>
      </w:r>
    </w:p>
    <w:p w14:paraId="0EA7B24A" w14:textId="0C0DCA94" w:rsidR="008C7D3F" w:rsidRDefault="008C7D3F" w:rsidP="00ED5B14">
      <w:pPr>
        <w:pStyle w:val="Heading4"/>
      </w:pPr>
      <w:bookmarkStart w:id="115" w:name="_Toc221186133"/>
      <w:r>
        <w:lastRenderedPageBreak/>
        <w:t>Practical Skill Development</w:t>
      </w:r>
      <w:bookmarkEnd w:id="115"/>
    </w:p>
    <w:p w14:paraId="5DB7CAC6" w14:textId="2880A1B8" w:rsidR="00FA79F5" w:rsidRDefault="00C92D46" w:rsidP="00EA1A37">
      <w:pPr>
        <w:pStyle w:val="Body"/>
      </w:pPr>
      <w:r>
        <w:t>S</w:t>
      </w:r>
      <w:r w:rsidR="00FA79F5" w:rsidRPr="00F41872">
        <w:t>ervice</w:t>
      </w:r>
      <w:r w:rsidR="001123A1">
        <w:t>-</w:t>
      </w:r>
      <w:r w:rsidR="00FA79F5" w:rsidRPr="00F41872">
        <w:t xml:space="preserve">learning implementation is demonstrating </w:t>
      </w:r>
      <w:r w:rsidR="00D4601B">
        <w:t xml:space="preserve">an opportunity </w:t>
      </w:r>
      <w:r w:rsidR="00FA79F5" w:rsidRPr="00F41872">
        <w:t xml:space="preserve">for deepening civic readiness and expanding SSCE-aligned opportunities. </w:t>
      </w:r>
      <w:r w:rsidR="00A662E0">
        <w:t xml:space="preserve">Students are </w:t>
      </w:r>
      <w:r w:rsidR="00FA79F5" w:rsidRPr="00F41872">
        <w:t xml:space="preserve">developing practical civic skills (public speaking, policy analysis, cross-sector collaboration) and producing tangible outputs such as safety proposals adopted by local entities and policy recommendations presented to governing bodies. </w:t>
      </w:r>
    </w:p>
    <w:p w14:paraId="3114156B" w14:textId="5DA34784" w:rsidR="00285385" w:rsidRPr="00285385" w:rsidRDefault="00285385" w:rsidP="00EA1A37">
      <w:pPr>
        <w:pStyle w:val="Body"/>
      </w:pPr>
      <w:r w:rsidRPr="00285385">
        <w:t xml:space="preserve">While Cohort 3 outcome reporting is still emerging, early implementation efforts align with broader patterns in </w:t>
      </w:r>
      <w:r w:rsidR="00A065C9">
        <w:t>c</w:t>
      </w:r>
      <w:r w:rsidRPr="00285385">
        <w:t xml:space="preserve">ohorts 1 and 2, which indicate that structured, SSCE-aligned </w:t>
      </w:r>
      <w:r w:rsidR="001123A1">
        <w:t>service-learning</w:t>
      </w:r>
      <w:r w:rsidRPr="00285385">
        <w:t xml:space="preserve"> supports meaningful student skill development when paired with strong educator support and infrastructure.</w:t>
      </w:r>
    </w:p>
    <w:p w14:paraId="7C27BC4D" w14:textId="7E560D82" w:rsidR="008C7D3F" w:rsidRPr="00F41872" w:rsidRDefault="008C7D3F" w:rsidP="00ED5B14">
      <w:pPr>
        <w:pStyle w:val="Heading4"/>
      </w:pPr>
      <w:bookmarkStart w:id="116" w:name="_Toc221186134"/>
      <w:r>
        <w:t>Capacity-Building</w:t>
      </w:r>
      <w:bookmarkEnd w:id="116"/>
    </w:p>
    <w:p w14:paraId="7E9C2B1D" w14:textId="5B778C27" w:rsidR="00CF29BF" w:rsidRDefault="00CF29BF" w:rsidP="005B1F66">
      <w:pPr>
        <w:pStyle w:val="Body"/>
        <w:rPr>
          <w:b/>
          <w:i/>
          <w:iCs/>
        </w:rPr>
      </w:pPr>
      <w:r w:rsidRPr="00CF29BF">
        <w:t>A consistent cross-cohort pattern is that sustainable service-learning implementation requires intentional capacity-building</w:t>
      </w:r>
      <w:r w:rsidR="00A065C9">
        <w:t xml:space="preserve"> that includes </w:t>
      </w:r>
      <w:r w:rsidRPr="00CF29BF">
        <w:t xml:space="preserve">coordination roles, educator professional learning, and tools for tracking SSCE evidence and outcomes. Cohort 3 </w:t>
      </w:r>
      <w:r w:rsidR="000205F1">
        <w:t xml:space="preserve">experiences </w:t>
      </w:r>
      <w:r w:rsidRPr="00CF29BF">
        <w:t xml:space="preserve">reinforce this pattern, with multiple LEAs emphasizing early systems-building, partnership development, and staffing models designed to support long-term implementation. These capacity-building strategies remain essential for scaling </w:t>
      </w:r>
      <w:r w:rsidR="001123A1">
        <w:t>service-learning</w:t>
      </w:r>
      <w:r w:rsidRPr="00CF29BF">
        <w:t xml:space="preserve"> and ensuring equitable access, particularly in LEAs with limited staffing capacity or consortium-based implementation models.</w:t>
      </w:r>
    </w:p>
    <w:p w14:paraId="61B5E5E7" w14:textId="308B7061" w:rsidR="008C7D3F" w:rsidRDefault="008C7D3F" w:rsidP="00ED5B14">
      <w:pPr>
        <w:pStyle w:val="Heading4"/>
      </w:pPr>
      <w:bookmarkStart w:id="117" w:name="_Toc221186135"/>
      <w:r>
        <w:t>Impact on the S</w:t>
      </w:r>
      <w:r w:rsidR="00A065C9">
        <w:t xml:space="preserve">tate </w:t>
      </w:r>
      <w:r>
        <w:t>S</w:t>
      </w:r>
      <w:r w:rsidR="00A065C9">
        <w:t xml:space="preserve">eal of </w:t>
      </w:r>
      <w:r>
        <w:t>C</w:t>
      </w:r>
      <w:r w:rsidR="00A065C9">
        <w:t xml:space="preserve">ivic </w:t>
      </w:r>
      <w:r>
        <w:t>E</w:t>
      </w:r>
      <w:bookmarkEnd w:id="117"/>
      <w:r w:rsidR="00A065C9">
        <w:t>ngagement</w:t>
      </w:r>
    </w:p>
    <w:p w14:paraId="1565DC4E" w14:textId="4DC322E9" w:rsidR="006F0E05" w:rsidRDefault="00CF29BF" w:rsidP="00EA1A37">
      <w:pPr>
        <w:pStyle w:val="Body"/>
      </w:pPr>
      <w:r w:rsidRPr="00CF29BF">
        <w:t xml:space="preserve">Evidence </w:t>
      </w:r>
      <w:r w:rsidR="008A69E9">
        <w:t xml:space="preserve">from </w:t>
      </w:r>
      <w:r w:rsidR="00A065C9">
        <w:t>c</w:t>
      </w:r>
      <w:r w:rsidR="008A69E9">
        <w:t xml:space="preserve">ohorts 1 and 2 </w:t>
      </w:r>
      <w:r w:rsidRPr="00CF29BF">
        <w:t xml:space="preserve">suggests that the California Serves </w:t>
      </w:r>
      <w:r w:rsidR="00A065C9">
        <w:t>G</w:t>
      </w:r>
      <w:r w:rsidRPr="00CF29BF">
        <w:t>rant supports growth in SSCE access by strengthening service-learning pathways, improving SSCE awareness, and building local capacity for evidence collection and reflection.</w:t>
      </w:r>
      <w:r w:rsidR="008A69E9">
        <w:t xml:space="preserve"> </w:t>
      </w:r>
      <w:r w:rsidR="00312382">
        <w:t xml:space="preserve">While fluctuations in annual SSCE insignia requests are to be expected, Cohort 1 and 2 grantees are generally showing an overall increase in the number of SSCE insignias requested. </w:t>
      </w:r>
      <w:r w:rsidR="00D12F55">
        <w:t xml:space="preserve">The first </w:t>
      </w:r>
      <w:r w:rsidR="005F7C8C">
        <w:t>grant year</w:t>
      </w:r>
      <w:r w:rsidR="00D12F55">
        <w:t xml:space="preserve"> during which Cohort 3 grantees will request insignias </w:t>
      </w:r>
      <w:r w:rsidR="005F7C8C">
        <w:t>is 2025–26, at which time additional evidence related to the</w:t>
      </w:r>
      <w:r w:rsidR="00CF5ECC">
        <w:t xml:space="preserve"> grant’s</w:t>
      </w:r>
      <w:r w:rsidR="005F7C8C">
        <w:t xml:space="preserve"> impact on the SSCE will be available.</w:t>
      </w:r>
    </w:p>
    <w:p w14:paraId="75B3B315" w14:textId="538BA708" w:rsidR="006F0E05" w:rsidRPr="005B1F66" w:rsidRDefault="00D971E9" w:rsidP="005B1F66">
      <w:pPr>
        <w:pStyle w:val="Heading4"/>
        <w:rPr>
          <w:b w:val="0"/>
        </w:rPr>
      </w:pPr>
      <w:r w:rsidRPr="005B1F66">
        <w:t>Statewide Implementation and Grantee Support</w:t>
      </w:r>
    </w:p>
    <w:p w14:paraId="03D713C2" w14:textId="40BB9A89" w:rsidR="00FA79F5" w:rsidRPr="00F41872" w:rsidRDefault="00D971E9" w:rsidP="00EA1A37">
      <w:pPr>
        <w:pStyle w:val="Body"/>
      </w:pPr>
      <w:r w:rsidRPr="0088238A">
        <w:t>The California Serves Program’s</w:t>
      </w:r>
      <w:r w:rsidR="00FA79F5" w:rsidRPr="0088238A">
        <w:t xml:space="preserve"> statewide elements</w:t>
      </w:r>
      <w:r w:rsidR="00A065C9">
        <w:t>—</w:t>
      </w:r>
      <w:r w:rsidR="00CF5ECC">
        <w:t xml:space="preserve">including development and posting of </w:t>
      </w:r>
      <w:r w:rsidR="001123A1">
        <w:t>service-learning</w:t>
      </w:r>
      <w:r w:rsidRPr="0088238A">
        <w:t xml:space="preserve"> recommendations</w:t>
      </w:r>
      <w:r w:rsidR="00CF5ECC">
        <w:t xml:space="preserve"> and model uniform </w:t>
      </w:r>
      <w:r w:rsidR="00FA79F5" w:rsidRPr="0088238A">
        <w:t xml:space="preserve">metrics, annual reporting, </w:t>
      </w:r>
      <w:proofErr w:type="gramStart"/>
      <w:r w:rsidR="0088238A" w:rsidRPr="0088238A">
        <w:t>grantee</w:t>
      </w:r>
      <w:proofErr w:type="gramEnd"/>
      <w:r w:rsidR="0088238A" w:rsidRPr="0088238A">
        <w:t xml:space="preserve"> </w:t>
      </w:r>
      <w:r w:rsidR="00FA79F5" w:rsidRPr="0088238A">
        <w:t>technical assistance,</w:t>
      </w:r>
      <w:r w:rsidR="00A065C9">
        <w:t xml:space="preserve"> and</w:t>
      </w:r>
      <w:r w:rsidR="00FA79F5" w:rsidRPr="0088238A">
        <w:t xml:space="preserve"> grant administration</w:t>
      </w:r>
      <w:r w:rsidR="00A065C9">
        <w:t>—</w:t>
      </w:r>
      <w:r w:rsidR="00FA79F5" w:rsidRPr="0088238A">
        <w:t xml:space="preserve">require </w:t>
      </w:r>
      <w:r w:rsidR="0088238A" w:rsidRPr="0088238A">
        <w:t>extensive and ongoing</w:t>
      </w:r>
      <w:r w:rsidR="00FA79F5" w:rsidRPr="0088238A">
        <w:t xml:space="preserve"> coordination and capacity</w:t>
      </w:r>
      <w:r w:rsidR="0088238A" w:rsidRPr="0088238A">
        <w:t>. I</w:t>
      </w:r>
      <w:r w:rsidR="00FA79F5" w:rsidRPr="0088238A">
        <w:t xml:space="preserve">n practice, the absence of dedicated statewide administrative funding for </w:t>
      </w:r>
      <w:r w:rsidR="0088238A" w:rsidRPr="0088238A">
        <w:t xml:space="preserve">the </w:t>
      </w:r>
      <w:r w:rsidR="00FA79F5" w:rsidRPr="0088238A">
        <w:t xml:space="preserve">CDE and California Volunteers has made it difficult to sustain the level of </w:t>
      </w:r>
      <w:r w:rsidR="001F5262">
        <w:t xml:space="preserve">technical support to grantees and </w:t>
      </w:r>
      <w:r w:rsidR="00FA79F5" w:rsidRPr="0088238A">
        <w:t>statewide infrastructure and ongoing interagency support envisioned in statute.</w:t>
      </w:r>
    </w:p>
    <w:p w14:paraId="6D1DB378" w14:textId="5038D19F" w:rsidR="00FA79F5" w:rsidRPr="00F41872" w:rsidRDefault="00FA79F5" w:rsidP="005C6DCD">
      <w:pPr>
        <w:pStyle w:val="Heading3"/>
      </w:pPr>
      <w:bookmarkStart w:id="118" w:name="_Toc221186136"/>
      <w:r w:rsidRPr="00A04C9C">
        <w:lastRenderedPageBreak/>
        <w:t>Recommendations and</w:t>
      </w:r>
      <w:r w:rsidR="00A9679B" w:rsidRPr="00A04C9C">
        <w:t xml:space="preserve"> C</w:t>
      </w:r>
      <w:r w:rsidRPr="00A04C9C">
        <w:t xml:space="preserve">onsiderations </w:t>
      </w:r>
      <w:r w:rsidR="00A9679B" w:rsidRPr="00A04C9C">
        <w:t>for Moving Forward</w:t>
      </w:r>
      <w:bookmarkEnd w:id="118"/>
    </w:p>
    <w:p w14:paraId="30472C6E" w14:textId="316C948E" w:rsidR="00AA3320" w:rsidRDefault="00AA3320" w:rsidP="005C6DCD">
      <w:pPr>
        <w:pStyle w:val="Body"/>
      </w:pPr>
      <w:r w:rsidRPr="00AA3320">
        <w:t xml:space="preserve">Based on statewide findings across </w:t>
      </w:r>
      <w:r w:rsidR="00A065C9">
        <w:t>c</w:t>
      </w:r>
      <w:r w:rsidRPr="00AA3320">
        <w:t>ohorts 1–3, the following recommendations are intended to strengthen implementation quality, equity reach, and statewide learning from the California Serves program:</w:t>
      </w:r>
    </w:p>
    <w:p w14:paraId="1BEDF972" w14:textId="79724828" w:rsidR="006A6AE1" w:rsidRDefault="00FA79F5" w:rsidP="005C6DCD">
      <w:pPr>
        <w:numPr>
          <w:ilvl w:val="0"/>
          <w:numId w:val="38"/>
        </w:numPr>
        <w:spacing w:after="240"/>
        <w:rPr>
          <w:rFonts w:eastAsia="Times New Roman"/>
        </w:rPr>
      </w:pPr>
      <w:r w:rsidRPr="006A6AE1">
        <w:rPr>
          <w:rFonts w:eastAsia="Times New Roman"/>
        </w:rPr>
        <w:t>Sustain and strengthen statewide administrative capacity for program implementation.</w:t>
      </w:r>
      <w:r w:rsidRPr="00F41872">
        <w:rPr>
          <w:rFonts w:eastAsia="Times New Roman"/>
        </w:rPr>
        <w:t xml:space="preserve"> </w:t>
      </w:r>
    </w:p>
    <w:p w14:paraId="32CB7904" w14:textId="6A971C26" w:rsidR="00FA79F5" w:rsidRPr="00F41872" w:rsidRDefault="00A3491E" w:rsidP="005C6DCD">
      <w:pPr>
        <w:spacing w:after="240"/>
        <w:ind w:left="720"/>
        <w:rPr>
          <w:rFonts w:eastAsia="Times New Roman"/>
        </w:rPr>
      </w:pPr>
      <w:r>
        <w:rPr>
          <w:rFonts w:eastAsia="Times New Roman"/>
        </w:rPr>
        <w:t>The Legislature may consider</w:t>
      </w:r>
      <w:r w:rsidR="00FA79F5" w:rsidRPr="00F41872">
        <w:rPr>
          <w:rFonts w:eastAsia="Times New Roman"/>
        </w:rPr>
        <w:t xml:space="preserve"> providing dedicated statewide administrative funding to support the ongoing requirements in </w:t>
      </w:r>
      <w:r w:rsidR="00FA79F5" w:rsidRPr="00B01411">
        <w:rPr>
          <w:rFonts w:eastAsia="Times New Roman"/>
          <w:i/>
          <w:iCs/>
        </w:rPr>
        <w:t>EC</w:t>
      </w:r>
      <w:r w:rsidR="00FA79F5" w:rsidRPr="00F41872">
        <w:rPr>
          <w:rFonts w:eastAsia="Times New Roman"/>
        </w:rPr>
        <w:t xml:space="preserve"> </w:t>
      </w:r>
      <w:r w:rsidR="00FA79F5" w:rsidRPr="00087FEC">
        <w:rPr>
          <w:rFonts w:eastAsia="Times New Roman"/>
          <w:i/>
          <w:iCs/>
        </w:rPr>
        <w:t>Section</w:t>
      </w:r>
      <w:r w:rsidR="00FA79F5" w:rsidRPr="00F41872">
        <w:rPr>
          <w:rFonts w:eastAsia="Times New Roman"/>
        </w:rPr>
        <w:t xml:space="preserve"> 51475</w:t>
      </w:r>
      <w:r w:rsidR="00087FEC">
        <w:rPr>
          <w:rFonts w:eastAsia="Times New Roman"/>
        </w:rPr>
        <w:t xml:space="preserve">, </w:t>
      </w:r>
      <w:r w:rsidR="00FA79F5" w:rsidRPr="00F41872">
        <w:rPr>
          <w:rFonts w:eastAsia="Times New Roman"/>
        </w:rPr>
        <w:t xml:space="preserve">including maintenance and continuous improvement of </w:t>
      </w:r>
      <w:r w:rsidR="00FD5020">
        <w:rPr>
          <w:rFonts w:eastAsia="Times New Roman"/>
        </w:rPr>
        <w:t xml:space="preserve">service-learning recommendations and </w:t>
      </w:r>
      <w:r w:rsidR="00FA79F5" w:rsidRPr="00F41872">
        <w:rPr>
          <w:rFonts w:eastAsia="Times New Roman"/>
        </w:rPr>
        <w:t>model uniform metrics, technical assistance, annual reporting, grant administration</w:t>
      </w:r>
      <w:r w:rsidR="00087FEC">
        <w:rPr>
          <w:rFonts w:eastAsia="Times New Roman"/>
        </w:rPr>
        <w:t xml:space="preserve">, </w:t>
      </w:r>
      <w:r w:rsidR="00A065C9">
        <w:rPr>
          <w:rFonts w:eastAsia="Times New Roman"/>
        </w:rPr>
        <w:t>and</w:t>
      </w:r>
      <w:r w:rsidR="00087FEC">
        <w:rPr>
          <w:rFonts w:eastAsia="Times New Roman"/>
        </w:rPr>
        <w:t xml:space="preserve"> improved capacity to support LEA implementation</w:t>
      </w:r>
      <w:r w:rsidR="0021017A">
        <w:rPr>
          <w:rFonts w:eastAsia="Times New Roman"/>
        </w:rPr>
        <w:t xml:space="preserve"> with increased technical assistance</w:t>
      </w:r>
      <w:r w:rsidR="00FA79F5" w:rsidRPr="00F41872">
        <w:rPr>
          <w:rFonts w:eastAsia="Times New Roman"/>
        </w:rPr>
        <w:t>. Stable statewide capacity would also help strengthen consistent partnership structures and support across agencies.</w:t>
      </w:r>
    </w:p>
    <w:p w14:paraId="466C84DA" w14:textId="77777777" w:rsidR="006A6AE1" w:rsidRPr="006A6AE1" w:rsidRDefault="00FA79F5" w:rsidP="005C6DCD">
      <w:pPr>
        <w:numPr>
          <w:ilvl w:val="0"/>
          <w:numId w:val="38"/>
        </w:numPr>
        <w:spacing w:after="240"/>
        <w:rPr>
          <w:rFonts w:eastAsia="Times New Roman"/>
        </w:rPr>
      </w:pPr>
      <w:r w:rsidRPr="006A6AE1">
        <w:rPr>
          <w:rFonts w:eastAsia="Times New Roman"/>
        </w:rPr>
        <w:t xml:space="preserve">Improve statewide data quality and comparability using the model uniform metrics. </w:t>
      </w:r>
    </w:p>
    <w:p w14:paraId="4D9448E5" w14:textId="6E203A9D" w:rsidR="00FA79F5" w:rsidRPr="00F41872" w:rsidRDefault="00FA79F5" w:rsidP="005C6DCD">
      <w:pPr>
        <w:spacing w:after="240"/>
        <w:ind w:left="720"/>
        <w:rPr>
          <w:rFonts w:eastAsia="Times New Roman"/>
        </w:rPr>
      </w:pPr>
      <w:r w:rsidRPr="00F41872">
        <w:rPr>
          <w:rFonts w:eastAsia="Times New Roman"/>
        </w:rPr>
        <w:t xml:space="preserve">With model uniform metrics </w:t>
      </w:r>
      <w:r w:rsidR="006D15A8">
        <w:rPr>
          <w:rFonts w:eastAsia="Times New Roman"/>
        </w:rPr>
        <w:t xml:space="preserve">and standardized reporting forms </w:t>
      </w:r>
      <w:r w:rsidRPr="00F41872">
        <w:rPr>
          <w:rFonts w:eastAsia="Times New Roman"/>
        </w:rPr>
        <w:t xml:space="preserve">now available, establish clearer </w:t>
      </w:r>
      <w:proofErr w:type="gramStart"/>
      <w:r w:rsidRPr="00F41872">
        <w:rPr>
          <w:rFonts w:eastAsia="Times New Roman"/>
        </w:rPr>
        <w:t>supports</w:t>
      </w:r>
      <w:proofErr w:type="gramEnd"/>
      <w:r w:rsidRPr="00F41872">
        <w:rPr>
          <w:rFonts w:eastAsia="Times New Roman"/>
        </w:rPr>
        <w:t xml:space="preserve"> for consistent reporting across LEAs</w:t>
      </w:r>
      <w:r w:rsidR="00A065C9">
        <w:rPr>
          <w:rFonts w:eastAsia="Times New Roman"/>
        </w:rPr>
        <w:t>. These supports include</w:t>
      </w:r>
      <w:r w:rsidRPr="00F41872">
        <w:rPr>
          <w:rFonts w:eastAsia="Times New Roman"/>
        </w:rPr>
        <w:t xml:space="preserve"> SSCE awards attributable to service-learning pathways and disaggregation where </w:t>
      </w:r>
      <w:r w:rsidR="001C591B">
        <w:rPr>
          <w:rFonts w:eastAsia="Times New Roman"/>
        </w:rPr>
        <w:t xml:space="preserve">possible. </w:t>
      </w:r>
      <w:r w:rsidRPr="00F41872">
        <w:rPr>
          <w:rFonts w:eastAsia="Times New Roman"/>
        </w:rPr>
        <w:t xml:space="preserve">This will improve the </w:t>
      </w:r>
      <w:r w:rsidR="004302C5">
        <w:rPr>
          <w:rFonts w:eastAsia="Times New Roman"/>
        </w:rPr>
        <w:t xml:space="preserve">ability to </w:t>
      </w:r>
      <w:r w:rsidR="00E563BE" w:rsidRPr="00F41872">
        <w:rPr>
          <w:rFonts w:eastAsia="Times New Roman"/>
        </w:rPr>
        <w:t>evaluate</w:t>
      </w:r>
      <w:r w:rsidRPr="00F41872">
        <w:rPr>
          <w:rFonts w:eastAsia="Times New Roman"/>
        </w:rPr>
        <w:t xml:space="preserve"> equity, rural access, and measurable pupil outcomes across cohorts.</w:t>
      </w:r>
    </w:p>
    <w:p w14:paraId="23952212" w14:textId="77777777" w:rsidR="006A6AE1" w:rsidRPr="006A6AE1" w:rsidRDefault="00FA79F5" w:rsidP="005C6DCD">
      <w:pPr>
        <w:numPr>
          <w:ilvl w:val="0"/>
          <w:numId w:val="38"/>
        </w:numPr>
        <w:spacing w:after="240"/>
        <w:rPr>
          <w:rFonts w:eastAsia="Times New Roman"/>
        </w:rPr>
      </w:pPr>
      <w:r w:rsidRPr="006A6AE1">
        <w:rPr>
          <w:rFonts w:eastAsia="Times New Roman"/>
        </w:rPr>
        <w:t>Invest in practical tools and technical assistance for LEA implementation and documentation.</w:t>
      </w:r>
    </w:p>
    <w:p w14:paraId="5C5D4601" w14:textId="237D9FCD" w:rsidR="003901D0" w:rsidRDefault="00FA79F5" w:rsidP="005C6DCD">
      <w:pPr>
        <w:pStyle w:val="ListParagraph"/>
        <w:spacing w:after="240"/>
        <w:contextualSpacing w:val="0"/>
      </w:pPr>
      <w:r w:rsidRPr="00F41872">
        <w:rPr>
          <w:rFonts w:eastAsia="Times New Roman"/>
        </w:rPr>
        <w:t xml:space="preserve">Encourage shared templates, </w:t>
      </w:r>
      <w:r w:rsidR="00DE3F42">
        <w:rPr>
          <w:rFonts w:eastAsia="Times New Roman"/>
        </w:rPr>
        <w:t xml:space="preserve">guidance tools, exemplars, </w:t>
      </w:r>
      <w:r w:rsidRPr="00F41872">
        <w:rPr>
          <w:rFonts w:eastAsia="Times New Roman"/>
        </w:rPr>
        <w:t>portfolio systems, and evidence-collection tools that reduce</w:t>
      </w:r>
      <w:r w:rsidR="00A065C9">
        <w:rPr>
          <w:rFonts w:eastAsia="Times New Roman"/>
        </w:rPr>
        <w:t xml:space="preserve"> the</w:t>
      </w:r>
      <w:r w:rsidRPr="00F41872">
        <w:rPr>
          <w:rFonts w:eastAsia="Times New Roman"/>
        </w:rPr>
        <w:t xml:space="preserve"> reporting burden while improving the reliability of SSCE outcome documentation</w:t>
      </w:r>
      <w:r w:rsidR="00334D8D">
        <w:rPr>
          <w:rFonts w:eastAsia="Times New Roman"/>
        </w:rPr>
        <w:t xml:space="preserve">, </w:t>
      </w:r>
      <w:r w:rsidRPr="00F41872">
        <w:rPr>
          <w:rFonts w:eastAsia="Times New Roman"/>
        </w:rPr>
        <w:t xml:space="preserve">particularly for small, rural, and county-led models. </w:t>
      </w:r>
      <w:r w:rsidR="003901D0">
        <w:t>Rural and county-led models provide important access pathways but may face unique constraints related to staffing capacity, coordination complexity, and start-up timelines. Consider targeted implementation supports, regional learning communities, and shared tools to reduce duplication and improve consistency across consortium partners.</w:t>
      </w:r>
    </w:p>
    <w:p w14:paraId="01537BD8" w14:textId="77777777" w:rsidR="00A8413E" w:rsidRPr="006A6AE1" w:rsidRDefault="00A8413E" w:rsidP="005C6DCD">
      <w:pPr>
        <w:numPr>
          <w:ilvl w:val="0"/>
          <w:numId w:val="38"/>
        </w:numPr>
        <w:spacing w:after="240"/>
        <w:rPr>
          <w:rFonts w:eastAsia="Times New Roman"/>
        </w:rPr>
      </w:pPr>
      <w:r w:rsidRPr="006A6AE1">
        <w:rPr>
          <w:rFonts w:eastAsia="Times New Roman"/>
        </w:rPr>
        <w:t xml:space="preserve">Encourage deeper, sustainable implementation models. </w:t>
      </w:r>
    </w:p>
    <w:p w14:paraId="7AC2BB06" w14:textId="65758FB8" w:rsidR="00A8413E" w:rsidRPr="005C6F64" w:rsidRDefault="00A8413E" w:rsidP="005C6F64">
      <w:pPr>
        <w:spacing w:after="240"/>
        <w:ind w:left="720"/>
        <w:rPr>
          <w:rFonts w:eastAsia="Times New Roman"/>
        </w:rPr>
      </w:pPr>
      <w:r w:rsidRPr="00F41872">
        <w:rPr>
          <w:rFonts w:eastAsia="Times New Roman"/>
        </w:rPr>
        <w:t xml:space="preserve">Prioritize strategies and grant </w:t>
      </w:r>
      <w:proofErr w:type="gramStart"/>
      <w:r w:rsidRPr="00F41872">
        <w:rPr>
          <w:rFonts w:eastAsia="Times New Roman"/>
        </w:rPr>
        <w:t>supports</w:t>
      </w:r>
      <w:proofErr w:type="gramEnd"/>
      <w:r w:rsidRPr="00F41872">
        <w:rPr>
          <w:rFonts w:eastAsia="Times New Roman"/>
        </w:rPr>
        <w:t xml:space="preserve"> that </w:t>
      </w:r>
      <w:r>
        <w:rPr>
          <w:rFonts w:eastAsia="Times New Roman"/>
        </w:rPr>
        <w:t>encourage</w:t>
      </w:r>
      <w:r w:rsidRPr="00F41872">
        <w:rPr>
          <w:rFonts w:eastAsia="Times New Roman"/>
        </w:rPr>
        <w:t xml:space="preserve"> LEAs </w:t>
      </w:r>
      <w:r>
        <w:rPr>
          <w:rFonts w:eastAsia="Times New Roman"/>
        </w:rPr>
        <w:t>to implement</w:t>
      </w:r>
      <w:r w:rsidRPr="00F41872">
        <w:rPr>
          <w:rFonts w:eastAsia="Times New Roman"/>
        </w:rPr>
        <w:t xml:space="preserve"> integrated, multi-year service-learning pathways embedded in coursework and </w:t>
      </w:r>
      <w:r w:rsidRPr="005C6F64">
        <w:rPr>
          <w:rFonts w:eastAsia="Times New Roman"/>
        </w:rPr>
        <w:t>graduation structures</w:t>
      </w:r>
      <w:r w:rsidR="00A065C9">
        <w:rPr>
          <w:rFonts w:eastAsia="Times New Roman"/>
        </w:rPr>
        <w:t>;</w:t>
      </w:r>
      <w:r w:rsidRPr="005C6F64">
        <w:rPr>
          <w:rFonts w:eastAsia="Times New Roman"/>
        </w:rPr>
        <w:t xml:space="preserve"> these approaches are more likely to yield durable civic learning outcomes and community impacts. </w:t>
      </w:r>
    </w:p>
    <w:p w14:paraId="000087ED" w14:textId="7FC90DCA" w:rsidR="005C6F64" w:rsidRPr="005C6F64" w:rsidRDefault="005C6F64" w:rsidP="00A31EFE">
      <w:pPr>
        <w:pStyle w:val="Heading2"/>
      </w:pPr>
      <w:bookmarkStart w:id="119" w:name="_Toc230962698"/>
      <w:r w:rsidRPr="005C6F64">
        <w:t>Conclusion</w:t>
      </w:r>
      <w:bookmarkEnd w:id="119"/>
    </w:p>
    <w:p w14:paraId="3E05F42F" w14:textId="04112A26" w:rsidR="005C6F64" w:rsidRPr="005C6F64" w:rsidRDefault="005C6F64" w:rsidP="005C6F64">
      <w:pPr>
        <w:spacing w:after="240"/>
        <w:rPr>
          <w:rFonts w:eastAsia="Times New Roman"/>
        </w:rPr>
      </w:pPr>
      <w:r w:rsidRPr="005C6F64">
        <w:rPr>
          <w:rFonts w:eastAsia="Times New Roman"/>
        </w:rPr>
        <w:lastRenderedPageBreak/>
        <w:t xml:space="preserve">The California Serves Program </w:t>
      </w:r>
      <w:r>
        <w:rPr>
          <w:rFonts w:eastAsia="Times New Roman"/>
        </w:rPr>
        <w:t xml:space="preserve">shows promising </w:t>
      </w:r>
      <w:r w:rsidRPr="005C6F64">
        <w:rPr>
          <w:rFonts w:eastAsia="Times New Roman"/>
        </w:rPr>
        <w:t xml:space="preserve">evidence that grant funding can help </w:t>
      </w:r>
      <w:r>
        <w:rPr>
          <w:rFonts w:eastAsia="Times New Roman"/>
        </w:rPr>
        <w:t>LEAs</w:t>
      </w:r>
      <w:r w:rsidRPr="005C6F64">
        <w:rPr>
          <w:rFonts w:eastAsia="Times New Roman"/>
        </w:rPr>
        <w:t xml:space="preserve"> expand access to high-quality, S</w:t>
      </w:r>
      <w:r>
        <w:rPr>
          <w:rFonts w:eastAsia="Times New Roman"/>
        </w:rPr>
        <w:t>SCE</w:t>
      </w:r>
      <w:r w:rsidRPr="005C6F64">
        <w:rPr>
          <w:rFonts w:eastAsia="Times New Roman"/>
        </w:rPr>
        <w:t xml:space="preserve">-aligned </w:t>
      </w:r>
      <w:r w:rsidR="001123A1">
        <w:rPr>
          <w:rFonts w:eastAsia="Times New Roman"/>
        </w:rPr>
        <w:t>service-learning</w:t>
      </w:r>
      <w:r w:rsidRPr="005C6F64">
        <w:rPr>
          <w:rFonts w:eastAsia="Times New Roman"/>
        </w:rPr>
        <w:t xml:space="preserve"> for pupils who have historically had fewer opportunities to participate in these experiences. Across </w:t>
      </w:r>
      <w:r w:rsidR="00165AF7">
        <w:rPr>
          <w:rFonts w:eastAsia="Times New Roman"/>
        </w:rPr>
        <w:t>the three current cohorts</w:t>
      </w:r>
      <w:r w:rsidRPr="005C6F64">
        <w:rPr>
          <w:rFonts w:eastAsia="Times New Roman"/>
        </w:rPr>
        <w:t xml:space="preserve">, </w:t>
      </w:r>
      <w:r w:rsidR="001123A1">
        <w:rPr>
          <w:rFonts w:eastAsia="Times New Roman"/>
        </w:rPr>
        <w:t>service-learning</w:t>
      </w:r>
      <w:r w:rsidRPr="005C6F64">
        <w:rPr>
          <w:rFonts w:eastAsia="Times New Roman"/>
        </w:rPr>
        <w:t xml:space="preserve"> is being embedded into academic instruction</w:t>
      </w:r>
      <w:r w:rsidR="00A065C9">
        <w:rPr>
          <w:rFonts w:eastAsia="Times New Roman"/>
        </w:rPr>
        <w:t>;</w:t>
      </w:r>
      <w:r w:rsidRPr="005C6F64">
        <w:rPr>
          <w:rFonts w:eastAsia="Times New Roman"/>
        </w:rPr>
        <w:t xml:space="preserve"> connected to locally relevant community issues</w:t>
      </w:r>
      <w:r w:rsidR="00A065C9">
        <w:rPr>
          <w:rFonts w:eastAsia="Times New Roman"/>
        </w:rPr>
        <w:t>;</w:t>
      </w:r>
      <w:r w:rsidRPr="005C6F64">
        <w:rPr>
          <w:rFonts w:eastAsia="Times New Roman"/>
        </w:rPr>
        <w:t xml:space="preserve"> and used to strengthen </w:t>
      </w:r>
      <w:proofErr w:type="gramStart"/>
      <w:r w:rsidRPr="005C6F64">
        <w:rPr>
          <w:rFonts w:eastAsia="Times New Roman"/>
        </w:rPr>
        <w:t>pupil</w:t>
      </w:r>
      <w:proofErr w:type="gramEnd"/>
      <w:r w:rsidRPr="005C6F64">
        <w:rPr>
          <w:rFonts w:eastAsia="Times New Roman"/>
        </w:rPr>
        <w:t xml:space="preserve"> civic knowledge, reflection, leadership, and engagement. Although implementation depth varies across grantees and reporting periods, the overall direction of the program is positive and consistent with the intent of </w:t>
      </w:r>
      <w:r>
        <w:rPr>
          <w:rFonts w:eastAsia="Times New Roman"/>
          <w:i/>
          <w:iCs/>
        </w:rPr>
        <w:t>EC</w:t>
      </w:r>
      <w:r w:rsidRPr="005C6F64">
        <w:rPr>
          <w:rFonts w:eastAsia="Times New Roman"/>
        </w:rPr>
        <w:t xml:space="preserve"> Section 51475.</w:t>
      </w:r>
    </w:p>
    <w:p w14:paraId="083214C5" w14:textId="617E6D5C" w:rsidR="005C6F64" w:rsidRPr="005C6F64" w:rsidRDefault="00076988" w:rsidP="005C6F64">
      <w:pPr>
        <w:spacing w:after="240"/>
        <w:rPr>
          <w:rFonts w:eastAsia="Times New Roman"/>
        </w:rPr>
      </w:pPr>
      <w:r>
        <w:rPr>
          <w:rFonts w:eastAsia="Times New Roman"/>
        </w:rPr>
        <w:t xml:space="preserve">However, </w:t>
      </w:r>
      <w:r w:rsidR="005C6F64" w:rsidRPr="005C6F64">
        <w:rPr>
          <w:rFonts w:eastAsia="Times New Roman"/>
        </w:rPr>
        <w:t>building and sustaining effective service-learning pathways requires more than local enthusiasm. Successful implementation depends on</w:t>
      </w:r>
      <w:r>
        <w:rPr>
          <w:rFonts w:eastAsia="Times New Roman"/>
        </w:rPr>
        <w:t xml:space="preserve"> stable</w:t>
      </w:r>
      <w:r w:rsidR="005C6F64" w:rsidRPr="005C6F64">
        <w:rPr>
          <w:rFonts w:eastAsia="Times New Roman"/>
        </w:rPr>
        <w:t xml:space="preserve"> staffing,</w:t>
      </w:r>
      <w:r>
        <w:rPr>
          <w:rFonts w:eastAsia="Times New Roman"/>
        </w:rPr>
        <w:t xml:space="preserve"> targeted</w:t>
      </w:r>
      <w:r w:rsidR="005C6F64" w:rsidRPr="005C6F64">
        <w:rPr>
          <w:rFonts w:eastAsia="Times New Roman"/>
        </w:rPr>
        <w:t xml:space="preserve"> educator professional learning,</w:t>
      </w:r>
      <w:r>
        <w:rPr>
          <w:rFonts w:eastAsia="Times New Roman"/>
        </w:rPr>
        <w:t xml:space="preserve"> effective</w:t>
      </w:r>
      <w:r w:rsidR="005C6F64" w:rsidRPr="005C6F64">
        <w:rPr>
          <w:rFonts w:eastAsia="Times New Roman"/>
        </w:rPr>
        <w:t xml:space="preserve"> coordination systems, </w:t>
      </w:r>
      <w:r>
        <w:rPr>
          <w:rFonts w:eastAsia="Times New Roman"/>
        </w:rPr>
        <w:t xml:space="preserve">ongoing </w:t>
      </w:r>
      <w:r w:rsidR="00165AF7">
        <w:rPr>
          <w:rFonts w:eastAsia="Times New Roman"/>
        </w:rPr>
        <w:t xml:space="preserve">community </w:t>
      </w:r>
      <w:r w:rsidR="005C6F64" w:rsidRPr="005C6F64">
        <w:rPr>
          <w:rFonts w:eastAsia="Times New Roman"/>
        </w:rPr>
        <w:t xml:space="preserve">partnerships, and tools that help LEAs document student progress toward the </w:t>
      </w:r>
      <w:r>
        <w:rPr>
          <w:rFonts w:eastAsia="Times New Roman"/>
        </w:rPr>
        <w:t>SSCE</w:t>
      </w:r>
      <w:r w:rsidR="005C6F64" w:rsidRPr="005C6F64">
        <w:rPr>
          <w:rFonts w:eastAsia="Times New Roman"/>
        </w:rPr>
        <w:t>. This is especially important for small, rural, consortium-based, and county-led models, which play a critical role in expanding equitable access but may face greater capacity constraints.</w:t>
      </w:r>
      <w:r w:rsidR="00165AF7">
        <w:rPr>
          <w:rFonts w:eastAsia="Times New Roman"/>
        </w:rPr>
        <w:t xml:space="preserve"> Additionally, start-up</w:t>
      </w:r>
      <w:r w:rsidR="005C6F64" w:rsidRPr="005C6F64">
        <w:rPr>
          <w:rFonts w:eastAsia="Times New Roman"/>
        </w:rPr>
        <w:t xml:space="preserve"> timelines and infrastructure-building are a necessary part of implementation</w:t>
      </w:r>
      <w:r w:rsidR="00A065C9">
        <w:rPr>
          <w:rFonts w:eastAsia="Times New Roman"/>
        </w:rPr>
        <w:t>,</w:t>
      </w:r>
      <w:r w:rsidR="005C6F64" w:rsidRPr="005C6F64">
        <w:rPr>
          <w:rFonts w:eastAsia="Times New Roman"/>
        </w:rPr>
        <w:t xml:space="preserve"> and</w:t>
      </w:r>
      <w:r w:rsidR="00165AF7">
        <w:rPr>
          <w:rFonts w:eastAsia="Times New Roman"/>
        </w:rPr>
        <w:t xml:space="preserve"> </w:t>
      </w:r>
      <w:r w:rsidR="005C6F64" w:rsidRPr="005C6F64">
        <w:rPr>
          <w:rFonts w:eastAsia="Times New Roman"/>
        </w:rPr>
        <w:t>stronger statewide comparability will depend on continued use of standardized reporting tools and the model uniform metrics.</w:t>
      </w:r>
    </w:p>
    <w:p w14:paraId="71BA67DF" w14:textId="4A30694A" w:rsidR="005C6F64" w:rsidRPr="005C6F64" w:rsidRDefault="00076988" w:rsidP="005C6F64">
      <w:pPr>
        <w:spacing w:after="240"/>
        <w:rPr>
          <w:rFonts w:eastAsia="Times New Roman"/>
        </w:rPr>
        <w:sectPr w:rsidR="005C6F64" w:rsidRPr="005C6F64" w:rsidSect="003901D0">
          <w:pgSz w:w="12240" w:h="15840"/>
          <w:pgMar w:top="1440" w:right="1440" w:bottom="1440" w:left="1440" w:header="720" w:footer="720" w:gutter="0"/>
          <w:cols w:space="720"/>
          <w:docGrid w:linePitch="360"/>
        </w:sectPr>
      </w:pPr>
      <w:r>
        <w:rPr>
          <w:rFonts w:eastAsia="Times New Roman"/>
        </w:rPr>
        <w:t xml:space="preserve">The </w:t>
      </w:r>
      <w:r w:rsidR="005C6F64" w:rsidRPr="005C6F64">
        <w:rPr>
          <w:rFonts w:eastAsia="Times New Roman"/>
        </w:rPr>
        <w:t>California Serves Program is establishing an important foundation for expanding civic readiness and SSCE access statewide, but its long-term success will depend on continued support for local implementation and</w:t>
      </w:r>
      <w:r>
        <w:rPr>
          <w:rFonts w:eastAsia="Times New Roman"/>
        </w:rPr>
        <w:t xml:space="preserve"> demonstrated support for statewide capacity to administer the program</w:t>
      </w:r>
      <w:r w:rsidR="005C6F64" w:rsidRPr="005C6F64">
        <w:rPr>
          <w:rFonts w:eastAsia="Times New Roman"/>
        </w:rPr>
        <w:t>. Future</w:t>
      </w:r>
      <w:r w:rsidR="00B0290D">
        <w:rPr>
          <w:rFonts w:eastAsia="Times New Roman"/>
        </w:rPr>
        <w:t xml:space="preserve"> grantee</w:t>
      </w:r>
      <w:r w:rsidR="005C6F64" w:rsidRPr="005C6F64">
        <w:rPr>
          <w:rFonts w:eastAsia="Times New Roman"/>
        </w:rPr>
        <w:t xml:space="preserve"> reports</w:t>
      </w:r>
      <w:r w:rsidR="00165AF7">
        <w:rPr>
          <w:rFonts w:eastAsia="Times New Roman"/>
        </w:rPr>
        <w:t xml:space="preserve"> and additional data on SSCE attainment attributable to grant-supported service-learning pathways will provide a stronger picture of pupil outcomes.</w:t>
      </w:r>
      <w:r w:rsidR="00694B1D">
        <w:rPr>
          <w:rFonts w:eastAsia="Times New Roman"/>
        </w:rPr>
        <w:t xml:space="preserve"> </w:t>
      </w:r>
      <w:r w:rsidR="005C6F64" w:rsidRPr="005C6F64">
        <w:rPr>
          <w:rFonts w:eastAsia="Times New Roman"/>
        </w:rPr>
        <w:t>With sustained attention to data quality, technical assistance, and implementation capacity, the California Serves Program is positioned to continue strengthening civic learning opportunities for pupils across California.</w:t>
      </w:r>
    </w:p>
    <w:p w14:paraId="443BF398" w14:textId="5620CD9A" w:rsidR="00A218F4" w:rsidRDefault="00A218F4" w:rsidP="00AD383D">
      <w:pPr>
        <w:pStyle w:val="Heading2"/>
      </w:pPr>
      <w:bookmarkStart w:id="120" w:name="_Toc220420864"/>
      <w:bookmarkStart w:id="121" w:name="_Toc221186137"/>
      <w:bookmarkStart w:id="122" w:name="_Toc230962699"/>
      <w:r>
        <w:lastRenderedPageBreak/>
        <w:t>Appendix A</w:t>
      </w:r>
      <w:r w:rsidR="00B00D3F">
        <w:t xml:space="preserve">: </w:t>
      </w:r>
      <w:r>
        <w:t>Education Code</w:t>
      </w:r>
      <w:bookmarkEnd w:id="120"/>
      <w:bookmarkEnd w:id="121"/>
      <w:bookmarkEnd w:id="122"/>
    </w:p>
    <w:p w14:paraId="41560128" w14:textId="276211B6" w:rsidR="00F6551F" w:rsidRPr="00F6551F" w:rsidRDefault="00F6551F" w:rsidP="005D646F">
      <w:pPr>
        <w:pStyle w:val="Heading3"/>
        <w:rPr>
          <w:color w:val="333333"/>
        </w:rPr>
      </w:pPr>
      <w:bookmarkStart w:id="123" w:name="_Toc221186138"/>
      <w:r w:rsidRPr="0033084C">
        <w:rPr>
          <w:i/>
          <w:iCs/>
        </w:rPr>
        <w:t>Education Code</w:t>
      </w:r>
      <w:r w:rsidR="0033084C">
        <w:t xml:space="preserve"> Section 51475</w:t>
      </w:r>
      <w:bookmarkEnd w:id="123"/>
    </w:p>
    <w:p w14:paraId="46A6566D" w14:textId="61DE53A5"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t>(a) The California Serves Program is hereby established under the administration of the department, in collaboration with California</w:t>
      </w:r>
      <w:r w:rsidR="00A065C9" w:rsidRPr="005D646F">
        <w:rPr>
          <w:rFonts w:ascii="Arial" w:hAnsi="Arial" w:cs="Arial"/>
          <w:bdr w:val="none" w:sz="0" w:space="0" w:color="auto" w:frame="1"/>
        </w:rPr>
        <w:t xml:space="preserve"> </w:t>
      </w:r>
      <w:r w:rsidRPr="005D646F">
        <w:rPr>
          <w:rFonts w:ascii="Arial" w:hAnsi="Arial" w:cs="Arial"/>
          <w:bdr w:val="none" w:sz="0" w:space="0" w:color="auto" w:frame="1"/>
        </w:rPr>
        <w:t>Volunteers, for purposes of promoting access to effective service learning for pupils in grade 12 who are enrolled at participating local educational agencies, with the goal of expanding access for high school graduates in obtaining a State Seal of Civic Engagement through service learning.</w:t>
      </w:r>
    </w:p>
    <w:p w14:paraId="764E6D95" w14:textId="254C050C"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t>(b) The department, in partnership with California</w:t>
      </w:r>
      <w:r w:rsidR="00A065C9" w:rsidRPr="005D646F">
        <w:rPr>
          <w:rFonts w:ascii="Arial" w:hAnsi="Arial" w:cs="Arial"/>
          <w:bdr w:val="none" w:sz="0" w:space="0" w:color="auto" w:frame="1"/>
        </w:rPr>
        <w:t xml:space="preserve"> </w:t>
      </w:r>
      <w:r w:rsidRPr="005D646F">
        <w:rPr>
          <w:rFonts w:ascii="Arial" w:hAnsi="Arial" w:cs="Arial"/>
          <w:bdr w:val="none" w:sz="0" w:space="0" w:color="auto" w:frame="1"/>
        </w:rPr>
        <w:t xml:space="preserve">Volunteers, shall do </w:t>
      </w:r>
      <w:proofErr w:type="gramStart"/>
      <w:r w:rsidRPr="005D646F">
        <w:rPr>
          <w:rFonts w:ascii="Arial" w:hAnsi="Arial" w:cs="Arial"/>
          <w:bdr w:val="none" w:sz="0" w:space="0" w:color="auto" w:frame="1"/>
        </w:rPr>
        <w:t>all of</w:t>
      </w:r>
      <w:proofErr w:type="gramEnd"/>
      <w:r w:rsidRPr="005D646F">
        <w:rPr>
          <w:rFonts w:ascii="Arial" w:hAnsi="Arial" w:cs="Arial"/>
          <w:bdr w:val="none" w:sz="0" w:space="0" w:color="auto" w:frame="1"/>
        </w:rPr>
        <w:t xml:space="preserve"> the following:</w:t>
      </w:r>
    </w:p>
    <w:p w14:paraId="39CEF31A" w14:textId="53139150"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(1) Review the available evidence on ways to incorporate effective service learning for pupils in grades 9 to 12, inclusive, and, on or before January 1, 2024, provide recommendations to the Legislature, consistent with Section 9795 of the Government Code and consistent with the recommended criteria and implementation guidance for the State Seal of Civic Engagement pursuant to this article, on evidence-based strategies to expand access to high-quality service learning programs in California high schools and promote equitable access to these programs.</w:t>
      </w:r>
    </w:p>
    <w:p w14:paraId="5350FD98" w14:textId="4A363BA9"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 xml:space="preserve">(2) On or before January 1, 2024, develop and post on the department’s and </w:t>
      </w:r>
      <w:r w:rsidR="00A065C9" w:rsidRPr="005D646F">
        <w:rPr>
          <w:rFonts w:ascii="Arial" w:hAnsi="Arial" w:cs="Arial"/>
          <w:bdr w:val="none" w:sz="0" w:space="0" w:color="auto" w:frame="1"/>
        </w:rPr>
        <w:t>California Volunteer</w:t>
      </w:r>
      <w:r w:rsidRPr="005D646F">
        <w:rPr>
          <w:rFonts w:ascii="Arial" w:hAnsi="Arial" w:cs="Arial"/>
          <w:bdr w:val="none" w:sz="0" w:space="0" w:color="auto" w:frame="1"/>
        </w:rPr>
        <w:t xml:space="preserve">s’ </w:t>
      </w:r>
      <w:proofErr w:type="gramStart"/>
      <w:r w:rsidRPr="005D646F">
        <w:rPr>
          <w:rFonts w:ascii="Arial" w:hAnsi="Arial" w:cs="Arial"/>
          <w:bdr w:val="none" w:sz="0" w:space="0" w:color="auto" w:frame="1"/>
        </w:rPr>
        <w:t>internet websites</w:t>
      </w:r>
      <w:proofErr w:type="gramEnd"/>
      <w:r w:rsidRPr="005D646F">
        <w:rPr>
          <w:rFonts w:ascii="Arial" w:hAnsi="Arial" w:cs="Arial"/>
          <w:bdr w:val="none" w:sz="0" w:space="0" w:color="auto" w:frame="1"/>
        </w:rPr>
        <w:t xml:space="preserve"> evidence-based strategies for expanding access to high-quality </w:t>
      </w:r>
      <w:proofErr w:type="gramStart"/>
      <w:r w:rsidRPr="005D646F">
        <w:rPr>
          <w:rFonts w:ascii="Arial" w:hAnsi="Arial" w:cs="Arial"/>
          <w:bdr w:val="none" w:sz="0" w:space="0" w:color="auto" w:frame="1"/>
        </w:rPr>
        <w:t>service learning</w:t>
      </w:r>
      <w:proofErr w:type="gramEnd"/>
      <w:r w:rsidRPr="005D646F">
        <w:rPr>
          <w:rFonts w:ascii="Arial" w:hAnsi="Arial" w:cs="Arial"/>
          <w:bdr w:val="none" w:sz="0" w:space="0" w:color="auto" w:frame="1"/>
        </w:rPr>
        <w:t xml:space="preserve"> programs that may be used by teachers and local educational agencies.</w:t>
      </w:r>
    </w:p>
    <w:p w14:paraId="651D7F31" w14:textId="77777777"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(3) Develop model uniform metrics, based on the recommended criteria for the State Seal of Civic Engagement, for the measurement of pupil progress toward academic, civic engagement, and other learning objectives. Civic learning objectives shall include the final goal of awarding of the State Seal of Civic Engagement pursuant to this article.</w:t>
      </w:r>
    </w:p>
    <w:p w14:paraId="37A565E0" w14:textId="77777777"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(4) Use the evidence, recommendations, and metrics identified pursuant to paragraphs (1) to (3), inclusive, in the administration of the California Serves Program.</w:t>
      </w:r>
    </w:p>
    <w:p w14:paraId="5F420B81" w14:textId="77777777"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t>(c) (1) Commencing with the 2022–23 fiscal year, the sum of five million dollars ($5,000,000) is hereby appropriated, each fiscal year, from the General Fund to the department for annual awards to local educational agencies for California Serves Program grants pursuant to this section.</w:t>
      </w:r>
    </w:p>
    <w:p w14:paraId="03C0387F" w14:textId="1D9BA90C"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 xml:space="preserve">(2) The department, in collaboration with </w:t>
      </w:r>
      <w:r w:rsidR="00A065C9" w:rsidRPr="005D646F">
        <w:rPr>
          <w:rFonts w:ascii="Arial" w:hAnsi="Arial" w:cs="Arial"/>
          <w:bdr w:val="none" w:sz="0" w:space="0" w:color="auto" w:frame="1"/>
        </w:rPr>
        <w:t>California Volunteer</w:t>
      </w:r>
      <w:r w:rsidRPr="005D646F">
        <w:rPr>
          <w:rFonts w:ascii="Arial" w:hAnsi="Arial" w:cs="Arial"/>
          <w:bdr w:val="none" w:sz="0" w:space="0" w:color="auto" w:frame="1"/>
        </w:rPr>
        <w:t>s, shall establish the California Serves Program grant program, develop criteria for the awarding of grants and an application process, request necessary data from participating local educational agencies, and award grants consistent with this section.</w:t>
      </w:r>
    </w:p>
    <w:p w14:paraId="00441172" w14:textId="77777777"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lastRenderedPageBreak/>
        <w:t>(d) In order for a local educational agency to be eligible for a grant under this section, at least 55 percent of the pupils enrolled in the applicant local educational agency shall be unduplicated pupils as defined in Section 2574 or 42238.02, as applicable.</w:t>
      </w:r>
    </w:p>
    <w:p w14:paraId="4E5DE375" w14:textId="77777777"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t>(e) Eligible local educational agencies who receive grants pursuant to this grant program shall receive an amount of up to five hundred thousand dollars ($500,000) annually.</w:t>
      </w:r>
    </w:p>
    <w:p w14:paraId="02EBDD52" w14:textId="77777777"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t xml:space="preserve">(f) Allowable uses for funding allocated pursuant to this grant program include </w:t>
      </w:r>
      <w:proofErr w:type="gramStart"/>
      <w:r w:rsidRPr="005D646F">
        <w:rPr>
          <w:rFonts w:ascii="Arial" w:hAnsi="Arial" w:cs="Arial"/>
          <w:bdr w:val="none" w:sz="0" w:space="0" w:color="auto" w:frame="1"/>
        </w:rPr>
        <w:t>all of</w:t>
      </w:r>
      <w:proofErr w:type="gramEnd"/>
      <w:r w:rsidRPr="005D646F">
        <w:rPr>
          <w:rFonts w:ascii="Arial" w:hAnsi="Arial" w:cs="Arial"/>
          <w:bdr w:val="none" w:sz="0" w:space="0" w:color="auto" w:frame="1"/>
        </w:rPr>
        <w:t xml:space="preserve"> the following:</w:t>
      </w:r>
    </w:p>
    <w:p w14:paraId="2D963E2D" w14:textId="0D72DAA3"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(1) Paid planning time for teachers to increase the use of service learning in their instruction.</w:t>
      </w:r>
    </w:p>
    <w:p w14:paraId="77DBFE57" w14:textId="45D96759"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(2) Professional development for school and local educational agency administrators and classroom teachers on service learning.</w:t>
      </w:r>
    </w:p>
    <w:p w14:paraId="4DB95713" w14:textId="2829C65E"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(3) Purchase of instructional materials to aid in the use of service learning in instruction.</w:t>
      </w:r>
    </w:p>
    <w:p w14:paraId="5A4E5D53" w14:textId="0FD7FD7A"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 xml:space="preserve">(4) Participation costs of pupils and school personnel, including any materials or travel expenses related to </w:t>
      </w:r>
      <w:proofErr w:type="gramStart"/>
      <w:r w:rsidRPr="005D646F">
        <w:rPr>
          <w:rFonts w:ascii="Arial" w:hAnsi="Arial" w:cs="Arial"/>
          <w:bdr w:val="none" w:sz="0" w:space="0" w:color="auto" w:frame="1"/>
        </w:rPr>
        <w:t>service learning</w:t>
      </w:r>
      <w:proofErr w:type="gramEnd"/>
      <w:r w:rsidRPr="005D646F">
        <w:rPr>
          <w:rFonts w:ascii="Arial" w:hAnsi="Arial" w:cs="Arial"/>
          <w:bdr w:val="none" w:sz="0" w:space="0" w:color="auto" w:frame="1"/>
        </w:rPr>
        <w:t xml:space="preserve"> activities.</w:t>
      </w:r>
    </w:p>
    <w:p w14:paraId="0B5F28CD" w14:textId="40EF8490"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 xml:space="preserve">(5) Personnel costs for coordination of service learning at a local educational agency or a </w:t>
      </w:r>
      <w:proofErr w:type="spellStart"/>
      <w:r w:rsidRPr="005D646F">
        <w:rPr>
          <w:rFonts w:ascii="Arial" w:hAnsi="Arial" w:cs="Arial"/>
          <w:bdr w:val="none" w:sz="0" w:space="0" w:color="auto" w:frame="1"/>
        </w:rPr>
        <w:t>schoolsite</w:t>
      </w:r>
      <w:proofErr w:type="spellEnd"/>
      <w:r w:rsidRPr="005D646F">
        <w:rPr>
          <w:rFonts w:ascii="Arial" w:hAnsi="Arial" w:cs="Arial"/>
          <w:bdr w:val="none" w:sz="0" w:space="0" w:color="auto" w:frame="1"/>
        </w:rPr>
        <w:t xml:space="preserve"> of a local educational agency.</w:t>
      </w:r>
    </w:p>
    <w:p w14:paraId="5CACE64F" w14:textId="77777777"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(6) Participation costs associated with grant program evaluation.</w:t>
      </w:r>
    </w:p>
    <w:p w14:paraId="700C5A7C" w14:textId="5D273F49"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t xml:space="preserve">(g) Notwithstanding Section 10231.5 of the Government Code, on or before November 5, 2024, and annually thereafter, the department, in partnership with </w:t>
      </w:r>
      <w:r w:rsidR="00A065C9" w:rsidRPr="005D646F">
        <w:rPr>
          <w:rFonts w:ascii="Arial" w:hAnsi="Arial" w:cs="Arial"/>
          <w:bdr w:val="none" w:sz="0" w:space="0" w:color="auto" w:frame="1"/>
        </w:rPr>
        <w:t>California Volunteer</w:t>
      </w:r>
      <w:r w:rsidRPr="005D646F">
        <w:rPr>
          <w:rFonts w:ascii="Arial" w:hAnsi="Arial" w:cs="Arial"/>
          <w:bdr w:val="none" w:sz="0" w:space="0" w:color="auto" w:frame="1"/>
        </w:rPr>
        <w:t xml:space="preserve">s, shall submit a report on the program to the appropriate fiscal and policy committees of </w:t>
      </w:r>
      <w:proofErr w:type="gramStart"/>
      <w:r w:rsidRPr="005D646F">
        <w:rPr>
          <w:rFonts w:ascii="Arial" w:hAnsi="Arial" w:cs="Arial"/>
          <w:bdr w:val="none" w:sz="0" w:space="0" w:color="auto" w:frame="1"/>
        </w:rPr>
        <w:t>the Legislature</w:t>
      </w:r>
      <w:proofErr w:type="gramEnd"/>
      <w:r w:rsidRPr="005D646F">
        <w:rPr>
          <w:rFonts w:ascii="Arial" w:hAnsi="Arial" w:cs="Arial"/>
          <w:bdr w:val="none" w:sz="0" w:space="0" w:color="auto" w:frame="1"/>
        </w:rPr>
        <w:t xml:space="preserve">, consistent with Section 9795 of the Government Code. The report shall include an evaluation of the program using the model uniform metrics established by the department in partnership with </w:t>
      </w:r>
      <w:r w:rsidR="00A065C9" w:rsidRPr="005D646F">
        <w:rPr>
          <w:rFonts w:ascii="Arial" w:hAnsi="Arial" w:cs="Arial"/>
          <w:bdr w:val="none" w:sz="0" w:space="0" w:color="auto" w:frame="1"/>
        </w:rPr>
        <w:t>California Volunteer</w:t>
      </w:r>
      <w:r w:rsidRPr="005D646F">
        <w:rPr>
          <w:rFonts w:ascii="Arial" w:hAnsi="Arial" w:cs="Arial"/>
          <w:bdr w:val="none" w:sz="0" w:space="0" w:color="auto" w:frame="1"/>
        </w:rPr>
        <w:t xml:space="preserve">s pursuant to paragraph (3) of subdivision (b), and shall include, but not be limited to, </w:t>
      </w:r>
      <w:proofErr w:type="gramStart"/>
      <w:r w:rsidRPr="005D646F">
        <w:rPr>
          <w:rFonts w:ascii="Arial" w:hAnsi="Arial" w:cs="Arial"/>
          <w:bdr w:val="none" w:sz="0" w:space="0" w:color="auto" w:frame="1"/>
        </w:rPr>
        <w:t>all of</w:t>
      </w:r>
      <w:proofErr w:type="gramEnd"/>
      <w:r w:rsidRPr="005D646F">
        <w:rPr>
          <w:rFonts w:ascii="Arial" w:hAnsi="Arial" w:cs="Arial"/>
          <w:bdr w:val="none" w:sz="0" w:space="0" w:color="auto" w:frame="1"/>
        </w:rPr>
        <w:t xml:space="preserve"> the following information:</w:t>
      </w:r>
    </w:p>
    <w:p w14:paraId="24F83591" w14:textId="77777777"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(1) The number of participating pupils, schools, and local educational agencies, and the grant awards for each grantee.</w:t>
      </w:r>
    </w:p>
    <w:p w14:paraId="612BD284" w14:textId="383377A4"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 xml:space="preserve">(2) The demographics of pupils engaged in service learning </w:t>
      </w:r>
      <w:proofErr w:type="gramStart"/>
      <w:r w:rsidRPr="005D646F">
        <w:rPr>
          <w:rFonts w:ascii="Arial" w:hAnsi="Arial" w:cs="Arial"/>
          <w:bdr w:val="none" w:sz="0" w:space="0" w:color="auto" w:frame="1"/>
        </w:rPr>
        <w:t>as a result of</w:t>
      </w:r>
      <w:proofErr w:type="gramEnd"/>
      <w:r w:rsidRPr="005D646F">
        <w:rPr>
          <w:rFonts w:ascii="Arial" w:hAnsi="Arial" w:cs="Arial"/>
          <w:bdr w:val="none" w:sz="0" w:space="0" w:color="auto" w:frame="1"/>
        </w:rPr>
        <w:t xml:space="preserve"> the grant.</w:t>
      </w:r>
    </w:p>
    <w:p w14:paraId="6937FFCC" w14:textId="77777777"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 xml:space="preserve">(3) The impact of the service performed by pupils and school staff </w:t>
      </w:r>
      <w:proofErr w:type="gramStart"/>
      <w:r w:rsidRPr="005D646F">
        <w:rPr>
          <w:rFonts w:ascii="Arial" w:hAnsi="Arial" w:cs="Arial"/>
          <w:bdr w:val="none" w:sz="0" w:space="0" w:color="auto" w:frame="1"/>
        </w:rPr>
        <w:t>as a result of</w:t>
      </w:r>
      <w:proofErr w:type="gramEnd"/>
      <w:r w:rsidRPr="005D646F">
        <w:rPr>
          <w:rFonts w:ascii="Arial" w:hAnsi="Arial" w:cs="Arial"/>
          <w:bdr w:val="none" w:sz="0" w:space="0" w:color="auto" w:frame="1"/>
        </w:rPr>
        <w:t xml:space="preserve"> the grant.</w:t>
      </w:r>
    </w:p>
    <w:p w14:paraId="245D19E4" w14:textId="45B3BB72"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 xml:space="preserve">(4) Pupil outcomes in the academic, civic engagement, and other learning objectives measured by the model uniform metrics identified by the department in partnership </w:t>
      </w:r>
      <w:r w:rsidRPr="005D646F">
        <w:rPr>
          <w:rFonts w:ascii="Arial" w:hAnsi="Arial" w:cs="Arial"/>
          <w:bdr w:val="none" w:sz="0" w:space="0" w:color="auto" w:frame="1"/>
        </w:rPr>
        <w:lastRenderedPageBreak/>
        <w:t xml:space="preserve">with </w:t>
      </w:r>
      <w:r w:rsidR="00A065C9" w:rsidRPr="005D646F">
        <w:rPr>
          <w:rFonts w:ascii="Arial" w:hAnsi="Arial" w:cs="Arial"/>
          <w:bdr w:val="none" w:sz="0" w:space="0" w:color="auto" w:frame="1"/>
        </w:rPr>
        <w:t>California Volunteer</w:t>
      </w:r>
      <w:r w:rsidRPr="005D646F">
        <w:rPr>
          <w:rFonts w:ascii="Arial" w:hAnsi="Arial" w:cs="Arial"/>
          <w:bdr w:val="none" w:sz="0" w:space="0" w:color="auto" w:frame="1"/>
        </w:rPr>
        <w:t>s pursuant to paragraph (3) of subdivision (b), including, but not limited to, obtaining the State Seal of Civic Engagement.</w:t>
      </w:r>
    </w:p>
    <w:p w14:paraId="22B6FF12" w14:textId="77777777"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t>(h) For purposes of this section, the following definitions apply:</w:t>
      </w:r>
    </w:p>
    <w:p w14:paraId="616414B4" w14:textId="563E598D"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(1) “</w:t>
      </w:r>
      <w:r w:rsidR="00A065C9" w:rsidRPr="005D646F">
        <w:rPr>
          <w:rFonts w:ascii="Arial" w:hAnsi="Arial" w:cs="Arial"/>
          <w:bdr w:val="none" w:sz="0" w:space="0" w:color="auto" w:frame="1"/>
        </w:rPr>
        <w:t>California Volunteer</w:t>
      </w:r>
      <w:r w:rsidRPr="005D646F">
        <w:rPr>
          <w:rFonts w:ascii="Arial" w:hAnsi="Arial" w:cs="Arial"/>
          <w:bdr w:val="none" w:sz="0" w:space="0" w:color="auto" w:frame="1"/>
        </w:rPr>
        <w:t xml:space="preserve">s” means </w:t>
      </w:r>
      <w:r w:rsidR="00A065C9" w:rsidRPr="005D646F">
        <w:rPr>
          <w:rFonts w:ascii="Arial" w:hAnsi="Arial" w:cs="Arial"/>
          <w:bdr w:val="none" w:sz="0" w:space="0" w:color="auto" w:frame="1"/>
        </w:rPr>
        <w:t>California Volunteer</w:t>
      </w:r>
      <w:r w:rsidRPr="005D646F">
        <w:rPr>
          <w:rFonts w:ascii="Arial" w:hAnsi="Arial" w:cs="Arial"/>
          <w:bdr w:val="none" w:sz="0" w:space="0" w:color="auto" w:frame="1"/>
        </w:rPr>
        <w:t>s as established by Executive Order No. S-24-06.</w:t>
      </w:r>
    </w:p>
    <w:p w14:paraId="577B1BF3" w14:textId="5CFC93E3"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(2) “Local educational agency” means a school district, county office of education, or charter school.</w:t>
      </w:r>
    </w:p>
    <w:p w14:paraId="28EC1BF6" w14:textId="784E338D"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(3) “Program” means the California Serves Program established pursuant to subdivision (a).</w:t>
      </w:r>
    </w:p>
    <w:p w14:paraId="04F96850" w14:textId="1B02A34C" w:rsidR="00F6551F" w:rsidRPr="005D646F" w:rsidRDefault="00F6551F" w:rsidP="007A4819">
      <w:pPr>
        <w:pStyle w:val="NormalWeb"/>
        <w:shd w:val="clear" w:color="auto" w:fill="FFFFFF"/>
        <w:spacing w:before="0" w:beforeAutospacing="0" w:after="240" w:afterAutospacing="0"/>
        <w:ind w:left="240"/>
        <w:textAlignment w:val="baseline"/>
        <w:rPr>
          <w:rFonts w:ascii="Arial" w:hAnsi="Arial" w:cs="Arial"/>
          <w:bdr w:val="none" w:sz="0" w:space="0" w:color="auto" w:frame="1"/>
        </w:rPr>
      </w:pPr>
      <w:r w:rsidRPr="005D646F">
        <w:rPr>
          <w:rFonts w:ascii="Arial" w:hAnsi="Arial" w:cs="Arial"/>
          <w:bdr w:val="none" w:sz="0" w:space="0" w:color="auto" w:frame="1"/>
        </w:rPr>
        <w:t>(4) “Service learning” means an educational approach that intentionally combines meaningful community service activities with instruction and reflection to support pupil progress toward academic and civic engagement learning objectives while meeting societal needs.</w:t>
      </w:r>
    </w:p>
    <w:p w14:paraId="6F238486" w14:textId="77777777" w:rsidR="00F6551F" w:rsidRPr="005D646F" w:rsidRDefault="00F6551F" w:rsidP="007A4819">
      <w:pPr>
        <w:pStyle w:val="NormalWeb"/>
        <w:shd w:val="clear" w:color="auto" w:fill="FFFFFF"/>
        <w:spacing w:before="0" w:beforeAutospacing="0" w:after="240" w:afterAutospacing="0"/>
        <w:textAlignment w:val="baseline"/>
        <w:rPr>
          <w:rFonts w:ascii="Arial" w:hAnsi="Arial" w:cs="Arial"/>
          <w:bdr w:val="none" w:sz="0" w:space="0" w:color="auto" w:frame="1"/>
        </w:rPr>
      </w:pPr>
      <w:r w:rsidRPr="005D646F">
        <w:rPr>
          <w:rFonts w:ascii="Arial" w:hAnsi="Arial" w:cs="Arial"/>
          <w:bdr w:val="none" w:sz="0" w:space="0" w:color="auto" w:frame="1"/>
        </w:rPr>
        <w:t>(</w:t>
      </w:r>
      <w:proofErr w:type="spellStart"/>
      <w:r w:rsidRPr="005D646F">
        <w:rPr>
          <w:rFonts w:ascii="Arial" w:hAnsi="Arial" w:cs="Arial"/>
          <w:bdr w:val="none" w:sz="0" w:space="0" w:color="auto" w:frame="1"/>
        </w:rPr>
        <w:t>i</w:t>
      </w:r>
      <w:proofErr w:type="spellEnd"/>
      <w:r w:rsidRPr="005D646F">
        <w:rPr>
          <w:rFonts w:ascii="Arial" w:hAnsi="Arial" w:cs="Arial"/>
          <w:bdr w:val="none" w:sz="0" w:space="0" w:color="auto" w:frame="1"/>
        </w:rPr>
        <w:t>) For purposes of making the computations required by Section 8 of Article XVI of the California Constitution, the appropriations made by subdivision (c) shall be deemed to be “General Fund revenues appropriated for school districts,” as defined in subdivision (c) of Section 41202, for the fiscal year in which the appropriation is made, and included within the “total allocations to school districts and community college districts from General Fund proceeds of taxes appropriated pursuant to Article XIII B,” as defined in subdivision (e) of Section 41202, for the fiscal year in which the appropriation is made.</w:t>
      </w:r>
    </w:p>
    <w:p w14:paraId="043B2630" w14:textId="4CF2CE7D" w:rsidR="00F6551F" w:rsidRPr="005D646F" w:rsidRDefault="00F6551F" w:rsidP="007A4819">
      <w:pPr>
        <w:shd w:val="clear" w:color="auto" w:fill="FFFFFF"/>
        <w:spacing w:after="240"/>
        <w:textAlignment w:val="baseline"/>
        <w:rPr>
          <w:color w:val="auto"/>
        </w:rPr>
      </w:pPr>
      <w:r w:rsidRPr="005D646F">
        <w:rPr>
          <w:i/>
          <w:iCs/>
          <w:color w:val="auto"/>
          <w:bdr w:val="none" w:sz="0" w:space="0" w:color="auto" w:frame="1"/>
        </w:rPr>
        <w:t>(Added by Stats. 2022, Ch. 52, Sec. 71. (AB 181) Effective June 30, 2022.)</w:t>
      </w:r>
    </w:p>
    <w:sectPr w:rsidR="00F6551F" w:rsidRPr="005D64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523A" w14:textId="77777777" w:rsidR="009D0DD8" w:rsidRDefault="009D0DD8" w:rsidP="00FC6E4B">
      <w:r>
        <w:separator/>
      </w:r>
    </w:p>
  </w:endnote>
  <w:endnote w:type="continuationSeparator" w:id="0">
    <w:p w14:paraId="64BF784C" w14:textId="77777777" w:rsidR="009D0DD8" w:rsidRDefault="009D0DD8" w:rsidP="00FC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841483"/>
      <w:docPartObj>
        <w:docPartGallery w:val="Page Numbers (Bottom of Page)"/>
        <w:docPartUnique/>
      </w:docPartObj>
    </w:sdtPr>
    <w:sdtEndPr>
      <w:rPr>
        <w:noProof/>
      </w:rPr>
    </w:sdtEndPr>
    <w:sdtContent>
      <w:p w14:paraId="647C3475" w14:textId="52427C87" w:rsidR="00FC6E4B" w:rsidRDefault="00FC6E4B" w:rsidP="00FC6E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FBD9" w14:textId="77777777" w:rsidR="009D0DD8" w:rsidRDefault="009D0DD8" w:rsidP="00FC6E4B">
      <w:r>
        <w:separator/>
      </w:r>
    </w:p>
  </w:footnote>
  <w:footnote w:type="continuationSeparator" w:id="0">
    <w:p w14:paraId="1B469B4D" w14:textId="77777777" w:rsidR="009D0DD8" w:rsidRDefault="009D0DD8" w:rsidP="00FC6E4B">
      <w:r>
        <w:continuationSeparator/>
      </w:r>
    </w:p>
  </w:footnote>
  <w:footnote w:id="1">
    <w:p w14:paraId="3ED1805B" w14:textId="33256CD7" w:rsidR="002A7FCF" w:rsidRDefault="002A7FCF">
      <w:pPr>
        <w:pStyle w:val="FootnoteText"/>
      </w:pPr>
      <w:r w:rsidRPr="005D646F">
        <w:rPr>
          <w:rStyle w:val="FootnoteReference"/>
          <w:vertAlign w:val="baseline"/>
        </w:rPr>
        <w:footnoteRef/>
      </w:r>
      <w:r w:rsidR="005D646F">
        <w:t>.</w:t>
      </w:r>
      <w:r>
        <w:t xml:space="preserve"> </w:t>
      </w:r>
      <w:r>
        <w:rPr>
          <w:rFonts w:eastAsia="Cambria"/>
        </w:rPr>
        <w:t>A</w:t>
      </w:r>
      <w:r w:rsidRPr="004F4FB0">
        <w:rPr>
          <w:rFonts w:eastAsia="Cambria"/>
        </w:rPr>
        <w:t xml:space="preserve">s measured by the California Healthy Kids Survey School Climate Module at </w:t>
      </w:r>
      <w:hyperlink r:id="rId1" w:tooltip="CDE California Healthy Kids Survey School Climate Module web page">
        <w:r w:rsidRPr="008808C8">
          <w:rPr>
            <w:rStyle w:val="Hyperlink"/>
          </w:rPr>
          <w:t>https://www.cde.ca.gov/ls/he/at/chks.asp</w:t>
        </w:r>
      </w:hyperlink>
      <w:r w:rsidRPr="004F4FB0">
        <w:rPr>
          <w:rFonts w:eastAsia="Cambria"/>
        </w:rPr>
        <w:t xml:space="preserve"> or other applicable school climate survey (applicants should identify measurable outcomes on cultural sensitivity, discipline, and enforcement of rules)</w:t>
      </w:r>
      <w:r>
        <w:rPr>
          <w:rFonts w:eastAsia="Cambria"/>
        </w:rPr>
        <w:t>.</w:t>
      </w:r>
    </w:p>
  </w:footnote>
  <w:footnote w:id="2">
    <w:p w14:paraId="0118D101" w14:textId="3DCD36CB" w:rsidR="002B3CF6" w:rsidRDefault="002B3CF6">
      <w:pPr>
        <w:pStyle w:val="FootnoteText"/>
      </w:pPr>
      <w:r w:rsidRPr="005D646F">
        <w:rPr>
          <w:rStyle w:val="FootnoteReference"/>
          <w:vertAlign w:val="baseline"/>
        </w:rPr>
        <w:footnoteRef/>
      </w:r>
      <w:r w:rsidR="005D646F">
        <w:t>.</w:t>
      </w:r>
      <w:r>
        <w:t xml:space="preserve"> M</w:t>
      </w:r>
      <w:r w:rsidRPr="00F41872">
        <w:rPr>
          <w:rFonts w:eastAsia="Times New Roman"/>
        </w:rPr>
        <w:t xml:space="preserve">odel uniform metrics were under development </w:t>
      </w:r>
      <w:r>
        <w:rPr>
          <w:rFonts w:eastAsia="Times New Roman"/>
        </w:rPr>
        <w:t>and</w:t>
      </w:r>
      <w:r w:rsidRPr="00F41872">
        <w:rPr>
          <w:rFonts w:eastAsia="Times New Roman"/>
        </w:rPr>
        <w:t xml:space="preserve"> were not available for </w:t>
      </w:r>
      <w:r w:rsidR="00AC2A70">
        <w:rPr>
          <w:rFonts w:eastAsia="Times New Roman"/>
        </w:rPr>
        <w:t>c</w:t>
      </w:r>
      <w:r w:rsidRPr="00F41872">
        <w:rPr>
          <w:rFonts w:eastAsia="Times New Roman"/>
        </w:rPr>
        <w:t>ohort</w:t>
      </w:r>
      <w:r>
        <w:rPr>
          <w:rFonts w:eastAsia="Times New Roman"/>
        </w:rPr>
        <w:t xml:space="preserve">s </w:t>
      </w:r>
      <w:r w:rsidRPr="00F41872">
        <w:rPr>
          <w:rFonts w:eastAsia="Times New Roman"/>
        </w:rPr>
        <w:t>1</w:t>
      </w:r>
      <w:r>
        <w:rPr>
          <w:rFonts w:eastAsia="Times New Roman"/>
        </w:rPr>
        <w:t xml:space="preserve"> or 2</w:t>
      </w:r>
      <w:r w:rsidRPr="00F41872">
        <w:rPr>
          <w:rFonts w:eastAsia="Times New Roman"/>
        </w:rPr>
        <w:t xml:space="preserve"> to use </w:t>
      </w:r>
      <w:r w:rsidR="00A27D8E">
        <w:rPr>
          <w:rFonts w:eastAsia="Times New Roman"/>
        </w:rPr>
        <w:t xml:space="preserve">in </w:t>
      </w:r>
      <w:r w:rsidR="00BA6CEE">
        <w:rPr>
          <w:rFonts w:eastAsia="Times New Roman"/>
        </w:rPr>
        <w:t>reporting</w:t>
      </w:r>
      <w:r w:rsidRPr="00F41872">
        <w:rPr>
          <w:rFonts w:eastAsia="Times New Roman"/>
        </w:rPr>
        <w:t>.</w:t>
      </w:r>
      <w:r w:rsidR="002A7FCF">
        <w:rPr>
          <w:rFonts w:eastAsia="Times New Roman"/>
        </w:rPr>
        <w:t xml:space="preserve"> Model uniform metrics are now available</w:t>
      </w:r>
      <w:r w:rsidR="00AC2A70">
        <w:rPr>
          <w:rFonts w:eastAsia="Times New Roman"/>
        </w:rPr>
        <w:t xml:space="preserve"> on</w:t>
      </w:r>
      <w:r w:rsidR="002A7FCF">
        <w:rPr>
          <w:rFonts w:eastAsia="Times New Roman"/>
        </w:rPr>
        <w:t xml:space="preserve"> the </w:t>
      </w:r>
      <w:r w:rsidR="00AC2A70">
        <w:rPr>
          <w:rFonts w:eastAsia="Times New Roman"/>
        </w:rPr>
        <w:t xml:space="preserve">CDE </w:t>
      </w:r>
      <w:r w:rsidR="002A7FCF">
        <w:rPr>
          <w:rFonts w:eastAsia="Times New Roman"/>
        </w:rPr>
        <w:t>California Serves web page at</w:t>
      </w:r>
      <w:r w:rsidR="002A7FCF" w:rsidRPr="004F4FB0">
        <w:rPr>
          <w:rFonts w:eastAsia="Cambria"/>
        </w:rPr>
        <w:t xml:space="preserve"> </w:t>
      </w:r>
      <w:hyperlink r:id="rId2" w:tooltip="CDE California Serves web page" w:history="1">
        <w:r w:rsidR="002A7FCF" w:rsidRPr="008808C8">
          <w:rPr>
            <w:rStyle w:val="Hyperlink"/>
          </w:rPr>
          <w:t>https://www.cde.ca.gov/ci/pl/californiaserves.asp</w:t>
        </w:r>
      </w:hyperlink>
      <w:r w:rsidR="002A7FCF">
        <w:rPr>
          <w:rFonts w:eastAsia="Cambria"/>
        </w:rPr>
        <w:t>.</w:t>
      </w:r>
      <w:r w:rsidR="00124F39">
        <w:rPr>
          <w:rFonts w:eastAsia="Cambria"/>
        </w:rPr>
        <w:t xml:space="preserve"> Metrics can be </w:t>
      </w:r>
      <w:r w:rsidR="00AC2A70">
        <w:rPr>
          <w:rFonts w:eastAsia="Cambria"/>
        </w:rPr>
        <w:t xml:space="preserve">used </w:t>
      </w:r>
      <w:r w:rsidR="00124F39">
        <w:rPr>
          <w:rFonts w:eastAsia="Cambria"/>
        </w:rPr>
        <w:t>to measure progress in civic knowledge, skills, and dispositions.</w:t>
      </w:r>
    </w:p>
  </w:footnote>
  <w:footnote w:id="3">
    <w:p w14:paraId="73788C1C" w14:textId="04BBE20E" w:rsidR="00124F39" w:rsidRDefault="00124F39">
      <w:pPr>
        <w:pStyle w:val="FootnoteText"/>
      </w:pPr>
      <w:r w:rsidRPr="005D646F">
        <w:rPr>
          <w:rStyle w:val="FootnoteReference"/>
          <w:vertAlign w:val="baseline"/>
        </w:rPr>
        <w:footnoteRef/>
      </w:r>
      <w:r w:rsidR="005D646F">
        <w:t>.</w:t>
      </w:r>
      <w:r>
        <w:t xml:space="preserve"> Reflections and documentation should be aligned with civic engagement criteria.</w:t>
      </w:r>
    </w:p>
  </w:footnote>
  <w:footnote w:id="4">
    <w:p w14:paraId="32BC3C09" w14:textId="36DBD5DB" w:rsidR="00A7244E" w:rsidRDefault="00A7244E">
      <w:pPr>
        <w:pStyle w:val="FootnoteText"/>
      </w:pPr>
      <w:r w:rsidRPr="005D646F">
        <w:rPr>
          <w:rStyle w:val="FootnoteReference"/>
          <w:vertAlign w:val="baseline"/>
        </w:rPr>
        <w:footnoteRef/>
      </w:r>
      <w:r w:rsidR="005D646F">
        <w:t>.</w:t>
      </w:r>
      <w:r w:rsidRPr="00BB5524">
        <w:t xml:space="preserve"> </w:t>
      </w:r>
      <w:r>
        <w:t xml:space="preserve">We the People Charter School closed </w:t>
      </w:r>
      <w:r w:rsidR="00E07CAC">
        <w:t xml:space="preserve">June 30, 2024. This report includes </w:t>
      </w:r>
      <w:r w:rsidR="00BB5524">
        <w:t>their reporting information from Year 1</w:t>
      </w:r>
      <w:r w:rsidR="00AC2A70">
        <w:t>,</w:t>
      </w:r>
      <w:r w:rsidR="00BB5524">
        <w:t xml:space="preserve"> Quarter 4 and Year 2</w:t>
      </w:r>
      <w:r w:rsidR="00AC2A70">
        <w:t>,</w:t>
      </w:r>
      <w:r w:rsidR="00BB5524">
        <w:t xml:space="preserve"> Quarters 1–2.</w:t>
      </w:r>
    </w:p>
  </w:footnote>
  <w:footnote w:id="5">
    <w:p w14:paraId="1CFB4FF9" w14:textId="5E42C6BF" w:rsidR="0045122E" w:rsidRPr="005B1F66" w:rsidRDefault="0045122E" w:rsidP="0045122E">
      <w:pPr>
        <w:pStyle w:val="FootnoteText"/>
        <w:rPr>
          <w:vertAlign w:val="superscript"/>
        </w:rPr>
      </w:pPr>
      <w:r w:rsidRPr="005D646F">
        <w:rPr>
          <w:rStyle w:val="FootnoteReference"/>
          <w:vertAlign w:val="baseline"/>
        </w:rPr>
        <w:footnoteRef/>
      </w:r>
      <w:r w:rsidR="005D646F">
        <w:t>.</w:t>
      </w:r>
      <w:r w:rsidRPr="00856444">
        <w:t xml:space="preserve"> </w:t>
      </w:r>
      <w:r>
        <w:t xml:space="preserve">The CDE annually works with participating LEAs to update insignia request data from prior years as needed. Data that appears in this table may differ from the statewide SSCE spreadsheets available online. The most accurate, up-to-date statewide insignia request data is available </w:t>
      </w:r>
      <w:r w:rsidR="00513D0A">
        <w:t xml:space="preserve">on </w:t>
      </w:r>
      <w:r>
        <w:t xml:space="preserve">the </w:t>
      </w:r>
      <w:r w:rsidRPr="00856444">
        <w:t xml:space="preserve">CDE SSCE web page at </w:t>
      </w:r>
      <w:hyperlink r:id="rId3" w:tooltip="CDE SSCE web page" w:history="1">
        <w:r w:rsidRPr="008808C8">
          <w:rPr>
            <w:rStyle w:val="Hyperlink"/>
          </w:rPr>
          <w:t>https://www.cde.ca.gov/ci/pl/hssstateseal.asp</w:t>
        </w:r>
      </w:hyperlink>
      <w:r w:rsidRPr="00856444">
        <w:t>.</w:t>
      </w:r>
      <w:r>
        <w:t xml:space="preserve"> </w:t>
      </w:r>
    </w:p>
  </w:footnote>
  <w:footnote w:id="6">
    <w:p w14:paraId="3AB46750" w14:textId="35020DE5" w:rsidR="0045122E" w:rsidRDefault="0045122E" w:rsidP="0045122E">
      <w:pPr>
        <w:pStyle w:val="FootnoteText"/>
      </w:pPr>
      <w:r w:rsidRPr="005D646F">
        <w:rPr>
          <w:rStyle w:val="FootnoteReference"/>
          <w:vertAlign w:val="baseline"/>
        </w:rPr>
        <w:footnoteRef/>
      </w:r>
      <w:r w:rsidR="005D646F">
        <w:t>.</w:t>
      </w:r>
      <w:r w:rsidRPr="00856444">
        <w:t xml:space="preserve"> </w:t>
      </w:r>
      <w:r>
        <w:t xml:space="preserve">The CDE annually works with participating LEAs to update insignia request data from prior years as needed. Data that appears in this table may differ from the statewide SSCE spreadsheets available online. The most accurate, up-to-date statewide insignia request data is available </w:t>
      </w:r>
      <w:r w:rsidR="009C5D2E">
        <w:t xml:space="preserve">on </w:t>
      </w:r>
      <w:r>
        <w:t xml:space="preserve">the </w:t>
      </w:r>
      <w:r w:rsidRPr="00856444">
        <w:t xml:space="preserve">CDE SSCE web page at </w:t>
      </w:r>
      <w:hyperlink r:id="rId4" w:tooltip="CDE SSCE web page" w:history="1">
        <w:r w:rsidRPr="00856444">
          <w:rPr>
            <w:rStyle w:val="Hyperlink"/>
          </w:rPr>
          <w:t>https://www.cde.ca.gov/ci/pl/hssstateseal.asp</w:t>
        </w:r>
      </w:hyperlink>
      <w:r w:rsidRPr="00856444">
        <w:t>.</w:t>
      </w:r>
      <w:r>
        <w:t xml:space="preserve"> </w:t>
      </w:r>
    </w:p>
  </w:footnote>
  <w:footnote w:id="7">
    <w:p w14:paraId="4FFBD796" w14:textId="76E96689" w:rsidR="0008688F" w:rsidRDefault="0008688F" w:rsidP="0008688F">
      <w:pPr>
        <w:pStyle w:val="FootnoteText"/>
      </w:pPr>
      <w:r w:rsidRPr="005D646F">
        <w:rPr>
          <w:rStyle w:val="FootnoteReference"/>
          <w:vertAlign w:val="baseline"/>
        </w:rPr>
        <w:footnoteRef/>
      </w:r>
      <w:r w:rsidR="005D646F" w:rsidRPr="005D646F">
        <w:t xml:space="preserve">. </w:t>
      </w:r>
      <w:r w:rsidRPr="005D646F">
        <w:t>We</w:t>
      </w:r>
      <w:r>
        <w:t xml:space="preserve"> the People Charter School closed June 30, 2024. This report includes </w:t>
      </w:r>
      <w:r w:rsidR="001530DA">
        <w:t xml:space="preserve">its </w:t>
      </w:r>
      <w:r>
        <w:t>reporting information from Year 1</w:t>
      </w:r>
      <w:r w:rsidR="001530DA">
        <w:t>,</w:t>
      </w:r>
      <w:r>
        <w:t xml:space="preserve"> Quarter 4 and Year 2</w:t>
      </w:r>
      <w:r w:rsidR="001530DA">
        <w:t>,</w:t>
      </w:r>
      <w:r>
        <w:t xml:space="preserve"> Quarters 1–2.</w:t>
      </w:r>
    </w:p>
  </w:footnote>
  <w:footnote w:id="8">
    <w:p w14:paraId="074986C7" w14:textId="27BB98F1" w:rsidR="00D31D7E" w:rsidRDefault="00D31D7E" w:rsidP="00D31D7E">
      <w:pPr>
        <w:pStyle w:val="FootnoteText"/>
      </w:pPr>
      <w:r w:rsidRPr="005D646F">
        <w:rPr>
          <w:rStyle w:val="FootnoteReference"/>
          <w:vertAlign w:val="baseline"/>
        </w:rPr>
        <w:footnoteRef/>
      </w:r>
      <w:r w:rsidR="005D646F">
        <w:t>.</w:t>
      </w:r>
      <w:r w:rsidRPr="00856444">
        <w:t xml:space="preserve"> </w:t>
      </w:r>
      <w:r>
        <w:t xml:space="preserve">The CDE annually works with participating LEAs to update insignia request data from prior years as needed. Data in this table may differ from the statewide SSCE spreadsheets available online. The most accurate, up-to-date statewide insignia request data is available </w:t>
      </w:r>
      <w:r w:rsidR="00E52ECC">
        <w:t xml:space="preserve">on </w:t>
      </w:r>
      <w:r>
        <w:t xml:space="preserve">the </w:t>
      </w:r>
      <w:r w:rsidRPr="00856444">
        <w:t xml:space="preserve">CDE </w:t>
      </w:r>
      <w:r w:rsidR="00983F58">
        <w:t>SSCE</w:t>
      </w:r>
      <w:r w:rsidRPr="00856444">
        <w:t xml:space="preserve"> web page at </w:t>
      </w:r>
      <w:hyperlink r:id="rId5" w:tooltip="CDE SSCE web page" w:history="1">
        <w:r w:rsidRPr="003A506B">
          <w:rPr>
            <w:rStyle w:val="Hyperlink"/>
          </w:rPr>
          <w:t>https://www.cde.ca.gov/ci/pl/hssstateseal.asp</w:t>
        </w:r>
      </w:hyperlink>
      <w:r w:rsidRPr="00856444">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4E71"/>
    <w:multiLevelType w:val="multilevel"/>
    <w:tmpl w:val="20A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4FD5"/>
    <w:multiLevelType w:val="multilevel"/>
    <w:tmpl w:val="C098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67166"/>
    <w:multiLevelType w:val="multilevel"/>
    <w:tmpl w:val="6B4A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2586E"/>
    <w:multiLevelType w:val="hybridMultilevel"/>
    <w:tmpl w:val="6E28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5FA3"/>
    <w:multiLevelType w:val="hybridMultilevel"/>
    <w:tmpl w:val="64AA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A1A34"/>
    <w:multiLevelType w:val="multilevel"/>
    <w:tmpl w:val="C536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066E6"/>
    <w:multiLevelType w:val="multilevel"/>
    <w:tmpl w:val="AD3C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640E8"/>
    <w:multiLevelType w:val="multilevel"/>
    <w:tmpl w:val="866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F3FE1"/>
    <w:multiLevelType w:val="multilevel"/>
    <w:tmpl w:val="9FA6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12B8A"/>
    <w:multiLevelType w:val="multilevel"/>
    <w:tmpl w:val="31D6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E250F"/>
    <w:multiLevelType w:val="multilevel"/>
    <w:tmpl w:val="E61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F122D"/>
    <w:multiLevelType w:val="multilevel"/>
    <w:tmpl w:val="FEC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83B9F"/>
    <w:multiLevelType w:val="multilevel"/>
    <w:tmpl w:val="F638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72904"/>
    <w:multiLevelType w:val="multilevel"/>
    <w:tmpl w:val="4F3E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812BB"/>
    <w:multiLevelType w:val="multilevel"/>
    <w:tmpl w:val="875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463BE"/>
    <w:multiLevelType w:val="hybridMultilevel"/>
    <w:tmpl w:val="548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01F5A"/>
    <w:multiLevelType w:val="hybridMultilevel"/>
    <w:tmpl w:val="0F70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6386D"/>
    <w:multiLevelType w:val="multilevel"/>
    <w:tmpl w:val="E51E3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3048F"/>
    <w:multiLevelType w:val="hybridMultilevel"/>
    <w:tmpl w:val="1114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1554A"/>
    <w:multiLevelType w:val="multilevel"/>
    <w:tmpl w:val="71E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61E62"/>
    <w:multiLevelType w:val="hybridMultilevel"/>
    <w:tmpl w:val="9FB6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01391"/>
    <w:multiLevelType w:val="multilevel"/>
    <w:tmpl w:val="A684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73DCC"/>
    <w:multiLevelType w:val="multilevel"/>
    <w:tmpl w:val="1A8E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76480"/>
    <w:multiLevelType w:val="hybridMultilevel"/>
    <w:tmpl w:val="81FC3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392DC6"/>
    <w:multiLevelType w:val="multilevel"/>
    <w:tmpl w:val="82AC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41BA8"/>
    <w:multiLevelType w:val="hybridMultilevel"/>
    <w:tmpl w:val="6C30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D70E1"/>
    <w:multiLevelType w:val="multilevel"/>
    <w:tmpl w:val="5DB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4636E"/>
    <w:multiLevelType w:val="hybridMultilevel"/>
    <w:tmpl w:val="1180C4FA"/>
    <w:lvl w:ilvl="0" w:tplc="25906F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C210B"/>
    <w:multiLevelType w:val="hybridMultilevel"/>
    <w:tmpl w:val="9CFC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A786B"/>
    <w:multiLevelType w:val="hybridMultilevel"/>
    <w:tmpl w:val="8EC83694"/>
    <w:lvl w:ilvl="0" w:tplc="65444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2D313E"/>
    <w:multiLevelType w:val="hybridMultilevel"/>
    <w:tmpl w:val="A17C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12CEF"/>
    <w:multiLevelType w:val="hybridMultilevel"/>
    <w:tmpl w:val="1D16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B13320"/>
    <w:multiLevelType w:val="multilevel"/>
    <w:tmpl w:val="3C0A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8B1F27"/>
    <w:multiLevelType w:val="hybridMultilevel"/>
    <w:tmpl w:val="8FD0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A0AA1"/>
    <w:multiLevelType w:val="multilevel"/>
    <w:tmpl w:val="04A0E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DF7E59"/>
    <w:multiLevelType w:val="hybridMultilevel"/>
    <w:tmpl w:val="F7D2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450CF"/>
    <w:multiLevelType w:val="multilevel"/>
    <w:tmpl w:val="DA76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61A06"/>
    <w:multiLevelType w:val="multilevel"/>
    <w:tmpl w:val="29DC5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04DF9"/>
    <w:multiLevelType w:val="multilevel"/>
    <w:tmpl w:val="3828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9A515D"/>
    <w:multiLevelType w:val="multilevel"/>
    <w:tmpl w:val="3DD4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813F0A"/>
    <w:multiLevelType w:val="multilevel"/>
    <w:tmpl w:val="653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719D9"/>
    <w:multiLevelType w:val="multilevel"/>
    <w:tmpl w:val="AB38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74FF7"/>
    <w:multiLevelType w:val="hybridMultilevel"/>
    <w:tmpl w:val="8F7620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1516736">
    <w:abstractNumId w:val="27"/>
  </w:num>
  <w:num w:numId="2" w16cid:durableId="709065815">
    <w:abstractNumId w:val="7"/>
  </w:num>
  <w:num w:numId="3" w16cid:durableId="1135833913">
    <w:abstractNumId w:val="38"/>
  </w:num>
  <w:num w:numId="4" w16cid:durableId="1858732479">
    <w:abstractNumId w:val="14"/>
  </w:num>
  <w:num w:numId="5" w16cid:durableId="1781366146">
    <w:abstractNumId w:val="9"/>
  </w:num>
  <w:num w:numId="6" w16cid:durableId="1192691522">
    <w:abstractNumId w:val="21"/>
  </w:num>
  <w:num w:numId="7" w16cid:durableId="715935114">
    <w:abstractNumId w:val="11"/>
  </w:num>
  <w:num w:numId="8" w16cid:durableId="1587615223">
    <w:abstractNumId w:val="19"/>
  </w:num>
  <w:num w:numId="9" w16cid:durableId="1116368464">
    <w:abstractNumId w:val="34"/>
  </w:num>
  <w:num w:numId="10" w16cid:durableId="107161919">
    <w:abstractNumId w:val="17"/>
  </w:num>
  <w:num w:numId="11" w16cid:durableId="1133140056">
    <w:abstractNumId w:val="13"/>
  </w:num>
  <w:num w:numId="12" w16cid:durableId="885603418">
    <w:abstractNumId w:val="39"/>
  </w:num>
  <w:num w:numId="13" w16cid:durableId="2122988876">
    <w:abstractNumId w:val="30"/>
  </w:num>
  <w:num w:numId="14" w16cid:durableId="1163014352">
    <w:abstractNumId w:val="33"/>
  </w:num>
  <w:num w:numId="15" w16cid:durableId="2079934740">
    <w:abstractNumId w:val="25"/>
  </w:num>
  <w:num w:numId="16" w16cid:durableId="1048994349">
    <w:abstractNumId w:val="15"/>
  </w:num>
  <w:num w:numId="17" w16cid:durableId="1040011130">
    <w:abstractNumId w:val="23"/>
  </w:num>
  <w:num w:numId="18" w16cid:durableId="98960818">
    <w:abstractNumId w:val="29"/>
  </w:num>
  <w:num w:numId="19" w16cid:durableId="1422410354">
    <w:abstractNumId w:val="2"/>
  </w:num>
  <w:num w:numId="20" w16cid:durableId="1769807957">
    <w:abstractNumId w:val="26"/>
  </w:num>
  <w:num w:numId="21" w16cid:durableId="1732996349">
    <w:abstractNumId w:val="8"/>
  </w:num>
  <w:num w:numId="22" w16cid:durableId="233978016">
    <w:abstractNumId w:val="41"/>
  </w:num>
  <w:num w:numId="23" w16cid:durableId="1405375273">
    <w:abstractNumId w:val="1"/>
  </w:num>
  <w:num w:numId="24" w16cid:durableId="1415859072">
    <w:abstractNumId w:val="0"/>
  </w:num>
  <w:num w:numId="25" w16cid:durableId="2083067665">
    <w:abstractNumId w:val="22"/>
  </w:num>
  <w:num w:numId="26" w16cid:durableId="1751538979">
    <w:abstractNumId w:val="10"/>
  </w:num>
  <w:num w:numId="27" w16cid:durableId="1909145530">
    <w:abstractNumId w:val="36"/>
  </w:num>
  <w:num w:numId="28" w16cid:durableId="935210886">
    <w:abstractNumId w:val="6"/>
  </w:num>
  <w:num w:numId="29" w16cid:durableId="1212305268">
    <w:abstractNumId w:val="40"/>
  </w:num>
  <w:num w:numId="30" w16cid:durableId="1351681169">
    <w:abstractNumId w:val="24"/>
  </w:num>
  <w:num w:numId="31" w16cid:durableId="952828139">
    <w:abstractNumId w:val="37"/>
  </w:num>
  <w:num w:numId="32" w16cid:durableId="698968758">
    <w:abstractNumId w:val="32"/>
  </w:num>
  <w:num w:numId="33" w16cid:durableId="15354576">
    <w:abstractNumId w:val="12"/>
  </w:num>
  <w:num w:numId="34" w16cid:durableId="2108227742">
    <w:abstractNumId w:val="42"/>
  </w:num>
  <w:num w:numId="35" w16cid:durableId="779303811">
    <w:abstractNumId w:val="35"/>
  </w:num>
  <w:num w:numId="36" w16cid:durableId="1559823596">
    <w:abstractNumId w:val="4"/>
  </w:num>
  <w:num w:numId="37" w16cid:durableId="1456827930">
    <w:abstractNumId w:val="18"/>
  </w:num>
  <w:num w:numId="38" w16cid:durableId="1671367448">
    <w:abstractNumId w:val="5"/>
  </w:num>
  <w:num w:numId="39" w16cid:durableId="1468739375">
    <w:abstractNumId w:val="31"/>
  </w:num>
  <w:num w:numId="40" w16cid:durableId="1624117069">
    <w:abstractNumId w:val="20"/>
  </w:num>
  <w:num w:numId="41" w16cid:durableId="1949459767">
    <w:abstractNumId w:val="16"/>
  </w:num>
  <w:num w:numId="42" w16cid:durableId="1666056375">
    <w:abstractNumId w:val="3"/>
  </w:num>
  <w:num w:numId="43" w16cid:durableId="311716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25"/>
    <w:rsid w:val="0000594A"/>
    <w:rsid w:val="00010659"/>
    <w:rsid w:val="00011FAA"/>
    <w:rsid w:val="000137D3"/>
    <w:rsid w:val="00013C7F"/>
    <w:rsid w:val="00014813"/>
    <w:rsid w:val="000205F1"/>
    <w:rsid w:val="00023812"/>
    <w:rsid w:val="00024737"/>
    <w:rsid w:val="000271DE"/>
    <w:rsid w:val="000271EB"/>
    <w:rsid w:val="00034C0A"/>
    <w:rsid w:val="00044D81"/>
    <w:rsid w:val="000452BD"/>
    <w:rsid w:val="000469A1"/>
    <w:rsid w:val="00050ED4"/>
    <w:rsid w:val="00054392"/>
    <w:rsid w:val="0005535B"/>
    <w:rsid w:val="0006180E"/>
    <w:rsid w:val="00062ACF"/>
    <w:rsid w:val="0006615D"/>
    <w:rsid w:val="0006763C"/>
    <w:rsid w:val="00076988"/>
    <w:rsid w:val="0007789B"/>
    <w:rsid w:val="000822A0"/>
    <w:rsid w:val="000824CC"/>
    <w:rsid w:val="00082EFB"/>
    <w:rsid w:val="00082F96"/>
    <w:rsid w:val="00083F26"/>
    <w:rsid w:val="0008406F"/>
    <w:rsid w:val="00084E79"/>
    <w:rsid w:val="00085064"/>
    <w:rsid w:val="0008688F"/>
    <w:rsid w:val="00087FEC"/>
    <w:rsid w:val="00093F98"/>
    <w:rsid w:val="00095CA9"/>
    <w:rsid w:val="000A002D"/>
    <w:rsid w:val="000A2B56"/>
    <w:rsid w:val="000A316E"/>
    <w:rsid w:val="000A44A5"/>
    <w:rsid w:val="000A5327"/>
    <w:rsid w:val="000A5F85"/>
    <w:rsid w:val="000B038F"/>
    <w:rsid w:val="000B0B41"/>
    <w:rsid w:val="000B163F"/>
    <w:rsid w:val="000B1983"/>
    <w:rsid w:val="000B501C"/>
    <w:rsid w:val="000B6168"/>
    <w:rsid w:val="000C245A"/>
    <w:rsid w:val="000C2B68"/>
    <w:rsid w:val="000C4CF3"/>
    <w:rsid w:val="000C71CF"/>
    <w:rsid w:val="000D05AD"/>
    <w:rsid w:val="000D1917"/>
    <w:rsid w:val="000D2D11"/>
    <w:rsid w:val="000D308F"/>
    <w:rsid w:val="000E2A35"/>
    <w:rsid w:val="000E45A2"/>
    <w:rsid w:val="000E5801"/>
    <w:rsid w:val="000E74C4"/>
    <w:rsid w:val="000F4330"/>
    <w:rsid w:val="000F7CEB"/>
    <w:rsid w:val="001024D1"/>
    <w:rsid w:val="001034B8"/>
    <w:rsid w:val="001053F6"/>
    <w:rsid w:val="00105E74"/>
    <w:rsid w:val="00105F97"/>
    <w:rsid w:val="00106298"/>
    <w:rsid w:val="0010772F"/>
    <w:rsid w:val="00110A11"/>
    <w:rsid w:val="00111E70"/>
    <w:rsid w:val="001123A1"/>
    <w:rsid w:val="00113643"/>
    <w:rsid w:val="00113D08"/>
    <w:rsid w:val="00113F36"/>
    <w:rsid w:val="001150EF"/>
    <w:rsid w:val="0011632B"/>
    <w:rsid w:val="00123F23"/>
    <w:rsid w:val="00124F39"/>
    <w:rsid w:val="001260FF"/>
    <w:rsid w:val="001271C1"/>
    <w:rsid w:val="001302E7"/>
    <w:rsid w:val="00132D2B"/>
    <w:rsid w:val="001340E9"/>
    <w:rsid w:val="00135ED5"/>
    <w:rsid w:val="001366E6"/>
    <w:rsid w:val="00140319"/>
    <w:rsid w:val="00140AD3"/>
    <w:rsid w:val="001410A3"/>
    <w:rsid w:val="00141997"/>
    <w:rsid w:val="00143DA9"/>
    <w:rsid w:val="001462E9"/>
    <w:rsid w:val="0015261E"/>
    <w:rsid w:val="001530DA"/>
    <w:rsid w:val="00153CB7"/>
    <w:rsid w:val="00154C0C"/>
    <w:rsid w:val="00165305"/>
    <w:rsid w:val="0016537E"/>
    <w:rsid w:val="00165AF7"/>
    <w:rsid w:val="00171282"/>
    <w:rsid w:val="00171BAC"/>
    <w:rsid w:val="00172131"/>
    <w:rsid w:val="001723A7"/>
    <w:rsid w:val="00173B59"/>
    <w:rsid w:val="001745D7"/>
    <w:rsid w:val="00175D77"/>
    <w:rsid w:val="001763C2"/>
    <w:rsid w:val="00181051"/>
    <w:rsid w:val="00181EE9"/>
    <w:rsid w:val="00186AA4"/>
    <w:rsid w:val="00191463"/>
    <w:rsid w:val="001949F5"/>
    <w:rsid w:val="0019509C"/>
    <w:rsid w:val="001952F8"/>
    <w:rsid w:val="001954CB"/>
    <w:rsid w:val="001960DC"/>
    <w:rsid w:val="001A3A29"/>
    <w:rsid w:val="001A51FD"/>
    <w:rsid w:val="001A7B26"/>
    <w:rsid w:val="001B3EFE"/>
    <w:rsid w:val="001B65E6"/>
    <w:rsid w:val="001C2B69"/>
    <w:rsid w:val="001C591B"/>
    <w:rsid w:val="001C5D26"/>
    <w:rsid w:val="001C7FD6"/>
    <w:rsid w:val="001D6B12"/>
    <w:rsid w:val="001D6CEC"/>
    <w:rsid w:val="001E0C42"/>
    <w:rsid w:val="001E3448"/>
    <w:rsid w:val="001E620E"/>
    <w:rsid w:val="001E69F1"/>
    <w:rsid w:val="001E7D89"/>
    <w:rsid w:val="001F38CD"/>
    <w:rsid w:val="001F3B99"/>
    <w:rsid w:val="001F5262"/>
    <w:rsid w:val="002005A0"/>
    <w:rsid w:val="00203246"/>
    <w:rsid w:val="00203737"/>
    <w:rsid w:val="00203DE3"/>
    <w:rsid w:val="00206451"/>
    <w:rsid w:val="002068BD"/>
    <w:rsid w:val="00207073"/>
    <w:rsid w:val="0021017A"/>
    <w:rsid w:val="00216E34"/>
    <w:rsid w:val="00222B53"/>
    <w:rsid w:val="00224E18"/>
    <w:rsid w:val="00225EDB"/>
    <w:rsid w:val="0022621B"/>
    <w:rsid w:val="00227439"/>
    <w:rsid w:val="0023189D"/>
    <w:rsid w:val="0023301C"/>
    <w:rsid w:val="00235277"/>
    <w:rsid w:val="002407C9"/>
    <w:rsid w:val="00242E6E"/>
    <w:rsid w:val="00244DDE"/>
    <w:rsid w:val="0024659F"/>
    <w:rsid w:val="0024679C"/>
    <w:rsid w:val="00246EFB"/>
    <w:rsid w:val="00247454"/>
    <w:rsid w:val="00250161"/>
    <w:rsid w:val="0025206B"/>
    <w:rsid w:val="00262B99"/>
    <w:rsid w:val="00263FE4"/>
    <w:rsid w:val="00265467"/>
    <w:rsid w:val="00270DC6"/>
    <w:rsid w:val="00270F17"/>
    <w:rsid w:val="002710AB"/>
    <w:rsid w:val="00271BC2"/>
    <w:rsid w:val="00272B78"/>
    <w:rsid w:val="00272F53"/>
    <w:rsid w:val="00274E84"/>
    <w:rsid w:val="00277A8F"/>
    <w:rsid w:val="00282387"/>
    <w:rsid w:val="00283ACB"/>
    <w:rsid w:val="00284B53"/>
    <w:rsid w:val="00284E86"/>
    <w:rsid w:val="00285133"/>
    <w:rsid w:val="0028516A"/>
    <w:rsid w:val="00285385"/>
    <w:rsid w:val="00287C7B"/>
    <w:rsid w:val="00290132"/>
    <w:rsid w:val="00291171"/>
    <w:rsid w:val="002920D2"/>
    <w:rsid w:val="0029341A"/>
    <w:rsid w:val="00295968"/>
    <w:rsid w:val="00297579"/>
    <w:rsid w:val="002A069C"/>
    <w:rsid w:val="002A7FCF"/>
    <w:rsid w:val="002B03E7"/>
    <w:rsid w:val="002B2365"/>
    <w:rsid w:val="002B3CF6"/>
    <w:rsid w:val="002B481B"/>
    <w:rsid w:val="002B64FF"/>
    <w:rsid w:val="002B6DB1"/>
    <w:rsid w:val="002C08A1"/>
    <w:rsid w:val="002C0B94"/>
    <w:rsid w:val="002C2FE7"/>
    <w:rsid w:val="002C42B2"/>
    <w:rsid w:val="002C4F0D"/>
    <w:rsid w:val="002C5B4A"/>
    <w:rsid w:val="002C64C1"/>
    <w:rsid w:val="002C7D44"/>
    <w:rsid w:val="002D0156"/>
    <w:rsid w:val="002D0ED5"/>
    <w:rsid w:val="002D35FC"/>
    <w:rsid w:val="002D3969"/>
    <w:rsid w:val="002D552C"/>
    <w:rsid w:val="002D68A4"/>
    <w:rsid w:val="002D70CB"/>
    <w:rsid w:val="002E3AF6"/>
    <w:rsid w:val="002E6425"/>
    <w:rsid w:val="002F14D8"/>
    <w:rsid w:val="002F38C4"/>
    <w:rsid w:val="002F56FC"/>
    <w:rsid w:val="0030327C"/>
    <w:rsid w:val="00304BD2"/>
    <w:rsid w:val="00306C77"/>
    <w:rsid w:val="00307E5A"/>
    <w:rsid w:val="00312382"/>
    <w:rsid w:val="003130B0"/>
    <w:rsid w:val="00315964"/>
    <w:rsid w:val="00321AC9"/>
    <w:rsid w:val="00321FE3"/>
    <w:rsid w:val="0032260A"/>
    <w:rsid w:val="00322E47"/>
    <w:rsid w:val="00323003"/>
    <w:rsid w:val="00324C4F"/>
    <w:rsid w:val="0033084C"/>
    <w:rsid w:val="0033214D"/>
    <w:rsid w:val="00333F6A"/>
    <w:rsid w:val="00334D8D"/>
    <w:rsid w:val="003352C4"/>
    <w:rsid w:val="003377C2"/>
    <w:rsid w:val="00342419"/>
    <w:rsid w:val="0034480C"/>
    <w:rsid w:val="00345213"/>
    <w:rsid w:val="003478D6"/>
    <w:rsid w:val="00347A75"/>
    <w:rsid w:val="003579E5"/>
    <w:rsid w:val="00357B07"/>
    <w:rsid w:val="00362E7C"/>
    <w:rsid w:val="00366180"/>
    <w:rsid w:val="00372F76"/>
    <w:rsid w:val="00376BD0"/>
    <w:rsid w:val="00377FE6"/>
    <w:rsid w:val="003827B9"/>
    <w:rsid w:val="0038475C"/>
    <w:rsid w:val="0038667E"/>
    <w:rsid w:val="00387565"/>
    <w:rsid w:val="003901D0"/>
    <w:rsid w:val="00390B28"/>
    <w:rsid w:val="00395335"/>
    <w:rsid w:val="0039625A"/>
    <w:rsid w:val="00397A11"/>
    <w:rsid w:val="003A0F41"/>
    <w:rsid w:val="003A4D6B"/>
    <w:rsid w:val="003A506B"/>
    <w:rsid w:val="003A5A39"/>
    <w:rsid w:val="003A5F4B"/>
    <w:rsid w:val="003A7B96"/>
    <w:rsid w:val="003A7C1E"/>
    <w:rsid w:val="003B0389"/>
    <w:rsid w:val="003B1481"/>
    <w:rsid w:val="003B1EC9"/>
    <w:rsid w:val="003B25B6"/>
    <w:rsid w:val="003B56A0"/>
    <w:rsid w:val="003B5960"/>
    <w:rsid w:val="003C0C9B"/>
    <w:rsid w:val="003C323A"/>
    <w:rsid w:val="003C35F7"/>
    <w:rsid w:val="003C6AFE"/>
    <w:rsid w:val="003D41E7"/>
    <w:rsid w:val="003D5FE6"/>
    <w:rsid w:val="003E0380"/>
    <w:rsid w:val="003E0801"/>
    <w:rsid w:val="003E40FA"/>
    <w:rsid w:val="003E626D"/>
    <w:rsid w:val="003E64C0"/>
    <w:rsid w:val="003E7A16"/>
    <w:rsid w:val="003F3186"/>
    <w:rsid w:val="003F7CF3"/>
    <w:rsid w:val="00404420"/>
    <w:rsid w:val="00405BF4"/>
    <w:rsid w:val="00407E53"/>
    <w:rsid w:val="0041200B"/>
    <w:rsid w:val="00412A81"/>
    <w:rsid w:val="00422B9D"/>
    <w:rsid w:val="004302C5"/>
    <w:rsid w:val="00434E8B"/>
    <w:rsid w:val="0044076A"/>
    <w:rsid w:val="00441501"/>
    <w:rsid w:val="00442B8C"/>
    <w:rsid w:val="00442D2A"/>
    <w:rsid w:val="00445170"/>
    <w:rsid w:val="00447FAA"/>
    <w:rsid w:val="004510F7"/>
    <w:rsid w:val="0045122E"/>
    <w:rsid w:val="004552D3"/>
    <w:rsid w:val="004566A0"/>
    <w:rsid w:val="004608F9"/>
    <w:rsid w:val="00460998"/>
    <w:rsid w:val="004629EC"/>
    <w:rsid w:val="00464EA5"/>
    <w:rsid w:val="00466704"/>
    <w:rsid w:val="00474D74"/>
    <w:rsid w:val="004752F3"/>
    <w:rsid w:val="00475624"/>
    <w:rsid w:val="00475864"/>
    <w:rsid w:val="00476E56"/>
    <w:rsid w:val="00481B0A"/>
    <w:rsid w:val="00482D9B"/>
    <w:rsid w:val="00483725"/>
    <w:rsid w:val="004849EA"/>
    <w:rsid w:val="00485167"/>
    <w:rsid w:val="00486D7F"/>
    <w:rsid w:val="004923C5"/>
    <w:rsid w:val="00492B67"/>
    <w:rsid w:val="004936C5"/>
    <w:rsid w:val="00493BC3"/>
    <w:rsid w:val="004A080A"/>
    <w:rsid w:val="004A1C7E"/>
    <w:rsid w:val="004B29B3"/>
    <w:rsid w:val="004B2F97"/>
    <w:rsid w:val="004B4A86"/>
    <w:rsid w:val="004B4FA9"/>
    <w:rsid w:val="004C53D0"/>
    <w:rsid w:val="004C58BB"/>
    <w:rsid w:val="004D4150"/>
    <w:rsid w:val="004D46A0"/>
    <w:rsid w:val="004E09F2"/>
    <w:rsid w:val="004E3AAD"/>
    <w:rsid w:val="004F4B2A"/>
    <w:rsid w:val="004F4FB0"/>
    <w:rsid w:val="004F5CE6"/>
    <w:rsid w:val="004F67DC"/>
    <w:rsid w:val="004F7F05"/>
    <w:rsid w:val="005025AB"/>
    <w:rsid w:val="00504B51"/>
    <w:rsid w:val="0050799E"/>
    <w:rsid w:val="005110E8"/>
    <w:rsid w:val="00511D27"/>
    <w:rsid w:val="00513D0A"/>
    <w:rsid w:val="00513FB3"/>
    <w:rsid w:val="005146A3"/>
    <w:rsid w:val="00515386"/>
    <w:rsid w:val="00517F86"/>
    <w:rsid w:val="0052174C"/>
    <w:rsid w:val="00523CFF"/>
    <w:rsid w:val="005274CE"/>
    <w:rsid w:val="005310D3"/>
    <w:rsid w:val="005317D1"/>
    <w:rsid w:val="005330F3"/>
    <w:rsid w:val="00534822"/>
    <w:rsid w:val="005404F1"/>
    <w:rsid w:val="00540E39"/>
    <w:rsid w:val="00543D15"/>
    <w:rsid w:val="00546B8E"/>
    <w:rsid w:val="005472C1"/>
    <w:rsid w:val="0055024A"/>
    <w:rsid w:val="00555556"/>
    <w:rsid w:val="0056043B"/>
    <w:rsid w:val="005618F2"/>
    <w:rsid w:val="005677C1"/>
    <w:rsid w:val="005717AA"/>
    <w:rsid w:val="00575FE4"/>
    <w:rsid w:val="00576D65"/>
    <w:rsid w:val="00577FA6"/>
    <w:rsid w:val="00581E07"/>
    <w:rsid w:val="00583930"/>
    <w:rsid w:val="005855D3"/>
    <w:rsid w:val="00586674"/>
    <w:rsid w:val="0058734F"/>
    <w:rsid w:val="005903B0"/>
    <w:rsid w:val="00591BB7"/>
    <w:rsid w:val="00591D8A"/>
    <w:rsid w:val="005931A7"/>
    <w:rsid w:val="00593B4C"/>
    <w:rsid w:val="00593F24"/>
    <w:rsid w:val="0059466A"/>
    <w:rsid w:val="005947B3"/>
    <w:rsid w:val="005A099B"/>
    <w:rsid w:val="005A2A13"/>
    <w:rsid w:val="005A795B"/>
    <w:rsid w:val="005B02A4"/>
    <w:rsid w:val="005B1F66"/>
    <w:rsid w:val="005B7BB7"/>
    <w:rsid w:val="005C2AD0"/>
    <w:rsid w:val="005C416C"/>
    <w:rsid w:val="005C6DCD"/>
    <w:rsid w:val="005C6F64"/>
    <w:rsid w:val="005C7068"/>
    <w:rsid w:val="005D2BF7"/>
    <w:rsid w:val="005D36DD"/>
    <w:rsid w:val="005D3A3D"/>
    <w:rsid w:val="005D51C3"/>
    <w:rsid w:val="005D54DE"/>
    <w:rsid w:val="005D646F"/>
    <w:rsid w:val="005D7CDA"/>
    <w:rsid w:val="005E6AC2"/>
    <w:rsid w:val="005F11FA"/>
    <w:rsid w:val="005F198F"/>
    <w:rsid w:val="005F1E89"/>
    <w:rsid w:val="005F7C8C"/>
    <w:rsid w:val="00603DEB"/>
    <w:rsid w:val="0060683F"/>
    <w:rsid w:val="00613478"/>
    <w:rsid w:val="00613AB3"/>
    <w:rsid w:val="0061766A"/>
    <w:rsid w:val="00621EB7"/>
    <w:rsid w:val="006248CF"/>
    <w:rsid w:val="00625516"/>
    <w:rsid w:val="00625DF3"/>
    <w:rsid w:val="00630270"/>
    <w:rsid w:val="00632E7A"/>
    <w:rsid w:val="00634387"/>
    <w:rsid w:val="00637A72"/>
    <w:rsid w:val="00640D1B"/>
    <w:rsid w:val="006468DE"/>
    <w:rsid w:val="006474E3"/>
    <w:rsid w:val="0065032D"/>
    <w:rsid w:val="00651913"/>
    <w:rsid w:val="006543A4"/>
    <w:rsid w:val="0066023F"/>
    <w:rsid w:val="00660B67"/>
    <w:rsid w:val="00664361"/>
    <w:rsid w:val="00667D9F"/>
    <w:rsid w:val="00670D6B"/>
    <w:rsid w:val="0067350E"/>
    <w:rsid w:val="00674E5E"/>
    <w:rsid w:val="00680439"/>
    <w:rsid w:val="0068048A"/>
    <w:rsid w:val="00684157"/>
    <w:rsid w:val="0068464E"/>
    <w:rsid w:val="00684BBD"/>
    <w:rsid w:val="006903AB"/>
    <w:rsid w:val="006932AA"/>
    <w:rsid w:val="00693ED3"/>
    <w:rsid w:val="00694886"/>
    <w:rsid w:val="00694B1D"/>
    <w:rsid w:val="00694D4A"/>
    <w:rsid w:val="006A0B51"/>
    <w:rsid w:val="006A18A7"/>
    <w:rsid w:val="006A6AE1"/>
    <w:rsid w:val="006A7445"/>
    <w:rsid w:val="006A75F6"/>
    <w:rsid w:val="006B18C3"/>
    <w:rsid w:val="006B37F2"/>
    <w:rsid w:val="006B3A57"/>
    <w:rsid w:val="006B3D52"/>
    <w:rsid w:val="006B477F"/>
    <w:rsid w:val="006B730F"/>
    <w:rsid w:val="006C27EC"/>
    <w:rsid w:val="006C46AE"/>
    <w:rsid w:val="006D15A8"/>
    <w:rsid w:val="006D4DBC"/>
    <w:rsid w:val="006E0742"/>
    <w:rsid w:val="006E0DF6"/>
    <w:rsid w:val="006E2A71"/>
    <w:rsid w:val="006E2C38"/>
    <w:rsid w:val="006E39AE"/>
    <w:rsid w:val="006E442D"/>
    <w:rsid w:val="006E5973"/>
    <w:rsid w:val="006E6D72"/>
    <w:rsid w:val="006E7B21"/>
    <w:rsid w:val="006E7D6B"/>
    <w:rsid w:val="006F0E05"/>
    <w:rsid w:val="006F435A"/>
    <w:rsid w:val="006F5D77"/>
    <w:rsid w:val="00702D24"/>
    <w:rsid w:val="00706F2C"/>
    <w:rsid w:val="00715A51"/>
    <w:rsid w:val="00716EE0"/>
    <w:rsid w:val="007223C2"/>
    <w:rsid w:val="00730013"/>
    <w:rsid w:val="007339BD"/>
    <w:rsid w:val="00734DAC"/>
    <w:rsid w:val="0073542C"/>
    <w:rsid w:val="00736481"/>
    <w:rsid w:val="00737B8A"/>
    <w:rsid w:val="00740CC7"/>
    <w:rsid w:val="00741F8A"/>
    <w:rsid w:val="00741FBB"/>
    <w:rsid w:val="00741FF4"/>
    <w:rsid w:val="00745ED2"/>
    <w:rsid w:val="0074746C"/>
    <w:rsid w:val="00750D2B"/>
    <w:rsid w:val="00755278"/>
    <w:rsid w:val="00755A1D"/>
    <w:rsid w:val="007606A4"/>
    <w:rsid w:val="00760C0B"/>
    <w:rsid w:val="0076713B"/>
    <w:rsid w:val="00770F98"/>
    <w:rsid w:val="00771DEC"/>
    <w:rsid w:val="00773DBC"/>
    <w:rsid w:val="00775570"/>
    <w:rsid w:val="007757BD"/>
    <w:rsid w:val="00776F40"/>
    <w:rsid w:val="00781B83"/>
    <w:rsid w:val="0078487D"/>
    <w:rsid w:val="007859FB"/>
    <w:rsid w:val="00787CA1"/>
    <w:rsid w:val="00792D9B"/>
    <w:rsid w:val="007A0A06"/>
    <w:rsid w:val="007A3B76"/>
    <w:rsid w:val="007A4819"/>
    <w:rsid w:val="007A544C"/>
    <w:rsid w:val="007B7B59"/>
    <w:rsid w:val="007C1BE1"/>
    <w:rsid w:val="007C2D03"/>
    <w:rsid w:val="007C3B4E"/>
    <w:rsid w:val="007C652E"/>
    <w:rsid w:val="007D1061"/>
    <w:rsid w:val="007D5873"/>
    <w:rsid w:val="007D69E2"/>
    <w:rsid w:val="007D76B3"/>
    <w:rsid w:val="007E0587"/>
    <w:rsid w:val="007E177B"/>
    <w:rsid w:val="007E424E"/>
    <w:rsid w:val="007F08F5"/>
    <w:rsid w:val="007F6D40"/>
    <w:rsid w:val="007F6DB1"/>
    <w:rsid w:val="007F76EF"/>
    <w:rsid w:val="0080194A"/>
    <w:rsid w:val="008033C0"/>
    <w:rsid w:val="0080460E"/>
    <w:rsid w:val="00806143"/>
    <w:rsid w:val="00810FA6"/>
    <w:rsid w:val="00811A9F"/>
    <w:rsid w:val="00813B4B"/>
    <w:rsid w:val="008145A9"/>
    <w:rsid w:val="008159F9"/>
    <w:rsid w:val="00820318"/>
    <w:rsid w:val="00824539"/>
    <w:rsid w:val="00825658"/>
    <w:rsid w:val="00826456"/>
    <w:rsid w:val="00826E35"/>
    <w:rsid w:val="0082741A"/>
    <w:rsid w:val="00827B53"/>
    <w:rsid w:val="00840149"/>
    <w:rsid w:val="00841EAF"/>
    <w:rsid w:val="00843782"/>
    <w:rsid w:val="008452FB"/>
    <w:rsid w:val="008521FF"/>
    <w:rsid w:val="00856444"/>
    <w:rsid w:val="00857FB9"/>
    <w:rsid w:val="00861216"/>
    <w:rsid w:val="00867866"/>
    <w:rsid w:val="008678A9"/>
    <w:rsid w:val="00876816"/>
    <w:rsid w:val="00876FE6"/>
    <w:rsid w:val="008808C8"/>
    <w:rsid w:val="0088218B"/>
    <w:rsid w:val="0088238A"/>
    <w:rsid w:val="00892CE0"/>
    <w:rsid w:val="008958F3"/>
    <w:rsid w:val="00895A8B"/>
    <w:rsid w:val="00895C7B"/>
    <w:rsid w:val="008974F9"/>
    <w:rsid w:val="008A087B"/>
    <w:rsid w:val="008A2EDA"/>
    <w:rsid w:val="008A5D8B"/>
    <w:rsid w:val="008A64FB"/>
    <w:rsid w:val="008A69E9"/>
    <w:rsid w:val="008B4308"/>
    <w:rsid w:val="008B7E1B"/>
    <w:rsid w:val="008C1D2C"/>
    <w:rsid w:val="008C3301"/>
    <w:rsid w:val="008C462C"/>
    <w:rsid w:val="008C463D"/>
    <w:rsid w:val="008C7D3F"/>
    <w:rsid w:val="008D0995"/>
    <w:rsid w:val="008D152F"/>
    <w:rsid w:val="008D5FA7"/>
    <w:rsid w:val="008D6852"/>
    <w:rsid w:val="008D6F09"/>
    <w:rsid w:val="008E70A9"/>
    <w:rsid w:val="008F029D"/>
    <w:rsid w:val="008F32A6"/>
    <w:rsid w:val="008F5FF1"/>
    <w:rsid w:val="008F7933"/>
    <w:rsid w:val="009064BF"/>
    <w:rsid w:val="00906984"/>
    <w:rsid w:val="009101CF"/>
    <w:rsid w:val="00913B59"/>
    <w:rsid w:val="00915E0E"/>
    <w:rsid w:val="0092196A"/>
    <w:rsid w:val="00921E55"/>
    <w:rsid w:val="00923BF0"/>
    <w:rsid w:val="00925921"/>
    <w:rsid w:val="00931BE8"/>
    <w:rsid w:val="009324A7"/>
    <w:rsid w:val="009327A2"/>
    <w:rsid w:val="00934AC8"/>
    <w:rsid w:val="00936768"/>
    <w:rsid w:val="00942808"/>
    <w:rsid w:val="00944EA0"/>
    <w:rsid w:val="00945652"/>
    <w:rsid w:val="00946C35"/>
    <w:rsid w:val="009503C9"/>
    <w:rsid w:val="00952538"/>
    <w:rsid w:val="00954BF5"/>
    <w:rsid w:val="009566CF"/>
    <w:rsid w:val="00961F05"/>
    <w:rsid w:val="0096229B"/>
    <w:rsid w:val="00962ABC"/>
    <w:rsid w:val="00966DED"/>
    <w:rsid w:val="00967CBE"/>
    <w:rsid w:val="00970842"/>
    <w:rsid w:val="00973517"/>
    <w:rsid w:val="00973654"/>
    <w:rsid w:val="009755B9"/>
    <w:rsid w:val="00976ECA"/>
    <w:rsid w:val="00981111"/>
    <w:rsid w:val="00983F58"/>
    <w:rsid w:val="00986254"/>
    <w:rsid w:val="009865AF"/>
    <w:rsid w:val="009911B8"/>
    <w:rsid w:val="00991B82"/>
    <w:rsid w:val="00993A12"/>
    <w:rsid w:val="00994D20"/>
    <w:rsid w:val="00995F51"/>
    <w:rsid w:val="00995FEC"/>
    <w:rsid w:val="00997EDF"/>
    <w:rsid w:val="009A0CFE"/>
    <w:rsid w:val="009A0FBF"/>
    <w:rsid w:val="009A2A8B"/>
    <w:rsid w:val="009A404A"/>
    <w:rsid w:val="009A4AB5"/>
    <w:rsid w:val="009A6D4B"/>
    <w:rsid w:val="009A7396"/>
    <w:rsid w:val="009B1637"/>
    <w:rsid w:val="009B26DD"/>
    <w:rsid w:val="009C263F"/>
    <w:rsid w:val="009C4D7F"/>
    <w:rsid w:val="009C5D2E"/>
    <w:rsid w:val="009D0DD8"/>
    <w:rsid w:val="009D6C63"/>
    <w:rsid w:val="009D6E8F"/>
    <w:rsid w:val="009D6FCE"/>
    <w:rsid w:val="009E0DDD"/>
    <w:rsid w:val="009E5A40"/>
    <w:rsid w:val="009E713A"/>
    <w:rsid w:val="009F08A9"/>
    <w:rsid w:val="009F35E4"/>
    <w:rsid w:val="009F3A90"/>
    <w:rsid w:val="009F54EC"/>
    <w:rsid w:val="009F6B38"/>
    <w:rsid w:val="00A01F77"/>
    <w:rsid w:val="00A02FFB"/>
    <w:rsid w:val="00A048E2"/>
    <w:rsid w:val="00A04C9C"/>
    <w:rsid w:val="00A05A28"/>
    <w:rsid w:val="00A065C9"/>
    <w:rsid w:val="00A06814"/>
    <w:rsid w:val="00A06A8B"/>
    <w:rsid w:val="00A07D57"/>
    <w:rsid w:val="00A10218"/>
    <w:rsid w:val="00A1139E"/>
    <w:rsid w:val="00A218F4"/>
    <w:rsid w:val="00A21AAC"/>
    <w:rsid w:val="00A245B2"/>
    <w:rsid w:val="00A27D8E"/>
    <w:rsid w:val="00A308F5"/>
    <w:rsid w:val="00A3176C"/>
    <w:rsid w:val="00A31EFE"/>
    <w:rsid w:val="00A3491E"/>
    <w:rsid w:val="00A376CE"/>
    <w:rsid w:val="00A37ECB"/>
    <w:rsid w:val="00A40677"/>
    <w:rsid w:val="00A4164B"/>
    <w:rsid w:val="00A422C9"/>
    <w:rsid w:val="00A461A6"/>
    <w:rsid w:val="00A50140"/>
    <w:rsid w:val="00A515C5"/>
    <w:rsid w:val="00A540F6"/>
    <w:rsid w:val="00A56626"/>
    <w:rsid w:val="00A6092F"/>
    <w:rsid w:val="00A617E0"/>
    <w:rsid w:val="00A61E3B"/>
    <w:rsid w:val="00A63059"/>
    <w:rsid w:val="00A65585"/>
    <w:rsid w:val="00A662E0"/>
    <w:rsid w:val="00A666D9"/>
    <w:rsid w:val="00A71513"/>
    <w:rsid w:val="00A7244E"/>
    <w:rsid w:val="00A73C7D"/>
    <w:rsid w:val="00A74E34"/>
    <w:rsid w:val="00A801F2"/>
    <w:rsid w:val="00A83956"/>
    <w:rsid w:val="00A8413E"/>
    <w:rsid w:val="00A86C1F"/>
    <w:rsid w:val="00A90401"/>
    <w:rsid w:val="00A926D0"/>
    <w:rsid w:val="00A9679B"/>
    <w:rsid w:val="00A97335"/>
    <w:rsid w:val="00AA0AAC"/>
    <w:rsid w:val="00AA2022"/>
    <w:rsid w:val="00AA3130"/>
    <w:rsid w:val="00AA3320"/>
    <w:rsid w:val="00AA39EE"/>
    <w:rsid w:val="00AA3D32"/>
    <w:rsid w:val="00AA3E06"/>
    <w:rsid w:val="00AA5F37"/>
    <w:rsid w:val="00AA6C06"/>
    <w:rsid w:val="00AB3EC6"/>
    <w:rsid w:val="00AB6F52"/>
    <w:rsid w:val="00AB7C01"/>
    <w:rsid w:val="00AC2A70"/>
    <w:rsid w:val="00AC38EA"/>
    <w:rsid w:val="00AC5906"/>
    <w:rsid w:val="00AD17A0"/>
    <w:rsid w:val="00AD2BC2"/>
    <w:rsid w:val="00AD383D"/>
    <w:rsid w:val="00AD396B"/>
    <w:rsid w:val="00AD3E6F"/>
    <w:rsid w:val="00AE0695"/>
    <w:rsid w:val="00AE3C60"/>
    <w:rsid w:val="00AE3D34"/>
    <w:rsid w:val="00AE3DE4"/>
    <w:rsid w:val="00AE5C43"/>
    <w:rsid w:val="00AE5C70"/>
    <w:rsid w:val="00AF026D"/>
    <w:rsid w:val="00AF0409"/>
    <w:rsid w:val="00AF1804"/>
    <w:rsid w:val="00AF3415"/>
    <w:rsid w:val="00AF476B"/>
    <w:rsid w:val="00AF4B2A"/>
    <w:rsid w:val="00AF78A6"/>
    <w:rsid w:val="00B008B5"/>
    <w:rsid w:val="00B00D3F"/>
    <w:rsid w:val="00B01411"/>
    <w:rsid w:val="00B01E2D"/>
    <w:rsid w:val="00B0290D"/>
    <w:rsid w:val="00B02C99"/>
    <w:rsid w:val="00B02CBD"/>
    <w:rsid w:val="00B04A0A"/>
    <w:rsid w:val="00B07062"/>
    <w:rsid w:val="00B13930"/>
    <w:rsid w:val="00B17832"/>
    <w:rsid w:val="00B22D57"/>
    <w:rsid w:val="00B36183"/>
    <w:rsid w:val="00B434CB"/>
    <w:rsid w:val="00B43682"/>
    <w:rsid w:val="00B4462D"/>
    <w:rsid w:val="00B501ED"/>
    <w:rsid w:val="00B51E3A"/>
    <w:rsid w:val="00B54FA4"/>
    <w:rsid w:val="00B57021"/>
    <w:rsid w:val="00B60099"/>
    <w:rsid w:val="00B6157C"/>
    <w:rsid w:val="00B706D4"/>
    <w:rsid w:val="00B7203E"/>
    <w:rsid w:val="00B725CA"/>
    <w:rsid w:val="00B72891"/>
    <w:rsid w:val="00B75422"/>
    <w:rsid w:val="00B8113E"/>
    <w:rsid w:val="00B841DD"/>
    <w:rsid w:val="00B857DE"/>
    <w:rsid w:val="00B86DFA"/>
    <w:rsid w:val="00B8715F"/>
    <w:rsid w:val="00B92062"/>
    <w:rsid w:val="00B923F3"/>
    <w:rsid w:val="00B92F50"/>
    <w:rsid w:val="00B9445A"/>
    <w:rsid w:val="00B960D1"/>
    <w:rsid w:val="00BA5626"/>
    <w:rsid w:val="00BA6CEE"/>
    <w:rsid w:val="00BB0511"/>
    <w:rsid w:val="00BB287C"/>
    <w:rsid w:val="00BB385A"/>
    <w:rsid w:val="00BB452B"/>
    <w:rsid w:val="00BB5524"/>
    <w:rsid w:val="00BC271D"/>
    <w:rsid w:val="00BC2F86"/>
    <w:rsid w:val="00BC4501"/>
    <w:rsid w:val="00BC5AF0"/>
    <w:rsid w:val="00BC6BC5"/>
    <w:rsid w:val="00BC77CA"/>
    <w:rsid w:val="00BD24A9"/>
    <w:rsid w:val="00BD3D02"/>
    <w:rsid w:val="00BD695E"/>
    <w:rsid w:val="00BE067C"/>
    <w:rsid w:val="00BE0F04"/>
    <w:rsid w:val="00BE2B78"/>
    <w:rsid w:val="00BE3107"/>
    <w:rsid w:val="00BE3618"/>
    <w:rsid w:val="00BE3CE1"/>
    <w:rsid w:val="00BE6B0C"/>
    <w:rsid w:val="00BE6B25"/>
    <w:rsid w:val="00BF0020"/>
    <w:rsid w:val="00BF07AB"/>
    <w:rsid w:val="00BF198D"/>
    <w:rsid w:val="00C0732D"/>
    <w:rsid w:val="00C11EA0"/>
    <w:rsid w:val="00C14DE0"/>
    <w:rsid w:val="00C171B7"/>
    <w:rsid w:val="00C22169"/>
    <w:rsid w:val="00C23C40"/>
    <w:rsid w:val="00C44568"/>
    <w:rsid w:val="00C45D2A"/>
    <w:rsid w:val="00C464E8"/>
    <w:rsid w:val="00C5197D"/>
    <w:rsid w:val="00C51D46"/>
    <w:rsid w:val="00C53FA2"/>
    <w:rsid w:val="00C55514"/>
    <w:rsid w:val="00C56332"/>
    <w:rsid w:val="00C60854"/>
    <w:rsid w:val="00C60F61"/>
    <w:rsid w:val="00C635DB"/>
    <w:rsid w:val="00C65632"/>
    <w:rsid w:val="00C75049"/>
    <w:rsid w:val="00C750C8"/>
    <w:rsid w:val="00C77A06"/>
    <w:rsid w:val="00C828BC"/>
    <w:rsid w:val="00C86E42"/>
    <w:rsid w:val="00C900D4"/>
    <w:rsid w:val="00C90A65"/>
    <w:rsid w:val="00C90B85"/>
    <w:rsid w:val="00C92D46"/>
    <w:rsid w:val="00CA1D2A"/>
    <w:rsid w:val="00CA4C19"/>
    <w:rsid w:val="00CB32A3"/>
    <w:rsid w:val="00CC02E2"/>
    <w:rsid w:val="00CC0AC0"/>
    <w:rsid w:val="00CC396B"/>
    <w:rsid w:val="00CC5FB7"/>
    <w:rsid w:val="00CC6543"/>
    <w:rsid w:val="00CD23A8"/>
    <w:rsid w:val="00CD5814"/>
    <w:rsid w:val="00CD677B"/>
    <w:rsid w:val="00CD6A30"/>
    <w:rsid w:val="00CF21E0"/>
    <w:rsid w:val="00CF29BF"/>
    <w:rsid w:val="00CF2CD9"/>
    <w:rsid w:val="00CF4DE7"/>
    <w:rsid w:val="00CF5ECC"/>
    <w:rsid w:val="00CF6616"/>
    <w:rsid w:val="00D03E49"/>
    <w:rsid w:val="00D065B0"/>
    <w:rsid w:val="00D06BF5"/>
    <w:rsid w:val="00D12F55"/>
    <w:rsid w:val="00D16A18"/>
    <w:rsid w:val="00D17C68"/>
    <w:rsid w:val="00D26608"/>
    <w:rsid w:val="00D27334"/>
    <w:rsid w:val="00D300FE"/>
    <w:rsid w:val="00D308CD"/>
    <w:rsid w:val="00D31D7E"/>
    <w:rsid w:val="00D331F6"/>
    <w:rsid w:val="00D3367A"/>
    <w:rsid w:val="00D33BF3"/>
    <w:rsid w:val="00D4129F"/>
    <w:rsid w:val="00D42147"/>
    <w:rsid w:val="00D45481"/>
    <w:rsid w:val="00D4601B"/>
    <w:rsid w:val="00D468D2"/>
    <w:rsid w:val="00D46FE3"/>
    <w:rsid w:val="00D53DAB"/>
    <w:rsid w:val="00D60FDD"/>
    <w:rsid w:val="00D63A54"/>
    <w:rsid w:val="00D704C5"/>
    <w:rsid w:val="00D7593A"/>
    <w:rsid w:val="00D77E3D"/>
    <w:rsid w:val="00D80E96"/>
    <w:rsid w:val="00D91D24"/>
    <w:rsid w:val="00D922B2"/>
    <w:rsid w:val="00D948E4"/>
    <w:rsid w:val="00D971E9"/>
    <w:rsid w:val="00D97BF9"/>
    <w:rsid w:val="00DA125A"/>
    <w:rsid w:val="00DA13D6"/>
    <w:rsid w:val="00DA3A26"/>
    <w:rsid w:val="00DA6455"/>
    <w:rsid w:val="00DA6B2D"/>
    <w:rsid w:val="00DB01D7"/>
    <w:rsid w:val="00DB0A24"/>
    <w:rsid w:val="00DB119B"/>
    <w:rsid w:val="00DB6F45"/>
    <w:rsid w:val="00DB72EE"/>
    <w:rsid w:val="00DC5F63"/>
    <w:rsid w:val="00DD40EE"/>
    <w:rsid w:val="00DD6A93"/>
    <w:rsid w:val="00DD7096"/>
    <w:rsid w:val="00DE236E"/>
    <w:rsid w:val="00DE337D"/>
    <w:rsid w:val="00DE3F42"/>
    <w:rsid w:val="00DE65F5"/>
    <w:rsid w:val="00DE76A1"/>
    <w:rsid w:val="00DF2A12"/>
    <w:rsid w:val="00DF3BC1"/>
    <w:rsid w:val="00DF55B2"/>
    <w:rsid w:val="00DF5C66"/>
    <w:rsid w:val="00DF614E"/>
    <w:rsid w:val="00DF72D0"/>
    <w:rsid w:val="00DF7D0A"/>
    <w:rsid w:val="00E000EC"/>
    <w:rsid w:val="00E00234"/>
    <w:rsid w:val="00E00B27"/>
    <w:rsid w:val="00E025FC"/>
    <w:rsid w:val="00E07CAC"/>
    <w:rsid w:val="00E10A98"/>
    <w:rsid w:val="00E114A4"/>
    <w:rsid w:val="00E14BD1"/>
    <w:rsid w:val="00E162E7"/>
    <w:rsid w:val="00E2272D"/>
    <w:rsid w:val="00E23C5A"/>
    <w:rsid w:val="00E245A6"/>
    <w:rsid w:val="00E24E39"/>
    <w:rsid w:val="00E25932"/>
    <w:rsid w:val="00E261F3"/>
    <w:rsid w:val="00E324CC"/>
    <w:rsid w:val="00E34A43"/>
    <w:rsid w:val="00E40272"/>
    <w:rsid w:val="00E43EA5"/>
    <w:rsid w:val="00E45463"/>
    <w:rsid w:val="00E46584"/>
    <w:rsid w:val="00E5244D"/>
    <w:rsid w:val="00E52ECC"/>
    <w:rsid w:val="00E563BE"/>
    <w:rsid w:val="00E579AE"/>
    <w:rsid w:val="00E602F6"/>
    <w:rsid w:val="00E6106E"/>
    <w:rsid w:val="00E64D48"/>
    <w:rsid w:val="00E70398"/>
    <w:rsid w:val="00E759E4"/>
    <w:rsid w:val="00E77B85"/>
    <w:rsid w:val="00E80D84"/>
    <w:rsid w:val="00E85F0F"/>
    <w:rsid w:val="00E92D09"/>
    <w:rsid w:val="00E9396C"/>
    <w:rsid w:val="00E9455B"/>
    <w:rsid w:val="00E97C45"/>
    <w:rsid w:val="00EA1A37"/>
    <w:rsid w:val="00EA61B9"/>
    <w:rsid w:val="00EA7746"/>
    <w:rsid w:val="00EB025D"/>
    <w:rsid w:val="00EB6572"/>
    <w:rsid w:val="00EC0401"/>
    <w:rsid w:val="00EC3766"/>
    <w:rsid w:val="00EC37DD"/>
    <w:rsid w:val="00EC39A7"/>
    <w:rsid w:val="00EC3BAF"/>
    <w:rsid w:val="00ED2854"/>
    <w:rsid w:val="00ED2A21"/>
    <w:rsid w:val="00ED513C"/>
    <w:rsid w:val="00ED5B14"/>
    <w:rsid w:val="00ED5BED"/>
    <w:rsid w:val="00EE0485"/>
    <w:rsid w:val="00EE3FDA"/>
    <w:rsid w:val="00EE400E"/>
    <w:rsid w:val="00EE4C69"/>
    <w:rsid w:val="00EF32D5"/>
    <w:rsid w:val="00EF41A8"/>
    <w:rsid w:val="00EF4951"/>
    <w:rsid w:val="00EF5118"/>
    <w:rsid w:val="00F00AD0"/>
    <w:rsid w:val="00F02C95"/>
    <w:rsid w:val="00F0759E"/>
    <w:rsid w:val="00F07B56"/>
    <w:rsid w:val="00F13DD7"/>
    <w:rsid w:val="00F15EBF"/>
    <w:rsid w:val="00F205FE"/>
    <w:rsid w:val="00F21C94"/>
    <w:rsid w:val="00F23A43"/>
    <w:rsid w:val="00F25D8F"/>
    <w:rsid w:val="00F319C6"/>
    <w:rsid w:val="00F34017"/>
    <w:rsid w:val="00F3531F"/>
    <w:rsid w:val="00F374D2"/>
    <w:rsid w:val="00F41AAD"/>
    <w:rsid w:val="00F439FC"/>
    <w:rsid w:val="00F43F4A"/>
    <w:rsid w:val="00F4421B"/>
    <w:rsid w:val="00F45FE2"/>
    <w:rsid w:val="00F50A62"/>
    <w:rsid w:val="00F52C87"/>
    <w:rsid w:val="00F550F2"/>
    <w:rsid w:val="00F57886"/>
    <w:rsid w:val="00F64E64"/>
    <w:rsid w:val="00F6551F"/>
    <w:rsid w:val="00F65CDD"/>
    <w:rsid w:val="00F6668E"/>
    <w:rsid w:val="00F67CD5"/>
    <w:rsid w:val="00F70F4D"/>
    <w:rsid w:val="00F711BA"/>
    <w:rsid w:val="00F72857"/>
    <w:rsid w:val="00F73D61"/>
    <w:rsid w:val="00F74C83"/>
    <w:rsid w:val="00F76D0C"/>
    <w:rsid w:val="00F83B5E"/>
    <w:rsid w:val="00F849CA"/>
    <w:rsid w:val="00F9037E"/>
    <w:rsid w:val="00FA40AE"/>
    <w:rsid w:val="00FA4641"/>
    <w:rsid w:val="00FA79F5"/>
    <w:rsid w:val="00FB20D8"/>
    <w:rsid w:val="00FB6EC2"/>
    <w:rsid w:val="00FC300D"/>
    <w:rsid w:val="00FC6C60"/>
    <w:rsid w:val="00FC6E4B"/>
    <w:rsid w:val="00FD064C"/>
    <w:rsid w:val="00FD1B93"/>
    <w:rsid w:val="00FD2695"/>
    <w:rsid w:val="00FD41B7"/>
    <w:rsid w:val="00FD4B74"/>
    <w:rsid w:val="00FD5020"/>
    <w:rsid w:val="00FD69DA"/>
    <w:rsid w:val="00FE152F"/>
    <w:rsid w:val="00FE6775"/>
    <w:rsid w:val="00FF2220"/>
    <w:rsid w:val="00FF360F"/>
    <w:rsid w:val="00FF4900"/>
    <w:rsid w:val="00FF4CD3"/>
    <w:rsid w:val="00FF56BE"/>
    <w:rsid w:val="0301B154"/>
    <w:rsid w:val="114A10D5"/>
    <w:rsid w:val="38B6E4AE"/>
    <w:rsid w:val="3F596F60"/>
    <w:rsid w:val="73EA1E08"/>
    <w:rsid w:val="783E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21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69"/>
    <w:pPr>
      <w:spacing w:after="0"/>
    </w:pPr>
  </w:style>
  <w:style w:type="paragraph" w:styleId="Heading1">
    <w:name w:val="heading 1"/>
    <w:basedOn w:val="Normal"/>
    <w:next w:val="Normal"/>
    <w:link w:val="Heading1Char"/>
    <w:uiPriority w:val="9"/>
    <w:qFormat/>
    <w:rsid w:val="003377C2"/>
    <w:pPr>
      <w:pBdr>
        <w:top w:val="single" w:sz="24" w:space="1" w:color="auto"/>
        <w:left w:val="single" w:sz="24" w:space="4" w:color="auto"/>
        <w:bottom w:val="single" w:sz="24" w:space="1" w:color="auto"/>
        <w:right w:val="single" w:sz="24" w:space="4" w:color="auto"/>
      </w:pBdr>
      <w:spacing w:after="240"/>
      <w:jc w:val="center"/>
      <w:outlineLvl w:val="0"/>
    </w:pPr>
    <w:rPr>
      <w:b/>
      <w:bCs/>
      <w:sz w:val="28"/>
      <w:szCs w:val="28"/>
    </w:rPr>
  </w:style>
  <w:style w:type="paragraph" w:styleId="Heading2">
    <w:name w:val="heading 2"/>
    <w:basedOn w:val="Normal"/>
    <w:next w:val="Normal"/>
    <w:link w:val="Heading2Char"/>
    <w:uiPriority w:val="9"/>
    <w:unhideWhenUsed/>
    <w:qFormat/>
    <w:rsid w:val="00FF56BE"/>
    <w:pPr>
      <w:spacing w:before="240" w:after="240"/>
      <w:jc w:val="center"/>
      <w:outlineLvl w:val="1"/>
    </w:pPr>
    <w:rPr>
      <w:b/>
      <w:bCs/>
      <w:color w:val="auto"/>
      <w:sz w:val="36"/>
      <w:szCs w:val="32"/>
    </w:rPr>
  </w:style>
  <w:style w:type="paragraph" w:styleId="Heading3">
    <w:name w:val="heading 3"/>
    <w:basedOn w:val="Normal"/>
    <w:next w:val="Normal"/>
    <w:link w:val="Heading3Char"/>
    <w:uiPriority w:val="9"/>
    <w:unhideWhenUsed/>
    <w:qFormat/>
    <w:rsid w:val="00ED5B14"/>
    <w:pPr>
      <w:spacing w:before="480" w:after="240"/>
      <w:outlineLvl w:val="2"/>
    </w:pPr>
    <w:rPr>
      <w:b/>
      <w:bCs/>
      <w:sz w:val="32"/>
      <w:szCs w:val="32"/>
      <w:lang w:val="en"/>
    </w:rPr>
  </w:style>
  <w:style w:type="paragraph" w:styleId="Heading4">
    <w:name w:val="heading 4"/>
    <w:basedOn w:val="Normal"/>
    <w:next w:val="Normal"/>
    <w:link w:val="Heading4Char"/>
    <w:uiPriority w:val="9"/>
    <w:unhideWhenUsed/>
    <w:qFormat/>
    <w:rsid w:val="00ED5B14"/>
    <w:pPr>
      <w:keepNext/>
      <w:keepLines/>
      <w:spacing w:before="480" w:after="240"/>
      <w:outlineLvl w:val="3"/>
    </w:pPr>
    <w:rPr>
      <w:rFonts w:eastAsia="Arial"/>
      <w:b/>
      <w:sz w:val="28"/>
      <w:szCs w:val="28"/>
      <w:u w:color="000000"/>
      <w:bdr w:val="nil"/>
      <w:lang w:val="en"/>
    </w:rPr>
  </w:style>
  <w:style w:type="paragraph" w:styleId="Heading5">
    <w:name w:val="heading 5"/>
    <w:basedOn w:val="Heading4"/>
    <w:next w:val="Normal"/>
    <w:link w:val="Heading5Char"/>
    <w:uiPriority w:val="9"/>
    <w:unhideWhenUsed/>
    <w:qFormat/>
    <w:rsid w:val="00F64E64"/>
    <w:pPr>
      <w:keepNext w:val="0"/>
      <w:keepLines w:val="0"/>
      <w:outlineLvl w:val="4"/>
    </w:pPr>
    <w:rPr>
      <w:sz w:val="24"/>
      <w:szCs w:val="24"/>
    </w:rPr>
  </w:style>
  <w:style w:type="paragraph" w:styleId="Heading6">
    <w:name w:val="heading 6"/>
    <w:basedOn w:val="Normal"/>
    <w:next w:val="Normal"/>
    <w:link w:val="Heading6Char"/>
    <w:uiPriority w:val="9"/>
    <w:semiHidden/>
    <w:unhideWhenUsed/>
    <w:qFormat/>
    <w:rsid w:val="004837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37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37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37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E4C69"/>
    <w:rPr>
      <w:rFonts w:ascii="Arial" w:hAnsi="Arial"/>
      <w:b w:val="0"/>
      <w:i w:val="0"/>
      <w:color w:val="0000EE"/>
      <w:sz w:val="24"/>
      <w:u w:val="single"/>
    </w:rPr>
  </w:style>
  <w:style w:type="paragraph" w:styleId="FootnoteText">
    <w:name w:val="footnote text"/>
    <w:basedOn w:val="Normal"/>
    <w:link w:val="FootnoteTextChar"/>
    <w:uiPriority w:val="99"/>
    <w:unhideWhenUsed/>
    <w:qFormat/>
    <w:rsid w:val="00775570"/>
    <w:pPr>
      <w:keepLines/>
    </w:pPr>
    <w:rPr>
      <w:szCs w:val="20"/>
    </w:rPr>
  </w:style>
  <w:style w:type="character" w:customStyle="1" w:styleId="FootnoteTextChar">
    <w:name w:val="Footnote Text Char"/>
    <w:basedOn w:val="DefaultParagraphFont"/>
    <w:link w:val="FootnoteText"/>
    <w:uiPriority w:val="99"/>
    <w:rsid w:val="00775570"/>
    <w:rPr>
      <w:szCs w:val="20"/>
      <w:shd w:val="clear" w:color="auto" w:fill="FFFFFF" w:themeFill="background1"/>
    </w:rPr>
  </w:style>
  <w:style w:type="paragraph" w:customStyle="1" w:styleId="TableParagraph">
    <w:name w:val="Table Paragraph"/>
    <w:basedOn w:val="Normal"/>
    <w:uiPriority w:val="1"/>
    <w:qFormat/>
    <w:rsid w:val="00775570"/>
    <w:pPr>
      <w:widowControl w:val="0"/>
      <w:autoSpaceDE w:val="0"/>
      <w:autoSpaceDN w:val="0"/>
      <w:ind w:left="101" w:right="245"/>
    </w:pPr>
    <w:rPr>
      <w:szCs w:val="22"/>
      <w:lang w:bidi="en-US"/>
    </w:rPr>
  </w:style>
  <w:style w:type="paragraph" w:customStyle="1" w:styleId="Body">
    <w:name w:val="Body"/>
    <w:basedOn w:val="Normal"/>
    <w:qFormat/>
    <w:rsid w:val="0024679C"/>
    <w:pPr>
      <w:pBdr>
        <w:top w:val="nil"/>
        <w:left w:val="nil"/>
        <w:bottom w:val="nil"/>
        <w:right w:val="nil"/>
        <w:between w:val="nil"/>
        <w:bar w:val="nil"/>
      </w:pBdr>
      <w:spacing w:after="240"/>
    </w:pPr>
    <w:rPr>
      <w:rFonts w:eastAsia="Arial Unicode MS" w:cs="Arial Unicode MS"/>
      <w:u w:color="000000"/>
      <w14:textOutline w14:w="0" w14:cap="flat" w14:cmpd="sng" w14:algn="ctr">
        <w14:noFill/>
        <w14:prstDash w14:val="solid"/>
        <w14:bevel/>
      </w14:textOutline>
    </w:rPr>
  </w:style>
  <w:style w:type="paragraph" w:customStyle="1" w:styleId="Table">
    <w:name w:val="Table"/>
    <w:basedOn w:val="Normal"/>
    <w:link w:val="TableChar"/>
    <w:qFormat/>
    <w:rsid w:val="00775570"/>
    <w:rPr>
      <w:szCs w:val="22"/>
    </w:rPr>
  </w:style>
  <w:style w:type="character" w:customStyle="1" w:styleId="TableChar">
    <w:name w:val="Table Char"/>
    <w:basedOn w:val="DefaultParagraphFont"/>
    <w:link w:val="Table"/>
    <w:rsid w:val="00775570"/>
    <w:rPr>
      <w:szCs w:val="22"/>
      <w:shd w:val="clear" w:color="auto" w:fill="FFFFFF" w:themeFill="background1"/>
    </w:rPr>
  </w:style>
  <w:style w:type="character" w:customStyle="1" w:styleId="Heading1Char">
    <w:name w:val="Heading 1 Char"/>
    <w:basedOn w:val="DefaultParagraphFont"/>
    <w:link w:val="Heading1"/>
    <w:uiPriority w:val="9"/>
    <w:rsid w:val="003377C2"/>
    <w:rPr>
      <w:b/>
      <w:bCs/>
      <w:sz w:val="28"/>
      <w:szCs w:val="28"/>
    </w:rPr>
  </w:style>
  <w:style w:type="character" w:customStyle="1" w:styleId="Heading2Char">
    <w:name w:val="Heading 2 Char"/>
    <w:basedOn w:val="DefaultParagraphFont"/>
    <w:link w:val="Heading2"/>
    <w:uiPriority w:val="9"/>
    <w:rsid w:val="00FF56BE"/>
    <w:rPr>
      <w:b/>
      <w:bCs/>
      <w:color w:val="auto"/>
      <w:sz w:val="36"/>
      <w:szCs w:val="32"/>
    </w:rPr>
  </w:style>
  <w:style w:type="character" w:customStyle="1" w:styleId="Heading3Char">
    <w:name w:val="Heading 3 Char"/>
    <w:basedOn w:val="DefaultParagraphFont"/>
    <w:link w:val="Heading3"/>
    <w:uiPriority w:val="9"/>
    <w:rsid w:val="00ED5B14"/>
    <w:rPr>
      <w:b/>
      <w:bCs/>
      <w:sz w:val="32"/>
      <w:szCs w:val="32"/>
      <w:lang w:val="en"/>
    </w:rPr>
  </w:style>
  <w:style w:type="character" w:customStyle="1" w:styleId="Heading4Char">
    <w:name w:val="Heading 4 Char"/>
    <w:basedOn w:val="DefaultParagraphFont"/>
    <w:link w:val="Heading4"/>
    <w:uiPriority w:val="9"/>
    <w:rsid w:val="00ED5B14"/>
    <w:rPr>
      <w:rFonts w:eastAsia="Arial"/>
      <w:b/>
      <w:sz w:val="28"/>
      <w:szCs w:val="28"/>
      <w:u w:color="000000"/>
      <w:bdr w:val="nil"/>
      <w:lang w:val="en"/>
    </w:rPr>
  </w:style>
  <w:style w:type="character" w:customStyle="1" w:styleId="Heading5Char">
    <w:name w:val="Heading 5 Char"/>
    <w:basedOn w:val="DefaultParagraphFont"/>
    <w:link w:val="Heading5"/>
    <w:uiPriority w:val="9"/>
    <w:rsid w:val="00F64E64"/>
    <w:rPr>
      <w:rFonts w:eastAsia="Arial"/>
      <w:b/>
      <w:u w:color="000000"/>
      <w:bdr w:val="nil"/>
      <w:lang w:val="en"/>
    </w:rPr>
  </w:style>
  <w:style w:type="character" w:customStyle="1" w:styleId="Heading6Char">
    <w:name w:val="Heading 6 Char"/>
    <w:basedOn w:val="DefaultParagraphFont"/>
    <w:link w:val="Heading6"/>
    <w:uiPriority w:val="9"/>
    <w:semiHidden/>
    <w:rsid w:val="00483725"/>
    <w:rPr>
      <w:rFonts w:asciiTheme="minorHAnsi" w:eastAsiaTheme="majorEastAsia" w:hAnsiTheme="minorHAnsi" w:cstheme="majorBidi"/>
      <w:i/>
      <w:iCs/>
      <w:color w:val="595959" w:themeColor="text1" w:themeTint="A6"/>
      <w:shd w:val="clear" w:color="auto" w:fill="FFFFFF" w:themeFill="background1"/>
    </w:rPr>
  </w:style>
  <w:style w:type="character" w:customStyle="1" w:styleId="Heading7Char">
    <w:name w:val="Heading 7 Char"/>
    <w:basedOn w:val="DefaultParagraphFont"/>
    <w:link w:val="Heading7"/>
    <w:uiPriority w:val="9"/>
    <w:semiHidden/>
    <w:rsid w:val="00483725"/>
    <w:rPr>
      <w:rFonts w:asciiTheme="minorHAnsi" w:eastAsiaTheme="majorEastAsia" w:hAnsiTheme="minorHAnsi" w:cstheme="majorBidi"/>
      <w:color w:val="595959" w:themeColor="text1" w:themeTint="A6"/>
      <w:shd w:val="clear" w:color="auto" w:fill="FFFFFF" w:themeFill="background1"/>
    </w:rPr>
  </w:style>
  <w:style w:type="character" w:customStyle="1" w:styleId="Heading8Char">
    <w:name w:val="Heading 8 Char"/>
    <w:basedOn w:val="DefaultParagraphFont"/>
    <w:link w:val="Heading8"/>
    <w:uiPriority w:val="9"/>
    <w:semiHidden/>
    <w:rsid w:val="00483725"/>
    <w:rPr>
      <w:rFonts w:asciiTheme="minorHAnsi" w:eastAsiaTheme="majorEastAsia" w:hAnsiTheme="minorHAnsi" w:cstheme="majorBidi"/>
      <w:i/>
      <w:iCs/>
      <w:color w:val="272727" w:themeColor="text1" w:themeTint="D8"/>
      <w:shd w:val="clear" w:color="auto" w:fill="FFFFFF" w:themeFill="background1"/>
    </w:rPr>
  </w:style>
  <w:style w:type="character" w:customStyle="1" w:styleId="Heading9Char">
    <w:name w:val="Heading 9 Char"/>
    <w:basedOn w:val="DefaultParagraphFont"/>
    <w:link w:val="Heading9"/>
    <w:uiPriority w:val="9"/>
    <w:semiHidden/>
    <w:rsid w:val="00483725"/>
    <w:rPr>
      <w:rFonts w:asciiTheme="minorHAnsi" w:eastAsiaTheme="majorEastAsia" w:hAnsiTheme="minorHAnsi" w:cstheme="majorBidi"/>
      <w:color w:val="272727" w:themeColor="text1" w:themeTint="D8"/>
      <w:shd w:val="clear" w:color="auto" w:fill="FFFFFF" w:themeFill="background1"/>
    </w:rPr>
  </w:style>
  <w:style w:type="paragraph" w:styleId="Title">
    <w:name w:val="Title"/>
    <w:basedOn w:val="Normal"/>
    <w:next w:val="Normal"/>
    <w:link w:val="TitleChar"/>
    <w:uiPriority w:val="10"/>
    <w:qFormat/>
    <w:rsid w:val="0048372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3725"/>
    <w:rPr>
      <w:rFonts w:asciiTheme="majorHAnsi" w:eastAsiaTheme="majorEastAsia" w:hAnsiTheme="majorHAnsi" w:cstheme="majorBidi"/>
      <w:color w:val="auto"/>
      <w:spacing w:val="-10"/>
      <w:kern w:val="28"/>
      <w:sz w:val="56"/>
      <w:szCs w:val="56"/>
      <w:shd w:val="clear" w:color="auto" w:fill="FFFFFF" w:themeFill="background1"/>
    </w:rPr>
  </w:style>
  <w:style w:type="paragraph" w:styleId="Subtitle">
    <w:name w:val="Subtitle"/>
    <w:basedOn w:val="Normal"/>
    <w:next w:val="Normal"/>
    <w:link w:val="SubtitleChar"/>
    <w:uiPriority w:val="11"/>
    <w:qFormat/>
    <w:rsid w:val="004837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725"/>
    <w:rPr>
      <w:rFonts w:asciiTheme="minorHAnsi" w:eastAsiaTheme="majorEastAsia" w:hAnsiTheme="minorHAnsi" w:cstheme="majorBidi"/>
      <w:color w:val="595959" w:themeColor="text1" w:themeTint="A6"/>
      <w:spacing w:val="15"/>
      <w:sz w:val="28"/>
      <w:szCs w:val="28"/>
      <w:shd w:val="clear" w:color="auto" w:fill="FFFFFF" w:themeFill="background1"/>
    </w:rPr>
  </w:style>
  <w:style w:type="paragraph" w:styleId="Quote">
    <w:name w:val="Quote"/>
    <w:basedOn w:val="Normal"/>
    <w:next w:val="Normal"/>
    <w:link w:val="QuoteChar"/>
    <w:uiPriority w:val="29"/>
    <w:qFormat/>
    <w:rsid w:val="004837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3725"/>
    <w:rPr>
      <w:i/>
      <w:iCs/>
      <w:color w:val="404040" w:themeColor="text1" w:themeTint="BF"/>
      <w:shd w:val="clear" w:color="auto" w:fill="FFFFFF" w:themeFill="background1"/>
    </w:rPr>
  </w:style>
  <w:style w:type="paragraph" w:styleId="ListParagraph">
    <w:name w:val="List Paragraph"/>
    <w:basedOn w:val="Normal"/>
    <w:uiPriority w:val="34"/>
    <w:qFormat/>
    <w:rsid w:val="00483725"/>
    <w:pPr>
      <w:ind w:left="720"/>
      <w:contextualSpacing/>
    </w:pPr>
  </w:style>
  <w:style w:type="character" w:styleId="IntenseEmphasis">
    <w:name w:val="Intense Emphasis"/>
    <w:basedOn w:val="DefaultParagraphFont"/>
    <w:uiPriority w:val="21"/>
    <w:qFormat/>
    <w:rsid w:val="00483725"/>
    <w:rPr>
      <w:i/>
      <w:iCs/>
      <w:color w:val="0F4761" w:themeColor="accent1" w:themeShade="BF"/>
    </w:rPr>
  </w:style>
  <w:style w:type="paragraph" w:styleId="IntenseQuote">
    <w:name w:val="Intense Quote"/>
    <w:basedOn w:val="Normal"/>
    <w:next w:val="Normal"/>
    <w:link w:val="IntenseQuoteChar"/>
    <w:uiPriority w:val="30"/>
    <w:qFormat/>
    <w:rsid w:val="0048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725"/>
    <w:rPr>
      <w:i/>
      <w:iCs/>
      <w:color w:val="0F4761" w:themeColor="accent1" w:themeShade="BF"/>
      <w:shd w:val="clear" w:color="auto" w:fill="FFFFFF" w:themeFill="background1"/>
    </w:rPr>
  </w:style>
  <w:style w:type="character" w:styleId="IntenseReference">
    <w:name w:val="Intense Reference"/>
    <w:basedOn w:val="DefaultParagraphFont"/>
    <w:uiPriority w:val="32"/>
    <w:qFormat/>
    <w:rsid w:val="00483725"/>
    <w:rPr>
      <w:b/>
      <w:bCs/>
      <w:smallCaps/>
      <w:color w:val="0F4761" w:themeColor="accent1" w:themeShade="BF"/>
      <w:spacing w:val="5"/>
    </w:rPr>
  </w:style>
  <w:style w:type="character" w:styleId="UnresolvedMention">
    <w:name w:val="Unresolved Mention"/>
    <w:basedOn w:val="DefaultParagraphFont"/>
    <w:uiPriority w:val="99"/>
    <w:semiHidden/>
    <w:unhideWhenUsed/>
    <w:rsid w:val="00A218F4"/>
    <w:rPr>
      <w:color w:val="605E5C"/>
      <w:shd w:val="clear" w:color="auto" w:fill="E1DFDD"/>
    </w:rPr>
  </w:style>
  <w:style w:type="paragraph" w:styleId="Header">
    <w:name w:val="header"/>
    <w:basedOn w:val="Normal"/>
    <w:link w:val="HeaderChar"/>
    <w:uiPriority w:val="99"/>
    <w:unhideWhenUsed/>
    <w:rsid w:val="00FC6E4B"/>
    <w:pPr>
      <w:tabs>
        <w:tab w:val="center" w:pos="4680"/>
        <w:tab w:val="right" w:pos="9360"/>
      </w:tabs>
    </w:pPr>
  </w:style>
  <w:style w:type="character" w:customStyle="1" w:styleId="HeaderChar">
    <w:name w:val="Header Char"/>
    <w:basedOn w:val="DefaultParagraphFont"/>
    <w:link w:val="Header"/>
    <w:uiPriority w:val="99"/>
    <w:rsid w:val="00FC6E4B"/>
  </w:style>
  <w:style w:type="paragraph" w:styleId="Footer">
    <w:name w:val="footer"/>
    <w:basedOn w:val="Normal"/>
    <w:link w:val="FooterChar"/>
    <w:uiPriority w:val="99"/>
    <w:unhideWhenUsed/>
    <w:rsid w:val="00FC6E4B"/>
    <w:pPr>
      <w:tabs>
        <w:tab w:val="center" w:pos="4680"/>
        <w:tab w:val="right" w:pos="9360"/>
      </w:tabs>
    </w:pPr>
  </w:style>
  <w:style w:type="character" w:customStyle="1" w:styleId="FooterChar">
    <w:name w:val="Footer Char"/>
    <w:basedOn w:val="DefaultParagraphFont"/>
    <w:link w:val="Footer"/>
    <w:uiPriority w:val="99"/>
    <w:rsid w:val="00FC6E4B"/>
  </w:style>
  <w:style w:type="character" w:styleId="Strong">
    <w:name w:val="Strong"/>
    <w:basedOn w:val="DefaultParagraphFont"/>
    <w:uiPriority w:val="22"/>
    <w:qFormat/>
    <w:rsid w:val="000D308F"/>
    <w:rPr>
      <w:b/>
      <w:bCs/>
    </w:rPr>
  </w:style>
  <w:style w:type="paragraph" w:styleId="NormalWeb">
    <w:name w:val="Normal (Web)"/>
    <w:basedOn w:val="Normal"/>
    <w:uiPriority w:val="99"/>
    <w:unhideWhenUsed/>
    <w:rsid w:val="000D308F"/>
    <w:pPr>
      <w:spacing w:before="100" w:beforeAutospacing="1" w:after="100" w:afterAutospacing="1"/>
    </w:pPr>
    <w:rPr>
      <w:rFonts w:ascii="Times New Roman" w:eastAsia="Times New Roman" w:hAnsi="Times New Roman" w:cs="Times New Roman"/>
      <w:color w:val="auto"/>
    </w:rPr>
  </w:style>
  <w:style w:type="character" w:styleId="Emphasis">
    <w:name w:val="Emphasis"/>
    <w:basedOn w:val="DefaultParagraphFont"/>
    <w:uiPriority w:val="20"/>
    <w:qFormat/>
    <w:rsid w:val="005472C1"/>
    <w:rPr>
      <w:i/>
      <w:iCs/>
    </w:rPr>
  </w:style>
  <w:style w:type="character" w:styleId="FootnoteReference">
    <w:name w:val="footnote reference"/>
    <w:basedOn w:val="DefaultParagraphFont"/>
    <w:uiPriority w:val="99"/>
    <w:unhideWhenUsed/>
    <w:rsid w:val="004F4FB0"/>
    <w:rPr>
      <w:vertAlign w:val="superscript"/>
    </w:rPr>
  </w:style>
  <w:style w:type="character" w:styleId="SubtleEmphasis">
    <w:name w:val="Subtle Emphasis"/>
    <w:basedOn w:val="DefaultParagraphFont"/>
    <w:uiPriority w:val="19"/>
    <w:qFormat/>
    <w:rsid w:val="002E3AF6"/>
    <w:rPr>
      <w:i/>
      <w:iCs/>
      <w:color w:val="404040" w:themeColor="text1" w:themeTint="BF"/>
    </w:rPr>
  </w:style>
  <w:style w:type="table" w:styleId="TableGrid">
    <w:name w:val="Table Grid"/>
    <w:basedOn w:val="TableNormal"/>
    <w:uiPriority w:val="39"/>
    <w:rsid w:val="00517F8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link w:val="TableTitleChar"/>
    <w:qFormat/>
    <w:rsid w:val="00E759E4"/>
    <w:rPr>
      <w:b/>
      <w:bCs/>
      <w:color w:val="auto"/>
      <w:szCs w:val="22"/>
    </w:rPr>
  </w:style>
  <w:style w:type="character" w:customStyle="1" w:styleId="TableTitleChar">
    <w:name w:val="Table Title Char"/>
    <w:basedOn w:val="DefaultParagraphFont"/>
    <w:link w:val="TableTitle"/>
    <w:rsid w:val="00E759E4"/>
    <w:rPr>
      <w:b/>
      <w:bCs/>
      <w:color w:val="auto"/>
      <w:szCs w:val="22"/>
    </w:rPr>
  </w:style>
  <w:style w:type="paragraph" w:styleId="TOC2">
    <w:name w:val="toc 2"/>
    <w:basedOn w:val="Normal"/>
    <w:next w:val="Normal"/>
    <w:autoRedefine/>
    <w:uiPriority w:val="39"/>
    <w:unhideWhenUsed/>
    <w:rsid w:val="00405BF4"/>
    <w:pPr>
      <w:spacing w:after="100"/>
      <w:ind w:left="240"/>
    </w:pPr>
  </w:style>
  <w:style w:type="paragraph" w:styleId="TOC3">
    <w:name w:val="toc 3"/>
    <w:basedOn w:val="Normal"/>
    <w:next w:val="Normal"/>
    <w:autoRedefine/>
    <w:uiPriority w:val="39"/>
    <w:unhideWhenUsed/>
    <w:rsid w:val="00405BF4"/>
    <w:pPr>
      <w:spacing w:after="100"/>
      <w:ind w:left="480"/>
    </w:pPr>
  </w:style>
  <w:style w:type="paragraph" w:styleId="TOC4">
    <w:name w:val="toc 4"/>
    <w:basedOn w:val="Normal"/>
    <w:next w:val="Normal"/>
    <w:autoRedefine/>
    <w:uiPriority w:val="39"/>
    <w:unhideWhenUsed/>
    <w:rsid w:val="00405BF4"/>
    <w:pPr>
      <w:spacing w:after="100"/>
      <w:ind w:left="720"/>
    </w:pPr>
  </w:style>
  <w:style w:type="paragraph" w:styleId="TOC5">
    <w:name w:val="toc 5"/>
    <w:basedOn w:val="Normal"/>
    <w:next w:val="Normal"/>
    <w:autoRedefine/>
    <w:uiPriority w:val="39"/>
    <w:unhideWhenUsed/>
    <w:rsid w:val="00A245B2"/>
    <w:pPr>
      <w:spacing w:after="100"/>
      <w:ind w:left="960"/>
    </w:pPr>
  </w:style>
  <w:style w:type="paragraph" w:styleId="TOC6">
    <w:name w:val="toc 6"/>
    <w:basedOn w:val="Normal"/>
    <w:next w:val="Normal"/>
    <w:autoRedefine/>
    <w:uiPriority w:val="39"/>
    <w:unhideWhenUsed/>
    <w:rsid w:val="0011632B"/>
    <w:pPr>
      <w:spacing w:after="100"/>
      <w:ind w:left="1200"/>
    </w:pPr>
  </w:style>
  <w:style w:type="character" w:styleId="CommentReference">
    <w:name w:val="annotation reference"/>
    <w:basedOn w:val="DefaultParagraphFont"/>
    <w:uiPriority w:val="99"/>
    <w:semiHidden/>
    <w:unhideWhenUsed/>
    <w:rsid w:val="003377C2"/>
    <w:rPr>
      <w:sz w:val="16"/>
      <w:szCs w:val="16"/>
    </w:rPr>
  </w:style>
  <w:style w:type="paragraph" w:styleId="CommentText">
    <w:name w:val="annotation text"/>
    <w:basedOn w:val="Normal"/>
    <w:link w:val="CommentTextChar"/>
    <w:uiPriority w:val="99"/>
    <w:unhideWhenUsed/>
    <w:rsid w:val="003377C2"/>
    <w:rPr>
      <w:sz w:val="20"/>
      <w:szCs w:val="20"/>
    </w:rPr>
  </w:style>
  <w:style w:type="character" w:customStyle="1" w:styleId="CommentTextChar">
    <w:name w:val="Comment Text Char"/>
    <w:basedOn w:val="DefaultParagraphFont"/>
    <w:link w:val="CommentText"/>
    <w:uiPriority w:val="99"/>
    <w:rsid w:val="003377C2"/>
    <w:rPr>
      <w:sz w:val="20"/>
      <w:szCs w:val="20"/>
    </w:rPr>
  </w:style>
  <w:style w:type="paragraph" w:styleId="CommentSubject">
    <w:name w:val="annotation subject"/>
    <w:basedOn w:val="CommentText"/>
    <w:next w:val="CommentText"/>
    <w:link w:val="CommentSubjectChar"/>
    <w:uiPriority w:val="99"/>
    <w:semiHidden/>
    <w:unhideWhenUsed/>
    <w:rsid w:val="003377C2"/>
    <w:rPr>
      <w:b/>
      <w:bCs/>
    </w:rPr>
  </w:style>
  <w:style w:type="character" w:customStyle="1" w:styleId="CommentSubjectChar">
    <w:name w:val="Comment Subject Char"/>
    <w:basedOn w:val="CommentTextChar"/>
    <w:link w:val="CommentSubject"/>
    <w:uiPriority w:val="99"/>
    <w:semiHidden/>
    <w:rsid w:val="003377C2"/>
    <w:rPr>
      <w:b/>
      <w:bCs/>
      <w:sz w:val="20"/>
      <w:szCs w:val="20"/>
    </w:rPr>
  </w:style>
  <w:style w:type="paragraph" w:styleId="Revision">
    <w:name w:val="Revision"/>
    <w:hidden/>
    <w:uiPriority w:val="99"/>
    <w:semiHidden/>
    <w:rsid w:val="00C90B85"/>
    <w:pPr>
      <w:spacing w:after="0"/>
    </w:pPr>
  </w:style>
  <w:style w:type="paragraph" w:styleId="TOC1">
    <w:name w:val="toc 1"/>
    <w:basedOn w:val="Normal"/>
    <w:next w:val="Normal"/>
    <w:autoRedefine/>
    <w:uiPriority w:val="39"/>
    <w:unhideWhenUsed/>
    <w:rsid w:val="006E7B21"/>
    <w:pPr>
      <w:spacing w:after="100"/>
    </w:pPr>
  </w:style>
  <w:style w:type="character" w:styleId="Mention">
    <w:name w:val="Mention"/>
    <w:basedOn w:val="DefaultParagraphFont"/>
    <w:uiPriority w:val="99"/>
    <w:unhideWhenUsed/>
    <w:rsid w:val="00113D08"/>
    <w:rPr>
      <w:color w:val="2B579A"/>
      <w:shd w:val="clear" w:color="auto" w:fill="E1DFDD"/>
    </w:rPr>
  </w:style>
  <w:style w:type="character" w:styleId="FollowedHyperlink">
    <w:name w:val="FollowedHyperlink"/>
    <w:basedOn w:val="DefaultParagraphFont"/>
    <w:uiPriority w:val="99"/>
    <w:semiHidden/>
    <w:unhideWhenUsed/>
    <w:rsid w:val="00EE4C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8962">
      <w:bodyDiv w:val="1"/>
      <w:marLeft w:val="0"/>
      <w:marRight w:val="0"/>
      <w:marTop w:val="0"/>
      <w:marBottom w:val="0"/>
      <w:divBdr>
        <w:top w:val="none" w:sz="0" w:space="0" w:color="auto"/>
        <w:left w:val="none" w:sz="0" w:space="0" w:color="auto"/>
        <w:bottom w:val="none" w:sz="0" w:space="0" w:color="auto"/>
        <w:right w:val="none" w:sz="0" w:space="0" w:color="auto"/>
      </w:divBdr>
    </w:div>
    <w:div w:id="246381333">
      <w:bodyDiv w:val="1"/>
      <w:marLeft w:val="0"/>
      <w:marRight w:val="0"/>
      <w:marTop w:val="0"/>
      <w:marBottom w:val="0"/>
      <w:divBdr>
        <w:top w:val="none" w:sz="0" w:space="0" w:color="auto"/>
        <w:left w:val="none" w:sz="0" w:space="0" w:color="auto"/>
        <w:bottom w:val="none" w:sz="0" w:space="0" w:color="auto"/>
        <w:right w:val="none" w:sz="0" w:space="0" w:color="auto"/>
      </w:divBdr>
    </w:div>
    <w:div w:id="674261854">
      <w:bodyDiv w:val="1"/>
      <w:marLeft w:val="0"/>
      <w:marRight w:val="0"/>
      <w:marTop w:val="0"/>
      <w:marBottom w:val="0"/>
      <w:divBdr>
        <w:top w:val="none" w:sz="0" w:space="0" w:color="auto"/>
        <w:left w:val="none" w:sz="0" w:space="0" w:color="auto"/>
        <w:bottom w:val="none" w:sz="0" w:space="0" w:color="auto"/>
        <w:right w:val="none" w:sz="0" w:space="0" w:color="auto"/>
      </w:divBdr>
      <w:divsChild>
        <w:div w:id="574365255">
          <w:marLeft w:val="0"/>
          <w:marRight w:val="0"/>
          <w:marTop w:val="0"/>
          <w:marBottom w:val="0"/>
          <w:divBdr>
            <w:top w:val="none" w:sz="0" w:space="0" w:color="auto"/>
            <w:left w:val="none" w:sz="0" w:space="0" w:color="auto"/>
            <w:bottom w:val="none" w:sz="0" w:space="0" w:color="auto"/>
            <w:right w:val="none" w:sz="0" w:space="0" w:color="auto"/>
          </w:divBdr>
        </w:div>
      </w:divsChild>
    </w:div>
    <w:div w:id="1319263807">
      <w:bodyDiv w:val="1"/>
      <w:marLeft w:val="0"/>
      <w:marRight w:val="0"/>
      <w:marTop w:val="0"/>
      <w:marBottom w:val="0"/>
      <w:divBdr>
        <w:top w:val="none" w:sz="0" w:space="0" w:color="auto"/>
        <w:left w:val="none" w:sz="0" w:space="0" w:color="auto"/>
        <w:bottom w:val="none" w:sz="0" w:space="0" w:color="auto"/>
        <w:right w:val="none" w:sz="0" w:space="0" w:color="auto"/>
      </w:divBdr>
      <w:divsChild>
        <w:div w:id="1694914621">
          <w:marLeft w:val="0"/>
          <w:marRight w:val="0"/>
          <w:marTop w:val="0"/>
          <w:marBottom w:val="0"/>
          <w:divBdr>
            <w:top w:val="none" w:sz="0" w:space="0" w:color="auto"/>
            <w:left w:val="none" w:sz="0" w:space="0" w:color="auto"/>
            <w:bottom w:val="none" w:sz="0" w:space="0" w:color="auto"/>
            <w:right w:val="none" w:sz="0" w:space="0" w:color="auto"/>
          </w:divBdr>
          <w:divsChild>
            <w:div w:id="6341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2216">
      <w:bodyDiv w:val="1"/>
      <w:marLeft w:val="0"/>
      <w:marRight w:val="0"/>
      <w:marTop w:val="0"/>
      <w:marBottom w:val="0"/>
      <w:divBdr>
        <w:top w:val="none" w:sz="0" w:space="0" w:color="auto"/>
        <w:left w:val="none" w:sz="0" w:space="0" w:color="auto"/>
        <w:bottom w:val="none" w:sz="0" w:space="0" w:color="auto"/>
        <w:right w:val="none" w:sz="0" w:space="0" w:color="auto"/>
      </w:divBdr>
      <w:divsChild>
        <w:div w:id="881479794">
          <w:marLeft w:val="0"/>
          <w:marRight w:val="0"/>
          <w:marTop w:val="0"/>
          <w:marBottom w:val="0"/>
          <w:divBdr>
            <w:top w:val="none" w:sz="0" w:space="0" w:color="auto"/>
            <w:left w:val="none" w:sz="0" w:space="0" w:color="auto"/>
            <w:bottom w:val="none" w:sz="0" w:space="0" w:color="auto"/>
            <w:right w:val="none" w:sz="0" w:space="0" w:color="auto"/>
          </w:divBdr>
          <w:divsChild>
            <w:div w:id="355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4912">
      <w:bodyDiv w:val="1"/>
      <w:marLeft w:val="0"/>
      <w:marRight w:val="0"/>
      <w:marTop w:val="0"/>
      <w:marBottom w:val="0"/>
      <w:divBdr>
        <w:top w:val="none" w:sz="0" w:space="0" w:color="auto"/>
        <w:left w:val="none" w:sz="0" w:space="0" w:color="auto"/>
        <w:bottom w:val="none" w:sz="0" w:space="0" w:color="auto"/>
        <w:right w:val="none" w:sz="0" w:space="0" w:color="auto"/>
      </w:divBdr>
    </w:div>
    <w:div w:id="1726445876">
      <w:bodyDiv w:val="1"/>
      <w:marLeft w:val="0"/>
      <w:marRight w:val="0"/>
      <w:marTop w:val="0"/>
      <w:marBottom w:val="0"/>
      <w:divBdr>
        <w:top w:val="none" w:sz="0" w:space="0" w:color="auto"/>
        <w:left w:val="none" w:sz="0" w:space="0" w:color="auto"/>
        <w:bottom w:val="none" w:sz="0" w:space="0" w:color="auto"/>
        <w:right w:val="none" w:sz="0" w:space="0" w:color="auto"/>
      </w:divBdr>
    </w:div>
    <w:div w:id="1869486835">
      <w:bodyDiv w:val="1"/>
      <w:marLeft w:val="0"/>
      <w:marRight w:val="0"/>
      <w:marTop w:val="0"/>
      <w:marBottom w:val="0"/>
      <w:divBdr>
        <w:top w:val="none" w:sz="0" w:space="0" w:color="auto"/>
        <w:left w:val="none" w:sz="0" w:space="0" w:color="auto"/>
        <w:bottom w:val="none" w:sz="0" w:space="0" w:color="auto"/>
        <w:right w:val="none" w:sz="0" w:space="0" w:color="auto"/>
      </w:divBdr>
    </w:div>
    <w:div w:id="2106077152">
      <w:bodyDiv w:val="1"/>
      <w:marLeft w:val="0"/>
      <w:marRight w:val="0"/>
      <w:marTop w:val="0"/>
      <w:marBottom w:val="0"/>
      <w:divBdr>
        <w:top w:val="none" w:sz="0" w:space="0" w:color="auto"/>
        <w:left w:val="none" w:sz="0" w:space="0" w:color="auto"/>
        <w:bottom w:val="none" w:sz="0" w:space="0" w:color="auto"/>
        <w:right w:val="none" w:sz="0" w:space="0" w:color="auto"/>
      </w:divBdr>
    </w:div>
    <w:div w:id="21228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de.ca.gov/ci/pl/californiaserves.asp" TargetMode="External"/><Relationship Id="rId18" Type="http://schemas.openxmlformats.org/officeDocument/2006/relationships/hyperlink" Target="https://www.cde.ca.gov/ci/pl/californiaserves.asp" TargetMode="External"/><Relationship Id="rId3" Type="http://schemas.openxmlformats.org/officeDocument/2006/relationships/settings" Target="settings.xml"/><Relationship Id="rId21" Type="http://schemas.openxmlformats.org/officeDocument/2006/relationships/hyperlink" Target="https://www.cde.ca.gov/ci/pl/californiaserves.asp" TargetMode="External"/><Relationship Id="rId7" Type="http://schemas.openxmlformats.org/officeDocument/2006/relationships/image" Target="media/image1.png"/><Relationship Id="rId12" Type="http://schemas.openxmlformats.org/officeDocument/2006/relationships/hyperlink" Target="https://www.cde.ca.gov/ci/pl/hssstateseal.asp" TargetMode="External"/><Relationship Id="rId17" Type="http://schemas.openxmlformats.org/officeDocument/2006/relationships/hyperlink" Target="https://www.cde.ca.gov/ci/pl/californiaserves.asp" TargetMode="External"/><Relationship Id="rId2" Type="http://schemas.openxmlformats.org/officeDocument/2006/relationships/styles" Target="styles.xml"/><Relationship Id="rId16" Type="http://schemas.openxmlformats.org/officeDocument/2006/relationships/hyperlink" Target="https://www.cde.ca.gov/ci/pl/californiaserves.asp" TargetMode="External"/><Relationship Id="rId20" Type="http://schemas.openxmlformats.org/officeDocument/2006/relationships/hyperlink" Target="https://www.cde.ca.gov/ci/pl/californiaserve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mith@cde.ca.gov" TargetMode="External"/><Relationship Id="rId5" Type="http://schemas.openxmlformats.org/officeDocument/2006/relationships/footnotes" Target="footnotes.xml"/><Relationship Id="rId15" Type="http://schemas.openxmlformats.org/officeDocument/2006/relationships/hyperlink" Target="https://www.cde.ca.gov/ci/pl/californiaserves.asp" TargetMode="External"/><Relationship Id="rId23" Type="http://schemas.openxmlformats.org/officeDocument/2006/relationships/theme" Target="theme/theme1.xml"/><Relationship Id="rId10" Type="http://schemas.openxmlformats.org/officeDocument/2006/relationships/hyperlink" Target="https://www.cde.ca.gov/ci/pl/californiaserves.asp" TargetMode="External"/><Relationship Id="rId19" Type="http://schemas.openxmlformats.org/officeDocument/2006/relationships/hyperlink" Target="https://www.cde.ca.gov/ci/pl/californiaserves.as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de.ca.gov/ci/pl/caserveslegreport.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ci/pl/hssstateseal.asp" TargetMode="External"/><Relationship Id="rId2" Type="http://schemas.openxmlformats.org/officeDocument/2006/relationships/hyperlink" Target="https://www.cde.ca.gov/ci/pl/californiaserves.asp" TargetMode="External"/><Relationship Id="rId1" Type="http://schemas.openxmlformats.org/officeDocument/2006/relationships/hyperlink" Target="https://www.cde.ca.gov/ls/he/at/chks.asp" TargetMode="External"/><Relationship Id="rId5" Type="http://schemas.openxmlformats.org/officeDocument/2006/relationships/hyperlink" Target="https://www.cde.ca.gov/ci/pl/hssstateseal.asp" TargetMode="External"/><Relationship Id="rId4" Type="http://schemas.openxmlformats.org/officeDocument/2006/relationships/hyperlink" Target="https://www.cde.ca.gov/ci/pl/hssstatesea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13429</Words>
  <Characters>76551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California Serves Grant Legislative Report 2025 - Professional Learning (CA Dept of Education)</vt:lpstr>
    </vt:vector>
  </TitlesOfParts>
  <Company/>
  <LinksUpToDate>false</LinksUpToDate>
  <CharactersWithSpaces>89801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Serves Grant Legislative Report 2025 - Professional Learning (CA Dept of Education)</dc:title>
  <dc:subject>Implementation of the California Serves Grant 2025 report to the legislature. </dc:subject>
  <dc:creator/>
  <cp:keywords/>
  <dc:description/>
  <cp:lastModifiedBy/>
  <cp:revision>1</cp:revision>
  <dcterms:created xsi:type="dcterms:W3CDTF">2026-06-08T20:01:00Z</dcterms:created>
  <dcterms:modified xsi:type="dcterms:W3CDTF">2026-06-10T21:09:00Z</dcterms:modified>
</cp:coreProperties>
</file>