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737" w:rsidRDefault="004812F3">
      <w:pPr>
        <w:spacing w:after="240"/>
        <w:jc w:val="center"/>
        <w:rPr>
          <w:b/>
          <w:i w:val="0"/>
        </w:rPr>
      </w:pPr>
      <w:r>
        <w:rPr>
          <w:b/>
          <w:i w:val="0"/>
        </w:rPr>
        <w:t>This advisory recommendation has not been approved by the Instructional Quality Commission or the State Board of Education.</w:t>
      </w:r>
    </w:p>
    <w:p w:rsidR="00BD2737" w:rsidRDefault="004812F3">
      <w:pPr>
        <w:pStyle w:val="Heading1"/>
      </w:pPr>
      <w:r>
        <w:t>REVIEW PANEL ADVISORY RECOMMENDATION</w:t>
      </w:r>
      <w:r>
        <w:br/>
        <w:t>2018 SCIENCE ADOPTION OF INSTRUCTIONAL MATERIALS</w:t>
      </w:r>
    </w:p>
    <w:tbl>
      <w:tblPr>
        <w:tblStyle w:val="a"/>
        <w:tblW w:w="9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Publisher name, program name, and grade level(s)"/>
      </w:tblPr>
      <w:tblGrid>
        <w:gridCol w:w="3121"/>
        <w:gridCol w:w="3944"/>
        <w:gridCol w:w="2073"/>
      </w:tblGrid>
      <w:tr w:rsidR="00BD2737" w:rsidTr="00FB0C7E">
        <w:trPr>
          <w:cantSplit/>
          <w:trHeight w:val="420"/>
          <w:tblHeader/>
        </w:trPr>
        <w:tc>
          <w:tcPr>
            <w:tcW w:w="3122" w:type="dxa"/>
            <w:shd w:val="clear" w:color="auto" w:fill="D9D9D9"/>
          </w:tcPr>
          <w:p w:rsidR="00BD2737" w:rsidRDefault="004812F3">
            <w:pPr>
              <w:rPr>
                <w:b/>
                <w:i w:val="0"/>
                <w:color w:val="000000"/>
              </w:rPr>
            </w:pPr>
            <w:r>
              <w:rPr>
                <w:b/>
                <w:i w:val="0"/>
                <w:color w:val="000000"/>
              </w:rPr>
              <w:t>Publisher</w:t>
            </w:r>
          </w:p>
        </w:tc>
        <w:tc>
          <w:tcPr>
            <w:tcW w:w="3944" w:type="dxa"/>
            <w:shd w:val="clear" w:color="auto" w:fill="D9D9D9"/>
          </w:tcPr>
          <w:p w:rsidR="00BD2737" w:rsidRDefault="004812F3">
            <w:pPr>
              <w:rPr>
                <w:b/>
                <w:i w:val="0"/>
                <w:color w:val="000000"/>
              </w:rPr>
            </w:pPr>
            <w:r>
              <w:rPr>
                <w:b/>
                <w:i w:val="0"/>
                <w:color w:val="000000"/>
              </w:rPr>
              <w:t>Program</w:t>
            </w:r>
          </w:p>
        </w:tc>
        <w:tc>
          <w:tcPr>
            <w:tcW w:w="2073" w:type="dxa"/>
            <w:shd w:val="clear" w:color="auto" w:fill="D9D9D9"/>
          </w:tcPr>
          <w:p w:rsidR="00BD2737" w:rsidRDefault="004812F3">
            <w:pPr>
              <w:jc w:val="center"/>
              <w:rPr>
                <w:b/>
                <w:i w:val="0"/>
                <w:color w:val="000000"/>
              </w:rPr>
            </w:pPr>
            <w:r>
              <w:rPr>
                <w:b/>
                <w:i w:val="0"/>
                <w:color w:val="000000"/>
              </w:rPr>
              <w:t>Grade Level(s)</w:t>
            </w:r>
          </w:p>
        </w:tc>
      </w:tr>
      <w:tr w:rsidR="00BD2737" w:rsidTr="00FB0C7E">
        <w:trPr>
          <w:cantSplit/>
          <w:trHeight w:val="440"/>
        </w:trPr>
        <w:tc>
          <w:tcPr>
            <w:tcW w:w="3122" w:type="dxa"/>
          </w:tcPr>
          <w:p w:rsidR="00BD2737" w:rsidRDefault="004812F3">
            <w:pPr>
              <w:rPr>
                <w:i w:val="0"/>
              </w:rPr>
            </w:pPr>
            <w:r>
              <w:rPr>
                <w:i w:val="0"/>
              </w:rPr>
              <w:t>Great Minds LLC</w:t>
            </w:r>
          </w:p>
        </w:tc>
        <w:tc>
          <w:tcPr>
            <w:tcW w:w="3944" w:type="dxa"/>
          </w:tcPr>
          <w:p w:rsidR="00BD2737" w:rsidRDefault="004812F3">
            <w:r>
              <w:t>Great Minds Science</w:t>
            </w:r>
          </w:p>
        </w:tc>
        <w:tc>
          <w:tcPr>
            <w:tcW w:w="2073" w:type="dxa"/>
          </w:tcPr>
          <w:p w:rsidR="00BD2737" w:rsidRDefault="004812F3">
            <w:pPr>
              <w:jc w:val="center"/>
              <w:rPr>
                <w:i w:val="0"/>
              </w:rPr>
            </w:pPr>
            <w:r>
              <w:rPr>
                <w:i w:val="0"/>
              </w:rPr>
              <w:t>4</w:t>
            </w:r>
          </w:p>
        </w:tc>
      </w:tr>
    </w:tbl>
    <w:p w:rsidR="00BD2737" w:rsidRDefault="004812F3">
      <w:pPr>
        <w:pStyle w:val="Heading2"/>
      </w:pPr>
      <w:r>
        <w:t>Program Summary:</w:t>
      </w:r>
    </w:p>
    <w:p w:rsidR="00BD2737" w:rsidRDefault="004812F3">
      <w:pPr>
        <w:rPr>
          <w:rFonts w:ascii="Calibri" w:eastAsia="Calibri" w:hAnsi="Calibri" w:cs="Calibri"/>
          <w:i w:val="0"/>
          <w:sz w:val="22"/>
          <w:szCs w:val="22"/>
        </w:rPr>
      </w:pPr>
      <w:r>
        <w:t>Great Minds Science</w:t>
      </w:r>
      <w:r>
        <w:rPr>
          <w:i w:val="0"/>
        </w:rPr>
        <w:t xml:space="preserve"> includes: </w:t>
      </w:r>
      <w:r>
        <w:t>Teacher Editions (Modules 1-4)</w:t>
      </w:r>
      <w:r>
        <w:rPr>
          <w:rFonts w:ascii="Calibri" w:eastAsia="Calibri" w:hAnsi="Calibri" w:cs="Calibri"/>
          <w:i w:val="0"/>
          <w:sz w:val="22"/>
          <w:szCs w:val="22"/>
        </w:rPr>
        <w:t xml:space="preserve">, </w:t>
      </w:r>
      <w:r>
        <w:t>Student Edition Science Logbook Set (Modules 1-4)</w:t>
      </w:r>
      <w:r>
        <w:rPr>
          <w:rFonts w:ascii="Calibri" w:eastAsia="Calibri" w:hAnsi="Calibri" w:cs="Calibri"/>
          <w:i w:val="0"/>
          <w:sz w:val="22"/>
          <w:szCs w:val="22"/>
        </w:rPr>
        <w:t xml:space="preserve">, </w:t>
      </w:r>
      <w:r>
        <w:t>Science Teacher Online</w:t>
      </w:r>
      <w:r w:rsidR="00127B0D">
        <w:t xml:space="preserve"> Implementation Support Materials</w:t>
      </w:r>
      <w:r>
        <w:rPr>
          <w:i w:val="0"/>
        </w:rPr>
        <w:t>.</w:t>
      </w:r>
    </w:p>
    <w:p w:rsidR="00BD2737" w:rsidRDefault="004812F3">
      <w:pPr>
        <w:pStyle w:val="Heading2"/>
        <w:rPr>
          <w:b w:val="0"/>
          <w:i/>
          <w:color w:val="000000"/>
        </w:rPr>
      </w:pPr>
      <w:r>
        <w:t>Recommendation:</w:t>
      </w:r>
    </w:p>
    <w:p w:rsidR="00BD2737" w:rsidRDefault="004812F3">
      <w:pPr>
        <w:pBdr>
          <w:top w:val="nil"/>
          <w:left w:val="nil"/>
          <w:bottom w:val="nil"/>
          <w:right w:val="nil"/>
          <w:between w:val="nil"/>
        </w:pBdr>
        <w:tabs>
          <w:tab w:val="center" w:pos="4320"/>
          <w:tab w:val="right" w:pos="8640"/>
        </w:tabs>
        <w:spacing w:after="240"/>
        <w:rPr>
          <w:i w:val="0"/>
          <w:color w:val="000000"/>
        </w:rPr>
      </w:pPr>
      <w:r>
        <w:rPr>
          <w:color w:val="000000"/>
        </w:rPr>
        <w:t>Great Minds Science</w:t>
      </w:r>
      <w:r>
        <w:rPr>
          <w:i w:val="0"/>
          <w:color w:val="C00000"/>
        </w:rPr>
        <w:t xml:space="preserve"> </w:t>
      </w:r>
      <w:r>
        <w:rPr>
          <w:i w:val="0"/>
          <w:color w:val="000000"/>
        </w:rPr>
        <w:t>is recommended for adoption for 4</w:t>
      </w:r>
      <w:r>
        <w:rPr>
          <w:i w:val="0"/>
          <w:color w:val="FF0000"/>
        </w:rPr>
        <w:t xml:space="preserve"> </w:t>
      </w:r>
      <w:r>
        <w:rPr>
          <w:i w:val="0"/>
          <w:color w:val="000000"/>
        </w:rPr>
        <w:t xml:space="preserve">because the instructional materials include content as specified in the </w:t>
      </w:r>
      <w:r>
        <w:rPr>
          <w:color w:val="000000"/>
        </w:rPr>
        <w:t xml:space="preserve">Next Generation Science Standards for California Public Schools </w:t>
      </w:r>
      <w:r>
        <w:rPr>
          <w:i w:val="0"/>
          <w:color w:val="000000"/>
        </w:rPr>
        <w:t>(</w:t>
      </w:r>
      <w:r>
        <w:rPr>
          <w:color w:val="000000"/>
        </w:rPr>
        <w:t>CA NGSS</w:t>
      </w:r>
      <w:r>
        <w:rPr>
          <w:i w:val="0"/>
          <w:color w:val="000000"/>
        </w:rPr>
        <w:t>) and meet all the criteria in Category 1 with strengths in categories 2–5.</w:t>
      </w:r>
    </w:p>
    <w:p w:rsidR="00BD2737" w:rsidRDefault="004812F3">
      <w:pPr>
        <w:pStyle w:val="Heading2"/>
      </w:pPr>
      <w:r>
        <w:t>Criteria Category 1: Alignment with the CA NGSS Three-Dimensional Learning</w:t>
      </w:r>
    </w:p>
    <w:p w:rsidR="00BD2737" w:rsidRDefault="004812F3">
      <w:pPr>
        <w:pBdr>
          <w:top w:val="nil"/>
          <w:left w:val="nil"/>
          <w:bottom w:val="nil"/>
          <w:right w:val="nil"/>
          <w:between w:val="nil"/>
        </w:pBdr>
        <w:tabs>
          <w:tab w:val="center" w:pos="4320"/>
          <w:tab w:val="right" w:pos="8640"/>
        </w:tabs>
        <w:spacing w:after="240"/>
        <w:rPr>
          <w:i w:val="0"/>
          <w:color w:val="000000"/>
        </w:rPr>
      </w:pPr>
      <w:r>
        <w:rPr>
          <w:i w:val="0"/>
          <w:color w:val="000000"/>
        </w:rPr>
        <w:t xml:space="preserve">The program includes content as specified in the </w:t>
      </w:r>
      <w:r>
        <w:rPr>
          <w:color w:val="000000"/>
        </w:rPr>
        <w:t>CA NGSS</w:t>
      </w:r>
      <w:r>
        <w:rPr>
          <w:i w:val="0"/>
          <w:color w:val="000000"/>
        </w:rPr>
        <w:t xml:space="preserve"> and includes a well-defined sequence of instructional opportunities that provides a path for all students to become proficient in all grade-level performance expectations.</w:t>
      </w:r>
    </w:p>
    <w:p w:rsidR="00BD2737" w:rsidRDefault="004812F3">
      <w:pPr>
        <w:pBdr>
          <w:top w:val="nil"/>
          <w:left w:val="nil"/>
          <w:bottom w:val="nil"/>
          <w:right w:val="nil"/>
          <w:between w:val="nil"/>
        </w:pBdr>
        <w:tabs>
          <w:tab w:val="center" w:pos="4320"/>
          <w:tab w:val="right" w:pos="8640"/>
        </w:tabs>
        <w:spacing w:after="120"/>
        <w:ind w:left="720"/>
        <w:rPr>
          <w:b/>
          <w:i w:val="0"/>
          <w:color w:val="000000"/>
        </w:rPr>
      </w:pPr>
      <w:r>
        <w:rPr>
          <w:b/>
          <w:i w:val="0"/>
          <w:color w:val="000000"/>
        </w:rPr>
        <w:t>Citations: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#1: Grade</w:t>
      </w:r>
      <w:r>
        <w:rPr>
          <w:i w:val="0"/>
        </w:rPr>
        <w:t xml:space="preserve"> 4</w:t>
      </w:r>
      <w:r>
        <w:rPr>
          <w:i w:val="0"/>
          <w:color w:val="000000"/>
        </w:rPr>
        <w:t>, Module 2, TE, Less</w:t>
      </w:r>
      <w:r>
        <w:rPr>
          <w:i w:val="0"/>
        </w:rPr>
        <w:t xml:space="preserve">on </w:t>
      </w:r>
      <w:r>
        <w:rPr>
          <w:i w:val="0"/>
          <w:color w:val="000000"/>
        </w:rPr>
        <w:t xml:space="preserve">19, </w:t>
      </w:r>
      <w:r>
        <w:rPr>
          <w:i w:val="0"/>
        </w:rPr>
        <w:t xml:space="preserve">pp. </w:t>
      </w:r>
      <w:r>
        <w:rPr>
          <w:i w:val="0"/>
          <w:color w:val="000000"/>
        </w:rPr>
        <w:t>137–138</w:t>
      </w:r>
      <w:r>
        <w:rPr>
          <w:i w:val="0"/>
        </w:rPr>
        <w:t>;</w:t>
      </w:r>
      <w:r>
        <w:rPr>
          <w:i w:val="0"/>
          <w:color w:val="000000"/>
        </w:rPr>
        <w:t xml:space="preserve"> Grade 4, Mod</w:t>
      </w:r>
      <w:r>
        <w:rPr>
          <w:i w:val="0"/>
        </w:rPr>
        <w:t>ule 2, TE, Lesson 20, pp. 139-141. The program includes numerous exemplars of the standards being fully covered in grade 4.</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2</w:t>
      </w:r>
      <w:r>
        <w:rPr>
          <w:i w:val="0"/>
          <w:color w:val="000000"/>
        </w:rPr>
        <w:t xml:space="preserve">: </w:t>
      </w:r>
      <w:r>
        <w:rPr>
          <w:i w:val="0"/>
        </w:rPr>
        <w:t xml:space="preserve">Grade 4, Module 1, TE, Lesson 5, pp. 51-55; </w:t>
      </w:r>
      <w:r>
        <w:rPr>
          <w:i w:val="0"/>
          <w:color w:val="000000"/>
        </w:rPr>
        <w:t xml:space="preserve">Grade </w:t>
      </w:r>
      <w:r>
        <w:rPr>
          <w:i w:val="0"/>
        </w:rPr>
        <w:t>4</w:t>
      </w:r>
      <w:r>
        <w:rPr>
          <w:i w:val="0"/>
          <w:color w:val="000000"/>
        </w:rPr>
        <w:t>, Mod</w:t>
      </w:r>
      <w:r>
        <w:rPr>
          <w:i w:val="0"/>
        </w:rPr>
        <w:t>ule 1, TE, Lesson 13, pp. 102-103.</w:t>
      </w:r>
      <w:r>
        <w:rPr>
          <w:i w:val="0"/>
          <w:color w:val="000000"/>
        </w:rPr>
        <w:t xml:space="preserve"> </w:t>
      </w:r>
      <w:r>
        <w:rPr>
          <w:i w:val="0"/>
        </w:rPr>
        <w:t>Exemplars throughout the grade 4 program provide instructional resources to engage students in using text, discourse, and experiential learning to develop mastery of the three integrated dimensions of the CA NGSS: the SEPs, the CCCs, and the DCIs.</w:t>
      </w:r>
    </w:p>
    <w:p w:rsidR="00BD2737" w:rsidRPr="00426DFD"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7</w:t>
      </w:r>
      <w:r>
        <w:rPr>
          <w:i w:val="0"/>
          <w:color w:val="000000"/>
        </w:rPr>
        <w:t xml:space="preserve">: Grade </w:t>
      </w:r>
      <w:r>
        <w:rPr>
          <w:i w:val="0"/>
        </w:rPr>
        <w:t>4</w:t>
      </w:r>
      <w:r>
        <w:rPr>
          <w:i w:val="0"/>
          <w:color w:val="000000"/>
        </w:rPr>
        <w:t xml:space="preserve">, </w:t>
      </w:r>
      <w:r>
        <w:rPr>
          <w:i w:val="0"/>
        </w:rPr>
        <w:t>Module 4, TE, Lesson 1, p. 14; Module 4, TE, Lesson 10, p</w:t>
      </w:r>
      <w:r w:rsidR="00F43A4F">
        <w:rPr>
          <w:i w:val="0"/>
        </w:rPr>
        <w:t>.</w:t>
      </w:r>
      <w:r>
        <w:rPr>
          <w:i w:val="0"/>
        </w:rPr>
        <w:t xml:space="preserve"> 87. These are examples of how the publisher used </w:t>
      </w:r>
      <w:r w:rsidR="004F4D9C">
        <w:rPr>
          <w:i w:val="0"/>
        </w:rPr>
        <w:t xml:space="preserve">grade-level appropriate </w:t>
      </w:r>
      <w:r>
        <w:rPr>
          <w:i w:val="0"/>
        </w:rPr>
        <w:t>primary sources to integr</w:t>
      </w:r>
      <w:r w:rsidR="00A202A0">
        <w:rPr>
          <w:i w:val="0"/>
        </w:rPr>
        <w:t>ate three-dimensional learning.</w:t>
      </w:r>
    </w:p>
    <w:p w:rsidR="00426DFD" w:rsidRDefault="00426DFD" w:rsidP="00426DFD">
      <w:pPr>
        <w:pStyle w:val="ListParagraph"/>
        <w:pBdr>
          <w:top w:val="nil"/>
          <w:left w:val="nil"/>
          <w:bottom w:val="nil"/>
          <w:right w:val="nil"/>
          <w:between w:val="nil"/>
        </w:pBdr>
        <w:tabs>
          <w:tab w:val="center" w:pos="4320"/>
          <w:tab w:val="right" w:pos="8640"/>
        </w:tabs>
        <w:ind w:left="1440"/>
        <w:jc w:val="right"/>
        <w:rPr>
          <w:i w:val="0"/>
          <w:color w:val="000000"/>
        </w:rPr>
      </w:pPr>
      <w:r w:rsidRPr="00426DFD">
        <w:rPr>
          <w:i w:val="0"/>
          <w:color w:val="000000"/>
        </w:rPr>
        <w:fldChar w:fldCharType="begin"/>
      </w:r>
      <w:r w:rsidRPr="00426DFD">
        <w:rPr>
          <w:i w:val="0"/>
          <w:color w:val="000000"/>
        </w:rPr>
        <w:instrText>PAGE</w:instrText>
      </w:r>
      <w:r w:rsidRPr="00426DFD">
        <w:rPr>
          <w:i w:val="0"/>
          <w:color w:val="000000"/>
        </w:rPr>
        <w:fldChar w:fldCharType="separate"/>
      </w:r>
      <w:r w:rsidRPr="00426DFD">
        <w:rPr>
          <w:i w:val="0"/>
          <w:noProof/>
          <w:color w:val="000000"/>
        </w:rPr>
        <w:t>1</w:t>
      </w:r>
      <w:r w:rsidRPr="00426DFD">
        <w:rPr>
          <w:i w:val="0"/>
          <w:color w:val="000000"/>
        </w:rPr>
        <w:fldChar w:fldCharType="end"/>
      </w:r>
    </w:p>
    <w:p w:rsidR="00BD2737" w:rsidRDefault="004812F3">
      <w:pPr>
        <w:numPr>
          <w:ilvl w:val="0"/>
          <w:numId w:val="1"/>
        </w:numPr>
        <w:pBdr>
          <w:top w:val="nil"/>
          <w:left w:val="nil"/>
          <w:bottom w:val="nil"/>
          <w:right w:val="nil"/>
          <w:between w:val="nil"/>
        </w:pBdr>
        <w:tabs>
          <w:tab w:val="center" w:pos="4320"/>
          <w:tab w:val="right" w:pos="8640"/>
        </w:tabs>
        <w:spacing w:after="240"/>
        <w:rPr>
          <w:i w:val="0"/>
        </w:rPr>
      </w:pPr>
      <w:r>
        <w:rPr>
          <w:i w:val="0"/>
        </w:rPr>
        <w:lastRenderedPageBreak/>
        <w:t>Criterion #8: Grade 4, Module 3, TE, Lesson 1, pp. 17-24. Grade 4 materials are replete with instructional resources to introduce real-world phenomena and systems that students can investigate, model, and explain using the targeted DCIs and CCCs.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10</w:t>
      </w:r>
      <w:r>
        <w:rPr>
          <w:i w:val="0"/>
          <w:color w:val="000000"/>
        </w:rPr>
        <w:t xml:space="preserve">: Grade </w:t>
      </w:r>
      <w:r>
        <w:rPr>
          <w:i w:val="0"/>
        </w:rPr>
        <w:t>4</w:t>
      </w:r>
      <w:r>
        <w:rPr>
          <w:i w:val="0"/>
          <w:color w:val="000000"/>
        </w:rPr>
        <w:t>, Module 4, TE, Lesson 17</w:t>
      </w:r>
      <w:r>
        <w:rPr>
          <w:i w:val="0"/>
        </w:rPr>
        <w:t>, Side Note p. 130, Amelia Lost. The science curriculum is enriched with opportunities for students to access informational texts, literature, simulations and other media related to science and engineering, and it presents diverse examples of no</w:t>
      </w:r>
      <w:r w:rsidR="00A202A0">
        <w:rPr>
          <w:i w:val="0"/>
        </w:rPr>
        <w:t>table scientists and engineers.</w:t>
      </w:r>
    </w:p>
    <w:p w:rsidR="00BD2737" w:rsidRDefault="004812F3">
      <w:pPr>
        <w:pStyle w:val="Heading2"/>
      </w:pPr>
      <w:r>
        <w:t>Criteria Category 2: Program Organization</w:t>
      </w:r>
    </w:p>
    <w:p w:rsidR="00BD2737" w:rsidRDefault="004812F3">
      <w:pPr>
        <w:pBdr>
          <w:top w:val="nil"/>
          <w:left w:val="nil"/>
          <w:bottom w:val="nil"/>
          <w:right w:val="nil"/>
          <w:between w:val="nil"/>
        </w:pBdr>
        <w:tabs>
          <w:tab w:val="center" w:pos="4320"/>
          <w:tab w:val="right" w:pos="8640"/>
        </w:tabs>
        <w:spacing w:after="240"/>
        <w:rPr>
          <w:i w:val="0"/>
          <w:color w:val="000000"/>
        </w:rPr>
      </w:pPr>
      <w:r>
        <w:rPr>
          <w:i w:val="0"/>
          <w:color w:val="000000"/>
        </w:rPr>
        <w:t xml:space="preserve">The organization and features of the instructional materials support instruction and learning of the </w:t>
      </w:r>
      <w:r>
        <w:rPr>
          <w:color w:val="000000"/>
        </w:rPr>
        <w:t>CA NGSS</w:t>
      </w:r>
      <w:r>
        <w:rPr>
          <w:i w:val="0"/>
          <w:color w:val="000000"/>
        </w:rPr>
        <w:t>.</w:t>
      </w:r>
    </w:p>
    <w:p w:rsidR="00BD2737" w:rsidRDefault="004812F3">
      <w:pPr>
        <w:pBdr>
          <w:top w:val="nil"/>
          <w:left w:val="nil"/>
          <w:bottom w:val="nil"/>
          <w:right w:val="nil"/>
          <w:between w:val="nil"/>
        </w:pBdr>
        <w:tabs>
          <w:tab w:val="center" w:pos="4320"/>
          <w:tab w:val="right" w:pos="8640"/>
        </w:tabs>
        <w:spacing w:after="120"/>
        <w:ind w:left="720"/>
        <w:rPr>
          <w:b/>
          <w:i w:val="0"/>
          <w:color w:val="000000"/>
        </w:rPr>
      </w:pPr>
      <w:r>
        <w:rPr>
          <w:b/>
          <w:i w:val="0"/>
          <w:color w:val="000000"/>
        </w:rPr>
        <w:t>Citations: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1</w:t>
      </w:r>
      <w:r>
        <w:rPr>
          <w:i w:val="0"/>
          <w:color w:val="000000"/>
        </w:rPr>
        <w:t xml:space="preserve">: Grade </w:t>
      </w:r>
      <w:r>
        <w:rPr>
          <w:i w:val="0"/>
        </w:rPr>
        <w:t>4</w:t>
      </w:r>
      <w:r>
        <w:rPr>
          <w:i w:val="0"/>
          <w:color w:val="000000"/>
        </w:rPr>
        <w:t>, I</w:t>
      </w:r>
      <w:r>
        <w:rPr>
          <w:i w:val="0"/>
        </w:rPr>
        <w:t xml:space="preserve">mplementation Guide, Scope and Sequence, </w:t>
      </w:r>
      <w:r w:rsidRPr="00F43A4F">
        <w:rPr>
          <w:i w:val="0"/>
        </w:rPr>
        <w:t>https://cdn2.hubspot.net/hubfs/3454910/CaliforniaGMScienceIG.0.pdf?t=1531925300163</w:t>
      </w:r>
      <w:r>
        <w:rPr>
          <w:i w:val="0"/>
        </w:rPr>
        <w:t>; Module 1, TE, pp. 4-10, pp. 258-275.</w:t>
      </w:r>
      <w:r>
        <w:rPr>
          <w:i w:val="0"/>
          <w:color w:val="000000"/>
        </w:rPr>
        <w:t xml:space="preserve"> </w:t>
      </w:r>
      <w:r>
        <w:rPr>
          <w:i w:val="0"/>
        </w:rPr>
        <w:t>Sequential organization of the material provides structure concerning what students should learn each year and allows teachers to convey the science content incorporating the three-dimensional learning expressed in the CA NGSS.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4</w:t>
      </w:r>
      <w:r>
        <w:rPr>
          <w:i w:val="0"/>
          <w:color w:val="000000"/>
        </w:rPr>
        <w:t xml:space="preserve">: Grade </w:t>
      </w:r>
      <w:r>
        <w:rPr>
          <w:i w:val="0"/>
        </w:rPr>
        <w:t>4</w:t>
      </w:r>
      <w:r>
        <w:rPr>
          <w:i w:val="0"/>
          <w:color w:val="000000"/>
        </w:rPr>
        <w:t>, Implementation Guide</w:t>
      </w:r>
      <w:r>
        <w:rPr>
          <w:i w:val="0"/>
        </w:rPr>
        <w:t>, Supporting Diverse Learners, Instructional Routines, Speaking and Listening Supports</w:t>
      </w:r>
      <w:r w:rsidR="004F4D9C">
        <w:rPr>
          <w:i w:val="0"/>
        </w:rPr>
        <w:t>,</w:t>
      </w:r>
      <w:r>
        <w:rPr>
          <w:i w:val="0"/>
        </w:rPr>
        <w:t xml:space="preserve"> </w:t>
      </w:r>
      <w:r w:rsidR="004F4D9C" w:rsidRPr="00F43A4F">
        <w:rPr>
          <w:i w:val="0"/>
        </w:rPr>
        <w:t>https://cdn2.hubspot.net/hubfs/3454910/CaliforniaGMScienceIG.0.pdf?t=1531925300163</w:t>
      </w:r>
      <w:r>
        <w:rPr>
          <w:i w:val="0"/>
        </w:rPr>
        <w:t>; Grade 4, Module 1, TE, Lesson 9, Side Note, p. 78.</w:t>
      </w:r>
      <w:r>
        <w:rPr>
          <w:i w:val="0"/>
          <w:color w:val="000000"/>
        </w:rPr>
        <w:t xml:space="preserve"> </w:t>
      </w:r>
      <w:r>
        <w:rPr>
          <w:i w:val="0"/>
        </w:rPr>
        <w:t>Teacher resources provide support to engage students in three-dimensional learning and suggest research-based strategies to elicit student thinking and support student discourse.</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8</w:t>
      </w:r>
      <w:r>
        <w:rPr>
          <w:i w:val="0"/>
          <w:color w:val="000000"/>
        </w:rPr>
        <w:t xml:space="preserve">: Grade </w:t>
      </w:r>
      <w:r>
        <w:rPr>
          <w:i w:val="0"/>
        </w:rPr>
        <w:t>4</w:t>
      </w:r>
      <w:r>
        <w:rPr>
          <w:i w:val="0"/>
          <w:color w:val="000000"/>
        </w:rPr>
        <w:t>,</w:t>
      </w:r>
      <w:r>
        <w:rPr>
          <w:i w:val="0"/>
        </w:rPr>
        <w:t xml:space="preserve"> </w:t>
      </w:r>
      <w:r>
        <w:rPr>
          <w:i w:val="0"/>
          <w:color w:val="000000"/>
        </w:rPr>
        <w:t>M</w:t>
      </w:r>
      <w:r>
        <w:rPr>
          <w:i w:val="0"/>
        </w:rPr>
        <w:t>odule 3, TE, pp. 283-300. Topics within modules are selected for in-depth study and are developed through their role in explaining selected phenomena, chosen to support students in building the knowledge and abilities needed to achieve proficiency in a bundle of PEs.</w:t>
      </w:r>
    </w:p>
    <w:p w:rsidR="00E96825" w:rsidRDefault="004812F3">
      <w:pPr>
        <w:numPr>
          <w:ilvl w:val="0"/>
          <w:numId w:val="1"/>
        </w:numPr>
        <w:pBdr>
          <w:top w:val="nil"/>
          <w:left w:val="nil"/>
          <w:bottom w:val="nil"/>
          <w:right w:val="nil"/>
          <w:between w:val="nil"/>
        </w:pBdr>
        <w:tabs>
          <w:tab w:val="center" w:pos="4320"/>
          <w:tab w:val="right" w:pos="8640"/>
        </w:tabs>
        <w:spacing w:after="240"/>
        <w:rPr>
          <w:i w:val="0"/>
        </w:rPr>
      </w:pPr>
      <w:r>
        <w:rPr>
          <w:i w:val="0"/>
          <w:color w:val="000000"/>
        </w:rPr>
        <w:t>Criterion #</w:t>
      </w:r>
      <w:r>
        <w:rPr>
          <w:i w:val="0"/>
        </w:rPr>
        <w:t>14</w:t>
      </w:r>
      <w:r>
        <w:rPr>
          <w:i w:val="0"/>
          <w:color w:val="000000"/>
        </w:rPr>
        <w:t xml:space="preserve">: Grade </w:t>
      </w:r>
      <w:r>
        <w:rPr>
          <w:i w:val="0"/>
        </w:rPr>
        <w:t>4</w:t>
      </w:r>
      <w:r>
        <w:rPr>
          <w:i w:val="0"/>
          <w:color w:val="000000"/>
        </w:rPr>
        <w:t xml:space="preserve">, </w:t>
      </w:r>
      <w:r>
        <w:rPr>
          <w:i w:val="0"/>
        </w:rPr>
        <w:t>Module 4, TE, pp. 245-246. Student tasks (referred to in text as Engineering Challenges, Socratic Seminars and End-of-Module Assessments), including end-of-chapter or culminating problems and exercises, are three-dimensional in nature and build in complexity throughout the year.</w:t>
      </w:r>
    </w:p>
    <w:p w:rsidR="00BD2737" w:rsidRPr="00E96825" w:rsidRDefault="00E96825" w:rsidP="00E96825">
      <w:pPr>
        <w:rPr>
          <w:i w:val="0"/>
        </w:rPr>
      </w:pPr>
      <w:r>
        <w:rPr>
          <w:i w:val="0"/>
        </w:rPr>
        <w:br w:type="page"/>
      </w:r>
    </w:p>
    <w:p w:rsidR="00BD2737" w:rsidRDefault="004812F3">
      <w:pPr>
        <w:pStyle w:val="Heading2"/>
      </w:pPr>
      <w:r>
        <w:lastRenderedPageBreak/>
        <w:t>Criteria Category 3: Assessment</w:t>
      </w:r>
    </w:p>
    <w:p w:rsidR="00BD2737" w:rsidRDefault="004812F3">
      <w:pPr>
        <w:pBdr>
          <w:top w:val="nil"/>
          <w:left w:val="nil"/>
          <w:bottom w:val="nil"/>
          <w:right w:val="nil"/>
          <w:between w:val="nil"/>
        </w:pBdr>
        <w:tabs>
          <w:tab w:val="center" w:pos="4320"/>
          <w:tab w:val="right" w:pos="8640"/>
        </w:tabs>
        <w:spacing w:after="240"/>
        <w:rPr>
          <w:i w:val="0"/>
          <w:color w:val="000000"/>
        </w:rPr>
      </w:pPr>
      <w:r>
        <w:rPr>
          <w:i w:val="0"/>
          <w:color w:val="000000"/>
        </w:rPr>
        <w:t>The program</w:t>
      </w:r>
      <w:r>
        <w:rPr>
          <w:i w:val="0"/>
        </w:rPr>
        <w:t xml:space="preserve"> includes</w:t>
      </w:r>
      <w:r>
        <w:rPr>
          <w:color w:val="000000"/>
        </w:rPr>
        <w:t xml:space="preserve"> </w:t>
      </w:r>
      <w:r>
        <w:rPr>
          <w:i w:val="0"/>
          <w:color w:val="000000"/>
        </w:rPr>
        <w:t>multiple models of both formative and summative assessment tasks for measuring what students know and are able to do and prov</w:t>
      </w:r>
      <w:r>
        <w:rPr>
          <w:i w:val="0"/>
        </w:rPr>
        <w:t>ides</w:t>
      </w:r>
      <w:r>
        <w:rPr>
          <w:color w:val="000000"/>
        </w:rPr>
        <w:t xml:space="preserve"> </w:t>
      </w:r>
      <w:r>
        <w:rPr>
          <w:i w:val="0"/>
          <w:color w:val="000000"/>
        </w:rPr>
        <w:t>guidance for teachers on how to use scoring rubrics and interpret assessment results to guide instruction.</w:t>
      </w:r>
    </w:p>
    <w:p w:rsidR="00BD2737" w:rsidRDefault="004812F3">
      <w:pPr>
        <w:pBdr>
          <w:top w:val="nil"/>
          <w:left w:val="nil"/>
          <w:bottom w:val="nil"/>
          <w:right w:val="nil"/>
          <w:between w:val="nil"/>
        </w:pBdr>
        <w:tabs>
          <w:tab w:val="center" w:pos="4320"/>
          <w:tab w:val="right" w:pos="8640"/>
        </w:tabs>
        <w:spacing w:after="120"/>
        <w:ind w:left="720"/>
        <w:rPr>
          <w:b/>
          <w:i w:val="0"/>
          <w:color w:val="000000"/>
        </w:rPr>
      </w:pPr>
      <w:r>
        <w:rPr>
          <w:b/>
          <w:i w:val="0"/>
          <w:color w:val="000000"/>
        </w:rPr>
        <w:t>Citations: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2</w:t>
      </w:r>
      <w:r>
        <w:rPr>
          <w:i w:val="0"/>
          <w:color w:val="000000"/>
        </w:rPr>
        <w:t xml:space="preserve">: Grade </w:t>
      </w:r>
      <w:r>
        <w:rPr>
          <w:i w:val="0"/>
        </w:rPr>
        <w:t>4</w:t>
      </w:r>
      <w:r>
        <w:rPr>
          <w:i w:val="0"/>
          <w:color w:val="000000"/>
        </w:rPr>
        <w:t>,</w:t>
      </w:r>
      <w:r>
        <w:rPr>
          <w:i w:val="0"/>
        </w:rPr>
        <w:t xml:space="preserve"> Module 1, TE, Lesson 11, p. 95. Entry-level assessments are provided for each unit to help teachers elicit students’ prior knowledge and preconceptions and gauge their facility for using the SEPs and CCCs. Information is provided to teachers to help them use the results of those assessments to guide instruction and to determine modifications for specific </w:t>
      </w:r>
      <w:r w:rsidR="00A202A0">
        <w:rPr>
          <w:i w:val="0"/>
        </w:rPr>
        <w:t>students or groups of students.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5</w:t>
      </w:r>
      <w:r>
        <w:rPr>
          <w:i w:val="0"/>
          <w:color w:val="000000"/>
        </w:rPr>
        <w:t xml:space="preserve">: Grade </w:t>
      </w:r>
      <w:r>
        <w:rPr>
          <w:i w:val="0"/>
        </w:rPr>
        <w:t>4</w:t>
      </w:r>
      <w:r>
        <w:rPr>
          <w:i w:val="0"/>
          <w:color w:val="000000"/>
        </w:rPr>
        <w:t xml:space="preserve">, </w:t>
      </w:r>
      <w:r>
        <w:rPr>
          <w:i w:val="0"/>
        </w:rPr>
        <w:t>Module 4, TE, Lesson 13, p. 106; Grade 4, Module 4, TE, Lesson 24, p. 173</w:t>
      </w:r>
      <w:r>
        <w:rPr>
          <w:i w:val="0"/>
          <w:color w:val="000000"/>
        </w:rPr>
        <w:t>. Assessments yield information teachers</w:t>
      </w:r>
      <w:r>
        <w:rPr>
          <w:i w:val="0"/>
        </w:rPr>
        <w:t xml:space="preserve"> </w:t>
      </w:r>
      <w:r>
        <w:rPr>
          <w:i w:val="0"/>
          <w:color w:val="000000"/>
        </w:rPr>
        <w:t>can use in planning and modifying instruction to</w:t>
      </w:r>
      <w:r>
        <w:rPr>
          <w:i w:val="0"/>
        </w:rPr>
        <w:t xml:space="preserve"> </w:t>
      </w:r>
      <w:r>
        <w:rPr>
          <w:i w:val="0"/>
          <w:color w:val="000000"/>
        </w:rPr>
        <w:t>help all students meet or exceed the standards.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7</w:t>
      </w:r>
      <w:r>
        <w:rPr>
          <w:i w:val="0"/>
          <w:color w:val="000000"/>
        </w:rPr>
        <w:t xml:space="preserve">: Grade </w:t>
      </w:r>
      <w:r>
        <w:rPr>
          <w:i w:val="0"/>
        </w:rPr>
        <w:t>4</w:t>
      </w:r>
      <w:r>
        <w:rPr>
          <w:i w:val="0"/>
          <w:color w:val="000000"/>
        </w:rPr>
        <w:t>, Module 2, TE, p</w:t>
      </w:r>
      <w:r>
        <w:rPr>
          <w:i w:val="0"/>
        </w:rPr>
        <w:t xml:space="preserve">p. </w:t>
      </w:r>
      <w:r>
        <w:rPr>
          <w:i w:val="0"/>
          <w:color w:val="000000"/>
        </w:rPr>
        <w:t>160-164</w:t>
      </w:r>
      <w:r>
        <w:rPr>
          <w:i w:val="0"/>
        </w:rPr>
        <w:t>; Grade 4, Module 3, TE, pp. 228-240.</w:t>
      </w:r>
      <w:r>
        <w:rPr>
          <w:i w:val="0"/>
          <w:color w:val="000000"/>
        </w:rPr>
        <w:t xml:space="preserve"> Summative assessments provide</w:t>
      </w:r>
      <w:r>
        <w:rPr>
          <w:i w:val="0"/>
        </w:rPr>
        <w:t xml:space="preserve"> </w:t>
      </w:r>
      <w:r>
        <w:rPr>
          <w:i w:val="0"/>
          <w:color w:val="000000"/>
        </w:rPr>
        <w:t>valid, reliable and fair measures of students'</w:t>
      </w:r>
      <w:r>
        <w:rPr>
          <w:i w:val="0"/>
        </w:rPr>
        <w:t xml:space="preserve"> </w:t>
      </w:r>
      <w:r>
        <w:rPr>
          <w:i w:val="0"/>
          <w:color w:val="000000"/>
        </w:rPr>
        <w:t>progress and attainment of three-dimensional</w:t>
      </w:r>
      <w:r>
        <w:rPr>
          <w:i w:val="0"/>
        </w:rPr>
        <w:t xml:space="preserve"> </w:t>
      </w:r>
      <w:r>
        <w:rPr>
          <w:i w:val="0"/>
          <w:color w:val="000000"/>
        </w:rPr>
        <w:t xml:space="preserve">learning after a period of instruction </w:t>
      </w:r>
      <w:r>
        <w:rPr>
          <w:i w:val="0"/>
        </w:rPr>
        <w:t xml:space="preserve">and </w:t>
      </w:r>
      <w:r>
        <w:rPr>
          <w:i w:val="0"/>
          <w:color w:val="000000"/>
        </w:rPr>
        <w:t>involve multi-component tasks</w:t>
      </w:r>
      <w:r>
        <w:rPr>
          <w:i w:val="0"/>
        </w:rPr>
        <w:t>.</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 xml:space="preserve">Criterion </w:t>
      </w:r>
      <w:r>
        <w:rPr>
          <w:i w:val="0"/>
        </w:rPr>
        <w:t>#11</w:t>
      </w:r>
      <w:r>
        <w:rPr>
          <w:i w:val="0"/>
          <w:color w:val="000000"/>
        </w:rPr>
        <w:t xml:space="preserve">: Grade </w:t>
      </w:r>
      <w:r>
        <w:rPr>
          <w:i w:val="0"/>
        </w:rPr>
        <w:t>4</w:t>
      </w:r>
      <w:r>
        <w:rPr>
          <w:i w:val="0"/>
          <w:color w:val="000000"/>
        </w:rPr>
        <w:t xml:space="preserve">, </w:t>
      </w:r>
      <w:r>
        <w:rPr>
          <w:i w:val="0"/>
        </w:rPr>
        <w:t>Module 2, TE, p. 164. Assessment tools include guidance on measuring students’ ability to apply information literacy skills when obtaining and evaluating information about science topics.</w:t>
      </w:r>
    </w:p>
    <w:p w:rsidR="00BD2737" w:rsidRDefault="004812F3">
      <w:pPr>
        <w:pStyle w:val="Heading2"/>
      </w:pPr>
      <w:r>
        <w:t>Criteria Category 4: Access and Equity</w:t>
      </w:r>
    </w:p>
    <w:p w:rsidR="00BD2737" w:rsidRDefault="004812F3">
      <w:pPr>
        <w:pBdr>
          <w:top w:val="nil"/>
          <w:left w:val="nil"/>
          <w:bottom w:val="nil"/>
          <w:right w:val="nil"/>
          <w:between w:val="nil"/>
        </w:pBdr>
        <w:tabs>
          <w:tab w:val="center" w:pos="4320"/>
          <w:tab w:val="right" w:pos="8640"/>
        </w:tabs>
        <w:spacing w:after="240"/>
        <w:rPr>
          <w:color w:val="000000"/>
        </w:rPr>
      </w:pPr>
      <w:r>
        <w:rPr>
          <w:i w:val="0"/>
          <w:color w:val="000000"/>
        </w:rPr>
        <w:t>Program materials ensure universal and equitable access to high-quality curriculum and instruction for all students and provide</w:t>
      </w:r>
      <w:r>
        <w:rPr>
          <w:color w:val="000000"/>
        </w:rPr>
        <w:t xml:space="preserve"> </w:t>
      </w:r>
      <w:r>
        <w:rPr>
          <w:i w:val="0"/>
          <w:color w:val="000000"/>
        </w:rPr>
        <w:t>teachers with suggestions for differentiation for students with special needs.</w:t>
      </w:r>
    </w:p>
    <w:p w:rsidR="00BD2737" w:rsidRDefault="004812F3">
      <w:pPr>
        <w:pBdr>
          <w:top w:val="nil"/>
          <w:left w:val="nil"/>
          <w:bottom w:val="nil"/>
          <w:right w:val="nil"/>
          <w:between w:val="nil"/>
        </w:pBdr>
        <w:tabs>
          <w:tab w:val="center" w:pos="4320"/>
          <w:tab w:val="right" w:pos="8640"/>
        </w:tabs>
        <w:spacing w:after="120"/>
        <w:ind w:left="720"/>
        <w:rPr>
          <w:color w:val="000000"/>
        </w:rPr>
      </w:pPr>
      <w:r>
        <w:rPr>
          <w:b/>
          <w:i w:val="0"/>
          <w:color w:val="000000"/>
        </w:rPr>
        <w:t>Citations: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1</w:t>
      </w:r>
      <w:r>
        <w:rPr>
          <w:i w:val="0"/>
          <w:color w:val="000000"/>
        </w:rPr>
        <w:t>: Grade</w:t>
      </w:r>
      <w:r>
        <w:rPr>
          <w:i w:val="0"/>
        </w:rPr>
        <w:t xml:space="preserve"> 4, Module 3, TE, Lesson 11, p. 95. The instructional resources throughout the program reflect the goals of access and equity outlined in Chapter 10 of the </w:t>
      </w:r>
      <w:r>
        <w:t>CA Science Framework</w:t>
      </w:r>
      <w:r>
        <w:rPr>
          <w:i w:val="0"/>
        </w:rPr>
        <w:t>.</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2</w:t>
      </w:r>
      <w:r>
        <w:rPr>
          <w:i w:val="0"/>
          <w:color w:val="000000"/>
        </w:rPr>
        <w:t xml:space="preserve">: Grade </w:t>
      </w:r>
      <w:r>
        <w:rPr>
          <w:i w:val="0"/>
        </w:rPr>
        <w:t xml:space="preserve">4, Implementation Guide, English Language Development, Supporting Diverse Learners, </w:t>
      </w:r>
      <w:r w:rsidRPr="00F43A4F">
        <w:rPr>
          <w:i w:val="0"/>
        </w:rPr>
        <w:t>https://cdn2.hubspot.net/hubfs/3454910/CaliforniaGMScienceIG.0.pdf?t=1531925300163</w:t>
      </w:r>
      <w:r>
        <w:rPr>
          <w:i w:val="0"/>
        </w:rPr>
        <w:t xml:space="preserve">; Grade 4, Module 4, TE, Lesson 2, Side Note, p. 25. Lessons and teacher resources include research-based strategies to </w:t>
      </w:r>
      <w:r>
        <w:rPr>
          <w:i w:val="0"/>
        </w:rPr>
        <w:lastRenderedPageBreak/>
        <w:t>address the needs of English learners consistent with the CA ELD Standards.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3</w:t>
      </w:r>
      <w:r>
        <w:rPr>
          <w:i w:val="0"/>
          <w:color w:val="000000"/>
        </w:rPr>
        <w:t xml:space="preserve">: Grade </w:t>
      </w:r>
      <w:r>
        <w:rPr>
          <w:i w:val="0"/>
        </w:rPr>
        <w:t xml:space="preserve">4, Implementation Guide, Supporting Diverse Learners, </w:t>
      </w:r>
      <w:r w:rsidRPr="00F43A4F">
        <w:rPr>
          <w:i w:val="0"/>
        </w:rPr>
        <w:t>https://cdn2.hubspot.net/hubfs/3454910/CaliforniaGMScienceIG.0.pdf?t=1531925300163</w:t>
      </w:r>
      <w:r>
        <w:rPr>
          <w:i w:val="0"/>
        </w:rPr>
        <w:t>; Module 2, TE, Lesson 8, Side Note, p. 89. Instructional resources incorporate instructional strategies to address the needs of students with disabilities in lessons, assessments, and teacher resources, as appropriate.</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4</w:t>
      </w:r>
      <w:r>
        <w:rPr>
          <w:i w:val="0"/>
          <w:color w:val="000000"/>
        </w:rPr>
        <w:t>: Grade</w:t>
      </w:r>
      <w:r>
        <w:rPr>
          <w:i w:val="0"/>
        </w:rPr>
        <w:t xml:space="preserve"> 4, Module 1, TE, Lesson 2, pp. 24, 26, 27. </w:t>
      </w:r>
      <w:r w:rsidR="004F4D9C">
        <w:rPr>
          <w:i w:val="0"/>
        </w:rPr>
        <w:t>The program the following t</w:t>
      </w:r>
      <w:r>
        <w:rPr>
          <w:i w:val="0"/>
        </w:rPr>
        <w:t xml:space="preserve">eacher resources </w:t>
      </w:r>
      <w:r w:rsidR="004F4D9C">
        <w:rPr>
          <w:i w:val="0"/>
        </w:rPr>
        <w:t xml:space="preserve">that </w:t>
      </w:r>
      <w:r>
        <w:rPr>
          <w:i w:val="0"/>
        </w:rPr>
        <w:t>supply a differentiated path for all students</w:t>
      </w:r>
      <w:r w:rsidR="004F4D9C">
        <w:rPr>
          <w:i w:val="0"/>
        </w:rPr>
        <w:t>:</w:t>
      </w:r>
      <w:r>
        <w:rPr>
          <w:i w:val="0"/>
        </w:rPr>
        <w:t xml:space="preserve"> Implementation Guides, Support for Diverse Learners, Support for English Language Development and Formative Assessment Opportunities. In particular, instructional resources provide guidance to support students with special needs, including standard English learners, English learners, long term English learners, students living in poverty, foster youth, girls and young women, advanced learners, students with disabilities and students below grade level in science skills, three-dimensional learning, literacy </w:t>
      </w:r>
      <w:r w:rsidR="00F43A4F">
        <w:rPr>
          <w:i w:val="0"/>
        </w:rPr>
        <w:t>skills, or mathematics skills.</w:t>
      </w:r>
    </w:p>
    <w:p w:rsidR="00BD2737" w:rsidRDefault="004812F3">
      <w:pPr>
        <w:pStyle w:val="Heading2"/>
      </w:pPr>
      <w:r>
        <w:t>Criteria Category 5: Instructional Planning and Support</w:t>
      </w:r>
    </w:p>
    <w:p w:rsidR="00BD2737" w:rsidRDefault="004812F3">
      <w:pPr>
        <w:pBdr>
          <w:top w:val="nil"/>
          <w:left w:val="nil"/>
          <w:bottom w:val="nil"/>
          <w:right w:val="nil"/>
          <w:between w:val="nil"/>
        </w:pBdr>
        <w:tabs>
          <w:tab w:val="center" w:pos="4320"/>
          <w:tab w:val="right" w:pos="8640"/>
        </w:tabs>
        <w:spacing w:after="240"/>
        <w:rPr>
          <w:i w:val="0"/>
          <w:color w:val="000000"/>
        </w:rPr>
      </w:pPr>
      <w:r>
        <w:rPr>
          <w:i w:val="0"/>
          <w:color w:val="000000"/>
        </w:rPr>
        <w:t>The instructional materials provide</w:t>
      </w:r>
      <w:r>
        <w:rPr>
          <w:color w:val="000000"/>
        </w:rPr>
        <w:t xml:space="preserve"> </w:t>
      </w:r>
      <w:r>
        <w:rPr>
          <w:i w:val="0"/>
          <w:color w:val="000000"/>
        </w:rPr>
        <w:t>coherent guidelines for teachers to follow when planning three-dimensional instruction and are</w:t>
      </w:r>
      <w:r>
        <w:rPr>
          <w:color w:val="000000"/>
        </w:rPr>
        <w:t xml:space="preserve"> </w:t>
      </w:r>
      <w:r>
        <w:rPr>
          <w:i w:val="0"/>
          <w:color w:val="000000"/>
        </w:rPr>
        <w:t>designed to help teachers provide effective standards-based instruction.</w:t>
      </w:r>
    </w:p>
    <w:p w:rsidR="00BD2737" w:rsidRDefault="004812F3">
      <w:pPr>
        <w:pBdr>
          <w:top w:val="nil"/>
          <w:left w:val="nil"/>
          <w:bottom w:val="nil"/>
          <w:right w:val="nil"/>
          <w:between w:val="nil"/>
        </w:pBdr>
        <w:tabs>
          <w:tab w:val="center" w:pos="4320"/>
          <w:tab w:val="right" w:pos="8640"/>
        </w:tabs>
        <w:spacing w:after="120"/>
        <w:ind w:left="720"/>
        <w:rPr>
          <w:b/>
          <w:i w:val="0"/>
          <w:color w:val="000000"/>
        </w:rPr>
      </w:pPr>
      <w:r>
        <w:rPr>
          <w:b/>
          <w:i w:val="0"/>
          <w:color w:val="000000"/>
        </w:rPr>
        <w:t>Citations: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2</w:t>
      </w:r>
      <w:r>
        <w:rPr>
          <w:i w:val="0"/>
          <w:color w:val="000000"/>
        </w:rPr>
        <w:t xml:space="preserve">: Grade </w:t>
      </w:r>
      <w:r>
        <w:rPr>
          <w:i w:val="0"/>
        </w:rPr>
        <w:t>4</w:t>
      </w:r>
      <w:r>
        <w:rPr>
          <w:i w:val="0"/>
          <w:color w:val="000000"/>
        </w:rPr>
        <w:t xml:space="preserve">, </w:t>
      </w:r>
      <w:r>
        <w:rPr>
          <w:i w:val="0"/>
        </w:rPr>
        <w:t xml:space="preserve">Implementation Guide, Product Components, Learning Design, Scope and Sequence, </w:t>
      </w:r>
      <w:r w:rsidRPr="00F43A4F">
        <w:rPr>
          <w:i w:val="0"/>
        </w:rPr>
        <w:t>https://cdn2.hubspot.net/hubfs/3454910/CaliforniaGMScienceIG.0.pdf?t=1531925300163</w:t>
      </w:r>
      <w:r>
        <w:rPr>
          <w:i w:val="0"/>
        </w:rPr>
        <w:t>; Module 4, TE, Lesson 1, p. 14</w:t>
      </w:r>
      <w:r>
        <w:rPr>
          <w:i w:val="0"/>
          <w:color w:val="000000"/>
        </w:rPr>
        <w:t>. The teacher resources provide an estimated</w:t>
      </w:r>
      <w:r>
        <w:rPr>
          <w:i w:val="0"/>
        </w:rPr>
        <w:t xml:space="preserve"> </w:t>
      </w:r>
      <w:r>
        <w:rPr>
          <w:i w:val="0"/>
          <w:color w:val="000000"/>
        </w:rPr>
        <w:t>instructional time for each activity, lesson, chapter,</w:t>
      </w:r>
      <w:r>
        <w:rPr>
          <w:i w:val="0"/>
        </w:rPr>
        <w:t xml:space="preserve"> </w:t>
      </w:r>
      <w:r>
        <w:rPr>
          <w:i w:val="0"/>
          <w:color w:val="000000"/>
        </w:rPr>
        <w:t>and unit which allows for student engagement in</w:t>
      </w:r>
      <w:r>
        <w:rPr>
          <w:i w:val="0"/>
        </w:rPr>
        <w:t xml:space="preserve"> </w:t>
      </w:r>
      <w:r>
        <w:rPr>
          <w:i w:val="0"/>
          <w:color w:val="000000"/>
        </w:rPr>
        <w:t>the SEPs and engineering design projects.</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 xml:space="preserve">Criterion #6: Grade </w:t>
      </w:r>
      <w:r>
        <w:rPr>
          <w:i w:val="0"/>
        </w:rPr>
        <w:t>4</w:t>
      </w:r>
      <w:r>
        <w:rPr>
          <w:i w:val="0"/>
          <w:color w:val="000000"/>
        </w:rPr>
        <w:t>, M</w:t>
      </w:r>
      <w:r>
        <w:rPr>
          <w:i w:val="0"/>
        </w:rPr>
        <w:t>odule 4, TE, pp. 185-191; Grade 4, Module 4, Science Logbook, Lesson 22, p. 59.</w:t>
      </w:r>
      <w:r>
        <w:rPr>
          <w:i w:val="0"/>
          <w:color w:val="000000"/>
        </w:rPr>
        <w:t xml:space="preserve"> </w:t>
      </w:r>
      <w:r>
        <w:rPr>
          <w:i w:val="0"/>
        </w:rPr>
        <w:t>Suggested student tasks including classroom activities, end-of chapter tasks, suggested out-of-school activities, and assessment tasks are supported with guidance for the teacher on how to implement and, where appropriate, grade the task. Assessment keys and rubrics are provided.</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17</w:t>
      </w:r>
      <w:r>
        <w:rPr>
          <w:i w:val="0"/>
          <w:color w:val="000000"/>
        </w:rPr>
        <w:t xml:space="preserve">: Grade </w:t>
      </w:r>
      <w:r>
        <w:rPr>
          <w:i w:val="0"/>
        </w:rPr>
        <w:t>4</w:t>
      </w:r>
      <w:r>
        <w:rPr>
          <w:i w:val="0"/>
          <w:color w:val="000000"/>
        </w:rPr>
        <w:t xml:space="preserve">, </w:t>
      </w:r>
      <w:r>
        <w:rPr>
          <w:i w:val="0"/>
        </w:rPr>
        <w:t xml:space="preserve">Module 3, TE, Lesson 10, p. 90. Suggested homework extends and reinforces classroom instruction. The homework </w:t>
      </w:r>
      <w:r>
        <w:rPr>
          <w:i w:val="0"/>
        </w:rPr>
        <w:lastRenderedPageBreak/>
        <w:t>provides opportunities to support student learning through shared experiences with family. Opportunities include projects, journaling, reflection, or interviews with parents around a concept or activity.</w:t>
      </w:r>
    </w:p>
    <w:p w:rsidR="00BD2737" w:rsidRDefault="004812F3">
      <w:pPr>
        <w:numPr>
          <w:ilvl w:val="0"/>
          <w:numId w:val="1"/>
        </w:numPr>
        <w:pBdr>
          <w:top w:val="nil"/>
          <w:left w:val="nil"/>
          <w:bottom w:val="nil"/>
          <w:right w:val="nil"/>
          <w:between w:val="nil"/>
        </w:pBdr>
        <w:tabs>
          <w:tab w:val="center" w:pos="4320"/>
          <w:tab w:val="right" w:pos="8640"/>
        </w:tabs>
        <w:spacing w:after="240"/>
        <w:rPr>
          <w:i w:val="0"/>
          <w:color w:val="000000"/>
        </w:rPr>
      </w:pPr>
      <w:r>
        <w:rPr>
          <w:i w:val="0"/>
          <w:color w:val="000000"/>
        </w:rPr>
        <w:t>Criterion #</w:t>
      </w:r>
      <w:r>
        <w:rPr>
          <w:i w:val="0"/>
        </w:rPr>
        <w:t>21</w:t>
      </w:r>
      <w:r>
        <w:rPr>
          <w:i w:val="0"/>
          <w:color w:val="000000"/>
        </w:rPr>
        <w:t xml:space="preserve">: Grade </w:t>
      </w:r>
      <w:r>
        <w:rPr>
          <w:i w:val="0"/>
        </w:rPr>
        <w:t>4</w:t>
      </w:r>
      <w:r>
        <w:rPr>
          <w:i w:val="0"/>
          <w:color w:val="000000"/>
        </w:rPr>
        <w:t xml:space="preserve">, </w:t>
      </w:r>
      <w:r>
        <w:rPr>
          <w:i w:val="0"/>
        </w:rPr>
        <w:t xml:space="preserve">Implementation Guide, English Language Development, Supporting Diverse Learners, Instructional Routines, Speaking and Listening Supports, Socratic Seminar Resource. </w:t>
      </w:r>
      <w:r w:rsidRPr="00F43A4F">
        <w:rPr>
          <w:i w:val="0"/>
        </w:rPr>
        <w:t>https://cdn2.hubspot.net/hubfs/3454910/CaliforniaGMScienceIG.0.pdf?t=1531925300163</w:t>
      </w:r>
      <w:r>
        <w:rPr>
          <w:i w:val="0"/>
          <w:color w:val="000000"/>
        </w:rPr>
        <w:t xml:space="preserve">. </w:t>
      </w:r>
      <w:r>
        <w:rPr>
          <w:i w:val="0"/>
        </w:rPr>
        <w:t>The teacher resources provide guidance and support for engaging students in collaborative conversations using grade level appropriate academic vocabulary for scientific discourse.</w:t>
      </w:r>
    </w:p>
    <w:p w:rsidR="00BD2737" w:rsidRDefault="004812F3">
      <w:pPr>
        <w:pStyle w:val="Heading2"/>
        <w:rPr>
          <w:b w:val="0"/>
          <w:i/>
          <w:color w:val="000000"/>
        </w:rPr>
      </w:pPr>
      <w:r>
        <w:t>Edits and Corrections:</w:t>
      </w:r>
    </w:p>
    <w:p w:rsidR="00BD2737" w:rsidRDefault="004812F3">
      <w:pPr>
        <w:pBdr>
          <w:top w:val="nil"/>
          <w:left w:val="nil"/>
          <w:bottom w:val="nil"/>
          <w:right w:val="nil"/>
          <w:between w:val="nil"/>
        </w:pBdr>
        <w:tabs>
          <w:tab w:val="center" w:pos="4320"/>
          <w:tab w:val="right" w:pos="8640"/>
        </w:tabs>
        <w:spacing w:after="240"/>
        <w:rPr>
          <w:color w:val="000000"/>
        </w:rPr>
      </w:pPr>
      <w:r>
        <w:rPr>
          <w:i w:val="0"/>
          <w:color w:val="000000"/>
        </w:rPr>
        <w:t>The following edits and corrections must be made as a condition of adoption:</w:t>
      </w:r>
    </w:p>
    <w:tbl>
      <w:tblPr>
        <w:tblStyle w:val="a0"/>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Description w:val="table of edits and corrections"/>
      </w:tblPr>
      <w:tblGrid>
        <w:gridCol w:w="432"/>
        <w:gridCol w:w="884"/>
        <w:gridCol w:w="1457"/>
        <w:gridCol w:w="1350"/>
        <w:gridCol w:w="2162"/>
        <w:gridCol w:w="2198"/>
        <w:gridCol w:w="1615"/>
      </w:tblGrid>
      <w:tr w:rsidR="00BD2737" w:rsidTr="00FB0C7E">
        <w:trPr>
          <w:cantSplit/>
          <w:tblHeader/>
        </w:trPr>
        <w:tc>
          <w:tcPr>
            <w:tcW w:w="432" w:type="dxa"/>
          </w:tcPr>
          <w:p w:rsidR="00BD2737" w:rsidRDefault="004812F3">
            <w:pPr>
              <w:pBdr>
                <w:top w:val="nil"/>
                <w:left w:val="nil"/>
                <w:bottom w:val="nil"/>
                <w:right w:val="nil"/>
                <w:between w:val="nil"/>
              </w:pBdr>
              <w:tabs>
                <w:tab w:val="center" w:pos="4320"/>
                <w:tab w:val="right" w:pos="8640"/>
              </w:tabs>
              <w:jc w:val="center"/>
              <w:rPr>
                <w:i w:val="0"/>
                <w:color w:val="000000"/>
              </w:rPr>
            </w:pPr>
            <w:r>
              <w:rPr>
                <w:i w:val="0"/>
                <w:color w:val="000000"/>
              </w:rPr>
              <w:t>#</w:t>
            </w:r>
          </w:p>
        </w:tc>
        <w:tc>
          <w:tcPr>
            <w:tcW w:w="884" w:type="dxa"/>
          </w:tcPr>
          <w:p w:rsidR="00BD2737" w:rsidRDefault="004812F3">
            <w:pPr>
              <w:pBdr>
                <w:top w:val="nil"/>
                <w:left w:val="nil"/>
                <w:bottom w:val="nil"/>
                <w:right w:val="nil"/>
                <w:between w:val="nil"/>
              </w:pBdr>
              <w:tabs>
                <w:tab w:val="center" w:pos="4320"/>
                <w:tab w:val="right" w:pos="8640"/>
              </w:tabs>
              <w:jc w:val="center"/>
              <w:rPr>
                <w:i w:val="0"/>
                <w:color w:val="000000"/>
              </w:rPr>
            </w:pPr>
            <w:r>
              <w:rPr>
                <w:i w:val="0"/>
                <w:color w:val="000000"/>
              </w:rPr>
              <w:t>Grade Level</w:t>
            </w:r>
          </w:p>
        </w:tc>
        <w:tc>
          <w:tcPr>
            <w:tcW w:w="1457" w:type="dxa"/>
          </w:tcPr>
          <w:p w:rsidR="00BD2737" w:rsidRDefault="004812F3">
            <w:pPr>
              <w:pBdr>
                <w:top w:val="nil"/>
                <w:left w:val="nil"/>
                <w:bottom w:val="nil"/>
                <w:right w:val="nil"/>
                <w:between w:val="nil"/>
              </w:pBdr>
              <w:tabs>
                <w:tab w:val="center" w:pos="4320"/>
                <w:tab w:val="right" w:pos="8640"/>
              </w:tabs>
              <w:jc w:val="center"/>
              <w:rPr>
                <w:i w:val="0"/>
                <w:color w:val="000000"/>
              </w:rPr>
            </w:pPr>
            <w:r>
              <w:rPr>
                <w:i w:val="0"/>
                <w:color w:val="000000"/>
              </w:rPr>
              <w:t>Component</w:t>
            </w:r>
          </w:p>
        </w:tc>
        <w:tc>
          <w:tcPr>
            <w:tcW w:w="1350" w:type="dxa"/>
          </w:tcPr>
          <w:p w:rsidR="00BD2737" w:rsidRDefault="004812F3">
            <w:pPr>
              <w:pBdr>
                <w:top w:val="nil"/>
                <w:left w:val="nil"/>
                <w:bottom w:val="nil"/>
                <w:right w:val="nil"/>
                <w:between w:val="nil"/>
              </w:pBdr>
              <w:tabs>
                <w:tab w:val="center" w:pos="4320"/>
                <w:tab w:val="right" w:pos="8640"/>
              </w:tabs>
              <w:jc w:val="center"/>
              <w:rPr>
                <w:i w:val="0"/>
                <w:color w:val="000000"/>
              </w:rPr>
            </w:pPr>
            <w:r>
              <w:rPr>
                <w:i w:val="0"/>
                <w:color w:val="000000"/>
              </w:rPr>
              <w:t>Page Number(s)</w:t>
            </w:r>
          </w:p>
        </w:tc>
        <w:tc>
          <w:tcPr>
            <w:tcW w:w="2162" w:type="dxa"/>
          </w:tcPr>
          <w:p w:rsidR="00BD2737" w:rsidRDefault="004812F3">
            <w:pPr>
              <w:pBdr>
                <w:top w:val="nil"/>
                <w:left w:val="nil"/>
                <w:bottom w:val="nil"/>
                <w:right w:val="nil"/>
                <w:between w:val="nil"/>
              </w:pBdr>
              <w:tabs>
                <w:tab w:val="center" w:pos="4320"/>
                <w:tab w:val="right" w:pos="8640"/>
              </w:tabs>
              <w:jc w:val="center"/>
              <w:rPr>
                <w:i w:val="0"/>
                <w:color w:val="000000"/>
              </w:rPr>
            </w:pPr>
            <w:bookmarkStart w:id="0" w:name="_GoBack"/>
            <w:bookmarkEnd w:id="0"/>
            <w:r>
              <w:rPr>
                <w:i w:val="0"/>
                <w:color w:val="000000"/>
              </w:rPr>
              <w:t>Current Text</w:t>
            </w:r>
          </w:p>
        </w:tc>
        <w:tc>
          <w:tcPr>
            <w:tcW w:w="2198" w:type="dxa"/>
          </w:tcPr>
          <w:p w:rsidR="00BD2737" w:rsidRDefault="004812F3">
            <w:pPr>
              <w:pBdr>
                <w:top w:val="nil"/>
                <w:left w:val="nil"/>
                <w:bottom w:val="nil"/>
                <w:right w:val="nil"/>
                <w:between w:val="nil"/>
              </w:pBdr>
              <w:tabs>
                <w:tab w:val="center" w:pos="4320"/>
                <w:tab w:val="right" w:pos="8640"/>
              </w:tabs>
              <w:jc w:val="center"/>
              <w:rPr>
                <w:i w:val="0"/>
                <w:color w:val="000000"/>
              </w:rPr>
            </w:pPr>
            <w:r>
              <w:rPr>
                <w:i w:val="0"/>
                <w:color w:val="000000"/>
              </w:rPr>
              <w:t>Proposed Corrected Text</w:t>
            </w:r>
          </w:p>
        </w:tc>
        <w:tc>
          <w:tcPr>
            <w:tcW w:w="1615" w:type="dxa"/>
          </w:tcPr>
          <w:p w:rsidR="00BD2737" w:rsidRDefault="004812F3">
            <w:pPr>
              <w:pBdr>
                <w:top w:val="nil"/>
                <w:left w:val="nil"/>
                <w:bottom w:val="nil"/>
                <w:right w:val="nil"/>
                <w:between w:val="nil"/>
              </w:pBdr>
              <w:tabs>
                <w:tab w:val="center" w:pos="4320"/>
                <w:tab w:val="right" w:pos="8640"/>
              </w:tabs>
              <w:jc w:val="center"/>
              <w:rPr>
                <w:i w:val="0"/>
                <w:color w:val="000000"/>
              </w:rPr>
            </w:pPr>
            <w:r>
              <w:rPr>
                <w:i w:val="0"/>
                <w:color w:val="000000"/>
              </w:rPr>
              <w:t>Reason for Edit</w:t>
            </w:r>
          </w:p>
        </w:tc>
      </w:tr>
      <w:tr w:rsidR="00BD2737" w:rsidTr="00FB0C7E">
        <w:trPr>
          <w:cantSplit/>
        </w:trPr>
        <w:tc>
          <w:tcPr>
            <w:tcW w:w="432" w:type="dxa"/>
          </w:tcPr>
          <w:p w:rsidR="00BD2737" w:rsidRDefault="004812F3">
            <w:pPr>
              <w:pBdr>
                <w:top w:val="nil"/>
                <w:left w:val="nil"/>
                <w:bottom w:val="nil"/>
                <w:right w:val="nil"/>
                <w:between w:val="nil"/>
              </w:pBdr>
              <w:tabs>
                <w:tab w:val="center" w:pos="4320"/>
                <w:tab w:val="right" w:pos="8640"/>
              </w:tabs>
              <w:rPr>
                <w:i w:val="0"/>
                <w:color w:val="000000"/>
              </w:rPr>
            </w:pPr>
            <w:r>
              <w:rPr>
                <w:i w:val="0"/>
                <w:color w:val="000000"/>
              </w:rPr>
              <w:t>1</w:t>
            </w:r>
          </w:p>
        </w:tc>
        <w:tc>
          <w:tcPr>
            <w:tcW w:w="884" w:type="dxa"/>
          </w:tcPr>
          <w:p w:rsidR="00BD2737" w:rsidRDefault="004812F3">
            <w:pPr>
              <w:pBdr>
                <w:top w:val="nil"/>
                <w:left w:val="nil"/>
                <w:bottom w:val="nil"/>
                <w:right w:val="nil"/>
                <w:between w:val="nil"/>
              </w:pBdr>
              <w:tabs>
                <w:tab w:val="center" w:pos="4320"/>
                <w:tab w:val="right" w:pos="8640"/>
              </w:tabs>
              <w:rPr>
                <w:i w:val="0"/>
                <w:color w:val="000000"/>
              </w:rPr>
            </w:pPr>
            <w:r>
              <w:rPr>
                <w:i w:val="0"/>
              </w:rPr>
              <w:t>4</w:t>
            </w:r>
          </w:p>
        </w:tc>
        <w:tc>
          <w:tcPr>
            <w:tcW w:w="1457" w:type="dxa"/>
          </w:tcPr>
          <w:p w:rsidR="00BD2737" w:rsidRDefault="004812F3">
            <w:pPr>
              <w:pBdr>
                <w:top w:val="nil"/>
                <w:left w:val="nil"/>
                <w:bottom w:val="nil"/>
                <w:right w:val="nil"/>
                <w:between w:val="nil"/>
              </w:pBdr>
              <w:tabs>
                <w:tab w:val="center" w:pos="4320"/>
                <w:tab w:val="right" w:pos="8640"/>
              </w:tabs>
              <w:rPr>
                <w:i w:val="0"/>
                <w:color w:val="000000"/>
              </w:rPr>
            </w:pPr>
            <w:r>
              <w:rPr>
                <w:i w:val="0"/>
              </w:rPr>
              <w:t>TE, Module 4</w:t>
            </w:r>
          </w:p>
        </w:tc>
        <w:tc>
          <w:tcPr>
            <w:tcW w:w="1350" w:type="dxa"/>
          </w:tcPr>
          <w:p w:rsidR="00BD2737" w:rsidRDefault="004812F3">
            <w:pPr>
              <w:pBdr>
                <w:top w:val="nil"/>
                <w:left w:val="nil"/>
                <w:bottom w:val="nil"/>
                <w:right w:val="nil"/>
                <w:between w:val="nil"/>
              </w:pBdr>
              <w:tabs>
                <w:tab w:val="center" w:pos="4320"/>
                <w:tab w:val="right" w:pos="8640"/>
              </w:tabs>
              <w:rPr>
                <w:i w:val="0"/>
                <w:color w:val="000000"/>
              </w:rPr>
            </w:pPr>
            <w:r>
              <w:rPr>
                <w:i w:val="0"/>
              </w:rPr>
              <w:t>Throughout M4, for example: 149 (side note)</w:t>
            </w:r>
          </w:p>
        </w:tc>
        <w:tc>
          <w:tcPr>
            <w:tcW w:w="2162" w:type="dxa"/>
          </w:tcPr>
          <w:p w:rsidR="00BD2737" w:rsidRDefault="004812F3">
            <w:pPr>
              <w:pBdr>
                <w:top w:val="nil"/>
                <w:left w:val="nil"/>
                <w:bottom w:val="nil"/>
                <w:right w:val="nil"/>
                <w:between w:val="nil"/>
              </w:pBdr>
              <w:tabs>
                <w:tab w:val="center" w:pos="4320"/>
                <w:tab w:val="right" w:pos="8640"/>
              </w:tabs>
              <w:rPr>
                <w:i w:val="0"/>
                <w:color w:val="000000"/>
              </w:rPr>
            </w:pPr>
            <w:r>
              <w:rPr>
                <w:i w:val="0"/>
              </w:rPr>
              <w:t xml:space="preserve">The F  </w:t>
            </w:r>
            <w:proofErr w:type="spellStart"/>
            <w:r>
              <w:rPr>
                <w:i w:val="0"/>
              </w:rPr>
              <w:t>uture</w:t>
            </w:r>
            <w:proofErr w:type="spellEnd"/>
            <w:r>
              <w:rPr>
                <w:i w:val="0"/>
              </w:rPr>
              <w:t xml:space="preserve"> </w:t>
            </w:r>
          </w:p>
        </w:tc>
        <w:tc>
          <w:tcPr>
            <w:tcW w:w="2198" w:type="dxa"/>
          </w:tcPr>
          <w:p w:rsidR="00BD2737" w:rsidRDefault="004812F3">
            <w:pPr>
              <w:pBdr>
                <w:top w:val="nil"/>
                <w:left w:val="nil"/>
                <w:bottom w:val="nil"/>
                <w:right w:val="nil"/>
                <w:between w:val="nil"/>
              </w:pBdr>
              <w:tabs>
                <w:tab w:val="center" w:pos="4320"/>
                <w:tab w:val="right" w:pos="8640"/>
              </w:tabs>
              <w:rPr>
                <w:i w:val="0"/>
                <w:color w:val="000000"/>
              </w:rPr>
            </w:pPr>
            <w:r>
              <w:rPr>
                <w:i w:val="0"/>
              </w:rPr>
              <w:t>The Future</w:t>
            </w:r>
          </w:p>
        </w:tc>
        <w:tc>
          <w:tcPr>
            <w:tcW w:w="1615" w:type="dxa"/>
          </w:tcPr>
          <w:p w:rsidR="00BD2737" w:rsidRDefault="004812F3">
            <w:pPr>
              <w:pBdr>
                <w:top w:val="nil"/>
                <w:left w:val="nil"/>
                <w:bottom w:val="nil"/>
                <w:right w:val="nil"/>
                <w:between w:val="nil"/>
              </w:pBdr>
              <w:tabs>
                <w:tab w:val="center" w:pos="4320"/>
                <w:tab w:val="right" w:pos="8640"/>
              </w:tabs>
              <w:rPr>
                <w:i w:val="0"/>
                <w:color w:val="000000"/>
              </w:rPr>
            </w:pPr>
            <w:r>
              <w:rPr>
                <w:i w:val="0"/>
              </w:rPr>
              <w:t>extra spaces</w:t>
            </w:r>
          </w:p>
        </w:tc>
      </w:tr>
    </w:tbl>
    <w:p w:rsidR="00BD2737" w:rsidRDefault="004812F3" w:rsidP="00F43A4F">
      <w:pPr>
        <w:pStyle w:val="Heading2"/>
        <w:rPr>
          <w:b w:val="0"/>
          <w:color w:val="000000"/>
        </w:rPr>
      </w:pPr>
      <w:r>
        <w:t>Social Content Citations:</w:t>
      </w:r>
      <w:r>
        <w:rPr>
          <w:color w:val="000000"/>
        </w:rPr>
        <w:t xml:space="preserve"> </w:t>
      </w:r>
      <w:r w:rsidRPr="00F43A4F">
        <w:rPr>
          <w:b w:val="0"/>
          <w:color w:val="000000"/>
        </w:rPr>
        <w:t>None</w:t>
      </w:r>
    </w:p>
    <w:p w:rsidR="000D2FF5" w:rsidRPr="000D2FF5" w:rsidRDefault="000D2FF5" w:rsidP="000D2FF5">
      <w:pPr>
        <w:rPr>
          <w:i w:val="0"/>
        </w:rPr>
      </w:pPr>
      <w:r w:rsidRPr="000D2FF5">
        <w:rPr>
          <w:i w:val="0"/>
        </w:rPr>
        <w:t>California Department of Education, August 2018</w:t>
      </w:r>
    </w:p>
    <w:sectPr w:rsidR="000D2FF5" w:rsidRPr="000D2FF5">
      <w:footerReference w:type="even" r:id="rId7"/>
      <w:footerReference w:type="default" r:id="rId8"/>
      <w:pgSz w:w="12240" w:h="15840"/>
      <w:pgMar w:top="144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8FF" w:rsidRDefault="00E958FF">
      <w:r>
        <w:separator/>
      </w:r>
    </w:p>
  </w:endnote>
  <w:endnote w:type="continuationSeparator" w:id="0">
    <w:p w:rsidR="00E958FF" w:rsidRDefault="00E9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737" w:rsidRDefault="004812F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BD2737" w:rsidRDefault="00BD273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737" w:rsidRDefault="004812F3">
    <w:pPr>
      <w:pBdr>
        <w:top w:val="nil"/>
        <w:left w:val="nil"/>
        <w:bottom w:val="nil"/>
        <w:right w:val="nil"/>
        <w:between w:val="nil"/>
      </w:pBdr>
      <w:tabs>
        <w:tab w:val="center" w:pos="4320"/>
        <w:tab w:val="right" w:pos="8640"/>
      </w:tabs>
      <w:jc w:val="right"/>
      <w:rPr>
        <w:i w:val="0"/>
        <w:color w:val="000000"/>
      </w:rPr>
    </w:pPr>
    <w:r>
      <w:rPr>
        <w:i w:val="0"/>
        <w:color w:val="000000"/>
      </w:rPr>
      <w:fldChar w:fldCharType="begin"/>
    </w:r>
    <w:r>
      <w:rPr>
        <w:i w:val="0"/>
        <w:color w:val="000000"/>
      </w:rPr>
      <w:instrText>PAGE</w:instrText>
    </w:r>
    <w:r>
      <w:rPr>
        <w:i w:val="0"/>
        <w:color w:val="000000"/>
      </w:rPr>
      <w:fldChar w:fldCharType="separate"/>
    </w:r>
    <w:r w:rsidR="00E96825">
      <w:rPr>
        <w:i w:val="0"/>
        <w:noProof/>
        <w:color w:val="000000"/>
      </w:rPr>
      <w:t>5</w:t>
    </w:r>
    <w:r>
      <w:rPr>
        <w:i w:val="0"/>
        <w:color w:val="000000"/>
      </w:rPr>
      <w:fldChar w:fldCharType="end"/>
    </w:r>
  </w:p>
  <w:p w:rsidR="00BD2737" w:rsidRDefault="00BD2737">
    <w:pPr>
      <w:pBdr>
        <w:top w:val="nil"/>
        <w:left w:val="nil"/>
        <w:bottom w:val="nil"/>
        <w:right w:val="nil"/>
        <w:between w:val="nil"/>
      </w:pBdr>
      <w:tabs>
        <w:tab w:val="center" w:pos="4320"/>
        <w:tab w:val="right" w:pos="8640"/>
      </w:tabs>
      <w:ind w:right="36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8FF" w:rsidRDefault="00E958FF">
      <w:r>
        <w:separator/>
      </w:r>
    </w:p>
  </w:footnote>
  <w:footnote w:type="continuationSeparator" w:id="0">
    <w:p w:rsidR="00E958FF" w:rsidRDefault="00E95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A6365C"/>
    <w:multiLevelType w:val="multilevel"/>
    <w:tmpl w:val="3E1E93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D2737"/>
    <w:rsid w:val="00071204"/>
    <w:rsid w:val="000D2FF5"/>
    <w:rsid w:val="00127B0D"/>
    <w:rsid w:val="00236524"/>
    <w:rsid w:val="00255699"/>
    <w:rsid w:val="0041200B"/>
    <w:rsid w:val="00426DFD"/>
    <w:rsid w:val="00464972"/>
    <w:rsid w:val="00480B3E"/>
    <w:rsid w:val="004812F3"/>
    <w:rsid w:val="004F4D9C"/>
    <w:rsid w:val="007A4E91"/>
    <w:rsid w:val="00807443"/>
    <w:rsid w:val="0094368E"/>
    <w:rsid w:val="00A202A0"/>
    <w:rsid w:val="00A45EA4"/>
    <w:rsid w:val="00BD2737"/>
    <w:rsid w:val="00C3347A"/>
    <w:rsid w:val="00E958FF"/>
    <w:rsid w:val="00E96825"/>
    <w:rsid w:val="00EA66F4"/>
    <w:rsid w:val="00F43A4F"/>
    <w:rsid w:val="00FB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E16253-993C-4577-BAFD-1E95BD2F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after="240"/>
      <w:jc w:val="center"/>
      <w:outlineLvl w:val="0"/>
    </w:pPr>
    <w:rPr>
      <w:b/>
      <w:i w:val="0"/>
    </w:rPr>
  </w:style>
  <w:style w:type="paragraph" w:styleId="Heading2">
    <w:name w:val="heading 2"/>
    <w:basedOn w:val="Normal"/>
    <w:next w:val="Normal"/>
    <w:uiPriority w:val="9"/>
    <w:unhideWhenUsed/>
    <w:qFormat/>
    <w:pPr>
      <w:spacing w:before="480" w:after="240"/>
      <w:outlineLvl w:val="1"/>
    </w:pPr>
    <w:rPr>
      <w:b/>
      <w:i w:val="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4F4D9C"/>
    <w:rPr>
      <w:color w:val="0000FF" w:themeColor="hyperlink"/>
      <w:u w:val="single"/>
    </w:rPr>
  </w:style>
  <w:style w:type="character" w:customStyle="1" w:styleId="UnresolvedMention1">
    <w:name w:val="Unresolved Mention1"/>
    <w:basedOn w:val="DefaultParagraphFont"/>
    <w:uiPriority w:val="99"/>
    <w:semiHidden/>
    <w:unhideWhenUsed/>
    <w:rsid w:val="004F4D9C"/>
    <w:rPr>
      <w:color w:val="605E5C"/>
      <w:shd w:val="clear" w:color="auto" w:fill="E1DFDD"/>
    </w:rPr>
  </w:style>
  <w:style w:type="paragraph" w:styleId="Header">
    <w:name w:val="header"/>
    <w:basedOn w:val="Normal"/>
    <w:link w:val="HeaderChar"/>
    <w:uiPriority w:val="99"/>
    <w:unhideWhenUsed/>
    <w:rsid w:val="00426DFD"/>
    <w:pPr>
      <w:tabs>
        <w:tab w:val="center" w:pos="4680"/>
        <w:tab w:val="right" w:pos="9360"/>
      </w:tabs>
    </w:pPr>
  </w:style>
  <w:style w:type="character" w:customStyle="1" w:styleId="HeaderChar">
    <w:name w:val="Header Char"/>
    <w:basedOn w:val="DefaultParagraphFont"/>
    <w:link w:val="Header"/>
    <w:uiPriority w:val="99"/>
    <w:rsid w:val="00426DFD"/>
  </w:style>
  <w:style w:type="paragraph" w:styleId="Footer">
    <w:name w:val="footer"/>
    <w:basedOn w:val="Normal"/>
    <w:link w:val="FooterChar"/>
    <w:uiPriority w:val="99"/>
    <w:semiHidden/>
    <w:unhideWhenUsed/>
    <w:rsid w:val="00426DFD"/>
    <w:pPr>
      <w:tabs>
        <w:tab w:val="center" w:pos="4680"/>
        <w:tab w:val="right" w:pos="9360"/>
      </w:tabs>
    </w:pPr>
  </w:style>
  <w:style w:type="character" w:customStyle="1" w:styleId="FooterChar">
    <w:name w:val="Footer Char"/>
    <w:basedOn w:val="DefaultParagraphFont"/>
    <w:link w:val="Footer"/>
    <w:uiPriority w:val="99"/>
    <w:semiHidden/>
    <w:rsid w:val="00426DFD"/>
  </w:style>
  <w:style w:type="paragraph" w:styleId="ListParagraph">
    <w:name w:val="List Paragraph"/>
    <w:basedOn w:val="Normal"/>
    <w:uiPriority w:val="34"/>
    <w:qFormat/>
    <w:rsid w:val="00426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Great Minds Science, Grade 4 - Instructional Materials (CA Dept of Education)</vt:lpstr>
    </vt:vector>
  </TitlesOfParts>
  <Company>Microsoft</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Minds Science, Grade 4 - Instructional Materials (CA Dept of Education)</dc:title>
  <dc:subject>Report of Findings of the Great Minds Science Program, Grade 4. </dc:subject>
  <dc:creator>Cliff</dc:creator>
  <cp:lastModifiedBy>Ryoko Oshiro</cp:lastModifiedBy>
  <cp:revision>16</cp:revision>
  <dcterms:created xsi:type="dcterms:W3CDTF">2018-07-21T14:02:00Z</dcterms:created>
  <dcterms:modified xsi:type="dcterms:W3CDTF">2019-06-14T21:39:00Z</dcterms:modified>
</cp:coreProperties>
</file>