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26" w:rsidRPr="00821362" w:rsidRDefault="00B21A77" w:rsidP="00DA77F1">
      <w:pPr>
        <w:spacing w:after="240"/>
        <w:jc w:val="center"/>
        <w:rPr>
          <w:b/>
          <w:i w:val="0"/>
        </w:rPr>
      </w:pPr>
      <w:bookmarkStart w:id="0" w:name="_GoBack"/>
      <w:bookmarkEnd w:id="0"/>
      <w:r w:rsidRPr="00821362">
        <w:rPr>
          <w:b/>
          <w:i w:val="0"/>
        </w:rPr>
        <w:t xml:space="preserve">This </w:t>
      </w:r>
      <w:r w:rsidR="00834826" w:rsidRPr="00821362">
        <w:rPr>
          <w:b/>
          <w:i w:val="0"/>
        </w:rPr>
        <w:t>advisory recommendation has not been approved by the Instructional Quality Commission or the State Board of Education.</w:t>
      </w:r>
    </w:p>
    <w:p w:rsidR="00820488" w:rsidRPr="00C942C4" w:rsidRDefault="0062773E" w:rsidP="00C942C4">
      <w:pPr>
        <w:pStyle w:val="Heading1"/>
      </w:pPr>
      <w:r w:rsidRPr="00C942C4">
        <w:t xml:space="preserve">REVIEW PANEL </w:t>
      </w:r>
      <w:r w:rsidR="00381576" w:rsidRPr="00C942C4">
        <w:t>ADVISORY RECOMMENDATION</w:t>
      </w:r>
      <w:r w:rsidR="00C942C4" w:rsidRPr="00C942C4">
        <w:br/>
      </w:r>
      <w:r w:rsidRPr="00C942C4">
        <w:t>201</w:t>
      </w:r>
      <w:r w:rsidR="005F30F0" w:rsidRPr="00C942C4">
        <w:t>8</w:t>
      </w:r>
      <w:r w:rsidR="00395F5B" w:rsidRPr="00C942C4">
        <w:t xml:space="preserve"> </w:t>
      </w:r>
      <w:r w:rsidR="00976333" w:rsidRPr="00C942C4">
        <w:t>SCIENCE</w:t>
      </w:r>
      <w:r w:rsidR="000929B9" w:rsidRPr="00C942C4">
        <w:t xml:space="preserve"> ADOPTION OF INSTRUCTIONAL MATERIALS</w:t>
      </w:r>
    </w:p>
    <w:tbl>
      <w:tblPr>
        <w:tblStyle w:val="TableGrid"/>
        <w:tblW w:w="4887" w:type="pct"/>
        <w:tblLook w:val="04A0" w:firstRow="1" w:lastRow="0" w:firstColumn="1" w:lastColumn="0" w:noHBand="0" w:noVBand="1"/>
        <w:tblDescription w:val="Publisher name, program name, and grade level(s)"/>
      </w:tblPr>
      <w:tblGrid>
        <w:gridCol w:w="3218"/>
        <w:gridCol w:w="4066"/>
        <w:gridCol w:w="2136"/>
      </w:tblGrid>
      <w:tr w:rsidR="00E33CAD" w:rsidRPr="00264EDD" w:rsidTr="00BF53B1">
        <w:trPr>
          <w:cantSplit/>
          <w:trHeight w:val="422"/>
          <w:tblHeader/>
        </w:trPr>
        <w:tc>
          <w:tcPr>
            <w:tcW w:w="1708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Publisher</w:t>
            </w:r>
          </w:p>
        </w:tc>
        <w:tc>
          <w:tcPr>
            <w:tcW w:w="2158" w:type="pct"/>
            <w:shd w:val="clear" w:color="auto" w:fill="D9D9D9" w:themeFill="background1" w:themeFillShade="D9"/>
            <w:hideMark/>
          </w:tcPr>
          <w:p w:rsidR="00E33CAD" w:rsidRPr="00E33CAD" w:rsidRDefault="00B07423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>
              <w:rPr>
                <w:rFonts w:cs="Arial"/>
                <w:b/>
                <w:i w:val="0"/>
                <w:iCs w:val="0"/>
                <w:color w:val="000000"/>
              </w:rPr>
              <w:t>Program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jc w:val="center"/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Grade Level(s)</w:t>
            </w:r>
          </w:p>
        </w:tc>
      </w:tr>
      <w:tr w:rsidR="000449DC" w:rsidRPr="000449DC" w:rsidTr="00BF53B1">
        <w:trPr>
          <w:cantSplit/>
          <w:trHeight w:val="440"/>
        </w:trPr>
        <w:tc>
          <w:tcPr>
            <w:tcW w:w="1708" w:type="pct"/>
            <w:hideMark/>
          </w:tcPr>
          <w:p w:rsidR="00E33CAD" w:rsidRPr="000449DC" w:rsidRDefault="0076574A" w:rsidP="0076574A">
            <w:pPr>
              <w:rPr>
                <w:rFonts w:cs="Arial"/>
                <w:i w:val="0"/>
                <w:iCs w:val="0"/>
                <w:color w:val="000000" w:themeColor="text1"/>
              </w:rPr>
            </w:pPr>
            <w:r w:rsidRPr="000449DC">
              <w:rPr>
                <w:rFonts w:cs="Times New Roman"/>
                <w:bCs/>
                <w:i w:val="0"/>
                <w:iCs w:val="0"/>
                <w:color w:val="000000" w:themeColor="text1"/>
              </w:rPr>
              <w:t>Houghton Mifflin Harcourt Publishing Company</w:t>
            </w:r>
          </w:p>
        </w:tc>
        <w:tc>
          <w:tcPr>
            <w:tcW w:w="2158" w:type="pct"/>
            <w:hideMark/>
          </w:tcPr>
          <w:p w:rsidR="00E33CAD" w:rsidRPr="000449DC" w:rsidRDefault="0076574A" w:rsidP="0076574A">
            <w:pPr>
              <w:rPr>
                <w:rFonts w:cs="Times New Roman"/>
                <w:bCs/>
                <w:iCs w:val="0"/>
                <w:color w:val="000000" w:themeColor="text1"/>
              </w:rPr>
            </w:pPr>
            <w:r w:rsidRPr="000449DC">
              <w:rPr>
                <w:rFonts w:cs="Times New Roman"/>
                <w:bCs/>
                <w:iCs w:val="0"/>
                <w:color w:val="000000" w:themeColor="text1"/>
              </w:rPr>
              <w:t>California HMH Science Dimensions</w:t>
            </w:r>
          </w:p>
        </w:tc>
        <w:tc>
          <w:tcPr>
            <w:tcW w:w="1134" w:type="pct"/>
            <w:hideMark/>
          </w:tcPr>
          <w:p w:rsidR="00E33CAD" w:rsidRPr="000449DC" w:rsidRDefault="0076574A" w:rsidP="00A45A96">
            <w:pPr>
              <w:jc w:val="center"/>
              <w:rPr>
                <w:rFonts w:cs="Arial"/>
                <w:i w:val="0"/>
                <w:iCs w:val="0"/>
                <w:color w:val="000000" w:themeColor="text1"/>
              </w:rPr>
            </w:pPr>
            <w:r w:rsidRPr="000449DC">
              <w:rPr>
                <w:rFonts w:cs="Arial"/>
                <w:i w:val="0"/>
                <w:color w:val="000000" w:themeColor="text1"/>
                <w:sz w:val="22"/>
              </w:rPr>
              <w:t>K–</w:t>
            </w:r>
            <w:r w:rsidR="00C76EC5">
              <w:rPr>
                <w:rFonts w:cs="Arial"/>
                <w:i w:val="0"/>
                <w:color w:val="000000" w:themeColor="text1"/>
                <w:sz w:val="22"/>
              </w:rPr>
              <w:t>6</w:t>
            </w:r>
          </w:p>
        </w:tc>
      </w:tr>
    </w:tbl>
    <w:p w:rsidR="00860E81" w:rsidRPr="000449DC" w:rsidRDefault="00860E81" w:rsidP="00C942C4">
      <w:pPr>
        <w:pStyle w:val="Heading2"/>
        <w:rPr>
          <w:color w:val="000000" w:themeColor="text1"/>
        </w:rPr>
      </w:pPr>
      <w:r w:rsidRPr="000449DC">
        <w:rPr>
          <w:color w:val="000000" w:themeColor="text1"/>
        </w:rPr>
        <w:t>Program Summary:</w:t>
      </w:r>
    </w:p>
    <w:p w:rsidR="0076574A" w:rsidRPr="000449DC" w:rsidRDefault="0076574A" w:rsidP="0076574A">
      <w:pPr>
        <w:rPr>
          <w:rFonts w:cs="Arial"/>
          <w:color w:val="000000" w:themeColor="text1"/>
        </w:rPr>
      </w:pPr>
      <w:r w:rsidRPr="000449DC">
        <w:rPr>
          <w:rFonts w:cs="Times New Roman"/>
          <w:bCs/>
          <w:iCs w:val="0"/>
          <w:color w:val="000000" w:themeColor="text1"/>
        </w:rPr>
        <w:t>California HMH Science Dimensions</w:t>
      </w:r>
      <w:r w:rsidR="004961B0" w:rsidRPr="000449DC">
        <w:rPr>
          <w:rFonts w:cs="Arial"/>
          <w:i w:val="0"/>
          <w:iCs w:val="0"/>
          <w:color w:val="000000" w:themeColor="text1"/>
        </w:rPr>
        <w:t xml:space="preserve"> </w:t>
      </w:r>
      <w:r w:rsidR="004F0D9A" w:rsidRPr="000449DC">
        <w:rPr>
          <w:rFonts w:cs="Times New Roman"/>
          <w:bCs/>
          <w:i w:val="0"/>
          <w:color w:val="000000" w:themeColor="text1"/>
        </w:rPr>
        <w:t xml:space="preserve">includes: </w:t>
      </w:r>
      <w:r w:rsidRPr="000449DC">
        <w:rPr>
          <w:rFonts w:cs="Arial"/>
          <w:color w:val="000000" w:themeColor="text1"/>
        </w:rPr>
        <w:t>California Student Edition Interactive Worktext</w:t>
      </w:r>
      <w:r w:rsidR="00407006">
        <w:rPr>
          <w:rFonts w:cs="Arial"/>
          <w:color w:val="000000" w:themeColor="text1"/>
        </w:rPr>
        <w:t xml:space="preserve"> (SE)</w:t>
      </w:r>
      <w:r w:rsidRPr="000449DC">
        <w:rPr>
          <w:rFonts w:cs="Arial"/>
          <w:color w:val="000000" w:themeColor="text1"/>
        </w:rPr>
        <w:t>; California Student Online Interactive Digital Curriculum; California Teacher Edition</w:t>
      </w:r>
      <w:r w:rsidR="00407006">
        <w:rPr>
          <w:rFonts w:cs="Arial"/>
          <w:color w:val="000000" w:themeColor="text1"/>
        </w:rPr>
        <w:t xml:space="preserve"> (TE)</w:t>
      </w:r>
      <w:r w:rsidRPr="000449DC">
        <w:rPr>
          <w:rFonts w:cs="Arial"/>
          <w:color w:val="000000" w:themeColor="text1"/>
        </w:rPr>
        <w:t>; California Teacher Digital Management Center; California Assessment Guide</w:t>
      </w:r>
      <w:r w:rsidR="00045F2C">
        <w:rPr>
          <w:rFonts w:cs="Arial"/>
          <w:color w:val="000000" w:themeColor="text1"/>
        </w:rPr>
        <w:t xml:space="preserve"> (AG)</w:t>
      </w:r>
    </w:p>
    <w:p w:rsidR="004961B0" w:rsidRPr="00402716" w:rsidRDefault="00860E81" w:rsidP="00402716">
      <w:pPr>
        <w:pStyle w:val="Heading2"/>
        <w:rPr>
          <w:color w:val="000000" w:themeColor="text1"/>
        </w:rPr>
      </w:pPr>
      <w:r w:rsidRPr="000449DC">
        <w:rPr>
          <w:color w:val="000000" w:themeColor="text1"/>
        </w:rPr>
        <w:t>Recommendation:</w:t>
      </w:r>
    </w:p>
    <w:p w:rsidR="00860E81" w:rsidRPr="000449DC" w:rsidRDefault="0076574A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  <w:iCs w:val="0"/>
          <w:color w:val="000000" w:themeColor="text1"/>
        </w:rPr>
      </w:pPr>
      <w:r w:rsidRPr="000449DC">
        <w:rPr>
          <w:rFonts w:cs="Times New Roman"/>
          <w:bCs/>
          <w:iCs w:val="0"/>
          <w:color w:val="000000" w:themeColor="text1"/>
        </w:rPr>
        <w:t>California HMH Science Dimensions</w:t>
      </w:r>
      <w:r w:rsidR="004961B0" w:rsidRPr="000449DC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0449DC">
        <w:rPr>
          <w:rFonts w:cs="Times New Roman"/>
          <w:i w:val="0"/>
          <w:iCs w:val="0"/>
          <w:color w:val="000000" w:themeColor="text1"/>
        </w:rPr>
        <w:t xml:space="preserve">is recommended for adoption </w:t>
      </w:r>
      <w:r w:rsidR="00957292" w:rsidRPr="000449DC">
        <w:rPr>
          <w:rFonts w:cs="Times New Roman"/>
          <w:i w:val="0"/>
          <w:iCs w:val="0"/>
          <w:color w:val="000000" w:themeColor="text1"/>
        </w:rPr>
        <w:t xml:space="preserve">for </w:t>
      </w:r>
      <w:r w:rsidRPr="000449DC">
        <w:rPr>
          <w:rFonts w:cs="Arial"/>
          <w:i w:val="0"/>
          <w:color w:val="000000" w:themeColor="text1"/>
          <w:sz w:val="22"/>
        </w:rPr>
        <w:t>K–5</w:t>
      </w:r>
      <w:r w:rsidR="004961B0" w:rsidRPr="000449DC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0449DC">
        <w:rPr>
          <w:rFonts w:cs="Times New Roman"/>
          <w:i w:val="0"/>
          <w:iCs w:val="0"/>
          <w:color w:val="000000" w:themeColor="text1"/>
        </w:rPr>
        <w:t xml:space="preserve">because the instructional materials include content as specified in the </w:t>
      </w:r>
      <w:r w:rsidR="00F76B3D" w:rsidRPr="000449DC">
        <w:rPr>
          <w:rFonts w:cs="Times New Roman"/>
          <w:iCs w:val="0"/>
          <w:color w:val="000000" w:themeColor="text1"/>
        </w:rPr>
        <w:t>Next Generation Science Standards for California Public Schools</w:t>
      </w:r>
      <w:r w:rsidR="00976333" w:rsidRPr="000449DC">
        <w:rPr>
          <w:rFonts w:cs="Times New Roman"/>
          <w:iCs w:val="0"/>
          <w:color w:val="000000" w:themeColor="text1"/>
        </w:rPr>
        <w:t xml:space="preserve"> </w:t>
      </w:r>
      <w:r w:rsidR="0086494D" w:rsidRPr="000449DC">
        <w:rPr>
          <w:rFonts w:cs="Times New Roman"/>
          <w:i w:val="0"/>
          <w:iCs w:val="0"/>
          <w:color w:val="000000" w:themeColor="text1"/>
        </w:rPr>
        <w:t>(</w:t>
      </w:r>
      <w:r w:rsidR="00795D74" w:rsidRPr="000449DC">
        <w:rPr>
          <w:rFonts w:cs="Times New Roman"/>
          <w:iCs w:val="0"/>
          <w:color w:val="000000" w:themeColor="text1"/>
        </w:rPr>
        <w:t>CA NGSS</w:t>
      </w:r>
      <w:r w:rsidR="0086494D" w:rsidRPr="000449DC">
        <w:rPr>
          <w:rFonts w:cs="Times New Roman"/>
          <w:i w:val="0"/>
          <w:iCs w:val="0"/>
          <w:color w:val="000000" w:themeColor="text1"/>
        </w:rPr>
        <w:t xml:space="preserve">) </w:t>
      </w:r>
      <w:r w:rsidR="00860E81" w:rsidRPr="000449DC">
        <w:rPr>
          <w:rFonts w:cs="Times New Roman"/>
          <w:i w:val="0"/>
          <w:iCs w:val="0"/>
          <w:color w:val="000000" w:themeColor="text1"/>
        </w:rPr>
        <w:t xml:space="preserve">and meet all the </w:t>
      </w:r>
      <w:r w:rsidR="00957292" w:rsidRPr="000449DC">
        <w:rPr>
          <w:rFonts w:cs="Times New Roman"/>
          <w:i w:val="0"/>
          <w:iCs w:val="0"/>
          <w:color w:val="000000" w:themeColor="text1"/>
        </w:rPr>
        <w:t>c</w:t>
      </w:r>
      <w:r w:rsidR="00860E81" w:rsidRPr="000449DC">
        <w:rPr>
          <w:rFonts w:cs="Times New Roman"/>
          <w:i w:val="0"/>
          <w:iCs w:val="0"/>
          <w:color w:val="000000" w:themeColor="text1"/>
        </w:rPr>
        <w:t xml:space="preserve">riteria in </w:t>
      </w:r>
      <w:r w:rsidR="00C942C4" w:rsidRPr="000449DC">
        <w:rPr>
          <w:rFonts w:cs="Times New Roman"/>
          <w:i w:val="0"/>
          <w:iCs w:val="0"/>
          <w:color w:val="000000" w:themeColor="text1"/>
        </w:rPr>
        <w:t>C</w:t>
      </w:r>
      <w:r w:rsidR="00860E81" w:rsidRPr="000449DC">
        <w:rPr>
          <w:rFonts w:cs="Times New Roman"/>
          <w:i w:val="0"/>
          <w:iCs w:val="0"/>
          <w:color w:val="000000" w:themeColor="text1"/>
        </w:rPr>
        <w:t xml:space="preserve">ategory 1 with strengths in </w:t>
      </w:r>
      <w:r w:rsidR="00957292" w:rsidRPr="000449DC">
        <w:rPr>
          <w:rFonts w:cs="Times New Roman"/>
          <w:i w:val="0"/>
          <w:iCs w:val="0"/>
          <w:color w:val="000000" w:themeColor="text1"/>
        </w:rPr>
        <w:t>c</w:t>
      </w:r>
      <w:r w:rsidR="00860E81" w:rsidRPr="000449DC">
        <w:rPr>
          <w:rFonts w:cs="Times New Roman"/>
          <w:i w:val="0"/>
          <w:iCs w:val="0"/>
          <w:color w:val="000000" w:themeColor="text1"/>
        </w:rPr>
        <w:t>ategories 2</w:t>
      </w:r>
      <w:r w:rsidR="00957292" w:rsidRPr="000449DC">
        <w:rPr>
          <w:rFonts w:cs="Times New Roman"/>
          <w:i w:val="0"/>
          <w:iCs w:val="0"/>
          <w:color w:val="000000" w:themeColor="text1"/>
        </w:rPr>
        <w:t>–</w:t>
      </w:r>
      <w:r w:rsidR="00860E81" w:rsidRPr="000449DC">
        <w:rPr>
          <w:rFonts w:cs="Times New Roman"/>
          <w:i w:val="0"/>
          <w:iCs w:val="0"/>
          <w:color w:val="000000" w:themeColor="text1"/>
        </w:rPr>
        <w:t>5.</w:t>
      </w:r>
    </w:p>
    <w:p w:rsidR="00860E81" w:rsidRPr="00E72D59" w:rsidRDefault="00860E81" w:rsidP="00C942C4">
      <w:pPr>
        <w:pStyle w:val="Heading2"/>
      </w:pPr>
      <w:r w:rsidRPr="00E72D59">
        <w:t>Criteri</w:t>
      </w:r>
      <w:r>
        <w:t xml:space="preserve">a Category 1: </w:t>
      </w:r>
      <w:r w:rsidR="00F76B3D" w:rsidRPr="00F76B3D">
        <w:t xml:space="preserve">Alignment with the </w:t>
      </w:r>
      <w:r w:rsidR="00F76B3D" w:rsidRPr="0018022C">
        <w:t>CA NGSS</w:t>
      </w:r>
      <w:r w:rsidR="00F76B3D" w:rsidRPr="00F76B3D">
        <w:t xml:space="preserve"> Three-Dimensional Learning</w:t>
      </w:r>
    </w:p>
    <w:p w:rsidR="00860E81" w:rsidRPr="00BB68B1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B68B1">
        <w:rPr>
          <w:rFonts w:cs="Times New Roman"/>
          <w:i w:val="0"/>
        </w:rPr>
        <w:t xml:space="preserve">The program </w:t>
      </w:r>
      <w:r w:rsidR="00407006" w:rsidRPr="00407006">
        <w:rPr>
          <w:rFonts w:cs="Times New Roman"/>
          <w:i w:val="0"/>
          <w:iCs w:val="0"/>
        </w:rPr>
        <w:t>includes</w:t>
      </w:r>
      <w:r w:rsidRPr="00BB68B1">
        <w:rPr>
          <w:rFonts w:cs="Times New Roman"/>
          <w:i w:val="0"/>
        </w:rPr>
        <w:t xml:space="preserve"> content as specified in the </w:t>
      </w:r>
      <w:r w:rsidRPr="00C942C4">
        <w:rPr>
          <w:rFonts w:cs="Times New Roman"/>
        </w:rPr>
        <w:t>CA NGSS</w:t>
      </w:r>
      <w:r w:rsidRPr="00BB68B1">
        <w:rPr>
          <w:rFonts w:cs="Times New Roman"/>
          <w:i w:val="0"/>
        </w:rPr>
        <w:t xml:space="preserve"> and </w:t>
      </w:r>
      <w:r w:rsidRPr="00407006">
        <w:rPr>
          <w:rFonts w:cs="Times New Roman"/>
          <w:i w:val="0"/>
          <w:iCs w:val="0"/>
        </w:rPr>
        <w:t>includes</w:t>
      </w:r>
      <w:r w:rsidRPr="00BB68B1">
        <w:rPr>
          <w:rFonts w:cs="Times New Roman"/>
          <w:i w:val="0"/>
        </w:rPr>
        <w:t xml:space="preserve"> a well-defined sequence of instructional opportunities that provides a path for all students to become proficient in all grade-level performance expectations.</w:t>
      </w:r>
    </w:p>
    <w:p w:rsidR="004961B0" w:rsidRDefault="004961B0" w:rsidP="004961B0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E06227" w:rsidRDefault="00E06227" w:rsidP="004E513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 w:rsidRPr="00E21B41">
        <w:rPr>
          <w:rFonts w:cs="Times New Roman"/>
          <w:i w:val="0"/>
          <w:lang w:val="es-MX"/>
        </w:rPr>
        <w:t xml:space="preserve"> 1.1: </w:t>
      </w:r>
      <w:r w:rsidR="002511B5" w:rsidRPr="00E21B41">
        <w:rPr>
          <w:rFonts w:cs="Times New Roman"/>
          <w:i w:val="0"/>
          <w:lang w:val="es-MX"/>
        </w:rPr>
        <w:t>Grade K</w:t>
      </w:r>
      <w:r w:rsidR="00E21B41">
        <w:rPr>
          <w:rFonts w:cs="Times New Roman"/>
          <w:i w:val="0"/>
          <w:lang w:val="es-MX"/>
        </w:rPr>
        <w:t xml:space="preserve">, </w:t>
      </w:r>
      <w:r w:rsidR="00E21B41" w:rsidRPr="00E21B41">
        <w:rPr>
          <w:rFonts w:cs="Times New Roman"/>
          <w:i w:val="0"/>
          <w:lang w:val="es-MX"/>
        </w:rPr>
        <w:t xml:space="preserve">SE/TE </w:t>
      </w:r>
      <w:r w:rsidR="005062BB">
        <w:rPr>
          <w:rFonts w:cs="Times New Roman"/>
          <w:i w:val="0"/>
          <w:lang w:val="es-MX"/>
        </w:rPr>
        <w:t xml:space="preserve">pp. </w:t>
      </w:r>
      <w:r w:rsidR="00E21B41">
        <w:rPr>
          <w:rFonts w:cs="Times New Roman"/>
          <w:i w:val="0"/>
          <w:lang w:val="es-MX"/>
        </w:rPr>
        <w:t>231</w:t>
      </w:r>
      <w:r w:rsidR="00E21B41" w:rsidRPr="00E21B41">
        <w:rPr>
          <w:rFonts w:cs="Times New Roman"/>
          <w:i w:val="0"/>
          <w:lang w:val="es-MX"/>
        </w:rPr>
        <w:t>–</w:t>
      </w:r>
      <w:r w:rsidR="00E21B41">
        <w:rPr>
          <w:rFonts w:cs="Times New Roman"/>
          <w:i w:val="0"/>
          <w:lang w:val="es-MX"/>
        </w:rPr>
        <w:t>233, 241</w:t>
      </w:r>
      <w:r w:rsidR="00E21B41" w:rsidRPr="00E21B41">
        <w:rPr>
          <w:rFonts w:cs="Times New Roman"/>
          <w:i w:val="0"/>
          <w:lang w:val="es-MX"/>
        </w:rPr>
        <w:t>–</w:t>
      </w:r>
      <w:r w:rsidR="00E21B41">
        <w:rPr>
          <w:rFonts w:cs="Times New Roman"/>
          <w:i w:val="0"/>
          <w:lang w:val="es-MX"/>
        </w:rPr>
        <w:t>243, 247, 252</w:t>
      </w:r>
      <w:r w:rsidR="00E21B41" w:rsidRPr="00E21B41">
        <w:rPr>
          <w:rFonts w:cs="Times New Roman"/>
          <w:i w:val="0"/>
          <w:lang w:val="es-MX"/>
        </w:rPr>
        <w:t>–</w:t>
      </w:r>
      <w:r w:rsidR="00E21B41">
        <w:rPr>
          <w:rFonts w:cs="Times New Roman"/>
          <w:i w:val="0"/>
          <w:lang w:val="es-MX"/>
        </w:rPr>
        <w:t>253</w:t>
      </w:r>
      <w:r w:rsidR="002511B5" w:rsidRPr="00E21B41">
        <w:rPr>
          <w:rFonts w:cs="Times New Roman"/>
          <w:i w:val="0"/>
          <w:lang w:val="es-MX"/>
        </w:rPr>
        <w:t>; Grade 1</w:t>
      </w:r>
      <w:r w:rsidR="00237E4C">
        <w:rPr>
          <w:rFonts w:cs="Times New Roman"/>
          <w:i w:val="0"/>
          <w:lang w:val="es-MX"/>
        </w:rPr>
        <w:t xml:space="preserve">, SE/TE </w:t>
      </w:r>
      <w:r w:rsidR="005062BB">
        <w:rPr>
          <w:rFonts w:cs="Times New Roman"/>
          <w:i w:val="0"/>
          <w:lang w:val="es-MX"/>
        </w:rPr>
        <w:t xml:space="preserve">pp. </w:t>
      </w:r>
      <w:r w:rsidR="00237E4C">
        <w:rPr>
          <w:rFonts w:cs="Times New Roman"/>
          <w:i w:val="0"/>
          <w:lang w:val="es-MX"/>
        </w:rPr>
        <w:t>74</w:t>
      </w:r>
      <w:r w:rsidR="00237E4C" w:rsidRPr="00E21B41">
        <w:rPr>
          <w:rFonts w:cs="Times New Roman"/>
          <w:i w:val="0"/>
          <w:lang w:val="es-MX"/>
        </w:rPr>
        <w:t>–</w:t>
      </w:r>
      <w:r w:rsidR="00237E4C">
        <w:rPr>
          <w:rFonts w:cs="Times New Roman"/>
          <w:i w:val="0"/>
          <w:lang w:val="es-MX"/>
        </w:rPr>
        <w:t>76, 79</w:t>
      </w:r>
      <w:r w:rsidR="002511B5" w:rsidRPr="00E21B41">
        <w:rPr>
          <w:rFonts w:cs="Times New Roman"/>
          <w:i w:val="0"/>
          <w:lang w:val="es-MX"/>
        </w:rPr>
        <w:t>; Grade 2</w:t>
      </w:r>
      <w:r w:rsidR="00237E4C">
        <w:rPr>
          <w:rFonts w:cs="Times New Roman"/>
          <w:i w:val="0"/>
          <w:lang w:val="es-MX"/>
        </w:rPr>
        <w:t xml:space="preserve">, SE/TE </w:t>
      </w:r>
      <w:r w:rsidR="005062BB">
        <w:rPr>
          <w:rFonts w:cs="Times New Roman"/>
          <w:i w:val="0"/>
          <w:lang w:val="es-MX"/>
        </w:rPr>
        <w:t xml:space="preserve">pp. </w:t>
      </w:r>
      <w:r w:rsidR="00237E4C">
        <w:rPr>
          <w:rFonts w:cs="Times New Roman"/>
          <w:i w:val="0"/>
          <w:lang w:val="es-MX"/>
        </w:rPr>
        <w:t>17</w:t>
      </w:r>
      <w:r w:rsidR="00237E4C" w:rsidRPr="00E21B41">
        <w:rPr>
          <w:rFonts w:cs="Times New Roman"/>
          <w:i w:val="0"/>
          <w:lang w:val="es-MX"/>
        </w:rPr>
        <w:t>–</w:t>
      </w:r>
      <w:r w:rsidR="00237E4C">
        <w:rPr>
          <w:rFonts w:cs="Times New Roman"/>
          <w:i w:val="0"/>
          <w:lang w:val="es-MX"/>
        </w:rPr>
        <w:t>23</w:t>
      </w:r>
      <w:r w:rsidR="002511B5" w:rsidRPr="00E21B41">
        <w:rPr>
          <w:rFonts w:cs="Times New Roman"/>
          <w:i w:val="0"/>
          <w:lang w:val="es-MX"/>
        </w:rPr>
        <w:t>; Grade 3</w:t>
      </w:r>
      <w:r w:rsidR="00237E4C">
        <w:rPr>
          <w:rFonts w:cs="Times New Roman"/>
          <w:i w:val="0"/>
          <w:lang w:val="es-MX"/>
        </w:rPr>
        <w:t xml:space="preserve">, SE </w:t>
      </w:r>
      <w:r w:rsidR="005062BB">
        <w:rPr>
          <w:rFonts w:cs="Times New Roman"/>
          <w:i w:val="0"/>
          <w:lang w:val="es-MX"/>
        </w:rPr>
        <w:t xml:space="preserve">pp. </w:t>
      </w:r>
      <w:r w:rsidR="00237E4C">
        <w:rPr>
          <w:rFonts w:cs="Times New Roman"/>
          <w:i w:val="0"/>
          <w:lang w:val="es-MX"/>
        </w:rPr>
        <w:t>399</w:t>
      </w:r>
      <w:r w:rsidR="00237E4C" w:rsidRPr="00E21B41">
        <w:rPr>
          <w:rFonts w:cs="Times New Roman"/>
          <w:i w:val="0"/>
          <w:lang w:val="es-MX"/>
        </w:rPr>
        <w:t>–</w:t>
      </w:r>
      <w:r w:rsidR="00237E4C">
        <w:rPr>
          <w:rFonts w:cs="Times New Roman"/>
          <w:i w:val="0"/>
          <w:lang w:val="es-MX"/>
        </w:rPr>
        <w:t>401, 419</w:t>
      </w:r>
      <w:r w:rsidR="00237E4C" w:rsidRPr="00E21B41">
        <w:rPr>
          <w:rFonts w:cs="Times New Roman"/>
          <w:i w:val="0"/>
          <w:lang w:val="es-MX"/>
        </w:rPr>
        <w:t>–</w:t>
      </w:r>
      <w:r w:rsidR="00237E4C">
        <w:rPr>
          <w:rFonts w:cs="Times New Roman"/>
          <w:i w:val="0"/>
          <w:lang w:val="es-MX"/>
        </w:rPr>
        <w:t xml:space="preserve">423, TE </w:t>
      </w:r>
      <w:r w:rsidR="005062BB">
        <w:rPr>
          <w:rFonts w:cs="Times New Roman"/>
          <w:i w:val="0"/>
          <w:lang w:val="es-MX"/>
        </w:rPr>
        <w:t xml:space="preserve">pp. </w:t>
      </w:r>
      <w:r w:rsidR="00237E4C">
        <w:rPr>
          <w:rFonts w:cs="Times New Roman"/>
          <w:i w:val="0"/>
          <w:lang w:val="es-MX"/>
        </w:rPr>
        <w:t>391A</w:t>
      </w:r>
      <w:r w:rsidR="002511B5" w:rsidRPr="00E21B41">
        <w:rPr>
          <w:rFonts w:cs="Times New Roman"/>
          <w:i w:val="0"/>
          <w:lang w:val="es-MX"/>
        </w:rPr>
        <w:t xml:space="preserve">; </w:t>
      </w:r>
      <w:r w:rsidRPr="00E21B41">
        <w:rPr>
          <w:rFonts w:cs="Times New Roman"/>
          <w:i w:val="0"/>
          <w:lang w:val="es-MX"/>
        </w:rPr>
        <w:t xml:space="preserve">Grade 4, SE/TE </w:t>
      </w:r>
      <w:r w:rsidR="005062BB">
        <w:rPr>
          <w:rFonts w:cs="Times New Roman"/>
          <w:i w:val="0"/>
          <w:lang w:val="es-MX"/>
        </w:rPr>
        <w:t xml:space="preserve">pp. </w:t>
      </w:r>
      <w:r w:rsidRPr="00E21B41">
        <w:rPr>
          <w:rFonts w:cs="Times New Roman"/>
          <w:i w:val="0"/>
          <w:lang w:val="es-MX"/>
        </w:rPr>
        <w:t>207–209, 21</w:t>
      </w:r>
      <w:r w:rsidR="004F1FA1">
        <w:rPr>
          <w:rFonts w:cs="Times New Roman"/>
          <w:i w:val="0"/>
          <w:lang w:val="es-MX"/>
        </w:rPr>
        <w:t>4</w:t>
      </w:r>
      <w:r w:rsidRPr="00E21B41">
        <w:rPr>
          <w:rFonts w:cs="Times New Roman"/>
          <w:i w:val="0"/>
          <w:lang w:val="es-MX"/>
        </w:rPr>
        <w:t>–217, 42</w:t>
      </w:r>
      <w:r w:rsidR="004F1FA1">
        <w:rPr>
          <w:rFonts w:cs="Times New Roman"/>
          <w:i w:val="0"/>
          <w:lang w:val="es-MX"/>
        </w:rPr>
        <w:t>2–430</w:t>
      </w:r>
      <w:r w:rsidRPr="00E21B41">
        <w:rPr>
          <w:rFonts w:cs="Times New Roman"/>
          <w:i w:val="0"/>
          <w:lang w:val="es-MX"/>
        </w:rPr>
        <w:t>, 451</w:t>
      </w:r>
      <w:r w:rsidR="004F1FA1">
        <w:rPr>
          <w:rFonts w:cs="Times New Roman"/>
          <w:i w:val="0"/>
          <w:lang w:val="es-MX"/>
        </w:rPr>
        <w:t>–453</w:t>
      </w:r>
      <w:r w:rsidRPr="00E21B41">
        <w:rPr>
          <w:rFonts w:cs="Times New Roman"/>
          <w:i w:val="0"/>
          <w:lang w:val="es-MX"/>
        </w:rPr>
        <w:t>, 47</w:t>
      </w:r>
      <w:r w:rsidR="004F1FA1">
        <w:rPr>
          <w:rFonts w:cs="Times New Roman"/>
          <w:i w:val="0"/>
          <w:lang w:val="es-MX"/>
        </w:rPr>
        <w:t>4</w:t>
      </w:r>
      <w:r w:rsidRPr="00E21B41">
        <w:rPr>
          <w:rFonts w:cs="Times New Roman"/>
          <w:i w:val="0"/>
          <w:lang w:val="es-MX"/>
        </w:rPr>
        <w:t>–</w:t>
      </w:r>
      <w:r w:rsidR="002511B5" w:rsidRPr="00E21B41">
        <w:rPr>
          <w:rFonts w:cs="Times New Roman"/>
          <w:i w:val="0"/>
          <w:lang w:val="es-MX"/>
        </w:rPr>
        <w:t>477; Grade 5</w:t>
      </w:r>
      <w:r w:rsidR="00237E4C">
        <w:rPr>
          <w:rFonts w:cs="Times New Roman"/>
          <w:i w:val="0"/>
          <w:lang w:val="es-MX"/>
        </w:rPr>
        <w:t xml:space="preserve">, SE/TE </w:t>
      </w:r>
      <w:r w:rsidR="005062BB">
        <w:rPr>
          <w:rFonts w:cs="Times New Roman"/>
          <w:i w:val="0"/>
          <w:lang w:val="es-MX"/>
        </w:rPr>
        <w:t xml:space="preserve">pp. </w:t>
      </w:r>
      <w:r w:rsidR="00237E4C">
        <w:rPr>
          <w:rFonts w:cs="Times New Roman"/>
          <w:i w:val="0"/>
          <w:lang w:val="es-MX"/>
        </w:rPr>
        <w:t>478</w:t>
      </w:r>
      <w:r w:rsidR="00237E4C" w:rsidRPr="00E21B41">
        <w:rPr>
          <w:rFonts w:cs="Times New Roman"/>
          <w:i w:val="0"/>
          <w:lang w:val="es-MX"/>
        </w:rPr>
        <w:t>–</w:t>
      </w:r>
      <w:r w:rsidR="004F1FA1">
        <w:rPr>
          <w:rFonts w:cs="Times New Roman"/>
          <w:i w:val="0"/>
          <w:lang w:val="es-MX"/>
        </w:rPr>
        <w:t>481</w:t>
      </w:r>
      <w:r w:rsidR="002511B5" w:rsidRPr="00E21B41">
        <w:rPr>
          <w:rFonts w:cs="Times New Roman"/>
          <w:i w:val="0"/>
          <w:lang w:val="es-MX"/>
        </w:rPr>
        <w:t>.</w:t>
      </w:r>
      <w:r w:rsidRPr="00E21B41">
        <w:rPr>
          <w:rFonts w:cs="Times New Roman"/>
          <w:i w:val="0"/>
          <w:lang w:val="es-MX"/>
        </w:rPr>
        <w:t xml:space="preserve"> </w:t>
      </w:r>
      <w:r w:rsidRPr="00E06227">
        <w:rPr>
          <w:rFonts w:cs="Times New Roman"/>
          <w:i w:val="0"/>
        </w:rPr>
        <w:t xml:space="preserve">We found examples where standards were covered across the </w:t>
      </w:r>
      <w:r w:rsidR="00045F2C">
        <w:rPr>
          <w:rFonts w:cs="Times New Roman"/>
          <w:i w:val="0"/>
        </w:rPr>
        <w:t>D</w:t>
      </w:r>
      <w:r w:rsidRPr="00E06227">
        <w:rPr>
          <w:rFonts w:cs="Times New Roman"/>
          <w:i w:val="0"/>
        </w:rPr>
        <w:t xml:space="preserve">isciplinary </w:t>
      </w:r>
      <w:r w:rsidR="00045F2C">
        <w:rPr>
          <w:rFonts w:cs="Times New Roman"/>
          <w:i w:val="0"/>
        </w:rPr>
        <w:t>C</w:t>
      </w:r>
      <w:r w:rsidRPr="00E06227">
        <w:rPr>
          <w:rFonts w:cs="Times New Roman"/>
          <w:i w:val="0"/>
        </w:rPr>
        <w:t xml:space="preserve">ore </w:t>
      </w:r>
      <w:r w:rsidR="00045F2C">
        <w:rPr>
          <w:rFonts w:cs="Times New Roman"/>
          <w:i w:val="0"/>
        </w:rPr>
        <w:t>I</w:t>
      </w:r>
      <w:r w:rsidRPr="00E06227">
        <w:rPr>
          <w:rFonts w:cs="Times New Roman"/>
          <w:i w:val="0"/>
        </w:rPr>
        <w:t>deas</w:t>
      </w:r>
      <w:r w:rsidR="00045F2C">
        <w:rPr>
          <w:rFonts w:cs="Times New Roman"/>
          <w:i w:val="0"/>
        </w:rPr>
        <w:t xml:space="preserve"> (DCIs)</w:t>
      </w:r>
      <w:r w:rsidR="00237E4C">
        <w:rPr>
          <w:rFonts w:cs="Times New Roman"/>
          <w:i w:val="0"/>
        </w:rPr>
        <w:t xml:space="preserve">, </w:t>
      </w:r>
      <w:r w:rsidR="00045F2C">
        <w:rPr>
          <w:rFonts w:cs="Times New Roman"/>
          <w:i w:val="0"/>
        </w:rPr>
        <w:t>C</w:t>
      </w:r>
      <w:r w:rsidR="00237E4C">
        <w:rPr>
          <w:rFonts w:cs="Times New Roman"/>
          <w:i w:val="0"/>
        </w:rPr>
        <w:t xml:space="preserve">ross </w:t>
      </w:r>
      <w:r w:rsidR="00045F2C">
        <w:rPr>
          <w:rFonts w:cs="Times New Roman"/>
          <w:i w:val="0"/>
        </w:rPr>
        <w:t>C</w:t>
      </w:r>
      <w:r w:rsidR="00237E4C">
        <w:rPr>
          <w:rFonts w:cs="Times New Roman"/>
          <w:i w:val="0"/>
        </w:rPr>
        <w:t>utting concepts</w:t>
      </w:r>
      <w:r w:rsidR="00045F2C">
        <w:rPr>
          <w:rFonts w:cs="Times New Roman"/>
          <w:i w:val="0"/>
        </w:rPr>
        <w:t xml:space="preserve"> (CCCs)</w:t>
      </w:r>
      <w:r w:rsidR="00237E4C">
        <w:rPr>
          <w:rFonts w:cs="Times New Roman"/>
          <w:i w:val="0"/>
        </w:rPr>
        <w:t xml:space="preserve">, </w:t>
      </w:r>
      <w:r w:rsidR="00045F2C">
        <w:rPr>
          <w:rFonts w:cs="Times New Roman"/>
          <w:i w:val="0"/>
        </w:rPr>
        <w:t>S</w:t>
      </w:r>
      <w:r w:rsidR="00237E4C">
        <w:rPr>
          <w:rFonts w:cs="Times New Roman"/>
          <w:i w:val="0"/>
        </w:rPr>
        <w:t xml:space="preserve">cience and </w:t>
      </w:r>
      <w:r w:rsidR="00045F2C">
        <w:rPr>
          <w:rFonts w:cs="Times New Roman"/>
          <w:i w:val="0"/>
        </w:rPr>
        <w:t>E</w:t>
      </w:r>
      <w:r w:rsidR="00237E4C">
        <w:rPr>
          <w:rFonts w:cs="Times New Roman"/>
          <w:i w:val="0"/>
        </w:rPr>
        <w:t xml:space="preserve">ngineering </w:t>
      </w:r>
      <w:r w:rsidR="00045F2C">
        <w:rPr>
          <w:rFonts w:cs="Times New Roman"/>
          <w:i w:val="0"/>
        </w:rPr>
        <w:t>P</w:t>
      </w:r>
      <w:r w:rsidR="00237E4C">
        <w:rPr>
          <w:rFonts w:cs="Times New Roman"/>
          <w:i w:val="0"/>
        </w:rPr>
        <w:t>ractices</w:t>
      </w:r>
      <w:r w:rsidR="00045F2C">
        <w:rPr>
          <w:rFonts w:cs="Times New Roman"/>
          <w:i w:val="0"/>
        </w:rPr>
        <w:t xml:space="preserve"> (SEPs)</w:t>
      </w:r>
      <w:r w:rsidR="00237E4C">
        <w:rPr>
          <w:rFonts w:cs="Times New Roman"/>
          <w:i w:val="0"/>
        </w:rPr>
        <w:t xml:space="preserve">, and </w:t>
      </w:r>
      <w:r w:rsidR="00045F2C">
        <w:rPr>
          <w:rFonts w:cs="Times New Roman"/>
          <w:i w:val="0"/>
        </w:rPr>
        <w:t>P</w:t>
      </w:r>
      <w:r w:rsidR="00237E4C">
        <w:rPr>
          <w:rFonts w:cs="Times New Roman"/>
          <w:i w:val="0"/>
        </w:rPr>
        <w:t xml:space="preserve">erformance </w:t>
      </w:r>
      <w:r w:rsidR="00045F2C">
        <w:rPr>
          <w:rFonts w:cs="Times New Roman"/>
          <w:i w:val="0"/>
        </w:rPr>
        <w:t>E</w:t>
      </w:r>
      <w:r w:rsidR="00237E4C">
        <w:rPr>
          <w:rFonts w:cs="Times New Roman"/>
          <w:i w:val="0"/>
        </w:rPr>
        <w:t>xpectations</w:t>
      </w:r>
      <w:r w:rsidR="00045F2C">
        <w:rPr>
          <w:rFonts w:cs="Times New Roman"/>
          <w:i w:val="0"/>
        </w:rPr>
        <w:t xml:space="preserve"> (PEs)</w:t>
      </w:r>
      <w:r w:rsidRPr="00E06227">
        <w:rPr>
          <w:rFonts w:cs="Times New Roman"/>
          <w:i w:val="0"/>
        </w:rPr>
        <w:t>.</w:t>
      </w:r>
    </w:p>
    <w:p w:rsidR="00F21D15" w:rsidRDefault="00E06227" w:rsidP="004E513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E06227">
        <w:rPr>
          <w:rFonts w:cs="Times New Roman"/>
          <w:i w:val="0"/>
        </w:rPr>
        <w:t xml:space="preserve">Criterion 1.2: Grade 5, SE/TE </w:t>
      </w:r>
      <w:r w:rsidR="005062BB">
        <w:rPr>
          <w:rFonts w:cs="Times New Roman"/>
          <w:i w:val="0"/>
        </w:rPr>
        <w:t xml:space="preserve">pp. </w:t>
      </w:r>
      <w:r w:rsidRPr="00E06227">
        <w:rPr>
          <w:rFonts w:cs="Times New Roman"/>
          <w:i w:val="0"/>
        </w:rPr>
        <w:t>216–218. Three integrated dimensions are contained through SEPs, CCCs</w:t>
      </w:r>
      <w:r w:rsidR="00B16002">
        <w:rPr>
          <w:rFonts w:cs="Times New Roman"/>
          <w:i w:val="0"/>
        </w:rPr>
        <w:t>, and DCIs with</w:t>
      </w:r>
      <w:r w:rsidRPr="00E06227">
        <w:rPr>
          <w:rFonts w:cs="Times New Roman"/>
          <w:i w:val="0"/>
        </w:rPr>
        <w:t xml:space="preserve"> hands-on activity.</w:t>
      </w:r>
    </w:p>
    <w:p w:rsidR="00F21D15" w:rsidRPr="00F21D15" w:rsidRDefault="00F21D15" w:rsidP="00F21D15">
      <w:pPr>
        <w:pStyle w:val="Footer"/>
        <w:jc w:val="right"/>
        <w:rPr>
          <w:i w:val="0"/>
          <w:iCs w:val="0"/>
        </w:rPr>
      </w:pPr>
      <w:r>
        <w:rPr>
          <w:rStyle w:val="PageNumber"/>
          <w:i w:val="0"/>
          <w:iCs w:val="0"/>
        </w:rPr>
        <w:t>1</w:t>
      </w:r>
    </w:p>
    <w:p w:rsidR="00E06227" w:rsidRDefault="00E06227" w:rsidP="00F21D15">
      <w:pPr>
        <w:pStyle w:val="Header"/>
        <w:tabs>
          <w:tab w:val="clear" w:pos="4320"/>
          <w:tab w:val="clear" w:pos="8640"/>
        </w:tabs>
        <w:spacing w:after="240"/>
        <w:ind w:left="1440"/>
        <w:rPr>
          <w:rFonts w:cs="Times New Roman"/>
          <w:i w:val="0"/>
        </w:rPr>
      </w:pPr>
    </w:p>
    <w:p w:rsidR="00E06227" w:rsidRPr="001E3C53" w:rsidRDefault="00E06227" w:rsidP="00E0622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lastRenderedPageBreak/>
        <w:t xml:space="preserve">Criterion </w:t>
      </w:r>
      <w:r w:rsidRPr="001E3C53">
        <w:rPr>
          <w:rFonts w:cs="Times New Roman"/>
          <w:i w:val="0"/>
        </w:rPr>
        <w:t xml:space="preserve">1.4: Grade 2, TE </w:t>
      </w:r>
      <w:r w:rsidR="005062BB">
        <w:rPr>
          <w:rFonts w:cs="Times New Roman"/>
          <w:i w:val="0"/>
        </w:rPr>
        <w:t xml:space="preserve">p. </w:t>
      </w:r>
      <w:r w:rsidRPr="001E3C53">
        <w:rPr>
          <w:rFonts w:cs="Times New Roman"/>
          <w:i w:val="0"/>
        </w:rPr>
        <w:t>241</w:t>
      </w:r>
      <w:r w:rsidR="00A2653B">
        <w:rPr>
          <w:rFonts w:cs="Times New Roman"/>
          <w:i w:val="0"/>
        </w:rPr>
        <w:t>A</w:t>
      </w:r>
      <w:r w:rsidRPr="001E3C53">
        <w:rPr>
          <w:rFonts w:cs="Times New Roman"/>
          <w:i w:val="0"/>
        </w:rPr>
        <w:t>. Instructional resources progressively build students’ abilities to meet all grade-level PE</w:t>
      </w:r>
      <w:r w:rsidR="00045F2C">
        <w:rPr>
          <w:rFonts w:cs="Times New Roman"/>
          <w:i w:val="0"/>
        </w:rPr>
        <w:t>s</w:t>
      </w:r>
      <w:r w:rsidRPr="001E3C53">
        <w:rPr>
          <w:rFonts w:cs="Times New Roman"/>
          <w:i w:val="0"/>
        </w:rPr>
        <w:t>.</w:t>
      </w:r>
    </w:p>
    <w:p w:rsidR="004961B0" w:rsidRPr="002A0C81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>
        <w:rPr>
          <w:rFonts w:cs="Times New Roman"/>
          <w:i w:val="0"/>
          <w:lang w:val="es-MX"/>
        </w:rPr>
        <w:t xml:space="preserve"> </w:t>
      </w:r>
      <w:r w:rsidR="003F5D42" w:rsidRPr="002A0C81">
        <w:rPr>
          <w:rFonts w:cs="Times New Roman"/>
          <w:i w:val="0"/>
          <w:lang w:val="es-MX"/>
        </w:rPr>
        <w:t>1</w:t>
      </w:r>
      <w:r w:rsidR="002A0C81" w:rsidRPr="002A0C81">
        <w:rPr>
          <w:rFonts w:cs="Times New Roman"/>
          <w:i w:val="0"/>
          <w:lang w:val="es-MX"/>
        </w:rPr>
        <w:t>.5</w:t>
      </w:r>
      <w:r w:rsidR="003F5D42" w:rsidRPr="002A0C81">
        <w:rPr>
          <w:rFonts w:cs="Times New Roman"/>
          <w:i w:val="0"/>
          <w:lang w:val="es-MX"/>
        </w:rPr>
        <w:t xml:space="preserve">: Grade </w:t>
      </w:r>
      <w:r w:rsidR="002A0C81" w:rsidRPr="002A0C81">
        <w:rPr>
          <w:rFonts w:cs="Times New Roman"/>
          <w:i w:val="0"/>
          <w:lang w:val="es-MX"/>
        </w:rPr>
        <w:t>K</w:t>
      </w:r>
      <w:r w:rsidR="003F5D42" w:rsidRPr="002A0C81">
        <w:rPr>
          <w:rFonts w:cs="Times New Roman"/>
          <w:i w:val="0"/>
          <w:lang w:val="es-MX"/>
        </w:rPr>
        <w:t>,</w:t>
      </w:r>
      <w:r w:rsidR="002A0C81" w:rsidRPr="002A0C81">
        <w:rPr>
          <w:rFonts w:cs="Times New Roman"/>
          <w:i w:val="0"/>
          <w:lang w:val="es-MX"/>
        </w:rPr>
        <w:t xml:space="preserve"> SE/TE </w:t>
      </w:r>
      <w:r w:rsidR="005062BB">
        <w:rPr>
          <w:rFonts w:cs="Times New Roman"/>
          <w:i w:val="0"/>
          <w:lang w:val="es-MX"/>
        </w:rPr>
        <w:t xml:space="preserve">pp. </w:t>
      </w:r>
      <w:r w:rsidR="002A0C81" w:rsidRPr="002A0C81">
        <w:rPr>
          <w:rFonts w:cs="Times New Roman"/>
          <w:i w:val="0"/>
          <w:lang w:val="es-MX"/>
        </w:rPr>
        <w:t>3</w:t>
      </w:r>
      <w:r w:rsidR="004F1FA1">
        <w:rPr>
          <w:rFonts w:cs="Times New Roman"/>
          <w:i w:val="0"/>
          <w:lang w:val="es-MX"/>
        </w:rPr>
        <w:t>3</w:t>
      </w:r>
      <w:r w:rsidR="001E3C53" w:rsidRPr="001E3C53">
        <w:rPr>
          <w:rFonts w:cs="Times New Roman"/>
          <w:lang w:val="es-MX"/>
        </w:rPr>
        <w:t>–</w:t>
      </w:r>
      <w:r w:rsidR="002A0C81" w:rsidRPr="002A0C81">
        <w:rPr>
          <w:rFonts w:cs="Times New Roman"/>
          <w:i w:val="0"/>
          <w:lang w:val="es-MX"/>
        </w:rPr>
        <w:t xml:space="preserve">37; Grade 4, SE/TE </w:t>
      </w:r>
      <w:r w:rsidR="005062BB">
        <w:rPr>
          <w:rFonts w:cs="Times New Roman"/>
          <w:i w:val="0"/>
          <w:lang w:val="es-MX"/>
        </w:rPr>
        <w:t xml:space="preserve">pp. </w:t>
      </w:r>
      <w:r w:rsidR="002A0C81" w:rsidRPr="002A0C81">
        <w:rPr>
          <w:rFonts w:cs="Times New Roman"/>
          <w:i w:val="0"/>
          <w:lang w:val="es-MX"/>
        </w:rPr>
        <w:t>69</w:t>
      </w:r>
      <w:r w:rsidR="001E3C53" w:rsidRPr="001E3C53">
        <w:rPr>
          <w:rFonts w:cs="Times New Roman"/>
          <w:lang w:val="es-MX"/>
        </w:rPr>
        <w:t>–</w:t>
      </w:r>
      <w:r w:rsidR="002A0C81" w:rsidRPr="002A0C81">
        <w:rPr>
          <w:rFonts w:cs="Times New Roman"/>
          <w:i w:val="0"/>
          <w:lang w:val="es-MX"/>
        </w:rPr>
        <w:t>71</w:t>
      </w:r>
      <w:r w:rsidR="003F5D42" w:rsidRPr="002A0C81">
        <w:rPr>
          <w:rFonts w:cs="Times New Roman"/>
          <w:i w:val="0"/>
          <w:lang w:val="es-MX"/>
        </w:rPr>
        <w:t>.</w:t>
      </w:r>
      <w:r w:rsidR="002A0C81">
        <w:rPr>
          <w:rFonts w:cs="Times New Roman"/>
          <w:i w:val="0"/>
          <w:lang w:val="es-MX"/>
        </w:rPr>
        <w:t xml:space="preserve"> </w:t>
      </w:r>
      <w:r w:rsidR="002A0C81" w:rsidRPr="002A0C81">
        <w:rPr>
          <w:rFonts w:cs="Times New Roman"/>
          <w:i w:val="0"/>
        </w:rPr>
        <w:t>Teacher resources helped en</w:t>
      </w:r>
      <w:r w:rsidR="00237E4C">
        <w:rPr>
          <w:rFonts w:cs="Times New Roman"/>
          <w:i w:val="0"/>
        </w:rPr>
        <w:t>gage students in learning with</w:t>
      </w:r>
      <w:r w:rsidR="005062BB">
        <w:rPr>
          <w:rFonts w:cs="Times New Roman"/>
          <w:i w:val="0"/>
        </w:rPr>
        <w:t xml:space="preserve"> rubrics and questioning.</w:t>
      </w:r>
    </w:p>
    <w:p w:rsidR="002A0C81" w:rsidRPr="00BF53B1" w:rsidRDefault="00E06227" w:rsidP="002306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2A0C81" w:rsidRPr="001E3C53">
        <w:rPr>
          <w:rFonts w:cs="Times New Roman"/>
          <w:i w:val="0"/>
        </w:rPr>
        <w:t>1.7</w:t>
      </w:r>
      <w:r w:rsidR="003F5D42" w:rsidRPr="001E3C53">
        <w:rPr>
          <w:rFonts w:cs="Times New Roman"/>
          <w:i w:val="0"/>
        </w:rPr>
        <w:t xml:space="preserve">: Grade </w:t>
      </w:r>
      <w:r w:rsidR="002A0C81" w:rsidRPr="001E3C53">
        <w:rPr>
          <w:rFonts w:cs="Times New Roman"/>
          <w:i w:val="0"/>
        </w:rPr>
        <w:t>1</w:t>
      </w:r>
      <w:r w:rsidR="003F5D42" w:rsidRPr="001E3C53">
        <w:rPr>
          <w:rFonts w:cs="Times New Roman"/>
          <w:i w:val="0"/>
        </w:rPr>
        <w:t xml:space="preserve">, </w:t>
      </w:r>
      <w:r w:rsidR="002A0C81" w:rsidRPr="001E3C53">
        <w:rPr>
          <w:rFonts w:cs="Times New Roman"/>
          <w:i w:val="0"/>
        </w:rPr>
        <w:t xml:space="preserve">SE/TE </w:t>
      </w:r>
      <w:r w:rsidR="005062BB">
        <w:rPr>
          <w:rFonts w:cs="Times New Roman"/>
          <w:i w:val="0"/>
        </w:rPr>
        <w:t xml:space="preserve">pp. </w:t>
      </w:r>
      <w:r w:rsidR="002A0C81" w:rsidRPr="001E3C53">
        <w:rPr>
          <w:rFonts w:cs="Times New Roman"/>
          <w:i w:val="0"/>
        </w:rPr>
        <w:t>185</w:t>
      </w:r>
      <w:r w:rsidR="001E3C53" w:rsidRPr="001E3C53">
        <w:rPr>
          <w:rFonts w:cs="Times New Roman"/>
          <w:i w:val="0"/>
        </w:rPr>
        <w:t>–</w:t>
      </w:r>
      <w:r w:rsidR="002A0C81" w:rsidRPr="001E3C53">
        <w:rPr>
          <w:rFonts w:cs="Times New Roman"/>
          <w:i w:val="0"/>
        </w:rPr>
        <w:t xml:space="preserve">186. Take </w:t>
      </w:r>
      <w:r w:rsidR="008B0AB7">
        <w:rPr>
          <w:rFonts w:cs="Times New Roman"/>
          <w:i w:val="0"/>
        </w:rPr>
        <w:t>I</w:t>
      </w:r>
      <w:r w:rsidR="002A0C81" w:rsidRPr="001E3C53">
        <w:rPr>
          <w:rFonts w:cs="Times New Roman"/>
          <w:i w:val="0"/>
        </w:rPr>
        <w:t xml:space="preserve">t Further Activity highlights scientific research and is integrated into </w:t>
      </w:r>
      <w:r w:rsidR="00045F2C">
        <w:rPr>
          <w:rFonts w:cs="Times New Roman"/>
          <w:i w:val="0"/>
        </w:rPr>
        <w:t>Three-Dimensional</w:t>
      </w:r>
      <w:r w:rsidR="002A0C81" w:rsidRPr="001E3C53">
        <w:rPr>
          <w:rFonts w:cs="Times New Roman"/>
          <w:i w:val="0"/>
        </w:rPr>
        <w:t xml:space="preserve"> Learning.</w:t>
      </w:r>
    </w:p>
    <w:p w:rsidR="002A0C81" w:rsidRPr="001E3C53" w:rsidRDefault="00E06227" w:rsidP="002306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>
        <w:rPr>
          <w:rFonts w:cs="Times New Roman"/>
          <w:i w:val="0"/>
          <w:lang w:val="es-MX"/>
        </w:rPr>
        <w:t xml:space="preserve"> </w:t>
      </w:r>
      <w:r w:rsidR="002A0C81" w:rsidRPr="001E3C53">
        <w:rPr>
          <w:rFonts w:cs="Times New Roman"/>
          <w:i w:val="0"/>
          <w:lang w:val="es-MX"/>
        </w:rPr>
        <w:t xml:space="preserve">1.8: Grade 3, SE/TE </w:t>
      </w:r>
      <w:r w:rsidR="005062BB">
        <w:rPr>
          <w:rFonts w:cs="Times New Roman"/>
          <w:i w:val="0"/>
          <w:lang w:val="es-MX"/>
        </w:rPr>
        <w:t xml:space="preserve">p. </w:t>
      </w:r>
      <w:r w:rsidR="002A0C81" w:rsidRPr="001E3C53">
        <w:rPr>
          <w:rFonts w:cs="Times New Roman"/>
          <w:i w:val="0"/>
          <w:lang w:val="es-MX"/>
        </w:rPr>
        <w:t>349</w:t>
      </w:r>
      <w:r w:rsidR="002A0C81" w:rsidRPr="00BF53B1">
        <w:rPr>
          <w:rFonts w:cs="Times New Roman"/>
          <w:i w:val="0"/>
        </w:rPr>
        <w:t xml:space="preserve"> </w:t>
      </w:r>
      <w:r w:rsidR="000003AC" w:rsidRPr="00BF53B1">
        <w:rPr>
          <w:rFonts w:cs="Times New Roman"/>
          <w:i w:val="0"/>
        </w:rPr>
        <w:t>Evidence</w:t>
      </w:r>
      <w:r w:rsidR="002A0C81" w:rsidRPr="001E3C53">
        <w:rPr>
          <w:rFonts w:cs="Times New Roman"/>
          <w:i w:val="0"/>
          <w:lang w:val="es-MX"/>
        </w:rPr>
        <w:t xml:space="preserve"> Notebook. </w:t>
      </w:r>
      <w:r w:rsidR="002A0C81" w:rsidRPr="001E3C53">
        <w:rPr>
          <w:rFonts w:cs="Times New Roman"/>
          <w:i w:val="0"/>
        </w:rPr>
        <w:t>Instructional resources use real world phenomena allowing students to investigate, model and explain using DCI</w:t>
      </w:r>
      <w:r w:rsidR="00045F2C">
        <w:rPr>
          <w:rFonts w:cs="Times New Roman"/>
          <w:i w:val="0"/>
        </w:rPr>
        <w:t>s</w:t>
      </w:r>
      <w:r w:rsidR="002A0C81" w:rsidRPr="001E3C53">
        <w:rPr>
          <w:rFonts w:cs="Times New Roman"/>
          <w:i w:val="0"/>
        </w:rPr>
        <w:t xml:space="preserve"> and CCC</w:t>
      </w:r>
      <w:r w:rsidR="00045F2C">
        <w:rPr>
          <w:rFonts w:cs="Times New Roman"/>
          <w:i w:val="0"/>
        </w:rPr>
        <w:t>s</w:t>
      </w:r>
      <w:r w:rsidR="002A0C81" w:rsidRPr="001E3C53">
        <w:rPr>
          <w:rFonts w:cs="Times New Roman"/>
          <w:i w:val="0"/>
        </w:rPr>
        <w:t>.</w:t>
      </w:r>
    </w:p>
    <w:p w:rsidR="00860E81" w:rsidRPr="00E72D59" w:rsidRDefault="00860E81" w:rsidP="00C942C4">
      <w:pPr>
        <w:pStyle w:val="Heading2"/>
      </w:pPr>
      <w:r>
        <w:t>Criteria Category 2: Program Organization</w:t>
      </w:r>
    </w:p>
    <w:p w:rsidR="00860E81" w:rsidRDefault="00860E8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40716F">
        <w:rPr>
          <w:i w:val="0"/>
        </w:rPr>
        <w:t>The organization and features of the instructional materials</w:t>
      </w:r>
      <w:r w:rsidR="007272F2">
        <w:rPr>
          <w:i w:val="0"/>
        </w:rPr>
        <w:t xml:space="preserve"> </w:t>
      </w:r>
      <w:r w:rsidR="007272F2" w:rsidRPr="00407006">
        <w:rPr>
          <w:i w:val="0"/>
        </w:rPr>
        <w:t>support</w:t>
      </w:r>
      <w:r w:rsidRPr="0040716F">
        <w:t xml:space="preserve"> </w:t>
      </w:r>
      <w:r w:rsidRPr="0040716F">
        <w:rPr>
          <w:i w:val="0"/>
        </w:rPr>
        <w:t xml:space="preserve">instruction and learning of the </w:t>
      </w:r>
      <w:r w:rsidR="00BB68B1" w:rsidRPr="00C942C4">
        <w:t>CA NGSS</w:t>
      </w:r>
      <w:r w:rsidRPr="0040716F">
        <w:rPr>
          <w:i w:val="0"/>
        </w:rPr>
        <w:t>.</w:t>
      </w:r>
    </w:p>
    <w:p w:rsidR="00860E81" w:rsidRDefault="00860E81" w:rsidP="00860E81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E06227" w:rsidRPr="00BF53B1" w:rsidRDefault="00E06227" w:rsidP="00E0622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2.2: Grade 3, TE </w:t>
      </w:r>
      <w:r w:rsidR="005062BB">
        <w:rPr>
          <w:rFonts w:cs="Times New Roman"/>
          <w:i w:val="0"/>
        </w:rPr>
        <w:t xml:space="preserve">p. </w:t>
      </w:r>
      <w:r>
        <w:rPr>
          <w:rFonts w:cs="Times New Roman"/>
          <w:i w:val="0"/>
        </w:rPr>
        <w:t>230. Teacher questioning is effectively used to assess student knowledge and to promote student discourse and learning through the CCC</w:t>
      </w:r>
      <w:r w:rsidR="00045F2C">
        <w:rPr>
          <w:rFonts w:cs="Times New Roman"/>
          <w:i w:val="0"/>
        </w:rPr>
        <w:t>s</w:t>
      </w:r>
      <w:r w:rsidR="00BF53B1">
        <w:rPr>
          <w:rFonts w:cs="Times New Roman"/>
          <w:i w:val="0"/>
        </w:rPr>
        <w:t>.</w:t>
      </w:r>
    </w:p>
    <w:p w:rsidR="0087609C" w:rsidRPr="00BF53B1" w:rsidRDefault="00E06227" w:rsidP="0087609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>
        <w:rPr>
          <w:rFonts w:cs="Times New Roman"/>
          <w:i w:val="0"/>
          <w:lang w:val="es-MX"/>
        </w:rPr>
        <w:t xml:space="preserve"> 2.4: Grade 5, SE/TE </w:t>
      </w:r>
      <w:r w:rsidR="005062BB">
        <w:rPr>
          <w:rFonts w:cs="Times New Roman"/>
          <w:i w:val="0"/>
          <w:lang w:val="es-MX"/>
        </w:rPr>
        <w:t xml:space="preserve">p. </w:t>
      </w:r>
      <w:r>
        <w:rPr>
          <w:rFonts w:cs="Times New Roman"/>
          <w:i w:val="0"/>
          <w:lang w:val="es-MX"/>
        </w:rPr>
        <w:t>93</w:t>
      </w:r>
      <w:r w:rsidRPr="00BF53B1">
        <w:rPr>
          <w:rFonts w:cs="Times New Roman"/>
          <w:i w:val="0"/>
        </w:rPr>
        <w:t xml:space="preserve"> Evidence</w:t>
      </w:r>
      <w:r w:rsidRPr="006711F0">
        <w:rPr>
          <w:rFonts w:cs="Times New Roman"/>
          <w:i w:val="0"/>
          <w:lang w:val="es-MX"/>
        </w:rPr>
        <w:t xml:space="preserve"> Notebook. </w:t>
      </w:r>
      <w:r w:rsidR="00A609D5" w:rsidRPr="00A609D5">
        <w:rPr>
          <w:rFonts w:cs="Times New Roman"/>
          <w:i w:val="0"/>
        </w:rPr>
        <w:t xml:space="preserve">The </w:t>
      </w:r>
      <w:r w:rsidR="00A609D5">
        <w:rPr>
          <w:rFonts w:cs="Times New Roman"/>
          <w:i w:val="0"/>
        </w:rPr>
        <w:t>t</w:t>
      </w:r>
      <w:r w:rsidR="00A609D5" w:rsidRPr="00A609D5">
        <w:rPr>
          <w:rFonts w:cs="Times New Roman"/>
          <w:i w:val="0"/>
        </w:rPr>
        <w:t>extbook</w:t>
      </w:r>
      <w:r w:rsidR="00A609D5">
        <w:rPr>
          <w:rFonts w:cs="Times New Roman"/>
          <w:i w:val="0"/>
        </w:rPr>
        <w:t xml:space="preserve"> c</w:t>
      </w:r>
      <w:r w:rsidR="0087609C" w:rsidRPr="0087609C">
        <w:rPr>
          <w:rFonts w:cs="Times New Roman"/>
          <w:i w:val="0"/>
        </w:rPr>
        <w:t>ontains resources for teachers guiding them to ask students questions for writing evidenc</w:t>
      </w:r>
      <w:r w:rsidR="00BF53B1">
        <w:rPr>
          <w:rFonts w:cs="Times New Roman"/>
          <w:i w:val="0"/>
        </w:rPr>
        <w:t>e.</w:t>
      </w:r>
    </w:p>
    <w:p w:rsidR="00E06227" w:rsidRPr="006711F0" w:rsidRDefault="00E06227" w:rsidP="00E0622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>
        <w:rPr>
          <w:rFonts w:cs="Times New Roman"/>
          <w:i w:val="0"/>
          <w:lang w:val="es-MX"/>
        </w:rPr>
        <w:t xml:space="preserve"> </w:t>
      </w:r>
      <w:r w:rsidRPr="006711F0">
        <w:rPr>
          <w:rFonts w:cs="Times New Roman"/>
          <w:i w:val="0"/>
          <w:lang w:val="es-MX"/>
        </w:rPr>
        <w:t xml:space="preserve">2.5: Grade 2, TE </w:t>
      </w:r>
      <w:r w:rsidR="005062BB">
        <w:rPr>
          <w:rFonts w:cs="Times New Roman"/>
          <w:i w:val="0"/>
          <w:lang w:val="es-MX"/>
        </w:rPr>
        <w:t xml:space="preserve">pp. </w:t>
      </w:r>
      <w:r w:rsidRPr="006711F0">
        <w:rPr>
          <w:rFonts w:cs="Times New Roman"/>
          <w:i w:val="0"/>
          <w:lang w:val="es-MX"/>
        </w:rPr>
        <w:t>T26–T30.</w:t>
      </w:r>
      <w:r>
        <w:rPr>
          <w:rFonts w:cs="Times New Roman"/>
          <w:i w:val="0"/>
          <w:lang w:val="es-MX"/>
        </w:rPr>
        <w:t xml:space="preserve"> </w:t>
      </w:r>
      <w:r w:rsidRPr="006711F0">
        <w:rPr>
          <w:rFonts w:cs="Times New Roman"/>
          <w:i w:val="0"/>
        </w:rPr>
        <w:t xml:space="preserve">The teacher materials provide a detailed pacing guide for each </w:t>
      </w:r>
      <w:r>
        <w:rPr>
          <w:rFonts w:cs="Times New Roman"/>
          <w:i w:val="0"/>
        </w:rPr>
        <w:t>g</w:t>
      </w:r>
      <w:r w:rsidRPr="006711F0">
        <w:rPr>
          <w:rFonts w:cs="Times New Roman"/>
          <w:i w:val="0"/>
        </w:rPr>
        <w:t>rade level</w:t>
      </w:r>
      <w:r>
        <w:rPr>
          <w:rFonts w:cs="Times New Roman"/>
          <w:i w:val="0"/>
        </w:rPr>
        <w:t xml:space="preserve"> with a few different options for teachers to utilize to</w:t>
      </w:r>
      <w:r w:rsidR="00BF53B1">
        <w:rPr>
          <w:rFonts w:cs="Times New Roman"/>
          <w:i w:val="0"/>
        </w:rPr>
        <w:t xml:space="preserve"> cover 180 days of instruction.</w:t>
      </w:r>
    </w:p>
    <w:p w:rsidR="003F5D42" w:rsidRPr="00BF53B1" w:rsidRDefault="001E3C53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2.9</w:t>
      </w:r>
      <w:r w:rsidR="003F5D42">
        <w:rPr>
          <w:rFonts w:cs="Times New Roman"/>
          <w:i w:val="0"/>
        </w:rPr>
        <w:t xml:space="preserve">: Grade </w:t>
      </w:r>
      <w:r>
        <w:rPr>
          <w:rFonts w:cs="Times New Roman"/>
          <w:i w:val="0"/>
        </w:rPr>
        <w:t>K</w:t>
      </w:r>
      <w:r w:rsidRPr="001E3C53">
        <w:rPr>
          <w:rFonts w:cs="Times New Roman"/>
          <w:i w:val="0"/>
        </w:rPr>
        <w:t>–</w:t>
      </w:r>
      <w:r>
        <w:rPr>
          <w:rFonts w:cs="Times New Roman"/>
          <w:i w:val="0"/>
        </w:rPr>
        <w:t>5</w:t>
      </w:r>
      <w:r w:rsidR="00045F2C">
        <w:rPr>
          <w:rFonts w:cs="Times New Roman"/>
          <w:i w:val="0"/>
        </w:rPr>
        <w:t xml:space="preserve">, </w:t>
      </w:r>
      <w:r w:rsidR="00045F2C" w:rsidRPr="00045F2C">
        <w:rPr>
          <w:rFonts w:cs="Arial"/>
          <w:i w:val="0"/>
          <w:color w:val="000000" w:themeColor="text1"/>
        </w:rPr>
        <w:t>California Student Online Interactive Digital Curriculum</w:t>
      </w:r>
      <w:r w:rsidR="00045F2C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045F2C">
        <w:rPr>
          <w:rFonts w:cs="Times New Roman"/>
          <w:i w:val="0"/>
        </w:rPr>
        <w:t>O</w:t>
      </w:r>
      <w:r>
        <w:rPr>
          <w:rFonts w:cs="Times New Roman"/>
          <w:i w:val="0"/>
        </w:rPr>
        <w:t>nline simulations on science dimensions hmhco.com website</w:t>
      </w:r>
      <w:r w:rsidR="00237E4C">
        <w:rPr>
          <w:rFonts w:cs="Times New Roman"/>
          <w:i w:val="0"/>
        </w:rPr>
        <w:t>, provide m</w:t>
      </w:r>
      <w:r>
        <w:rPr>
          <w:rFonts w:cs="Times New Roman"/>
          <w:i w:val="0"/>
        </w:rPr>
        <w:t>eaningful use of techn</w:t>
      </w:r>
      <w:r w:rsidR="00BF53B1">
        <w:rPr>
          <w:rFonts w:cs="Times New Roman"/>
          <w:i w:val="0"/>
        </w:rPr>
        <w:t>ology to investigate phenomena.</w:t>
      </w:r>
    </w:p>
    <w:p w:rsidR="003F5D42" w:rsidRPr="001E3C53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>
        <w:rPr>
          <w:rFonts w:cs="Times New Roman"/>
          <w:i w:val="0"/>
          <w:lang w:val="es-MX"/>
        </w:rPr>
        <w:t xml:space="preserve"> </w:t>
      </w:r>
      <w:r w:rsidR="001E3C53" w:rsidRPr="001E3C53">
        <w:rPr>
          <w:rFonts w:cs="Times New Roman"/>
          <w:i w:val="0"/>
          <w:lang w:val="es-MX"/>
        </w:rPr>
        <w:t>2.11</w:t>
      </w:r>
      <w:r w:rsidR="003F5D42" w:rsidRPr="001E3C53">
        <w:rPr>
          <w:rFonts w:cs="Times New Roman"/>
          <w:i w:val="0"/>
          <w:lang w:val="es-MX"/>
        </w:rPr>
        <w:t xml:space="preserve">: Grade </w:t>
      </w:r>
      <w:r w:rsidR="001E3C53" w:rsidRPr="001E3C53">
        <w:rPr>
          <w:rFonts w:cs="Times New Roman"/>
          <w:i w:val="0"/>
          <w:lang w:val="es-MX"/>
        </w:rPr>
        <w:t>1</w:t>
      </w:r>
      <w:r w:rsidR="003F5D42" w:rsidRPr="001E3C53">
        <w:rPr>
          <w:rFonts w:cs="Times New Roman"/>
          <w:i w:val="0"/>
          <w:lang w:val="es-MX"/>
        </w:rPr>
        <w:t>,</w:t>
      </w:r>
      <w:r w:rsidR="006711F0">
        <w:rPr>
          <w:rFonts w:cs="Times New Roman"/>
          <w:i w:val="0"/>
          <w:lang w:val="es-MX"/>
        </w:rPr>
        <w:t xml:space="preserve"> </w:t>
      </w:r>
      <w:r w:rsidR="001E3C53" w:rsidRPr="001E3C53">
        <w:rPr>
          <w:rFonts w:cs="Times New Roman"/>
          <w:i w:val="0"/>
          <w:lang w:val="es-MX"/>
        </w:rPr>
        <w:t xml:space="preserve">SE/TE </w:t>
      </w:r>
      <w:r w:rsidR="005062BB">
        <w:rPr>
          <w:rFonts w:cs="Times New Roman"/>
          <w:i w:val="0"/>
          <w:lang w:val="es-MX"/>
        </w:rPr>
        <w:t xml:space="preserve">p. </w:t>
      </w:r>
      <w:r w:rsidR="001E3C53" w:rsidRPr="001E3C53">
        <w:rPr>
          <w:rFonts w:cs="Times New Roman"/>
          <w:i w:val="0"/>
          <w:lang w:val="es-MX"/>
        </w:rPr>
        <w:t>101</w:t>
      </w:r>
      <w:r w:rsidR="00045F2C">
        <w:rPr>
          <w:rFonts w:cs="Times New Roman"/>
          <w:i w:val="0"/>
          <w:lang w:val="es-MX"/>
        </w:rPr>
        <w:t>C</w:t>
      </w:r>
      <w:r w:rsidR="003F5D42" w:rsidRPr="001E3C53">
        <w:rPr>
          <w:rFonts w:cs="Times New Roman"/>
          <w:i w:val="0"/>
          <w:lang w:val="es-MX"/>
        </w:rPr>
        <w:t>.</w:t>
      </w:r>
      <w:r w:rsidR="001E3C53">
        <w:rPr>
          <w:rFonts w:cs="Times New Roman"/>
          <w:i w:val="0"/>
          <w:lang w:val="es-MX"/>
        </w:rPr>
        <w:t xml:space="preserve"> </w:t>
      </w:r>
      <w:r w:rsidR="001E3C53" w:rsidRPr="001E3C53">
        <w:rPr>
          <w:rFonts w:cs="Times New Roman"/>
          <w:i w:val="0"/>
        </w:rPr>
        <w:t xml:space="preserve">Environmental principles and concepts include </w:t>
      </w:r>
      <w:r w:rsidR="006711F0" w:rsidRPr="001E3C53">
        <w:rPr>
          <w:rFonts w:cs="Times New Roman"/>
          <w:i w:val="0"/>
        </w:rPr>
        <w:t>references</w:t>
      </w:r>
      <w:r w:rsidR="001E3C53" w:rsidRPr="001E3C53">
        <w:rPr>
          <w:rFonts w:cs="Times New Roman"/>
          <w:i w:val="0"/>
        </w:rPr>
        <w:t xml:space="preserve"> to where supplemental resources </w:t>
      </w:r>
      <w:r>
        <w:rPr>
          <w:rFonts w:cs="Times New Roman"/>
          <w:i w:val="0"/>
        </w:rPr>
        <w:t>may be found. “CA</w:t>
      </w:r>
      <w:r w:rsidR="006711F0">
        <w:rPr>
          <w:rFonts w:cs="Times New Roman"/>
          <w:i w:val="0"/>
        </w:rPr>
        <w:t xml:space="preserve"> Ed &amp; the Environment Initiative Curr</w:t>
      </w:r>
      <w:r>
        <w:rPr>
          <w:rFonts w:cs="Times New Roman"/>
          <w:i w:val="0"/>
        </w:rPr>
        <w:t>iculum</w:t>
      </w:r>
      <w:r w:rsidR="006711F0">
        <w:rPr>
          <w:rFonts w:cs="Times New Roman"/>
          <w:i w:val="0"/>
        </w:rPr>
        <w:t>.”</w:t>
      </w:r>
    </w:p>
    <w:p w:rsidR="00381576" w:rsidRPr="00231C1B" w:rsidRDefault="003D2F9B" w:rsidP="00C942C4">
      <w:pPr>
        <w:pStyle w:val="Heading2"/>
      </w:pPr>
      <w:r w:rsidRPr="00231C1B">
        <w:t>Criteri</w:t>
      </w:r>
      <w:r w:rsidR="0040716F">
        <w:t>a Category 3</w:t>
      </w:r>
      <w:r w:rsidR="00F82AFB">
        <w:t>:</w:t>
      </w:r>
      <w:r w:rsidRPr="00231C1B">
        <w:t xml:space="preserve"> </w:t>
      </w:r>
      <w:r w:rsidR="0040716F">
        <w:t>Assessment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eastAsia="Arial Unicode MS" w:cs="Calibri"/>
          <w:i w:val="0"/>
          <w:color w:val="000000"/>
        </w:rPr>
      </w:pPr>
      <w:r w:rsidRPr="00BB68B1">
        <w:rPr>
          <w:rFonts w:eastAsia="Arial Unicode MS" w:cs="Calibri"/>
          <w:i w:val="0"/>
          <w:color w:val="000000"/>
        </w:rPr>
        <w:t>The program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includes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multiple models of both formative and summative assessment tasks for measuring what students know and are able to do and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provides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guidance for teachers on how to use scoring rubrics and interpret assessment results to guide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lastRenderedPageBreak/>
        <w:t>Citations:</w:t>
      </w:r>
    </w:p>
    <w:p w:rsidR="00E06227" w:rsidRDefault="00E06227" w:rsidP="00E0622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3.1: Grade 4, SE/TE </w:t>
      </w:r>
      <w:r w:rsidR="005062BB">
        <w:rPr>
          <w:rFonts w:cs="Times New Roman"/>
          <w:i w:val="0"/>
        </w:rPr>
        <w:t xml:space="preserve">pp. </w:t>
      </w:r>
      <w:r>
        <w:rPr>
          <w:rFonts w:cs="Times New Roman"/>
          <w:i w:val="0"/>
        </w:rPr>
        <w:t>306</w:t>
      </w:r>
      <w:r w:rsidRPr="001E3C53">
        <w:rPr>
          <w:rFonts w:cs="Times New Roman"/>
          <w:i w:val="0"/>
        </w:rPr>
        <w:t>–</w:t>
      </w:r>
      <w:r>
        <w:rPr>
          <w:rFonts w:cs="Times New Roman"/>
          <w:i w:val="0"/>
        </w:rPr>
        <w:t xml:space="preserve">307. </w:t>
      </w:r>
      <w:r w:rsidR="00237E4C">
        <w:rPr>
          <w:rFonts w:cs="Times New Roman"/>
          <w:i w:val="0"/>
        </w:rPr>
        <w:t xml:space="preserve">Students complete a performance task and are assessed using a rubric aligned with the three dimensions of </w:t>
      </w:r>
      <w:r w:rsidR="00045F2C">
        <w:rPr>
          <w:rFonts w:cs="Times New Roman"/>
          <w:i w:val="0"/>
        </w:rPr>
        <w:t xml:space="preserve">CA </w:t>
      </w:r>
      <w:r w:rsidR="00237E4C">
        <w:rPr>
          <w:rFonts w:cs="Times New Roman"/>
          <w:i w:val="0"/>
        </w:rPr>
        <w:t xml:space="preserve">NGSS. In addition, on TE page 309, there is a key that shows which questions pertain to </w:t>
      </w:r>
      <w:r w:rsidR="0087609C">
        <w:rPr>
          <w:rFonts w:cs="Times New Roman"/>
          <w:i w:val="0"/>
        </w:rPr>
        <w:t>the</w:t>
      </w:r>
      <w:r w:rsidR="00BF53B1">
        <w:rPr>
          <w:rFonts w:cs="Times New Roman"/>
          <w:i w:val="0"/>
        </w:rPr>
        <w:t xml:space="preserve"> dimension being assessed.</w:t>
      </w:r>
    </w:p>
    <w:p w:rsidR="003F5D42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0003AC">
        <w:rPr>
          <w:rFonts w:cs="Times New Roman"/>
          <w:i w:val="0"/>
        </w:rPr>
        <w:t>3.2</w:t>
      </w:r>
      <w:r w:rsidR="003F5D42">
        <w:rPr>
          <w:rFonts w:cs="Times New Roman"/>
          <w:i w:val="0"/>
        </w:rPr>
        <w:t xml:space="preserve">: Grade </w:t>
      </w:r>
      <w:r w:rsidR="000003AC">
        <w:rPr>
          <w:rFonts w:cs="Times New Roman"/>
          <w:i w:val="0"/>
        </w:rPr>
        <w:t>1</w:t>
      </w:r>
      <w:r w:rsidR="003F5D42">
        <w:rPr>
          <w:rFonts w:cs="Times New Roman"/>
          <w:i w:val="0"/>
        </w:rPr>
        <w:t xml:space="preserve">, </w:t>
      </w:r>
      <w:r w:rsidR="00045F2C">
        <w:rPr>
          <w:rFonts w:cs="Times New Roman"/>
          <w:i w:val="0"/>
        </w:rPr>
        <w:t>AG</w:t>
      </w:r>
      <w:r w:rsidR="00260110">
        <w:rPr>
          <w:rFonts w:cs="Times New Roman"/>
          <w:i w:val="0"/>
        </w:rPr>
        <w:t xml:space="preserve"> </w:t>
      </w:r>
      <w:r w:rsidR="005062BB">
        <w:rPr>
          <w:rFonts w:cs="Times New Roman"/>
          <w:i w:val="0"/>
        </w:rPr>
        <w:t xml:space="preserve">pp. </w:t>
      </w:r>
      <w:r w:rsidR="00260110">
        <w:rPr>
          <w:rFonts w:cs="Times New Roman"/>
          <w:i w:val="0"/>
        </w:rPr>
        <w:t>73</w:t>
      </w:r>
      <w:r w:rsidR="00260110" w:rsidRPr="001E3C53">
        <w:rPr>
          <w:rFonts w:cs="Times New Roman"/>
          <w:i w:val="0"/>
        </w:rPr>
        <w:t>–</w:t>
      </w:r>
      <w:r w:rsidR="00260110">
        <w:rPr>
          <w:rFonts w:cs="Times New Roman"/>
          <w:i w:val="0"/>
        </w:rPr>
        <w:t>75. Unit pretest is provided to help teachers elicit students’ prior knowledge and preconceptions and gauge their facility for using the SEPs and CCCs</w:t>
      </w:r>
      <w:r w:rsidR="003F5D42">
        <w:rPr>
          <w:rFonts w:cs="Times New Roman"/>
          <w:i w:val="0"/>
        </w:rPr>
        <w:t>.</w:t>
      </w:r>
    </w:p>
    <w:p w:rsidR="003F5D42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260110">
        <w:rPr>
          <w:rFonts w:cs="Times New Roman"/>
          <w:i w:val="0"/>
        </w:rPr>
        <w:t>3.5</w:t>
      </w:r>
      <w:r w:rsidR="003F5D42">
        <w:rPr>
          <w:rFonts w:cs="Times New Roman"/>
          <w:i w:val="0"/>
        </w:rPr>
        <w:t xml:space="preserve">: Grade </w:t>
      </w:r>
      <w:r w:rsidR="009B7076">
        <w:rPr>
          <w:rFonts w:cs="Times New Roman"/>
          <w:i w:val="0"/>
        </w:rPr>
        <w:t xml:space="preserve">2, </w:t>
      </w:r>
      <w:r w:rsidR="00045F2C">
        <w:rPr>
          <w:rFonts w:cs="Times New Roman"/>
          <w:i w:val="0"/>
        </w:rPr>
        <w:t>AG</w:t>
      </w:r>
      <w:r w:rsidR="009B7076">
        <w:rPr>
          <w:rFonts w:cs="Times New Roman"/>
          <w:i w:val="0"/>
        </w:rPr>
        <w:t xml:space="preserve"> </w:t>
      </w:r>
      <w:r w:rsidR="005062BB">
        <w:rPr>
          <w:rFonts w:cs="Times New Roman"/>
          <w:i w:val="0"/>
        </w:rPr>
        <w:t xml:space="preserve">pp. </w:t>
      </w:r>
      <w:r w:rsidR="009B7076">
        <w:rPr>
          <w:rFonts w:cs="Times New Roman"/>
          <w:i w:val="0"/>
        </w:rPr>
        <w:t>44</w:t>
      </w:r>
      <w:r w:rsidR="009B7076" w:rsidRPr="001E3C53">
        <w:rPr>
          <w:rFonts w:cs="Times New Roman"/>
          <w:i w:val="0"/>
        </w:rPr>
        <w:t>–</w:t>
      </w:r>
      <w:r w:rsidR="004F1FA1">
        <w:rPr>
          <w:rFonts w:cs="Times New Roman"/>
          <w:i w:val="0"/>
        </w:rPr>
        <w:t>46</w:t>
      </w:r>
      <w:r w:rsidR="0087609C">
        <w:rPr>
          <w:rFonts w:cs="Times New Roman"/>
          <w:i w:val="0"/>
        </w:rPr>
        <w:t>. Unit p</w:t>
      </w:r>
      <w:r w:rsidR="009B7076">
        <w:rPr>
          <w:rFonts w:cs="Times New Roman"/>
          <w:i w:val="0"/>
        </w:rPr>
        <w:t>retest yields information teachers can use in planning and modifying instruction to meet or exceed the needs of the standards.</w:t>
      </w:r>
    </w:p>
    <w:p w:rsidR="00BF5423" w:rsidRPr="003F5D42" w:rsidRDefault="00BF5423" w:rsidP="00BF542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3.9: Grade 5, </w:t>
      </w:r>
      <w:r w:rsidR="00045F2C">
        <w:rPr>
          <w:rFonts w:cs="Times New Roman"/>
          <w:i w:val="0"/>
        </w:rPr>
        <w:t>AG</w:t>
      </w:r>
      <w:r>
        <w:rPr>
          <w:rFonts w:cs="Times New Roman"/>
          <w:i w:val="0"/>
        </w:rPr>
        <w:t xml:space="preserve">. </w:t>
      </w:r>
      <w:r w:rsidR="005062BB">
        <w:rPr>
          <w:rFonts w:cs="Times New Roman"/>
          <w:i w:val="0"/>
        </w:rPr>
        <w:t xml:space="preserve">pp. </w:t>
      </w:r>
      <w:r>
        <w:rPr>
          <w:rFonts w:cs="Times New Roman"/>
          <w:i w:val="0"/>
        </w:rPr>
        <w:t>187</w:t>
      </w:r>
      <w:r w:rsidRPr="001E3C53">
        <w:rPr>
          <w:rFonts w:cs="Times New Roman"/>
          <w:i w:val="0"/>
        </w:rPr>
        <w:t>–</w:t>
      </w:r>
      <w:r>
        <w:rPr>
          <w:rFonts w:cs="Times New Roman"/>
          <w:i w:val="0"/>
        </w:rPr>
        <w:t>206. Resources include student work expec</w:t>
      </w:r>
      <w:r w:rsidR="00BF53B1">
        <w:rPr>
          <w:rFonts w:cs="Times New Roman"/>
          <w:i w:val="0"/>
        </w:rPr>
        <w:t>tations and analytical rubrics.</w:t>
      </w:r>
    </w:p>
    <w:p w:rsidR="003F5D42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260110">
        <w:rPr>
          <w:rFonts w:cs="Times New Roman"/>
          <w:i w:val="0"/>
        </w:rPr>
        <w:t>3.10</w:t>
      </w:r>
      <w:r w:rsidR="003F5D42">
        <w:rPr>
          <w:rFonts w:cs="Times New Roman"/>
          <w:i w:val="0"/>
        </w:rPr>
        <w:t xml:space="preserve">: Grade </w:t>
      </w:r>
      <w:r w:rsidR="00260110">
        <w:rPr>
          <w:rFonts w:cs="Times New Roman"/>
          <w:i w:val="0"/>
        </w:rPr>
        <w:t>3</w:t>
      </w:r>
      <w:r w:rsidR="003F5D42">
        <w:rPr>
          <w:rFonts w:cs="Times New Roman"/>
          <w:i w:val="0"/>
        </w:rPr>
        <w:t>,</w:t>
      </w:r>
      <w:r w:rsidR="00260110">
        <w:rPr>
          <w:rFonts w:cs="Times New Roman"/>
          <w:i w:val="0"/>
        </w:rPr>
        <w:t xml:space="preserve"> </w:t>
      </w:r>
      <w:r w:rsidR="0001184F">
        <w:rPr>
          <w:rFonts w:cs="Times New Roman"/>
          <w:i w:val="0"/>
        </w:rPr>
        <w:t>SE/</w:t>
      </w:r>
      <w:r w:rsidR="002511B5">
        <w:rPr>
          <w:rFonts w:cs="Times New Roman"/>
          <w:i w:val="0"/>
        </w:rPr>
        <w:t xml:space="preserve">TE </w:t>
      </w:r>
      <w:r w:rsidR="005062BB">
        <w:rPr>
          <w:rFonts w:cs="Times New Roman"/>
          <w:i w:val="0"/>
        </w:rPr>
        <w:t xml:space="preserve">pp. </w:t>
      </w:r>
      <w:r w:rsidR="002511B5">
        <w:rPr>
          <w:rFonts w:cs="Times New Roman"/>
          <w:i w:val="0"/>
        </w:rPr>
        <w:t>406</w:t>
      </w:r>
      <w:r w:rsidR="00260110" w:rsidRPr="001E3C53">
        <w:rPr>
          <w:rFonts w:cs="Times New Roman"/>
          <w:i w:val="0"/>
        </w:rPr>
        <w:t>–</w:t>
      </w:r>
      <w:r w:rsidR="00260110">
        <w:rPr>
          <w:rFonts w:cs="Times New Roman"/>
          <w:i w:val="0"/>
        </w:rPr>
        <w:t>408</w:t>
      </w:r>
      <w:r w:rsidR="003F5D42">
        <w:rPr>
          <w:rFonts w:cs="Times New Roman"/>
          <w:i w:val="0"/>
        </w:rPr>
        <w:t>.</w:t>
      </w:r>
      <w:r w:rsidR="00260110">
        <w:rPr>
          <w:rFonts w:cs="Times New Roman"/>
          <w:i w:val="0"/>
        </w:rPr>
        <w:t xml:space="preserve"> The third grade materials on </w:t>
      </w:r>
      <w:r w:rsidR="005062BB">
        <w:rPr>
          <w:rFonts w:cs="Times New Roman"/>
          <w:i w:val="0"/>
        </w:rPr>
        <w:t xml:space="preserve">pp. </w:t>
      </w:r>
      <w:r w:rsidR="00260110">
        <w:rPr>
          <w:rFonts w:cs="Times New Roman"/>
          <w:i w:val="0"/>
        </w:rPr>
        <w:t>406</w:t>
      </w:r>
      <w:r w:rsidR="00260110" w:rsidRPr="001E3C53">
        <w:rPr>
          <w:rFonts w:cs="Times New Roman"/>
          <w:i w:val="0"/>
        </w:rPr>
        <w:t>–</w:t>
      </w:r>
      <w:r w:rsidR="00260110">
        <w:rPr>
          <w:rFonts w:cs="Times New Roman"/>
          <w:i w:val="0"/>
        </w:rPr>
        <w:t xml:space="preserve">408 use multiple measures to assess student learning, including open-ended and short-answer questions, drawing, hands on activities, </w:t>
      </w:r>
      <w:r w:rsidR="00B16002">
        <w:rPr>
          <w:rFonts w:cs="Times New Roman"/>
          <w:i w:val="0"/>
        </w:rPr>
        <w:t>and writing claim, evidence</w:t>
      </w:r>
      <w:r w:rsidR="00BF53B1">
        <w:rPr>
          <w:rFonts w:cs="Times New Roman"/>
          <w:i w:val="0"/>
        </w:rPr>
        <w:t xml:space="preserve"> and reasoning statements.</w:t>
      </w:r>
    </w:p>
    <w:p w:rsidR="0040716F" w:rsidRDefault="00B04B49" w:rsidP="00C942C4">
      <w:pPr>
        <w:pStyle w:val="Heading2"/>
      </w:pPr>
      <w:r w:rsidRPr="00231C1B">
        <w:t>Criteri</w:t>
      </w:r>
      <w:r w:rsidR="0040716F">
        <w:t>a Category 4</w:t>
      </w:r>
      <w:r w:rsidR="00F82AFB">
        <w:t>:</w:t>
      </w:r>
      <w:r w:rsidR="0040716F">
        <w:t xml:space="preserve"> </w:t>
      </w:r>
      <w:r w:rsidR="00F76B3D">
        <w:t>Access and Equity</w:t>
      </w:r>
    </w:p>
    <w:p w:rsidR="00F82AFB" w:rsidRPr="0040716F" w:rsidRDefault="008F5488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Cs w:val="0"/>
        </w:rPr>
      </w:pPr>
      <w:r w:rsidRPr="008F5488">
        <w:rPr>
          <w:rFonts w:cs="Times New Roman"/>
          <w:i w:val="0"/>
          <w:iCs w:val="0"/>
        </w:rPr>
        <w:t>Program materials</w:t>
      </w:r>
      <w:r w:rsidR="00C81141">
        <w:rPr>
          <w:rFonts w:cs="Times New Roman"/>
          <w:i w:val="0"/>
          <w:iCs w:val="0"/>
        </w:rPr>
        <w:t xml:space="preserve"> </w:t>
      </w:r>
      <w:r w:rsidR="00C81141" w:rsidRPr="00917323">
        <w:rPr>
          <w:rFonts w:cs="Times New Roman"/>
          <w:i w:val="0"/>
          <w:iCs w:val="0"/>
        </w:rPr>
        <w:t>ensure</w:t>
      </w:r>
      <w:r w:rsidRPr="008F5488">
        <w:rPr>
          <w:rFonts w:cs="Times New Roman"/>
          <w:i w:val="0"/>
          <w:iCs w:val="0"/>
        </w:rPr>
        <w:t xml:space="preserve"> universal and equitable access to high-quality curriculum a</w:t>
      </w:r>
      <w:r w:rsidR="00976333">
        <w:rPr>
          <w:rFonts w:cs="Times New Roman"/>
          <w:i w:val="0"/>
          <w:iCs w:val="0"/>
        </w:rPr>
        <w:t xml:space="preserve">nd instruction for all students </w:t>
      </w:r>
      <w:r w:rsidRPr="008F5488">
        <w:rPr>
          <w:rFonts w:cs="Times New Roman"/>
          <w:i w:val="0"/>
          <w:iCs w:val="0"/>
        </w:rPr>
        <w:t xml:space="preserve">and </w:t>
      </w:r>
      <w:r w:rsidR="00BB68B1" w:rsidRPr="00917323">
        <w:rPr>
          <w:rFonts w:cs="Times New Roman"/>
          <w:i w:val="0"/>
          <w:iCs w:val="0"/>
        </w:rPr>
        <w:t>provide</w:t>
      </w:r>
      <w:r w:rsidR="00BB68B1" w:rsidRPr="00BB68B1">
        <w:rPr>
          <w:rFonts w:cs="Times New Roman"/>
        </w:rPr>
        <w:t xml:space="preserve"> </w:t>
      </w:r>
      <w:r w:rsidRPr="008F5488">
        <w:rPr>
          <w:rFonts w:cs="Times New Roman"/>
          <w:i w:val="0"/>
          <w:iCs w:val="0"/>
        </w:rPr>
        <w:t xml:space="preserve">teachers with </w:t>
      </w:r>
      <w:r w:rsidR="00976333">
        <w:rPr>
          <w:rFonts w:cs="Times New Roman"/>
          <w:i w:val="0"/>
          <w:iCs w:val="0"/>
        </w:rPr>
        <w:t xml:space="preserve">suggestions for differentiation </w:t>
      </w:r>
      <w:r w:rsidR="00957292">
        <w:rPr>
          <w:rFonts w:cs="Times New Roman"/>
          <w:i w:val="0"/>
          <w:iCs w:val="0"/>
        </w:rPr>
        <w:t>for</w:t>
      </w:r>
      <w:r w:rsidR="00976333">
        <w:rPr>
          <w:rFonts w:cs="Times New Roman"/>
          <w:i w:val="0"/>
          <w:iCs w:val="0"/>
        </w:rPr>
        <w:t xml:space="preserve"> students with special needs.</w:t>
      </w:r>
    </w:p>
    <w:p w:rsidR="009F2E52" w:rsidRPr="00BF53B1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BF5423" w:rsidRPr="009B7076" w:rsidRDefault="00E06227" w:rsidP="00882FE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 w:rsidRPr="009B7076">
        <w:rPr>
          <w:rFonts w:cs="Times New Roman"/>
          <w:i w:val="0"/>
          <w:lang w:val="es-MX"/>
        </w:rPr>
        <w:t xml:space="preserve"> </w:t>
      </w:r>
      <w:r w:rsidR="008F7ACF" w:rsidRPr="009B7076">
        <w:rPr>
          <w:rFonts w:cs="Times New Roman"/>
          <w:i w:val="0"/>
          <w:lang w:val="es-MX"/>
        </w:rPr>
        <w:t>4.1</w:t>
      </w:r>
      <w:r w:rsidR="003F5D42" w:rsidRPr="009B7076">
        <w:rPr>
          <w:rFonts w:cs="Times New Roman"/>
          <w:i w:val="0"/>
          <w:lang w:val="es-MX"/>
        </w:rPr>
        <w:t xml:space="preserve">: </w:t>
      </w:r>
      <w:r w:rsidR="009B7076" w:rsidRPr="009B7076">
        <w:rPr>
          <w:rFonts w:cs="Times New Roman"/>
          <w:i w:val="0"/>
          <w:lang w:val="es-MX"/>
        </w:rPr>
        <w:t xml:space="preserve">Grade K, SE/TE </w:t>
      </w:r>
      <w:r w:rsidR="005062BB">
        <w:rPr>
          <w:rFonts w:cs="Times New Roman"/>
          <w:i w:val="0"/>
          <w:lang w:val="es-MX"/>
        </w:rPr>
        <w:t xml:space="preserve">p. </w:t>
      </w:r>
      <w:r w:rsidR="009B7076" w:rsidRPr="009B7076">
        <w:rPr>
          <w:rFonts w:cs="Times New Roman"/>
          <w:i w:val="0"/>
          <w:lang w:val="es-MX"/>
        </w:rPr>
        <w:t xml:space="preserve">59; </w:t>
      </w:r>
      <w:r w:rsidR="003F5D42" w:rsidRPr="009B7076">
        <w:rPr>
          <w:rFonts w:cs="Times New Roman"/>
          <w:i w:val="0"/>
          <w:lang w:val="es-MX"/>
        </w:rPr>
        <w:t xml:space="preserve">Grade </w:t>
      </w:r>
      <w:r w:rsidR="008F7ACF" w:rsidRPr="009B7076">
        <w:rPr>
          <w:rFonts w:cs="Times New Roman"/>
          <w:i w:val="0"/>
          <w:lang w:val="es-MX"/>
        </w:rPr>
        <w:t xml:space="preserve">1, TE </w:t>
      </w:r>
      <w:r w:rsidR="005062BB">
        <w:rPr>
          <w:rFonts w:cs="Times New Roman"/>
          <w:i w:val="0"/>
          <w:lang w:val="es-MX"/>
        </w:rPr>
        <w:t xml:space="preserve">pp. </w:t>
      </w:r>
      <w:r w:rsidR="008F7ACF" w:rsidRPr="009B7076">
        <w:rPr>
          <w:rFonts w:cs="Times New Roman"/>
          <w:i w:val="0"/>
          <w:lang w:val="es-MX"/>
        </w:rPr>
        <w:t>3, 11, 60</w:t>
      </w:r>
      <w:r w:rsidR="009B7076" w:rsidRPr="009B7076">
        <w:rPr>
          <w:rFonts w:cs="Times New Roman"/>
          <w:i w:val="0"/>
          <w:lang w:val="es-MX"/>
        </w:rPr>
        <w:t>;</w:t>
      </w:r>
      <w:r w:rsidR="00BF5423" w:rsidRPr="009B7076">
        <w:rPr>
          <w:rFonts w:cs="Times New Roman"/>
          <w:i w:val="0"/>
          <w:lang w:val="es-MX"/>
        </w:rPr>
        <w:t xml:space="preserve"> Grade 5, SE/TE </w:t>
      </w:r>
      <w:r w:rsidR="005062BB">
        <w:rPr>
          <w:rFonts w:cs="Times New Roman"/>
          <w:i w:val="0"/>
          <w:lang w:val="es-MX"/>
        </w:rPr>
        <w:t xml:space="preserve">p. </w:t>
      </w:r>
      <w:r w:rsidR="00BF5423" w:rsidRPr="009B7076">
        <w:rPr>
          <w:rFonts w:cs="Times New Roman"/>
          <w:i w:val="0"/>
          <w:lang w:val="es-MX"/>
        </w:rPr>
        <w:t xml:space="preserve">15. </w:t>
      </w:r>
      <w:r w:rsidR="00F36F1B">
        <w:rPr>
          <w:rFonts w:cs="Times New Roman"/>
          <w:i w:val="0"/>
        </w:rPr>
        <w:t>The program reflects the access and equity goals of the Framework, including</w:t>
      </w:r>
      <w:r w:rsidR="00BF5423" w:rsidRPr="009B7076">
        <w:rPr>
          <w:rFonts w:cs="Times New Roman"/>
          <w:i w:val="0"/>
        </w:rPr>
        <w:t xml:space="preserve"> con</w:t>
      </w:r>
      <w:r w:rsidR="00BF53B1">
        <w:rPr>
          <w:rFonts w:cs="Times New Roman"/>
          <w:i w:val="0"/>
        </w:rPr>
        <w:t>tributions of women in science.</w:t>
      </w:r>
    </w:p>
    <w:p w:rsidR="00BF5423" w:rsidRDefault="00BF5423" w:rsidP="00BF542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4.2: Grade 3</w:t>
      </w:r>
      <w:r w:rsidR="00B16002">
        <w:rPr>
          <w:rFonts w:cs="Times New Roman"/>
          <w:i w:val="0"/>
        </w:rPr>
        <w:t xml:space="preserve">, </w:t>
      </w:r>
      <w:r w:rsidR="00CB1563">
        <w:rPr>
          <w:rFonts w:cs="Times New Roman"/>
          <w:i w:val="0"/>
        </w:rPr>
        <w:t xml:space="preserve">California English Language Development (ELD) page </w:t>
      </w:r>
      <w:r w:rsidR="005062BB">
        <w:rPr>
          <w:rFonts w:cs="Times New Roman"/>
          <w:i w:val="0"/>
        </w:rPr>
        <w:t xml:space="preserve">p. </w:t>
      </w:r>
      <w:r w:rsidR="00CB1563">
        <w:rPr>
          <w:rFonts w:cs="Times New Roman"/>
          <w:i w:val="0"/>
        </w:rPr>
        <w:t>x</w:t>
      </w:r>
      <w:r>
        <w:rPr>
          <w:rFonts w:cs="Times New Roman"/>
          <w:i w:val="0"/>
        </w:rPr>
        <w:t xml:space="preserve">, TE </w:t>
      </w:r>
      <w:r w:rsidR="005062BB">
        <w:rPr>
          <w:rFonts w:cs="Times New Roman"/>
          <w:i w:val="0"/>
        </w:rPr>
        <w:t xml:space="preserve">p. </w:t>
      </w:r>
      <w:r>
        <w:rPr>
          <w:rFonts w:cs="Times New Roman"/>
          <w:i w:val="0"/>
        </w:rPr>
        <w:t>317. The program includes suggestions for differen</w:t>
      </w:r>
      <w:r w:rsidR="00BF53B1">
        <w:rPr>
          <w:rFonts w:cs="Times New Roman"/>
          <w:i w:val="0"/>
        </w:rPr>
        <w:t>tia</w:t>
      </w:r>
      <w:r>
        <w:rPr>
          <w:rFonts w:cs="Times New Roman"/>
          <w:i w:val="0"/>
        </w:rPr>
        <w:t>tion for ELL learners within the Teacher Editions (</w:t>
      </w:r>
      <w:r w:rsidR="0087609C">
        <w:rPr>
          <w:rFonts w:cs="Times New Roman"/>
          <w:i w:val="0"/>
        </w:rPr>
        <w:t>e.g.</w:t>
      </w:r>
      <w:r>
        <w:rPr>
          <w:rFonts w:cs="Times New Roman"/>
          <w:i w:val="0"/>
        </w:rPr>
        <w:t xml:space="preserve"> </w:t>
      </w:r>
      <w:r w:rsidR="00CB1563">
        <w:rPr>
          <w:rFonts w:cs="Times New Roman"/>
          <w:i w:val="0"/>
        </w:rPr>
        <w:t xml:space="preserve">Grade 3 </w:t>
      </w:r>
      <w:r>
        <w:rPr>
          <w:rFonts w:cs="Times New Roman"/>
          <w:i w:val="0"/>
        </w:rPr>
        <w:t xml:space="preserve">TE </w:t>
      </w:r>
      <w:r w:rsidR="005062BB">
        <w:rPr>
          <w:rFonts w:cs="Times New Roman"/>
          <w:i w:val="0"/>
        </w:rPr>
        <w:t xml:space="preserve">p. </w:t>
      </w:r>
      <w:r>
        <w:rPr>
          <w:rFonts w:cs="Times New Roman"/>
          <w:i w:val="0"/>
        </w:rPr>
        <w:t xml:space="preserve">317) and an additional resource book for teachers that include a variety of tools, such as sentence frames (ELD, Grade 3 </w:t>
      </w:r>
      <w:r w:rsidR="005062BB">
        <w:rPr>
          <w:rFonts w:cs="Times New Roman"/>
          <w:i w:val="0"/>
        </w:rPr>
        <w:t>p</w:t>
      </w:r>
      <w:r w:rsidR="004F1FA1">
        <w:rPr>
          <w:rFonts w:cs="Times New Roman"/>
          <w:i w:val="0"/>
        </w:rPr>
        <w:t>p</w:t>
      </w:r>
      <w:r w:rsidR="005062BB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CB1563">
        <w:rPr>
          <w:rFonts w:cs="Times New Roman"/>
          <w:i w:val="0"/>
        </w:rPr>
        <w:t>x</w:t>
      </w:r>
      <w:r w:rsidR="004F1FA1">
        <w:rPr>
          <w:rFonts w:cs="Times New Roman"/>
          <w:i w:val="0"/>
          <w:lang w:val="es-MX"/>
        </w:rPr>
        <w:t>–xix</w:t>
      </w:r>
      <w:r>
        <w:rPr>
          <w:rFonts w:cs="Times New Roman"/>
          <w:i w:val="0"/>
        </w:rPr>
        <w:t>)</w:t>
      </w:r>
      <w:r w:rsidR="00CB1563">
        <w:rPr>
          <w:rFonts w:cs="Times New Roman"/>
          <w:i w:val="0"/>
        </w:rPr>
        <w:t>.</w:t>
      </w:r>
    </w:p>
    <w:p w:rsidR="00BF5423" w:rsidRDefault="00BF5423" w:rsidP="00BF542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4.3: Grade 4, TE </w:t>
      </w:r>
      <w:r w:rsidR="005062BB">
        <w:rPr>
          <w:rFonts w:cs="Times New Roman"/>
          <w:i w:val="0"/>
        </w:rPr>
        <w:t xml:space="preserve">p. </w:t>
      </w:r>
      <w:r>
        <w:rPr>
          <w:rFonts w:cs="Times New Roman"/>
          <w:i w:val="0"/>
        </w:rPr>
        <w:t xml:space="preserve">69. Instructional Resources incorporate strategies to meet </w:t>
      </w:r>
      <w:r w:rsidR="00352278">
        <w:rPr>
          <w:rFonts w:cs="Times New Roman"/>
          <w:i w:val="0"/>
        </w:rPr>
        <w:t xml:space="preserve">the </w:t>
      </w:r>
      <w:r>
        <w:rPr>
          <w:rFonts w:cs="Times New Roman"/>
          <w:i w:val="0"/>
        </w:rPr>
        <w:t>needs of students with disabilities by modifying lesson activities.</w:t>
      </w:r>
    </w:p>
    <w:p w:rsidR="003F5D42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01184F">
        <w:rPr>
          <w:rFonts w:cs="Times New Roman"/>
          <w:i w:val="0"/>
        </w:rPr>
        <w:t>4.4</w:t>
      </w:r>
      <w:r w:rsidR="003F5D42">
        <w:rPr>
          <w:rFonts w:cs="Times New Roman"/>
          <w:i w:val="0"/>
        </w:rPr>
        <w:t xml:space="preserve">: Grade </w:t>
      </w:r>
      <w:r w:rsidR="0001184F">
        <w:rPr>
          <w:rFonts w:cs="Times New Roman"/>
          <w:i w:val="0"/>
        </w:rPr>
        <w:t>2</w:t>
      </w:r>
      <w:r w:rsidR="003F5D42">
        <w:rPr>
          <w:rFonts w:cs="Times New Roman"/>
          <w:i w:val="0"/>
        </w:rPr>
        <w:t xml:space="preserve">, </w:t>
      </w:r>
      <w:r w:rsidR="0001184F">
        <w:rPr>
          <w:rFonts w:cs="Times New Roman"/>
          <w:i w:val="0"/>
        </w:rPr>
        <w:t xml:space="preserve">TE </w:t>
      </w:r>
      <w:r w:rsidR="005062BB">
        <w:rPr>
          <w:rFonts w:cs="Times New Roman"/>
          <w:i w:val="0"/>
        </w:rPr>
        <w:t xml:space="preserve">p. </w:t>
      </w:r>
      <w:r w:rsidR="0001184F">
        <w:rPr>
          <w:rFonts w:cs="Times New Roman"/>
          <w:i w:val="0"/>
        </w:rPr>
        <w:t>43B</w:t>
      </w:r>
      <w:r w:rsidR="003F5D42">
        <w:rPr>
          <w:rFonts w:cs="Times New Roman"/>
          <w:i w:val="0"/>
        </w:rPr>
        <w:t>.</w:t>
      </w:r>
      <w:r w:rsidR="0001184F">
        <w:rPr>
          <w:rFonts w:cs="Times New Roman"/>
          <w:i w:val="0"/>
        </w:rPr>
        <w:t xml:space="preserve"> The California Diversity section supplies a differentiated path for all students</w:t>
      </w:r>
      <w:r w:rsidR="00352278">
        <w:rPr>
          <w:rFonts w:cs="Times New Roman"/>
          <w:i w:val="0"/>
        </w:rPr>
        <w:t>:</w:t>
      </w:r>
      <w:r w:rsidR="004C2DFA">
        <w:rPr>
          <w:rFonts w:cs="Times New Roman"/>
          <w:i w:val="0"/>
        </w:rPr>
        <w:t xml:space="preserve"> students with disabilities, girls an</w:t>
      </w:r>
      <w:r w:rsidR="00CB1563">
        <w:rPr>
          <w:rFonts w:cs="Times New Roman"/>
          <w:i w:val="0"/>
        </w:rPr>
        <w:t xml:space="preserve">d young women, foster youth, </w:t>
      </w:r>
      <w:r w:rsidR="004C2DFA">
        <w:rPr>
          <w:rFonts w:cs="Times New Roman"/>
          <w:i w:val="0"/>
        </w:rPr>
        <w:t xml:space="preserve">students living in poverty, English learners, ethnically diverse </w:t>
      </w:r>
      <w:r w:rsidR="005062BB">
        <w:rPr>
          <w:rFonts w:cs="Times New Roman"/>
          <w:i w:val="0"/>
        </w:rPr>
        <w:t>learners, and migrant students.</w:t>
      </w:r>
    </w:p>
    <w:p w:rsidR="00381576" w:rsidRPr="00231C1B" w:rsidRDefault="00381576" w:rsidP="00C942C4">
      <w:pPr>
        <w:pStyle w:val="Heading2"/>
      </w:pPr>
      <w:r w:rsidRPr="00231C1B">
        <w:lastRenderedPageBreak/>
        <w:t>Criteri</w:t>
      </w:r>
      <w:r w:rsidR="00692C29">
        <w:t>a Category 5</w:t>
      </w:r>
      <w:r w:rsidRPr="00231C1B">
        <w:t xml:space="preserve">: </w:t>
      </w:r>
      <w:r w:rsidR="00692C29">
        <w:t>Instructional Planning</w:t>
      </w:r>
      <w:r w:rsidR="00D160FF">
        <w:t xml:space="preserve"> and Support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Calibri"/>
          <w:i w:val="0"/>
          <w:color w:val="000000"/>
        </w:rPr>
      </w:pPr>
      <w:r w:rsidRPr="00BB68B1">
        <w:rPr>
          <w:rFonts w:cs="Calibri"/>
          <w:i w:val="0"/>
          <w:color w:val="000000"/>
        </w:rPr>
        <w:t>The instructional materials</w:t>
      </w:r>
      <w:r w:rsidRPr="00BB68B1">
        <w:rPr>
          <w:rFonts w:cs="Calibri"/>
          <w:color w:val="000000"/>
        </w:rPr>
        <w:t xml:space="preserve"> </w:t>
      </w:r>
      <w:r w:rsidRPr="00BB68B1">
        <w:rPr>
          <w:rFonts w:cs="Calibri"/>
          <w:i w:val="0"/>
          <w:color w:val="000000"/>
        </w:rPr>
        <w:t>provide coherent guidelines for teachers to follow when planning three-dimensional instruction and</w:t>
      </w:r>
      <w:r w:rsidRPr="00BB68B1">
        <w:rPr>
          <w:rFonts w:cs="Calibri"/>
          <w:color w:val="000000"/>
        </w:rPr>
        <w:t xml:space="preserve"> </w:t>
      </w:r>
      <w:r w:rsidRPr="00BB68B1">
        <w:rPr>
          <w:rFonts w:cs="Calibri"/>
          <w:i w:val="0"/>
          <w:color w:val="000000"/>
        </w:rPr>
        <w:t>are</w:t>
      </w:r>
      <w:r w:rsidRPr="00BB68B1">
        <w:rPr>
          <w:rFonts w:cs="Calibri"/>
          <w:color w:val="000000"/>
        </w:rPr>
        <w:t xml:space="preserve"> </w:t>
      </w:r>
      <w:r w:rsidRPr="00BB68B1">
        <w:rPr>
          <w:rFonts w:cs="Calibri"/>
          <w:i w:val="0"/>
          <w:color w:val="000000"/>
        </w:rPr>
        <w:t>designed to help teachers provide effective standards-based instruction.</w:t>
      </w:r>
    </w:p>
    <w:p w:rsidR="009F2E52" w:rsidRPr="00BF53B1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BF5423" w:rsidRPr="006C767F" w:rsidRDefault="00BF5423" w:rsidP="00BF542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>
        <w:rPr>
          <w:rFonts w:cs="Times New Roman"/>
          <w:i w:val="0"/>
          <w:lang w:val="es-MX"/>
        </w:rPr>
        <w:t xml:space="preserve"> </w:t>
      </w:r>
      <w:r w:rsidRPr="006C767F">
        <w:rPr>
          <w:rFonts w:cs="Times New Roman"/>
          <w:i w:val="0"/>
          <w:lang w:val="es-MX"/>
        </w:rPr>
        <w:t xml:space="preserve">5.2: Grade 3, TE </w:t>
      </w:r>
      <w:r w:rsidR="005062BB">
        <w:rPr>
          <w:rFonts w:cs="Times New Roman"/>
          <w:i w:val="0"/>
          <w:lang w:val="es-MX"/>
        </w:rPr>
        <w:t xml:space="preserve">pp. </w:t>
      </w:r>
      <w:r w:rsidRPr="006C767F">
        <w:rPr>
          <w:rFonts w:cs="Times New Roman"/>
          <w:i w:val="0"/>
          <w:lang w:val="es-MX"/>
        </w:rPr>
        <w:t>159E–</w:t>
      </w:r>
      <w:r>
        <w:rPr>
          <w:rFonts w:cs="Times New Roman"/>
          <w:i w:val="0"/>
          <w:lang w:val="es-MX"/>
        </w:rPr>
        <w:t>159</w:t>
      </w:r>
      <w:r w:rsidRPr="006C767F">
        <w:rPr>
          <w:rFonts w:cs="Times New Roman"/>
          <w:i w:val="0"/>
          <w:lang w:val="es-MX"/>
        </w:rPr>
        <w:t xml:space="preserve">H. </w:t>
      </w:r>
      <w:r w:rsidRPr="006C767F">
        <w:rPr>
          <w:rFonts w:cs="Times New Roman"/>
          <w:i w:val="0"/>
        </w:rPr>
        <w:t xml:space="preserve">Estimated instructional time in each unit and </w:t>
      </w:r>
      <w:r>
        <w:rPr>
          <w:rFonts w:cs="Times New Roman"/>
          <w:i w:val="0"/>
        </w:rPr>
        <w:t xml:space="preserve">lesson </w:t>
      </w:r>
      <w:r w:rsidR="00A609D5">
        <w:rPr>
          <w:rFonts w:cs="Times New Roman"/>
          <w:i w:val="0"/>
        </w:rPr>
        <w:t>is provided</w:t>
      </w:r>
      <w:r>
        <w:rPr>
          <w:rFonts w:cs="Times New Roman"/>
          <w:i w:val="0"/>
        </w:rPr>
        <w:t>.</w:t>
      </w:r>
    </w:p>
    <w:p w:rsidR="003F5D42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6C767F">
        <w:rPr>
          <w:rFonts w:cs="Times New Roman"/>
          <w:i w:val="0"/>
        </w:rPr>
        <w:t>5.3: Grade 2</w:t>
      </w:r>
      <w:r w:rsidR="003F5D42">
        <w:rPr>
          <w:rFonts w:cs="Times New Roman"/>
          <w:i w:val="0"/>
        </w:rPr>
        <w:t>,</w:t>
      </w:r>
      <w:r w:rsidR="006C767F">
        <w:rPr>
          <w:rFonts w:cs="Times New Roman"/>
          <w:i w:val="0"/>
        </w:rPr>
        <w:t xml:space="preserve"> SE/TE </w:t>
      </w:r>
      <w:r w:rsidR="005062BB">
        <w:rPr>
          <w:rFonts w:cs="Times New Roman"/>
          <w:i w:val="0"/>
        </w:rPr>
        <w:t xml:space="preserve">pp. </w:t>
      </w:r>
      <w:r w:rsidR="006C767F">
        <w:rPr>
          <w:rFonts w:cs="Times New Roman"/>
          <w:i w:val="0"/>
        </w:rPr>
        <w:t xml:space="preserve">71. </w:t>
      </w:r>
      <w:r w:rsidR="00A609D5">
        <w:rPr>
          <w:rFonts w:cs="Times New Roman"/>
          <w:i w:val="0"/>
        </w:rPr>
        <w:t>Teacher is provided with questions to assess student knowledge. Guidance is provided to aid struggling students.</w:t>
      </w:r>
    </w:p>
    <w:p w:rsidR="00381576" w:rsidRPr="00BF53B1" w:rsidRDefault="00E06227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407006">
        <w:rPr>
          <w:rFonts w:cs="Times New Roman"/>
          <w:i w:val="0"/>
        </w:rPr>
        <w:t>5.3</w:t>
      </w:r>
      <w:r w:rsidR="003F5D42">
        <w:rPr>
          <w:rFonts w:cs="Times New Roman"/>
          <w:i w:val="0"/>
        </w:rPr>
        <w:t xml:space="preserve">: Grade </w:t>
      </w:r>
      <w:r w:rsidR="00407006">
        <w:rPr>
          <w:rFonts w:cs="Times New Roman"/>
          <w:i w:val="0"/>
        </w:rPr>
        <w:t>5</w:t>
      </w:r>
      <w:r w:rsidR="003F5D42">
        <w:rPr>
          <w:rFonts w:cs="Times New Roman"/>
          <w:i w:val="0"/>
        </w:rPr>
        <w:t>,</w:t>
      </w:r>
      <w:r w:rsidR="00407006">
        <w:rPr>
          <w:rFonts w:cs="Times New Roman"/>
          <w:i w:val="0"/>
        </w:rPr>
        <w:t xml:space="preserve"> TE </w:t>
      </w:r>
      <w:r w:rsidR="005062BB">
        <w:rPr>
          <w:rFonts w:cs="Times New Roman"/>
          <w:i w:val="0"/>
        </w:rPr>
        <w:t xml:space="preserve">p. </w:t>
      </w:r>
      <w:r w:rsidR="00407006">
        <w:rPr>
          <w:rFonts w:cs="Times New Roman"/>
          <w:i w:val="0"/>
        </w:rPr>
        <w:t>147. Teacher resources include guidance in instruction to deepe</w:t>
      </w:r>
      <w:r w:rsidR="00B45E2E">
        <w:rPr>
          <w:rFonts w:cs="Times New Roman"/>
          <w:i w:val="0"/>
        </w:rPr>
        <w:t>n</w:t>
      </w:r>
      <w:r w:rsidR="00407006">
        <w:rPr>
          <w:rFonts w:cs="Times New Roman"/>
          <w:i w:val="0"/>
        </w:rPr>
        <w:t xml:space="preserve"> understanding of DCI</w:t>
      </w:r>
      <w:r w:rsidR="00CB1563">
        <w:rPr>
          <w:rFonts w:cs="Times New Roman"/>
          <w:i w:val="0"/>
        </w:rPr>
        <w:t>s</w:t>
      </w:r>
      <w:r w:rsidR="00407006">
        <w:rPr>
          <w:rFonts w:cs="Times New Roman"/>
          <w:i w:val="0"/>
        </w:rPr>
        <w:t>, for formative assessments</w:t>
      </w:r>
      <w:r w:rsidR="00CB1563">
        <w:rPr>
          <w:rFonts w:cs="Times New Roman"/>
          <w:i w:val="0"/>
        </w:rPr>
        <w:t>,</w:t>
      </w:r>
      <w:r w:rsidR="00407006">
        <w:rPr>
          <w:rFonts w:cs="Times New Roman"/>
          <w:i w:val="0"/>
        </w:rPr>
        <w:t xml:space="preserve"> and checking for understanding</w:t>
      </w:r>
      <w:r w:rsidR="003F5D42">
        <w:rPr>
          <w:rFonts w:cs="Times New Roman"/>
          <w:i w:val="0"/>
        </w:rPr>
        <w:t>.</w:t>
      </w:r>
    </w:p>
    <w:p w:rsidR="00BF5423" w:rsidRDefault="00BF5423" w:rsidP="00BF542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F53B1">
        <w:rPr>
          <w:rFonts w:cs="Times New Roman"/>
          <w:i w:val="0"/>
        </w:rPr>
        <w:t>Criterion</w:t>
      </w:r>
      <w:r w:rsidRPr="00B16002">
        <w:rPr>
          <w:rFonts w:cs="Times New Roman"/>
          <w:i w:val="0"/>
          <w:lang w:val="es-MX"/>
        </w:rPr>
        <w:t xml:space="preserve"> 5.4: Grade 1, TE </w:t>
      </w:r>
      <w:r w:rsidR="005062BB">
        <w:rPr>
          <w:rFonts w:cs="Times New Roman"/>
          <w:i w:val="0"/>
          <w:lang w:val="es-MX"/>
        </w:rPr>
        <w:t xml:space="preserve">pp. </w:t>
      </w:r>
      <w:r w:rsidR="00B16002" w:rsidRPr="00B16002">
        <w:rPr>
          <w:rFonts w:cs="Times New Roman"/>
          <w:i w:val="0"/>
          <w:lang w:val="es-MX"/>
        </w:rPr>
        <w:t>T22</w:t>
      </w:r>
      <w:r w:rsidR="00B16002" w:rsidRPr="00E21B41">
        <w:rPr>
          <w:rFonts w:cs="Times New Roman"/>
          <w:i w:val="0"/>
          <w:lang w:val="es-MX"/>
        </w:rPr>
        <w:t>–</w:t>
      </w:r>
      <w:r w:rsidR="00B16002">
        <w:rPr>
          <w:rFonts w:cs="Times New Roman"/>
          <w:i w:val="0"/>
          <w:lang w:val="es-MX"/>
        </w:rPr>
        <w:t xml:space="preserve">T23; Grade 3, TE </w:t>
      </w:r>
      <w:r w:rsidR="005062BB">
        <w:rPr>
          <w:rFonts w:cs="Times New Roman"/>
          <w:i w:val="0"/>
          <w:lang w:val="es-MX"/>
        </w:rPr>
        <w:t xml:space="preserve">pp. </w:t>
      </w:r>
      <w:r w:rsidR="00B16002">
        <w:rPr>
          <w:rFonts w:cs="Times New Roman"/>
          <w:i w:val="0"/>
          <w:lang w:val="es-MX"/>
        </w:rPr>
        <w:t>T24</w:t>
      </w:r>
      <w:r w:rsidR="00B16002" w:rsidRPr="00E21B41">
        <w:rPr>
          <w:rFonts w:cs="Times New Roman"/>
          <w:i w:val="0"/>
          <w:lang w:val="es-MX"/>
        </w:rPr>
        <w:t>–</w:t>
      </w:r>
      <w:r w:rsidR="00B16002">
        <w:rPr>
          <w:rFonts w:cs="Times New Roman"/>
          <w:i w:val="0"/>
          <w:lang w:val="es-MX"/>
        </w:rPr>
        <w:t>T25</w:t>
      </w:r>
      <w:r w:rsidRPr="00B16002">
        <w:rPr>
          <w:rFonts w:cs="Times New Roman"/>
          <w:i w:val="0"/>
          <w:lang w:val="es-MX"/>
        </w:rPr>
        <w:t xml:space="preserve">. </w:t>
      </w:r>
      <w:r w:rsidR="00045F2C">
        <w:rPr>
          <w:rFonts w:cs="Times New Roman"/>
          <w:i w:val="0"/>
        </w:rPr>
        <w:t>“</w:t>
      </w:r>
      <w:r w:rsidR="00B16002">
        <w:rPr>
          <w:rFonts w:cs="Times New Roman"/>
          <w:i w:val="0"/>
        </w:rPr>
        <w:t>Program Scope and Sequence” and “Trace Tool to the NGSS” online tool</w:t>
      </w:r>
      <w:r w:rsidR="00CB1563">
        <w:rPr>
          <w:rFonts w:cs="Times New Roman"/>
          <w:i w:val="0"/>
        </w:rPr>
        <w:t>s</w:t>
      </w:r>
      <w:r w:rsidR="00B16002">
        <w:rPr>
          <w:rFonts w:cs="Times New Roman"/>
          <w:i w:val="0"/>
        </w:rPr>
        <w:t xml:space="preserve"> address knowledge and skills learned in prior grades.</w:t>
      </w:r>
    </w:p>
    <w:p w:rsidR="00BF5423" w:rsidRDefault="00BF5423" w:rsidP="00BF542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5.9: Grade 4, </w:t>
      </w:r>
      <w:r w:rsidR="00237E4C">
        <w:rPr>
          <w:rFonts w:cs="Times New Roman"/>
          <w:i w:val="0"/>
        </w:rPr>
        <w:t xml:space="preserve">TE </w:t>
      </w:r>
      <w:r w:rsidR="005062BB">
        <w:rPr>
          <w:rFonts w:cs="Times New Roman"/>
          <w:i w:val="0"/>
        </w:rPr>
        <w:t xml:space="preserve">pp. </w:t>
      </w:r>
      <w:r w:rsidR="00237E4C">
        <w:rPr>
          <w:rFonts w:cs="Times New Roman"/>
          <w:i w:val="0"/>
        </w:rPr>
        <w:t>237, 240, 250</w:t>
      </w:r>
      <w:r>
        <w:rPr>
          <w:rFonts w:cs="Times New Roman"/>
          <w:i w:val="0"/>
        </w:rPr>
        <w:t>. Instructional objectives for three</w:t>
      </w:r>
      <w:r w:rsidR="00CB1563">
        <w:rPr>
          <w:rFonts w:cs="Times New Roman"/>
          <w:i w:val="0"/>
        </w:rPr>
        <w:t>-</w:t>
      </w:r>
      <w:r>
        <w:rPr>
          <w:rFonts w:cs="Times New Roman"/>
          <w:i w:val="0"/>
        </w:rPr>
        <w:t>dimensional learning are explicitly stated.</w:t>
      </w:r>
    </w:p>
    <w:p w:rsidR="003151F6" w:rsidRPr="0018022C" w:rsidRDefault="003151F6" w:rsidP="00C942C4">
      <w:pPr>
        <w:pStyle w:val="Heading2"/>
      </w:pPr>
      <w:r w:rsidRPr="0018022C">
        <w:t>Edits and Corrections:</w:t>
      </w:r>
    </w:p>
    <w:p w:rsidR="009A00E7" w:rsidRPr="00231C1B" w:rsidRDefault="009A00E7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231C1B">
        <w:rPr>
          <w:rFonts w:cs="Times New Roman"/>
          <w:bCs/>
          <w:i w:val="0"/>
          <w:iCs w:val="0"/>
        </w:rPr>
        <w:t>The following edits and corrections</w:t>
      </w:r>
      <w:r>
        <w:rPr>
          <w:rFonts w:cs="Times New Roman"/>
          <w:bCs/>
          <w:i w:val="0"/>
          <w:iCs w:val="0"/>
        </w:rPr>
        <w:t xml:space="preserve"> must be made as a condition of adoption: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Table for edits, including grade level, component, page number(s), current text, proposed corrected text, and reason for edit"/>
      </w:tblPr>
      <w:tblGrid>
        <w:gridCol w:w="425"/>
        <w:gridCol w:w="884"/>
        <w:gridCol w:w="1457"/>
        <w:gridCol w:w="1350"/>
        <w:gridCol w:w="2186"/>
        <w:gridCol w:w="2125"/>
        <w:gridCol w:w="1671"/>
      </w:tblGrid>
      <w:tr w:rsidR="009C3692" w:rsidRPr="0018022C" w:rsidTr="00BF53B1">
        <w:trPr>
          <w:cantSplit/>
          <w:tblHeader/>
        </w:trPr>
        <w:tc>
          <w:tcPr>
            <w:tcW w:w="425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884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457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350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Page N</w:t>
            </w:r>
            <w:r w:rsidR="009C3692" w:rsidRPr="0018022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2186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Current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2125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Proposed Corrected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671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Reason for E</w:t>
            </w:r>
            <w:r w:rsidR="009C3692" w:rsidRPr="0018022C">
              <w:rPr>
                <w:rFonts w:cs="Times New Roman"/>
                <w:i w:val="0"/>
                <w:iCs w:val="0"/>
              </w:rPr>
              <w:t>dit</w:t>
            </w:r>
          </w:p>
        </w:tc>
      </w:tr>
      <w:tr w:rsidR="009C3692" w:rsidRPr="0018022C" w:rsidTr="00BF53B1">
        <w:trPr>
          <w:cantSplit/>
        </w:trPr>
        <w:tc>
          <w:tcPr>
            <w:tcW w:w="425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884" w:type="dxa"/>
          </w:tcPr>
          <w:p w:rsidR="009C3692" w:rsidRPr="0018022C" w:rsidRDefault="001263A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5</w:t>
            </w:r>
          </w:p>
        </w:tc>
        <w:tc>
          <w:tcPr>
            <w:tcW w:w="1457" w:type="dxa"/>
          </w:tcPr>
          <w:p w:rsidR="009C3692" w:rsidRPr="0018022C" w:rsidRDefault="0091732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SE/</w:t>
            </w:r>
            <w:r w:rsidR="009C3692" w:rsidRPr="0018022C">
              <w:rPr>
                <w:rFonts w:cs="Times New Roman"/>
                <w:i w:val="0"/>
                <w:iCs w:val="0"/>
              </w:rPr>
              <w:t>TE</w:t>
            </w:r>
          </w:p>
        </w:tc>
        <w:tc>
          <w:tcPr>
            <w:tcW w:w="1350" w:type="dxa"/>
          </w:tcPr>
          <w:p w:rsidR="009C3692" w:rsidRPr="0018022C" w:rsidRDefault="001263A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177</w:t>
            </w:r>
          </w:p>
        </w:tc>
        <w:tc>
          <w:tcPr>
            <w:tcW w:w="2186" w:type="dxa"/>
          </w:tcPr>
          <w:p w:rsidR="009C3692" w:rsidRPr="0018022C" w:rsidRDefault="001263A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“Present you findings”</w:t>
            </w:r>
          </w:p>
        </w:tc>
        <w:tc>
          <w:tcPr>
            <w:tcW w:w="2125" w:type="dxa"/>
          </w:tcPr>
          <w:p w:rsidR="009C3692" w:rsidRPr="0018022C" w:rsidRDefault="001263A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“Present your findings”</w:t>
            </w:r>
          </w:p>
        </w:tc>
        <w:tc>
          <w:tcPr>
            <w:tcW w:w="1671" w:type="dxa"/>
          </w:tcPr>
          <w:p w:rsidR="009C3692" w:rsidRPr="0018022C" w:rsidRDefault="009C3692" w:rsidP="001263A6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 xml:space="preserve">Simple </w:t>
            </w:r>
            <w:r w:rsidR="001263A6">
              <w:rPr>
                <w:rFonts w:cs="Times New Roman"/>
                <w:i w:val="0"/>
                <w:iCs w:val="0"/>
              </w:rPr>
              <w:t>grammatical</w:t>
            </w:r>
            <w:r w:rsidRPr="0018022C">
              <w:rPr>
                <w:rFonts w:cs="Times New Roman"/>
                <w:i w:val="0"/>
                <w:iCs w:val="0"/>
              </w:rPr>
              <w:t xml:space="preserve"> errors</w:t>
            </w:r>
          </w:p>
        </w:tc>
      </w:tr>
      <w:tr w:rsidR="009C3692" w:rsidRPr="0018022C" w:rsidTr="00BF53B1">
        <w:trPr>
          <w:cantSplit/>
        </w:trPr>
        <w:tc>
          <w:tcPr>
            <w:tcW w:w="425" w:type="dxa"/>
          </w:tcPr>
          <w:p w:rsidR="009C3692" w:rsidRPr="0018022C" w:rsidRDefault="0040700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2</w:t>
            </w:r>
          </w:p>
        </w:tc>
        <w:tc>
          <w:tcPr>
            <w:tcW w:w="884" w:type="dxa"/>
          </w:tcPr>
          <w:p w:rsidR="009C3692" w:rsidRPr="0018022C" w:rsidRDefault="0040700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1457" w:type="dxa"/>
          </w:tcPr>
          <w:p w:rsidR="009C3692" w:rsidRPr="0018022C" w:rsidRDefault="0040700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TE</w:t>
            </w:r>
          </w:p>
        </w:tc>
        <w:tc>
          <w:tcPr>
            <w:tcW w:w="1350" w:type="dxa"/>
          </w:tcPr>
          <w:p w:rsidR="009C3692" w:rsidRPr="0018022C" w:rsidRDefault="0040700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163</w:t>
            </w:r>
          </w:p>
        </w:tc>
        <w:tc>
          <w:tcPr>
            <w:tcW w:w="2186" w:type="dxa"/>
          </w:tcPr>
          <w:p w:rsidR="009C3692" w:rsidRPr="0018022C" w:rsidRDefault="00407006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SEP Notation</w:t>
            </w:r>
            <w:r w:rsidR="00917323">
              <w:rPr>
                <w:rFonts w:cs="Times New Roman"/>
                <w:i w:val="0"/>
                <w:iCs w:val="0"/>
              </w:rPr>
              <w:t xml:space="preserve"> heading in margin “AObtaining”</w:t>
            </w:r>
          </w:p>
        </w:tc>
        <w:tc>
          <w:tcPr>
            <w:tcW w:w="2125" w:type="dxa"/>
          </w:tcPr>
          <w:p w:rsidR="009C3692" w:rsidRPr="0018022C" w:rsidRDefault="0091732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Obtaining</w:t>
            </w:r>
          </w:p>
        </w:tc>
        <w:tc>
          <w:tcPr>
            <w:tcW w:w="1671" w:type="dxa"/>
          </w:tcPr>
          <w:p w:rsidR="009C3692" w:rsidRPr="0018022C" w:rsidRDefault="0091732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Typo</w:t>
            </w:r>
          </w:p>
        </w:tc>
      </w:tr>
    </w:tbl>
    <w:p w:rsidR="00DE1246" w:rsidRDefault="003151F6" w:rsidP="00DE1246">
      <w:pPr>
        <w:pStyle w:val="Heading2"/>
        <w:rPr>
          <w:b w:val="0"/>
        </w:rPr>
      </w:pPr>
      <w:r w:rsidRPr="0018022C">
        <w:t>Social Content</w:t>
      </w:r>
      <w:r w:rsidR="00E95FE0" w:rsidRPr="0018022C">
        <w:t xml:space="preserve"> Citations</w:t>
      </w:r>
      <w:r w:rsidRPr="0018022C">
        <w:t>:</w:t>
      </w:r>
      <w:r w:rsidR="005062BB">
        <w:t xml:space="preserve"> </w:t>
      </w:r>
      <w:r w:rsidR="005062BB" w:rsidRPr="005062BB">
        <w:rPr>
          <w:b w:val="0"/>
        </w:rPr>
        <w:t>none</w:t>
      </w:r>
    </w:p>
    <w:p w:rsidR="008A5968" w:rsidRPr="00DE1246" w:rsidRDefault="008A5968" w:rsidP="00DE1246">
      <w:pPr>
        <w:pStyle w:val="Heading2"/>
        <w:rPr>
          <w:b w:val="0"/>
          <w:i/>
        </w:rPr>
      </w:pPr>
      <w:r w:rsidRPr="00DE1246">
        <w:rPr>
          <w:b w:val="0"/>
        </w:rPr>
        <w:t>California Department of Education, August 2018</w:t>
      </w:r>
    </w:p>
    <w:sectPr w:rsidR="008A5968" w:rsidRPr="00DE1246" w:rsidSect="00B07D70">
      <w:footerReference w:type="even" r:id="rId8"/>
      <w:footerReference w:type="default" r:id="rId9"/>
      <w:pgSz w:w="12240" w:h="15840" w:code="1"/>
      <w:pgMar w:top="1152" w:right="1440" w:bottom="1440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0A" w:rsidRDefault="00845D0A">
      <w:r>
        <w:separator/>
      </w:r>
    </w:p>
  </w:endnote>
  <w:endnote w:type="continuationSeparator" w:id="0">
    <w:p w:rsidR="00845D0A" w:rsidRDefault="0084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Default="00562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FE7" w:rsidRDefault="00562F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Pr="00206E1D" w:rsidRDefault="00562FE7">
    <w:pPr>
      <w:pStyle w:val="Footer"/>
      <w:framePr w:wrap="around" w:vAnchor="text" w:hAnchor="margin" w:xAlign="right" w:y="1"/>
      <w:rPr>
        <w:rStyle w:val="PageNumber"/>
        <w:i w:val="0"/>
      </w:rPr>
    </w:pPr>
    <w:r w:rsidRPr="00206E1D">
      <w:rPr>
        <w:rStyle w:val="PageNumber"/>
        <w:i w:val="0"/>
      </w:rPr>
      <w:fldChar w:fldCharType="begin"/>
    </w:r>
    <w:r w:rsidRPr="00206E1D">
      <w:rPr>
        <w:rStyle w:val="PageNumber"/>
        <w:i w:val="0"/>
      </w:rPr>
      <w:instrText xml:space="preserve">PAGE  </w:instrText>
    </w:r>
    <w:r w:rsidRPr="00206E1D">
      <w:rPr>
        <w:rStyle w:val="PageNumber"/>
        <w:i w:val="0"/>
      </w:rPr>
      <w:fldChar w:fldCharType="separate"/>
    </w:r>
    <w:r w:rsidR="00BB5E70">
      <w:rPr>
        <w:rStyle w:val="PageNumber"/>
        <w:i w:val="0"/>
        <w:noProof/>
      </w:rPr>
      <w:t>4</w:t>
    </w:r>
    <w:r w:rsidRPr="00206E1D">
      <w:rPr>
        <w:rStyle w:val="PageNumber"/>
        <w:i w:val="0"/>
      </w:rPr>
      <w:fldChar w:fldCharType="end"/>
    </w:r>
  </w:p>
  <w:p w:rsidR="00562FE7" w:rsidRDefault="00562FE7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0A" w:rsidRDefault="00845D0A">
      <w:r>
        <w:separator/>
      </w:r>
    </w:p>
  </w:footnote>
  <w:footnote w:type="continuationSeparator" w:id="0">
    <w:p w:rsidR="00845D0A" w:rsidRDefault="0084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6B6"/>
    <w:multiLevelType w:val="hybridMultilevel"/>
    <w:tmpl w:val="3E6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E72"/>
    <w:multiLevelType w:val="hybridMultilevel"/>
    <w:tmpl w:val="A4D4F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0118C"/>
    <w:multiLevelType w:val="hybridMultilevel"/>
    <w:tmpl w:val="EAE0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361"/>
    <w:multiLevelType w:val="hybridMultilevel"/>
    <w:tmpl w:val="BE30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D5B66"/>
    <w:multiLevelType w:val="hybridMultilevel"/>
    <w:tmpl w:val="5CA0E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63ABF"/>
    <w:multiLevelType w:val="hybridMultilevel"/>
    <w:tmpl w:val="B49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CF3"/>
    <w:multiLevelType w:val="hybridMultilevel"/>
    <w:tmpl w:val="FB4E6B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81079"/>
    <w:multiLevelType w:val="hybridMultilevel"/>
    <w:tmpl w:val="2A2E9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DBC"/>
    <w:multiLevelType w:val="hybridMultilevel"/>
    <w:tmpl w:val="63B80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005838"/>
    <w:multiLevelType w:val="hybridMultilevel"/>
    <w:tmpl w:val="934EAD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11914"/>
    <w:multiLevelType w:val="hybridMultilevel"/>
    <w:tmpl w:val="DC6E2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AF9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864C8"/>
    <w:multiLevelType w:val="hybridMultilevel"/>
    <w:tmpl w:val="DFE61B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85A25"/>
    <w:multiLevelType w:val="hybridMultilevel"/>
    <w:tmpl w:val="0932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82F0C"/>
    <w:multiLevelType w:val="hybridMultilevel"/>
    <w:tmpl w:val="22FC6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806F0"/>
    <w:multiLevelType w:val="hybridMultilevel"/>
    <w:tmpl w:val="B9C69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406EB"/>
    <w:multiLevelType w:val="multilevel"/>
    <w:tmpl w:val="B77EE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704C631D"/>
    <w:multiLevelType w:val="hybridMultilevel"/>
    <w:tmpl w:val="1ECE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33966"/>
    <w:multiLevelType w:val="hybridMultilevel"/>
    <w:tmpl w:val="7C7C0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3"/>
  </w:num>
  <w:num w:numId="12">
    <w:abstractNumId w:val="16"/>
  </w:num>
  <w:num w:numId="13">
    <w:abstractNumId w:val="9"/>
  </w:num>
  <w:num w:numId="14">
    <w:abstractNumId w:val="1"/>
  </w:num>
  <w:num w:numId="15">
    <w:abstractNumId w:val="7"/>
  </w:num>
  <w:num w:numId="16">
    <w:abstractNumId w:val="10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0"/>
    <w:rsid w:val="000003AC"/>
    <w:rsid w:val="0001184F"/>
    <w:rsid w:val="00041838"/>
    <w:rsid w:val="00044010"/>
    <w:rsid w:val="000449DC"/>
    <w:rsid w:val="00045F2C"/>
    <w:rsid w:val="00062CEB"/>
    <w:rsid w:val="000730F4"/>
    <w:rsid w:val="0008027C"/>
    <w:rsid w:val="000814E4"/>
    <w:rsid w:val="00091BF9"/>
    <w:rsid w:val="000929B9"/>
    <w:rsid w:val="000D1CBC"/>
    <w:rsid w:val="000D3F69"/>
    <w:rsid w:val="00101754"/>
    <w:rsid w:val="001263A6"/>
    <w:rsid w:val="0013644C"/>
    <w:rsid w:val="00141C83"/>
    <w:rsid w:val="00150134"/>
    <w:rsid w:val="00165C29"/>
    <w:rsid w:val="001719F3"/>
    <w:rsid w:val="00176E31"/>
    <w:rsid w:val="0018022C"/>
    <w:rsid w:val="00187F5F"/>
    <w:rsid w:val="001919F4"/>
    <w:rsid w:val="001B50C4"/>
    <w:rsid w:val="001C4E95"/>
    <w:rsid w:val="001D0D92"/>
    <w:rsid w:val="001D2EBA"/>
    <w:rsid w:val="001D4887"/>
    <w:rsid w:val="001D5255"/>
    <w:rsid w:val="001E18D7"/>
    <w:rsid w:val="001E1C4D"/>
    <w:rsid w:val="001E3C53"/>
    <w:rsid w:val="001F0ED7"/>
    <w:rsid w:val="00206E1D"/>
    <w:rsid w:val="0021332B"/>
    <w:rsid w:val="00214BFB"/>
    <w:rsid w:val="00223B60"/>
    <w:rsid w:val="00226248"/>
    <w:rsid w:val="00231367"/>
    <w:rsid w:val="00231C1B"/>
    <w:rsid w:val="00237E4C"/>
    <w:rsid w:val="002420CD"/>
    <w:rsid w:val="002511B5"/>
    <w:rsid w:val="00260110"/>
    <w:rsid w:val="00284E7D"/>
    <w:rsid w:val="0028509B"/>
    <w:rsid w:val="00291460"/>
    <w:rsid w:val="002A0C81"/>
    <w:rsid w:val="002C6AED"/>
    <w:rsid w:val="002D4A1E"/>
    <w:rsid w:val="002D7190"/>
    <w:rsid w:val="002E6A48"/>
    <w:rsid w:val="003151F6"/>
    <w:rsid w:val="003342F2"/>
    <w:rsid w:val="00346538"/>
    <w:rsid w:val="00352278"/>
    <w:rsid w:val="00381576"/>
    <w:rsid w:val="00395F5B"/>
    <w:rsid w:val="003A0EEC"/>
    <w:rsid w:val="003B0138"/>
    <w:rsid w:val="003B2E53"/>
    <w:rsid w:val="003D2F9B"/>
    <w:rsid w:val="003D754B"/>
    <w:rsid w:val="003F5D42"/>
    <w:rsid w:val="00402716"/>
    <w:rsid w:val="00402CD5"/>
    <w:rsid w:val="00407006"/>
    <w:rsid w:val="0040716F"/>
    <w:rsid w:val="00422D10"/>
    <w:rsid w:val="00437E76"/>
    <w:rsid w:val="0044754B"/>
    <w:rsid w:val="00450094"/>
    <w:rsid w:val="0047186E"/>
    <w:rsid w:val="00471A0E"/>
    <w:rsid w:val="0047672E"/>
    <w:rsid w:val="00486740"/>
    <w:rsid w:val="004961B0"/>
    <w:rsid w:val="004B5829"/>
    <w:rsid w:val="004C123C"/>
    <w:rsid w:val="004C2DFA"/>
    <w:rsid w:val="004D08EC"/>
    <w:rsid w:val="004F0D9A"/>
    <w:rsid w:val="004F1FA1"/>
    <w:rsid w:val="004F284A"/>
    <w:rsid w:val="004F6B4B"/>
    <w:rsid w:val="005062BB"/>
    <w:rsid w:val="00521124"/>
    <w:rsid w:val="00556D17"/>
    <w:rsid w:val="00557352"/>
    <w:rsid w:val="00562FE7"/>
    <w:rsid w:val="00571E40"/>
    <w:rsid w:val="00573DAB"/>
    <w:rsid w:val="005811D9"/>
    <w:rsid w:val="00587EA6"/>
    <w:rsid w:val="00591D21"/>
    <w:rsid w:val="005A0B54"/>
    <w:rsid w:val="005A1F7B"/>
    <w:rsid w:val="005A33EC"/>
    <w:rsid w:val="005B20EC"/>
    <w:rsid w:val="005E0803"/>
    <w:rsid w:val="005F30F0"/>
    <w:rsid w:val="00614411"/>
    <w:rsid w:val="0062773E"/>
    <w:rsid w:val="0064686A"/>
    <w:rsid w:val="00650A1F"/>
    <w:rsid w:val="00650C17"/>
    <w:rsid w:val="0065193D"/>
    <w:rsid w:val="00655AD3"/>
    <w:rsid w:val="00662CCE"/>
    <w:rsid w:val="006711F0"/>
    <w:rsid w:val="00675733"/>
    <w:rsid w:val="00685C95"/>
    <w:rsid w:val="00686202"/>
    <w:rsid w:val="00691C73"/>
    <w:rsid w:val="00692C29"/>
    <w:rsid w:val="006A4300"/>
    <w:rsid w:val="006A4DB7"/>
    <w:rsid w:val="006B6C7C"/>
    <w:rsid w:val="006C13A9"/>
    <w:rsid w:val="006C45D5"/>
    <w:rsid w:val="006C767F"/>
    <w:rsid w:val="006D564A"/>
    <w:rsid w:val="006E7601"/>
    <w:rsid w:val="00717612"/>
    <w:rsid w:val="00725556"/>
    <w:rsid w:val="007272F2"/>
    <w:rsid w:val="00731054"/>
    <w:rsid w:val="00751103"/>
    <w:rsid w:val="00753EB8"/>
    <w:rsid w:val="00760349"/>
    <w:rsid w:val="0076574A"/>
    <w:rsid w:val="0077453A"/>
    <w:rsid w:val="00774F95"/>
    <w:rsid w:val="00795D74"/>
    <w:rsid w:val="00795F0F"/>
    <w:rsid w:val="007975AC"/>
    <w:rsid w:val="007B4CD1"/>
    <w:rsid w:val="007C2D24"/>
    <w:rsid w:val="007C3E56"/>
    <w:rsid w:val="007C4AB8"/>
    <w:rsid w:val="00810DC7"/>
    <w:rsid w:val="008135DE"/>
    <w:rsid w:val="00813F7D"/>
    <w:rsid w:val="00820488"/>
    <w:rsid w:val="00820EDB"/>
    <w:rsid w:val="00821362"/>
    <w:rsid w:val="0082158D"/>
    <w:rsid w:val="008271F3"/>
    <w:rsid w:val="00830251"/>
    <w:rsid w:val="00834826"/>
    <w:rsid w:val="00840280"/>
    <w:rsid w:val="00840D20"/>
    <w:rsid w:val="00844FA5"/>
    <w:rsid w:val="00845D0A"/>
    <w:rsid w:val="00855B7F"/>
    <w:rsid w:val="00860E81"/>
    <w:rsid w:val="0086494D"/>
    <w:rsid w:val="0087609C"/>
    <w:rsid w:val="008A4414"/>
    <w:rsid w:val="008A5968"/>
    <w:rsid w:val="008B0AB7"/>
    <w:rsid w:val="008B304D"/>
    <w:rsid w:val="008E6E5E"/>
    <w:rsid w:val="008E721F"/>
    <w:rsid w:val="008F5488"/>
    <w:rsid w:val="008F698D"/>
    <w:rsid w:val="008F7ACF"/>
    <w:rsid w:val="00915383"/>
    <w:rsid w:val="00917323"/>
    <w:rsid w:val="00921361"/>
    <w:rsid w:val="0092435D"/>
    <w:rsid w:val="0095128C"/>
    <w:rsid w:val="0095155C"/>
    <w:rsid w:val="009521F2"/>
    <w:rsid w:val="00956E1D"/>
    <w:rsid w:val="00957292"/>
    <w:rsid w:val="00975038"/>
    <w:rsid w:val="00976333"/>
    <w:rsid w:val="009A00E7"/>
    <w:rsid w:val="009B0D72"/>
    <w:rsid w:val="009B4F2D"/>
    <w:rsid w:val="009B7076"/>
    <w:rsid w:val="009C3692"/>
    <w:rsid w:val="009D66EA"/>
    <w:rsid w:val="009E01E6"/>
    <w:rsid w:val="009E0686"/>
    <w:rsid w:val="009F00D5"/>
    <w:rsid w:val="009F1479"/>
    <w:rsid w:val="009F1CD7"/>
    <w:rsid w:val="009F2E52"/>
    <w:rsid w:val="00A13C2B"/>
    <w:rsid w:val="00A23EA8"/>
    <w:rsid w:val="00A2653B"/>
    <w:rsid w:val="00A45A96"/>
    <w:rsid w:val="00A50FFE"/>
    <w:rsid w:val="00A609D5"/>
    <w:rsid w:val="00A85C90"/>
    <w:rsid w:val="00A9479F"/>
    <w:rsid w:val="00AA2B50"/>
    <w:rsid w:val="00AB42B5"/>
    <w:rsid w:val="00AC7B11"/>
    <w:rsid w:val="00AD3BC4"/>
    <w:rsid w:val="00AE1C28"/>
    <w:rsid w:val="00AE4171"/>
    <w:rsid w:val="00B0059F"/>
    <w:rsid w:val="00B04006"/>
    <w:rsid w:val="00B04B49"/>
    <w:rsid w:val="00B07423"/>
    <w:rsid w:val="00B07D70"/>
    <w:rsid w:val="00B16002"/>
    <w:rsid w:val="00B21A77"/>
    <w:rsid w:val="00B35CCD"/>
    <w:rsid w:val="00B4191F"/>
    <w:rsid w:val="00B45E2E"/>
    <w:rsid w:val="00B46EE5"/>
    <w:rsid w:val="00B472C6"/>
    <w:rsid w:val="00B5363C"/>
    <w:rsid w:val="00B73375"/>
    <w:rsid w:val="00B93712"/>
    <w:rsid w:val="00BB2B1E"/>
    <w:rsid w:val="00BB3F2E"/>
    <w:rsid w:val="00BB5E70"/>
    <w:rsid w:val="00BB68B1"/>
    <w:rsid w:val="00BD447E"/>
    <w:rsid w:val="00BF2827"/>
    <w:rsid w:val="00BF3B8B"/>
    <w:rsid w:val="00BF53B1"/>
    <w:rsid w:val="00BF5423"/>
    <w:rsid w:val="00C0752E"/>
    <w:rsid w:val="00C25E3F"/>
    <w:rsid w:val="00C30EC3"/>
    <w:rsid w:val="00C57080"/>
    <w:rsid w:val="00C63E68"/>
    <w:rsid w:val="00C76EC5"/>
    <w:rsid w:val="00C81141"/>
    <w:rsid w:val="00C818A2"/>
    <w:rsid w:val="00C91D17"/>
    <w:rsid w:val="00C942C4"/>
    <w:rsid w:val="00C95A86"/>
    <w:rsid w:val="00C975C3"/>
    <w:rsid w:val="00CB1563"/>
    <w:rsid w:val="00CE1198"/>
    <w:rsid w:val="00CF3940"/>
    <w:rsid w:val="00CF49E9"/>
    <w:rsid w:val="00D04402"/>
    <w:rsid w:val="00D160FF"/>
    <w:rsid w:val="00D36629"/>
    <w:rsid w:val="00D415D5"/>
    <w:rsid w:val="00D423E9"/>
    <w:rsid w:val="00D45C64"/>
    <w:rsid w:val="00D46A93"/>
    <w:rsid w:val="00D52370"/>
    <w:rsid w:val="00D77CB8"/>
    <w:rsid w:val="00D80A84"/>
    <w:rsid w:val="00D92D9B"/>
    <w:rsid w:val="00DA12EC"/>
    <w:rsid w:val="00DA77F1"/>
    <w:rsid w:val="00DB67E5"/>
    <w:rsid w:val="00DC4160"/>
    <w:rsid w:val="00DD5B37"/>
    <w:rsid w:val="00DE1246"/>
    <w:rsid w:val="00E06227"/>
    <w:rsid w:val="00E121F9"/>
    <w:rsid w:val="00E2141E"/>
    <w:rsid w:val="00E21B41"/>
    <w:rsid w:val="00E228FA"/>
    <w:rsid w:val="00E323E2"/>
    <w:rsid w:val="00E33CAD"/>
    <w:rsid w:val="00E3787A"/>
    <w:rsid w:val="00E44BD3"/>
    <w:rsid w:val="00E523C7"/>
    <w:rsid w:val="00E72D59"/>
    <w:rsid w:val="00E76A2C"/>
    <w:rsid w:val="00E877EC"/>
    <w:rsid w:val="00E95FE0"/>
    <w:rsid w:val="00EB5264"/>
    <w:rsid w:val="00EF0DD1"/>
    <w:rsid w:val="00EF1EF3"/>
    <w:rsid w:val="00F0519F"/>
    <w:rsid w:val="00F1504B"/>
    <w:rsid w:val="00F16250"/>
    <w:rsid w:val="00F213E6"/>
    <w:rsid w:val="00F21D15"/>
    <w:rsid w:val="00F23EA0"/>
    <w:rsid w:val="00F36F1B"/>
    <w:rsid w:val="00F54A32"/>
    <w:rsid w:val="00F73B99"/>
    <w:rsid w:val="00F76B3D"/>
    <w:rsid w:val="00F82AFB"/>
    <w:rsid w:val="00FA2CA4"/>
    <w:rsid w:val="00FB170C"/>
    <w:rsid w:val="00FB4407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89A8-7C24-486C-8D46-4740BC6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Tahoma"/>
      <w:i/>
      <w:iCs/>
      <w:sz w:val="24"/>
      <w:szCs w:val="24"/>
    </w:rPr>
  </w:style>
  <w:style w:type="paragraph" w:styleId="Heading1">
    <w:name w:val="heading 1"/>
    <w:basedOn w:val="Normal"/>
    <w:next w:val="Normal"/>
    <w:qFormat/>
    <w:rsid w:val="00C942C4"/>
    <w:pPr>
      <w:keepNext/>
      <w:spacing w:after="240"/>
      <w:jc w:val="center"/>
      <w:outlineLvl w:val="0"/>
    </w:pPr>
    <w:rPr>
      <w:rFonts w:cs="Arial"/>
      <w:b/>
      <w:bCs/>
      <w:i w:val="0"/>
      <w:iCs w:val="0"/>
    </w:rPr>
  </w:style>
  <w:style w:type="paragraph" w:styleId="Heading2">
    <w:name w:val="heading 2"/>
    <w:basedOn w:val="Normal"/>
    <w:next w:val="Normal"/>
    <w:qFormat/>
    <w:rsid w:val="00C942C4"/>
    <w:pPr>
      <w:autoSpaceDE w:val="0"/>
      <w:autoSpaceDN w:val="0"/>
      <w:adjustRightInd w:val="0"/>
      <w:spacing w:before="480" w:after="240"/>
      <w:outlineLvl w:val="1"/>
    </w:pPr>
    <w:rPr>
      <w:rFonts w:cs="Times New Roman"/>
      <w:b/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3C2B"/>
    <w:rPr>
      <w:rFonts w:ascii="Tahoma" w:hAnsi="Tahoma"/>
      <w:sz w:val="16"/>
      <w:szCs w:val="16"/>
    </w:rPr>
  </w:style>
  <w:style w:type="character" w:styleId="Emphasis">
    <w:name w:val="Emphasis"/>
    <w:qFormat/>
    <w:rsid w:val="00AE1C28"/>
    <w:rPr>
      <w:i/>
      <w:iCs/>
    </w:rPr>
  </w:style>
  <w:style w:type="character" w:styleId="CommentReference">
    <w:name w:val="annotation reference"/>
    <w:rsid w:val="009E0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1E6"/>
    <w:rPr>
      <w:sz w:val="20"/>
      <w:szCs w:val="20"/>
    </w:rPr>
  </w:style>
  <w:style w:type="character" w:customStyle="1" w:styleId="CommentTextChar">
    <w:name w:val="Comment Text Char"/>
    <w:link w:val="CommentText"/>
    <w:rsid w:val="009E01E6"/>
    <w:rPr>
      <w:rFonts w:ascii="Arial" w:hAnsi="Arial" w:cs="Tahoma"/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1E6"/>
    <w:rPr>
      <w:b/>
      <w:bCs/>
    </w:rPr>
  </w:style>
  <w:style w:type="character" w:customStyle="1" w:styleId="CommentSubjectChar">
    <w:name w:val="Comment Subject Char"/>
    <w:link w:val="CommentSubject"/>
    <w:rsid w:val="009E01E6"/>
    <w:rPr>
      <w:rFonts w:ascii="Arial" w:hAnsi="Arial" w:cs="Tahoma"/>
      <w:b/>
      <w:bCs/>
      <w:i/>
      <w:iCs/>
    </w:rPr>
  </w:style>
  <w:style w:type="table" w:styleId="TableGrid">
    <w:name w:val="Table Grid"/>
    <w:basedOn w:val="TableNormal"/>
    <w:rsid w:val="009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B6FD-5E77-412E-A978-3D1568B3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Houghton Mifflin Harcourt, K-6 - Instructional Materials (CA Dept of Education)</vt:lpstr>
    </vt:vector>
  </TitlesOfParts>
  <Company>California Department of Education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Houghton Mifflin Harcourt, K-6 - Instructional Materials (CA Dept of Education)</dc:title>
  <dc:subject>Report of Findings of the California Houghton Mifflin Harcourt Science Dimensions Science Program, Grades K-6. </dc:subject>
  <dc:creator>CDE</dc:creator>
  <cp:keywords/>
  <cp:lastModifiedBy>Terri Yan</cp:lastModifiedBy>
  <cp:revision>34</cp:revision>
  <cp:lastPrinted>2018-07-18T20:24:00Z</cp:lastPrinted>
  <dcterms:created xsi:type="dcterms:W3CDTF">2018-05-14T18:39:00Z</dcterms:created>
  <dcterms:modified xsi:type="dcterms:W3CDTF">2018-08-03T17:15:00Z</dcterms:modified>
</cp:coreProperties>
</file>