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218"/>
        <w:gridCol w:w="4066"/>
        <w:gridCol w:w="2136"/>
      </w:tblGrid>
      <w:tr w:rsidR="00E33CAD" w:rsidRPr="00264EDD" w:rsidTr="00D84F22">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6344A9" w:rsidRPr="006344A9" w:rsidTr="00D84F22">
        <w:trPr>
          <w:cantSplit/>
          <w:trHeight w:val="440"/>
        </w:trPr>
        <w:tc>
          <w:tcPr>
            <w:tcW w:w="1708" w:type="pct"/>
            <w:hideMark/>
          </w:tcPr>
          <w:p w:rsidR="00E33CAD" w:rsidRPr="006344A9" w:rsidRDefault="00D2566F" w:rsidP="00D2566F">
            <w:pPr>
              <w:rPr>
                <w:rFonts w:cs="Arial"/>
                <w:i w:val="0"/>
                <w:iCs w:val="0"/>
                <w:color w:val="000000" w:themeColor="text1"/>
              </w:rPr>
            </w:pPr>
            <w:r w:rsidRPr="006344A9">
              <w:rPr>
                <w:rFonts w:cs="Times New Roman"/>
                <w:bCs/>
                <w:i w:val="0"/>
                <w:iCs w:val="0"/>
                <w:color w:val="000000" w:themeColor="text1"/>
              </w:rPr>
              <w:t>Impact Science Education, Inc.</w:t>
            </w:r>
          </w:p>
        </w:tc>
        <w:tc>
          <w:tcPr>
            <w:tcW w:w="2158" w:type="pct"/>
            <w:hideMark/>
          </w:tcPr>
          <w:p w:rsidR="00E33CAD" w:rsidRPr="006344A9" w:rsidRDefault="00D2566F" w:rsidP="005F30F0">
            <w:pPr>
              <w:rPr>
                <w:rFonts w:cs="Times New Roman"/>
                <w:bCs/>
                <w:iCs w:val="0"/>
                <w:color w:val="000000" w:themeColor="text1"/>
              </w:rPr>
            </w:pPr>
            <w:r w:rsidRPr="006344A9">
              <w:rPr>
                <w:rFonts w:cs="Times New Roman"/>
                <w:bCs/>
                <w:iCs w:val="0"/>
                <w:color w:val="000000" w:themeColor="text1"/>
              </w:rPr>
              <w:t>Impact Science: Middle School Program</w:t>
            </w:r>
            <w:r w:rsidR="006344A9" w:rsidRPr="006344A9">
              <w:rPr>
                <w:rFonts w:cs="Times New Roman"/>
                <w:bCs/>
                <w:iCs w:val="0"/>
                <w:color w:val="000000" w:themeColor="text1"/>
              </w:rPr>
              <w:t xml:space="preserve"> for CA NGSS</w:t>
            </w:r>
          </w:p>
        </w:tc>
        <w:tc>
          <w:tcPr>
            <w:tcW w:w="1134" w:type="pct"/>
            <w:hideMark/>
          </w:tcPr>
          <w:p w:rsidR="00E33CAD" w:rsidRPr="006344A9" w:rsidRDefault="006344A9" w:rsidP="006344A9">
            <w:pPr>
              <w:jc w:val="center"/>
              <w:rPr>
                <w:rFonts w:cs="Arial"/>
                <w:i w:val="0"/>
                <w:iCs w:val="0"/>
                <w:color w:val="000000" w:themeColor="text1"/>
              </w:rPr>
            </w:pPr>
            <w:r w:rsidRPr="006344A9">
              <w:rPr>
                <w:rFonts w:cs="Arial"/>
                <w:i w:val="0"/>
                <w:color w:val="000000" w:themeColor="text1"/>
              </w:rPr>
              <w:t>6–8d</w:t>
            </w:r>
          </w:p>
        </w:tc>
      </w:tr>
    </w:tbl>
    <w:p w:rsidR="00860E81" w:rsidRPr="006344A9" w:rsidRDefault="00860E81" w:rsidP="00C942C4">
      <w:pPr>
        <w:pStyle w:val="Heading2"/>
        <w:rPr>
          <w:color w:val="000000" w:themeColor="text1"/>
        </w:rPr>
      </w:pPr>
      <w:r w:rsidRPr="006344A9">
        <w:rPr>
          <w:color w:val="000000" w:themeColor="text1"/>
        </w:rPr>
        <w:t>Program Summary:</w:t>
      </w:r>
    </w:p>
    <w:p w:rsidR="004F0D9A" w:rsidRPr="006344A9" w:rsidRDefault="006344A9" w:rsidP="006344A9">
      <w:pPr>
        <w:rPr>
          <w:rFonts w:cs="Arial"/>
          <w:color w:val="000000" w:themeColor="text1"/>
        </w:rPr>
      </w:pPr>
      <w:r w:rsidRPr="006344A9">
        <w:rPr>
          <w:rFonts w:cs="Times New Roman"/>
          <w:bCs/>
          <w:iCs w:val="0"/>
          <w:color w:val="000000" w:themeColor="text1"/>
        </w:rPr>
        <w:t>Impact Science: Midd</w:t>
      </w:r>
      <w:r w:rsidR="00901465">
        <w:rPr>
          <w:rFonts w:cs="Times New Roman"/>
          <w:bCs/>
          <w:iCs w:val="0"/>
          <w:color w:val="000000" w:themeColor="text1"/>
        </w:rPr>
        <w:t xml:space="preserve">le School Program </w:t>
      </w:r>
      <w:r w:rsidRPr="006344A9">
        <w:rPr>
          <w:rFonts w:cs="Times New Roman"/>
          <w:bCs/>
          <w:iCs w:val="0"/>
          <w:color w:val="000000" w:themeColor="text1"/>
        </w:rPr>
        <w:t>for CA NGSS</w:t>
      </w:r>
      <w:r w:rsidR="004961B0" w:rsidRPr="006344A9">
        <w:rPr>
          <w:rFonts w:cs="Arial"/>
          <w:i w:val="0"/>
          <w:iCs w:val="0"/>
          <w:color w:val="000000" w:themeColor="text1"/>
        </w:rPr>
        <w:t xml:space="preserve"> </w:t>
      </w:r>
      <w:r w:rsidR="004F0D9A" w:rsidRPr="006344A9">
        <w:rPr>
          <w:rFonts w:cs="Times New Roman"/>
          <w:bCs/>
          <w:i w:val="0"/>
          <w:color w:val="000000" w:themeColor="text1"/>
        </w:rPr>
        <w:t xml:space="preserve">includes: </w:t>
      </w:r>
      <w:r w:rsidRPr="006344A9">
        <w:rPr>
          <w:rFonts w:cs="Arial"/>
          <w:i w:val="0"/>
          <w:color w:val="000000" w:themeColor="text1"/>
        </w:rPr>
        <w:t>Impact Science Middle School Program for CA NGSS</w:t>
      </w:r>
      <w:r w:rsidRPr="006344A9">
        <w:rPr>
          <w:rFonts w:cs="Arial"/>
          <w:color w:val="000000" w:themeColor="text1"/>
        </w:rPr>
        <w:t xml:space="preserve"> includes: (U) = Unit   (L) = Lesson</w:t>
      </w:r>
      <w:r w:rsidR="004F0D9A" w:rsidRPr="006344A9">
        <w:rPr>
          <w:rFonts w:cs="Times New Roman"/>
          <w:bCs/>
          <w:i w:val="0"/>
          <w:color w:val="000000" w:themeColor="text1"/>
        </w:rPr>
        <w:t>.</w:t>
      </w:r>
    </w:p>
    <w:p w:rsidR="004961B0" w:rsidRPr="005A267D" w:rsidRDefault="00860E81" w:rsidP="005A267D">
      <w:pPr>
        <w:pStyle w:val="Heading2"/>
        <w:rPr>
          <w:color w:val="000000" w:themeColor="text1"/>
        </w:rPr>
      </w:pPr>
      <w:r w:rsidRPr="006344A9">
        <w:rPr>
          <w:color w:val="000000" w:themeColor="text1"/>
        </w:rPr>
        <w:t>Recommendation:</w:t>
      </w:r>
    </w:p>
    <w:p w:rsidR="00860E81" w:rsidRPr="006344A9" w:rsidRDefault="006344A9" w:rsidP="00DA77F1">
      <w:pPr>
        <w:pStyle w:val="Header"/>
        <w:tabs>
          <w:tab w:val="clear" w:pos="4320"/>
          <w:tab w:val="clear" w:pos="8640"/>
        </w:tabs>
        <w:spacing w:after="240"/>
        <w:rPr>
          <w:rFonts w:cs="Times New Roman"/>
          <w:i w:val="0"/>
          <w:iCs w:val="0"/>
          <w:color w:val="000000" w:themeColor="text1"/>
        </w:rPr>
      </w:pPr>
      <w:r w:rsidRPr="006344A9">
        <w:rPr>
          <w:rFonts w:cs="Times New Roman"/>
          <w:bCs/>
          <w:iCs w:val="0"/>
          <w:color w:val="000000" w:themeColor="text1"/>
        </w:rPr>
        <w:t>Impact Science: Midd</w:t>
      </w:r>
      <w:r w:rsidR="00901465">
        <w:rPr>
          <w:rFonts w:cs="Times New Roman"/>
          <w:bCs/>
          <w:iCs w:val="0"/>
          <w:color w:val="000000" w:themeColor="text1"/>
        </w:rPr>
        <w:t xml:space="preserve">le School Program </w:t>
      </w:r>
      <w:r w:rsidRPr="006344A9">
        <w:rPr>
          <w:rFonts w:cs="Times New Roman"/>
          <w:bCs/>
          <w:iCs w:val="0"/>
          <w:color w:val="000000" w:themeColor="text1"/>
        </w:rPr>
        <w:t>for CA NGSS</w:t>
      </w:r>
      <w:r w:rsidR="004961B0" w:rsidRPr="006344A9">
        <w:rPr>
          <w:rFonts w:cs="Arial"/>
          <w:i w:val="0"/>
          <w:iCs w:val="0"/>
          <w:color w:val="000000" w:themeColor="text1"/>
        </w:rPr>
        <w:t xml:space="preserve"> </w:t>
      </w:r>
      <w:r w:rsidR="00860E81" w:rsidRPr="006344A9">
        <w:rPr>
          <w:rFonts w:cs="Times New Roman"/>
          <w:i w:val="0"/>
          <w:iCs w:val="0"/>
          <w:color w:val="000000" w:themeColor="text1"/>
        </w:rPr>
        <w:t xml:space="preserve">is recommended for adoption </w:t>
      </w:r>
      <w:r w:rsidR="00957292" w:rsidRPr="006344A9">
        <w:rPr>
          <w:rFonts w:cs="Times New Roman"/>
          <w:i w:val="0"/>
          <w:iCs w:val="0"/>
          <w:color w:val="000000" w:themeColor="text1"/>
        </w:rPr>
        <w:t xml:space="preserve">for </w:t>
      </w:r>
      <w:r w:rsidRPr="006344A9">
        <w:rPr>
          <w:rFonts w:cs="Arial"/>
          <w:i w:val="0"/>
          <w:color w:val="000000" w:themeColor="text1"/>
        </w:rPr>
        <w:t>6–8d</w:t>
      </w:r>
      <w:r w:rsidR="004961B0" w:rsidRPr="006344A9">
        <w:rPr>
          <w:rFonts w:cs="Arial"/>
          <w:i w:val="0"/>
          <w:iCs w:val="0"/>
          <w:color w:val="000000" w:themeColor="text1"/>
        </w:rPr>
        <w:t xml:space="preserve"> </w:t>
      </w:r>
      <w:r w:rsidR="00860E81" w:rsidRPr="006344A9">
        <w:rPr>
          <w:rFonts w:cs="Times New Roman"/>
          <w:i w:val="0"/>
          <w:iCs w:val="0"/>
          <w:color w:val="000000" w:themeColor="text1"/>
        </w:rPr>
        <w:t xml:space="preserve">because the instructional materials include content as specified in the </w:t>
      </w:r>
      <w:r w:rsidR="00F76B3D" w:rsidRPr="006344A9">
        <w:rPr>
          <w:rFonts w:cs="Times New Roman"/>
          <w:iCs w:val="0"/>
          <w:color w:val="000000" w:themeColor="text1"/>
        </w:rPr>
        <w:t>Next Generation Science Standards for California Public Schools</w:t>
      </w:r>
      <w:r w:rsidR="00976333" w:rsidRPr="006344A9">
        <w:rPr>
          <w:rFonts w:cs="Times New Roman"/>
          <w:iCs w:val="0"/>
          <w:color w:val="000000" w:themeColor="text1"/>
        </w:rPr>
        <w:t xml:space="preserve"> </w:t>
      </w:r>
      <w:r w:rsidR="0086494D" w:rsidRPr="006344A9">
        <w:rPr>
          <w:rFonts w:cs="Times New Roman"/>
          <w:i w:val="0"/>
          <w:iCs w:val="0"/>
          <w:color w:val="000000" w:themeColor="text1"/>
        </w:rPr>
        <w:t>(</w:t>
      </w:r>
      <w:r w:rsidR="00795D74" w:rsidRPr="006344A9">
        <w:rPr>
          <w:rFonts w:cs="Times New Roman"/>
          <w:iCs w:val="0"/>
          <w:color w:val="000000" w:themeColor="text1"/>
        </w:rPr>
        <w:t>CA NGSS</w:t>
      </w:r>
      <w:r w:rsidR="0086494D" w:rsidRPr="006344A9">
        <w:rPr>
          <w:rFonts w:cs="Times New Roman"/>
          <w:i w:val="0"/>
          <w:iCs w:val="0"/>
          <w:color w:val="000000" w:themeColor="text1"/>
        </w:rPr>
        <w:t xml:space="preserve">) </w:t>
      </w:r>
      <w:r w:rsidR="00860E81" w:rsidRPr="006344A9">
        <w:rPr>
          <w:rFonts w:cs="Times New Roman"/>
          <w:i w:val="0"/>
          <w:iCs w:val="0"/>
          <w:color w:val="000000" w:themeColor="text1"/>
        </w:rPr>
        <w:t xml:space="preserve">and meet all the </w:t>
      </w:r>
      <w:r w:rsidR="00957292" w:rsidRPr="006344A9">
        <w:rPr>
          <w:rFonts w:cs="Times New Roman"/>
          <w:i w:val="0"/>
          <w:iCs w:val="0"/>
          <w:color w:val="000000" w:themeColor="text1"/>
        </w:rPr>
        <w:t>c</w:t>
      </w:r>
      <w:r w:rsidR="00860E81" w:rsidRPr="006344A9">
        <w:rPr>
          <w:rFonts w:cs="Times New Roman"/>
          <w:i w:val="0"/>
          <w:iCs w:val="0"/>
          <w:color w:val="000000" w:themeColor="text1"/>
        </w:rPr>
        <w:t xml:space="preserve">riteria in </w:t>
      </w:r>
      <w:r w:rsidR="00C942C4" w:rsidRPr="006344A9">
        <w:rPr>
          <w:rFonts w:cs="Times New Roman"/>
          <w:i w:val="0"/>
          <w:iCs w:val="0"/>
          <w:color w:val="000000" w:themeColor="text1"/>
        </w:rPr>
        <w:t>C</w:t>
      </w:r>
      <w:r w:rsidR="00860E81" w:rsidRPr="006344A9">
        <w:rPr>
          <w:rFonts w:cs="Times New Roman"/>
          <w:i w:val="0"/>
          <w:iCs w:val="0"/>
          <w:color w:val="000000" w:themeColor="text1"/>
        </w:rPr>
        <w:t xml:space="preserve">ategory 1 with strengths in </w:t>
      </w:r>
      <w:r w:rsidR="00957292" w:rsidRPr="006344A9">
        <w:rPr>
          <w:rFonts w:cs="Times New Roman"/>
          <w:i w:val="0"/>
          <w:iCs w:val="0"/>
          <w:color w:val="000000" w:themeColor="text1"/>
        </w:rPr>
        <w:t>c</w:t>
      </w:r>
      <w:r w:rsidR="00860E81" w:rsidRPr="006344A9">
        <w:rPr>
          <w:rFonts w:cs="Times New Roman"/>
          <w:i w:val="0"/>
          <w:iCs w:val="0"/>
          <w:color w:val="000000" w:themeColor="text1"/>
        </w:rPr>
        <w:t>ategories 2</w:t>
      </w:r>
      <w:r w:rsidR="00957292" w:rsidRPr="006344A9">
        <w:rPr>
          <w:rFonts w:cs="Times New Roman"/>
          <w:i w:val="0"/>
          <w:iCs w:val="0"/>
          <w:color w:val="000000" w:themeColor="text1"/>
        </w:rPr>
        <w:t>–</w:t>
      </w:r>
      <w:r w:rsidR="00860E81" w:rsidRPr="006344A9">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The program</w:t>
      </w:r>
      <w:r w:rsidR="005A267D">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005A267D">
        <w:rPr>
          <w:rFonts w:cs="Times New Roman"/>
          <w:i w:val="0"/>
        </w:rPr>
        <w:t xml:space="preserve"> and 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04059B" w:rsidRDefault="0004059B" w:rsidP="0004059B">
      <w:pPr>
        <w:pStyle w:val="Header"/>
        <w:numPr>
          <w:ilvl w:val="0"/>
          <w:numId w:val="10"/>
        </w:numPr>
        <w:tabs>
          <w:tab w:val="clear" w:pos="4320"/>
          <w:tab w:val="clear" w:pos="8640"/>
        </w:tabs>
        <w:spacing w:after="240"/>
        <w:rPr>
          <w:rFonts w:cs="Times New Roman"/>
          <w:i w:val="0"/>
        </w:rPr>
      </w:pPr>
      <w:r>
        <w:rPr>
          <w:rFonts w:cs="Times New Roman"/>
          <w:i w:val="0"/>
        </w:rPr>
        <w:t>Criterion #</w:t>
      </w:r>
      <w:r w:rsidR="00387E71">
        <w:rPr>
          <w:rFonts w:cs="Times New Roman"/>
          <w:i w:val="0"/>
        </w:rPr>
        <w:t>1.1: Grade 6, Charts of Units</w:t>
      </w:r>
      <w:r w:rsidR="00C52B7D">
        <w:rPr>
          <w:rFonts w:cs="Times New Roman"/>
          <w:i w:val="0"/>
        </w:rPr>
        <w:t xml:space="preserve"> p.</w:t>
      </w:r>
      <w:r>
        <w:rPr>
          <w:rFonts w:cs="Times New Roman"/>
          <w:i w:val="0"/>
        </w:rPr>
        <w:t>1; Grade 7, Charts of Units</w:t>
      </w:r>
      <w:r w:rsidR="00C52B7D">
        <w:rPr>
          <w:rFonts w:cs="Times New Roman"/>
          <w:i w:val="0"/>
        </w:rPr>
        <w:t xml:space="preserve"> p.</w:t>
      </w:r>
      <w:r w:rsidR="00387E71">
        <w:rPr>
          <w:rFonts w:cs="Times New Roman"/>
          <w:i w:val="0"/>
        </w:rPr>
        <w:t>2; Grade 8, Charts of Units</w:t>
      </w:r>
      <w:r w:rsidR="00C52B7D">
        <w:rPr>
          <w:rFonts w:cs="Times New Roman"/>
          <w:i w:val="0"/>
        </w:rPr>
        <w:t xml:space="preserve"> p.</w:t>
      </w:r>
      <w:r>
        <w:rPr>
          <w:rFonts w:cs="Times New Roman"/>
          <w:i w:val="0"/>
        </w:rPr>
        <w:t>3. We found numerous exemplars of the standards being fully covered in grades six, seven and eight.</w:t>
      </w:r>
    </w:p>
    <w:p w:rsidR="004961B0" w:rsidRDefault="00AE3E82" w:rsidP="00B07322">
      <w:pPr>
        <w:pStyle w:val="Header"/>
        <w:numPr>
          <w:ilvl w:val="0"/>
          <w:numId w:val="10"/>
        </w:numPr>
        <w:tabs>
          <w:tab w:val="clear" w:pos="4320"/>
          <w:tab w:val="clear" w:pos="8640"/>
        </w:tabs>
        <w:spacing w:after="240"/>
        <w:rPr>
          <w:rFonts w:cs="Times New Roman"/>
          <w:i w:val="0"/>
        </w:rPr>
      </w:pPr>
      <w:r>
        <w:rPr>
          <w:rFonts w:cs="Times New Roman"/>
          <w:i w:val="0"/>
        </w:rPr>
        <w:t>Criterion #1.9: Grade 6</w:t>
      </w:r>
      <w:r w:rsidR="003F5D42" w:rsidRPr="0004059B">
        <w:rPr>
          <w:rFonts w:cs="Times New Roman"/>
          <w:i w:val="0"/>
        </w:rPr>
        <w:t>,</w:t>
      </w:r>
      <w:r>
        <w:rPr>
          <w:rFonts w:cs="Times New Roman"/>
          <w:i w:val="0"/>
        </w:rPr>
        <w:t xml:space="preserve"> Unit 5 Earth Systems Lesson 18</w:t>
      </w:r>
      <w:r w:rsidR="00387E71">
        <w:rPr>
          <w:rFonts w:cs="Times New Roman"/>
          <w:i w:val="0"/>
        </w:rPr>
        <w:t xml:space="preserve"> Earthquake design challenge </w:t>
      </w:r>
      <w:r w:rsidR="00C52B7D">
        <w:rPr>
          <w:rFonts w:cs="Times New Roman"/>
          <w:i w:val="0"/>
        </w:rPr>
        <w:t>pp.</w:t>
      </w:r>
      <w:r>
        <w:rPr>
          <w:rFonts w:cs="Times New Roman"/>
          <w:i w:val="0"/>
        </w:rPr>
        <w:t>3-7 and 11-13; Grade 7, Unit 2 Ce</w:t>
      </w:r>
      <w:r w:rsidR="00387E71">
        <w:rPr>
          <w:rFonts w:cs="Times New Roman"/>
          <w:i w:val="0"/>
        </w:rPr>
        <w:t xml:space="preserve">lls Lesson 23 Cancer, </w:t>
      </w:r>
      <w:r w:rsidR="00C52B7D">
        <w:rPr>
          <w:rFonts w:cs="Times New Roman"/>
          <w:i w:val="0"/>
        </w:rPr>
        <w:t>pp.</w:t>
      </w:r>
      <w:r>
        <w:rPr>
          <w:rFonts w:cs="Times New Roman"/>
          <w:i w:val="0"/>
        </w:rPr>
        <w:t>3-5. Instructional resources focus on application of science to be learned using authentic real-world application and scenarios that are specific to California</w:t>
      </w:r>
      <w:r w:rsidR="00063238">
        <w:rPr>
          <w:rFonts w:cs="Times New Roman"/>
          <w:i w:val="0"/>
        </w:rPr>
        <w:t xml:space="preserve"> when appropriate</w:t>
      </w:r>
      <w:r w:rsidR="000A0D20">
        <w:rPr>
          <w:rFonts w:cs="Times New Roman"/>
          <w:i w:val="0"/>
        </w:rPr>
        <w:t>.</w:t>
      </w:r>
    </w:p>
    <w:p w:rsidR="009D6BA6" w:rsidRDefault="0035402E" w:rsidP="009D6BA6">
      <w:pPr>
        <w:pStyle w:val="Header"/>
        <w:numPr>
          <w:ilvl w:val="0"/>
          <w:numId w:val="10"/>
        </w:numPr>
        <w:tabs>
          <w:tab w:val="clear" w:pos="4320"/>
          <w:tab w:val="clear" w:pos="8640"/>
        </w:tabs>
        <w:spacing w:after="240"/>
        <w:rPr>
          <w:rFonts w:cs="Times New Roman"/>
          <w:i w:val="0"/>
        </w:rPr>
      </w:pPr>
      <w:r>
        <w:rPr>
          <w:rFonts w:cs="Times New Roman"/>
          <w:i w:val="0"/>
        </w:rPr>
        <w:t>Criterion #1.13: Gr</w:t>
      </w:r>
      <w:r w:rsidR="00387E71">
        <w:rPr>
          <w:rFonts w:cs="Times New Roman"/>
          <w:i w:val="0"/>
        </w:rPr>
        <w:t xml:space="preserve">ade 8, Unit 9 Waves, Lesson 5 </w:t>
      </w:r>
      <w:r w:rsidR="00C52B7D">
        <w:rPr>
          <w:rFonts w:cs="Times New Roman"/>
          <w:i w:val="0"/>
        </w:rPr>
        <w:t>pp.</w:t>
      </w:r>
      <w:r>
        <w:rPr>
          <w:rFonts w:cs="Times New Roman"/>
          <w:i w:val="0"/>
        </w:rPr>
        <w:t>8. There is evidence that materials provide support to develop grade level appropriate academic language through discourse around phenomena with students being provided word banks to support their explanations of phenomena.</w:t>
      </w:r>
    </w:p>
    <w:p w:rsidR="009D6BA6" w:rsidRPr="009D6BA6" w:rsidRDefault="009D6BA6" w:rsidP="009D6BA6">
      <w:pPr>
        <w:pStyle w:val="Header"/>
        <w:tabs>
          <w:tab w:val="clear" w:pos="4320"/>
          <w:tab w:val="clear" w:pos="8640"/>
        </w:tabs>
        <w:spacing w:after="240"/>
        <w:ind w:left="1440"/>
        <w:jc w:val="right"/>
        <w:rPr>
          <w:rFonts w:cs="Times New Roman"/>
          <w:i w:val="0"/>
        </w:rPr>
      </w:pPr>
      <w:r>
        <w:rPr>
          <w:rFonts w:cs="Times New Roman"/>
          <w:i w:val="0"/>
        </w:rPr>
        <w:t>1</w:t>
      </w:r>
    </w:p>
    <w:p w:rsidR="004961B0" w:rsidRDefault="000A0D20"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#1.17</w:t>
      </w:r>
      <w:r w:rsidR="005A267D">
        <w:rPr>
          <w:rFonts w:cs="Times New Roman"/>
          <w:i w:val="0"/>
        </w:rPr>
        <w:t>: Grade 8</w:t>
      </w:r>
      <w:r w:rsidR="003F5D42">
        <w:rPr>
          <w:rFonts w:cs="Times New Roman"/>
          <w:i w:val="0"/>
        </w:rPr>
        <w:t>,</w:t>
      </w:r>
      <w:r w:rsidR="00387E71">
        <w:rPr>
          <w:rFonts w:cs="Times New Roman"/>
          <w:i w:val="0"/>
        </w:rPr>
        <w:t xml:space="preserve"> Unit 9 Waves, Lesson 2. </w:t>
      </w:r>
      <w:r>
        <w:rPr>
          <w:rFonts w:cs="Times New Roman"/>
          <w:i w:val="0"/>
        </w:rPr>
        <w:t>Reading instructional resources discuss trends and research in science to inform students about career pathways such as engineering and computer development.</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5A267D">
        <w:rPr>
          <w:i w:val="0"/>
        </w:rPr>
        <w:t xml:space="preserve"> support</w:t>
      </w:r>
      <w:r w:rsidR="007272F2">
        <w:rPr>
          <w:i w:val="0"/>
        </w:rPr>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0A0D20" w:rsidP="00DA77F1">
      <w:pPr>
        <w:pStyle w:val="Header"/>
        <w:numPr>
          <w:ilvl w:val="0"/>
          <w:numId w:val="10"/>
        </w:numPr>
        <w:tabs>
          <w:tab w:val="clear" w:pos="4320"/>
          <w:tab w:val="clear" w:pos="8640"/>
        </w:tabs>
        <w:spacing w:after="240"/>
        <w:rPr>
          <w:rFonts w:cs="Times New Roman"/>
          <w:i w:val="0"/>
        </w:rPr>
      </w:pPr>
      <w:r>
        <w:rPr>
          <w:rFonts w:cs="Times New Roman"/>
          <w:i w:val="0"/>
        </w:rPr>
        <w:t>Criterion #2.1: Grade 6</w:t>
      </w:r>
      <w:r w:rsidR="003F5D42">
        <w:rPr>
          <w:rFonts w:cs="Times New Roman"/>
          <w:i w:val="0"/>
        </w:rPr>
        <w:t xml:space="preserve">, </w:t>
      </w:r>
      <w:r w:rsidR="00387E71">
        <w:rPr>
          <w:rFonts w:cs="Times New Roman"/>
          <w:i w:val="0"/>
        </w:rPr>
        <w:t>Chart of Units</w:t>
      </w:r>
      <w:r w:rsidR="00C52B7D">
        <w:rPr>
          <w:rFonts w:cs="Times New Roman"/>
          <w:i w:val="0"/>
        </w:rPr>
        <w:t xml:space="preserve"> p.</w:t>
      </w:r>
      <w:r>
        <w:rPr>
          <w:rFonts w:cs="Times New Roman"/>
          <w:i w:val="0"/>
        </w:rPr>
        <w:t>1. We found evidence of sequential organization of materials that provides structure concerning what students should learn each year.</w:t>
      </w:r>
    </w:p>
    <w:p w:rsidR="003F5D42" w:rsidRDefault="000A0D20" w:rsidP="00DA77F1">
      <w:pPr>
        <w:pStyle w:val="Header"/>
        <w:numPr>
          <w:ilvl w:val="0"/>
          <w:numId w:val="10"/>
        </w:numPr>
        <w:tabs>
          <w:tab w:val="clear" w:pos="4320"/>
          <w:tab w:val="clear" w:pos="8640"/>
        </w:tabs>
        <w:spacing w:after="240"/>
        <w:rPr>
          <w:rFonts w:cs="Times New Roman"/>
          <w:i w:val="0"/>
        </w:rPr>
      </w:pPr>
      <w:r>
        <w:rPr>
          <w:rFonts w:cs="Times New Roman"/>
          <w:i w:val="0"/>
        </w:rPr>
        <w:t>Criterion #2.3</w:t>
      </w:r>
      <w:r w:rsidR="00C31539">
        <w:rPr>
          <w:rFonts w:cs="Times New Roman"/>
          <w:i w:val="0"/>
        </w:rPr>
        <w:t>: Grade 7</w:t>
      </w:r>
      <w:r w:rsidR="003F5D42">
        <w:rPr>
          <w:rFonts w:cs="Times New Roman"/>
          <w:i w:val="0"/>
        </w:rPr>
        <w:t>,</w:t>
      </w:r>
      <w:r w:rsidR="00C31539">
        <w:rPr>
          <w:rFonts w:cs="Times New Roman"/>
          <w:i w:val="0"/>
        </w:rPr>
        <w:t xml:space="preserve"> Unit 5 Overview </w:t>
      </w:r>
      <w:r w:rsidR="00C52B7D">
        <w:rPr>
          <w:rFonts w:cs="Times New Roman"/>
          <w:i w:val="0"/>
        </w:rPr>
        <w:t>pp.</w:t>
      </w:r>
      <w:r w:rsidR="00C31539">
        <w:rPr>
          <w:rFonts w:cs="Times New Roman"/>
          <w:i w:val="0"/>
        </w:rPr>
        <w:t xml:space="preserve">1-2. The instructional resources explicitly states the knowledge and skills learned in prior grades or units are applied and extended to accommodate new knowledge and skills focusing on the basic understanding </w:t>
      </w:r>
      <w:r w:rsidR="00063238">
        <w:rPr>
          <w:rFonts w:cs="Times New Roman"/>
          <w:i w:val="0"/>
        </w:rPr>
        <w:t>o</w:t>
      </w:r>
      <w:r w:rsidR="00C31539">
        <w:rPr>
          <w:rFonts w:cs="Times New Roman"/>
          <w:i w:val="0"/>
        </w:rPr>
        <w:t>f habitats.</w:t>
      </w:r>
    </w:p>
    <w:p w:rsidR="003F5D42" w:rsidRDefault="00C31539" w:rsidP="00DA77F1">
      <w:pPr>
        <w:pStyle w:val="Header"/>
        <w:numPr>
          <w:ilvl w:val="0"/>
          <w:numId w:val="10"/>
        </w:numPr>
        <w:tabs>
          <w:tab w:val="clear" w:pos="4320"/>
          <w:tab w:val="clear" w:pos="8640"/>
        </w:tabs>
        <w:spacing w:after="240"/>
        <w:rPr>
          <w:rFonts w:cs="Times New Roman"/>
          <w:i w:val="0"/>
        </w:rPr>
      </w:pPr>
      <w:r>
        <w:rPr>
          <w:rFonts w:cs="Times New Roman"/>
          <w:i w:val="0"/>
        </w:rPr>
        <w:t>Criterion #2.5: Grade 8</w:t>
      </w:r>
      <w:r w:rsidR="003F5D42">
        <w:rPr>
          <w:rFonts w:cs="Times New Roman"/>
          <w:i w:val="0"/>
        </w:rPr>
        <w:t xml:space="preserve">, </w:t>
      </w:r>
      <w:r w:rsidR="00387E71">
        <w:rPr>
          <w:rFonts w:cs="Times New Roman"/>
          <w:i w:val="0"/>
        </w:rPr>
        <w:t xml:space="preserve">Unit 2, Thermal Energy </w:t>
      </w:r>
      <w:r w:rsidR="00C52B7D">
        <w:rPr>
          <w:rFonts w:cs="Times New Roman"/>
          <w:i w:val="0"/>
        </w:rPr>
        <w:t>pp.</w:t>
      </w:r>
      <w:r>
        <w:rPr>
          <w:rFonts w:cs="Times New Roman"/>
          <w:i w:val="0"/>
        </w:rPr>
        <w:t>1-5, see n</w:t>
      </w:r>
      <w:r w:rsidR="00387E71">
        <w:rPr>
          <w:rFonts w:cs="Times New Roman"/>
          <w:i w:val="0"/>
        </w:rPr>
        <w:t xml:space="preserve">umber of minutes in blue bars. </w:t>
      </w:r>
      <w:r>
        <w:rPr>
          <w:rFonts w:cs="Times New Roman"/>
          <w:i w:val="0"/>
        </w:rPr>
        <w:t>The instructional resources provide instructional content for 180 days of instruction for at least one daily class period, including an estimate of the necessary instructional time.</w:t>
      </w:r>
    </w:p>
    <w:p w:rsidR="00860E81" w:rsidRPr="003F5D42" w:rsidRDefault="00C31539" w:rsidP="00DA77F1">
      <w:pPr>
        <w:pStyle w:val="Header"/>
        <w:numPr>
          <w:ilvl w:val="0"/>
          <w:numId w:val="10"/>
        </w:numPr>
        <w:tabs>
          <w:tab w:val="clear" w:pos="4320"/>
          <w:tab w:val="clear" w:pos="8640"/>
        </w:tabs>
        <w:spacing w:after="240"/>
        <w:rPr>
          <w:rFonts w:cs="Times New Roman"/>
          <w:i w:val="0"/>
        </w:rPr>
      </w:pPr>
      <w:r>
        <w:rPr>
          <w:rFonts w:cs="Times New Roman"/>
          <w:i w:val="0"/>
        </w:rPr>
        <w:t>Criterion #2.13: Grade 7,</w:t>
      </w:r>
      <w:r w:rsidR="00387E71">
        <w:rPr>
          <w:rFonts w:cs="Times New Roman"/>
          <w:i w:val="0"/>
        </w:rPr>
        <w:t xml:space="preserve"> Unit 2 Cells, Unit Overview </w:t>
      </w:r>
      <w:r w:rsidR="00C52B7D">
        <w:rPr>
          <w:rFonts w:cs="Times New Roman"/>
          <w:i w:val="0"/>
        </w:rPr>
        <w:t>pp.</w:t>
      </w:r>
      <w:r>
        <w:rPr>
          <w:rFonts w:cs="Times New Roman"/>
          <w:i w:val="0"/>
        </w:rPr>
        <w:t>1-2</w:t>
      </w:r>
      <w:r w:rsidR="00C52B7D">
        <w:rPr>
          <w:rFonts w:cs="Times New Roman"/>
          <w:i w:val="0"/>
        </w:rPr>
        <w:t>.</w:t>
      </w:r>
      <w:r w:rsidR="003F5D42">
        <w:rPr>
          <w:rFonts w:cs="Times New Roman"/>
          <w:i w:val="0"/>
        </w:rPr>
        <w:t xml:space="preserve"> </w:t>
      </w:r>
      <w:r w:rsidR="00C52B7D">
        <w:rPr>
          <w:rFonts w:cs="Times New Roman"/>
          <w:i w:val="0"/>
        </w:rPr>
        <w:t>The t</w:t>
      </w:r>
      <w:r>
        <w:rPr>
          <w:rFonts w:cs="Times New Roman"/>
          <w:i w:val="0"/>
        </w:rPr>
        <w:t xml:space="preserve">opic selected, magnification device, provides in-depth study and developed through their role in explaining the selected phenomena, </w:t>
      </w:r>
      <w:r w:rsidR="00AB7222">
        <w:rPr>
          <w:rFonts w:cs="Times New Roman"/>
          <w:i w:val="0"/>
        </w:rPr>
        <w:t>supports students in building the knowledge and abilities needed to achieve proficiency in a bundle of PE’s.</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005A267D">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005A267D">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04059B" w:rsidRDefault="0004059B" w:rsidP="00465796">
      <w:pPr>
        <w:pStyle w:val="Header"/>
        <w:numPr>
          <w:ilvl w:val="0"/>
          <w:numId w:val="10"/>
        </w:numPr>
        <w:tabs>
          <w:tab w:val="clear" w:pos="4320"/>
          <w:tab w:val="clear" w:pos="8640"/>
        </w:tabs>
        <w:spacing w:after="240"/>
        <w:rPr>
          <w:rFonts w:cs="Times New Roman"/>
          <w:i w:val="0"/>
        </w:rPr>
      </w:pPr>
      <w:r w:rsidRPr="0004059B">
        <w:rPr>
          <w:rFonts w:cs="Times New Roman"/>
          <w:i w:val="0"/>
        </w:rPr>
        <w:t>Criterion #3.1: Grade 6-8</w:t>
      </w:r>
      <w:r w:rsidR="003F5D42" w:rsidRPr="0004059B">
        <w:rPr>
          <w:rFonts w:cs="Times New Roman"/>
          <w:i w:val="0"/>
        </w:rPr>
        <w:t xml:space="preserve">, </w:t>
      </w:r>
      <w:r>
        <w:rPr>
          <w:rFonts w:cs="Times New Roman"/>
          <w:i w:val="0"/>
        </w:rPr>
        <w:t xml:space="preserve">Unit Assessment Folders, which includes Pre-assessments, Interim assessments, summative assessments and project rubric. Assessments in the instructional resources reflect the three-dimensional nature of the CA NGSS and CA Science Framework. All of the above named assessment tools measure what students know and are able to do, as defined by the PE’s </w:t>
      </w:r>
      <w:r w:rsidR="00AE3E82">
        <w:rPr>
          <w:rFonts w:cs="Times New Roman"/>
          <w:i w:val="0"/>
        </w:rPr>
        <w:t>within the CA NGSS.</w:t>
      </w:r>
    </w:p>
    <w:p w:rsidR="003F5D42" w:rsidRPr="0004059B" w:rsidRDefault="00AE3E82" w:rsidP="00465796">
      <w:pPr>
        <w:pStyle w:val="Header"/>
        <w:numPr>
          <w:ilvl w:val="0"/>
          <w:numId w:val="10"/>
        </w:numPr>
        <w:tabs>
          <w:tab w:val="clear" w:pos="4320"/>
          <w:tab w:val="clear" w:pos="8640"/>
        </w:tabs>
        <w:spacing w:after="240"/>
        <w:rPr>
          <w:rFonts w:cs="Times New Roman"/>
          <w:i w:val="0"/>
        </w:rPr>
      </w:pPr>
      <w:r>
        <w:rPr>
          <w:rFonts w:cs="Times New Roman"/>
          <w:i w:val="0"/>
        </w:rPr>
        <w:t>Criterion #3.3: Grade 6</w:t>
      </w:r>
      <w:r w:rsidR="00B53582" w:rsidRPr="0004059B">
        <w:rPr>
          <w:rFonts w:cs="Times New Roman"/>
          <w:i w:val="0"/>
        </w:rPr>
        <w:t>,</w:t>
      </w:r>
      <w:r w:rsidR="00B53582">
        <w:rPr>
          <w:rFonts w:cs="Times New Roman"/>
          <w:i w:val="0"/>
        </w:rPr>
        <w:t xml:space="preserve"> Unit</w:t>
      </w:r>
      <w:r w:rsidR="00387E71">
        <w:rPr>
          <w:rFonts w:cs="Times New Roman"/>
          <w:i w:val="0"/>
        </w:rPr>
        <w:t xml:space="preserve"> 2 Weather Lesson 7 </w:t>
      </w:r>
      <w:r w:rsidR="00C52B7D">
        <w:rPr>
          <w:rFonts w:cs="Times New Roman"/>
          <w:i w:val="0"/>
        </w:rPr>
        <w:t>pp.</w:t>
      </w:r>
      <w:r>
        <w:rPr>
          <w:rFonts w:cs="Times New Roman"/>
          <w:i w:val="0"/>
        </w:rPr>
        <w:t xml:space="preserve">2-4; Grade 7 </w:t>
      </w:r>
      <w:r w:rsidR="00387E71">
        <w:rPr>
          <w:rFonts w:cs="Times New Roman"/>
          <w:i w:val="0"/>
        </w:rPr>
        <w:t xml:space="preserve">Unit 3 Body Systems Lesson 3 </w:t>
      </w:r>
      <w:r w:rsidR="00C52B7D">
        <w:rPr>
          <w:rFonts w:cs="Times New Roman"/>
          <w:i w:val="0"/>
        </w:rPr>
        <w:t>pp.</w:t>
      </w:r>
      <w:r>
        <w:rPr>
          <w:rFonts w:cs="Times New Roman"/>
          <w:i w:val="0"/>
        </w:rPr>
        <w:t>3-4; Grade 8 U</w:t>
      </w:r>
      <w:r w:rsidR="00387E71">
        <w:rPr>
          <w:rFonts w:cs="Times New Roman"/>
          <w:i w:val="0"/>
        </w:rPr>
        <w:t>nit 2 Thermal Energy Lesson 3</w:t>
      </w:r>
      <w:r w:rsidR="00C52B7D">
        <w:rPr>
          <w:rFonts w:cs="Times New Roman"/>
          <w:i w:val="0"/>
        </w:rPr>
        <w:t xml:space="preserve"> </w:t>
      </w:r>
      <w:r w:rsidR="00C52B7D">
        <w:rPr>
          <w:rFonts w:cs="Times New Roman"/>
          <w:i w:val="0"/>
        </w:rPr>
        <w:lastRenderedPageBreak/>
        <w:t>p.</w:t>
      </w:r>
      <w:r>
        <w:rPr>
          <w:rFonts w:cs="Times New Roman"/>
          <w:i w:val="0"/>
        </w:rPr>
        <w:t xml:space="preserve">4. Grades 6-8 Ask Prompts are exemplars of how teacher materials provide support to engage students in tasks that afford both learning and formative assessment opportunities at the same time and provide guidance to teachers on how to embed formative assessment </w:t>
      </w:r>
      <w:r w:rsidR="00DC63B1">
        <w:rPr>
          <w:rFonts w:cs="Times New Roman"/>
          <w:i w:val="0"/>
        </w:rPr>
        <w:t>activities</w:t>
      </w:r>
      <w:r>
        <w:rPr>
          <w:rFonts w:cs="Times New Roman"/>
          <w:i w:val="0"/>
        </w:rPr>
        <w:t xml:space="preserve"> in the broader learning activities.</w:t>
      </w:r>
    </w:p>
    <w:p w:rsidR="00AB7222" w:rsidRPr="00DC63B1" w:rsidRDefault="00AB7222" w:rsidP="00D878FF">
      <w:pPr>
        <w:pStyle w:val="Header"/>
        <w:numPr>
          <w:ilvl w:val="0"/>
          <w:numId w:val="10"/>
        </w:numPr>
        <w:tabs>
          <w:tab w:val="clear" w:pos="4320"/>
          <w:tab w:val="clear" w:pos="8640"/>
        </w:tabs>
        <w:spacing w:after="240"/>
      </w:pPr>
      <w:r w:rsidRPr="00387E71">
        <w:rPr>
          <w:rFonts w:cs="Times New Roman"/>
          <w:i w:val="0"/>
        </w:rPr>
        <w:t>Criterion #3.4</w:t>
      </w:r>
      <w:r w:rsidR="003F5D42" w:rsidRPr="00387E71">
        <w:rPr>
          <w:rFonts w:cs="Times New Roman"/>
          <w:i w:val="0"/>
        </w:rPr>
        <w:t xml:space="preserve">: </w:t>
      </w:r>
      <w:r w:rsidRPr="00387E71">
        <w:rPr>
          <w:rFonts w:cs="Times New Roman"/>
          <w:i w:val="0"/>
        </w:rPr>
        <w:t>Grade 6</w:t>
      </w:r>
      <w:r w:rsidR="003F5D42" w:rsidRPr="00387E71">
        <w:rPr>
          <w:rFonts w:cs="Times New Roman"/>
          <w:i w:val="0"/>
        </w:rPr>
        <w:t xml:space="preserve">, </w:t>
      </w:r>
      <w:r w:rsidRPr="00387E71">
        <w:rPr>
          <w:rFonts w:cs="Times New Roman"/>
          <w:i w:val="0"/>
        </w:rPr>
        <w:t>Unit 7 Earth’s Place in the Universe, Lesson 5</w:t>
      </w:r>
      <w:r w:rsidR="00387E71">
        <w:rPr>
          <w:rFonts w:cs="Times New Roman"/>
          <w:i w:val="0"/>
        </w:rPr>
        <w:t xml:space="preserve"> Evaluate</w:t>
      </w:r>
      <w:r w:rsidR="00C52B7D">
        <w:rPr>
          <w:rFonts w:cs="Times New Roman"/>
          <w:i w:val="0"/>
        </w:rPr>
        <w:t xml:space="preserve"> p.</w:t>
      </w:r>
      <w:r>
        <w:rPr>
          <w:rFonts w:cs="Times New Roman"/>
          <w:i w:val="0"/>
        </w:rPr>
        <w:t>7; Grade 7, Unit 3 Bo</w:t>
      </w:r>
      <w:r w:rsidR="00387E71">
        <w:rPr>
          <w:rFonts w:cs="Times New Roman"/>
          <w:i w:val="0"/>
        </w:rPr>
        <w:t xml:space="preserve">dy Systems, Lesson 6 Explore </w:t>
      </w:r>
      <w:r w:rsidR="00C52B7D">
        <w:rPr>
          <w:rFonts w:cs="Times New Roman"/>
          <w:i w:val="0"/>
        </w:rPr>
        <w:t>pp.</w:t>
      </w:r>
      <w:r>
        <w:rPr>
          <w:rFonts w:cs="Times New Roman"/>
          <w:i w:val="0"/>
        </w:rPr>
        <w:t xml:space="preserve">2-3; Grade 7, Unit 5 Respiration and Photosynthesis Lesson 8 Engage </w:t>
      </w:r>
      <w:r w:rsidR="00C52B7D">
        <w:rPr>
          <w:rFonts w:cs="Times New Roman"/>
          <w:i w:val="0"/>
        </w:rPr>
        <w:t>pp.</w:t>
      </w:r>
      <w:r>
        <w:rPr>
          <w:rFonts w:cs="Times New Roman"/>
          <w:i w:val="0"/>
        </w:rPr>
        <w:t>2-3; Grade 8 Unit 7 Kinetic and Potential Energy Lesson 3, Evaluate</w:t>
      </w:r>
      <w:r w:rsidR="00C52B7D">
        <w:rPr>
          <w:rFonts w:cs="Times New Roman"/>
          <w:i w:val="0"/>
        </w:rPr>
        <w:t xml:space="preserve"> p.</w:t>
      </w:r>
      <w:r>
        <w:rPr>
          <w:rFonts w:cs="Times New Roman"/>
          <w:i w:val="0"/>
        </w:rPr>
        <w:t>6. We found many examples of how brief and formative assessment tools and practices at key states in the unit of instruction with the 5E lesson format which are designed to elicit current unde</w:t>
      </w:r>
      <w:r w:rsidR="00DC63B1">
        <w:rPr>
          <w:rFonts w:cs="Times New Roman"/>
          <w:i w:val="0"/>
        </w:rPr>
        <w:t>rstandings.</w:t>
      </w:r>
    </w:p>
    <w:p w:rsidR="00DC63B1" w:rsidRPr="00DC63B1" w:rsidRDefault="00DC63B1" w:rsidP="00D878FF">
      <w:pPr>
        <w:pStyle w:val="Header"/>
        <w:numPr>
          <w:ilvl w:val="0"/>
          <w:numId w:val="10"/>
        </w:numPr>
        <w:tabs>
          <w:tab w:val="clear" w:pos="4320"/>
          <w:tab w:val="clear" w:pos="8640"/>
        </w:tabs>
        <w:spacing w:after="240"/>
      </w:pPr>
      <w:r w:rsidRPr="00387E71">
        <w:rPr>
          <w:rFonts w:cs="Times New Roman"/>
          <w:i w:val="0"/>
        </w:rPr>
        <w:t>Criterion# 3</w:t>
      </w:r>
      <w:r w:rsidR="00D84F22">
        <w:rPr>
          <w:i w:val="0"/>
        </w:rPr>
        <w:t xml:space="preserve">.4: </w:t>
      </w:r>
      <w:r w:rsidRPr="00387E71">
        <w:rPr>
          <w:i w:val="0"/>
        </w:rPr>
        <w:t>Grade 6, Unit 4 Traits and Survival, Lesson 1</w:t>
      </w:r>
      <w:r w:rsidR="00C52B7D">
        <w:rPr>
          <w:i w:val="0"/>
        </w:rPr>
        <w:t xml:space="preserve"> p.</w:t>
      </w:r>
      <w:r w:rsidRPr="00387E71">
        <w:rPr>
          <w:i w:val="0"/>
        </w:rPr>
        <w:t>4; Grade</w:t>
      </w:r>
      <w:r>
        <w:rPr>
          <w:i w:val="0"/>
        </w:rPr>
        <w:t xml:space="preserve"> 8 Uni</w:t>
      </w:r>
      <w:r w:rsidR="00A33D1F">
        <w:rPr>
          <w:i w:val="0"/>
        </w:rPr>
        <w:t xml:space="preserve">t 2, Thermal Energy, Lesson 3 p.1. </w:t>
      </w:r>
      <w:r>
        <w:rPr>
          <w:i w:val="0"/>
        </w:rPr>
        <w:t>There are multiple examples of teacher materials that provide teachers with strategies of how to provide evidence of students’ progress toward mastering the three-dimensional learning called for in the CA NGSS and the CA Science Framework. The teacher materials also provide teachers with strategies of how to address preconceptions during instruction, and the strategies are differentiated for different grade levels.</w:t>
      </w:r>
    </w:p>
    <w:p w:rsidR="00DC63B1" w:rsidRPr="00AB7222" w:rsidRDefault="00D84F22" w:rsidP="00A33D1F">
      <w:pPr>
        <w:pStyle w:val="Header"/>
        <w:numPr>
          <w:ilvl w:val="0"/>
          <w:numId w:val="10"/>
        </w:numPr>
        <w:tabs>
          <w:tab w:val="clear" w:pos="4320"/>
          <w:tab w:val="clear" w:pos="8640"/>
        </w:tabs>
        <w:spacing w:after="360"/>
      </w:pPr>
      <w:r>
        <w:rPr>
          <w:rFonts w:cs="Times New Roman"/>
          <w:i w:val="0"/>
        </w:rPr>
        <w:t xml:space="preserve">Criterion# 3.6: </w:t>
      </w:r>
      <w:r w:rsidR="00DC63B1" w:rsidRPr="00A33D1F">
        <w:rPr>
          <w:rFonts w:cs="Times New Roman"/>
          <w:i w:val="0"/>
        </w:rPr>
        <w:t>Grad</w:t>
      </w:r>
      <w:r w:rsidR="00A33D1F">
        <w:rPr>
          <w:rFonts w:cs="Times New Roman"/>
          <w:i w:val="0"/>
        </w:rPr>
        <w:t>e 6 Unit 2, Weather, Lesson 7</w:t>
      </w:r>
      <w:r w:rsidR="00C52B7D">
        <w:rPr>
          <w:rFonts w:cs="Times New Roman"/>
          <w:i w:val="0"/>
        </w:rPr>
        <w:t xml:space="preserve"> p.</w:t>
      </w:r>
      <w:r w:rsidR="00DC63B1" w:rsidRPr="00A33D1F">
        <w:rPr>
          <w:rFonts w:cs="Times New Roman"/>
          <w:i w:val="0"/>
        </w:rPr>
        <w:t>5 SLD section</w:t>
      </w:r>
      <w:r w:rsidR="00DC63B1">
        <w:rPr>
          <w:rFonts w:cs="Times New Roman"/>
          <w:i w:val="0"/>
        </w:rPr>
        <w:t xml:space="preserve"> Extend and Evaluate. Exit cards is an excellent example of how teacher resources supply a differentiated path for diverse students to build toward the PE’s of the CA NGSS. The formative assessments Exit Tickets grades 6-8 are designed to support teachers in collecting and analyzing data about student conceptual understanding.</w:t>
      </w:r>
    </w:p>
    <w:p w:rsidR="0040716F" w:rsidRPr="00AB7222" w:rsidRDefault="00B04B49" w:rsidP="00AB7222">
      <w:pPr>
        <w:pStyle w:val="Header"/>
        <w:tabs>
          <w:tab w:val="clear" w:pos="4320"/>
          <w:tab w:val="clear" w:pos="8640"/>
        </w:tabs>
        <w:spacing w:after="240"/>
        <w:rPr>
          <w:b/>
          <w:i w:val="0"/>
        </w:rPr>
      </w:pPr>
      <w:r w:rsidRPr="00AB7222">
        <w:rPr>
          <w:b/>
          <w:i w:val="0"/>
        </w:rPr>
        <w:t>Criteri</w:t>
      </w:r>
      <w:r w:rsidR="0040716F" w:rsidRPr="00AB7222">
        <w:rPr>
          <w:b/>
          <w:i w:val="0"/>
        </w:rPr>
        <w:t>a Category 4</w:t>
      </w:r>
      <w:r w:rsidR="00F82AFB" w:rsidRPr="00AB7222">
        <w:rPr>
          <w:b/>
          <w:i w:val="0"/>
        </w:rPr>
        <w:t>:</w:t>
      </w:r>
      <w:r w:rsidR="0040716F" w:rsidRPr="00AB7222">
        <w:rPr>
          <w:b/>
          <w:i w:val="0"/>
        </w:rPr>
        <w:t xml:space="preserve"> </w:t>
      </w:r>
      <w:r w:rsidR="00F76B3D" w:rsidRPr="00AB7222">
        <w:rPr>
          <w:b/>
          <w:i w:val="0"/>
        </w:rPr>
        <w:t>Access and</w:t>
      </w:r>
      <w:r w:rsidR="00F76B3D" w:rsidRPr="00901465">
        <w:rPr>
          <w:b/>
          <w:i w:val="0"/>
        </w:rPr>
        <w:t xml:space="preserve">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5A267D">
        <w:rPr>
          <w:rFonts w:cs="Times New Roman"/>
          <w:i w:val="0"/>
          <w:iCs w:val="0"/>
        </w:rPr>
        <w:t xml:space="preserve"> ensure</w:t>
      </w:r>
      <w:r w:rsidR="005A267D">
        <w:rPr>
          <w:rFonts w:cs="Times New Roman"/>
          <w:iCs w:val="0"/>
        </w:rPr>
        <w:t xml:space="preserve"> </w:t>
      </w:r>
      <w:r w:rsidRPr="008F5488">
        <w:rPr>
          <w:rFonts w:cs="Times New Roman"/>
          <w:i w:val="0"/>
          <w:iCs w:val="0"/>
        </w:rPr>
        <w:t>universal and equitable access to high-quality curriculum a</w:t>
      </w:r>
      <w:r w:rsidR="00976333">
        <w:rPr>
          <w:rFonts w:cs="Times New Roman"/>
          <w:i w:val="0"/>
          <w:iCs w:val="0"/>
        </w:rPr>
        <w:t xml:space="preserve">nd instruction for all students </w:t>
      </w:r>
      <w:r w:rsidRPr="008F5488">
        <w:rPr>
          <w:rFonts w:cs="Times New Roman"/>
          <w:i w:val="0"/>
          <w:iCs w:val="0"/>
        </w:rPr>
        <w:t>and</w:t>
      </w:r>
      <w:r w:rsidR="005A267D">
        <w:rPr>
          <w:rFonts w:cs="Times New Roman"/>
          <w:i w:val="0"/>
          <w:iCs w:val="0"/>
        </w:rPr>
        <w:t xml:space="preserve"> provide</w:t>
      </w:r>
      <w:r w:rsidRPr="008F5488">
        <w:rPr>
          <w:rFonts w:cs="Times New Roman"/>
          <w:i w:val="0"/>
          <w:iCs w:val="0"/>
        </w:rPr>
        <w:t xml:space="preserve"> 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0A0D20" w:rsidP="00DA77F1">
      <w:pPr>
        <w:pStyle w:val="Header"/>
        <w:numPr>
          <w:ilvl w:val="0"/>
          <w:numId w:val="10"/>
        </w:numPr>
        <w:tabs>
          <w:tab w:val="clear" w:pos="4320"/>
          <w:tab w:val="clear" w:pos="8640"/>
        </w:tabs>
        <w:spacing w:after="240"/>
        <w:rPr>
          <w:rFonts w:cs="Times New Roman"/>
          <w:i w:val="0"/>
        </w:rPr>
      </w:pPr>
      <w:r>
        <w:rPr>
          <w:rFonts w:cs="Times New Roman"/>
          <w:i w:val="0"/>
        </w:rPr>
        <w:t>Criterion #4.1: Grade 6</w:t>
      </w:r>
      <w:r w:rsidR="003F5D42">
        <w:rPr>
          <w:rFonts w:cs="Times New Roman"/>
          <w:i w:val="0"/>
        </w:rPr>
        <w:t>,</w:t>
      </w:r>
      <w:r w:rsidR="00A33D1F">
        <w:rPr>
          <w:rFonts w:cs="Times New Roman"/>
          <w:i w:val="0"/>
        </w:rPr>
        <w:t xml:space="preserve"> Unit 2 Weather, Lesson 6 </w:t>
      </w:r>
      <w:r w:rsidR="00C52B7D">
        <w:rPr>
          <w:rFonts w:cs="Times New Roman"/>
          <w:i w:val="0"/>
        </w:rPr>
        <w:t>pp.</w:t>
      </w:r>
      <w:r>
        <w:rPr>
          <w:rFonts w:cs="Times New Roman"/>
          <w:i w:val="0"/>
        </w:rPr>
        <w:t>3-5; Grade 7 U</w:t>
      </w:r>
      <w:r w:rsidR="00A33D1F">
        <w:rPr>
          <w:rFonts w:cs="Times New Roman"/>
          <w:i w:val="0"/>
        </w:rPr>
        <w:t xml:space="preserve">nit 3 Body Systems, Lesson 6 </w:t>
      </w:r>
      <w:r w:rsidR="00C52B7D">
        <w:rPr>
          <w:rFonts w:cs="Times New Roman"/>
          <w:i w:val="0"/>
        </w:rPr>
        <w:t>pp.</w:t>
      </w:r>
      <w:r>
        <w:rPr>
          <w:rFonts w:cs="Times New Roman"/>
          <w:i w:val="0"/>
        </w:rPr>
        <w:t xml:space="preserve">2-4; Grade 8 Unit 6 </w:t>
      </w:r>
      <w:r w:rsidR="00A33D1F">
        <w:rPr>
          <w:rFonts w:cs="Times New Roman"/>
          <w:i w:val="0"/>
        </w:rPr>
        <w:t xml:space="preserve">Motion and Forces, Lesson 27 </w:t>
      </w:r>
      <w:r w:rsidR="00C52B7D">
        <w:rPr>
          <w:rFonts w:cs="Times New Roman"/>
          <w:i w:val="0"/>
        </w:rPr>
        <w:t>pp.</w:t>
      </w:r>
      <w:r>
        <w:rPr>
          <w:rFonts w:cs="Times New Roman"/>
          <w:i w:val="0"/>
        </w:rPr>
        <w:t>4-5</w:t>
      </w:r>
      <w:r w:rsidR="00B53582">
        <w:rPr>
          <w:rFonts w:cs="Times New Roman"/>
          <w:i w:val="0"/>
        </w:rPr>
        <w:t>. Grades</w:t>
      </w:r>
      <w:r>
        <w:rPr>
          <w:rFonts w:cs="Times New Roman"/>
          <w:i w:val="0"/>
        </w:rPr>
        <w:t xml:space="preserve"> six, se</w:t>
      </w:r>
      <w:r w:rsidR="0035402E">
        <w:rPr>
          <w:rFonts w:cs="Times New Roman"/>
          <w:i w:val="0"/>
        </w:rPr>
        <w:t xml:space="preserve">ven and eight provide some </w:t>
      </w:r>
      <w:r>
        <w:rPr>
          <w:rFonts w:cs="Times New Roman"/>
          <w:i w:val="0"/>
        </w:rPr>
        <w:t>examples of how the instructional resources reflect the goals of access and equity outlined in Chapter 10 of the CA Science Framework.</w:t>
      </w:r>
    </w:p>
    <w:p w:rsidR="003F5D42" w:rsidRDefault="00DC63B1"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D94B94">
        <w:rPr>
          <w:rFonts w:cs="Times New Roman"/>
          <w:i w:val="0"/>
        </w:rPr>
        <w:t>4.</w:t>
      </w:r>
      <w:r>
        <w:rPr>
          <w:rFonts w:cs="Times New Roman"/>
          <w:i w:val="0"/>
        </w:rPr>
        <w:t>2</w:t>
      </w:r>
      <w:r w:rsidR="003F5D42">
        <w:rPr>
          <w:rFonts w:cs="Times New Roman"/>
          <w:i w:val="0"/>
        </w:rPr>
        <w:t>: Gra</w:t>
      </w:r>
      <w:r>
        <w:rPr>
          <w:rFonts w:cs="Times New Roman"/>
          <w:i w:val="0"/>
        </w:rPr>
        <w:t>de 6</w:t>
      </w:r>
      <w:r w:rsidR="003F5D42">
        <w:rPr>
          <w:rFonts w:cs="Times New Roman"/>
          <w:i w:val="0"/>
        </w:rPr>
        <w:t>,</w:t>
      </w:r>
      <w:r>
        <w:rPr>
          <w:rFonts w:cs="Times New Roman"/>
          <w:i w:val="0"/>
        </w:rPr>
        <w:t xml:space="preserve"> Unit 5 Earths S</w:t>
      </w:r>
      <w:r w:rsidR="00A33D1F">
        <w:rPr>
          <w:rFonts w:cs="Times New Roman"/>
          <w:i w:val="0"/>
        </w:rPr>
        <w:t xml:space="preserve">ystem, Lesson 15 </w:t>
      </w:r>
      <w:r w:rsidR="00C52B7D">
        <w:rPr>
          <w:rFonts w:cs="Times New Roman"/>
          <w:i w:val="0"/>
        </w:rPr>
        <w:t>pp.</w:t>
      </w:r>
      <w:r>
        <w:rPr>
          <w:rFonts w:cs="Times New Roman"/>
          <w:i w:val="0"/>
        </w:rPr>
        <w:t>2-3; Grade 7,</w:t>
      </w:r>
      <w:r w:rsidR="00A33D1F">
        <w:rPr>
          <w:rFonts w:cs="Times New Roman"/>
          <w:i w:val="0"/>
        </w:rPr>
        <w:t xml:space="preserve"> Unit 7 Evolution, Lesson 17 </w:t>
      </w:r>
      <w:r w:rsidR="00C52B7D">
        <w:rPr>
          <w:rFonts w:cs="Times New Roman"/>
          <w:i w:val="0"/>
        </w:rPr>
        <w:t>pp.</w:t>
      </w:r>
      <w:r>
        <w:rPr>
          <w:rFonts w:cs="Times New Roman"/>
          <w:i w:val="0"/>
        </w:rPr>
        <w:t>2-4</w:t>
      </w:r>
      <w:r w:rsidR="00D94B94">
        <w:rPr>
          <w:rFonts w:cs="Times New Roman"/>
          <w:i w:val="0"/>
        </w:rPr>
        <w:t>. Grades</w:t>
      </w:r>
      <w:r>
        <w:rPr>
          <w:rFonts w:cs="Times New Roman"/>
          <w:i w:val="0"/>
        </w:rPr>
        <w:t xml:space="preserve"> six and seven are exemplars of how suggested lessons and teacher resources include research-based strategies to address the needs of EL</w:t>
      </w:r>
      <w:r w:rsidR="00D94B94">
        <w:rPr>
          <w:rFonts w:cs="Times New Roman"/>
          <w:i w:val="0"/>
        </w:rPr>
        <w:t xml:space="preserve"> consistent with the CA ELD Standards.</w:t>
      </w:r>
    </w:p>
    <w:p w:rsidR="003F5D42" w:rsidRDefault="00D94B94"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#4.3</w:t>
      </w:r>
      <w:r w:rsidR="003F5D42">
        <w:rPr>
          <w:rFonts w:cs="Times New Roman"/>
          <w:i w:val="0"/>
        </w:rPr>
        <w:t xml:space="preserve">: Grade </w:t>
      </w:r>
      <w:r>
        <w:rPr>
          <w:rFonts w:cs="Times New Roman"/>
          <w:i w:val="0"/>
        </w:rPr>
        <w:t>7, Un</w:t>
      </w:r>
      <w:r w:rsidR="00A33D1F">
        <w:rPr>
          <w:rFonts w:cs="Times New Roman"/>
          <w:i w:val="0"/>
        </w:rPr>
        <w:t xml:space="preserve">it 2 Cells, Lesson 9, Part 1 </w:t>
      </w:r>
      <w:r w:rsidR="00C52B7D">
        <w:rPr>
          <w:rFonts w:cs="Times New Roman"/>
          <w:i w:val="0"/>
        </w:rPr>
        <w:t>pp.</w:t>
      </w:r>
      <w:r>
        <w:rPr>
          <w:rFonts w:cs="Times New Roman"/>
          <w:i w:val="0"/>
        </w:rPr>
        <w:t>2-4; Grade 8, Uni</w:t>
      </w:r>
      <w:r w:rsidR="00A33D1F">
        <w:rPr>
          <w:rFonts w:cs="Times New Roman"/>
          <w:i w:val="0"/>
        </w:rPr>
        <w:t xml:space="preserve">t 2 Thermal Energy, Lesson 2 </w:t>
      </w:r>
      <w:r w:rsidR="00C52B7D">
        <w:rPr>
          <w:rFonts w:cs="Times New Roman"/>
          <w:i w:val="0"/>
        </w:rPr>
        <w:t>pp.</w:t>
      </w:r>
      <w:r>
        <w:rPr>
          <w:rFonts w:cs="Times New Roman"/>
          <w:i w:val="0"/>
        </w:rPr>
        <w:t>4-5. Grades</w:t>
      </w:r>
      <w:r w:rsidR="006E53CA">
        <w:rPr>
          <w:rFonts w:cs="Times New Roman"/>
          <w:i w:val="0"/>
        </w:rPr>
        <w:t xml:space="preserve"> seven and eight show </w:t>
      </w:r>
      <w:r>
        <w:rPr>
          <w:rFonts w:cs="Times New Roman"/>
          <w:i w:val="0"/>
        </w:rPr>
        <w:t>examples of how suggested lessons and teacher resources include instructional strategies to address the needs of students with disabilities.</w:t>
      </w:r>
    </w:p>
    <w:p w:rsidR="00C81141" w:rsidRPr="003F5D42" w:rsidRDefault="00D94B94" w:rsidP="00DA77F1">
      <w:pPr>
        <w:pStyle w:val="Header"/>
        <w:numPr>
          <w:ilvl w:val="0"/>
          <w:numId w:val="10"/>
        </w:numPr>
        <w:tabs>
          <w:tab w:val="clear" w:pos="4320"/>
          <w:tab w:val="clear" w:pos="8640"/>
        </w:tabs>
        <w:spacing w:after="240"/>
        <w:rPr>
          <w:rFonts w:cs="Times New Roman"/>
          <w:i w:val="0"/>
        </w:rPr>
      </w:pPr>
      <w:r>
        <w:rPr>
          <w:rFonts w:cs="Times New Roman"/>
          <w:i w:val="0"/>
        </w:rPr>
        <w:t>Criterion #4.4: Grade 8, Unit 4 Eleme</w:t>
      </w:r>
      <w:r w:rsidR="00A33D1F">
        <w:rPr>
          <w:rFonts w:cs="Times New Roman"/>
          <w:i w:val="0"/>
        </w:rPr>
        <w:t xml:space="preserve">nts and Compounds, Lesson 14 </w:t>
      </w:r>
      <w:r w:rsidR="00C52B7D">
        <w:rPr>
          <w:rFonts w:cs="Times New Roman"/>
          <w:i w:val="0"/>
        </w:rPr>
        <w:t>pp.</w:t>
      </w:r>
      <w:r>
        <w:rPr>
          <w:rFonts w:cs="Times New Roman"/>
          <w:i w:val="0"/>
        </w:rPr>
        <w:t>1-6; Grade 6, Unit 7 Earths Pl</w:t>
      </w:r>
      <w:r w:rsidR="00A33D1F">
        <w:rPr>
          <w:rFonts w:cs="Times New Roman"/>
          <w:i w:val="0"/>
        </w:rPr>
        <w:t>ace in the Universe, Lesson 2</w:t>
      </w:r>
      <w:r w:rsidR="00C52B7D">
        <w:rPr>
          <w:rFonts w:cs="Times New Roman"/>
          <w:i w:val="0"/>
        </w:rPr>
        <w:t xml:space="preserve"> p.</w:t>
      </w:r>
      <w:r>
        <w:rPr>
          <w:rFonts w:cs="Times New Roman"/>
          <w:i w:val="0"/>
        </w:rPr>
        <w:t>7. The panel found that teacher resources supply a differentiated path for all students. They include guidance to support students with special needs, including Standard English Learners; English Learners, long-term English Learners; students living in poverty; foster youth; girls and young women; advanced learners, students with disabilities; and students below grade level in science skills, or mathematics skill.</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005A267D">
        <w:rPr>
          <w:rFonts w:cs="Calibri"/>
          <w:i w:val="0"/>
          <w:color w:val="000000"/>
        </w:rPr>
        <w:t xml:space="preserve"> provide</w:t>
      </w:r>
      <w:r w:rsidRPr="00BB68B1">
        <w:rPr>
          <w:rFonts w:cs="Calibri"/>
          <w:color w:val="000000"/>
        </w:rPr>
        <w:t xml:space="preserve"> </w:t>
      </w:r>
      <w:r w:rsidRPr="00BB68B1">
        <w:rPr>
          <w:rFonts w:cs="Calibri"/>
          <w:i w:val="0"/>
          <w:color w:val="000000"/>
        </w:rPr>
        <w:t xml:space="preserve">coherent guidelines for teachers to follow when planning three-dimensional instruction </w:t>
      </w:r>
      <w:r w:rsidRPr="00063238">
        <w:rPr>
          <w:rFonts w:cs="Calibri"/>
          <w:i w:val="0"/>
          <w:color w:val="000000"/>
        </w:rPr>
        <w:t>and 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D94B94" w:rsidP="00DA77F1">
      <w:pPr>
        <w:pStyle w:val="Header"/>
        <w:numPr>
          <w:ilvl w:val="0"/>
          <w:numId w:val="10"/>
        </w:numPr>
        <w:tabs>
          <w:tab w:val="clear" w:pos="4320"/>
          <w:tab w:val="clear" w:pos="8640"/>
        </w:tabs>
        <w:spacing w:after="240"/>
        <w:rPr>
          <w:rFonts w:cs="Times New Roman"/>
          <w:i w:val="0"/>
        </w:rPr>
      </w:pPr>
      <w:r>
        <w:rPr>
          <w:rFonts w:cs="Times New Roman"/>
          <w:i w:val="0"/>
        </w:rPr>
        <w:t>Criterion #5.1: Grade 6</w:t>
      </w:r>
      <w:r w:rsidR="003F5D42">
        <w:rPr>
          <w:rFonts w:cs="Times New Roman"/>
          <w:i w:val="0"/>
        </w:rPr>
        <w:t xml:space="preserve">, </w:t>
      </w:r>
      <w:r w:rsidR="001203D1">
        <w:rPr>
          <w:rFonts w:cs="Times New Roman"/>
          <w:i w:val="0"/>
        </w:rPr>
        <w:t>Chart of Units. This p</w:t>
      </w:r>
      <w:r w:rsidR="00B53582">
        <w:rPr>
          <w:rFonts w:cs="Times New Roman"/>
          <w:i w:val="0"/>
        </w:rPr>
        <w:t xml:space="preserve">rogram </w:t>
      </w:r>
      <w:r w:rsidR="001203D1">
        <w:rPr>
          <w:rFonts w:cs="Times New Roman"/>
          <w:i w:val="0"/>
        </w:rPr>
        <w:t>resource</w:t>
      </w:r>
      <w:r w:rsidR="00B53582">
        <w:rPr>
          <w:rFonts w:cs="Times New Roman"/>
          <w:i w:val="0"/>
        </w:rPr>
        <w:t xml:space="preserve"> is a</w:t>
      </w:r>
      <w:r w:rsidR="0035402E">
        <w:rPr>
          <w:rFonts w:cs="Times New Roman"/>
          <w:i w:val="0"/>
        </w:rPr>
        <w:t>n</w:t>
      </w:r>
      <w:r w:rsidR="00B53582">
        <w:rPr>
          <w:rFonts w:cs="Times New Roman"/>
          <w:i w:val="0"/>
        </w:rPr>
        <w:t xml:space="preserve"> example of a curriculum guide for the academic instructional year for teachers to follow when planni</w:t>
      </w:r>
      <w:r w:rsidR="00A33D1F">
        <w:rPr>
          <w:rFonts w:cs="Times New Roman"/>
          <w:i w:val="0"/>
        </w:rPr>
        <w:t>ng for 180 days of instruction.</w:t>
      </w:r>
    </w:p>
    <w:p w:rsidR="003F5D42" w:rsidRDefault="00B53582" w:rsidP="00DA77F1">
      <w:pPr>
        <w:pStyle w:val="Header"/>
        <w:numPr>
          <w:ilvl w:val="0"/>
          <w:numId w:val="10"/>
        </w:numPr>
        <w:tabs>
          <w:tab w:val="clear" w:pos="4320"/>
          <w:tab w:val="clear" w:pos="8640"/>
        </w:tabs>
        <w:spacing w:after="240"/>
        <w:rPr>
          <w:rFonts w:cs="Times New Roman"/>
          <w:i w:val="0"/>
        </w:rPr>
      </w:pPr>
      <w:r>
        <w:rPr>
          <w:rFonts w:cs="Times New Roman"/>
          <w:i w:val="0"/>
        </w:rPr>
        <w:t>Criterion #5.3: Grade 6</w:t>
      </w:r>
      <w:r w:rsidR="003F5D42">
        <w:rPr>
          <w:rFonts w:cs="Times New Roman"/>
          <w:i w:val="0"/>
        </w:rPr>
        <w:t>,</w:t>
      </w:r>
      <w:r w:rsidR="00A33D1F">
        <w:rPr>
          <w:rFonts w:cs="Times New Roman"/>
          <w:i w:val="0"/>
        </w:rPr>
        <w:t xml:space="preserve"> Unit 3 Climate Lesson 6 </w:t>
      </w:r>
      <w:r w:rsidR="00C52B7D">
        <w:rPr>
          <w:rFonts w:cs="Times New Roman"/>
          <w:i w:val="0"/>
        </w:rPr>
        <w:t>pp.</w:t>
      </w:r>
      <w:r>
        <w:rPr>
          <w:rFonts w:cs="Times New Roman"/>
          <w:i w:val="0"/>
        </w:rPr>
        <w:t>1-7; Grade 7, Unit 5, Respiration and Pho</w:t>
      </w:r>
      <w:r w:rsidR="00A33D1F">
        <w:rPr>
          <w:rFonts w:cs="Times New Roman"/>
          <w:i w:val="0"/>
        </w:rPr>
        <w:t xml:space="preserve">tosynthesis, Lesson 8 Engage </w:t>
      </w:r>
      <w:r w:rsidR="00C52B7D">
        <w:rPr>
          <w:rFonts w:cs="Times New Roman"/>
          <w:i w:val="0"/>
        </w:rPr>
        <w:t>pp.</w:t>
      </w:r>
      <w:r w:rsidR="00A33D1F">
        <w:rPr>
          <w:rFonts w:cs="Times New Roman"/>
          <w:i w:val="0"/>
        </w:rPr>
        <w:t xml:space="preserve">2-3. </w:t>
      </w:r>
      <w:r w:rsidR="00C52B7D">
        <w:rPr>
          <w:rFonts w:cs="Times New Roman"/>
          <w:i w:val="0"/>
        </w:rPr>
        <w:t>T</w:t>
      </w:r>
      <w:r>
        <w:rPr>
          <w:rFonts w:cs="Times New Roman"/>
          <w:i w:val="0"/>
        </w:rPr>
        <w:t>eacher resources provide guidance in daily lessons and units of instruction with appropriate opportunities for checking for understanding and adjusting lessons, if necessary, to ensure three-dimensional learning.</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w:t>
      </w:r>
      <w:r w:rsidR="00B53582">
        <w:rPr>
          <w:rFonts w:cs="Times New Roman"/>
          <w:i w:val="0"/>
        </w:rPr>
        <w:t>ion #5.5: Grade 8</w:t>
      </w:r>
      <w:r>
        <w:rPr>
          <w:rFonts w:cs="Times New Roman"/>
          <w:i w:val="0"/>
        </w:rPr>
        <w:t xml:space="preserve">, </w:t>
      </w:r>
      <w:r w:rsidR="00B53582">
        <w:rPr>
          <w:rFonts w:cs="Times New Roman"/>
          <w:i w:val="0"/>
        </w:rPr>
        <w:t>Unit 2, Thermal Energy, Standard</w:t>
      </w:r>
      <w:r w:rsidR="00A33D1F">
        <w:rPr>
          <w:rFonts w:cs="Times New Roman"/>
          <w:i w:val="0"/>
        </w:rPr>
        <w:t xml:space="preserve"> Correlation Chart.</w:t>
      </w:r>
      <w:r w:rsidR="001203D1">
        <w:rPr>
          <w:rFonts w:cs="Times New Roman"/>
          <w:i w:val="0"/>
        </w:rPr>
        <w:t xml:space="preserve"> This chart</w:t>
      </w:r>
      <w:r w:rsidR="00B53582">
        <w:rPr>
          <w:rFonts w:cs="Times New Roman"/>
          <w:i w:val="0"/>
        </w:rPr>
        <w:t xml:space="preserve"> is </w:t>
      </w:r>
      <w:r w:rsidR="001203D1">
        <w:rPr>
          <w:rFonts w:cs="Times New Roman"/>
          <w:i w:val="0"/>
        </w:rPr>
        <w:t>an</w:t>
      </w:r>
      <w:r w:rsidR="00B53582">
        <w:rPr>
          <w:rFonts w:cs="Times New Roman"/>
          <w:i w:val="0"/>
        </w:rPr>
        <w:t xml:space="preserve"> example showing background knowledge about the SEP’s, DCI’s, and CCC’s and discusses the desired level of SEP’s in which students will engage.</w:t>
      </w:r>
    </w:p>
    <w:p w:rsidR="00381576" w:rsidRPr="003F5D42" w:rsidRDefault="00B53582" w:rsidP="00DA77F1">
      <w:pPr>
        <w:pStyle w:val="Header"/>
        <w:numPr>
          <w:ilvl w:val="0"/>
          <w:numId w:val="10"/>
        </w:numPr>
        <w:tabs>
          <w:tab w:val="clear" w:pos="4320"/>
          <w:tab w:val="clear" w:pos="8640"/>
        </w:tabs>
        <w:spacing w:after="240"/>
        <w:rPr>
          <w:rFonts w:cs="Times New Roman"/>
          <w:i w:val="0"/>
        </w:rPr>
      </w:pPr>
      <w:r>
        <w:rPr>
          <w:rFonts w:cs="Times New Roman"/>
          <w:i w:val="0"/>
        </w:rPr>
        <w:t>Criterion #5.13: Grade 7</w:t>
      </w:r>
      <w:r w:rsidR="003F5D42">
        <w:rPr>
          <w:rFonts w:cs="Times New Roman"/>
          <w:i w:val="0"/>
        </w:rPr>
        <w:t>,</w:t>
      </w:r>
      <w:r>
        <w:rPr>
          <w:rFonts w:cs="Times New Roman"/>
          <w:i w:val="0"/>
        </w:rPr>
        <w:t xml:space="preserve"> Unit 5, Respiration and Photosynthesis Unit Overview -The Anchor Phenomenon pg.1; Grade 8, Unit 3 Properti</w:t>
      </w:r>
      <w:r w:rsidR="00A33D1F">
        <w:rPr>
          <w:rFonts w:cs="Times New Roman"/>
          <w:i w:val="0"/>
        </w:rPr>
        <w:t>es of Matter, Lesson 5 Engage</w:t>
      </w:r>
      <w:r w:rsidR="00C52B7D">
        <w:rPr>
          <w:rFonts w:cs="Times New Roman"/>
          <w:i w:val="0"/>
        </w:rPr>
        <w:t xml:space="preserve"> p.</w:t>
      </w:r>
      <w:r>
        <w:rPr>
          <w:rFonts w:cs="Times New Roman"/>
          <w:i w:val="0"/>
        </w:rPr>
        <w:t>2. Thes</w:t>
      </w:r>
      <w:r w:rsidR="001203D1">
        <w:rPr>
          <w:rFonts w:cs="Times New Roman"/>
          <w:i w:val="0"/>
        </w:rPr>
        <w:t>e</w:t>
      </w:r>
      <w:r>
        <w:rPr>
          <w:rFonts w:cs="Times New Roman"/>
          <w:i w:val="0"/>
        </w:rPr>
        <w:t xml:space="preserve"> materials include terms from the CA NGSS and CA Science Framework. The 5</w:t>
      </w:r>
      <w:r w:rsidR="001203D1">
        <w:rPr>
          <w:rFonts w:cs="Times New Roman"/>
          <w:i w:val="0"/>
        </w:rPr>
        <w:t xml:space="preserve"> E lesson format is a</w:t>
      </w:r>
      <w:r w:rsidR="00A33D1F">
        <w:rPr>
          <w:rFonts w:cs="Times New Roman"/>
          <w:i w:val="0"/>
        </w:rPr>
        <w:t>n</w:t>
      </w:r>
      <w:r w:rsidR="006C3DDC">
        <w:rPr>
          <w:rFonts w:cs="Times New Roman"/>
          <w:i w:val="0"/>
        </w:rPr>
        <w:t xml:space="preserve"> example of this and is used appropriately and accurately in the instructions.</w:t>
      </w:r>
    </w:p>
    <w:p w:rsidR="003151F6" w:rsidRPr="0018022C" w:rsidRDefault="003151F6" w:rsidP="00C942C4">
      <w:pPr>
        <w:pStyle w:val="Heading2"/>
      </w:pPr>
      <w:r w:rsidRPr="0018022C">
        <w:t>Edits and Corrections:</w:t>
      </w:r>
    </w:p>
    <w:p w:rsidR="009A00E7" w:rsidRPr="00231C1B" w:rsidRDefault="009A00E7" w:rsidP="00DA77F1">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1"/>
        <w:gridCol w:w="884"/>
        <w:gridCol w:w="1457"/>
        <w:gridCol w:w="1350"/>
        <w:gridCol w:w="2221"/>
        <w:gridCol w:w="2175"/>
        <w:gridCol w:w="1590"/>
      </w:tblGrid>
      <w:tr w:rsidR="009C3692" w:rsidRPr="0018022C" w:rsidTr="00D84F22">
        <w:trPr>
          <w:cantSplit/>
          <w:tblHeader/>
        </w:trPr>
        <w:tc>
          <w:tcPr>
            <w:tcW w:w="421" w:type="dxa"/>
          </w:tcPr>
          <w:p w:rsidR="009C3692" w:rsidRPr="0018022C" w:rsidRDefault="009C3692" w:rsidP="0018022C">
            <w:pPr>
              <w:pStyle w:val="Header"/>
              <w:jc w:val="center"/>
              <w:rPr>
                <w:rFonts w:cs="Times New Roman"/>
                <w:i w:val="0"/>
                <w:iCs w:val="0"/>
              </w:rPr>
            </w:pPr>
            <w:r w:rsidRPr="0018022C">
              <w:rPr>
                <w:rFonts w:cs="Times New Roman"/>
                <w:i w:val="0"/>
                <w:iCs w:val="0"/>
              </w:rPr>
              <w:lastRenderedPageBreak/>
              <w:t>#</w:t>
            </w:r>
          </w:p>
        </w:tc>
        <w:tc>
          <w:tcPr>
            <w:tcW w:w="884" w:type="dxa"/>
          </w:tcPr>
          <w:p w:rsidR="009C3692" w:rsidRPr="0018022C" w:rsidRDefault="009C3692" w:rsidP="0018022C">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18022C">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18022C" w:rsidP="0018022C">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2221" w:type="dxa"/>
          </w:tcPr>
          <w:p w:rsidR="009C3692" w:rsidRPr="0018022C" w:rsidRDefault="0018022C" w:rsidP="0018022C">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2175" w:type="dxa"/>
          </w:tcPr>
          <w:p w:rsidR="009C3692" w:rsidRPr="0018022C" w:rsidRDefault="0018022C" w:rsidP="0018022C">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590" w:type="dxa"/>
          </w:tcPr>
          <w:p w:rsidR="009C3692" w:rsidRPr="0018022C" w:rsidRDefault="0018022C" w:rsidP="0018022C">
            <w:pPr>
              <w:pStyle w:val="Header"/>
              <w:jc w:val="center"/>
              <w:rPr>
                <w:rFonts w:cs="Times New Roman"/>
                <w:i w:val="0"/>
                <w:iCs w:val="0"/>
              </w:rPr>
            </w:pPr>
            <w:r>
              <w:rPr>
                <w:rFonts w:cs="Times New Roman"/>
                <w:i w:val="0"/>
                <w:iCs w:val="0"/>
              </w:rPr>
              <w:t>Reason for E</w:t>
            </w:r>
            <w:r w:rsidR="009C3692" w:rsidRPr="0018022C">
              <w:rPr>
                <w:rFonts w:cs="Times New Roman"/>
                <w:i w:val="0"/>
                <w:iCs w:val="0"/>
              </w:rPr>
              <w:t>dit</w:t>
            </w:r>
          </w:p>
        </w:tc>
      </w:tr>
      <w:tr w:rsidR="009C3692" w:rsidRPr="0018022C" w:rsidTr="00D84F22">
        <w:trPr>
          <w:cantSplit/>
        </w:trPr>
        <w:tc>
          <w:tcPr>
            <w:tcW w:w="421"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884" w:type="dxa"/>
          </w:tcPr>
          <w:p w:rsidR="009C3692" w:rsidRPr="0018022C" w:rsidRDefault="006C3DDC" w:rsidP="00DB67E5">
            <w:pPr>
              <w:pStyle w:val="Header"/>
              <w:rPr>
                <w:rFonts w:cs="Times New Roman"/>
                <w:i w:val="0"/>
                <w:iCs w:val="0"/>
              </w:rPr>
            </w:pPr>
            <w:r>
              <w:rPr>
                <w:rFonts w:cs="Times New Roman"/>
                <w:i w:val="0"/>
                <w:iCs w:val="0"/>
              </w:rPr>
              <w:t>7</w:t>
            </w:r>
          </w:p>
        </w:tc>
        <w:tc>
          <w:tcPr>
            <w:tcW w:w="1457" w:type="dxa"/>
          </w:tcPr>
          <w:p w:rsidR="009C3692" w:rsidRPr="0018022C" w:rsidRDefault="006C3DDC" w:rsidP="00DB67E5">
            <w:pPr>
              <w:pStyle w:val="Header"/>
              <w:rPr>
                <w:rFonts w:cs="Times New Roman"/>
                <w:i w:val="0"/>
                <w:iCs w:val="0"/>
              </w:rPr>
            </w:pPr>
            <w:r>
              <w:rPr>
                <w:rFonts w:cs="Times New Roman"/>
                <w:i w:val="0"/>
                <w:iCs w:val="0"/>
              </w:rPr>
              <w:t>Unit 7 Lesson 17</w:t>
            </w:r>
          </w:p>
        </w:tc>
        <w:tc>
          <w:tcPr>
            <w:tcW w:w="1350" w:type="dxa"/>
          </w:tcPr>
          <w:p w:rsidR="009C3692" w:rsidRPr="0018022C" w:rsidRDefault="006C3DDC" w:rsidP="00DB67E5">
            <w:pPr>
              <w:pStyle w:val="Header"/>
              <w:rPr>
                <w:rFonts w:cs="Times New Roman"/>
                <w:i w:val="0"/>
                <w:iCs w:val="0"/>
              </w:rPr>
            </w:pPr>
            <w:r>
              <w:rPr>
                <w:rFonts w:cs="Times New Roman"/>
                <w:i w:val="0"/>
                <w:iCs w:val="0"/>
              </w:rPr>
              <w:t>1</w:t>
            </w:r>
            <w:r w:rsidR="00A33D1F">
              <w:rPr>
                <w:rFonts w:cs="Times New Roman"/>
                <w:i w:val="0"/>
                <w:iCs w:val="0"/>
              </w:rPr>
              <w:t>,</w:t>
            </w:r>
            <w:r>
              <w:rPr>
                <w:rFonts w:cs="Times New Roman"/>
                <w:i w:val="0"/>
                <w:iCs w:val="0"/>
              </w:rPr>
              <w:t xml:space="preserve"> 1</w:t>
            </w:r>
            <w:r w:rsidRPr="006C3DDC">
              <w:rPr>
                <w:rFonts w:cs="Times New Roman"/>
                <w:i w:val="0"/>
                <w:iCs w:val="0"/>
                <w:vertAlign w:val="superscript"/>
              </w:rPr>
              <w:t>st</w:t>
            </w:r>
            <w:r>
              <w:rPr>
                <w:rFonts w:cs="Times New Roman"/>
                <w:i w:val="0"/>
                <w:iCs w:val="0"/>
              </w:rPr>
              <w:t xml:space="preserve"> paragraph</w:t>
            </w:r>
          </w:p>
        </w:tc>
        <w:tc>
          <w:tcPr>
            <w:tcW w:w="2221" w:type="dxa"/>
          </w:tcPr>
          <w:p w:rsidR="009C3692" w:rsidRPr="0018022C" w:rsidRDefault="006C3DDC" w:rsidP="00DB67E5">
            <w:pPr>
              <w:pStyle w:val="Header"/>
              <w:rPr>
                <w:rFonts w:cs="Times New Roman"/>
                <w:i w:val="0"/>
                <w:iCs w:val="0"/>
              </w:rPr>
            </w:pPr>
            <w:r>
              <w:rPr>
                <w:rFonts w:cs="Times New Roman"/>
                <w:i w:val="0"/>
                <w:iCs w:val="0"/>
              </w:rPr>
              <w:t>and the communication</w:t>
            </w:r>
          </w:p>
        </w:tc>
        <w:tc>
          <w:tcPr>
            <w:tcW w:w="2175" w:type="dxa"/>
          </w:tcPr>
          <w:p w:rsidR="009C3692" w:rsidRPr="0018022C" w:rsidRDefault="006C3DDC" w:rsidP="00DB67E5">
            <w:pPr>
              <w:pStyle w:val="Header"/>
              <w:rPr>
                <w:rFonts w:cs="Times New Roman"/>
                <w:i w:val="0"/>
                <w:iCs w:val="0"/>
              </w:rPr>
            </w:pPr>
            <w:r>
              <w:rPr>
                <w:rFonts w:cs="Times New Roman"/>
                <w:i w:val="0"/>
                <w:iCs w:val="0"/>
              </w:rPr>
              <w:t>and then communicate</w:t>
            </w:r>
          </w:p>
        </w:tc>
        <w:tc>
          <w:tcPr>
            <w:tcW w:w="1590" w:type="dxa"/>
          </w:tcPr>
          <w:p w:rsidR="009C3692" w:rsidRPr="0018022C" w:rsidRDefault="006C3DDC" w:rsidP="00DB67E5">
            <w:pPr>
              <w:pStyle w:val="Header"/>
              <w:rPr>
                <w:rFonts w:cs="Times New Roman"/>
                <w:i w:val="0"/>
                <w:iCs w:val="0"/>
              </w:rPr>
            </w:pPr>
            <w:r>
              <w:rPr>
                <w:rFonts w:cs="Times New Roman"/>
                <w:i w:val="0"/>
                <w:iCs w:val="0"/>
              </w:rPr>
              <w:t>Missing the “n”</w:t>
            </w:r>
          </w:p>
        </w:tc>
      </w:tr>
      <w:tr w:rsidR="009C3692" w:rsidRPr="0018022C" w:rsidTr="00D84F22">
        <w:trPr>
          <w:cantSplit/>
        </w:trPr>
        <w:tc>
          <w:tcPr>
            <w:tcW w:w="421" w:type="dxa"/>
          </w:tcPr>
          <w:p w:rsidR="009C3692" w:rsidRPr="0018022C" w:rsidRDefault="009C3692" w:rsidP="00DB67E5">
            <w:pPr>
              <w:pStyle w:val="Header"/>
              <w:rPr>
                <w:rFonts w:cs="Times New Roman"/>
                <w:i w:val="0"/>
                <w:iCs w:val="0"/>
              </w:rPr>
            </w:pPr>
            <w:r w:rsidRPr="0018022C">
              <w:rPr>
                <w:rFonts w:cs="Times New Roman"/>
                <w:i w:val="0"/>
                <w:iCs w:val="0"/>
              </w:rPr>
              <w:t>2</w:t>
            </w:r>
          </w:p>
        </w:tc>
        <w:tc>
          <w:tcPr>
            <w:tcW w:w="884" w:type="dxa"/>
          </w:tcPr>
          <w:p w:rsidR="009C3692" w:rsidRPr="0018022C" w:rsidRDefault="006C3DDC" w:rsidP="00DB67E5">
            <w:pPr>
              <w:pStyle w:val="Header"/>
              <w:rPr>
                <w:rFonts w:cs="Times New Roman"/>
                <w:i w:val="0"/>
                <w:iCs w:val="0"/>
              </w:rPr>
            </w:pPr>
            <w:r>
              <w:rPr>
                <w:rFonts w:cs="Times New Roman"/>
                <w:i w:val="0"/>
                <w:iCs w:val="0"/>
              </w:rPr>
              <w:t>8</w:t>
            </w:r>
          </w:p>
        </w:tc>
        <w:tc>
          <w:tcPr>
            <w:tcW w:w="1457" w:type="dxa"/>
          </w:tcPr>
          <w:p w:rsidR="009C3692" w:rsidRPr="0018022C" w:rsidRDefault="006C3DDC" w:rsidP="00DB67E5">
            <w:pPr>
              <w:pStyle w:val="Header"/>
              <w:rPr>
                <w:rFonts w:cs="Times New Roman"/>
                <w:i w:val="0"/>
                <w:iCs w:val="0"/>
              </w:rPr>
            </w:pPr>
            <w:r>
              <w:rPr>
                <w:rFonts w:cs="Times New Roman"/>
                <w:i w:val="0"/>
                <w:iCs w:val="0"/>
              </w:rPr>
              <w:t>Unit 9 Lesson 9</w:t>
            </w:r>
          </w:p>
        </w:tc>
        <w:tc>
          <w:tcPr>
            <w:tcW w:w="1350" w:type="dxa"/>
          </w:tcPr>
          <w:p w:rsidR="009C3692" w:rsidRPr="0018022C" w:rsidRDefault="006C3DDC" w:rsidP="00DB67E5">
            <w:pPr>
              <w:pStyle w:val="Header"/>
              <w:rPr>
                <w:rFonts w:cs="Times New Roman"/>
                <w:i w:val="0"/>
                <w:iCs w:val="0"/>
              </w:rPr>
            </w:pPr>
            <w:r>
              <w:rPr>
                <w:rFonts w:cs="Times New Roman"/>
                <w:i w:val="0"/>
                <w:iCs w:val="0"/>
              </w:rPr>
              <w:t>3</w:t>
            </w:r>
          </w:p>
        </w:tc>
        <w:tc>
          <w:tcPr>
            <w:tcW w:w="2221" w:type="dxa"/>
          </w:tcPr>
          <w:p w:rsidR="009C3692" w:rsidRPr="0018022C" w:rsidRDefault="006C3DDC" w:rsidP="00DB67E5">
            <w:pPr>
              <w:pStyle w:val="Header"/>
              <w:rPr>
                <w:rFonts w:cs="Times New Roman"/>
                <w:i w:val="0"/>
                <w:iCs w:val="0"/>
              </w:rPr>
            </w:pPr>
            <w:r>
              <w:rPr>
                <w:rFonts w:cs="Times New Roman"/>
                <w:i w:val="0"/>
                <w:iCs w:val="0"/>
              </w:rPr>
              <w:t>“mediums” (highlighted yellow)</w:t>
            </w:r>
          </w:p>
        </w:tc>
        <w:tc>
          <w:tcPr>
            <w:tcW w:w="2175" w:type="dxa"/>
          </w:tcPr>
          <w:p w:rsidR="009C3692" w:rsidRPr="0018022C" w:rsidRDefault="006C3DDC" w:rsidP="00DB67E5">
            <w:pPr>
              <w:pStyle w:val="Header"/>
              <w:rPr>
                <w:rFonts w:cs="Times New Roman"/>
                <w:i w:val="0"/>
                <w:iCs w:val="0"/>
              </w:rPr>
            </w:pPr>
            <w:r>
              <w:rPr>
                <w:rFonts w:cs="Times New Roman"/>
                <w:i w:val="0"/>
                <w:iCs w:val="0"/>
              </w:rPr>
              <w:t>“media” (Correct plural form)</w:t>
            </w:r>
          </w:p>
        </w:tc>
        <w:tc>
          <w:tcPr>
            <w:tcW w:w="1590" w:type="dxa"/>
          </w:tcPr>
          <w:p w:rsidR="009C3692" w:rsidRPr="0018022C" w:rsidRDefault="006C3DDC" w:rsidP="00DB67E5">
            <w:pPr>
              <w:pStyle w:val="Header"/>
              <w:rPr>
                <w:rFonts w:cs="Times New Roman"/>
                <w:i w:val="0"/>
                <w:iCs w:val="0"/>
              </w:rPr>
            </w:pPr>
            <w:r>
              <w:rPr>
                <w:rFonts w:cs="Times New Roman"/>
                <w:i w:val="0"/>
                <w:iCs w:val="0"/>
              </w:rPr>
              <w:t>Incorrect plural form for “medium”</w:t>
            </w:r>
          </w:p>
        </w:tc>
      </w:tr>
    </w:tbl>
    <w:p w:rsidR="003151F6" w:rsidRPr="0018022C" w:rsidRDefault="003151F6" w:rsidP="00C942C4">
      <w:pPr>
        <w:pStyle w:val="Heading2"/>
      </w:pPr>
      <w:r w:rsidRPr="0018022C">
        <w:t>Social Content</w:t>
      </w:r>
      <w:r w:rsidR="00E95FE0" w:rsidRPr="0018022C">
        <w:t xml:space="preserve"> Citations</w:t>
      </w:r>
      <w:r w:rsidRPr="0018022C">
        <w:t>:</w:t>
      </w:r>
    </w:p>
    <w:p w:rsidR="00813F7D" w:rsidRPr="006C3DDC" w:rsidRDefault="003151F6" w:rsidP="006C3DDC">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11"/>
        <w:gridCol w:w="790"/>
        <w:gridCol w:w="884"/>
        <w:gridCol w:w="1457"/>
        <w:gridCol w:w="1350"/>
        <w:gridCol w:w="1733"/>
        <w:gridCol w:w="1920"/>
        <w:gridCol w:w="1553"/>
      </w:tblGrid>
      <w:tr w:rsidR="006C3DDC" w:rsidRPr="0018022C" w:rsidTr="00D84F22">
        <w:trPr>
          <w:cantSplit/>
          <w:tblHeader/>
        </w:trPr>
        <w:tc>
          <w:tcPr>
            <w:tcW w:w="411" w:type="dxa"/>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790" w:type="dxa"/>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884" w:type="dxa"/>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733" w:type="dxa"/>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920" w:type="dxa"/>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553" w:type="dxa"/>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6C3DDC" w:rsidRPr="0018022C" w:rsidTr="00D84F22">
        <w:trPr>
          <w:cantSplit/>
        </w:trPr>
        <w:tc>
          <w:tcPr>
            <w:tcW w:w="411"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790" w:type="dxa"/>
          </w:tcPr>
          <w:p w:rsidR="009C3692" w:rsidRPr="0018022C" w:rsidRDefault="006C3DDC" w:rsidP="00DB67E5">
            <w:pPr>
              <w:pStyle w:val="Header"/>
              <w:rPr>
                <w:rFonts w:cs="Times New Roman"/>
                <w:i w:val="0"/>
                <w:iCs w:val="0"/>
              </w:rPr>
            </w:pPr>
            <w:r>
              <w:rPr>
                <w:rFonts w:cs="Times New Roman"/>
                <w:i w:val="0"/>
                <w:iCs w:val="0"/>
              </w:rPr>
              <w:t>A.2</w:t>
            </w:r>
            <w:r w:rsidR="009C3692" w:rsidRPr="0018022C">
              <w:rPr>
                <w:rFonts w:cs="Times New Roman"/>
                <w:i w:val="0"/>
                <w:iCs w:val="0"/>
              </w:rPr>
              <w:t>.</w:t>
            </w:r>
          </w:p>
        </w:tc>
        <w:tc>
          <w:tcPr>
            <w:tcW w:w="884" w:type="dxa"/>
          </w:tcPr>
          <w:p w:rsidR="009C3692" w:rsidRPr="0018022C" w:rsidRDefault="006C3DDC" w:rsidP="00DB67E5">
            <w:pPr>
              <w:pStyle w:val="Header"/>
              <w:rPr>
                <w:rFonts w:cs="Times New Roman"/>
                <w:i w:val="0"/>
                <w:iCs w:val="0"/>
              </w:rPr>
            </w:pPr>
            <w:r>
              <w:rPr>
                <w:rFonts w:cs="Times New Roman"/>
                <w:i w:val="0"/>
                <w:iCs w:val="0"/>
              </w:rPr>
              <w:t>8</w:t>
            </w:r>
          </w:p>
        </w:tc>
        <w:tc>
          <w:tcPr>
            <w:tcW w:w="1457" w:type="dxa"/>
          </w:tcPr>
          <w:p w:rsidR="009C3692" w:rsidRPr="0018022C" w:rsidRDefault="006C3DDC" w:rsidP="00DB67E5">
            <w:pPr>
              <w:pStyle w:val="Header"/>
              <w:rPr>
                <w:rFonts w:cs="Times New Roman"/>
                <w:i w:val="0"/>
                <w:iCs w:val="0"/>
              </w:rPr>
            </w:pPr>
            <w:r>
              <w:rPr>
                <w:rFonts w:cs="Times New Roman"/>
                <w:i w:val="0"/>
                <w:iCs w:val="0"/>
              </w:rPr>
              <w:t>Unit 6 Forces and Motion</w:t>
            </w:r>
          </w:p>
        </w:tc>
        <w:tc>
          <w:tcPr>
            <w:tcW w:w="1350" w:type="dxa"/>
          </w:tcPr>
          <w:p w:rsidR="009C3692" w:rsidRPr="0018022C" w:rsidRDefault="006C3DDC" w:rsidP="00DB67E5">
            <w:pPr>
              <w:pStyle w:val="Header"/>
              <w:rPr>
                <w:rFonts w:cs="Times New Roman"/>
                <w:i w:val="0"/>
                <w:iCs w:val="0"/>
              </w:rPr>
            </w:pPr>
            <w:r>
              <w:rPr>
                <w:rFonts w:cs="Times New Roman"/>
                <w:i w:val="0"/>
                <w:iCs w:val="0"/>
              </w:rPr>
              <w:t>5</w:t>
            </w:r>
          </w:p>
        </w:tc>
        <w:tc>
          <w:tcPr>
            <w:tcW w:w="1733" w:type="dxa"/>
          </w:tcPr>
          <w:p w:rsidR="009C3692" w:rsidRPr="0018022C" w:rsidRDefault="006C3DDC" w:rsidP="00D84F22">
            <w:pPr>
              <w:pStyle w:val="Header"/>
              <w:rPr>
                <w:rFonts w:cs="Times New Roman"/>
                <w:i w:val="0"/>
                <w:iCs w:val="0"/>
              </w:rPr>
            </w:pPr>
            <w:r>
              <w:rPr>
                <w:rFonts w:cs="Times New Roman"/>
                <w:i w:val="0"/>
                <w:iCs w:val="0"/>
              </w:rPr>
              <w:t>21 males and 2 females</w:t>
            </w:r>
            <w:r w:rsidR="0035402E">
              <w:rPr>
                <w:rFonts w:cs="Times New Roman"/>
                <w:i w:val="0"/>
                <w:iCs w:val="0"/>
              </w:rPr>
              <w:t xml:space="preserve"> </w:t>
            </w:r>
            <w:r>
              <w:rPr>
                <w:rFonts w:cs="Times New Roman"/>
                <w:i w:val="0"/>
                <w:iCs w:val="0"/>
              </w:rPr>
              <w:t>scientists and engineers are available for students to do research</w:t>
            </w:r>
          </w:p>
        </w:tc>
        <w:tc>
          <w:tcPr>
            <w:tcW w:w="1920" w:type="dxa"/>
          </w:tcPr>
          <w:p w:rsidR="009C3692" w:rsidRPr="0018022C" w:rsidRDefault="006C3DDC" w:rsidP="0035402E">
            <w:pPr>
              <w:pStyle w:val="Header"/>
              <w:rPr>
                <w:rFonts w:cs="Times New Roman"/>
                <w:i w:val="0"/>
                <w:iCs w:val="0"/>
              </w:rPr>
            </w:pPr>
            <w:r>
              <w:rPr>
                <w:rFonts w:cs="Times New Roman"/>
                <w:i w:val="0"/>
                <w:iCs w:val="0"/>
              </w:rPr>
              <w:t>Replace some of the males</w:t>
            </w:r>
            <w:r w:rsidR="009C3692" w:rsidRPr="0018022C">
              <w:rPr>
                <w:rFonts w:cs="Times New Roman"/>
                <w:i w:val="0"/>
                <w:iCs w:val="0"/>
              </w:rPr>
              <w:t xml:space="preserve"> </w:t>
            </w:r>
            <w:r w:rsidR="0035402E">
              <w:rPr>
                <w:rFonts w:cs="Times New Roman"/>
                <w:i w:val="0"/>
                <w:iCs w:val="0"/>
              </w:rPr>
              <w:t xml:space="preserve">with </w:t>
            </w:r>
            <w:r w:rsidR="009C3692" w:rsidRPr="0018022C">
              <w:rPr>
                <w:rFonts w:cs="Times New Roman"/>
                <w:i w:val="0"/>
                <w:iCs w:val="0"/>
              </w:rPr>
              <w:t>females in those careers.</w:t>
            </w:r>
            <w:r>
              <w:rPr>
                <w:rFonts w:cs="Times New Roman"/>
                <w:i w:val="0"/>
                <w:iCs w:val="0"/>
              </w:rPr>
              <w:t xml:space="preserve"> Or add females in those careers.</w:t>
            </w:r>
          </w:p>
        </w:tc>
        <w:tc>
          <w:tcPr>
            <w:tcW w:w="1553" w:type="dxa"/>
          </w:tcPr>
          <w:p w:rsidR="009C3692" w:rsidRPr="0018022C" w:rsidRDefault="006C3DDC" w:rsidP="00DB67E5">
            <w:pPr>
              <w:pStyle w:val="Header"/>
              <w:rPr>
                <w:rFonts w:cs="Times New Roman"/>
                <w:i w:val="0"/>
                <w:iCs w:val="0"/>
              </w:rPr>
            </w:pPr>
            <w:r>
              <w:rPr>
                <w:rFonts w:cs="Times New Roman"/>
                <w:i w:val="0"/>
                <w:iCs w:val="0"/>
              </w:rPr>
              <w:t>More equity between males and female scientists engineers</w:t>
            </w:r>
          </w:p>
        </w:tc>
      </w:tr>
    </w:tbl>
    <w:p w:rsidR="005F30F0" w:rsidRDefault="005F30F0" w:rsidP="009D6BA6">
      <w:pPr>
        <w:pStyle w:val="Header"/>
        <w:tabs>
          <w:tab w:val="clear" w:pos="4320"/>
          <w:tab w:val="clear" w:pos="8640"/>
        </w:tabs>
        <w:spacing w:after="360"/>
        <w:rPr>
          <w:rFonts w:cs="Times New Roman"/>
          <w:i w:val="0"/>
          <w:iCs w:val="0"/>
        </w:rPr>
      </w:pPr>
    </w:p>
    <w:p w:rsidR="009D6BA6" w:rsidRDefault="009D6BA6" w:rsidP="009D6BA6">
      <w:pPr>
        <w:pStyle w:val="Header"/>
        <w:tabs>
          <w:tab w:val="clear" w:pos="4320"/>
          <w:tab w:val="clear" w:pos="8640"/>
        </w:tabs>
        <w:spacing w:after="360"/>
        <w:rPr>
          <w:rFonts w:cs="Times New Roman"/>
          <w:i w:val="0"/>
          <w:iCs w:val="0"/>
        </w:rPr>
      </w:pPr>
      <w:r>
        <w:rPr>
          <w:rFonts w:cs="Times New Roman"/>
          <w:i w:val="0"/>
          <w:iCs w:val="0"/>
        </w:rPr>
        <w:t>California Department of Education, August 2018</w:t>
      </w:r>
      <w:bookmarkStart w:id="0" w:name="_GoBack"/>
      <w:bookmarkEnd w:id="0"/>
    </w:p>
    <w:sectPr w:rsidR="009D6BA6" w:rsidSect="009D6BA6">
      <w:footerReference w:type="even" r:id="rId8"/>
      <w:footerReference w:type="default" r:id="rId9"/>
      <w:pgSz w:w="12240" w:h="15840" w:code="1"/>
      <w:pgMar w:top="1152" w:right="1440" w:bottom="1440" w:left="1152"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4D" w:rsidRDefault="0088254D">
      <w:r>
        <w:separator/>
      </w:r>
    </w:p>
  </w:endnote>
  <w:endnote w:type="continuationSeparator" w:id="0">
    <w:p w:rsidR="0088254D" w:rsidRDefault="0088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A93238">
      <w:rPr>
        <w:rStyle w:val="PageNumber"/>
        <w:i w:val="0"/>
        <w:noProof/>
      </w:rPr>
      <w:t>5</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4D" w:rsidRDefault="0088254D">
      <w:r>
        <w:separator/>
      </w:r>
    </w:p>
  </w:footnote>
  <w:footnote w:type="continuationSeparator" w:id="0">
    <w:p w:rsidR="0088254D" w:rsidRDefault="00882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4059B"/>
    <w:rsid w:val="00041838"/>
    <w:rsid w:val="00044010"/>
    <w:rsid w:val="00062CEB"/>
    <w:rsid w:val="00063238"/>
    <w:rsid w:val="000730F4"/>
    <w:rsid w:val="0008027C"/>
    <w:rsid w:val="000814E4"/>
    <w:rsid w:val="00091BF9"/>
    <w:rsid w:val="000929B9"/>
    <w:rsid w:val="000A0D20"/>
    <w:rsid w:val="000D1CBC"/>
    <w:rsid w:val="000D3F69"/>
    <w:rsid w:val="00101754"/>
    <w:rsid w:val="001203D1"/>
    <w:rsid w:val="0013644C"/>
    <w:rsid w:val="00141C83"/>
    <w:rsid w:val="00150134"/>
    <w:rsid w:val="00165C29"/>
    <w:rsid w:val="001719F3"/>
    <w:rsid w:val="0018022C"/>
    <w:rsid w:val="00187F5F"/>
    <w:rsid w:val="001919F4"/>
    <w:rsid w:val="001C4E95"/>
    <w:rsid w:val="001D0D92"/>
    <w:rsid w:val="001D2EBA"/>
    <w:rsid w:val="001D4887"/>
    <w:rsid w:val="001D5255"/>
    <w:rsid w:val="001E18D7"/>
    <w:rsid w:val="001E1C4D"/>
    <w:rsid w:val="001F0ED7"/>
    <w:rsid w:val="00206E1D"/>
    <w:rsid w:val="0021332B"/>
    <w:rsid w:val="00214BFB"/>
    <w:rsid w:val="00223B60"/>
    <w:rsid w:val="00226248"/>
    <w:rsid w:val="00231367"/>
    <w:rsid w:val="00231C1B"/>
    <w:rsid w:val="002420CD"/>
    <w:rsid w:val="00284E7D"/>
    <w:rsid w:val="0028509B"/>
    <w:rsid w:val="00291460"/>
    <w:rsid w:val="002C6AED"/>
    <w:rsid w:val="002D7190"/>
    <w:rsid w:val="002E6A48"/>
    <w:rsid w:val="003151F6"/>
    <w:rsid w:val="003342F2"/>
    <w:rsid w:val="00346538"/>
    <w:rsid w:val="0035402E"/>
    <w:rsid w:val="00381576"/>
    <w:rsid w:val="00387E71"/>
    <w:rsid w:val="00395F5B"/>
    <w:rsid w:val="003A0EEC"/>
    <w:rsid w:val="003B0138"/>
    <w:rsid w:val="003B2E53"/>
    <w:rsid w:val="003D2F9B"/>
    <w:rsid w:val="003D754B"/>
    <w:rsid w:val="003F5D42"/>
    <w:rsid w:val="00402CD5"/>
    <w:rsid w:val="0040716F"/>
    <w:rsid w:val="0041591A"/>
    <w:rsid w:val="00422D10"/>
    <w:rsid w:val="00437E76"/>
    <w:rsid w:val="0044754B"/>
    <w:rsid w:val="00471A0E"/>
    <w:rsid w:val="0047672E"/>
    <w:rsid w:val="00486740"/>
    <w:rsid w:val="004961B0"/>
    <w:rsid w:val="004B5829"/>
    <w:rsid w:val="004C123C"/>
    <w:rsid w:val="004D08EC"/>
    <w:rsid w:val="004F0D9A"/>
    <w:rsid w:val="004F6B4B"/>
    <w:rsid w:val="00516C6C"/>
    <w:rsid w:val="00556D17"/>
    <w:rsid w:val="00557352"/>
    <w:rsid w:val="00562FE7"/>
    <w:rsid w:val="00571E40"/>
    <w:rsid w:val="00573DAB"/>
    <w:rsid w:val="005811D9"/>
    <w:rsid w:val="00587EA6"/>
    <w:rsid w:val="00591D21"/>
    <w:rsid w:val="005A0B54"/>
    <w:rsid w:val="005A1F7B"/>
    <w:rsid w:val="005A267D"/>
    <w:rsid w:val="005A33EC"/>
    <w:rsid w:val="005B20EC"/>
    <w:rsid w:val="005E0803"/>
    <w:rsid w:val="005F30F0"/>
    <w:rsid w:val="00614411"/>
    <w:rsid w:val="0062773E"/>
    <w:rsid w:val="006344A9"/>
    <w:rsid w:val="0064686A"/>
    <w:rsid w:val="00650A1F"/>
    <w:rsid w:val="00650C17"/>
    <w:rsid w:val="0065193D"/>
    <w:rsid w:val="00655AD3"/>
    <w:rsid w:val="00662CCE"/>
    <w:rsid w:val="00675733"/>
    <w:rsid w:val="00685C95"/>
    <w:rsid w:val="00686202"/>
    <w:rsid w:val="00691C73"/>
    <w:rsid w:val="00692C29"/>
    <w:rsid w:val="006A4300"/>
    <w:rsid w:val="006A4DB7"/>
    <w:rsid w:val="006B6C7C"/>
    <w:rsid w:val="006C13A9"/>
    <w:rsid w:val="006C3DDC"/>
    <w:rsid w:val="006C45D5"/>
    <w:rsid w:val="006D564A"/>
    <w:rsid w:val="006E53CA"/>
    <w:rsid w:val="006E7601"/>
    <w:rsid w:val="00717612"/>
    <w:rsid w:val="00725556"/>
    <w:rsid w:val="007272F2"/>
    <w:rsid w:val="00731054"/>
    <w:rsid w:val="007333EB"/>
    <w:rsid w:val="00751103"/>
    <w:rsid w:val="00760349"/>
    <w:rsid w:val="0077453A"/>
    <w:rsid w:val="00774F95"/>
    <w:rsid w:val="00795D74"/>
    <w:rsid w:val="00795F0F"/>
    <w:rsid w:val="007975AC"/>
    <w:rsid w:val="007B4CD1"/>
    <w:rsid w:val="007B6DA8"/>
    <w:rsid w:val="007C2D24"/>
    <w:rsid w:val="007C3E56"/>
    <w:rsid w:val="007C4AB8"/>
    <w:rsid w:val="008135DE"/>
    <w:rsid w:val="00813F7D"/>
    <w:rsid w:val="00820488"/>
    <w:rsid w:val="00820EDB"/>
    <w:rsid w:val="00821362"/>
    <w:rsid w:val="0082158D"/>
    <w:rsid w:val="008271F3"/>
    <w:rsid w:val="00834826"/>
    <w:rsid w:val="00840280"/>
    <w:rsid w:val="00840D20"/>
    <w:rsid w:val="00855B7F"/>
    <w:rsid w:val="00860E81"/>
    <w:rsid w:val="0086494D"/>
    <w:rsid w:val="0088254D"/>
    <w:rsid w:val="008A4414"/>
    <w:rsid w:val="008B304D"/>
    <w:rsid w:val="008E6E5E"/>
    <w:rsid w:val="008E721F"/>
    <w:rsid w:val="008F5488"/>
    <w:rsid w:val="008F698D"/>
    <w:rsid w:val="00901465"/>
    <w:rsid w:val="00915383"/>
    <w:rsid w:val="00921361"/>
    <w:rsid w:val="0092435D"/>
    <w:rsid w:val="0095128C"/>
    <w:rsid w:val="0095155C"/>
    <w:rsid w:val="009521F2"/>
    <w:rsid w:val="00956E1D"/>
    <w:rsid w:val="00957292"/>
    <w:rsid w:val="00975038"/>
    <w:rsid w:val="00976333"/>
    <w:rsid w:val="009A00E7"/>
    <w:rsid w:val="009B0D72"/>
    <w:rsid w:val="009B4F2D"/>
    <w:rsid w:val="009C3692"/>
    <w:rsid w:val="009D66EA"/>
    <w:rsid w:val="009D6BA6"/>
    <w:rsid w:val="009E01E6"/>
    <w:rsid w:val="009E0686"/>
    <w:rsid w:val="009F00D5"/>
    <w:rsid w:val="009F1479"/>
    <w:rsid w:val="009F1CD7"/>
    <w:rsid w:val="009F2E52"/>
    <w:rsid w:val="00A13C2B"/>
    <w:rsid w:val="00A23EA8"/>
    <w:rsid w:val="00A33D1F"/>
    <w:rsid w:val="00A45A96"/>
    <w:rsid w:val="00A50FFE"/>
    <w:rsid w:val="00A85C90"/>
    <w:rsid w:val="00A93238"/>
    <w:rsid w:val="00A9479F"/>
    <w:rsid w:val="00AA2B50"/>
    <w:rsid w:val="00AB42B5"/>
    <w:rsid w:val="00AB7222"/>
    <w:rsid w:val="00AC7B11"/>
    <w:rsid w:val="00AD3BC4"/>
    <w:rsid w:val="00AE1C28"/>
    <w:rsid w:val="00AE3E82"/>
    <w:rsid w:val="00AE4171"/>
    <w:rsid w:val="00B0059F"/>
    <w:rsid w:val="00B04006"/>
    <w:rsid w:val="00B04B49"/>
    <w:rsid w:val="00B07423"/>
    <w:rsid w:val="00B21A77"/>
    <w:rsid w:val="00B35CCD"/>
    <w:rsid w:val="00B4191F"/>
    <w:rsid w:val="00B46EE5"/>
    <w:rsid w:val="00B472C6"/>
    <w:rsid w:val="00B53582"/>
    <w:rsid w:val="00B5363C"/>
    <w:rsid w:val="00B73375"/>
    <w:rsid w:val="00B93712"/>
    <w:rsid w:val="00BB2B1E"/>
    <w:rsid w:val="00BB3F2E"/>
    <w:rsid w:val="00BB68B1"/>
    <w:rsid w:val="00BD447E"/>
    <w:rsid w:val="00BF2827"/>
    <w:rsid w:val="00BF3B8B"/>
    <w:rsid w:val="00C0752E"/>
    <w:rsid w:val="00C25E3F"/>
    <w:rsid w:val="00C30EC3"/>
    <w:rsid w:val="00C31539"/>
    <w:rsid w:val="00C52B7D"/>
    <w:rsid w:val="00C57080"/>
    <w:rsid w:val="00C63E68"/>
    <w:rsid w:val="00C81141"/>
    <w:rsid w:val="00C818A2"/>
    <w:rsid w:val="00C91D17"/>
    <w:rsid w:val="00C942C4"/>
    <w:rsid w:val="00C95A86"/>
    <w:rsid w:val="00C975C3"/>
    <w:rsid w:val="00CE1198"/>
    <w:rsid w:val="00CE3CDD"/>
    <w:rsid w:val="00CF3940"/>
    <w:rsid w:val="00CF49E9"/>
    <w:rsid w:val="00D04402"/>
    <w:rsid w:val="00D160FF"/>
    <w:rsid w:val="00D2566F"/>
    <w:rsid w:val="00D36629"/>
    <w:rsid w:val="00D415D5"/>
    <w:rsid w:val="00D423E9"/>
    <w:rsid w:val="00D45C64"/>
    <w:rsid w:val="00D46A93"/>
    <w:rsid w:val="00D52370"/>
    <w:rsid w:val="00D77CB8"/>
    <w:rsid w:val="00D80A84"/>
    <w:rsid w:val="00D84F22"/>
    <w:rsid w:val="00D92D9B"/>
    <w:rsid w:val="00D94B94"/>
    <w:rsid w:val="00DA12EC"/>
    <w:rsid w:val="00DA77F1"/>
    <w:rsid w:val="00DB67E5"/>
    <w:rsid w:val="00DC4160"/>
    <w:rsid w:val="00DC63B1"/>
    <w:rsid w:val="00DD5B37"/>
    <w:rsid w:val="00E2141E"/>
    <w:rsid w:val="00E228FA"/>
    <w:rsid w:val="00E323E2"/>
    <w:rsid w:val="00E33CAD"/>
    <w:rsid w:val="00E3787A"/>
    <w:rsid w:val="00E44BD3"/>
    <w:rsid w:val="00E523C7"/>
    <w:rsid w:val="00E72D59"/>
    <w:rsid w:val="00E76A2C"/>
    <w:rsid w:val="00E877EC"/>
    <w:rsid w:val="00E95FE0"/>
    <w:rsid w:val="00EB5264"/>
    <w:rsid w:val="00EF1EF3"/>
    <w:rsid w:val="00F0519F"/>
    <w:rsid w:val="00F1504B"/>
    <w:rsid w:val="00F16250"/>
    <w:rsid w:val="00F213E6"/>
    <w:rsid w:val="00F23EA0"/>
    <w:rsid w:val="00F54032"/>
    <w:rsid w:val="00F54A32"/>
    <w:rsid w:val="00F73B99"/>
    <w:rsid w:val="00F76B3D"/>
    <w:rsid w:val="00F82AFB"/>
    <w:rsid w:val="00FA2CA4"/>
    <w:rsid w:val="00FB4407"/>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907754-35D8-46F3-A373-48D8F6FE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1F61-284E-461E-A41D-23884B0A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Impact Science, 6-8d - Instructional Materials (CA Dept of Education)</vt:lpstr>
    </vt:vector>
  </TitlesOfParts>
  <Company>California Department of Education</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Science, 6-8d - Instructional Materials (CA Dept of Education)</dc:title>
  <dc:subject>Report of Findings of the Impact Science Program, Grades 6-8d. </dc:subject>
  <dc:creator>CDE</dc:creator>
  <cp:lastModifiedBy>Terri Yan</cp:lastModifiedBy>
  <cp:revision>7</cp:revision>
  <cp:lastPrinted>2018-07-18T20:29:00Z</cp:lastPrinted>
  <dcterms:created xsi:type="dcterms:W3CDTF">2018-07-24T16:49:00Z</dcterms:created>
  <dcterms:modified xsi:type="dcterms:W3CDTF">2018-08-03T17:23:00Z</dcterms:modified>
</cp:coreProperties>
</file>