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5E19B5" w:rsidRPr="005E19B5" w:rsidTr="00CF77CA">
        <w:trPr>
          <w:cantSplit/>
          <w:trHeight w:val="422"/>
          <w:tblHeader/>
        </w:trPr>
        <w:tc>
          <w:tcPr>
            <w:tcW w:w="1708" w:type="pct"/>
            <w:shd w:val="clear" w:color="auto" w:fill="D9D9D9" w:themeFill="background1" w:themeFillShade="D9"/>
            <w:hideMark/>
          </w:tcPr>
          <w:p w:rsidR="00E33CAD" w:rsidRPr="005E19B5" w:rsidRDefault="00E33CAD" w:rsidP="00A45A96">
            <w:pPr>
              <w:rPr>
                <w:rFonts w:cs="Arial"/>
                <w:b/>
                <w:i w:val="0"/>
                <w:iCs w:val="0"/>
                <w:color w:val="000000" w:themeColor="text1"/>
              </w:rPr>
            </w:pPr>
            <w:r w:rsidRPr="005E19B5">
              <w:rPr>
                <w:rFonts w:cs="Arial"/>
                <w:b/>
                <w:i w:val="0"/>
                <w:iCs w:val="0"/>
                <w:color w:val="000000" w:themeColor="text1"/>
              </w:rPr>
              <w:t>Publisher</w:t>
            </w:r>
          </w:p>
        </w:tc>
        <w:tc>
          <w:tcPr>
            <w:tcW w:w="2158" w:type="pct"/>
            <w:shd w:val="clear" w:color="auto" w:fill="D9D9D9" w:themeFill="background1" w:themeFillShade="D9"/>
            <w:hideMark/>
          </w:tcPr>
          <w:p w:rsidR="00E33CAD" w:rsidRPr="005E19B5" w:rsidRDefault="00B07423" w:rsidP="00A45A96">
            <w:pPr>
              <w:rPr>
                <w:rFonts w:cs="Arial"/>
                <w:b/>
                <w:i w:val="0"/>
                <w:iCs w:val="0"/>
                <w:color w:val="000000" w:themeColor="text1"/>
              </w:rPr>
            </w:pPr>
            <w:r w:rsidRPr="005E19B5">
              <w:rPr>
                <w:rFonts w:cs="Arial"/>
                <w:b/>
                <w:i w:val="0"/>
                <w:iCs w:val="0"/>
                <w:color w:val="000000" w:themeColor="text1"/>
              </w:rPr>
              <w:t>Program</w:t>
            </w:r>
          </w:p>
        </w:tc>
        <w:tc>
          <w:tcPr>
            <w:tcW w:w="1134" w:type="pct"/>
            <w:shd w:val="clear" w:color="auto" w:fill="D9D9D9" w:themeFill="background1" w:themeFillShade="D9"/>
            <w:hideMark/>
          </w:tcPr>
          <w:p w:rsidR="00E33CAD" w:rsidRPr="005E19B5" w:rsidRDefault="00E33CAD" w:rsidP="00A45A96">
            <w:pPr>
              <w:jc w:val="center"/>
              <w:rPr>
                <w:rFonts w:cs="Arial"/>
                <w:b/>
                <w:i w:val="0"/>
                <w:iCs w:val="0"/>
                <w:color w:val="000000" w:themeColor="text1"/>
              </w:rPr>
            </w:pPr>
            <w:r w:rsidRPr="005E19B5">
              <w:rPr>
                <w:rFonts w:cs="Arial"/>
                <w:b/>
                <w:i w:val="0"/>
                <w:iCs w:val="0"/>
                <w:color w:val="000000" w:themeColor="text1"/>
              </w:rPr>
              <w:t>Grade Level(s)</w:t>
            </w:r>
          </w:p>
        </w:tc>
      </w:tr>
      <w:tr w:rsidR="005E19B5" w:rsidRPr="005E19B5" w:rsidTr="00DA77F1">
        <w:trPr>
          <w:trHeight w:val="440"/>
        </w:trPr>
        <w:tc>
          <w:tcPr>
            <w:tcW w:w="1708" w:type="pct"/>
            <w:hideMark/>
          </w:tcPr>
          <w:p w:rsidR="00E33CAD" w:rsidRPr="005E19B5" w:rsidRDefault="005E19B5" w:rsidP="005E19B5">
            <w:pPr>
              <w:rPr>
                <w:rFonts w:cs="Arial"/>
                <w:i w:val="0"/>
                <w:iCs w:val="0"/>
                <w:color w:val="000000" w:themeColor="text1"/>
              </w:rPr>
            </w:pPr>
            <w:r w:rsidRPr="005E19B5">
              <w:rPr>
                <w:rFonts w:cs="Times New Roman"/>
                <w:bCs/>
                <w:i w:val="0"/>
                <w:iCs w:val="0"/>
                <w:color w:val="000000" w:themeColor="text1"/>
              </w:rPr>
              <w:t>TCI</w:t>
            </w:r>
          </w:p>
        </w:tc>
        <w:tc>
          <w:tcPr>
            <w:tcW w:w="2158" w:type="pct"/>
            <w:hideMark/>
          </w:tcPr>
          <w:p w:rsidR="00E33CAD" w:rsidRPr="005E19B5" w:rsidRDefault="005E19B5" w:rsidP="005E19B5">
            <w:pPr>
              <w:rPr>
                <w:rFonts w:cs="Times New Roman"/>
                <w:bCs/>
                <w:iCs w:val="0"/>
                <w:color w:val="000000" w:themeColor="text1"/>
              </w:rPr>
            </w:pPr>
            <w:r w:rsidRPr="005E19B5">
              <w:rPr>
                <w:rFonts w:cs="Times New Roman"/>
                <w:bCs/>
                <w:iCs w:val="0"/>
                <w:color w:val="000000" w:themeColor="text1"/>
              </w:rPr>
              <w:t>Bring Science Alive! California Program 6-8</w:t>
            </w:r>
          </w:p>
        </w:tc>
        <w:tc>
          <w:tcPr>
            <w:tcW w:w="1134" w:type="pct"/>
            <w:hideMark/>
          </w:tcPr>
          <w:p w:rsidR="00E33CAD" w:rsidRPr="005E19B5" w:rsidRDefault="005E19B5" w:rsidP="00A45A96">
            <w:pPr>
              <w:jc w:val="center"/>
              <w:rPr>
                <w:rFonts w:cs="Arial"/>
                <w:i w:val="0"/>
                <w:iCs w:val="0"/>
                <w:color w:val="000000" w:themeColor="text1"/>
              </w:rPr>
            </w:pPr>
            <w:r w:rsidRPr="005E19B5">
              <w:rPr>
                <w:rFonts w:cs="Arial"/>
                <w:i w:val="0"/>
                <w:color w:val="000000" w:themeColor="text1"/>
              </w:rPr>
              <w:t>6–8d</w:t>
            </w:r>
          </w:p>
        </w:tc>
      </w:tr>
    </w:tbl>
    <w:p w:rsidR="00860E81" w:rsidRPr="005E19B5" w:rsidRDefault="00860E81" w:rsidP="00C942C4">
      <w:pPr>
        <w:pStyle w:val="Heading2"/>
        <w:rPr>
          <w:color w:val="000000" w:themeColor="text1"/>
        </w:rPr>
      </w:pPr>
      <w:r w:rsidRPr="005E19B5">
        <w:rPr>
          <w:color w:val="000000" w:themeColor="text1"/>
        </w:rPr>
        <w:t>Program Summary:</w:t>
      </w:r>
    </w:p>
    <w:p w:rsidR="004F0D9A" w:rsidRPr="005E19B5" w:rsidRDefault="005E19B5" w:rsidP="00C942C4">
      <w:pPr>
        <w:pStyle w:val="Header"/>
        <w:tabs>
          <w:tab w:val="clear" w:pos="4320"/>
          <w:tab w:val="clear" w:pos="8640"/>
        </w:tabs>
        <w:rPr>
          <w:rFonts w:cs="Times New Roman"/>
          <w:b/>
          <w:bCs/>
          <w:i w:val="0"/>
          <w:iCs w:val="0"/>
          <w:color w:val="000000" w:themeColor="text1"/>
          <w:u w:val="single"/>
        </w:rPr>
      </w:pPr>
      <w:r w:rsidRPr="005E19B5">
        <w:rPr>
          <w:rFonts w:cs="Times New Roman"/>
          <w:bCs/>
          <w:iCs w:val="0"/>
          <w:color w:val="000000" w:themeColor="text1"/>
        </w:rPr>
        <w:t>Bring Science Alive!</w:t>
      </w:r>
      <w:r w:rsidR="004961B0" w:rsidRPr="005E19B5">
        <w:rPr>
          <w:rFonts w:cs="Arial"/>
          <w:i w:val="0"/>
          <w:iCs w:val="0"/>
          <w:color w:val="000000" w:themeColor="text1"/>
        </w:rPr>
        <w:t xml:space="preserve"> </w:t>
      </w:r>
      <w:r w:rsidR="004F0D9A" w:rsidRPr="005E19B5">
        <w:rPr>
          <w:rFonts w:cs="Times New Roman"/>
          <w:bCs/>
          <w:i w:val="0"/>
          <w:color w:val="000000" w:themeColor="text1"/>
        </w:rPr>
        <w:t xml:space="preserve">includes: </w:t>
      </w:r>
      <w:r w:rsidR="004C761E" w:rsidRPr="004C761E">
        <w:rPr>
          <w:rFonts w:eastAsia="Arial" w:cs="Arial"/>
          <w:i w:val="0"/>
        </w:rPr>
        <w:t>Lesson Guide (CLG), Inte</w:t>
      </w:r>
      <w:r w:rsidR="000A7C6E">
        <w:rPr>
          <w:rFonts w:eastAsia="Arial" w:cs="Arial"/>
          <w:i w:val="0"/>
        </w:rPr>
        <w:t xml:space="preserve">ractive Student Notebook (ISN), </w:t>
      </w:r>
      <w:r w:rsidR="004C761E" w:rsidRPr="004C761E">
        <w:rPr>
          <w:rFonts w:eastAsia="Arial" w:cs="Arial"/>
          <w:i w:val="0"/>
        </w:rPr>
        <w:t>Interactive Tutorial (IT)</w:t>
      </w:r>
      <w:r w:rsidR="004F0D9A" w:rsidRPr="004C761E">
        <w:rPr>
          <w:rFonts w:cs="Times New Roman"/>
          <w:bCs/>
          <w:i w:val="0"/>
        </w:rPr>
        <w:t>.</w:t>
      </w:r>
    </w:p>
    <w:p w:rsidR="00860E81" w:rsidRPr="005E19B5" w:rsidRDefault="00860E81" w:rsidP="00C942C4">
      <w:pPr>
        <w:pStyle w:val="Heading2"/>
        <w:rPr>
          <w:color w:val="000000" w:themeColor="text1"/>
        </w:rPr>
      </w:pPr>
      <w:r w:rsidRPr="005E19B5">
        <w:rPr>
          <w:color w:val="000000" w:themeColor="text1"/>
        </w:rPr>
        <w:t>Recommendation:</w:t>
      </w:r>
    </w:p>
    <w:p w:rsidR="00860E81" w:rsidRPr="005E19B5" w:rsidRDefault="005E19B5" w:rsidP="00DA77F1">
      <w:pPr>
        <w:pStyle w:val="Header"/>
        <w:tabs>
          <w:tab w:val="clear" w:pos="4320"/>
          <w:tab w:val="clear" w:pos="8640"/>
        </w:tabs>
        <w:spacing w:after="240"/>
        <w:rPr>
          <w:rFonts w:cs="Times New Roman"/>
          <w:i w:val="0"/>
          <w:iCs w:val="0"/>
          <w:color w:val="000000" w:themeColor="text1"/>
        </w:rPr>
      </w:pPr>
      <w:r w:rsidRPr="005E19B5">
        <w:rPr>
          <w:rFonts w:cs="Times New Roman"/>
          <w:bCs/>
          <w:iCs w:val="0"/>
          <w:color w:val="000000" w:themeColor="text1"/>
        </w:rPr>
        <w:t>Bring Science Alive!</w:t>
      </w:r>
      <w:r w:rsidR="004961B0" w:rsidRPr="005E19B5">
        <w:rPr>
          <w:rFonts w:cs="Arial"/>
          <w:i w:val="0"/>
          <w:iCs w:val="0"/>
          <w:color w:val="000000" w:themeColor="text1"/>
        </w:rPr>
        <w:t xml:space="preserve"> </w:t>
      </w:r>
      <w:r w:rsidRPr="005E19B5">
        <w:rPr>
          <w:rFonts w:cs="Times New Roman"/>
          <w:bCs/>
          <w:iCs w:val="0"/>
          <w:color w:val="000000" w:themeColor="text1"/>
        </w:rPr>
        <w:t xml:space="preserve">California Program 6-8 </w:t>
      </w:r>
      <w:r w:rsidR="00860E81" w:rsidRPr="005E19B5">
        <w:rPr>
          <w:rFonts w:cs="Times New Roman"/>
          <w:i w:val="0"/>
          <w:iCs w:val="0"/>
          <w:color w:val="000000" w:themeColor="text1"/>
        </w:rPr>
        <w:t xml:space="preserve">is recommended for adoption </w:t>
      </w:r>
      <w:r w:rsidR="00957292" w:rsidRPr="005E19B5">
        <w:rPr>
          <w:rFonts w:cs="Times New Roman"/>
          <w:i w:val="0"/>
          <w:iCs w:val="0"/>
          <w:color w:val="000000" w:themeColor="text1"/>
        </w:rPr>
        <w:t xml:space="preserve">for </w:t>
      </w:r>
      <w:r w:rsidRPr="005E19B5">
        <w:rPr>
          <w:rFonts w:cs="Arial"/>
          <w:i w:val="0"/>
          <w:color w:val="000000" w:themeColor="text1"/>
        </w:rPr>
        <w:t>6–8d</w:t>
      </w:r>
      <w:r w:rsidR="004961B0" w:rsidRPr="005E19B5">
        <w:rPr>
          <w:rFonts w:cs="Arial"/>
          <w:i w:val="0"/>
          <w:iCs w:val="0"/>
          <w:color w:val="000000" w:themeColor="text1"/>
        </w:rPr>
        <w:t xml:space="preserve"> </w:t>
      </w:r>
      <w:r w:rsidR="00860E81" w:rsidRPr="005E19B5">
        <w:rPr>
          <w:rFonts w:cs="Times New Roman"/>
          <w:i w:val="0"/>
          <w:iCs w:val="0"/>
          <w:color w:val="000000" w:themeColor="text1"/>
        </w:rPr>
        <w:t xml:space="preserve">because the instructional materials include content as specified in the </w:t>
      </w:r>
      <w:r w:rsidR="00F76B3D" w:rsidRPr="005E19B5">
        <w:rPr>
          <w:rFonts w:cs="Times New Roman"/>
          <w:iCs w:val="0"/>
          <w:color w:val="000000" w:themeColor="text1"/>
        </w:rPr>
        <w:t>Next Generation Science Standards for California Public Schools</w:t>
      </w:r>
      <w:r w:rsidR="00976333" w:rsidRPr="005E19B5">
        <w:rPr>
          <w:rFonts w:cs="Times New Roman"/>
          <w:iCs w:val="0"/>
          <w:color w:val="000000" w:themeColor="text1"/>
        </w:rPr>
        <w:t xml:space="preserve"> </w:t>
      </w:r>
      <w:r w:rsidR="0086494D" w:rsidRPr="005E19B5">
        <w:rPr>
          <w:rFonts w:cs="Times New Roman"/>
          <w:i w:val="0"/>
          <w:iCs w:val="0"/>
          <w:color w:val="000000" w:themeColor="text1"/>
        </w:rPr>
        <w:t>(</w:t>
      </w:r>
      <w:r w:rsidR="00795D74" w:rsidRPr="005E19B5">
        <w:rPr>
          <w:rFonts w:cs="Times New Roman"/>
          <w:iCs w:val="0"/>
          <w:color w:val="000000" w:themeColor="text1"/>
        </w:rPr>
        <w:t>CA NGSS</w:t>
      </w:r>
      <w:r w:rsidR="0086494D" w:rsidRPr="005E19B5">
        <w:rPr>
          <w:rFonts w:cs="Times New Roman"/>
          <w:i w:val="0"/>
          <w:iCs w:val="0"/>
          <w:color w:val="000000" w:themeColor="text1"/>
        </w:rPr>
        <w:t xml:space="preserve">) </w:t>
      </w:r>
      <w:r w:rsidR="00860E81" w:rsidRPr="005E19B5">
        <w:rPr>
          <w:rFonts w:cs="Times New Roman"/>
          <w:i w:val="0"/>
          <w:iCs w:val="0"/>
          <w:color w:val="000000" w:themeColor="text1"/>
        </w:rPr>
        <w:t xml:space="preserve">and meet all the </w:t>
      </w:r>
      <w:r w:rsidR="00957292" w:rsidRPr="005E19B5">
        <w:rPr>
          <w:rFonts w:cs="Times New Roman"/>
          <w:i w:val="0"/>
          <w:iCs w:val="0"/>
          <w:color w:val="000000" w:themeColor="text1"/>
        </w:rPr>
        <w:t>c</w:t>
      </w:r>
      <w:r w:rsidR="00860E81" w:rsidRPr="005E19B5">
        <w:rPr>
          <w:rFonts w:cs="Times New Roman"/>
          <w:i w:val="0"/>
          <w:iCs w:val="0"/>
          <w:color w:val="000000" w:themeColor="text1"/>
        </w:rPr>
        <w:t xml:space="preserve">riteria in </w:t>
      </w:r>
      <w:r w:rsidR="00C942C4" w:rsidRPr="005E19B5">
        <w:rPr>
          <w:rFonts w:cs="Times New Roman"/>
          <w:i w:val="0"/>
          <w:iCs w:val="0"/>
          <w:color w:val="000000" w:themeColor="text1"/>
        </w:rPr>
        <w:t>C</w:t>
      </w:r>
      <w:r w:rsidR="00860E81" w:rsidRPr="005E19B5">
        <w:rPr>
          <w:rFonts w:cs="Times New Roman"/>
          <w:i w:val="0"/>
          <w:iCs w:val="0"/>
          <w:color w:val="000000" w:themeColor="text1"/>
        </w:rPr>
        <w:t xml:space="preserve">ategory 1 with strengths in </w:t>
      </w:r>
      <w:r w:rsidR="00957292" w:rsidRPr="005E19B5">
        <w:rPr>
          <w:rFonts w:cs="Times New Roman"/>
          <w:i w:val="0"/>
          <w:iCs w:val="0"/>
          <w:color w:val="000000" w:themeColor="text1"/>
        </w:rPr>
        <w:t>c</w:t>
      </w:r>
      <w:r w:rsidR="00860E81" w:rsidRPr="005E19B5">
        <w:rPr>
          <w:rFonts w:cs="Times New Roman"/>
          <w:i w:val="0"/>
          <w:iCs w:val="0"/>
          <w:color w:val="000000" w:themeColor="text1"/>
        </w:rPr>
        <w:t>ategories 2</w:t>
      </w:r>
      <w:r w:rsidR="00957292" w:rsidRPr="005E19B5">
        <w:rPr>
          <w:rFonts w:cs="Times New Roman"/>
          <w:i w:val="0"/>
          <w:iCs w:val="0"/>
          <w:color w:val="000000" w:themeColor="text1"/>
        </w:rPr>
        <w:t>–</w:t>
      </w:r>
      <w:r w:rsidR="00860E81" w:rsidRPr="005E19B5">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The program</w:t>
      </w:r>
      <w:r w:rsidR="00E802CF">
        <w:rPr>
          <w:rFonts w:cs="Times New Roman"/>
          <w:i w:val="0"/>
        </w:rPr>
        <w:t xml:space="preserve"> 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E802CF">
        <w:rPr>
          <w:rFonts w:cs="Times New Roman"/>
          <w:i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 Grade </w:t>
      </w:r>
      <w:r w:rsidR="00A5107E">
        <w:rPr>
          <w:rFonts w:cs="Times New Roman"/>
          <w:i w:val="0"/>
        </w:rPr>
        <w:t xml:space="preserve">6, </w:t>
      </w:r>
      <w:r w:rsidR="001618C6">
        <w:rPr>
          <w:rFonts w:cs="Times New Roman"/>
          <w:i w:val="0"/>
        </w:rPr>
        <w:t>S</w:t>
      </w:r>
      <w:r w:rsidR="00A5107E">
        <w:rPr>
          <w:rFonts w:cs="Times New Roman"/>
          <w:i w:val="0"/>
        </w:rPr>
        <w:t>pace.</w:t>
      </w:r>
      <w:r w:rsidR="001618C6">
        <w:rPr>
          <w:rFonts w:cs="Times New Roman"/>
          <w:i w:val="0"/>
        </w:rPr>
        <w:t>U</w:t>
      </w:r>
      <w:r w:rsidR="00A5107E">
        <w:rPr>
          <w:rFonts w:cs="Times New Roman"/>
          <w:i w:val="0"/>
        </w:rPr>
        <w:t>3.L9.</w:t>
      </w:r>
      <w:r w:rsidR="00BD4285">
        <w:rPr>
          <w:rFonts w:cs="Times New Roman"/>
          <w:i w:val="0"/>
        </w:rPr>
        <w:t>C</w:t>
      </w:r>
      <w:r w:rsidR="00A5107E">
        <w:rPr>
          <w:rFonts w:cs="Times New Roman"/>
          <w:i w:val="0"/>
        </w:rPr>
        <w:t>LG (</w:t>
      </w:r>
      <w:r w:rsidR="007723AD">
        <w:rPr>
          <w:rFonts w:cs="Times New Roman"/>
          <w:i w:val="0"/>
        </w:rPr>
        <w:t>Slide</w:t>
      </w:r>
      <w:r w:rsidR="00A5107E">
        <w:rPr>
          <w:rFonts w:cs="Times New Roman"/>
          <w:i w:val="0"/>
        </w:rPr>
        <w:t xml:space="preserve"> 23); Grade 7</w:t>
      </w:r>
      <w:r w:rsidR="00782302">
        <w:rPr>
          <w:rFonts w:cs="Times New Roman"/>
          <w:i w:val="0"/>
        </w:rPr>
        <w:t xml:space="preserve">, </w:t>
      </w:r>
      <w:r w:rsidR="00BD4285">
        <w:rPr>
          <w:rFonts w:cs="Times New Roman"/>
          <w:i w:val="0"/>
        </w:rPr>
        <w:t>E</w:t>
      </w:r>
      <w:r w:rsidR="00782302">
        <w:rPr>
          <w:rFonts w:cs="Times New Roman"/>
          <w:i w:val="0"/>
        </w:rPr>
        <w:t>cosystems.</w:t>
      </w:r>
      <w:r w:rsidR="00A5107E">
        <w:rPr>
          <w:rFonts w:cs="Times New Roman"/>
          <w:i w:val="0"/>
        </w:rPr>
        <w:t>T.U1.L1.LG (investigation</w:t>
      </w:r>
      <w:r w:rsidR="00782302">
        <w:rPr>
          <w:rFonts w:cs="Times New Roman"/>
          <w:i w:val="0"/>
        </w:rPr>
        <w:t xml:space="preserve"> 1); Grade 8, </w:t>
      </w:r>
      <w:r w:rsidR="00BD4285">
        <w:rPr>
          <w:rFonts w:cs="Times New Roman"/>
          <w:i w:val="0"/>
        </w:rPr>
        <w:t>W</w:t>
      </w:r>
      <w:r w:rsidR="00782302">
        <w:rPr>
          <w:rFonts w:cs="Times New Roman"/>
          <w:i w:val="0"/>
        </w:rPr>
        <w:t>aves.</w:t>
      </w:r>
      <w:r w:rsidR="00A5107E">
        <w:rPr>
          <w:rFonts w:cs="Times New Roman"/>
          <w:i w:val="0"/>
        </w:rPr>
        <w:t>T.U1.L3.LG (investigation 1)</w:t>
      </w:r>
      <w:r w:rsidR="00BD4285">
        <w:rPr>
          <w:rFonts w:cs="Times New Roman"/>
          <w:i w:val="0"/>
        </w:rPr>
        <w:t>.</w:t>
      </w:r>
      <w:r w:rsidR="00A5107E">
        <w:rPr>
          <w:rFonts w:cs="Times New Roman"/>
          <w:i w:val="0"/>
        </w:rPr>
        <w:t xml:space="preserve"> We found numerous exemplars of students building to full understanding of each performance expectation.</w:t>
      </w:r>
    </w:p>
    <w:p w:rsidR="004961B0"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A5107E">
        <w:rPr>
          <w:rFonts w:cs="Times New Roman"/>
          <w:i w:val="0"/>
        </w:rPr>
        <w:t>3</w:t>
      </w:r>
      <w:r>
        <w:rPr>
          <w:rFonts w:cs="Times New Roman"/>
          <w:i w:val="0"/>
        </w:rPr>
        <w:t xml:space="preserve">: </w:t>
      </w:r>
      <w:r w:rsidR="00A5107E">
        <w:rPr>
          <w:rFonts w:cs="Times New Roman"/>
          <w:i w:val="0"/>
        </w:rPr>
        <w:t>Grade 6, Space.T.U1.L3.</w:t>
      </w:r>
      <w:r w:rsidR="00BD4285">
        <w:rPr>
          <w:rFonts w:cs="Times New Roman"/>
          <w:i w:val="0"/>
        </w:rPr>
        <w:t>C</w:t>
      </w:r>
      <w:r w:rsidR="00A5107E">
        <w:rPr>
          <w:rFonts w:cs="Times New Roman"/>
          <w:i w:val="0"/>
        </w:rPr>
        <w:t>LG (</w:t>
      </w:r>
      <w:r w:rsidR="007723AD">
        <w:rPr>
          <w:rFonts w:cs="Times New Roman"/>
          <w:i w:val="0"/>
        </w:rPr>
        <w:t>Slide</w:t>
      </w:r>
      <w:r w:rsidR="00BD4285">
        <w:rPr>
          <w:rFonts w:cs="Times New Roman"/>
          <w:i w:val="0"/>
        </w:rPr>
        <w:t>s</w:t>
      </w:r>
      <w:r w:rsidR="00A5107E">
        <w:rPr>
          <w:rFonts w:cs="Times New Roman"/>
          <w:i w:val="0"/>
        </w:rPr>
        <w:t xml:space="preserve"> 6, 10, 22, 32)</w:t>
      </w:r>
      <w:r w:rsidR="00BD4285">
        <w:rPr>
          <w:rFonts w:cs="Times New Roman"/>
          <w:i w:val="0"/>
        </w:rPr>
        <w:t>. Materials</w:t>
      </w:r>
      <w:r w:rsidR="00A5107E">
        <w:rPr>
          <w:rFonts w:cs="Times New Roman"/>
          <w:i w:val="0"/>
        </w:rPr>
        <w:t xml:space="preserve"> </w:t>
      </w:r>
      <w:r w:rsidR="00BD4285">
        <w:rPr>
          <w:rFonts w:cs="Times New Roman"/>
          <w:i w:val="0"/>
        </w:rPr>
        <w:t>a</w:t>
      </w:r>
      <w:r w:rsidR="00A5107E">
        <w:rPr>
          <w:rFonts w:cs="Times New Roman"/>
          <w:i w:val="0"/>
        </w:rPr>
        <w:t>llow teachers to engage students in using each of the SEPs in multiple contexts and apply the CCCS to their ideas.</w:t>
      </w:r>
    </w:p>
    <w:p w:rsidR="002A6380"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F76032">
        <w:rPr>
          <w:rFonts w:cs="Times New Roman"/>
          <w:i w:val="0"/>
        </w:rPr>
        <w:t>5: Grade 8, Matter.T.U3.L9.</w:t>
      </w:r>
      <w:r w:rsidR="00BD4285">
        <w:rPr>
          <w:rFonts w:cs="Times New Roman"/>
          <w:i w:val="0"/>
        </w:rPr>
        <w:t>C</w:t>
      </w:r>
      <w:r w:rsidR="00F76032">
        <w:rPr>
          <w:rFonts w:cs="Times New Roman"/>
          <w:i w:val="0"/>
        </w:rPr>
        <w:t>LG (</w:t>
      </w:r>
      <w:r w:rsidR="007723AD">
        <w:rPr>
          <w:rFonts w:cs="Times New Roman"/>
          <w:i w:val="0"/>
        </w:rPr>
        <w:t>Slide</w:t>
      </w:r>
      <w:r w:rsidR="00F76032">
        <w:rPr>
          <w:rFonts w:cs="Times New Roman"/>
          <w:i w:val="0"/>
        </w:rPr>
        <w:t xml:space="preserve"> 13)</w:t>
      </w:r>
      <w:r w:rsidR="00BD4285">
        <w:rPr>
          <w:rFonts w:cs="Times New Roman"/>
          <w:i w:val="0"/>
        </w:rPr>
        <w:t>.</w:t>
      </w:r>
      <w:r w:rsidR="00F76032">
        <w:rPr>
          <w:rFonts w:cs="Times New Roman"/>
          <w:i w:val="0"/>
        </w:rPr>
        <w:t xml:space="preserve"> Teacher resources support instruction opportunities that engage students in three-dimensional learning.</w:t>
      </w:r>
    </w:p>
    <w:p w:rsidR="004961B0" w:rsidRDefault="002A6380" w:rsidP="002A6380">
      <w:pPr>
        <w:pStyle w:val="Header"/>
        <w:tabs>
          <w:tab w:val="clear" w:pos="4320"/>
          <w:tab w:val="clear" w:pos="8640"/>
        </w:tabs>
        <w:spacing w:after="240"/>
        <w:ind w:left="1440"/>
        <w:jc w:val="right"/>
        <w:rPr>
          <w:rFonts w:cs="Times New Roman"/>
          <w:i w:val="0"/>
        </w:rPr>
      </w:pPr>
      <w:r>
        <w:rPr>
          <w:rFonts w:cs="Times New Roman"/>
          <w:i w:val="0"/>
        </w:rPr>
        <w:t>1</w:t>
      </w:r>
    </w:p>
    <w:p w:rsidR="00782302" w:rsidRDefault="00782302"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#10: Grade 6, G6.Space.S.U2.L6.S2; Grade 7, G7.Cells and Genetics.T.U5.L11 (Enhanc</w:t>
      </w:r>
      <w:r w:rsidR="00A65178">
        <w:rPr>
          <w:rFonts w:cs="Times New Roman"/>
          <w:i w:val="0"/>
        </w:rPr>
        <w:t>ing</w:t>
      </w:r>
      <w:r>
        <w:rPr>
          <w:rFonts w:cs="Times New Roman"/>
          <w:i w:val="0"/>
        </w:rPr>
        <w:t xml:space="preserve"> Learning, Lab Interactive</w:t>
      </w:r>
      <w:r w:rsidR="00A65178">
        <w:rPr>
          <w:rFonts w:cs="Times New Roman"/>
          <w:i w:val="0"/>
        </w:rPr>
        <w:t>:</w:t>
      </w:r>
      <w:r>
        <w:rPr>
          <w:rFonts w:cs="Times New Roman"/>
          <w:i w:val="0"/>
        </w:rPr>
        <w:t xml:space="preserve"> Mutations); Grade 8, G8.</w:t>
      </w:r>
      <w:r w:rsidR="007723AD">
        <w:rPr>
          <w:rFonts w:cs="Times New Roman"/>
          <w:i w:val="0"/>
        </w:rPr>
        <w:t xml:space="preserve"> </w:t>
      </w:r>
      <w:r>
        <w:rPr>
          <w:rFonts w:cs="Times New Roman"/>
          <w:i w:val="0"/>
        </w:rPr>
        <w:t>Forces and Energy.S.U2.L4.RF; Grade 6-8, G6-8</w:t>
      </w:r>
      <w:r w:rsidR="007723AD">
        <w:rPr>
          <w:rFonts w:cs="Times New Roman"/>
          <w:i w:val="0"/>
        </w:rPr>
        <w:t>.</w:t>
      </w:r>
      <w:r>
        <w:rPr>
          <w:rFonts w:cs="Times New Roman"/>
          <w:i w:val="0"/>
        </w:rPr>
        <w:t>Resources.Biographies</w:t>
      </w:r>
      <w:r w:rsidR="00BD4285">
        <w:rPr>
          <w:rFonts w:cs="Times New Roman"/>
          <w:i w:val="0"/>
        </w:rPr>
        <w:t>.</w:t>
      </w:r>
      <w:r>
        <w:rPr>
          <w:rFonts w:cs="Times New Roman"/>
          <w:i w:val="0"/>
        </w:rPr>
        <w:t xml:space="preserve"> There is evidence at all grade levels that the science curriculum is enriched with informational text, literature,</w:t>
      </w:r>
      <w:r w:rsidR="00A77B25">
        <w:rPr>
          <w:rFonts w:cs="Times New Roman"/>
          <w:i w:val="0"/>
        </w:rPr>
        <w:t xml:space="preserve"> and</w:t>
      </w:r>
      <w:r w:rsidR="00A13B93">
        <w:rPr>
          <w:rFonts w:cs="Times New Roman"/>
          <w:i w:val="0"/>
        </w:rPr>
        <w:t xml:space="preserve"> </w:t>
      </w:r>
      <w:r>
        <w:rPr>
          <w:rFonts w:cs="Times New Roman"/>
          <w:i w:val="0"/>
        </w:rPr>
        <w:t>simulations, as well as diverse examples of notable scientists and engineers.</w:t>
      </w:r>
    </w:p>
    <w:p w:rsidR="00384B67" w:rsidRDefault="00384B67" w:rsidP="00DA77F1">
      <w:pPr>
        <w:pStyle w:val="Header"/>
        <w:numPr>
          <w:ilvl w:val="0"/>
          <w:numId w:val="10"/>
        </w:numPr>
        <w:tabs>
          <w:tab w:val="clear" w:pos="4320"/>
          <w:tab w:val="clear" w:pos="8640"/>
        </w:tabs>
        <w:spacing w:after="240"/>
        <w:rPr>
          <w:rFonts w:cs="Times New Roman"/>
          <w:i w:val="0"/>
        </w:rPr>
      </w:pPr>
      <w:r>
        <w:rPr>
          <w:rFonts w:cs="Times New Roman"/>
          <w:i w:val="0"/>
        </w:rPr>
        <w:t>Criterion #12: Grade 6, G6.Space.T.U1.L3.</w:t>
      </w:r>
      <w:r w:rsidR="00BD4285">
        <w:rPr>
          <w:rFonts w:cs="Times New Roman"/>
          <w:i w:val="0"/>
        </w:rPr>
        <w:t>C</w:t>
      </w:r>
      <w:r>
        <w:rPr>
          <w:rFonts w:cs="Times New Roman"/>
          <w:i w:val="0"/>
        </w:rPr>
        <w:t>LG (</w:t>
      </w:r>
      <w:r w:rsidR="007723AD">
        <w:rPr>
          <w:rFonts w:cs="Times New Roman"/>
          <w:i w:val="0"/>
        </w:rPr>
        <w:t>Slide</w:t>
      </w:r>
      <w:r>
        <w:rPr>
          <w:rFonts w:cs="Times New Roman"/>
          <w:i w:val="0"/>
        </w:rPr>
        <w:t xml:space="preserve"> 20, Math and ELA button); Grade 7, G7.Ecosystems.T.U1.L3.CLG (</w:t>
      </w:r>
      <w:r w:rsidR="007723AD">
        <w:rPr>
          <w:rFonts w:cs="Times New Roman"/>
          <w:i w:val="0"/>
        </w:rPr>
        <w:t>Slide</w:t>
      </w:r>
      <w:r>
        <w:rPr>
          <w:rFonts w:cs="Times New Roman"/>
          <w:i w:val="0"/>
        </w:rPr>
        <w:t xml:space="preserve"> 10, ELD Tips button); Grade 8, G8.Waves.T.U1.L2.CLG (</w:t>
      </w:r>
      <w:r w:rsidR="007723AD">
        <w:rPr>
          <w:rFonts w:cs="Times New Roman"/>
          <w:i w:val="0"/>
        </w:rPr>
        <w:t>Slide</w:t>
      </w:r>
      <w:r>
        <w:rPr>
          <w:rFonts w:cs="Times New Roman"/>
          <w:i w:val="0"/>
        </w:rPr>
        <w:t xml:space="preserve"> 28, Math and ELA button)</w:t>
      </w:r>
      <w:r w:rsidR="00BD4285">
        <w:rPr>
          <w:rFonts w:cs="Times New Roman"/>
          <w:i w:val="0"/>
        </w:rPr>
        <w:t>.</w:t>
      </w:r>
      <w:r>
        <w:rPr>
          <w:rFonts w:cs="Times New Roman"/>
          <w:i w:val="0"/>
        </w:rPr>
        <w:t xml:space="preserve"> We found evidence at all grade levels where student assignments make linkages to the CA Common Core Standards for ELA and Literacy in History/Social Studies, Science, and Technical Subjects, the CA ELD Standards, and CA Common Core Math Standards and are consistent with the guidance in the CA Science Framework.</w:t>
      </w:r>
    </w:p>
    <w:p w:rsidR="00A77B25" w:rsidRPr="00A77B25" w:rsidRDefault="00A77B25" w:rsidP="00A77B25">
      <w:pPr>
        <w:pStyle w:val="ListParagraph"/>
        <w:numPr>
          <w:ilvl w:val="0"/>
          <w:numId w:val="10"/>
        </w:numPr>
        <w:rPr>
          <w:rFonts w:cs="Times New Roman"/>
          <w:i w:val="0"/>
        </w:rPr>
      </w:pPr>
      <w:r w:rsidRPr="00A77B25">
        <w:rPr>
          <w:rFonts w:cs="Times New Roman"/>
          <w:i w:val="0"/>
        </w:rPr>
        <w:t>Criterion #13: Grade 6, G6.Space.T.TOC (click on Literacy Toolkits); Grade 7, G7.Cells and Genetics.T.U2.L3.CLG (</w:t>
      </w:r>
      <w:r w:rsidR="007723AD">
        <w:rPr>
          <w:rFonts w:cs="Times New Roman"/>
          <w:i w:val="0"/>
        </w:rPr>
        <w:t>Slide</w:t>
      </w:r>
      <w:r w:rsidRPr="00A77B25">
        <w:rPr>
          <w:rFonts w:cs="Times New Roman"/>
          <w:i w:val="0"/>
        </w:rPr>
        <w:t xml:space="preserve"> 2, click on Academic Vocabulary); Grade 8, G8.Waves.T.U1.L1.CLG (</w:t>
      </w:r>
      <w:r w:rsidR="007723AD">
        <w:rPr>
          <w:rFonts w:cs="Times New Roman"/>
          <w:i w:val="0"/>
        </w:rPr>
        <w:t>Slide</w:t>
      </w:r>
      <w:r w:rsidRPr="00A77B25">
        <w:rPr>
          <w:rFonts w:cs="Times New Roman"/>
          <w:i w:val="0"/>
        </w:rPr>
        <w:t>s 9-19). We found evidence in all grade levels, 6-8, that the materials provide support for students to develop grade-level appropriate academic language and classroom discourse.</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E802CF">
        <w:rPr>
          <w:i w:val="0"/>
        </w:rPr>
        <w:t xml:space="preserve"> support</w:t>
      </w:r>
      <w:r w:rsidR="007272F2">
        <w:rPr>
          <w:i w:val="0"/>
        </w:rPr>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AF433F">
        <w:rPr>
          <w:rFonts w:cs="Times New Roman"/>
          <w:i w:val="0"/>
        </w:rPr>
        <w:t>7: Grade 6, G6.Space.T.U2 Anchoring Phenomenon (Click on Unit Progression</w:t>
      </w:r>
      <w:r w:rsidR="00966DAD">
        <w:rPr>
          <w:rFonts w:cs="Times New Roman"/>
          <w:i w:val="0"/>
        </w:rPr>
        <w:t>s, “this document”); Grade 7, G7.Adaptations.T.U2 Anchoring Phenomenon (Click on Unit Progressions, “this document”); Grade 8, G8.Matter.T.U2 Anchoring Phenomenon (Click on Unit Progressions “this document”)</w:t>
      </w:r>
      <w:r w:rsidR="00BD4285">
        <w:rPr>
          <w:rFonts w:cs="Times New Roman"/>
          <w:i w:val="0"/>
        </w:rPr>
        <w:t>.</w:t>
      </w:r>
      <w:r w:rsidR="00966DAD">
        <w:rPr>
          <w:rFonts w:cs="Times New Roman"/>
          <w:i w:val="0"/>
        </w:rPr>
        <w:t xml:space="preserve"> These documents clearly explain to teachers regarding how the SEPs, DCIs, and CCCs work together to support students in making sense of phenomena and to design solutions to problems and build toward the PEs of the CA NGSS.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C84D5E">
        <w:rPr>
          <w:rFonts w:cs="Times New Roman"/>
          <w:i w:val="0"/>
        </w:rPr>
        <w:t>8</w:t>
      </w:r>
      <w:r>
        <w:rPr>
          <w:rFonts w:cs="Times New Roman"/>
          <w:i w:val="0"/>
        </w:rPr>
        <w:t xml:space="preserve">: </w:t>
      </w:r>
      <w:r w:rsidR="00C84D5E">
        <w:rPr>
          <w:rFonts w:cs="Times New Roman"/>
          <w:i w:val="0"/>
        </w:rPr>
        <w:t xml:space="preserve">Grade 6, G6.Planet Earth.T.U3.Anchoring Phenomenon.CLG (all </w:t>
      </w:r>
      <w:r w:rsidR="007723AD">
        <w:rPr>
          <w:rFonts w:cs="Times New Roman"/>
          <w:i w:val="0"/>
        </w:rPr>
        <w:t>Slide</w:t>
      </w:r>
      <w:r w:rsidR="00C84D5E">
        <w:rPr>
          <w:rFonts w:cs="Times New Roman"/>
          <w:i w:val="0"/>
        </w:rPr>
        <w:t>s); Grade 7, G7.Ecosystems</w:t>
      </w:r>
      <w:r w:rsidR="00D92F29">
        <w:rPr>
          <w:rFonts w:cs="Times New Roman"/>
          <w:i w:val="0"/>
        </w:rPr>
        <w:t xml:space="preserve">.T.U3.Anchoring Phenomenon.CLG (all </w:t>
      </w:r>
      <w:r w:rsidR="007723AD">
        <w:rPr>
          <w:rFonts w:cs="Times New Roman"/>
          <w:i w:val="0"/>
        </w:rPr>
        <w:t>Slide</w:t>
      </w:r>
      <w:r w:rsidR="00D92F29">
        <w:rPr>
          <w:rFonts w:cs="Times New Roman"/>
          <w:i w:val="0"/>
        </w:rPr>
        <w:t xml:space="preserve">s); Grade 8, G8.Forces and Energy.T.U1.Anchoring Phenomenon.CLG (all </w:t>
      </w:r>
      <w:r w:rsidR="007723AD">
        <w:rPr>
          <w:rFonts w:cs="Times New Roman"/>
          <w:i w:val="0"/>
        </w:rPr>
        <w:t>Slide</w:t>
      </w:r>
      <w:r w:rsidR="00D92F29">
        <w:rPr>
          <w:rFonts w:cs="Times New Roman"/>
          <w:i w:val="0"/>
        </w:rPr>
        <w:t>s)</w:t>
      </w:r>
      <w:r w:rsidR="00BD4285">
        <w:rPr>
          <w:rFonts w:cs="Times New Roman"/>
          <w:i w:val="0"/>
        </w:rPr>
        <w:t>.</w:t>
      </w:r>
      <w:r w:rsidR="00D92F29">
        <w:rPr>
          <w:rFonts w:cs="Times New Roman"/>
          <w:i w:val="0"/>
        </w:rPr>
        <w:t xml:space="preserve"> There is strong evidence to support topics selected for in depth study are developed through their role in explaining selected phenomena, chosen to support students.</w:t>
      </w:r>
    </w:p>
    <w:p w:rsidR="003F5D42" w:rsidRPr="0074229A" w:rsidRDefault="003F5D42" w:rsidP="0074229A">
      <w:pPr>
        <w:pStyle w:val="Header"/>
        <w:numPr>
          <w:ilvl w:val="0"/>
          <w:numId w:val="10"/>
        </w:numPr>
        <w:tabs>
          <w:tab w:val="clear" w:pos="4320"/>
          <w:tab w:val="clear" w:pos="8640"/>
        </w:tabs>
        <w:spacing w:after="240"/>
        <w:rPr>
          <w:rFonts w:cs="Times New Roman"/>
          <w:i w:val="0"/>
        </w:rPr>
      </w:pPr>
      <w:r>
        <w:rPr>
          <w:rFonts w:cs="Times New Roman"/>
          <w:i w:val="0"/>
        </w:rPr>
        <w:lastRenderedPageBreak/>
        <w:t>Criterion #</w:t>
      </w:r>
      <w:r w:rsidR="0074229A">
        <w:rPr>
          <w:rFonts w:cs="Times New Roman"/>
          <w:i w:val="0"/>
        </w:rPr>
        <w:t>9</w:t>
      </w:r>
      <w:r>
        <w:rPr>
          <w:rFonts w:cs="Times New Roman"/>
          <w:i w:val="0"/>
        </w:rPr>
        <w:t xml:space="preserve">: </w:t>
      </w:r>
      <w:r w:rsidR="0074229A">
        <w:rPr>
          <w:rFonts w:cs="Times New Roman"/>
          <w:i w:val="0"/>
        </w:rPr>
        <w:t>Grade 6, G6.Planet Earth.T.U3.L7.CLG (</w:t>
      </w:r>
      <w:r w:rsidR="007723AD">
        <w:rPr>
          <w:rFonts w:cs="Times New Roman"/>
          <w:i w:val="0"/>
        </w:rPr>
        <w:t>Slide</w:t>
      </w:r>
      <w:r w:rsidR="0074229A">
        <w:rPr>
          <w:rFonts w:cs="Times New Roman"/>
          <w:i w:val="0"/>
        </w:rPr>
        <w:t xml:space="preserve"> 4); Grade 7, G7.Adaptions.T.</w:t>
      </w:r>
      <w:r w:rsidR="00A65178">
        <w:rPr>
          <w:rFonts w:cs="Times New Roman"/>
          <w:i w:val="0"/>
        </w:rPr>
        <w:t>U</w:t>
      </w:r>
      <w:r w:rsidR="0074229A">
        <w:rPr>
          <w:rFonts w:cs="Times New Roman"/>
          <w:i w:val="0"/>
        </w:rPr>
        <w:t>1 Anchoring Phenomenon.CLG (</w:t>
      </w:r>
      <w:r w:rsidR="007723AD">
        <w:rPr>
          <w:rFonts w:cs="Times New Roman"/>
          <w:i w:val="0"/>
        </w:rPr>
        <w:t>Slide</w:t>
      </w:r>
      <w:r w:rsidR="0074229A">
        <w:rPr>
          <w:rFonts w:cs="Times New Roman"/>
          <w:i w:val="0"/>
        </w:rPr>
        <w:t xml:space="preserve"> 2); </w:t>
      </w:r>
      <w:r w:rsidR="0074229A" w:rsidRPr="0074229A">
        <w:rPr>
          <w:rFonts w:cs="Times New Roman"/>
          <w:i w:val="0"/>
        </w:rPr>
        <w:t>Grade 8, G8.Matter.S.U2.L4.Investigation 1 (ISN)</w:t>
      </w:r>
      <w:r w:rsidR="00BD4285">
        <w:rPr>
          <w:rFonts w:cs="Times New Roman"/>
          <w:i w:val="0"/>
        </w:rPr>
        <w:t>.</w:t>
      </w:r>
      <w:r w:rsidR="0074229A">
        <w:rPr>
          <w:rFonts w:cs="Times New Roman"/>
          <w:i w:val="0"/>
        </w:rPr>
        <w:t xml:space="preserve"> There is exemplary evidence of the meaningful use of technologies such as video clips or computer simulations that cannot be directly experienced in the classroom.</w:t>
      </w:r>
    </w:p>
    <w:p w:rsidR="00860E81"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9331B9">
        <w:rPr>
          <w:rFonts w:cs="Times New Roman"/>
          <w:i w:val="0"/>
        </w:rPr>
        <w:t>10</w:t>
      </w:r>
      <w:r>
        <w:rPr>
          <w:rFonts w:cs="Times New Roman"/>
          <w:i w:val="0"/>
        </w:rPr>
        <w:t xml:space="preserve">: </w:t>
      </w:r>
      <w:r w:rsidR="009331B9">
        <w:rPr>
          <w:rFonts w:cs="Times New Roman"/>
          <w:i w:val="0"/>
        </w:rPr>
        <w:t xml:space="preserve">Grade 6, G6.Planet Earth.T.U2.Engineering Challenge: Test and Improve a Solar Distiller.CLG (all </w:t>
      </w:r>
      <w:r w:rsidR="007723AD">
        <w:rPr>
          <w:rFonts w:cs="Times New Roman"/>
          <w:i w:val="0"/>
        </w:rPr>
        <w:t>Slide</w:t>
      </w:r>
      <w:r w:rsidR="009331B9">
        <w:rPr>
          <w:rFonts w:cs="Times New Roman"/>
          <w:i w:val="0"/>
        </w:rPr>
        <w:t xml:space="preserve">s); Grade </w:t>
      </w:r>
      <w:r w:rsidR="00A65178">
        <w:rPr>
          <w:rFonts w:cs="Times New Roman"/>
          <w:i w:val="0"/>
        </w:rPr>
        <w:t>7</w:t>
      </w:r>
      <w:r w:rsidR="009331B9">
        <w:rPr>
          <w:rFonts w:cs="Times New Roman"/>
          <w:i w:val="0"/>
        </w:rPr>
        <w:t>, G7.</w:t>
      </w:r>
      <w:r w:rsidR="00F92091">
        <w:rPr>
          <w:rFonts w:cs="Times New Roman"/>
          <w:i w:val="0"/>
        </w:rPr>
        <w:t xml:space="preserve">Ecosystems.T.U3.Engineering Challenge: Designing </w:t>
      </w:r>
      <w:r w:rsidR="00A65178">
        <w:rPr>
          <w:rFonts w:cs="Times New Roman"/>
          <w:i w:val="0"/>
        </w:rPr>
        <w:t>a Fishing Ne</w:t>
      </w:r>
      <w:r w:rsidR="00A77B25">
        <w:rPr>
          <w:rFonts w:cs="Times New Roman"/>
          <w:i w:val="0"/>
        </w:rPr>
        <w:t xml:space="preserve">t.CLG (all </w:t>
      </w:r>
      <w:r w:rsidR="007723AD">
        <w:rPr>
          <w:rFonts w:cs="Times New Roman"/>
          <w:i w:val="0"/>
        </w:rPr>
        <w:t>Slide</w:t>
      </w:r>
      <w:r w:rsidR="00A77B25">
        <w:rPr>
          <w:rFonts w:cs="Times New Roman"/>
          <w:i w:val="0"/>
        </w:rPr>
        <w:t xml:space="preserve">s); Grade 8, G8.Forces and Energy.T.U1.Engineering Challenge: Designing </w:t>
      </w:r>
      <w:r w:rsidR="00F92091">
        <w:rPr>
          <w:rFonts w:cs="Times New Roman"/>
          <w:i w:val="0"/>
        </w:rPr>
        <w:t xml:space="preserve">Safe Go-Carts.CLG (all </w:t>
      </w:r>
      <w:r w:rsidR="007723AD">
        <w:rPr>
          <w:rFonts w:cs="Times New Roman"/>
          <w:i w:val="0"/>
        </w:rPr>
        <w:t>Slide</w:t>
      </w:r>
      <w:r w:rsidR="00F92091">
        <w:rPr>
          <w:rFonts w:cs="Times New Roman"/>
          <w:i w:val="0"/>
        </w:rPr>
        <w:t>s)</w:t>
      </w:r>
      <w:r w:rsidR="003C356D">
        <w:rPr>
          <w:rFonts w:cs="Times New Roman"/>
          <w:i w:val="0"/>
        </w:rPr>
        <w:t>.</w:t>
      </w:r>
      <w:r w:rsidR="00F92091">
        <w:rPr>
          <w:rFonts w:cs="Times New Roman"/>
          <w:i w:val="0"/>
        </w:rPr>
        <w:t xml:space="preserve"> </w:t>
      </w:r>
      <w:r w:rsidR="003C356D">
        <w:rPr>
          <w:rFonts w:cs="Times New Roman"/>
          <w:i w:val="0"/>
        </w:rPr>
        <w:t>R</w:t>
      </w:r>
      <w:r w:rsidR="00F92091">
        <w:rPr>
          <w:rFonts w:cs="Times New Roman"/>
          <w:i w:val="0"/>
        </w:rPr>
        <w:t>esources suggest appropriate engineering design tasks in varied contexts as a path to understanding and applying science ideas.</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00330B32">
        <w:rPr>
          <w:rFonts w:eastAsia="Arial Unicode MS" w:cs="Calibri"/>
          <w:i w:val="0"/>
          <w:color w:val="000000"/>
        </w:rPr>
        <w:t xml:space="preserve">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00330B32">
        <w:rPr>
          <w:rFonts w:eastAsia="Arial Unicode MS" w:cs="Calibri"/>
          <w:i w:val="0"/>
          <w:color w:val="000000"/>
        </w:rPr>
        <w:t xml:space="preserve"> 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A84CDC" w:rsidRDefault="00A84CDC" w:rsidP="00A84CDC">
      <w:pPr>
        <w:pStyle w:val="Header"/>
        <w:numPr>
          <w:ilvl w:val="0"/>
          <w:numId w:val="10"/>
        </w:numPr>
        <w:tabs>
          <w:tab w:val="clear" w:pos="4320"/>
          <w:tab w:val="clear" w:pos="8640"/>
        </w:tabs>
        <w:spacing w:after="240"/>
        <w:rPr>
          <w:rFonts w:cs="Times New Roman"/>
          <w:i w:val="0"/>
        </w:rPr>
      </w:pPr>
      <w:r>
        <w:rPr>
          <w:rFonts w:cs="Times New Roman"/>
          <w:i w:val="0"/>
        </w:rPr>
        <w:t>Criterion #3: Grade 7, Adaptations.T.U2.L6.</w:t>
      </w:r>
      <w:r w:rsidR="00A65178">
        <w:rPr>
          <w:rFonts w:cs="Times New Roman"/>
          <w:i w:val="0"/>
        </w:rPr>
        <w:t>C</w:t>
      </w:r>
      <w:r>
        <w:rPr>
          <w:rFonts w:cs="Times New Roman"/>
          <w:i w:val="0"/>
        </w:rPr>
        <w:t>LG (</w:t>
      </w:r>
      <w:r w:rsidR="007723AD">
        <w:rPr>
          <w:rFonts w:cs="Times New Roman"/>
          <w:i w:val="0"/>
        </w:rPr>
        <w:t>Slide</w:t>
      </w:r>
      <w:r>
        <w:rPr>
          <w:rFonts w:cs="Times New Roman"/>
          <w:i w:val="0"/>
        </w:rPr>
        <w:t xml:space="preserve"> 20)</w:t>
      </w:r>
      <w:r w:rsidR="003C356D">
        <w:rPr>
          <w:rFonts w:cs="Times New Roman"/>
          <w:i w:val="0"/>
        </w:rPr>
        <w:t>.</w:t>
      </w:r>
      <w:r>
        <w:rPr>
          <w:rFonts w:cs="Times New Roman"/>
          <w:i w:val="0"/>
        </w:rPr>
        <w:t xml:space="preserve"> Learning and formative assessment opportunities occur at the same time and are embedded </w:t>
      </w:r>
      <w:r w:rsidRPr="00A84CDC">
        <w:rPr>
          <w:rFonts w:cs="Times New Roman"/>
          <w:i w:val="0"/>
        </w:rPr>
        <w:t>in the broader learning activity.</w:t>
      </w:r>
    </w:p>
    <w:p w:rsidR="003F5D42" w:rsidRPr="00A84CDC" w:rsidRDefault="00A84CDC" w:rsidP="00A84CDC">
      <w:pPr>
        <w:pStyle w:val="Header"/>
        <w:numPr>
          <w:ilvl w:val="0"/>
          <w:numId w:val="10"/>
        </w:numPr>
        <w:tabs>
          <w:tab w:val="clear" w:pos="4320"/>
          <w:tab w:val="clear" w:pos="8640"/>
        </w:tabs>
        <w:spacing w:after="240"/>
        <w:rPr>
          <w:rFonts w:cs="Times New Roman"/>
          <w:i w:val="0"/>
        </w:rPr>
      </w:pPr>
      <w:r>
        <w:rPr>
          <w:rFonts w:cs="Times New Roman"/>
          <w:i w:val="0"/>
        </w:rPr>
        <w:t>Criterion #5: Grades 6-8, Gradebook</w:t>
      </w:r>
      <w:r w:rsidR="00A65178">
        <w:rPr>
          <w:rFonts w:cs="Times New Roman"/>
          <w:i w:val="0"/>
        </w:rPr>
        <w:t xml:space="preserve"> (click on View T</w:t>
      </w:r>
      <w:r>
        <w:rPr>
          <w:rFonts w:cs="Times New Roman"/>
          <w:i w:val="0"/>
        </w:rPr>
        <w:t>rends</w:t>
      </w:r>
      <w:r w:rsidR="00A65178">
        <w:rPr>
          <w:rFonts w:cs="Times New Roman"/>
          <w:i w:val="0"/>
        </w:rPr>
        <w:t>)</w:t>
      </w:r>
      <w:r w:rsidR="003C356D">
        <w:rPr>
          <w:rFonts w:cs="Times New Roman"/>
          <w:i w:val="0"/>
        </w:rPr>
        <w:t>. A</w:t>
      </w:r>
      <w:r>
        <w:rPr>
          <w:rFonts w:cs="Times New Roman"/>
          <w:i w:val="0"/>
        </w:rPr>
        <w:t>ssessments to yield information teachers can use in planning and modifying instruction.</w:t>
      </w:r>
    </w:p>
    <w:p w:rsidR="003F5D42" w:rsidRDefault="00F655D9" w:rsidP="00DA77F1">
      <w:pPr>
        <w:pStyle w:val="Header"/>
        <w:numPr>
          <w:ilvl w:val="0"/>
          <w:numId w:val="10"/>
        </w:numPr>
        <w:tabs>
          <w:tab w:val="clear" w:pos="4320"/>
          <w:tab w:val="clear" w:pos="8640"/>
        </w:tabs>
        <w:spacing w:after="240"/>
        <w:rPr>
          <w:rFonts w:cs="Times New Roman"/>
          <w:i w:val="0"/>
        </w:rPr>
      </w:pPr>
      <w:r>
        <w:rPr>
          <w:rFonts w:cs="Times New Roman"/>
          <w:i w:val="0"/>
        </w:rPr>
        <w:t>Criterion #8</w:t>
      </w:r>
      <w:r w:rsidR="003F5D42">
        <w:rPr>
          <w:rFonts w:cs="Times New Roman"/>
          <w:i w:val="0"/>
        </w:rPr>
        <w:t xml:space="preserve">: </w:t>
      </w:r>
      <w:r>
        <w:rPr>
          <w:rFonts w:cs="Times New Roman"/>
          <w:i w:val="0"/>
        </w:rPr>
        <w:t>Grade 8, G8.Waves.U3.Performance Assessment: Selling Digital</w:t>
      </w:r>
      <w:r w:rsidR="003C356D">
        <w:rPr>
          <w:rFonts w:cs="Times New Roman"/>
          <w:i w:val="0"/>
        </w:rPr>
        <w:t>.</w:t>
      </w:r>
      <w:r>
        <w:rPr>
          <w:rFonts w:cs="Times New Roman"/>
          <w:i w:val="0"/>
        </w:rPr>
        <w:t xml:space="preserve"> Students progress toward meeting the three-dimensions of the CA NGSS is assessed through both writing and performance tasks.</w:t>
      </w:r>
    </w:p>
    <w:p w:rsidR="009F2E52" w:rsidRP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4300EE">
        <w:rPr>
          <w:rFonts w:cs="Times New Roman"/>
          <w:i w:val="0"/>
        </w:rPr>
        <w:t>9</w:t>
      </w:r>
      <w:r>
        <w:rPr>
          <w:rFonts w:cs="Times New Roman"/>
          <w:i w:val="0"/>
        </w:rPr>
        <w:t xml:space="preserve">: </w:t>
      </w:r>
      <w:r w:rsidR="004300EE">
        <w:rPr>
          <w:rFonts w:cs="Times New Roman"/>
          <w:i w:val="0"/>
        </w:rPr>
        <w:t>Grade 6, G6.Planet Earth.U2.Performance Assessment: Fund a Natural Resource Company.</w:t>
      </w:r>
      <w:r w:rsidR="003C356D">
        <w:rPr>
          <w:rFonts w:cs="Times New Roman"/>
          <w:i w:val="0"/>
        </w:rPr>
        <w:t>CLG (</w:t>
      </w:r>
      <w:r w:rsidR="007723AD">
        <w:rPr>
          <w:rFonts w:cs="Times New Roman"/>
          <w:i w:val="0"/>
        </w:rPr>
        <w:t>Slide</w:t>
      </w:r>
      <w:r w:rsidR="004300EE">
        <w:rPr>
          <w:rFonts w:cs="Times New Roman"/>
          <w:i w:val="0"/>
        </w:rPr>
        <w:t xml:space="preserve"> 4</w:t>
      </w:r>
      <w:r w:rsidR="003C356D">
        <w:rPr>
          <w:rFonts w:cs="Times New Roman"/>
          <w:i w:val="0"/>
        </w:rPr>
        <w:t>)</w:t>
      </w:r>
      <w:r w:rsidR="004300EE">
        <w:rPr>
          <w:rFonts w:cs="Times New Roman"/>
          <w:i w:val="0"/>
        </w:rPr>
        <w:t xml:space="preserve">(Materials, notebook answer </w:t>
      </w:r>
      <w:r w:rsidR="003C356D">
        <w:rPr>
          <w:rFonts w:cs="Times New Roman"/>
          <w:i w:val="0"/>
        </w:rPr>
        <w:t>k</w:t>
      </w:r>
      <w:r w:rsidR="004300EE">
        <w:rPr>
          <w:rFonts w:cs="Times New Roman"/>
          <w:i w:val="0"/>
        </w:rPr>
        <w:t>ey)</w:t>
      </w:r>
      <w:r w:rsidR="003C356D">
        <w:rPr>
          <w:rFonts w:cs="Times New Roman"/>
          <w:i w:val="0"/>
        </w:rPr>
        <w:t>.</w:t>
      </w:r>
      <w:r w:rsidR="004300EE">
        <w:rPr>
          <w:rFonts w:cs="Times New Roman"/>
          <w:i w:val="0"/>
        </w:rPr>
        <w:t xml:space="preserve"> This is an example of a resource that shows student work expectations and a rubric for scoring performance tasks.</w:t>
      </w:r>
    </w:p>
    <w:p w:rsidR="0040716F" w:rsidRDefault="00B04B49" w:rsidP="00C942C4">
      <w:pPr>
        <w:pStyle w:val="Heading2"/>
      </w:pPr>
      <w:r w:rsidRPr="00231C1B">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330B32">
        <w:rPr>
          <w:rFonts w:cs="Times New Roman"/>
          <w:i w:val="0"/>
          <w:iCs w:val="0"/>
        </w:rPr>
        <w:t xml:space="preserve"> ensure</w:t>
      </w:r>
      <w:r w:rsidR="00C81141">
        <w:rPr>
          <w:rFonts w:cs="Times New Roman"/>
          <w:i w:val="0"/>
          <w:iCs w:val="0"/>
        </w:rPr>
        <w:t xml:space="preserve"> </w:t>
      </w:r>
      <w:r w:rsidRPr="008F5488">
        <w:rPr>
          <w:rFonts w:cs="Times New Roman"/>
          <w:i w:val="0"/>
          <w:iCs w:val="0"/>
        </w:rPr>
        <w:t>universal and equitable access to high-quality curriculum a</w:t>
      </w:r>
      <w:r w:rsidR="00976333">
        <w:rPr>
          <w:rFonts w:cs="Times New Roman"/>
          <w:i w:val="0"/>
          <w:iCs w:val="0"/>
        </w:rPr>
        <w:t xml:space="preserve">nd instruction for all students </w:t>
      </w:r>
      <w:r w:rsidRPr="008F5488">
        <w:rPr>
          <w:rFonts w:cs="Times New Roman"/>
          <w:i w:val="0"/>
          <w:iCs w:val="0"/>
        </w:rPr>
        <w:t>and</w:t>
      </w:r>
      <w:r w:rsidR="00330B32">
        <w:rPr>
          <w:rFonts w:cs="Times New Roman"/>
          <w:i w:val="0"/>
          <w:iCs w:val="0"/>
        </w:rPr>
        <w:t xml:space="preserve"> provide</w:t>
      </w:r>
      <w:r w:rsidRPr="008F5488">
        <w:rPr>
          <w:rFonts w:cs="Times New Roman"/>
          <w:i w:val="0"/>
          <w:iCs w:val="0"/>
        </w:rPr>
        <w:t xml:space="preserve"> 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lastRenderedPageBreak/>
        <w:t>Citations: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A24310">
        <w:rPr>
          <w:rFonts w:cs="Times New Roman"/>
          <w:i w:val="0"/>
        </w:rPr>
        <w:t>1</w:t>
      </w:r>
      <w:r>
        <w:rPr>
          <w:rFonts w:cs="Times New Roman"/>
          <w:i w:val="0"/>
        </w:rPr>
        <w:t xml:space="preserve">: </w:t>
      </w:r>
      <w:r w:rsidR="00A24310">
        <w:rPr>
          <w:rFonts w:cs="Times New Roman"/>
          <w:i w:val="0"/>
        </w:rPr>
        <w:t>Grade 6, G6.Space</w:t>
      </w:r>
      <w:r w:rsidR="009F3FFE">
        <w:rPr>
          <w:rFonts w:cs="Times New Roman"/>
          <w:i w:val="0"/>
        </w:rPr>
        <w:t>.T.U1.L4</w:t>
      </w:r>
      <w:r w:rsidR="00A65178">
        <w:rPr>
          <w:rFonts w:cs="Times New Roman"/>
          <w:i w:val="0"/>
        </w:rPr>
        <w:t xml:space="preserve"> </w:t>
      </w:r>
      <w:r w:rsidR="009F3FFE">
        <w:rPr>
          <w:rFonts w:cs="Times New Roman"/>
          <w:i w:val="0"/>
        </w:rPr>
        <w:t>(click on</w:t>
      </w:r>
      <w:r w:rsidR="00A24310">
        <w:rPr>
          <w:rFonts w:cs="Times New Roman"/>
          <w:i w:val="0"/>
        </w:rPr>
        <w:t xml:space="preserve"> Differentiating Instruction); Grade 7, G7.Cells and Genetics.S.U1.L2.</w:t>
      </w:r>
      <w:r w:rsidR="00A65178">
        <w:rPr>
          <w:rFonts w:cs="Times New Roman"/>
          <w:i w:val="0"/>
        </w:rPr>
        <w:t>S</w:t>
      </w:r>
      <w:r w:rsidR="00A24310">
        <w:rPr>
          <w:rFonts w:cs="Times New Roman"/>
          <w:i w:val="0"/>
        </w:rPr>
        <w:t>1 (I</w:t>
      </w:r>
      <w:r w:rsidR="00A65178">
        <w:rPr>
          <w:rFonts w:cs="Times New Roman"/>
          <w:i w:val="0"/>
        </w:rPr>
        <w:t>nteractive Tutorial</w:t>
      </w:r>
      <w:r w:rsidR="00A24310">
        <w:rPr>
          <w:rFonts w:cs="Times New Roman"/>
          <w:i w:val="0"/>
        </w:rPr>
        <w:t>); Grade 8, G8.Forces</w:t>
      </w:r>
      <w:r w:rsidR="009F3FFE">
        <w:rPr>
          <w:rFonts w:cs="Times New Roman"/>
          <w:i w:val="0"/>
        </w:rPr>
        <w:t xml:space="preserve"> and Energy.S.U1.L2.</w:t>
      </w:r>
      <w:r w:rsidR="00A65178">
        <w:rPr>
          <w:rFonts w:cs="Times New Roman"/>
          <w:i w:val="0"/>
        </w:rPr>
        <w:t>S</w:t>
      </w:r>
      <w:r w:rsidR="009F3FFE">
        <w:rPr>
          <w:rFonts w:cs="Times New Roman"/>
          <w:i w:val="0"/>
        </w:rPr>
        <w:t>2 (click on Main Ideas)</w:t>
      </w:r>
      <w:r w:rsidR="003C356D">
        <w:rPr>
          <w:rFonts w:cs="Times New Roman"/>
          <w:i w:val="0"/>
        </w:rPr>
        <w:t>.</w:t>
      </w:r>
      <w:r w:rsidR="009F3FFE">
        <w:rPr>
          <w:rFonts w:cs="Times New Roman"/>
          <w:i w:val="0"/>
        </w:rPr>
        <w:t xml:space="preserve"> The instructional resources reflect the goals of access and equity outlined in chapter 10 of the CA Science Framework.</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9F3FFE">
        <w:rPr>
          <w:rFonts w:cs="Times New Roman"/>
          <w:i w:val="0"/>
        </w:rPr>
        <w:t>2</w:t>
      </w:r>
      <w:r>
        <w:rPr>
          <w:rFonts w:cs="Times New Roman"/>
          <w:i w:val="0"/>
        </w:rPr>
        <w:t xml:space="preserve">: </w:t>
      </w:r>
      <w:r w:rsidR="009F3FFE">
        <w:rPr>
          <w:rFonts w:cs="Times New Roman"/>
          <w:i w:val="0"/>
        </w:rPr>
        <w:t>Grade 6, G6.Planet Earth.T.U1.L1.CLG (</w:t>
      </w:r>
      <w:r w:rsidR="007723AD">
        <w:rPr>
          <w:rFonts w:cs="Times New Roman"/>
          <w:i w:val="0"/>
        </w:rPr>
        <w:t>Slide</w:t>
      </w:r>
      <w:r w:rsidR="009F3FFE">
        <w:rPr>
          <w:rFonts w:cs="Times New Roman"/>
          <w:i w:val="0"/>
        </w:rPr>
        <w:t xml:space="preserve"> 16 click on “ELD Tips”); Grade 7, G7.Adaptions.T.U2.L3.CLG (</w:t>
      </w:r>
      <w:r w:rsidR="007723AD">
        <w:rPr>
          <w:rFonts w:cs="Times New Roman"/>
          <w:i w:val="0"/>
        </w:rPr>
        <w:t>Slide</w:t>
      </w:r>
      <w:r w:rsidR="009F3FFE">
        <w:rPr>
          <w:rFonts w:cs="Times New Roman"/>
          <w:i w:val="0"/>
        </w:rPr>
        <w:t xml:space="preserve"> 15 click on “ELD Tips”); Grade 8, G8.Waves.T.U2.L6 (click on Differentiating Instruction)</w:t>
      </w:r>
      <w:r w:rsidR="003C356D">
        <w:rPr>
          <w:rFonts w:cs="Times New Roman"/>
          <w:i w:val="0"/>
        </w:rPr>
        <w:t>.</w:t>
      </w:r>
      <w:r w:rsidR="009F3FFE">
        <w:rPr>
          <w:rFonts w:cs="Times New Roman"/>
          <w:i w:val="0"/>
        </w:rPr>
        <w:t xml:space="preserve"> We found evidence in all grades where teacher resources included research-based strategies to address the needs of English learners consistent with the CA ELD Standards.</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9F3FFE">
        <w:rPr>
          <w:rFonts w:cs="Times New Roman"/>
          <w:i w:val="0"/>
        </w:rPr>
        <w:t>3</w:t>
      </w:r>
      <w:r>
        <w:rPr>
          <w:rFonts w:cs="Times New Roman"/>
          <w:i w:val="0"/>
        </w:rPr>
        <w:t xml:space="preserve">: </w:t>
      </w:r>
      <w:r w:rsidR="009F3FFE">
        <w:rPr>
          <w:rFonts w:cs="Times New Roman"/>
          <w:i w:val="0"/>
        </w:rPr>
        <w:t xml:space="preserve">Grade 6, G6.Space.T.U2.L5 (click on Differentiating Instruction, see </w:t>
      </w:r>
      <w:r w:rsidR="00A65178">
        <w:rPr>
          <w:rFonts w:cs="Times New Roman"/>
          <w:i w:val="0"/>
        </w:rPr>
        <w:t>Learners</w:t>
      </w:r>
      <w:r w:rsidR="009F3FFE">
        <w:rPr>
          <w:rFonts w:cs="Times New Roman"/>
          <w:i w:val="0"/>
        </w:rPr>
        <w:t xml:space="preserve"> with Special </w:t>
      </w:r>
      <w:r w:rsidR="00A65178">
        <w:rPr>
          <w:rFonts w:cs="Times New Roman"/>
          <w:i w:val="0"/>
        </w:rPr>
        <w:t xml:space="preserve">Education </w:t>
      </w:r>
      <w:r w:rsidR="009F3FFE">
        <w:rPr>
          <w:rFonts w:cs="Times New Roman"/>
          <w:i w:val="0"/>
        </w:rPr>
        <w:t>Needs)</w:t>
      </w:r>
      <w:r w:rsidR="003C356D">
        <w:rPr>
          <w:rFonts w:cs="Times New Roman"/>
          <w:i w:val="0"/>
        </w:rPr>
        <w:t>.</w:t>
      </w:r>
      <w:r w:rsidR="009F3FFE">
        <w:rPr>
          <w:rFonts w:cs="Times New Roman"/>
          <w:i w:val="0"/>
        </w:rPr>
        <w:t xml:space="preserve"> Grade 7, G7.Cells and Genetics.T.U2.L4 (click on Differentiating Instruction, see </w:t>
      </w:r>
      <w:r w:rsidR="00A65178">
        <w:rPr>
          <w:rFonts w:cs="Times New Roman"/>
          <w:i w:val="0"/>
        </w:rPr>
        <w:t>Learners</w:t>
      </w:r>
      <w:r w:rsidR="009F3FFE">
        <w:rPr>
          <w:rFonts w:cs="Times New Roman"/>
          <w:i w:val="0"/>
        </w:rPr>
        <w:t xml:space="preserve"> with Special </w:t>
      </w:r>
      <w:r w:rsidR="00A65178">
        <w:rPr>
          <w:rFonts w:cs="Times New Roman"/>
          <w:i w:val="0"/>
        </w:rPr>
        <w:t xml:space="preserve">Education </w:t>
      </w:r>
      <w:r w:rsidR="009F3FFE">
        <w:rPr>
          <w:rFonts w:cs="Times New Roman"/>
          <w:i w:val="0"/>
        </w:rPr>
        <w:t>Needs); Grade 8, G8.Waves.T.U1</w:t>
      </w:r>
      <w:r w:rsidR="006B46FD">
        <w:rPr>
          <w:rFonts w:cs="Times New Roman"/>
          <w:i w:val="0"/>
        </w:rPr>
        <w:t xml:space="preserve">.L1 (Click on Differentiating Instruction, see </w:t>
      </w:r>
      <w:r w:rsidR="00A65178">
        <w:rPr>
          <w:rFonts w:cs="Times New Roman"/>
          <w:i w:val="0"/>
        </w:rPr>
        <w:t>Learners</w:t>
      </w:r>
      <w:r w:rsidR="006B46FD">
        <w:rPr>
          <w:rFonts w:cs="Times New Roman"/>
          <w:i w:val="0"/>
        </w:rPr>
        <w:t xml:space="preserve"> with Special </w:t>
      </w:r>
      <w:r w:rsidR="00A65178">
        <w:rPr>
          <w:rFonts w:cs="Times New Roman"/>
          <w:i w:val="0"/>
        </w:rPr>
        <w:t xml:space="preserve">Education </w:t>
      </w:r>
      <w:r w:rsidR="006B46FD">
        <w:rPr>
          <w:rFonts w:cs="Times New Roman"/>
          <w:i w:val="0"/>
        </w:rPr>
        <w:t xml:space="preserve">Needs); </w:t>
      </w:r>
      <w:r w:rsidR="003C356D">
        <w:rPr>
          <w:rFonts w:cs="Times New Roman"/>
          <w:i w:val="0"/>
        </w:rPr>
        <w:t>I</w:t>
      </w:r>
      <w:r w:rsidR="006B46FD">
        <w:rPr>
          <w:rFonts w:cs="Times New Roman"/>
          <w:i w:val="0"/>
        </w:rPr>
        <w:t>nstructional resources incorporate instructional strategies to address the needs of students with disabilities in lessons, assessments, and teacher resources.</w:t>
      </w:r>
    </w:p>
    <w:p w:rsidR="00C81141" w:rsidRP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6B46FD">
        <w:rPr>
          <w:rFonts w:cs="Times New Roman"/>
          <w:i w:val="0"/>
        </w:rPr>
        <w:t>4</w:t>
      </w:r>
      <w:r>
        <w:rPr>
          <w:rFonts w:cs="Times New Roman"/>
          <w:i w:val="0"/>
        </w:rPr>
        <w:t xml:space="preserve">: </w:t>
      </w:r>
      <w:r w:rsidR="006B46FD">
        <w:rPr>
          <w:rFonts w:cs="Times New Roman"/>
          <w:i w:val="0"/>
        </w:rPr>
        <w:t>Grade 6, G6.Planet Earth.T.U2.L4 (click on Differentiating Instruction); Grade 7, G7.Ecosystems.T.U1.L1.</w:t>
      </w:r>
      <w:r w:rsidR="003C356D">
        <w:rPr>
          <w:rFonts w:cs="Times New Roman"/>
          <w:i w:val="0"/>
        </w:rPr>
        <w:t xml:space="preserve"> </w:t>
      </w:r>
      <w:r w:rsidR="006B46FD">
        <w:rPr>
          <w:rFonts w:cs="Times New Roman"/>
          <w:i w:val="0"/>
        </w:rPr>
        <w:t>Resources.Other Resources (click on “Literacy in Science”); Grade 8, G8.Waves.T.U1.Engineering Challenge: Preventing Coastal Erosion.CLG (</w:t>
      </w:r>
      <w:r w:rsidR="007723AD">
        <w:rPr>
          <w:rFonts w:cs="Times New Roman"/>
          <w:i w:val="0"/>
        </w:rPr>
        <w:t>Slide</w:t>
      </w:r>
      <w:r w:rsidR="006B46FD">
        <w:rPr>
          <w:rFonts w:cs="Times New Roman"/>
          <w:i w:val="0"/>
        </w:rPr>
        <w:t xml:space="preserve"> 12, click on “lesson support”); There is exemplary evidence in all grades of instructional resources that provided guidance to support students with special needs, including standard English learners, English learners, long term English learners, students living in poverty, foster youth, girls and young women, advanced learners, students with disabilities and students below grade level in science skills, three-dimensional learning, literacy skills, </w:t>
      </w:r>
      <w:r w:rsidR="009C5BD8">
        <w:rPr>
          <w:rFonts w:cs="Times New Roman"/>
          <w:i w:val="0"/>
        </w:rPr>
        <w:t>or mathematics skills.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00330B32">
        <w:rPr>
          <w:rFonts w:cs="Calibri"/>
          <w:i w:val="0"/>
          <w:color w:val="000000"/>
        </w:rPr>
        <w:t xml:space="preserve"> provide</w:t>
      </w:r>
      <w:r w:rsidR="00330B32">
        <w:rPr>
          <w:rFonts w:cs="Calibri"/>
          <w:color w:val="000000"/>
        </w:rPr>
        <w:t xml:space="preserve"> </w:t>
      </w:r>
      <w:r w:rsidRPr="00BB68B1">
        <w:rPr>
          <w:rFonts w:cs="Calibri"/>
          <w:i w:val="0"/>
          <w:color w:val="000000"/>
        </w:rPr>
        <w:t>coherent guidelines for teachers to follow when planning three-dimensional instruction and</w:t>
      </w:r>
      <w:r w:rsidR="00330B32">
        <w:rPr>
          <w:rFonts w:cs="Calibri"/>
          <w:i w:val="0"/>
          <w:color w:val="000000"/>
        </w:rPr>
        <w:t xml:space="preserve"> 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Pr="00EA3159" w:rsidRDefault="00EA3159" w:rsidP="00DA77F1">
      <w:pPr>
        <w:pStyle w:val="Header"/>
        <w:numPr>
          <w:ilvl w:val="0"/>
          <w:numId w:val="10"/>
        </w:numPr>
        <w:tabs>
          <w:tab w:val="clear" w:pos="4320"/>
          <w:tab w:val="clear" w:pos="8640"/>
        </w:tabs>
        <w:spacing w:after="240"/>
        <w:rPr>
          <w:rFonts w:cs="Times New Roman"/>
          <w:i w:val="0"/>
        </w:rPr>
      </w:pPr>
      <w:r w:rsidRPr="00EA3159">
        <w:rPr>
          <w:rFonts w:cs="Times New Roman"/>
          <w:i w:val="0"/>
        </w:rPr>
        <w:t>Criterion #5</w:t>
      </w:r>
      <w:r w:rsidR="003F5D42" w:rsidRPr="00EA3159">
        <w:rPr>
          <w:rFonts w:cs="Times New Roman"/>
          <w:i w:val="0"/>
        </w:rPr>
        <w:t xml:space="preserve">: </w:t>
      </w:r>
      <w:r w:rsidRPr="00EA3159">
        <w:rPr>
          <w:rFonts w:cs="Times New Roman"/>
          <w:i w:val="0"/>
        </w:rPr>
        <w:t>Grade 6, G6.Planet Earth.T.U1 Anchoring Phenomenon.CLG (click on Unit Progressions, “this document”); Grade 7, G7.Ecosystems.T.U3 Anchoring</w:t>
      </w:r>
      <w:r>
        <w:rPr>
          <w:rFonts w:cs="Times New Roman"/>
          <w:i w:val="0"/>
        </w:rPr>
        <w:t xml:space="preserve"> Phenomenon.CLG (click on Unit </w:t>
      </w:r>
      <w:r>
        <w:rPr>
          <w:rFonts w:cs="Times New Roman"/>
          <w:i w:val="0"/>
        </w:rPr>
        <w:lastRenderedPageBreak/>
        <w:t>Progressions, “this document”); Grade 8, G8.Waves.T.U1 Anchoring Phenomenon.CLG (click on Unit Progressions, “this document”)</w:t>
      </w:r>
      <w:r w:rsidR="003C356D">
        <w:rPr>
          <w:rFonts w:cs="Times New Roman"/>
          <w:i w:val="0"/>
        </w:rPr>
        <w:t>. Teacher resources in grades 6-8, provide background knowledge about the SEPs, DCIs, and CCCs and discuss the desired level of SEPs in which students engage.</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EA3159">
        <w:rPr>
          <w:rFonts w:cs="Times New Roman"/>
          <w:i w:val="0"/>
        </w:rPr>
        <w:t>10</w:t>
      </w:r>
      <w:r>
        <w:rPr>
          <w:rFonts w:cs="Times New Roman"/>
          <w:i w:val="0"/>
        </w:rPr>
        <w:t xml:space="preserve">: </w:t>
      </w:r>
      <w:r w:rsidR="00EA3159">
        <w:rPr>
          <w:rFonts w:cs="Times New Roman"/>
          <w:i w:val="0"/>
        </w:rPr>
        <w:t>Grade 6, G6.Planet Earth.S.U2.L5.Observing Phenomena (ISN); Grade 7, G7.</w:t>
      </w:r>
      <w:r w:rsidR="00EA3159" w:rsidRPr="001A19A4">
        <w:rPr>
          <w:rFonts w:cs="Times New Roman"/>
          <w:i w:val="0"/>
        </w:rPr>
        <w:t>Adaptations.T.</w:t>
      </w:r>
      <w:r w:rsidR="001A19A4" w:rsidRPr="001A19A4">
        <w:rPr>
          <w:rFonts w:cs="Times New Roman"/>
          <w:i w:val="0"/>
        </w:rPr>
        <w:t>U1.</w:t>
      </w:r>
      <w:r w:rsidR="00EA3159" w:rsidRPr="001A19A4">
        <w:rPr>
          <w:rFonts w:cs="Times New Roman"/>
          <w:i w:val="0"/>
        </w:rPr>
        <w:t>Anchoring Phenomenon.CLG (</w:t>
      </w:r>
      <w:r w:rsidR="007723AD">
        <w:rPr>
          <w:rFonts w:cs="Times New Roman"/>
          <w:i w:val="0"/>
        </w:rPr>
        <w:t>Slide</w:t>
      </w:r>
      <w:r w:rsidR="00EA3159" w:rsidRPr="001A19A4">
        <w:rPr>
          <w:rFonts w:cs="Times New Roman"/>
          <w:i w:val="0"/>
        </w:rPr>
        <w:t xml:space="preserve"> 2, click on video)</w:t>
      </w:r>
      <w:r w:rsidR="001A505A">
        <w:rPr>
          <w:rFonts w:cs="Times New Roman"/>
          <w:i w:val="0"/>
        </w:rPr>
        <w:t>.</w:t>
      </w:r>
      <w:r w:rsidR="00EA3159" w:rsidRPr="001A19A4">
        <w:rPr>
          <w:rFonts w:cs="Times New Roman"/>
          <w:i w:val="0"/>
        </w:rPr>
        <w:t xml:space="preserve"> Grade 8, G8.Waves.T.</w:t>
      </w:r>
      <w:r w:rsidR="001A19A4" w:rsidRPr="001A19A4">
        <w:rPr>
          <w:rFonts w:cs="Times New Roman"/>
          <w:i w:val="0"/>
        </w:rPr>
        <w:t>U1.</w:t>
      </w:r>
      <w:r w:rsidR="00EA3159" w:rsidRPr="001A19A4">
        <w:rPr>
          <w:rFonts w:cs="Times New Roman"/>
          <w:i w:val="0"/>
        </w:rPr>
        <w:t>Anchoring Phenomenon</w:t>
      </w:r>
      <w:r w:rsidR="00EA3159">
        <w:rPr>
          <w:rFonts w:cs="Times New Roman"/>
          <w:i w:val="0"/>
        </w:rPr>
        <w:t>.CL</w:t>
      </w:r>
      <w:r w:rsidR="001A19A4">
        <w:rPr>
          <w:rFonts w:cs="Times New Roman"/>
          <w:i w:val="0"/>
        </w:rPr>
        <w:t>G</w:t>
      </w:r>
      <w:r w:rsidR="00EA3159">
        <w:rPr>
          <w:rFonts w:cs="Times New Roman"/>
          <w:i w:val="0"/>
        </w:rPr>
        <w:t xml:space="preserve"> (</w:t>
      </w:r>
      <w:r w:rsidR="007723AD">
        <w:rPr>
          <w:rFonts w:cs="Times New Roman"/>
          <w:i w:val="0"/>
        </w:rPr>
        <w:t>Slide 2, click on video).</w:t>
      </w:r>
      <w:r w:rsidR="00EA3159">
        <w:rPr>
          <w:rFonts w:cs="Times New Roman"/>
          <w:i w:val="0"/>
        </w:rPr>
        <w:t xml:space="preserve"> We found evidence in all grade levels where student resources provided experiences that introduced phenomenon.</w:t>
      </w:r>
    </w:p>
    <w:p w:rsid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1A19A4">
        <w:rPr>
          <w:rFonts w:cs="Times New Roman"/>
          <w:i w:val="0"/>
        </w:rPr>
        <w:t>12</w:t>
      </w:r>
      <w:r>
        <w:rPr>
          <w:rFonts w:cs="Times New Roman"/>
          <w:i w:val="0"/>
        </w:rPr>
        <w:t xml:space="preserve">: </w:t>
      </w:r>
      <w:r w:rsidR="001A19A4">
        <w:rPr>
          <w:rFonts w:cs="Times New Roman"/>
          <w:i w:val="0"/>
        </w:rPr>
        <w:t>Grade 6, G6.Space.T.U1.L2.Materials; Grade 7, G7.Adaptions.T.U1.L1.Materials; Grade 8, G8.Waves.T.U2.L5.Materials (For each citation, also click on Program Safety, Science and Engineering Safety document)</w:t>
      </w:r>
      <w:r w:rsidR="001A505A">
        <w:rPr>
          <w:rFonts w:cs="Times New Roman"/>
          <w:i w:val="0"/>
        </w:rPr>
        <w:t>.</w:t>
      </w:r>
      <w:r w:rsidR="001A19A4">
        <w:rPr>
          <w:rFonts w:cs="Times New Roman"/>
          <w:i w:val="0"/>
        </w:rPr>
        <w:t xml:space="preserve"> These are examples of lists of consumable and non-consumable equipment and materials required for each lesson along with safety issues aligned with the Science Safety Handbook for CA Public Schools.</w:t>
      </w:r>
    </w:p>
    <w:p w:rsidR="00381576" w:rsidRPr="003F5D42" w:rsidRDefault="003F5D42" w:rsidP="00DA77F1">
      <w:pPr>
        <w:pStyle w:val="Header"/>
        <w:numPr>
          <w:ilvl w:val="0"/>
          <w:numId w:val="10"/>
        </w:numPr>
        <w:tabs>
          <w:tab w:val="clear" w:pos="4320"/>
          <w:tab w:val="clear" w:pos="8640"/>
        </w:tabs>
        <w:spacing w:after="240"/>
        <w:rPr>
          <w:rFonts w:cs="Times New Roman"/>
          <w:i w:val="0"/>
        </w:rPr>
      </w:pPr>
      <w:r>
        <w:rPr>
          <w:rFonts w:cs="Times New Roman"/>
          <w:i w:val="0"/>
        </w:rPr>
        <w:t>Criterion #</w:t>
      </w:r>
      <w:r w:rsidR="001A19A4">
        <w:rPr>
          <w:rFonts w:cs="Times New Roman"/>
          <w:i w:val="0"/>
        </w:rPr>
        <w:t>14</w:t>
      </w:r>
      <w:r>
        <w:rPr>
          <w:rFonts w:cs="Times New Roman"/>
          <w:i w:val="0"/>
        </w:rPr>
        <w:t xml:space="preserve">: </w:t>
      </w:r>
      <w:r w:rsidR="001A19A4">
        <w:rPr>
          <w:rFonts w:cs="Times New Roman"/>
          <w:i w:val="0"/>
        </w:rPr>
        <w:t xml:space="preserve">Grade 6, G6.Space.T.U2.L5.CLG (click on Differentiating Instruction); Grade 7, G7.Cells and Genetics.T.U4.L8.Assessments (customize assessments); Grade 8, G8.Waves.T.U2.L6.CLG (all </w:t>
      </w:r>
      <w:r w:rsidR="007723AD">
        <w:rPr>
          <w:rFonts w:cs="Times New Roman"/>
          <w:i w:val="0"/>
        </w:rPr>
        <w:t>Slide</w:t>
      </w:r>
      <w:r w:rsidR="001A19A4">
        <w:rPr>
          <w:rFonts w:cs="Times New Roman"/>
          <w:i w:val="0"/>
        </w:rPr>
        <w:t>s)</w:t>
      </w:r>
      <w:r w:rsidR="001A505A">
        <w:rPr>
          <w:rFonts w:cs="Times New Roman"/>
          <w:i w:val="0"/>
        </w:rPr>
        <w:t>.</w:t>
      </w:r>
      <w:r w:rsidR="001A19A4">
        <w:rPr>
          <w:rFonts w:cs="Times New Roman"/>
          <w:i w:val="0"/>
        </w:rPr>
        <w:t xml:space="preserve"> </w:t>
      </w:r>
      <w:r w:rsidR="001A505A">
        <w:rPr>
          <w:rFonts w:cs="Times New Roman"/>
          <w:i w:val="0"/>
        </w:rPr>
        <w:t>E</w:t>
      </w:r>
      <w:r w:rsidR="001A19A4">
        <w:rPr>
          <w:rFonts w:cs="Times New Roman"/>
          <w:i w:val="0"/>
        </w:rPr>
        <w:t>lectronic learning resources support instruction that is connected explicitly to the CA NGSS, have a well-designed use interface, provide technical support</w:t>
      </w:r>
      <w:r w:rsidR="001A505A">
        <w:rPr>
          <w:rFonts w:cs="Times New Roman"/>
          <w:i w:val="0"/>
        </w:rPr>
        <w:t>,</w:t>
      </w:r>
      <w:r w:rsidR="001A19A4">
        <w:rPr>
          <w:rFonts w:cs="Times New Roman"/>
          <w:i w:val="0"/>
        </w:rPr>
        <w:t xml:space="preserve"> and include suggestions.</w:t>
      </w:r>
      <w:bookmarkStart w:id="0" w:name="_GoBack"/>
      <w:bookmarkEnd w:id="0"/>
    </w:p>
    <w:p w:rsidR="003151F6" w:rsidRPr="0018022C" w:rsidRDefault="003151F6" w:rsidP="00C942C4">
      <w:pPr>
        <w:pStyle w:val="Heading2"/>
      </w:pPr>
      <w:r w:rsidRPr="0018022C">
        <w:t>Edits and Corrections:</w:t>
      </w:r>
    </w:p>
    <w:p w:rsidR="0051114B" w:rsidRPr="00DA1000" w:rsidRDefault="009A00E7" w:rsidP="00DA1000">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365"/>
        <w:gridCol w:w="884"/>
        <w:gridCol w:w="1817"/>
        <w:gridCol w:w="1350"/>
        <w:gridCol w:w="1879"/>
        <w:gridCol w:w="2160"/>
        <w:gridCol w:w="1643"/>
      </w:tblGrid>
      <w:tr w:rsidR="00107626" w:rsidRPr="0018022C" w:rsidTr="00CF77CA">
        <w:trPr>
          <w:cantSplit/>
          <w:tblHeader/>
        </w:trPr>
        <w:tc>
          <w:tcPr>
            <w:tcW w:w="365" w:type="dxa"/>
          </w:tcPr>
          <w:p w:rsidR="009C3692" w:rsidRPr="0018022C" w:rsidRDefault="009C3692" w:rsidP="0018022C">
            <w:pPr>
              <w:pStyle w:val="Header"/>
              <w:jc w:val="center"/>
              <w:rPr>
                <w:rFonts w:cs="Times New Roman"/>
                <w:i w:val="0"/>
                <w:iCs w:val="0"/>
              </w:rPr>
            </w:pPr>
            <w:r w:rsidRPr="0018022C">
              <w:rPr>
                <w:rFonts w:cs="Times New Roman"/>
                <w:i w:val="0"/>
                <w:iCs w:val="0"/>
              </w:rPr>
              <w:t>#</w:t>
            </w:r>
          </w:p>
        </w:tc>
        <w:tc>
          <w:tcPr>
            <w:tcW w:w="884"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817"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879"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2160"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643"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107626" w:rsidRPr="0018022C" w:rsidTr="00CF77CA">
        <w:trPr>
          <w:cantSplit/>
        </w:trPr>
        <w:tc>
          <w:tcPr>
            <w:tcW w:w="365"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84" w:type="dxa"/>
          </w:tcPr>
          <w:p w:rsidR="009C3692" w:rsidRPr="0018022C" w:rsidRDefault="00107626" w:rsidP="00DB67E5">
            <w:pPr>
              <w:pStyle w:val="Header"/>
              <w:rPr>
                <w:rFonts w:cs="Times New Roman"/>
                <w:i w:val="0"/>
                <w:iCs w:val="0"/>
              </w:rPr>
            </w:pPr>
            <w:r>
              <w:rPr>
                <w:rFonts w:cs="Times New Roman"/>
                <w:i w:val="0"/>
                <w:iCs w:val="0"/>
              </w:rPr>
              <w:t>8</w:t>
            </w:r>
          </w:p>
        </w:tc>
        <w:tc>
          <w:tcPr>
            <w:tcW w:w="1817" w:type="dxa"/>
          </w:tcPr>
          <w:p w:rsidR="009C3692" w:rsidRPr="0018022C" w:rsidRDefault="00107626" w:rsidP="00DB67E5">
            <w:pPr>
              <w:pStyle w:val="Header"/>
              <w:rPr>
                <w:rFonts w:cs="Times New Roman"/>
                <w:i w:val="0"/>
                <w:iCs w:val="0"/>
              </w:rPr>
            </w:pPr>
            <w:r>
              <w:rPr>
                <w:rFonts w:cs="Times New Roman"/>
                <w:i w:val="0"/>
                <w:iCs w:val="0"/>
              </w:rPr>
              <w:t>Forces&amp;</w:t>
            </w:r>
            <w:r w:rsidR="0051114B">
              <w:rPr>
                <w:rFonts w:cs="Times New Roman"/>
                <w:i w:val="0"/>
                <w:iCs w:val="0"/>
              </w:rPr>
              <w:t xml:space="preserve"> </w:t>
            </w:r>
            <w:r>
              <w:rPr>
                <w:rFonts w:cs="Times New Roman"/>
                <w:i w:val="0"/>
                <w:iCs w:val="0"/>
              </w:rPr>
              <w:t>Energy.T.U1.</w:t>
            </w:r>
            <w:r w:rsidR="007B0DA3">
              <w:rPr>
                <w:rFonts w:cs="Times New Roman"/>
                <w:i w:val="0"/>
                <w:iCs w:val="0"/>
              </w:rPr>
              <w:t xml:space="preserve"> </w:t>
            </w:r>
            <w:r>
              <w:rPr>
                <w:rFonts w:cs="Times New Roman"/>
                <w:i w:val="0"/>
                <w:iCs w:val="0"/>
              </w:rPr>
              <w:t>L3.LG</w:t>
            </w:r>
          </w:p>
        </w:tc>
        <w:tc>
          <w:tcPr>
            <w:tcW w:w="1350" w:type="dxa"/>
          </w:tcPr>
          <w:p w:rsidR="009C3692" w:rsidRPr="0018022C" w:rsidRDefault="007723AD" w:rsidP="00DB67E5">
            <w:pPr>
              <w:pStyle w:val="Header"/>
              <w:rPr>
                <w:rFonts w:cs="Times New Roman"/>
                <w:i w:val="0"/>
                <w:iCs w:val="0"/>
              </w:rPr>
            </w:pPr>
            <w:r>
              <w:rPr>
                <w:rFonts w:cs="Times New Roman"/>
                <w:i w:val="0"/>
                <w:iCs w:val="0"/>
              </w:rPr>
              <w:t>Slide</w:t>
            </w:r>
            <w:r w:rsidR="00107626">
              <w:rPr>
                <w:rFonts w:cs="Times New Roman"/>
                <w:i w:val="0"/>
                <w:iCs w:val="0"/>
              </w:rPr>
              <w:t xml:space="preserve"> 2</w:t>
            </w:r>
          </w:p>
        </w:tc>
        <w:tc>
          <w:tcPr>
            <w:tcW w:w="1879" w:type="dxa"/>
          </w:tcPr>
          <w:p w:rsidR="009C3692" w:rsidRPr="0018022C" w:rsidRDefault="00107626" w:rsidP="00107626">
            <w:pPr>
              <w:pStyle w:val="Header"/>
              <w:rPr>
                <w:rFonts w:cs="Times New Roman"/>
                <w:i w:val="0"/>
                <w:iCs w:val="0"/>
              </w:rPr>
            </w:pPr>
            <w:r>
              <w:rPr>
                <w:rFonts w:cs="Times New Roman"/>
                <w:i w:val="0"/>
                <w:iCs w:val="0"/>
              </w:rPr>
              <w:t xml:space="preserve">Play a game, then plan an </w:t>
            </w:r>
            <w:r w:rsidR="00237497">
              <w:rPr>
                <w:rFonts w:cs="Times New Roman"/>
                <w:i w:val="0"/>
                <w:iCs w:val="0"/>
              </w:rPr>
              <w:t>inve</w:t>
            </w:r>
            <w:r w:rsidR="007658BF">
              <w:rPr>
                <w:rFonts w:cs="Times New Roman"/>
                <w:i w:val="0"/>
                <w:iCs w:val="0"/>
              </w:rPr>
              <w:t>tigation</w:t>
            </w:r>
            <w:r>
              <w:rPr>
                <w:rFonts w:cs="Times New Roman"/>
                <w:i w:val="0"/>
                <w:iCs w:val="0"/>
              </w:rPr>
              <w:t>…</w:t>
            </w:r>
          </w:p>
        </w:tc>
        <w:tc>
          <w:tcPr>
            <w:tcW w:w="2160" w:type="dxa"/>
          </w:tcPr>
          <w:p w:rsidR="009C3692" w:rsidRPr="0018022C" w:rsidRDefault="00107626" w:rsidP="00DB67E5">
            <w:pPr>
              <w:pStyle w:val="Header"/>
              <w:rPr>
                <w:rFonts w:cs="Times New Roman"/>
                <w:i w:val="0"/>
                <w:iCs w:val="0"/>
              </w:rPr>
            </w:pPr>
            <w:r>
              <w:rPr>
                <w:rFonts w:cs="Times New Roman"/>
                <w:i w:val="0"/>
                <w:iCs w:val="0"/>
              </w:rPr>
              <w:t>Play a game, then plan an investigation…</w:t>
            </w:r>
          </w:p>
        </w:tc>
        <w:tc>
          <w:tcPr>
            <w:tcW w:w="1643" w:type="dxa"/>
          </w:tcPr>
          <w:p w:rsidR="009C3692" w:rsidRPr="0018022C" w:rsidRDefault="00107626" w:rsidP="00DB67E5">
            <w:pPr>
              <w:pStyle w:val="Header"/>
              <w:rPr>
                <w:rFonts w:cs="Times New Roman"/>
                <w:i w:val="0"/>
                <w:iCs w:val="0"/>
              </w:rPr>
            </w:pPr>
            <w:r>
              <w:rPr>
                <w:rFonts w:cs="Times New Roman"/>
                <w:i w:val="0"/>
                <w:iCs w:val="0"/>
              </w:rPr>
              <w:t>Misspelling</w:t>
            </w:r>
          </w:p>
        </w:tc>
      </w:tr>
      <w:tr w:rsidR="00107626" w:rsidRPr="0018022C" w:rsidTr="007B0DA3">
        <w:tc>
          <w:tcPr>
            <w:tcW w:w="365" w:type="dxa"/>
          </w:tcPr>
          <w:p w:rsidR="009C3692" w:rsidRPr="0018022C" w:rsidRDefault="00F426B4" w:rsidP="00DB67E5">
            <w:pPr>
              <w:pStyle w:val="Header"/>
              <w:rPr>
                <w:rFonts w:cs="Times New Roman"/>
                <w:i w:val="0"/>
                <w:iCs w:val="0"/>
              </w:rPr>
            </w:pPr>
            <w:r>
              <w:rPr>
                <w:rFonts w:cs="Times New Roman"/>
                <w:i w:val="0"/>
                <w:iCs w:val="0"/>
              </w:rPr>
              <w:t>2</w:t>
            </w:r>
          </w:p>
        </w:tc>
        <w:tc>
          <w:tcPr>
            <w:tcW w:w="884" w:type="dxa"/>
          </w:tcPr>
          <w:p w:rsidR="009C3692" w:rsidRPr="0018022C" w:rsidRDefault="00F426B4" w:rsidP="00DB67E5">
            <w:pPr>
              <w:pStyle w:val="Header"/>
              <w:rPr>
                <w:rFonts w:cs="Times New Roman"/>
                <w:i w:val="0"/>
                <w:iCs w:val="0"/>
              </w:rPr>
            </w:pPr>
            <w:r>
              <w:rPr>
                <w:rFonts w:cs="Times New Roman"/>
                <w:i w:val="0"/>
                <w:iCs w:val="0"/>
              </w:rPr>
              <w:t>8</w:t>
            </w:r>
          </w:p>
        </w:tc>
        <w:tc>
          <w:tcPr>
            <w:tcW w:w="1817" w:type="dxa"/>
          </w:tcPr>
          <w:p w:rsidR="009C3692" w:rsidRPr="0018022C" w:rsidRDefault="00F426B4" w:rsidP="00DB67E5">
            <w:pPr>
              <w:pStyle w:val="Header"/>
              <w:rPr>
                <w:rFonts w:cs="Times New Roman"/>
                <w:i w:val="0"/>
                <w:iCs w:val="0"/>
              </w:rPr>
            </w:pPr>
            <w:r>
              <w:rPr>
                <w:rFonts w:cs="Times New Roman"/>
                <w:i w:val="0"/>
                <w:iCs w:val="0"/>
              </w:rPr>
              <w:t>Matter.T</w:t>
            </w:r>
            <w:r w:rsidR="00CE4CF9">
              <w:rPr>
                <w:rFonts w:cs="Times New Roman"/>
                <w:i w:val="0"/>
                <w:iCs w:val="0"/>
              </w:rPr>
              <w:t>.</w:t>
            </w:r>
            <w:r w:rsidR="009441D5">
              <w:rPr>
                <w:rFonts w:cs="Times New Roman"/>
                <w:i w:val="0"/>
                <w:iCs w:val="0"/>
              </w:rPr>
              <w:t>U2.L5</w:t>
            </w:r>
          </w:p>
        </w:tc>
        <w:tc>
          <w:tcPr>
            <w:tcW w:w="1350" w:type="dxa"/>
          </w:tcPr>
          <w:p w:rsidR="009C3692" w:rsidRPr="0018022C" w:rsidRDefault="00F426B4" w:rsidP="00CE4CF9">
            <w:pPr>
              <w:pStyle w:val="Header"/>
              <w:rPr>
                <w:rFonts w:cs="Times New Roman"/>
                <w:i w:val="0"/>
                <w:iCs w:val="0"/>
              </w:rPr>
            </w:pPr>
            <w:r>
              <w:rPr>
                <w:rFonts w:cs="Times New Roman"/>
                <w:i w:val="0"/>
                <w:iCs w:val="0"/>
              </w:rPr>
              <w:t>Handout D</w:t>
            </w:r>
          </w:p>
        </w:tc>
        <w:tc>
          <w:tcPr>
            <w:tcW w:w="1879" w:type="dxa"/>
          </w:tcPr>
          <w:p w:rsidR="00CE4CF9" w:rsidRDefault="00CE4CF9" w:rsidP="00DB67E5">
            <w:pPr>
              <w:pStyle w:val="Header"/>
              <w:rPr>
                <w:rFonts w:cs="Times New Roman"/>
                <w:i w:val="0"/>
                <w:iCs w:val="0"/>
              </w:rPr>
            </w:pPr>
            <w:r>
              <w:rPr>
                <w:rFonts w:cs="Times New Roman"/>
                <w:i w:val="0"/>
                <w:iCs w:val="0"/>
              </w:rPr>
              <w:t>Station D: Depositing Materials</w:t>
            </w:r>
          </w:p>
          <w:p w:rsidR="009C3692" w:rsidRPr="0018022C" w:rsidRDefault="00F426B4" w:rsidP="00A86A98">
            <w:pPr>
              <w:pStyle w:val="Header"/>
              <w:rPr>
                <w:rFonts w:cs="Times New Roman"/>
                <w:i w:val="0"/>
                <w:iCs w:val="0"/>
              </w:rPr>
            </w:pPr>
            <w:r>
              <w:rPr>
                <w:rFonts w:cs="Times New Roman"/>
                <w:i w:val="0"/>
                <w:iCs w:val="0"/>
              </w:rPr>
              <w:t>Salt, 40g</w:t>
            </w:r>
          </w:p>
        </w:tc>
        <w:tc>
          <w:tcPr>
            <w:tcW w:w="2160" w:type="dxa"/>
          </w:tcPr>
          <w:p w:rsidR="009C3692" w:rsidRPr="0018022C" w:rsidRDefault="00B17397" w:rsidP="00DB67E5">
            <w:pPr>
              <w:pStyle w:val="Header"/>
              <w:rPr>
                <w:rFonts w:cs="Times New Roman"/>
                <w:i w:val="0"/>
                <w:iCs w:val="0"/>
              </w:rPr>
            </w:pPr>
            <w:r>
              <w:rPr>
                <w:rFonts w:cs="Times New Roman"/>
                <w:i w:val="0"/>
                <w:iCs w:val="0"/>
              </w:rPr>
              <w:t>S</w:t>
            </w:r>
            <w:r w:rsidR="00F426B4">
              <w:rPr>
                <w:rFonts w:cs="Times New Roman"/>
                <w:i w:val="0"/>
                <w:iCs w:val="0"/>
              </w:rPr>
              <w:t>alt, 50g</w:t>
            </w:r>
          </w:p>
        </w:tc>
        <w:tc>
          <w:tcPr>
            <w:tcW w:w="1643" w:type="dxa"/>
          </w:tcPr>
          <w:p w:rsidR="009C3692" w:rsidRPr="0018022C" w:rsidRDefault="00C71689" w:rsidP="00DB67E5">
            <w:pPr>
              <w:pStyle w:val="Header"/>
              <w:rPr>
                <w:rFonts w:cs="Times New Roman"/>
                <w:i w:val="0"/>
                <w:iCs w:val="0"/>
              </w:rPr>
            </w:pPr>
            <w:r>
              <w:rPr>
                <w:rFonts w:cs="Times New Roman"/>
                <w:i w:val="0"/>
                <w:iCs w:val="0"/>
              </w:rPr>
              <w:t>In the procedure, I…add 50g of salt</w:t>
            </w:r>
          </w:p>
        </w:tc>
      </w:tr>
      <w:tr w:rsidR="00F426B4" w:rsidRPr="0018022C" w:rsidTr="007B0DA3">
        <w:tc>
          <w:tcPr>
            <w:tcW w:w="365" w:type="dxa"/>
          </w:tcPr>
          <w:p w:rsidR="00F426B4" w:rsidRDefault="00F426B4" w:rsidP="00DB67E5">
            <w:pPr>
              <w:pStyle w:val="Header"/>
              <w:rPr>
                <w:rFonts w:cs="Times New Roman"/>
                <w:i w:val="0"/>
                <w:iCs w:val="0"/>
              </w:rPr>
            </w:pPr>
            <w:r>
              <w:rPr>
                <w:rFonts w:cs="Times New Roman"/>
                <w:i w:val="0"/>
                <w:iCs w:val="0"/>
              </w:rPr>
              <w:t>3</w:t>
            </w:r>
          </w:p>
        </w:tc>
        <w:tc>
          <w:tcPr>
            <w:tcW w:w="884" w:type="dxa"/>
          </w:tcPr>
          <w:p w:rsidR="00F426B4" w:rsidRDefault="001B323E" w:rsidP="00DB67E5">
            <w:pPr>
              <w:pStyle w:val="Header"/>
              <w:rPr>
                <w:rFonts w:cs="Times New Roman"/>
                <w:i w:val="0"/>
                <w:iCs w:val="0"/>
              </w:rPr>
            </w:pPr>
            <w:r>
              <w:rPr>
                <w:rFonts w:cs="Times New Roman"/>
                <w:i w:val="0"/>
                <w:iCs w:val="0"/>
              </w:rPr>
              <w:t>8</w:t>
            </w:r>
          </w:p>
        </w:tc>
        <w:tc>
          <w:tcPr>
            <w:tcW w:w="1817" w:type="dxa"/>
          </w:tcPr>
          <w:p w:rsidR="00F426B4" w:rsidRDefault="001B323E" w:rsidP="00DB67E5">
            <w:pPr>
              <w:pStyle w:val="Header"/>
              <w:rPr>
                <w:rFonts w:cs="Times New Roman"/>
                <w:i w:val="0"/>
                <w:iCs w:val="0"/>
              </w:rPr>
            </w:pPr>
            <w:r>
              <w:rPr>
                <w:rFonts w:cs="Times New Roman"/>
                <w:i w:val="0"/>
                <w:iCs w:val="0"/>
              </w:rPr>
              <w:t>Matter.T</w:t>
            </w:r>
            <w:r w:rsidR="009441D5">
              <w:rPr>
                <w:rFonts w:cs="Times New Roman"/>
                <w:i w:val="0"/>
                <w:iCs w:val="0"/>
              </w:rPr>
              <w:t>.U3.</w:t>
            </w:r>
            <w:r w:rsidR="007B0DA3">
              <w:rPr>
                <w:rFonts w:cs="Times New Roman"/>
                <w:i w:val="0"/>
                <w:iCs w:val="0"/>
              </w:rPr>
              <w:t xml:space="preserve"> </w:t>
            </w:r>
            <w:r w:rsidR="009441D5">
              <w:rPr>
                <w:rFonts w:cs="Times New Roman"/>
                <w:i w:val="0"/>
                <w:iCs w:val="0"/>
              </w:rPr>
              <w:t>EC.LG</w:t>
            </w:r>
          </w:p>
        </w:tc>
        <w:tc>
          <w:tcPr>
            <w:tcW w:w="1350" w:type="dxa"/>
          </w:tcPr>
          <w:p w:rsidR="00F426B4" w:rsidRDefault="007723AD" w:rsidP="00DB67E5">
            <w:pPr>
              <w:pStyle w:val="Header"/>
              <w:rPr>
                <w:rFonts w:cs="Times New Roman"/>
                <w:i w:val="0"/>
                <w:iCs w:val="0"/>
              </w:rPr>
            </w:pPr>
            <w:r>
              <w:rPr>
                <w:rFonts w:cs="Times New Roman"/>
                <w:i w:val="0"/>
                <w:iCs w:val="0"/>
              </w:rPr>
              <w:t>Slide</w:t>
            </w:r>
            <w:r w:rsidR="001B323E">
              <w:rPr>
                <w:rFonts w:cs="Times New Roman"/>
                <w:i w:val="0"/>
                <w:iCs w:val="0"/>
              </w:rPr>
              <w:t xml:space="preserve"> 12</w:t>
            </w:r>
          </w:p>
        </w:tc>
        <w:tc>
          <w:tcPr>
            <w:tcW w:w="1879" w:type="dxa"/>
          </w:tcPr>
          <w:p w:rsidR="00F426B4" w:rsidRDefault="00B17397" w:rsidP="00DB67E5">
            <w:pPr>
              <w:pStyle w:val="Header"/>
              <w:rPr>
                <w:rFonts w:cs="Times New Roman"/>
                <w:i w:val="0"/>
                <w:iCs w:val="0"/>
              </w:rPr>
            </w:pPr>
            <w:r>
              <w:rPr>
                <w:rFonts w:cs="Times New Roman"/>
                <w:i w:val="0"/>
                <w:iCs w:val="0"/>
              </w:rPr>
              <w:t>Record data: M</w:t>
            </w:r>
            <w:r w:rsidR="001B323E">
              <w:rPr>
                <w:rFonts w:cs="Times New Roman"/>
                <w:i w:val="0"/>
                <w:iCs w:val="0"/>
              </w:rPr>
              <w:t>ass of CaCl used</w:t>
            </w:r>
          </w:p>
        </w:tc>
        <w:tc>
          <w:tcPr>
            <w:tcW w:w="2160" w:type="dxa"/>
          </w:tcPr>
          <w:p w:rsidR="00F426B4" w:rsidRDefault="00B17397" w:rsidP="00DB67E5">
            <w:pPr>
              <w:pStyle w:val="Header"/>
              <w:rPr>
                <w:rFonts w:cs="Times New Roman"/>
                <w:i w:val="0"/>
                <w:iCs w:val="0"/>
              </w:rPr>
            </w:pPr>
            <w:r>
              <w:rPr>
                <w:rFonts w:cs="Times New Roman"/>
                <w:i w:val="0"/>
                <w:iCs w:val="0"/>
              </w:rPr>
              <w:t>Ma</w:t>
            </w:r>
            <w:r w:rsidR="001B323E">
              <w:rPr>
                <w:rFonts w:cs="Times New Roman"/>
                <w:i w:val="0"/>
                <w:iCs w:val="0"/>
              </w:rPr>
              <w:t>ss of CaCl</w:t>
            </w:r>
            <w:r w:rsidR="001B323E" w:rsidRPr="001B323E">
              <w:rPr>
                <w:rFonts w:cs="Times New Roman"/>
                <w:i w:val="0"/>
                <w:iCs w:val="0"/>
                <w:vertAlign w:val="subscript"/>
              </w:rPr>
              <w:t>2</w:t>
            </w:r>
            <w:r w:rsidR="001B323E">
              <w:rPr>
                <w:rFonts w:cs="Times New Roman"/>
                <w:i w:val="0"/>
                <w:iCs w:val="0"/>
              </w:rPr>
              <w:t xml:space="preserve"> used</w:t>
            </w:r>
          </w:p>
        </w:tc>
        <w:tc>
          <w:tcPr>
            <w:tcW w:w="1643" w:type="dxa"/>
          </w:tcPr>
          <w:p w:rsidR="00F426B4" w:rsidRPr="0018022C" w:rsidRDefault="001B323E" w:rsidP="00DB67E5">
            <w:pPr>
              <w:pStyle w:val="Header"/>
              <w:rPr>
                <w:rFonts w:cs="Times New Roman"/>
                <w:i w:val="0"/>
                <w:iCs w:val="0"/>
              </w:rPr>
            </w:pPr>
            <w:r>
              <w:rPr>
                <w:rFonts w:cs="Times New Roman"/>
                <w:i w:val="0"/>
                <w:iCs w:val="0"/>
              </w:rPr>
              <w:t>Calcium Chloride is CaCl</w:t>
            </w:r>
            <w:r w:rsidRPr="001B323E">
              <w:rPr>
                <w:rFonts w:cs="Times New Roman"/>
                <w:i w:val="0"/>
                <w:iCs w:val="0"/>
                <w:vertAlign w:val="subscript"/>
              </w:rPr>
              <w:t>2</w:t>
            </w:r>
          </w:p>
        </w:tc>
      </w:tr>
    </w:tbl>
    <w:p w:rsidR="00813F7D" w:rsidRPr="00330B32" w:rsidRDefault="003151F6" w:rsidP="00330B32">
      <w:pPr>
        <w:pStyle w:val="Heading2"/>
      </w:pPr>
      <w:r w:rsidRPr="0018022C">
        <w:t>Social Content</w:t>
      </w:r>
      <w:r w:rsidR="00E95FE0" w:rsidRPr="0018022C">
        <w:t xml:space="preserve"> Citations</w:t>
      </w:r>
      <w:r w:rsidRPr="0018022C">
        <w:t>:</w:t>
      </w:r>
    </w:p>
    <w:p w:rsidR="005F30F0" w:rsidRDefault="003151F6" w:rsidP="001B7D43">
      <w:pPr>
        <w:pStyle w:val="Header"/>
        <w:tabs>
          <w:tab w:val="clear" w:pos="4320"/>
          <w:tab w:val="clear" w:pos="8640"/>
        </w:tabs>
        <w:spacing w:after="240"/>
        <w:rPr>
          <w:rFonts w:cs="Times New Roman"/>
          <w:bCs/>
          <w:i w:val="0"/>
          <w:iCs w:val="0"/>
        </w:rPr>
      </w:pPr>
      <w:r w:rsidRPr="00BA4FC9">
        <w:rPr>
          <w:rFonts w:cs="Times New Roman"/>
          <w:bCs/>
          <w:i w:val="0"/>
          <w:iCs w:val="0"/>
        </w:rPr>
        <w:lastRenderedPageBreak/>
        <w:t xml:space="preserve">The panel </w:t>
      </w:r>
      <w:r w:rsidR="00DE6650">
        <w:rPr>
          <w:rFonts w:cs="Times New Roman"/>
          <w:bCs/>
          <w:i w:val="0"/>
          <w:iCs w:val="0"/>
        </w:rPr>
        <w:t>identified</w:t>
      </w:r>
      <w:r w:rsidR="001B7D43">
        <w:rPr>
          <w:rFonts w:cs="Times New Roman"/>
          <w:bCs/>
          <w:i w:val="0"/>
          <w:iCs w:val="0"/>
        </w:rPr>
        <w:t xml:space="preserve"> no</w:t>
      </w:r>
      <w:r>
        <w:rPr>
          <w:rFonts w:cs="Times New Roman"/>
          <w:bCs/>
          <w:i w:val="0"/>
          <w:iCs w:val="0"/>
        </w:rPr>
        <w:t xml:space="preserve"> social content violations</w:t>
      </w:r>
      <w:r w:rsidR="001B7D43">
        <w:rPr>
          <w:rFonts w:cs="Times New Roman"/>
          <w:bCs/>
          <w:i w:val="0"/>
          <w:iCs w:val="0"/>
        </w:rPr>
        <w:t>.</w:t>
      </w:r>
    </w:p>
    <w:p w:rsidR="00731C15" w:rsidRPr="001B7D43" w:rsidRDefault="00731C15" w:rsidP="001B7D43">
      <w:pPr>
        <w:pStyle w:val="Header"/>
        <w:tabs>
          <w:tab w:val="clear" w:pos="4320"/>
          <w:tab w:val="clear" w:pos="8640"/>
        </w:tabs>
        <w:spacing w:after="240"/>
        <w:rPr>
          <w:rFonts w:cs="Times New Roman"/>
          <w:bCs/>
          <w:i w:val="0"/>
          <w:iCs w:val="0"/>
        </w:rPr>
      </w:pPr>
      <w:r>
        <w:rPr>
          <w:rFonts w:cs="Times New Roman"/>
          <w:bCs/>
          <w:i w:val="0"/>
          <w:iCs w:val="0"/>
        </w:rPr>
        <w:t>California Department of Education, August 2018</w:t>
      </w:r>
    </w:p>
    <w:sectPr w:rsidR="00731C15" w:rsidRPr="001B7D43" w:rsidSect="001802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92C" w:rsidRDefault="0065292C">
      <w:r>
        <w:separator/>
      </w:r>
    </w:p>
  </w:endnote>
  <w:endnote w:type="continuationSeparator" w:id="0">
    <w:p w:rsidR="0065292C" w:rsidRDefault="0065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731C15">
      <w:rPr>
        <w:rStyle w:val="PageNumber"/>
        <w:i w:val="0"/>
        <w:noProof/>
      </w:rPr>
      <w:t>6</w:t>
    </w:r>
    <w:r w:rsidRPr="00206E1D">
      <w:rPr>
        <w:rStyle w:val="PageNumber"/>
        <w:i w:val="0"/>
      </w:rPr>
      <w:fldChar w:fldCharType="end"/>
    </w:r>
  </w:p>
  <w:p w:rsidR="00562FE7" w:rsidRDefault="00562FE7">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15" w:rsidRDefault="0073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92C" w:rsidRDefault="0065292C">
      <w:r>
        <w:separator/>
      </w:r>
    </w:p>
  </w:footnote>
  <w:footnote w:type="continuationSeparator" w:id="0">
    <w:p w:rsidR="0065292C" w:rsidRDefault="0065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15" w:rsidRDefault="00731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15" w:rsidRDefault="00731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15" w:rsidRDefault="00731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237CD"/>
    <w:multiLevelType w:val="hybridMultilevel"/>
    <w:tmpl w:val="C61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9"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5"/>
  </w:num>
  <w:num w:numId="4">
    <w:abstractNumId w:val="4"/>
  </w:num>
  <w:num w:numId="5">
    <w:abstractNumId w:val="20"/>
  </w:num>
  <w:num w:numId="6">
    <w:abstractNumId w:val="16"/>
  </w:num>
  <w:num w:numId="7">
    <w:abstractNumId w:val="15"/>
  </w:num>
  <w:num w:numId="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14"/>
  </w:num>
  <w:num w:numId="12">
    <w:abstractNumId w:val="17"/>
  </w:num>
  <w:num w:numId="13">
    <w:abstractNumId w:val="10"/>
  </w:num>
  <w:num w:numId="14">
    <w:abstractNumId w:val="1"/>
  </w:num>
  <w:num w:numId="15">
    <w:abstractNumId w:val="7"/>
  </w:num>
  <w:num w:numId="16">
    <w:abstractNumId w:val="11"/>
  </w:num>
  <w:num w:numId="17">
    <w:abstractNumId w:val="13"/>
  </w:num>
  <w:num w:numId="18">
    <w:abstractNumId w:val="3"/>
  </w:num>
  <w:num w:numId="19">
    <w:abstractNumId w:val="0"/>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60"/>
    <w:rsid w:val="00041838"/>
    <w:rsid w:val="00044010"/>
    <w:rsid w:val="00062CEB"/>
    <w:rsid w:val="000730F4"/>
    <w:rsid w:val="0008027C"/>
    <w:rsid w:val="000814E4"/>
    <w:rsid w:val="00091BF9"/>
    <w:rsid w:val="000929B9"/>
    <w:rsid w:val="000A7C6E"/>
    <w:rsid w:val="000D1CBC"/>
    <w:rsid w:val="000D3F69"/>
    <w:rsid w:val="000E5056"/>
    <w:rsid w:val="00101754"/>
    <w:rsid w:val="00107626"/>
    <w:rsid w:val="0013644C"/>
    <w:rsid w:val="00141C83"/>
    <w:rsid w:val="00150134"/>
    <w:rsid w:val="001618C6"/>
    <w:rsid w:val="00165C29"/>
    <w:rsid w:val="001719F3"/>
    <w:rsid w:val="0018022C"/>
    <w:rsid w:val="00187F5F"/>
    <w:rsid w:val="001919F4"/>
    <w:rsid w:val="001A19A4"/>
    <w:rsid w:val="001A505A"/>
    <w:rsid w:val="001B323E"/>
    <w:rsid w:val="001B7D43"/>
    <w:rsid w:val="001C4E95"/>
    <w:rsid w:val="001D0D92"/>
    <w:rsid w:val="001D2EBA"/>
    <w:rsid w:val="001D4887"/>
    <w:rsid w:val="001D5255"/>
    <w:rsid w:val="001E18D7"/>
    <w:rsid w:val="001E1C4D"/>
    <w:rsid w:val="001E6644"/>
    <w:rsid w:val="001F0ED7"/>
    <w:rsid w:val="00206E1D"/>
    <w:rsid w:val="0021332B"/>
    <w:rsid w:val="00214BFB"/>
    <w:rsid w:val="00223B60"/>
    <w:rsid w:val="00226248"/>
    <w:rsid w:val="00231367"/>
    <w:rsid w:val="00231C1B"/>
    <w:rsid w:val="00235F4F"/>
    <w:rsid w:val="00237497"/>
    <w:rsid w:val="002420CD"/>
    <w:rsid w:val="00284E7D"/>
    <w:rsid w:val="0028509B"/>
    <w:rsid w:val="00286B99"/>
    <w:rsid w:val="00291460"/>
    <w:rsid w:val="002A6380"/>
    <w:rsid w:val="002C6AED"/>
    <w:rsid w:val="002D7190"/>
    <w:rsid w:val="002E5EE6"/>
    <w:rsid w:val="002E6A48"/>
    <w:rsid w:val="003151F6"/>
    <w:rsid w:val="00330B32"/>
    <w:rsid w:val="003342F2"/>
    <w:rsid w:val="00346538"/>
    <w:rsid w:val="00381576"/>
    <w:rsid w:val="00384B67"/>
    <w:rsid w:val="00395F5B"/>
    <w:rsid w:val="003A0EEC"/>
    <w:rsid w:val="003B0138"/>
    <w:rsid w:val="003B2E53"/>
    <w:rsid w:val="003C356D"/>
    <w:rsid w:val="003D2F9B"/>
    <w:rsid w:val="003D754B"/>
    <w:rsid w:val="003F5D42"/>
    <w:rsid w:val="00402CD5"/>
    <w:rsid w:val="0040716F"/>
    <w:rsid w:val="00422D10"/>
    <w:rsid w:val="004300EE"/>
    <w:rsid w:val="00437E76"/>
    <w:rsid w:val="0044754B"/>
    <w:rsid w:val="00471A0E"/>
    <w:rsid w:val="0047672E"/>
    <w:rsid w:val="00486740"/>
    <w:rsid w:val="004961B0"/>
    <w:rsid w:val="004B5829"/>
    <w:rsid w:val="004C123C"/>
    <w:rsid w:val="004C761E"/>
    <w:rsid w:val="004D08EC"/>
    <w:rsid w:val="004F0D9A"/>
    <w:rsid w:val="004F6B4B"/>
    <w:rsid w:val="0051114B"/>
    <w:rsid w:val="00556D17"/>
    <w:rsid w:val="00557352"/>
    <w:rsid w:val="00562FE7"/>
    <w:rsid w:val="00571E40"/>
    <w:rsid w:val="00573DAB"/>
    <w:rsid w:val="00580AAC"/>
    <w:rsid w:val="005811D9"/>
    <w:rsid w:val="00586447"/>
    <w:rsid w:val="00587EA6"/>
    <w:rsid w:val="00591D21"/>
    <w:rsid w:val="005A0B54"/>
    <w:rsid w:val="005A1F7B"/>
    <w:rsid w:val="005A33EC"/>
    <w:rsid w:val="005B20EC"/>
    <w:rsid w:val="005C36EA"/>
    <w:rsid w:val="005E0803"/>
    <w:rsid w:val="005E19B5"/>
    <w:rsid w:val="005F30F0"/>
    <w:rsid w:val="00614411"/>
    <w:rsid w:val="0062773E"/>
    <w:rsid w:val="0064686A"/>
    <w:rsid w:val="00650A1F"/>
    <w:rsid w:val="00650C17"/>
    <w:rsid w:val="0065193D"/>
    <w:rsid w:val="0065292C"/>
    <w:rsid w:val="00655AD3"/>
    <w:rsid w:val="00662CCE"/>
    <w:rsid w:val="00675733"/>
    <w:rsid w:val="00685C95"/>
    <w:rsid w:val="00686202"/>
    <w:rsid w:val="00691C73"/>
    <w:rsid w:val="00692C29"/>
    <w:rsid w:val="006A4300"/>
    <w:rsid w:val="006A4DB7"/>
    <w:rsid w:val="006B46FD"/>
    <w:rsid w:val="006B6C7C"/>
    <w:rsid w:val="006C13A9"/>
    <w:rsid w:val="006C45D5"/>
    <w:rsid w:val="006D564A"/>
    <w:rsid w:val="006E7601"/>
    <w:rsid w:val="00717612"/>
    <w:rsid w:val="00725556"/>
    <w:rsid w:val="007272F2"/>
    <w:rsid w:val="00731054"/>
    <w:rsid w:val="00731C15"/>
    <w:rsid w:val="00733EBB"/>
    <w:rsid w:val="0074229A"/>
    <w:rsid w:val="00751103"/>
    <w:rsid w:val="00760349"/>
    <w:rsid w:val="007658BF"/>
    <w:rsid w:val="007723AD"/>
    <w:rsid w:val="0077453A"/>
    <w:rsid w:val="00774F95"/>
    <w:rsid w:val="00782302"/>
    <w:rsid w:val="00795D74"/>
    <w:rsid w:val="00795F0F"/>
    <w:rsid w:val="007975AC"/>
    <w:rsid w:val="007B0DA3"/>
    <w:rsid w:val="007B4CD1"/>
    <w:rsid w:val="007B6666"/>
    <w:rsid w:val="007C2D24"/>
    <w:rsid w:val="007C313A"/>
    <w:rsid w:val="007C3E56"/>
    <w:rsid w:val="007C43DA"/>
    <w:rsid w:val="007C4AB8"/>
    <w:rsid w:val="008135DE"/>
    <w:rsid w:val="00813E16"/>
    <w:rsid w:val="00813F7D"/>
    <w:rsid w:val="00820488"/>
    <w:rsid w:val="00820EDB"/>
    <w:rsid w:val="00821362"/>
    <w:rsid w:val="0082158D"/>
    <w:rsid w:val="008271F3"/>
    <w:rsid w:val="00834826"/>
    <w:rsid w:val="00840280"/>
    <w:rsid w:val="00840D20"/>
    <w:rsid w:val="00855B7F"/>
    <w:rsid w:val="00860E81"/>
    <w:rsid w:val="0086494D"/>
    <w:rsid w:val="00875718"/>
    <w:rsid w:val="008A4414"/>
    <w:rsid w:val="008B014F"/>
    <w:rsid w:val="008B304D"/>
    <w:rsid w:val="008E6E5E"/>
    <w:rsid w:val="008E721F"/>
    <w:rsid w:val="008F5488"/>
    <w:rsid w:val="008F698D"/>
    <w:rsid w:val="00915383"/>
    <w:rsid w:val="00921361"/>
    <w:rsid w:val="0092435D"/>
    <w:rsid w:val="009331B9"/>
    <w:rsid w:val="009441D5"/>
    <w:rsid w:val="0095128C"/>
    <w:rsid w:val="0095155C"/>
    <w:rsid w:val="009521F2"/>
    <w:rsid w:val="00956E1D"/>
    <w:rsid w:val="00957292"/>
    <w:rsid w:val="00966DAD"/>
    <w:rsid w:val="00975038"/>
    <w:rsid w:val="00976333"/>
    <w:rsid w:val="009A00E7"/>
    <w:rsid w:val="009B0D72"/>
    <w:rsid w:val="009B4F2D"/>
    <w:rsid w:val="009C3692"/>
    <w:rsid w:val="009C5BD8"/>
    <w:rsid w:val="009D66EA"/>
    <w:rsid w:val="009E01E6"/>
    <w:rsid w:val="009E0686"/>
    <w:rsid w:val="009F00D5"/>
    <w:rsid w:val="009F1479"/>
    <w:rsid w:val="009F1CD7"/>
    <w:rsid w:val="009F2E52"/>
    <w:rsid w:val="009F3FFE"/>
    <w:rsid w:val="00A01732"/>
    <w:rsid w:val="00A13B93"/>
    <w:rsid w:val="00A13C2B"/>
    <w:rsid w:val="00A23EA8"/>
    <w:rsid w:val="00A24310"/>
    <w:rsid w:val="00A26818"/>
    <w:rsid w:val="00A45A96"/>
    <w:rsid w:val="00A50FFE"/>
    <w:rsid w:val="00A5107E"/>
    <w:rsid w:val="00A65178"/>
    <w:rsid w:val="00A77B25"/>
    <w:rsid w:val="00A84CDC"/>
    <w:rsid w:val="00A85C90"/>
    <w:rsid w:val="00A86A98"/>
    <w:rsid w:val="00A9479F"/>
    <w:rsid w:val="00AA2B50"/>
    <w:rsid w:val="00AB42B5"/>
    <w:rsid w:val="00AC7B11"/>
    <w:rsid w:val="00AD3BC4"/>
    <w:rsid w:val="00AE1C28"/>
    <w:rsid w:val="00AE4171"/>
    <w:rsid w:val="00AF433F"/>
    <w:rsid w:val="00B0059F"/>
    <w:rsid w:val="00B04006"/>
    <w:rsid w:val="00B04B49"/>
    <w:rsid w:val="00B07423"/>
    <w:rsid w:val="00B17397"/>
    <w:rsid w:val="00B21A77"/>
    <w:rsid w:val="00B35CCD"/>
    <w:rsid w:val="00B4191F"/>
    <w:rsid w:val="00B46EE5"/>
    <w:rsid w:val="00B472C6"/>
    <w:rsid w:val="00B5363C"/>
    <w:rsid w:val="00B73375"/>
    <w:rsid w:val="00B93712"/>
    <w:rsid w:val="00BA5A17"/>
    <w:rsid w:val="00BB2B1E"/>
    <w:rsid w:val="00BB3F2E"/>
    <w:rsid w:val="00BB68B1"/>
    <w:rsid w:val="00BD4285"/>
    <w:rsid w:val="00BD447E"/>
    <w:rsid w:val="00BF2827"/>
    <w:rsid w:val="00BF3B8B"/>
    <w:rsid w:val="00C0331C"/>
    <w:rsid w:val="00C0752E"/>
    <w:rsid w:val="00C25E3F"/>
    <w:rsid w:val="00C30EC3"/>
    <w:rsid w:val="00C40CDB"/>
    <w:rsid w:val="00C57080"/>
    <w:rsid w:val="00C63E68"/>
    <w:rsid w:val="00C71689"/>
    <w:rsid w:val="00C81141"/>
    <w:rsid w:val="00C818A2"/>
    <w:rsid w:val="00C84D5E"/>
    <w:rsid w:val="00C91D17"/>
    <w:rsid w:val="00C942C4"/>
    <w:rsid w:val="00C95A86"/>
    <w:rsid w:val="00C975C3"/>
    <w:rsid w:val="00CE1198"/>
    <w:rsid w:val="00CE4CF9"/>
    <w:rsid w:val="00CF3940"/>
    <w:rsid w:val="00CF49E9"/>
    <w:rsid w:val="00CF77CA"/>
    <w:rsid w:val="00D04402"/>
    <w:rsid w:val="00D160FF"/>
    <w:rsid w:val="00D36629"/>
    <w:rsid w:val="00D415D5"/>
    <w:rsid w:val="00D423E9"/>
    <w:rsid w:val="00D45C64"/>
    <w:rsid w:val="00D46A93"/>
    <w:rsid w:val="00D52370"/>
    <w:rsid w:val="00D6788C"/>
    <w:rsid w:val="00D77CB8"/>
    <w:rsid w:val="00D80A84"/>
    <w:rsid w:val="00D92D9B"/>
    <w:rsid w:val="00D92F29"/>
    <w:rsid w:val="00DA1000"/>
    <w:rsid w:val="00DA12EC"/>
    <w:rsid w:val="00DA77F1"/>
    <w:rsid w:val="00DB67E5"/>
    <w:rsid w:val="00DC4160"/>
    <w:rsid w:val="00DD5B37"/>
    <w:rsid w:val="00DE6650"/>
    <w:rsid w:val="00DE7EC7"/>
    <w:rsid w:val="00E2141E"/>
    <w:rsid w:val="00E228FA"/>
    <w:rsid w:val="00E323E2"/>
    <w:rsid w:val="00E33CAD"/>
    <w:rsid w:val="00E3718A"/>
    <w:rsid w:val="00E3787A"/>
    <w:rsid w:val="00E44BD3"/>
    <w:rsid w:val="00E523C7"/>
    <w:rsid w:val="00E72D59"/>
    <w:rsid w:val="00E76A2C"/>
    <w:rsid w:val="00E802CF"/>
    <w:rsid w:val="00E877EC"/>
    <w:rsid w:val="00E95FE0"/>
    <w:rsid w:val="00EA3159"/>
    <w:rsid w:val="00EB5264"/>
    <w:rsid w:val="00EF1EF3"/>
    <w:rsid w:val="00F0519F"/>
    <w:rsid w:val="00F1504B"/>
    <w:rsid w:val="00F16250"/>
    <w:rsid w:val="00F213E6"/>
    <w:rsid w:val="00F23EA0"/>
    <w:rsid w:val="00F426B4"/>
    <w:rsid w:val="00F54A32"/>
    <w:rsid w:val="00F655D9"/>
    <w:rsid w:val="00F73B99"/>
    <w:rsid w:val="00F76032"/>
    <w:rsid w:val="00F76B3D"/>
    <w:rsid w:val="00F82AFB"/>
    <w:rsid w:val="00F92091"/>
    <w:rsid w:val="00FA0D69"/>
    <w:rsid w:val="00FA2CA4"/>
    <w:rsid w:val="00FB4407"/>
    <w:rsid w:val="00FC2917"/>
    <w:rsid w:val="00FC448A"/>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FCF20A-78C7-4459-B2EF-BA1281D2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1114B"/>
    <w:rPr>
      <w:rFonts w:ascii="Arial" w:hAnsi="Arial" w:cs="Tahoma"/>
      <w:i/>
      <w:iCs/>
      <w:sz w:val="24"/>
      <w:szCs w:val="24"/>
    </w:rPr>
  </w:style>
  <w:style w:type="paragraph" w:styleId="ListParagraph">
    <w:name w:val="List Paragraph"/>
    <w:basedOn w:val="Normal"/>
    <w:uiPriority w:val="34"/>
    <w:qFormat/>
    <w:rsid w:val="00A7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DF6B-0162-4B19-A49C-0BED3C31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Teacher's Curriculum Institute, 6-8d - Instructional Materials (Dept of Education)</vt:lpstr>
    </vt:vector>
  </TitlesOfParts>
  <Company>California Department of Education</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Curriculum Institute, 6-8d - Instructional Materials (Dept of Education)</dc:title>
  <dc:subject>Report of Findings of the Teacher's Curriculum Institute Science Program, Grades 6-8d. </dc:subject>
  <dc:creator>CDE</dc:creator>
  <cp:lastModifiedBy>Christopher Slaven</cp:lastModifiedBy>
  <cp:revision>5</cp:revision>
  <cp:lastPrinted>2018-07-20T14:30:00Z</cp:lastPrinted>
  <dcterms:created xsi:type="dcterms:W3CDTF">2018-07-23T20:44:00Z</dcterms:created>
  <dcterms:modified xsi:type="dcterms:W3CDTF">2021-10-22T18:36:00Z</dcterms:modified>
</cp:coreProperties>
</file>