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3722F" w14:textId="0A9EB73F" w:rsidR="007F5F3F" w:rsidRPr="00C97AB0" w:rsidRDefault="00C45736" w:rsidP="00C97AB0">
      <w:pPr>
        <w:pStyle w:val="Heading1"/>
        <w:jc w:val="center"/>
        <w:rPr>
          <w:sz w:val="28"/>
          <w:szCs w:val="28"/>
        </w:rPr>
      </w:pPr>
      <w:r w:rsidRPr="00C97AB0">
        <w:rPr>
          <w:sz w:val="28"/>
          <w:szCs w:val="28"/>
        </w:rPr>
        <w:t>2021–22</w:t>
      </w:r>
      <w:r w:rsidR="0027417C" w:rsidRPr="00C97AB0">
        <w:rPr>
          <w:sz w:val="28"/>
          <w:szCs w:val="28"/>
        </w:rPr>
        <w:t xml:space="preserve"> </w:t>
      </w:r>
      <w:r w:rsidR="00DB69E6" w:rsidRPr="00C97AB0">
        <w:rPr>
          <w:sz w:val="28"/>
          <w:szCs w:val="28"/>
        </w:rPr>
        <w:t>ADA Loss Mitigation</w:t>
      </w:r>
      <w:r w:rsidR="00D75BAD" w:rsidRPr="00C97AB0">
        <w:rPr>
          <w:sz w:val="28"/>
          <w:szCs w:val="28"/>
        </w:rPr>
        <w:t xml:space="preserve"> Reference Guide</w:t>
      </w:r>
    </w:p>
    <w:p w14:paraId="226ECC35" w14:textId="6A8F7EF4" w:rsidR="0027417C" w:rsidRPr="00C97AB0" w:rsidRDefault="00DF3FE1" w:rsidP="00C97AB0">
      <w:pPr>
        <w:pStyle w:val="Heading2"/>
        <w:rPr>
          <w:sz w:val="24"/>
          <w:szCs w:val="24"/>
        </w:rPr>
      </w:pPr>
      <w:r w:rsidRPr="00C97AB0">
        <w:rPr>
          <w:sz w:val="24"/>
          <w:szCs w:val="24"/>
        </w:rPr>
        <w:t>Overview</w:t>
      </w:r>
    </w:p>
    <w:p w14:paraId="29B3AC9D" w14:textId="1BD74DC1" w:rsidR="00AF233F" w:rsidRPr="005C7440" w:rsidRDefault="00DF3FE1" w:rsidP="00E634EC">
      <w:r w:rsidRPr="005C7440">
        <w:t>In an effort to mitigate the</w:t>
      </w:r>
      <w:r w:rsidR="005C7440" w:rsidRPr="005C7440">
        <w:t xml:space="preserve"> </w:t>
      </w:r>
      <w:r w:rsidR="00AF233F">
        <w:t xml:space="preserve">drop in </w:t>
      </w:r>
      <w:r w:rsidRPr="005C7440">
        <w:t>average daily attendance (ADA) that local educational agencies (LEAs)</w:t>
      </w:r>
      <w:r w:rsidR="00C52FAC" w:rsidRPr="005C7440">
        <w:t xml:space="preserve"> </w:t>
      </w:r>
      <w:r w:rsidRPr="005C7440">
        <w:t xml:space="preserve">experienced in </w:t>
      </w:r>
      <w:r w:rsidR="00C45736">
        <w:t>2021–22</w:t>
      </w:r>
      <w:r w:rsidRPr="005C7440">
        <w:t xml:space="preserve"> due to the </w:t>
      </w:r>
      <w:r w:rsidR="00D75BAD">
        <w:t xml:space="preserve">COVID-19 </w:t>
      </w:r>
      <w:r w:rsidRPr="005C7440">
        <w:t>pandemic, the 202</w:t>
      </w:r>
      <w:r w:rsidR="00FA2E63">
        <w:t>2</w:t>
      </w:r>
      <w:r w:rsidRPr="005C7440">
        <w:t xml:space="preserve">-23 Budget </w:t>
      </w:r>
      <w:r w:rsidR="00D45F10">
        <w:t xml:space="preserve">legislation included an adjustment process. Specifically, </w:t>
      </w:r>
      <w:r w:rsidR="005C7440" w:rsidRPr="00A535CD">
        <w:rPr>
          <w:i/>
        </w:rPr>
        <w:t>Education Code</w:t>
      </w:r>
      <w:r w:rsidR="005C7440" w:rsidRPr="005C7440">
        <w:t xml:space="preserve"> (</w:t>
      </w:r>
      <w:r w:rsidR="005C7440" w:rsidRPr="00A535CD">
        <w:rPr>
          <w:i/>
        </w:rPr>
        <w:t>EC</w:t>
      </w:r>
      <w:r w:rsidR="005C7440" w:rsidRPr="005C7440">
        <w:t xml:space="preserve">) Section 42238.023, provides for an </w:t>
      </w:r>
      <w:r w:rsidR="00D45F10">
        <w:t>increase</w:t>
      </w:r>
      <w:r w:rsidR="005C7440" w:rsidRPr="005C7440">
        <w:t xml:space="preserve"> to </w:t>
      </w:r>
      <w:r w:rsidR="00C45736">
        <w:t>2021–22</w:t>
      </w:r>
      <w:r w:rsidR="005C7440" w:rsidRPr="005C7440">
        <w:t xml:space="preserve"> </w:t>
      </w:r>
      <w:r w:rsidR="00C52FAC" w:rsidRPr="005C7440">
        <w:t xml:space="preserve">ADA for purposes of calculating the Local Control Funding Formula (LCFF) </w:t>
      </w:r>
      <w:r w:rsidR="00C6338A" w:rsidRPr="005C7440">
        <w:t>if</w:t>
      </w:r>
      <w:r w:rsidR="00C52FAC" w:rsidRPr="005C7440">
        <w:t xml:space="preserve"> the following criteria are met</w:t>
      </w:r>
      <w:r w:rsidR="00AF233F">
        <w:t>:</w:t>
      </w:r>
    </w:p>
    <w:p w14:paraId="38F4C90A" w14:textId="10E5F246" w:rsidR="00C52FAC" w:rsidRDefault="00C52FAC" w:rsidP="00C52FAC">
      <w:pPr>
        <w:pStyle w:val="ListParagraph"/>
        <w:numPr>
          <w:ilvl w:val="0"/>
          <w:numId w:val="11"/>
        </w:numPr>
      </w:pPr>
      <w:r>
        <w:t xml:space="preserve">The </w:t>
      </w:r>
      <w:r w:rsidR="00C45736">
        <w:t>2019–20</w:t>
      </w:r>
      <w:r>
        <w:t xml:space="preserve"> ADA </w:t>
      </w:r>
      <w:r w:rsidR="00543B60">
        <w:t xml:space="preserve">yield exceeds the </w:t>
      </w:r>
      <w:r w:rsidR="00C45736">
        <w:t>2021–22</w:t>
      </w:r>
      <w:r>
        <w:t xml:space="preserve"> ADA </w:t>
      </w:r>
      <w:r w:rsidR="00543B60">
        <w:t xml:space="preserve">yield, calculated by dividing each fiscal year’s ADA by enrollment, </w:t>
      </w:r>
      <w:r>
        <w:t>capped at value of 1.00</w:t>
      </w:r>
      <w:r w:rsidR="009C7F7E">
        <w:t>.</w:t>
      </w:r>
    </w:p>
    <w:p w14:paraId="51B1FF04" w14:textId="32E7C304" w:rsidR="00C52FAC" w:rsidRDefault="00C6338A" w:rsidP="00C52FAC">
      <w:pPr>
        <w:pStyle w:val="ListParagraph"/>
        <w:numPr>
          <w:ilvl w:val="0"/>
          <w:numId w:val="11"/>
        </w:numPr>
      </w:pPr>
      <w:r>
        <w:t>Sc</w:t>
      </w:r>
      <w:r w:rsidR="00C52FAC">
        <w:t>hool district</w:t>
      </w:r>
      <w:r>
        <w:t>s</w:t>
      </w:r>
      <w:r w:rsidR="00C52FAC">
        <w:t xml:space="preserve"> and county office</w:t>
      </w:r>
      <w:r>
        <w:t>s</w:t>
      </w:r>
      <w:r w:rsidR="00C52FAC">
        <w:t xml:space="preserve"> of education</w:t>
      </w:r>
      <w:r>
        <w:t xml:space="preserve"> (COEs) certify </w:t>
      </w:r>
      <w:r w:rsidR="009C7F7E">
        <w:t xml:space="preserve">that they met </w:t>
      </w:r>
      <w:r>
        <w:t xml:space="preserve">the </w:t>
      </w:r>
      <w:r w:rsidR="00C45736">
        <w:t>2021–22</w:t>
      </w:r>
      <w:r w:rsidR="009C7F7E">
        <w:t xml:space="preserve"> independent study requirements</w:t>
      </w:r>
      <w:r w:rsidR="00FA2E63">
        <w:t xml:space="preserve"> outlined in </w:t>
      </w:r>
      <w:r w:rsidR="00FA2E63" w:rsidRPr="006D11F0">
        <w:rPr>
          <w:i/>
        </w:rPr>
        <w:t>EC</w:t>
      </w:r>
      <w:r w:rsidR="00FA2E63">
        <w:t xml:space="preserve"> 42238.023(c)</w:t>
      </w:r>
      <w:r w:rsidR="009C7F7E">
        <w:t>, as applicable</w:t>
      </w:r>
      <w:r w:rsidR="00FA2E63">
        <w:t>.</w:t>
      </w:r>
      <w:r w:rsidR="00D45F10">
        <w:t xml:space="preserve"> The certification is done by completing</w:t>
      </w:r>
      <w:r w:rsidR="009C7F7E">
        <w:t xml:space="preserve"> the </w:t>
      </w:r>
      <w:r w:rsidR="00C45736">
        <w:rPr>
          <w:i/>
        </w:rPr>
        <w:t>2021–22</w:t>
      </w:r>
      <w:r w:rsidR="009C7F7E">
        <w:rPr>
          <w:i/>
        </w:rPr>
        <w:t xml:space="preserve"> Independent Study Certification for ADA Loss Mitigation</w:t>
      </w:r>
      <w:r w:rsidR="009C7F7E">
        <w:t xml:space="preserve"> </w:t>
      </w:r>
      <w:r w:rsidR="00E05E8A">
        <w:t xml:space="preserve">data entry screen </w:t>
      </w:r>
      <w:r w:rsidR="009C7F7E">
        <w:t>in the Principal Apportionment Data Collection</w:t>
      </w:r>
      <w:r w:rsidR="00DE2250">
        <w:t xml:space="preserve"> (PADC)</w:t>
      </w:r>
      <w:r w:rsidR="009C7F7E">
        <w:t xml:space="preserve"> web application.</w:t>
      </w:r>
    </w:p>
    <w:p w14:paraId="654FAC72" w14:textId="73AB4C4B" w:rsidR="009C7F7E" w:rsidRDefault="00C6338A" w:rsidP="00C52FAC">
      <w:pPr>
        <w:pStyle w:val="ListParagraph"/>
        <w:numPr>
          <w:ilvl w:val="0"/>
          <w:numId w:val="11"/>
        </w:numPr>
      </w:pPr>
      <w:r>
        <w:t>Charter</w:t>
      </w:r>
      <w:r w:rsidR="009C7F7E">
        <w:t xml:space="preserve"> schools </w:t>
      </w:r>
      <w:r>
        <w:t>are</w:t>
      </w:r>
      <w:r w:rsidR="009C7F7E">
        <w:t xml:space="preserve"> determined to be classroom-based as of the </w:t>
      </w:r>
      <w:r w:rsidR="00C45736">
        <w:t>2021–22</w:t>
      </w:r>
      <w:r w:rsidR="009C7F7E">
        <w:t xml:space="preserve"> Second Principal Apportionment</w:t>
      </w:r>
      <w:r w:rsidR="00834657">
        <w:t xml:space="preserve"> (P-2)</w:t>
      </w:r>
      <w:r w:rsidR="009C7F7E">
        <w:t xml:space="preserve"> certification.</w:t>
      </w:r>
    </w:p>
    <w:p w14:paraId="6EB580DC" w14:textId="7E4B177A" w:rsidR="00E442CC" w:rsidRPr="00C97AB0" w:rsidRDefault="00AF233F" w:rsidP="00C97AB0">
      <w:pPr>
        <w:pStyle w:val="Heading2"/>
        <w:rPr>
          <w:sz w:val="24"/>
          <w:szCs w:val="24"/>
        </w:rPr>
      </w:pPr>
      <w:r w:rsidRPr="00C97AB0">
        <w:rPr>
          <w:sz w:val="24"/>
          <w:szCs w:val="24"/>
        </w:rPr>
        <w:t>Calculating an LEA’s Adjusted ADA</w:t>
      </w:r>
    </w:p>
    <w:p w14:paraId="3F5BF8A5" w14:textId="77777777" w:rsidR="00AB1165" w:rsidRDefault="00AF233F" w:rsidP="00AB1165">
      <w:r>
        <w:t xml:space="preserve">Each LEA’s </w:t>
      </w:r>
      <w:r w:rsidRPr="00AF233F">
        <w:t xml:space="preserve">2021–22 ADA Loss Mitigation </w:t>
      </w:r>
      <w:r w:rsidR="002C5C36">
        <w:t>F</w:t>
      </w:r>
      <w:r w:rsidRPr="00AF233F">
        <w:t>actor</w:t>
      </w:r>
      <w:r>
        <w:t xml:space="preserve"> is calculated</w:t>
      </w:r>
      <w:r w:rsidRPr="00AF233F">
        <w:t xml:space="preserve"> using ADA and enrollment data</w:t>
      </w:r>
      <w:r w:rsidR="00A535CD">
        <w:t xml:space="preserve"> </w:t>
      </w:r>
      <w:r w:rsidR="00A535CD" w:rsidRPr="00AF233F">
        <w:t>for both 2019–20 and 2021–22</w:t>
      </w:r>
      <w:r w:rsidR="00FA2E63">
        <w:t xml:space="preserve">. First, the ADA yield </w:t>
      </w:r>
      <w:r w:rsidR="002C5C36">
        <w:t>is calculated for each fiscal year by dividing ADA by enrollment</w:t>
      </w:r>
      <w:r w:rsidR="00A535CD">
        <w:t xml:space="preserve">, not </w:t>
      </w:r>
      <w:r w:rsidR="00A535CD" w:rsidRPr="00AF233F">
        <w:t>to exceed a value of 1</w:t>
      </w:r>
      <w:r w:rsidR="00A535CD">
        <w:t xml:space="preserve">. </w:t>
      </w:r>
      <w:r w:rsidR="00AB1165">
        <w:t>For purposes of calculating the ADA yields, the following ADA is used:</w:t>
      </w:r>
    </w:p>
    <w:p w14:paraId="465EB8F8" w14:textId="77777777" w:rsidR="00AB1165" w:rsidRDefault="00AB1165" w:rsidP="00AB1165">
      <w:pPr>
        <w:pStyle w:val="ListParagraph"/>
        <w:numPr>
          <w:ilvl w:val="0"/>
          <w:numId w:val="22"/>
        </w:numPr>
      </w:pPr>
      <w:r>
        <w:t>For school districts: regular ADA reported as of P-2, and all other ADA reported as of Annual period in the Attendance School District, Attendance Supplement School District, and Attendance Basic Aid Choice / Court-Ordered Voluntary Pupil Transfer data entry screens in the PADC;</w:t>
      </w:r>
    </w:p>
    <w:p w14:paraId="3AEAD291" w14:textId="77777777" w:rsidR="00AB1165" w:rsidRDefault="00AB1165" w:rsidP="00AB1165">
      <w:pPr>
        <w:pStyle w:val="ListParagraph"/>
        <w:numPr>
          <w:ilvl w:val="0"/>
          <w:numId w:val="22"/>
        </w:numPr>
      </w:pPr>
      <w:r>
        <w:t>For COEs:</w:t>
      </w:r>
    </w:p>
    <w:p w14:paraId="5D9CE1A9" w14:textId="77777777" w:rsidR="00AB1165" w:rsidRDefault="00AB1165" w:rsidP="00AB1165">
      <w:pPr>
        <w:pStyle w:val="ListParagraph"/>
        <w:numPr>
          <w:ilvl w:val="1"/>
          <w:numId w:val="22"/>
        </w:numPr>
      </w:pPr>
      <w:r>
        <w:t xml:space="preserve">Alternative Education Grant ADA: Annual ADA reported in the Attendance COE data entry screen; </w:t>
      </w:r>
    </w:p>
    <w:p w14:paraId="6689FA31" w14:textId="77777777" w:rsidR="00AB1165" w:rsidRDefault="00AB1165" w:rsidP="00AB1165">
      <w:pPr>
        <w:pStyle w:val="ListParagraph"/>
        <w:numPr>
          <w:ilvl w:val="1"/>
          <w:numId w:val="22"/>
        </w:numPr>
      </w:pPr>
      <w:r>
        <w:t>Attendance District Funded County Programs (DFCP) ADA: P-2 ADA for county community schools, special education and other county programs, and Annual ADA for extended year special education and special education in nonpublic/nonsectarian schools reported in the Attendance DFCP data entry screen;</w:t>
      </w:r>
    </w:p>
    <w:p w14:paraId="3C5186D2" w14:textId="565015EC" w:rsidR="00AB1165" w:rsidRDefault="00AB1165" w:rsidP="00AB1165">
      <w:pPr>
        <w:pStyle w:val="ListParagraph"/>
        <w:numPr>
          <w:ilvl w:val="0"/>
          <w:numId w:val="22"/>
        </w:numPr>
      </w:pPr>
      <w:r>
        <w:t>For charter schools: regular ADA reported as of P-2, and all other ADA reported as of Annual period in the applicable charter attendance data entry screens.</w:t>
      </w:r>
    </w:p>
    <w:p w14:paraId="6483A55D" w14:textId="76044523" w:rsidR="00A535CD" w:rsidRDefault="00AB1165" w:rsidP="00AF233F">
      <w:r w:rsidRPr="00AB1165">
        <w:t xml:space="preserve">Secondly, the ADA Loss Mitigation Factor is calculated </w:t>
      </w:r>
      <w:bookmarkStart w:id="0" w:name="_GoBack"/>
      <w:bookmarkEnd w:id="0"/>
      <w:r w:rsidR="00A535CD">
        <w:t>b</w:t>
      </w:r>
      <w:r w:rsidR="00AF233F" w:rsidRPr="00AF233F">
        <w:t>y dividing the 2019–20 attendance yield by the 2021–22 attendance yield</w:t>
      </w:r>
      <w:r w:rsidR="00A535CD">
        <w:t xml:space="preserve">. If the </w:t>
      </w:r>
      <w:r w:rsidR="00A535CD" w:rsidRPr="00AF233F">
        <w:t>calculation results in an ADA Loss Mitigation Factor greater than 1</w:t>
      </w:r>
      <w:r w:rsidR="00A535CD">
        <w:t xml:space="preserve">, </w:t>
      </w:r>
      <w:r w:rsidR="002C5C36">
        <w:t xml:space="preserve">and the eligibility criteria are met, </w:t>
      </w:r>
      <w:r w:rsidR="00A535CD">
        <w:t xml:space="preserve">the </w:t>
      </w:r>
      <w:r w:rsidR="00A535CD" w:rsidRPr="00AF233F">
        <w:t>2021–22 reported ADA will be increased by the ADA Loss Mitigation Factor</w:t>
      </w:r>
      <w:r w:rsidR="00A535CD">
        <w:t>. An example is provided in table below:</w:t>
      </w:r>
    </w:p>
    <w:tbl>
      <w:tblPr>
        <w:tblStyle w:val="TableGrid"/>
        <w:tblW w:w="10345" w:type="dxa"/>
        <w:tblLook w:val="04A0" w:firstRow="1" w:lastRow="0" w:firstColumn="1" w:lastColumn="0" w:noHBand="0" w:noVBand="1"/>
        <w:tblDescription w:val="Steps taken to calculation the ADA Loss Mitigation Factor and Adjusted ADA."/>
      </w:tblPr>
      <w:tblGrid>
        <w:gridCol w:w="1520"/>
        <w:gridCol w:w="951"/>
        <w:gridCol w:w="1484"/>
        <w:gridCol w:w="2432"/>
        <w:gridCol w:w="2076"/>
        <w:gridCol w:w="1882"/>
      </w:tblGrid>
      <w:tr w:rsidR="00766EC4" w:rsidRPr="00766EC4" w14:paraId="09E471D8" w14:textId="77777777" w:rsidTr="00766EC4">
        <w:trPr>
          <w:cantSplit/>
          <w:tblHeader/>
        </w:trPr>
        <w:tc>
          <w:tcPr>
            <w:tcW w:w="1520" w:type="dxa"/>
            <w:shd w:val="clear" w:color="auto" w:fill="E7E6E6" w:themeFill="background2"/>
            <w:vAlign w:val="center"/>
          </w:tcPr>
          <w:p w14:paraId="3B773E3D" w14:textId="31A1454C" w:rsidR="00766EC4" w:rsidRPr="00766EC4" w:rsidRDefault="00766EC4" w:rsidP="00766EC4">
            <w:pPr>
              <w:jc w:val="center"/>
              <w:rPr>
                <w:b/>
              </w:rPr>
            </w:pPr>
            <w:r w:rsidRPr="00766EC4">
              <w:rPr>
                <w:b/>
              </w:rPr>
              <w:lastRenderedPageBreak/>
              <w:t>Fiscal Year</w:t>
            </w:r>
          </w:p>
        </w:tc>
        <w:tc>
          <w:tcPr>
            <w:tcW w:w="951" w:type="dxa"/>
            <w:shd w:val="clear" w:color="auto" w:fill="E7E6E6" w:themeFill="background2"/>
            <w:vAlign w:val="center"/>
          </w:tcPr>
          <w:p w14:paraId="689B80ED" w14:textId="4589E9B3" w:rsidR="00766EC4" w:rsidRPr="00766EC4" w:rsidRDefault="00766EC4" w:rsidP="00766EC4">
            <w:pPr>
              <w:jc w:val="center"/>
              <w:rPr>
                <w:b/>
              </w:rPr>
            </w:pPr>
            <w:r w:rsidRPr="00766EC4">
              <w:rPr>
                <w:b/>
              </w:rPr>
              <w:t>ADA</w:t>
            </w:r>
          </w:p>
        </w:tc>
        <w:tc>
          <w:tcPr>
            <w:tcW w:w="1484" w:type="dxa"/>
            <w:shd w:val="clear" w:color="auto" w:fill="E7E6E6" w:themeFill="background2"/>
            <w:vAlign w:val="center"/>
          </w:tcPr>
          <w:p w14:paraId="30ADEAFA" w14:textId="0E004A88" w:rsidR="00766EC4" w:rsidRPr="00766EC4" w:rsidRDefault="00766EC4" w:rsidP="00766EC4">
            <w:pPr>
              <w:jc w:val="center"/>
              <w:rPr>
                <w:b/>
              </w:rPr>
            </w:pPr>
            <w:r w:rsidRPr="00766EC4">
              <w:rPr>
                <w:b/>
              </w:rPr>
              <w:t>Enrollment</w:t>
            </w:r>
          </w:p>
        </w:tc>
        <w:tc>
          <w:tcPr>
            <w:tcW w:w="2432" w:type="dxa"/>
            <w:shd w:val="clear" w:color="auto" w:fill="E7E6E6" w:themeFill="background2"/>
            <w:vAlign w:val="center"/>
          </w:tcPr>
          <w:p w14:paraId="07AB7114" w14:textId="77777777" w:rsidR="00766EC4" w:rsidRPr="00766EC4" w:rsidRDefault="00766EC4" w:rsidP="00766EC4">
            <w:pPr>
              <w:jc w:val="center"/>
              <w:rPr>
                <w:b/>
              </w:rPr>
            </w:pPr>
            <w:r w:rsidRPr="00766EC4">
              <w:rPr>
                <w:b/>
              </w:rPr>
              <w:t>Attendance Yield</w:t>
            </w:r>
          </w:p>
          <w:p w14:paraId="1B1C3B5C" w14:textId="571DAF2E" w:rsidR="00766EC4" w:rsidRPr="00766EC4" w:rsidRDefault="00766EC4" w:rsidP="00766EC4">
            <w:pPr>
              <w:jc w:val="center"/>
              <w:rPr>
                <w:b/>
              </w:rPr>
            </w:pPr>
            <w:r w:rsidRPr="00766EC4">
              <w:rPr>
                <w:b/>
              </w:rPr>
              <w:t>(ADA / Enrollment)</w:t>
            </w:r>
          </w:p>
        </w:tc>
        <w:tc>
          <w:tcPr>
            <w:tcW w:w="2076" w:type="dxa"/>
            <w:shd w:val="clear" w:color="auto" w:fill="E7E6E6" w:themeFill="background2"/>
            <w:vAlign w:val="center"/>
          </w:tcPr>
          <w:p w14:paraId="251DF74A" w14:textId="4ADF3091" w:rsidR="00766EC4" w:rsidRPr="00766EC4" w:rsidRDefault="00766EC4" w:rsidP="00766EC4">
            <w:pPr>
              <w:jc w:val="center"/>
              <w:rPr>
                <w:b/>
              </w:rPr>
            </w:pPr>
            <w:r w:rsidRPr="00766EC4">
              <w:rPr>
                <w:b/>
              </w:rPr>
              <w:t>ADA Loss Mitigation Factor</w:t>
            </w:r>
          </w:p>
        </w:tc>
        <w:tc>
          <w:tcPr>
            <w:tcW w:w="1882" w:type="dxa"/>
            <w:shd w:val="clear" w:color="auto" w:fill="E7E6E6" w:themeFill="background2"/>
            <w:vAlign w:val="center"/>
          </w:tcPr>
          <w:p w14:paraId="09A49493" w14:textId="01D1DB0C" w:rsidR="00766EC4" w:rsidRPr="00766EC4" w:rsidRDefault="00766EC4" w:rsidP="00766EC4">
            <w:pPr>
              <w:jc w:val="center"/>
              <w:rPr>
                <w:b/>
              </w:rPr>
            </w:pPr>
            <w:r w:rsidRPr="00766EC4">
              <w:rPr>
                <w:b/>
              </w:rPr>
              <w:t>Adjusted ADA</w:t>
            </w:r>
          </w:p>
        </w:tc>
      </w:tr>
      <w:tr w:rsidR="00766EC4" w14:paraId="0FF4E623" w14:textId="77777777" w:rsidTr="00766EC4">
        <w:trPr>
          <w:cantSplit/>
          <w:trHeight w:val="800"/>
        </w:trPr>
        <w:tc>
          <w:tcPr>
            <w:tcW w:w="1520" w:type="dxa"/>
            <w:vAlign w:val="center"/>
          </w:tcPr>
          <w:p w14:paraId="1BF025EA" w14:textId="397B5AC9" w:rsidR="00766EC4" w:rsidRPr="00766EC4" w:rsidRDefault="00766EC4" w:rsidP="00766EC4">
            <w:pPr>
              <w:jc w:val="center"/>
              <w:rPr>
                <w:b/>
              </w:rPr>
            </w:pPr>
            <w:r w:rsidRPr="00766EC4">
              <w:rPr>
                <w:b/>
              </w:rPr>
              <w:t>2019-20</w:t>
            </w:r>
          </w:p>
        </w:tc>
        <w:tc>
          <w:tcPr>
            <w:tcW w:w="951" w:type="dxa"/>
            <w:vAlign w:val="center"/>
          </w:tcPr>
          <w:p w14:paraId="66EB4F8E" w14:textId="784B1BAC" w:rsidR="00766EC4" w:rsidRDefault="00766EC4" w:rsidP="00766EC4">
            <w:pPr>
              <w:jc w:val="center"/>
            </w:pPr>
            <w:r>
              <w:t>102.30</w:t>
            </w:r>
          </w:p>
        </w:tc>
        <w:tc>
          <w:tcPr>
            <w:tcW w:w="1484" w:type="dxa"/>
            <w:vAlign w:val="center"/>
          </w:tcPr>
          <w:p w14:paraId="6C57FAB6" w14:textId="430A04A0" w:rsidR="00766EC4" w:rsidRDefault="00766EC4" w:rsidP="00766EC4">
            <w:pPr>
              <w:jc w:val="center"/>
            </w:pPr>
            <w:r>
              <w:t>110</w:t>
            </w:r>
          </w:p>
        </w:tc>
        <w:tc>
          <w:tcPr>
            <w:tcW w:w="2432" w:type="dxa"/>
            <w:vAlign w:val="center"/>
          </w:tcPr>
          <w:p w14:paraId="063A0930" w14:textId="1A851E04" w:rsidR="00766EC4" w:rsidRDefault="00766EC4" w:rsidP="00766EC4">
            <w:pPr>
              <w:jc w:val="center"/>
            </w:pPr>
            <w:r>
              <w:t>0.9300</w:t>
            </w:r>
          </w:p>
        </w:tc>
        <w:tc>
          <w:tcPr>
            <w:tcW w:w="2076" w:type="dxa"/>
            <w:vAlign w:val="center"/>
          </w:tcPr>
          <w:p w14:paraId="7B7F2DA8" w14:textId="4A475CA9" w:rsidR="00766EC4" w:rsidRDefault="00766EC4" w:rsidP="00766EC4">
            <w:pPr>
              <w:jc w:val="center"/>
            </w:pPr>
            <w:r>
              <w:t>N/A</w:t>
            </w:r>
          </w:p>
        </w:tc>
        <w:tc>
          <w:tcPr>
            <w:tcW w:w="1882" w:type="dxa"/>
            <w:vAlign w:val="center"/>
          </w:tcPr>
          <w:p w14:paraId="59078136" w14:textId="1F00EEF3" w:rsidR="00766EC4" w:rsidRDefault="00766EC4" w:rsidP="00766EC4">
            <w:pPr>
              <w:jc w:val="center"/>
            </w:pPr>
            <w:r w:rsidRPr="00766EC4">
              <w:t>N/A</w:t>
            </w:r>
          </w:p>
        </w:tc>
      </w:tr>
      <w:tr w:rsidR="00766EC4" w14:paraId="5394ABB4" w14:textId="77777777" w:rsidTr="00766EC4">
        <w:trPr>
          <w:cantSplit/>
        </w:trPr>
        <w:tc>
          <w:tcPr>
            <w:tcW w:w="1520" w:type="dxa"/>
            <w:vAlign w:val="center"/>
          </w:tcPr>
          <w:p w14:paraId="412D874F" w14:textId="6F2CBEDC" w:rsidR="00766EC4" w:rsidRPr="00766EC4" w:rsidRDefault="00766EC4" w:rsidP="00766EC4">
            <w:pPr>
              <w:jc w:val="center"/>
              <w:rPr>
                <w:b/>
              </w:rPr>
            </w:pPr>
            <w:r w:rsidRPr="00766EC4">
              <w:rPr>
                <w:b/>
              </w:rPr>
              <w:t>2021-22</w:t>
            </w:r>
          </w:p>
        </w:tc>
        <w:tc>
          <w:tcPr>
            <w:tcW w:w="951" w:type="dxa"/>
            <w:vAlign w:val="center"/>
          </w:tcPr>
          <w:p w14:paraId="0AACBD31" w14:textId="2B6AE22B" w:rsidR="00766EC4" w:rsidRDefault="00766EC4" w:rsidP="00766EC4">
            <w:pPr>
              <w:jc w:val="center"/>
            </w:pPr>
            <w:r>
              <w:t>90.42</w:t>
            </w:r>
          </w:p>
        </w:tc>
        <w:tc>
          <w:tcPr>
            <w:tcW w:w="1484" w:type="dxa"/>
            <w:vAlign w:val="center"/>
          </w:tcPr>
          <w:p w14:paraId="1FE2ABF6" w14:textId="2F02BEEF" w:rsidR="00766EC4" w:rsidRDefault="00766EC4" w:rsidP="00766EC4">
            <w:pPr>
              <w:jc w:val="center"/>
            </w:pPr>
            <w:r>
              <w:t>100</w:t>
            </w:r>
          </w:p>
        </w:tc>
        <w:tc>
          <w:tcPr>
            <w:tcW w:w="2432" w:type="dxa"/>
            <w:vAlign w:val="center"/>
          </w:tcPr>
          <w:p w14:paraId="55EBC7D2" w14:textId="74D3721A" w:rsidR="00766EC4" w:rsidRDefault="00766EC4" w:rsidP="00766EC4">
            <w:pPr>
              <w:jc w:val="center"/>
            </w:pPr>
            <w:r>
              <w:t>0.9042</w:t>
            </w:r>
          </w:p>
        </w:tc>
        <w:tc>
          <w:tcPr>
            <w:tcW w:w="2076" w:type="dxa"/>
            <w:vAlign w:val="center"/>
          </w:tcPr>
          <w:p w14:paraId="515D99C1" w14:textId="75975EEB" w:rsidR="00766EC4" w:rsidRDefault="00766EC4" w:rsidP="00766EC4">
            <w:pPr>
              <w:jc w:val="center"/>
            </w:pPr>
            <w:r w:rsidRPr="00766EC4">
              <w:t xml:space="preserve">0.9300 ÷ 0.9042 = </w:t>
            </w:r>
            <w:r w:rsidRPr="00C97AB0">
              <w:rPr>
                <w:b/>
              </w:rPr>
              <w:t>1.0285335103</w:t>
            </w:r>
          </w:p>
        </w:tc>
        <w:tc>
          <w:tcPr>
            <w:tcW w:w="1882" w:type="dxa"/>
            <w:vAlign w:val="center"/>
          </w:tcPr>
          <w:p w14:paraId="0EE0727C" w14:textId="6624142E" w:rsidR="00766EC4" w:rsidRDefault="00766EC4" w:rsidP="00766EC4">
            <w:pPr>
              <w:jc w:val="center"/>
            </w:pPr>
            <w:r w:rsidRPr="00766EC4">
              <w:t xml:space="preserve">1.0285335103 * 90.42 = </w:t>
            </w:r>
            <w:r w:rsidRPr="00C97AB0">
              <w:rPr>
                <w:b/>
              </w:rPr>
              <w:t>93.00</w:t>
            </w:r>
          </w:p>
        </w:tc>
      </w:tr>
    </w:tbl>
    <w:p w14:paraId="0C5851D0" w14:textId="77777777" w:rsidR="00766EC4" w:rsidRDefault="00766EC4" w:rsidP="00E634EC"/>
    <w:p w14:paraId="17EA359E" w14:textId="6A9133EF" w:rsidR="00E442CC" w:rsidRDefault="00E442CC" w:rsidP="00E442CC">
      <w:r w:rsidRPr="00AF233F">
        <w:t>The CDE calculate</w:t>
      </w:r>
      <w:r>
        <w:t>s</w:t>
      </w:r>
      <w:r w:rsidRPr="00AF233F">
        <w:t xml:space="preserve"> the adjusted ADA at the 2021</w:t>
      </w:r>
      <w:r w:rsidR="002C5C36">
        <w:t>–</w:t>
      </w:r>
      <w:r w:rsidRPr="00AF233F">
        <w:t>22 Annual apportionment, certified in February 2023</w:t>
      </w:r>
      <w:r>
        <w:t xml:space="preserve">. These calculations </w:t>
      </w:r>
      <w:r w:rsidR="00834657">
        <w:t xml:space="preserve">are </w:t>
      </w:r>
      <w:r>
        <w:t>repeated for 2021</w:t>
      </w:r>
      <w:r w:rsidR="002C5C36">
        <w:t>–</w:t>
      </w:r>
      <w:r>
        <w:t>22 Annual re-certifications (i.e. Annual R1, R2, R3).</w:t>
      </w:r>
    </w:p>
    <w:p w14:paraId="464B961A" w14:textId="77777777" w:rsidR="00F90166" w:rsidRPr="00F90166" w:rsidRDefault="00F90166" w:rsidP="00F90166">
      <w:pPr>
        <w:keepNext/>
        <w:keepLines/>
        <w:spacing w:before="240"/>
        <w:outlineLvl w:val="1"/>
        <w:rPr>
          <w:rFonts w:eastAsiaTheme="majorEastAsia" w:cstheme="majorBidi"/>
          <w:b/>
          <w:szCs w:val="24"/>
        </w:rPr>
      </w:pPr>
      <w:r w:rsidRPr="00F90166">
        <w:rPr>
          <w:rFonts w:eastAsiaTheme="majorEastAsia" w:cstheme="majorBidi"/>
          <w:b/>
          <w:szCs w:val="24"/>
        </w:rPr>
        <w:t>Entitlement Calculations Using Adjusted ADA</w:t>
      </w:r>
    </w:p>
    <w:p w14:paraId="5CCA5051" w14:textId="77777777" w:rsidR="00F90166" w:rsidRPr="00F90166" w:rsidRDefault="00F90166" w:rsidP="00F90166">
      <w:r w:rsidRPr="00F90166">
        <w:t>The 2021–22 ADA Loss Mitigation adjusted ADA is used, as follows:</w:t>
      </w:r>
    </w:p>
    <w:p w14:paraId="58780A57" w14:textId="77777777" w:rsidR="00F90166" w:rsidRPr="00F90166" w:rsidRDefault="00F90166" w:rsidP="00F90166">
      <w:pPr>
        <w:numPr>
          <w:ilvl w:val="0"/>
          <w:numId w:val="21"/>
        </w:numPr>
        <w:contextualSpacing/>
      </w:pPr>
      <w:r w:rsidRPr="00F90166">
        <w:t>2021-22 LCFF calculations, as follows:</w:t>
      </w:r>
    </w:p>
    <w:p w14:paraId="1031A06C" w14:textId="77777777" w:rsidR="00F90166" w:rsidRPr="00F90166" w:rsidRDefault="00F90166" w:rsidP="00F90166">
      <w:pPr>
        <w:numPr>
          <w:ilvl w:val="0"/>
          <w:numId w:val="20"/>
        </w:numPr>
      </w:pPr>
      <w:r w:rsidRPr="00F90166">
        <w:t>LCFF entitlements;</w:t>
      </w:r>
    </w:p>
    <w:p w14:paraId="5AE40987" w14:textId="77777777" w:rsidR="00F90166" w:rsidRPr="00F90166" w:rsidRDefault="00F90166" w:rsidP="00F90166">
      <w:pPr>
        <w:numPr>
          <w:ilvl w:val="0"/>
          <w:numId w:val="20"/>
        </w:numPr>
      </w:pPr>
      <w:r w:rsidRPr="00F90166">
        <w:t>Education Protection Account entitlements;</w:t>
      </w:r>
    </w:p>
    <w:p w14:paraId="794E6604" w14:textId="77777777" w:rsidR="00F90166" w:rsidRPr="00F90166" w:rsidRDefault="00F90166" w:rsidP="00F90166">
      <w:pPr>
        <w:numPr>
          <w:ilvl w:val="0"/>
          <w:numId w:val="20"/>
        </w:numPr>
      </w:pPr>
      <w:r w:rsidRPr="00F90166">
        <w:t>In-lieu of property taxes transfers to charter schools;</w:t>
      </w:r>
    </w:p>
    <w:p w14:paraId="4FACAFD2" w14:textId="77777777" w:rsidR="00F90166" w:rsidRPr="00F90166" w:rsidRDefault="00F90166" w:rsidP="00F90166">
      <w:pPr>
        <w:numPr>
          <w:ilvl w:val="0"/>
          <w:numId w:val="20"/>
        </w:numPr>
      </w:pPr>
      <w:r w:rsidRPr="00F90166">
        <w:t>Basic aid programs.</w:t>
      </w:r>
    </w:p>
    <w:p w14:paraId="2EE1FB9C" w14:textId="77777777" w:rsidR="00F90166" w:rsidRPr="00F90166" w:rsidRDefault="00F90166" w:rsidP="00F90166">
      <w:r w:rsidRPr="00F90166">
        <w:t xml:space="preserve">2. Commencing with 2022–23, school district ADA calculations pursuant to </w:t>
      </w:r>
      <w:r w:rsidRPr="00F90166">
        <w:rPr>
          <w:i/>
        </w:rPr>
        <w:t>EC</w:t>
      </w:r>
      <w:r w:rsidRPr="00F90166">
        <w:t xml:space="preserve"> 42238.05 that are based on the greater of ADA from the current year, prior year, or the average of the three most recent prior years.</w:t>
      </w:r>
    </w:p>
    <w:p w14:paraId="0F17BFD9" w14:textId="5C8646AD" w:rsidR="00F90166" w:rsidRPr="00AF233F" w:rsidRDefault="00F90166" w:rsidP="00F90166">
      <w:r w:rsidRPr="00F90166">
        <w:t>3. Charter school apportionment to implement Section 123 of Assembly Bill 181 (Chapter 52, Statutes of 2022) for classroom-based charter schools as of the 2021–22 P-2 Certification.</w:t>
      </w:r>
    </w:p>
    <w:p w14:paraId="4A6593D7" w14:textId="19E1F454" w:rsidR="00BA0348" w:rsidRPr="00C97AB0" w:rsidRDefault="00BA0348" w:rsidP="00C97AB0">
      <w:pPr>
        <w:pStyle w:val="Heading2"/>
        <w:rPr>
          <w:sz w:val="24"/>
          <w:szCs w:val="24"/>
        </w:rPr>
      </w:pPr>
      <w:r w:rsidRPr="00C97AB0">
        <w:rPr>
          <w:sz w:val="24"/>
          <w:szCs w:val="24"/>
        </w:rPr>
        <w:t>Typical Process for LCFF Calculations</w:t>
      </w:r>
    </w:p>
    <w:p w14:paraId="0C6C5778" w14:textId="0B14E45E" w:rsidR="009B7BAC" w:rsidRDefault="00D601B1" w:rsidP="00E634EC">
      <w:r>
        <w:t xml:space="preserve">In a typical fiscal year, local educational agencies </w:t>
      </w:r>
      <w:r w:rsidR="00E36B46">
        <w:t xml:space="preserve">(LEAs) </w:t>
      </w:r>
      <w:r>
        <w:t xml:space="preserve">report ADA in various data entry screens in the </w:t>
      </w:r>
      <w:r w:rsidR="00DE2250">
        <w:t>PADC</w:t>
      </w:r>
      <w:r>
        <w:t xml:space="preserve">. The School Fiscal Services Division (SFSD) uses the reported </w:t>
      </w:r>
      <w:r w:rsidR="00197429">
        <w:t xml:space="preserve">data </w:t>
      </w:r>
      <w:r>
        <w:t xml:space="preserve">to calculate various </w:t>
      </w:r>
      <w:r w:rsidR="009940BE">
        <w:t>components</w:t>
      </w:r>
      <w:r>
        <w:t xml:space="preserve"> of the </w:t>
      </w:r>
      <w:r w:rsidR="009940BE">
        <w:t>LCFF,</w:t>
      </w:r>
      <w:r>
        <w:t xml:space="preserve"> known as funding exhibits</w:t>
      </w:r>
      <w:r w:rsidR="00197429">
        <w:t>. These exhibits</w:t>
      </w:r>
      <w:r>
        <w:t xml:space="preserve"> are assembled in a systematic way to determine LCFF State Aid </w:t>
      </w:r>
      <w:r w:rsidR="00197429">
        <w:t>and</w:t>
      </w:r>
      <w:r>
        <w:t xml:space="preserve"> other components of the Principal Apportionment. </w:t>
      </w:r>
    </w:p>
    <w:p w14:paraId="772FDEA5" w14:textId="56CC1E4E" w:rsidR="00D601B1" w:rsidRPr="00BA0348" w:rsidRDefault="00D601B1" w:rsidP="00E634EC">
      <w:r>
        <w:t xml:space="preserve">The following table </w:t>
      </w:r>
      <w:r w:rsidR="009B7BAC">
        <w:t>lists the PADC data entry screens used for ADA reporting and the corresponding funding exhibits that use reported ADA to calculate LCFF.</w:t>
      </w:r>
    </w:p>
    <w:tbl>
      <w:tblPr>
        <w:tblStyle w:val="TableGrid"/>
        <w:tblW w:w="10165" w:type="dxa"/>
        <w:tblLook w:val="04A0" w:firstRow="1" w:lastRow="0" w:firstColumn="1" w:lastColumn="0" w:noHBand="0" w:noVBand="1"/>
        <w:tblDescription w:val="The PADC data entry screens used for ADA reporting and the corresponding funding exhibits that use reported ADA to calculate LCFF."/>
      </w:tblPr>
      <w:tblGrid>
        <w:gridCol w:w="5082"/>
        <w:gridCol w:w="5083"/>
      </w:tblGrid>
      <w:tr w:rsidR="00BA0348" w14:paraId="2928F5FE" w14:textId="75E96710" w:rsidTr="00324602">
        <w:trPr>
          <w:cantSplit/>
          <w:tblHeader/>
        </w:trPr>
        <w:tc>
          <w:tcPr>
            <w:tcW w:w="5082" w:type="dxa"/>
            <w:tcBorders>
              <w:bottom w:val="single" w:sz="4" w:space="0" w:color="auto"/>
            </w:tcBorders>
            <w:shd w:val="clear" w:color="auto" w:fill="E7E6E6" w:themeFill="background2"/>
            <w:vAlign w:val="center"/>
          </w:tcPr>
          <w:p w14:paraId="75CC687D" w14:textId="53ED39C9" w:rsidR="00BA0348" w:rsidRPr="00B43BA0" w:rsidRDefault="00BE4201" w:rsidP="00FE7A45">
            <w:pPr>
              <w:spacing w:before="60" w:after="60"/>
              <w:jc w:val="center"/>
              <w:rPr>
                <w:b/>
              </w:rPr>
            </w:pPr>
            <w:r w:rsidRPr="00B43BA0">
              <w:rPr>
                <w:b/>
              </w:rPr>
              <w:lastRenderedPageBreak/>
              <w:t xml:space="preserve">Source </w:t>
            </w:r>
            <w:r w:rsidR="00BA0348" w:rsidRPr="00B43BA0">
              <w:rPr>
                <w:b/>
              </w:rPr>
              <w:t xml:space="preserve">Data </w:t>
            </w:r>
            <w:r w:rsidR="00FE7A45" w:rsidRPr="00B43BA0">
              <w:rPr>
                <w:b/>
              </w:rPr>
              <w:br/>
            </w:r>
            <w:r w:rsidRPr="00B43BA0">
              <w:rPr>
                <w:b/>
              </w:rPr>
              <w:t>(PADC</w:t>
            </w:r>
            <w:r w:rsidR="00FE7A45" w:rsidRPr="00B43BA0">
              <w:rPr>
                <w:b/>
              </w:rPr>
              <w:t xml:space="preserve"> data entry screens</w:t>
            </w:r>
            <w:r w:rsidRPr="00B43BA0">
              <w:rPr>
                <w:b/>
              </w:rPr>
              <w:t>)</w:t>
            </w:r>
          </w:p>
        </w:tc>
        <w:tc>
          <w:tcPr>
            <w:tcW w:w="5083" w:type="dxa"/>
            <w:tcBorders>
              <w:bottom w:val="single" w:sz="4" w:space="0" w:color="auto"/>
            </w:tcBorders>
            <w:shd w:val="clear" w:color="auto" w:fill="E7E6E6" w:themeFill="background2"/>
            <w:vAlign w:val="center"/>
          </w:tcPr>
          <w:p w14:paraId="3DD18004" w14:textId="7613EFF4" w:rsidR="00BA0348" w:rsidRPr="00B43BA0" w:rsidRDefault="00BE4201" w:rsidP="00FE7A45">
            <w:pPr>
              <w:spacing w:before="60" w:after="60"/>
              <w:jc w:val="center"/>
              <w:rPr>
                <w:b/>
              </w:rPr>
            </w:pPr>
            <w:r w:rsidRPr="00B43BA0">
              <w:rPr>
                <w:b/>
              </w:rPr>
              <w:t>Resulting Calculations</w:t>
            </w:r>
            <w:r w:rsidR="00FE7A45" w:rsidRPr="00B43BA0">
              <w:rPr>
                <w:b/>
              </w:rPr>
              <w:br/>
            </w:r>
            <w:r w:rsidRPr="00B43BA0">
              <w:rPr>
                <w:b/>
              </w:rPr>
              <w:t>(standard funding exhibits)</w:t>
            </w:r>
          </w:p>
        </w:tc>
      </w:tr>
      <w:tr w:rsidR="00BA0348" w14:paraId="3A246536" w14:textId="1F6FCA7D" w:rsidTr="00324602">
        <w:trPr>
          <w:cantSplit/>
        </w:trPr>
        <w:tc>
          <w:tcPr>
            <w:tcW w:w="5082" w:type="dxa"/>
            <w:tcBorders>
              <w:bottom w:val="single" w:sz="4" w:space="0" w:color="auto"/>
              <w:right w:val="single" w:sz="4" w:space="0" w:color="AEAAAA" w:themeColor="background2" w:themeShade="BF"/>
            </w:tcBorders>
            <w:vAlign w:val="center"/>
          </w:tcPr>
          <w:p w14:paraId="67D3AC2C" w14:textId="4F261B30" w:rsidR="00BA0348" w:rsidRDefault="00BA0348" w:rsidP="00946EAD">
            <w:pPr>
              <w:spacing w:before="60" w:after="60"/>
            </w:pPr>
            <w:r>
              <w:t>Attendance School District</w:t>
            </w:r>
            <w:r w:rsidR="00AF60A8">
              <w:t xml:space="preserve"> (SD)</w:t>
            </w:r>
          </w:p>
          <w:p w14:paraId="0CC0A4F1" w14:textId="5A50FFA2" w:rsidR="00AF60A8" w:rsidRDefault="00AF60A8" w:rsidP="00946EAD">
            <w:pPr>
              <w:spacing w:before="60" w:after="60"/>
            </w:pPr>
            <w:r>
              <w:t>Attendance Supplement SD</w:t>
            </w:r>
          </w:p>
          <w:p w14:paraId="5C3CD5E1" w14:textId="70AF7570" w:rsidR="00BA0348" w:rsidRDefault="00BA0348" w:rsidP="00946EAD">
            <w:pPr>
              <w:spacing w:before="60" w:after="60"/>
            </w:pPr>
            <w:r>
              <w:t>Necessary Small School (NSS)</w:t>
            </w:r>
          </w:p>
          <w:p w14:paraId="0BFB080E" w14:textId="2B25ABFF" w:rsidR="00B43BA0" w:rsidRDefault="00B43BA0" w:rsidP="00946EAD">
            <w:pPr>
              <w:spacing w:before="60" w:after="60"/>
            </w:pPr>
            <w:r>
              <w:t>Attendance Charter School – All Charter District</w:t>
            </w:r>
          </w:p>
          <w:p w14:paraId="6075D5D3" w14:textId="52717470" w:rsidR="00B43BA0" w:rsidRDefault="00B43BA0" w:rsidP="00946EAD">
            <w:pPr>
              <w:spacing w:before="60" w:after="60"/>
            </w:pPr>
            <w:r>
              <w:t>Attendance District Funded County Programs (DFCP)</w:t>
            </w:r>
          </w:p>
        </w:tc>
        <w:tc>
          <w:tcPr>
            <w:tcW w:w="5083" w:type="dxa"/>
            <w:tcBorders>
              <w:left w:val="single" w:sz="4" w:space="0" w:color="AEAAAA" w:themeColor="background2" w:themeShade="BF"/>
              <w:bottom w:val="single" w:sz="4" w:space="0" w:color="auto"/>
            </w:tcBorders>
            <w:vAlign w:val="center"/>
          </w:tcPr>
          <w:p w14:paraId="2398DB5E" w14:textId="0CB88FC2" w:rsidR="00B43BA0" w:rsidRDefault="009400C8" w:rsidP="00946EAD">
            <w:pPr>
              <w:spacing w:before="60" w:after="60"/>
            </w:pPr>
            <w:r>
              <w:t xml:space="preserve">SD </w:t>
            </w:r>
            <w:r w:rsidR="00B072E5">
              <w:t>ADA</w:t>
            </w:r>
          </w:p>
        </w:tc>
      </w:tr>
      <w:tr w:rsidR="00B43BA0" w14:paraId="65622E7A" w14:textId="5AEE8700" w:rsidTr="00324602">
        <w:trPr>
          <w:cantSplit/>
        </w:trPr>
        <w:tc>
          <w:tcPr>
            <w:tcW w:w="5082" w:type="dxa"/>
            <w:tcBorders>
              <w:top w:val="single" w:sz="4" w:space="0" w:color="auto"/>
              <w:bottom w:val="single" w:sz="4" w:space="0" w:color="auto"/>
              <w:right w:val="single" w:sz="4" w:space="0" w:color="AEAAAA" w:themeColor="background2" w:themeShade="BF"/>
            </w:tcBorders>
            <w:vAlign w:val="center"/>
          </w:tcPr>
          <w:p w14:paraId="64FF3739" w14:textId="0E81B2DF" w:rsidR="00B43BA0" w:rsidRDefault="00B43BA0" w:rsidP="00946EAD">
            <w:pPr>
              <w:spacing w:before="60" w:after="60"/>
            </w:pPr>
            <w:r>
              <w:t>NSS</w:t>
            </w:r>
          </w:p>
        </w:tc>
        <w:tc>
          <w:tcPr>
            <w:tcW w:w="5083" w:type="dxa"/>
            <w:tcBorders>
              <w:top w:val="single" w:sz="4" w:space="0" w:color="auto"/>
              <w:left w:val="single" w:sz="4" w:space="0" w:color="AEAAAA" w:themeColor="background2" w:themeShade="BF"/>
              <w:bottom w:val="single" w:sz="4" w:space="0" w:color="auto"/>
            </w:tcBorders>
            <w:vAlign w:val="center"/>
          </w:tcPr>
          <w:p w14:paraId="2DF6853D" w14:textId="4579563F" w:rsidR="00B43BA0" w:rsidRDefault="00B43BA0" w:rsidP="00946EAD">
            <w:pPr>
              <w:spacing w:before="60" w:after="60"/>
            </w:pPr>
            <w:r>
              <w:t>SD Necessary Small Schools Allowance</w:t>
            </w:r>
          </w:p>
        </w:tc>
      </w:tr>
      <w:tr w:rsidR="00BA0348" w14:paraId="75365F50" w14:textId="44FAB5F0" w:rsidTr="00324602">
        <w:trPr>
          <w:cantSplit/>
        </w:trPr>
        <w:tc>
          <w:tcPr>
            <w:tcW w:w="5082" w:type="dxa"/>
            <w:tcBorders>
              <w:top w:val="single" w:sz="4" w:space="0" w:color="auto"/>
              <w:bottom w:val="single" w:sz="4" w:space="0" w:color="auto"/>
              <w:right w:val="single" w:sz="4" w:space="0" w:color="AEAAAA" w:themeColor="background2" w:themeShade="BF"/>
            </w:tcBorders>
            <w:vAlign w:val="center"/>
          </w:tcPr>
          <w:p w14:paraId="5E0F1FFE" w14:textId="1281B56E" w:rsidR="00BA0348" w:rsidRDefault="00C00354" w:rsidP="00946EAD">
            <w:pPr>
              <w:spacing w:before="60" w:after="60"/>
            </w:pPr>
            <w:r>
              <w:t>Attendance Charter School</w:t>
            </w:r>
          </w:p>
          <w:p w14:paraId="6F61C021" w14:textId="21E16B11" w:rsidR="00C00354" w:rsidRDefault="00C00354" w:rsidP="00946EAD">
            <w:pPr>
              <w:spacing w:before="60" w:after="60"/>
            </w:pPr>
            <w:r>
              <w:t>Attendance County Program Charter School</w:t>
            </w:r>
          </w:p>
        </w:tc>
        <w:tc>
          <w:tcPr>
            <w:tcW w:w="5083" w:type="dxa"/>
            <w:tcBorders>
              <w:top w:val="single" w:sz="4" w:space="0" w:color="auto"/>
              <w:left w:val="single" w:sz="4" w:space="0" w:color="AEAAAA" w:themeColor="background2" w:themeShade="BF"/>
              <w:bottom w:val="single" w:sz="4" w:space="0" w:color="auto"/>
            </w:tcBorders>
            <w:vAlign w:val="center"/>
          </w:tcPr>
          <w:p w14:paraId="141498CB" w14:textId="3314EDFC" w:rsidR="00BA0348" w:rsidRDefault="00B072E5" w:rsidP="00946EAD">
            <w:pPr>
              <w:spacing w:before="60" w:after="60"/>
            </w:pPr>
            <w:r>
              <w:t>Charter School</w:t>
            </w:r>
            <w:r w:rsidR="00B86F85">
              <w:t xml:space="preserve"> </w:t>
            </w:r>
            <w:r w:rsidR="00B464F6">
              <w:t xml:space="preserve">ADA </w:t>
            </w:r>
            <w:r w:rsidR="00B86F85" w:rsidRPr="00EE1FD0">
              <w:rPr>
                <w:sz w:val="20"/>
                <w:szCs w:val="20"/>
              </w:rPr>
              <w:t>(after adjustments for days of operation and funding determinations)</w:t>
            </w:r>
          </w:p>
        </w:tc>
      </w:tr>
      <w:tr w:rsidR="00BA0348" w14:paraId="32D122DE" w14:textId="1E6B57FF" w:rsidTr="00324602">
        <w:trPr>
          <w:cantSplit/>
        </w:trPr>
        <w:tc>
          <w:tcPr>
            <w:tcW w:w="5082" w:type="dxa"/>
            <w:tcBorders>
              <w:top w:val="single" w:sz="4" w:space="0" w:color="auto"/>
              <w:bottom w:val="single" w:sz="4" w:space="0" w:color="auto"/>
              <w:right w:val="single" w:sz="4" w:space="0" w:color="AEAAAA" w:themeColor="background2" w:themeShade="BF"/>
            </w:tcBorders>
            <w:vAlign w:val="center"/>
          </w:tcPr>
          <w:p w14:paraId="6AA3DF24" w14:textId="048B5C44" w:rsidR="00BA0348" w:rsidRDefault="00C00354" w:rsidP="00946EAD">
            <w:pPr>
              <w:spacing w:before="60" w:after="60"/>
            </w:pPr>
            <w:r>
              <w:t>Attendance COE</w:t>
            </w:r>
          </w:p>
          <w:p w14:paraId="321FC9F8" w14:textId="6E7FFE4E" w:rsidR="00EB06D7" w:rsidRDefault="00EB06D7" w:rsidP="00946EAD">
            <w:pPr>
              <w:spacing w:before="60" w:after="60"/>
            </w:pPr>
            <w:r>
              <w:t>Attendance County Program Charter School</w:t>
            </w:r>
          </w:p>
        </w:tc>
        <w:tc>
          <w:tcPr>
            <w:tcW w:w="5083" w:type="dxa"/>
            <w:tcBorders>
              <w:top w:val="single" w:sz="4" w:space="0" w:color="auto"/>
              <w:left w:val="single" w:sz="4" w:space="0" w:color="AEAAAA" w:themeColor="background2" w:themeShade="BF"/>
              <w:bottom w:val="single" w:sz="4" w:space="0" w:color="auto"/>
            </w:tcBorders>
            <w:vAlign w:val="center"/>
          </w:tcPr>
          <w:p w14:paraId="08940D5B" w14:textId="1934ECC1" w:rsidR="00BA0348" w:rsidRDefault="00B464F6" w:rsidP="00946EAD">
            <w:pPr>
              <w:spacing w:before="60" w:after="60"/>
            </w:pPr>
            <w:r>
              <w:t xml:space="preserve">County LCFF Calculation </w:t>
            </w:r>
            <w:r w:rsidRPr="00EE1FD0">
              <w:rPr>
                <w:sz w:val="20"/>
                <w:szCs w:val="20"/>
              </w:rPr>
              <w:t>(Alternative Education Grant)</w:t>
            </w:r>
          </w:p>
        </w:tc>
      </w:tr>
      <w:tr w:rsidR="00BA0348" w14:paraId="75FB29E5" w14:textId="168495F3" w:rsidTr="00324602">
        <w:trPr>
          <w:cantSplit/>
        </w:trPr>
        <w:tc>
          <w:tcPr>
            <w:tcW w:w="5082" w:type="dxa"/>
            <w:tcBorders>
              <w:top w:val="single" w:sz="4" w:space="0" w:color="auto"/>
              <w:bottom w:val="single" w:sz="4" w:space="0" w:color="auto"/>
              <w:right w:val="single" w:sz="4" w:space="0" w:color="AEAAAA" w:themeColor="background2" w:themeShade="BF"/>
            </w:tcBorders>
            <w:vAlign w:val="center"/>
          </w:tcPr>
          <w:p w14:paraId="7B9F9C3A" w14:textId="40F9F3D1" w:rsidR="00BA0348" w:rsidRDefault="00C00354" w:rsidP="00946EAD">
            <w:pPr>
              <w:spacing w:before="60" w:after="60"/>
            </w:pPr>
            <w:r>
              <w:t xml:space="preserve">Attendance </w:t>
            </w:r>
            <w:r w:rsidR="00B464F6">
              <w:t>DFCP</w:t>
            </w:r>
          </w:p>
        </w:tc>
        <w:tc>
          <w:tcPr>
            <w:tcW w:w="5083" w:type="dxa"/>
            <w:tcBorders>
              <w:top w:val="single" w:sz="4" w:space="0" w:color="auto"/>
              <w:left w:val="single" w:sz="4" w:space="0" w:color="AEAAAA" w:themeColor="background2" w:themeShade="BF"/>
              <w:bottom w:val="single" w:sz="4" w:space="0" w:color="auto"/>
            </w:tcBorders>
            <w:vAlign w:val="center"/>
          </w:tcPr>
          <w:p w14:paraId="35396597" w14:textId="37A3807A" w:rsidR="00BA0348" w:rsidRDefault="009400C8" w:rsidP="00946EAD">
            <w:pPr>
              <w:spacing w:before="60" w:after="60"/>
            </w:pPr>
            <w:r>
              <w:t xml:space="preserve">SD </w:t>
            </w:r>
            <w:r w:rsidR="00C00354">
              <w:t>/</w:t>
            </w:r>
            <w:r>
              <w:t xml:space="preserve"> </w:t>
            </w:r>
            <w:r w:rsidR="00C00354">
              <w:t>COE Transfer of Fund</w:t>
            </w:r>
            <w:r w:rsidR="00B464F6">
              <w:t>s</w:t>
            </w:r>
            <w:r w:rsidR="00C00354">
              <w:t xml:space="preserve"> for District Funded County Programs</w:t>
            </w:r>
          </w:p>
        </w:tc>
      </w:tr>
      <w:tr w:rsidR="00564EC7" w14:paraId="65BAA562" w14:textId="37E050E6" w:rsidTr="00324602">
        <w:trPr>
          <w:cantSplit/>
        </w:trPr>
        <w:tc>
          <w:tcPr>
            <w:tcW w:w="5082" w:type="dxa"/>
            <w:tcBorders>
              <w:top w:val="single" w:sz="4" w:space="0" w:color="auto"/>
              <w:bottom w:val="single" w:sz="4" w:space="0" w:color="auto"/>
              <w:right w:val="single" w:sz="4" w:space="0" w:color="AEAAAA" w:themeColor="background2" w:themeShade="BF"/>
            </w:tcBorders>
            <w:vAlign w:val="center"/>
          </w:tcPr>
          <w:p w14:paraId="19FD6642" w14:textId="3A7D3C02" w:rsidR="00564EC7" w:rsidRDefault="00564EC7" w:rsidP="00946EAD">
            <w:pPr>
              <w:spacing w:before="60" w:after="60"/>
            </w:pPr>
            <w:r>
              <w:t xml:space="preserve">Attendance </w:t>
            </w:r>
            <w:r w:rsidR="009400C8">
              <w:t>Basic Aid (</w:t>
            </w:r>
            <w:r>
              <w:t>BA</w:t>
            </w:r>
            <w:r w:rsidR="009400C8">
              <w:t>)</w:t>
            </w:r>
            <w:r>
              <w:t xml:space="preserve"> Choice/</w:t>
            </w:r>
            <w:r w:rsidR="009400C8">
              <w:t>Court-Ordered Voluntary Pupil Transfer (</w:t>
            </w:r>
            <w:r>
              <w:t>COVPT</w:t>
            </w:r>
            <w:r w:rsidR="009400C8">
              <w:t>)</w:t>
            </w:r>
          </w:p>
        </w:tc>
        <w:tc>
          <w:tcPr>
            <w:tcW w:w="5083" w:type="dxa"/>
            <w:tcBorders>
              <w:top w:val="single" w:sz="4" w:space="0" w:color="auto"/>
              <w:left w:val="single" w:sz="4" w:space="0" w:color="AEAAAA" w:themeColor="background2" w:themeShade="BF"/>
              <w:bottom w:val="single" w:sz="4" w:space="0" w:color="auto"/>
            </w:tcBorders>
            <w:vAlign w:val="center"/>
          </w:tcPr>
          <w:p w14:paraId="7DA99AB7" w14:textId="46D2E6DD" w:rsidR="00B464F6" w:rsidRDefault="00564EC7" w:rsidP="00946EAD">
            <w:pPr>
              <w:spacing w:before="60" w:after="60"/>
            </w:pPr>
            <w:r>
              <w:t xml:space="preserve">SD </w:t>
            </w:r>
            <w:r w:rsidR="00D11A5E">
              <w:t>BA</w:t>
            </w:r>
            <w:r>
              <w:t xml:space="preserve"> Choice Calculatio</w:t>
            </w:r>
            <w:r w:rsidR="00B464F6">
              <w:t>n</w:t>
            </w:r>
          </w:p>
          <w:p w14:paraId="2948B7A9" w14:textId="39241256" w:rsidR="00564EC7" w:rsidRDefault="00564EC7" w:rsidP="00946EAD">
            <w:pPr>
              <w:spacing w:before="60" w:after="60"/>
            </w:pPr>
            <w:r>
              <w:t>SD BA COVPT Calculation</w:t>
            </w:r>
          </w:p>
        </w:tc>
      </w:tr>
      <w:tr w:rsidR="00564EC7" w14:paraId="744FD61B" w14:textId="00025D89" w:rsidTr="00324602">
        <w:trPr>
          <w:cantSplit/>
        </w:trPr>
        <w:tc>
          <w:tcPr>
            <w:tcW w:w="5082" w:type="dxa"/>
            <w:tcBorders>
              <w:top w:val="single" w:sz="4" w:space="0" w:color="auto"/>
              <w:bottom w:val="single" w:sz="4" w:space="0" w:color="auto"/>
              <w:right w:val="single" w:sz="4" w:space="0" w:color="AEAAAA" w:themeColor="background2" w:themeShade="BF"/>
            </w:tcBorders>
            <w:vAlign w:val="center"/>
          </w:tcPr>
          <w:p w14:paraId="22617D12" w14:textId="67731192" w:rsidR="00564EC7" w:rsidRDefault="0084679B" w:rsidP="00946EAD">
            <w:pPr>
              <w:spacing w:before="60" w:after="60"/>
            </w:pPr>
            <w:r>
              <w:t>BA</w:t>
            </w:r>
            <w:r w:rsidR="00D601B1">
              <w:t xml:space="preserve"> Supplement Charter School</w:t>
            </w:r>
          </w:p>
        </w:tc>
        <w:tc>
          <w:tcPr>
            <w:tcW w:w="5083" w:type="dxa"/>
            <w:tcBorders>
              <w:top w:val="single" w:sz="4" w:space="0" w:color="auto"/>
              <w:left w:val="single" w:sz="4" w:space="0" w:color="AEAAAA" w:themeColor="background2" w:themeShade="BF"/>
              <w:bottom w:val="single" w:sz="4" w:space="0" w:color="auto"/>
            </w:tcBorders>
            <w:vAlign w:val="center"/>
          </w:tcPr>
          <w:p w14:paraId="1107D3AA" w14:textId="7DCB6C30" w:rsidR="00564EC7" w:rsidRDefault="00564EC7" w:rsidP="00946EAD">
            <w:pPr>
              <w:spacing w:before="60" w:after="60"/>
            </w:pPr>
            <w:r>
              <w:t>SD BA Supplement Calculation</w:t>
            </w:r>
          </w:p>
        </w:tc>
      </w:tr>
      <w:tr w:rsidR="00BA0348" w14:paraId="3DB03BF2" w14:textId="76ADE7E5" w:rsidTr="00324602">
        <w:trPr>
          <w:cantSplit/>
        </w:trPr>
        <w:tc>
          <w:tcPr>
            <w:tcW w:w="5082" w:type="dxa"/>
            <w:tcBorders>
              <w:top w:val="single" w:sz="4" w:space="0" w:color="auto"/>
              <w:right w:val="single" w:sz="4" w:space="0" w:color="AEAAAA" w:themeColor="background2" w:themeShade="BF"/>
            </w:tcBorders>
            <w:vAlign w:val="center"/>
          </w:tcPr>
          <w:p w14:paraId="24805868" w14:textId="04F63226" w:rsidR="00BA0348" w:rsidRDefault="000C12AA" w:rsidP="00946EAD">
            <w:pPr>
              <w:spacing w:before="60" w:after="60"/>
            </w:pPr>
            <w:r>
              <w:t>Various</w:t>
            </w:r>
            <w:r w:rsidR="00C00354">
              <w:t xml:space="preserve"> ADA data entry screens</w:t>
            </w:r>
          </w:p>
        </w:tc>
        <w:tc>
          <w:tcPr>
            <w:tcW w:w="5083" w:type="dxa"/>
            <w:tcBorders>
              <w:top w:val="single" w:sz="4" w:space="0" w:color="auto"/>
              <w:left w:val="single" w:sz="4" w:space="0" w:color="AEAAAA" w:themeColor="background2" w:themeShade="BF"/>
            </w:tcBorders>
            <w:vAlign w:val="center"/>
          </w:tcPr>
          <w:p w14:paraId="6ACC60F3" w14:textId="525DE1D7" w:rsidR="00BA0348" w:rsidRDefault="00C00354" w:rsidP="00946EAD">
            <w:pPr>
              <w:spacing w:before="60" w:after="60"/>
            </w:pPr>
            <w:r>
              <w:t>EPA, County Operations Gran</w:t>
            </w:r>
            <w:r w:rsidR="00D601B1">
              <w:t>t, Local Revenue Detail by District of Residence, SD Local Revenue</w:t>
            </w:r>
          </w:p>
        </w:tc>
      </w:tr>
    </w:tbl>
    <w:p w14:paraId="73039D2C" w14:textId="6288F645" w:rsidR="003518E2" w:rsidRPr="00C97AB0" w:rsidRDefault="007030DE" w:rsidP="00C97AB0">
      <w:pPr>
        <w:pStyle w:val="Heading2"/>
        <w:rPr>
          <w:sz w:val="24"/>
          <w:szCs w:val="24"/>
        </w:rPr>
      </w:pPr>
      <w:r w:rsidRPr="00C97AB0">
        <w:rPr>
          <w:sz w:val="24"/>
          <w:szCs w:val="24"/>
        </w:rPr>
        <w:t xml:space="preserve">Modified Process Due to </w:t>
      </w:r>
      <w:r w:rsidR="00BA0348" w:rsidRPr="00C97AB0">
        <w:rPr>
          <w:i/>
          <w:sz w:val="24"/>
          <w:szCs w:val="24"/>
        </w:rPr>
        <w:t xml:space="preserve">EC </w:t>
      </w:r>
      <w:r w:rsidR="00BA0348" w:rsidRPr="00C97AB0">
        <w:rPr>
          <w:sz w:val="24"/>
          <w:szCs w:val="24"/>
        </w:rPr>
        <w:t>Section 42238.023</w:t>
      </w:r>
    </w:p>
    <w:p w14:paraId="586B43E7" w14:textId="77777777" w:rsidR="00F90166" w:rsidRDefault="00F90166" w:rsidP="00F90166">
      <w:pPr>
        <w:rPr>
          <w:i/>
        </w:rPr>
      </w:pPr>
      <w:r w:rsidRPr="00F90166">
        <w:t>To accommodate the 2021–22 ADA Loss Mitigation provisions of EC Section 42238.023, the CDE developed several new funding exhibits, as follows. LEAs may view their adjusted ADA on the 2021–22 ADA Loss Mitigation funding exhibits available on the Principal Apportionment</w:t>
      </w:r>
      <w:r w:rsidRPr="00F90166">
        <w:rPr>
          <w:u w:val="single"/>
        </w:rPr>
        <w:t xml:space="preserve"> </w:t>
      </w:r>
      <w:r w:rsidRPr="00F90166">
        <w:t xml:space="preserve">page at </w:t>
      </w:r>
      <w:hyperlink r:id="rId7" w:tooltip="Principal Apportionment webpage " w:history="1">
        <w:r w:rsidRPr="00F90166">
          <w:rPr>
            <w:rStyle w:val="Hyperlink"/>
          </w:rPr>
          <w:t>https://www.cde.ca.gov/fg/aa/pa/</w:t>
        </w:r>
      </w:hyperlink>
      <w:r w:rsidRPr="00F90166">
        <w:t>.</w:t>
      </w:r>
    </w:p>
    <w:p w14:paraId="6135B1C0" w14:textId="0018F492" w:rsidR="007030DE" w:rsidRPr="00C97AB0" w:rsidRDefault="007030DE" w:rsidP="00C97AB0">
      <w:pPr>
        <w:pStyle w:val="Heading3"/>
        <w:rPr>
          <w:sz w:val="24"/>
        </w:rPr>
      </w:pPr>
      <w:r w:rsidRPr="00C97AB0">
        <w:rPr>
          <w:sz w:val="24"/>
        </w:rPr>
        <w:t>A. ADA Loss Mitigation Factor Calculations</w:t>
      </w:r>
    </w:p>
    <w:p w14:paraId="763D2FC0" w14:textId="5BCC3977" w:rsidR="00912B74" w:rsidRDefault="00912B74" w:rsidP="007030DE">
      <w:r>
        <w:t xml:space="preserve">The following exhibits </w:t>
      </w:r>
      <w:r w:rsidR="001F36C9">
        <w:t>calculate</w:t>
      </w:r>
      <w:r w:rsidR="002157C7">
        <w:t xml:space="preserve"> the</w:t>
      </w:r>
      <w:r w:rsidR="001F36C9">
        <w:t xml:space="preserve"> </w:t>
      </w:r>
      <w:r w:rsidR="00AC4158">
        <w:t>2019</w:t>
      </w:r>
      <w:r w:rsidR="00BC7B3E">
        <w:t>–</w:t>
      </w:r>
      <w:r w:rsidR="00AC4158">
        <w:t>20 ADA</w:t>
      </w:r>
      <w:r>
        <w:t xml:space="preserve"> </w:t>
      </w:r>
      <w:r w:rsidR="00AC4158">
        <w:t>yield, 2021</w:t>
      </w:r>
      <w:r w:rsidR="00BC7B3E">
        <w:t>–</w:t>
      </w:r>
      <w:r w:rsidR="00AC4158">
        <w:t>22 ADA</w:t>
      </w:r>
      <w:r>
        <w:t xml:space="preserve"> </w:t>
      </w:r>
      <w:r w:rsidR="00AC4158">
        <w:t>yield, and 2021</w:t>
      </w:r>
      <w:r w:rsidR="00BC7B3E">
        <w:t>–</w:t>
      </w:r>
      <w:r w:rsidR="00AC4158">
        <w:t xml:space="preserve">22 </w:t>
      </w:r>
      <w:r w:rsidR="001F36C9">
        <w:t>ADA</w:t>
      </w:r>
      <w:r>
        <w:t xml:space="preserve"> Loss Mitigation Factor:</w:t>
      </w:r>
    </w:p>
    <w:p w14:paraId="28A8993B" w14:textId="44C57501" w:rsidR="00912B74" w:rsidRDefault="00C45736" w:rsidP="00F2615D">
      <w:pPr>
        <w:pStyle w:val="ListParagraph"/>
        <w:numPr>
          <w:ilvl w:val="0"/>
          <w:numId w:val="14"/>
        </w:numPr>
        <w:spacing w:before="60" w:after="60"/>
      </w:pPr>
      <w:r>
        <w:t>2021–22</w:t>
      </w:r>
      <w:r w:rsidR="00912B74">
        <w:t xml:space="preserve"> ADA Loss Mitigation –</w:t>
      </w:r>
      <w:r w:rsidR="000C5FD0">
        <w:t xml:space="preserve"> </w:t>
      </w:r>
      <w:r w:rsidR="00912B74">
        <w:t>SD Factor</w:t>
      </w:r>
    </w:p>
    <w:p w14:paraId="38E7B8BA" w14:textId="66267AFB" w:rsidR="00912B74" w:rsidRDefault="00C45736" w:rsidP="00F2615D">
      <w:pPr>
        <w:pStyle w:val="ListParagraph"/>
        <w:numPr>
          <w:ilvl w:val="0"/>
          <w:numId w:val="14"/>
        </w:numPr>
        <w:spacing w:before="60" w:after="60"/>
      </w:pPr>
      <w:r>
        <w:t>2021–22</w:t>
      </w:r>
      <w:r w:rsidR="00912B74">
        <w:t xml:space="preserve"> ADA Loss Mitigation – Charter School Factor</w:t>
      </w:r>
    </w:p>
    <w:p w14:paraId="6CB382DD" w14:textId="6D48E44B" w:rsidR="007030DE" w:rsidRDefault="00C45736" w:rsidP="000C5FD0">
      <w:pPr>
        <w:pStyle w:val="ListParagraph"/>
        <w:numPr>
          <w:ilvl w:val="0"/>
          <w:numId w:val="14"/>
        </w:numPr>
        <w:spacing w:before="60"/>
        <w:contextualSpacing w:val="0"/>
      </w:pPr>
      <w:r>
        <w:t>2021–22</w:t>
      </w:r>
      <w:r w:rsidR="007030DE">
        <w:t xml:space="preserve"> ADA Loss Mitigation –</w:t>
      </w:r>
      <w:r w:rsidR="000C5FD0">
        <w:t xml:space="preserve"> </w:t>
      </w:r>
      <w:r w:rsidR="007030DE">
        <w:t>COE</w:t>
      </w:r>
    </w:p>
    <w:p w14:paraId="2920FC96" w14:textId="206B0DC7" w:rsidR="00AC4158" w:rsidRDefault="007030DE" w:rsidP="00F2615D">
      <w:r>
        <w:t>The 2021</w:t>
      </w:r>
      <w:r w:rsidR="00BC7B3E">
        <w:t>–</w:t>
      </w:r>
      <w:r>
        <w:t xml:space="preserve">22 ADA Loss Mitigation Factor </w:t>
      </w:r>
      <w:r w:rsidR="00C270B5">
        <w:t xml:space="preserve">is </w:t>
      </w:r>
      <w:r>
        <w:t xml:space="preserve">applied to the funding exhibits in item </w:t>
      </w:r>
      <w:r w:rsidR="009B7BAC">
        <w:t>B</w:t>
      </w:r>
      <w:r>
        <w:t>.</w:t>
      </w:r>
    </w:p>
    <w:p w14:paraId="4DEF5155" w14:textId="77777777" w:rsidR="00F2615D" w:rsidRPr="00C97AB0" w:rsidRDefault="00F2615D" w:rsidP="00C97AB0">
      <w:pPr>
        <w:pStyle w:val="Heading3"/>
        <w:rPr>
          <w:sz w:val="24"/>
        </w:rPr>
      </w:pPr>
      <w:r w:rsidRPr="00C97AB0">
        <w:rPr>
          <w:sz w:val="24"/>
        </w:rPr>
        <w:lastRenderedPageBreak/>
        <w:t>B. ADA Adjustment Calculations</w:t>
      </w:r>
    </w:p>
    <w:p w14:paraId="5BE096F6" w14:textId="1D7239FD" w:rsidR="006C65A7" w:rsidRDefault="00F2615D" w:rsidP="00F2615D">
      <w:r>
        <w:t xml:space="preserve">The following exhibits </w:t>
      </w:r>
      <w:r w:rsidR="009B7BAC">
        <w:t>show</w:t>
      </w:r>
      <w:r w:rsidR="006C65A7">
        <w:t xml:space="preserve"> the 2021</w:t>
      </w:r>
      <w:r w:rsidR="00BC7B3E">
        <w:t>–</w:t>
      </w:r>
      <w:r w:rsidR="006C65A7">
        <w:t>22 reported ADA and adjust it by the 2021</w:t>
      </w:r>
      <w:r w:rsidR="00BC7B3E">
        <w:t>–</w:t>
      </w:r>
      <w:r w:rsidR="006C65A7">
        <w:t xml:space="preserve">22 ADA Loss Mitigation Factor, </w:t>
      </w:r>
      <w:r w:rsidR="009B7BAC">
        <w:t xml:space="preserve">which </w:t>
      </w:r>
      <w:r w:rsidR="00C270B5">
        <w:t>is</w:t>
      </w:r>
      <w:r w:rsidR="009B7BAC">
        <w:t xml:space="preserve"> either greater than 1.00 or equal to 1.00 (for non-eligible LEAs</w:t>
      </w:r>
      <w:r w:rsidR="003637AB">
        <w:t>,</w:t>
      </w:r>
      <w:r w:rsidR="009B7BAC">
        <w:t xml:space="preserve"> or eligible LEAs with 2019</w:t>
      </w:r>
      <w:r w:rsidR="00BC7B3E">
        <w:t>–</w:t>
      </w:r>
      <w:r w:rsidR="009B7BAC">
        <w:t>20 ADA yield equal to or less than 2021</w:t>
      </w:r>
      <w:r w:rsidR="00BC7B3E">
        <w:t>–</w:t>
      </w:r>
      <w:r w:rsidR="009B7BAC">
        <w:t>22 ADA yield)</w:t>
      </w:r>
      <w:r w:rsidR="006C65A7">
        <w:t>.</w:t>
      </w:r>
    </w:p>
    <w:p w14:paraId="4891A3F4" w14:textId="422750AA" w:rsidR="000C5FD0" w:rsidRDefault="00C45736" w:rsidP="000C5FD0">
      <w:pPr>
        <w:pStyle w:val="ListParagraph"/>
        <w:numPr>
          <w:ilvl w:val="0"/>
          <w:numId w:val="15"/>
        </w:numPr>
      </w:pPr>
      <w:r>
        <w:t>2021–22</w:t>
      </w:r>
      <w:r w:rsidR="000C5FD0">
        <w:t xml:space="preserve"> ADA Loss Mitigation – Attendance School District</w:t>
      </w:r>
    </w:p>
    <w:p w14:paraId="6DFA834D" w14:textId="794E549C" w:rsidR="000C5FD0" w:rsidRDefault="00C45736" w:rsidP="000C5FD0">
      <w:pPr>
        <w:pStyle w:val="ListParagraph"/>
        <w:numPr>
          <w:ilvl w:val="0"/>
          <w:numId w:val="15"/>
        </w:numPr>
      </w:pPr>
      <w:r>
        <w:t>2021–22</w:t>
      </w:r>
      <w:r w:rsidR="000C5FD0">
        <w:t xml:space="preserve"> ADA Loss Mitigation – NSS</w:t>
      </w:r>
    </w:p>
    <w:p w14:paraId="7E1F6DAD" w14:textId="4D10D01E" w:rsidR="000C5FD0" w:rsidRDefault="00C45736" w:rsidP="000C5FD0">
      <w:pPr>
        <w:pStyle w:val="ListParagraph"/>
        <w:numPr>
          <w:ilvl w:val="0"/>
          <w:numId w:val="15"/>
        </w:numPr>
      </w:pPr>
      <w:r>
        <w:t>2021–22</w:t>
      </w:r>
      <w:r w:rsidR="000C5FD0">
        <w:t xml:space="preserve"> ADA Loss Mitigation – Attendance BA Choice/BA COVPT/Supplement SD</w:t>
      </w:r>
    </w:p>
    <w:p w14:paraId="3E8C1E7A" w14:textId="190CFB06" w:rsidR="000C5FD0" w:rsidRDefault="00C45736" w:rsidP="000C5FD0">
      <w:pPr>
        <w:pStyle w:val="ListParagraph"/>
        <w:numPr>
          <w:ilvl w:val="0"/>
          <w:numId w:val="15"/>
        </w:numPr>
      </w:pPr>
      <w:bookmarkStart w:id="1" w:name="_Hlk117420057"/>
      <w:r>
        <w:t>2021–22</w:t>
      </w:r>
      <w:r w:rsidR="000C5FD0">
        <w:t xml:space="preserve"> ADA Loss Mitigation – COE</w:t>
      </w:r>
    </w:p>
    <w:bookmarkEnd w:id="1"/>
    <w:p w14:paraId="29ED3844" w14:textId="2206CCC7" w:rsidR="000C5FD0" w:rsidRDefault="00C45736" w:rsidP="000C5FD0">
      <w:pPr>
        <w:pStyle w:val="ListParagraph"/>
        <w:numPr>
          <w:ilvl w:val="0"/>
          <w:numId w:val="15"/>
        </w:numPr>
      </w:pPr>
      <w:r>
        <w:t>2021–22</w:t>
      </w:r>
      <w:r w:rsidR="000C5FD0">
        <w:t xml:space="preserve"> ADA Loss Mitigation – Attendance DFCP</w:t>
      </w:r>
    </w:p>
    <w:p w14:paraId="295A9D6C" w14:textId="79EABF96" w:rsidR="000C5FD0" w:rsidRDefault="000C5FD0" w:rsidP="000C5FD0">
      <w:r>
        <w:t xml:space="preserve">Note that </w:t>
      </w:r>
      <w:r w:rsidR="00C45736">
        <w:rPr>
          <w:i/>
        </w:rPr>
        <w:t>2021–22</w:t>
      </w:r>
      <w:r w:rsidRPr="000C5FD0">
        <w:rPr>
          <w:i/>
        </w:rPr>
        <w:t xml:space="preserve"> ADA Loss Mitigation – COE</w:t>
      </w:r>
      <w:r>
        <w:rPr>
          <w:i/>
        </w:rPr>
        <w:t xml:space="preserve"> </w:t>
      </w:r>
      <w:r>
        <w:t>is listed in both sections because it calculate</w:t>
      </w:r>
      <w:r w:rsidR="00C270B5">
        <w:t>s</w:t>
      </w:r>
      <w:r>
        <w:t xml:space="preserve"> an adjustment factor and appl</w:t>
      </w:r>
      <w:r w:rsidR="00C270B5">
        <w:t>ies</w:t>
      </w:r>
      <w:r>
        <w:t xml:space="preserve"> it to</w:t>
      </w:r>
      <w:r w:rsidR="00C270B5">
        <w:t xml:space="preserve"> the</w:t>
      </w:r>
      <w:r>
        <w:t xml:space="preserve"> Alternative Education Grant ADA.</w:t>
      </w:r>
      <w:r w:rsidR="00946EAD">
        <w:t xml:space="preserve"> The same adjustment factor </w:t>
      </w:r>
      <w:r w:rsidR="00C270B5">
        <w:t>is</w:t>
      </w:r>
      <w:r w:rsidR="00946EAD">
        <w:t xml:space="preserve"> applied to ADA in Attendance DFCP, to be credited to the district of residence.</w:t>
      </w:r>
    </w:p>
    <w:p w14:paraId="5430D520" w14:textId="6BB627C4" w:rsidR="00946EAD" w:rsidRPr="000C5FD0" w:rsidRDefault="00946EAD" w:rsidP="000C5FD0">
      <w:r>
        <w:t>There is no separate ADA adjustment calculation exhibit for charter school ADA. The charter school ADA flow</w:t>
      </w:r>
      <w:r w:rsidR="00C270B5">
        <w:t>s</w:t>
      </w:r>
      <w:r>
        <w:t xml:space="preserve"> to the Charter School ADA exhibit after being adjusted for nonclassroom-based funding determination and days of operations.</w:t>
      </w:r>
    </w:p>
    <w:p w14:paraId="27E98F15" w14:textId="0E3D312F" w:rsidR="00BA0348" w:rsidRPr="00D601B1" w:rsidRDefault="00D601B1" w:rsidP="00AC4158">
      <w:r>
        <w:t>The following table provides a summary of t</w:t>
      </w:r>
      <w:r w:rsidR="00AC4158">
        <w:t xml:space="preserve">he </w:t>
      </w:r>
      <w:r w:rsidR="00946EAD">
        <w:t xml:space="preserve">modified process in which the ADA from the modified exhibits will be used in lieu of </w:t>
      </w:r>
      <w:r w:rsidR="00F90166" w:rsidRPr="00F90166">
        <w:t>ADA reported in the PADC for 2021–22 P-2 and Annual</w:t>
      </w:r>
      <w:r w:rsidR="00AC4158">
        <w:t>.</w:t>
      </w:r>
    </w:p>
    <w:tbl>
      <w:tblPr>
        <w:tblStyle w:val="TableGrid"/>
        <w:tblW w:w="0" w:type="auto"/>
        <w:tblLook w:val="04A0" w:firstRow="1" w:lastRow="0" w:firstColumn="1" w:lastColumn="0" w:noHBand="0" w:noVBand="1"/>
        <w:tblDescription w:val="Summary of the modified process in which the ADA from the modified exhibits will be used in lieu of ADA reported in the PADC."/>
      </w:tblPr>
      <w:tblGrid>
        <w:gridCol w:w="2965"/>
        <w:gridCol w:w="3811"/>
        <w:gridCol w:w="3389"/>
      </w:tblGrid>
      <w:tr w:rsidR="00D601B1" w14:paraId="18C73AB7" w14:textId="61099150" w:rsidTr="006B696C">
        <w:trPr>
          <w:cantSplit/>
          <w:tblHeader/>
        </w:trPr>
        <w:tc>
          <w:tcPr>
            <w:tcW w:w="2965" w:type="dxa"/>
            <w:shd w:val="clear" w:color="auto" w:fill="E7E6E6" w:themeFill="background2"/>
          </w:tcPr>
          <w:p w14:paraId="52D2725A" w14:textId="2CF78C49" w:rsidR="00D601B1" w:rsidRPr="00B43BA0" w:rsidRDefault="00BE4201" w:rsidP="00B43BA0">
            <w:pPr>
              <w:spacing w:before="60" w:after="60"/>
              <w:jc w:val="center"/>
              <w:rPr>
                <w:b/>
              </w:rPr>
            </w:pPr>
            <w:r w:rsidRPr="00B43BA0">
              <w:rPr>
                <w:b/>
              </w:rPr>
              <w:t>Source Data</w:t>
            </w:r>
            <w:r w:rsidR="00FE7A45" w:rsidRPr="00B43BA0">
              <w:rPr>
                <w:b/>
              </w:rPr>
              <w:br/>
              <w:t>(PADC data entry screens</w:t>
            </w:r>
            <w:r w:rsidR="00C1221C">
              <w:rPr>
                <w:b/>
              </w:rPr>
              <w:t>)</w:t>
            </w:r>
          </w:p>
        </w:tc>
        <w:tc>
          <w:tcPr>
            <w:tcW w:w="3811" w:type="dxa"/>
            <w:shd w:val="clear" w:color="auto" w:fill="E7E6E6" w:themeFill="background2"/>
          </w:tcPr>
          <w:p w14:paraId="6E79B78A" w14:textId="32488193" w:rsidR="00D601B1" w:rsidRPr="00B43BA0" w:rsidRDefault="00BE4201" w:rsidP="00B43BA0">
            <w:pPr>
              <w:spacing w:before="60" w:after="60"/>
              <w:jc w:val="center"/>
              <w:rPr>
                <w:b/>
              </w:rPr>
            </w:pPr>
            <w:r w:rsidRPr="00B43BA0">
              <w:rPr>
                <w:b/>
              </w:rPr>
              <w:t>ADA Adjustment</w:t>
            </w:r>
            <w:r w:rsidR="00946EAD">
              <w:rPr>
                <w:b/>
              </w:rPr>
              <w:t>s</w:t>
            </w:r>
            <w:r w:rsidR="00946EAD">
              <w:rPr>
                <w:b/>
              </w:rPr>
              <w:br/>
            </w:r>
            <w:r w:rsidR="0005206B" w:rsidRPr="00B43BA0">
              <w:rPr>
                <w:b/>
              </w:rPr>
              <w:t>(new funding exhibits)</w:t>
            </w:r>
          </w:p>
        </w:tc>
        <w:tc>
          <w:tcPr>
            <w:tcW w:w="3389" w:type="dxa"/>
            <w:shd w:val="clear" w:color="auto" w:fill="E7E6E6" w:themeFill="background2"/>
          </w:tcPr>
          <w:p w14:paraId="4E8328F6" w14:textId="47AF496F" w:rsidR="00D601B1" w:rsidRPr="00B43BA0" w:rsidRDefault="00BE4201" w:rsidP="00B43BA0">
            <w:pPr>
              <w:spacing w:before="60" w:after="60"/>
              <w:jc w:val="center"/>
              <w:rPr>
                <w:b/>
              </w:rPr>
            </w:pPr>
            <w:r w:rsidRPr="00B43BA0">
              <w:rPr>
                <w:b/>
              </w:rPr>
              <w:t>Resulting Calculations</w:t>
            </w:r>
          </w:p>
        </w:tc>
      </w:tr>
      <w:tr w:rsidR="006B696C" w14:paraId="70DAC1D3" w14:textId="5AE80C4F" w:rsidTr="006B696C">
        <w:trPr>
          <w:cantSplit/>
        </w:trPr>
        <w:tc>
          <w:tcPr>
            <w:tcW w:w="2965" w:type="dxa"/>
          </w:tcPr>
          <w:p w14:paraId="2E242DB0" w14:textId="1634FC4E" w:rsidR="006B696C" w:rsidRDefault="006B696C" w:rsidP="00501188">
            <w:pPr>
              <w:spacing w:before="60" w:after="60"/>
            </w:pPr>
            <w:r>
              <w:t>Attendance School District</w:t>
            </w:r>
          </w:p>
        </w:tc>
        <w:tc>
          <w:tcPr>
            <w:tcW w:w="3811" w:type="dxa"/>
          </w:tcPr>
          <w:p w14:paraId="3CF97D0C" w14:textId="3DC4E0C4" w:rsidR="006B696C" w:rsidRDefault="006B696C" w:rsidP="00501188">
            <w:pPr>
              <w:spacing w:before="60" w:after="60"/>
            </w:pPr>
            <w:r>
              <w:t>2021–22 ADA Loss Mitigation – Attendance School District</w:t>
            </w:r>
          </w:p>
        </w:tc>
        <w:tc>
          <w:tcPr>
            <w:tcW w:w="3389" w:type="dxa"/>
            <w:vAlign w:val="center"/>
          </w:tcPr>
          <w:p w14:paraId="4A3F1378" w14:textId="788D2C43" w:rsidR="006B696C" w:rsidRDefault="006B696C" w:rsidP="00946EAD">
            <w:pPr>
              <w:spacing w:before="60" w:after="60"/>
            </w:pPr>
            <w:r>
              <w:t>SD ADA</w:t>
            </w:r>
          </w:p>
        </w:tc>
      </w:tr>
      <w:tr w:rsidR="006B696C" w14:paraId="7C7710A9" w14:textId="05349F0A" w:rsidTr="006B696C">
        <w:trPr>
          <w:cantSplit/>
        </w:trPr>
        <w:tc>
          <w:tcPr>
            <w:tcW w:w="2965" w:type="dxa"/>
          </w:tcPr>
          <w:p w14:paraId="62A460F3" w14:textId="46B92897" w:rsidR="006B696C" w:rsidRDefault="006B696C" w:rsidP="006B696C">
            <w:pPr>
              <w:spacing w:before="60" w:after="60"/>
            </w:pPr>
            <w:r>
              <w:t>Attendance Supplement SD</w:t>
            </w:r>
          </w:p>
        </w:tc>
        <w:tc>
          <w:tcPr>
            <w:tcW w:w="3811" w:type="dxa"/>
          </w:tcPr>
          <w:p w14:paraId="572840BD" w14:textId="44EFA209" w:rsidR="006B696C" w:rsidRDefault="006B696C" w:rsidP="006B696C">
            <w:pPr>
              <w:spacing w:before="60" w:after="60"/>
            </w:pPr>
            <w:r>
              <w:t>2021–22 ADA Loss Mitigation – Attendance BA Choice/BA COVPT/Supplement SD</w:t>
            </w:r>
          </w:p>
        </w:tc>
        <w:tc>
          <w:tcPr>
            <w:tcW w:w="3389" w:type="dxa"/>
            <w:vAlign w:val="center"/>
          </w:tcPr>
          <w:p w14:paraId="3E48732B" w14:textId="589F29C3" w:rsidR="006B696C" w:rsidRDefault="006B696C" w:rsidP="006B696C">
            <w:pPr>
              <w:spacing w:before="60" w:after="60"/>
            </w:pPr>
            <w:r>
              <w:t>SD ADA</w:t>
            </w:r>
          </w:p>
        </w:tc>
      </w:tr>
      <w:tr w:rsidR="006B696C" w14:paraId="2BE234AB" w14:textId="080EC288" w:rsidTr="006B696C">
        <w:trPr>
          <w:cantSplit/>
        </w:trPr>
        <w:tc>
          <w:tcPr>
            <w:tcW w:w="2965" w:type="dxa"/>
          </w:tcPr>
          <w:p w14:paraId="134AB6B0" w14:textId="1E2E62F0" w:rsidR="006B696C" w:rsidRDefault="006B696C" w:rsidP="006B696C">
            <w:pPr>
              <w:spacing w:before="60" w:after="60"/>
            </w:pPr>
            <w:r>
              <w:t>NSS</w:t>
            </w:r>
          </w:p>
        </w:tc>
        <w:tc>
          <w:tcPr>
            <w:tcW w:w="3811" w:type="dxa"/>
          </w:tcPr>
          <w:p w14:paraId="344F3B4E" w14:textId="3827FD26" w:rsidR="006B696C" w:rsidRDefault="006B696C" w:rsidP="006B696C">
            <w:pPr>
              <w:spacing w:before="60" w:after="60"/>
            </w:pPr>
            <w:r>
              <w:t>2021–22 ADA Loss Mitigation – NSS</w:t>
            </w:r>
          </w:p>
        </w:tc>
        <w:tc>
          <w:tcPr>
            <w:tcW w:w="3389" w:type="dxa"/>
            <w:vAlign w:val="center"/>
          </w:tcPr>
          <w:p w14:paraId="5EA2F01B" w14:textId="3EB638AE" w:rsidR="006B696C" w:rsidRDefault="006B696C" w:rsidP="006B696C">
            <w:pPr>
              <w:spacing w:before="60" w:after="60"/>
            </w:pPr>
            <w:r>
              <w:t>SD ADA</w:t>
            </w:r>
          </w:p>
        </w:tc>
      </w:tr>
      <w:tr w:rsidR="006B696C" w14:paraId="786A9A8B" w14:textId="4F3C408E" w:rsidTr="006B696C">
        <w:trPr>
          <w:cantSplit/>
        </w:trPr>
        <w:tc>
          <w:tcPr>
            <w:tcW w:w="2965" w:type="dxa"/>
          </w:tcPr>
          <w:p w14:paraId="673DAAF8" w14:textId="55B648E0" w:rsidR="006B696C" w:rsidRDefault="006B696C" w:rsidP="006B696C">
            <w:pPr>
              <w:spacing w:before="60" w:after="60"/>
            </w:pPr>
            <w:r>
              <w:t>Attendance Charter School – All Charter District</w:t>
            </w:r>
          </w:p>
        </w:tc>
        <w:tc>
          <w:tcPr>
            <w:tcW w:w="3811" w:type="dxa"/>
          </w:tcPr>
          <w:p w14:paraId="43D4CB67" w14:textId="71277863" w:rsidR="006B696C" w:rsidRDefault="006B696C" w:rsidP="006B696C">
            <w:pPr>
              <w:spacing w:before="60" w:after="60"/>
            </w:pPr>
            <w:r>
              <w:t xml:space="preserve">2021–22 ADA Loss Mitigation – Charter School Factor </w:t>
            </w:r>
            <w:r w:rsidRPr="00E36B46">
              <w:rPr>
                <w:sz w:val="20"/>
                <w:szCs w:val="20"/>
              </w:rPr>
              <w:t>(</w:t>
            </w:r>
            <w:r w:rsidRPr="00033E35">
              <w:rPr>
                <w:sz w:val="20"/>
                <w:szCs w:val="20"/>
              </w:rPr>
              <w:t xml:space="preserve">plus </w:t>
            </w:r>
            <w:r w:rsidRPr="00EE1FD0">
              <w:rPr>
                <w:sz w:val="20"/>
                <w:szCs w:val="20"/>
              </w:rPr>
              <w:t>adjustments for days of operation and funding determinations</w:t>
            </w:r>
            <w:r>
              <w:rPr>
                <w:sz w:val="20"/>
                <w:szCs w:val="20"/>
              </w:rPr>
              <w:t>)</w:t>
            </w:r>
          </w:p>
        </w:tc>
        <w:tc>
          <w:tcPr>
            <w:tcW w:w="3389" w:type="dxa"/>
            <w:vAlign w:val="center"/>
          </w:tcPr>
          <w:p w14:paraId="558C0A0E" w14:textId="496F8818" w:rsidR="006B696C" w:rsidRDefault="006B696C" w:rsidP="006B696C">
            <w:pPr>
              <w:spacing w:before="60" w:after="60"/>
            </w:pPr>
            <w:r>
              <w:t>SD ADA</w:t>
            </w:r>
          </w:p>
        </w:tc>
      </w:tr>
      <w:tr w:rsidR="006B696C" w14:paraId="3A7A1023" w14:textId="4A9E60DB" w:rsidTr="006B696C">
        <w:trPr>
          <w:cantSplit/>
        </w:trPr>
        <w:tc>
          <w:tcPr>
            <w:tcW w:w="2965" w:type="dxa"/>
          </w:tcPr>
          <w:p w14:paraId="200B5D70" w14:textId="7911431A" w:rsidR="006B696C" w:rsidRDefault="006B696C" w:rsidP="006B696C">
            <w:pPr>
              <w:spacing w:before="60" w:after="60"/>
            </w:pPr>
            <w:r>
              <w:t>Attendance DFCP</w:t>
            </w:r>
          </w:p>
        </w:tc>
        <w:tc>
          <w:tcPr>
            <w:tcW w:w="3811" w:type="dxa"/>
          </w:tcPr>
          <w:p w14:paraId="6F0C58F1" w14:textId="12426926" w:rsidR="006B696C" w:rsidRDefault="006B696C" w:rsidP="006B696C">
            <w:pPr>
              <w:spacing w:before="60" w:after="60"/>
            </w:pPr>
            <w:r>
              <w:t>2021–22 ADA Loss Mitigation – Attendance DFCP</w:t>
            </w:r>
          </w:p>
        </w:tc>
        <w:tc>
          <w:tcPr>
            <w:tcW w:w="3389" w:type="dxa"/>
            <w:vAlign w:val="center"/>
          </w:tcPr>
          <w:p w14:paraId="47BD0BCA" w14:textId="480C111B" w:rsidR="006B696C" w:rsidRDefault="006B696C" w:rsidP="006B696C">
            <w:pPr>
              <w:spacing w:before="60" w:after="60"/>
            </w:pPr>
            <w:r>
              <w:t>SD ADA</w:t>
            </w:r>
          </w:p>
        </w:tc>
      </w:tr>
      <w:tr w:rsidR="006B696C" w14:paraId="7754CF0A" w14:textId="4066E918" w:rsidTr="006B696C">
        <w:trPr>
          <w:cantSplit/>
        </w:trPr>
        <w:tc>
          <w:tcPr>
            <w:tcW w:w="2965" w:type="dxa"/>
            <w:vAlign w:val="center"/>
          </w:tcPr>
          <w:p w14:paraId="38F00B50" w14:textId="63437143" w:rsidR="006B696C" w:rsidRDefault="006B696C" w:rsidP="006B696C">
            <w:pPr>
              <w:spacing w:before="60" w:after="60"/>
            </w:pPr>
            <w:r>
              <w:t>NSS</w:t>
            </w:r>
          </w:p>
        </w:tc>
        <w:tc>
          <w:tcPr>
            <w:tcW w:w="3811" w:type="dxa"/>
            <w:vAlign w:val="center"/>
          </w:tcPr>
          <w:p w14:paraId="6BEEC0D8" w14:textId="18C8A1F6" w:rsidR="006B696C" w:rsidRDefault="006B696C" w:rsidP="006B696C">
            <w:pPr>
              <w:spacing w:before="60" w:after="60"/>
            </w:pPr>
            <w:r>
              <w:t>2021–22 ADA Loss Mitigation – NSS</w:t>
            </w:r>
          </w:p>
        </w:tc>
        <w:tc>
          <w:tcPr>
            <w:tcW w:w="3389" w:type="dxa"/>
            <w:vAlign w:val="center"/>
          </w:tcPr>
          <w:p w14:paraId="416914EE" w14:textId="549A5976" w:rsidR="006B696C" w:rsidRDefault="006B696C" w:rsidP="006B696C">
            <w:pPr>
              <w:spacing w:before="60" w:after="60"/>
            </w:pPr>
            <w:r>
              <w:t>SD Necessary Small Schools Allowance</w:t>
            </w:r>
          </w:p>
        </w:tc>
      </w:tr>
      <w:tr w:rsidR="006B696C" w14:paraId="5DB4A0BB" w14:textId="4485D641" w:rsidTr="006B696C">
        <w:trPr>
          <w:cantSplit/>
        </w:trPr>
        <w:tc>
          <w:tcPr>
            <w:tcW w:w="2965" w:type="dxa"/>
          </w:tcPr>
          <w:p w14:paraId="0582F81E" w14:textId="4521205E" w:rsidR="006B696C" w:rsidRDefault="006B696C" w:rsidP="006B696C">
            <w:pPr>
              <w:spacing w:before="60" w:after="60"/>
            </w:pPr>
            <w:r>
              <w:lastRenderedPageBreak/>
              <w:t>Attendance Charter School</w:t>
            </w:r>
          </w:p>
          <w:p w14:paraId="77C9DAB0" w14:textId="1023028F" w:rsidR="006B696C" w:rsidRDefault="006B696C" w:rsidP="006B696C">
            <w:pPr>
              <w:spacing w:before="60" w:after="60"/>
            </w:pPr>
            <w:r>
              <w:t>Attendance County Program Charter School</w:t>
            </w:r>
          </w:p>
        </w:tc>
        <w:tc>
          <w:tcPr>
            <w:tcW w:w="3811" w:type="dxa"/>
          </w:tcPr>
          <w:p w14:paraId="15D79930" w14:textId="63FA14F6" w:rsidR="006B696C" w:rsidRDefault="006B696C" w:rsidP="006B696C">
            <w:pPr>
              <w:spacing w:before="60" w:after="60"/>
            </w:pPr>
            <w:r>
              <w:t xml:space="preserve">2021–22 ADA Loss Mitigation – Charter School Factor </w:t>
            </w:r>
            <w:r w:rsidRPr="00E36B46">
              <w:rPr>
                <w:sz w:val="20"/>
                <w:szCs w:val="20"/>
              </w:rPr>
              <w:t>(</w:t>
            </w:r>
            <w:r>
              <w:rPr>
                <w:sz w:val="20"/>
                <w:szCs w:val="20"/>
              </w:rPr>
              <w:t>plus</w:t>
            </w:r>
            <w:r w:rsidRPr="00EE1FD0">
              <w:rPr>
                <w:sz w:val="20"/>
                <w:szCs w:val="20"/>
              </w:rPr>
              <w:t xml:space="preserve"> adjustments for days of operation and funding determinations</w:t>
            </w:r>
            <w:r>
              <w:rPr>
                <w:sz w:val="20"/>
                <w:szCs w:val="20"/>
              </w:rPr>
              <w:t>)</w:t>
            </w:r>
          </w:p>
        </w:tc>
        <w:tc>
          <w:tcPr>
            <w:tcW w:w="3389" w:type="dxa"/>
            <w:vAlign w:val="center"/>
          </w:tcPr>
          <w:p w14:paraId="0B1C74AC" w14:textId="5E32236C" w:rsidR="006B696C" w:rsidRDefault="006B696C" w:rsidP="006B696C">
            <w:pPr>
              <w:spacing w:before="60" w:after="60"/>
            </w:pPr>
            <w:r>
              <w:t>Attendance Charter School</w:t>
            </w:r>
          </w:p>
        </w:tc>
      </w:tr>
      <w:tr w:rsidR="006B696C" w14:paraId="0B5C1EEE" w14:textId="1F3D4C88" w:rsidTr="006B696C">
        <w:trPr>
          <w:cantSplit/>
        </w:trPr>
        <w:tc>
          <w:tcPr>
            <w:tcW w:w="2965" w:type="dxa"/>
          </w:tcPr>
          <w:p w14:paraId="75871340" w14:textId="103DD26E" w:rsidR="006B696C" w:rsidRDefault="006B696C" w:rsidP="006B696C">
            <w:pPr>
              <w:spacing w:before="60" w:after="60"/>
            </w:pPr>
            <w:r>
              <w:t>Attendance COE</w:t>
            </w:r>
          </w:p>
        </w:tc>
        <w:tc>
          <w:tcPr>
            <w:tcW w:w="3811" w:type="dxa"/>
          </w:tcPr>
          <w:p w14:paraId="59FA7EFA" w14:textId="0C02FCDC" w:rsidR="006B696C" w:rsidRDefault="006B696C" w:rsidP="006B696C">
            <w:pPr>
              <w:spacing w:before="60" w:after="60"/>
            </w:pPr>
            <w:r>
              <w:t>2021–22 ADA Loss Mitigation –COE</w:t>
            </w:r>
          </w:p>
        </w:tc>
        <w:tc>
          <w:tcPr>
            <w:tcW w:w="3389" w:type="dxa"/>
            <w:vAlign w:val="center"/>
          </w:tcPr>
          <w:p w14:paraId="79E6190E" w14:textId="1DCEBD35" w:rsidR="006B696C" w:rsidRDefault="006B696C" w:rsidP="006B696C">
            <w:pPr>
              <w:spacing w:before="60" w:after="60"/>
            </w:pPr>
            <w:r>
              <w:t xml:space="preserve">County LCFF Calculation </w:t>
            </w:r>
            <w:r w:rsidRPr="00EE1FD0">
              <w:rPr>
                <w:sz w:val="20"/>
                <w:szCs w:val="20"/>
              </w:rPr>
              <w:t>(Alternative Education Grant)</w:t>
            </w:r>
          </w:p>
        </w:tc>
      </w:tr>
      <w:tr w:rsidR="006B696C" w14:paraId="32E2A060" w14:textId="0D6A37B7" w:rsidTr="006B696C">
        <w:trPr>
          <w:cantSplit/>
        </w:trPr>
        <w:tc>
          <w:tcPr>
            <w:tcW w:w="2965" w:type="dxa"/>
          </w:tcPr>
          <w:p w14:paraId="2478B944" w14:textId="60780572" w:rsidR="006B696C" w:rsidRDefault="006B696C" w:rsidP="006B696C">
            <w:pPr>
              <w:spacing w:before="60" w:after="60"/>
            </w:pPr>
            <w:r>
              <w:t>Attendance County Program Charter School</w:t>
            </w:r>
          </w:p>
        </w:tc>
        <w:tc>
          <w:tcPr>
            <w:tcW w:w="3811" w:type="dxa"/>
          </w:tcPr>
          <w:p w14:paraId="4668295D" w14:textId="69AB2F14" w:rsidR="006B696C" w:rsidRDefault="006B696C" w:rsidP="006B696C">
            <w:pPr>
              <w:spacing w:before="240" w:after="60"/>
            </w:pPr>
            <w:r>
              <w:t xml:space="preserve">2021–22 ADA Loss Mitigation – Charter School Factor </w:t>
            </w:r>
            <w:r w:rsidRPr="00E36B46">
              <w:rPr>
                <w:sz w:val="20"/>
                <w:szCs w:val="20"/>
              </w:rPr>
              <w:t>(</w:t>
            </w:r>
            <w:r>
              <w:rPr>
                <w:sz w:val="20"/>
                <w:szCs w:val="20"/>
              </w:rPr>
              <w:t>plus</w:t>
            </w:r>
            <w:r w:rsidRPr="00EE1FD0">
              <w:rPr>
                <w:sz w:val="20"/>
                <w:szCs w:val="20"/>
              </w:rPr>
              <w:t xml:space="preserve"> adjustments for days of operation and funding determinations</w:t>
            </w:r>
            <w:r>
              <w:rPr>
                <w:sz w:val="20"/>
                <w:szCs w:val="20"/>
              </w:rPr>
              <w:t>)</w:t>
            </w:r>
          </w:p>
        </w:tc>
        <w:tc>
          <w:tcPr>
            <w:tcW w:w="3389" w:type="dxa"/>
            <w:vAlign w:val="center"/>
          </w:tcPr>
          <w:p w14:paraId="2507AF73" w14:textId="1B4D3BFB" w:rsidR="006B696C" w:rsidRDefault="006B696C" w:rsidP="006B696C">
            <w:pPr>
              <w:spacing w:before="60" w:after="60"/>
            </w:pPr>
            <w:r>
              <w:t xml:space="preserve">County LCFF Calculation </w:t>
            </w:r>
            <w:r w:rsidRPr="00EE1FD0">
              <w:rPr>
                <w:sz w:val="20"/>
                <w:szCs w:val="20"/>
              </w:rPr>
              <w:t>(Alternative Education Grant)</w:t>
            </w:r>
          </w:p>
        </w:tc>
      </w:tr>
      <w:tr w:rsidR="006B696C" w14:paraId="134208F4" w14:textId="2834C55F" w:rsidTr="006B696C">
        <w:trPr>
          <w:cantSplit/>
        </w:trPr>
        <w:tc>
          <w:tcPr>
            <w:tcW w:w="2965" w:type="dxa"/>
          </w:tcPr>
          <w:p w14:paraId="681B5937" w14:textId="6C47792E" w:rsidR="006B696C" w:rsidRDefault="006B696C" w:rsidP="006B696C">
            <w:pPr>
              <w:spacing w:before="60" w:after="60"/>
            </w:pPr>
            <w:r>
              <w:t>Attendance DFCP</w:t>
            </w:r>
          </w:p>
        </w:tc>
        <w:tc>
          <w:tcPr>
            <w:tcW w:w="3811" w:type="dxa"/>
          </w:tcPr>
          <w:p w14:paraId="7C3A7B21" w14:textId="673A0414" w:rsidR="006B696C" w:rsidRDefault="006B696C" w:rsidP="006B696C">
            <w:pPr>
              <w:spacing w:before="60" w:after="60"/>
            </w:pPr>
            <w:r>
              <w:t>2021–22 ADA Loss Mitigation – Attendance DFCP</w:t>
            </w:r>
          </w:p>
        </w:tc>
        <w:tc>
          <w:tcPr>
            <w:tcW w:w="3389" w:type="dxa"/>
            <w:vAlign w:val="center"/>
          </w:tcPr>
          <w:p w14:paraId="6A928D42" w14:textId="29B1E1EB" w:rsidR="006B696C" w:rsidRDefault="006B696C" w:rsidP="006B696C">
            <w:pPr>
              <w:spacing w:before="60" w:after="60"/>
            </w:pPr>
            <w:r>
              <w:t>SD/COE Transfer of Funds for District Funded County Programs</w:t>
            </w:r>
          </w:p>
        </w:tc>
      </w:tr>
      <w:tr w:rsidR="006B696C" w14:paraId="02287DA1" w14:textId="1B11A191" w:rsidTr="006B696C">
        <w:trPr>
          <w:cantSplit/>
        </w:trPr>
        <w:tc>
          <w:tcPr>
            <w:tcW w:w="2965" w:type="dxa"/>
          </w:tcPr>
          <w:p w14:paraId="675E224C" w14:textId="775D842C" w:rsidR="006B696C" w:rsidRDefault="006B696C" w:rsidP="006B696C">
            <w:pPr>
              <w:spacing w:before="60" w:after="60"/>
            </w:pPr>
            <w:r>
              <w:t>Attendance BA Choice/COVPT</w:t>
            </w:r>
          </w:p>
        </w:tc>
        <w:tc>
          <w:tcPr>
            <w:tcW w:w="3811" w:type="dxa"/>
          </w:tcPr>
          <w:p w14:paraId="2156BD84" w14:textId="37BB7019" w:rsidR="006B696C" w:rsidRDefault="006B696C" w:rsidP="006B696C">
            <w:pPr>
              <w:spacing w:before="60" w:after="60"/>
            </w:pPr>
            <w:r>
              <w:t>2021–22 ADA Loss Mitigation – Attendance BA Choice/BA COVPT/Supplement SD</w:t>
            </w:r>
          </w:p>
        </w:tc>
        <w:tc>
          <w:tcPr>
            <w:tcW w:w="3389" w:type="dxa"/>
            <w:vAlign w:val="center"/>
          </w:tcPr>
          <w:p w14:paraId="3F9FA6A5" w14:textId="5273C6FB" w:rsidR="006B696C" w:rsidRDefault="006B696C" w:rsidP="006B696C">
            <w:pPr>
              <w:spacing w:before="60" w:after="60"/>
            </w:pPr>
            <w:r>
              <w:t>SD BA Choice Calculation</w:t>
            </w:r>
          </w:p>
          <w:p w14:paraId="17B126C1" w14:textId="68979A91" w:rsidR="006B696C" w:rsidRDefault="006B696C" w:rsidP="006B696C">
            <w:pPr>
              <w:spacing w:before="60" w:after="60"/>
            </w:pPr>
            <w:r>
              <w:t>SD BA COVPT Calculation</w:t>
            </w:r>
          </w:p>
        </w:tc>
      </w:tr>
      <w:tr w:rsidR="006B696C" w14:paraId="324774D7" w14:textId="3FAE1FDC" w:rsidTr="006B696C">
        <w:trPr>
          <w:cantSplit/>
        </w:trPr>
        <w:tc>
          <w:tcPr>
            <w:tcW w:w="2965" w:type="dxa"/>
          </w:tcPr>
          <w:p w14:paraId="1ED457ED" w14:textId="78ADF10A" w:rsidR="006B696C" w:rsidRDefault="006B696C" w:rsidP="006B696C">
            <w:pPr>
              <w:spacing w:before="60" w:after="60"/>
            </w:pPr>
            <w:r>
              <w:t>Basic Aid Supplement Charter School</w:t>
            </w:r>
          </w:p>
        </w:tc>
        <w:tc>
          <w:tcPr>
            <w:tcW w:w="3811" w:type="dxa"/>
          </w:tcPr>
          <w:p w14:paraId="533DEE4C" w14:textId="2CC83A16" w:rsidR="006B696C" w:rsidRDefault="006B696C" w:rsidP="006B696C">
            <w:pPr>
              <w:spacing w:before="60" w:after="60"/>
            </w:pPr>
            <w:r>
              <w:t xml:space="preserve">2021–22 ADA Loss Mitigation – Charter School Factor </w:t>
            </w:r>
            <w:r w:rsidRPr="00E36B46">
              <w:rPr>
                <w:sz w:val="20"/>
                <w:szCs w:val="20"/>
              </w:rPr>
              <w:t>(</w:t>
            </w:r>
            <w:r>
              <w:rPr>
                <w:sz w:val="20"/>
                <w:szCs w:val="20"/>
              </w:rPr>
              <w:t>plus</w:t>
            </w:r>
            <w:r w:rsidRPr="00EE1FD0">
              <w:rPr>
                <w:sz w:val="20"/>
                <w:szCs w:val="20"/>
              </w:rPr>
              <w:t xml:space="preserve"> adjustments for days of operation and funding determinations</w:t>
            </w:r>
            <w:r>
              <w:rPr>
                <w:sz w:val="20"/>
                <w:szCs w:val="20"/>
              </w:rPr>
              <w:t>)</w:t>
            </w:r>
          </w:p>
        </w:tc>
        <w:tc>
          <w:tcPr>
            <w:tcW w:w="3389" w:type="dxa"/>
            <w:vAlign w:val="center"/>
          </w:tcPr>
          <w:p w14:paraId="09EBB33A" w14:textId="48249D2A" w:rsidR="006B696C" w:rsidRDefault="006B696C" w:rsidP="006B696C">
            <w:pPr>
              <w:spacing w:before="60" w:after="60"/>
            </w:pPr>
            <w:r>
              <w:t>SD BA Supplement Calculation</w:t>
            </w:r>
          </w:p>
        </w:tc>
      </w:tr>
      <w:tr w:rsidR="006B696C" w14:paraId="34F8B646" w14:textId="5407CF14" w:rsidTr="006B696C">
        <w:trPr>
          <w:cantSplit/>
        </w:trPr>
        <w:tc>
          <w:tcPr>
            <w:tcW w:w="2965" w:type="dxa"/>
          </w:tcPr>
          <w:p w14:paraId="016F07DA" w14:textId="77039C46" w:rsidR="006B696C" w:rsidRDefault="006B696C" w:rsidP="006B696C">
            <w:pPr>
              <w:spacing w:before="60" w:after="60"/>
            </w:pPr>
            <w:r>
              <w:t>Various ADA data entry screens</w:t>
            </w:r>
          </w:p>
        </w:tc>
        <w:tc>
          <w:tcPr>
            <w:tcW w:w="3811" w:type="dxa"/>
          </w:tcPr>
          <w:p w14:paraId="1B8CF61D" w14:textId="6E542825" w:rsidR="006B696C" w:rsidRDefault="006B696C" w:rsidP="006B696C">
            <w:pPr>
              <w:spacing w:before="60" w:after="60"/>
            </w:pPr>
            <w:r>
              <w:t>All of the above</w:t>
            </w:r>
          </w:p>
        </w:tc>
        <w:tc>
          <w:tcPr>
            <w:tcW w:w="3389" w:type="dxa"/>
            <w:vAlign w:val="center"/>
          </w:tcPr>
          <w:p w14:paraId="09CA67B1" w14:textId="31EFB537" w:rsidR="006B696C" w:rsidRDefault="006B696C" w:rsidP="006B696C">
            <w:pPr>
              <w:spacing w:before="60" w:after="60"/>
            </w:pPr>
            <w:r>
              <w:t>EPA, County Operations Grant, Local Revenue Detail by District of Residence, SD Local Revenue</w:t>
            </w:r>
          </w:p>
        </w:tc>
      </w:tr>
    </w:tbl>
    <w:p w14:paraId="31657DC3" w14:textId="0B71428A" w:rsidR="00A11C34" w:rsidRDefault="00A11C34" w:rsidP="00F90166">
      <w:pPr>
        <w:spacing w:before="480"/>
      </w:pPr>
      <w:r w:rsidRPr="00A11C34">
        <w:rPr>
          <w:b/>
        </w:rPr>
        <w:t>Questions</w:t>
      </w:r>
    </w:p>
    <w:p w14:paraId="3013B440" w14:textId="4BB2935A" w:rsidR="00A11C34" w:rsidRPr="00E634EC" w:rsidRDefault="00A11C34" w:rsidP="00E634EC">
      <w:r>
        <w:t xml:space="preserve">Please contact the Principal Apportionment Section at </w:t>
      </w:r>
      <w:hyperlink r:id="rId8" w:tooltip="Principal Apportionment Section email" w:history="1">
        <w:r w:rsidRPr="00D77A8C">
          <w:rPr>
            <w:rStyle w:val="Hyperlink"/>
          </w:rPr>
          <w:t>PASE@cde.ca.gov</w:t>
        </w:r>
      </w:hyperlink>
      <w:r>
        <w:t>.</w:t>
      </w:r>
    </w:p>
    <w:sectPr w:rsidR="00A11C34" w:rsidRPr="00E634EC" w:rsidSect="001964FA">
      <w:headerReference w:type="default" r:id="rId9"/>
      <w:pgSz w:w="12240" w:h="15840"/>
      <w:pgMar w:top="1440" w:right="1008" w:bottom="1152" w:left="1008"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39E8B" w14:textId="77777777" w:rsidR="00CF6706" w:rsidRDefault="00CF6706" w:rsidP="00AC4158">
      <w:pPr>
        <w:spacing w:after="0"/>
      </w:pPr>
      <w:r>
        <w:separator/>
      </w:r>
    </w:p>
  </w:endnote>
  <w:endnote w:type="continuationSeparator" w:id="0">
    <w:p w14:paraId="6DEF9446" w14:textId="77777777" w:rsidR="00CF6706" w:rsidRDefault="00CF6706" w:rsidP="00AC41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ED9E5" w14:textId="77777777" w:rsidR="00CF6706" w:rsidRDefault="00CF6706" w:rsidP="00AC4158">
      <w:pPr>
        <w:spacing w:after="0"/>
      </w:pPr>
      <w:r>
        <w:separator/>
      </w:r>
    </w:p>
  </w:footnote>
  <w:footnote w:type="continuationSeparator" w:id="0">
    <w:p w14:paraId="481F016B" w14:textId="77777777" w:rsidR="00CF6706" w:rsidRDefault="00CF6706" w:rsidP="00AC41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F40A" w14:textId="26E18B2F" w:rsidR="00AC4158" w:rsidRPr="009E29D1" w:rsidRDefault="0028486E" w:rsidP="009E29D1">
    <w:pPr>
      <w:pStyle w:val="Header"/>
      <w:tabs>
        <w:tab w:val="clear" w:pos="9360"/>
        <w:tab w:val="right" w:pos="10224"/>
      </w:tabs>
    </w:pPr>
    <w:r w:rsidRPr="009E29D1">
      <w:rPr>
        <w:i/>
      </w:rPr>
      <w:t>California Department of Education</w:t>
    </w:r>
    <w:r w:rsidRPr="009E29D1">
      <w:rPr>
        <w:i/>
      </w:rPr>
      <w:br/>
      <w:t>Principal Apportionment Section</w:t>
    </w:r>
    <w:r w:rsidR="009E29D1">
      <w:t xml:space="preserve"> </w:t>
    </w:r>
    <w:r w:rsidR="009E29D1">
      <w:tab/>
    </w:r>
    <w:r w:rsidR="009E29D1">
      <w:tab/>
      <w:t xml:space="preserve">Page </w:t>
    </w:r>
    <w:r w:rsidR="009E29D1">
      <w:fldChar w:fldCharType="begin"/>
    </w:r>
    <w:r w:rsidR="009E29D1">
      <w:instrText xml:space="preserve"> PAGE  \* Arabic  \* MERGEFORMAT </w:instrText>
    </w:r>
    <w:r w:rsidR="009E29D1">
      <w:fldChar w:fldCharType="separate"/>
    </w:r>
    <w:r w:rsidR="009E29D1">
      <w:rPr>
        <w:noProof/>
      </w:rPr>
      <w:t>1</w:t>
    </w:r>
    <w:r w:rsidR="009E29D1">
      <w:fldChar w:fldCharType="end"/>
    </w:r>
  </w:p>
  <w:p w14:paraId="3997A3AA" w14:textId="77777777" w:rsidR="009E29D1" w:rsidRDefault="009E29D1" w:rsidP="00284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406824"/>
    <w:multiLevelType w:val="hybridMultilevel"/>
    <w:tmpl w:val="DB4ED264"/>
    <w:lvl w:ilvl="0" w:tplc="F7FE798C">
      <w:start w:val="1"/>
      <w:numFmt w:val="bullet"/>
      <w:lvlText w:val="•"/>
      <w:lvlJc w:val="left"/>
      <w:pPr>
        <w:tabs>
          <w:tab w:val="num" w:pos="720"/>
        </w:tabs>
        <w:ind w:left="720" w:hanging="360"/>
      </w:pPr>
      <w:rPr>
        <w:rFonts w:ascii="Arial" w:hAnsi="Arial" w:hint="default"/>
      </w:rPr>
    </w:lvl>
    <w:lvl w:ilvl="1" w:tplc="77DC99D2" w:tentative="1">
      <w:start w:val="1"/>
      <w:numFmt w:val="bullet"/>
      <w:lvlText w:val="•"/>
      <w:lvlJc w:val="left"/>
      <w:pPr>
        <w:tabs>
          <w:tab w:val="num" w:pos="1440"/>
        </w:tabs>
        <w:ind w:left="1440" w:hanging="360"/>
      </w:pPr>
      <w:rPr>
        <w:rFonts w:ascii="Arial" w:hAnsi="Arial" w:hint="default"/>
      </w:rPr>
    </w:lvl>
    <w:lvl w:ilvl="2" w:tplc="88E8B752" w:tentative="1">
      <w:start w:val="1"/>
      <w:numFmt w:val="bullet"/>
      <w:lvlText w:val="•"/>
      <w:lvlJc w:val="left"/>
      <w:pPr>
        <w:tabs>
          <w:tab w:val="num" w:pos="2160"/>
        </w:tabs>
        <w:ind w:left="2160" w:hanging="360"/>
      </w:pPr>
      <w:rPr>
        <w:rFonts w:ascii="Arial" w:hAnsi="Arial" w:hint="default"/>
      </w:rPr>
    </w:lvl>
    <w:lvl w:ilvl="3" w:tplc="7178A25E" w:tentative="1">
      <w:start w:val="1"/>
      <w:numFmt w:val="bullet"/>
      <w:lvlText w:val="•"/>
      <w:lvlJc w:val="left"/>
      <w:pPr>
        <w:tabs>
          <w:tab w:val="num" w:pos="2880"/>
        </w:tabs>
        <w:ind w:left="2880" w:hanging="360"/>
      </w:pPr>
      <w:rPr>
        <w:rFonts w:ascii="Arial" w:hAnsi="Arial" w:hint="default"/>
      </w:rPr>
    </w:lvl>
    <w:lvl w:ilvl="4" w:tplc="5D005F9A" w:tentative="1">
      <w:start w:val="1"/>
      <w:numFmt w:val="bullet"/>
      <w:lvlText w:val="•"/>
      <w:lvlJc w:val="left"/>
      <w:pPr>
        <w:tabs>
          <w:tab w:val="num" w:pos="3600"/>
        </w:tabs>
        <w:ind w:left="3600" w:hanging="360"/>
      </w:pPr>
      <w:rPr>
        <w:rFonts w:ascii="Arial" w:hAnsi="Arial" w:hint="default"/>
      </w:rPr>
    </w:lvl>
    <w:lvl w:ilvl="5" w:tplc="1362EC42" w:tentative="1">
      <w:start w:val="1"/>
      <w:numFmt w:val="bullet"/>
      <w:lvlText w:val="•"/>
      <w:lvlJc w:val="left"/>
      <w:pPr>
        <w:tabs>
          <w:tab w:val="num" w:pos="4320"/>
        </w:tabs>
        <w:ind w:left="4320" w:hanging="360"/>
      </w:pPr>
      <w:rPr>
        <w:rFonts w:ascii="Arial" w:hAnsi="Arial" w:hint="default"/>
      </w:rPr>
    </w:lvl>
    <w:lvl w:ilvl="6" w:tplc="5DA4D732" w:tentative="1">
      <w:start w:val="1"/>
      <w:numFmt w:val="bullet"/>
      <w:lvlText w:val="•"/>
      <w:lvlJc w:val="left"/>
      <w:pPr>
        <w:tabs>
          <w:tab w:val="num" w:pos="5040"/>
        </w:tabs>
        <w:ind w:left="5040" w:hanging="360"/>
      </w:pPr>
      <w:rPr>
        <w:rFonts w:ascii="Arial" w:hAnsi="Arial" w:hint="default"/>
      </w:rPr>
    </w:lvl>
    <w:lvl w:ilvl="7" w:tplc="36EA0F7A" w:tentative="1">
      <w:start w:val="1"/>
      <w:numFmt w:val="bullet"/>
      <w:lvlText w:val="•"/>
      <w:lvlJc w:val="left"/>
      <w:pPr>
        <w:tabs>
          <w:tab w:val="num" w:pos="5760"/>
        </w:tabs>
        <w:ind w:left="5760" w:hanging="360"/>
      </w:pPr>
      <w:rPr>
        <w:rFonts w:ascii="Arial" w:hAnsi="Arial" w:hint="default"/>
      </w:rPr>
    </w:lvl>
    <w:lvl w:ilvl="8" w:tplc="2B56CA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1B23C7"/>
    <w:multiLevelType w:val="hybridMultilevel"/>
    <w:tmpl w:val="615CA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77AFB"/>
    <w:multiLevelType w:val="hybridMultilevel"/>
    <w:tmpl w:val="89BC8180"/>
    <w:lvl w:ilvl="0" w:tplc="7CC4E4A6">
      <w:start w:val="1"/>
      <w:numFmt w:val="bullet"/>
      <w:lvlText w:val="•"/>
      <w:lvlJc w:val="left"/>
      <w:pPr>
        <w:tabs>
          <w:tab w:val="num" w:pos="720"/>
        </w:tabs>
        <w:ind w:left="720" w:hanging="360"/>
      </w:pPr>
      <w:rPr>
        <w:rFonts w:ascii="Arial" w:hAnsi="Arial" w:hint="default"/>
      </w:rPr>
    </w:lvl>
    <w:lvl w:ilvl="1" w:tplc="4B183C7A">
      <w:start w:val="1"/>
      <w:numFmt w:val="bullet"/>
      <w:lvlText w:val="•"/>
      <w:lvlJc w:val="left"/>
      <w:pPr>
        <w:tabs>
          <w:tab w:val="num" w:pos="1440"/>
        </w:tabs>
        <w:ind w:left="1440" w:hanging="360"/>
      </w:pPr>
      <w:rPr>
        <w:rFonts w:ascii="Arial" w:hAnsi="Arial" w:hint="default"/>
      </w:rPr>
    </w:lvl>
    <w:lvl w:ilvl="2" w:tplc="725488C8" w:tentative="1">
      <w:start w:val="1"/>
      <w:numFmt w:val="bullet"/>
      <w:lvlText w:val="•"/>
      <w:lvlJc w:val="left"/>
      <w:pPr>
        <w:tabs>
          <w:tab w:val="num" w:pos="2160"/>
        </w:tabs>
        <w:ind w:left="2160" w:hanging="360"/>
      </w:pPr>
      <w:rPr>
        <w:rFonts w:ascii="Arial" w:hAnsi="Arial" w:hint="default"/>
      </w:rPr>
    </w:lvl>
    <w:lvl w:ilvl="3" w:tplc="E3E2F19E" w:tentative="1">
      <w:start w:val="1"/>
      <w:numFmt w:val="bullet"/>
      <w:lvlText w:val="•"/>
      <w:lvlJc w:val="left"/>
      <w:pPr>
        <w:tabs>
          <w:tab w:val="num" w:pos="2880"/>
        </w:tabs>
        <w:ind w:left="2880" w:hanging="360"/>
      </w:pPr>
      <w:rPr>
        <w:rFonts w:ascii="Arial" w:hAnsi="Arial" w:hint="default"/>
      </w:rPr>
    </w:lvl>
    <w:lvl w:ilvl="4" w:tplc="EFB45CF0" w:tentative="1">
      <w:start w:val="1"/>
      <w:numFmt w:val="bullet"/>
      <w:lvlText w:val="•"/>
      <w:lvlJc w:val="left"/>
      <w:pPr>
        <w:tabs>
          <w:tab w:val="num" w:pos="3600"/>
        </w:tabs>
        <w:ind w:left="3600" w:hanging="360"/>
      </w:pPr>
      <w:rPr>
        <w:rFonts w:ascii="Arial" w:hAnsi="Arial" w:hint="default"/>
      </w:rPr>
    </w:lvl>
    <w:lvl w:ilvl="5" w:tplc="E012C8FC" w:tentative="1">
      <w:start w:val="1"/>
      <w:numFmt w:val="bullet"/>
      <w:lvlText w:val="•"/>
      <w:lvlJc w:val="left"/>
      <w:pPr>
        <w:tabs>
          <w:tab w:val="num" w:pos="4320"/>
        </w:tabs>
        <w:ind w:left="4320" w:hanging="360"/>
      </w:pPr>
      <w:rPr>
        <w:rFonts w:ascii="Arial" w:hAnsi="Arial" w:hint="default"/>
      </w:rPr>
    </w:lvl>
    <w:lvl w:ilvl="6" w:tplc="FE52392A" w:tentative="1">
      <w:start w:val="1"/>
      <w:numFmt w:val="bullet"/>
      <w:lvlText w:val="•"/>
      <w:lvlJc w:val="left"/>
      <w:pPr>
        <w:tabs>
          <w:tab w:val="num" w:pos="5040"/>
        </w:tabs>
        <w:ind w:left="5040" w:hanging="360"/>
      </w:pPr>
      <w:rPr>
        <w:rFonts w:ascii="Arial" w:hAnsi="Arial" w:hint="default"/>
      </w:rPr>
    </w:lvl>
    <w:lvl w:ilvl="7" w:tplc="70E812C0" w:tentative="1">
      <w:start w:val="1"/>
      <w:numFmt w:val="bullet"/>
      <w:lvlText w:val="•"/>
      <w:lvlJc w:val="left"/>
      <w:pPr>
        <w:tabs>
          <w:tab w:val="num" w:pos="5760"/>
        </w:tabs>
        <w:ind w:left="5760" w:hanging="360"/>
      </w:pPr>
      <w:rPr>
        <w:rFonts w:ascii="Arial" w:hAnsi="Arial" w:hint="default"/>
      </w:rPr>
    </w:lvl>
    <w:lvl w:ilvl="8" w:tplc="B82E68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D1769D"/>
    <w:multiLevelType w:val="hybridMultilevel"/>
    <w:tmpl w:val="5036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542C7"/>
    <w:multiLevelType w:val="hybridMultilevel"/>
    <w:tmpl w:val="CF0820CE"/>
    <w:lvl w:ilvl="0" w:tplc="C88C4E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863E1E"/>
    <w:multiLevelType w:val="hybridMultilevel"/>
    <w:tmpl w:val="B2CA6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5D7D5E"/>
    <w:multiLevelType w:val="hybridMultilevel"/>
    <w:tmpl w:val="69E4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45587"/>
    <w:multiLevelType w:val="hybridMultilevel"/>
    <w:tmpl w:val="B39AA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CE3B1B"/>
    <w:multiLevelType w:val="hybridMultilevel"/>
    <w:tmpl w:val="69E4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C6777"/>
    <w:multiLevelType w:val="hybridMultilevel"/>
    <w:tmpl w:val="FB2096E0"/>
    <w:lvl w:ilvl="0" w:tplc="9A3EEADE">
      <w:start w:val="1"/>
      <w:numFmt w:val="decimal"/>
      <w:lvlText w:val="%1."/>
      <w:lvlJc w:val="left"/>
      <w:pPr>
        <w:tabs>
          <w:tab w:val="num" w:pos="720"/>
        </w:tabs>
        <w:ind w:left="720" w:hanging="360"/>
      </w:pPr>
    </w:lvl>
    <w:lvl w:ilvl="1" w:tplc="F828B966" w:tentative="1">
      <w:start w:val="1"/>
      <w:numFmt w:val="decimal"/>
      <w:lvlText w:val="%2."/>
      <w:lvlJc w:val="left"/>
      <w:pPr>
        <w:tabs>
          <w:tab w:val="num" w:pos="1440"/>
        </w:tabs>
        <w:ind w:left="1440" w:hanging="360"/>
      </w:pPr>
    </w:lvl>
    <w:lvl w:ilvl="2" w:tplc="F4ECC5B4" w:tentative="1">
      <w:start w:val="1"/>
      <w:numFmt w:val="decimal"/>
      <w:lvlText w:val="%3."/>
      <w:lvlJc w:val="left"/>
      <w:pPr>
        <w:tabs>
          <w:tab w:val="num" w:pos="2160"/>
        </w:tabs>
        <w:ind w:left="2160" w:hanging="360"/>
      </w:pPr>
    </w:lvl>
    <w:lvl w:ilvl="3" w:tplc="2D72EC82" w:tentative="1">
      <w:start w:val="1"/>
      <w:numFmt w:val="decimal"/>
      <w:lvlText w:val="%4."/>
      <w:lvlJc w:val="left"/>
      <w:pPr>
        <w:tabs>
          <w:tab w:val="num" w:pos="2880"/>
        </w:tabs>
        <w:ind w:left="2880" w:hanging="360"/>
      </w:pPr>
    </w:lvl>
    <w:lvl w:ilvl="4" w:tplc="CE308B2E" w:tentative="1">
      <w:start w:val="1"/>
      <w:numFmt w:val="decimal"/>
      <w:lvlText w:val="%5."/>
      <w:lvlJc w:val="left"/>
      <w:pPr>
        <w:tabs>
          <w:tab w:val="num" w:pos="3600"/>
        </w:tabs>
        <w:ind w:left="3600" w:hanging="360"/>
      </w:pPr>
    </w:lvl>
    <w:lvl w:ilvl="5" w:tplc="D18C9DE2" w:tentative="1">
      <w:start w:val="1"/>
      <w:numFmt w:val="decimal"/>
      <w:lvlText w:val="%6."/>
      <w:lvlJc w:val="left"/>
      <w:pPr>
        <w:tabs>
          <w:tab w:val="num" w:pos="4320"/>
        </w:tabs>
        <w:ind w:left="4320" w:hanging="360"/>
      </w:pPr>
    </w:lvl>
    <w:lvl w:ilvl="6" w:tplc="8580F472" w:tentative="1">
      <w:start w:val="1"/>
      <w:numFmt w:val="decimal"/>
      <w:lvlText w:val="%7."/>
      <w:lvlJc w:val="left"/>
      <w:pPr>
        <w:tabs>
          <w:tab w:val="num" w:pos="5040"/>
        </w:tabs>
        <w:ind w:left="5040" w:hanging="360"/>
      </w:pPr>
    </w:lvl>
    <w:lvl w:ilvl="7" w:tplc="78921880" w:tentative="1">
      <w:start w:val="1"/>
      <w:numFmt w:val="decimal"/>
      <w:lvlText w:val="%8."/>
      <w:lvlJc w:val="left"/>
      <w:pPr>
        <w:tabs>
          <w:tab w:val="num" w:pos="5760"/>
        </w:tabs>
        <w:ind w:left="5760" w:hanging="360"/>
      </w:pPr>
    </w:lvl>
    <w:lvl w:ilvl="8" w:tplc="4192DB22" w:tentative="1">
      <w:start w:val="1"/>
      <w:numFmt w:val="decimal"/>
      <w:lvlText w:val="%9."/>
      <w:lvlJc w:val="left"/>
      <w:pPr>
        <w:tabs>
          <w:tab w:val="num" w:pos="6480"/>
        </w:tabs>
        <w:ind w:left="6480" w:hanging="360"/>
      </w:pPr>
    </w:lvl>
  </w:abstractNum>
  <w:abstractNum w:abstractNumId="20" w15:restartNumberingAfterBreak="0">
    <w:nsid w:val="68D33588"/>
    <w:multiLevelType w:val="hybridMultilevel"/>
    <w:tmpl w:val="DD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F0BA8"/>
    <w:multiLevelType w:val="hybridMultilevel"/>
    <w:tmpl w:val="D98C5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21"/>
  </w:num>
  <w:num w:numId="15">
    <w:abstractNumId w:val="18"/>
  </w:num>
  <w:num w:numId="16">
    <w:abstractNumId w:val="16"/>
  </w:num>
  <w:num w:numId="17">
    <w:abstractNumId w:val="20"/>
  </w:num>
  <w:num w:numId="18">
    <w:abstractNumId w:val="12"/>
  </w:num>
  <w:num w:numId="19">
    <w:abstractNumId w:val="19"/>
  </w:num>
  <w:num w:numId="20">
    <w:abstractNumId w:val="10"/>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7C"/>
    <w:rsid w:val="00033E35"/>
    <w:rsid w:val="00041E96"/>
    <w:rsid w:val="0005206B"/>
    <w:rsid w:val="000C12AA"/>
    <w:rsid w:val="000C5FD0"/>
    <w:rsid w:val="000F7AF5"/>
    <w:rsid w:val="00105C47"/>
    <w:rsid w:val="00161238"/>
    <w:rsid w:val="00186830"/>
    <w:rsid w:val="00192EF7"/>
    <w:rsid w:val="001964FA"/>
    <w:rsid w:val="00197429"/>
    <w:rsid w:val="001A0CA5"/>
    <w:rsid w:val="001D28E4"/>
    <w:rsid w:val="001D728C"/>
    <w:rsid w:val="001F36C9"/>
    <w:rsid w:val="002157C7"/>
    <w:rsid w:val="00223F78"/>
    <w:rsid w:val="002317BF"/>
    <w:rsid w:val="00254AD1"/>
    <w:rsid w:val="0027417C"/>
    <w:rsid w:val="0028486E"/>
    <w:rsid w:val="002C5C36"/>
    <w:rsid w:val="002E4CB5"/>
    <w:rsid w:val="00324602"/>
    <w:rsid w:val="003518E2"/>
    <w:rsid w:val="003637AB"/>
    <w:rsid w:val="0037076B"/>
    <w:rsid w:val="003A3555"/>
    <w:rsid w:val="003A3918"/>
    <w:rsid w:val="00423698"/>
    <w:rsid w:val="00430734"/>
    <w:rsid w:val="00437E27"/>
    <w:rsid w:val="00460733"/>
    <w:rsid w:val="004B4407"/>
    <w:rsid w:val="004C1C80"/>
    <w:rsid w:val="004D58E8"/>
    <w:rsid w:val="004E1D0B"/>
    <w:rsid w:val="004E7AC1"/>
    <w:rsid w:val="00501188"/>
    <w:rsid w:val="00517A71"/>
    <w:rsid w:val="00543B60"/>
    <w:rsid w:val="00551EDE"/>
    <w:rsid w:val="005535B9"/>
    <w:rsid w:val="00564EC7"/>
    <w:rsid w:val="00582D7F"/>
    <w:rsid w:val="005C5B70"/>
    <w:rsid w:val="005C7440"/>
    <w:rsid w:val="005F6616"/>
    <w:rsid w:val="00661489"/>
    <w:rsid w:val="006651CF"/>
    <w:rsid w:val="006B696C"/>
    <w:rsid w:val="006C65A7"/>
    <w:rsid w:val="006D11F0"/>
    <w:rsid w:val="007030DE"/>
    <w:rsid w:val="00705288"/>
    <w:rsid w:val="0074154B"/>
    <w:rsid w:val="007428B8"/>
    <w:rsid w:val="0074444D"/>
    <w:rsid w:val="00766EC4"/>
    <w:rsid w:val="007A01B4"/>
    <w:rsid w:val="007C5D78"/>
    <w:rsid w:val="007E5BF1"/>
    <w:rsid w:val="007E64ED"/>
    <w:rsid w:val="007F5F3F"/>
    <w:rsid w:val="0081256C"/>
    <w:rsid w:val="00830D62"/>
    <w:rsid w:val="00834657"/>
    <w:rsid w:val="0084679B"/>
    <w:rsid w:val="00854C03"/>
    <w:rsid w:val="0086524C"/>
    <w:rsid w:val="00891D4B"/>
    <w:rsid w:val="008B521D"/>
    <w:rsid w:val="008E1F9C"/>
    <w:rsid w:val="008E4D20"/>
    <w:rsid w:val="00912B74"/>
    <w:rsid w:val="009400C8"/>
    <w:rsid w:val="009420B8"/>
    <w:rsid w:val="00946EAD"/>
    <w:rsid w:val="009775BD"/>
    <w:rsid w:val="00984ED6"/>
    <w:rsid w:val="00985C28"/>
    <w:rsid w:val="009940BE"/>
    <w:rsid w:val="009947B8"/>
    <w:rsid w:val="009B3E8C"/>
    <w:rsid w:val="009B5FF0"/>
    <w:rsid w:val="009B65CD"/>
    <w:rsid w:val="009B7BAC"/>
    <w:rsid w:val="009C70F5"/>
    <w:rsid w:val="009C7F7E"/>
    <w:rsid w:val="009E29D1"/>
    <w:rsid w:val="009E3B6A"/>
    <w:rsid w:val="00A11C34"/>
    <w:rsid w:val="00A535CD"/>
    <w:rsid w:val="00AA3F53"/>
    <w:rsid w:val="00AA506F"/>
    <w:rsid w:val="00AB1165"/>
    <w:rsid w:val="00AC4158"/>
    <w:rsid w:val="00AC7803"/>
    <w:rsid w:val="00AE0C8E"/>
    <w:rsid w:val="00AF0211"/>
    <w:rsid w:val="00AF233F"/>
    <w:rsid w:val="00AF60A8"/>
    <w:rsid w:val="00B072E5"/>
    <w:rsid w:val="00B21101"/>
    <w:rsid w:val="00B43BA0"/>
    <w:rsid w:val="00B464F6"/>
    <w:rsid w:val="00B86F85"/>
    <w:rsid w:val="00BA0348"/>
    <w:rsid w:val="00BA2557"/>
    <w:rsid w:val="00BB1847"/>
    <w:rsid w:val="00BB5380"/>
    <w:rsid w:val="00BC76C9"/>
    <w:rsid w:val="00BC7B3E"/>
    <w:rsid w:val="00BE1754"/>
    <w:rsid w:val="00BE4201"/>
    <w:rsid w:val="00C00094"/>
    <w:rsid w:val="00C00354"/>
    <w:rsid w:val="00C1221C"/>
    <w:rsid w:val="00C177CB"/>
    <w:rsid w:val="00C21731"/>
    <w:rsid w:val="00C270B5"/>
    <w:rsid w:val="00C338CB"/>
    <w:rsid w:val="00C35021"/>
    <w:rsid w:val="00C45736"/>
    <w:rsid w:val="00C52FAC"/>
    <w:rsid w:val="00C6338A"/>
    <w:rsid w:val="00C7064D"/>
    <w:rsid w:val="00C82975"/>
    <w:rsid w:val="00C97AB0"/>
    <w:rsid w:val="00CA522C"/>
    <w:rsid w:val="00CA6E47"/>
    <w:rsid w:val="00CB6664"/>
    <w:rsid w:val="00CC4B74"/>
    <w:rsid w:val="00CF6706"/>
    <w:rsid w:val="00D11A5E"/>
    <w:rsid w:val="00D15074"/>
    <w:rsid w:val="00D25F96"/>
    <w:rsid w:val="00D27EF6"/>
    <w:rsid w:val="00D41632"/>
    <w:rsid w:val="00D45F10"/>
    <w:rsid w:val="00D47DAB"/>
    <w:rsid w:val="00D5764E"/>
    <w:rsid w:val="00D601B1"/>
    <w:rsid w:val="00D72217"/>
    <w:rsid w:val="00D7342C"/>
    <w:rsid w:val="00D75BAD"/>
    <w:rsid w:val="00DA52B3"/>
    <w:rsid w:val="00DB69E6"/>
    <w:rsid w:val="00DC52B0"/>
    <w:rsid w:val="00DC6AE6"/>
    <w:rsid w:val="00DC774C"/>
    <w:rsid w:val="00DD23BB"/>
    <w:rsid w:val="00DE2250"/>
    <w:rsid w:val="00DF3FE1"/>
    <w:rsid w:val="00E05E8A"/>
    <w:rsid w:val="00E36B46"/>
    <w:rsid w:val="00E442CC"/>
    <w:rsid w:val="00E50B0F"/>
    <w:rsid w:val="00E53081"/>
    <w:rsid w:val="00E634EC"/>
    <w:rsid w:val="00E83EE1"/>
    <w:rsid w:val="00E90B6F"/>
    <w:rsid w:val="00EA58D4"/>
    <w:rsid w:val="00EB06D7"/>
    <w:rsid w:val="00EE1FD0"/>
    <w:rsid w:val="00F026CE"/>
    <w:rsid w:val="00F2615D"/>
    <w:rsid w:val="00F444B8"/>
    <w:rsid w:val="00F57F52"/>
    <w:rsid w:val="00F6112A"/>
    <w:rsid w:val="00F90166"/>
    <w:rsid w:val="00FA2E63"/>
    <w:rsid w:val="00FD0217"/>
    <w:rsid w:val="00FE3007"/>
    <w:rsid w:val="00FE7A45"/>
    <w:rsid w:val="00FF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7CEFC"/>
  <w15:chartTrackingRefBased/>
  <w15:docId w15:val="{039A0244-F903-4241-9DE4-3CCDF039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5CD"/>
    <w:pPr>
      <w:spacing w:after="240" w:line="240" w:lineRule="auto"/>
    </w:pPr>
    <w:rPr>
      <w:rFonts w:ascii="Arial" w:hAnsi="Arial"/>
      <w:sz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8297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table" w:styleId="TableGrid">
    <w:name w:val="Table Grid"/>
    <w:basedOn w:val="TableNormal"/>
    <w:uiPriority w:val="39"/>
    <w:rsid w:val="00BA0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FAC"/>
    <w:pPr>
      <w:ind w:left="720"/>
      <w:contextualSpacing/>
    </w:pPr>
  </w:style>
  <w:style w:type="paragraph" w:styleId="Header">
    <w:name w:val="header"/>
    <w:basedOn w:val="Normal"/>
    <w:link w:val="HeaderChar"/>
    <w:uiPriority w:val="99"/>
    <w:unhideWhenUsed/>
    <w:rsid w:val="00AC4158"/>
    <w:pPr>
      <w:tabs>
        <w:tab w:val="center" w:pos="4680"/>
        <w:tab w:val="right" w:pos="9360"/>
      </w:tabs>
      <w:spacing w:after="0"/>
    </w:pPr>
  </w:style>
  <w:style w:type="character" w:customStyle="1" w:styleId="HeaderChar">
    <w:name w:val="Header Char"/>
    <w:basedOn w:val="DefaultParagraphFont"/>
    <w:link w:val="Header"/>
    <w:uiPriority w:val="99"/>
    <w:rsid w:val="00AC4158"/>
    <w:rPr>
      <w:rFonts w:ascii="Arial" w:hAnsi="Arial"/>
      <w:sz w:val="24"/>
    </w:rPr>
  </w:style>
  <w:style w:type="paragraph" w:styleId="Footer">
    <w:name w:val="footer"/>
    <w:basedOn w:val="Normal"/>
    <w:link w:val="FooterChar"/>
    <w:uiPriority w:val="99"/>
    <w:unhideWhenUsed/>
    <w:rsid w:val="00AC4158"/>
    <w:pPr>
      <w:tabs>
        <w:tab w:val="center" w:pos="4680"/>
        <w:tab w:val="right" w:pos="9360"/>
      </w:tabs>
      <w:spacing w:after="0"/>
    </w:pPr>
  </w:style>
  <w:style w:type="character" w:customStyle="1" w:styleId="FooterChar">
    <w:name w:val="Footer Char"/>
    <w:basedOn w:val="DefaultParagraphFont"/>
    <w:link w:val="Footer"/>
    <w:uiPriority w:val="99"/>
    <w:rsid w:val="00AC4158"/>
    <w:rPr>
      <w:rFonts w:ascii="Arial" w:hAnsi="Arial"/>
      <w:sz w:val="24"/>
    </w:rPr>
  </w:style>
  <w:style w:type="character" w:styleId="UnresolvedMention">
    <w:name w:val="Unresolved Mention"/>
    <w:basedOn w:val="DefaultParagraphFont"/>
    <w:uiPriority w:val="99"/>
    <w:semiHidden/>
    <w:unhideWhenUsed/>
    <w:rsid w:val="00A11C34"/>
    <w:rPr>
      <w:color w:val="605E5C"/>
      <w:shd w:val="clear" w:color="auto" w:fill="E1DFDD"/>
    </w:rPr>
  </w:style>
  <w:style w:type="character" w:styleId="CommentReference">
    <w:name w:val="annotation reference"/>
    <w:basedOn w:val="DefaultParagraphFont"/>
    <w:uiPriority w:val="99"/>
    <w:semiHidden/>
    <w:unhideWhenUsed/>
    <w:rsid w:val="0084679B"/>
    <w:rPr>
      <w:sz w:val="16"/>
      <w:szCs w:val="16"/>
    </w:rPr>
  </w:style>
  <w:style w:type="paragraph" w:styleId="CommentText">
    <w:name w:val="annotation text"/>
    <w:basedOn w:val="Normal"/>
    <w:link w:val="CommentTextChar"/>
    <w:uiPriority w:val="99"/>
    <w:semiHidden/>
    <w:unhideWhenUsed/>
    <w:rsid w:val="0084679B"/>
    <w:rPr>
      <w:sz w:val="20"/>
      <w:szCs w:val="20"/>
    </w:rPr>
  </w:style>
  <w:style w:type="character" w:customStyle="1" w:styleId="CommentTextChar">
    <w:name w:val="Comment Text Char"/>
    <w:basedOn w:val="DefaultParagraphFont"/>
    <w:link w:val="CommentText"/>
    <w:uiPriority w:val="99"/>
    <w:semiHidden/>
    <w:rsid w:val="008467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679B"/>
    <w:rPr>
      <w:b/>
      <w:bCs/>
    </w:rPr>
  </w:style>
  <w:style w:type="character" w:customStyle="1" w:styleId="CommentSubjectChar">
    <w:name w:val="Comment Subject Char"/>
    <w:basedOn w:val="CommentTextChar"/>
    <w:link w:val="CommentSubject"/>
    <w:uiPriority w:val="99"/>
    <w:semiHidden/>
    <w:rsid w:val="0084679B"/>
    <w:rPr>
      <w:rFonts w:ascii="Arial" w:hAnsi="Arial"/>
      <w:b/>
      <w:bCs/>
      <w:sz w:val="20"/>
      <w:szCs w:val="20"/>
    </w:rPr>
  </w:style>
  <w:style w:type="paragraph" w:styleId="Revision">
    <w:name w:val="Revision"/>
    <w:hidden/>
    <w:uiPriority w:val="99"/>
    <w:semiHidden/>
    <w:rsid w:val="002157C7"/>
    <w:pPr>
      <w:spacing w:after="0" w:line="240" w:lineRule="auto"/>
    </w:pPr>
    <w:rPr>
      <w:rFonts w:ascii="Arial" w:hAnsi="Arial"/>
      <w:sz w:val="24"/>
    </w:rPr>
  </w:style>
  <w:style w:type="paragraph" w:styleId="NormalWeb">
    <w:name w:val="Normal (Web)"/>
    <w:basedOn w:val="Normal"/>
    <w:uiPriority w:val="99"/>
    <w:semiHidden/>
    <w:unhideWhenUsed/>
    <w:rsid w:val="00AF233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7547">
      <w:bodyDiv w:val="1"/>
      <w:marLeft w:val="0"/>
      <w:marRight w:val="0"/>
      <w:marTop w:val="0"/>
      <w:marBottom w:val="0"/>
      <w:divBdr>
        <w:top w:val="none" w:sz="0" w:space="0" w:color="auto"/>
        <w:left w:val="none" w:sz="0" w:space="0" w:color="auto"/>
        <w:bottom w:val="none" w:sz="0" w:space="0" w:color="auto"/>
        <w:right w:val="none" w:sz="0" w:space="0" w:color="auto"/>
      </w:divBdr>
      <w:divsChild>
        <w:div w:id="419135163">
          <w:marLeft w:val="547"/>
          <w:marRight w:val="0"/>
          <w:marTop w:val="0"/>
          <w:marBottom w:val="0"/>
          <w:divBdr>
            <w:top w:val="none" w:sz="0" w:space="0" w:color="auto"/>
            <w:left w:val="none" w:sz="0" w:space="0" w:color="auto"/>
            <w:bottom w:val="none" w:sz="0" w:space="0" w:color="auto"/>
            <w:right w:val="none" w:sz="0" w:space="0" w:color="auto"/>
          </w:divBdr>
        </w:div>
      </w:divsChild>
    </w:div>
    <w:div w:id="927614954">
      <w:bodyDiv w:val="1"/>
      <w:marLeft w:val="0"/>
      <w:marRight w:val="0"/>
      <w:marTop w:val="0"/>
      <w:marBottom w:val="0"/>
      <w:divBdr>
        <w:top w:val="none" w:sz="0" w:space="0" w:color="auto"/>
        <w:left w:val="none" w:sz="0" w:space="0" w:color="auto"/>
        <w:bottom w:val="none" w:sz="0" w:space="0" w:color="auto"/>
        <w:right w:val="none" w:sz="0" w:space="0" w:color="auto"/>
      </w:divBdr>
    </w:div>
    <w:div w:id="993486383">
      <w:bodyDiv w:val="1"/>
      <w:marLeft w:val="0"/>
      <w:marRight w:val="0"/>
      <w:marTop w:val="0"/>
      <w:marBottom w:val="0"/>
      <w:divBdr>
        <w:top w:val="none" w:sz="0" w:space="0" w:color="auto"/>
        <w:left w:val="none" w:sz="0" w:space="0" w:color="auto"/>
        <w:bottom w:val="none" w:sz="0" w:space="0" w:color="auto"/>
        <w:right w:val="none" w:sz="0" w:space="0" w:color="auto"/>
      </w:divBdr>
      <w:divsChild>
        <w:div w:id="442850098">
          <w:marLeft w:val="994"/>
          <w:marRight w:val="0"/>
          <w:marTop w:val="0"/>
          <w:marBottom w:val="0"/>
          <w:divBdr>
            <w:top w:val="none" w:sz="0" w:space="0" w:color="auto"/>
            <w:left w:val="none" w:sz="0" w:space="0" w:color="auto"/>
            <w:bottom w:val="none" w:sz="0" w:space="0" w:color="auto"/>
            <w:right w:val="none" w:sz="0" w:space="0" w:color="auto"/>
          </w:divBdr>
        </w:div>
      </w:divsChild>
    </w:div>
    <w:div w:id="1078988442">
      <w:bodyDiv w:val="1"/>
      <w:marLeft w:val="0"/>
      <w:marRight w:val="0"/>
      <w:marTop w:val="0"/>
      <w:marBottom w:val="0"/>
      <w:divBdr>
        <w:top w:val="none" w:sz="0" w:space="0" w:color="auto"/>
        <w:left w:val="none" w:sz="0" w:space="0" w:color="auto"/>
        <w:bottom w:val="none" w:sz="0" w:space="0" w:color="auto"/>
        <w:right w:val="none" w:sz="0" w:space="0" w:color="auto"/>
      </w:divBdr>
      <w:divsChild>
        <w:div w:id="2059283463">
          <w:marLeft w:val="274"/>
          <w:marRight w:val="0"/>
          <w:marTop w:val="0"/>
          <w:marBottom w:val="0"/>
          <w:divBdr>
            <w:top w:val="none" w:sz="0" w:space="0" w:color="auto"/>
            <w:left w:val="none" w:sz="0" w:space="0" w:color="auto"/>
            <w:bottom w:val="none" w:sz="0" w:space="0" w:color="auto"/>
            <w:right w:val="none" w:sz="0" w:space="0" w:color="auto"/>
          </w:divBdr>
        </w:div>
        <w:div w:id="2128087251">
          <w:marLeft w:val="274"/>
          <w:marRight w:val="0"/>
          <w:marTop w:val="0"/>
          <w:marBottom w:val="0"/>
          <w:divBdr>
            <w:top w:val="none" w:sz="0" w:space="0" w:color="auto"/>
            <w:left w:val="none" w:sz="0" w:space="0" w:color="auto"/>
            <w:bottom w:val="none" w:sz="0" w:space="0" w:color="auto"/>
            <w:right w:val="none" w:sz="0" w:space="0" w:color="auto"/>
          </w:divBdr>
        </w:div>
        <w:div w:id="442072160">
          <w:marLeft w:val="274"/>
          <w:marRight w:val="0"/>
          <w:marTop w:val="0"/>
          <w:marBottom w:val="0"/>
          <w:divBdr>
            <w:top w:val="none" w:sz="0" w:space="0" w:color="auto"/>
            <w:left w:val="none" w:sz="0" w:space="0" w:color="auto"/>
            <w:bottom w:val="none" w:sz="0" w:space="0" w:color="auto"/>
            <w:right w:val="none" w:sz="0" w:space="0" w:color="auto"/>
          </w:divBdr>
        </w:div>
        <w:div w:id="2119131958">
          <w:marLeft w:val="274"/>
          <w:marRight w:val="0"/>
          <w:marTop w:val="0"/>
          <w:marBottom w:val="0"/>
          <w:divBdr>
            <w:top w:val="none" w:sz="0" w:space="0" w:color="auto"/>
            <w:left w:val="none" w:sz="0" w:space="0" w:color="auto"/>
            <w:bottom w:val="none" w:sz="0" w:space="0" w:color="auto"/>
            <w:right w:val="none" w:sz="0" w:space="0" w:color="auto"/>
          </w:divBdr>
        </w:div>
      </w:divsChild>
    </w:div>
    <w:div w:id="1164010921">
      <w:bodyDiv w:val="1"/>
      <w:marLeft w:val="0"/>
      <w:marRight w:val="0"/>
      <w:marTop w:val="0"/>
      <w:marBottom w:val="0"/>
      <w:divBdr>
        <w:top w:val="none" w:sz="0" w:space="0" w:color="auto"/>
        <w:left w:val="none" w:sz="0" w:space="0" w:color="auto"/>
        <w:bottom w:val="none" w:sz="0" w:space="0" w:color="auto"/>
        <w:right w:val="none" w:sz="0" w:space="0" w:color="auto"/>
      </w:divBdr>
      <w:divsChild>
        <w:div w:id="871386099">
          <w:marLeft w:val="806"/>
          <w:marRight w:val="0"/>
          <w:marTop w:val="115"/>
          <w:marBottom w:val="240"/>
          <w:divBdr>
            <w:top w:val="none" w:sz="0" w:space="0" w:color="auto"/>
            <w:left w:val="none" w:sz="0" w:space="0" w:color="auto"/>
            <w:bottom w:val="none" w:sz="0" w:space="0" w:color="auto"/>
            <w:right w:val="none" w:sz="0" w:space="0" w:color="auto"/>
          </w:divBdr>
        </w:div>
        <w:div w:id="252395611">
          <w:marLeft w:val="806"/>
          <w:marRight w:val="0"/>
          <w:marTop w:val="115"/>
          <w:marBottom w:val="240"/>
          <w:divBdr>
            <w:top w:val="none" w:sz="0" w:space="0" w:color="auto"/>
            <w:left w:val="none" w:sz="0" w:space="0" w:color="auto"/>
            <w:bottom w:val="none" w:sz="0" w:space="0" w:color="auto"/>
            <w:right w:val="none" w:sz="0" w:space="0" w:color="auto"/>
          </w:divBdr>
        </w:div>
        <w:div w:id="339895805">
          <w:marLeft w:val="806"/>
          <w:marRight w:val="0"/>
          <w:marTop w:val="115"/>
          <w:marBottom w:val="240"/>
          <w:divBdr>
            <w:top w:val="none" w:sz="0" w:space="0" w:color="auto"/>
            <w:left w:val="none" w:sz="0" w:space="0" w:color="auto"/>
            <w:bottom w:val="none" w:sz="0" w:space="0" w:color="auto"/>
            <w:right w:val="none" w:sz="0" w:space="0" w:color="auto"/>
          </w:divBdr>
        </w:div>
      </w:divsChild>
    </w:div>
    <w:div w:id="1362824750">
      <w:bodyDiv w:val="1"/>
      <w:marLeft w:val="0"/>
      <w:marRight w:val="0"/>
      <w:marTop w:val="0"/>
      <w:marBottom w:val="0"/>
      <w:divBdr>
        <w:top w:val="none" w:sz="0" w:space="0" w:color="auto"/>
        <w:left w:val="none" w:sz="0" w:space="0" w:color="auto"/>
        <w:bottom w:val="none" w:sz="0" w:space="0" w:color="auto"/>
        <w:right w:val="none" w:sz="0" w:space="0" w:color="auto"/>
      </w:divBdr>
      <w:divsChild>
        <w:div w:id="923103405">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E@cde.ca.gov" TargetMode="External"/><Relationship Id="rId3" Type="http://schemas.openxmlformats.org/officeDocument/2006/relationships/settings" Target="settings.xml"/><Relationship Id="rId7" Type="http://schemas.openxmlformats.org/officeDocument/2006/relationships/hyperlink" Target="https://www.cde.ca.gov/fg/aa/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Loss Mitigation Reference, FY 20–21 AN - Principal Apportionment (CA Dept of Education)</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Loss Mitigation Reference, FY 20–21 AN - Principal Apportionment (CA Dept of Education)</dc:title>
  <dc:subject>In an effort to mitigate the drop in average daily attendance (ADA) that local educational agencies (LEAs) experienced in 2021–22 due to the COVID-19 pandemic, the 2022-23 Budget legislation included an adjustment process.</dc:subject>
  <dc:creator>Masha Lutsuk</dc:creator>
  <cp:keywords/>
  <dc:description/>
  <cp:lastModifiedBy>Aaron Gustin</cp:lastModifiedBy>
  <cp:revision>7</cp:revision>
  <cp:lastPrinted>2017-12-08T22:18:00Z</cp:lastPrinted>
  <dcterms:created xsi:type="dcterms:W3CDTF">2023-02-09T18:16:00Z</dcterms:created>
  <dcterms:modified xsi:type="dcterms:W3CDTF">2023-04-03T19:51:00Z</dcterms:modified>
</cp:coreProperties>
</file>