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D44F" w14:textId="7C4B2BF3" w:rsidR="00C2361D" w:rsidRPr="00DB4CDB" w:rsidRDefault="00413B71" w:rsidP="00C1527E">
      <w:pPr>
        <w:pStyle w:val="Heading1"/>
        <w:jc w:val="center"/>
        <w:rPr>
          <w:rFonts w:eastAsia="Times New Roman"/>
        </w:rPr>
      </w:pPr>
      <w:bookmarkStart w:id="0" w:name="_Toc516834963"/>
      <w:bookmarkStart w:id="1" w:name="_Toc77310239"/>
      <w:bookmarkStart w:id="2" w:name="_Toc77335607"/>
      <w:bookmarkStart w:id="3" w:name="_Toc92803872"/>
      <w:bookmarkStart w:id="4" w:name="_Toc199842718"/>
      <w:r>
        <w:rPr>
          <w:rFonts w:eastAsia="Times New Roman"/>
        </w:rPr>
        <w:t xml:space="preserve">Statewide Technical Assistance for Charter Schools Subgrant </w:t>
      </w:r>
      <w:r w:rsidR="00C2361D" w:rsidRPr="00DB4CDB">
        <w:rPr>
          <w:rFonts w:eastAsia="Times New Roman"/>
        </w:rPr>
        <w:t>Request for Applications</w:t>
      </w:r>
      <w:r w:rsidR="00C2361D" w:rsidRPr="00DB4CDB">
        <w:rPr>
          <w:rFonts w:eastAsia="Times New Roman"/>
        </w:rPr>
        <w:br/>
      </w:r>
      <w:bookmarkEnd w:id="0"/>
      <w:r w:rsidR="00C2361D" w:rsidRPr="00DB4CDB">
        <w:rPr>
          <w:rFonts w:eastAsia="Times New Roman"/>
        </w:rPr>
        <w:t>202</w:t>
      </w:r>
      <w:r w:rsidR="00291191">
        <w:rPr>
          <w:rFonts w:eastAsia="Times New Roman"/>
        </w:rPr>
        <w:t>5</w:t>
      </w:r>
      <w:r w:rsidR="00C2361D" w:rsidRPr="00DB4CDB">
        <w:rPr>
          <w:rFonts w:eastAsia="Times New Roman"/>
        </w:rPr>
        <w:t>–</w:t>
      </w:r>
      <w:r w:rsidR="00EC34A3" w:rsidRPr="00DB4CDB">
        <w:rPr>
          <w:rFonts w:eastAsia="Times New Roman"/>
        </w:rPr>
        <w:t>2</w:t>
      </w:r>
      <w:bookmarkEnd w:id="1"/>
      <w:bookmarkEnd w:id="2"/>
      <w:bookmarkEnd w:id="3"/>
      <w:r w:rsidR="00F17306">
        <w:rPr>
          <w:rFonts w:eastAsia="Times New Roman"/>
        </w:rPr>
        <w:t>6</w:t>
      </w:r>
      <w:bookmarkEnd w:id="4"/>
    </w:p>
    <w:p w14:paraId="18CCE3FF" w14:textId="77777777" w:rsidR="00C2361D" w:rsidRPr="00DB4CDB" w:rsidRDefault="00C2361D" w:rsidP="00CA40D1">
      <w:pPr>
        <w:spacing w:before="100" w:beforeAutospacing="1"/>
        <w:jc w:val="center"/>
        <w:rPr>
          <w:i/>
          <w:sz w:val="32"/>
          <w:szCs w:val="32"/>
        </w:rPr>
      </w:pPr>
      <w:r w:rsidRPr="00DB4CDB">
        <w:rPr>
          <w:i/>
          <w:sz w:val="32"/>
          <w:szCs w:val="32"/>
        </w:rPr>
        <w:t>California Department of Education</w:t>
      </w:r>
    </w:p>
    <w:p w14:paraId="6A69815B" w14:textId="170B0B02" w:rsidR="00167521" w:rsidRPr="00DB4CDB" w:rsidRDefault="00E42A25" w:rsidP="00CA40D1">
      <w:pPr>
        <w:spacing w:after="480"/>
        <w:jc w:val="center"/>
        <w:rPr>
          <w:rFonts w:eastAsia="Times New Roman" w:cs="Arial"/>
          <w:szCs w:val="24"/>
        </w:rPr>
      </w:pPr>
      <w:r w:rsidRPr="00DB4CDB">
        <w:rPr>
          <w:i/>
          <w:noProof/>
          <w:sz w:val="36"/>
          <w:szCs w:val="36"/>
        </w:rPr>
        <w:drawing>
          <wp:inline distT="0" distB="0" distL="0" distR="0" wp14:anchorId="1DB21443" wp14:editId="1DCA8CDE">
            <wp:extent cx="2030095" cy="2036445"/>
            <wp:effectExtent l="0" t="0" r="8255" b="1905"/>
            <wp:docPr id="4" name="Picture 4" descr="State of CA Seal for CA 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0095" cy="2036445"/>
                    </a:xfrm>
                    <a:prstGeom prst="rect">
                      <a:avLst/>
                    </a:prstGeom>
                    <a:noFill/>
                  </pic:spPr>
                </pic:pic>
              </a:graphicData>
            </a:graphic>
          </wp:inline>
        </w:drawing>
      </w:r>
    </w:p>
    <w:p w14:paraId="255CA03A" w14:textId="76E42E0A" w:rsidR="00C2361D" w:rsidRPr="00DB4CDB" w:rsidRDefault="00C2361D" w:rsidP="00CA40D1">
      <w:pPr>
        <w:spacing w:before="100" w:beforeAutospacing="1" w:after="0"/>
        <w:jc w:val="center"/>
        <w:rPr>
          <w:rFonts w:eastAsia="Times New Roman" w:cs="Arial"/>
          <w:sz w:val="28"/>
          <w:szCs w:val="28"/>
        </w:rPr>
      </w:pPr>
      <w:bookmarkStart w:id="5" w:name="_Hlk76564728"/>
      <w:r w:rsidRPr="00DB4CDB">
        <w:rPr>
          <w:rFonts w:eastAsia="Times New Roman" w:cs="Arial"/>
          <w:sz w:val="28"/>
          <w:szCs w:val="28"/>
        </w:rPr>
        <w:t>Public Charter Schools Grant Program</w:t>
      </w:r>
      <w:r w:rsidRPr="00DB4CDB">
        <w:rPr>
          <w:rFonts w:eastAsia="Times New Roman" w:cs="Arial"/>
          <w:sz w:val="28"/>
          <w:szCs w:val="28"/>
        </w:rPr>
        <w:br/>
        <w:t>Charter Schools Division</w:t>
      </w:r>
      <w:r w:rsidRPr="00DB4CDB">
        <w:rPr>
          <w:rFonts w:eastAsia="Times New Roman" w:cs="Arial"/>
          <w:sz w:val="28"/>
          <w:szCs w:val="28"/>
        </w:rPr>
        <w:br/>
        <w:t>California Department of Education</w:t>
      </w:r>
      <w:r w:rsidRPr="00DB4CDB">
        <w:rPr>
          <w:rFonts w:eastAsia="Times New Roman" w:cs="Arial"/>
          <w:sz w:val="28"/>
          <w:szCs w:val="28"/>
        </w:rPr>
        <w:br/>
        <w:t>1430 N Street, Suite 5401</w:t>
      </w:r>
      <w:r w:rsidRPr="00DB4CDB">
        <w:rPr>
          <w:rFonts w:eastAsia="Times New Roman" w:cs="Arial"/>
          <w:sz w:val="28"/>
          <w:szCs w:val="28"/>
        </w:rPr>
        <w:br/>
        <w:t>Sacramento, CA 95814-5901</w:t>
      </w:r>
      <w:r w:rsidRPr="00DB4CDB">
        <w:rPr>
          <w:rFonts w:eastAsia="Times New Roman" w:cs="Arial"/>
          <w:sz w:val="28"/>
          <w:szCs w:val="28"/>
        </w:rPr>
        <w:br/>
        <w:t xml:space="preserve">Email: </w:t>
      </w:r>
      <w:hyperlink r:id="rId12" w:history="1">
        <w:r w:rsidR="00D3734C" w:rsidRPr="00F86762">
          <w:rPr>
            <w:rStyle w:val="Hyperlink"/>
            <w:rFonts w:eastAsia="Times New Roman" w:cs="Arial"/>
            <w:sz w:val="28"/>
            <w:szCs w:val="28"/>
          </w:rPr>
          <w:t>PCSGP@cde.ca.gov</w:t>
        </w:r>
      </w:hyperlink>
      <w:r w:rsidRPr="00DB4CDB">
        <w:rPr>
          <w:rFonts w:eastAsia="Times New Roman" w:cs="Arial"/>
          <w:color w:val="0000FF"/>
          <w:sz w:val="28"/>
          <w:szCs w:val="28"/>
          <w:u w:val="single"/>
        </w:rPr>
        <w:br/>
      </w:r>
      <w:r w:rsidRPr="00DB4CDB">
        <w:rPr>
          <w:rFonts w:eastAsia="Times New Roman" w:cs="Arial"/>
          <w:sz w:val="28"/>
          <w:szCs w:val="28"/>
        </w:rPr>
        <w:t>Phone: 916-322-6029</w:t>
      </w:r>
    </w:p>
    <w:p w14:paraId="6D7B8BBD" w14:textId="33176CFA" w:rsidR="00C2361D" w:rsidRPr="00DB4CDB" w:rsidRDefault="00CE7004" w:rsidP="00CA40D1">
      <w:pPr>
        <w:spacing w:before="240" w:after="0"/>
        <w:jc w:val="center"/>
        <w:rPr>
          <w:rFonts w:eastAsia="Times New Roman" w:cs="Arial"/>
          <w:b/>
          <w:i/>
          <w:sz w:val="28"/>
          <w:szCs w:val="28"/>
        </w:rPr>
      </w:pPr>
      <w:r w:rsidRPr="00EA1445">
        <w:rPr>
          <w:rFonts w:eastAsia="Times New Roman" w:cs="Arial"/>
          <w:b/>
          <w:i/>
          <w:sz w:val="28"/>
          <w:szCs w:val="28"/>
        </w:rPr>
        <w:t>July 2025</w:t>
      </w:r>
    </w:p>
    <w:bookmarkEnd w:id="5"/>
    <w:p w14:paraId="37ACB41E" w14:textId="77777777" w:rsidR="00C2361D" w:rsidRPr="00DB4CDB" w:rsidRDefault="00C2361D" w:rsidP="00CA40D1">
      <w:pPr>
        <w:spacing w:after="160"/>
      </w:pPr>
      <w:r w:rsidRPr="00DB4CDB">
        <w:br w:type="page"/>
      </w:r>
    </w:p>
    <w:p w14:paraId="3E8247A5" w14:textId="77777777" w:rsidR="00300144" w:rsidRPr="00DB4CDB" w:rsidRDefault="00300144" w:rsidP="00BE58CA">
      <w:pPr>
        <w:pStyle w:val="Heading2"/>
        <w:spacing w:after="600"/>
        <w:jc w:val="center"/>
      </w:pPr>
      <w:bookmarkStart w:id="6" w:name="_Toc77310240"/>
      <w:bookmarkStart w:id="7" w:name="_Toc77335608"/>
      <w:bookmarkStart w:id="8" w:name="_Toc92803873"/>
      <w:bookmarkStart w:id="9" w:name="_Toc199842719"/>
      <w:r w:rsidRPr="00DB4CDB">
        <w:lastRenderedPageBreak/>
        <w:t>Table of Contents</w:t>
      </w:r>
      <w:bookmarkEnd w:id="6"/>
      <w:bookmarkEnd w:id="7"/>
      <w:bookmarkEnd w:id="8"/>
      <w:bookmarkEnd w:id="9"/>
    </w:p>
    <w:p w14:paraId="63E5FB40" w14:textId="48E7F857" w:rsidR="00802FEC" w:rsidRDefault="00BE4A2F">
      <w:pPr>
        <w:pStyle w:val="TOC1"/>
        <w:rPr>
          <w:rFonts w:asciiTheme="minorHAnsi" w:eastAsiaTheme="minorEastAsia" w:hAnsiTheme="minorHAnsi"/>
          <w:noProof/>
          <w:kern w:val="2"/>
          <w:szCs w:val="24"/>
          <w14:ligatures w14:val="standardContextual"/>
        </w:rPr>
      </w:pPr>
      <w:r w:rsidRPr="00DB4CDB">
        <w:fldChar w:fldCharType="begin"/>
      </w:r>
      <w:r w:rsidRPr="00DB4CDB">
        <w:instrText xml:space="preserve"> TOC \o "1-3" \h \z \u </w:instrText>
      </w:r>
      <w:r w:rsidRPr="00DB4CDB">
        <w:fldChar w:fldCharType="separate"/>
      </w:r>
      <w:hyperlink w:anchor="_Toc199842718" w:history="1">
        <w:r w:rsidR="00802FEC" w:rsidRPr="00015AAA">
          <w:rPr>
            <w:rStyle w:val="Hyperlink"/>
            <w:rFonts w:eastAsia="Times New Roman"/>
            <w:noProof/>
          </w:rPr>
          <w:t>Statewide Technical Assistance for Charter Schools Subgrant Request for Applications 2025–26</w:t>
        </w:r>
        <w:r w:rsidR="00802FEC">
          <w:rPr>
            <w:noProof/>
            <w:webHidden/>
          </w:rPr>
          <w:tab/>
        </w:r>
        <w:r w:rsidR="00802FEC">
          <w:rPr>
            <w:noProof/>
            <w:webHidden/>
          </w:rPr>
          <w:fldChar w:fldCharType="begin"/>
        </w:r>
        <w:r w:rsidR="00802FEC">
          <w:rPr>
            <w:noProof/>
            <w:webHidden/>
          </w:rPr>
          <w:instrText xml:space="preserve"> PAGEREF _Toc199842718 \h </w:instrText>
        </w:r>
        <w:r w:rsidR="00802FEC">
          <w:rPr>
            <w:noProof/>
            <w:webHidden/>
          </w:rPr>
        </w:r>
        <w:r w:rsidR="00802FEC">
          <w:rPr>
            <w:noProof/>
            <w:webHidden/>
          </w:rPr>
          <w:fldChar w:fldCharType="separate"/>
        </w:r>
        <w:r w:rsidR="00802FEC">
          <w:rPr>
            <w:noProof/>
            <w:webHidden/>
          </w:rPr>
          <w:t>1</w:t>
        </w:r>
        <w:r w:rsidR="00802FEC">
          <w:rPr>
            <w:noProof/>
            <w:webHidden/>
          </w:rPr>
          <w:fldChar w:fldCharType="end"/>
        </w:r>
      </w:hyperlink>
    </w:p>
    <w:p w14:paraId="08E4C0C3" w14:textId="52B35E9F" w:rsidR="00802FEC" w:rsidRDefault="00802FEC">
      <w:pPr>
        <w:pStyle w:val="TOC2"/>
        <w:rPr>
          <w:rFonts w:asciiTheme="minorHAnsi" w:eastAsiaTheme="minorEastAsia" w:hAnsiTheme="minorHAnsi"/>
          <w:noProof/>
          <w:kern w:val="2"/>
          <w:szCs w:val="24"/>
          <w14:ligatures w14:val="standardContextual"/>
        </w:rPr>
      </w:pPr>
      <w:hyperlink w:anchor="_Toc199842719" w:history="1">
        <w:r w:rsidRPr="00015AAA">
          <w:rPr>
            <w:rStyle w:val="Hyperlink"/>
            <w:noProof/>
          </w:rPr>
          <w:t>Table of Contents</w:t>
        </w:r>
        <w:r>
          <w:rPr>
            <w:noProof/>
            <w:webHidden/>
          </w:rPr>
          <w:tab/>
        </w:r>
        <w:r>
          <w:rPr>
            <w:noProof/>
            <w:webHidden/>
          </w:rPr>
          <w:fldChar w:fldCharType="begin"/>
        </w:r>
        <w:r>
          <w:rPr>
            <w:noProof/>
            <w:webHidden/>
          </w:rPr>
          <w:instrText xml:space="preserve"> PAGEREF _Toc199842719 \h </w:instrText>
        </w:r>
        <w:r>
          <w:rPr>
            <w:noProof/>
            <w:webHidden/>
          </w:rPr>
        </w:r>
        <w:r>
          <w:rPr>
            <w:noProof/>
            <w:webHidden/>
          </w:rPr>
          <w:fldChar w:fldCharType="separate"/>
        </w:r>
        <w:r>
          <w:rPr>
            <w:noProof/>
            <w:webHidden/>
          </w:rPr>
          <w:t>2</w:t>
        </w:r>
        <w:r>
          <w:rPr>
            <w:noProof/>
            <w:webHidden/>
          </w:rPr>
          <w:fldChar w:fldCharType="end"/>
        </w:r>
      </w:hyperlink>
    </w:p>
    <w:p w14:paraId="4AC3ABA4" w14:textId="66D28771" w:rsidR="00802FEC" w:rsidRDefault="00802FEC">
      <w:pPr>
        <w:pStyle w:val="TOC2"/>
        <w:rPr>
          <w:rFonts w:asciiTheme="minorHAnsi" w:eastAsiaTheme="minorEastAsia" w:hAnsiTheme="minorHAnsi"/>
          <w:noProof/>
          <w:kern w:val="2"/>
          <w:szCs w:val="24"/>
          <w14:ligatures w14:val="standardContextual"/>
        </w:rPr>
      </w:pPr>
      <w:hyperlink w:anchor="_Toc199842720" w:history="1">
        <w:r w:rsidRPr="00015AAA">
          <w:rPr>
            <w:rStyle w:val="Hyperlink"/>
            <w:noProof/>
          </w:rPr>
          <w:t>Request for Applications Timeline</w:t>
        </w:r>
        <w:r>
          <w:rPr>
            <w:noProof/>
            <w:webHidden/>
          </w:rPr>
          <w:tab/>
        </w:r>
        <w:r>
          <w:rPr>
            <w:noProof/>
            <w:webHidden/>
          </w:rPr>
          <w:fldChar w:fldCharType="begin"/>
        </w:r>
        <w:r>
          <w:rPr>
            <w:noProof/>
            <w:webHidden/>
          </w:rPr>
          <w:instrText xml:space="preserve"> PAGEREF _Toc199842720 \h </w:instrText>
        </w:r>
        <w:r>
          <w:rPr>
            <w:noProof/>
            <w:webHidden/>
          </w:rPr>
        </w:r>
        <w:r>
          <w:rPr>
            <w:noProof/>
            <w:webHidden/>
          </w:rPr>
          <w:fldChar w:fldCharType="separate"/>
        </w:r>
        <w:r>
          <w:rPr>
            <w:noProof/>
            <w:webHidden/>
          </w:rPr>
          <w:t>4</w:t>
        </w:r>
        <w:r>
          <w:rPr>
            <w:noProof/>
            <w:webHidden/>
          </w:rPr>
          <w:fldChar w:fldCharType="end"/>
        </w:r>
      </w:hyperlink>
    </w:p>
    <w:p w14:paraId="4F9C9243" w14:textId="46A135B8" w:rsidR="00802FEC" w:rsidRDefault="00802FEC">
      <w:pPr>
        <w:pStyle w:val="TOC2"/>
        <w:rPr>
          <w:rFonts w:asciiTheme="minorHAnsi" w:eastAsiaTheme="minorEastAsia" w:hAnsiTheme="minorHAnsi"/>
          <w:noProof/>
          <w:kern w:val="2"/>
          <w:szCs w:val="24"/>
          <w14:ligatures w14:val="standardContextual"/>
        </w:rPr>
      </w:pPr>
      <w:hyperlink w:anchor="_Toc199842721" w:history="1">
        <w:r w:rsidRPr="00015AAA">
          <w:rPr>
            <w:rStyle w:val="Hyperlink"/>
            <w:noProof/>
          </w:rPr>
          <w:t>General Information</w:t>
        </w:r>
        <w:r>
          <w:rPr>
            <w:noProof/>
            <w:webHidden/>
          </w:rPr>
          <w:tab/>
        </w:r>
        <w:r>
          <w:rPr>
            <w:noProof/>
            <w:webHidden/>
          </w:rPr>
          <w:fldChar w:fldCharType="begin"/>
        </w:r>
        <w:r>
          <w:rPr>
            <w:noProof/>
            <w:webHidden/>
          </w:rPr>
          <w:instrText xml:space="preserve"> PAGEREF _Toc199842721 \h </w:instrText>
        </w:r>
        <w:r>
          <w:rPr>
            <w:noProof/>
            <w:webHidden/>
          </w:rPr>
        </w:r>
        <w:r>
          <w:rPr>
            <w:noProof/>
            <w:webHidden/>
          </w:rPr>
          <w:fldChar w:fldCharType="separate"/>
        </w:r>
        <w:r>
          <w:rPr>
            <w:noProof/>
            <w:webHidden/>
          </w:rPr>
          <w:t>4</w:t>
        </w:r>
        <w:r>
          <w:rPr>
            <w:noProof/>
            <w:webHidden/>
          </w:rPr>
          <w:fldChar w:fldCharType="end"/>
        </w:r>
      </w:hyperlink>
    </w:p>
    <w:p w14:paraId="44A3EC75" w14:textId="7C5866D4" w:rsidR="00802FEC" w:rsidRDefault="00802FEC">
      <w:pPr>
        <w:pStyle w:val="TOC3"/>
        <w:rPr>
          <w:rFonts w:asciiTheme="minorHAnsi" w:eastAsiaTheme="minorEastAsia" w:hAnsiTheme="minorHAnsi"/>
          <w:noProof/>
          <w:kern w:val="2"/>
          <w:szCs w:val="24"/>
          <w14:ligatures w14:val="standardContextual"/>
        </w:rPr>
      </w:pPr>
      <w:hyperlink w:anchor="_Toc199842722" w:history="1">
        <w:r w:rsidRPr="00015AAA">
          <w:rPr>
            <w:rStyle w:val="Hyperlink"/>
            <w:noProof/>
          </w:rPr>
          <w:t>1. Purpose and Background</w:t>
        </w:r>
        <w:r>
          <w:rPr>
            <w:noProof/>
            <w:webHidden/>
          </w:rPr>
          <w:tab/>
        </w:r>
        <w:r>
          <w:rPr>
            <w:noProof/>
            <w:webHidden/>
          </w:rPr>
          <w:fldChar w:fldCharType="begin"/>
        </w:r>
        <w:r>
          <w:rPr>
            <w:noProof/>
            <w:webHidden/>
          </w:rPr>
          <w:instrText xml:space="preserve"> PAGEREF _Toc199842722 \h </w:instrText>
        </w:r>
        <w:r>
          <w:rPr>
            <w:noProof/>
            <w:webHidden/>
          </w:rPr>
        </w:r>
        <w:r>
          <w:rPr>
            <w:noProof/>
            <w:webHidden/>
          </w:rPr>
          <w:fldChar w:fldCharType="separate"/>
        </w:r>
        <w:r>
          <w:rPr>
            <w:noProof/>
            <w:webHidden/>
          </w:rPr>
          <w:t>4</w:t>
        </w:r>
        <w:r>
          <w:rPr>
            <w:noProof/>
            <w:webHidden/>
          </w:rPr>
          <w:fldChar w:fldCharType="end"/>
        </w:r>
      </w:hyperlink>
    </w:p>
    <w:p w14:paraId="5FB30F5B" w14:textId="1F16140A" w:rsidR="00802FEC" w:rsidRDefault="00802FEC">
      <w:pPr>
        <w:pStyle w:val="TOC3"/>
        <w:rPr>
          <w:rFonts w:asciiTheme="minorHAnsi" w:eastAsiaTheme="minorEastAsia" w:hAnsiTheme="minorHAnsi"/>
          <w:noProof/>
          <w:kern w:val="2"/>
          <w:szCs w:val="24"/>
          <w14:ligatures w14:val="standardContextual"/>
        </w:rPr>
      </w:pPr>
      <w:hyperlink w:anchor="_Toc199842723" w:history="1">
        <w:r w:rsidRPr="00015AAA">
          <w:rPr>
            <w:rStyle w:val="Hyperlink"/>
            <w:noProof/>
          </w:rPr>
          <w:t>2. General Application Information</w:t>
        </w:r>
        <w:r>
          <w:rPr>
            <w:noProof/>
            <w:webHidden/>
          </w:rPr>
          <w:tab/>
        </w:r>
        <w:r>
          <w:rPr>
            <w:noProof/>
            <w:webHidden/>
          </w:rPr>
          <w:fldChar w:fldCharType="begin"/>
        </w:r>
        <w:r>
          <w:rPr>
            <w:noProof/>
            <w:webHidden/>
          </w:rPr>
          <w:instrText xml:space="preserve"> PAGEREF _Toc199842723 \h </w:instrText>
        </w:r>
        <w:r>
          <w:rPr>
            <w:noProof/>
            <w:webHidden/>
          </w:rPr>
        </w:r>
        <w:r>
          <w:rPr>
            <w:noProof/>
            <w:webHidden/>
          </w:rPr>
          <w:fldChar w:fldCharType="separate"/>
        </w:r>
        <w:r>
          <w:rPr>
            <w:noProof/>
            <w:webHidden/>
          </w:rPr>
          <w:t>4</w:t>
        </w:r>
        <w:r>
          <w:rPr>
            <w:noProof/>
            <w:webHidden/>
          </w:rPr>
          <w:fldChar w:fldCharType="end"/>
        </w:r>
      </w:hyperlink>
    </w:p>
    <w:p w14:paraId="73610181" w14:textId="2FA273C8" w:rsidR="00802FEC" w:rsidRDefault="00802FEC">
      <w:pPr>
        <w:pStyle w:val="TOC3"/>
        <w:rPr>
          <w:rFonts w:asciiTheme="minorHAnsi" w:eastAsiaTheme="minorEastAsia" w:hAnsiTheme="minorHAnsi"/>
          <w:noProof/>
          <w:kern w:val="2"/>
          <w:szCs w:val="24"/>
          <w14:ligatures w14:val="standardContextual"/>
        </w:rPr>
      </w:pPr>
      <w:hyperlink w:anchor="_Toc199842724" w:history="1">
        <w:r w:rsidRPr="00015AAA">
          <w:rPr>
            <w:rStyle w:val="Hyperlink"/>
            <w:noProof/>
            <w:snapToGrid w:val="0"/>
          </w:rPr>
          <w:t>3. Expected Outcomes</w:t>
        </w:r>
        <w:r>
          <w:rPr>
            <w:noProof/>
            <w:webHidden/>
          </w:rPr>
          <w:tab/>
        </w:r>
        <w:r>
          <w:rPr>
            <w:noProof/>
            <w:webHidden/>
          </w:rPr>
          <w:fldChar w:fldCharType="begin"/>
        </w:r>
        <w:r>
          <w:rPr>
            <w:noProof/>
            <w:webHidden/>
          </w:rPr>
          <w:instrText xml:space="preserve"> PAGEREF _Toc199842724 \h </w:instrText>
        </w:r>
        <w:r>
          <w:rPr>
            <w:noProof/>
            <w:webHidden/>
          </w:rPr>
        </w:r>
        <w:r>
          <w:rPr>
            <w:noProof/>
            <w:webHidden/>
          </w:rPr>
          <w:fldChar w:fldCharType="separate"/>
        </w:r>
        <w:r>
          <w:rPr>
            <w:noProof/>
            <w:webHidden/>
          </w:rPr>
          <w:t>4</w:t>
        </w:r>
        <w:r>
          <w:rPr>
            <w:noProof/>
            <w:webHidden/>
          </w:rPr>
          <w:fldChar w:fldCharType="end"/>
        </w:r>
      </w:hyperlink>
    </w:p>
    <w:p w14:paraId="6B839DD5" w14:textId="72CCC2AA" w:rsidR="00802FEC" w:rsidRDefault="00802FEC">
      <w:pPr>
        <w:pStyle w:val="TOC3"/>
        <w:rPr>
          <w:rFonts w:asciiTheme="minorHAnsi" w:eastAsiaTheme="minorEastAsia" w:hAnsiTheme="minorHAnsi"/>
          <w:noProof/>
          <w:kern w:val="2"/>
          <w:szCs w:val="24"/>
          <w14:ligatures w14:val="standardContextual"/>
        </w:rPr>
      </w:pPr>
      <w:hyperlink w:anchor="_Toc199842725" w:history="1">
        <w:r w:rsidRPr="00015AAA">
          <w:rPr>
            <w:rStyle w:val="Hyperlink"/>
            <w:noProof/>
          </w:rPr>
          <w:t>4. Reading and Scoring of Applications</w:t>
        </w:r>
        <w:r>
          <w:rPr>
            <w:noProof/>
            <w:webHidden/>
          </w:rPr>
          <w:tab/>
        </w:r>
        <w:r>
          <w:rPr>
            <w:noProof/>
            <w:webHidden/>
          </w:rPr>
          <w:fldChar w:fldCharType="begin"/>
        </w:r>
        <w:r>
          <w:rPr>
            <w:noProof/>
            <w:webHidden/>
          </w:rPr>
          <w:instrText xml:space="preserve"> PAGEREF _Toc199842725 \h </w:instrText>
        </w:r>
        <w:r>
          <w:rPr>
            <w:noProof/>
            <w:webHidden/>
          </w:rPr>
        </w:r>
        <w:r>
          <w:rPr>
            <w:noProof/>
            <w:webHidden/>
          </w:rPr>
          <w:fldChar w:fldCharType="separate"/>
        </w:r>
        <w:r>
          <w:rPr>
            <w:noProof/>
            <w:webHidden/>
          </w:rPr>
          <w:t>4</w:t>
        </w:r>
        <w:r>
          <w:rPr>
            <w:noProof/>
            <w:webHidden/>
          </w:rPr>
          <w:fldChar w:fldCharType="end"/>
        </w:r>
      </w:hyperlink>
    </w:p>
    <w:p w14:paraId="334AEAD7" w14:textId="3A7ED1C6" w:rsidR="00802FEC" w:rsidRDefault="00802FEC">
      <w:pPr>
        <w:pStyle w:val="TOC3"/>
        <w:rPr>
          <w:rFonts w:asciiTheme="minorHAnsi" w:eastAsiaTheme="minorEastAsia" w:hAnsiTheme="minorHAnsi"/>
          <w:noProof/>
          <w:kern w:val="2"/>
          <w:szCs w:val="24"/>
          <w14:ligatures w14:val="standardContextual"/>
        </w:rPr>
      </w:pPr>
      <w:hyperlink w:anchor="_Toc199842726" w:history="1">
        <w:r w:rsidRPr="00015AAA">
          <w:rPr>
            <w:rStyle w:val="Hyperlink"/>
            <w:noProof/>
          </w:rPr>
          <w:t>5. Application Specifications</w:t>
        </w:r>
        <w:r>
          <w:rPr>
            <w:noProof/>
            <w:webHidden/>
          </w:rPr>
          <w:tab/>
        </w:r>
        <w:r>
          <w:rPr>
            <w:noProof/>
            <w:webHidden/>
          </w:rPr>
          <w:fldChar w:fldCharType="begin"/>
        </w:r>
        <w:r>
          <w:rPr>
            <w:noProof/>
            <w:webHidden/>
          </w:rPr>
          <w:instrText xml:space="preserve"> PAGEREF _Toc199842726 \h </w:instrText>
        </w:r>
        <w:r>
          <w:rPr>
            <w:noProof/>
            <w:webHidden/>
          </w:rPr>
        </w:r>
        <w:r>
          <w:rPr>
            <w:noProof/>
            <w:webHidden/>
          </w:rPr>
          <w:fldChar w:fldCharType="separate"/>
        </w:r>
        <w:r>
          <w:rPr>
            <w:noProof/>
            <w:webHidden/>
          </w:rPr>
          <w:t>4</w:t>
        </w:r>
        <w:r>
          <w:rPr>
            <w:noProof/>
            <w:webHidden/>
          </w:rPr>
          <w:fldChar w:fldCharType="end"/>
        </w:r>
      </w:hyperlink>
    </w:p>
    <w:p w14:paraId="5C201AB0" w14:textId="43068619" w:rsidR="00802FEC" w:rsidRDefault="00802FEC">
      <w:pPr>
        <w:pStyle w:val="TOC3"/>
        <w:rPr>
          <w:rFonts w:asciiTheme="minorHAnsi" w:eastAsiaTheme="minorEastAsia" w:hAnsiTheme="minorHAnsi"/>
          <w:noProof/>
          <w:kern w:val="2"/>
          <w:szCs w:val="24"/>
          <w14:ligatures w14:val="standardContextual"/>
        </w:rPr>
      </w:pPr>
      <w:hyperlink w:anchor="_Toc199842727" w:history="1">
        <w:r w:rsidRPr="00015AAA">
          <w:rPr>
            <w:rStyle w:val="Hyperlink"/>
            <w:noProof/>
          </w:rPr>
          <w:t>6. Specific Conditions and Assurances</w:t>
        </w:r>
        <w:r>
          <w:rPr>
            <w:noProof/>
            <w:webHidden/>
          </w:rPr>
          <w:tab/>
        </w:r>
        <w:r>
          <w:rPr>
            <w:noProof/>
            <w:webHidden/>
          </w:rPr>
          <w:fldChar w:fldCharType="begin"/>
        </w:r>
        <w:r>
          <w:rPr>
            <w:noProof/>
            <w:webHidden/>
          </w:rPr>
          <w:instrText xml:space="preserve"> PAGEREF _Toc199842727 \h </w:instrText>
        </w:r>
        <w:r>
          <w:rPr>
            <w:noProof/>
            <w:webHidden/>
          </w:rPr>
        </w:r>
        <w:r>
          <w:rPr>
            <w:noProof/>
            <w:webHidden/>
          </w:rPr>
          <w:fldChar w:fldCharType="separate"/>
        </w:r>
        <w:r>
          <w:rPr>
            <w:noProof/>
            <w:webHidden/>
          </w:rPr>
          <w:t>4</w:t>
        </w:r>
        <w:r>
          <w:rPr>
            <w:noProof/>
            <w:webHidden/>
          </w:rPr>
          <w:fldChar w:fldCharType="end"/>
        </w:r>
      </w:hyperlink>
    </w:p>
    <w:p w14:paraId="56ACB0F2" w14:textId="4F8D17A9" w:rsidR="00802FEC" w:rsidRPr="0082047F" w:rsidRDefault="00802FEC">
      <w:pPr>
        <w:pStyle w:val="TOC2"/>
        <w:rPr>
          <w:rFonts w:asciiTheme="minorHAnsi" w:eastAsiaTheme="minorEastAsia" w:hAnsiTheme="minorHAnsi"/>
          <w:noProof/>
          <w:kern w:val="2"/>
          <w:szCs w:val="24"/>
          <w14:ligatures w14:val="standardContextual"/>
        </w:rPr>
      </w:pPr>
      <w:hyperlink w:anchor="_Toc199842728" w:history="1">
        <w:r w:rsidRPr="0082047F">
          <w:rPr>
            <w:rStyle w:val="Hyperlink"/>
            <w:noProof/>
          </w:rPr>
          <w:t>CDE Proposed STACS Subgrant Activity Dates</w:t>
        </w:r>
        <w:r w:rsidRPr="0082047F">
          <w:rPr>
            <w:noProof/>
            <w:webHidden/>
          </w:rPr>
          <w:tab/>
        </w:r>
        <w:r w:rsidRPr="0082047F">
          <w:rPr>
            <w:noProof/>
            <w:webHidden/>
          </w:rPr>
          <w:fldChar w:fldCharType="begin"/>
        </w:r>
        <w:r w:rsidRPr="0082047F">
          <w:rPr>
            <w:noProof/>
            <w:webHidden/>
          </w:rPr>
          <w:instrText xml:space="preserve"> PAGEREF _Toc199842728 \h </w:instrText>
        </w:r>
        <w:r w:rsidRPr="0082047F">
          <w:rPr>
            <w:noProof/>
            <w:webHidden/>
          </w:rPr>
        </w:r>
        <w:r w:rsidRPr="0082047F">
          <w:rPr>
            <w:noProof/>
            <w:webHidden/>
          </w:rPr>
          <w:fldChar w:fldCharType="separate"/>
        </w:r>
        <w:r w:rsidRPr="0082047F">
          <w:rPr>
            <w:noProof/>
            <w:webHidden/>
          </w:rPr>
          <w:t>5</w:t>
        </w:r>
        <w:r w:rsidRPr="0082047F">
          <w:rPr>
            <w:noProof/>
            <w:webHidden/>
          </w:rPr>
          <w:fldChar w:fldCharType="end"/>
        </w:r>
      </w:hyperlink>
    </w:p>
    <w:p w14:paraId="3A0D1A0B" w14:textId="6A3944EB" w:rsidR="00802FEC" w:rsidRDefault="00802FEC">
      <w:pPr>
        <w:pStyle w:val="TOC2"/>
        <w:rPr>
          <w:rFonts w:asciiTheme="minorHAnsi" w:eastAsiaTheme="minorEastAsia" w:hAnsiTheme="minorHAnsi"/>
          <w:noProof/>
          <w:kern w:val="2"/>
          <w:szCs w:val="24"/>
          <w14:ligatures w14:val="standardContextual"/>
        </w:rPr>
      </w:pPr>
      <w:hyperlink w:anchor="_Toc199842729" w:history="1">
        <w:r w:rsidRPr="0082047F">
          <w:rPr>
            <w:rStyle w:val="Hyperlink"/>
            <w:noProof/>
          </w:rPr>
          <w:t>Request for Applications Instructions</w:t>
        </w:r>
        <w:r w:rsidRPr="0082047F">
          <w:rPr>
            <w:noProof/>
            <w:webHidden/>
          </w:rPr>
          <w:tab/>
        </w:r>
        <w:r w:rsidRPr="0082047F">
          <w:rPr>
            <w:noProof/>
            <w:webHidden/>
          </w:rPr>
          <w:fldChar w:fldCharType="begin"/>
        </w:r>
        <w:r w:rsidRPr="0082047F">
          <w:rPr>
            <w:noProof/>
            <w:webHidden/>
          </w:rPr>
          <w:instrText xml:space="preserve"> PAGEREF _Toc199842729 \h </w:instrText>
        </w:r>
        <w:r w:rsidRPr="0082047F">
          <w:rPr>
            <w:noProof/>
            <w:webHidden/>
          </w:rPr>
        </w:r>
        <w:r w:rsidRPr="0082047F">
          <w:rPr>
            <w:noProof/>
            <w:webHidden/>
          </w:rPr>
          <w:fldChar w:fldCharType="separate"/>
        </w:r>
        <w:r w:rsidRPr="0082047F">
          <w:rPr>
            <w:noProof/>
            <w:webHidden/>
          </w:rPr>
          <w:t>5</w:t>
        </w:r>
        <w:r w:rsidRPr="0082047F">
          <w:rPr>
            <w:noProof/>
            <w:webHidden/>
          </w:rPr>
          <w:fldChar w:fldCharType="end"/>
        </w:r>
      </w:hyperlink>
    </w:p>
    <w:p w14:paraId="23ACE194" w14:textId="092CEF6E" w:rsidR="00802FEC" w:rsidRDefault="00802FEC">
      <w:pPr>
        <w:pStyle w:val="TOC2"/>
        <w:rPr>
          <w:rFonts w:asciiTheme="minorHAnsi" w:eastAsiaTheme="minorEastAsia" w:hAnsiTheme="minorHAnsi"/>
          <w:noProof/>
          <w:kern w:val="2"/>
          <w:szCs w:val="24"/>
          <w14:ligatures w14:val="standardContextual"/>
        </w:rPr>
      </w:pPr>
      <w:hyperlink w:anchor="_Toc199842730" w:history="1">
        <w:r w:rsidRPr="00015AAA">
          <w:rPr>
            <w:rStyle w:val="Hyperlink"/>
            <w:noProof/>
          </w:rPr>
          <w:t>Form 1 – Application Component Checklist</w:t>
        </w:r>
        <w:r>
          <w:rPr>
            <w:noProof/>
            <w:webHidden/>
          </w:rPr>
          <w:tab/>
        </w:r>
        <w:r>
          <w:rPr>
            <w:noProof/>
            <w:webHidden/>
          </w:rPr>
          <w:fldChar w:fldCharType="begin"/>
        </w:r>
        <w:r>
          <w:rPr>
            <w:noProof/>
            <w:webHidden/>
          </w:rPr>
          <w:instrText xml:space="preserve"> PAGEREF _Toc199842730 \h </w:instrText>
        </w:r>
        <w:r>
          <w:rPr>
            <w:noProof/>
            <w:webHidden/>
          </w:rPr>
        </w:r>
        <w:r>
          <w:rPr>
            <w:noProof/>
            <w:webHidden/>
          </w:rPr>
          <w:fldChar w:fldCharType="separate"/>
        </w:r>
        <w:r>
          <w:rPr>
            <w:noProof/>
            <w:webHidden/>
          </w:rPr>
          <w:t>7</w:t>
        </w:r>
        <w:r>
          <w:rPr>
            <w:noProof/>
            <w:webHidden/>
          </w:rPr>
          <w:fldChar w:fldCharType="end"/>
        </w:r>
      </w:hyperlink>
    </w:p>
    <w:p w14:paraId="3A56AC7A" w14:textId="7B3896AF" w:rsidR="00802FEC" w:rsidRDefault="00802FEC">
      <w:pPr>
        <w:pStyle w:val="TOC2"/>
        <w:rPr>
          <w:rFonts w:asciiTheme="minorHAnsi" w:eastAsiaTheme="minorEastAsia" w:hAnsiTheme="minorHAnsi"/>
          <w:noProof/>
          <w:kern w:val="2"/>
          <w:szCs w:val="24"/>
          <w14:ligatures w14:val="standardContextual"/>
        </w:rPr>
      </w:pPr>
      <w:hyperlink w:anchor="_Toc199842731" w:history="1">
        <w:r w:rsidRPr="00015AAA">
          <w:rPr>
            <w:rStyle w:val="Hyperlink"/>
            <w:noProof/>
          </w:rPr>
          <w:t>Form 2 – Subgrant Application Cover Page</w:t>
        </w:r>
        <w:r>
          <w:rPr>
            <w:noProof/>
            <w:webHidden/>
          </w:rPr>
          <w:tab/>
        </w:r>
        <w:r>
          <w:rPr>
            <w:noProof/>
            <w:webHidden/>
          </w:rPr>
          <w:fldChar w:fldCharType="begin"/>
        </w:r>
        <w:r>
          <w:rPr>
            <w:noProof/>
            <w:webHidden/>
          </w:rPr>
          <w:instrText xml:space="preserve"> PAGEREF _Toc199842731 \h </w:instrText>
        </w:r>
        <w:r>
          <w:rPr>
            <w:noProof/>
            <w:webHidden/>
          </w:rPr>
        </w:r>
        <w:r>
          <w:rPr>
            <w:noProof/>
            <w:webHidden/>
          </w:rPr>
          <w:fldChar w:fldCharType="separate"/>
        </w:r>
        <w:r>
          <w:rPr>
            <w:noProof/>
            <w:webHidden/>
          </w:rPr>
          <w:t>8</w:t>
        </w:r>
        <w:r>
          <w:rPr>
            <w:noProof/>
            <w:webHidden/>
          </w:rPr>
          <w:fldChar w:fldCharType="end"/>
        </w:r>
      </w:hyperlink>
    </w:p>
    <w:p w14:paraId="2A23A9A0" w14:textId="3A992437" w:rsidR="00802FEC" w:rsidRDefault="00802FEC">
      <w:pPr>
        <w:pStyle w:val="TOC3"/>
        <w:rPr>
          <w:rFonts w:asciiTheme="minorHAnsi" w:eastAsiaTheme="minorEastAsia" w:hAnsiTheme="minorHAnsi"/>
          <w:noProof/>
          <w:kern w:val="2"/>
          <w:szCs w:val="24"/>
          <w14:ligatures w14:val="standardContextual"/>
        </w:rPr>
      </w:pPr>
      <w:hyperlink w:anchor="_Toc199842732" w:history="1">
        <w:r w:rsidRPr="00015AAA">
          <w:rPr>
            <w:rStyle w:val="Hyperlink"/>
            <w:noProof/>
          </w:rPr>
          <w:t>Applicant Information</w:t>
        </w:r>
        <w:r>
          <w:rPr>
            <w:noProof/>
            <w:webHidden/>
          </w:rPr>
          <w:tab/>
        </w:r>
        <w:r>
          <w:rPr>
            <w:noProof/>
            <w:webHidden/>
          </w:rPr>
          <w:fldChar w:fldCharType="begin"/>
        </w:r>
        <w:r>
          <w:rPr>
            <w:noProof/>
            <w:webHidden/>
          </w:rPr>
          <w:instrText xml:space="preserve"> PAGEREF _Toc199842732 \h </w:instrText>
        </w:r>
        <w:r>
          <w:rPr>
            <w:noProof/>
            <w:webHidden/>
          </w:rPr>
        </w:r>
        <w:r>
          <w:rPr>
            <w:noProof/>
            <w:webHidden/>
          </w:rPr>
          <w:fldChar w:fldCharType="separate"/>
        </w:r>
        <w:r>
          <w:rPr>
            <w:noProof/>
            <w:webHidden/>
          </w:rPr>
          <w:t>8</w:t>
        </w:r>
        <w:r>
          <w:rPr>
            <w:noProof/>
            <w:webHidden/>
          </w:rPr>
          <w:fldChar w:fldCharType="end"/>
        </w:r>
      </w:hyperlink>
    </w:p>
    <w:p w14:paraId="352F28C8" w14:textId="7E002C43" w:rsidR="00802FEC" w:rsidRDefault="00802FEC">
      <w:pPr>
        <w:pStyle w:val="TOC3"/>
        <w:rPr>
          <w:rFonts w:asciiTheme="minorHAnsi" w:eastAsiaTheme="minorEastAsia" w:hAnsiTheme="minorHAnsi"/>
          <w:noProof/>
          <w:kern w:val="2"/>
          <w:szCs w:val="24"/>
          <w14:ligatures w14:val="standardContextual"/>
        </w:rPr>
      </w:pPr>
      <w:hyperlink w:anchor="_Toc199842733" w:history="1">
        <w:r w:rsidRPr="00015AAA">
          <w:rPr>
            <w:rStyle w:val="Hyperlink"/>
            <w:noProof/>
          </w:rPr>
          <w:t>Primary Applicant Certification, Assurance, and Signature Section</w:t>
        </w:r>
        <w:r>
          <w:rPr>
            <w:noProof/>
            <w:webHidden/>
          </w:rPr>
          <w:tab/>
        </w:r>
        <w:r>
          <w:rPr>
            <w:noProof/>
            <w:webHidden/>
          </w:rPr>
          <w:fldChar w:fldCharType="begin"/>
        </w:r>
        <w:r>
          <w:rPr>
            <w:noProof/>
            <w:webHidden/>
          </w:rPr>
          <w:instrText xml:space="preserve"> PAGEREF _Toc199842733 \h </w:instrText>
        </w:r>
        <w:r>
          <w:rPr>
            <w:noProof/>
            <w:webHidden/>
          </w:rPr>
        </w:r>
        <w:r>
          <w:rPr>
            <w:noProof/>
            <w:webHidden/>
          </w:rPr>
          <w:fldChar w:fldCharType="separate"/>
        </w:r>
        <w:r>
          <w:rPr>
            <w:noProof/>
            <w:webHidden/>
          </w:rPr>
          <w:t>9</w:t>
        </w:r>
        <w:r>
          <w:rPr>
            <w:noProof/>
            <w:webHidden/>
          </w:rPr>
          <w:fldChar w:fldCharType="end"/>
        </w:r>
      </w:hyperlink>
    </w:p>
    <w:p w14:paraId="6D3C4956" w14:textId="42699F59" w:rsidR="00802FEC" w:rsidRDefault="00802FEC">
      <w:pPr>
        <w:pStyle w:val="TOC2"/>
        <w:rPr>
          <w:rFonts w:asciiTheme="minorHAnsi" w:eastAsiaTheme="minorEastAsia" w:hAnsiTheme="minorHAnsi"/>
          <w:noProof/>
          <w:kern w:val="2"/>
          <w:szCs w:val="24"/>
          <w14:ligatures w14:val="standardContextual"/>
        </w:rPr>
      </w:pPr>
      <w:hyperlink w:anchor="_Toc199842734" w:history="1">
        <w:r w:rsidRPr="00015AAA">
          <w:rPr>
            <w:rStyle w:val="Hyperlink"/>
            <w:noProof/>
          </w:rPr>
          <w:t xml:space="preserve">Form 3 </w:t>
        </w:r>
        <w:r w:rsidRPr="00015AAA">
          <w:rPr>
            <w:rStyle w:val="Hyperlink"/>
            <w:i/>
            <w:noProof/>
          </w:rPr>
          <w:t>–</w:t>
        </w:r>
        <w:r w:rsidRPr="00015AAA">
          <w:rPr>
            <w:rStyle w:val="Hyperlink"/>
            <w:noProof/>
          </w:rPr>
          <w:t xml:space="preserve"> Application Narrative</w:t>
        </w:r>
        <w:r>
          <w:rPr>
            <w:noProof/>
            <w:webHidden/>
          </w:rPr>
          <w:tab/>
        </w:r>
        <w:r>
          <w:rPr>
            <w:noProof/>
            <w:webHidden/>
          </w:rPr>
          <w:fldChar w:fldCharType="begin"/>
        </w:r>
        <w:r>
          <w:rPr>
            <w:noProof/>
            <w:webHidden/>
          </w:rPr>
          <w:instrText xml:space="preserve"> PAGEREF _Toc199842734 \h </w:instrText>
        </w:r>
        <w:r>
          <w:rPr>
            <w:noProof/>
            <w:webHidden/>
          </w:rPr>
        </w:r>
        <w:r>
          <w:rPr>
            <w:noProof/>
            <w:webHidden/>
          </w:rPr>
          <w:fldChar w:fldCharType="separate"/>
        </w:r>
        <w:r>
          <w:rPr>
            <w:noProof/>
            <w:webHidden/>
          </w:rPr>
          <w:t>11</w:t>
        </w:r>
        <w:r>
          <w:rPr>
            <w:noProof/>
            <w:webHidden/>
          </w:rPr>
          <w:fldChar w:fldCharType="end"/>
        </w:r>
      </w:hyperlink>
    </w:p>
    <w:p w14:paraId="3CD6496D" w14:textId="154464F7" w:rsidR="00802FEC" w:rsidRDefault="00802FEC">
      <w:pPr>
        <w:pStyle w:val="TOC2"/>
        <w:rPr>
          <w:rFonts w:asciiTheme="minorHAnsi" w:eastAsiaTheme="minorEastAsia" w:hAnsiTheme="minorHAnsi"/>
          <w:noProof/>
          <w:kern w:val="2"/>
          <w:szCs w:val="24"/>
          <w14:ligatures w14:val="standardContextual"/>
        </w:rPr>
      </w:pPr>
      <w:hyperlink w:anchor="_Toc199842735" w:history="1">
        <w:r w:rsidRPr="00015AAA">
          <w:rPr>
            <w:rStyle w:val="Hyperlink"/>
            <w:noProof/>
          </w:rPr>
          <w:t>Forms 4 and 5 – Budget Form Instructions</w:t>
        </w:r>
        <w:r>
          <w:rPr>
            <w:noProof/>
            <w:webHidden/>
          </w:rPr>
          <w:tab/>
        </w:r>
        <w:r>
          <w:rPr>
            <w:noProof/>
            <w:webHidden/>
          </w:rPr>
          <w:fldChar w:fldCharType="begin"/>
        </w:r>
        <w:r>
          <w:rPr>
            <w:noProof/>
            <w:webHidden/>
          </w:rPr>
          <w:instrText xml:space="preserve"> PAGEREF _Toc199842735 \h </w:instrText>
        </w:r>
        <w:r>
          <w:rPr>
            <w:noProof/>
            <w:webHidden/>
          </w:rPr>
        </w:r>
        <w:r>
          <w:rPr>
            <w:noProof/>
            <w:webHidden/>
          </w:rPr>
          <w:fldChar w:fldCharType="separate"/>
        </w:r>
        <w:r>
          <w:rPr>
            <w:noProof/>
            <w:webHidden/>
          </w:rPr>
          <w:t>12</w:t>
        </w:r>
        <w:r>
          <w:rPr>
            <w:noProof/>
            <w:webHidden/>
          </w:rPr>
          <w:fldChar w:fldCharType="end"/>
        </w:r>
      </w:hyperlink>
    </w:p>
    <w:p w14:paraId="03CBA4B5" w14:textId="28FD2BA0" w:rsidR="00802FEC" w:rsidRDefault="00802FEC">
      <w:pPr>
        <w:pStyle w:val="TOC3"/>
        <w:rPr>
          <w:rFonts w:asciiTheme="minorHAnsi" w:eastAsiaTheme="minorEastAsia" w:hAnsiTheme="minorHAnsi"/>
          <w:noProof/>
          <w:kern w:val="2"/>
          <w:szCs w:val="24"/>
          <w14:ligatures w14:val="standardContextual"/>
        </w:rPr>
      </w:pPr>
      <w:hyperlink w:anchor="_Toc199842736" w:history="1">
        <w:r w:rsidRPr="00015AAA">
          <w:rPr>
            <w:rStyle w:val="Hyperlink"/>
            <w:noProof/>
          </w:rPr>
          <w:t>Form 4 – Budget Summary</w:t>
        </w:r>
        <w:r>
          <w:rPr>
            <w:noProof/>
            <w:webHidden/>
          </w:rPr>
          <w:tab/>
        </w:r>
        <w:r>
          <w:rPr>
            <w:noProof/>
            <w:webHidden/>
          </w:rPr>
          <w:fldChar w:fldCharType="begin"/>
        </w:r>
        <w:r>
          <w:rPr>
            <w:noProof/>
            <w:webHidden/>
          </w:rPr>
          <w:instrText xml:space="preserve"> PAGEREF _Toc199842736 \h </w:instrText>
        </w:r>
        <w:r>
          <w:rPr>
            <w:noProof/>
            <w:webHidden/>
          </w:rPr>
        </w:r>
        <w:r>
          <w:rPr>
            <w:noProof/>
            <w:webHidden/>
          </w:rPr>
          <w:fldChar w:fldCharType="separate"/>
        </w:r>
        <w:r>
          <w:rPr>
            <w:noProof/>
            <w:webHidden/>
          </w:rPr>
          <w:t>12</w:t>
        </w:r>
        <w:r>
          <w:rPr>
            <w:noProof/>
            <w:webHidden/>
          </w:rPr>
          <w:fldChar w:fldCharType="end"/>
        </w:r>
      </w:hyperlink>
    </w:p>
    <w:p w14:paraId="367A5985" w14:textId="1BAF3C4D" w:rsidR="00802FEC" w:rsidRDefault="00802FEC">
      <w:pPr>
        <w:pStyle w:val="TOC3"/>
        <w:rPr>
          <w:rFonts w:asciiTheme="minorHAnsi" w:eastAsiaTheme="minorEastAsia" w:hAnsiTheme="minorHAnsi"/>
          <w:noProof/>
          <w:kern w:val="2"/>
          <w:szCs w:val="24"/>
          <w14:ligatures w14:val="standardContextual"/>
        </w:rPr>
      </w:pPr>
      <w:hyperlink w:anchor="_Toc199842737" w:history="1">
        <w:r w:rsidRPr="00015AAA">
          <w:rPr>
            <w:rStyle w:val="Hyperlink"/>
            <w:noProof/>
          </w:rPr>
          <w:t>Form 5 – Budget Narrative</w:t>
        </w:r>
        <w:r>
          <w:rPr>
            <w:noProof/>
            <w:webHidden/>
          </w:rPr>
          <w:tab/>
        </w:r>
        <w:r>
          <w:rPr>
            <w:noProof/>
            <w:webHidden/>
          </w:rPr>
          <w:fldChar w:fldCharType="begin"/>
        </w:r>
        <w:r>
          <w:rPr>
            <w:noProof/>
            <w:webHidden/>
          </w:rPr>
          <w:instrText xml:space="preserve"> PAGEREF _Toc199842737 \h </w:instrText>
        </w:r>
        <w:r>
          <w:rPr>
            <w:noProof/>
            <w:webHidden/>
          </w:rPr>
        </w:r>
        <w:r>
          <w:rPr>
            <w:noProof/>
            <w:webHidden/>
          </w:rPr>
          <w:fldChar w:fldCharType="separate"/>
        </w:r>
        <w:r>
          <w:rPr>
            <w:noProof/>
            <w:webHidden/>
          </w:rPr>
          <w:t>12</w:t>
        </w:r>
        <w:r>
          <w:rPr>
            <w:noProof/>
            <w:webHidden/>
          </w:rPr>
          <w:fldChar w:fldCharType="end"/>
        </w:r>
      </w:hyperlink>
    </w:p>
    <w:p w14:paraId="0EC90BC7" w14:textId="6E37F74A" w:rsidR="00802FEC" w:rsidRDefault="00802FEC">
      <w:pPr>
        <w:pStyle w:val="TOC3"/>
        <w:rPr>
          <w:rFonts w:asciiTheme="minorHAnsi" w:eastAsiaTheme="minorEastAsia" w:hAnsiTheme="minorHAnsi"/>
          <w:noProof/>
          <w:kern w:val="2"/>
          <w:szCs w:val="24"/>
          <w14:ligatures w14:val="standardContextual"/>
        </w:rPr>
      </w:pPr>
      <w:hyperlink w:anchor="_Toc199842738" w:history="1">
        <w:r w:rsidRPr="00015AAA">
          <w:rPr>
            <w:rStyle w:val="Hyperlink"/>
            <w:noProof/>
          </w:rPr>
          <w:t>Object Code Budget Categories</w:t>
        </w:r>
        <w:r>
          <w:rPr>
            <w:noProof/>
            <w:webHidden/>
          </w:rPr>
          <w:tab/>
        </w:r>
        <w:r>
          <w:rPr>
            <w:noProof/>
            <w:webHidden/>
          </w:rPr>
          <w:fldChar w:fldCharType="begin"/>
        </w:r>
        <w:r>
          <w:rPr>
            <w:noProof/>
            <w:webHidden/>
          </w:rPr>
          <w:instrText xml:space="preserve"> PAGEREF _Toc199842738 \h </w:instrText>
        </w:r>
        <w:r>
          <w:rPr>
            <w:noProof/>
            <w:webHidden/>
          </w:rPr>
        </w:r>
        <w:r>
          <w:rPr>
            <w:noProof/>
            <w:webHidden/>
          </w:rPr>
          <w:fldChar w:fldCharType="separate"/>
        </w:r>
        <w:r>
          <w:rPr>
            <w:noProof/>
            <w:webHidden/>
          </w:rPr>
          <w:t>13</w:t>
        </w:r>
        <w:r>
          <w:rPr>
            <w:noProof/>
            <w:webHidden/>
          </w:rPr>
          <w:fldChar w:fldCharType="end"/>
        </w:r>
      </w:hyperlink>
    </w:p>
    <w:p w14:paraId="51D57735" w14:textId="273F0D81" w:rsidR="00802FEC" w:rsidRDefault="00802FEC">
      <w:pPr>
        <w:pStyle w:val="TOC2"/>
        <w:rPr>
          <w:rFonts w:asciiTheme="minorHAnsi" w:eastAsiaTheme="minorEastAsia" w:hAnsiTheme="minorHAnsi"/>
          <w:noProof/>
          <w:kern w:val="2"/>
          <w:szCs w:val="24"/>
          <w14:ligatures w14:val="standardContextual"/>
        </w:rPr>
      </w:pPr>
      <w:hyperlink w:anchor="_Toc199842739" w:history="1">
        <w:r w:rsidRPr="00015AAA">
          <w:rPr>
            <w:rStyle w:val="Hyperlink"/>
            <w:noProof/>
          </w:rPr>
          <w:t>Form 6 – Subgrant Conditions and Assurances</w:t>
        </w:r>
        <w:r>
          <w:rPr>
            <w:noProof/>
            <w:webHidden/>
          </w:rPr>
          <w:tab/>
        </w:r>
        <w:r>
          <w:rPr>
            <w:noProof/>
            <w:webHidden/>
          </w:rPr>
          <w:fldChar w:fldCharType="begin"/>
        </w:r>
        <w:r>
          <w:rPr>
            <w:noProof/>
            <w:webHidden/>
          </w:rPr>
          <w:instrText xml:space="preserve"> PAGEREF _Toc199842739 \h </w:instrText>
        </w:r>
        <w:r>
          <w:rPr>
            <w:noProof/>
            <w:webHidden/>
          </w:rPr>
        </w:r>
        <w:r>
          <w:rPr>
            <w:noProof/>
            <w:webHidden/>
          </w:rPr>
          <w:fldChar w:fldCharType="separate"/>
        </w:r>
        <w:r>
          <w:rPr>
            <w:noProof/>
            <w:webHidden/>
          </w:rPr>
          <w:t>15</w:t>
        </w:r>
        <w:r>
          <w:rPr>
            <w:noProof/>
            <w:webHidden/>
          </w:rPr>
          <w:fldChar w:fldCharType="end"/>
        </w:r>
      </w:hyperlink>
    </w:p>
    <w:p w14:paraId="054B02A6" w14:textId="4A205495" w:rsidR="00802FEC" w:rsidRDefault="00802FEC">
      <w:pPr>
        <w:pStyle w:val="TOC3"/>
        <w:rPr>
          <w:rFonts w:asciiTheme="minorHAnsi" w:eastAsiaTheme="minorEastAsia" w:hAnsiTheme="minorHAnsi"/>
          <w:noProof/>
          <w:kern w:val="2"/>
          <w:szCs w:val="24"/>
          <w14:ligatures w14:val="standardContextual"/>
        </w:rPr>
      </w:pPr>
      <w:hyperlink w:anchor="_Toc199842740" w:history="1">
        <w:r w:rsidRPr="00015AAA">
          <w:rPr>
            <w:rStyle w:val="Hyperlink"/>
            <w:noProof/>
          </w:rPr>
          <w:t>CDE General Assurances</w:t>
        </w:r>
        <w:r>
          <w:rPr>
            <w:noProof/>
            <w:webHidden/>
          </w:rPr>
          <w:tab/>
        </w:r>
        <w:r>
          <w:rPr>
            <w:noProof/>
            <w:webHidden/>
          </w:rPr>
          <w:fldChar w:fldCharType="begin"/>
        </w:r>
        <w:r>
          <w:rPr>
            <w:noProof/>
            <w:webHidden/>
          </w:rPr>
          <w:instrText xml:space="preserve"> PAGEREF _Toc199842740 \h </w:instrText>
        </w:r>
        <w:r>
          <w:rPr>
            <w:noProof/>
            <w:webHidden/>
          </w:rPr>
        </w:r>
        <w:r>
          <w:rPr>
            <w:noProof/>
            <w:webHidden/>
          </w:rPr>
          <w:fldChar w:fldCharType="separate"/>
        </w:r>
        <w:r>
          <w:rPr>
            <w:noProof/>
            <w:webHidden/>
          </w:rPr>
          <w:t>15</w:t>
        </w:r>
        <w:r>
          <w:rPr>
            <w:noProof/>
            <w:webHidden/>
          </w:rPr>
          <w:fldChar w:fldCharType="end"/>
        </w:r>
      </w:hyperlink>
    </w:p>
    <w:p w14:paraId="29B15E57" w14:textId="6F017243" w:rsidR="00802FEC" w:rsidRDefault="00802FEC">
      <w:pPr>
        <w:pStyle w:val="TOC3"/>
        <w:rPr>
          <w:rFonts w:asciiTheme="minorHAnsi" w:eastAsiaTheme="minorEastAsia" w:hAnsiTheme="minorHAnsi"/>
          <w:noProof/>
          <w:kern w:val="2"/>
          <w:szCs w:val="24"/>
          <w14:ligatures w14:val="standardContextual"/>
        </w:rPr>
      </w:pPr>
      <w:hyperlink w:anchor="_Toc199842741" w:history="1">
        <w:r w:rsidRPr="00015AAA">
          <w:rPr>
            <w:rStyle w:val="Hyperlink"/>
            <w:noProof/>
          </w:rPr>
          <w:t>STACS Specific</w:t>
        </w:r>
        <w:r w:rsidRPr="00015AAA">
          <w:rPr>
            <w:rStyle w:val="Hyperlink"/>
            <w:noProof/>
            <w:spacing w:val="1"/>
          </w:rPr>
          <w:t xml:space="preserve"> </w:t>
        </w:r>
        <w:r w:rsidRPr="00015AAA">
          <w:rPr>
            <w:rStyle w:val="Hyperlink"/>
            <w:noProof/>
          </w:rPr>
          <w:t>Assurances</w:t>
        </w:r>
        <w:r>
          <w:rPr>
            <w:noProof/>
            <w:webHidden/>
          </w:rPr>
          <w:tab/>
        </w:r>
        <w:r>
          <w:rPr>
            <w:noProof/>
            <w:webHidden/>
          </w:rPr>
          <w:fldChar w:fldCharType="begin"/>
        </w:r>
        <w:r>
          <w:rPr>
            <w:noProof/>
            <w:webHidden/>
          </w:rPr>
          <w:instrText xml:space="preserve"> PAGEREF _Toc199842741 \h </w:instrText>
        </w:r>
        <w:r>
          <w:rPr>
            <w:noProof/>
            <w:webHidden/>
          </w:rPr>
        </w:r>
        <w:r>
          <w:rPr>
            <w:noProof/>
            <w:webHidden/>
          </w:rPr>
          <w:fldChar w:fldCharType="separate"/>
        </w:r>
        <w:r>
          <w:rPr>
            <w:noProof/>
            <w:webHidden/>
          </w:rPr>
          <w:t>19</w:t>
        </w:r>
        <w:r>
          <w:rPr>
            <w:noProof/>
            <w:webHidden/>
          </w:rPr>
          <w:fldChar w:fldCharType="end"/>
        </w:r>
      </w:hyperlink>
    </w:p>
    <w:p w14:paraId="147D06C0" w14:textId="213DF8CD" w:rsidR="00802FEC" w:rsidRDefault="00802FEC">
      <w:pPr>
        <w:pStyle w:val="TOC2"/>
        <w:rPr>
          <w:rFonts w:asciiTheme="minorHAnsi" w:eastAsiaTheme="minorEastAsia" w:hAnsiTheme="minorHAnsi"/>
          <w:noProof/>
          <w:kern w:val="2"/>
          <w:szCs w:val="24"/>
          <w14:ligatures w14:val="standardContextual"/>
        </w:rPr>
      </w:pPr>
      <w:hyperlink w:anchor="_Toc199842742" w:history="1">
        <w:r w:rsidRPr="00015AAA">
          <w:rPr>
            <w:rStyle w:val="Hyperlink"/>
            <w:noProof/>
          </w:rPr>
          <w:t>Required Application Appendices</w:t>
        </w:r>
        <w:r>
          <w:rPr>
            <w:noProof/>
            <w:webHidden/>
          </w:rPr>
          <w:tab/>
        </w:r>
        <w:r>
          <w:rPr>
            <w:noProof/>
            <w:webHidden/>
          </w:rPr>
          <w:fldChar w:fldCharType="begin"/>
        </w:r>
        <w:r>
          <w:rPr>
            <w:noProof/>
            <w:webHidden/>
          </w:rPr>
          <w:instrText xml:space="preserve"> PAGEREF _Toc199842742 \h </w:instrText>
        </w:r>
        <w:r>
          <w:rPr>
            <w:noProof/>
            <w:webHidden/>
          </w:rPr>
        </w:r>
        <w:r>
          <w:rPr>
            <w:noProof/>
            <w:webHidden/>
          </w:rPr>
          <w:fldChar w:fldCharType="separate"/>
        </w:r>
        <w:r>
          <w:rPr>
            <w:noProof/>
            <w:webHidden/>
          </w:rPr>
          <w:t>22</w:t>
        </w:r>
        <w:r>
          <w:rPr>
            <w:noProof/>
            <w:webHidden/>
          </w:rPr>
          <w:fldChar w:fldCharType="end"/>
        </w:r>
      </w:hyperlink>
    </w:p>
    <w:p w14:paraId="1B78B0BF" w14:textId="526FBB35" w:rsidR="00802FEC" w:rsidRDefault="00802FEC">
      <w:pPr>
        <w:pStyle w:val="TOC3"/>
        <w:rPr>
          <w:rFonts w:asciiTheme="minorHAnsi" w:eastAsiaTheme="minorEastAsia" w:hAnsiTheme="minorHAnsi"/>
          <w:noProof/>
          <w:kern w:val="2"/>
          <w:szCs w:val="24"/>
          <w14:ligatures w14:val="standardContextual"/>
        </w:rPr>
      </w:pPr>
      <w:hyperlink w:anchor="_Toc199842743" w:history="1">
        <w:r w:rsidRPr="00015AAA">
          <w:rPr>
            <w:rStyle w:val="Hyperlink"/>
            <w:noProof/>
          </w:rPr>
          <w:t>Payee Data Record (STD. 204)</w:t>
        </w:r>
        <w:r>
          <w:rPr>
            <w:noProof/>
            <w:webHidden/>
          </w:rPr>
          <w:tab/>
        </w:r>
        <w:r>
          <w:rPr>
            <w:noProof/>
            <w:webHidden/>
          </w:rPr>
          <w:fldChar w:fldCharType="begin"/>
        </w:r>
        <w:r>
          <w:rPr>
            <w:noProof/>
            <w:webHidden/>
          </w:rPr>
          <w:instrText xml:space="preserve"> PAGEREF _Toc199842743 \h </w:instrText>
        </w:r>
        <w:r>
          <w:rPr>
            <w:noProof/>
            <w:webHidden/>
          </w:rPr>
        </w:r>
        <w:r>
          <w:rPr>
            <w:noProof/>
            <w:webHidden/>
          </w:rPr>
          <w:fldChar w:fldCharType="separate"/>
        </w:r>
        <w:r>
          <w:rPr>
            <w:noProof/>
            <w:webHidden/>
          </w:rPr>
          <w:t>22</w:t>
        </w:r>
        <w:r>
          <w:rPr>
            <w:noProof/>
            <w:webHidden/>
          </w:rPr>
          <w:fldChar w:fldCharType="end"/>
        </w:r>
      </w:hyperlink>
    </w:p>
    <w:p w14:paraId="00213D52" w14:textId="477FAEBD" w:rsidR="00802FEC" w:rsidRDefault="00802FEC">
      <w:pPr>
        <w:pStyle w:val="TOC3"/>
        <w:rPr>
          <w:rFonts w:asciiTheme="minorHAnsi" w:eastAsiaTheme="minorEastAsia" w:hAnsiTheme="minorHAnsi"/>
          <w:noProof/>
          <w:kern w:val="2"/>
          <w:szCs w:val="24"/>
          <w14:ligatures w14:val="standardContextual"/>
        </w:rPr>
      </w:pPr>
      <w:hyperlink w:anchor="_Toc199842744" w:history="1">
        <w:r w:rsidRPr="00015AAA">
          <w:rPr>
            <w:rStyle w:val="Hyperlink"/>
            <w:noProof/>
          </w:rPr>
          <w:t>Verification of SAM Registration</w:t>
        </w:r>
        <w:r>
          <w:rPr>
            <w:noProof/>
            <w:webHidden/>
          </w:rPr>
          <w:tab/>
        </w:r>
        <w:r>
          <w:rPr>
            <w:noProof/>
            <w:webHidden/>
          </w:rPr>
          <w:fldChar w:fldCharType="begin"/>
        </w:r>
        <w:r>
          <w:rPr>
            <w:noProof/>
            <w:webHidden/>
          </w:rPr>
          <w:instrText xml:space="preserve"> PAGEREF _Toc199842744 \h </w:instrText>
        </w:r>
        <w:r>
          <w:rPr>
            <w:noProof/>
            <w:webHidden/>
          </w:rPr>
        </w:r>
        <w:r>
          <w:rPr>
            <w:noProof/>
            <w:webHidden/>
          </w:rPr>
          <w:fldChar w:fldCharType="separate"/>
        </w:r>
        <w:r>
          <w:rPr>
            <w:noProof/>
            <w:webHidden/>
          </w:rPr>
          <w:t>22</w:t>
        </w:r>
        <w:r>
          <w:rPr>
            <w:noProof/>
            <w:webHidden/>
          </w:rPr>
          <w:fldChar w:fldCharType="end"/>
        </w:r>
      </w:hyperlink>
    </w:p>
    <w:p w14:paraId="163A3388" w14:textId="4EB735A5" w:rsidR="00802FEC" w:rsidRDefault="00802FEC">
      <w:pPr>
        <w:pStyle w:val="TOC3"/>
        <w:rPr>
          <w:rFonts w:asciiTheme="minorHAnsi" w:eastAsiaTheme="minorEastAsia" w:hAnsiTheme="minorHAnsi"/>
          <w:noProof/>
          <w:kern w:val="2"/>
          <w:szCs w:val="24"/>
          <w14:ligatures w14:val="standardContextual"/>
        </w:rPr>
      </w:pPr>
      <w:hyperlink w:anchor="_Toc199842745" w:history="1">
        <w:r w:rsidRPr="00015AAA">
          <w:rPr>
            <w:rStyle w:val="Hyperlink"/>
            <w:noProof/>
          </w:rPr>
          <w:t>Resumes</w:t>
        </w:r>
        <w:r>
          <w:rPr>
            <w:noProof/>
            <w:webHidden/>
          </w:rPr>
          <w:tab/>
        </w:r>
        <w:r>
          <w:rPr>
            <w:noProof/>
            <w:webHidden/>
          </w:rPr>
          <w:fldChar w:fldCharType="begin"/>
        </w:r>
        <w:r>
          <w:rPr>
            <w:noProof/>
            <w:webHidden/>
          </w:rPr>
          <w:instrText xml:space="preserve"> PAGEREF _Toc199842745 \h </w:instrText>
        </w:r>
        <w:r>
          <w:rPr>
            <w:noProof/>
            <w:webHidden/>
          </w:rPr>
        </w:r>
        <w:r>
          <w:rPr>
            <w:noProof/>
            <w:webHidden/>
          </w:rPr>
          <w:fldChar w:fldCharType="separate"/>
        </w:r>
        <w:r>
          <w:rPr>
            <w:noProof/>
            <w:webHidden/>
          </w:rPr>
          <w:t>22</w:t>
        </w:r>
        <w:r>
          <w:rPr>
            <w:noProof/>
            <w:webHidden/>
          </w:rPr>
          <w:fldChar w:fldCharType="end"/>
        </w:r>
      </w:hyperlink>
    </w:p>
    <w:p w14:paraId="51D7997C" w14:textId="27ED1F33" w:rsidR="00802FEC" w:rsidRDefault="00802FEC">
      <w:pPr>
        <w:pStyle w:val="TOC3"/>
        <w:rPr>
          <w:rFonts w:asciiTheme="minorHAnsi" w:eastAsiaTheme="minorEastAsia" w:hAnsiTheme="minorHAnsi"/>
          <w:noProof/>
          <w:kern w:val="2"/>
          <w:szCs w:val="24"/>
          <w14:ligatures w14:val="standardContextual"/>
        </w:rPr>
      </w:pPr>
      <w:hyperlink w:anchor="_Toc199842746" w:history="1">
        <w:r w:rsidRPr="00015AAA">
          <w:rPr>
            <w:rStyle w:val="Hyperlink"/>
            <w:noProof/>
          </w:rPr>
          <w:t>Letters of Support</w:t>
        </w:r>
        <w:r>
          <w:rPr>
            <w:noProof/>
            <w:webHidden/>
          </w:rPr>
          <w:tab/>
        </w:r>
        <w:r>
          <w:rPr>
            <w:noProof/>
            <w:webHidden/>
          </w:rPr>
          <w:fldChar w:fldCharType="begin"/>
        </w:r>
        <w:r>
          <w:rPr>
            <w:noProof/>
            <w:webHidden/>
          </w:rPr>
          <w:instrText xml:space="preserve"> PAGEREF _Toc199842746 \h </w:instrText>
        </w:r>
        <w:r>
          <w:rPr>
            <w:noProof/>
            <w:webHidden/>
          </w:rPr>
        </w:r>
        <w:r>
          <w:rPr>
            <w:noProof/>
            <w:webHidden/>
          </w:rPr>
          <w:fldChar w:fldCharType="separate"/>
        </w:r>
        <w:r>
          <w:rPr>
            <w:noProof/>
            <w:webHidden/>
          </w:rPr>
          <w:t>22</w:t>
        </w:r>
        <w:r>
          <w:rPr>
            <w:noProof/>
            <w:webHidden/>
          </w:rPr>
          <w:fldChar w:fldCharType="end"/>
        </w:r>
      </w:hyperlink>
    </w:p>
    <w:p w14:paraId="57281147" w14:textId="02FB4B3C" w:rsidR="00802FEC" w:rsidRDefault="00802FEC">
      <w:pPr>
        <w:pStyle w:val="TOC2"/>
        <w:rPr>
          <w:rFonts w:asciiTheme="minorHAnsi" w:eastAsiaTheme="minorEastAsia" w:hAnsiTheme="minorHAnsi"/>
          <w:noProof/>
          <w:kern w:val="2"/>
          <w:szCs w:val="24"/>
          <w14:ligatures w14:val="standardContextual"/>
        </w:rPr>
      </w:pPr>
      <w:hyperlink w:anchor="_Toc199842747" w:history="1">
        <w:r w:rsidRPr="00015AAA">
          <w:rPr>
            <w:rStyle w:val="Hyperlink"/>
            <w:noProof/>
          </w:rPr>
          <w:t xml:space="preserve">Appendix A: </w:t>
        </w:r>
        <w:r w:rsidRPr="00015AAA">
          <w:rPr>
            <w:rStyle w:val="Hyperlink"/>
            <w:rFonts w:eastAsia="Arial"/>
            <w:noProof/>
          </w:rPr>
          <w:t>Statewide Technical Assistance for Charter Schools Subgrant Request for Applications Scoring Rubric</w:t>
        </w:r>
        <w:r>
          <w:rPr>
            <w:noProof/>
            <w:webHidden/>
          </w:rPr>
          <w:tab/>
        </w:r>
        <w:r>
          <w:rPr>
            <w:noProof/>
            <w:webHidden/>
          </w:rPr>
          <w:fldChar w:fldCharType="begin"/>
        </w:r>
        <w:r>
          <w:rPr>
            <w:noProof/>
            <w:webHidden/>
          </w:rPr>
          <w:instrText xml:space="preserve"> PAGEREF _Toc199842747 \h </w:instrText>
        </w:r>
        <w:r>
          <w:rPr>
            <w:noProof/>
            <w:webHidden/>
          </w:rPr>
        </w:r>
        <w:r>
          <w:rPr>
            <w:noProof/>
            <w:webHidden/>
          </w:rPr>
          <w:fldChar w:fldCharType="separate"/>
        </w:r>
        <w:r>
          <w:rPr>
            <w:noProof/>
            <w:webHidden/>
          </w:rPr>
          <w:t>23</w:t>
        </w:r>
        <w:r>
          <w:rPr>
            <w:noProof/>
            <w:webHidden/>
          </w:rPr>
          <w:fldChar w:fldCharType="end"/>
        </w:r>
      </w:hyperlink>
    </w:p>
    <w:p w14:paraId="372BBE0A" w14:textId="7C4D6637" w:rsidR="00802FEC" w:rsidRDefault="00802FEC">
      <w:pPr>
        <w:pStyle w:val="TOC3"/>
        <w:tabs>
          <w:tab w:val="left" w:pos="960"/>
        </w:tabs>
        <w:rPr>
          <w:rFonts w:asciiTheme="minorHAnsi" w:eastAsiaTheme="minorEastAsia" w:hAnsiTheme="minorHAnsi"/>
          <w:noProof/>
          <w:kern w:val="2"/>
          <w:szCs w:val="24"/>
          <w14:ligatures w14:val="standardContextual"/>
        </w:rPr>
      </w:pPr>
      <w:hyperlink w:anchor="_Toc199842748" w:history="1">
        <w:r w:rsidRPr="00015AAA">
          <w:rPr>
            <w:rStyle w:val="Hyperlink"/>
            <w:noProof/>
          </w:rPr>
          <w:t>1.</w:t>
        </w:r>
        <w:r>
          <w:rPr>
            <w:rFonts w:asciiTheme="minorHAnsi" w:eastAsiaTheme="minorEastAsia" w:hAnsiTheme="minorHAnsi"/>
            <w:noProof/>
            <w:kern w:val="2"/>
            <w:szCs w:val="24"/>
            <w14:ligatures w14:val="standardContextual"/>
          </w:rPr>
          <w:tab/>
        </w:r>
        <w:r w:rsidRPr="00015AAA">
          <w:rPr>
            <w:rStyle w:val="Hyperlink"/>
            <w:noProof/>
          </w:rPr>
          <w:t>Organizational Capacity</w:t>
        </w:r>
        <w:r>
          <w:rPr>
            <w:noProof/>
            <w:webHidden/>
          </w:rPr>
          <w:tab/>
        </w:r>
        <w:r>
          <w:rPr>
            <w:noProof/>
            <w:webHidden/>
          </w:rPr>
          <w:fldChar w:fldCharType="begin"/>
        </w:r>
        <w:r>
          <w:rPr>
            <w:noProof/>
            <w:webHidden/>
          </w:rPr>
          <w:instrText xml:space="preserve"> PAGEREF _Toc199842748 \h </w:instrText>
        </w:r>
        <w:r>
          <w:rPr>
            <w:noProof/>
            <w:webHidden/>
          </w:rPr>
        </w:r>
        <w:r>
          <w:rPr>
            <w:noProof/>
            <w:webHidden/>
          </w:rPr>
          <w:fldChar w:fldCharType="separate"/>
        </w:r>
        <w:r>
          <w:rPr>
            <w:noProof/>
            <w:webHidden/>
          </w:rPr>
          <w:t>23</w:t>
        </w:r>
        <w:r>
          <w:rPr>
            <w:noProof/>
            <w:webHidden/>
          </w:rPr>
          <w:fldChar w:fldCharType="end"/>
        </w:r>
      </w:hyperlink>
    </w:p>
    <w:p w14:paraId="24265908" w14:textId="6D2CDA2F" w:rsidR="00802FEC" w:rsidRDefault="00802FEC">
      <w:pPr>
        <w:pStyle w:val="TOC3"/>
        <w:tabs>
          <w:tab w:val="left" w:pos="960"/>
        </w:tabs>
        <w:rPr>
          <w:rFonts w:asciiTheme="minorHAnsi" w:eastAsiaTheme="minorEastAsia" w:hAnsiTheme="minorHAnsi"/>
          <w:noProof/>
          <w:kern w:val="2"/>
          <w:szCs w:val="24"/>
          <w14:ligatures w14:val="standardContextual"/>
        </w:rPr>
      </w:pPr>
      <w:hyperlink w:anchor="_Toc199842749" w:history="1">
        <w:r w:rsidRPr="00015AAA">
          <w:rPr>
            <w:rStyle w:val="Hyperlink"/>
            <w:noProof/>
          </w:rPr>
          <w:t>2.</w:t>
        </w:r>
        <w:r>
          <w:rPr>
            <w:rFonts w:asciiTheme="minorHAnsi" w:eastAsiaTheme="minorEastAsia" w:hAnsiTheme="minorHAnsi"/>
            <w:noProof/>
            <w:kern w:val="2"/>
            <w:szCs w:val="24"/>
            <w14:ligatures w14:val="standardContextual"/>
          </w:rPr>
          <w:tab/>
        </w:r>
        <w:r w:rsidRPr="00015AAA">
          <w:rPr>
            <w:rStyle w:val="Hyperlink"/>
            <w:noProof/>
          </w:rPr>
          <w:t>Personnel Resources</w:t>
        </w:r>
        <w:r>
          <w:rPr>
            <w:noProof/>
            <w:webHidden/>
          </w:rPr>
          <w:tab/>
        </w:r>
        <w:r>
          <w:rPr>
            <w:noProof/>
            <w:webHidden/>
          </w:rPr>
          <w:fldChar w:fldCharType="begin"/>
        </w:r>
        <w:r>
          <w:rPr>
            <w:noProof/>
            <w:webHidden/>
          </w:rPr>
          <w:instrText xml:space="preserve"> PAGEREF _Toc199842749 \h </w:instrText>
        </w:r>
        <w:r>
          <w:rPr>
            <w:noProof/>
            <w:webHidden/>
          </w:rPr>
        </w:r>
        <w:r>
          <w:rPr>
            <w:noProof/>
            <w:webHidden/>
          </w:rPr>
          <w:fldChar w:fldCharType="separate"/>
        </w:r>
        <w:r>
          <w:rPr>
            <w:noProof/>
            <w:webHidden/>
          </w:rPr>
          <w:t>27</w:t>
        </w:r>
        <w:r>
          <w:rPr>
            <w:noProof/>
            <w:webHidden/>
          </w:rPr>
          <w:fldChar w:fldCharType="end"/>
        </w:r>
      </w:hyperlink>
    </w:p>
    <w:p w14:paraId="6E3241C0" w14:textId="65810618" w:rsidR="00802FEC" w:rsidRDefault="00802FEC">
      <w:pPr>
        <w:pStyle w:val="TOC3"/>
        <w:tabs>
          <w:tab w:val="left" w:pos="960"/>
        </w:tabs>
        <w:rPr>
          <w:rFonts w:asciiTheme="minorHAnsi" w:eastAsiaTheme="minorEastAsia" w:hAnsiTheme="minorHAnsi"/>
          <w:noProof/>
          <w:kern w:val="2"/>
          <w:szCs w:val="24"/>
          <w14:ligatures w14:val="standardContextual"/>
        </w:rPr>
      </w:pPr>
      <w:hyperlink w:anchor="_Toc199842750" w:history="1">
        <w:r w:rsidRPr="00015AAA">
          <w:rPr>
            <w:rStyle w:val="Hyperlink"/>
            <w:bCs/>
            <w:iCs/>
            <w:noProof/>
          </w:rPr>
          <w:t>3.</w:t>
        </w:r>
        <w:r>
          <w:rPr>
            <w:rFonts w:asciiTheme="minorHAnsi" w:eastAsiaTheme="minorEastAsia" w:hAnsiTheme="minorHAnsi"/>
            <w:noProof/>
            <w:kern w:val="2"/>
            <w:szCs w:val="24"/>
            <w14:ligatures w14:val="standardContextual"/>
          </w:rPr>
          <w:tab/>
        </w:r>
        <w:r w:rsidRPr="00015AAA">
          <w:rPr>
            <w:rStyle w:val="Hyperlink"/>
            <w:bCs/>
            <w:iCs/>
            <w:noProof/>
          </w:rPr>
          <w:t>Scope of Work</w:t>
        </w:r>
        <w:r>
          <w:rPr>
            <w:noProof/>
            <w:webHidden/>
          </w:rPr>
          <w:tab/>
        </w:r>
        <w:r>
          <w:rPr>
            <w:noProof/>
            <w:webHidden/>
          </w:rPr>
          <w:fldChar w:fldCharType="begin"/>
        </w:r>
        <w:r>
          <w:rPr>
            <w:noProof/>
            <w:webHidden/>
          </w:rPr>
          <w:instrText xml:space="preserve"> PAGEREF _Toc199842750 \h </w:instrText>
        </w:r>
        <w:r>
          <w:rPr>
            <w:noProof/>
            <w:webHidden/>
          </w:rPr>
        </w:r>
        <w:r>
          <w:rPr>
            <w:noProof/>
            <w:webHidden/>
          </w:rPr>
          <w:fldChar w:fldCharType="separate"/>
        </w:r>
        <w:r>
          <w:rPr>
            <w:noProof/>
            <w:webHidden/>
          </w:rPr>
          <w:t>29</w:t>
        </w:r>
        <w:r>
          <w:rPr>
            <w:noProof/>
            <w:webHidden/>
          </w:rPr>
          <w:fldChar w:fldCharType="end"/>
        </w:r>
      </w:hyperlink>
    </w:p>
    <w:p w14:paraId="19114549" w14:textId="50A649E5" w:rsidR="00802FEC" w:rsidRDefault="00802FEC">
      <w:pPr>
        <w:pStyle w:val="TOC3"/>
        <w:tabs>
          <w:tab w:val="left" w:pos="960"/>
        </w:tabs>
        <w:rPr>
          <w:rFonts w:asciiTheme="minorHAnsi" w:eastAsiaTheme="minorEastAsia" w:hAnsiTheme="minorHAnsi"/>
          <w:noProof/>
          <w:kern w:val="2"/>
          <w:szCs w:val="24"/>
          <w14:ligatures w14:val="standardContextual"/>
        </w:rPr>
      </w:pPr>
      <w:hyperlink w:anchor="_Toc199842751" w:history="1">
        <w:r w:rsidRPr="00015AAA">
          <w:rPr>
            <w:rStyle w:val="Hyperlink"/>
            <w:noProof/>
          </w:rPr>
          <w:t>4.</w:t>
        </w:r>
        <w:r>
          <w:rPr>
            <w:rFonts w:asciiTheme="minorHAnsi" w:eastAsiaTheme="minorEastAsia" w:hAnsiTheme="minorHAnsi"/>
            <w:noProof/>
            <w:kern w:val="2"/>
            <w:szCs w:val="24"/>
            <w14:ligatures w14:val="standardContextual"/>
          </w:rPr>
          <w:tab/>
        </w:r>
        <w:r w:rsidRPr="00015AAA">
          <w:rPr>
            <w:rStyle w:val="Hyperlink"/>
            <w:noProof/>
          </w:rPr>
          <w:t>Budget</w:t>
        </w:r>
        <w:r>
          <w:rPr>
            <w:noProof/>
            <w:webHidden/>
          </w:rPr>
          <w:tab/>
        </w:r>
        <w:r>
          <w:rPr>
            <w:noProof/>
            <w:webHidden/>
          </w:rPr>
          <w:fldChar w:fldCharType="begin"/>
        </w:r>
        <w:r>
          <w:rPr>
            <w:noProof/>
            <w:webHidden/>
          </w:rPr>
          <w:instrText xml:space="preserve"> PAGEREF _Toc199842751 \h </w:instrText>
        </w:r>
        <w:r>
          <w:rPr>
            <w:noProof/>
            <w:webHidden/>
          </w:rPr>
        </w:r>
        <w:r>
          <w:rPr>
            <w:noProof/>
            <w:webHidden/>
          </w:rPr>
          <w:fldChar w:fldCharType="separate"/>
        </w:r>
        <w:r>
          <w:rPr>
            <w:noProof/>
            <w:webHidden/>
          </w:rPr>
          <w:t>33</w:t>
        </w:r>
        <w:r>
          <w:rPr>
            <w:noProof/>
            <w:webHidden/>
          </w:rPr>
          <w:fldChar w:fldCharType="end"/>
        </w:r>
      </w:hyperlink>
    </w:p>
    <w:p w14:paraId="469BAF9A" w14:textId="08B0B876" w:rsidR="00802FEC" w:rsidRDefault="00802FEC">
      <w:pPr>
        <w:pStyle w:val="TOC2"/>
        <w:rPr>
          <w:rFonts w:asciiTheme="minorHAnsi" w:eastAsiaTheme="minorEastAsia" w:hAnsiTheme="minorHAnsi"/>
          <w:noProof/>
          <w:kern w:val="2"/>
          <w:szCs w:val="24"/>
          <w14:ligatures w14:val="standardContextual"/>
        </w:rPr>
      </w:pPr>
      <w:hyperlink w:anchor="_Toc199842752" w:history="1">
        <w:r w:rsidRPr="00015AAA">
          <w:rPr>
            <w:rStyle w:val="Hyperlink"/>
            <w:noProof/>
          </w:rPr>
          <w:t>Appendix B: Definitions of PCSGP Terms</w:t>
        </w:r>
        <w:r>
          <w:rPr>
            <w:noProof/>
            <w:webHidden/>
          </w:rPr>
          <w:tab/>
        </w:r>
        <w:r>
          <w:rPr>
            <w:noProof/>
            <w:webHidden/>
          </w:rPr>
          <w:fldChar w:fldCharType="begin"/>
        </w:r>
        <w:r>
          <w:rPr>
            <w:noProof/>
            <w:webHidden/>
          </w:rPr>
          <w:instrText xml:space="preserve"> PAGEREF _Toc199842752 \h </w:instrText>
        </w:r>
        <w:r>
          <w:rPr>
            <w:noProof/>
            <w:webHidden/>
          </w:rPr>
        </w:r>
        <w:r>
          <w:rPr>
            <w:noProof/>
            <w:webHidden/>
          </w:rPr>
          <w:fldChar w:fldCharType="separate"/>
        </w:r>
        <w:r>
          <w:rPr>
            <w:noProof/>
            <w:webHidden/>
          </w:rPr>
          <w:t>35</w:t>
        </w:r>
        <w:r>
          <w:rPr>
            <w:noProof/>
            <w:webHidden/>
          </w:rPr>
          <w:fldChar w:fldCharType="end"/>
        </w:r>
      </w:hyperlink>
    </w:p>
    <w:p w14:paraId="5DAC759E" w14:textId="0B7E85AD" w:rsidR="00802FEC" w:rsidRDefault="00802FEC">
      <w:pPr>
        <w:pStyle w:val="TOC2"/>
        <w:rPr>
          <w:rFonts w:asciiTheme="minorHAnsi" w:eastAsiaTheme="minorEastAsia" w:hAnsiTheme="minorHAnsi"/>
          <w:noProof/>
          <w:kern w:val="2"/>
          <w:szCs w:val="24"/>
          <w14:ligatures w14:val="standardContextual"/>
        </w:rPr>
      </w:pPr>
      <w:hyperlink w:anchor="_Toc199842753" w:history="1">
        <w:r w:rsidRPr="00015AAA">
          <w:rPr>
            <w:rStyle w:val="Hyperlink"/>
            <w:noProof/>
          </w:rPr>
          <w:t>Appendix C: California State Travel Program</w:t>
        </w:r>
        <w:r>
          <w:rPr>
            <w:noProof/>
            <w:webHidden/>
          </w:rPr>
          <w:tab/>
        </w:r>
        <w:r>
          <w:rPr>
            <w:noProof/>
            <w:webHidden/>
          </w:rPr>
          <w:fldChar w:fldCharType="begin"/>
        </w:r>
        <w:r>
          <w:rPr>
            <w:noProof/>
            <w:webHidden/>
          </w:rPr>
          <w:instrText xml:space="preserve"> PAGEREF _Toc199842753 \h </w:instrText>
        </w:r>
        <w:r>
          <w:rPr>
            <w:noProof/>
            <w:webHidden/>
          </w:rPr>
        </w:r>
        <w:r>
          <w:rPr>
            <w:noProof/>
            <w:webHidden/>
          </w:rPr>
          <w:fldChar w:fldCharType="separate"/>
        </w:r>
        <w:r>
          <w:rPr>
            <w:noProof/>
            <w:webHidden/>
          </w:rPr>
          <w:t>39</w:t>
        </w:r>
        <w:r>
          <w:rPr>
            <w:noProof/>
            <w:webHidden/>
          </w:rPr>
          <w:fldChar w:fldCharType="end"/>
        </w:r>
      </w:hyperlink>
    </w:p>
    <w:p w14:paraId="3C2923F6" w14:textId="5FA7B4F5" w:rsidR="00802FEC" w:rsidRDefault="00802FEC">
      <w:pPr>
        <w:pStyle w:val="TOC3"/>
        <w:rPr>
          <w:rFonts w:asciiTheme="minorHAnsi" w:eastAsiaTheme="minorEastAsia" w:hAnsiTheme="minorHAnsi"/>
          <w:noProof/>
          <w:kern w:val="2"/>
          <w:szCs w:val="24"/>
          <w14:ligatures w14:val="standardContextual"/>
        </w:rPr>
      </w:pPr>
      <w:hyperlink w:anchor="_Toc199842754" w:history="1">
        <w:r w:rsidRPr="00015AAA">
          <w:rPr>
            <w:rStyle w:val="Hyperlink"/>
            <w:noProof/>
          </w:rPr>
          <w:t>Travel and Per Diem Limitations</w:t>
        </w:r>
        <w:r>
          <w:rPr>
            <w:noProof/>
            <w:webHidden/>
          </w:rPr>
          <w:tab/>
        </w:r>
        <w:r>
          <w:rPr>
            <w:noProof/>
            <w:webHidden/>
          </w:rPr>
          <w:fldChar w:fldCharType="begin"/>
        </w:r>
        <w:r>
          <w:rPr>
            <w:noProof/>
            <w:webHidden/>
          </w:rPr>
          <w:instrText xml:space="preserve"> PAGEREF _Toc199842754 \h </w:instrText>
        </w:r>
        <w:r>
          <w:rPr>
            <w:noProof/>
            <w:webHidden/>
          </w:rPr>
        </w:r>
        <w:r>
          <w:rPr>
            <w:noProof/>
            <w:webHidden/>
          </w:rPr>
          <w:fldChar w:fldCharType="separate"/>
        </w:r>
        <w:r>
          <w:rPr>
            <w:noProof/>
            <w:webHidden/>
          </w:rPr>
          <w:t>39</w:t>
        </w:r>
        <w:r>
          <w:rPr>
            <w:noProof/>
            <w:webHidden/>
          </w:rPr>
          <w:fldChar w:fldCharType="end"/>
        </w:r>
      </w:hyperlink>
    </w:p>
    <w:p w14:paraId="11556DFC" w14:textId="110472C7" w:rsidR="00802FEC" w:rsidRDefault="00802FEC">
      <w:pPr>
        <w:pStyle w:val="TOC3"/>
        <w:rPr>
          <w:rFonts w:asciiTheme="minorHAnsi" w:eastAsiaTheme="minorEastAsia" w:hAnsiTheme="minorHAnsi"/>
          <w:noProof/>
          <w:kern w:val="2"/>
          <w:szCs w:val="24"/>
          <w14:ligatures w14:val="standardContextual"/>
        </w:rPr>
      </w:pPr>
      <w:hyperlink w:anchor="_Toc199842755" w:history="1">
        <w:r w:rsidRPr="00015AAA">
          <w:rPr>
            <w:rStyle w:val="Hyperlink"/>
            <w:noProof/>
          </w:rPr>
          <w:t>Conditions of Travel</w:t>
        </w:r>
        <w:r>
          <w:rPr>
            <w:noProof/>
            <w:webHidden/>
          </w:rPr>
          <w:tab/>
        </w:r>
        <w:r>
          <w:rPr>
            <w:noProof/>
            <w:webHidden/>
          </w:rPr>
          <w:fldChar w:fldCharType="begin"/>
        </w:r>
        <w:r>
          <w:rPr>
            <w:noProof/>
            <w:webHidden/>
          </w:rPr>
          <w:instrText xml:space="preserve"> PAGEREF _Toc199842755 \h </w:instrText>
        </w:r>
        <w:r>
          <w:rPr>
            <w:noProof/>
            <w:webHidden/>
          </w:rPr>
        </w:r>
        <w:r>
          <w:rPr>
            <w:noProof/>
            <w:webHidden/>
          </w:rPr>
          <w:fldChar w:fldCharType="separate"/>
        </w:r>
        <w:r>
          <w:rPr>
            <w:noProof/>
            <w:webHidden/>
          </w:rPr>
          <w:t>39</w:t>
        </w:r>
        <w:r>
          <w:rPr>
            <w:noProof/>
            <w:webHidden/>
          </w:rPr>
          <w:fldChar w:fldCharType="end"/>
        </w:r>
      </w:hyperlink>
    </w:p>
    <w:p w14:paraId="15691951" w14:textId="7D949821" w:rsidR="00802FEC" w:rsidRDefault="00802FEC">
      <w:pPr>
        <w:pStyle w:val="TOC3"/>
        <w:rPr>
          <w:rFonts w:asciiTheme="minorHAnsi" w:eastAsiaTheme="minorEastAsia" w:hAnsiTheme="minorHAnsi"/>
          <w:noProof/>
          <w:kern w:val="2"/>
          <w:szCs w:val="24"/>
          <w14:ligatures w14:val="standardContextual"/>
        </w:rPr>
      </w:pPr>
      <w:hyperlink w:anchor="_Toc199842756" w:history="1">
        <w:r w:rsidRPr="00015AAA">
          <w:rPr>
            <w:rStyle w:val="Hyperlink"/>
            <w:noProof/>
          </w:rPr>
          <w:t>Out of State Travel</w:t>
        </w:r>
        <w:r>
          <w:rPr>
            <w:noProof/>
            <w:webHidden/>
          </w:rPr>
          <w:tab/>
        </w:r>
        <w:r>
          <w:rPr>
            <w:noProof/>
            <w:webHidden/>
          </w:rPr>
          <w:fldChar w:fldCharType="begin"/>
        </w:r>
        <w:r>
          <w:rPr>
            <w:noProof/>
            <w:webHidden/>
          </w:rPr>
          <w:instrText xml:space="preserve"> PAGEREF _Toc199842756 \h </w:instrText>
        </w:r>
        <w:r>
          <w:rPr>
            <w:noProof/>
            <w:webHidden/>
          </w:rPr>
        </w:r>
        <w:r>
          <w:rPr>
            <w:noProof/>
            <w:webHidden/>
          </w:rPr>
          <w:fldChar w:fldCharType="separate"/>
        </w:r>
        <w:r>
          <w:rPr>
            <w:noProof/>
            <w:webHidden/>
          </w:rPr>
          <w:t>39</w:t>
        </w:r>
        <w:r>
          <w:rPr>
            <w:noProof/>
            <w:webHidden/>
          </w:rPr>
          <w:fldChar w:fldCharType="end"/>
        </w:r>
      </w:hyperlink>
    </w:p>
    <w:p w14:paraId="7BFCF7D0" w14:textId="50236EA7" w:rsidR="00802FEC" w:rsidRDefault="00802FEC">
      <w:pPr>
        <w:pStyle w:val="TOC3"/>
        <w:rPr>
          <w:rFonts w:asciiTheme="minorHAnsi" w:eastAsiaTheme="minorEastAsia" w:hAnsiTheme="minorHAnsi"/>
          <w:noProof/>
          <w:kern w:val="2"/>
          <w:szCs w:val="24"/>
          <w14:ligatures w14:val="standardContextual"/>
        </w:rPr>
      </w:pPr>
      <w:hyperlink w:anchor="_Toc199842757" w:history="1">
        <w:r w:rsidRPr="00015AAA">
          <w:rPr>
            <w:rStyle w:val="Hyperlink"/>
            <w:noProof/>
          </w:rPr>
          <w:t>Out of Country Travel</w:t>
        </w:r>
        <w:r>
          <w:rPr>
            <w:noProof/>
            <w:webHidden/>
          </w:rPr>
          <w:tab/>
        </w:r>
        <w:r>
          <w:rPr>
            <w:noProof/>
            <w:webHidden/>
          </w:rPr>
          <w:fldChar w:fldCharType="begin"/>
        </w:r>
        <w:r>
          <w:rPr>
            <w:noProof/>
            <w:webHidden/>
          </w:rPr>
          <w:instrText xml:space="preserve"> PAGEREF _Toc199842757 \h </w:instrText>
        </w:r>
        <w:r>
          <w:rPr>
            <w:noProof/>
            <w:webHidden/>
          </w:rPr>
        </w:r>
        <w:r>
          <w:rPr>
            <w:noProof/>
            <w:webHidden/>
          </w:rPr>
          <w:fldChar w:fldCharType="separate"/>
        </w:r>
        <w:r>
          <w:rPr>
            <w:noProof/>
            <w:webHidden/>
          </w:rPr>
          <w:t>39</w:t>
        </w:r>
        <w:r>
          <w:rPr>
            <w:noProof/>
            <w:webHidden/>
          </w:rPr>
          <w:fldChar w:fldCharType="end"/>
        </w:r>
      </w:hyperlink>
    </w:p>
    <w:p w14:paraId="32BBDA07" w14:textId="3BB73B95" w:rsidR="00802FEC" w:rsidRDefault="00802FEC">
      <w:pPr>
        <w:pStyle w:val="TOC3"/>
        <w:rPr>
          <w:rFonts w:asciiTheme="minorHAnsi" w:eastAsiaTheme="minorEastAsia" w:hAnsiTheme="minorHAnsi"/>
          <w:noProof/>
          <w:kern w:val="2"/>
          <w:szCs w:val="24"/>
          <w14:ligatures w14:val="standardContextual"/>
        </w:rPr>
      </w:pPr>
      <w:hyperlink w:anchor="_Toc199842758" w:history="1">
        <w:r w:rsidRPr="00015AAA">
          <w:rPr>
            <w:rStyle w:val="Hyperlink"/>
            <w:noProof/>
          </w:rPr>
          <w:t>Receipts/Miscellaneous</w:t>
        </w:r>
        <w:r>
          <w:rPr>
            <w:noProof/>
            <w:webHidden/>
          </w:rPr>
          <w:tab/>
        </w:r>
        <w:r>
          <w:rPr>
            <w:noProof/>
            <w:webHidden/>
          </w:rPr>
          <w:fldChar w:fldCharType="begin"/>
        </w:r>
        <w:r>
          <w:rPr>
            <w:noProof/>
            <w:webHidden/>
          </w:rPr>
          <w:instrText xml:space="preserve"> PAGEREF _Toc199842758 \h </w:instrText>
        </w:r>
        <w:r>
          <w:rPr>
            <w:noProof/>
            <w:webHidden/>
          </w:rPr>
        </w:r>
        <w:r>
          <w:rPr>
            <w:noProof/>
            <w:webHidden/>
          </w:rPr>
          <w:fldChar w:fldCharType="separate"/>
        </w:r>
        <w:r>
          <w:rPr>
            <w:noProof/>
            <w:webHidden/>
          </w:rPr>
          <w:t>39</w:t>
        </w:r>
        <w:r>
          <w:rPr>
            <w:noProof/>
            <w:webHidden/>
          </w:rPr>
          <w:fldChar w:fldCharType="end"/>
        </w:r>
      </w:hyperlink>
    </w:p>
    <w:p w14:paraId="052C058C" w14:textId="6BA814EF" w:rsidR="00C2361D" w:rsidRPr="00DB4CDB" w:rsidRDefault="00BE4A2F" w:rsidP="00CA40D1">
      <w:pPr>
        <w:spacing w:after="160"/>
      </w:pPr>
      <w:r w:rsidRPr="00DB4CDB">
        <w:fldChar w:fldCharType="end"/>
      </w:r>
      <w:r w:rsidR="00C2361D" w:rsidRPr="00DB4CDB">
        <w:br w:type="page"/>
      </w:r>
    </w:p>
    <w:p w14:paraId="04DD705A" w14:textId="5419F68C" w:rsidR="00576709" w:rsidRPr="000461B7" w:rsidRDefault="00C1527E" w:rsidP="0065467C">
      <w:pPr>
        <w:pStyle w:val="Heading2"/>
        <w:jc w:val="center"/>
      </w:pPr>
      <w:bookmarkStart w:id="10" w:name="_Toc199842720"/>
      <w:bookmarkStart w:id="11" w:name="_Toc516834966"/>
      <w:r>
        <w:lastRenderedPageBreak/>
        <w:t>Request for Applications</w:t>
      </w:r>
      <w:r w:rsidR="00413B71">
        <w:t xml:space="preserve"> Timeline</w:t>
      </w:r>
      <w:bookmarkEnd w:id="10"/>
    </w:p>
    <w:bookmarkEnd w:id="11"/>
    <w:p w14:paraId="17295671" w14:textId="75C89F47" w:rsidR="00C951F5" w:rsidRDefault="00F8430B" w:rsidP="00776301">
      <w:pPr>
        <w:spacing w:after="100" w:afterAutospacing="1"/>
      </w:pPr>
      <w:r w:rsidRPr="000461B7">
        <w:t>Please note the following dates for the 202</w:t>
      </w:r>
      <w:r w:rsidR="00291191">
        <w:t>5</w:t>
      </w:r>
      <w:r w:rsidR="00625123" w:rsidRPr="000461B7">
        <w:t>–</w:t>
      </w:r>
      <w:r w:rsidRPr="000461B7">
        <w:t>2</w:t>
      </w:r>
      <w:r w:rsidR="00F17306">
        <w:t>6</w:t>
      </w:r>
      <w:r w:rsidRPr="000461B7">
        <w:t xml:space="preserve"> </w:t>
      </w:r>
      <w:r w:rsidR="000461B7" w:rsidRPr="000461B7">
        <w:t>Statewide</w:t>
      </w:r>
      <w:r w:rsidR="00F85977" w:rsidRPr="000461B7">
        <w:t xml:space="preserve"> Technical Assistance </w:t>
      </w:r>
      <w:r w:rsidR="000461B7" w:rsidRPr="000461B7">
        <w:t>for Charter Schools (STACS)</w:t>
      </w:r>
      <w:r w:rsidR="00343CA7" w:rsidRPr="000461B7">
        <w:t xml:space="preserve"> </w:t>
      </w:r>
      <w:r w:rsidR="00562882" w:rsidRPr="000461B7">
        <w:t>Sub</w:t>
      </w:r>
      <w:r w:rsidR="00BC1BBE">
        <w:t>g</w:t>
      </w:r>
      <w:r w:rsidR="00343CA7" w:rsidRPr="00DB4CDB">
        <w:t>rant</w:t>
      </w:r>
      <w:r w:rsidR="00F55B33" w:rsidRPr="00DB4CDB">
        <w:t xml:space="preserve"> Request for Application</w:t>
      </w:r>
      <w:r w:rsidR="008F4C81" w:rsidRPr="00DB4CDB">
        <w:t>s (RFA)</w:t>
      </w:r>
      <w:r w:rsidR="00F55B33" w:rsidRPr="00DB4CDB">
        <w:t>.</w:t>
      </w:r>
      <w:r w:rsidRPr="00DB4CDB">
        <w:t xml:space="preserve"> </w:t>
      </w:r>
      <w:r w:rsidR="00F55B33" w:rsidRPr="00DB4CDB">
        <w:t xml:space="preserve">The effective dates of the </w:t>
      </w:r>
      <w:r w:rsidR="00562882" w:rsidRPr="00DB4CDB">
        <w:t>sub</w:t>
      </w:r>
      <w:r w:rsidR="00343CA7" w:rsidRPr="00DB4CDB">
        <w:t>grant awards</w:t>
      </w:r>
      <w:r w:rsidR="00F55B33" w:rsidRPr="00DB4CDB">
        <w:t xml:space="preserve"> </w:t>
      </w:r>
      <w:r w:rsidR="22BF1DB5" w:rsidRPr="00DB4CDB">
        <w:t>are</w:t>
      </w:r>
      <w:r w:rsidR="00F55B33" w:rsidRPr="00DB4CDB">
        <w:t xml:space="preserve"> </w:t>
      </w:r>
      <w:r w:rsidR="00634AD4">
        <w:rPr>
          <w:b/>
          <w:bCs/>
        </w:rPr>
        <w:t>November</w:t>
      </w:r>
      <w:r w:rsidR="008A4BF0" w:rsidRPr="00017D58">
        <w:rPr>
          <w:b/>
          <w:bCs/>
        </w:rPr>
        <w:t xml:space="preserve"> 1, 2025</w:t>
      </w:r>
      <w:r w:rsidR="00045C32" w:rsidRPr="00017D58">
        <w:rPr>
          <w:b/>
          <w:bCs/>
        </w:rPr>
        <w:t>,</w:t>
      </w:r>
      <w:r w:rsidR="00F55B33" w:rsidRPr="00017D58">
        <w:rPr>
          <w:b/>
          <w:bCs/>
        </w:rPr>
        <w:t xml:space="preserve"> to </w:t>
      </w:r>
      <w:r w:rsidR="00045C32" w:rsidRPr="00017D58">
        <w:rPr>
          <w:b/>
          <w:bCs/>
        </w:rPr>
        <w:t>June 30</w:t>
      </w:r>
      <w:r w:rsidR="00F55B33" w:rsidRPr="00017D58">
        <w:rPr>
          <w:b/>
          <w:bCs/>
        </w:rPr>
        <w:t>, 202</w:t>
      </w:r>
      <w:r w:rsidR="000F7607" w:rsidRPr="00017D58">
        <w:rPr>
          <w:b/>
          <w:bCs/>
        </w:rPr>
        <w:t>8</w:t>
      </w:r>
      <w:r w:rsidR="00F35FCF" w:rsidRPr="00017D58">
        <w:t>.</w:t>
      </w:r>
    </w:p>
    <w:p w14:paraId="32DBB9C2" w14:textId="3B3FA4F3" w:rsidR="004939DF" w:rsidRPr="00776301" w:rsidRDefault="001F4533" w:rsidP="00B477B2">
      <w:pPr>
        <w:pStyle w:val="TableHeader"/>
      </w:pPr>
      <w:r>
        <w:t xml:space="preserve">Dates for </w:t>
      </w:r>
      <w:r w:rsidR="004939DF" w:rsidRPr="004939DF">
        <w:t>2025–26 Statewide Technical Assistance for Charter Schools Subgrant Request for Applications</w:t>
      </w:r>
    </w:p>
    <w:tbl>
      <w:tblPr>
        <w:tblStyle w:val="TableGrid"/>
        <w:tblW w:w="5000" w:type="pct"/>
        <w:tblLook w:val="0020" w:firstRow="1" w:lastRow="0" w:firstColumn="0" w:lastColumn="0" w:noHBand="0" w:noVBand="0"/>
        <w:tblDescription w:val="Dates for 2025–26 Statewide Technical Assistance for Charter Schools Subgrant Request for Applications"/>
      </w:tblPr>
      <w:tblGrid>
        <w:gridCol w:w="5767"/>
        <w:gridCol w:w="3583"/>
      </w:tblGrid>
      <w:tr w:rsidR="00F8430B" w:rsidRPr="00DB4CDB" w14:paraId="5A7DBA55" w14:textId="77777777" w:rsidTr="736FBCEB">
        <w:trPr>
          <w:cantSplit/>
          <w:trHeight w:val="548"/>
          <w:tblHeader/>
        </w:trPr>
        <w:tc>
          <w:tcPr>
            <w:tcW w:w="3084" w:type="pct"/>
            <w:shd w:val="clear" w:color="auto" w:fill="BFBFBF" w:themeFill="background1" w:themeFillShade="BF"/>
            <w:vAlign w:val="center"/>
          </w:tcPr>
          <w:p w14:paraId="623F3FBA" w14:textId="77777777" w:rsidR="00F8430B" w:rsidRPr="00DB4CDB" w:rsidRDefault="00F8430B" w:rsidP="00CA40D1">
            <w:pPr>
              <w:spacing w:after="0"/>
              <w:jc w:val="center"/>
              <w:rPr>
                <w:b/>
              </w:rPr>
            </w:pPr>
            <w:r w:rsidRPr="00DB4CDB">
              <w:rPr>
                <w:b/>
              </w:rPr>
              <w:t>Important Events</w:t>
            </w:r>
          </w:p>
        </w:tc>
        <w:tc>
          <w:tcPr>
            <w:tcW w:w="1916" w:type="pct"/>
            <w:shd w:val="clear" w:color="auto" w:fill="BFBFBF" w:themeFill="background1" w:themeFillShade="BF"/>
            <w:vAlign w:val="center"/>
          </w:tcPr>
          <w:p w14:paraId="2F7C9C1C" w14:textId="77777777" w:rsidR="00F8430B" w:rsidRPr="00DB4CDB" w:rsidRDefault="00F8430B" w:rsidP="00CA40D1">
            <w:pPr>
              <w:spacing w:after="0"/>
              <w:jc w:val="center"/>
              <w:rPr>
                <w:b/>
              </w:rPr>
            </w:pPr>
            <w:r w:rsidRPr="00DB4CDB">
              <w:rPr>
                <w:b/>
              </w:rPr>
              <w:t>Dates</w:t>
            </w:r>
          </w:p>
        </w:tc>
      </w:tr>
      <w:tr w:rsidR="00367060" w:rsidRPr="004939DF" w14:paraId="071AE1F3" w14:textId="77777777" w:rsidTr="00357E08">
        <w:trPr>
          <w:cantSplit/>
          <w:trHeight w:val="720"/>
          <w:tblHeader/>
        </w:trPr>
        <w:tc>
          <w:tcPr>
            <w:tcW w:w="3084" w:type="pct"/>
          </w:tcPr>
          <w:p w14:paraId="246238C1" w14:textId="45C75DA2" w:rsidR="00367060" w:rsidRPr="004939DF" w:rsidRDefault="00367060" w:rsidP="00CA40D1">
            <w:pPr>
              <w:spacing w:before="120" w:after="120"/>
            </w:pPr>
            <w:r w:rsidRPr="004939DF">
              <w:t>Post RF</w:t>
            </w:r>
            <w:r w:rsidR="008F4C81" w:rsidRPr="004939DF">
              <w:t>A</w:t>
            </w:r>
            <w:r w:rsidRPr="004939DF">
              <w:t xml:space="preserve"> on the California Department of Education (CDE) website</w:t>
            </w:r>
          </w:p>
        </w:tc>
        <w:tc>
          <w:tcPr>
            <w:tcW w:w="1916" w:type="pct"/>
            <w:vAlign w:val="center"/>
          </w:tcPr>
          <w:p w14:paraId="672810D6" w14:textId="3D6A908F" w:rsidR="0000359D" w:rsidRPr="00AE03DD" w:rsidRDefault="009D4E33" w:rsidP="00CA40D1">
            <w:pPr>
              <w:spacing w:before="120" w:after="120"/>
              <w:jc w:val="center"/>
              <w:rPr>
                <w:b/>
                <w:bCs/>
              </w:rPr>
            </w:pPr>
            <w:r>
              <w:rPr>
                <w:b/>
                <w:bCs/>
              </w:rPr>
              <w:t>Wednesday</w:t>
            </w:r>
            <w:r w:rsidR="0000359D" w:rsidRPr="00AE03DD">
              <w:rPr>
                <w:b/>
                <w:bCs/>
              </w:rPr>
              <w:t xml:space="preserve">, August </w:t>
            </w:r>
            <w:r>
              <w:rPr>
                <w:b/>
                <w:bCs/>
              </w:rPr>
              <w:t>6</w:t>
            </w:r>
            <w:r w:rsidR="0000359D" w:rsidRPr="00AE03DD">
              <w:rPr>
                <w:b/>
                <w:bCs/>
              </w:rPr>
              <w:t>, 2025</w:t>
            </w:r>
          </w:p>
        </w:tc>
      </w:tr>
      <w:tr w:rsidR="00367060" w:rsidRPr="004939DF" w14:paraId="0CAEB555" w14:textId="77777777" w:rsidTr="00357E08">
        <w:trPr>
          <w:cantSplit/>
          <w:trHeight w:val="323"/>
          <w:tblHeader/>
        </w:trPr>
        <w:tc>
          <w:tcPr>
            <w:tcW w:w="3084" w:type="pct"/>
          </w:tcPr>
          <w:p w14:paraId="2D5AD296" w14:textId="1C7AF0B2" w:rsidR="00367060" w:rsidRPr="004939DF" w:rsidRDefault="00E4563D" w:rsidP="00CA40D1">
            <w:pPr>
              <w:spacing w:before="120" w:after="120"/>
            </w:pPr>
            <w:r w:rsidRPr="004939DF">
              <w:t>Technical Assistance Webinar: Overview of RFA and Sub</w:t>
            </w:r>
            <w:r w:rsidR="00BC1BBE" w:rsidRPr="004939DF">
              <w:t>g</w:t>
            </w:r>
            <w:r w:rsidRPr="004939DF">
              <w:t>rant Budget Training</w:t>
            </w:r>
          </w:p>
        </w:tc>
        <w:tc>
          <w:tcPr>
            <w:tcW w:w="1916" w:type="pct"/>
            <w:vAlign w:val="center"/>
          </w:tcPr>
          <w:p w14:paraId="00383CC6" w14:textId="086C03E5" w:rsidR="0000359D" w:rsidRPr="00AE03DD" w:rsidRDefault="0000359D" w:rsidP="00CA40D1">
            <w:pPr>
              <w:spacing w:before="120" w:after="120"/>
              <w:jc w:val="center"/>
              <w:rPr>
                <w:b/>
                <w:bCs/>
              </w:rPr>
            </w:pPr>
            <w:r w:rsidRPr="00AE03DD">
              <w:rPr>
                <w:b/>
                <w:bCs/>
              </w:rPr>
              <w:t>Tuesday, August 19, 2025</w:t>
            </w:r>
          </w:p>
          <w:p w14:paraId="104D9DE3" w14:textId="19A5B73E" w:rsidR="00367060" w:rsidRPr="00AE03DD" w:rsidRDefault="00B028E7" w:rsidP="00CA40D1">
            <w:pPr>
              <w:spacing w:before="120" w:after="120"/>
              <w:jc w:val="center"/>
              <w:rPr>
                <w:b/>
                <w:bCs/>
              </w:rPr>
            </w:pPr>
            <w:r w:rsidRPr="00AE03DD">
              <w:rPr>
                <w:b/>
                <w:bCs/>
              </w:rPr>
              <w:t xml:space="preserve">10 </w:t>
            </w:r>
            <w:r w:rsidR="00625123" w:rsidRPr="00AE03DD">
              <w:rPr>
                <w:b/>
                <w:bCs/>
              </w:rPr>
              <w:t>a</w:t>
            </w:r>
            <w:r w:rsidR="00940D51" w:rsidRPr="00AE03DD">
              <w:rPr>
                <w:b/>
                <w:bCs/>
              </w:rPr>
              <w:t>.</w:t>
            </w:r>
            <w:r w:rsidR="009E37A5" w:rsidRPr="00AE03DD">
              <w:rPr>
                <w:b/>
                <w:bCs/>
              </w:rPr>
              <w:t>m</w:t>
            </w:r>
            <w:r w:rsidR="00940D51" w:rsidRPr="00AE03DD">
              <w:rPr>
                <w:b/>
                <w:bCs/>
              </w:rPr>
              <w:t>.</w:t>
            </w:r>
            <w:r w:rsidR="00367060" w:rsidRPr="00AE03DD">
              <w:rPr>
                <w:b/>
                <w:bCs/>
              </w:rPr>
              <w:t xml:space="preserve"> </w:t>
            </w:r>
            <w:r w:rsidR="005A308F" w:rsidRPr="00AE03DD">
              <w:rPr>
                <w:b/>
                <w:bCs/>
              </w:rPr>
              <w:br/>
            </w:r>
            <w:r w:rsidR="00367060" w:rsidRPr="00AE03DD">
              <w:rPr>
                <w:b/>
                <w:bCs/>
              </w:rPr>
              <w:t>P</w:t>
            </w:r>
            <w:r w:rsidR="009E37A5" w:rsidRPr="00AE03DD">
              <w:rPr>
                <w:b/>
                <w:bCs/>
              </w:rPr>
              <w:t xml:space="preserve">acific </w:t>
            </w:r>
            <w:r w:rsidR="00971240" w:rsidRPr="00AE03DD">
              <w:rPr>
                <w:b/>
                <w:bCs/>
              </w:rPr>
              <w:t>Daylight</w:t>
            </w:r>
            <w:r w:rsidR="009E37A5" w:rsidRPr="00AE03DD">
              <w:rPr>
                <w:b/>
                <w:bCs/>
              </w:rPr>
              <w:t xml:space="preserve"> Time (P</w:t>
            </w:r>
            <w:r w:rsidR="00971240" w:rsidRPr="00AE03DD">
              <w:rPr>
                <w:b/>
                <w:bCs/>
              </w:rPr>
              <w:t>D</w:t>
            </w:r>
            <w:r w:rsidR="009E37A5" w:rsidRPr="00AE03DD">
              <w:rPr>
                <w:b/>
                <w:bCs/>
              </w:rPr>
              <w:t>T)</w:t>
            </w:r>
          </w:p>
        </w:tc>
      </w:tr>
      <w:tr w:rsidR="00367060" w:rsidRPr="004939DF" w14:paraId="6FC1B8E0" w14:textId="77777777" w:rsidTr="00357E08">
        <w:trPr>
          <w:cantSplit/>
          <w:trHeight w:val="665"/>
          <w:tblHeader/>
        </w:trPr>
        <w:tc>
          <w:tcPr>
            <w:tcW w:w="3084" w:type="pct"/>
          </w:tcPr>
          <w:p w14:paraId="256F2345" w14:textId="66D79710" w:rsidR="00436591" w:rsidRPr="004939DF" w:rsidRDefault="000461B7" w:rsidP="00CA40D1">
            <w:pPr>
              <w:spacing w:before="120" w:after="120"/>
            </w:pPr>
            <w:r w:rsidRPr="004939DF">
              <w:t>S</w:t>
            </w:r>
            <w:r w:rsidR="00B2609C" w:rsidRPr="004939DF">
              <w:t>TAC</w:t>
            </w:r>
            <w:r w:rsidRPr="004939DF">
              <w:t>S</w:t>
            </w:r>
            <w:r w:rsidR="005A308F" w:rsidRPr="004939DF">
              <w:t xml:space="preserve"> application</w:t>
            </w:r>
            <w:r w:rsidR="00367060" w:rsidRPr="004939DF">
              <w:t xml:space="preserve"> due date</w:t>
            </w:r>
          </w:p>
        </w:tc>
        <w:tc>
          <w:tcPr>
            <w:tcW w:w="1916" w:type="pct"/>
            <w:vAlign w:val="center"/>
          </w:tcPr>
          <w:p w14:paraId="33A8DA0B" w14:textId="1B35EC66" w:rsidR="0000359D" w:rsidRPr="00AE03DD" w:rsidRDefault="0000359D" w:rsidP="00CA40D1">
            <w:pPr>
              <w:spacing w:before="120" w:after="120"/>
              <w:jc w:val="center"/>
              <w:rPr>
                <w:b/>
              </w:rPr>
            </w:pPr>
            <w:r w:rsidRPr="00AE03DD">
              <w:rPr>
                <w:b/>
              </w:rPr>
              <w:t>Monday, September 22, 2025</w:t>
            </w:r>
          </w:p>
        </w:tc>
      </w:tr>
      <w:tr w:rsidR="00367060" w:rsidRPr="004939DF" w14:paraId="294C57EB" w14:textId="77777777" w:rsidTr="00357E08">
        <w:trPr>
          <w:cantSplit/>
          <w:trHeight w:val="530"/>
          <w:tblHeader/>
        </w:trPr>
        <w:tc>
          <w:tcPr>
            <w:tcW w:w="3084" w:type="pct"/>
          </w:tcPr>
          <w:p w14:paraId="75DE6441" w14:textId="5CDBF142" w:rsidR="00367060" w:rsidRPr="004939DF" w:rsidRDefault="00E4563D" w:rsidP="00CA40D1">
            <w:pPr>
              <w:spacing w:before="120" w:after="120"/>
            </w:pPr>
            <w:r w:rsidRPr="004939DF">
              <w:t>CDE Reviewers evaluate and score all eligible applications</w:t>
            </w:r>
          </w:p>
        </w:tc>
        <w:tc>
          <w:tcPr>
            <w:tcW w:w="1916" w:type="pct"/>
            <w:vAlign w:val="center"/>
          </w:tcPr>
          <w:p w14:paraId="0F961C3B" w14:textId="7CC5E1A4" w:rsidR="0000359D" w:rsidRPr="00AE03DD" w:rsidRDefault="0000359D" w:rsidP="0000359D">
            <w:pPr>
              <w:spacing w:before="120" w:after="120"/>
              <w:jc w:val="center"/>
              <w:rPr>
                <w:b/>
                <w:bCs/>
              </w:rPr>
            </w:pPr>
            <w:r w:rsidRPr="00AE03DD">
              <w:rPr>
                <w:b/>
                <w:bCs/>
              </w:rPr>
              <w:t>Tuesday, September 23</w:t>
            </w:r>
            <w:r w:rsidR="00AE03DD" w:rsidRPr="00AE03DD">
              <w:rPr>
                <w:b/>
                <w:bCs/>
              </w:rPr>
              <w:t>, 2025</w:t>
            </w:r>
            <w:r w:rsidRPr="00AE03DD">
              <w:rPr>
                <w:b/>
                <w:bCs/>
              </w:rPr>
              <w:t xml:space="preserve"> – </w:t>
            </w:r>
            <w:r w:rsidR="00AE03DD" w:rsidRPr="00AE03DD">
              <w:rPr>
                <w:b/>
                <w:bCs/>
              </w:rPr>
              <w:t xml:space="preserve">October </w:t>
            </w:r>
            <w:r w:rsidRPr="00AE03DD">
              <w:rPr>
                <w:b/>
                <w:bCs/>
              </w:rPr>
              <w:t>3, 2025</w:t>
            </w:r>
          </w:p>
          <w:p w14:paraId="6FB90D9E" w14:textId="7A1EEDCF" w:rsidR="00367060" w:rsidRPr="00AE03DD" w:rsidRDefault="00B028E7" w:rsidP="00CA40D1">
            <w:pPr>
              <w:spacing w:before="120" w:after="120"/>
              <w:jc w:val="center"/>
              <w:rPr>
                <w:b/>
                <w:bCs/>
              </w:rPr>
            </w:pPr>
            <w:r w:rsidRPr="00AE03DD">
              <w:rPr>
                <w:b/>
                <w:bCs/>
              </w:rPr>
              <w:t xml:space="preserve"> (Tentative)</w:t>
            </w:r>
          </w:p>
        </w:tc>
      </w:tr>
      <w:tr w:rsidR="00E4563D" w:rsidRPr="004939DF" w14:paraId="059A8EE9" w14:textId="77777777" w:rsidTr="00357E08">
        <w:trPr>
          <w:cantSplit/>
          <w:trHeight w:val="467"/>
          <w:tblHeader/>
        </w:trPr>
        <w:tc>
          <w:tcPr>
            <w:tcW w:w="3084" w:type="pct"/>
          </w:tcPr>
          <w:p w14:paraId="70D58D0A" w14:textId="50505EED" w:rsidR="00E4563D" w:rsidRPr="004939DF" w:rsidRDefault="00E4563D" w:rsidP="00CA40D1">
            <w:pPr>
              <w:spacing w:before="120" w:after="120"/>
            </w:pPr>
            <w:r w:rsidRPr="004939DF">
              <w:t>PCSGP Office notifies applicants of application status</w:t>
            </w:r>
          </w:p>
        </w:tc>
        <w:tc>
          <w:tcPr>
            <w:tcW w:w="1916" w:type="pct"/>
            <w:vAlign w:val="center"/>
          </w:tcPr>
          <w:p w14:paraId="4B909B17" w14:textId="470CF0EF" w:rsidR="00E4563D" w:rsidRPr="00AE03DD" w:rsidRDefault="00AE03DD" w:rsidP="0000359D">
            <w:pPr>
              <w:spacing w:before="120" w:after="120"/>
              <w:jc w:val="center"/>
              <w:rPr>
                <w:b/>
                <w:bCs/>
              </w:rPr>
            </w:pPr>
            <w:r w:rsidRPr="00AE03DD">
              <w:rPr>
                <w:b/>
                <w:bCs/>
              </w:rPr>
              <w:t>Thursday</w:t>
            </w:r>
            <w:r w:rsidR="0000359D" w:rsidRPr="00AE03DD">
              <w:rPr>
                <w:b/>
                <w:bCs/>
              </w:rPr>
              <w:t xml:space="preserve">, October </w:t>
            </w:r>
            <w:r w:rsidRPr="00AE03DD">
              <w:rPr>
                <w:b/>
                <w:bCs/>
              </w:rPr>
              <w:t>9</w:t>
            </w:r>
            <w:r w:rsidR="0000359D" w:rsidRPr="00AE03DD">
              <w:rPr>
                <w:b/>
                <w:bCs/>
              </w:rPr>
              <w:t xml:space="preserve">, 2025 </w:t>
            </w:r>
            <w:r w:rsidR="00B028E7" w:rsidRPr="00AE03DD">
              <w:rPr>
                <w:b/>
                <w:bCs/>
              </w:rPr>
              <w:t>(Tentative)</w:t>
            </w:r>
          </w:p>
        </w:tc>
      </w:tr>
      <w:tr w:rsidR="0081103E" w:rsidRPr="004939DF" w14:paraId="60C3F252" w14:textId="77777777" w:rsidTr="00357E08">
        <w:trPr>
          <w:cantSplit/>
          <w:trHeight w:val="692"/>
          <w:tblHeader/>
        </w:trPr>
        <w:tc>
          <w:tcPr>
            <w:tcW w:w="3084" w:type="pct"/>
          </w:tcPr>
          <w:p w14:paraId="1569340C" w14:textId="2157AF9F" w:rsidR="0081103E" w:rsidRPr="006566DE" w:rsidRDefault="0081103E" w:rsidP="00CA40D1">
            <w:pPr>
              <w:spacing w:before="120" w:after="120"/>
            </w:pPr>
            <w:bookmarkStart w:id="12" w:name="_Hlk74059692"/>
            <w:r w:rsidRPr="006566DE">
              <w:t xml:space="preserve">Grant Award Notification (GAN) will be processed after approval of </w:t>
            </w:r>
            <w:r w:rsidR="00D57587" w:rsidRPr="006566DE">
              <w:t xml:space="preserve">PCSGP </w:t>
            </w:r>
            <w:r w:rsidRPr="006566DE">
              <w:t xml:space="preserve">Budget. Subgrantees must sign and return the GAN. </w:t>
            </w:r>
          </w:p>
        </w:tc>
        <w:tc>
          <w:tcPr>
            <w:tcW w:w="1916" w:type="pct"/>
            <w:vAlign w:val="center"/>
          </w:tcPr>
          <w:p w14:paraId="7FFE7B0F" w14:textId="6641FF9E" w:rsidR="0081103E" w:rsidRPr="00AE03DD" w:rsidRDefault="0081103E" w:rsidP="00CA40D1">
            <w:pPr>
              <w:spacing w:before="120" w:after="120"/>
              <w:jc w:val="center"/>
            </w:pPr>
            <w:r w:rsidRPr="00AE03DD">
              <w:t>Approximately 4</w:t>
            </w:r>
            <w:r w:rsidR="00940D51" w:rsidRPr="00AE03DD">
              <w:t>–</w:t>
            </w:r>
            <w:r w:rsidR="001563BE" w:rsidRPr="00AE03DD">
              <w:t>6</w:t>
            </w:r>
            <w:r w:rsidRPr="00AE03DD">
              <w:t xml:space="preserve"> weeks</w:t>
            </w:r>
            <w:r w:rsidR="00262CF6" w:rsidRPr="00AE03DD">
              <w:t xml:space="preserve"> after approval of the </w:t>
            </w:r>
            <w:r w:rsidR="00D57587" w:rsidRPr="00AE03DD">
              <w:t xml:space="preserve">PCSGP </w:t>
            </w:r>
            <w:r w:rsidR="00262CF6" w:rsidRPr="00AE03DD">
              <w:t>Budget</w:t>
            </w:r>
          </w:p>
        </w:tc>
      </w:tr>
      <w:bookmarkEnd w:id="12"/>
      <w:tr w:rsidR="00EC34A3" w:rsidRPr="00DB4CDB" w14:paraId="58ADC043" w14:textId="77777777" w:rsidTr="00357E08">
        <w:trPr>
          <w:cantSplit/>
          <w:trHeight w:val="692"/>
          <w:tblHeader/>
        </w:trPr>
        <w:tc>
          <w:tcPr>
            <w:tcW w:w="3084" w:type="pct"/>
          </w:tcPr>
          <w:p w14:paraId="17DD1FDB" w14:textId="001D0957" w:rsidR="00EC34A3" w:rsidRPr="004939DF" w:rsidRDefault="00EC34A3" w:rsidP="00CA40D1">
            <w:pPr>
              <w:spacing w:before="120" w:after="120"/>
            </w:pPr>
            <w:r w:rsidRPr="004939DF">
              <w:t xml:space="preserve">Subgrant </w:t>
            </w:r>
            <w:r w:rsidR="005A308F" w:rsidRPr="004939DF">
              <w:t>a</w:t>
            </w:r>
            <w:r w:rsidRPr="004939DF">
              <w:t xml:space="preserve">ward </w:t>
            </w:r>
            <w:r w:rsidR="005A308F" w:rsidRPr="004939DF">
              <w:t>s</w:t>
            </w:r>
            <w:r w:rsidRPr="004939DF">
              <w:t>tarting date</w:t>
            </w:r>
          </w:p>
        </w:tc>
        <w:tc>
          <w:tcPr>
            <w:tcW w:w="1916" w:type="pct"/>
            <w:vAlign w:val="center"/>
          </w:tcPr>
          <w:p w14:paraId="191BC052" w14:textId="16E1A4EE" w:rsidR="0000359D" w:rsidRPr="00AE03DD" w:rsidRDefault="0000359D" w:rsidP="00CA40D1">
            <w:pPr>
              <w:spacing w:before="120" w:after="120"/>
              <w:jc w:val="center"/>
              <w:rPr>
                <w:b/>
                <w:bCs/>
              </w:rPr>
            </w:pPr>
            <w:r w:rsidRPr="00AE03DD">
              <w:rPr>
                <w:b/>
                <w:bCs/>
              </w:rPr>
              <w:t>Saturday, November 1, 2025</w:t>
            </w:r>
          </w:p>
        </w:tc>
      </w:tr>
      <w:tr w:rsidR="00F8430B" w:rsidRPr="00DB4CDB" w14:paraId="75B3B6CB" w14:textId="77777777" w:rsidTr="00357E08">
        <w:trPr>
          <w:cantSplit/>
          <w:trHeight w:val="548"/>
          <w:tblHeader/>
        </w:trPr>
        <w:tc>
          <w:tcPr>
            <w:tcW w:w="3084" w:type="pct"/>
          </w:tcPr>
          <w:p w14:paraId="58342800" w14:textId="535EEE8F" w:rsidR="00F8430B" w:rsidRPr="00DB4CDB" w:rsidRDefault="00310387" w:rsidP="00CA40D1">
            <w:pPr>
              <w:spacing w:before="120" w:after="120"/>
            </w:pPr>
            <w:r w:rsidRPr="00DB4CDB">
              <w:t xml:space="preserve">Reimbursement </w:t>
            </w:r>
            <w:r w:rsidR="005A308F" w:rsidRPr="00DB4CDB">
              <w:t>p</w:t>
            </w:r>
            <w:r w:rsidR="00F8430B" w:rsidRPr="00DB4CDB">
              <w:t xml:space="preserve">ayment </w:t>
            </w:r>
            <w:r w:rsidR="005A308F" w:rsidRPr="00DB4CDB">
              <w:t>r</w:t>
            </w:r>
            <w:r w:rsidR="00F8430B" w:rsidRPr="00DB4CDB">
              <w:t xml:space="preserve">equest </w:t>
            </w:r>
            <w:r w:rsidR="005A308F" w:rsidRPr="00DB4CDB">
              <w:t>p</w:t>
            </w:r>
            <w:r w:rsidR="00F8430B" w:rsidRPr="00DB4CDB">
              <w:t xml:space="preserve">rocess (approximately </w:t>
            </w:r>
            <w:r w:rsidR="00B37A45" w:rsidRPr="00DB4CDB">
              <w:t>6</w:t>
            </w:r>
            <w:r w:rsidR="00625123" w:rsidRPr="00DB4CDB">
              <w:t>–</w:t>
            </w:r>
            <w:r w:rsidR="00B37A45" w:rsidRPr="00DB4CDB">
              <w:t>8</w:t>
            </w:r>
            <w:r w:rsidR="00F8430B" w:rsidRPr="00DB4CDB">
              <w:t xml:space="preserve"> weeks)</w:t>
            </w:r>
          </w:p>
        </w:tc>
        <w:tc>
          <w:tcPr>
            <w:tcW w:w="1916" w:type="pct"/>
            <w:vAlign w:val="center"/>
          </w:tcPr>
          <w:p w14:paraId="63EF7DA3" w14:textId="64AAF6B6" w:rsidR="00F8430B" w:rsidRPr="00AE03DD" w:rsidRDefault="009A09E0" w:rsidP="00CA40D1">
            <w:pPr>
              <w:spacing w:before="120" w:after="120"/>
              <w:jc w:val="center"/>
            </w:pPr>
            <w:r w:rsidRPr="00AE03DD">
              <w:t>Begins upon CDE receipt of signed GAN and submission and approval of the first quarterly expenditure report (QER)</w:t>
            </w:r>
          </w:p>
        </w:tc>
      </w:tr>
    </w:tbl>
    <w:p w14:paraId="0A788F1F" w14:textId="77777777" w:rsidR="00C2361D" w:rsidRPr="00DB4CDB" w:rsidRDefault="00C2361D" w:rsidP="00CA40D1">
      <w:pPr>
        <w:spacing w:after="160"/>
      </w:pPr>
      <w:r w:rsidRPr="00DB4CDB">
        <w:br w:type="page"/>
      </w:r>
    </w:p>
    <w:p w14:paraId="6FA40C1D" w14:textId="5B27B318" w:rsidR="005A308F" w:rsidRPr="00DB4CDB" w:rsidRDefault="000461B7" w:rsidP="00CA40D1">
      <w:pPr>
        <w:jc w:val="center"/>
        <w:rPr>
          <w:b/>
          <w:sz w:val="32"/>
          <w:szCs w:val="32"/>
        </w:rPr>
      </w:pPr>
      <w:r w:rsidRPr="000461B7">
        <w:rPr>
          <w:b/>
          <w:sz w:val="32"/>
          <w:szCs w:val="32"/>
        </w:rPr>
        <w:lastRenderedPageBreak/>
        <w:t>Statewide</w:t>
      </w:r>
      <w:r w:rsidR="00F85977" w:rsidRPr="000461B7">
        <w:rPr>
          <w:b/>
          <w:sz w:val="32"/>
          <w:szCs w:val="32"/>
        </w:rPr>
        <w:t xml:space="preserve"> Technical Assistance </w:t>
      </w:r>
      <w:r w:rsidRPr="000461B7">
        <w:rPr>
          <w:b/>
          <w:sz w:val="32"/>
          <w:szCs w:val="32"/>
        </w:rPr>
        <w:t>for Charter Schools</w:t>
      </w:r>
      <w:r w:rsidR="00343CA7" w:rsidRPr="000461B7">
        <w:rPr>
          <w:b/>
          <w:sz w:val="32"/>
          <w:szCs w:val="32"/>
        </w:rPr>
        <w:t xml:space="preserve"> </w:t>
      </w:r>
      <w:r w:rsidR="00562882" w:rsidRPr="000461B7">
        <w:rPr>
          <w:b/>
          <w:sz w:val="32"/>
          <w:szCs w:val="32"/>
        </w:rPr>
        <w:t>Sub</w:t>
      </w:r>
      <w:r w:rsidR="00BC1BBE">
        <w:rPr>
          <w:b/>
          <w:sz w:val="32"/>
          <w:szCs w:val="32"/>
        </w:rPr>
        <w:t>g</w:t>
      </w:r>
      <w:r w:rsidR="00343CA7" w:rsidRPr="000461B7">
        <w:rPr>
          <w:b/>
          <w:sz w:val="32"/>
          <w:szCs w:val="32"/>
        </w:rPr>
        <w:t>rant</w:t>
      </w:r>
      <w:r w:rsidR="009F7673" w:rsidRPr="00DB4CDB">
        <w:rPr>
          <w:b/>
          <w:sz w:val="32"/>
          <w:szCs w:val="32"/>
        </w:rPr>
        <w:br/>
      </w:r>
      <w:r w:rsidR="005A308F" w:rsidRPr="00DB4CDB">
        <w:rPr>
          <w:b/>
          <w:sz w:val="32"/>
          <w:szCs w:val="32"/>
        </w:rPr>
        <w:t>Request for Application</w:t>
      </w:r>
      <w:r w:rsidR="00D305A5" w:rsidRPr="00DB4CDB">
        <w:rPr>
          <w:b/>
          <w:sz w:val="32"/>
          <w:szCs w:val="32"/>
        </w:rPr>
        <w:t>s</w:t>
      </w:r>
    </w:p>
    <w:p w14:paraId="7098CE1F" w14:textId="0EB277A1" w:rsidR="00DE301C" w:rsidRPr="00DB4CDB" w:rsidRDefault="009F7673" w:rsidP="00CA40D1">
      <w:pPr>
        <w:pStyle w:val="Heading2"/>
        <w:spacing w:before="0" w:after="100" w:afterAutospacing="1"/>
        <w:jc w:val="center"/>
      </w:pPr>
      <w:bookmarkStart w:id="13" w:name="_Toc199842721"/>
      <w:r w:rsidRPr="00DB4CDB">
        <w:t>General Information</w:t>
      </w:r>
      <w:bookmarkEnd w:id="13"/>
    </w:p>
    <w:p w14:paraId="31286357" w14:textId="6A5F22A3" w:rsidR="00C2361D" w:rsidRPr="00DB4CDB" w:rsidRDefault="00DE301C" w:rsidP="00453FA2">
      <w:pPr>
        <w:pStyle w:val="Heading3"/>
      </w:pPr>
      <w:bookmarkStart w:id="14" w:name="_Toc199842722"/>
      <w:r w:rsidRPr="00DB4CDB">
        <w:t>1. Purpose and Background</w:t>
      </w:r>
      <w:bookmarkEnd w:id="14"/>
    </w:p>
    <w:p w14:paraId="0CA6E329" w14:textId="77777777" w:rsidR="002A4D0D" w:rsidRPr="00E34647" w:rsidRDefault="002A4D0D" w:rsidP="002A4D0D">
      <w:r w:rsidRPr="00E34647">
        <w:t xml:space="preserve">The PCSGP is a subgrant program funded by the federal Charter Schools Program (CSP), authorized under </w:t>
      </w:r>
      <w:hyperlink r:id="rId13" w:history="1">
        <w:r>
          <w:rPr>
            <w:rStyle w:val="Hyperlink"/>
          </w:rPr>
          <w:t>Title IV, Part C of the Elementary and Secondary Education Act (ESEA) of 1965, as amended by the Every Student Succeeds Act (ESSA) (20 United States Code [U.S.C.] 7221–7221j (External Link)</w:t>
        </w:r>
      </w:hyperlink>
      <w:r w:rsidRPr="00E34647">
        <w:t xml:space="preserve">. </w:t>
      </w:r>
      <w:r w:rsidRPr="00E34647">
        <w:rPr>
          <w:b/>
        </w:rPr>
        <w:t>The PCSGP is a discretionary grant program. California was awarded approximately $93 million in grant funds for 2024–29.</w:t>
      </w:r>
      <w:r w:rsidRPr="00E34647">
        <w:t xml:space="preserve"> </w:t>
      </w:r>
      <w:bookmarkStart w:id="15" w:name="_Hlk60737671"/>
      <w:r w:rsidRPr="00E34647">
        <w:t>States that are awarded these federal funds distribute them in subgrants to charter school developers, known as PCSGP Start-Up Subgrants in the state of California, to assist in the development and initial operations of newly established or conversion charter schools as well as to assist in the expansion and replication of high-quality charter schools.</w:t>
      </w:r>
      <w:bookmarkEnd w:id="15"/>
    </w:p>
    <w:p w14:paraId="1DAF9C1B" w14:textId="5AD70B51" w:rsidR="000F7607" w:rsidRPr="0065467C" w:rsidRDefault="002A4D0D" w:rsidP="00CA40D1">
      <w:pPr>
        <w:spacing w:after="100" w:afterAutospacing="1"/>
        <w:rPr>
          <w:rFonts w:cs="Arial"/>
          <w:lang w:val="en"/>
        </w:rPr>
      </w:pPr>
      <w:r w:rsidRPr="00E34647">
        <w:t>Hereafter, the term CDE refers to the California Department of Education</w:t>
      </w:r>
      <w:r w:rsidRPr="00E34647" w:rsidDel="00AD3919">
        <w:t xml:space="preserve"> </w:t>
      </w:r>
      <w:r w:rsidRPr="008B7332">
        <w:t>(CDE) operating under the policy direction of the State Board of Education (SBE).</w:t>
      </w:r>
      <w:r w:rsidRPr="008B7332">
        <w:rPr>
          <w:rFonts w:cs="Arial"/>
          <w:lang w:val="en"/>
        </w:rPr>
        <w:t xml:space="preserve"> </w:t>
      </w:r>
      <w:r w:rsidR="00BC7AEC" w:rsidRPr="008B7332">
        <w:t xml:space="preserve">As part of its 2024 CSP application, the CDE has proposed to continue a statewide initiative to provide technical assistance in the following designated topic areas: English Learners (EL), Special Education (SPED), Socioeconomically </w:t>
      </w:r>
      <w:r w:rsidR="00BC7AEC" w:rsidRPr="006566DE">
        <w:t>Disadvantaged Students (SED), Career and Technical Education (CTE), and Innovative Strategies</w:t>
      </w:r>
      <w:r w:rsidR="00E54EA0" w:rsidRPr="006566DE">
        <w:t xml:space="preserve"> (See Appendix B: Definitions of PCSGP Terms)</w:t>
      </w:r>
      <w:r w:rsidR="00BC7AEC" w:rsidRPr="006566DE">
        <w:t xml:space="preserve">. </w:t>
      </w:r>
      <w:r w:rsidR="00C04D94" w:rsidRPr="006566DE">
        <w:t>The primary audience of these technical assistance programs will be California charter schools, however, they</w:t>
      </w:r>
      <w:r w:rsidR="00C04D94">
        <w:t xml:space="preserve"> will also be available to district schools and the public, with the goal of enhancing the quality and </w:t>
      </w:r>
      <w:r w:rsidR="00C04D94" w:rsidRPr="00EA1445">
        <w:t xml:space="preserve">broad dissemination of best practices statewide. </w:t>
      </w:r>
      <w:r w:rsidR="000F7607" w:rsidRPr="00EA1445">
        <w:t xml:space="preserve">Applicants may apply for and be awarded any combination of </w:t>
      </w:r>
      <w:r w:rsidR="00763102" w:rsidRPr="00EA1445">
        <w:t>one</w:t>
      </w:r>
      <w:r w:rsidR="000F7607" w:rsidRPr="00EA1445">
        <w:t xml:space="preserve"> to five topic</w:t>
      </w:r>
      <w:r w:rsidR="00763102" w:rsidRPr="00EA1445">
        <w:t xml:space="preserve"> areas</w:t>
      </w:r>
      <w:r w:rsidR="000F7607" w:rsidRPr="00EA1445">
        <w:t>, with awards made based on the applicant’s qualifications and the needs of the CDE.</w:t>
      </w:r>
      <w:r w:rsidR="000F7607" w:rsidRPr="00EA1445">
        <w:rPr>
          <w:rFonts w:cs="Arial"/>
          <w:szCs w:val="24"/>
        </w:rPr>
        <w:t xml:space="preserve"> </w:t>
      </w:r>
      <w:r w:rsidR="000F7607" w:rsidRPr="00EA1445">
        <w:rPr>
          <w:rFonts w:eastAsia="Times New Roman" w:cs="Arial"/>
          <w:szCs w:val="24"/>
        </w:rPr>
        <w:t xml:space="preserve">Information on specific allocations can be found in Section 2.2 Subaward Funding Levels and Time Period. </w:t>
      </w:r>
      <w:r w:rsidR="000F7607" w:rsidRPr="00EA1445">
        <w:t xml:space="preserve">Eligible applicants must be California-based local educational agencies (LEAs), including county offices of education (COEs), or education non-profit </w:t>
      </w:r>
      <w:r w:rsidRPr="00EA1445">
        <w:t xml:space="preserve">organizations </w:t>
      </w:r>
      <w:r w:rsidR="000F7607" w:rsidRPr="00EA1445">
        <w:t xml:space="preserve">that support charter schools. </w:t>
      </w:r>
      <w:r w:rsidR="000F7607" w:rsidRPr="00EA1445">
        <w:rPr>
          <w:rFonts w:eastAsia="Times New Roman" w:cs="Arial"/>
          <w:szCs w:val="24"/>
        </w:rPr>
        <w:t xml:space="preserve">Information on additional eligibility requirements is available </w:t>
      </w:r>
      <w:r w:rsidR="00971240" w:rsidRPr="00EA1445">
        <w:rPr>
          <w:rFonts w:eastAsia="Times New Roman" w:cs="Arial"/>
          <w:szCs w:val="24"/>
        </w:rPr>
        <w:t>in Section 2.1 Applicant Eligibility.</w:t>
      </w:r>
      <w:r w:rsidR="00971240">
        <w:rPr>
          <w:rFonts w:eastAsia="Times New Roman" w:cs="Arial"/>
          <w:szCs w:val="24"/>
        </w:rPr>
        <w:t xml:space="preserve"> </w:t>
      </w:r>
    </w:p>
    <w:p w14:paraId="687BE5A8" w14:textId="3ADD1B39" w:rsidR="001A2CF8" w:rsidRPr="004A0B65" w:rsidRDefault="00776301" w:rsidP="00CA40D1">
      <w:pPr>
        <w:spacing w:after="100" w:afterAutospacing="1"/>
        <w:rPr>
          <w:rFonts w:cs="Arial"/>
          <w:lang w:val="en"/>
        </w:rPr>
      </w:pPr>
      <w:r>
        <w:t>STAC</w:t>
      </w:r>
      <w:r w:rsidR="00B714D9">
        <w:t>S</w:t>
      </w:r>
      <w:r>
        <w:t xml:space="preserve"> </w:t>
      </w:r>
      <w:r w:rsidR="003B6782">
        <w:t>S</w:t>
      </w:r>
      <w:r w:rsidR="002E101A">
        <w:t>ubgrants</w:t>
      </w:r>
      <w:r>
        <w:t xml:space="preserve"> will include the following </w:t>
      </w:r>
      <w:r w:rsidR="00DE1309">
        <w:t>task</w:t>
      </w:r>
      <w:r w:rsidR="00787783">
        <w:t>s</w:t>
      </w:r>
      <w:r w:rsidR="005D30DF">
        <w:t>, which will be</w:t>
      </w:r>
      <w:r w:rsidR="00DE1309">
        <w:t xml:space="preserve"> required</w:t>
      </w:r>
      <w:r>
        <w:t xml:space="preserve"> to be conducted</w:t>
      </w:r>
      <w:r w:rsidR="005D30DF">
        <w:t xml:space="preserve"> as part of a comprehensive technical assistance program for each of the </w:t>
      </w:r>
      <w:r w:rsidR="00803D6A" w:rsidRPr="008B7332">
        <w:t>five</w:t>
      </w:r>
      <w:r w:rsidR="005D30DF" w:rsidRPr="008B7332">
        <w:t xml:space="preserve"> topic areas </w:t>
      </w:r>
      <w:r w:rsidR="00803D6A" w:rsidRPr="008B7332">
        <w:t xml:space="preserve">(EL, SPED, SED, CTE and Innovative Strategies) </w:t>
      </w:r>
      <w:r w:rsidR="00ED076A" w:rsidRPr="008B7332">
        <w:t>available under this R</w:t>
      </w:r>
      <w:r w:rsidR="00ED076A">
        <w:t>FA</w:t>
      </w:r>
      <w:r>
        <w:t xml:space="preserve">: </w:t>
      </w:r>
    </w:p>
    <w:p w14:paraId="03695DD3" w14:textId="11359259" w:rsidR="00DE1309" w:rsidRDefault="00DE1309" w:rsidP="00F17306">
      <w:pPr>
        <w:pStyle w:val="ListParagraph"/>
        <w:numPr>
          <w:ilvl w:val="0"/>
          <w:numId w:val="15"/>
        </w:numPr>
        <w:contextualSpacing w:val="0"/>
        <w:rPr>
          <w:rFonts w:eastAsia="Times New Roman" w:cs="Arial"/>
          <w:szCs w:val="24"/>
        </w:rPr>
      </w:pPr>
      <w:r>
        <w:rPr>
          <w:rFonts w:eastAsia="Times New Roman" w:cs="Arial"/>
          <w:szCs w:val="24"/>
        </w:rPr>
        <w:t xml:space="preserve">TASK 1 – </w:t>
      </w:r>
      <w:r w:rsidR="00787783">
        <w:rPr>
          <w:rFonts w:eastAsia="Times New Roman" w:cs="Arial"/>
          <w:szCs w:val="24"/>
        </w:rPr>
        <w:t>Recruitment</w:t>
      </w:r>
    </w:p>
    <w:p w14:paraId="33298A98" w14:textId="77777777" w:rsidR="00B115F7" w:rsidRDefault="00787783" w:rsidP="00F17306">
      <w:pPr>
        <w:pStyle w:val="ListParagraph"/>
        <w:numPr>
          <w:ilvl w:val="0"/>
          <w:numId w:val="15"/>
        </w:numPr>
        <w:contextualSpacing w:val="0"/>
        <w:rPr>
          <w:rFonts w:eastAsia="Times New Roman" w:cs="Arial"/>
          <w:szCs w:val="24"/>
        </w:rPr>
      </w:pPr>
      <w:r>
        <w:rPr>
          <w:rFonts w:eastAsia="Times New Roman" w:cs="Arial"/>
          <w:szCs w:val="24"/>
        </w:rPr>
        <w:t xml:space="preserve">TASK 2 – </w:t>
      </w:r>
      <w:r w:rsidR="00B115F7">
        <w:rPr>
          <w:rFonts w:eastAsia="Times New Roman" w:cs="Arial"/>
          <w:szCs w:val="24"/>
        </w:rPr>
        <w:t>Subject Matter Expertise</w:t>
      </w:r>
    </w:p>
    <w:p w14:paraId="5290D2AD" w14:textId="1EE11A9F" w:rsidR="00787783" w:rsidRDefault="00B115F7" w:rsidP="00F17306">
      <w:pPr>
        <w:pStyle w:val="ListParagraph"/>
        <w:numPr>
          <w:ilvl w:val="0"/>
          <w:numId w:val="15"/>
        </w:numPr>
        <w:contextualSpacing w:val="0"/>
        <w:rPr>
          <w:rFonts w:eastAsia="Times New Roman" w:cs="Arial"/>
          <w:szCs w:val="24"/>
        </w:rPr>
      </w:pPr>
      <w:r>
        <w:rPr>
          <w:rFonts w:eastAsia="Times New Roman" w:cs="Arial"/>
          <w:szCs w:val="24"/>
        </w:rPr>
        <w:lastRenderedPageBreak/>
        <w:t xml:space="preserve">TASK 3 - </w:t>
      </w:r>
      <w:r w:rsidR="00787783">
        <w:rPr>
          <w:rFonts w:eastAsia="Times New Roman" w:cs="Arial"/>
          <w:szCs w:val="24"/>
        </w:rPr>
        <w:t>Best Practices Webinars</w:t>
      </w:r>
    </w:p>
    <w:p w14:paraId="62EE864D" w14:textId="75B2C911" w:rsidR="00787783" w:rsidRDefault="00787783" w:rsidP="00F17306">
      <w:pPr>
        <w:pStyle w:val="ListParagraph"/>
        <w:numPr>
          <w:ilvl w:val="0"/>
          <w:numId w:val="15"/>
        </w:numPr>
        <w:contextualSpacing w:val="0"/>
        <w:rPr>
          <w:rFonts w:eastAsia="Times New Roman" w:cs="Arial"/>
          <w:szCs w:val="24"/>
        </w:rPr>
      </w:pPr>
      <w:r>
        <w:rPr>
          <w:rFonts w:eastAsia="Times New Roman" w:cs="Arial"/>
          <w:szCs w:val="24"/>
        </w:rPr>
        <w:t xml:space="preserve">TASK </w:t>
      </w:r>
      <w:r w:rsidR="00B115F7">
        <w:rPr>
          <w:rFonts w:eastAsia="Times New Roman" w:cs="Arial"/>
          <w:szCs w:val="24"/>
        </w:rPr>
        <w:t>4</w:t>
      </w:r>
      <w:r>
        <w:rPr>
          <w:rFonts w:eastAsia="Times New Roman" w:cs="Arial"/>
          <w:szCs w:val="24"/>
        </w:rPr>
        <w:t xml:space="preserve"> – Continuous Improvement Network </w:t>
      </w:r>
    </w:p>
    <w:p w14:paraId="336C96E6" w14:textId="1A236C75" w:rsidR="00787783" w:rsidRDefault="00787783" w:rsidP="00F17306">
      <w:pPr>
        <w:pStyle w:val="ListParagraph"/>
        <w:numPr>
          <w:ilvl w:val="0"/>
          <w:numId w:val="15"/>
        </w:numPr>
        <w:contextualSpacing w:val="0"/>
        <w:rPr>
          <w:rFonts w:eastAsia="Times New Roman" w:cs="Arial"/>
          <w:szCs w:val="24"/>
        </w:rPr>
      </w:pPr>
      <w:r>
        <w:rPr>
          <w:rFonts w:eastAsia="Times New Roman" w:cs="Arial"/>
          <w:szCs w:val="24"/>
        </w:rPr>
        <w:t xml:space="preserve">TASK </w:t>
      </w:r>
      <w:r w:rsidR="00B115F7">
        <w:rPr>
          <w:rFonts w:eastAsia="Times New Roman" w:cs="Arial"/>
          <w:szCs w:val="24"/>
        </w:rPr>
        <w:t>5</w:t>
      </w:r>
      <w:r>
        <w:rPr>
          <w:rFonts w:eastAsia="Times New Roman" w:cs="Arial"/>
          <w:szCs w:val="24"/>
        </w:rPr>
        <w:t xml:space="preserve"> – Planning Meetings </w:t>
      </w:r>
    </w:p>
    <w:p w14:paraId="4FC1BAFC" w14:textId="38E38C8C" w:rsidR="00DE1309" w:rsidRPr="00DE1309" w:rsidRDefault="00DE1309" w:rsidP="00DE1309">
      <w:pPr>
        <w:spacing w:before="240"/>
        <w:rPr>
          <w:rFonts w:cs="Arial"/>
          <w:color w:val="000000"/>
          <w:szCs w:val="24"/>
        </w:rPr>
      </w:pPr>
      <w:r>
        <w:rPr>
          <w:rFonts w:cs="Arial"/>
          <w:color w:val="000000"/>
          <w:szCs w:val="24"/>
        </w:rPr>
        <w:t>STAC</w:t>
      </w:r>
      <w:r w:rsidR="00B714D9">
        <w:rPr>
          <w:rFonts w:cs="Arial"/>
          <w:color w:val="000000"/>
          <w:szCs w:val="24"/>
        </w:rPr>
        <w:t>S</w:t>
      </w:r>
      <w:r w:rsidRPr="00DE1309">
        <w:rPr>
          <w:rFonts w:cs="Arial"/>
          <w:color w:val="000000"/>
          <w:szCs w:val="24"/>
        </w:rPr>
        <w:t xml:space="preserve"> </w:t>
      </w:r>
      <w:r w:rsidR="003B6782">
        <w:rPr>
          <w:rFonts w:cs="Arial"/>
          <w:color w:val="000000"/>
          <w:szCs w:val="24"/>
        </w:rPr>
        <w:t>S</w:t>
      </w:r>
      <w:r w:rsidR="008F508F">
        <w:rPr>
          <w:rFonts w:cs="Arial"/>
          <w:color w:val="000000"/>
          <w:szCs w:val="24"/>
        </w:rPr>
        <w:t>ubgrants</w:t>
      </w:r>
      <w:r w:rsidRPr="00DE1309">
        <w:rPr>
          <w:rFonts w:cs="Arial"/>
          <w:color w:val="000000"/>
          <w:szCs w:val="24"/>
        </w:rPr>
        <w:t>, initiated as a result of this RFA, shall be contingent upon funding and program authorization provided to and by the CDE. All applications and related documents submitted in response to this RFA shall become the property of the State of California. All applications and related documents will be made available in their entirety for public inspection and reproduction. Submission of an application constitutes acceptance of these terms.</w:t>
      </w:r>
    </w:p>
    <w:p w14:paraId="285DBC38" w14:textId="5FB7D988" w:rsidR="0049408B" w:rsidRPr="00DB4CDB" w:rsidRDefault="00531D42" w:rsidP="00453FA2">
      <w:pPr>
        <w:pStyle w:val="Heading3"/>
      </w:pPr>
      <w:bookmarkStart w:id="16" w:name="_Toc199842723"/>
      <w:r w:rsidRPr="00DB4CDB">
        <w:t>2</w:t>
      </w:r>
      <w:r w:rsidR="007F4D32" w:rsidRPr="00DB4CDB">
        <w:t>.</w:t>
      </w:r>
      <w:r w:rsidRPr="00DB4CDB">
        <w:t xml:space="preserve"> </w:t>
      </w:r>
      <w:r w:rsidR="0049408B" w:rsidRPr="00DB4CDB">
        <w:t>General Application Information</w:t>
      </w:r>
      <w:bookmarkEnd w:id="16"/>
    </w:p>
    <w:p w14:paraId="2F0A8145" w14:textId="77777777" w:rsidR="00C2361D" w:rsidRPr="00DB4CDB" w:rsidRDefault="0049408B" w:rsidP="00CA40D1">
      <w:pPr>
        <w:pStyle w:val="Heading4"/>
      </w:pPr>
      <w:r w:rsidRPr="00DB4CDB">
        <w:t xml:space="preserve">2.1 Applicant </w:t>
      </w:r>
      <w:r w:rsidR="00390975" w:rsidRPr="00DB4CDB">
        <w:t>Eligibility</w:t>
      </w:r>
    </w:p>
    <w:p w14:paraId="48FECB4D" w14:textId="02C1D5C4" w:rsidR="00761437" w:rsidRPr="00DB4CDB" w:rsidRDefault="00DE1309" w:rsidP="00CA40D1">
      <w:pPr>
        <w:rPr>
          <w:rFonts w:eastAsia="Calibri" w:cs="Arial"/>
          <w:szCs w:val="24"/>
        </w:rPr>
      </w:pPr>
      <w:bookmarkStart w:id="17" w:name="_Hlk75520552"/>
      <w:r>
        <w:t>The 202</w:t>
      </w:r>
      <w:r w:rsidR="00205384">
        <w:t>5</w:t>
      </w:r>
      <w:r w:rsidR="009A7AB1">
        <w:rPr>
          <w:rFonts w:cs="Arial"/>
        </w:rPr>
        <w:t>−</w:t>
      </w:r>
      <w:r>
        <w:t>2</w:t>
      </w:r>
      <w:r w:rsidR="00F17306">
        <w:t>6</w:t>
      </w:r>
      <w:r>
        <w:t xml:space="preserve"> </w:t>
      </w:r>
      <w:r w:rsidR="002A4D0D">
        <w:t xml:space="preserve">STACS </w:t>
      </w:r>
      <w:r>
        <w:t xml:space="preserve">RFA is open to </w:t>
      </w:r>
      <w:r w:rsidR="00342214" w:rsidRPr="00DB4CDB">
        <w:t xml:space="preserve">California-based </w:t>
      </w:r>
      <w:r>
        <w:t>LEAs</w:t>
      </w:r>
      <w:r w:rsidR="00D25682">
        <w:t xml:space="preserve">, COEs, </w:t>
      </w:r>
      <w:r w:rsidR="00761437" w:rsidRPr="00DB4CDB">
        <w:t xml:space="preserve">or </w:t>
      </w:r>
      <w:r w:rsidR="001A5D28" w:rsidRPr="00DB4CDB">
        <w:t xml:space="preserve">education </w:t>
      </w:r>
      <w:r w:rsidR="00761437" w:rsidRPr="00DB4CDB">
        <w:t>non-</w:t>
      </w:r>
      <w:r w:rsidR="002A4D0D" w:rsidRPr="00DB4CDB">
        <w:t>profit</w:t>
      </w:r>
      <w:r w:rsidR="002A4D0D">
        <w:t xml:space="preserve"> organizations</w:t>
      </w:r>
      <w:r w:rsidR="002A4D0D" w:rsidRPr="00DB4CDB">
        <w:t xml:space="preserve"> </w:t>
      </w:r>
      <w:r w:rsidR="00D25682">
        <w:t xml:space="preserve">that </w:t>
      </w:r>
      <w:r w:rsidR="001A5D28" w:rsidRPr="00DB4CDB">
        <w:t>support charter school</w:t>
      </w:r>
      <w:r w:rsidR="00AF56D7" w:rsidRPr="00DB4CDB">
        <w:t>s</w:t>
      </w:r>
      <w:r w:rsidR="00761437" w:rsidRPr="00DB4CDB">
        <w:t>.</w:t>
      </w:r>
      <w:bookmarkEnd w:id="17"/>
      <w:r w:rsidR="00761437" w:rsidRPr="00DB4CDB">
        <w:t xml:space="preserve"> </w:t>
      </w:r>
      <w:r w:rsidR="00D25682">
        <w:rPr>
          <w:rFonts w:eastAsia="Calibri" w:cs="Arial"/>
          <w:color w:val="000000"/>
          <w:szCs w:val="24"/>
        </w:rPr>
        <w:t>Applicants</w:t>
      </w:r>
      <w:r w:rsidR="00761437" w:rsidRPr="00BE58CA">
        <w:rPr>
          <w:rFonts w:eastAsia="Calibri" w:cs="Arial"/>
          <w:color w:val="000000"/>
          <w:szCs w:val="24"/>
        </w:rPr>
        <w:t xml:space="preserve"> must be legally constituted</w:t>
      </w:r>
      <w:r w:rsidR="00D25682">
        <w:rPr>
          <w:rFonts w:eastAsia="Calibri" w:cs="Arial"/>
          <w:color w:val="000000"/>
          <w:szCs w:val="24"/>
        </w:rPr>
        <w:t>,</w:t>
      </w:r>
      <w:r w:rsidR="00761437" w:rsidRPr="00BE58CA">
        <w:rPr>
          <w:rFonts w:eastAsia="Calibri" w:cs="Arial"/>
          <w:color w:val="000000"/>
          <w:szCs w:val="24"/>
        </w:rPr>
        <w:t xml:space="preserve"> qualified to do business within the State of California</w:t>
      </w:r>
      <w:r w:rsidR="00D25682">
        <w:rPr>
          <w:rFonts w:eastAsia="Calibri" w:cs="Arial"/>
          <w:color w:val="000000"/>
          <w:szCs w:val="24"/>
        </w:rPr>
        <w:t>,</w:t>
      </w:r>
      <w:r w:rsidR="00BE58CA">
        <w:rPr>
          <w:rFonts w:eastAsia="Calibri" w:cs="Arial"/>
          <w:color w:val="000000"/>
          <w:szCs w:val="24"/>
        </w:rPr>
        <w:t xml:space="preserve"> </w:t>
      </w:r>
      <w:r w:rsidR="007210C8" w:rsidRPr="00BE58CA">
        <w:rPr>
          <w:rFonts w:eastAsia="Calibri" w:cs="Arial"/>
          <w:color w:val="000000"/>
          <w:szCs w:val="24"/>
        </w:rPr>
        <w:t xml:space="preserve">and </w:t>
      </w:r>
      <w:r w:rsidR="00761437" w:rsidRPr="00BE58CA">
        <w:rPr>
          <w:rFonts w:eastAsia="Calibri" w:cs="Arial"/>
          <w:color w:val="000000"/>
          <w:szCs w:val="24"/>
        </w:rPr>
        <w:t>in good standing with the California Secretary of State</w:t>
      </w:r>
      <w:r w:rsidR="00761437" w:rsidRPr="00E814D5">
        <w:rPr>
          <w:rFonts w:eastAsia="Calibri" w:cs="Arial"/>
          <w:szCs w:val="24"/>
        </w:rPr>
        <w:t xml:space="preserve">. </w:t>
      </w:r>
      <w:r w:rsidR="00761437" w:rsidRPr="00E814D5">
        <w:t>For-profit entities may not apply</w:t>
      </w:r>
      <w:r w:rsidR="00D25682">
        <w:t xml:space="preserve"> or </w:t>
      </w:r>
      <w:r w:rsidR="001A5D28" w:rsidRPr="00E814D5">
        <w:t xml:space="preserve">collaborate on the </w:t>
      </w:r>
      <w:r w:rsidR="00AA3785">
        <w:t>STACS</w:t>
      </w:r>
      <w:r w:rsidR="001A5D28" w:rsidRPr="00E814D5">
        <w:t xml:space="preserve"> </w:t>
      </w:r>
      <w:r w:rsidR="003B6782">
        <w:t>S</w:t>
      </w:r>
      <w:r w:rsidR="001A5D28" w:rsidRPr="00E814D5">
        <w:t>ubgrant</w:t>
      </w:r>
      <w:r w:rsidR="00761437" w:rsidRPr="00BE58CA">
        <w:t xml:space="preserve">. </w:t>
      </w:r>
      <w:r w:rsidR="00761437" w:rsidRPr="00BE58CA">
        <w:rPr>
          <w:rFonts w:eastAsia="Calibri" w:cs="Arial"/>
          <w:szCs w:val="24"/>
        </w:rPr>
        <w:t xml:space="preserve">CDE staff will verify non-profit business status as part of the eligibility screening. Multiple </w:t>
      </w:r>
      <w:r w:rsidR="002A4D0D">
        <w:rPr>
          <w:rFonts w:eastAsia="Calibri" w:cs="Arial"/>
          <w:szCs w:val="24"/>
        </w:rPr>
        <w:t xml:space="preserve">eligible </w:t>
      </w:r>
      <w:r w:rsidR="000F6EB2" w:rsidRPr="00BE58CA">
        <w:rPr>
          <w:rFonts w:eastAsia="Calibri" w:cs="Arial"/>
          <w:szCs w:val="24"/>
        </w:rPr>
        <w:t xml:space="preserve">entities </w:t>
      </w:r>
      <w:r w:rsidR="00761437" w:rsidRPr="00BE58CA">
        <w:rPr>
          <w:rFonts w:eastAsia="Calibri" w:cs="Arial"/>
          <w:szCs w:val="24"/>
        </w:rPr>
        <w:t>may collaborate</w:t>
      </w:r>
      <w:r w:rsidR="00761437" w:rsidRPr="00DB4CDB">
        <w:rPr>
          <w:rFonts w:eastAsia="Calibri" w:cs="Arial"/>
          <w:szCs w:val="24"/>
        </w:rPr>
        <w:t xml:space="preserve"> to apply for the </w:t>
      </w:r>
      <w:r w:rsidR="002A4D0D">
        <w:rPr>
          <w:rFonts w:eastAsia="Calibri" w:cs="Arial"/>
          <w:szCs w:val="24"/>
        </w:rPr>
        <w:t>sub</w:t>
      </w:r>
      <w:r w:rsidR="00761437" w:rsidRPr="00DB4CDB">
        <w:rPr>
          <w:rFonts w:eastAsia="Calibri" w:cs="Arial"/>
          <w:szCs w:val="24"/>
        </w:rPr>
        <w:t>grant</w:t>
      </w:r>
      <w:r w:rsidR="000F6EB2" w:rsidRPr="00DB4CDB">
        <w:rPr>
          <w:rFonts w:eastAsia="Calibri" w:cs="Arial"/>
          <w:szCs w:val="24"/>
        </w:rPr>
        <w:t>, provided that each entity meets eligibility criteria</w:t>
      </w:r>
      <w:r w:rsidR="00761437" w:rsidRPr="00DB4CDB">
        <w:rPr>
          <w:rFonts w:eastAsia="Calibri" w:cs="Arial"/>
          <w:szCs w:val="24"/>
        </w:rPr>
        <w:t>. Note:</w:t>
      </w:r>
      <w:r w:rsidR="00787783">
        <w:rPr>
          <w:rFonts w:eastAsia="Calibri" w:cs="Arial"/>
          <w:szCs w:val="24"/>
        </w:rPr>
        <w:t xml:space="preserve"> </w:t>
      </w:r>
      <w:r w:rsidR="00761437" w:rsidRPr="00DB4CDB">
        <w:rPr>
          <w:rFonts w:eastAsia="Calibri" w:cs="Arial"/>
          <w:szCs w:val="24"/>
        </w:rPr>
        <w:t xml:space="preserve">The application must designate a primary </w:t>
      </w:r>
      <w:r w:rsidR="000F6EB2" w:rsidRPr="00DB4CDB">
        <w:rPr>
          <w:rFonts w:eastAsia="Calibri" w:cs="Arial"/>
          <w:szCs w:val="24"/>
        </w:rPr>
        <w:t>subgrant applicant as the lead agency</w:t>
      </w:r>
      <w:r w:rsidR="00761437" w:rsidRPr="00DB4CDB">
        <w:rPr>
          <w:rFonts w:eastAsia="Calibri" w:cs="Arial"/>
          <w:szCs w:val="24"/>
        </w:rPr>
        <w:t xml:space="preserve"> to be responsible for ensuring all of the </w:t>
      </w:r>
      <w:r w:rsidR="0065467C">
        <w:rPr>
          <w:rFonts w:eastAsia="Calibri" w:cs="Arial"/>
          <w:szCs w:val="24"/>
        </w:rPr>
        <w:t>sub</w:t>
      </w:r>
      <w:r w:rsidR="00761437" w:rsidRPr="00DB4CDB">
        <w:rPr>
          <w:rFonts w:eastAsia="Calibri" w:cs="Arial"/>
          <w:szCs w:val="24"/>
        </w:rPr>
        <w:t xml:space="preserve">grant requirements are accurately completed in a timely manner. Additionally, </w:t>
      </w:r>
      <w:r w:rsidR="000F6EB2" w:rsidRPr="00DB4CDB">
        <w:rPr>
          <w:rFonts w:eastAsia="Calibri" w:cs="Arial"/>
          <w:szCs w:val="24"/>
        </w:rPr>
        <w:t xml:space="preserve">the primary </w:t>
      </w:r>
      <w:r w:rsidR="00693525" w:rsidRPr="00DB4CDB">
        <w:rPr>
          <w:rFonts w:eastAsia="Calibri" w:cs="Arial"/>
          <w:szCs w:val="24"/>
        </w:rPr>
        <w:t>subgrant</w:t>
      </w:r>
      <w:r w:rsidR="00761437" w:rsidRPr="00DB4CDB">
        <w:rPr>
          <w:rFonts w:eastAsia="Calibri" w:cs="Arial"/>
          <w:szCs w:val="24"/>
        </w:rPr>
        <w:t xml:space="preserve"> applicant must:</w:t>
      </w:r>
    </w:p>
    <w:p w14:paraId="71CA226F" w14:textId="67986004" w:rsidR="00761437" w:rsidRPr="00DB4CDB" w:rsidRDefault="00925DD7" w:rsidP="0065467C">
      <w:pPr>
        <w:pStyle w:val="ListParagraph"/>
        <w:numPr>
          <w:ilvl w:val="0"/>
          <w:numId w:val="44"/>
        </w:numPr>
        <w:contextualSpacing w:val="0"/>
      </w:pPr>
      <w:r w:rsidRPr="00E34647">
        <w:t xml:space="preserve">Provide evidence of the individual charter school applicant’s Unique Entity Identifier (UEI) active registration with System for Award Management (SAM). Additional information regarding SAM registration can be found at </w:t>
      </w:r>
      <w:hyperlink r:id="rId14" w:history="1">
        <w:r>
          <w:rPr>
            <w:rStyle w:val="Hyperlink"/>
          </w:rPr>
          <w:t>System of Award Management (External Link)</w:t>
        </w:r>
      </w:hyperlink>
      <w:r w:rsidRPr="00E34647">
        <w:t>.</w:t>
      </w:r>
    </w:p>
    <w:p w14:paraId="29CA2DD2" w14:textId="660FF7E7" w:rsidR="00D25682" w:rsidRPr="00EA1445" w:rsidRDefault="00661EB9" w:rsidP="00D25682">
      <w:r w:rsidRPr="00661EB9">
        <w:t xml:space="preserve">Applicants must possess substantial experience in providing technical assistance to charter schools at various stages of development. </w:t>
      </w:r>
      <w:r w:rsidR="00F03A6E" w:rsidRPr="00661EB9">
        <w:t xml:space="preserve">This </w:t>
      </w:r>
      <w:r w:rsidR="00F03A6E" w:rsidRPr="00844BD2">
        <w:t xml:space="preserve">experience should demonstrate expertise in addressing the unique needs of charter schools, including but not limited to improving outcomes for ELs, SPED, SED students, as well as implementing CTE programs and other innovative strategies for charter school students. </w:t>
      </w:r>
      <w:r w:rsidRPr="00844BD2">
        <w:t>Innovative strategies may include</w:t>
      </w:r>
      <w:r w:rsidR="00925DD7" w:rsidRPr="00844BD2">
        <w:t>, but are not limited to,</w:t>
      </w:r>
      <w:r w:rsidRPr="00844BD2">
        <w:t xml:space="preserve"> practices aimed at enhancing student recruitment, enrollment, and retention</w:t>
      </w:r>
      <w:r w:rsidR="00CB45E8" w:rsidRPr="00844BD2">
        <w:t xml:space="preserve"> that promote the inclusion</w:t>
      </w:r>
      <w:r w:rsidR="00CB45E8">
        <w:t xml:space="preserve"> of all students and reducing the overuse of discipline practices that remove students from the classroom</w:t>
      </w:r>
      <w:r w:rsidR="00746833">
        <w:t xml:space="preserve"> (</w:t>
      </w:r>
      <w:r w:rsidR="00746833" w:rsidRPr="00FF3A52">
        <w:rPr>
          <w:rFonts w:eastAsia="Times New Roman" w:cs="Arial"/>
          <w:snapToGrid w:val="0"/>
          <w:szCs w:val="20"/>
        </w:rPr>
        <w:t xml:space="preserve">See Appendix B: Definitions </w:t>
      </w:r>
      <w:r w:rsidR="00746833" w:rsidRPr="00844BD2">
        <w:rPr>
          <w:rFonts w:eastAsia="Times New Roman" w:cs="Arial"/>
          <w:snapToGrid w:val="0"/>
          <w:szCs w:val="20"/>
        </w:rPr>
        <w:t>of PCSGP Terms</w:t>
      </w:r>
      <w:r w:rsidR="00746833" w:rsidRPr="00EA1445">
        <w:rPr>
          <w:rFonts w:eastAsia="Times New Roman" w:cs="Arial"/>
          <w:snapToGrid w:val="0"/>
          <w:szCs w:val="20"/>
        </w:rPr>
        <w:t>)</w:t>
      </w:r>
      <w:r w:rsidR="00CB45E8" w:rsidRPr="00EA1445">
        <w:t>.</w:t>
      </w:r>
      <w:r w:rsidRPr="00EA1445">
        <w:t xml:space="preserve"> </w:t>
      </w:r>
      <w:r w:rsidR="00F03A6E" w:rsidRPr="00EA1445">
        <w:t xml:space="preserve">Applicants are not required to demonstrate experience in all areas; however, they must clearly specify the topic area(s) for which they are seeking funding and provide evidence of capacity and expertise related to each selected topic. </w:t>
      </w:r>
      <w:r w:rsidRPr="00EA1445">
        <w:t xml:space="preserve">Further details regarding the required </w:t>
      </w:r>
      <w:r w:rsidRPr="00EA1445">
        <w:lastRenderedPageBreak/>
        <w:t>experience to be outlined in the narrative can be found in Section 5.1</w:t>
      </w:r>
      <w:r w:rsidR="005A79F9" w:rsidRPr="00EA1445">
        <w:t xml:space="preserve"> Organizational Capacity</w:t>
      </w:r>
      <w:r w:rsidRPr="00EA1445">
        <w:t>.</w:t>
      </w:r>
    </w:p>
    <w:p w14:paraId="18F77445" w14:textId="6ABE4D49" w:rsidR="007D72EC" w:rsidRPr="00EA1445" w:rsidRDefault="0049408B" w:rsidP="00C1527E">
      <w:pPr>
        <w:pStyle w:val="Heading4"/>
      </w:pPr>
      <w:bookmarkStart w:id="18" w:name="_2.2_Subaward_Funding"/>
      <w:bookmarkEnd w:id="18"/>
      <w:r w:rsidRPr="00EA1445">
        <w:t>2.</w:t>
      </w:r>
      <w:r w:rsidR="00884F22" w:rsidRPr="00EA1445">
        <w:t>2</w:t>
      </w:r>
      <w:r w:rsidRPr="00EA1445">
        <w:t xml:space="preserve"> </w:t>
      </w:r>
      <w:r w:rsidR="0075429F" w:rsidRPr="00EA1445">
        <w:t>Subaward</w:t>
      </w:r>
      <w:r w:rsidR="00884F22" w:rsidRPr="00EA1445">
        <w:t xml:space="preserve"> </w:t>
      </w:r>
      <w:r w:rsidR="00BD5664" w:rsidRPr="00EA1445">
        <w:t>Funding</w:t>
      </w:r>
      <w:r w:rsidR="00884F22" w:rsidRPr="00EA1445">
        <w:t xml:space="preserve"> Levels</w:t>
      </w:r>
      <w:r w:rsidR="00BD5664" w:rsidRPr="00EA1445">
        <w:t xml:space="preserve"> and Time Period</w:t>
      </w:r>
    </w:p>
    <w:p w14:paraId="68344671" w14:textId="426CAF2D" w:rsidR="0079398B" w:rsidRPr="00EA1445" w:rsidRDefault="0049408B" w:rsidP="00C1527E">
      <w:pPr>
        <w:pStyle w:val="Heading5"/>
      </w:pPr>
      <w:r w:rsidRPr="00EA1445">
        <w:t>2.</w:t>
      </w:r>
      <w:r w:rsidR="00DF1125" w:rsidRPr="00EA1445">
        <w:t>2</w:t>
      </w:r>
      <w:r w:rsidRPr="00EA1445">
        <w:t xml:space="preserve">.1 </w:t>
      </w:r>
      <w:r w:rsidR="0079398B" w:rsidRPr="00EA1445">
        <w:t xml:space="preserve">Funding </w:t>
      </w:r>
      <w:r w:rsidR="00DF1125" w:rsidRPr="00EA1445">
        <w:t>and Time Period</w:t>
      </w:r>
    </w:p>
    <w:p w14:paraId="16C285CE" w14:textId="4F9A134D" w:rsidR="008D1C14" w:rsidRPr="00EA1445" w:rsidRDefault="008D1C14" w:rsidP="008D1C14">
      <w:pPr>
        <w:tabs>
          <w:tab w:val="left" w:pos="-1440"/>
          <w:tab w:val="left" w:pos="1170"/>
        </w:tabs>
        <w:spacing w:before="240"/>
        <w:rPr>
          <w:rFonts w:eastAsia="Times New Roman" w:cs="Arial"/>
          <w:szCs w:val="24"/>
        </w:rPr>
      </w:pPr>
      <w:r w:rsidRPr="00EA1445">
        <w:t xml:space="preserve">The goal of this RFA is to provide funding </w:t>
      </w:r>
      <w:r w:rsidR="001515BF" w:rsidRPr="00EA1445">
        <w:t xml:space="preserve">for the development and implementation of </w:t>
      </w:r>
      <w:r w:rsidRPr="00EA1445">
        <w:t>comprehensive technical assistance</w:t>
      </w:r>
      <w:r w:rsidRPr="00844BD2">
        <w:t xml:space="preserve"> programs </w:t>
      </w:r>
      <w:r w:rsidR="001515BF" w:rsidRPr="00844BD2">
        <w:t xml:space="preserve">in the following designated </w:t>
      </w:r>
      <w:r w:rsidRPr="00844BD2">
        <w:t>topic</w:t>
      </w:r>
      <w:r w:rsidR="001515BF" w:rsidRPr="00844BD2">
        <w:t xml:space="preserve"> areas</w:t>
      </w:r>
      <w:r w:rsidRPr="00844BD2">
        <w:t>: EL, SPED, SED, CTE</w:t>
      </w:r>
      <w:r>
        <w:t xml:space="preserve"> and Innovative Strategies. The term of the subgrant is </w:t>
      </w:r>
      <w:r w:rsidR="00634AD4">
        <w:t>November</w:t>
      </w:r>
      <w:r w:rsidRPr="00017D58">
        <w:t xml:space="preserve"> 1, 2025, to June 30, 2028</w:t>
      </w:r>
      <w:r w:rsidR="00481669" w:rsidRPr="00017D58">
        <w:t>,</w:t>
      </w:r>
      <w:r w:rsidR="00481669" w:rsidRPr="00844BD2">
        <w:t xml:space="preserve"> with the opportunity to extend time and funding </w:t>
      </w:r>
      <w:r w:rsidR="00925DD7" w:rsidRPr="00844BD2">
        <w:t>at the discretion of the CDE</w:t>
      </w:r>
      <w:r w:rsidR="00481669" w:rsidRPr="00844BD2">
        <w:t>, contingent upon availability of funds and programmatic needs</w:t>
      </w:r>
      <w:r w:rsidRPr="00844BD2">
        <w:t>. The total amount projected to be available for this project is $1,230,000</w:t>
      </w:r>
      <w:r w:rsidR="00481669" w:rsidRPr="00844BD2">
        <w:t>.</w:t>
      </w:r>
      <w:r w:rsidR="00481669" w:rsidRPr="00844BD2">
        <w:rPr>
          <w:rFonts w:cs="Arial"/>
          <w:szCs w:val="24"/>
          <w:lang w:val="en"/>
        </w:rPr>
        <w:t xml:space="preserve"> </w:t>
      </w:r>
      <w:r w:rsidRPr="00844BD2">
        <w:t xml:space="preserve">The CDE estimates allocating up to </w:t>
      </w:r>
      <w:r w:rsidR="009A7AB1">
        <w:t xml:space="preserve">a total of </w:t>
      </w:r>
      <w:r w:rsidRPr="00844BD2">
        <w:t xml:space="preserve">$246,000 per </w:t>
      </w:r>
      <w:r w:rsidR="00081E65" w:rsidRPr="00844BD2">
        <w:t xml:space="preserve">individual </w:t>
      </w:r>
      <w:r w:rsidRPr="00844BD2">
        <w:t>topic area (EL, SPED, SED, CTE, and Innovative Strategies)</w:t>
      </w:r>
      <w:r w:rsidR="00C80E5C">
        <w:t>.</w:t>
      </w:r>
      <w:r w:rsidRPr="00844BD2">
        <w:t xml:space="preserve"> </w:t>
      </w:r>
      <w:r w:rsidR="00C80E5C">
        <w:t xml:space="preserve">Annual subgrant allocations </w:t>
      </w:r>
      <w:r w:rsidRPr="00844BD2">
        <w:t xml:space="preserve">over three </w:t>
      </w:r>
      <w:r w:rsidR="00925DD7" w:rsidRPr="00844BD2">
        <w:t>fiscal years (</w:t>
      </w:r>
      <w:r w:rsidRPr="00844BD2">
        <w:t>FY</w:t>
      </w:r>
      <w:r w:rsidR="00925DD7" w:rsidRPr="00844BD2">
        <w:t>)</w:t>
      </w:r>
      <w:r w:rsidRPr="00844BD2">
        <w:t>: FY 2025</w:t>
      </w:r>
      <w:r w:rsidR="00925DD7" w:rsidRPr="00844BD2">
        <w:rPr>
          <w:rFonts w:cs="Arial"/>
        </w:rPr>
        <w:t>−</w:t>
      </w:r>
      <w:r w:rsidRPr="00844BD2">
        <w:t>26, FY 2026</w:t>
      </w:r>
      <w:r w:rsidR="00925DD7" w:rsidRPr="00844BD2">
        <w:rPr>
          <w:rFonts w:cs="Arial"/>
        </w:rPr>
        <w:t>−</w:t>
      </w:r>
      <w:r w:rsidRPr="00844BD2">
        <w:t>27 and FY 2027</w:t>
      </w:r>
      <w:r w:rsidR="00925DD7" w:rsidRPr="00844BD2">
        <w:rPr>
          <w:rFonts w:cs="Arial"/>
        </w:rPr>
        <w:t>−</w:t>
      </w:r>
      <w:r w:rsidRPr="00844BD2">
        <w:t>28</w:t>
      </w:r>
      <w:r w:rsidR="00C80E5C">
        <w:t xml:space="preserve"> may be proposed by the applicant in alignment with program activities</w:t>
      </w:r>
      <w:r w:rsidRPr="00844BD2">
        <w:t>. Applicants may be awarded funding for one or more of the five topic areas,</w:t>
      </w:r>
      <w:r>
        <w:t xml:space="preserve"> contingent upon the </w:t>
      </w:r>
      <w:r w:rsidRPr="00EA1445">
        <w:t xml:space="preserve">qualifications and the evaluation of the applicant’s proposal. The total funding for each topic will be allocated to the subgrantee(s) based on the topic(s) for which they are selected. </w:t>
      </w:r>
      <w:r w:rsidRPr="00EA1445">
        <w:rPr>
          <w:rFonts w:eastAsia="Times New Roman" w:cs="Arial"/>
          <w:szCs w:val="24"/>
        </w:rPr>
        <w:t>However, the CDE reserves the right to request budgetary revisions as a condition of funding. Information related to allowable uses of funds are provided in Section 2.3 Allowable Uses of Funds.</w:t>
      </w:r>
    </w:p>
    <w:p w14:paraId="7AD18199" w14:textId="14A8E7FF" w:rsidR="0075429F" w:rsidRPr="0075429F" w:rsidRDefault="0061707F" w:rsidP="0075429F">
      <w:pPr>
        <w:spacing w:before="240"/>
        <w:rPr>
          <w:rFonts w:eastAsia="Times New Roman" w:cs="Arial"/>
          <w:color w:val="212121"/>
          <w:szCs w:val="24"/>
          <w:highlight w:val="cyan"/>
        </w:rPr>
      </w:pPr>
      <w:r w:rsidRPr="00EA1445">
        <w:rPr>
          <w:rFonts w:eastAsia="Times New Roman" w:cs="Arial"/>
          <w:szCs w:val="24"/>
        </w:rPr>
        <w:t>If insufficient funds are appropriated in the annual Budget Act for any portion of the work in this subgrant, or if any other funds upon which this su</w:t>
      </w:r>
      <w:r w:rsidR="00BC1BBE" w:rsidRPr="00EA1445">
        <w:rPr>
          <w:rFonts w:eastAsia="Times New Roman" w:cs="Arial"/>
          <w:szCs w:val="24"/>
        </w:rPr>
        <w:t>b</w:t>
      </w:r>
      <w:r w:rsidRPr="00EA1445">
        <w:rPr>
          <w:rFonts w:eastAsia="Times New Roman" w:cs="Arial"/>
          <w:szCs w:val="24"/>
        </w:rPr>
        <w:t>grant is contingent are reduced or no longer available, the CDE may cancel the</w:t>
      </w:r>
      <w:r w:rsidR="004E15A5" w:rsidRPr="00EA1445">
        <w:rPr>
          <w:rFonts w:eastAsia="Times New Roman" w:cs="Arial"/>
          <w:szCs w:val="24"/>
        </w:rPr>
        <w:t xml:space="preserve"> subgrant</w:t>
      </w:r>
      <w:r w:rsidRPr="00EA1445">
        <w:rPr>
          <w:rFonts w:eastAsia="Times New Roman" w:cs="Arial"/>
          <w:szCs w:val="24"/>
        </w:rPr>
        <w:t>, or portion thereof, with no liability of any kind accruing to or against the CDE</w:t>
      </w:r>
      <w:r w:rsidRPr="00801D97">
        <w:rPr>
          <w:rFonts w:eastAsia="Times New Roman" w:cs="Arial"/>
          <w:szCs w:val="24"/>
        </w:rPr>
        <w:t>, its employees</w:t>
      </w:r>
      <w:r w:rsidRPr="00801D97">
        <w:rPr>
          <w:rFonts w:eastAsia="Times New Roman" w:cs="Arial"/>
          <w:color w:val="212121"/>
          <w:szCs w:val="24"/>
        </w:rPr>
        <w:t xml:space="preserve">, agents, contractors, or representatives. The applicant shall not be obligated to perform any work, or the </w:t>
      </w:r>
      <w:r w:rsidR="004E15A5">
        <w:rPr>
          <w:rFonts w:eastAsia="Times New Roman" w:cs="Arial"/>
          <w:color w:val="212121"/>
          <w:szCs w:val="24"/>
        </w:rPr>
        <w:t>subgrant</w:t>
      </w:r>
      <w:r w:rsidRPr="00801D97">
        <w:rPr>
          <w:rFonts w:eastAsia="Times New Roman" w:cs="Arial"/>
          <w:color w:val="212121"/>
          <w:szCs w:val="24"/>
        </w:rPr>
        <w:t xml:space="preserve"> may be amended by the CDE and the successful applicant to reflect a reduction of work and the reduced appropriation subject to appropriate government agency approval.</w:t>
      </w:r>
    </w:p>
    <w:p w14:paraId="15BE912B" w14:textId="4D977F4B" w:rsidR="00165D81" w:rsidRPr="00DB4CDB" w:rsidRDefault="00165D81" w:rsidP="00C1527E">
      <w:pPr>
        <w:pStyle w:val="Heading5"/>
      </w:pPr>
      <w:r w:rsidRPr="00DB4CDB">
        <w:t>2.</w:t>
      </w:r>
      <w:r w:rsidR="00DF1125">
        <w:t>2</w:t>
      </w:r>
      <w:r w:rsidRPr="00DB4CDB">
        <w:t>.</w:t>
      </w:r>
      <w:r w:rsidR="00764AE1">
        <w:t>2</w:t>
      </w:r>
      <w:r w:rsidR="00764AE1" w:rsidRPr="00DB4CDB">
        <w:t xml:space="preserve"> </w:t>
      </w:r>
      <w:r w:rsidRPr="00DB4CDB">
        <w:t>Option to Extend</w:t>
      </w:r>
    </w:p>
    <w:p w14:paraId="722FFDEF" w14:textId="633F406C" w:rsidR="00BD5664" w:rsidRDefault="00165D81" w:rsidP="00F023A6">
      <w:pPr>
        <w:spacing w:before="100" w:beforeAutospacing="1"/>
        <w:rPr>
          <w:rFonts w:eastAsia="Times New Roman" w:cs="Arial"/>
          <w:bCs/>
          <w:snapToGrid w:val="0"/>
          <w:szCs w:val="20"/>
        </w:rPr>
      </w:pPr>
      <w:r w:rsidRPr="00DB4CDB">
        <w:rPr>
          <w:rFonts w:eastAsia="Calibri" w:cs="Times New Roman"/>
        </w:rPr>
        <w:t xml:space="preserve">At the sole discretion of the CDE, the subgrant </w:t>
      </w:r>
      <w:r w:rsidR="00BC54EC">
        <w:rPr>
          <w:rFonts w:eastAsia="Calibri" w:cs="Times New Roman"/>
        </w:rPr>
        <w:t xml:space="preserve">time and/or funding </w:t>
      </w:r>
      <w:r w:rsidRPr="00DB4CDB">
        <w:rPr>
          <w:rFonts w:eastAsia="Calibri" w:cs="Times New Roman"/>
        </w:rPr>
        <w:t xml:space="preserve">may be extended if the subgrantee has met all of the required deliverables and reporting requirements. Any unspent subgrant funds may be carried over to the additional fiscal year. </w:t>
      </w:r>
      <w:r w:rsidR="009C12A0">
        <w:rPr>
          <w:rFonts w:eastAsia="Calibri" w:cs="Times New Roman"/>
        </w:rPr>
        <w:t xml:space="preserve">The total amount of funding available for this </w:t>
      </w:r>
      <w:r w:rsidR="00B714D9">
        <w:rPr>
          <w:rFonts w:eastAsia="Calibri" w:cs="Times New Roman"/>
        </w:rPr>
        <w:t>sub</w:t>
      </w:r>
      <w:r w:rsidR="009C12A0">
        <w:rPr>
          <w:rFonts w:eastAsia="Calibri" w:cs="Times New Roman"/>
        </w:rPr>
        <w:t xml:space="preserve">grant is as specified, and no additional funds are guaranteed. However, </w:t>
      </w:r>
      <w:r w:rsidR="00FC2BBA">
        <w:rPr>
          <w:rFonts w:eastAsia="Calibri" w:cs="Times New Roman"/>
        </w:rPr>
        <w:t>CDE</w:t>
      </w:r>
      <w:r w:rsidR="009C12A0">
        <w:rPr>
          <w:rFonts w:eastAsia="Calibri" w:cs="Times New Roman"/>
        </w:rPr>
        <w:t xml:space="preserve"> reserves the right to allocate additional funds</w:t>
      </w:r>
      <w:r w:rsidR="00DF1125">
        <w:rPr>
          <w:rFonts w:eastAsia="Calibri" w:cs="Times New Roman"/>
        </w:rPr>
        <w:t xml:space="preserve"> to the </w:t>
      </w:r>
      <w:r w:rsidR="004E15A5">
        <w:rPr>
          <w:rFonts w:eastAsia="Calibri" w:cs="Times New Roman"/>
        </w:rPr>
        <w:t>subgrant</w:t>
      </w:r>
      <w:r w:rsidR="00DF1125">
        <w:rPr>
          <w:rFonts w:eastAsia="Calibri" w:cs="Times New Roman"/>
        </w:rPr>
        <w:t xml:space="preserve"> award for additional activities through an extension</w:t>
      </w:r>
      <w:r w:rsidR="009C12A0">
        <w:rPr>
          <w:rFonts w:eastAsia="Calibri" w:cs="Times New Roman"/>
        </w:rPr>
        <w:t>, subject to availability.</w:t>
      </w:r>
    </w:p>
    <w:p w14:paraId="3B5AA327" w14:textId="74902C4C" w:rsidR="0075429F" w:rsidRDefault="0075429F" w:rsidP="00F01FE1">
      <w:pPr>
        <w:pStyle w:val="Heading4"/>
        <w:tabs>
          <w:tab w:val="left" w:pos="6474"/>
        </w:tabs>
      </w:pPr>
      <w:r>
        <w:t>2.3 Allowable Uses of Funds</w:t>
      </w:r>
    </w:p>
    <w:p w14:paraId="1F31D59A" w14:textId="545DAECD" w:rsidR="0075429F" w:rsidRPr="00EA60ED" w:rsidRDefault="0075429F" w:rsidP="0075429F">
      <w:pPr>
        <w:spacing w:before="240"/>
        <w:rPr>
          <w:rFonts w:eastAsia="Calibri" w:cs="Arial"/>
          <w:szCs w:val="24"/>
          <w:lang w:val="en"/>
        </w:rPr>
      </w:pPr>
      <w:r w:rsidRPr="00EA60ED">
        <w:rPr>
          <w:rFonts w:eastAsia="Calibri" w:cs="Arial"/>
          <w:szCs w:val="24"/>
          <w:lang w:val="en"/>
        </w:rPr>
        <w:t xml:space="preserve">The funding for the </w:t>
      </w:r>
      <w:r w:rsidR="00307148">
        <w:rPr>
          <w:rFonts w:eastAsia="Calibri" w:cs="Arial"/>
          <w:szCs w:val="24"/>
          <w:lang w:val="en"/>
        </w:rPr>
        <w:t xml:space="preserve">STACS </w:t>
      </w:r>
      <w:r w:rsidR="003B6782">
        <w:rPr>
          <w:rFonts w:eastAsia="Calibri" w:cs="Arial"/>
          <w:szCs w:val="24"/>
          <w:lang w:val="en"/>
        </w:rPr>
        <w:t>Subgrant</w:t>
      </w:r>
      <w:r w:rsidRPr="00EA60ED">
        <w:rPr>
          <w:rFonts w:eastAsia="Calibri" w:cs="Arial"/>
          <w:szCs w:val="24"/>
          <w:lang w:val="en"/>
        </w:rPr>
        <w:t xml:space="preserve"> may be used for the </w:t>
      </w:r>
      <w:r w:rsidRPr="00EA60ED">
        <w:rPr>
          <w:rFonts w:eastAsia="Times New Roman" w:cs="Times New Roman"/>
          <w:szCs w:val="24"/>
        </w:rPr>
        <w:t xml:space="preserve">actual </w:t>
      </w:r>
      <w:r w:rsidR="00307148" w:rsidRPr="00EA60ED">
        <w:rPr>
          <w:rFonts w:eastAsia="Times New Roman" w:cs="Times New Roman"/>
          <w:szCs w:val="24"/>
        </w:rPr>
        <w:t>expenditure</w:t>
      </w:r>
      <w:r w:rsidR="00307148">
        <w:rPr>
          <w:rFonts w:eastAsia="Times New Roman" w:cs="Times New Roman"/>
          <w:szCs w:val="24"/>
        </w:rPr>
        <w:t>s</w:t>
      </w:r>
      <w:r w:rsidRPr="00EA60ED">
        <w:rPr>
          <w:rFonts w:eastAsia="Times New Roman" w:cs="Times New Roman"/>
          <w:szCs w:val="24"/>
        </w:rPr>
        <w:t xml:space="preserve"> incurred in accordance with the rates in the approved Budget, which may include</w:t>
      </w:r>
      <w:r w:rsidRPr="00EA60ED">
        <w:rPr>
          <w:rFonts w:eastAsia="Calibri" w:cs="Arial"/>
          <w:szCs w:val="24"/>
          <w:lang w:val="en"/>
        </w:rPr>
        <w:t>:</w:t>
      </w:r>
    </w:p>
    <w:p w14:paraId="55DC44E5" w14:textId="573BD4D1" w:rsidR="0075429F" w:rsidRPr="00F172F1" w:rsidRDefault="0075429F" w:rsidP="0075429F">
      <w:pPr>
        <w:pStyle w:val="ListParagraph"/>
        <w:widowControl w:val="0"/>
        <w:numPr>
          <w:ilvl w:val="0"/>
          <w:numId w:val="33"/>
        </w:numPr>
        <w:spacing w:before="100" w:beforeAutospacing="1"/>
        <w:contextualSpacing w:val="0"/>
      </w:pPr>
      <w:r w:rsidRPr="00EA60ED">
        <w:rPr>
          <w:rFonts w:eastAsia="Calibri" w:cs="Times New Roman"/>
        </w:rPr>
        <w:t xml:space="preserve">Staff salaries and benefits for all activities associated with the approved Scope of </w:t>
      </w:r>
      <w:r w:rsidRPr="00EA60ED">
        <w:rPr>
          <w:rFonts w:eastAsia="Calibri" w:cs="Times New Roman"/>
        </w:rPr>
        <w:lastRenderedPageBreak/>
        <w:t>Work.</w:t>
      </w:r>
      <w:r>
        <w:rPr>
          <w:rFonts w:eastAsia="Calibri" w:cs="Times New Roman"/>
        </w:rPr>
        <w:t xml:space="preserve"> </w:t>
      </w:r>
      <w:r>
        <w:t xml:space="preserve">Certificated/classified salaries and associated benefits charged to the </w:t>
      </w:r>
      <w:r w:rsidR="004E15A5">
        <w:t>subgrant</w:t>
      </w:r>
      <w:r>
        <w:t xml:space="preserve"> must be documented with detailed time and effort reports for only those tasks associated with the </w:t>
      </w:r>
      <w:r w:rsidR="004E15A5">
        <w:t>subgrant</w:t>
      </w:r>
      <w:r>
        <w:t xml:space="preserve">. </w:t>
      </w:r>
    </w:p>
    <w:p w14:paraId="7E4BD7C2" w14:textId="77777777" w:rsidR="0075429F" w:rsidRPr="00EA1445" w:rsidRDefault="0075429F" w:rsidP="0075429F">
      <w:pPr>
        <w:pStyle w:val="ListParagraph"/>
        <w:widowControl w:val="0"/>
        <w:numPr>
          <w:ilvl w:val="0"/>
          <w:numId w:val="33"/>
        </w:numPr>
        <w:spacing w:before="100" w:beforeAutospacing="1"/>
        <w:contextualSpacing w:val="0"/>
      </w:pPr>
      <w:r w:rsidRPr="00BA3CB1">
        <w:rPr>
          <w:rFonts w:eastAsia="Calibri" w:cs="Times New Roman"/>
        </w:rPr>
        <w:t xml:space="preserve">Travel costs, including air fare, hotel, and daily per diem, as needed to implement the Scope of Work including travel to the CDE to assist with the implementation of the technical </w:t>
      </w:r>
      <w:r w:rsidRPr="00EA1445">
        <w:rPr>
          <w:rFonts w:eastAsia="Calibri" w:cs="Times New Roman"/>
        </w:rPr>
        <w:t xml:space="preserve">assistance goals in the approved 2024 CSP application. </w:t>
      </w:r>
    </w:p>
    <w:p w14:paraId="3EA13420" w14:textId="3AC1DC99" w:rsidR="0075429F" w:rsidRPr="00EA1445" w:rsidRDefault="00900669" w:rsidP="0075429F">
      <w:pPr>
        <w:numPr>
          <w:ilvl w:val="1"/>
          <w:numId w:val="32"/>
        </w:numPr>
        <w:spacing w:before="240"/>
        <w:rPr>
          <w:rFonts w:eastAsia="Calibri" w:cs="Times New Roman"/>
        </w:rPr>
      </w:pPr>
      <w:r w:rsidRPr="00EA1445">
        <w:rPr>
          <w:rFonts w:eastAsia="Calibri" w:cs="Times New Roman"/>
        </w:rPr>
        <w:t>Travel</w:t>
      </w:r>
      <w:r w:rsidR="0075429F" w:rsidRPr="00EA1445">
        <w:rPr>
          <w:rFonts w:eastAsia="Calibri" w:cs="Times New Roman"/>
        </w:rPr>
        <w:t xml:space="preserve"> rates </w:t>
      </w:r>
      <w:r w:rsidRPr="00EA1445">
        <w:rPr>
          <w:rFonts w:eastAsia="Calibri" w:cs="Times New Roman"/>
        </w:rPr>
        <w:t xml:space="preserve">under </w:t>
      </w:r>
      <w:r w:rsidR="00BA3CB1" w:rsidRPr="00EA1445">
        <w:rPr>
          <w:rFonts w:eastAsia="Calibri" w:cs="Times New Roman"/>
        </w:rPr>
        <w:t>the STACS</w:t>
      </w:r>
      <w:r w:rsidRPr="00EA1445">
        <w:rPr>
          <w:rFonts w:eastAsia="Calibri" w:cs="Times New Roman"/>
        </w:rPr>
        <w:t xml:space="preserve"> </w:t>
      </w:r>
      <w:r w:rsidR="001B0E00" w:rsidRPr="00EA1445">
        <w:rPr>
          <w:rFonts w:eastAsia="Calibri" w:cs="Times New Roman"/>
        </w:rPr>
        <w:t>S</w:t>
      </w:r>
      <w:r w:rsidRPr="00EA1445">
        <w:rPr>
          <w:rFonts w:eastAsia="Calibri" w:cs="Times New Roman"/>
        </w:rPr>
        <w:t>ubgrant</w:t>
      </w:r>
      <w:r w:rsidR="00FD562A" w:rsidRPr="00EA1445">
        <w:rPr>
          <w:rFonts w:eastAsia="Calibri" w:cs="Times New Roman"/>
        </w:rPr>
        <w:t xml:space="preserve"> are paid at the approved State of California travel rates, however,</w:t>
      </w:r>
      <w:r w:rsidRPr="00EA1445">
        <w:rPr>
          <w:rFonts w:eastAsia="Calibri" w:cs="Times New Roman"/>
        </w:rPr>
        <w:t xml:space="preserve"> </w:t>
      </w:r>
      <w:r w:rsidR="00FD562A" w:rsidRPr="00EA1445">
        <w:rPr>
          <w:rFonts w:eastAsia="Calibri" w:cs="Times New Roman"/>
        </w:rPr>
        <w:t xml:space="preserve">travel </w:t>
      </w:r>
      <w:r w:rsidR="0075429F" w:rsidRPr="00EA1445">
        <w:rPr>
          <w:rFonts w:eastAsia="Calibri" w:cs="Times New Roman"/>
        </w:rPr>
        <w:t xml:space="preserve">may </w:t>
      </w:r>
      <w:r w:rsidR="00FD562A" w:rsidRPr="00EA1445">
        <w:rPr>
          <w:rFonts w:eastAsia="Calibri" w:cs="Times New Roman"/>
        </w:rPr>
        <w:t>exceed these</w:t>
      </w:r>
      <w:r w:rsidR="0075429F" w:rsidRPr="00EA1445">
        <w:rPr>
          <w:rFonts w:eastAsia="Calibri" w:cs="Times New Roman"/>
        </w:rPr>
        <w:t xml:space="preserve"> rates</w:t>
      </w:r>
      <w:r w:rsidR="00FD562A" w:rsidRPr="00EA1445">
        <w:rPr>
          <w:rFonts w:eastAsia="Calibri" w:cs="Times New Roman"/>
        </w:rPr>
        <w:t xml:space="preserve"> with pre-approval from the CDE. </w:t>
      </w:r>
      <w:r w:rsidR="0075429F" w:rsidRPr="00EA1445">
        <w:rPr>
          <w:rFonts w:eastAsia="Calibri" w:cs="Times New Roman"/>
        </w:rPr>
        <w:t xml:space="preserve">See Appendix C: California State Travel Program. </w:t>
      </w:r>
    </w:p>
    <w:p w14:paraId="495972D6" w14:textId="1BB61A96" w:rsidR="0075429F" w:rsidRPr="00EA1445" w:rsidRDefault="0075429F" w:rsidP="0075429F">
      <w:pPr>
        <w:numPr>
          <w:ilvl w:val="0"/>
          <w:numId w:val="32"/>
        </w:numPr>
        <w:spacing w:before="240"/>
        <w:rPr>
          <w:rFonts w:eastAsia="Calibri" w:cs="Times New Roman"/>
        </w:rPr>
      </w:pPr>
      <w:r w:rsidRPr="00EA1445">
        <w:rPr>
          <w:rFonts w:eastAsia="Calibri" w:cs="Times New Roman"/>
        </w:rPr>
        <w:t xml:space="preserve">Supplies are limited to those needed to complete all of the tasks in the approved Scope of Work, such as copy and materials costs as needed to deliver technical assistance. </w:t>
      </w:r>
      <w:r w:rsidRPr="00EA1445">
        <w:rPr>
          <w:rFonts w:eastAsia="Calibri" w:cs="Times New Roman"/>
          <w:b/>
        </w:rPr>
        <w:t xml:space="preserve">Equipment cannot be purchased under this </w:t>
      </w:r>
      <w:r w:rsidR="004E15A5" w:rsidRPr="00EA1445">
        <w:rPr>
          <w:rFonts w:eastAsia="Calibri" w:cs="Times New Roman"/>
          <w:b/>
        </w:rPr>
        <w:t>subgrant</w:t>
      </w:r>
      <w:r w:rsidRPr="00EA1445">
        <w:rPr>
          <w:rFonts w:eastAsia="Calibri" w:cs="Times New Roman"/>
          <w:b/>
        </w:rPr>
        <w:t>.</w:t>
      </w:r>
      <w:r w:rsidRPr="00EA1445">
        <w:rPr>
          <w:rFonts w:eastAsia="Calibri" w:cs="Times New Roman"/>
        </w:rPr>
        <w:t xml:space="preserve"> </w:t>
      </w:r>
    </w:p>
    <w:p w14:paraId="079752F6" w14:textId="77777777" w:rsidR="0075429F" w:rsidRPr="00EA1445" w:rsidRDefault="0075429F" w:rsidP="0075429F">
      <w:pPr>
        <w:pStyle w:val="ListParagraph"/>
        <w:numPr>
          <w:ilvl w:val="0"/>
          <w:numId w:val="32"/>
        </w:numPr>
        <w:contextualSpacing w:val="0"/>
      </w:pPr>
      <w:r w:rsidRPr="00EA1445">
        <w:t>Services and other operating expenditures must be required to complete all of the tasks in the Scope of Work, such as costs for hosting workshops and conferences in-person (e.g. facilities rental, audio/visual services, etc.).</w:t>
      </w:r>
    </w:p>
    <w:p w14:paraId="53566B54" w14:textId="0F78CDD8" w:rsidR="0075429F" w:rsidRPr="00EA1445" w:rsidRDefault="004E15A5" w:rsidP="0075429F">
      <w:pPr>
        <w:pStyle w:val="ListParagraph"/>
        <w:numPr>
          <w:ilvl w:val="1"/>
          <w:numId w:val="32"/>
        </w:numPr>
        <w:contextualSpacing w:val="0"/>
      </w:pPr>
      <w:r w:rsidRPr="00EA1445">
        <w:t>Sub</w:t>
      </w:r>
      <w:r w:rsidR="00F01FE1" w:rsidRPr="00EA1445">
        <w:t xml:space="preserve">contract </w:t>
      </w:r>
      <w:r w:rsidR="0075429F" w:rsidRPr="00EA1445">
        <w:t>costs</w:t>
      </w:r>
      <w:r w:rsidR="00307148" w:rsidRPr="00EA1445">
        <w:t xml:space="preserve"> </w:t>
      </w:r>
      <w:r w:rsidR="0075429F" w:rsidRPr="00EA1445">
        <w:t xml:space="preserve">with rationale for the need for </w:t>
      </w:r>
      <w:r w:rsidR="00FC2BBA" w:rsidRPr="00EA1445">
        <w:t>collaborating</w:t>
      </w:r>
      <w:r w:rsidR="0075429F" w:rsidRPr="00EA1445">
        <w:t xml:space="preserve"> </w:t>
      </w:r>
      <w:r w:rsidR="00FC2BBA" w:rsidRPr="00EA1445">
        <w:t xml:space="preserve">agency </w:t>
      </w:r>
      <w:r w:rsidR="0075429F" w:rsidRPr="00EA1445">
        <w:t xml:space="preserve">activities. </w:t>
      </w:r>
      <w:r w:rsidR="00FC2BBA" w:rsidRPr="00EA1445">
        <w:t>Collaborating agencies,</w:t>
      </w:r>
      <w:r w:rsidR="0075429F" w:rsidRPr="00EA1445">
        <w:t xml:space="preserve"> including all Key Personnel supported with </w:t>
      </w:r>
      <w:r w:rsidRPr="00EA1445">
        <w:t>subgrant</w:t>
      </w:r>
      <w:r w:rsidR="0075429F" w:rsidRPr="00EA1445">
        <w:t xml:space="preserve"> funds, must be approved by the CDE prior to the execution of the </w:t>
      </w:r>
      <w:r w:rsidRPr="00EA1445">
        <w:t>subgrant</w:t>
      </w:r>
      <w:r w:rsidR="0075429F" w:rsidRPr="00EA1445">
        <w:t>. Any changes to sub</w:t>
      </w:r>
      <w:r w:rsidRPr="00EA1445">
        <w:t>grantee</w:t>
      </w:r>
      <w:r w:rsidR="0075429F" w:rsidRPr="00EA1445">
        <w:t xml:space="preserve"> personnel, activities, or costs must be approved by the CDE prior to conducting activities.</w:t>
      </w:r>
    </w:p>
    <w:p w14:paraId="356045B1" w14:textId="0EC2361A" w:rsidR="0075429F" w:rsidRPr="00EA1445" w:rsidRDefault="0075429F" w:rsidP="0075429F">
      <w:pPr>
        <w:pStyle w:val="ListParagraph"/>
        <w:numPr>
          <w:ilvl w:val="1"/>
          <w:numId w:val="32"/>
        </w:numPr>
        <w:contextualSpacing w:val="0"/>
      </w:pPr>
      <w:r w:rsidRPr="00EA1445">
        <w:t xml:space="preserve">Food not associated with travel costs, </w:t>
      </w:r>
      <w:r w:rsidR="00764AE1" w:rsidRPr="00EA1445">
        <w:t xml:space="preserve">such as </w:t>
      </w:r>
      <w:r w:rsidRPr="00EA1445">
        <w:t xml:space="preserve">per diem expenses, CANNOT be charged to the </w:t>
      </w:r>
      <w:r w:rsidR="004E15A5" w:rsidRPr="00EA1445">
        <w:t>subgrant</w:t>
      </w:r>
      <w:r w:rsidRPr="00EA1445">
        <w:t>.</w:t>
      </w:r>
    </w:p>
    <w:p w14:paraId="495E586A" w14:textId="0CC10D82" w:rsidR="0075429F" w:rsidRPr="00EA1445" w:rsidRDefault="0075429F" w:rsidP="0075429F">
      <w:pPr>
        <w:pStyle w:val="ListParagraph"/>
        <w:numPr>
          <w:ilvl w:val="1"/>
          <w:numId w:val="32"/>
        </w:numPr>
        <w:contextualSpacing w:val="0"/>
      </w:pPr>
      <w:r w:rsidRPr="00EA1445">
        <w:t xml:space="preserve">The cost of preparing this RFA application cannot be </w:t>
      </w:r>
      <w:r w:rsidR="00764AE1" w:rsidRPr="00EA1445">
        <w:t xml:space="preserve">charged </w:t>
      </w:r>
      <w:r w:rsidRPr="00EA1445">
        <w:t xml:space="preserve">to the </w:t>
      </w:r>
      <w:r w:rsidR="004E15A5" w:rsidRPr="00EA1445">
        <w:t>subgrant</w:t>
      </w:r>
      <w:r w:rsidRPr="00EA1445">
        <w:t>.</w:t>
      </w:r>
    </w:p>
    <w:p w14:paraId="4372AE6D" w14:textId="3362B04E" w:rsidR="0075429F" w:rsidRPr="00EA1445" w:rsidRDefault="0075429F" w:rsidP="00005638">
      <w:pPr>
        <w:pStyle w:val="ListParagraph"/>
        <w:numPr>
          <w:ilvl w:val="0"/>
          <w:numId w:val="32"/>
        </w:numPr>
        <w:contextualSpacing w:val="0"/>
        <w:rPr>
          <w:bCs/>
          <w:strike/>
          <w:szCs w:val="24"/>
        </w:rPr>
      </w:pPr>
      <w:bookmarkStart w:id="19" w:name="_Hlk81317583"/>
      <w:r w:rsidRPr="00EA1445">
        <w:rPr>
          <w:szCs w:val="24"/>
        </w:rPr>
        <w:t xml:space="preserve">Indirect costs may be claimed by the </w:t>
      </w:r>
      <w:r w:rsidR="00101BE9" w:rsidRPr="00EA1445">
        <w:rPr>
          <w:b/>
          <w:bCs/>
          <w:szCs w:val="24"/>
        </w:rPr>
        <w:t xml:space="preserve">primary subgrant applicant only </w:t>
      </w:r>
      <w:r w:rsidRPr="00EA1445">
        <w:rPr>
          <w:szCs w:val="24"/>
        </w:rPr>
        <w:t xml:space="preserve">(not subcontractors) and are limited to that LEA’s CDE-approved Indirect Cost Rate (ICR) as found on the </w:t>
      </w:r>
      <w:hyperlink r:id="rId15" w:history="1">
        <w:r w:rsidRPr="00ED72DE">
          <w:rPr>
            <w:rStyle w:val="Hyperlink"/>
            <w:szCs w:val="24"/>
          </w:rPr>
          <w:t>CDE ICR web page</w:t>
        </w:r>
      </w:hyperlink>
      <w:r w:rsidRPr="00EA1445">
        <w:rPr>
          <w:szCs w:val="24"/>
        </w:rPr>
        <w:t xml:space="preserve"> </w:t>
      </w:r>
      <w:r w:rsidRPr="00EA1445">
        <w:rPr>
          <w:rFonts w:cs="Arial"/>
          <w:szCs w:val="24"/>
        </w:rPr>
        <w:t>for the applicable fiscal year in which the funds are expended</w:t>
      </w:r>
      <w:r w:rsidR="004F7B3D" w:rsidRPr="00EA1445">
        <w:rPr>
          <w:rFonts w:cs="Arial"/>
          <w:szCs w:val="24"/>
        </w:rPr>
        <w:t xml:space="preserve"> (</w:t>
      </w:r>
      <w:r w:rsidR="004F7B3D" w:rsidRPr="00EA1445">
        <w:t xml:space="preserve">see Object Code Budget Categories on page </w:t>
      </w:r>
      <w:r w:rsidR="00081E65" w:rsidRPr="00EA1445">
        <w:t>30</w:t>
      </w:r>
      <w:r w:rsidR="004F7B3D" w:rsidRPr="00EA1445">
        <w:t xml:space="preserve"> for more guidance)</w:t>
      </w:r>
      <w:r w:rsidR="004F7B3D" w:rsidRPr="00EA1445">
        <w:rPr>
          <w:szCs w:val="24"/>
        </w:rPr>
        <w:t xml:space="preserve">. </w:t>
      </w:r>
      <w:r w:rsidRPr="00EA1445">
        <w:rPr>
          <w:szCs w:val="24"/>
        </w:rPr>
        <w:t>For assistance in determining indirect cost rates please email</w:t>
      </w:r>
      <w:r w:rsidRPr="00EA1445">
        <w:rPr>
          <w:color w:val="CC0000"/>
          <w:szCs w:val="24"/>
        </w:rPr>
        <w:t xml:space="preserve"> </w:t>
      </w:r>
      <w:hyperlink r:id="rId16" w:history="1">
        <w:r w:rsidRPr="00EA1445">
          <w:rPr>
            <w:rStyle w:val="Hyperlink"/>
            <w:szCs w:val="24"/>
          </w:rPr>
          <w:t>PCSGP@cde.ca.gov</w:t>
        </w:r>
      </w:hyperlink>
      <w:bookmarkEnd w:id="19"/>
      <w:r w:rsidRPr="00EA1445">
        <w:rPr>
          <w:rFonts w:eastAsia="Arial" w:cs="Arial"/>
          <w:szCs w:val="24"/>
        </w:rPr>
        <w:t>.</w:t>
      </w:r>
    </w:p>
    <w:p w14:paraId="55F88D89" w14:textId="0C975584" w:rsidR="0075429F" w:rsidRPr="00CE23C0" w:rsidRDefault="0075429F" w:rsidP="00CE23C0">
      <w:pPr>
        <w:pStyle w:val="ListParagraph"/>
        <w:numPr>
          <w:ilvl w:val="0"/>
          <w:numId w:val="32"/>
        </w:numPr>
        <w:spacing w:before="100" w:beforeAutospacing="1"/>
        <w:rPr>
          <w:rFonts w:eastAsia="Times New Roman" w:cs="Arial"/>
          <w:bCs/>
          <w:snapToGrid w:val="0"/>
          <w:szCs w:val="20"/>
        </w:rPr>
      </w:pPr>
      <w:r>
        <w:t xml:space="preserve">Other costs required to complete all of the tasks in the Scope of Work with justification provided by the </w:t>
      </w:r>
      <w:r w:rsidR="00022234">
        <w:t>s</w:t>
      </w:r>
      <w:r w:rsidR="0010652C">
        <w:t>ubgrantee</w:t>
      </w:r>
      <w:r>
        <w:t>, at the discretion of the CDE</w:t>
      </w:r>
      <w:r w:rsidR="004939DF">
        <w:t>.</w:t>
      </w:r>
    </w:p>
    <w:p w14:paraId="76C8E869" w14:textId="709AF443" w:rsidR="00DF1125" w:rsidRPr="00F02299" w:rsidRDefault="00DF1125" w:rsidP="00DF1125">
      <w:pPr>
        <w:pStyle w:val="Heading4"/>
      </w:pPr>
      <w:r>
        <w:t>2</w:t>
      </w:r>
      <w:r w:rsidRPr="00F02299">
        <w:t>.</w:t>
      </w:r>
      <w:r w:rsidR="0075429F">
        <w:t>4</w:t>
      </w:r>
      <w:r w:rsidRPr="00F02299">
        <w:t xml:space="preserve"> Payee Data Record (STD.</w:t>
      </w:r>
      <w:r>
        <w:t xml:space="preserve"> </w:t>
      </w:r>
      <w:r w:rsidRPr="00F02299">
        <w:t>204)</w:t>
      </w:r>
    </w:p>
    <w:p w14:paraId="2441438B" w14:textId="645A4180" w:rsidR="00DF1125" w:rsidRPr="00DB4CDB" w:rsidRDefault="00DF1125" w:rsidP="00DF1125">
      <w:pPr>
        <w:spacing w:before="240"/>
        <w:rPr>
          <w:rFonts w:eastAsia="Calibri" w:cs="Times New Roman"/>
        </w:rPr>
      </w:pPr>
      <w:r w:rsidRPr="009266D1">
        <w:rPr>
          <w:rFonts w:eastAsia="Calibri" w:cs="Times New Roman"/>
        </w:rPr>
        <w:t>The Payee Data Record (STD.</w:t>
      </w:r>
      <w:r>
        <w:rPr>
          <w:rFonts w:eastAsia="Calibri" w:cs="Times New Roman"/>
        </w:rPr>
        <w:t xml:space="preserve"> </w:t>
      </w:r>
      <w:r w:rsidRPr="009266D1">
        <w:rPr>
          <w:rFonts w:eastAsia="Calibri" w:cs="Times New Roman"/>
        </w:rPr>
        <w:t>204) must be fully completed, signed</w:t>
      </w:r>
      <w:r>
        <w:rPr>
          <w:rFonts w:eastAsia="Calibri" w:cs="Times New Roman"/>
        </w:rPr>
        <w:t>,</w:t>
      </w:r>
      <w:r w:rsidRPr="009266D1">
        <w:rPr>
          <w:rFonts w:eastAsia="Calibri" w:cs="Times New Roman"/>
        </w:rPr>
        <w:t xml:space="preserve"> and dated with an original signature on the form included with the original </w:t>
      </w:r>
      <w:r w:rsidR="00954DC5">
        <w:rPr>
          <w:rFonts w:eastAsia="Calibri" w:cs="Times New Roman"/>
        </w:rPr>
        <w:t>STACS</w:t>
      </w:r>
      <w:r>
        <w:rPr>
          <w:rFonts w:eastAsia="Calibri" w:cs="Times New Roman"/>
        </w:rPr>
        <w:t xml:space="preserve"> </w:t>
      </w:r>
      <w:r w:rsidR="001B0E00">
        <w:rPr>
          <w:rFonts w:eastAsia="Calibri" w:cs="Times New Roman"/>
        </w:rPr>
        <w:t>S</w:t>
      </w:r>
      <w:r w:rsidR="00954DC5">
        <w:rPr>
          <w:rFonts w:eastAsia="Calibri" w:cs="Times New Roman"/>
        </w:rPr>
        <w:t>ubaward</w:t>
      </w:r>
      <w:r>
        <w:rPr>
          <w:rFonts w:eastAsia="Calibri" w:cs="Times New Roman"/>
        </w:rPr>
        <w:t xml:space="preserve"> a</w:t>
      </w:r>
      <w:r w:rsidRPr="009266D1">
        <w:rPr>
          <w:rFonts w:eastAsia="Calibri" w:cs="Times New Roman"/>
        </w:rPr>
        <w:t xml:space="preserve">pplication </w:t>
      </w:r>
      <w:r w:rsidRPr="009266D1">
        <w:rPr>
          <w:rFonts w:eastAsia="Calibri" w:cs="Times New Roman"/>
        </w:rPr>
        <w:lastRenderedPageBreak/>
        <w:t xml:space="preserve">and a copy of the form. The Payee Data Record </w:t>
      </w:r>
      <w:r>
        <w:rPr>
          <w:rFonts w:eastAsia="Calibri" w:cs="Times New Roman"/>
        </w:rPr>
        <w:t>(</w:t>
      </w:r>
      <w:r w:rsidRPr="009266D1">
        <w:rPr>
          <w:rFonts w:eastAsia="Calibri" w:cs="Times New Roman"/>
        </w:rPr>
        <w:t>STD. 204</w:t>
      </w:r>
      <w:r>
        <w:rPr>
          <w:rFonts w:eastAsia="Calibri" w:cs="Times New Roman"/>
        </w:rPr>
        <w:t>)</w:t>
      </w:r>
      <w:r w:rsidRPr="009266D1">
        <w:rPr>
          <w:rFonts w:eastAsia="Calibri" w:cs="Times New Roman"/>
        </w:rPr>
        <w:t xml:space="preserve"> can be found at </w:t>
      </w:r>
      <w:r>
        <w:rPr>
          <w:rFonts w:eastAsia="Calibri" w:cs="Times New Roman"/>
        </w:rPr>
        <w:t xml:space="preserve">the </w:t>
      </w:r>
      <w:hyperlink r:id="rId17" w:history="1">
        <w:r w:rsidRPr="009B7843">
          <w:rPr>
            <w:rStyle w:val="Hyperlink"/>
            <w:rFonts w:eastAsia="Calibri" w:cs="Times New Roman"/>
          </w:rPr>
          <w:t>Department of General Services website</w:t>
        </w:r>
      </w:hyperlink>
      <w:r w:rsidR="009B7843">
        <w:rPr>
          <w:rFonts w:eastAsia="Calibri" w:cs="Times New Roman"/>
        </w:rPr>
        <w:t>.</w:t>
      </w:r>
    </w:p>
    <w:p w14:paraId="50503C75" w14:textId="37FDF0F0" w:rsidR="000B4E87" w:rsidRPr="00DB4CDB" w:rsidRDefault="000B4E87" w:rsidP="00C1527E">
      <w:pPr>
        <w:pStyle w:val="Heading4"/>
        <w:rPr>
          <w:rFonts w:eastAsia="Times New Roman"/>
          <w:snapToGrid w:val="0"/>
        </w:rPr>
      </w:pPr>
      <w:r w:rsidRPr="00DB4CDB">
        <w:rPr>
          <w:rFonts w:eastAsia="Times New Roman"/>
          <w:snapToGrid w:val="0"/>
        </w:rPr>
        <w:t>2.</w:t>
      </w:r>
      <w:r w:rsidR="0075429F">
        <w:rPr>
          <w:rFonts w:eastAsia="Times New Roman"/>
          <w:snapToGrid w:val="0"/>
        </w:rPr>
        <w:t>5</w:t>
      </w:r>
      <w:r w:rsidRPr="00DB4CDB">
        <w:rPr>
          <w:rFonts w:eastAsia="Times New Roman"/>
          <w:snapToGrid w:val="0"/>
        </w:rPr>
        <w:t xml:space="preserve"> Questions and Clarifications</w:t>
      </w:r>
    </w:p>
    <w:p w14:paraId="312C31F1" w14:textId="790AD424" w:rsidR="000B4E87" w:rsidRPr="00DB4CDB" w:rsidRDefault="000B4E87" w:rsidP="00F023A6">
      <w:pPr>
        <w:spacing w:before="100" w:beforeAutospacing="1"/>
        <w:rPr>
          <w:rFonts w:eastAsia="Calibri" w:cs="Times New Roman"/>
        </w:rPr>
      </w:pPr>
      <w:r w:rsidRPr="00DB4CDB">
        <w:rPr>
          <w:rFonts w:eastAsia="Calibri" w:cs="Times New Roman"/>
        </w:rPr>
        <w:t>The CDE will deliver a</w:t>
      </w:r>
      <w:r w:rsidR="0065467C">
        <w:rPr>
          <w:rFonts w:eastAsia="Calibri" w:cs="Times New Roman"/>
        </w:rPr>
        <w:t xml:space="preserve"> technical assistance webinar during the application period, for all interested parties.</w:t>
      </w:r>
      <w:r w:rsidR="00795AA0">
        <w:rPr>
          <w:rFonts w:eastAsia="Calibri" w:cs="Times New Roman"/>
        </w:rPr>
        <w:t xml:space="preserve"> </w:t>
      </w:r>
      <w:r w:rsidRPr="00DB4CDB">
        <w:rPr>
          <w:rFonts w:eastAsia="Calibri" w:cs="Times New Roman"/>
        </w:rPr>
        <w:t xml:space="preserve">The webinar will provide information regarding </w:t>
      </w:r>
      <w:r w:rsidR="00903F3A" w:rsidRPr="00DB4CDB">
        <w:rPr>
          <w:rFonts w:eastAsia="Calibri" w:cs="Times New Roman"/>
        </w:rPr>
        <w:t>the completion</w:t>
      </w:r>
      <w:r w:rsidRPr="00DB4CDB">
        <w:rPr>
          <w:rFonts w:eastAsia="Calibri" w:cs="Times New Roman"/>
        </w:rPr>
        <w:t xml:space="preserve"> of the RFA, </w:t>
      </w:r>
      <w:r w:rsidR="00C678DB" w:rsidRPr="00DB4CDB">
        <w:rPr>
          <w:rFonts w:eastAsia="Calibri" w:cs="Times New Roman"/>
        </w:rPr>
        <w:t>information on how to</w:t>
      </w:r>
      <w:r w:rsidR="00F87330" w:rsidRPr="00DB4CDB">
        <w:rPr>
          <w:rFonts w:eastAsia="Calibri" w:cs="Times New Roman"/>
        </w:rPr>
        <w:t xml:space="preserve"> </w:t>
      </w:r>
      <w:r w:rsidRPr="00DB4CDB">
        <w:rPr>
          <w:rFonts w:eastAsia="Calibri" w:cs="Times New Roman"/>
        </w:rPr>
        <w:t>complet</w:t>
      </w:r>
      <w:r w:rsidR="00C678DB" w:rsidRPr="00DB4CDB">
        <w:rPr>
          <w:rFonts w:eastAsia="Calibri" w:cs="Times New Roman"/>
        </w:rPr>
        <w:t>e</w:t>
      </w:r>
      <w:r w:rsidRPr="00DB4CDB">
        <w:rPr>
          <w:rFonts w:eastAsia="Calibri" w:cs="Times New Roman"/>
        </w:rPr>
        <w:t xml:space="preserve"> the </w:t>
      </w:r>
      <w:r w:rsidR="00C678DB" w:rsidRPr="00DB4CDB">
        <w:rPr>
          <w:rFonts w:eastAsia="Calibri" w:cs="Times New Roman"/>
        </w:rPr>
        <w:t xml:space="preserve">proposed </w:t>
      </w:r>
      <w:r w:rsidRPr="00DB4CDB">
        <w:rPr>
          <w:rFonts w:eastAsia="Calibri" w:cs="Times New Roman"/>
        </w:rPr>
        <w:t xml:space="preserve">Budget </w:t>
      </w:r>
      <w:r w:rsidR="00234C18">
        <w:rPr>
          <w:rFonts w:eastAsia="Calibri" w:cs="Times New Roman"/>
        </w:rPr>
        <w:t>Document</w:t>
      </w:r>
      <w:r w:rsidRPr="00DB4CDB">
        <w:rPr>
          <w:rFonts w:eastAsia="Calibri" w:cs="Times New Roman"/>
        </w:rPr>
        <w:t xml:space="preserve"> </w:t>
      </w:r>
      <w:r w:rsidR="00903F3A" w:rsidRPr="00DB4CDB">
        <w:rPr>
          <w:rFonts w:eastAsia="Calibri" w:cs="Times New Roman"/>
        </w:rPr>
        <w:t>forms and</w:t>
      </w:r>
      <w:r w:rsidRPr="00DB4CDB">
        <w:rPr>
          <w:rFonts w:eastAsia="Calibri" w:cs="Times New Roman"/>
        </w:rPr>
        <w:t xml:space="preserve"> provide </w:t>
      </w:r>
      <w:r w:rsidR="00D70AD1" w:rsidRPr="00DB4CDB">
        <w:rPr>
          <w:rFonts w:eastAsia="Calibri" w:cs="Times New Roman"/>
        </w:rPr>
        <w:t>applicants with</w:t>
      </w:r>
      <w:r w:rsidRPr="00DB4CDB">
        <w:rPr>
          <w:rFonts w:eastAsia="Calibri" w:cs="Times New Roman"/>
        </w:rPr>
        <w:t xml:space="preserve"> an opportunity to ask questions of CDE staff.</w:t>
      </w:r>
    </w:p>
    <w:p w14:paraId="0784B170" w14:textId="37AF85C4" w:rsidR="000B4E87" w:rsidRPr="00DB4CDB" w:rsidRDefault="000B4E87" w:rsidP="00C1527E">
      <w:pPr>
        <w:pStyle w:val="Heading4"/>
        <w:rPr>
          <w:rFonts w:eastAsia="Times New Roman"/>
          <w:snapToGrid w:val="0"/>
        </w:rPr>
      </w:pPr>
      <w:r w:rsidRPr="00DB4CDB">
        <w:rPr>
          <w:rFonts w:eastAsia="Times New Roman"/>
          <w:snapToGrid w:val="0"/>
        </w:rPr>
        <w:t>2.</w:t>
      </w:r>
      <w:r w:rsidR="0075429F">
        <w:rPr>
          <w:rFonts w:eastAsia="Times New Roman"/>
          <w:snapToGrid w:val="0"/>
        </w:rPr>
        <w:t>6</w:t>
      </w:r>
      <w:r w:rsidRPr="00DB4CDB">
        <w:rPr>
          <w:rFonts w:eastAsia="Times New Roman"/>
          <w:snapToGrid w:val="0"/>
        </w:rPr>
        <w:t xml:space="preserve"> Cost of Preparing an Application</w:t>
      </w:r>
    </w:p>
    <w:p w14:paraId="0897C2B9" w14:textId="77777777" w:rsidR="000B4E87" w:rsidRPr="00DB4CDB" w:rsidRDefault="000B4E87" w:rsidP="00F023A6">
      <w:pPr>
        <w:spacing w:before="100" w:beforeAutospacing="1"/>
        <w:rPr>
          <w:rFonts w:eastAsia="Calibri" w:cs="Times New Roman"/>
        </w:rPr>
      </w:pPr>
      <w:r w:rsidRPr="00DB4CDB">
        <w:rPr>
          <w:rFonts w:eastAsia="Calibri" w:cs="Times New Roman"/>
        </w:rPr>
        <w:t>The costs of preparing and delivering the application are the sole responsibility of the applicant. The State of California will not provide reimbursement for any costs incurred or related to the applicant’s involvement or participation in the RFA process.</w:t>
      </w:r>
    </w:p>
    <w:p w14:paraId="4115ED0D" w14:textId="63797D7E" w:rsidR="000B4E87" w:rsidRPr="00DB4CDB" w:rsidRDefault="000B4E87" w:rsidP="00C1527E">
      <w:pPr>
        <w:pStyle w:val="Heading3"/>
        <w:rPr>
          <w:snapToGrid w:val="0"/>
        </w:rPr>
      </w:pPr>
      <w:bookmarkStart w:id="20" w:name="_Toc199842724"/>
      <w:r w:rsidRPr="00DB4CDB">
        <w:rPr>
          <w:snapToGrid w:val="0"/>
        </w:rPr>
        <w:t>3. Expected Outcomes</w:t>
      </w:r>
      <w:bookmarkEnd w:id="20"/>
    </w:p>
    <w:p w14:paraId="2E61F264" w14:textId="24B85A1C" w:rsidR="009E3A17" w:rsidRDefault="009E3A17" w:rsidP="00F023A6">
      <w:pPr>
        <w:spacing w:before="100" w:beforeAutospacing="1"/>
        <w:rPr>
          <w:rFonts w:cs="Arial"/>
        </w:rPr>
      </w:pPr>
      <w:r>
        <w:rPr>
          <w:rFonts w:cs="Arial"/>
        </w:rPr>
        <w:t>STAC</w:t>
      </w:r>
      <w:r w:rsidR="00B714D9">
        <w:rPr>
          <w:rFonts w:cs="Arial"/>
        </w:rPr>
        <w:t>S</w:t>
      </w:r>
      <w:r w:rsidRPr="009E3A17">
        <w:rPr>
          <w:rFonts w:cs="Arial"/>
        </w:rPr>
        <w:t xml:space="preserve"> </w:t>
      </w:r>
      <w:r w:rsidR="001B0E00" w:rsidRPr="00952167">
        <w:rPr>
          <w:rFonts w:cs="Arial"/>
        </w:rPr>
        <w:t>S</w:t>
      </w:r>
      <w:r w:rsidR="00C7019D" w:rsidRPr="00952167">
        <w:rPr>
          <w:rFonts w:cs="Arial"/>
        </w:rPr>
        <w:t>ubgrantees</w:t>
      </w:r>
      <w:r w:rsidRPr="00952167">
        <w:rPr>
          <w:rFonts w:cs="Arial"/>
        </w:rPr>
        <w:t xml:space="preserve"> will be required to provide technical assistance</w:t>
      </w:r>
      <w:r w:rsidR="00024001" w:rsidRPr="00952167">
        <w:rPr>
          <w:rFonts w:cs="Arial"/>
        </w:rPr>
        <w:t xml:space="preserve"> for the awarded topic </w:t>
      </w:r>
      <w:r w:rsidR="008D1C14" w:rsidRPr="00952167">
        <w:rPr>
          <w:rFonts w:cs="Arial"/>
        </w:rPr>
        <w:t xml:space="preserve">(EL, SPED, SED, CTE </w:t>
      </w:r>
      <w:r w:rsidR="00081E65" w:rsidRPr="00952167">
        <w:rPr>
          <w:rFonts w:cs="Arial"/>
        </w:rPr>
        <w:t>and/</w:t>
      </w:r>
      <w:r w:rsidR="008D1C14" w:rsidRPr="00952167">
        <w:rPr>
          <w:rFonts w:cs="Arial"/>
        </w:rPr>
        <w:t xml:space="preserve">or Innovative Strategies) </w:t>
      </w:r>
      <w:r w:rsidR="007F1BB7" w:rsidRPr="00952167">
        <w:rPr>
          <w:rFonts w:cs="Arial"/>
        </w:rPr>
        <w:t>on</w:t>
      </w:r>
      <w:r w:rsidRPr="00952167">
        <w:rPr>
          <w:rFonts w:cs="Arial"/>
        </w:rPr>
        <w:t xml:space="preserve"> Tasks </w:t>
      </w:r>
      <w:r w:rsidR="008D1C14" w:rsidRPr="00952167">
        <w:rPr>
          <w:rFonts w:cs="Arial"/>
        </w:rPr>
        <w:t>1</w:t>
      </w:r>
      <w:r w:rsidRPr="00952167">
        <w:rPr>
          <w:rFonts w:cs="Arial"/>
        </w:rPr>
        <w:t>-</w:t>
      </w:r>
      <w:r w:rsidR="00795AA0" w:rsidRPr="00952167">
        <w:rPr>
          <w:rFonts w:cs="Arial"/>
        </w:rPr>
        <w:t>5</w:t>
      </w:r>
      <w:r w:rsidR="003620B5">
        <w:rPr>
          <w:rFonts w:cs="Arial"/>
        </w:rPr>
        <w:t>,</w:t>
      </w:r>
      <w:r w:rsidRPr="00952167">
        <w:rPr>
          <w:rFonts w:cs="Arial"/>
        </w:rPr>
        <w:t xml:space="preserve"> complete related deliverables and reports</w:t>
      </w:r>
      <w:r w:rsidRPr="009E3A17">
        <w:rPr>
          <w:rFonts w:cs="Arial"/>
        </w:rPr>
        <w:t>, and work in partnership with the CDE.</w:t>
      </w:r>
    </w:p>
    <w:p w14:paraId="5F037D9A" w14:textId="717485F3" w:rsidR="009E3A17" w:rsidRDefault="009E3A17" w:rsidP="00C1527E">
      <w:pPr>
        <w:pStyle w:val="Heading4"/>
      </w:pPr>
      <w:r>
        <w:t>3.1 STACS Performance Objectives and Metrics</w:t>
      </w:r>
    </w:p>
    <w:p w14:paraId="14756408" w14:textId="3B429A90" w:rsidR="00A458CB" w:rsidRPr="00952167" w:rsidRDefault="00A458CB" w:rsidP="00F023A6">
      <w:pPr>
        <w:spacing w:before="100" w:beforeAutospacing="1"/>
        <w:rPr>
          <w:rFonts w:cs="Arial"/>
        </w:rPr>
      </w:pPr>
      <w:r>
        <w:rPr>
          <w:rFonts w:cs="Arial"/>
        </w:rPr>
        <w:t>STAC</w:t>
      </w:r>
      <w:r w:rsidR="00B714D9">
        <w:rPr>
          <w:rFonts w:cs="Arial"/>
        </w:rPr>
        <w:t>S</w:t>
      </w:r>
      <w:r>
        <w:rPr>
          <w:rFonts w:cs="Arial"/>
        </w:rPr>
        <w:t xml:space="preserve"> </w:t>
      </w:r>
      <w:r w:rsidR="001B0E00">
        <w:rPr>
          <w:rFonts w:cs="Arial"/>
        </w:rPr>
        <w:t>S</w:t>
      </w:r>
      <w:r w:rsidR="00C7019D">
        <w:rPr>
          <w:rFonts w:cs="Arial"/>
        </w:rPr>
        <w:t>ubgrantees</w:t>
      </w:r>
      <w:r>
        <w:rPr>
          <w:rFonts w:cs="Arial"/>
        </w:rPr>
        <w:t xml:space="preserve"> will work to support the CDE in reaching its proposed 2024 CSP performance objectives to support sharing of best practices among charter schools and traditional district </w:t>
      </w:r>
      <w:r w:rsidRPr="00952167">
        <w:rPr>
          <w:rFonts w:cs="Arial"/>
        </w:rPr>
        <w:t>schools in California. The CDE has proposed the following performance measure</w:t>
      </w:r>
      <w:r w:rsidR="005E1909" w:rsidRPr="00952167">
        <w:rPr>
          <w:rFonts w:cs="Arial"/>
        </w:rPr>
        <w:t>s</w:t>
      </w:r>
      <w:r w:rsidRPr="00952167">
        <w:rPr>
          <w:rFonts w:cs="Arial"/>
        </w:rPr>
        <w:t xml:space="preserve"> for FY 2025</w:t>
      </w:r>
      <w:r w:rsidR="001717C8" w:rsidRPr="00952167">
        <w:rPr>
          <w:rFonts w:cs="Arial"/>
        </w:rPr>
        <w:t xml:space="preserve">−29 </w:t>
      </w:r>
      <w:r w:rsidRPr="00952167">
        <w:rPr>
          <w:rFonts w:cs="Arial"/>
        </w:rPr>
        <w:t>for sharing of best practices:</w:t>
      </w:r>
    </w:p>
    <w:p w14:paraId="6358A1A5" w14:textId="6729C582" w:rsidR="00F07682" w:rsidRPr="00952167" w:rsidRDefault="00F07682" w:rsidP="00F17306">
      <w:pPr>
        <w:pStyle w:val="ListParagraph"/>
        <w:numPr>
          <w:ilvl w:val="0"/>
          <w:numId w:val="23"/>
        </w:numPr>
        <w:spacing w:after="0"/>
        <w:rPr>
          <w:rFonts w:cs="Arial"/>
        </w:rPr>
      </w:pPr>
      <w:r w:rsidRPr="00952167">
        <w:rPr>
          <w:rFonts w:cs="Arial"/>
        </w:rPr>
        <w:t xml:space="preserve">Goal 3.1: Provide TA to at least </w:t>
      </w:r>
      <w:r w:rsidR="005E1909" w:rsidRPr="00952167">
        <w:rPr>
          <w:rFonts w:cs="Arial"/>
        </w:rPr>
        <w:t>30</w:t>
      </w:r>
      <w:r w:rsidR="008D1C14" w:rsidRPr="00952167">
        <w:rPr>
          <w:rFonts w:cs="Arial"/>
        </w:rPr>
        <w:t>0</w:t>
      </w:r>
      <w:r w:rsidRPr="00952167">
        <w:rPr>
          <w:rFonts w:cs="Arial"/>
        </w:rPr>
        <w:t xml:space="preserve"> charter schools via best practices webinars for improving academic achievement for all students.</w:t>
      </w:r>
    </w:p>
    <w:p w14:paraId="572AA6E3" w14:textId="77777777" w:rsidR="00F07682" w:rsidRPr="00952167" w:rsidRDefault="00F07682" w:rsidP="00F07682">
      <w:pPr>
        <w:pStyle w:val="ListParagraph"/>
        <w:spacing w:after="0"/>
        <w:rPr>
          <w:rFonts w:cs="Arial"/>
        </w:rPr>
      </w:pPr>
    </w:p>
    <w:p w14:paraId="75BB4697" w14:textId="0C09BF04" w:rsidR="00F07682" w:rsidRPr="00952167" w:rsidRDefault="00F07682" w:rsidP="00F17306">
      <w:pPr>
        <w:pStyle w:val="ListParagraph"/>
        <w:numPr>
          <w:ilvl w:val="0"/>
          <w:numId w:val="23"/>
        </w:numPr>
        <w:spacing w:after="0"/>
        <w:rPr>
          <w:rFonts w:cs="Arial"/>
        </w:rPr>
      </w:pPr>
      <w:r w:rsidRPr="00952167">
        <w:rPr>
          <w:rFonts w:cs="Arial"/>
        </w:rPr>
        <w:t>Goal 3.2: 100% of technical assistance activities will include resources that are publicly posted.</w:t>
      </w:r>
    </w:p>
    <w:p w14:paraId="0F3EEBE7" w14:textId="77777777" w:rsidR="00F07682" w:rsidRPr="00952167" w:rsidRDefault="00F07682" w:rsidP="00F07682">
      <w:pPr>
        <w:spacing w:after="0"/>
        <w:rPr>
          <w:rFonts w:cs="Arial"/>
        </w:rPr>
      </w:pPr>
    </w:p>
    <w:p w14:paraId="416BC095" w14:textId="7521CE4B" w:rsidR="00A458CB" w:rsidRPr="00952167" w:rsidRDefault="00F07682" w:rsidP="00F17306">
      <w:pPr>
        <w:pStyle w:val="ListParagraph"/>
        <w:numPr>
          <w:ilvl w:val="0"/>
          <w:numId w:val="23"/>
        </w:numPr>
        <w:spacing w:after="0"/>
        <w:rPr>
          <w:rFonts w:cs="Arial"/>
        </w:rPr>
      </w:pPr>
      <w:r w:rsidRPr="00952167">
        <w:rPr>
          <w:rFonts w:cs="Arial"/>
        </w:rPr>
        <w:t xml:space="preserve">Goal 3.3: At least </w:t>
      </w:r>
      <w:r w:rsidR="005E1909" w:rsidRPr="00952167">
        <w:rPr>
          <w:rFonts w:cs="Arial"/>
        </w:rPr>
        <w:t>5</w:t>
      </w:r>
      <w:r w:rsidRPr="00952167">
        <w:rPr>
          <w:rFonts w:cs="Arial"/>
        </w:rPr>
        <w:t xml:space="preserve">0% of </w:t>
      </w:r>
      <w:r w:rsidR="001717C8" w:rsidRPr="00952167">
        <w:rPr>
          <w:rFonts w:cs="Arial"/>
        </w:rPr>
        <w:t xml:space="preserve">PCSGP Start-Up </w:t>
      </w:r>
      <w:r w:rsidRPr="00952167">
        <w:rPr>
          <w:rFonts w:cs="Arial"/>
        </w:rPr>
        <w:t>subgrantee schools attend at least one charter best practices TA activity.</w:t>
      </w:r>
    </w:p>
    <w:p w14:paraId="312C5567" w14:textId="77777777" w:rsidR="00F07682" w:rsidRPr="00952167" w:rsidRDefault="00F07682" w:rsidP="00F07682">
      <w:pPr>
        <w:pStyle w:val="ListParagraph"/>
        <w:spacing w:after="0"/>
        <w:rPr>
          <w:rFonts w:cs="Arial"/>
        </w:rPr>
      </w:pPr>
    </w:p>
    <w:p w14:paraId="68CA4D3D" w14:textId="6004C08C" w:rsidR="00A458CB" w:rsidRPr="00952167" w:rsidRDefault="00F07682" w:rsidP="00F17306">
      <w:pPr>
        <w:pStyle w:val="ListParagraph"/>
        <w:numPr>
          <w:ilvl w:val="0"/>
          <w:numId w:val="23"/>
        </w:numPr>
        <w:spacing w:after="0"/>
        <w:rPr>
          <w:rFonts w:cs="Arial"/>
        </w:rPr>
      </w:pPr>
      <w:r w:rsidRPr="00952167">
        <w:rPr>
          <w:rFonts w:cs="Arial"/>
        </w:rPr>
        <w:t xml:space="preserve">Goal 3.4: </w:t>
      </w:r>
      <w:bookmarkStart w:id="21" w:name="_Hlk185239146"/>
      <w:r w:rsidRPr="00952167">
        <w:rPr>
          <w:rFonts w:cs="Arial"/>
        </w:rPr>
        <w:t>Provide targeted advertising for charter best practices TA activities to 100% of charter and district schools in LEAs with a significant number of schools identified for Comprehensive Support and Improvement.</w:t>
      </w:r>
      <w:bookmarkEnd w:id="21"/>
    </w:p>
    <w:p w14:paraId="4F0DEE64" w14:textId="237A9965" w:rsidR="00A458CB" w:rsidRDefault="00F07682" w:rsidP="00F023A6">
      <w:pPr>
        <w:spacing w:before="100" w:beforeAutospacing="1"/>
        <w:rPr>
          <w:rFonts w:cs="Arial"/>
        </w:rPr>
      </w:pPr>
      <w:r w:rsidRPr="00952167">
        <w:rPr>
          <w:rFonts w:cs="Arial"/>
        </w:rPr>
        <w:t xml:space="preserve">STACs </w:t>
      </w:r>
      <w:r w:rsidRPr="00952167">
        <w:rPr>
          <w:rFonts w:eastAsia="Arial" w:cs="Arial"/>
          <w:szCs w:val="24"/>
        </w:rPr>
        <w:t>performance objectives</w:t>
      </w:r>
      <w:r>
        <w:rPr>
          <w:rFonts w:eastAsia="Arial" w:cs="Arial"/>
          <w:szCs w:val="24"/>
        </w:rPr>
        <w:t xml:space="preserve"> and metrics are subject to change at the discretion of the CDE.</w:t>
      </w:r>
    </w:p>
    <w:p w14:paraId="52D73025" w14:textId="09EAF9C3" w:rsidR="008C4853" w:rsidRPr="00363CA8" w:rsidRDefault="008C4853" w:rsidP="00C1527E">
      <w:pPr>
        <w:pStyle w:val="Heading4"/>
      </w:pPr>
      <w:r w:rsidRPr="00363CA8">
        <w:lastRenderedPageBreak/>
        <w:t>3.</w:t>
      </w:r>
      <w:r w:rsidR="004B25D5">
        <w:t>2</w:t>
      </w:r>
      <w:r w:rsidRPr="00363CA8">
        <w:t xml:space="preserve"> Subgrantee Responsibilities</w:t>
      </w:r>
    </w:p>
    <w:p w14:paraId="0CC5063A" w14:textId="393D5C05" w:rsidR="008C4853" w:rsidRPr="00952167" w:rsidRDefault="008C4853" w:rsidP="008C4853">
      <w:r w:rsidRPr="008C4853">
        <w:t xml:space="preserve">The </w:t>
      </w:r>
      <w:r w:rsidR="00A458CB">
        <w:t xml:space="preserve">STACS </w:t>
      </w:r>
      <w:r w:rsidR="001B0E00">
        <w:t>S</w:t>
      </w:r>
      <w:r w:rsidR="00C7019D">
        <w:t>ubgrantee</w:t>
      </w:r>
      <w:r w:rsidRPr="008C4853">
        <w:t xml:space="preserve"> will be </w:t>
      </w:r>
      <w:r w:rsidRPr="00952167">
        <w:t>responsible for all of the following</w:t>
      </w:r>
      <w:r w:rsidR="0064496E" w:rsidRPr="00952167">
        <w:t xml:space="preserve">, as applicable to each topic they are applying for </w:t>
      </w:r>
      <w:r w:rsidR="008D1C14" w:rsidRPr="00952167">
        <w:t>(EL, SPED, SED, CTE and/or Innovative Strategies</w:t>
      </w:r>
      <w:r w:rsidR="0064496E" w:rsidRPr="00952167">
        <w:t>)</w:t>
      </w:r>
      <w:r w:rsidRPr="00952167">
        <w:t>:</w:t>
      </w:r>
    </w:p>
    <w:p w14:paraId="7D8CA307" w14:textId="77CDCF08" w:rsidR="008C4853" w:rsidRPr="00952167" w:rsidRDefault="008C4853" w:rsidP="00F17306">
      <w:pPr>
        <w:numPr>
          <w:ilvl w:val="0"/>
          <w:numId w:val="22"/>
        </w:numPr>
      </w:pPr>
      <w:r w:rsidRPr="00952167">
        <w:t xml:space="preserve"> Providing </w:t>
      </w:r>
      <w:r w:rsidR="00A458CB" w:rsidRPr="00952167">
        <w:t xml:space="preserve">a </w:t>
      </w:r>
      <w:r w:rsidR="00363CA8" w:rsidRPr="00952167">
        <w:t>STACS</w:t>
      </w:r>
      <w:r w:rsidRPr="00952167">
        <w:t xml:space="preserve"> </w:t>
      </w:r>
      <w:r w:rsidR="0010652C" w:rsidRPr="00952167">
        <w:t>Subgrant</w:t>
      </w:r>
      <w:r w:rsidRPr="00952167">
        <w:t xml:space="preserve"> M</w:t>
      </w:r>
      <w:r w:rsidR="00A458CB" w:rsidRPr="00952167">
        <w:t>onitor</w:t>
      </w:r>
      <w:r w:rsidRPr="00952167">
        <w:t xml:space="preserve"> and appropriate Key Personnel;</w:t>
      </w:r>
    </w:p>
    <w:p w14:paraId="17573A15" w14:textId="3E8D3D29" w:rsidR="008C4853" w:rsidRPr="008C4853" w:rsidRDefault="008C4853" w:rsidP="00F17306">
      <w:pPr>
        <w:numPr>
          <w:ilvl w:val="1"/>
          <w:numId w:val="22"/>
        </w:numPr>
      </w:pPr>
      <w:r w:rsidRPr="00952167">
        <w:t xml:space="preserve">Identify by name the personnel responsible for oversight of the </w:t>
      </w:r>
      <w:r w:rsidR="0010652C" w:rsidRPr="00952167">
        <w:t>subgrant</w:t>
      </w:r>
      <w:r w:rsidRPr="00952167">
        <w:t xml:space="preserve"> and Key Personnel (a resume</w:t>
      </w:r>
      <w:r w:rsidRPr="008C4853">
        <w:t xml:space="preserve"> and job description must be included for each person)</w:t>
      </w:r>
    </w:p>
    <w:p w14:paraId="085BF8E5" w14:textId="347AC7BC" w:rsidR="008C4853" w:rsidRPr="008C4853" w:rsidRDefault="008C4853" w:rsidP="00F17306">
      <w:pPr>
        <w:numPr>
          <w:ilvl w:val="0"/>
          <w:numId w:val="22"/>
        </w:numPr>
      </w:pPr>
      <w:r w:rsidRPr="008C4853">
        <w:t xml:space="preserve">Creating a detailed </w:t>
      </w:r>
      <w:r w:rsidR="00A458CB">
        <w:t xml:space="preserve">scope of work and </w:t>
      </w:r>
      <w:r w:rsidRPr="008C4853">
        <w:t>budget including salary and benefits for any individuals completing project tasks and supplies needed to complete the project tasks;</w:t>
      </w:r>
    </w:p>
    <w:p w14:paraId="75542FF4" w14:textId="3A5EAE94" w:rsidR="008C4853" w:rsidRPr="008C4853" w:rsidRDefault="008C4853" w:rsidP="00F17306">
      <w:pPr>
        <w:numPr>
          <w:ilvl w:val="0"/>
          <w:numId w:val="22"/>
        </w:numPr>
      </w:pPr>
      <w:r w:rsidRPr="008C4853">
        <w:t>Planning technical assistance/professional development events and providing documentation for each; and</w:t>
      </w:r>
    </w:p>
    <w:p w14:paraId="39C09070" w14:textId="167C593A" w:rsidR="008C4853" w:rsidRPr="008C4853" w:rsidRDefault="008C4853" w:rsidP="00F17306">
      <w:pPr>
        <w:numPr>
          <w:ilvl w:val="0"/>
          <w:numId w:val="22"/>
        </w:numPr>
      </w:pPr>
      <w:r w:rsidRPr="008C4853">
        <w:t xml:space="preserve">Managing subgrant timelines and deliverables including: </w:t>
      </w:r>
    </w:p>
    <w:p w14:paraId="2B71E8A3" w14:textId="77777777" w:rsidR="008C4853" w:rsidRPr="008C4853" w:rsidRDefault="008C4853" w:rsidP="00F17306">
      <w:pPr>
        <w:numPr>
          <w:ilvl w:val="1"/>
          <w:numId w:val="22"/>
        </w:numPr>
        <w:spacing w:after="0"/>
        <w:ind w:left="1354"/>
      </w:pPr>
      <w:r w:rsidRPr="008C4853">
        <w:t>List of technical assistance event attendees</w:t>
      </w:r>
    </w:p>
    <w:p w14:paraId="4BF687C9" w14:textId="77777777" w:rsidR="008C4853" w:rsidRPr="008C4853" w:rsidRDefault="008C4853" w:rsidP="00F17306">
      <w:pPr>
        <w:numPr>
          <w:ilvl w:val="1"/>
          <w:numId w:val="22"/>
        </w:numPr>
        <w:spacing w:after="0"/>
        <w:ind w:left="1354"/>
      </w:pPr>
      <w:r w:rsidRPr="008C4853">
        <w:t>Professional development presentations and handouts</w:t>
      </w:r>
    </w:p>
    <w:p w14:paraId="4BC40A4D" w14:textId="77777777" w:rsidR="008C4853" w:rsidRPr="00363CA8" w:rsidRDefault="008C4853" w:rsidP="00F17306">
      <w:pPr>
        <w:numPr>
          <w:ilvl w:val="1"/>
          <w:numId w:val="22"/>
        </w:numPr>
        <w:spacing w:after="0"/>
        <w:ind w:left="1354"/>
      </w:pPr>
      <w:r w:rsidRPr="008C4853">
        <w:t>Feedback from technical assistance event attendees</w:t>
      </w:r>
    </w:p>
    <w:p w14:paraId="3ACC1579" w14:textId="77777777" w:rsidR="008C4853" w:rsidRPr="008C4853" w:rsidRDefault="008C4853" w:rsidP="00F17306">
      <w:pPr>
        <w:numPr>
          <w:ilvl w:val="1"/>
          <w:numId w:val="22"/>
        </w:numPr>
        <w:spacing w:after="0"/>
        <w:ind w:left="1354"/>
      </w:pPr>
      <w:r w:rsidRPr="008C4853">
        <w:t xml:space="preserve">Quarterly progress and expenditure reports </w:t>
      </w:r>
    </w:p>
    <w:p w14:paraId="15211B56" w14:textId="49F51AAB" w:rsidR="00363CA8" w:rsidRPr="00363CA8" w:rsidRDefault="00363CA8" w:rsidP="00F17306">
      <w:pPr>
        <w:numPr>
          <w:ilvl w:val="1"/>
          <w:numId w:val="22"/>
        </w:numPr>
        <w:spacing w:after="0"/>
        <w:ind w:left="1354"/>
      </w:pPr>
      <w:r w:rsidRPr="00363CA8">
        <w:t>Data tracking and published deliverable</w:t>
      </w:r>
      <w:r w:rsidR="00FC2BBA">
        <w:t xml:space="preserve">s </w:t>
      </w:r>
      <w:r w:rsidRPr="00363CA8">
        <w:t xml:space="preserve"> </w:t>
      </w:r>
    </w:p>
    <w:p w14:paraId="1BB60BED" w14:textId="2C0E7461" w:rsidR="00A458CB" w:rsidRPr="00EA1445" w:rsidRDefault="004B2B68" w:rsidP="00F17306">
      <w:pPr>
        <w:numPr>
          <w:ilvl w:val="1"/>
          <w:numId w:val="22"/>
        </w:numPr>
        <w:spacing w:after="0"/>
        <w:ind w:left="1354"/>
      </w:pPr>
      <w:r>
        <w:t xml:space="preserve">Comprehensive Final </w:t>
      </w:r>
      <w:r w:rsidRPr="00EA1445">
        <w:t>Report</w:t>
      </w:r>
    </w:p>
    <w:p w14:paraId="46A50855" w14:textId="0EFA5FCB" w:rsidR="001717C8" w:rsidRPr="00EA1445" w:rsidRDefault="001717C8" w:rsidP="00F17306">
      <w:pPr>
        <w:numPr>
          <w:ilvl w:val="1"/>
          <w:numId w:val="22"/>
        </w:numPr>
        <w:spacing w:after="0"/>
        <w:ind w:left="1354"/>
      </w:pPr>
      <w:r w:rsidRPr="00EA1445">
        <w:t>Additional progress reporting as needed, per federal requirements</w:t>
      </w:r>
    </w:p>
    <w:p w14:paraId="25410655" w14:textId="77777777" w:rsidR="00A458CB" w:rsidRPr="00EA1445" w:rsidRDefault="00A458CB" w:rsidP="00A458CB">
      <w:pPr>
        <w:spacing w:after="0"/>
      </w:pPr>
    </w:p>
    <w:p w14:paraId="25915CE0" w14:textId="5541F713" w:rsidR="008C4853" w:rsidRPr="00EA1445" w:rsidRDefault="00363CA8" w:rsidP="00A458CB">
      <w:pPr>
        <w:spacing w:after="0"/>
      </w:pPr>
      <w:r w:rsidRPr="00EA1445">
        <w:t>STACS</w:t>
      </w:r>
      <w:r w:rsidR="008C4853" w:rsidRPr="00EA1445">
        <w:t xml:space="preserve"> </w:t>
      </w:r>
      <w:r w:rsidR="001B0E00" w:rsidRPr="00EA1445">
        <w:t>S</w:t>
      </w:r>
      <w:r w:rsidR="00C7019D" w:rsidRPr="00EA1445">
        <w:t>ubawards</w:t>
      </w:r>
      <w:r w:rsidR="008C4853" w:rsidRPr="00EA1445">
        <w:t xml:space="preserve"> will be awarded only to applicants that have demonstrated the capacity to deliver the expected outcomes listed in Section 3 Expected Outcomes and Section </w:t>
      </w:r>
      <w:r w:rsidR="00024001" w:rsidRPr="00EA1445">
        <w:t>5.3</w:t>
      </w:r>
      <w:r w:rsidR="008C4853" w:rsidRPr="00EA1445">
        <w:t xml:space="preserve"> Scope of Work.</w:t>
      </w:r>
      <w:r w:rsidR="00315149" w:rsidRPr="00EA1445">
        <w:t xml:space="preserve"> </w:t>
      </w:r>
    </w:p>
    <w:p w14:paraId="484764A0" w14:textId="5DCD5A8A" w:rsidR="00FB4651" w:rsidRPr="00DB4CDB" w:rsidRDefault="000A1154" w:rsidP="00C1527E">
      <w:pPr>
        <w:pStyle w:val="Heading4"/>
      </w:pPr>
      <w:r w:rsidRPr="00EA1445">
        <w:t>3.</w:t>
      </w:r>
      <w:r w:rsidR="004B25D5" w:rsidRPr="00EA1445">
        <w:t>3</w:t>
      </w:r>
      <w:r w:rsidRPr="00EA1445">
        <w:t xml:space="preserve"> </w:t>
      </w:r>
      <w:r w:rsidR="00FA7EA4" w:rsidRPr="00EA1445">
        <w:t xml:space="preserve">Program and </w:t>
      </w:r>
      <w:r w:rsidR="00FB4651" w:rsidRPr="00EA1445">
        <w:t xml:space="preserve">Fiscal </w:t>
      </w:r>
      <w:r w:rsidR="002146EA" w:rsidRPr="00EA1445">
        <w:t>Performance</w:t>
      </w:r>
      <w:r w:rsidR="002146EA" w:rsidRPr="00DB4CDB">
        <w:t xml:space="preserve"> </w:t>
      </w:r>
      <w:r w:rsidR="00FB4651" w:rsidRPr="00DB4CDB">
        <w:t>Reporting Requirements</w:t>
      </w:r>
    </w:p>
    <w:p w14:paraId="4F449B1D" w14:textId="604B6967" w:rsidR="0026268A" w:rsidRPr="00555EB9" w:rsidRDefault="0026268A" w:rsidP="0026268A">
      <w:pPr>
        <w:spacing w:before="100" w:beforeAutospacing="1"/>
      </w:pPr>
      <w:r w:rsidRPr="00555EB9">
        <w:t xml:space="preserve">STACS Subgrants are reimbursement only. The CDE will not issue any advance payments. On a quarterly basis, </w:t>
      </w:r>
      <w:r w:rsidR="008017A8" w:rsidRPr="00555EB9">
        <w:t xml:space="preserve">and as part of required program and fiscal reporting, </w:t>
      </w:r>
      <w:r w:rsidRPr="00555EB9">
        <w:t xml:space="preserve">subgrantees will provide: </w:t>
      </w:r>
    </w:p>
    <w:p w14:paraId="527DFDCF" w14:textId="0315E0BB" w:rsidR="00952167" w:rsidRPr="00555EB9" w:rsidRDefault="0026268A" w:rsidP="0039702E">
      <w:pPr>
        <w:pStyle w:val="ListParagraph"/>
        <w:numPr>
          <w:ilvl w:val="0"/>
          <w:numId w:val="45"/>
        </w:numPr>
        <w:rPr>
          <w:rFonts w:eastAsia="Calibri" w:cs="Arial"/>
          <w:color w:val="000000"/>
          <w:szCs w:val="24"/>
        </w:rPr>
      </w:pPr>
      <w:r w:rsidRPr="00555EB9">
        <w:rPr>
          <w:rFonts w:eastAsia="Calibri" w:cs="Arial"/>
          <w:color w:val="000000"/>
          <w:szCs w:val="24"/>
        </w:rPr>
        <w:t xml:space="preserve">Quarterly </w:t>
      </w:r>
      <w:r w:rsidR="00952167" w:rsidRPr="00555EB9">
        <w:rPr>
          <w:rFonts w:eastAsia="Calibri" w:cs="Arial"/>
          <w:color w:val="000000"/>
          <w:szCs w:val="24"/>
        </w:rPr>
        <w:t>Expenditure Report</w:t>
      </w:r>
      <w:r w:rsidRPr="00555EB9">
        <w:rPr>
          <w:rFonts w:eastAsia="Calibri" w:cs="Arial"/>
          <w:color w:val="000000"/>
          <w:szCs w:val="24"/>
        </w:rPr>
        <w:t xml:space="preserve"> (QER)</w:t>
      </w:r>
      <w:r w:rsidR="00952167" w:rsidRPr="00555EB9">
        <w:rPr>
          <w:rFonts w:eastAsia="Calibri" w:cs="Arial"/>
          <w:color w:val="000000"/>
          <w:szCs w:val="24"/>
        </w:rPr>
        <w:t xml:space="preserve"> requesting reimbursement for all expenditures for the reporting period</w:t>
      </w:r>
      <w:r w:rsidR="00761B24" w:rsidRPr="00555EB9">
        <w:rPr>
          <w:rFonts w:eastAsia="Calibri" w:cs="Arial"/>
          <w:color w:val="000000"/>
          <w:szCs w:val="24"/>
        </w:rPr>
        <w:t>, including:</w:t>
      </w:r>
    </w:p>
    <w:p w14:paraId="066EEDA1" w14:textId="0B5B6A3B" w:rsidR="00952167" w:rsidRPr="00555EB9" w:rsidRDefault="00952167" w:rsidP="0039702E">
      <w:pPr>
        <w:pStyle w:val="ListParagraph"/>
        <w:numPr>
          <w:ilvl w:val="1"/>
          <w:numId w:val="45"/>
        </w:numPr>
        <w:tabs>
          <w:tab w:val="left" w:pos="720"/>
          <w:tab w:val="left" w:pos="810"/>
          <w:tab w:val="left" w:pos="1080"/>
          <w:tab w:val="left" w:pos="1260"/>
        </w:tabs>
        <w:spacing w:before="240"/>
        <w:rPr>
          <w:rFonts w:eastAsia="Calibri" w:cs="Arial"/>
          <w:color w:val="000000"/>
          <w:szCs w:val="24"/>
        </w:rPr>
      </w:pPr>
      <w:r w:rsidRPr="00555EB9">
        <w:rPr>
          <w:rFonts w:eastAsia="Calibri" w:cs="Arial"/>
          <w:color w:val="000000"/>
          <w:szCs w:val="24"/>
        </w:rPr>
        <w:t>A</w:t>
      </w:r>
      <w:r w:rsidR="0039702E" w:rsidRPr="00555EB9">
        <w:rPr>
          <w:rFonts w:eastAsia="Calibri" w:cs="Arial"/>
          <w:color w:val="000000"/>
          <w:szCs w:val="24"/>
        </w:rPr>
        <w:t>n ongoing</w:t>
      </w:r>
      <w:r w:rsidRPr="00555EB9">
        <w:rPr>
          <w:rFonts w:eastAsia="Calibri" w:cs="Arial"/>
          <w:color w:val="000000"/>
          <w:szCs w:val="24"/>
        </w:rPr>
        <w:t xml:space="preserve"> general ledger (GL) report including itemized costs, vendor names, date incurred, and a description of the services or items purchase</w:t>
      </w:r>
      <w:r w:rsidR="008017A8" w:rsidRPr="00555EB9">
        <w:rPr>
          <w:rFonts w:eastAsia="Calibri" w:cs="Arial"/>
          <w:color w:val="000000"/>
          <w:szCs w:val="24"/>
        </w:rPr>
        <w:t>d, including but not limited to salaries benefits, travel and subcontract costs</w:t>
      </w:r>
      <w:r w:rsidRPr="00555EB9">
        <w:rPr>
          <w:rFonts w:eastAsia="Calibri" w:cs="Arial"/>
          <w:color w:val="000000"/>
          <w:szCs w:val="24"/>
        </w:rPr>
        <w:t xml:space="preserve">; </w:t>
      </w:r>
    </w:p>
    <w:p w14:paraId="2F3F56C0" w14:textId="72C34875" w:rsidR="00952167" w:rsidRPr="00555EB9" w:rsidRDefault="00FD0396" w:rsidP="0039702E">
      <w:pPr>
        <w:pStyle w:val="ListParagraph"/>
        <w:numPr>
          <w:ilvl w:val="1"/>
          <w:numId w:val="45"/>
        </w:numPr>
        <w:tabs>
          <w:tab w:val="left" w:pos="720"/>
          <w:tab w:val="left" w:pos="810"/>
          <w:tab w:val="left" w:pos="1080"/>
          <w:tab w:val="left" w:pos="1260"/>
        </w:tabs>
        <w:spacing w:before="240"/>
        <w:rPr>
          <w:rFonts w:eastAsia="Calibri" w:cs="Arial"/>
          <w:color w:val="000000"/>
          <w:szCs w:val="24"/>
        </w:rPr>
      </w:pPr>
      <w:r w:rsidRPr="00555EB9">
        <w:rPr>
          <w:rFonts w:eastAsia="Calibri" w:cs="Arial"/>
          <w:color w:val="000000"/>
          <w:szCs w:val="24"/>
        </w:rPr>
        <w:t xml:space="preserve">Supporting documentation including, but not limited to, invoices, receipts, </w:t>
      </w:r>
      <w:r w:rsidR="00B729BA" w:rsidRPr="00555EB9">
        <w:rPr>
          <w:rFonts w:eastAsia="Calibri" w:cs="Arial"/>
          <w:color w:val="000000"/>
          <w:szCs w:val="24"/>
        </w:rPr>
        <w:t>personnel</w:t>
      </w:r>
      <w:r w:rsidRPr="00555EB9">
        <w:rPr>
          <w:rFonts w:eastAsia="Calibri" w:cs="Arial"/>
          <w:color w:val="000000"/>
          <w:szCs w:val="24"/>
        </w:rPr>
        <w:t xml:space="preserve"> activity reports, contracts, etc.</w:t>
      </w:r>
      <w:r w:rsidR="00B729BA" w:rsidRPr="00555EB9">
        <w:rPr>
          <w:rFonts w:eastAsia="Calibri" w:cs="Arial"/>
          <w:color w:val="000000"/>
          <w:szCs w:val="24"/>
        </w:rPr>
        <w:t>;</w:t>
      </w:r>
      <w:r w:rsidRPr="00555EB9">
        <w:rPr>
          <w:rFonts w:eastAsia="Calibri" w:cs="Arial"/>
          <w:color w:val="000000"/>
          <w:szCs w:val="24"/>
        </w:rPr>
        <w:t xml:space="preserve"> </w:t>
      </w:r>
    </w:p>
    <w:p w14:paraId="052E4299" w14:textId="3694A733" w:rsidR="00761B24" w:rsidRPr="00555EB9" w:rsidRDefault="00B729BA" w:rsidP="0026268A">
      <w:pPr>
        <w:pStyle w:val="ListParagraph"/>
        <w:numPr>
          <w:ilvl w:val="0"/>
          <w:numId w:val="45"/>
        </w:numPr>
        <w:tabs>
          <w:tab w:val="left" w:pos="720"/>
          <w:tab w:val="left" w:pos="810"/>
          <w:tab w:val="left" w:pos="1080"/>
          <w:tab w:val="left" w:pos="1260"/>
        </w:tabs>
        <w:spacing w:before="240"/>
        <w:rPr>
          <w:rFonts w:eastAsia="Calibri" w:cs="Arial"/>
          <w:color w:val="000000"/>
          <w:szCs w:val="24"/>
        </w:rPr>
      </w:pPr>
      <w:r w:rsidRPr="00555EB9">
        <w:rPr>
          <w:rFonts w:eastAsia="Calibri" w:cs="Arial"/>
          <w:color w:val="000000"/>
          <w:szCs w:val="24"/>
        </w:rPr>
        <w:t>Q</w:t>
      </w:r>
      <w:r w:rsidR="0026268A" w:rsidRPr="00555EB9">
        <w:rPr>
          <w:rFonts w:eastAsia="Calibri" w:cs="Arial"/>
          <w:color w:val="000000"/>
          <w:szCs w:val="24"/>
        </w:rPr>
        <w:t xml:space="preserve">uarterly </w:t>
      </w:r>
      <w:r w:rsidR="0039702E" w:rsidRPr="00555EB9">
        <w:rPr>
          <w:rFonts w:eastAsia="Calibri" w:cs="Arial"/>
          <w:color w:val="000000"/>
          <w:szCs w:val="24"/>
        </w:rPr>
        <w:t>T</w:t>
      </w:r>
      <w:r w:rsidR="0026268A" w:rsidRPr="00555EB9">
        <w:rPr>
          <w:rFonts w:eastAsia="Calibri" w:cs="Arial"/>
          <w:color w:val="000000"/>
          <w:szCs w:val="24"/>
        </w:rPr>
        <w:t xml:space="preserve">ask </w:t>
      </w:r>
      <w:r w:rsidR="0039702E" w:rsidRPr="00555EB9">
        <w:rPr>
          <w:rFonts w:eastAsia="Calibri" w:cs="Arial"/>
          <w:color w:val="000000"/>
          <w:szCs w:val="24"/>
        </w:rPr>
        <w:t>P</w:t>
      </w:r>
      <w:r w:rsidR="0026268A" w:rsidRPr="00555EB9">
        <w:rPr>
          <w:rFonts w:eastAsia="Calibri" w:cs="Arial"/>
          <w:color w:val="000000"/>
          <w:szCs w:val="24"/>
        </w:rPr>
        <w:t xml:space="preserve">rogress </w:t>
      </w:r>
      <w:r w:rsidR="0039702E" w:rsidRPr="00555EB9">
        <w:rPr>
          <w:rFonts w:eastAsia="Calibri" w:cs="Arial"/>
          <w:color w:val="000000"/>
          <w:szCs w:val="24"/>
        </w:rPr>
        <w:t>R</w:t>
      </w:r>
      <w:r w:rsidR="0026268A" w:rsidRPr="00555EB9">
        <w:rPr>
          <w:rFonts w:eastAsia="Calibri" w:cs="Arial"/>
          <w:color w:val="000000"/>
          <w:szCs w:val="24"/>
        </w:rPr>
        <w:t>eport (Q</w:t>
      </w:r>
      <w:r w:rsidRPr="00555EB9">
        <w:rPr>
          <w:rFonts w:eastAsia="Calibri" w:cs="Arial"/>
          <w:color w:val="000000"/>
          <w:szCs w:val="24"/>
        </w:rPr>
        <w:t>TPR</w:t>
      </w:r>
      <w:r w:rsidR="0026268A" w:rsidRPr="00555EB9">
        <w:rPr>
          <w:rFonts w:eastAsia="Calibri" w:cs="Arial"/>
          <w:color w:val="000000"/>
          <w:szCs w:val="24"/>
        </w:rPr>
        <w:t>)</w:t>
      </w:r>
      <w:r w:rsidRPr="00555EB9">
        <w:rPr>
          <w:rFonts w:eastAsia="Calibri" w:cs="Arial"/>
          <w:color w:val="000000"/>
          <w:szCs w:val="24"/>
        </w:rPr>
        <w:t xml:space="preserve"> including</w:t>
      </w:r>
      <w:r w:rsidR="00761B24" w:rsidRPr="00555EB9">
        <w:rPr>
          <w:rFonts w:eastAsia="Calibri" w:cs="Arial"/>
          <w:color w:val="000000"/>
          <w:szCs w:val="24"/>
        </w:rPr>
        <w:t>:</w:t>
      </w:r>
    </w:p>
    <w:p w14:paraId="56A39B77" w14:textId="3985995E" w:rsidR="00761B24" w:rsidRPr="00555EB9" w:rsidRDefault="00761B24" w:rsidP="00761B24">
      <w:pPr>
        <w:pStyle w:val="ListParagraph"/>
        <w:numPr>
          <w:ilvl w:val="1"/>
          <w:numId w:val="45"/>
        </w:numPr>
        <w:tabs>
          <w:tab w:val="left" w:pos="720"/>
          <w:tab w:val="left" w:pos="810"/>
          <w:tab w:val="left" w:pos="1080"/>
          <w:tab w:val="left" w:pos="1260"/>
        </w:tabs>
        <w:spacing w:before="240"/>
        <w:rPr>
          <w:rFonts w:eastAsia="Calibri" w:cs="Arial"/>
          <w:color w:val="000000"/>
          <w:szCs w:val="24"/>
        </w:rPr>
      </w:pPr>
      <w:r w:rsidRPr="00555EB9">
        <w:rPr>
          <w:rFonts w:eastAsia="Calibri" w:cs="Arial"/>
          <w:color w:val="000000"/>
          <w:szCs w:val="24"/>
        </w:rPr>
        <w:lastRenderedPageBreak/>
        <w:t>A</w:t>
      </w:r>
      <w:r w:rsidR="0039702E" w:rsidRPr="00555EB9">
        <w:rPr>
          <w:rFonts w:eastAsia="Calibri" w:cs="Arial"/>
          <w:color w:val="000000"/>
          <w:szCs w:val="24"/>
        </w:rPr>
        <w:t xml:space="preserve"> report detailing all</w:t>
      </w:r>
      <w:r w:rsidR="00B729BA" w:rsidRPr="00555EB9">
        <w:rPr>
          <w:rFonts w:eastAsia="Calibri" w:cs="Arial"/>
          <w:color w:val="000000"/>
          <w:szCs w:val="24"/>
        </w:rPr>
        <w:t xml:space="preserve"> technical assistance activities, participation rates and participant feedback for the reporting quarter</w:t>
      </w:r>
      <w:r w:rsidR="0039702E" w:rsidRPr="00555EB9">
        <w:rPr>
          <w:rFonts w:eastAsia="Calibri" w:cs="Arial"/>
          <w:color w:val="000000"/>
          <w:szCs w:val="24"/>
        </w:rPr>
        <w:t xml:space="preserve"> as well as updates on progress toward CIN plan outcomes including key deliverables and</w:t>
      </w:r>
      <w:r w:rsidR="00E67F05" w:rsidRPr="00555EB9">
        <w:rPr>
          <w:rFonts w:eastAsia="Calibri" w:cs="Arial"/>
          <w:color w:val="000000"/>
          <w:szCs w:val="24"/>
        </w:rPr>
        <w:t>/or</w:t>
      </w:r>
      <w:r w:rsidR="0039702E" w:rsidRPr="00555EB9">
        <w:rPr>
          <w:rFonts w:eastAsia="Calibri" w:cs="Arial"/>
          <w:color w:val="000000"/>
          <w:szCs w:val="24"/>
        </w:rPr>
        <w:t xml:space="preserve"> draft milestones;</w:t>
      </w:r>
    </w:p>
    <w:p w14:paraId="6FC36EDC" w14:textId="67BB6FF1" w:rsidR="0026268A" w:rsidRPr="00555EB9" w:rsidRDefault="00761B24" w:rsidP="0039702E">
      <w:pPr>
        <w:pStyle w:val="ListParagraph"/>
        <w:numPr>
          <w:ilvl w:val="1"/>
          <w:numId w:val="45"/>
        </w:numPr>
        <w:tabs>
          <w:tab w:val="left" w:pos="720"/>
          <w:tab w:val="left" w:pos="810"/>
          <w:tab w:val="left" w:pos="1080"/>
          <w:tab w:val="left" w:pos="1260"/>
        </w:tabs>
        <w:spacing w:before="240"/>
        <w:rPr>
          <w:rFonts w:eastAsia="Calibri" w:cs="Arial"/>
          <w:color w:val="000000"/>
          <w:szCs w:val="24"/>
        </w:rPr>
      </w:pPr>
      <w:r w:rsidRPr="00555EB9">
        <w:rPr>
          <w:rFonts w:eastAsia="Calibri" w:cs="Arial"/>
          <w:color w:val="000000"/>
          <w:szCs w:val="24"/>
        </w:rPr>
        <w:t>S</w:t>
      </w:r>
      <w:r w:rsidR="0026268A" w:rsidRPr="00555EB9">
        <w:rPr>
          <w:rFonts w:eastAsia="Calibri" w:cs="Arial"/>
          <w:color w:val="000000"/>
          <w:szCs w:val="24"/>
        </w:rPr>
        <w:t xml:space="preserve">upporting documentation </w:t>
      </w:r>
      <w:r w:rsidRPr="00555EB9">
        <w:rPr>
          <w:rFonts w:eastAsia="Calibri" w:cs="Arial"/>
          <w:color w:val="000000"/>
          <w:szCs w:val="24"/>
        </w:rPr>
        <w:t>including</w:t>
      </w:r>
      <w:r w:rsidR="0026268A" w:rsidRPr="00555EB9">
        <w:rPr>
          <w:rFonts w:eastAsia="Calibri" w:cs="Arial"/>
          <w:color w:val="000000"/>
          <w:szCs w:val="24"/>
        </w:rPr>
        <w:t xml:space="preserve">, but not limited to, attendance rosters, feedback surveys, and presentation materials. </w:t>
      </w:r>
    </w:p>
    <w:p w14:paraId="338B07B6" w14:textId="05427B6E" w:rsidR="004A28AA" w:rsidRPr="00555EB9" w:rsidRDefault="00761B24" w:rsidP="004A28AA">
      <w:pPr>
        <w:spacing w:after="100" w:afterAutospacing="1" w:line="247" w:lineRule="auto"/>
        <w:ind w:right="114"/>
        <w:rPr>
          <w:rFonts w:eastAsia="Arial" w:cs="Arial"/>
          <w:szCs w:val="24"/>
        </w:rPr>
      </w:pPr>
      <w:r w:rsidRPr="00555EB9">
        <w:t xml:space="preserve">The subgrantee is responsible for ensuring that reports are accurate, complete, and submitted on time. Failure to submit timely, accurate reports may result in reimbursement payments being delayed and may result in termination of the subgrant award. </w:t>
      </w:r>
      <w:r w:rsidR="004A28AA" w:rsidRPr="00555EB9">
        <w:rPr>
          <w:rFonts w:eastAsia="Arial" w:cs="Arial"/>
          <w:szCs w:val="24"/>
        </w:rPr>
        <w:t>Upon</w:t>
      </w:r>
      <w:r w:rsidR="004A28AA" w:rsidRPr="00555EB9">
        <w:rPr>
          <w:rFonts w:eastAsia="Arial" w:cs="Arial"/>
          <w:spacing w:val="-2"/>
          <w:szCs w:val="24"/>
        </w:rPr>
        <w:t xml:space="preserve"> </w:t>
      </w:r>
      <w:r w:rsidR="004A28AA" w:rsidRPr="00555EB9">
        <w:rPr>
          <w:rFonts w:eastAsia="Arial" w:cs="Arial"/>
          <w:szCs w:val="24"/>
        </w:rPr>
        <w:t>receipt</w:t>
      </w:r>
      <w:r w:rsidR="004A28AA" w:rsidRPr="00555EB9">
        <w:rPr>
          <w:rFonts w:eastAsia="Arial" w:cs="Arial"/>
          <w:spacing w:val="-1"/>
          <w:szCs w:val="24"/>
        </w:rPr>
        <w:t xml:space="preserve"> </w:t>
      </w:r>
      <w:r w:rsidR="004A28AA" w:rsidRPr="00555EB9">
        <w:rPr>
          <w:rFonts w:eastAsia="Arial" w:cs="Arial"/>
          <w:szCs w:val="24"/>
        </w:rPr>
        <w:t>and</w:t>
      </w:r>
      <w:r w:rsidR="004A28AA" w:rsidRPr="00555EB9">
        <w:rPr>
          <w:rFonts w:eastAsia="Arial" w:cs="Arial"/>
          <w:spacing w:val="-2"/>
          <w:szCs w:val="24"/>
        </w:rPr>
        <w:t xml:space="preserve"> </w:t>
      </w:r>
      <w:r w:rsidR="004A28AA" w:rsidRPr="00555EB9">
        <w:rPr>
          <w:rFonts w:eastAsia="Arial" w:cs="Arial"/>
          <w:szCs w:val="24"/>
        </w:rPr>
        <w:t>approval</w:t>
      </w:r>
      <w:r w:rsidR="004A28AA" w:rsidRPr="00555EB9">
        <w:rPr>
          <w:rFonts w:eastAsia="Arial" w:cs="Arial"/>
          <w:spacing w:val="-2"/>
          <w:szCs w:val="24"/>
        </w:rPr>
        <w:t xml:space="preserve"> </w:t>
      </w:r>
      <w:r w:rsidR="004A28AA" w:rsidRPr="00555EB9">
        <w:rPr>
          <w:rFonts w:eastAsia="Arial" w:cs="Arial"/>
          <w:szCs w:val="24"/>
        </w:rPr>
        <w:t>of</w:t>
      </w:r>
      <w:r w:rsidR="004A28AA" w:rsidRPr="00555EB9">
        <w:rPr>
          <w:rFonts w:eastAsia="Arial" w:cs="Arial"/>
          <w:spacing w:val="-1"/>
          <w:szCs w:val="24"/>
        </w:rPr>
        <w:t xml:space="preserve"> </w:t>
      </w:r>
      <w:r w:rsidR="004A28AA" w:rsidRPr="00555EB9">
        <w:rPr>
          <w:rFonts w:eastAsia="Arial" w:cs="Arial"/>
          <w:szCs w:val="24"/>
        </w:rPr>
        <w:t>the required reporting documentation,</w:t>
      </w:r>
      <w:r w:rsidR="004A28AA" w:rsidRPr="00555EB9">
        <w:rPr>
          <w:rFonts w:eastAsia="Arial" w:cs="Arial"/>
          <w:spacing w:val="-2"/>
          <w:szCs w:val="24"/>
        </w:rPr>
        <w:t xml:space="preserve"> </w:t>
      </w:r>
      <w:r w:rsidR="004A28AA" w:rsidRPr="00555EB9">
        <w:rPr>
          <w:rFonts w:eastAsia="Arial" w:cs="Arial"/>
          <w:szCs w:val="24"/>
        </w:rPr>
        <w:t>the</w:t>
      </w:r>
      <w:r w:rsidR="004A28AA" w:rsidRPr="00555EB9">
        <w:rPr>
          <w:rFonts w:eastAsia="Arial" w:cs="Arial"/>
          <w:spacing w:val="-2"/>
          <w:szCs w:val="24"/>
        </w:rPr>
        <w:t xml:space="preserve"> </w:t>
      </w:r>
      <w:r w:rsidR="004A28AA" w:rsidRPr="00555EB9">
        <w:rPr>
          <w:rFonts w:eastAsia="Arial" w:cs="Arial"/>
          <w:szCs w:val="24"/>
        </w:rPr>
        <w:t>CDE</w:t>
      </w:r>
      <w:r w:rsidR="004A28AA" w:rsidRPr="00555EB9">
        <w:rPr>
          <w:rFonts w:eastAsia="Arial" w:cs="Arial"/>
          <w:w w:val="99"/>
          <w:szCs w:val="24"/>
        </w:rPr>
        <w:t xml:space="preserve"> will </w:t>
      </w:r>
      <w:r w:rsidR="004A28AA" w:rsidRPr="00555EB9">
        <w:rPr>
          <w:rFonts w:eastAsia="Arial" w:cs="Arial"/>
          <w:szCs w:val="24"/>
        </w:rPr>
        <w:t>compensate</w:t>
      </w:r>
      <w:r w:rsidR="004A28AA" w:rsidRPr="00555EB9">
        <w:rPr>
          <w:rFonts w:eastAsia="Arial" w:cs="Arial"/>
          <w:spacing w:val="-2"/>
          <w:szCs w:val="24"/>
        </w:rPr>
        <w:t xml:space="preserve"> </w:t>
      </w:r>
      <w:r w:rsidR="004A28AA" w:rsidRPr="00555EB9">
        <w:rPr>
          <w:rFonts w:eastAsia="Arial" w:cs="Arial"/>
          <w:szCs w:val="24"/>
        </w:rPr>
        <w:t>the</w:t>
      </w:r>
      <w:r w:rsidR="004A28AA" w:rsidRPr="00555EB9">
        <w:rPr>
          <w:rFonts w:eastAsia="Arial" w:cs="Arial"/>
          <w:spacing w:val="-1"/>
          <w:szCs w:val="24"/>
        </w:rPr>
        <w:t xml:space="preserve"> </w:t>
      </w:r>
      <w:r w:rsidR="004A28AA" w:rsidRPr="00555EB9">
        <w:rPr>
          <w:rFonts w:eastAsia="Arial" w:cs="Arial"/>
          <w:szCs w:val="24"/>
        </w:rPr>
        <w:t>STACS Subgrantee</w:t>
      </w:r>
      <w:r w:rsidR="004A28AA" w:rsidRPr="00555EB9">
        <w:rPr>
          <w:rFonts w:eastAsia="Arial" w:cs="Arial"/>
          <w:spacing w:val="-2"/>
          <w:szCs w:val="24"/>
        </w:rPr>
        <w:t xml:space="preserve"> </w:t>
      </w:r>
      <w:r w:rsidR="004A28AA" w:rsidRPr="00555EB9">
        <w:rPr>
          <w:rFonts w:eastAsia="Arial" w:cs="Arial"/>
          <w:szCs w:val="24"/>
        </w:rPr>
        <w:t>for</w:t>
      </w:r>
      <w:r w:rsidR="004A28AA" w:rsidRPr="00555EB9">
        <w:rPr>
          <w:rFonts w:eastAsia="Arial" w:cs="Arial"/>
          <w:spacing w:val="-2"/>
          <w:szCs w:val="24"/>
        </w:rPr>
        <w:t xml:space="preserve"> </w:t>
      </w:r>
      <w:r w:rsidR="004A28AA" w:rsidRPr="00555EB9">
        <w:rPr>
          <w:rFonts w:eastAsia="Arial" w:cs="Arial"/>
          <w:szCs w:val="24"/>
        </w:rPr>
        <w:t>actual</w:t>
      </w:r>
      <w:r w:rsidR="004A28AA" w:rsidRPr="00555EB9">
        <w:rPr>
          <w:rFonts w:eastAsia="Arial" w:cs="Arial"/>
          <w:spacing w:val="-2"/>
          <w:szCs w:val="24"/>
        </w:rPr>
        <w:t xml:space="preserve"> </w:t>
      </w:r>
      <w:r w:rsidR="004A28AA" w:rsidRPr="00555EB9">
        <w:rPr>
          <w:rFonts w:eastAsia="Arial" w:cs="Arial"/>
          <w:szCs w:val="24"/>
        </w:rPr>
        <w:t>expenditures</w:t>
      </w:r>
      <w:r w:rsidR="004A28AA" w:rsidRPr="00555EB9">
        <w:rPr>
          <w:rFonts w:eastAsia="Arial" w:cs="Arial"/>
          <w:spacing w:val="-1"/>
          <w:szCs w:val="24"/>
        </w:rPr>
        <w:t xml:space="preserve"> </w:t>
      </w:r>
      <w:r w:rsidR="004A28AA" w:rsidRPr="00555EB9">
        <w:rPr>
          <w:rFonts w:eastAsia="Arial" w:cs="Arial"/>
          <w:szCs w:val="24"/>
        </w:rPr>
        <w:t>incurred</w:t>
      </w:r>
      <w:r w:rsidR="004A28AA" w:rsidRPr="00555EB9">
        <w:rPr>
          <w:rFonts w:eastAsia="Arial" w:cs="Arial"/>
          <w:spacing w:val="-2"/>
          <w:szCs w:val="24"/>
        </w:rPr>
        <w:t xml:space="preserve"> </w:t>
      </w:r>
      <w:r w:rsidR="004A28AA" w:rsidRPr="00555EB9">
        <w:rPr>
          <w:rFonts w:eastAsia="Arial" w:cs="Arial"/>
          <w:szCs w:val="24"/>
        </w:rPr>
        <w:t>in</w:t>
      </w:r>
      <w:r w:rsidR="004A28AA" w:rsidRPr="00555EB9">
        <w:rPr>
          <w:rFonts w:eastAsia="Arial" w:cs="Arial"/>
          <w:spacing w:val="-2"/>
          <w:szCs w:val="24"/>
        </w:rPr>
        <w:t xml:space="preserve"> </w:t>
      </w:r>
      <w:r w:rsidR="004A28AA" w:rsidRPr="00555EB9">
        <w:rPr>
          <w:rFonts w:eastAsia="Arial" w:cs="Arial"/>
          <w:szCs w:val="24"/>
        </w:rPr>
        <w:t>accordance</w:t>
      </w:r>
      <w:r w:rsidR="004A28AA" w:rsidRPr="00555EB9">
        <w:rPr>
          <w:rFonts w:eastAsia="Arial" w:cs="Arial"/>
          <w:spacing w:val="-1"/>
          <w:szCs w:val="24"/>
        </w:rPr>
        <w:t xml:space="preserve"> </w:t>
      </w:r>
      <w:r w:rsidR="004A28AA" w:rsidRPr="00555EB9">
        <w:rPr>
          <w:rFonts w:eastAsia="Arial" w:cs="Arial"/>
          <w:szCs w:val="24"/>
        </w:rPr>
        <w:t>with</w:t>
      </w:r>
      <w:r w:rsidR="004A28AA" w:rsidRPr="00555EB9">
        <w:rPr>
          <w:rFonts w:eastAsia="Arial" w:cs="Arial"/>
          <w:spacing w:val="-2"/>
          <w:szCs w:val="24"/>
        </w:rPr>
        <w:t xml:space="preserve"> </w:t>
      </w:r>
      <w:r w:rsidR="004A28AA" w:rsidRPr="00555EB9">
        <w:rPr>
          <w:rFonts w:eastAsia="Arial" w:cs="Arial"/>
          <w:szCs w:val="24"/>
        </w:rPr>
        <w:t>the</w:t>
      </w:r>
      <w:r w:rsidR="004A28AA" w:rsidRPr="00555EB9">
        <w:rPr>
          <w:rFonts w:eastAsia="Arial" w:cs="Arial"/>
          <w:spacing w:val="-2"/>
          <w:szCs w:val="24"/>
        </w:rPr>
        <w:t xml:space="preserve"> </w:t>
      </w:r>
      <w:r w:rsidR="004A28AA" w:rsidRPr="00555EB9">
        <w:rPr>
          <w:rFonts w:eastAsia="Arial" w:cs="Arial"/>
          <w:szCs w:val="24"/>
        </w:rPr>
        <w:t>rates specified</w:t>
      </w:r>
      <w:r w:rsidR="004A28AA" w:rsidRPr="00555EB9">
        <w:rPr>
          <w:rFonts w:eastAsia="Arial" w:cs="Arial"/>
          <w:spacing w:val="-2"/>
          <w:szCs w:val="24"/>
        </w:rPr>
        <w:t xml:space="preserve"> </w:t>
      </w:r>
      <w:r w:rsidR="004A28AA" w:rsidRPr="00555EB9">
        <w:rPr>
          <w:rFonts w:eastAsia="Arial" w:cs="Arial"/>
          <w:szCs w:val="24"/>
        </w:rPr>
        <w:t xml:space="preserve">in the subgrant approved budget. Payments generally take 6–8 weeks to be processed following the approval of all submitted documents. </w:t>
      </w:r>
    </w:p>
    <w:p w14:paraId="36BA68B4" w14:textId="5BB9DA30" w:rsidR="00761B24" w:rsidRDefault="00761B24" w:rsidP="00FA7EA4">
      <w:pPr>
        <w:rPr>
          <w:rFonts w:eastAsia="Times New Roman" w:cs="Times New Roman"/>
          <w:szCs w:val="24"/>
        </w:rPr>
      </w:pPr>
      <w:r w:rsidRPr="00555EB9">
        <w:t xml:space="preserve">All subgrant funds must be obligated on or before the final day of the subgrant term and paid in full within 90 days. Reimbursement requests beyond the </w:t>
      </w:r>
      <w:r w:rsidR="005562E1" w:rsidRPr="00555EB9">
        <w:t>90-day</w:t>
      </w:r>
      <w:r w:rsidRPr="00555EB9">
        <w:t xml:space="preserve"> liquidation period may not be processed without prior approval.</w:t>
      </w:r>
    </w:p>
    <w:p w14:paraId="4014E9EA" w14:textId="0E0590F4" w:rsidR="00300144" w:rsidRPr="00760810" w:rsidRDefault="00F023A6" w:rsidP="00B477B2">
      <w:pPr>
        <w:pStyle w:val="TableHeader"/>
      </w:pPr>
      <w:r>
        <w:t>3.3</w:t>
      </w:r>
      <w:r w:rsidR="004B25D5">
        <w:t>.1</w:t>
      </w:r>
      <w:r>
        <w:t xml:space="preserve"> </w:t>
      </w:r>
      <w:r w:rsidR="009921B5">
        <w:t>Quarterly</w:t>
      </w:r>
      <w:r w:rsidR="002146EA" w:rsidRPr="00760810">
        <w:t xml:space="preserve"> Reporting Due Dates</w:t>
      </w:r>
    </w:p>
    <w:tbl>
      <w:tblPr>
        <w:tblStyle w:val="TableGrid2"/>
        <w:tblW w:w="5000" w:type="pct"/>
        <w:tblCellMar>
          <w:left w:w="115" w:type="dxa"/>
          <w:right w:w="115" w:type="dxa"/>
        </w:tblCellMar>
        <w:tblLook w:val="00A0" w:firstRow="1" w:lastRow="0" w:firstColumn="1" w:lastColumn="0" w:noHBand="0" w:noVBand="0"/>
        <w:tblDescription w:val="Quarterly Reporting Due Dates"/>
      </w:tblPr>
      <w:tblGrid>
        <w:gridCol w:w="2444"/>
        <w:gridCol w:w="3802"/>
        <w:gridCol w:w="3104"/>
      </w:tblGrid>
      <w:tr w:rsidR="002146EA" w:rsidRPr="00DB4CDB" w14:paraId="1AA8FBEF" w14:textId="77777777" w:rsidTr="00357E08">
        <w:trPr>
          <w:cantSplit/>
          <w:trHeight w:val="377"/>
          <w:tblHeader/>
        </w:trPr>
        <w:tc>
          <w:tcPr>
            <w:tcW w:w="1307" w:type="pct"/>
            <w:shd w:val="clear" w:color="auto" w:fill="BFBFBF" w:themeFill="background1" w:themeFillShade="BF"/>
            <w:vAlign w:val="center"/>
          </w:tcPr>
          <w:p w14:paraId="22F8B439" w14:textId="77777777" w:rsidR="002146EA" w:rsidRPr="00DB4CDB" w:rsidRDefault="002146EA" w:rsidP="00357E08">
            <w:pPr>
              <w:spacing w:before="120" w:after="120"/>
              <w:jc w:val="center"/>
              <w:rPr>
                <w:b/>
              </w:rPr>
            </w:pPr>
            <w:r w:rsidRPr="00DB4CDB">
              <w:rPr>
                <w:b/>
              </w:rPr>
              <w:t>Quarter</w:t>
            </w:r>
          </w:p>
        </w:tc>
        <w:tc>
          <w:tcPr>
            <w:tcW w:w="2033" w:type="pct"/>
            <w:shd w:val="clear" w:color="auto" w:fill="BFBFBF" w:themeFill="background1" w:themeFillShade="BF"/>
            <w:vAlign w:val="center"/>
          </w:tcPr>
          <w:p w14:paraId="3A26BB6F" w14:textId="77777777" w:rsidR="002146EA" w:rsidRPr="00DB4CDB" w:rsidRDefault="002146EA" w:rsidP="00357E08">
            <w:pPr>
              <w:spacing w:before="120" w:after="120"/>
              <w:jc w:val="center"/>
              <w:rPr>
                <w:b/>
              </w:rPr>
            </w:pPr>
            <w:r w:rsidRPr="00DB4CDB">
              <w:rPr>
                <w:b/>
              </w:rPr>
              <w:t>Reporting Period</w:t>
            </w:r>
          </w:p>
        </w:tc>
        <w:tc>
          <w:tcPr>
            <w:tcW w:w="1660" w:type="pct"/>
            <w:shd w:val="clear" w:color="auto" w:fill="BFBFBF" w:themeFill="background1" w:themeFillShade="BF"/>
            <w:vAlign w:val="center"/>
          </w:tcPr>
          <w:p w14:paraId="7AF16B29" w14:textId="77777777" w:rsidR="002146EA" w:rsidRPr="00DB4CDB" w:rsidRDefault="002146EA" w:rsidP="00357E08">
            <w:pPr>
              <w:spacing w:before="120" w:after="120"/>
              <w:jc w:val="center"/>
              <w:rPr>
                <w:b/>
              </w:rPr>
            </w:pPr>
            <w:r w:rsidRPr="00DB4CDB">
              <w:rPr>
                <w:b/>
              </w:rPr>
              <w:t>Report Due Date</w:t>
            </w:r>
          </w:p>
        </w:tc>
      </w:tr>
      <w:tr w:rsidR="002146EA" w:rsidRPr="00DB4CDB" w14:paraId="00B3A34C" w14:textId="77777777" w:rsidTr="00F21D31">
        <w:trPr>
          <w:cantSplit/>
          <w:trHeight w:val="368"/>
        </w:trPr>
        <w:tc>
          <w:tcPr>
            <w:tcW w:w="1307" w:type="pct"/>
            <w:vAlign w:val="center"/>
          </w:tcPr>
          <w:p w14:paraId="5FD5B300" w14:textId="77777777" w:rsidR="002146EA" w:rsidRPr="00DB4CDB" w:rsidRDefault="002146EA" w:rsidP="00CA40D1">
            <w:pPr>
              <w:spacing w:after="0"/>
              <w:jc w:val="center"/>
            </w:pPr>
            <w:r w:rsidRPr="00DB4CDB">
              <w:t>1</w:t>
            </w:r>
          </w:p>
        </w:tc>
        <w:tc>
          <w:tcPr>
            <w:tcW w:w="2033" w:type="pct"/>
            <w:vAlign w:val="center"/>
          </w:tcPr>
          <w:p w14:paraId="2440E32A" w14:textId="77777777" w:rsidR="002146EA" w:rsidRPr="00DB4CDB" w:rsidRDefault="002146EA" w:rsidP="00CA40D1">
            <w:pPr>
              <w:spacing w:after="0"/>
              <w:jc w:val="center"/>
            </w:pPr>
            <w:r w:rsidRPr="00DB4CDB">
              <w:t>July 1–September 30</w:t>
            </w:r>
          </w:p>
        </w:tc>
        <w:tc>
          <w:tcPr>
            <w:tcW w:w="1660" w:type="pct"/>
            <w:vAlign w:val="center"/>
          </w:tcPr>
          <w:p w14:paraId="685785C4" w14:textId="77777777" w:rsidR="002146EA" w:rsidRPr="00DB4CDB" w:rsidRDefault="002146EA" w:rsidP="00CA40D1">
            <w:pPr>
              <w:spacing w:after="0"/>
              <w:jc w:val="center"/>
            </w:pPr>
            <w:r w:rsidRPr="00DB4CDB">
              <w:t>October 31</w:t>
            </w:r>
          </w:p>
        </w:tc>
      </w:tr>
      <w:tr w:rsidR="002146EA" w:rsidRPr="00DB4CDB" w14:paraId="79C70035" w14:textId="77777777" w:rsidTr="00F21D31">
        <w:trPr>
          <w:cantSplit/>
          <w:trHeight w:val="350"/>
        </w:trPr>
        <w:tc>
          <w:tcPr>
            <w:tcW w:w="1307" w:type="pct"/>
            <w:vAlign w:val="center"/>
          </w:tcPr>
          <w:p w14:paraId="068C4E17" w14:textId="77777777" w:rsidR="002146EA" w:rsidRPr="00DB4CDB" w:rsidRDefault="002146EA" w:rsidP="00CA40D1">
            <w:pPr>
              <w:spacing w:after="0"/>
              <w:jc w:val="center"/>
            </w:pPr>
            <w:r w:rsidRPr="00DB4CDB">
              <w:t>2</w:t>
            </w:r>
          </w:p>
        </w:tc>
        <w:tc>
          <w:tcPr>
            <w:tcW w:w="2033" w:type="pct"/>
            <w:vAlign w:val="center"/>
          </w:tcPr>
          <w:p w14:paraId="4F9C73AA" w14:textId="77777777" w:rsidR="002146EA" w:rsidRPr="00DB4CDB" w:rsidRDefault="002146EA" w:rsidP="00CA40D1">
            <w:pPr>
              <w:spacing w:after="0"/>
              <w:jc w:val="center"/>
            </w:pPr>
            <w:r w:rsidRPr="00DB4CDB">
              <w:t>October 1–December 31</w:t>
            </w:r>
          </w:p>
        </w:tc>
        <w:tc>
          <w:tcPr>
            <w:tcW w:w="1660" w:type="pct"/>
            <w:vAlign w:val="center"/>
          </w:tcPr>
          <w:p w14:paraId="400E25A5" w14:textId="77777777" w:rsidR="002146EA" w:rsidRPr="00DB4CDB" w:rsidRDefault="002146EA" w:rsidP="00CA40D1">
            <w:pPr>
              <w:spacing w:after="0"/>
              <w:jc w:val="center"/>
            </w:pPr>
            <w:r w:rsidRPr="00DB4CDB">
              <w:t>January 31</w:t>
            </w:r>
          </w:p>
        </w:tc>
      </w:tr>
      <w:tr w:rsidR="002146EA" w:rsidRPr="00DB4CDB" w14:paraId="35AEC65D" w14:textId="77777777" w:rsidTr="00F21D31">
        <w:trPr>
          <w:cantSplit/>
          <w:trHeight w:val="350"/>
        </w:trPr>
        <w:tc>
          <w:tcPr>
            <w:tcW w:w="1307" w:type="pct"/>
            <w:vAlign w:val="center"/>
          </w:tcPr>
          <w:p w14:paraId="625FE637" w14:textId="77777777" w:rsidR="002146EA" w:rsidRPr="00DB4CDB" w:rsidRDefault="002146EA" w:rsidP="00CA40D1">
            <w:pPr>
              <w:spacing w:after="0"/>
              <w:jc w:val="center"/>
            </w:pPr>
            <w:r w:rsidRPr="00DB4CDB">
              <w:t>3</w:t>
            </w:r>
          </w:p>
        </w:tc>
        <w:tc>
          <w:tcPr>
            <w:tcW w:w="2033" w:type="pct"/>
            <w:vAlign w:val="center"/>
          </w:tcPr>
          <w:p w14:paraId="140FBAA7" w14:textId="77777777" w:rsidR="002146EA" w:rsidRPr="00DB4CDB" w:rsidRDefault="002146EA" w:rsidP="00CA40D1">
            <w:pPr>
              <w:spacing w:after="0"/>
              <w:jc w:val="center"/>
            </w:pPr>
            <w:r w:rsidRPr="00DB4CDB">
              <w:t>January 1–March 31</w:t>
            </w:r>
          </w:p>
        </w:tc>
        <w:tc>
          <w:tcPr>
            <w:tcW w:w="1660" w:type="pct"/>
            <w:vAlign w:val="center"/>
          </w:tcPr>
          <w:p w14:paraId="3A785702" w14:textId="77777777" w:rsidR="002146EA" w:rsidRPr="00DB4CDB" w:rsidRDefault="002146EA" w:rsidP="00CA40D1">
            <w:pPr>
              <w:spacing w:after="0"/>
              <w:jc w:val="center"/>
            </w:pPr>
            <w:r w:rsidRPr="00DB4CDB">
              <w:t>April 30</w:t>
            </w:r>
          </w:p>
        </w:tc>
      </w:tr>
      <w:tr w:rsidR="002146EA" w:rsidRPr="00DB4CDB" w14:paraId="7EB784B0" w14:textId="77777777" w:rsidTr="00F21D31">
        <w:trPr>
          <w:cantSplit/>
          <w:trHeight w:val="350"/>
        </w:trPr>
        <w:tc>
          <w:tcPr>
            <w:tcW w:w="1307" w:type="pct"/>
            <w:vAlign w:val="center"/>
          </w:tcPr>
          <w:p w14:paraId="0CFCA113" w14:textId="77777777" w:rsidR="002146EA" w:rsidRPr="00DB4CDB" w:rsidRDefault="002146EA" w:rsidP="00E84E3B">
            <w:pPr>
              <w:spacing w:before="240" w:after="0"/>
              <w:jc w:val="center"/>
            </w:pPr>
            <w:r w:rsidRPr="00DB4CDB">
              <w:t>4</w:t>
            </w:r>
          </w:p>
        </w:tc>
        <w:tc>
          <w:tcPr>
            <w:tcW w:w="2033" w:type="pct"/>
            <w:vAlign w:val="center"/>
          </w:tcPr>
          <w:p w14:paraId="52BC0DB9" w14:textId="77777777" w:rsidR="002146EA" w:rsidRPr="00DB4CDB" w:rsidRDefault="002146EA" w:rsidP="00E84E3B">
            <w:pPr>
              <w:spacing w:before="240" w:after="0"/>
              <w:jc w:val="center"/>
            </w:pPr>
            <w:r w:rsidRPr="00DB4CDB">
              <w:t>April 1–June 30</w:t>
            </w:r>
          </w:p>
        </w:tc>
        <w:tc>
          <w:tcPr>
            <w:tcW w:w="1660" w:type="pct"/>
            <w:vAlign w:val="center"/>
          </w:tcPr>
          <w:p w14:paraId="1367586A" w14:textId="77777777" w:rsidR="002146EA" w:rsidRPr="00DB4CDB" w:rsidRDefault="002146EA" w:rsidP="00E84E3B">
            <w:pPr>
              <w:spacing w:before="240" w:after="0"/>
              <w:jc w:val="center"/>
            </w:pPr>
            <w:r w:rsidRPr="00DB4CDB">
              <w:t>July 31</w:t>
            </w:r>
          </w:p>
        </w:tc>
      </w:tr>
    </w:tbl>
    <w:p w14:paraId="067033DD" w14:textId="6EBA3284" w:rsidR="00E73A3E" w:rsidRPr="00EA1445" w:rsidRDefault="00E73A3E" w:rsidP="00555EB9">
      <w:pPr>
        <w:pStyle w:val="Heading3"/>
        <w:spacing w:before="240"/>
      </w:pPr>
      <w:bookmarkStart w:id="22" w:name="_Toc516834972"/>
      <w:bookmarkStart w:id="23" w:name="_Toc199842725"/>
      <w:r>
        <w:t>4</w:t>
      </w:r>
      <w:r w:rsidRPr="00DB4CDB">
        <w:t xml:space="preserve">. </w:t>
      </w:r>
      <w:bookmarkEnd w:id="22"/>
      <w:r w:rsidRPr="00DB4CDB">
        <w:t xml:space="preserve">Reading and </w:t>
      </w:r>
      <w:r w:rsidRPr="00EA1445">
        <w:t>Scoring of Applications</w:t>
      </w:r>
      <w:bookmarkEnd w:id="23"/>
    </w:p>
    <w:p w14:paraId="63D777F3" w14:textId="690A5DDF" w:rsidR="00551AFF" w:rsidRPr="00EA1445" w:rsidRDefault="00551AFF" w:rsidP="00551AFF">
      <w:r w:rsidRPr="00EA1445">
        <w:t>Each</w:t>
      </w:r>
      <w:r w:rsidRPr="00EA1445">
        <w:rPr>
          <w:spacing w:val="-3"/>
        </w:rPr>
        <w:t xml:space="preserve"> </w:t>
      </w:r>
      <w:r w:rsidRPr="00EA1445">
        <w:t>element</w:t>
      </w:r>
      <w:r w:rsidRPr="00EA1445">
        <w:rPr>
          <w:spacing w:val="-2"/>
        </w:rPr>
        <w:t xml:space="preserve"> </w:t>
      </w:r>
      <w:r w:rsidRPr="00EA1445">
        <w:t>of</w:t>
      </w:r>
      <w:r w:rsidRPr="00EA1445">
        <w:rPr>
          <w:spacing w:val="-2"/>
        </w:rPr>
        <w:t xml:space="preserve"> </w:t>
      </w:r>
      <w:r w:rsidRPr="00EA1445">
        <w:t>the</w:t>
      </w:r>
      <w:r w:rsidRPr="00EA1445">
        <w:rPr>
          <w:spacing w:val="-2"/>
        </w:rPr>
        <w:t xml:space="preserve"> </w:t>
      </w:r>
      <w:r w:rsidRPr="00EA1445">
        <w:t>STAC</w:t>
      </w:r>
      <w:r w:rsidR="00B714D9" w:rsidRPr="00EA1445">
        <w:t>S</w:t>
      </w:r>
      <w:r w:rsidRPr="00EA1445">
        <w:t xml:space="preserve"> </w:t>
      </w:r>
      <w:r w:rsidR="001B0E00" w:rsidRPr="00EA1445">
        <w:t>S</w:t>
      </w:r>
      <w:r w:rsidR="00B77F5B" w:rsidRPr="00EA1445">
        <w:t>ubgrantee</w:t>
      </w:r>
      <w:r w:rsidRPr="00EA1445">
        <w:t xml:space="preserve"> RFA application</w:t>
      </w:r>
      <w:r w:rsidRPr="00EA1445">
        <w:rPr>
          <w:spacing w:val="-2"/>
        </w:rPr>
        <w:t xml:space="preserve"> </w:t>
      </w:r>
      <w:r w:rsidRPr="00EA1445">
        <w:t>responses</w:t>
      </w:r>
      <w:r w:rsidRPr="00EA1445">
        <w:rPr>
          <w:spacing w:val="-2"/>
        </w:rPr>
        <w:t xml:space="preserve"> </w:t>
      </w:r>
      <w:r w:rsidRPr="00EA1445">
        <w:t>will</w:t>
      </w:r>
      <w:r w:rsidRPr="00EA1445">
        <w:rPr>
          <w:spacing w:val="-2"/>
        </w:rPr>
        <w:t xml:space="preserve"> </w:t>
      </w:r>
      <w:r w:rsidRPr="00EA1445">
        <w:t>be</w:t>
      </w:r>
      <w:r w:rsidRPr="00EA1445">
        <w:rPr>
          <w:spacing w:val="-3"/>
        </w:rPr>
        <w:t xml:space="preserve"> </w:t>
      </w:r>
      <w:r w:rsidRPr="00EA1445">
        <w:t>reviewed</w:t>
      </w:r>
      <w:r w:rsidRPr="00EA1445">
        <w:rPr>
          <w:spacing w:val="-2"/>
        </w:rPr>
        <w:t xml:space="preserve"> </w:t>
      </w:r>
      <w:r w:rsidRPr="00EA1445">
        <w:t>during</w:t>
      </w:r>
      <w:r w:rsidRPr="00EA1445">
        <w:rPr>
          <w:spacing w:val="-3"/>
        </w:rPr>
        <w:t xml:space="preserve"> </w:t>
      </w:r>
      <w:r w:rsidRPr="00EA1445">
        <w:t>the</w:t>
      </w:r>
      <w:r w:rsidRPr="00EA1445">
        <w:rPr>
          <w:spacing w:val="-2"/>
        </w:rPr>
        <w:t xml:space="preserve"> </w:t>
      </w:r>
      <w:r w:rsidRPr="00EA1445">
        <w:t>timeframe</w:t>
      </w:r>
      <w:r w:rsidRPr="00EA1445">
        <w:rPr>
          <w:spacing w:val="-2"/>
        </w:rPr>
        <w:t xml:space="preserve"> </w:t>
      </w:r>
      <w:r w:rsidRPr="00EA1445">
        <w:t>identified</w:t>
      </w:r>
      <w:r w:rsidRPr="00EA1445">
        <w:rPr>
          <w:spacing w:val="-3"/>
        </w:rPr>
        <w:t xml:space="preserve"> </w:t>
      </w:r>
      <w:r w:rsidRPr="00EA1445">
        <w:t>on page 3</w:t>
      </w:r>
      <w:r w:rsidRPr="00EA1445">
        <w:rPr>
          <w:spacing w:val="-2"/>
        </w:rPr>
        <w:t xml:space="preserve"> </w:t>
      </w:r>
      <w:r w:rsidRPr="00EA1445">
        <w:t>of</w:t>
      </w:r>
      <w:r w:rsidRPr="00EA1445">
        <w:rPr>
          <w:spacing w:val="-3"/>
        </w:rPr>
        <w:t xml:space="preserve"> </w:t>
      </w:r>
      <w:r w:rsidRPr="00EA1445">
        <w:t>the</w:t>
      </w:r>
      <w:r w:rsidRPr="00EA1445">
        <w:rPr>
          <w:spacing w:val="-2"/>
        </w:rPr>
        <w:t xml:space="preserve"> </w:t>
      </w:r>
      <w:r w:rsidRPr="00EA1445">
        <w:t>RFA for</w:t>
      </w:r>
      <w:r w:rsidRPr="00EA1445">
        <w:rPr>
          <w:spacing w:val="-2"/>
        </w:rPr>
        <w:t xml:space="preserve"> </w:t>
      </w:r>
      <w:r w:rsidRPr="00EA1445">
        <w:t>the</w:t>
      </w:r>
      <w:r w:rsidRPr="00EA1445">
        <w:rPr>
          <w:spacing w:val="-2"/>
        </w:rPr>
        <w:t xml:space="preserve"> </w:t>
      </w:r>
      <w:r w:rsidRPr="00EA1445">
        <w:t>required elements</w:t>
      </w:r>
      <w:r w:rsidRPr="00EA1445">
        <w:rPr>
          <w:spacing w:val="-2"/>
        </w:rPr>
        <w:t xml:space="preserve"> </w:t>
      </w:r>
      <w:r w:rsidRPr="00EA1445">
        <w:t>that</w:t>
      </w:r>
      <w:r w:rsidRPr="00EA1445">
        <w:rPr>
          <w:spacing w:val="-2"/>
        </w:rPr>
        <w:t xml:space="preserve"> </w:t>
      </w:r>
      <w:r w:rsidRPr="00EA1445">
        <w:t>align</w:t>
      </w:r>
      <w:r w:rsidRPr="00EA1445">
        <w:rPr>
          <w:spacing w:val="-1"/>
        </w:rPr>
        <w:t xml:space="preserve"> </w:t>
      </w:r>
      <w:r w:rsidRPr="00EA1445">
        <w:t>and</w:t>
      </w:r>
      <w:r w:rsidRPr="00EA1445">
        <w:rPr>
          <w:spacing w:val="-2"/>
        </w:rPr>
        <w:t xml:space="preserve"> </w:t>
      </w:r>
      <w:r w:rsidRPr="00EA1445">
        <w:t>support</w:t>
      </w:r>
      <w:r w:rsidRPr="00EA1445">
        <w:rPr>
          <w:spacing w:val="-2"/>
        </w:rPr>
        <w:t xml:space="preserve"> </w:t>
      </w:r>
      <w:r w:rsidRPr="00EA1445">
        <w:t>the</w:t>
      </w:r>
      <w:r w:rsidRPr="00EA1445">
        <w:rPr>
          <w:spacing w:val="-1"/>
        </w:rPr>
        <w:t xml:space="preserve"> </w:t>
      </w:r>
      <w:r w:rsidRPr="00EA1445">
        <w:t>full</w:t>
      </w:r>
      <w:r w:rsidRPr="00EA1445">
        <w:rPr>
          <w:spacing w:val="-2"/>
        </w:rPr>
        <w:t xml:space="preserve"> </w:t>
      </w:r>
      <w:r w:rsidRPr="00EA1445">
        <w:t>implementation</w:t>
      </w:r>
      <w:r w:rsidRPr="00EA1445">
        <w:rPr>
          <w:spacing w:val="-2"/>
        </w:rPr>
        <w:t xml:space="preserve"> </w:t>
      </w:r>
      <w:r w:rsidRPr="00EA1445">
        <w:t>of</w:t>
      </w:r>
      <w:r w:rsidRPr="00EA1445">
        <w:rPr>
          <w:spacing w:val="-1"/>
        </w:rPr>
        <w:t xml:space="preserve"> </w:t>
      </w:r>
      <w:r w:rsidRPr="00EA1445">
        <w:t>the</w:t>
      </w:r>
      <w:r w:rsidRPr="00EA1445">
        <w:rPr>
          <w:spacing w:val="-2"/>
        </w:rPr>
        <w:t xml:space="preserve"> </w:t>
      </w:r>
      <w:r w:rsidRPr="00EA1445">
        <w:t>proposed</w:t>
      </w:r>
      <w:r w:rsidRPr="00EA1445">
        <w:rPr>
          <w:spacing w:val="-2"/>
        </w:rPr>
        <w:t xml:space="preserve"> </w:t>
      </w:r>
      <w:r w:rsidRPr="00EA1445">
        <w:t>plan. Reviewers</w:t>
      </w:r>
      <w:r w:rsidRPr="00EA1445">
        <w:rPr>
          <w:spacing w:val="-1"/>
        </w:rPr>
        <w:t xml:space="preserve"> </w:t>
      </w:r>
      <w:r w:rsidRPr="00EA1445">
        <w:t>will</w:t>
      </w:r>
      <w:r w:rsidRPr="00EA1445">
        <w:rPr>
          <w:spacing w:val="-2"/>
        </w:rPr>
        <w:t xml:space="preserve"> </w:t>
      </w:r>
      <w:r w:rsidRPr="00EA1445">
        <w:t>examine</w:t>
      </w:r>
      <w:r w:rsidRPr="00EA1445">
        <w:rPr>
          <w:spacing w:val="-1"/>
        </w:rPr>
        <w:t xml:space="preserve"> </w:t>
      </w:r>
      <w:r w:rsidRPr="00EA1445">
        <w:t>and</w:t>
      </w:r>
      <w:r w:rsidRPr="00EA1445">
        <w:rPr>
          <w:spacing w:val="-2"/>
        </w:rPr>
        <w:t xml:space="preserve"> </w:t>
      </w:r>
      <w:r w:rsidRPr="00EA1445">
        <w:t>approve</w:t>
      </w:r>
      <w:r w:rsidRPr="00EA1445">
        <w:rPr>
          <w:spacing w:val="-1"/>
        </w:rPr>
        <w:t xml:space="preserve"> </w:t>
      </w:r>
      <w:r w:rsidRPr="00EA1445">
        <w:t>applications</w:t>
      </w:r>
      <w:r w:rsidRPr="00EA1445">
        <w:rPr>
          <w:spacing w:val="-2"/>
        </w:rPr>
        <w:t xml:space="preserve"> </w:t>
      </w:r>
      <w:r w:rsidRPr="00EA1445">
        <w:t>with</w:t>
      </w:r>
      <w:r w:rsidRPr="00EA1445">
        <w:rPr>
          <w:spacing w:val="-1"/>
        </w:rPr>
        <w:t xml:space="preserve"> </w:t>
      </w:r>
      <w:r w:rsidRPr="00EA1445">
        <w:t>respect</w:t>
      </w:r>
      <w:r w:rsidRPr="00EA1445">
        <w:rPr>
          <w:spacing w:val="-2"/>
        </w:rPr>
        <w:t xml:space="preserve"> </w:t>
      </w:r>
      <w:r w:rsidRPr="00EA1445">
        <w:t>to</w:t>
      </w:r>
      <w:r w:rsidRPr="00EA1445">
        <w:rPr>
          <w:spacing w:val="-1"/>
        </w:rPr>
        <w:t xml:space="preserve"> </w:t>
      </w:r>
      <w:r w:rsidRPr="00EA1445">
        <w:t>each</w:t>
      </w:r>
      <w:r w:rsidRPr="00EA1445">
        <w:rPr>
          <w:spacing w:val="-2"/>
        </w:rPr>
        <w:t xml:space="preserve"> </w:t>
      </w:r>
      <w:r w:rsidRPr="00EA1445">
        <w:t>of</w:t>
      </w:r>
      <w:r w:rsidRPr="00EA1445">
        <w:rPr>
          <w:spacing w:val="-1"/>
        </w:rPr>
        <w:t xml:space="preserve"> </w:t>
      </w:r>
      <w:r w:rsidRPr="00EA1445">
        <w:t>the STAC</w:t>
      </w:r>
      <w:r w:rsidR="00B714D9" w:rsidRPr="00EA1445">
        <w:t>S</w:t>
      </w:r>
      <w:r w:rsidRPr="00EA1445">
        <w:t xml:space="preserve"> </w:t>
      </w:r>
      <w:r w:rsidR="001B0E00" w:rsidRPr="00EA1445">
        <w:t>S</w:t>
      </w:r>
      <w:r w:rsidR="002B6A28" w:rsidRPr="00EA1445">
        <w:t>ubgrant</w:t>
      </w:r>
      <w:r w:rsidRPr="00EA1445">
        <w:rPr>
          <w:spacing w:val="-6"/>
        </w:rPr>
        <w:t xml:space="preserve"> </w:t>
      </w:r>
      <w:r w:rsidRPr="00EA1445">
        <w:t>plan</w:t>
      </w:r>
      <w:r w:rsidRPr="00EA1445">
        <w:rPr>
          <w:spacing w:val="-6"/>
        </w:rPr>
        <w:t xml:space="preserve"> </w:t>
      </w:r>
      <w:r w:rsidRPr="00EA1445">
        <w:t>elements.</w:t>
      </w:r>
    </w:p>
    <w:p w14:paraId="353F98D8" w14:textId="3F5BD5BF" w:rsidR="00551AFF" w:rsidRPr="00EA1445" w:rsidRDefault="00551AFF" w:rsidP="00551AFF">
      <w:pPr>
        <w:rPr>
          <w:spacing w:val="-2"/>
        </w:rPr>
      </w:pPr>
      <w:r w:rsidRPr="00EA1445">
        <w:t>Applications</w:t>
      </w:r>
      <w:r w:rsidRPr="00EA1445">
        <w:rPr>
          <w:spacing w:val="-2"/>
        </w:rPr>
        <w:t xml:space="preserve"> </w:t>
      </w:r>
      <w:r w:rsidRPr="00EA1445">
        <w:t>will</w:t>
      </w:r>
      <w:r w:rsidRPr="00EA1445">
        <w:rPr>
          <w:spacing w:val="-2"/>
        </w:rPr>
        <w:t xml:space="preserve"> </w:t>
      </w:r>
      <w:r w:rsidRPr="00EA1445">
        <w:t>be</w:t>
      </w:r>
      <w:r w:rsidRPr="00EA1445">
        <w:rPr>
          <w:spacing w:val="-1"/>
        </w:rPr>
        <w:t xml:space="preserve"> </w:t>
      </w:r>
      <w:r w:rsidRPr="00EA1445">
        <w:t>randomly</w:t>
      </w:r>
      <w:r w:rsidRPr="00EA1445">
        <w:rPr>
          <w:spacing w:val="-2"/>
        </w:rPr>
        <w:t xml:space="preserve"> </w:t>
      </w:r>
      <w:r w:rsidRPr="00EA1445">
        <w:t>assigned</w:t>
      </w:r>
      <w:r w:rsidRPr="00EA1445">
        <w:rPr>
          <w:spacing w:val="-1"/>
        </w:rPr>
        <w:t xml:space="preserve"> </w:t>
      </w:r>
      <w:r w:rsidRPr="00EA1445">
        <w:t>to</w:t>
      </w:r>
      <w:r w:rsidRPr="00EA1445">
        <w:rPr>
          <w:spacing w:val="-2"/>
        </w:rPr>
        <w:t xml:space="preserve"> </w:t>
      </w:r>
      <w:r w:rsidRPr="00EA1445">
        <w:t>readers,</w:t>
      </w:r>
      <w:r w:rsidRPr="00EA1445">
        <w:rPr>
          <w:spacing w:val="-2"/>
        </w:rPr>
        <w:t xml:space="preserve"> </w:t>
      </w:r>
      <w:r w:rsidRPr="00EA1445">
        <w:t>taking</w:t>
      </w:r>
      <w:r w:rsidRPr="00EA1445">
        <w:rPr>
          <w:spacing w:val="-1"/>
        </w:rPr>
        <w:t xml:space="preserve"> </w:t>
      </w:r>
      <w:r w:rsidRPr="00EA1445">
        <w:t>into</w:t>
      </w:r>
      <w:r w:rsidRPr="00EA1445">
        <w:rPr>
          <w:spacing w:val="-2"/>
        </w:rPr>
        <w:t xml:space="preserve"> </w:t>
      </w:r>
      <w:r w:rsidRPr="00EA1445">
        <w:t>consideration</w:t>
      </w:r>
      <w:r w:rsidRPr="00EA1445">
        <w:rPr>
          <w:spacing w:val="-1"/>
        </w:rPr>
        <w:t xml:space="preserve"> </w:t>
      </w:r>
      <w:r w:rsidRPr="00EA1445">
        <w:t>any</w:t>
      </w:r>
      <w:r w:rsidRPr="00EA1445">
        <w:rPr>
          <w:spacing w:val="-2"/>
        </w:rPr>
        <w:t xml:space="preserve"> real or perceived </w:t>
      </w:r>
      <w:r w:rsidRPr="00EA1445">
        <w:t>conflicts of</w:t>
      </w:r>
      <w:r w:rsidRPr="00EA1445">
        <w:rPr>
          <w:spacing w:val="-2"/>
        </w:rPr>
        <w:t xml:space="preserve"> </w:t>
      </w:r>
      <w:r w:rsidRPr="00EA1445">
        <w:t>interest.</w:t>
      </w:r>
      <w:r w:rsidRPr="00EA1445">
        <w:rPr>
          <w:spacing w:val="-1"/>
        </w:rPr>
        <w:t xml:space="preserve"> </w:t>
      </w:r>
      <w:r w:rsidRPr="00EA1445">
        <w:t>Readers</w:t>
      </w:r>
      <w:r w:rsidRPr="00EA1445">
        <w:rPr>
          <w:spacing w:val="-2"/>
        </w:rPr>
        <w:t xml:space="preserve"> </w:t>
      </w:r>
      <w:r w:rsidRPr="00EA1445">
        <w:t>will</w:t>
      </w:r>
      <w:r w:rsidRPr="00EA1445">
        <w:rPr>
          <w:spacing w:val="-1"/>
        </w:rPr>
        <w:t xml:space="preserve"> </w:t>
      </w:r>
      <w:r w:rsidRPr="00EA1445">
        <w:t>base</w:t>
      </w:r>
      <w:r w:rsidRPr="00EA1445">
        <w:rPr>
          <w:spacing w:val="-1"/>
        </w:rPr>
        <w:t xml:space="preserve"> </w:t>
      </w:r>
      <w:r w:rsidRPr="00EA1445">
        <w:t>their</w:t>
      </w:r>
      <w:r w:rsidRPr="00EA1445">
        <w:rPr>
          <w:spacing w:val="-2"/>
        </w:rPr>
        <w:t xml:space="preserve"> </w:t>
      </w:r>
      <w:r w:rsidRPr="00EA1445">
        <w:t>scores</w:t>
      </w:r>
      <w:r w:rsidRPr="00EA1445">
        <w:rPr>
          <w:spacing w:val="-1"/>
        </w:rPr>
        <w:t xml:space="preserve"> </w:t>
      </w:r>
      <w:r w:rsidRPr="00EA1445">
        <w:t>on</w:t>
      </w:r>
      <w:r w:rsidRPr="00EA1445">
        <w:rPr>
          <w:spacing w:val="-1"/>
        </w:rPr>
        <w:t xml:space="preserve"> </w:t>
      </w:r>
      <w:r w:rsidRPr="00EA1445">
        <w:t>the</w:t>
      </w:r>
      <w:r w:rsidRPr="00EA1445">
        <w:rPr>
          <w:spacing w:val="-2"/>
        </w:rPr>
        <w:t xml:space="preserve"> </w:t>
      </w:r>
      <w:r w:rsidRPr="00EA1445">
        <w:t>degree</w:t>
      </w:r>
      <w:r w:rsidRPr="00EA1445">
        <w:rPr>
          <w:spacing w:val="-1"/>
        </w:rPr>
        <w:t xml:space="preserve"> </w:t>
      </w:r>
      <w:r w:rsidRPr="00EA1445">
        <w:t>to</w:t>
      </w:r>
      <w:r w:rsidRPr="00EA1445">
        <w:rPr>
          <w:spacing w:val="-2"/>
        </w:rPr>
        <w:t xml:space="preserve"> </w:t>
      </w:r>
      <w:r w:rsidRPr="00EA1445">
        <w:t>which</w:t>
      </w:r>
      <w:r w:rsidRPr="00EA1445">
        <w:rPr>
          <w:spacing w:val="-1"/>
        </w:rPr>
        <w:t xml:space="preserve"> the </w:t>
      </w:r>
      <w:r w:rsidRPr="00EA1445">
        <w:t>applicant</w:t>
      </w:r>
      <w:r w:rsidRPr="00EA1445">
        <w:rPr>
          <w:spacing w:val="-2"/>
        </w:rPr>
        <w:t xml:space="preserve"> </w:t>
      </w:r>
      <w:r w:rsidRPr="00EA1445">
        <w:t>provides evidence</w:t>
      </w:r>
      <w:r w:rsidRPr="00EA1445">
        <w:rPr>
          <w:spacing w:val="-3"/>
        </w:rPr>
        <w:t xml:space="preserve"> </w:t>
      </w:r>
      <w:r w:rsidRPr="00EA1445">
        <w:t>meeting</w:t>
      </w:r>
      <w:r w:rsidRPr="00EA1445">
        <w:rPr>
          <w:spacing w:val="-3"/>
        </w:rPr>
        <w:t xml:space="preserve"> </w:t>
      </w:r>
      <w:r w:rsidRPr="00EA1445">
        <w:t>the</w:t>
      </w:r>
      <w:r w:rsidRPr="00EA1445">
        <w:rPr>
          <w:spacing w:val="-2"/>
        </w:rPr>
        <w:t xml:space="preserve"> </w:t>
      </w:r>
      <w:r w:rsidRPr="00EA1445">
        <w:t>RFA</w:t>
      </w:r>
      <w:r w:rsidRPr="00EA1445">
        <w:rPr>
          <w:spacing w:val="-2"/>
        </w:rPr>
        <w:t xml:space="preserve"> </w:t>
      </w:r>
      <w:r w:rsidRPr="00EA1445">
        <w:t>requirements. Each</w:t>
      </w:r>
      <w:r w:rsidRPr="00EA1445">
        <w:rPr>
          <w:spacing w:val="-2"/>
        </w:rPr>
        <w:t xml:space="preserve"> </w:t>
      </w:r>
      <w:r w:rsidRPr="00EA1445">
        <w:t>application</w:t>
      </w:r>
      <w:r w:rsidRPr="00EA1445">
        <w:rPr>
          <w:spacing w:val="-1"/>
        </w:rPr>
        <w:t xml:space="preserve"> </w:t>
      </w:r>
      <w:r w:rsidRPr="00EA1445">
        <w:t>will</w:t>
      </w:r>
      <w:r w:rsidRPr="00EA1445">
        <w:rPr>
          <w:spacing w:val="-2"/>
        </w:rPr>
        <w:t xml:space="preserve"> </w:t>
      </w:r>
      <w:r w:rsidRPr="00EA1445">
        <w:t>be</w:t>
      </w:r>
      <w:r w:rsidRPr="00EA1445">
        <w:rPr>
          <w:spacing w:val="-1"/>
        </w:rPr>
        <w:t xml:space="preserve"> </w:t>
      </w:r>
      <w:r w:rsidRPr="00EA1445">
        <w:t>scored</w:t>
      </w:r>
      <w:r w:rsidRPr="00EA1445">
        <w:rPr>
          <w:spacing w:val="-2"/>
        </w:rPr>
        <w:t xml:space="preserve"> </w:t>
      </w:r>
      <w:r w:rsidRPr="00EA1445">
        <w:t>independently</w:t>
      </w:r>
      <w:r w:rsidRPr="00EA1445">
        <w:rPr>
          <w:spacing w:val="-1"/>
        </w:rPr>
        <w:t xml:space="preserve"> </w:t>
      </w:r>
      <w:r w:rsidRPr="00EA1445">
        <w:t>and</w:t>
      </w:r>
      <w:r w:rsidRPr="00EA1445">
        <w:rPr>
          <w:spacing w:val="-1"/>
        </w:rPr>
        <w:t xml:space="preserve"> </w:t>
      </w:r>
      <w:r w:rsidRPr="00EA1445">
        <w:t>will</w:t>
      </w:r>
      <w:r w:rsidRPr="00EA1445">
        <w:rPr>
          <w:spacing w:val="-2"/>
        </w:rPr>
        <w:t xml:space="preserve"> </w:t>
      </w:r>
      <w:r w:rsidRPr="00EA1445">
        <w:t>not</w:t>
      </w:r>
      <w:r w:rsidRPr="00EA1445">
        <w:rPr>
          <w:spacing w:val="-1"/>
        </w:rPr>
        <w:t xml:space="preserve"> </w:t>
      </w:r>
      <w:r w:rsidRPr="00EA1445">
        <w:t>be</w:t>
      </w:r>
      <w:r w:rsidRPr="00EA1445">
        <w:rPr>
          <w:spacing w:val="-2"/>
        </w:rPr>
        <w:t xml:space="preserve"> </w:t>
      </w:r>
      <w:r w:rsidRPr="00EA1445">
        <w:t>grouped</w:t>
      </w:r>
      <w:r w:rsidRPr="00EA1445">
        <w:rPr>
          <w:spacing w:val="-1"/>
        </w:rPr>
        <w:t xml:space="preserve"> </w:t>
      </w:r>
      <w:r w:rsidRPr="00EA1445">
        <w:t>together</w:t>
      </w:r>
      <w:r w:rsidRPr="00EA1445">
        <w:rPr>
          <w:spacing w:val="-2"/>
        </w:rPr>
        <w:t xml:space="preserve"> </w:t>
      </w:r>
      <w:r w:rsidRPr="00EA1445">
        <w:t>for</w:t>
      </w:r>
      <w:r w:rsidRPr="00EA1445">
        <w:rPr>
          <w:spacing w:val="-1"/>
        </w:rPr>
        <w:t xml:space="preserve"> </w:t>
      </w:r>
      <w:r w:rsidRPr="00EA1445">
        <w:t>any reason</w:t>
      </w:r>
      <w:r w:rsidRPr="00EA1445">
        <w:rPr>
          <w:spacing w:val="-2"/>
        </w:rPr>
        <w:t>.</w:t>
      </w:r>
    </w:p>
    <w:p w14:paraId="24FEFD1C" w14:textId="17E335FC" w:rsidR="00E73A3E" w:rsidRPr="00EA1445" w:rsidRDefault="00457D84" w:rsidP="00C1527E">
      <w:pPr>
        <w:pStyle w:val="Heading4"/>
      </w:pPr>
      <w:r w:rsidRPr="00EA1445">
        <w:lastRenderedPageBreak/>
        <w:t>4</w:t>
      </w:r>
      <w:r w:rsidR="00E73A3E" w:rsidRPr="00EA1445">
        <w:t>.</w:t>
      </w:r>
      <w:r w:rsidR="000C5C0B" w:rsidRPr="00EA1445">
        <w:t>1</w:t>
      </w:r>
      <w:r w:rsidR="00E73A3E" w:rsidRPr="00EA1445">
        <w:t xml:space="preserve"> Scoring </w:t>
      </w:r>
      <w:r w:rsidR="000C5C0B" w:rsidRPr="00EA1445">
        <w:t>Rubric</w:t>
      </w:r>
    </w:p>
    <w:p w14:paraId="71E12BE8" w14:textId="5CB7CC2B" w:rsidR="004F08EE" w:rsidRPr="00730267" w:rsidRDefault="004F08EE" w:rsidP="004F08EE">
      <w:pPr>
        <w:spacing w:line="247" w:lineRule="auto"/>
        <w:ind w:right="211"/>
        <w:rPr>
          <w:rFonts w:eastAsia="Arial" w:cs="Arial"/>
          <w:szCs w:val="24"/>
        </w:rPr>
      </w:pPr>
      <w:r w:rsidRPr="00EA1445">
        <w:rPr>
          <w:rFonts w:eastAsia="Arial" w:cs="Arial"/>
          <w:szCs w:val="24"/>
        </w:rPr>
        <w:t>Each</w:t>
      </w:r>
      <w:r w:rsidRPr="00EA1445">
        <w:rPr>
          <w:rFonts w:eastAsia="Arial" w:cs="Arial"/>
          <w:spacing w:val="-2"/>
          <w:szCs w:val="24"/>
        </w:rPr>
        <w:t xml:space="preserve"> </w:t>
      </w:r>
      <w:r w:rsidRPr="00EA1445">
        <w:rPr>
          <w:rFonts w:eastAsia="Arial" w:cs="Arial"/>
          <w:szCs w:val="24"/>
        </w:rPr>
        <w:t>section</w:t>
      </w:r>
      <w:r w:rsidRPr="00EA1445">
        <w:rPr>
          <w:rFonts w:eastAsia="Arial" w:cs="Arial"/>
          <w:spacing w:val="-1"/>
          <w:szCs w:val="24"/>
        </w:rPr>
        <w:t xml:space="preserve"> </w:t>
      </w:r>
      <w:r w:rsidRPr="00EA1445">
        <w:rPr>
          <w:rFonts w:eastAsia="Arial" w:cs="Arial"/>
          <w:szCs w:val="24"/>
        </w:rPr>
        <w:t>of</w:t>
      </w:r>
      <w:r w:rsidRPr="00EA1445">
        <w:rPr>
          <w:rFonts w:eastAsia="Arial" w:cs="Arial"/>
          <w:spacing w:val="-2"/>
          <w:szCs w:val="24"/>
        </w:rPr>
        <w:t xml:space="preserve"> </w:t>
      </w:r>
      <w:r w:rsidRPr="00EA1445">
        <w:rPr>
          <w:rFonts w:eastAsia="Arial" w:cs="Arial"/>
          <w:szCs w:val="24"/>
        </w:rPr>
        <w:t>the</w:t>
      </w:r>
      <w:r w:rsidRPr="00EA1445">
        <w:rPr>
          <w:rFonts w:eastAsia="Arial" w:cs="Arial"/>
          <w:spacing w:val="-1"/>
          <w:szCs w:val="24"/>
        </w:rPr>
        <w:t xml:space="preserve"> </w:t>
      </w:r>
      <w:r w:rsidRPr="00EA1445">
        <w:rPr>
          <w:rFonts w:eastAsia="Arial" w:cs="Arial"/>
          <w:szCs w:val="24"/>
        </w:rPr>
        <w:t>application</w:t>
      </w:r>
      <w:r w:rsidRPr="00EA1445">
        <w:rPr>
          <w:rFonts w:eastAsia="Arial" w:cs="Arial"/>
          <w:spacing w:val="-1"/>
          <w:szCs w:val="24"/>
        </w:rPr>
        <w:t xml:space="preserve"> </w:t>
      </w:r>
      <w:r w:rsidRPr="00EA1445">
        <w:rPr>
          <w:rFonts w:eastAsia="Arial" w:cs="Arial"/>
          <w:szCs w:val="24"/>
        </w:rPr>
        <w:t>narrative</w:t>
      </w:r>
      <w:r w:rsidRPr="00EA1445">
        <w:rPr>
          <w:rFonts w:eastAsia="Arial" w:cs="Arial"/>
          <w:spacing w:val="-2"/>
          <w:szCs w:val="24"/>
        </w:rPr>
        <w:t xml:space="preserve"> </w:t>
      </w:r>
      <w:r w:rsidRPr="00EA1445">
        <w:rPr>
          <w:rFonts w:eastAsia="Arial" w:cs="Arial"/>
          <w:szCs w:val="24"/>
        </w:rPr>
        <w:t>will</w:t>
      </w:r>
      <w:r w:rsidRPr="00EA1445">
        <w:rPr>
          <w:rFonts w:eastAsia="Arial" w:cs="Arial"/>
          <w:spacing w:val="-1"/>
          <w:szCs w:val="24"/>
        </w:rPr>
        <w:t xml:space="preserve"> </w:t>
      </w:r>
      <w:r w:rsidRPr="00EA1445">
        <w:rPr>
          <w:rFonts w:eastAsia="Arial" w:cs="Arial"/>
          <w:szCs w:val="24"/>
        </w:rPr>
        <w:t>be</w:t>
      </w:r>
      <w:r w:rsidRPr="00EA1445">
        <w:rPr>
          <w:rFonts w:eastAsia="Arial" w:cs="Arial"/>
          <w:spacing w:val="-2"/>
          <w:szCs w:val="24"/>
        </w:rPr>
        <w:t xml:space="preserve"> evaluated and </w:t>
      </w:r>
      <w:r w:rsidRPr="00EA1445">
        <w:rPr>
          <w:rFonts w:eastAsia="Arial" w:cs="Arial"/>
          <w:szCs w:val="24"/>
        </w:rPr>
        <w:t>assigned</w:t>
      </w:r>
      <w:r w:rsidRPr="00EA1445">
        <w:rPr>
          <w:rFonts w:eastAsia="Arial" w:cs="Arial"/>
          <w:spacing w:val="-1"/>
          <w:szCs w:val="24"/>
        </w:rPr>
        <w:t xml:space="preserve"> </w:t>
      </w:r>
      <w:r w:rsidRPr="00EA1445">
        <w:rPr>
          <w:rFonts w:eastAsia="Arial" w:cs="Arial"/>
          <w:szCs w:val="24"/>
        </w:rPr>
        <w:t>a</w:t>
      </w:r>
      <w:r w:rsidRPr="00EA1445">
        <w:rPr>
          <w:rFonts w:eastAsia="Arial" w:cs="Arial"/>
          <w:spacing w:val="-1"/>
          <w:szCs w:val="24"/>
        </w:rPr>
        <w:t xml:space="preserve"> </w:t>
      </w:r>
      <w:r w:rsidRPr="00EA1445">
        <w:rPr>
          <w:rFonts w:eastAsia="Arial" w:cs="Arial"/>
          <w:szCs w:val="24"/>
        </w:rPr>
        <w:t>score</w:t>
      </w:r>
      <w:r w:rsidRPr="00EA1445">
        <w:rPr>
          <w:rFonts w:eastAsia="Arial" w:cs="Arial"/>
          <w:spacing w:val="-2"/>
          <w:szCs w:val="24"/>
        </w:rPr>
        <w:t xml:space="preserve"> using the STAC</w:t>
      </w:r>
      <w:r w:rsidR="00B714D9" w:rsidRPr="00EA1445">
        <w:rPr>
          <w:rFonts w:eastAsia="Arial" w:cs="Arial"/>
          <w:spacing w:val="-2"/>
          <w:szCs w:val="24"/>
        </w:rPr>
        <w:t>S</w:t>
      </w:r>
      <w:r w:rsidRPr="00EA1445">
        <w:rPr>
          <w:rFonts w:eastAsia="Arial" w:cs="Arial"/>
          <w:spacing w:val="-2"/>
          <w:szCs w:val="24"/>
        </w:rPr>
        <w:t xml:space="preserve"> </w:t>
      </w:r>
      <w:r w:rsidR="00B714D9" w:rsidRPr="00EA1445">
        <w:rPr>
          <w:rFonts w:eastAsia="Arial" w:cs="Arial"/>
          <w:spacing w:val="-2"/>
          <w:szCs w:val="24"/>
        </w:rPr>
        <w:t>S</w:t>
      </w:r>
      <w:r w:rsidR="006900A7" w:rsidRPr="00EA1445">
        <w:rPr>
          <w:rFonts w:eastAsia="Arial" w:cs="Arial"/>
          <w:spacing w:val="-2"/>
          <w:szCs w:val="24"/>
        </w:rPr>
        <w:t xml:space="preserve">ubgrant </w:t>
      </w:r>
      <w:r w:rsidRPr="00EA1445">
        <w:rPr>
          <w:rFonts w:eastAsia="Arial" w:cs="Arial"/>
          <w:spacing w:val="-2"/>
          <w:szCs w:val="24"/>
        </w:rPr>
        <w:t xml:space="preserve">RFA </w:t>
      </w:r>
      <w:r w:rsidR="003B6782" w:rsidRPr="00EA1445">
        <w:rPr>
          <w:rFonts w:eastAsia="Arial" w:cs="Arial"/>
          <w:spacing w:val="-2"/>
          <w:szCs w:val="24"/>
        </w:rPr>
        <w:t>s</w:t>
      </w:r>
      <w:r w:rsidRPr="00EA1445">
        <w:rPr>
          <w:rFonts w:eastAsia="Arial" w:cs="Arial"/>
          <w:spacing w:val="-2"/>
          <w:szCs w:val="24"/>
        </w:rPr>
        <w:t xml:space="preserve">coring </w:t>
      </w:r>
      <w:r w:rsidR="003B6782" w:rsidRPr="00EA1445">
        <w:rPr>
          <w:rFonts w:eastAsia="Arial" w:cs="Arial"/>
          <w:spacing w:val="-2"/>
          <w:szCs w:val="24"/>
        </w:rPr>
        <w:t>r</w:t>
      </w:r>
      <w:r w:rsidRPr="00EA1445">
        <w:rPr>
          <w:rFonts w:eastAsia="Arial" w:cs="Arial"/>
          <w:spacing w:val="-2"/>
          <w:szCs w:val="24"/>
        </w:rPr>
        <w:t>ubric (See Appendix A: S</w:t>
      </w:r>
      <w:r w:rsidR="006900A7" w:rsidRPr="00EA1445">
        <w:rPr>
          <w:rFonts w:eastAsia="Arial" w:cs="Arial"/>
          <w:spacing w:val="-2"/>
          <w:szCs w:val="24"/>
        </w:rPr>
        <w:t xml:space="preserve">tatewide Technical Assistance for Charter Schools Subgrant Request for Applications </w:t>
      </w:r>
      <w:r w:rsidRPr="00EA1445">
        <w:rPr>
          <w:rFonts w:eastAsia="Arial" w:cs="Arial"/>
          <w:spacing w:val="-2"/>
          <w:szCs w:val="24"/>
        </w:rPr>
        <w:t>Scoring Rubric)</w:t>
      </w:r>
      <w:r w:rsidRPr="00EA1445">
        <w:rPr>
          <w:rFonts w:eastAsia="Arial" w:cs="Arial"/>
          <w:szCs w:val="24"/>
        </w:rPr>
        <w:t>.</w:t>
      </w:r>
      <w:r>
        <w:rPr>
          <w:rFonts w:eastAsia="Arial" w:cs="Arial"/>
          <w:szCs w:val="24"/>
        </w:rPr>
        <w:t xml:space="preserve"> </w:t>
      </w:r>
    </w:p>
    <w:p w14:paraId="7A5A1FCF" w14:textId="2DE326FB" w:rsidR="004F08EE" w:rsidRPr="00730267" w:rsidRDefault="004F08EE" w:rsidP="004F08EE">
      <w:pPr>
        <w:spacing w:line="247" w:lineRule="auto"/>
        <w:ind w:right="211"/>
        <w:rPr>
          <w:rFonts w:eastAsia="Arial" w:cs="Arial"/>
          <w:szCs w:val="24"/>
        </w:rPr>
      </w:pP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scoring</w:t>
      </w:r>
      <w:r w:rsidRPr="00730267">
        <w:rPr>
          <w:rFonts w:eastAsia="Arial" w:cs="Arial"/>
          <w:spacing w:val="-2"/>
          <w:szCs w:val="24"/>
        </w:rPr>
        <w:t xml:space="preserve"> </w:t>
      </w:r>
      <w:r w:rsidRPr="00730267">
        <w:rPr>
          <w:rFonts w:eastAsia="Arial" w:cs="Arial"/>
          <w:szCs w:val="24"/>
        </w:rPr>
        <w:t>system</w:t>
      </w:r>
      <w:r w:rsidRPr="00730267">
        <w:rPr>
          <w:rFonts w:eastAsia="Arial" w:cs="Arial"/>
          <w:spacing w:val="-1"/>
          <w:szCs w:val="24"/>
        </w:rPr>
        <w:t xml:space="preserve"> </w:t>
      </w:r>
      <w:r w:rsidRPr="00730267">
        <w:rPr>
          <w:rFonts w:eastAsia="Arial" w:cs="Arial"/>
          <w:szCs w:val="24"/>
        </w:rPr>
        <w:t>is</w:t>
      </w:r>
      <w:r w:rsidRPr="00730267">
        <w:rPr>
          <w:rFonts w:eastAsia="Arial" w:cs="Arial"/>
          <w:spacing w:val="-2"/>
          <w:szCs w:val="24"/>
        </w:rPr>
        <w:t xml:space="preserve"> </w:t>
      </w:r>
      <w:r w:rsidRPr="00730267">
        <w:rPr>
          <w:rFonts w:eastAsia="Arial" w:cs="Arial"/>
          <w:szCs w:val="24"/>
        </w:rPr>
        <w:t>used</w:t>
      </w:r>
      <w:r w:rsidRPr="00730267">
        <w:rPr>
          <w:rFonts w:eastAsia="Arial" w:cs="Arial"/>
          <w:spacing w:val="-1"/>
          <w:szCs w:val="24"/>
        </w:rPr>
        <w:t xml:space="preserve"> </w:t>
      </w:r>
      <w:r w:rsidRPr="00730267">
        <w:rPr>
          <w:rFonts w:eastAsia="Arial" w:cs="Arial"/>
          <w:szCs w:val="24"/>
        </w:rPr>
        <w:t>to</w:t>
      </w:r>
      <w:r w:rsidRPr="00730267">
        <w:rPr>
          <w:rFonts w:eastAsia="Arial" w:cs="Arial"/>
          <w:spacing w:val="-2"/>
          <w:szCs w:val="24"/>
        </w:rPr>
        <w:t xml:space="preserve"> </w:t>
      </w:r>
      <w:r w:rsidRPr="00730267">
        <w:rPr>
          <w:rFonts w:eastAsia="Arial" w:cs="Arial"/>
          <w:szCs w:val="24"/>
        </w:rPr>
        <w:t>signify</w:t>
      </w:r>
      <w:r w:rsidRPr="00730267">
        <w:rPr>
          <w:rFonts w:eastAsia="Arial" w:cs="Arial"/>
          <w:spacing w:val="-1"/>
          <w:szCs w:val="24"/>
        </w:rPr>
        <w:t xml:space="preserve"> </w:t>
      </w:r>
      <w:r w:rsidRPr="00730267">
        <w:rPr>
          <w:rFonts w:eastAsia="Arial" w:cs="Arial"/>
          <w:szCs w:val="24"/>
        </w:rPr>
        <w:t>how</w:t>
      </w:r>
      <w:r w:rsidRPr="00730267">
        <w:rPr>
          <w:rFonts w:eastAsia="Arial" w:cs="Arial"/>
          <w:spacing w:val="-2"/>
          <w:szCs w:val="24"/>
        </w:rPr>
        <w:t xml:space="preserve"> </w:t>
      </w:r>
      <w:r w:rsidRPr="00730267">
        <w:rPr>
          <w:rFonts w:eastAsia="Arial" w:cs="Arial"/>
          <w:szCs w:val="24"/>
        </w:rPr>
        <w:t>an</w:t>
      </w:r>
      <w:r w:rsidRPr="00730267">
        <w:rPr>
          <w:rFonts w:eastAsia="Arial" w:cs="Arial"/>
          <w:spacing w:val="-1"/>
          <w:szCs w:val="24"/>
        </w:rPr>
        <w:t xml:space="preserve"> </w:t>
      </w:r>
      <w:r w:rsidRPr="00730267">
        <w:rPr>
          <w:rFonts w:eastAsia="Arial" w:cs="Arial"/>
          <w:szCs w:val="24"/>
        </w:rPr>
        <w:t>application</w:t>
      </w:r>
      <w:r w:rsidRPr="00730267">
        <w:rPr>
          <w:rFonts w:eastAsia="Arial" w:cs="Arial"/>
          <w:spacing w:val="-2"/>
          <w:szCs w:val="24"/>
        </w:rPr>
        <w:t xml:space="preserve"> </w:t>
      </w:r>
      <w:r w:rsidRPr="00730267">
        <w:rPr>
          <w:rFonts w:eastAsia="Arial" w:cs="Arial"/>
          <w:szCs w:val="24"/>
        </w:rPr>
        <w:t>meets</w:t>
      </w:r>
      <w:r w:rsidRPr="00730267">
        <w:rPr>
          <w:rFonts w:eastAsia="Arial" w:cs="Arial"/>
          <w:spacing w:val="-1"/>
          <w:szCs w:val="24"/>
        </w:rPr>
        <w:t xml:space="preserve"> </w:t>
      </w:r>
      <w:r w:rsidRPr="00730267">
        <w:rPr>
          <w:rFonts w:eastAsia="Arial" w:cs="Arial"/>
          <w:szCs w:val="24"/>
        </w:rPr>
        <w:t>the</w:t>
      </w:r>
      <w:r w:rsidRPr="00730267">
        <w:rPr>
          <w:rFonts w:eastAsia="Arial" w:cs="Arial"/>
          <w:spacing w:val="-2"/>
          <w:szCs w:val="24"/>
        </w:rPr>
        <w:t xml:space="preserve"> </w:t>
      </w:r>
      <w:r w:rsidRPr="00730267">
        <w:rPr>
          <w:rFonts w:eastAsia="Arial" w:cs="Arial"/>
          <w:szCs w:val="24"/>
        </w:rPr>
        <w:t>funding</w:t>
      </w:r>
      <w:r w:rsidRPr="00730267">
        <w:rPr>
          <w:rFonts w:eastAsia="Arial" w:cs="Arial"/>
          <w:spacing w:val="-2"/>
          <w:szCs w:val="24"/>
        </w:rPr>
        <w:t xml:space="preserve"> </w:t>
      </w:r>
      <w:r w:rsidRPr="00730267">
        <w:rPr>
          <w:rFonts w:eastAsia="Arial" w:cs="Arial"/>
          <w:szCs w:val="24"/>
        </w:rPr>
        <w:t>criteria</w:t>
      </w:r>
      <w:r w:rsidRPr="00730267">
        <w:rPr>
          <w:rFonts w:eastAsia="Arial" w:cs="Arial"/>
          <w:spacing w:val="-1"/>
          <w:szCs w:val="24"/>
        </w:rPr>
        <w:t xml:space="preserve"> </w:t>
      </w:r>
      <w:r w:rsidRPr="00730267">
        <w:rPr>
          <w:rFonts w:eastAsia="Arial" w:cs="Arial"/>
          <w:szCs w:val="24"/>
        </w:rPr>
        <w:t>for</w:t>
      </w:r>
      <w:r w:rsidRPr="00730267">
        <w:rPr>
          <w:rFonts w:eastAsia="Arial" w:cs="Arial"/>
          <w:spacing w:val="-2"/>
          <w:szCs w:val="24"/>
        </w:rPr>
        <w:t xml:space="preserve"> </w:t>
      </w:r>
      <w:r w:rsidRPr="00730267">
        <w:rPr>
          <w:rFonts w:eastAsia="Arial" w:cs="Arial"/>
          <w:szCs w:val="24"/>
        </w:rPr>
        <w:t xml:space="preserve">the </w:t>
      </w:r>
      <w:r w:rsidR="003C78BF">
        <w:rPr>
          <w:rFonts w:eastAsia="Arial" w:cs="Arial"/>
          <w:szCs w:val="24"/>
        </w:rPr>
        <w:t>subgrant</w:t>
      </w:r>
      <w:r w:rsidRPr="00730267">
        <w:rPr>
          <w:rFonts w:eastAsia="Arial" w:cs="Arial"/>
          <w:szCs w:val="24"/>
        </w:rPr>
        <w:t>.</w:t>
      </w:r>
      <w:r w:rsidRPr="00730267">
        <w:rPr>
          <w:rFonts w:eastAsia="Arial" w:cs="Arial"/>
          <w:spacing w:val="-2"/>
          <w:szCs w:val="24"/>
        </w:rPr>
        <w:t xml:space="preserve"> </w:t>
      </w:r>
      <w:r w:rsidRPr="00730267">
        <w:rPr>
          <w:rFonts w:eastAsia="Arial" w:cs="Arial"/>
          <w:szCs w:val="24"/>
        </w:rPr>
        <w:t>For</w:t>
      </w:r>
      <w:r w:rsidRPr="00730267">
        <w:rPr>
          <w:rFonts w:eastAsia="Arial" w:cs="Arial"/>
          <w:spacing w:val="-2"/>
          <w:szCs w:val="24"/>
        </w:rPr>
        <w:t xml:space="preserve"> </w:t>
      </w:r>
      <w:r w:rsidRPr="00730267">
        <w:rPr>
          <w:rFonts w:eastAsia="Arial" w:cs="Arial"/>
          <w:szCs w:val="24"/>
        </w:rPr>
        <w:t>most</w:t>
      </w:r>
      <w:r w:rsidRPr="00730267">
        <w:rPr>
          <w:rFonts w:eastAsia="Arial" w:cs="Arial"/>
          <w:spacing w:val="-1"/>
          <w:szCs w:val="24"/>
        </w:rPr>
        <w:t xml:space="preserve"> </w:t>
      </w:r>
      <w:r w:rsidRPr="00730267">
        <w:rPr>
          <w:rFonts w:eastAsia="Arial" w:cs="Arial"/>
          <w:szCs w:val="24"/>
        </w:rPr>
        <w:t>narrative</w:t>
      </w:r>
      <w:r w:rsidRPr="00730267">
        <w:rPr>
          <w:rFonts w:eastAsia="Arial" w:cs="Arial"/>
          <w:spacing w:val="-2"/>
          <w:szCs w:val="24"/>
        </w:rPr>
        <w:t xml:space="preserve"> </w:t>
      </w:r>
      <w:r w:rsidRPr="00730267">
        <w:rPr>
          <w:rFonts w:eastAsia="Arial" w:cs="Arial"/>
          <w:szCs w:val="24"/>
        </w:rPr>
        <w:t>responses,</w:t>
      </w:r>
      <w:r w:rsidRPr="00730267">
        <w:rPr>
          <w:rFonts w:eastAsia="Arial" w:cs="Arial"/>
          <w:spacing w:val="-1"/>
          <w:szCs w:val="24"/>
        </w:rPr>
        <w:t xml:space="preserve"> </w:t>
      </w:r>
      <w:r w:rsidRPr="00730267">
        <w:rPr>
          <w:rFonts w:eastAsia="Arial" w:cs="Arial"/>
          <w:szCs w:val="24"/>
        </w:rPr>
        <w:t>a</w:t>
      </w:r>
      <w:r w:rsidRPr="00730267">
        <w:rPr>
          <w:rFonts w:eastAsia="Arial" w:cs="Arial"/>
          <w:spacing w:val="-2"/>
          <w:szCs w:val="24"/>
        </w:rPr>
        <w:t xml:space="preserve"> </w:t>
      </w:r>
      <w:r w:rsidRPr="00730267">
        <w:rPr>
          <w:rFonts w:eastAsia="Arial" w:cs="Arial"/>
          <w:szCs w:val="24"/>
        </w:rPr>
        <w:t>Likert</w:t>
      </w:r>
      <w:r w:rsidRPr="00730267">
        <w:rPr>
          <w:rFonts w:eastAsia="Arial" w:cs="Arial"/>
          <w:spacing w:val="-2"/>
          <w:szCs w:val="24"/>
        </w:rPr>
        <w:t xml:space="preserve"> </w:t>
      </w:r>
      <w:r w:rsidRPr="00730267">
        <w:rPr>
          <w:rFonts w:eastAsia="Arial" w:cs="Arial"/>
          <w:szCs w:val="24"/>
        </w:rPr>
        <w:t>Scale</w:t>
      </w:r>
      <w:r w:rsidRPr="00730267">
        <w:rPr>
          <w:rFonts w:eastAsia="Arial" w:cs="Arial"/>
          <w:spacing w:val="-1"/>
          <w:szCs w:val="24"/>
        </w:rPr>
        <w:t xml:space="preserve"> </w:t>
      </w:r>
      <w:r w:rsidRPr="00730267">
        <w:rPr>
          <w:rFonts w:eastAsia="Arial" w:cs="Arial"/>
          <w:szCs w:val="24"/>
        </w:rPr>
        <w:t>from</w:t>
      </w:r>
      <w:r w:rsidRPr="00730267">
        <w:rPr>
          <w:rFonts w:eastAsia="Arial" w:cs="Arial"/>
          <w:spacing w:val="-2"/>
          <w:szCs w:val="24"/>
        </w:rPr>
        <w:t xml:space="preserve"> </w:t>
      </w:r>
      <w:r w:rsidRPr="00730267">
        <w:rPr>
          <w:rFonts w:eastAsia="Arial" w:cs="Arial"/>
          <w:szCs w:val="24"/>
        </w:rPr>
        <w:t>0 to 8</w:t>
      </w:r>
      <w:r w:rsidRPr="00730267">
        <w:rPr>
          <w:rFonts w:eastAsia="Arial" w:cs="Arial"/>
          <w:spacing w:val="-1"/>
          <w:szCs w:val="24"/>
        </w:rPr>
        <w:t xml:space="preserve"> </w:t>
      </w:r>
      <w:r w:rsidRPr="00730267">
        <w:rPr>
          <w:rFonts w:eastAsia="Arial" w:cs="Arial"/>
          <w:szCs w:val="24"/>
        </w:rPr>
        <w:t>will</w:t>
      </w:r>
      <w:r w:rsidRPr="00730267">
        <w:rPr>
          <w:rFonts w:eastAsia="Arial" w:cs="Arial"/>
          <w:spacing w:val="-2"/>
          <w:szCs w:val="24"/>
        </w:rPr>
        <w:t xml:space="preserve"> </w:t>
      </w:r>
      <w:r w:rsidRPr="00730267">
        <w:rPr>
          <w:rFonts w:eastAsia="Arial" w:cs="Arial"/>
          <w:szCs w:val="24"/>
        </w:rPr>
        <w:t>be</w:t>
      </w:r>
      <w:r w:rsidRPr="00730267">
        <w:rPr>
          <w:rFonts w:eastAsia="Arial" w:cs="Arial"/>
          <w:spacing w:val="-2"/>
          <w:szCs w:val="24"/>
        </w:rPr>
        <w:t xml:space="preserve"> </w:t>
      </w:r>
      <w:r w:rsidRPr="00730267">
        <w:rPr>
          <w:rFonts w:eastAsia="Arial" w:cs="Arial"/>
          <w:szCs w:val="24"/>
        </w:rPr>
        <w:t>used</w:t>
      </w:r>
      <w:r w:rsidRPr="00730267">
        <w:rPr>
          <w:rFonts w:eastAsia="Arial" w:cs="Arial"/>
          <w:spacing w:val="-1"/>
          <w:szCs w:val="24"/>
        </w:rPr>
        <w:t xml:space="preserve"> </w:t>
      </w:r>
      <w:r w:rsidRPr="00730267">
        <w:rPr>
          <w:rFonts w:eastAsia="Arial" w:cs="Arial"/>
          <w:szCs w:val="24"/>
        </w:rPr>
        <w:t>as</w:t>
      </w:r>
      <w:r w:rsidRPr="00730267">
        <w:rPr>
          <w:rFonts w:eastAsia="Arial" w:cs="Arial"/>
          <w:spacing w:val="-2"/>
          <w:szCs w:val="24"/>
        </w:rPr>
        <w:t xml:space="preserve"> </w:t>
      </w:r>
      <w:r w:rsidRPr="00730267">
        <w:rPr>
          <w:rFonts w:eastAsia="Arial" w:cs="Arial"/>
          <w:szCs w:val="24"/>
        </w:rPr>
        <w:t>follows:</w:t>
      </w:r>
    </w:p>
    <w:p w14:paraId="73FCE0A9" w14:textId="77777777" w:rsidR="004F08EE" w:rsidRPr="00730267" w:rsidRDefault="004F08EE" w:rsidP="004F08EE">
      <w:pPr>
        <w:ind w:left="720"/>
        <w:rPr>
          <w:rFonts w:eastAsia="Arial" w:cs="Arial"/>
          <w:szCs w:val="24"/>
        </w:rPr>
      </w:pPr>
      <w:r w:rsidRPr="00730267">
        <w:rPr>
          <w:rFonts w:eastAsia="Arial" w:cs="Arial"/>
          <w:szCs w:val="24"/>
        </w:rPr>
        <w:t>0–2</w:t>
      </w:r>
      <w:r w:rsidRPr="00730267">
        <w:rPr>
          <w:rFonts w:eastAsia="Arial" w:cs="Arial"/>
          <w:spacing w:val="-2"/>
          <w:szCs w:val="24"/>
        </w:rPr>
        <w:t xml:space="preserve"> </w:t>
      </w:r>
      <w:r w:rsidRPr="00730267">
        <w:rPr>
          <w:rFonts w:eastAsia="Arial" w:cs="Arial"/>
          <w:szCs w:val="24"/>
        </w:rPr>
        <w:t>=</w:t>
      </w:r>
      <w:r w:rsidRPr="00730267">
        <w:rPr>
          <w:rFonts w:eastAsia="Arial" w:cs="Arial"/>
          <w:spacing w:val="-2"/>
          <w:szCs w:val="24"/>
        </w:rPr>
        <w:t xml:space="preserve"> </w:t>
      </w:r>
      <w:r w:rsidRPr="00730267">
        <w:rPr>
          <w:rFonts w:eastAsia="Arial" w:cs="Arial"/>
          <w:szCs w:val="24"/>
        </w:rPr>
        <w:t>Insufficient</w:t>
      </w:r>
      <w:r w:rsidRPr="00730267">
        <w:rPr>
          <w:rFonts w:eastAsia="Arial" w:cs="Arial"/>
          <w:spacing w:val="-2"/>
          <w:szCs w:val="24"/>
        </w:rPr>
        <w:t xml:space="preserve"> </w:t>
      </w:r>
      <w:r w:rsidRPr="00730267">
        <w:rPr>
          <w:rFonts w:eastAsia="Arial" w:cs="Arial"/>
          <w:szCs w:val="24"/>
        </w:rPr>
        <w:t>or</w:t>
      </w:r>
      <w:r w:rsidRPr="00730267">
        <w:rPr>
          <w:rFonts w:eastAsia="Arial" w:cs="Arial"/>
          <w:spacing w:val="-2"/>
          <w:szCs w:val="24"/>
        </w:rPr>
        <w:t xml:space="preserve"> </w:t>
      </w:r>
      <w:r w:rsidRPr="00730267">
        <w:rPr>
          <w:rFonts w:eastAsia="Arial" w:cs="Arial"/>
          <w:szCs w:val="24"/>
        </w:rPr>
        <w:t>no</w:t>
      </w:r>
      <w:r w:rsidRPr="00730267">
        <w:rPr>
          <w:rFonts w:eastAsia="Arial" w:cs="Arial"/>
          <w:spacing w:val="-2"/>
          <w:szCs w:val="24"/>
        </w:rPr>
        <w:t xml:space="preserve"> </w:t>
      </w:r>
      <w:r w:rsidRPr="00730267">
        <w:rPr>
          <w:rFonts w:eastAsia="Arial" w:cs="Arial"/>
          <w:szCs w:val="24"/>
        </w:rPr>
        <w:t>information</w:t>
      </w:r>
      <w:r w:rsidRPr="00730267">
        <w:rPr>
          <w:rFonts w:eastAsia="Arial" w:cs="Arial"/>
          <w:spacing w:val="-2"/>
          <w:szCs w:val="24"/>
        </w:rPr>
        <w:t xml:space="preserve"> </w:t>
      </w:r>
      <w:r w:rsidRPr="00730267">
        <w:rPr>
          <w:rFonts w:eastAsia="Arial" w:cs="Arial"/>
          <w:szCs w:val="24"/>
        </w:rPr>
        <w:t>provided,</w:t>
      </w:r>
      <w:r w:rsidRPr="00730267">
        <w:rPr>
          <w:rFonts w:eastAsia="Arial" w:cs="Arial"/>
          <w:spacing w:val="-2"/>
          <w:szCs w:val="24"/>
        </w:rPr>
        <w:t xml:space="preserve"> </w:t>
      </w:r>
      <w:r w:rsidRPr="00730267">
        <w:rPr>
          <w:rFonts w:eastAsia="Arial" w:cs="Arial"/>
          <w:szCs w:val="24"/>
        </w:rPr>
        <w:t>lacks</w:t>
      </w:r>
      <w:r w:rsidRPr="00730267">
        <w:rPr>
          <w:rFonts w:eastAsia="Arial" w:cs="Arial"/>
          <w:spacing w:val="-2"/>
          <w:szCs w:val="24"/>
        </w:rPr>
        <w:t xml:space="preserve"> </w:t>
      </w:r>
      <w:r w:rsidRPr="00730267">
        <w:rPr>
          <w:rFonts w:eastAsia="Arial" w:cs="Arial"/>
          <w:szCs w:val="24"/>
        </w:rPr>
        <w:t>specificity</w:t>
      </w:r>
    </w:p>
    <w:p w14:paraId="4743B28C" w14:textId="77777777" w:rsidR="004F08EE" w:rsidRPr="00730267" w:rsidRDefault="004F08EE" w:rsidP="004F08EE">
      <w:pPr>
        <w:spacing w:line="247" w:lineRule="auto"/>
        <w:ind w:left="720"/>
        <w:rPr>
          <w:rFonts w:eastAsia="Arial" w:cs="Arial"/>
          <w:szCs w:val="24"/>
        </w:rPr>
      </w:pPr>
      <w:r w:rsidRPr="00730267">
        <w:rPr>
          <w:rFonts w:eastAsia="Arial" w:cs="Arial"/>
          <w:szCs w:val="24"/>
        </w:rPr>
        <w:t>3–4</w:t>
      </w:r>
      <w:r w:rsidRPr="00730267">
        <w:rPr>
          <w:rFonts w:eastAsia="Arial" w:cs="Arial"/>
          <w:spacing w:val="-2"/>
          <w:szCs w:val="24"/>
        </w:rPr>
        <w:t xml:space="preserve"> </w:t>
      </w:r>
      <w:r w:rsidRPr="00730267">
        <w:rPr>
          <w:rFonts w:eastAsia="Arial" w:cs="Arial"/>
          <w:szCs w:val="24"/>
        </w:rPr>
        <w:t>=</w:t>
      </w:r>
      <w:r w:rsidRPr="00730267">
        <w:rPr>
          <w:rFonts w:eastAsia="Arial" w:cs="Arial"/>
          <w:spacing w:val="-2"/>
          <w:szCs w:val="24"/>
        </w:rPr>
        <w:t xml:space="preserve"> </w:t>
      </w:r>
      <w:r w:rsidRPr="00730267">
        <w:rPr>
          <w:rFonts w:eastAsia="Arial" w:cs="Arial"/>
          <w:szCs w:val="24"/>
        </w:rPr>
        <w:t>Limited,</w:t>
      </w:r>
      <w:r w:rsidRPr="00730267">
        <w:rPr>
          <w:rFonts w:eastAsia="Arial" w:cs="Arial"/>
          <w:spacing w:val="-2"/>
          <w:szCs w:val="24"/>
        </w:rPr>
        <w:t xml:space="preserve"> </w:t>
      </w:r>
      <w:r w:rsidRPr="00730267">
        <w:rPr>
          <w:rFonts w:eastAsia="Arial" w:cs="Arial"/>
          <w:szCs w:val="24"/>
        </w:rPr>
        <w:t>includes</w:t>
      </w:r>
      <w:r w:rsidRPr="00730267">
        <w:rPr>
          <w:rFonts w:eastAsia="Arial" w:cs="Arial"/>
          <w:spacing w:val="-1"/>
          <w:szCs w:val="24"/>
        </w:rPr>
        <w:t xml:space="preserve"> </w:t>
      </w:r>
      <w:r w:rsidRPr="00730267">
        <w:rPr>
          <w:rFonts w:eastAsia="Arial" w:cs="Arial"/>
          <w:szCs w:val="24"/>
        </w:rPr>
        <w:t>general</w:t>
      </w:r>
      <w:r w:rsidRPr="00730267">
        <w:rPr>
          <w:rFonts w:eastAsia="Arial" w:cs="Arial"/>
          <w:spacing w:val="-2"/>
          <w:szCs w:val="24"/>
        </w:rPr>
        <w:t xml:space="preserve"> </w:t>
      </w:r>
      <w:r w:rsidRPr="00730267">
        <w:rPr>
          <w:rFonts w:eastAsia="Arial" w:cs="Arial"/>
          <w:szCs w:val="24"/>
        </w:rPr>
        <w:t>information</w:t>
      </w:r>
      <w:r w:rsidRPr="00730267">
        <w:rPr>
          <w:rFonts w:eastAsia="Arial" w:cs="Arial"/>
          <w:spacing w:val="-2"/>
          <w:szCs w:val="24"/>
        </w:rPr>
        <w:t xml:space="preserve"> </w:t>
      </w:r>
      <w:r w:rsidRPr="00730267">
        <w:rPr>
          <w:rFonts w:eastAsia="Arial" w:cs="Arial"/>
          <w:szCs w:val="24"/>
        </w:rPr>
        <w:t>but</w:t>
      </w:r>
      <w:r w:rsidRPr="00730267">
        <w:rPr>
          <w:rFonts w:eastAsia="Arial" w:cs="Arial"/>
          <w:spacing w:val="-2"/>
          <w:szCs w:val="24"/>
        </w:rPr>
        <w:t xml:space="preserve"> </w:t>
      </w:r>
      <w:r w:rsidRPr="00730267">
        <w:rPr>
          <w:rFonts w:eastAsia="Arial" w:cs="Arial"/>
          <w:szCs w:val="24"/>
        </w:rPr>
        <w:t>needs</w:t>
      </w:r>
      <w:r w:rsidRPr="00730267">
        <w:rPr>
          <w:rFonts w:eastAsia="Arial" w:cs="Arial"/>
          <w:spacing w:val="-1"/>
          <w:szCs w:val="24"/>
        </w:rPr>
        <w:t xml:space="preserve"> </w:t>
      </w:r>
      <w:r w:rsidRPr="00730267">
        <w:rPr>
          <w:rFonts w:eastAsia="Arial" w:cs="Arial"/>
          <w:szCs w:val="24"/>
        </w:rPr>
        <w:t>additional</w:t>
      </w:r>
      <w:r w:rsidRPr="00730267">
        <w:rPr>
          <w:rFonts w:eastAsia="Arial" w:cs="Arial"/>
          <w:spacing w:val="-2"/>
          <w:szCs w:val="24"/>
        </w:rPr>
        <w:t xml:space="preserve"> </w:t>
      </w:r>
      <w:r w:rsidRPr="00730267">
        <w:rPr>
          <w:rFonts w:eastAsia="Arial" w:cs="Arial"/>
          <w:szCs w:val="24"/>
        </w:rPr>
        <w:t>detail,</w:t>
      </w:r>
      <w:r w:rsidRPr="00730267">
        <w:rPr>
          <w:rFonts w:eastAsia="Arial" w:cs="Arial"/>
          <w:spacing w:val="-2"/>
          <w:szCs w:val="24"/>
        </w:rPr>
        <w:t xml:space="preserve"> </w:t>
      </w:r>
      <w:r>
        <w:rPr>
          <w:rFonts w:eastAsia="Arial" w:cs="Arial"/>
          <w:szCs w:val="24"/>
        </w:rPr>
        <w:t xml:space="preserve">lacks </w:t>
      </w:r>
      <w:r w:rsidRPr="00730267">
        <w:rPr>
          <w:rFonts w:eastAsia="Arial" w:cs="Arial"/>
          <w:szCs w:val="24"/>
        </w:rPr>
        <w:t>specificity</w:t>
      </w:r>
    </w:p>
    <w:p w14:paraId="0B258825" w14:textId="77777777" w:rsidR="004F08EE" w:rsidRDefault="004F08EE" w:rsidP="004F08EE">
      <w:pPr>
        <w:ind w:left="720"/>
        <w:rPr>
          <w:rFonts w:eastAsia="Arial" w:cs="Arial"/>
          <w:szCs w:val="24"/>
        </w:rPr>
      </w:pPr>
      <w:r w:rsidRPr="00730267">
        <w:rPr>
          <w:rFonts w:eastAsia="Arial" w:cs="Arial"/>
          <w:szCs w:val="24"/>
        </w:rPr>
        <w:t>5–6</w:t>
      </w:r>
      <w:r w:rsidRPr="00730267">
        <w:rPr>
          <w:rFonts w:eastAsia="Arial" w:cs="Arial"/>
          <w:spacing w:val="-3"/>
          <w:szCs w:val="24"/>
        </w:rPr>
        <w:t xml:space="preserve"> </w:t>
      </w:r>
      <w:r w:rsidRPr="00730267">
        <w:rPr>
          <w:rFonts w:eastAsia="Arial" w:cs="Arial"/>
          <w:szCs w:val="24"/>
        </w:rPr>
        <w:t>=</w:t>
      </w:r>
      <w:r w:rsidRPr="00730267">
        <w:rPr>
          <w:rFonts w:eastAsia="Arial" w:cs="Arial"/>
          <w:spacing w:val="-2"/>
          <w:szCs w:val="24"/>
        </w:rPr>
        <w:t xml:space="preserve"> </w:t>
      </w:r>
      <w:r w:rsidRPr="00730267">
        <w:rPr>
          <w:rFonts w:eastAsia="Arial" w:cs="Arial"/>
          <w:szCs w:val="24"/>
        </w:rPr>
        <w:t>Adequate,</w:t>
      </w:r>
      <w:r w:rsidRPr="00730267">
        <w:rPr>
          <w:rFonts w:eastAsia="Arial" w:cs="Arial"/>
          <w:spacing w:val="-2"/>
          <w:szCs w:val="24"/>
        </w:rPr>
        <w:t xml:space="preserve"> </w:t>
      </w:r>
      <w:r w:rsidRPr="00730267">
        <w:rPr>
          <w:rFonts w:eastAsia="Arial" w:cs="Arial"/>
          <w:szCs w:val="24"/>
        </w:rPr>
        <w:t>includes</w:t>
      </w:r>
      <w:r w:rsidRPr="00730267">
        <w:rPr>
          <w:rFonts w:eastAsia="Arial" w:cs="Arial"/>
          <w:spacing w:val="-2"/>
          <w:szCs w:val="24"/>
        </w:rPr>
        <w:t xml:space="preserve"> </w:t>
      </w:r>
      <w:r w:rsidRPr="00730267">
        <w:rPr>
          <w:rFonts w:eastAsia="Arial" w:cs="Arial"/>
          <w:szCs w:val="24"/>
        </w:rPr>
        <w:t>sufficient</w:t>
      </w:r>
      <w:r w:rsidRPr="00730267">
        <w:rPr>
          <w:rFonts w:eastAsia="Arial" w:cs="Arial"/>
          <w:spacing w:val="-2"/>
          <w:szCs w:val="24"/>
        </w:rPr>
        <w:t xml:space="preserve"> </w:t>
      </w:r>
      <w:r w:rsidRPr="00730267">
        <w:rPr>
          <w:rFonts w:eastAsia="Arial" w:cs="Arial"/>
          <w:szCs w:val="24"/>
        </w:rPr>
        <w:t>description</w:t>
      </w:r>
      <w:r w:rsidRPr="00730267">
        <w:rPr>
          <w:rFonts w:eastAsia="Arial" w:cs="Arial"/>
          <w:spacing w:val="-2"/>
          <w:szCs w:val="24"/>
        </w:rPr>
        <w:t xml:space="preserve"> </w:t>
      </w:r>
      <w:r w:rsidRPr="00730267">
        <w:rPr>
          <w:rFonts w:eastAsia="Arial" w:cs="Arial"/>
          <w:szCs w:val="24"/>
        </w:rPr>
        <w:t>that</w:t>
      </w:r>
      <w:r w:rsidRPr="00730267">
        <w:rPr>
          <w:rFonts w:eastAsia="Arial" w:cs="Arial"/>
          <w:spacing w:val="-2"/>
          <w:szCs w:val="24"/>
        </w:rPr>
        <w:t xml:space="preserve"> </w:t>
      </w:r>
      <w:r w:rsidRPr="00730267">
        <w:rPr>
          <w:rFonts w:eastAsia="Arial" w:cs="Arial"/>
          <w:szCs w:val="24"/>
        </w:rPr>
        <w:t>includes</w:t>
      </w:r>
      <w:r w:rsidRPr="00730267">
        <w:rPr>
          <w:rFonts w:eastAsia="Arial" w:cs="Arial"/>
          <w:spacing w:val="-2"/>
          <w:szCs w:val="24"/>
        </w:rPr>
        <w:t xml:space="preserve"> </w:t>
      </w:r>
      <w:r w:rsidRPr="00730267">
        <w:rPr>
          <w:rFonts w:eastAsia="Arial" w:cs="Arial"/>
          <w:szCs w:val="24"/>
        </w:rPr>
        <w:t>most</w:t>
      </w:r>
      <w:r w:rsidRPr="00730267">
        <w:rPr>
          <w:rFonts w:eastAsia="Arial" w:cs="Arial"/>
          <w:spacing w:val="-2"/>
          <w:szCs w:val="24"/>
        </w:rPr>
        <w:t xml:space="preserve"> </w:t>
      </w:r>
      <w:r w:rsidRPr="00730267">
        <w:rPr>
          <w:rFonts w:eastAsia="Arial" w:cs="Arial"/>
          <w:szCs w:val="24"/>
        </w:rPr>
        <w:t>details</w:t>
      </w:r>
    </w:p>
    <w:p w14:paraId="6956E33E" w14:textId="2B6F33B7" w:rsidR="004F08EE" w:rsidRPr="004F08EE" w:rsidRDefault="004F08EE" w:rsidP="004F08EE">
      <w:pPr>
        <w:ind w:left="720"/>
        <w:rPr>
          <w:rFonts w:eastAsia="Arial" w:cs="Arial"/>
          <w:szCs w:val="24"/>
        </w:rPr>
      </w:pPr>
      <w:r w:rsidRPr="00730267">
        <w:rPr>
          <w:rFonts w:eastAsia="Arial" w:cs="Arial"/>
          <w:szCs w:val="24"/>
        </w:rPr>
        <w:t>7–8</w:t>
      </w:r>
      <w:r w:rsidRPr="00730267">
        <w:rPr>
          <w:rFonts w:eastAsia="Arial" w:cs="Arial"/>
          <w:spacing w:val="-2"/>
          <w:szCs w:val="24"/>
        </w:rPr>
        <w:t xml:space="preserve"> </w:t>
      </w:r>
      <w:r w:rsidRPr="00730267">
        <w:rPr>
          <w:rFonts w:eastAsia="Arial" w:cs="Arial"/>
          <w:szCs w:val="24"/>
        </w:rPr>
        <w:t>=</w:t>
      </w:r>
      <w:r w:rsidRPr="00730267">
        <w:rPr>
          <w:rFonts w:eastAsia="Arial" w:cs="Arial"/>
          <w:spacing w:val="-1"/>
          <w:szCs w:val="24"/>
        </w:rPr>
        <w:t xml:space="preserve"> </w:t>
      </w:r>
      <w:r w:rsidRPr="00730267">
        <w:rPr>
          <w:rFonts w:eastAsia="Arial" w:cs="Arial"/>
          <w:szCs w:val="24"/>
        </w:rPr>
        <w:t>C</w:t>
      </w:r>
      <w:r>
        <w:rPr>
          <w:rFonts w:eastAsia="Arial" w:cs="Arial"/>
          <w:szCs w:val="24"/>
        </w:rPr>
        <w:t>lear</w:t>
      </w:r>
      <w:r w:rsidRPr="00730267">
        <w:rPr>
          <w:rFonts w:eastAsia="Arial" w:cs="Arial"/>
          <w:szCs w:val="24"/>
        </w:rPr>
        <w:t>,</w:t>
      </w:r>
      <w:r w:rsidRPr="00730267">
        <w:rPr>
          <w:rFonts w:eastAsia="Arial" w:cs="Arial"/>
          <w:spacing w:val="-2"/>
          <w:szCs w:val="24"/>
        </w:rPr>
        <w:t xml:space="preserve"> </w:t>
      </w:r>
      <w:r w:rsidRPr="00730267">
        <w:rPr>
          <w:rFonts w:eastAsia="Arial" w:cs="Arial"/>
          <w:szCs w:val="24"/>
        </w:rPr>
        <w:t>provides</w:t>
      </w:r>
      <w:r w:rsidRPr="00730267">
        <w:rPr>
          <w:rFonts w:eastAsia="Arial" w:cs="Arial"/>
          <w:spacing w:val="-1"/>
          <w:szCs w:val="24"/>
        </w:rPr>
        <w:t xml:space="preserve"> </w:t>
      </w:r>
      <w:r w:rsidRPr="00730267">
        <w:rPr>
          <w:rFonts w:eastAsia="Arial" w:cs="Arial"/>
          <w:szCs w:val="24"/>
        </w:rPr>
        <w:t>a</w:t>
      </w:r>
      <w:r w:rsidRPr="00730267">
        <w:rPr>
          <w:rFonts w:eastAsia="Arial" w:cs="Arial"/>
          <w:spacing w:val="-2"/>
          <w:szCs w:val="24"/>
        </w:rPr>
        <w:t xml:space="preserve"> </w:t>
      </w:r>
      <w:r w:rsidRPr="00730267">
        <w:rPr>
          <w:rFonts w:eastAsia="Arial" w:cs="Arial"/>
          <w:szCs w:val="24"/>
        </w:rPr>
        <w:t>clear</w:t>
      </w:r>
      <w:r w:rsidRPr="00730267">
        <w:rPr>
          <w:rFonts w:eastAsia="Arial" w:cs="Arial"/>
          <w:spacing w:val="-1"/>
          <w:szCs w:val="24"/>
        </w:rPr>
        <w:t xml:space="preserve"> </w:t>
      </w:r>
      <w:r w:rsidRPr="00730267">
        <w:rPr>
          <w:rFonts w:eastAsia="Arial" w:cs="Arial"/>
          <w:szCs w:val="24"/>
        </w:rPr>
        <w:t>description</w:t>
      </w:r>
      <w:r w:rsidRPr="00730267">
        <w:rPr>
          <w:rFonts w:eastAsia="Arial" w:cs="Arial"/>
          <w:spacing w:val="-1"/>
          <w:szCs w:val="24"/>
        </w:rPr>
        <w:t xml:space="preserve"> </w:t>
      </w:r>
      <w:r w:rsidRPr="00730267">
        <w:rPr>
          <w:rFonts w:eastAsia="Arial" w:cs="Arial"/>
          <w:szCs w:val="24"/>
        </w:rPr>
        <w:t>and</w:t>
      </w:r>
      <w:r w:rsidRPr="00730267">
        <w:rPr>
          <w:rFonts w:eastAsia="Arial" w:cs="Arial"/>
          <w:spacing w:val="-2"/>
          <w:szCs w:val="24"/>
        </w:rPr>
        <w:t xml:space="preserve"> </w:t>
      </w:r>
      <w:r w:rsidRPr="00730267">
        <w:rPr>
          <w:rFonts w:eastAsia="Arial" w:cs="Arial"/>
          <w:szCs w:val="24"/>
        </w:rPr>
        <w:t>includes</w:t>
      </w:r>
      <w:r w:rsidRPr="00730267">
        <w:rPr>
          <w:rFonts w:eastAsia="Arial" w:cs="Arial"/>
          <w:spacing w:val="-1"/>
          <w:szCs w:val="24"/>
        </w:rPr>
        <w:t xml:space="preserve"> </w:t>
      </w:r>
      <w:r w:rsidRPr="00730267">
        <w:rPr>
          <w:rFonts w:eastAsia="Arial" w:cs="Arial"/>
          <w:szCs w:val="24"/>
        </w:rPr>
        <w:t>specific</w:t>
      </w:r>
      <w:r w:rsidRPr="00730267">
        <w:rPr>
          <w:rFonts w:eastAsia="Arial" w:cs="Arial"/>
          <w:spacing w:val="-2"/>
          <w:szCs w:val="24"/>
        </w:rPr>
        <w:t xml:space="preserve"> </w:t>
      </w:r>
      <w:r w:rsidRPr="00730267">
        <w:rPr>
          <w:rFonts w:eastAsia="Arial" w:cs="Arial"/>
          <w:szCs w:val="24"/>
        </w:rPr>
        <w:t>details</w:t>
      </w:r>
    </w:p>
    <w:p w14:paraId="5923D5AC" w14:textId="08321A16" w:rsidR="00450B67" w:rsidRDefault="00450B67" w:rsidP="00450B67">
      <w:r w:rsidRPr="00C47F9D">
        <w:t>Each application will be reviewed independently by two CDE-selected reviewers. If the initial scores assigned by the reviewers fall into different point ranges, the reviewers will discuss their scores to reach consensus and re-score the application if needed. If consensus cannot be reached, a third reviewer will score the application. The final score will be determined by combining the score from one of the original reviewers with the third reviewer's score (whichever score is most closely aligned).</w:t>
      </w:r>
    </w:p>
    <w:p w14:paraId="67A3010E" w14:textId="2E6EF9DB" w:rsidR="00450B67" w:rsidRDefault="009E3054" w:rsidP="00450B67">
      <w:r w:rsidRPr="004133D9">
        <w:t xml:space="preserve">Applications that include multiple topics will receive a final total score for each individual topic (e.g. an application that includes both EL </w:t>
      </w:r>
      <w:r w:rsidRPr="00EA1445">
        <w:t xml:space="preserve">and SPED will receive one final total score for EL and one final total score for SPED). </w:t>
      </w:r>
      <w:r w:rsidR="00E84E3B" w:rsidRPr="00EA1445">
        <w:t xml:space="preserve">The base </w:t>
      </w:r>
      <w:r w:rsidR="00450B67" w:rsidRPr="00EA1445">
        <w:t>score</w:t>
      </w:r>
      <w:r w:rsidR="00E84E3B" w:rsidRPr="00EA1445">
        <w:t xml:space="preserve"> includes the </w:t>
      </w:r>
      <w:r w:rsidR="00CE1812" w:rsidRPr="00EA1445">
        <w:t xml:space="preserve">sections on organizational capacity, personnel resources, and budget </w:t>
      </w:r>
      <w:r w:rsidR="00450B67" w:rsidRPr="00EA1445">
        <w:t>(</w:t>
      </w:r>
      <w:r w:rsidR="00CE1812" w:rsidRPr="00EA1445">
        <w:t xml:space="preserve">totaling </w:t>
      </w:r>
      <w:r w:rsidR="00450B67" w:rsidRPr="00EA1445">
        <w:t xml:space="preserve">up to </w:t>
      </w:r>
      <w:r w:rsidR="00AB6CAE" w:rsidRPr="00EA1445">
        <w:t>56</w:t>
      </w:r>
      <w:r w:rsidR="00450B67" w:rsidRPr="00EA1445">
        <w:t xml:space="preserve"> points)</w:t>
      </w:r>
      <w:r w:rsidR="00E84E3B" w:rsidRPr="00EA1445">
        <w:t xml:space="preserve">. The </w:t>
      </w:r>
      <w:r w:rsidR="00F46A2F" w:rsidRPr="00EA1445">
        <w:t>s</w:t>
      </w:r>
      <w:r w:rsidR="00E84E3B" w:rsidRPr="00EA1445">
        <w:t xml:space="preserve">cope of </w:t>
      </w:r>
      <w:r w:rsidR="00F46A2F" w:rsidRPr="00EA1445">
        <w:t>w</w:t>
      </w:r>
      <w:r w:rsidR="00E84E3B" w:rsidRPr="00EA1445">
        <w:t xml:space="preserve">ork section is scored separately </w:t>
      </w:r>
      <w:r w:rsidR="00450B67" w:rsidRPr="00EA1445">
        <w:t>for the individual topic(s) applied for</w:t>
      </w:r>
      <w:r w:rsidR="00E84E3B" w:rsidRPr="00EA1445">
        <w:t xml:space="preserve"> (totaling up to 40 points per individual topic applied for)</w:t>
      </w:r>
      <w:r w:rsidR="00CE1812" w:rsidRPr="00EA1445">
        <w:t>.</w:t>
      </w:r>
      <w:r w:rsidR="00450B67" w:rsidRPr="00EA1445">
        <w:t xml:space="preserve"> </w:t>
      </w:r>
      <w:r w:rsidRPr="00EA1445">
        <w:t xml:space="preserve">The final total score for each application will be the sum of the base score plus the scope of work score for each individual topic area applied for, for a total of 96 points. </w:t>
      </w:r>
      <w:r w:rsidR="00272621" w:rsidRPr="00EA1445">
        <w:t>The number of scores a</w:t>
      </w:r>
      <w:r w:rsidR="00E84E3B" w:rsidRPr="00EA1445">
        <w:t>n</w:t>
      </w:r>
      <w:r w:rsidR="00272621" w:rsidRPr="00EA1445">
        <w:t xml:space="preserve"> </w:t>
      </w:r>
      <w:r w:rsidR="00E84E3B" w:rsidRPr="00EA1445">
        <w:t>applicant</w:t>
      </w:r>
      <w:r w:rsidR="00272621" w:rsidRPr="00EA1445">
        <w:t xml:space="preserve"> receives will depend on the number of </w:t>
      </w:r>
      <w:r w:rsidR="00CE1812" w:rsidRPr="00EA1445">
        <w:t xml:space="preserve">subgrant </w:t>
      </w:r>
      <w:r w:rsidR="00E846F8" w:rsidRPr="00EA1445">
        <w:t>topics</w:t>
      </w:r>
      <w:r w:rsidR="00E846F8" w:rsidRPr="00CE1812">
        <w:t xml:space="preserve"> they apply for, with each </w:t>
      </w:r>
      <w:r w:rsidR="00CE1812" w:rsidRPr="00CE1812">
        <w:t>subgrant</w:t>
      </w:r>
      <w:r w:rsidR="00E846F8" w:rsidRPr="00CE1812">
        <w:t xml:space="preserve"> topic evaluated </w:t>
      </w:r>
      <w:r w:rsidR="00E84E3B">
        <w:t>separately</w:t>
      </w:r>
      <w:r w:rsidR="00E846F8" w:rsidRPr="00CE1812">
        <w:t xml:space="preserve">. </w:t>
      </w:r>
      <w:r w:rsidR="00450B67" w:rsidRPr="00CE1812">
        <w:t>Once all applications have been scored, the CDE will rank the applicants based on their cumulative score</w:t>
      </w:r>
      <w:r w:rsidR="00E84E3B">
        <w:t>(s)</w:t>
      </w:r>
      <w:r w:rsidR="00450B67" w:rsidRPr="00CE1812">
        <w:t xml:space="preserve">. Applicants with the highest </w:t>
      </w:r>
      <w:r>
        <w:t xml:space="preserve">final </w:t>
      </w:r>
      <w:r w:rsidR="00E84E3B">
        <w:t xml:space="preserve">total </w:t>
      </w:r>
      <w:r w:rsidR="00450B67" w:rsidRPr="00CE1812">
        <w:t xml:space="preserve">scores </w:t>
      </w:r>
      <w:r>
        <w:t xml:space="preserve">in each topic </w:t>
      </w:r>
      <w:r w:rsidR="00450B67" w:rsidRPr="00CE1812">
        <w:t>will be prioritized for funding consideration.</w:t>
      </w:r>
      <w:r>
        <w:t xml:space="preserve"> Below is a sample scoresheet for a</w:t>
      </w:r>
      <w:r w:rsidR="00795AA0">
        <w:t>n</w:t>
      </w:r>
      <w:r>
        <w:t xml:space="preserve"> applicant that applied for </w:t>
      </w:r>
      <w:r w:rsidR="000E4FF6">
        <w:t>both EL and SPED topics.</w:t>
      </w:r>
    </w:p>
    <w:p w14:paraId="205A40EA" w14:textId="1F57C80C" w:rsidR="009E3054" w:rsidRDefault="009E3054" w:rsidP="00B477B2">
      <w:pPr>
        <w:pStyle w:val="TableHeader"/>
      </w:pPr>
      <w:r>
        <w:t>Sample Base Score</w:t>
      </w:r>
      <w:r w:rsidR="000E4FF6">
        <w:t xml:space="preserve"> Calculation</w:t>
      </w:r>
      <w:r>
        <w:t xml:space="preserve"> </w:t>
      </w:r>
    </w:p>
    <w:tbl>
      <w:tblPr>
        <w:tblStyle w:val="TableGrid"/>
        <w:tblW w:w="0" w:type="auto"/>
        <w:tblLook w:val="04A0" w:firstRow="1" w:lastRow="0" w:firstColumn="1" w:lastColumn="0" w:noHBand="0" w:noVBand="1"/>
        <w:tblDescription w:val="Sample Base Score Calculation"/>
      </w:tblPr>
      <w:tblGrid>
        <w:gridCol w:w="4495"/>
        <w:gridCol w:w="3060"/>
      </w:tblGrid>
      <w:tr w:rsidR="000E4FF6" w14:paraId="27A9B130" w14:textId="77777777" w:rsidTr="00B477B2">
        <w:trPr>
          <w:cantSplit/>
          <w:trHeight w:val="728"/>
          <w:tblHeader/>
        </w:trPr>
        <w:tc>
          <w:tcPr>
            <w:tcW w:w="4495" w:type="dxa"/>
            <w:shd w:val="clear" w:color="auto" w:fill="BFBFBF" w:themeFill="background1" w:themeFillShade="BF"/>
            <w:vAlign w:val="center"/>
          </w:tcPr>
          <w:p w14:paraId="4A4B5539" w14:textId="77777777" w:rsidR="000E4FF6" w:rsidRPr="0061549A" w:rsidRDefault="000E4FF6" w:rsidP="00005638">
            <w:pPr>
              <w:jc w:val="center"/>
              <w:rPr>
                <w:b/>
              </w:rPr>
            </w:pPr>
            <w:r>
              <w:rPr>
                <w:b/>
              </w:rPr>
              <w:t>Section</w:t>
            </w:r>
          </w:p>
        </w:tc>
        <w:tc>
          <w:tcPr>
            <w:tcW w:w="3060" w:type="dxa"/>
            <w:shd w:val="clear" w:color="auto" w:fill="BFBFBF" w:themeFill="background1" w:themeFillShade="BF"/>
            <w:vAlign w:val="center"/>
          </w:tcPr>
          <w:p w14:paraId="47114339" w14:textId="77777777" w:rsidR="000E4FF6" w:rsidRPr="00085FC2" w:rsidRDefault="000E4FF6" w:rsidP="00005638">
            <w:pPr>
              <w:jc w:val="center"/>
              <w:rPr>
                <w:b/>
              </w:rPr>
            </w:pPr>
            <w:r w:rsidRPr="0061549A">
              <w:rPr>
                <w:b/>
              </w:rPr>
              <w:t>Score</w:t>
            </w:r>
          </w:p>
        </w:tc>
      </w:tr>
      <w:tr w:rsidR="000E4FF6" w:rsidRPr="00EA1445" w14:paraId="75D5EE88" w14:textId="77777777" w:rsidTr="001F4533">
        <w:trPr>
          <w:trHeight w:val="647"/>
        </w:trPr>
        <w:tc>
          <w:tcPr>
            <w:tcW w:w="4495" w:type="dxa"/>
            <w:vAlign w:val="center"/>
          </w:tcPr>
          <w:p w14:paraId="33FF4133" w14:textId="77777777" w:rsidR="000E4FF6" w:rsidRPr="00EA1445" w:rsidRDefault="000E4FF6" w:rsidP="00005638">
            <w:r w:rsidRPr="00EA1445">
              <w:t>I. Organizational Capacity</w:t>
            </w:r>
          </w:p>
        </w:tc>
        <w:tc>
          <w:tcPr>
            <w:tcW w:w="3060" w:type="dxa"/>
            <w:vAlign w:val="center"/>
          </w:tcPr>
          <w:p w14:paraId="6275154C" w14:textId="2C478AAA" w:rsidR="000E4FF6" w:rsidRPr="00EA1445" w:rsidRDefault="004B6497" w:rsidP="00005638">
            <w:pPr>
              <w:jc w:val="center"/>
            </w:pPr>
            <w:r w:rsidRPr="00EA1445">
              <w:t>16</w:t>
            </w:r>
            <w:r w:rsidR="000E4FF6" w:rsidRPr="00EA1445">
              <w:t>/</w:t>
            </w:r>
            <w:r w:rsidR="00393A50" w:rsidRPr="00EA1445">
              <w:t>16</w:t>
            </w:r>
          </w:p>
        </w:tc>
      </w:tr>
      <w:tr w:rsidR="000E4FF6" w:rsidRPr="00EA1445" w14:paraId="0C0AB1F5" w14:textId="77777777" w:rsidTr="001F4533">
        <w:trPr>
          <w:trHeight w:val="620"/>
        </w:trPr>
        <w:tc>
          <w:tcPr>
            <w:tcW w:w="4495" w:type="dxa"/>
            <w:vAlign w:val="center"/>
          </w:tcPr>
          <w:p w14:paraId="2B2CD403" w14:textId="77777777" w:rsidR="000E4FF6" w:rsidRPr="00EA1445" w:rsidRDefault="000E4FF6" w:rsidP="00005638">
            <w:r w:rsidRPr="00EA1445">
              <w:lastRenderedPageBreak/>
              <w:t xml:space="preserve">II. Personnel Resources </w:t>
            </w:r>
          </w:p>
        </w:tc>
        <w:tc>
          <w:tcPr>
            <w:tcW w:w="3060" w:type="dxa"/>
            <w:vAlign w:val="center"/>
          </w:tcPr>
          <w:p w14:paraId="71CE53A0" w14:textId="32E26698" w:rsidR="000E4FF6" w:rsidRPr="00EA1445" w:rsidRDefault="004B6497" w:rsidP="00005638">
            <w:pPr>
              <w:jc w:val="center"/>
            </w:pPr>
            <w:r w:rsidRPr="00EA1445">
              <w:t>20</w:t>
            </w:r>
            <w:r w:rsidR="000E4FF6" w:rsidRPr="00EA1445">
              <w:t>/</w:t>
            </w:r>
            <w:r w:rsidR="00E914F8" w:rsidRPr="00EA1445">
              <w:t>24</w:t>
            </w:r>
          </w:p>
        </w:tc>
      </w:tr>
      <w:tr w:rsidR="000E4FF6" w:rsidRPr="00EA1445" w14:paraId="50AFD196" w14:textId="77777777" w:rsidTr="001F4533">
        <w:trPr>
          <w:trHeight w:val="440"/>
        </w:trPr>
        <w:tc>
          <w:tcPr>
            <w:tcW w:w="4495" w:type="dxa"/>
            <w:vAlign w:val="center"/>
          </w:tcPr>
          <w:p w14:paraId="60126C26" w14:textId="77777777" w:rsidR="000E4FF6" w:rsidRPr="00EA1445" w:rsidRDefault="000E4FF6" w:rsidP="00005638">
            <w:r w:rsidRPr="00EA1445">
              <w:t>IV. Budget</w:t>
            </w:r>
          </w:p>
        </w:tc>
        <w:tc>
          <w:tcPr>
            <w:tcW w:w="3060" w:type="dxa"/>
            <w:vAlign w:val="center"/>
          </w:tcPr>
          <w:p w14:paraId="3DCBD32F" w14:textId="6FA9B5A6" w:rsidR="000E4FF6" w:rsidRPr="00EA1445" w:rsidRDefault="004B6497" w:rsidP="00005638">
            <w:pPr>
              <w:jc w:val="center"/>
            </w:pPr>
            <w:r w:rsidRPr="00EA1445">
              <w:t>14</w:t>
            </w:r>
            <w:r w:rsidR="000E4FF6" w:rsidRPr="00EA1445">
              <w:t>/16</w:t>
            </w:r>
          </w:p>
        </w:tc>
      </w:tr>
      <w:tr w:rsidR="000E4FF6" w:rsidRPr="00EA1445" w14:paraId="2018F8A9" w14:textId="77777777" w:rsidTr="001F4533">
        <w:trPr>
          <w:trHeight w:val="440"/>
        </w:trPr>
        <w:tc>
          <w:tcPr>
            <w:tcW w:w="4495" w:type="dxa"/>
            <w:vAlign w:val="center"/>
          </w:tcPr>
          <w:p w14:paraId="4397FF02" w14:textId="6DDC35D2" w:rsidR="000E4FF6" w:rsidRPr="00EA1445" w:rsidRDefault="000E4FF6" w:rsidP="00005638">
            <w:pPr>
              <w:rPr>
                <w:b/>
                <w:bCs/>
              </w:rPr>
            </w:pPr>
            <w:r w:rsidRPr="00EA1445">
              <w:rPr>
                <w:b/>
                <w:bCs/>
              </w:rPr>
              <w:t>Base Score Total</w:t>
            </w:r>
          </w:p>
        </w:tc>
        <w:tc>
          <w:tcPr>
            <w:tcW w:w="3060" w:type="dxa"/>
            <w:vAlign w:val="center"/>
          </w:tcPr>
          <w:p w14:paraId="391EC6DE" w14:textId="19C36163" w:rsidR="000E4FF6" w:rsidRPr="00EA1445" w:rsidRDefault="004B6497" w:rsidP="00291F8B">
            <w:pPr>
              <w:jc w:val="center"/>
            </w:pPr>
            <w:r w:rsidRPr="00EA1445">
              <w:t>50</w:t>
            </w:r>
            <w:r w:rsidR="000E4FF6" w:rsidRPr="00EA1445">
              <w:t>/</w:t>
            </w:r>
            <w:r w:rsidR="00BC45FC" w:rsidRPr="00EA1445">
              <w:t>56</w:t>
            </w:r>
          </w:p>
        </w:tc>
      </w:tr>
    </w:tbl>
    <w:p w14:paraId="7E0F2367" w14:textId="0D3D3D4F" w:rsidR="000E4FF6" w:rsidRPr="00EA1445" w:rsidRDefault="000E4FF6" w:rsidP="00B477B2">
      <w:pPr>
        <w:pStyle w:val="TableHeader"/>
      </w:pPr>
      <w:r w:rsidRPr="00EA1445">
        <w:t>Sample Scope of Work and Final Total Score Calculation</w:t>
      </w:r>
    </w:p>
    <w:tbl>
      <w:tblPr>
        <w:tblStyle w:val="TableGrid"/>
        <w:tblW w:w="9562" w:type="dxa"/>
        <w:tblLook w:val="04A0" w:firstRow="1" w:lastRow="0" w:firstColumn="1" w:lastColumn="0" w:noHBand="0" w:noVBand="1"/>
        <w:tblDescription w:val="Sample Scope of Work and Final Total Score Calculation"/>
      </w:tblPr>
      <w:tblGrid>
        <w:gridCol w:w="2587"/>
        <w:gridCol w:w="2923"/>
        <w:gridCol w:w="1594"/>
        <w:gridCol w:w="2458"/>
      </w:tblGrid>
      <w:tr w:rsidR="0028045B" w:rsidRPr="00EA1445" w14:paraId="717F6E20" w14:textId="77777777" w:rsidTr="00B477B2">
        <w:trPr>
          <w:cantSplit/>
          <w:trHeight w:val="575"/>
          <w:tblHeader/>
        </w:trPr>
        <w:tc>
          <w:tcPr>
            <w:tcW w:w="2587" w:type="dxa"/>
            <w:shd w:val="clear" w:color="auto" w:fill="BFBFBF" w:themeFill="background1" w:themeFillShade="BF"/>
            <w:vAlign w:val="center"/>
          </w:tcPr>
          <w:p w14:paraId="3B33BBDF" w14:textId="78836EE0" w:rsidR="0028045B" w:rsidRPr="00EA1445" w:rsidRDefault="00D405CF" w:rsidP="00005638">
            <w:pPr>
              <w:jc w:val="center"/>
              <w:rPr>
                <w:b/>
              </w:rPr>
            </w:pPr>
            <w:r>
              <w:rPr>
                <w:b/>
              </w:rPr>
              <w:t>Topic Area</w:t>
            </w:r>
          </w:p>
        </w:tc>
        <w:tc>
          <w:tcPr>
            <w:tcW w:w="2923" w:type="dxa"/>
            <w:shd w:val="clear" w:color="auto" w:fill="BFBFBF" w:themeFill="background1" w:themeFillShade="BF"/>
            <w:vAlign w:val="center"/>
          </w:tcPr>
          <w:p w14:paraId="1F2D4C7A" w14:textId="65F443F8" w:rsidR="0028045B" w:rsidRPr="00EA1445" w:rsidRDefault="002C4A04" w:rsidP="00291F8B">
            <w:pPr>
              <w:spacing w:after="0"/>
              <w:jc w:val="center"/>
              <w:rPr>
                <w:b/>
              </w:rPr>
            </w:pPr>
            <w:r w:rsidRPr="00EA1445">
              <w:rPr>
                <w:b/>
              </w:rPr>
              <w:t>III. Scope of Work</w:t>
            </w:r>
            <w:r w:rsidR="0028045B" w:rsidRPr="00EA1445">
              <w:rPr>
                <w:b/>
              </w:rPr>
              <w:t xml:space="preserve"> </w:t>
            </w:r>
            <w:r w:rsidR="000E4FF6" w:rsidRPr="00EA1445">
              <w:rPr>
                <w:b/>
              </w:rPr>
              <w:t>Score</w:t>
            </w:r>
          </w:p>
        </w:tc>
        <w:tc>
          <w:tcPr>
            <w:tcW w:w="1594" w:type="dxa"/>
            <w:shd w:val="clear" w:color="auto" w:fill="BFBFBF" w:themeFill="background1" w:themeFillShade="BF"/>
            <w:vAlign w:val="center"/>
          </w:tcPr>
          <w:p w14:paraId="27DB9FF7" w14:textId="20366642" w:rsidR="0028045B" w:rsidRPr="00EA1445" w:rsidRDefault="002C4A04" w:rsidP="00005638">
            <w:pPr>
              <w:jc w:val="center"/>
              <w:rPr>
                <w:b/>
              </w:rPr>
            </w:pPr>
            <w:r w:rsidRPr="00EA1445">
              <w:rPr>
                <w:b/>
              </w:rPr>
              <w:t>Base Score Total</w:t>
            </w:r>
          </w:p>
        </w:tc>
        <w:tc>
          <w:tcPr>
            <w:tcW w:w="2458" w:type="dxa"/>
            <w:shd w:val="clear" w:color="auto" w:fill="BFBFBF" w:themeFill="background1" w:themeFillShade="BF"/>
            <w:vAlign w:val="center"/>
          </w:tcPr>
          <w:p w14:paraId="2F9490B0" w14:textId="491CE3D8" w:rsidR="0028045B" w:rsidRPr="00EA1445" w:rsidRDefault="009E3054" w:rsidP="00005638">
            <w:pPr>
              <w:jc w:val="center"/>
              <w:rPr>
                <w:b/>
              </w:rPr>
            </w:pPr>
            <w:r w:rsidRPr="00EA1445">
              <w:rPr>
                <w:b/>
              </w:rPr>
              <w:t>Final Total Score</w:t>
            </w:r>
          </w:p>
        </w:tc>
      </w:tr>
      <w:tr w:rsidR="0028045B" w:rsidRPr="00EA1445" w14:paraId="6DC485F5" w14:textId="77777777" w:rsidTr="00D67E8D">
        <w:trPr>
          <w:trHeight w:val="626"/>
        </w:trPr>
        <w:tc>
          <w:tcPr>
            <w:tcW w:w="2587" w:type="dxa"/>
            <w:vAlign w:val="center"/>
          </w:tcPr>
          <w:p w14:paraId="40B0B8B0" w14:textId="473ECE68" w:rsidR="0028045B" w:rsidRPr="00EA1445" w:rsidRDefault="000A5E3C" w:rsidP="00005638">
            <w:r w:rsidRPr="00EA1445">
              <w:t>EL</w:t>
            </w:r>
            <w:r w:rsidR="0028045B" w:rsidRPr="00EA1445">
              <w:t xml:space="preserve"> </w:t>
            </w:r>
          </w:p>
        </w:tc>
        <w:tc>
          <w:tcPr>
            <w:tcW w:w="2923" w:type="dxa"/>
            <w:vAlign w:val="center"/>
          </w:tcPr>
          <w:p w14:paraId="56AA038A" w14:textId="63E01855" w:rsidR="0028045B" w:rsidRPr="00EA1445" w:rsidRDefault="004B6497" w:rsidP="00005638">
            <w:pPr>
              <w:jc w:val="center"/>
            </w:pPr>
            <w:r w:rsidRPr="00EA1445">
              <w:t>30</w:t>
            </w:r>
            <w:r w:rsidR="0028045B" w:rsidRPr="00EA1445">
              <w:t>/</w:t>
            </w:r>
            <w:r w:rsidR="000B3E9A" w:rsidRPr="00EA1445">
              <w:t>40</w:t>
            </w:r>
          </w:p>
        </w:tc>
        <w:tc>
          <w:tcPr>
            <w:tcW w:w="1594" w:type="dxa"/>
            <w:vAlign w:val="center"/>
          </w:tcPr>
          <w:p w14:paraId="5356A989" w14:textId="036B6226" w:rsidR="0028045B" w:rsidRPr="00EA1445" w:rsidRDefault="004B6497" w:rsidP="00795AA0">
            <w:pPr>
              <w:jc w:val="center"/>
            </w:pPr>
            <w:r w:rsidRPr="00EA1445">
              <w:t>50</w:t>
            </w:r>
            <w:r w:rsidR="00393A50" w:rsidRPr="00EA1445">
              <w:t>/</w:t>
            </w:r>
            <w:r w:rsidRPr="00EA1445">
              <w:t>56</w:t>
            </w:r>
          </w:p>
        </w:tc>
        <w:tc>
          <w:tcPr>
            <w:tcW w:w="2458" w:type="dxa"/>
            <w:vAlign w:val="center"/>
          </w:tcPr>
          <w:p w14:paraId="3EB2D5E5" w14:textId="7F64AA8A" w:rsidR="0028045B" w:rsidRPr="00EA1445" w:rsidRDefault="004B6497" w:rsidP="00005638">
            <w:pPr>
              <w:jc w:val="center"/>
            </w:pPr>
            <w:r w:rsidRPr="00EA1445">
              <w:t>80</w:t>
            </w:r>
            <w:r w:rsidR="00393A50" w:rsidRPr="00EA1445">
              <w:t>/</w:t>
            </w:r>
            <w:r w:rsidRPr="00EA1445">
              <w:t>96</w:t>
            </w:r>
          </w:p>
        </w:tc>
      </w:tr>
      <w:tr w:rsidR="0028045B" w:rsidRPr="00EA1445" w14:paraId="23889D32" w14:textId="77777777" w:rsidTr="00D67E8D">
        <w:trPr>
          <w:trHeight w:val="600"/>
        </w:trPr>
        <w:tc>
          <w:tcPr>
            <w:tcW w:w="2587" w:type="dxa"/>
            <w:vAlign w:val="center"/>
          </w:tcPr>
          <w:p w14:paraId="27540B0E" w14:textId="7AA07270" w:rsidR="0028045B" w:rsidRPr="00EA1445" w:rsidRDefault="000A5E3C" w:rsidP="00005638">
            <w:r w:rsidRPr="00EA1445">
              <w:t>SPED</w:t>
            </w:r>
            <w:r w:rsidR="0028045B" w:rsidRPr="00EA1445">
              <w:t xml:space="preserve"> </w:t>
            </w:r>
          </w:p>
        </w:tc>
        <w:tc>
          <w:tcPr>
            <w:tcW w:w="2923" w:type="dxa"/>
            <w:vAlign w:val="center"/>
          </w:tcPr>
          <w:p w14:paraId="5E38E616" w14:textId="1D10F382" w:rsidR="0028045B" w:rsidRPr="00EA1445" w:rsidRDefault="004B6497" w:rsidP="00005638">
            <w:pPr>
              <w:jc w:val="center"/>
            </w:pPr>
            <w:r w:rsidRPr="00EA1445">
              <w:t>38</w:t>
            </w:r>
            <w:r w:rsidR="0028045B" w:rsidRPr="00EA1445">
              <w:t>/</w:t>
            </w:r>
            <w:r w:rsidR="000B3E9A" w:rsidRPr="00EA1445">
              <w:t>40</w:t>
            </w:r>
          </w:p>
        </w:tc>
        <w:tc>
          <w:tcPr>
            <w:tcW w:w="1594" w:type="dxa"/>
            <w:vAlign w:val="center"/>
          </w:tcPr>
          <w:p w14:paraId="47DFB734" w14:textId="673840ED" w:rsidR="0028045B" w:rsidRPr="00EA1445" w:rsidRDefault="004B6497" w:rsidP="00005638">
            <w:pPr>
              <w:jc w:val="center"/>
            </w:pPr>
            <w:r w:rsidRPr="00EA1445">
              <w:t>50</w:t>
            </w:r>
            <w:r w:rsidR="00393A50" w:rsidRPr="00EA1445">
              <w:t>/</w:t>
            </w:r>
            <w:r w:rsidRPr="00EA1445">
              <w:t>56</w:t>
            </w:r>
          </w:p>
        </w:tc>
        <w:tc>
          <w:tcPr>
            <w:tcW w:w="2458" w:type="dxa"/>
            <w:vAlign w:val="center"/>
          </w:tcPr>
          <w:p w14:paraId="6C841E3B" w14:textId="25A3CEBF" w:rsidR="0028045B" w:rsidRPr="00EA1445" w:rsidRDefault="004B6497" w:rsidP="00005638">
            <w:pPr>
              <w:jc w:val="center"/>
            </w:pPr>
            <w:r w:rsidRPr="00EA1445">
              <w:t>88</w:t>
            </w:r>
            <w:r w:rsidR="00393A50" w:rsidRPr="00EA1445">
              <w:t>/</w:t>
            </w:r>
            <w:r w:rsidRPr="00EA1445">
              <w:t>96</w:t>
            </w:r>
          </w:p>
        </w:tc>
      </w:tr>
      <w:tr w:rsidR="003A5991" w:rsidRPr="00EA1445" w14:paraId="30C04CC2" w14:textId="77777777" w:rsidTr="00D67E8D">
        <w:trPr>
          <w:trHeight w:val="452"/>
        </w:trPr>
        <w:tc>
          <w:tcPr>
            <w:tcW w:w="2587" w:type="dxa"/>
            <w:vAlign w:val="center"/>
          </w:tcPr>
          <w:p w14:paraId="51A79F2F" w14:textId="23657898" w:rsidR="003A5991" w:rsidRPr="00EA1445" w:rsidRDefault="003A5991" w:rsidP="00005638">
            <w:r w:rsidRPr="00EA1445">
              <w:t>SED</w:t>
            </w:r>
          </w:p>
        </w:tc>
        <w:tc>
          <w:tcPr>
            <w:tcW w:w="2923" w:type="dxa"/>
            <w:vAlign w:val="center"/>
          </w:tcPr>
          <w:p w14:paraId="2692BD32" w14:textId="4F751FFA" w:rsidR="003A5991" w:rsidRPr="00EA1445" w:rsidRDefault="003A5991" w:rsidP="00005638">
            <w:pPr>
              <w:jc w:val="center"/>
            </w:pPr>
            <w:r w:rsidRPr="00EA1445">
              <w:t>/40</w:t>
            </w:r>
          </w:p>
        </w:tc>
        <w:tc>
          <w:tcPr>
            <w:tcW w:w="1594" w:type="dxa"/>
            <w:vAlign w:val="center"/>
          </w:tcPr>
          <w:p w14:paraId="6670E8F3" w14:textId="6B4A0159" w:rsidR="003A5991" w:rsidRPr="00EA1445" w:rsidRDefault="00393A50" w:rsidP="0028045B">
            <w:pPr>
              <w:jc w:val="center"/>
            </w:pPr>
            <w:r w:rsidRPr="00EA1445">
              <w:t>/</w:t>
            </w:r>
            <w:r w:rsidR="004B6497" w:rsidRPr="00EA1445">
              <w:t>56</w:t>
            </w:r>
          </w:p>
        </w:tc>
        <w:tc>
          <w:tcPr>
            <w:tcW w:w="2458" w:type="dxa"/>
            <w:vAlign w:val="center"/>
          </w:tcPr>
          <w:p w14:paraId="14A59E8D" w14:textId="4ECF6A33" w:rsidR="003A5991" w:rsidRPr="00EA1445" w:rsidRDefault="00393A50" w:rsidP="00005638">
            <w:pPr>
              <w:jc w:val="center"/>
            </w:pPr>
            <w:r w:rsidRPr="00EA1445">
              <w:t>/</w:t>
            </w:r>
            <w:r w:rsidR="004B6497" w:rsidRPr="00EA1445">
              <w:t>96</w:t>
            </w:r>
          </w:p>
        </w:tc>
      </w:tr>
      <w:tr w:rsidR="003A5991" w:rsidRPr="00EA1445" w14:paraId="788A58D0" w14:textId="77777777" w:rsidTr="00D67E8D">
        <w:trPr>
          <w:trHeight w:val="452"/>
        </w:trPr>
        <w:tc>
          <w:tcPr>
            <w:tcW w:w="2587" w:type="dxa"/>
            <w:vAlign w:val="center"/>
          </w:tcPr>
          <w:p w14:paraId="76C7D2FF" w14:textId="2EC891AE" w:rsidR="003A5991" w:rsidRPr="00EA1445" w:rsidRDefault="003A5991" w:rsidP="00005638">
            <w:r w:rsidRPr="00EA1445">
              <w:t>CTE</w:t>
            </w:r>
          </w:p>
        </w:tc>
        <w:tc>
          <w:tcPr>
            <w:tcW w:w="2923" w:type="dxa"/>
            <w:vAlign w:val="center"/>
          </w:tcPr>
          <w:p w14:paraId="6AF67FDD" w14:textId="18734F9D" w:rsidR="003A5991" w:rsidRPr="00EA1445" w:rsidRDefault="003A5991" w:rsidP="00005638">
            <w:pPr>
              <w:jc w:val="center"/>
            </w:pPr>
            <w:r w:rsidRPr="00EA1445">
              <w:t>/40</w:t>
            </w:r>
          </w:p>
        </w:tc>
        <w:tc>
          <w:tcPr>
            <w:tcW w:w="1594" w:type="dxa"/>
            <w:vAlign w:val="center"/>
          </w:tcPr>
          <w:p w14:paraId="0D942B9D" w14:textId="76EA7301" w:rsidR="003A5991" w:rsidRPr="00EA1445" w:rsidRDefault="00393A50" w:rsidP="0028045B">
            <w:pPr>
              <w:jc w:val="center"/>
            </w:pPr>
            <w:r w:rsidRPr="00EA1445">
              <w:t>/</w:t>
            </w:r>
            <w:r w:rsidR="004B6497" w:rsidRPr="00EA1445">
              <w:t>56</w:t>
            </w:r>
          </w:p>
        </w:tc>
        <w:tc>
          <w:tcPr>
            <w:tcW w:w="2458" w:type="dxa"/>
            <w:vAlign w:val="center"/>
          </w:tcPr>
          <w:p w14:paraId="0859CFEC" w14:textId="1500D774" w:rsidR="003A5991" w:rsidRPr="00EA1445" w:rsidRDefault="00393A50" w:rsidP="00005638">
            <w:pPr>
              <w:jc w:val="center"/>
            </w:pPr>
            <w:r w:rsidRPr="00EA1445">
              <w:t>/</w:t>
            </w:r>
            <w:r w:rsidR="004B6497" w:rsidRPr="00EA1445">
              <w:t>96</w:t>
            </w:r>
          </w:p>
        </w:tc>
      </w:tr>
      <w:tr w:rsidR="0028045B" w:rsidRPr="00EA1445" w14:paraId="0E4BBD29" w14:textId="77777777" w:rsidTr="00D67E8D">
        <w:trPr>
          <w:trHeight w:val="452"/>
        </w:trPr>
        <w:tc>
          <w:tcPr>
            <w:tcW w:w="2587" w:type="dxa"/>
            <w:vAlign w:val="center"/>
          </w:tcPr>
          <w:p w14:paraId="4B034009" w14:textId="785327F2" w:rsidR="0028045B" w:rsidRPr="00EA1445" w:rsidRDefault="0028045B" w:rsidP="00005638">
            <w:r w:rsidRPr="00EA1445">
              <w:t xml:space="preserve">Innovative Strategies </w:t>
            </w:r>
          </w:p>
        </w:tc>
        <w:tc>
          <w:tcPr>
            <w:tcW w:w="2923" w:type="dxa"/>
            <w:vAlign w:val="center"/>
          </w:tcPr>
          <w:p w14:paraId="56BC6DF0" w14:textId="60063E6C" w:rsidR="0028045B" w:rsidRPr="00EA1445" w:rsidRDefault="0028045B" w:rsidP="00005638">
            <w:pPr>
              <w:jc w:val="center"/>
            </w:pPr>
            <w:r w:rsidRPr="00EA1445">
              <w:t>/</w:t>
            </w:r>
            <w:r w:rsidR="000B3E9A" w:rsidRPr="00EA1445">
              <w:t>40</w:t>
            </w:r>
          </w:p>
        </w:tc>
        <w:tc>
          <w:tcPr>
            <w:tcW w:w="1594" w:type="dxa"/>
            <w:vAlign w:val="center"/>
          </w:tcPr>
          <w:p w14:paraId="15D273C5" w14:textId="247A4625" w:rsidR="0028045B" w:rsidRPr="00EA1445" w:rsidRDefault="00393A50" w:rsidP="0028045B">
            <w:pPr>
              <w:jc w:val="center"/>
            </w:pPr>
            <w:r w:rsidRPr="00EA1445">
              <w:t>/</w:t>
            </w:r>
            <w:r w:rsidR="004B6497" w:rsidRPr="00EA1445">
              <w:t>56</w:t>
            </w:r>
          </w:p>
        </w:tc>
        <w:tc>
          <w:tcPr>
            <w:tcW w:w="2458" w:type="dxa"/>
            <w:vAlign w:val="center"/>
          </w:tcPr>
          <w:p w14:paraId="45B00F67" w14:textId="7531856D" w:rsidR="0028045B" w:rsidRPr="00EA1445" w:rsidRDefault="00393A50" w:rsidP="00005638">
            <w:pPr>
              <w:jc w:val="center"/>
            </w:pPr>
            <w:r w:rsidRPr="00EA1445">
              <w:t>/</w:t>
            </w:r>
            <w:r w:rsidR="004B6497" w:rsidRPr="00EA1445">
              <w:t>96</w:t>
            </w:r>
          </w:p>
        </w:tc>
      </w:tr>
    </w:tbl>
    <w:p w14:paraId="4D407077" w14:textId="65FDB106" w:rsidR="00E73A3E" w:rsidRPr="00EA1445" w:rsidRDefault="00457D84" w:rsidP="00C1527E">
      <w:pPr>
        <w:pStyle w:val="Heading4"/>
      </w:pPr>
      <w:bookmarkStart w:id="24" w:name="_Toc516834973"/>
      <w:r w:rsidRPr="00EA1445">
        <w:t>4</w:t>
      </w:r>
      <w:r w:rsidR="00E73A3E" w:rsidRPr="00EA1445">
        <w:t>.</w:t>
      </w:r>
      <w:r w:rsidR="00CA6D11" w:rsidRPr="00EA1445">
        <w:t>2</w:t>
      </w:r>
      <w:r w:rsidR="00E73A3E" w:rsidRPr="00EA1445">
        <w:t xml:space="preserve"> Submission of Applications</w:t>
      </w:r>
      <w:bookmarkEnd w:id="24"/>
    </w:p>
    <w:p w14:paraId="50210319" w14:textId="3B77C011" w:rsidR="00551AFF" w:rsidRPr="00C86791" w:rsidRDefault="00551AFF" w:rsidP="00551AFF">
      <w:pPr>
        <w:spacing w:after="100" w:afterAutospacing="1"/>
        <w:rPr>
          <w:rFonts w:eastAsia="Times New Roman" w:cs="Arial"/>
          <w:szCs w:val="24"/>
        </w:rPr>
      </w:pPr>
      <w:bookmarkStart w:id="25" w:name="_Toc298938317"/>
      <w:r w:rsidRPr="00EA1445">
        <w:rPr>
          <w:rFonts w:eastAsia="Times New Roman" w:cs="Arial"/>
          <w:szCs w:val="24"/>
        </w:rPr>
        <w:t>Applicants responding to this RFA must submit one complete electronic PDF application packet. The application packet must include complete and unique responses to all narrative elements described within this RFA and all required forms. The application must be single-line-spaced, using default character spacing and 12-point Arial font, with one-inch margins. Applications must be submitted with all forms compiled in the order listed on the Form 1 - Application Component Checklist. Applications failing to meet these criteria or those applications with plagiarized, duplicative, or narrative</w:t>
      </w:r>
      <w:r w:rsidRPr="00C86791">
        <w:rPr>
          <w:rFonts w:eastAsia="Times New Roman" w:cs="Arial"/>
          <w:szCs w:val="24"/>
        </w:rPr>
        <w:t xml:space="preserve"> statements from other subgrant applications may be deemed ineligible.</w:t>
      </w:r>
    </w:p>
    <w:p w14:paraId="1D80B9BD" w14:textId="77777777" w:rsidR="00551AFF" w:rsidRPr="00C86791" w:rsidRDefault="00551AFF" w:rsidP="00551AFF">
      <w:pPr>
        <w:spacing w:after="100" w:afterAutospacing="1"/>
        <w:rPr>
          <w:rFonts w:eastAsia="Times New Roman" w:cs="Arial"/>
          <w:szCs w:val="24"/>
        </w:rPr>
      </w:pPr>
      <w:r w:rsidRPr="00C86791">
        <w:rPr>
          <w:rFonts w:eastAsia="Times New Roman" w:cs="Arial"/>
          <w:szCs w:val="24"/>
        </w:rPr>
        <w:t xml:space="preserve">The electronic copy, saved as one PDF file, </w:t>
      </w:r>
      <w:r>
        <w:rPr>
          <w:rFonts w:eastAsia="Times New Roman" w:cs="Arial"/>
          <w:szCs w:val="24"/>
        </w:rPr>
        <w:t>must</w:t>
      </w:r>
      <w:r w:rsidRPr="00C86791">
        <w:rPr>
          <w:rFonts w:eastAsia="Times New Roman" w:cs="Arial"/>
          <w:szCs w:val="24"/>
        </w:rPr>
        <w:t xml:space="preserve"> be emailed to </w:t>
      </w:r>
      <w:hyperlink r:id="rId18" w:history="1">
        <w:r w:rsidRPr="001F4533">
          <w:rPr>
            <w:rStyle w:val="Hyperlink"/>
          </w:rPr>
          <w:t>PCSGP@cde.ca.gov</w:t>
        </w:r>
      </w:hyperlink>
      <w:r>
        <w:rPr>
          <w:rFonts w:eastAsia="Times New Roman" w:cs="Arial"/>
          <w:szCs w:val="24"/>
        </w:rPr>
        <w:t xml:space="preserve">, </w:t>
      </w:r>
      <w:r w:rsidRPr="00D01875">
        <w:rPr>
          <w:rFonts w:eastAsia="Times New Roman" w:cs="Arial"/>
          <w:b/>
          <w:szCs w:val="24"/>
        </w:rPr>
        <w:t>no later than midnight o</w:t>
      </w:r>
      <w:r>
        <w:rPr>
          <w:rFonts w:eastAsia="Times New Roman" w:cs="Arial"/>
          <w:b/>
          <w:szCs w:val="24"/>
        </w:rPr>
        <w:t>f</w:t>
      </w:r>
      <w:r w:rsidRPr="00D01875">
        <w:rPr>
          <w:rFonts w:eastAsia="Times New Roman" w:cs="Arial"/>
          <w:b/>
          <w:szCs w:val="24"/>
        </w:rPr>
        <w:t xml:space="preserve"> </w:t>
      </w:r>
      <w:r>
        <w:rPr>
          <w:rFonts w:eastAsia="Times New Roman" w:cs="Arial"/>
          <w:b/>
          <w:szCs w:val="24"/>
        </w:rPr>
        <w:t xml:space="preserve">the listed </w:t>
      </w:r>
      <w:r w:rsidRPr="00D01875">
        <w:rPr>
          <w:rFonts w:eastAsia="Times New Roman" w:cs="Arial"/>
          <w:b/>
          <w:szCs w:val="24"/>
        </w:rPr>
        <w:t>application due date.</w:t>
      </w:r>
      <w:r w:rsidRPr="00C86791">
        <w:rPr>
          <w:rFonts w:eastAsia="Times New Roman" w:cs="Arial"/>
          <w:szCs w:val="24"/>
        </w:rPr>
        <w:t xml:space="preserve"> </w:t>
      </w:r>
    </w:p>
    <w:p w14:paraId="1D9773AE" w14:textId="722C0201" w:rsidR="00E73A3E" w:rsidRPr="00DB4CDB" w:rsidRDefault="00457D84" w:rsidP="00C1527E">
      <w:pPr>
        <w:pStyle w:val="Heading4"/>
      </w:pPr>
      <w:r>
        <w:t>4</w:t>
      </w:r>
      <w:r w:rsidR="00E73A3E" w:rsidRPr="00DB4CDB">
        <w:t>.</w:t>
      </w:r>
      <w:r w:rsidR="00A901A9">
        <w:t>3</w:t>
      </w:r>
      <w:r w:rsidR="00E73A3E" w:rsidRPr="00DB4CDB">
        <w:t xml:space="preserve"> Appeal</w:t>
      </w:r>
      <w:bookmarkEnd w:id="25"/>
      <w:r w:rsidR="009921B5">
        <w:t>s</w:t>
      </w:r>
    </w:p>
    <w:p w14:paraId="2439E40D" w14:textId="6A875D85" w:rsidR="001F4533" w:rsidRDefault="00E73A3E" w:rsidP="001F4533">
      <w:pPr>
        <w:spacing w:after="100" w:afterAutospacing="1"/>
        <w:rPr>
          <w:rFonts w:eastAsia="Times New Roman" w:cs="Arial"/>
          <w:szCs w:val="24"/>
        </w:rPr>
      </w:pPr>
      <w:r w:rsidRPr="00DB4CDB">
        <w:t xml:space="preserve">If an application is deemed ineligible or not approved for funding, applicants may request an appeal of the denial within 30 calendar days following receipt of the letter of denial. The request for appeal must clearly identify a violation of the application review process as determined by State or Federal statues, rules, regulations, or guidelines governing the PCSGP in disapproving applications or failing to comply with California’s </w:t>
      </w:r>
      <w:r w:rsidRPr="00DB4CDB">
        <w:lastRenderedPageBreak/>
        <w:t>approved 202</w:t>
      </w:r>
      <w:r>
        <w:t>4</w:t>
      </w:r>
      <w:r w:rsidRPr="00DB4CDB">
        <w:t>–2</w:t>
      </w:r>
      <w:r>
        <w:t>9</w:t>
      </w:r>
      <w:r w:rsidRPr="00DB4CDB">
        <w:t xml:space="preserve"> CSP application or program in whole or part (20 U.S.C. </w:t>
      </w:r>
      <w:r>
        <w:t>Section</w:t>
      </w:r>
      <w:r w:rsidRPr="00DB4CDB">
        <w:t xml:space="preserve"> 1231b-2[a]). A request to appeal the denial of a subgrant award should be emailed to </w:t>
      </w:r>
      <w:hyperlink r:id="rId19" w:history="1">
        <w:r w:rsidRPr="00F01C8B">
          <w:rPr>
            <w:rStyle w:val="Hyperlink"/>
            <w:szCs w:val="24"/>
          </w:rPr>
          <w:t>PCSGP@cde.ca.gov</w:t>
        </w:r>
      </w:hyperlink>
      <w:r w:rsidR="001F4533">
        <w:rPr>
          <w:rFonts w:eastAsia="Times New Roman" w:cs="Arial"/>
          <w:szCs w:val="24"/>
        </w:rPr>
        <w:t>.</w:t>
      </w:r>
    </w:p>
    <w:p w14:paraId="1431D670" w14:textId="1E6BAF89" w:rsidR="00E73A3E" w:rsidRPr="00DB4CDB" w:rsidRDefault="00E73A3E" w:rsidP="00E73A3E">
      <w:pPr>
        <w:autoSpaceDE w:val="0"/>
        <w:autoSpaceDN w:val="0"/>
        <w:spacing w:after="100" w:afterAutospacing="1"/>
        <w:rPr>
          <w:rFonts w:eastAsia="Times New Roman" w:cs="Arial"/>
          <w:szCs w:val="24"/>
        </w:rPr>
      </w:pPr>
      <w:r w:rsidRPr="00DB4CDB">
        <w:rPr>
          <w:rFonts w:eastAsia="Times New Roman" w:cs="Arial"/>
          <w:szCs w:val="24"/>
        </w:rPr>
        <w:t>Appeals shall be limited to the grounds that the CDE failed to correctly apply the standards for reviewing the application as specified in this RFA. The appellant must file a full and complete written appeal, including the issue(s) in dispute, the legal authority or other basis for the appeal position, and the remedy sought. The CDE will not consider incomplete or late appeals. The appellant may not supply any new information that was not originally contained in the original application.</w:t>
      </w:r>
    </w:p>
    <w:p w14:paraId="55D2E860" w14:textId="22F7E6FF" w:rsidR="00DE142E" w:rsidRPr="002F2F3D" w:rsidRDefault="00E73A3E" w:rsidP="00CA40D1">
      <w:pPr>
        <w:rPr>
          <w:rFonts w:eastAsia="Times New Roman" w:cs="Arial"/>
          <w:szCs w:val="24"/>
        </w:rPr>
      </w:pPr>
      <w:r w:rsidRPr="00DB4CDB">
        <w:rPr>
          <w:rFonts w:eastAsia="Times New Roman" w:cs="Arial"/>
          <w:szCs w:val="24"/>
        </w:rPr>
        <w:t>The applicant will be notified of any action taken in writing within three weeks from the date that appeals are due to the CDE. That decision shall be the final administrative action afforded the appeal. All appeal decisions will be made prior to the approval of the subgrant.</w:t>
      </w:r>
      <w:bookmarkStart w:id="26" w:name="_Hlk77323533"/>
    </w:p>
    <w:p w14:paraId="3ADB6426" w14:textId="70692DB5" w:rsidR="00F25710" w:rsidRPr="00FF3A52" w:rsidRDefault="002F2F3D" w:rsidP="00C1527E">
      <w:pPr>
        <w:pStyle w:val="Heading3"/>
      </w:pPr>
      <w:bookmarkStart w:id="27" w:name="_Toc199842726"/>
      <w:bookmarkEnd w:id="26"/>
      <w:r>
        <w:t>5</w:t>
      </w:r>
      <w:r w:rsidR="00F25710" w:rsidRPr="00FF3A52">
        <w:t>. Application Specifications</w:t>
      </w:r>
      <w:bookmarkEnd w:id="27"/>
    </w:p>
    <w:p w14:paraId="2139061F" w14:textId="0D9B8988" w:rsidR="00E7642C" w:rsidRDefault="00E7642C" w:rsidP="00E7642C">
      <w:pPr>
        <w:spacing w:after="100" w:afterAutospacing="1"/>
        <w:rPr>
          <w:rFonts w:eastAsia="Calibri" w:cs="Times New Roman"/>
        </w:rPr>
      </w:pPr>
      <w:r w:rsidRPr="0055362F">
        <w:rPr>
          <w:rFonts w:eastAsia="Calibri" w:cs="Times New Roman"/>
        </w:rPr>
        <w:t xml:space="preserve">Each applicant must submit </w:t>
      </w:r>
      <w:r>
        <w:rPr>
          <w:rFonts w:eastAsia="Calibri" w:cs="Times New Roman"/>
        </w:rPr>
        <w:t>o</w:t>
      </w:r>
      <w:r w:rsidRPr="0055362F">
        <w:rPr>
          <w:rFonts w:eastAsia="Calibri" w:cs="Times New Roman"/>
        </w:rPr>
        <w:t xml:space="preserve">ne </w:t>
      </w:r>
      <w:r>
        <w:rPr>
          <w:rFonts w:eastAsia="Calibri" w:cs="Times New Roman"/>
        </w:rPr>
        <w:t>electronic</w:t>
      </w:r>
      <w:r w:rsidRPr="0055362F">
        <w:rPr>
          <w:rFonts w:eastAsia="Calibri" w:cs="Times New Roman"/>
        </w:rPr>
        <w:t xml:space="preserve"> </w:t>
      </w:r>
      <w:r>
        <w:rPr>
          <w:rFonts w:eastAsia="Calibri" w:cs="Times New Roman"/>
        </w:rPr>
        <w:t xml:space="preserve">application with authenticated e-signatures as a single portable document format (PDF) document </w:t>
      </w:r>
      <w:r w:rsidRPr="0055362F">
        <w:rPr>
          <w:rFonts w:eastAsia="Calibri" w:cs="Times New Roman"/>
        </w:rPr>
        <w:t>that contains all of the required items listed below.</w:t>
      </w:r>
    </w:p>
    <w:p w14:paraId="4AB3346F" w14:textId="1E4B09AB" w:rsidR="00734C2C" w:rsidRPr="009709C2" w:rsidRDefault="002F2F3D" w:rsidP="00C1527E">
      <w:pPr>
        <w:pStyle w:val="Heading4"/>
      </w:pPr>
      <w:r>
        <w:t>5</w:t>
      </w:r>
      <w:r w:rsidR="00F25710" w:rsidRPr="00FF3A52">
        <w:t>.1</w:t>
      </w:r>
      <w:r w:rsidR="00300086">
        <w:t xml:space="preserve"> </w:t>
      </w:r>
      <w:r w:rsidR="00E7642C">
        <w:t>Organizational Capacity</w:t>
      </w:r>
      <w:r w:rsidR="00F25710" w:rsidRPr="00FF3A52">
        <w:t xml:space="preserve"> </w:t>
      </w:r>
    </w:p>
    <w:p w14:paraId="50B6B076" w14:textId="3B972779" w:rsidR="009709C2" w:rsidRDefault="00057E72" w:rsidP="00057E72">
      <w:pPr>
        <w:ind w:left="720" w:hanging="720"/>
      </w:pPr>
      <w:r>
        <w:t>A.</w:t>
      </w:r>
      <w:r w:rsidR="009709C2">
        <w:t xml:space="preserve"> Applicant Qualifications</w:t>
      </w:r>
    </w:p>
    <w:p w14:paraId="66E6B35D" w14:textId="306EB691" w:rsidR="00F25710" w:rsidRPr="00EA1445" w:rsidRDefault="00E7642C" w:rsidP="00F25710">
      <w:pPr>
        <w:spacing w:before="240"/>
        <w:rPr>
          <w:rFonts w:eastAsia="Times New Roman" w:cs="Arial"/>
          <w:snapToGrid w:val="0"/>
          <w:szCs w:val="20"/>
        </w:rPr>
      </w:pPr>
      <w:r w:rsidRPr="0055362F">
        <w:rPr>
          <w:rFonts w:eastAsia="Times New Roman" w:cs="Arial"/>
          <w:snapToGrid w:val="0"/>
          <w:szCs w:val="20"/>
        </w:rPr>
        <w:t xml:space="preserve">The content of this section must describe how the applicant proposes to </w:t>
      </w:r>
      <w:r w:rsidRPr="00EA1445">
        <w:rPr>
          <w:rFonts w:eastAsia="Times New Roman" w:cs="Arial"/>
          <w:snapToGrid w:val="0"/>
          <w:szCs w:val="20"/>
        </w:rPr>
        <w:t xml:space="preserve">organize its resources necessary to complete the tasks and deliverables contained in Section </w:t>
      </w:r>
      <w:r w:rsidR="006900A7" w:rsidRPr="00EA1445">
        <w:rPr>
          <w:rFonts w:eastAsia="Times New Roman" w:cs="Arial"/>
          <w:snapToGrid w:val="0"/>
          <w:szCs w:val="20"/>
        </w:rPr>
        <w:t>5.3</w:t>
      </w:r>
      <w:r w:rsidRPr="00EA1445">
        <w:rPr>
          <w:rFonts w:eastAsia="Times New Roman" w:cs="Arial"/>
          <w:snapToGrid w:val="0"/>
          <w:szCs w:val="20"/>
        </w:rPr>
        <w:t xml:space="preserve"> Scope of Work. The content must demonstrate the applicant’s ability to provide the services set forth in this RFA and must address the following:</w:t>
      </w:r>
    </w:p>
    <w:p w14:paraId="3B7BD57F" w14:textId="77777777" w:rsidR="00F25710" w:rsidRPr="00EA1445" w:rsidRDefault="00F25710" w:rsidP="00830699">
      <w:pPr>
        <w:pStyle w:val="ListParagraph"/>
        <w:numPr>
          <w:ilvl w:val="0"/>
          <w:numId w:val="38"/>
        </w:numPr>
        <w:spacing w:before="240"/>
        <w:contextualSpacing w:val="0"/>
        <w:rPr>
          <w:rFonts w:eastAsia="Times New Roman" w:cs="Arial"/>
          <w:snapToGrid w:val="0"/>
          <w:szCs w:val="20"/>
        </w:rPr>
      </w:pPr>
      <w:r w:rsidRPr="00EA1445">
        <w:rPr>
          <w:rFonts w:cs="Arial"/>
          <w:szCs w:val="24"/>
        </w:rPr>
        <w:t>The LEA or non-profit organization’s mission;</w:t>
      </w:r>
    </w:p>
    <w:p w14:paraId="18BA3365" w14:textId="77777777" w:rsidR="00F25710" w:rsidRPr="00FF3A52" w:rsidRDefault="00F25710" w:rsidP="00830699">
      <w:pPr>
        <w:pStyle w:val="ListParagraph"/>
        <w:numPr>
          <w:ilvl w:val="0"/>
          <w:numId w:val="38"/>
        </w:numPr>
        <w:spacing w:before="240"/>
        <w:contextualSpacing w:val="0"/>
        <w:rPr>
          <w:rFonts w:eastAsia="Times New Roman" w:cs="Arial"/>
          <w:snapToGrid w:val="0"/>
          <w:szCs w:val="20"/>
        </w:rPr>
      </w:pPr>
      <w:r w:rsidRPr="00FF3A52">
        <w:rPr>
          <w:rFonts w:cs="Arial"/>
          <w:szCs w:val="24"/>
        </w:rPr>
        <w:t xml:space="preserve">Demonstrated statewide presence with evidence of working with charter schools </w:t>
      </w:r>
      <w:r>
        <w:rPr>
          <w:rFonts w:cs="Arial"/>
          <w:szCs w:val="24"/>
        </w:rPr>
        <w:t xml:space="preserve">across California </w:t>
      </w:r>
      <w:r w:rsidRPr="00FF3A52">
        <w:rPr>
          <w:rFonts w:cs="Arial"/>
          <w:szCs w:val="24"/>
        </w:rPr>
        <w:t>at various stages of development</w:t>
      </w:r>
      <w:r>
        <w:rPr>
          <w:rFonts w:cs="Arial"/>
          <w:szCs w:val="24"/>
        </w:rPr>
        <w:t xml:space="preserve">, </w:t>
      </w:r>
      <w:r w:rsidRPr="00FF3A52">
        <w:rPr>
          <w:rFonts w:cs="Arial"/>
          <w:szCs w:val="24"/>
        </w:rPr>
        <w:t xml:space="preserve">including providing services, disseminating best </w:t>
      </w:r>
      <w:r w:rsidRPr="00FF3A52">
        <w:t>practices, and publishing or partnering to publish charter school data;</w:t>
      </w:r>
    </w:p>
    <w:p w14:paraId="3A525D65" w14:textId="77777777" w:rsidR="00F25710" w:rsidRPr="00FF3A52" w:rsidRDefault="00F25710" w:rsidP="00830699">
      <w:pPr>
        <w:pStyle w:val="ListParagraph"/>
        <w:numPr>
          <w:ilvl w:val="1"/>
          <w:numId w:val="38"/>
        </w:numPr>
        <w:spacing w:before="240"/>
        <w:contextualSpacing w:val="0"/>
        <w:rPr>
          <w:rFonts w:eastAsia="Times New Roman" w:cs="Arial"/>
          <w:snapToGrid w:val="0"/>
          <w:szCs w:val="20"/>
        </w:rPr>
      </w:pPr>
      <w:r w:rsidRPr="00FF3A52">
        <w:t xml:space="preserve">If a non-profit organization, the application indicates when the organization was established and a brief history including the number of charter schools and charter school participants currently served statewide. The applicant lists the location(s) of the office(s) from which the primary work will be conducted; or </w:t>
      </w:r>
    </w:p>
    <w:p w14:paraId="04D5ABE9" w14:textId="77777777" w:rsidR="00F25710" w:rsidRPr="00FF3A52" w:rsidRDefault="00F25710" w:rsidP="00830699">
      <w:pPr>
        <w:pStyle w:val="ListParagraph"/>
        <w:numPr>
          <w:ilvl w:val="1"/>
          <w:numId w:val="38"/>
        </w:numPr>
        <w:spacing w:before="240"/>
        <w:contextualSpacing w:val="0"/>
        <w:rPr>
          <w:rFonts w:eastAsia="Times New Roman" w:cs="Arial"/>
          <w:snapToGrid w:val="0"/>
          <w:szCs w:val="20"/>
        </w:rPr>
      </w:pPr>
      <w:r w:rsidRPr="00FF3A52">
        <w:t>If an LEA, the application outlines the number of charter schools the applicant has contracted with to provide services, and the regions served;</w:t>
      </w:r>
    </w:p>
    <w:p w14:paraId="1430B04F" w14:textId="77777777" w:rsidR="00F25710" w:rsidRPr="00FF3A52" w:rsidRDefault="00F25710" w:rsidP="00830699">
      <w:pPr>
        <w:pStyle w:val="ListParagraph"/>
        <w:numPr>
          <w:ilvl w:val="0"/>
          <w:numId w:val="38"/>
        </w:numPr>
        <w:spacing w:before="240"/>
        <w:contextualSpacing w:val="0"/>
        <w:rPr>
          <w:rFonts w:eastAsia="Times New Roman" w:cs="Arial"/>
          <w:snapToGrid w:val="0"/>
          <w:szCs w:val="20"/>
        </w:rPr>
      </w:pPr>
      <w:r w:rsidRPr="00FF3A52">
        <w:rPr>
          <w:rFonts w:cs="Arial"/>
          <w:szCs w:val="24"/>
        </w:rPr>
        <w:lastRenderedPageBreak/>
        <w:t>Experience and evidence of success related to the development of high-quality schools and/or school improvement activities</w:t>
      </w:r>
      <w:r w:rsidRPr="00FF3A52">
        <w:t xml:space="preserve">, including at least five years of direct charter school support experience across the state; </w:t>
      </w:r>
    </w:p>
    <w:p w14:paraId="2AE8960D" w14:textId="334A8F01" w:rsidR="00F25710" w:rsidRPr="00722874" w:rsidRDefault="00F25710" w:rsidP="00830699">
      <w:pPr>
        <w:pStyle w:val="ListParagraph"/>
        <w:numPr>
          <w:ilvl w:val="0"/>
          <w:numId w:val="38"/>
        </w:numPr>
        <w:spacing w:before="240"/>
        <w:contextualSpacing w:val="0"/>
        <w:rPr>
          <w:rFonts w:eastAsia="Times New Roman" w:cs="Arial"/>
          <w:snapToGrid w:val="0"/>
          <w:szCs w:val="20"/>
        </w:rPr>
      </w:pPr>
      <w:r w:rsidRPr="00722874">
        <w:rPr>
          <w:rFonts w:cs="Arial"/>
          <w:szCs w:val="24"/>
        </w:rPr>
        <w:t>Experience delivering professional development</w:t>
      </w:r>
      <w:r w:rsidR="00121654" w:rsidRPr="00722874">
        <w:rPr>
          <w:rFonts w:cs="Arial"/>
          <w:szCs w:val="24"/>
        </w:rPr>
        <w:t xml:space="preserve"> </w:t>
      </w:r>
      <w:r w:rsidR="008D68BA" w:rsidRPr="00722874">
        <w:rPr>
          <w:rFonts w:cs="Arial"/>
          <w:szCs w:val="24"/>
        </w:rPr>
        <w:t>with</w:t>
      </w:r>
      <w:r w:rsidR="00121654" w:rsidRPr="00722874">
        <w:rPr>
          <w:rFonts w:cs="Arial"/>
          <w:szCs w:val="24"/>
        </w:rPr>
        <w:t xml:space="preserve">in the past </w:t>
      </w:r>
      <w:r w:rsidR="008D68BA" w:rsidRPr="00722874">
        <w:rPr>
          <w:rFonts w:cs="Arial"/>
          <w:szCs w:val="24"/>
        </w:rPr>
        <w:t>three</w:t>
      </w:r>
      <w:r w:rsidR="00121654" w:rsidRPr="00722874">
        <w:rPr>
          <w:rFonts w:cs="Arial"/>
          <w:szCs w:val="24"/>
        </w:rPr>
        <w:t xml:space="preserve"> years</w:t>
      </w:r>
      <w:r w:rsidRPr="00722874">
        <w:rPr>
          <w:rFonts w:cs="Arial"/>
          <w:szCs w:val="24"/>
        </w:rPr>
        <w:t xml:space="preserve">, including </w:t>
      </w:r>
      <w:r w:rsidR="008D68BA" w:rsidRPr="00722874">
        <w:rPr>
          <w:rFonts w:cs="Arial"/>
          <w:szCs w:val="24"/>
        </w:rPr>
        <w:t xml:space="preserve">the number of events, participant counts, </w:t>
      </w:r>
      <w:r w:rsidRPr="00722874">
        <w:rPr>
          <w:rFonts w:cs="Arial"/>
          <w:szCs w:val="24"/>
        </w:rPr>
        <w:t>recent topics</w:t>
      </w:r>
      <w:r w:rsidR="008D68BA" w:rsidRPr="00722874">
        <w:rPr>
          <w:rFonts w:cs="Arial"/>
          <w:szCs w:val="24"/>
        </w:rPr>
        <w:t xml:space="preserve"> covered,</w:t>
      </w:r>
      <w:r w:rsidRPr="00722874">
        <w:rPr>
          <w:rFonts w:cs="Arial"/>
          <w:szCs w:val="24"/>
        </w:rPr>
        <w:t xml:space="preserve"> and target </w:t>
      </w:r>
      <w:r w:rsidR="008D68BA" w:rsidRPr="00722874">
        <w:rPr>
          <w:rFonts w:cs="Arial"/>
          <w:szCs w:val="24"/>
        </w:rPr>
        <w:t>audience served</w:t>
      </w:r>
      <w:r w:rsidRPr="00722874">
        <w:rPr>
          <w:rFonts w:cs="Arial"/>
          <w:szCs w:val="24"/>
        </w:rPr>
        <w:t>; and</w:t>
      </w:r>
    </w:p>
    <w:p w14:paraId="39A0E522" w14:textId="79C04B3E" w:rsidR="00D04668" w:rsidRDefault="00F25710" w:rsidP="00102608">
      <w:pPr>
        <w:pStyle w:val="ListParagraph"/>
        <w:numPr>
          <w:ilvl w:val="0"/>
          <w:numId w:val="38"/>
        </w:numPr>
        <w:spacing w:before="240"/>
        <w:contextualSpacing w:val="0"/>
        <w:rPr>
          <w:rFonts w:eastAsia="Times New Roman" w:cs="Arial"/>
          <w:snapToGrid w:val="0"/>
          <w:szCs w:val="20"/>
        </w:rPr>
      </w:pPr>
      <w:r w:rsidRPr="00FF3A52">
        <w:rPr>
          <w:rFonts w:cs="Arial"/>
          <w:szCs w:val="24"/>
        </w:rPr>
        <w:t>If applicable, the applicant should provide details on past experience as a technical assistance provider under the PCSGP grant including</w:t>
      </w:r>
      <w:r w:rsidRPr="00FF3A52">
        <w:rPr>
          <w:rFonts w:eastAsia="Times New Roman" w:cs="Arial"/>
          <w:snapToGrid w:val="0"/>
          <w:szCs w:val="20"/>
        </w:rPr>
        <w:t xml:space="preserve"> details on past ability to meet deliverables on time, demonstrated success in achieving project goals, and the impact the work had on California schools. </w:t>
      </w:r>
    </w:p>
    <w:p w14:paraId="6FDB8967" w14:textId="77777777" w:rsidR="005125C5" w:rsidRPr="0042337D" w:rsidRDefault="005125C5" w:rsidP="005125C5">
      <w:pPr>
        <w:spacing w:before="240"/>
        <w:rPr>
          <w:rFonts w:eastAsia="Times New Roman" w:cs="Arial"/>
          <w:snapToGrid w:val="0"/>
          <w:szCs w:val="20"/>
        </w:rPr>
      </w:pPr>
      <w:r w:rsidRPr="0042337D">
        <w:rPr>
          <w:rFonts w:eastAsia="Times New Roman" w:cs="Arial"/>
          <w:snapToGrid w:val="0"/>
          <w:szCs w:val="20"/>
        </w:rPr>
        <w:t>B. Technical Assistance Portfolio</w:t>
      </w:r>
    </w:p>
    <w:p w14:paraId="16D891DF" w14:textId="06B36943" w:rsidR="00B830FA" w:rsidRPr="0042337D" w:rsidRDefault="005125C5" w:rsidP="00B830FA">
      <w:pPr>
        <w:spacing w:before="240"/>
        <w:rPr>
          <w:rFonts w:cs="Arial"/>
          <w:szCs w:val="24"/>
        </w:rPr>
      </w:pPr>
      <w:r w:rsidRPr="0042337D">
        <w:rPr>
          <w:rFonts w:eastAsia="Times New Roman" w:cs="Arial"/>
          <w:snapToGrid w:val="0"/>
          <w:szCs w:val="20"/>
        </w:rPr>
        <w:t xml:space="preserve">Applicants must submit a Technical Assistance Portfolio that provides direct evidence of experience delivering technical </w:t>
      </w:r>
      <w:r w:rsidRPr="00EA1445">
        <w:rPr>
          <w:rFonts w:eastAsia="Times New Roman" w:cs="Arial"/>
          <w:snapToGrid w:val="0"/>
          <w:szCs w:val="20"/>
        </w:rPr>
        <w:t xml:space="preserve">assistance (TA) to charter schools and/or district schools. </w:t>
      </w:r>
      <w:r w:rsidR="00B4478C" w:rsidRPr="00EA1445">
        <w:rPr>
          <w:rFonts w:eastAsia="Times New Roman" w:cs="Arial"/>
          <w:snapToGrid w:val="0"/>
          <w:szCs w:val="20"/>
        </w:rPr>
        <w:t>T</w:t>
      </w:r>
      <w:r w:rsidRPr="00EA1445">
        <w:rPr>
          <w:rFonts w:eastAsia="Times New Roman" w:cs="Arial"/>
          <w:snapToGrid w:val="0"/>
          <w:szCs w:val="20"/>
        </w:rPr>
        <w:t xml:space="preserve">he </w:t>
      </w:r>
      <w:r w:rsidRPr="00EA1445">
        <w:rPr>
          <w:rFonts w:cs="Arial"/>
          <w:szCs w:val="24"/>
        </w:rPr>
        <w:t>Technical Assistance Portfolio</w:t>
      </w:r>
      <w:r w:rsidR="0042337D" w:rsidRPr="00EA1445">
        <w:rPr>
          <w:rFonts w:cs="Arial"/>
          <w:szCs w:val="24"/>
        </w:rPr>
        <w:t xml:space="preserve"> </w:t>
      </w:r>
      <w:r w:rsidR="00B4478C" w:rsidRPr="00EA1445">
        <w:rPr>
          <w:rFonts w:cs="Arial"/>
          <w:szCs w:val="24"/>
        </w:rPr>
        <w:t xml:space="preserve">must </w:t>
      </w:r>
      <w:r w:rsidRPr="00EA1445">
        <w:rPr>
          <w:rFonts w:cs="Arial"/>
          <w:szCs w:val="24"/>
        </w:rPr>
        <w:t>demonstrat</w:t>
      </w:r>
      <w:r w:rsidR="00B4478C" w:rsidRPr="00EA1445">
        <w:rPr>
          <w:rFonts w:cs="Arial"/>
          <w:szCs w:val="24"/>
        </w:rPr>
        <w:t>e</w:t>
      </w:r>
      <w:r w:rsidRPr="00EA1445">
        <w:rPr>
          <w:rFonts w:cs="Arial"/>
          <w:szCs w:val="24"/>
        </w:rPr>
        <w:t xml:space="preserve"> the scope and quality of </w:t>
      </w:r>
      <w:r w:rsidR="000F3461" w:rsidRPr="00EA1445">
        <w:rPr>
          <w:rFonts w:cs="Arial"/>
          <w:szCs w:val="24"/>
        </w:rPr>
        <w:t xml:space="preserve">the applicant </w:t>
      </w:r>
      <w:r w:rsidRPr="00EA1445">
        <w:rPr>
          <w:rFonts w:cs="Arial"/>
          <w:szCs w:val="24"/>
        </w:rPr>
        <w:t>TA work, as described in Part A. Applicant Qualifications.</w:t>
      </w:r>
      <w:r w:rsidR="00B830FA" w:rsidRPr="00EA1445">
        <w:rPr>
          <w:rFonts w:cs="Arial"/>
          <w:szCs w:val="24"/>
        </w:rPr>
        <w:t xml:space="preserve"> The Technical Assistance Portfolio is limited to </w:t>
      </w:r>
      <w:r w:rsidR="00B4478C" w:rsidRPr="00EA1445">
        <w:rPr>
          <w:rFonts w:cs="Arial"/>
          <w:szCs w:val="24"/>
        </w:rPr>
        <w:t>three</w:t>
      </w:r>
      <w:r w:rsidR="00B830FA" w:rsidRPr="00EA1445">
        <w:rPr>
          <w:rFonts w:cs="Arial"/>
          <w:szCs w:val="24"/>
        </w:rPr>
        <w:t xml:space="preserve"> sample document</w:t>
      </w:r>
      <w:r w:rsidR="004D3D7A" w:rsidRPr="00EA1445">
        <w:rPr>
          <w:rFonts w:cs="Arial"/>
          <w:szCs w:val="24"/>
        </w:rPr>
        <w:t xml:space="preserve"> types</w:t>
      </w:r>
      <w:r w:rsidR="00B830FA" w:rsidRPr="00EA1445">
        <w:rPr>
          <w:rFonts w:cs="Arial"/>
          <w:szCs w:val="24"/>
        </w:rPr>
        <w:t xml:space="preserve"> (URLs and externally linked documents may not be reviewed) </w:t>
      </w:r>
      <w:r w:rsidR="004D3D7A" w:rsidRPr="00EA1445">
        <w:rPr>
          <w:rFonts w:cs="Arial"/>
          <w:szCs w:val="24"/>
        </w:rPr>
        <w:t>approximately</w:t>
      </w:r>
      <w:r w:rsidR="00B830FA" w:rsidRPr="00EA1445">
        <w:rPr>
          <w:rFonts w:cs="Arial"/>
          <w:szCs w:val="24"/>
        </w:rPr>
        <w:t xml:space="preserve"> 10 pages </w:t>
      </w:r>
      <w:r w:rsidR="004D3D7A" w:rsidRPr="00EA1445">
        <w:rPr>
          <w:rFonts w:cs="Arial"/>
          <w:szCs w:val="24"/>
        </w:rPr>
        <w:t xml:space="preserve">per </w:t>
      </w:r>
      <w:r w:rsidR="00B4478C" w:rsidRPr="00EA1445">
        <w:rPr>
          <w:rFonts w:cs="Arial"/>
          <w:szCs w:val="24"/>
        </w:rPr>
        <w:t>document type (30-page maximum for the Technical Assistance Portfolio)</w:t>
      </w:r>
      <w:r w:rsidR="00B830FA" w:rsidRPr="00EA1445">
        <w:rPr>
          <w:rFonts w:cs="Arial"/>
          <w:szCs w:val="24"/>
        </w:rPr>
        <w:t>. Some examples of acceptable evidence</w:t>
      </w:r>
      <w:r w:rsidR="0042337D" w:rsidRPr="00EA1445">
        <w:rPr>
          <w:rFonts w:cs="Arial"/>
          <w:szCs w:val="24"/>
        </w:rPr>
        <w:t xml:space="preserve"> for the three TA sample document</w:t>
      </w:r>
      <w:r w:rsidR="00B4478C" w:rsidRPr="000F3461">
        <w:rPr>
          <w:rFonts w:cs="Arial"/>
          <w:szCs w:val="24"/>
        </w:rPr>
        <w:t xml:space="preserve"> types</w:t>
      </w:r>
      <w:r w:rsidR="00B830FA" w:rsidRPr="000F3461">
        <w:rPr>
          <w:rFonts w:cs="Arial"/>
          <w:szCs w:val="24"/>
        </w:rPr>
        <w:t xml:space="preserve"> include, but are not limited to:</w:t>
      </w:r>
      <w:r w:rsidR="00B830FA" w:rsidRPr="0042337D">
        <w:rPr>
          <w:rFonts w:cs="Arial"/>
          <w:szCs w:val="24"/>
        </w:rPr>
        <w:t xml:space="preserve"> </w:t>
      </w:r>
    </w:p>
    <w:p w14:paraId="6B811AD0" w14:textId="2C96D734" w:rsidR="005125C5" w:rsidRPr="0042337D" w:rsidRDefault="00B830FA" w:rsidP="0042337D">
      <w:pPr>
        <w:pStyle w:val="ListParagraph"/>
        <w:numPr>
          <w:ilvl w:val="0"/>
          <w:numId w:val="51"/>
        </w:numPr>
        <w:spacing w:before="240"/>
        <w:rPr>
          <w:rFonts w:eastAsia="Times New Roman" w:cs="Arial"/>
          <w:snapToGrid w:val="0"/>
          <w:szCs w:val="20"/>
        </w:rPr>
      </w:pPr>
      <w:r w:rsidRPr="0042337D">
        <w:rPr>
          <w:rFonts w:eastAsia="Times New Roman" w:cs="Arial"/>
          <w:snapToGrid w:val="0"/>
          <w:szCs w:val="20"/>
        </w:rPr>
        <w:t>Technical assistance</w:t>
      </w:r>
      <w:r w:rsidR="005125C5" w:rsidRPr="0042337D">
        <w:rPr>
          <w:rFonts w:eastAsia="Times New Roman" w:cs="Arial"/>
          <w:snapToGrid w:val="0"/>
          <w:szCs w:val="20"/>
        </w:rPr>
        <w:t xml:space="preserve"> materials, such as PowerPoint presentations, training agendas, workshop handouts, or facilitator guides;</w:t>
      </w:r>
    </w:p>
    <w:p w14:paraId="52EE8410" w14:textId="77777777" w:rsidR="005125C5" w:rsidRPr="0042337D" w:rsidRDefault="005125C5" w:rsidP="0042337D">
      <w:pPr>
        <w:numPr>
          <w:ilvl w:val="0"/>
          <w:numId w:val="51"/>
        </w:numPr>
        <w:spacing w:before="240"/>
        <w:rPr>
          <w:rFonts w:eastAsia="Times New Roman" w:cs="Arial"/>
          <w:snapToGrid w:val="0"/>
          <w:szCs w:val="20"/>
        </w:rPr>
      </w:pPr>
      <w:r w:rsidRPr="0042337D">
        <w:rPr>
          <w:rFonts w:eastAsia="Times New Roman" w:cs="Arial"/>
          <w:snapToGrid w:val="0"/>
          <w:szCs w:val="20"/>
        </w:rPr>
        <w:t>Tools, templates, or resources developed to support school improvement, governance, instructional leadership, compliance, or operational capacity;</w:t>
      </w:r>
    </w:p>
    <w:p w14:paraId="234D463C" w14:textId="77777777" w:rsidR="005125C5" w:rsidRPr="0042337D" w:rsidRDefault="005125C5" w:rsidP="0042337D">
      <w:pPr>
        <w:numPr>
          <w:ilvl w:val="0"/>
          <w:numId w:val="51"/>
        </w:numPr>
        <w:spacing w:before="240"/>
        <w:rPr>
          <w:rFonts w:eastAsia="Times New Roman" w:cs="Arial"/>
          <w:snapToGrid w:val="0"/>
          <w:szCs w:val="20"/>
        </w:rPr>
      </w:pPr>
      <w:r w:rsidRPr="0042337D">
        <w:rPr>
          <w:rFonts w:eastAsia="Times New Roman" w:cs="Arial"/>
          <w:snapToGrid w:val="0"/>
          <w:szCs w:val="20"/>
        </w:rPr>
        <w:t>Artifacts from TA engagements, such as implementation plans, coaching logs, or site visit reports;</w:t>
      </w:r>
    </w:p>
    <w:p w14:paraId="15E84680" w14:textId="1F1A6DD1" w:rsidR="00B830FA" w:rsidRPr="0042337D" w:rsidRDefault="005125C5" w:rsidP="0042337D">
      <w:pPr>
        <w:numPr>
          <w:ilvl w:val="0"/>
          <w:numId w:val="51"/>
        </w:numPr>
        <w:spacing w:before="240"/>
        <w:rPr>
          <w:rFonts w:eastAsia="Times New Roman" w:cs="Arial"/>
          <w:snapToGrid w:val="0"/>
          <w:szCs w:val="20"/>
        </w:rPr>
      </w:pPr>
      <w:r w:rsidRPr="0042337D">
        <w:rPr>
          <w:rFonts w:eastAsia="Times New Roman" w:cs="Arial"/>
          <w:snapToGrid w:val="0"/>
          <w:szCs w:val="20"/>
        </w:rPr>
        <w:t>Evaluation summaries</w:t>
      </w:r>
      <w:r w:rsidR="00B830FA" w:rsidRPr="0042337D">
        <w:rPr>
          <w:rFonts w:eastAsia="Times New Roman" w:cs="Arial"/>
          <w:snapToGrid w:val="0"/>
          <w:szCs w:val="20"/>
        </w:rPr>
        <w:t xml:space="preserve">, published research, </w:t>
      </w:r>
      <w:r w:rsidRPr="0042337D">
        <w:rPr>
          <w:rFonts w:eastAsia="Times New Roman" w:cs="Arial"/>
          <w:snapToGrid w:val="0"/>
          <w:szCs w:val="20"/>
        </w:rPr>
        <w:t xml:space="preserve">or </w:t>
      </w:r>
      <w:r w:rsidR="00B830FA" w:rsidRPr="0042337D">
        <w:rPr>
          <w:rFonts w:eastAsia="Times New Roman" w:cs="Arial"/>
          <w:snapToGrid w:val="0"/>
          <w:szCs w:val="20"/>
        </w:rPr>
        <w:t xml:space="preserve">formal </w:t>
      </w:r>
      <w:r w:rsidRPr="0042337D">
        <w:rPr>
          <w:rFonts w:eastAsia="Times New Roman" w:cs="Arial"/>
          <w:snapToGrid w:val="0"/>
          <w:szCs w:val="20"/>
        </w:rPr>
        <w:t>reports showing outcomes or impacts of TA provided;</w:t>
      </w:r>
      <w:r w:rsidR="00B830FA" w:rsidRPr="0042337D">
        <w:rPr>
          <w:rFonts w:eastAsia="Times New Roman" w:cs="Arial"/>
          <w:snapToGrid w:val="0"/>
          <w:szCs w:val="20"/>
        </w:rPr>
        <w:t xml:space="preserve"> and/or</w:t>
      </w:r>
    </w:p>
    <w:p w14:paraId="1176A4CB" w14:textId="77777777" w:rsidR="00B830FA" w:rsidRPr="0042337D" w:rsidRDefault="00B830FA" w:rsidP="0042337D">
      <w:pPr>
        <w:numPr>
          <w:ilvl w:val="0"/>
          <w:numId w:val="51"/>
        </w:numPr>
        <w:spacing w:before="240"/>
        <w:rPr>
          <w:rFonts w:eastAsia="Times New Roman" w:cs="Arial"/>
          <w:snapToGrid w:val="0"/>
          <w:szCs w:val="20"/>
        </w:rPr>
      </w:pPr>
      <w:r w:rsidRPr="0042337D">
        <w:rPr>
          <w:rFonts w:eastAsia="Times New Roman" w:cs="Arial"/>
          <w:snapToGrid w:val="0"/>
          <w:szCs w:val="20"/>
        </w:rPr>
        <w:t>Evidence of data collection or feedback mechanisms used to assess and improve TA services, such as survey instruments, evaluation forms, or analysis summaries.</w:t>
      </w:r>
    </w:p>
    <w:p w14:paraId="55632BAD" w14:textId="571310C1" w:rsidR="00351884" w:rsidRPr="00B830FA" w:rsidRDefault="005125C5" w:rsidP="00B830FA">
      <w:pPr>
        <w:spacing w:before="240"/>
        <w:rPr>
          <w:rFonts w:eastAsia="Times New Roman" w:cs="Arial"/>
          <w:snapToGrid w:val="0"/>
          <w:szCs w:val="20"/>
        </w:rPr>
      </w:pPr>
      <w:r>
        <w:t>C</w:t>
      </w:r>
      <w:r w:rsidR="00D04668">
        <w:t xml:space="preserve">. </w:t>
      </w:r>
      <w:r w:rsidR="00351884" w:rsidRPr="00FF3A52">
        <w:t>Letters of Support</w:t>
      </w:r>
    </w:p>
    <w:p w14:paraId="588F62B0" w14:textId="0BB16DE1" w:rsidR="00351884" w:rsidRPr="00FF3A52" w:rsidRDefault="00351884" w:rsidP="00351884">
      <w:r w:rsidRPr="00FF3A52">
        <w:t xml:space="preserve">Provide, as appendices, three letters of support to demonstrate strong statewide partnerships and a commitment to serving high-quality charter schools. Letters must be submitted from each of the following: a Charter School or Charter Management Organization, a School District, and a County Office of Education (COE). </w:t>
      </w:r>
      <w:r w:rsidR="00BB6883" w:rsidRPr="00BB6883">
        <w:t xml:space="preserve">In addition, any collaborating agencies </w:t>
      </w:r>
      <w:r w:rsidR="00BB6883">
        <w:t>who wish to work</w:t>
      </w:r>
      <w:r w:rsidR="00BB6883" w:rsidRPr="00BB6883">
        <w:t xml:space="preserve"> with the subgrantee under the STACS </w:t>
      </w:r>
      <w:r w:rsidR="00B714D9">
        <w:lastRenderedPageBreak/>
        <w:t>S</w:t>
      </w:r>
      <w:r w:rsidR="00BB6883" w:rsidRPr="00BB6883">
        <w:t xml:space="preserve">ubgrant must also provide a letter of support. </w:t>
      </w:r>
      <w:r w:rsidRPr="00FF3A52">
        <w:t>The letters should be signed by an appropriate representative from each respective organization and must demonstrate the applicant’s capacity to successfully implement the proposed project and ensure statewide impact.</w:t>
      </w:r>
    </w:p>
    <w:p w14:paraId="59D62C22" w14:textId="06D09E5D" w:rsidR="00642F3A" w:rsidRDefault="002F2F3D" w:rsidP="00C1527E">
      <w:pPr>
        <w:pStyle w:val="Heading4"/>
      </w:pPr>
      <w:r>
        <w:t>5</w:t>
      </w:r>
      <w:r w:rsidR="00F25710" w:rsidRPr="00FF3A52">
        <w:t xml:space="preserve">.2 </w:t>
      </w:r>
      <w:r w:rsidR="00642F3A">
        <w:t>Personnel Resources</w:t>
      </w:r>
    </w:p>
    <w:p w14:paraId="6F749288" w14:textId="58A1F1BB" w:rsidR="00F25710" w:rsidRPr="00FF3A52" w:rsidRDefault="00830699" w:rsidP="00830699">
      <w:r>
        <w:t>A</w:t>
      </w:r>
      <w:r w:rsidR="00C26252">
        <w:t>.</w:t>
      </w:r>
      <w:r>
        <w:t xml:space="preserve"> </w:t>
      </w:r>
      <w:r w:rsidR="00C26252">
        <w:t>Subgrant</w:t>
      </w:r>
      <w:r w:rsidR="00F25710" w:rsidRPr="00FF3A52">
        <w:t xml:space="preserve"> </w:t>
      </w:r>
      <w:r w:rsidR="00300086">
        <w:t>Monitor</w:t>
      </w:r>
      <w:r w:rsidR="00C26252">
        <w:t xml:space="preserve"> Qualifications</w:t>
      </w:r>
    </w:p>
    <w:p w14:paraId="662651E8" w14:textId="097EB8AE" w:rsidR="00F25710" w:rsidRPr="00FF3A52" w:rsidRDefault="00F25710" w:rsidP="00642F3A">
      <w:pPr>
        <w:rPr>
          <w:rFonts w:eastAsia="Times New Roman" w:cs="Arial"/>
          <w:snapToGrid w:val="0"/>
          <w:szCs w:val="20"/>
        </w:rPr>
      </w:pPr>
      <w:r w:rsidRPr="00FF3A52">
        <w:rPr>
          <w:rFonts w:eastAsia="Times New Roman" w:cs="Arial"/>
          <w:snapToGrid w:val="0"/>
          <w:szCs w:val="20"/>
        </w:rPr>
        <w:t xml:space="preserve">Identify by name the </w:t>
      </w:r>
      <w:r w:rsidR="00593F6D">
        <w:rPr>
          <w:rFonts w:eastAsia="Times New Roman" w:cs="Arial"/>
          <w:snapToGrid w:val="0"/>
          <w:szCs w:val="20"/>
        </w:rPr>
        <w:t>Subgrant</w:t>
      </w:r>
      <w:r w:rsidRPr="00FF3A52">
        <w:rPr>
          <w:rFonts w:eastAsia="Times New Roman" w:cs="Arial"/>
          <w:snapToGrid w:val="0"/>
          <w:szCs w:val="20"/>
        </w:rPr>
        <w:t xml:space="preserve"> M</w:t>
      </w:r>
      <w:r w:rsidR="00300086">
        <w:rPr>
          <w:rFonts w:eastAsia="Times New Roman" w:cs="Arial"/>
          <w:snapToGrid w:val="0"/>
          <w:szCs w:val="20"/>
        </w:rPr>
        <w:t>onitor</w:t>
      </w:r>
      <w:r w:rsidRPr="00FF3A52">
        <w:rPr>
          <w:rFonts w:eastAsia="Times New Roman" w:cs="Arial"/>
          <w:snapToGrid w:val="0"/>
          <w:szCs w:val="20"/>
        </w:rPr>
        <w:t xml:space="preserve"> for the STACS </w:t>
      </w:r>
      <w:r w:rsidR="00300086">
        <w:rPr>
          <w:rFonts w:eastAsia="Times New Roman" w:cs="Arial"/>
          <w:snapToGrid w:val="0"/>
          <w:szCs w:val="20"/>
        </w:rPr>
        <w:t xml:space="preserve">RFA </w:t>
      </w:r>
      <w:r w:rsidR="00593F6D">
        <w:rPr>
          <w:rFonts w:eastAsia="Times New Roman" w:cs="Arial"/>
          <w:snapToGrid w:val="0"/>
          <w:szCs w:val="20"/>
        </w:rPr>
        <w:t>subgrant</w:t>
      </w:r>
      <w:r w:rsidRPr="00FF3A52">
        <w:rPr>
          <w:rFonts w:eastAsia="Times New Roman" w:cs="Arial"/>
          <w:snapToGrid w:val="0"/>
          <w:szCs w:val="20"/>
        </w:rPr>
        <w:t xml:space="preserve"> and describe how the proposed </w:t>
      </w:r>
      <w:r w:rsidR="00593F6D">
        <w:rPr>
          <w:rFonts w:eastAsia="Times New Roman" w:cs="Arial"/>
          <w:snapToGrid w:val="0"/>
          <w:szCs w:val="20"/>
        </w:rPr>
        <w:t>Subgrant</w:t>
      </w:r>
      <w:r w:rsidR="00300086">
        <w:rPr>
          <w:rFonts w:eastAsia="Times New Roman" w:cs="Arial"/>
          <w:snapToGrid w:val="0"/>
          <w:szCs w:val="20"/>
        </w:rPr>
        <w:t xml:space="preserve"> Monitor</w:t>
      </w:r>
      <w:r w:rsidRPr="00FF3A52">
        <w:rPr>
          <w:rFonts w:eastAsia="Times New Roman" w:cs="Arial"/>
          <w:snapToGrid w:val="0"/>
          <w:szCs w:val="20"/>
        </w:rPr>
        <w:t xml:space="preserve"> meets the minimum qualifications stated below. The application must describe how the </w:t>
      </w:r>
      <w:r w:rsidR="00593F6D">
        <w:rPr>
          <w:rFonts w:eastAsia="Times New Roman" w:cs="Arial"/>
          <w:snapToGrid w:val="0"/>
          <w:szCs w:val="20"/>
        </w:rPr>
        <w:t>Subgrant</w:t>
      </w:r>
      <w:r w:rsidRPr="00FF3A52">
        <w:rPr>
          <w:rFonts w:eastAsia="Times New Roman" w:cs="Arial"/>
          <w:snapToGrid w:val="0"/>
          <w:szCs w:val="20"/>
        </w:rPr>
        <w:t xml:space="preserve"> M</w:t>
      </w:r>
      <w:r w:rsidR="00300086">
        <w:rPr>
          <w:rFonts w:eastAsia="Times New Roman" w:cs="Arial"/>
          <w:snapToGrid w:val="0"/>
          <w:szCs w:val="20"/>
        </w:rPr>
        <w:t>onitor</w:t>
      </w:r>
      <w:r w:rsidRPr="00FF3A52">
        <w:rPr>
          <w:rFonts w:eastAsia="Times New Roman" w:cs="Arial"/>
          <w:snapToGrid w:val="0"/>
          <w:szCs w:val="20"/>
        </w:rPr>
        <w:t xml:space="preserve"> will effectively coordinate, manage, and monitor the efforts of the assigned staff, including collaborating </w:t>
      </w:r>
      <w:r w:rsidR="00593F6D">
        <w:rPr>
          <w:rFonts w:eastAsia="Times New Roman" w:cs="Arial"/>
          <w:snapToGrid w:val="0"/>
          <w:szCs w:val="20"/>
        </w:rPr>
        <w:t>agencies</w:t>
      </w:r>
      <w:r w:rsidRPr="00FF3A52">
        <w:rPr>
          <w:rFonts w:eastAsia="Times New Roman" w:cs="Arial"/>
          <w:snapToGrid w:val="0"/>
          <w:szCs w:val="20"/>
        </w:rPr>
        <w:t>, to ensure that all tasks/subtasks, activities, and functions are completed effectively and in a timely manner.</w:t>
      </w:r>
    </w:p>
    <w:p w14:paraId="555CD602" w14:textId="2B16E117" w:rsidR="00302121" w:rsidRPr="00EA1445" w:rsidRDefault="00F25710" w:rsidP="00F25710">
      <w:pPr>
        <w:spacing w:before="240"/>
        <w:rPr>
          <w:rFonts w:eastAsia="Times New Roman" w:cs="Arial"/>
          <w:snapToGrid w:val="0"/>
          <w:szCs w:val="20"/>
        </w:rPr>
      </w:pPr>
      <w:r w:rsidRPr="00FF3A52">
        <w:rPr>
          <w:rFonts w:eastAsia="Times New Roman" w:cs="Arial"/>
          <w:snapToGrid w:val="0"/>
          <w:szCs w:val="20"/>
        </w:rPr>
        <w:t xml:space="preserve">The </w:t>
      </w:r>
      <w:r w:rsidR="00593F6D">
        <w:rPr>
          <w:rFonts w:eastAsia="Times New Roman" w:cs="Arial"/>
          <w:snapToGrid w:val="0"/>
          <w:szCs w:val="20"/>
        </w:rPr>
        <w:t xml:space="preserve">Subgrant </w:t>
      </w:r>
      <w:r w:rsidRPr="00FF3A52">
        <w:rPr>
          <w:rFonts w:eastAsia="Times New Roman" w:cs="Arial"/>
          <w:snapToGrid w:val="0"/>
          <w:szCs w:val="20"/>
        </w:rPr>
        <w:t>M</w:t>
      </w:r>
      <w:r w:rsidR="00300086">
        <w:rPr>
          <w:rFonts w:eastAsia="Times New Roman" w:cs="Arial"/>
          <w:snapToGrid w:val="0"/>
          <w:szCs w:val="20"/>
        </w:rPr>
        <w:t>onitor</w:t>
      </w:r>
      <w:r w:rsidRPr="00FF3A52">
        <w:rPr>
          <w:rFonts w:eastAsia="Times New Roman" w:cs="Arial"/>
          <w:snapToGrid w:val="0"/>
          <w:szCs w:val="20"/>
        </w:rPr>
        <w:t xml:space="preserve"> is the applicant’s primary person assigned to oversee </w:t>
      </w:r>
      <w:r w:rsidR="00300086">
        <w:rPr>
          <w:rFonts w:eastAsia="Times New Roman" w:cs="Arial"/>
          <w:snapToGrid w:val="0"/>
          <w:szCs w:val="20"/>
        </w:rPr>
        <w:t xml:space="preserve">STACs RFA </w:t>
      </w:r>
      <w:r w:rsidR="00593F6D">
        <w:rPr>
          <w:rFonts w:eastAsia="Times New Roman" w:cs="Arial"/>
          <w:snapToGrid w:val="0"/>
          <w:szCs w:val="20"/>
        </w:rPr>
        <w:t>subgrant</w:t>
      </w:r>
      <w:r w:rsidRPr="00FF3A52">
        <w:rPr>
          <w:rFonts w:eastAsia="Times New Roman" w:cs="Arial"/>
          <w:snapToGrid w:val="0"/>
          <w:szCs w:val="20"/>
        </w:rPr>
        <w:t xml:space="preserve"> activities. The </w:t>
      </w:r>
      <w:r w:rsidR="00593F6D">
        <w:rPr>
          <w:rFonts w:eastAsia="Times New Roman" w:cs="Arial"/>
          <w:snapToGrid w:val="0"/>
          <w:szCs w:val="20"/>
        </w:rPr>
        <w:t>Subgrant</w:t>
      </w:r>
      <w:r w:rsidR="00302121">
        <w:rPr>
          <w:rFonts w:eastAsia="Times New Roman" w:cs="Arial"/>
          <w:snapToGrid w:val="0"/>
          <w:szCs w:val="20"/>
        </w:rPr>
        <w:t xml:space="preserve"> Monitor </w:t>
      </w:r>
      <w:r w:rsidRPr="00FF3A52">
        <w:rPr>
          <w:rFonts w:eastAsia="Times New Roman" w:cs="Arial"/>
          <w:snapToGrid w:val="0"/>
          <w:szCs w:val="20"/>
        </w:rPr>
        <w:t xml:space="preserve">must be an employee of the primary </w:t>
      </w:r>
      <w:r w:rsidR="00101BE9">
        <w:rPr>
          <w:rFonts w:eastAsia="Times New Roman" w:cs="Arial"/>
          <w:snapToGrid w:val="0"/>
          <w:szCs w:val="20"/>
        </w:rPr>
        <w:t xml:space="preserve">subgrant </w:t>
      </w:r>
      <w:r w:rsidRPr="00FF3A52">
        <w:rPr>
          <w:rFonts w:eastAsia="Times New Roman" w:cs="Arial"/>
          <w:snapToGrid w:val="0"/>
          <w:szCs w:val="20"/>
        </w:rPr>
        <w:t>applicant and will act as the liaison between the CDE</w:t>
      </w:r>
      <w:r w:rsidR="00302121">
        <w:rPr>
          <w:rFonts w:eastAsia="Times New Roman" w:cs="Arial"/>
          <w:snapToGrid w:val="0"/>
          <w:szCs w:val="20"/>
        </w:rPr>
        <w:t xml:space="preserve"> </w:t>
      </w:r>
      <w:r w:rsidRPr="00FF3A52">
        <w:rPr>
          <w:rFonts w:eastAsia="Times New Roman" w:cs="Arial"/>
          <w:snapToGrid w:val="0"/>
          <w:szCs w:val="20"/>
        </w:rPr>
        <w:t xml:space="preserve">and all other approved </w:t>
      </w:r>
      <w:r w:rsidR="00302121">
        <w:rPr>
          <w:rFonts w:eastAsia="Times New Roman" w:cs="Arial"/>
          <w:snapToGrid w:val="0"/>
          <w:szCs w:val="20"/>
        </w:rPr>
        <w:t xml:space="preserve">CDE </w:t>
      </w:r>
      <w:r w:rsidRPr="00FF3A52">
        <w:rPr>
          <w:rFonts w:eastAsia="Times New Roman" w:cs="Arial"/>
          <w:snapToGrid w:val="0"/>
          <w:szCs w:val="20"/>
        </w:rPr>
        <w:t xml:space="preserve">staff. </w:t>
      </w:r>
      <w:r w:rsidR="00302121">
        <w:rPr>
          <w:rFonts w:eastAsia="Times New Roman" w:cs="Arial"/>
          <w:snapToGrid w:val="0"/>
          <w:szCs w:val="20"/>
        </w:rPr>
        <w:t xml:space="preserve">The </w:t>
      </w:r>
      <w:r w:rsidR="00593F6D" w:rsidRPr="00EA1445">
        <w:rPr>
          <w:rFonts w:eastAsia="Times New Roman" w:cs="Arial"/>
          <w:snapToGrid w:val="0"/>
          <w:szCs w:val="20"/>
        </w:rPr>
        <w:t>Subgrant</w:t>
      </w:r>
      <w:r w:rsidR="00302121" w:rsidRPr="00EA1445">
        <w:rPr>
          <w:rFonts w:eastAsia="Times New Roman" w:cs="Arial"/>
          <w:snapToGrid w:val="0"/>
          <w:szCs w:val="20"/>
        </w:rPr>
        <w:t xml:space="preserve"> Monitor is responsible for ensuring completion of all STACS </w:t>
      </w:r>
      <w:r w:rsidR="00B714D9" w:rsidRPr="00EA1445">
        <w:rPr>
          <w:rFonts w:eastAsia="Times New Roman" w:cs="Arial"/>
          <w:snapToGrid w:val="0"/>
          <w:szCs w:val="20"/>
        </w:rPr>
        <w:t>S</w:t>
      </w:r>
      <w:r w:rsidR="00593F6D" w:rsidRPr="00EA1445">
        <w:rPr>
          <w:rFonts w:eastAsia="Times New Roman" w:cs="Arial"/>
          <w:snapToGrid w:val="0"/>
          <w:szCs w:val="20"/>
        </w:rPr>
        <w:t>ubgrant</w:t>
      </w:r>
      <w:r w:rsidR="00302121" w:rsidRPr="00EA1445">
        <w:rPr>
          <w:rFonts w:eastAsia="Times New Roman" w:cs="Arial"/>
          <w:snapToGrid w:val="0"/>
          <w:szCs w:val="20"/>
        </w:rPr>
        <w:t xml:space="preserve"> deliverables, tasks, and subtasks. </w:t>
      </w:r>
    </w:p>
    <w:p w14:paraId="67211DB3" w14:textId="71DB16E5" w:rsidR="00F25710" w:rsidRPr="00EA1445" w:rsidRDefault="00F25710" w:rsidP="00F25710">
      <w:pPr>
        <w:spacing w:before="240"/>
        <w:rPr>
          <w:rFonts w:eastAsia="Times New Roman" w:cs="Arial"/>
          <w:snapToGrid w:val="0"/>
          <w:szCs w:val="20"/>
        </w:rPr>
      </w:pPr>
      <w:r w:rsidRPr="00EA1445">
        <w:rPr>
          <w:rFonts w:eastAsia="Times New Roman" w:cs="Arial"/>
          <w:snapToGrid w:val="0"/>
          <w:szCs w:val="20"/>
        </w:rPr>
        <w:t xml:space="preserve">The </w:t>
      </w:r>
      <w:r w:rsidR="00593F6D" w:rsidRPr="00EA1445">
        <w:rPr>
          <w:rFonts w:eastAsia="Times New Roman" w:cs="Arial"/>
          <w:snapToGrid w:val="0"/>
          <w:szCs w:val="20"/>
        </w:rPr>
        <w:t>Subgrant</w:t>
      </w:r>
      <w:r w:rsidR="00300086" w:rsidRPr="00EA1445">
        <w:rPr>
          <w:rFonts w:eastAsia="Times New Roman" w:cs="Arial"/>
          <w:snapToGrid w:val="0"/>
          <w:szCs w:val="20"/>
        </w:rPr>
        <w:t xml:space="preserve"> Monitor</w:t>
      </w:r>
      <w:r w:rsidRPr="00EA1445">
        <w:rPr>
          <w:rFonts w:eastAsia="Times New Roman" w:cs="Arial"/>
          <w:snapToGrid w:val="0"/>
          <w:szCs w:val="20"/>
        </w:rPr>
        <w:t xml:space="preserve"> must be accessible to the CDE at all times during normal CDE business hours (See Appendix B: Definitions of PCSGP Terms for the definition of “CDE business hours”). In addition to other specified responsibilities, the </w:t>
      </w:r>
      <w:r w:rsidR="00593F6D" w:rsidRPr="00EA1445">
        <w:rPr>
          <w:rFonts w:eastAsia="Times New Roman" w:cs="Arial"/>
          <w:snapToGrid w:val="0"/>
          <w:szCs w:val="20"/>
        </w:rPr>
        <w:t>Subgrant</w:t>
      </w:r>
      <w:r w:rsidR="00300086" w:rsidRPr="00EA1445">
        <w:rPr>
          <w:rFonts w:eastAsia="Times New Roman" w:cs="Arial"/>
          <w:snapToGrid w:val="0"/>
          <w:szCs w:val="20"/>
        </w:rPr>
        <w:t xml:space="preserve"> Monitor</w:t>
      </w:r>
      <w:r w:rsidRPr="00EA1445">
        <w:rPr>
          <w:rFonts w:eastAsia="Times New Roman" w:cs="Arial"/>
          <w:snapToGrid w:val="0"/>
          <w:szCs w:val="20"/>
        </w:rPr>
        <w:t xml:space="preserve"> will be responsible for all matters related to the applicant’s </w:t>
      </w:r>
      <w:r w:rsidR="00B714D9" w:rsidRPr="00EA1445">
        <w:rPr>
          <w:rFonts w:eastAsia="Times New Roman" w:cs="Arial"/>
          <w:snapToGrid w:val="0"/>
          <w:szCs w:val="20"/>
        </w:rPr>
        <w:t>sub</w:t>
      </w:r>
      <w:r w:rsidRPr="00EA1445">
        <w:rPr>
          <w:rFonts w:eastAsia="Times New Roman" w:cs="Arial"/>
          <w:snapToGrid w:val="0"/>
          <w:szCs w:val="20"/>
        </w:rPr>
        <w:t>grant staff/personnel including, but not limited to:</w:t>
      </w:r>
    </w:p>
    <w:p w14:paraId="7C7D55DB" w14:textId="4033DA47" w:rsidR="00F25710" w:rsidRPr="00FF3A52" w:rsidRDefault="00F25710" w:rsidP="00F17306">
      <w:pPr>
        <w:numPr>
          <w:ilvl w:val="1"/>
          <w:numId w:val="12"/>
        </w:numPr>
        <w:spacing w:before="240"/>
        <w:rPr>
          <w:rFonts w:eastAsia="Times New Roman" w:cs="Arial"/>
          <w:snapToGrid w:val="0"/>
          <w:szCs w:val="20"/>
        </w:rPr>
      </w:pPr>
      <w:r w:rsidRPr="00EA1445">
        <w:rPr>
          <w:rFonts w:eastAsia="Times New Roman" w:cs="Arial"/>
          <w:snapToGrid w:val="0"/>
          <w:szCs w:val="20"/>
        </w:rPr>
        <w:t>Supervis</w:t>
      </w:r>
      <w:r w:rsidRPr="00FF3A52">
        <w:rPr>
          <w:rFonts w:eastAsia="Times New Roman" w:cs="Arial"/>
          <w:snapToGrid w:val="0"/>
          <w:szCs w:val="20"/>
        </w:rPr>
        <w:t>ing, reviewing, monitoring, training, and directing all staff/person</w:t>
      </w:r>
      <w:r w:rsidR="00302121">
        <w:rPr>
          <w:rFonts w:eastAsia="Times New Roman" w:cs="Arial"/>
          <w:snapToGrid w:val="0"/>
          <w:szCs w:val="20"/>
        </w:rPr>
        <w:t xml:space="preserve">nel; completing </w:t>
      </w:r>
      <w:r w:rsidR="003C78BF">
        <w:rPr>
          <w:rFonts w:eastAsia="Times New Roman" w:cs="Arial"/>
          <w:snapToGrid w:val="0"/>
          <w:szCs w:val="20"/>
        </w:rPr>
        <w:t>subgrant</w:t>
      </w:r>
      <w:r w:rsidR="00302121">
        <w:rPr>
          <w:rFonts w:eastAsia="Times New Roman" w:cs="Arial"/>
          <w:snapToGrid w:val="0"/>
          <w:szCs w:val="20"/>
        </w:rPr>
        <w:t xml:space="preserve"> activities;</w:t>
      </w:r>
    </w:p>
    <w:p w14:paraId="1A8A1F57" w14:textId="25CC7CFA" w:rsidR="00F25710" w:rsidRPr="00FF3A52" w:rsidRDefault="00F25710" w:rsidP="00F17306">
      <w:pPr>
        <w:numPr>
          <w:ilvl w:val="1"/>
          <w:numId w:val="12"/>
        </w:numPr>
        <w:spacing w:before="240"/>
        <w:rPr>
          <w:rFonts w:eastAsia="Times New Roman" w:cs="Arial"/>
          <w:snapToGrid w:val="0"/>
          <w:szCs w:val="20"/>
        </w:rPr>
      </w:pPr>
      <w:r w:rsidRPr="00FF3A52">
        <w:rPr>
          <w:rFonts w:eastAsia="Times New Roman" w:cs="Arial"/>
          <w:snapToGrid w:val="0"/>
          <w:szCs w:val="20"/>
        </w:rPr>
        <w:t>Maintaining subgrant files;</w:t>
      </w:r>
    </w:p>
    <w:p w14:paraId="3FE10E8B" w14:textId="77777777" w:rsidR="00F25710" w:rsidRPr="00FF3A52" w:rsidRDefault="00F25710" w:rsidP="00F17306">
      <w:pPr>
        <w:numPr>
          <w:ilvl w:val="1"/>
          <w:numId w:val="12"/>
        </w:numPr>
        <w:spacing w:before="240"/>
        <w:rPr>
          <w:rFonts w:eastAsia="Times New Roman" w:cs="Arial"/>
          <w:snapToGrid w:val="0"/>
          <w:szCs w:val="20"/>
        </w:rPr>
      </w:pPr>
      <w:r w:rsidRPr="00FF3A52">
        <w:rPr>
          <w:rFonts w:eastAsia="Times New Roman" w:cs="Arial"/>
          <w:snapToGrid w:val="0"/>
          <w:szCs w:val="20"/>
        </w:rPr>
        <w:t>Implementing and maintaining quality control procedures to manage conflicts, ensure product accuracy, identify critical reviews, and milestones; and</w:t>
      </w:r>
    </w:p>
    <w:p w14:paraId="37F7BE57" w14:textId="77777777" w:rsidR="00F25710" w:rsidRPr="00FF3A52" w:rsidRDefault="00F25710" w:rsidP="00F17306">
      <w:pPr>
        <w:numPr>
          <w:ilvl w:val="1"/>
          <w:numId w:val="12"/>
        </w:numPr>
        <w:spacing w:before="240"/>
        <w:rPr>
          <w:rFonts w:eastAsia="Times New Roman" w:cs="Times New Roman"/>
          <w:snapToGrid w:val="0"/>
          <w:szCs w:val="20"/>
        </w:rPr>
      </w:pPr>
      <w:r w:rsidRPr="00FF3A52">
        <w:rPr>
          <w:rFonts w:eastAsia="Times New Roman" w:cs="Arial"/>
          <w:snapToGrid w:val="0"/>
          <w:szCs w:val="20"/>
        </w:rPr>
        <w:t>Submitting quarterly progress reports and invoices in a timely matter.</w:t>
      </w:r>
    </w:p>
    <w:p w14:paraId="364DF343" w14:textId="16FB7DB0" w:rsidR="00F25710" w:rsidRPr="00FF3A52" w:rsidRDefault="00F25710" w:rsidP="00F25710">
      <w:pPr>
        <w:spacing w:before="240"/>
        <w:rPr>
          <w:rFonts w:eastAsia="Times New Roman" w:cs="Arial"/>
          <w:snapToGrid w:val="0"/>
          <w:szCs w:val="20"/>
        </w:rPr>
      </w:pPr>
      <w:r w:rsidRPr="00FF3A52">
        <w:rPr>
          <w:rFonts w:eastAsia="Times New Roman" w:cs="Arial"/>
          <w:snapToGrid w:val="0"/>
          <w:szCs w:val="20"/>
        </w:rPr>
        <w:t xml:space="preserve">The STACS applicant must describe in the narrative how the </w:t>
      </w:r>
      <w:r w:rsidR="00593F6D">
        <w:rPr>
          <w:rFonts w:eastAsia="Times New Roman" w:cs="Arial"/>
          <w:snapToGrid w:val="0"/>
          <w:szCs w:val="20"/>
        </w:rPr>
        <w:t>Subgrant</w:t>
      </w:r>
      <w:r w:rsidR="00300086">
        <w:rPr>
          <w:rFonts w:eastAsia="Times New Roman" w:cs="Arial"/>
          <w:snapToGrid w:val="0"/>
          <w:szCs w:val="20"/>
        </w:rPr>
        <w:t xml:space="preserve"> Monitor</w:t>
      </w:r>
      <w:r w:rsidRPr="00FF3A52">
        <w:rPr>
          <w:rFonts w:eastAsia="Times New Roman" w:cs="Arial"/>
          <w:snapToGrid w:val="0"/>
          <w:szCs w:val="20"/>
        </w:rPr>
        <w:t xml:space="preserve"> is qualified to manage the above listed responsibilities and meets the minimum qualifications, including at least three years of professional experience </w:t>
      </w:r>
      <w:r w:rsidRPr="00FF3A52">
        <w:t>in the following areas:</w:t>
      </w:r>
    </w:p>
    <w:p w14:paraId="677A1B24" w14:textId="77777777" w:rsidR="00F25710" w:rsidRPr="00FF3A52" w:rsidRDefault="00F25710" w:rsidP="00F17306">
      <w:pPr>
        <w:pStyle w:val="ListParagraph"/>
        <w:numPr>
          <w:ilvl w:val="0"/>
          <w:numId w:val="13"/>
        </w:numPr>
        <w:ind w:left="1080"/>
        <w:contextualSpacing w:val="0"/>
      </w:pPr>
      <w:r w:rsidRPr="00FF3A52">
        <w:t>Work with high-quality schools and/or involvement with school improvement processes or activities, including the applicant’s role, responsibilities, and outcome(s);</w:t>
      </w:r>
    </w:p>
    <w:p w14:paraId="5270310F" w14:textId="030DBBF3" w:rsidR="00F25710" w:rsidRPr="00FF3A52" w:rsidRDefault="00F25710" w:rsidP="00F17306">
      <w:pPr>
        <w:pStyle w:val="ListParagraph"/>
        <w:numPr>
          <w:ilvl w:val="0"/>
          <w:numId w:val="13"/>
        </w:numPr>
        <w:ind w:left="1080"/>
        <w:contextualSpacing w:val="0"/>
      </w:pPr>
      <w:r w:rsidRPr="00FF3A52">
        <w:lastRenderedPageBreak/>
        <w:t xml:space="preserve">Experience developing and facilitating professional learning communities or working groups for charter school staff, including the </w:t>
      </w:r>
      <w:r w:rsidR="000E7058" w:rsidRPr="00FF3A52">
        <w:t>applicant’s</w:t>
      </w:r>
      <w:r w:rsidRPr="00FF3A52">
        <w:t xml:space="preserve"> role, responsibilities, and outcome(s)</w:t>
      </w:r>
      <w:r w:rsidR="00850737">
        <w:t>;</w:t>
      </w:r>
      <w:r w:rsidRPr="00FF3A52">
        <w:t xml:space="preserve"> </w:t>
      </w:r>
    </w:p>
    <w:p w14:paraId="3516E564" w14:textId="77777777" w:rsidR="00F25710" w:rsidRPr="00FF3A52" w:rsidRDefault="00F25710" w:rsidP="00F17306">
      <w:pPr>
        <w:pStyle w:val="ListParagraph"/>
        <w:numPr>
          <w:ilvl w:val="0"/>
          <w:numId w:val="13"/>
        </w:numPr>
        <w:ind w:left="1080"/>
        <w:contextualSpacing w:val="0"/>
      </w:pPr>
      <w:r w:rsidRPr="00FF3A52">
        <w:t>Project management, event coordination, and professional development; and</w:t>
      </w:r>
    </w:p>
    <w:p w14:paraId="4A6AF81B" w14:textId="77777777" w:rsidR="00F25710" w:rsidRPr="00FF3A52" w:rsidRDefault="00F25710" w:rsidP="00F17306">
      <w:pPr>
        <w:pStyle w:val="ListParagraph"/>
        <w:numPr>
          <w:ilvl w:val="0"/>
          <w:numId w:val="13"/>
        </w:numPr>
        <w:ind w:left="1080"/>
        <w:contextualSpacing w:val="0"/>
      </w:pPr>
      <w:r w:rsidRPr="00FF3A52">
        <w:t>Using technology in educational settings, such as distance learning, digital conference meetings, and digital document sharing.</w:t>
      </w:r>
    </w:p>
    <w:p w14:paraId="04BD084B" w14:textId="5FD6A3A9" w:rsidR="00F25710" w:rsidRPr="00FF3A52" w:rsidRDefault="00830699" w:rsidP="00830699">
      <w:r>
        <w:t>B.</w:t>
      </w:r>
      <w:r w:rsidR="00F25710" w:rsidRPr="00FF3A52">
        <w:t xml:space="preserve"> Fiscal Manager</w:t>
      </w:r>
      <w:r w:rsidR="00C26252">
        <w:t xml:space="preserve"> Qualifications</w:t>
      </w:r>
    </w:p>
    <w:p w14:paraId="62F3C89C" w14:textId="1470980D" w:rsidR="00F25710" w:rsidRPr="00FF3A52" w:rsidRDefault="00F25710" w:rsidP="00F25710">
      <w:pPr>
        <w:spacing w:before="240"/>
        <w:rPr>
          <w:rFonts w:eastAsia="Times New Roman" w:cs="Arial"/>
          <w:snapToGrid w:val="0"/>
          <w:szCs w:val="20"/>
        </w:rPr>
      </w:pPr>
      <w:r w:rsidRPr="00FF3A52">
        <w:rPr>
          <w:rFonts w:eastAsia="Times New Roman" w:cs="Arial"/>
          <w:snapToGrid w:val="0"/>
          <w:szCs w:val="20"/>
        </w:rPr>
        <w:t xml:space="preserve">Identify by name the Fiscal Manager for the STACS </w:t>
      </w:r>
      <w:r w:rsidR="00B714D9">
        <w:rPr>
          <w:rFonts w:eastAsia="Times New Roman" w:cs="Arial"/>
          <w:snapToGrid w:val="0"/>
          <w:szCs w:val="20"/>
        </w:rPr>
        <w:t>S</w:t>
      </w:r>
      <w:r w:rsidR="000E7058">
        <w:rPr>
          <w:rFonts w:eastAsia="Times New Roman" w:cs="Arial"/>
          <w:snapToGrid w:val="0"/>
          <w:szCs w:val="20"/>
        </w:rPr>
        <w:t>ubgrant and</w:t>
      </w:r>
      <w:r w:rsidRPr="00FF3A52">
        <w:rPr>
          <w:rFonts w:eastAsia="Times New Roman" w:cs="Arial"/>
          <w:snapToGrid w:val="0"/>
          <w:szCs w:val="20"/>
        </w:rPr>
        <w:t xml:space="preserve"> describe how the proposed Fiscal Manager meets the minimum qualifications stated below. The application must describe the fiscal accounting processes and budgetary controls that will be employed to ensure the responsible use and management of </w:t>
      </w:r>
      <w:r w:rsidR="003C78BF">
        <w:rPr>
          <w:rFonts w:eastAsia="Times New Roman" w:cs="Arial"/>
          <w:snapToGrid w:val="0"/>
          <w:szCs w:val="20"/>
        </w:rPr>
        <w:t>subgrant</w:t>
      </w:r>
      <w:r w:rsidRPr="00FF3A52">
        <w:rPr>
          <w:rFonts w:eastAsia="Times New Roman" w:cs="Arial"/>
          <w:snapToGrid w:val="0"/>
          <w:szCs w:val="20"/>
        </w:rPr>
        <w:t xml:space="preserve"> funds and accurate invoicing.</w:t>
      </w:r>
    </w:p>
    <w:p w14:paraId="3D63FEAF" w14:textId="5C1867E4" w:rsidR="00F25710" w:rsidRPr="00FF3A52" w:rsidRDefault="00F25710" w:rsidP="00F25710">
      <w:pPr>
        <w:spacing w:before="240"/>
        <w:rPr>
          <w:rFonts w:eastAsia="Times New Roman" w:cs="Times New Roman"/>
          <w:snapToGrid w:val="0"/>
          <w:szCs w:val="20"/>
        </w:rPr>
      </w:pPr>
      <w:r w:rsidRPr="00FF3A52">
        <w:rPr>
          <w:rFonts w:eastAsia="Times New Roman" w:cs="Times New Roman"/>
          <w:snapToGrid w:val="0"/>
          <w:szCs w:val="20"/>
        </w:rPr>
        <w:t xml:space="preserve">The Fiscal Manager is the applicant’s fiscal person responsible for the fiscal oversight and management, invoicing, and accounting for the entire </w:t>
      </w:r>
      <w:r w:rsidR="003C78BF">
        <w:rPr>
          <w:rFonts w:eastAsia="Times New Roman" w:cs="Times New Roman"/>
          <w:snapToGrid w:val="0"/>
          <w:szCs w:val="20"/>
        </w:rPr>
        <w:t>subgrant</w:t>
      </w:r>
      <w:r w:rsidRPr="00FF3A52">
        <w:rPr>
          <w:rFonts w:eastAsia="Times New Roman" w:cs="Times New Roman"/>
          <w:snapToGrid w:val="0"/>
          <w:szCs w:val="20"/>
        </w:rPr>
        <w:t>.</w:t>
      </w:r>
    </w:p>
    <w:p w14:paraId="402E5CA3" w14:textId="05809C93" w:rsidR="00F25710" w:rsidRPr="00FF3A52" w:rsidRDefault="00F25710" w:rsidP="00F25710">
      <w:pPr>
        <w:spacing w:before="240"/>
        <w:rPr>
          <w:rFonts w:eastAsia="Times New Roman" w:cs="Arial"/>
          <w:snapToGrid w:val="0"/>
          <w:szCs w:val="24"/>
        </w:rPr>
      </w:pPr>
      <w:r w:rsidRPr="00FF3A52">
        <w:rPr>
          <w:rFonts w:eastAsia="Times New Roman" w:cs="Times New Roman"/>
          <w:snapToGrid w:val="0"/>
          <w:szCs w:val="20"/>
        </w:rPr>
        <w:t>The Fiscal Manager must have at least three years of recent professional experience providing fiscal oversight and management comparable to the size and scope of the services described in this RFA.</w:t>
      </w:r>
    </w:p>
    <w:p w14:paraId="4DA4A39E" w14:textId="5686BE41" w:rsidR="00F25710" w:rsidRPr="00FF3A52" w:rsidRDefault="00830699" w:rsidP="00830699">
      <w:r>
        <w:t>C.</w:t>
      </w:r>
      <w:r w:rsidR="00F25710" w:rsidRPr="00FF3A52">
        <w:t xml:space="preserve"> Key Personnel</w:t>
      </w:r>
      <w:r w:rsidR="00C26252">
        <w:t xml:space="preserve"> Qualifications</w:t>
      </w:r>
    </w:p>
    <w:p w14:paraId="4025CC66" w14:textId="672A5384" w:rsidR="00F25710" w:rsidRPr="00FF3A52" w:rsidRDefault="00F25710" w:rsidP="00F25710">
      <w:pPr>
        <w:spacing w:before="240"/>
        <w:rPr>
          <w:rFonts w:eastAsia="Times New Roman" w:cs="Arial"/>
          <w:snapToGrid w:val="0"/>
          <w:szCs w:val="24"/>
        </w:rPr>
      </w:pPr>
      <w:r w:rsidRPr="00FF3A52">
        <w:rPr>
          <w:rFonts w:eastAsia="Times New Roman" w:cs="Arial"/>
          <w:snapToGrid w:val="0"/>
          <w:szCs w:val="24"/>
        </w:rPr>
        <w:t>Identify by name</w:t>
      </w:r>
      <w:r w:rsidR="00302121">
        <w:rPr>
          <w:rFonts w:eastAsia="Times New Roman" w:cs="Arial"/>
          <w:snapToGrid w:val="0"/>
          <w:szCs w:val="24"/>
        </w:rPr>
        <w:t xml:space="preserve"> and </w:t>
      </w:r>
      <w:r w:rsidRPr="00FF3A52">
        <w:rPr>
          <w:rFonts w:eastAsia="Times New Roman" w:cs="Arial"/>
          <w:snapToGrid w:val="0"/>
          <w:szCs w:val="24"/>
        </w:rPr>
        <w:t>job position title</w:t>
      </w:r>
      <w:r w:rsidR="00302121">
        <w:rPr>
          <w:rFonts w:eastAsia="Times New Roman" w:cs="Arial"/>
          <w:snapToGrid w:val="0"/>
          <w:szCs w:val="24"/>
        </w:rPr>
        <w:t xml:space="preserve"> </w:t>
      </w:r>
      <w:r w:rsidRPr="00FF3A52">
        <w:rPr>
          <w:rFonts w:eastAsia="Times New Roman" w:cs="Arial"/>
          <w:snapToGrid w:val="0"/>
          <w:szCs w:val="24"/>
        </w:rPr>
        <w:t>all Key Personne</w:t>
      </w:r>
      <w:r w:rsidR="00302121">
        <w:rPr>
          <w:rFonts w:eastAsia="Times New Roman" w:cs="Arial"/>
          <w:snapToGrid w:val="0"/>
          <w:szCs w:val="24"/>
        </w:rPr>
        <w:t>l</w:t>
      </w:r>
      <w:r w:rsidRPr="00FF3A52">
        <w:rPr>
          <w:rFonts w:eastAsia="Times New Roman" w:cs="Arial"/>
          <w:snapToGrid w:val="0"/>
          <w:szCs w:val="24"/>
        </w:rPr>
        <w:t xml:space="preserve">. Key Personnel are defined as those people in conjunction with the </w:t>
      </w:r>
      <w:r w:rsidR="003E69C3">
        <w:rPr>
          <w:rFonts w:eastAsia="Times New Roman" w:cs="Arial"/>
          <w:snapToGrid w:val="0"/>
          <w:szCs w:val="24"/>
        </w:rPr>
        <w:t>Subgrant</w:t>
      </w:r>
      <w:r w:rsidR="00302121">
        <w:rPr>
          <w:rFonts w:eastAsia="Times New Roman" w:cs="Arial"/>
          <w:snapToGrid w:val="0"/>
          <w:szCs w:val="24"/>
        </w:rPr>
        <w:t xml:space="preserve"> Monitor</w:t>
      </w:r>
      <w:r w:rsidRPr="00FF3A52">
        <w:rPr>
          <w:rFonts w:eastAsia="Times New Roman" w:cs="Arial"/>
          <w:snapToGrid w:val="0"/>
          <w:szCs w:val="24"/>
        </w:rPr>
        <w:t xml:space="preserve"> who will exercise a major role on behalf of the </w:t>
      </w:r>
      <w:r w:rsidRPr="00EA1445">
        <w:rPr>
          <w:rFonts w:eastAsia="Times New Roman" w:cs="Arial"/>
          <w:snapToGrid w:val="0"/>
          <w:szCs w:val="24"/>
        </w:rPr>
        <w:t>applicant or who will have significant responsibility for completing or assisting with the completion of tasks described in this RFA. This includes Key Personnel from collaborating agencies, if applicable. Key Personnel do not include clerical staff (See Appendix B: Definitions of PCSGP Terms for the definition of “Key Personnel”). For all Key Personnel identified in the RFA, the narrative must include, but is not limited to, the</w:t>
      </w:r>
      <w:r w:rsidRPr="00FF3A52">
        <w:rPr>
          <w:rFonts w:eastAsia="Times New Roman" w:cs="Arial"/>
          <w:snapToGrid w:val="0"/>
          <w:szCs w:val="24"/>
        </w:rPr>
        <w:t xml:space="preserve"> following:</w:t>
      </w:r>
    </w:p>
    <w:p w14:paraId="051F4365" w14:textId="77777777" w:rsidR="00F25710" w:rsidRDefault="00F25710" w:rsidP="00F17306">
      <w:pPr>
        <w:pStyle w:val="ListParagraph"/>
        <w:numPr>
          <w:ilvl w:val="2"/>
          <w:numId w:val="12"/>
        </w:numPr>
        <w:spacing w:before="240"/>
        <w:ind w:left="1080"/>
        <w:contextualSpacing w:val="0"/>
        <w:rPr>
          <w:rFonts w:eastAsia="Calibri" w:cs="Arial"/>
          <w:szCs w:val="24"/>
        </w:rPr>
      </w:pPr>
      <w:r w:rsidRPr="00FF3A52">
        <w:rPr>
          <w:rFonts w:eastAsia="Calibri" w:cs="Arial"/>
          <w:szCs w:val="24"/>
        </w:rPr>
        <w:t>The application must describe the expertise and professional qualifications of all Key Personnel, including meeting the minimum qualifications of three years of experience and demonstrated work history conducting similar activities to the tasks they will be assigned to complete, as described in this RFA.</w:t>
      </w:r>
    </w:p>
    <w:p w14:paraId="2A9BD019" w14:textId="5647B285" w:rsidR="00D72A1B" w:rsidRPr="00830699" w:rsidRDefault="009C1361" w:rsidP="00830699">
      <w:r>
        <w:t>D.</w:t>
      </w:r>
      <w:r w:rsidR="00D72A1B" w:rsidRPr="00830699">
        <w:t xml:space="preserve"> </w:t>
      </w:r>
      <w:r w:rsidR="00C26252">
        <w:t>Collaborating Agency</w:t>
      </w:r>
      <w:r w:rsidR="00D72A1B" w:rsidRPr="00830699">
        <w:t xml:space="preserve"> Qualifications</w:t>
      </w:r>
    </w:p>
    <w:p w14:paraId="34A9B0D0" w14:textId="2B284E9B" w:rsidR="00D72A1B" w:rsidRPr="00D72A1B" w:rsidRDefault="00D72A1B" w:rsidP="00D72A1B">
      <w:pPr>
        <w:rPr>
          <w:rFonts w:cstheme="majorBidi"/>
          <w:snapToGrid w:val="0"/>
        </w:rPr>
      </w:pPr>
      <w:r w:rsidRPr="00830699">
        <w:rPr>
          <w:snapToGrid w:val="0"/>
        </w:rPr>
        <w:t xml:space="preserve">If applicable, describe any </w:t>
      </w:r>
      <w:r w:rsidR="001F30B9">
        <w:rPr>
          <w:snapToGrid w:val="0"/>
        </w:rPr>
        <w:t>collaborating agencies</w:t>
      </w:r>
      <w:r w:rsidR="00A348AC">
        <w:rPr>
          <w:snapToGrid w:val="0"/>
        </w:rPr>
        <w:t xml:space="preserve"> partnering with the subgrantee </w:t>
      </w:r>
      <w:r w:rsidRPr="00830699">
        <w:rPr>
          <w:snapToGrid w:val="0"/>
        </w:rPr>
        <w:t>under</w:t>
      </w:r>
      <w:r w:rsidR="00A348AC">
        <w:rPr>
          <w:snapToGrid w:val="0"/>
        </w:rPr>
        <w:t xml:space="preserve"> STACS.</w:t>
      </w:r>
      <w:r w:rsidRPr="00830699">
        <w:rPr>
          <w:snapToGrid w:val="0"/>
        </w:rPr>
        <w:t xml:space="preserve"> The applicant must provide a rationale for </w:t>
      </w:r>
      <w:r w:rsidR="00C26252">
        <w:rPr>
          <w:snapToGrid w:val="0"/>
        </w:rPr>
        <w:t xml:space="preserve">engaging these partners </w:t>
      </w:r>
      <w:r w:rsidRPr="00830699">
        <w:rPr>
          <w:snapToGrid w:val="0"/>
        </w:rPr>
        <w:t xml:space="preserve">and </w:t>
      </w:r>
      <w:r w:rsidR="00C26252">
        <w:rPr>
          <w:snapToGrid w:val="0"/>
        </w:rPr>
        <w:t xml:space="preserve">a </w:t>
      </w:r>
      <w:r w:rsidRPr="00830699">
        <w:rPr>
          <w:snapToGrid w:val="0"/>
        </w:rPr>
        <w:t>description of the organizational capacity of the</w:t>
      </w:r>
      <w:r w:rsidR="00C26252">
        <w:rPr>
          <w:snapToGrid w:val="0"/>
        </w:rPr>
        <w:t xml:space="preserve"> collaborating agency</w:t>
      </w:r>
      <w:r w:rsidRPr="00830699">
        <w:rPr>
          <w:snapToGrid w:val="0"/>
        </w:rPr>
        <w:t xml:space="preserve">, including relevant experience conducting the tasks described in this RFA. The applicant shall identify all Key Personnel proposed for each task by name, job position title, and identify how </w:t>
      </w:r>
      <w:r w:rsidR="00C26252">
        <w:rPr>
          <w:snapToGrid w:val="0"/>
        </w:rPr>
        <w:t xml:space="preserve">the </w:t>
      </w:r>
      <w:r w:rsidR="00C26252">
        <w:rPr>
          <w:snapToGrid w:val="0"/>
        </w:rPr>
        <w:lastRenderedPageBreak/>
        <w:t>partner</w:t>
      </w:r>
      <w:r w:rsidRPr="00830699">
        <w:rPr>
          <w:snapToGrid w:val="0"/>
        </w:rPr>
        <w:t xml:space="preserve"> staff meet or exceed the Key Personnel minimum qualifications described above.</w:t>
      </w:r>
    </w:p>
    <w:p w14:paraId="6FE9FB93" w14:textId="5ACFEA73" w:rsidR="00D72A1B" w:rsidRDefault="00830699" w:rsidP="00830699">
      <w:r>
        <w:t>E.</w:t>
      </w:r>
      <w:r w:rsidR="00F25710" w:rsidRPr="00FF3A52">
        <w:t xml:space="preserve"> Changes to </w:t>
      </w:r>
      <w:r w:rsidR="00302121">
        <w:t>Personnel</w:t>
      </w:r>
      <w:r w:rsidR="00F25710" w:rsidRPr="00FF3A52">
        <w:t xml:space="preserve"> Requirements</w:t>
      </w:r>
    </w:p>
    <w:p w14:paraId="2B27D11E" w14:textId="562C0306" w:rsidR="00F25710" w:rsidRPr="00D72A1B" w:rsidRDefault="00F25710" w:rsidP="00D72A1B">
      <w:pPr>
        <w:rPr>
          <w:rFonts w:eastAsiaTheme="majorEastAsia" w:cstheme="majorBidi"/>
        </w:rPr>
      </w:pPr>
      <w:r w:rsidRPr="00FF3A52">
        <w:t xml:space="preserve">The application must acknowledge and ensure the successful applicant will not change or substitute the assigned </w:t>
      </w:r>
      <w:r w:rsidR="001F30B9">
        <w:t>Subgrant</w:t>
      </w:r>
      <w:r w:rsidRPr="00FF3A52">
        <w:t xml:space="preserve"> M</w:t>
      </w:r>
      <w:r w:rsidR="00302121">
        <w:t>onitor</w:t>
      </w:r>
      <w:r w:rsidRPr="00FF3A52">
        <w:t>, Fiscal Manager, and/or Key Personnel (including collaborating agency staff, if identified as Key Personnel) without the CDE</w:t>
      </w:r>
      <w:r w:rsidR="001F30B9">
        <w:t xml:space="preserve">’s </w:t>
      </w:r>
      <w:r w:rsidRPr="00FF3A52">
        <w:t>prior approval. The substitute personnel shall meet or exceed the qualifications and experience level of the previously assigned personnel. The application must specify that the applicant will comply with the Changes to Key Personnel Requirements.</w:t>
      </w:r>
    </w:p>
    <w:p w14:paraId="070F3674" w14:textId="434B4EB6" w:rsidR="00D72A1B" w:rsidRPr="00830699" w:rsidRDefault="00830699" w:rsidP="00830699">
      <w:r w:rsidRPr="00830699">
        <w:t>F.</w:t>
      </w:r>
      <w:r w:rsidR="00F25710" w:rsidRPr="00830699">
        <w:t xml:space="preserve"> Current Resumes</w:t>
      </w:r>
    </w:p>
    <w:p w14:paraId="35F744CC" w14:textId="22684AAC" w:rsidR="00F25710" w:rsidRPr="00D72A1B" w:rsidRDefault="00F25710" w:rsidP="00D72A1B">
      <w:pPr>
        <w:rPr>
          <w:rFonts w:eastAsiaTheme="majorEastAsia" w:cstheme="majorBidi"/>
        </w:rPr>
      </w:pPr>
      <w:r w:rsidRPr="00FF3A52">
        <w:rPr>
          <w:snapToGrid w:val="0"/>
        </w:rPr>
        <w:t xml:space="preserve">Provide, as appendices, resumes for the </w:t>
      </w:r>
      <w:r w:rsidR="001F30B9">
        <w:rPr>
          <w:snapToGrid w:val="0"/>
        </w:rPr>
        <w:t>Subgrant</w:t>
      </w:r>
      <w:r w:rsidR="003A5D05">
        <w:rPr>
          <w:snapToGrid w:val="0"/>
        </w:rPr>
        <w:t xml:space="preserve"> Monitor</w:t>
      </w:r>
      <w:r w:rsidRPr="00FF3A52">
        <w:rPr>
          <w:snapToGrid w:val="0"/>
        </w:rPr>
        <w:t>, Fiscal Manager, and Key Personnel</w:t>
      </w:r>
      <w:r w:rsidR="00CE1C7B">
        <w:rPr>
          <w:snapToGrid w:val="0"/>
        </w:rPr>
        <w:t>, including any Key Personnel from collaborating agencies,</w:t>
      </w:r>
      <w:r w:rsidRPr="00FF3A52">
        <w:rPr>
          <w:snapToGrid w:val="0"/>
        </w:rPr>
        <w:t xml:space="preserve"> who will exercise a role on behalf of the applicant including, but not limited to, directing, overseeing and/or coordinating the work of assigned staff performing tasks and activities. To the extent possible, resumes should not include personal information such as social security number, home address, home telephone number, marital status, sex, birth date, etc.</w:t>
      </w:r>
    </w:p>
    <w:p w14:paraId="08E03B61" w14:textId="4AC5B9C3" w:rsidR="00642F3A" w:rsidRPr="00151762" w:rsidRDefault="00642F3A" w:rsidP="00C1527E">
      <w:pPr>
        <w:pStyle w:val="Heading4"/>
      </w:pPr>
      <w:r w:rsidRPr="00151762">
        <w:t>5.</w:t>
      </w:r>
      <w:r w:rsidR="009117AB" w:rsidRPr="00151762">
        <w:t>3</w:t>
      </w:r>
      <w:r w:rsidRPr="00151762">
        <w:t xml:space="preserve"> </w:t>
      </w:r>
      <w:r w:rsidRPr="00151762">
        <w:rPr>
          <w:rStyle w:val="Heading5Char"/>
          <w:sz w:val="28"/>
          <w:szCs w:val="28"/>
        </w:rPr>
        <w:t>Scope</w:t>
      </w:r>
      <w:r w:rsidRPr="00151762">
        <w:t xml:space="preserve"> of Work</w:t>
      </w:r>
    </w:p>
    <w:p w14:paraId="5003E494" w14:textId="0D608706" w:rsidR="009D5BB7" w:rsidRPr="002F130D" w:rsidRDefault="002F130D" w:rsidP="009D5BB7">
      <w:pPr>
        <w:rPr>
          <w:rFonts w:eastAsia="Calibri" w:cs="Times New Roman"/>
          <w:snapToGrid w:val="0"/>
        </w:rPr>
      </w:pPr>
      <w:r w:rsidRPr="002F130D">
        <w:rPr>
          <w:rFonts w:eastAsia="Calibri" w:cs="Times New Roman"/>
          <w:snapToGrid w:val="0"/>
        </w:rPr>
        <w:t xml:space="preserve">To build a </w:t>
      </w:r>
      <w:r w:rsidRPr="00681462">
        <w:rPr>
          <w:rFonts w:eastAsia="Calibri" w:cs="Times New Roman"/>
          <w:snapToGrid w:val="0"/>
        </w:rPr>
        <w:t xml:space="preserve">successful comprehensive technical assistance program for the </w:t>
      </w:r>
      <w:r w:rsidR="00990896" w:rsidRPr="00681462">
        <w:rPr>
          <w:rFonts w:eastAsia="Calibri" w:cs="Times New Roman"/>
          <w:snapToGrid w:val="0"/>
        </w:rPr>
        <w:t>specific</w:t>
      </w:r>
      <w:r w:rsidRPr="00681462">
        <w:rPr>
          <w:rFonts w:eastAsia="Calibri" w:cs="Times New Roman"/>
          <w:snapToGrid w:val="0"/>
        </w:rPr>
        <w:t xml:space="preserve"> topic area(s) (EL, SPED, </w:t>
      </w:r>
      <w:r w:rsidR="00850737" w:rsidRPr="00681462">
        <w:rPr>
          <w:rFonts w:eastAsia="Calibri" w:cs="Times New Roman"/>
          <w:snapToGrid w:val="0"/>
        </w:rPr>
        <w:t xml:space="preserve">SED, CTE, </w:t>
      </w:r>
      <w:r w:rsidRPr="00681462">
        <w:rPr>
          <w:rFonts w:eastAsia="Calibri" w:cs="Times New Roman"/>
          <w:snapToGrid w:val="0"/>
        </w:rPr>
        <w:t>and/or I</w:t>
      </w:r>
      <w:r w:rsidR="00A4394B" w:rsidRPr="00681462">
        <w:rPr>
          <w:rFonts w:eastAsia="Calibri" w:cs="Times New Roman"/>
          <w:snapToGrid w:val="0"/>
        </w:rPr>
        <w:t>nnovative Strategies</w:t>
      </w:r>
      <w:r w:rsidRPr="00681462">
        <w:rPr>
          <w:rFonts w:eastAsia="Calibri" w:cs="Times New Roman"/>
          <w:snapToGrid w:val="0"/>
        </w:rPr>
        <w:t xml:space="preserve">), the applicant must submit a </w:t>
      </w:r>
      <w:r w:rsidR="00121654" w:rsidRPr="00681462">
        <w:rPr>
          <w:rFonts w:eastAsia="Calibri" w:cs="Times New Roman"/>
          <w:snapToGrid w:val="0"/>
        </w:rPr>
        <w:t xml:space="preserve">separate </w:t>
      </w:r>
      <w:r w:rsidRPr="00681462">
        <w:rPr>
          <w:rFonts w:eastAsia="Calibri" w:cs="Times New Roman"/>
          <w:snapToGrid w:val="0"/>
        </w:rPr>
        <w:t xml:space="preserve">detailed </w:t>
      </w:r>
      <w:r w:rsidR="00850737" w:rsidRPr="00681462">
        <w:rPr>
          <w:rFonts w:eastAsia="Calibri" w:cs="Times New Roman"/>
          <w:snapToGrid w:val="0"/>
        </w:rPr>
        <w:t xml:space="preserve">scope of work </w:t>
      </w:r>
      <w:r w:rsidRPr="00681462">
        <w:rPr>
          <w:rFonts w:eastAsia="Calibri" w:cs="Times New Roman"/>
          <w:snapToGrid w:val="0"/>
        </w:rPr>
        <w:t>proposal</w:t>
      </w:r>
      <w:r w:rsidR="00121654" w:rsidRPr="00681462">
        <w:rPr>
          <w:rFonts w:eastAsia="Calibri" w:cs="Times New Roman"/>
          <w:snapToGrid w:val="0"/>
        </w:rPr>
        <w:t xml:space="preserve"> for each topic </w:t>
      </w:r>
      <w:r w:rsidR="00BD44F2" w:rsidRPr="00681462">
        <w:rPr>
          <w:rFonts w:eastAsia="Calibri" w:cs="Times New Roman"/>
          <w:snapToGrid w:val="0"/>
        </w:rPr>
        <w:t>area</w:t>
      </w:r>
      <w:r w:rsidR="00121654" w:rsidRPr="00681462">
        <w:rPr>
          <w:rFonts w:eastAsia="Calibri" w:cs="Times New Roman"/>
          <w:snapToGrid w:val="0"/>
        </w:rPr>
        <w:t xml:space="preserve"> they apply for,</w:t>
      </w:r>
      <w:r w:rsidRPr="00681462">
        <w:rPr>
          <w:rFonts w:eastAsia="Calibri" w:cs="Times New Roman"/>
          <w:snapToGrid w:val="0"/>
        </w:rPr>
        <w:t xml:space="preserve"> that demonstrates their ability to complete</w:t>
      </w:r>
      <w:r w:rsidRPr="002F130D">
        <w:rPr>
          <w:rFonts w:eastAsia="Calibri" w:cs="Times New Roman"/>
          <w:snapToGrid w:val="0"/>
        </w:rPr>
        <w:t xml:space="preserve"> </w:t>
      </w:r>
      <w:r w:rsidR="004D2142">
        <w:rPr>
          <w:rFonts w:eastAsia="Calibri" w:cs="Times New Roman"/>
          <w:snapToGrid w:val="0"/>
        </w:rPr>
        <w:t>T</w:t>
      </w:r>
      <w:r w:rsidR="004D2142" w:rsidRPr="002F130D">
        <w:rPr>
          <w:rFonts w:eastAsia="Calibri" w:cs="Times New Roman"/>
          <w:snapToGrid w:val="0"/>
        </w:rPr>
        <w:t xml:space="preserve">asks </w:t>
      </w:r>
      <w:r w:rsidRPr="002F130D">
        <w:rPr>
          <w:rFonts w:eastAsia="Calibri" w:cs="Times New Roman"/>
          <w:snapToGrid w:val="0"/>
        </w:rPr>
        <w:t>1-</w:t>
      </w:r>
      <w:r w:rsidR="002D0EF8">
        <w:rPr>
          <w:rFonts w:eastAsia="Calibri" w:cs="Times New Roman"/>
          <w:snapToGrid w:val="0"/>
        </w:rPr>
        <w:t>5</w:t>
      </w:r>
      <w:r w:rsidR="00121654">
        <w:rPr>
          <w:rFonts w:eastAsia="Calibri" w:cs="Times New Roman"/>
          <w:snapToGrid w:val="0"/>
        </w:rPr>
        <w:t xml:space="preserve"> for that specific topic area.</w:t>
      </w:r>
      <w:r w:rsidRPr="002F130D">
        <w:rPr>
          <w:rFonts w:eastAsia="Calibri" w:cs="Times New Roman"/>
          <w:snapToGrid w:val="0"/>
        </w:rPr>
        <w:t xml:space="preserve"> </w:t>
      </w:r>
      <w:r w:rsidR="00D721D0">
        <w:rPr>
          <w:rFonts w:eastAsia="Calibri" w:cs="Times New Roman"/>
          <w:snapToGrid w:val="0"/>
        </w:rPr>
        <w:t xml:space="preserve">For example, an applicant seeking funding for EL and SPED topics would provide one scope of work for EL activities and a separate scope of work for SPED activities. </w:t>
      </w:r>
      <w:r w:rsidR="009D5BB7" w:rsidRPr="004D1B18">
        <w:rPr>
          <w:rFonts w:eastAsia="Calibri" w:cs="Times New Roman"/>
        </w:rPr>
        <w:t>Any deviat</w:t>
      </w:r>
      <w:r w:rsidR="009D5BB7" w:rsidRPr="0055362F">
        <w:rPr>
          <w:rFonts w:eastAsia="Calibri" w:cs="Times New Roman"/>
        </w:rPr>
        <w:t>ion from the tasks and subtasks described</w:t>
      </w:r>
      <w:r w:rsidR="009D5BB7">
        <w:rPr>
          <w:rFonts w:eastAsia="Calibri" w:cs="Times New Roman"/>
        </w:rPr>
        <w:t xml:space="preserve"> </w:t>
      </w:r>
      <w:r w:rsidR="009D5BB7" w:rsidRPr="0055362F">
        <w:rPr>
          <w:rFonts w:eastAsia="Calibri" w:cs="Times New Roman"/>
        </w:rPr>
        <w:t xml:space="preserve">will not be considered and </w:t>
      </w:r>
      <w:r w:rsidR="009D5BB7">
        <w:rPr>
          <w:rFonts w:eastAsia="Calibri" w:cs="Times New Roman"/>
        </w:rPr>
        <w:t>may</w:t>
      </w:r>
      <w:r w:rsidR="009D5BB7" w:rsidRPr="0055362F">
        <w:rPr>
          <w:rFonts w:eastAsia="Calibri" w:cs="Times New Roman"/>
        </w:rPr>
        <w:t xml:space="preserve"> cause a</w:t>
      </w:r>
      <w:r w:rsidR="009D5BB7">
        <w:rPr>
          <w:rFonts w:eastAsia="Calibri" w:cs="Times New Roman"/>
        </w:rPr>
        <w:t>n</w:t>
      </w:r>
      <w:r w:rsidR="009D5BB7" w:rsidRPr="0055362F">
        <w:rPr>
          <w:rFonts w:eastAsia="Calibri" w:cs="Times New Roman"/>
        </w:rPr>
        <w:t xml:space="preserve"> application to be rejected.</w:t>
      </w:r>
    </w:p>
    <w:p w14:paraId="41119F07" w14:textId="08E1CF31" w:rsidR="009709C2" w:rsidRDefault="009709C2" w:rsidP="00C1527E">
      <w:pPr>
        <w:pStyle w:val="Heading5"/>
      </w:pPr>
      <w:r>
        <w:t>5.</w:t>
      </w:r>
      <w:r w:rsidR="001A1EBB">
        <w:t>3</w:t>
      </w:r>
      <w:r>
        <w:t xml:space="preserve">.1 Task 1: Recruitment </w:t>
      </w:r>
    </w:p>
    <w:p w14:paraId="7739090E" w14:textId="419B2909" w:rsidR="00AA0DB3" w:rsidRPr="00EA1445" w:rsidRDefault="001B20D8" w:rsidP="00AA0DB3">
      <w:pPr>
        <w:rPr>
          <w:rFonts w:eastAsia="Calibri" w:cs="Arial"/>
          <w:szCs w:val="24"/>
        </w:rPr>
      </w:pPr>
      <w:r w:rsidRPr="00D853F5">
        <w:rPr>
          <w:rFonts w:eastAsia="Calibri" w:cs="Arial"/>
          <w:color w:val="000000"/>
          <w:szCs w:val="24"/>
        </w:rPr>
        <w:t xml:space="preserve">This section of the RFA </w:t>
      </w:r>
      <w:r w:rsidRPr="00EA1445">
        <w:rPr>
          <w:rFonts w:eastAsia="Calibri" w:cs="Arial"/>
          <w:color w:val="000000"/>
          <w:szCs w:val="24"/>
        </w:rPr>
        <w:t>narrative must describe how the applicant proposes to</w:t>
      </w:r>
      <w:r w:rsidRPr="00EA1445">
        <w:rPr>
          <w:rFonts w:eastAsia="Calibri" w:cs="Arial"/>
          <w:szCs w:val="24"/>
        </w:rPr>
        <w:t xml:space="preserve"> accomplish Task 1 and all associated subtasks for each topic area (EL, SPED,</w:t>
      </w:r>
      <w:r w:rsidR="00B465A6" w:rsidRPr="00EA1445">
        <w:rPr>
          <w:rFonts w:eastAsia="Calibri" w:cs="Arial"/>
          <w:szCs w:val="24"/>
        </w:rPr>
        <w:t xml:space="preserve"> SED, CTE and/or</w:t>
      </w:r>
      <w:r w:rsidRPr="00EA1445">
        <w:rPr>
          <w:rFonts w:eastAsia="Calibri" w:cs="Arial"/>
          <w:szCs w:val="24"/>
        </w:rPr>
        <w:t xml:space="preserve"> I</w:t>
      </w:r>
      <w:r w:rsidR="00A4394B" w:rsidRPr="00EA1445">
        <w:rPr>
          <w:rFonts w:eastAsia="Calibri" w:cs="Arial"/>
          <w:szCs w:val="24"/>
        </w:rPr>
        <w:t>nnovative Strategies</w:t>
      </w:r>
      <w:r w:rsidRPr="00EA1445">
        <w:rPr>
          <w:rFonts w:eastAsia="Calibri" w:cs="Arial"/>
          <w:szCs w:val="24"/>
        </w:rPr>
        <w:t xml:space="preserve">) they are applying for, as detailed herein, for the duration of the subgrant term. </w:t>
      </w:r>
      <w:r w:rsidR="00AA0DB3" w:rsidRPr="00EA1445">
        <w:rPr>
          <w:rFonts w:eastAsia="Times New Roman" w:cs="Arial"/>
          <w:snapToGrid w:val="0"/>
          <w:szCs w:val="20"/>
        </w:rPr>
        <w:t>The content must demonstrate the applicant’s ability to provide the services contained in Section 5, Scope of Work, and must address the following:</w:t>
      </w:r>
    </w:p>
    <w:p w14:paraId="662D8F4C" w14:textId="4E6BE45A" w:rsidR="00AA0DB3" w:rsidRPr="00AA0DB3" w:rsidRDefault="00AA0DB3" w:rsidP="00AA0DB3">
      <w:pPr>
        <w:pStyle w:val="ListParagraph"/>
        <w:numPr>
          <w:ilvl w:val="0"/>
          <w:numId w:val="36"/>
        </w:numPr>
      </w:pPr>
      <w:r w:rsidRPr="00EA1445">
        <w:t xml:space="preserve">A description of how the applicant plans to recruit and sustain participation </w:t>
      </w:r>
      <w:r w:rsidR="00700928" w:rsidRPr="00EA1445">
        <w:t>statewide</w:t>
      </w:r>
      <w:r w:rsidR="005B7B23" w:rsidRPr="00EA1445">
        <w:t xml:space="preserve"> for Best Practices Workshops</w:t>
      </w:r>
      <w:r w:rsidR="006904B4">
        <w:t xml:space="preserve"> (BPWs)</w:t>
      </w:r>
      <w:r w:rsidR="005B7B23">
        <w:t xml:space="preserve"> and Continuous Improvement Networks</w:t>
      </w:r>
      <w:r w:rsidR="006904B4">
        <w:t xml:space="preserve"> (CINs)</w:t>
      </w:r>
      <w:r w:rsidRPr="00AA0DB3">
        <w:t>, with a focus on low-performing schools</w:t>
      </w:r>
      <w:r w:rsidR="00E46978">
        <w:t>, and</w:t>
      </w:r>
      <w:r w:rsidR="00E46978" w:rsidRPr="00F07682">
        <w:rPr>
          <w:rFonts w:cs="Arial"/>
        </w:rPr>
        <w:t xml:space="preserve"> schools in </w:t>
      </w:r>
      <w:r w:rsidR="00E46978">
        <w:rPr>
          <w:rFonts w:cs="Arial"/>
        </w:rPr>
        <w:t xml:space="preserve">Local Education Agencies </w:t>
      </w:r>
      <w:r w:rsidR="00B465A6">
        <w:rPr>
          <w:rFonts w:cs="Arial"/>
        </w:rPr>
        <w:t>(</w:t>
      </w:r>
      <w:r w:rsidR="00E46978">
        <w:rPr>
          <w:rFonts w:cs="Arial"/>
        </w:rPr>
        <w:t>LEAs)</w:t>
      </w:r>
      <w:r w:rsidR="00E46978" w:rsidRPr="00F07682">
        <w:rPr>
          <w:rFonts w:cs="Arial"/>
        </w:rPr>
        <w:t xml:space="preserve"> with a significant number of schools identified for Comprehensive Support and Improvement</w:t>
      </w:r>
      <w:r w:rsidR="00E46978">
        <w:rPr>
          <w:rFonts w:cs="Arial"/>
        </w:rPr>
        <w:t>.</w:t>
      </w:r>
      <w:r w:rsidR="00E46978">
        <w:t xml:space="preserve"> </w:t>
      </w:r>
      <w:r w:rsidRPr="00AA0DB3">
        <w:t xml:space="preserve">The plan should include strategies for engaging a diverse set of schools across California, ensuring access and </w:t>
      </w:r>
      <w:r w:rsidRPr="00AA0DB3">
        <w:lastRenderedPageBreak/>
        <w:t>inclusion for all regions. It should also outline communication strategies, follow-up systems, attendance tracking, feedback collection, and reporting to the CDE</w:t>
      </w:r>
      <w:r w:rsidR="00990896">
        <w:t>;</w:t>
      </w:r>
      <w:r w:rsidRPr="00AA0DB3">
        <w:t xml:space="preserve"> </w:t>
      </w:r>
    </w:p>
    <w:p w14:paraId="34F88C8E" w14:textId="77777777" w:rsidR="00AA0DB3" w:rsidRDefault="00AA0DB3" w:rsidP="00AA0DB3">
      <w:pPr>
        <w:pStyle w:val="ListParagraph"/>
      </w:pPr>
    </w:p>
    <w:p w14:paraId="3B3E289F" w14:textId="4021C157" w:rsidR="00AA0DB3" w:rsidRDefault="00AA0DB3" w:rsidP="00AA0DB3">
      <w:pPr>
        <w:pStyle w:val="ListParagraph"/>
        <w:numPr>
          <w:ilvl w:val="0"/>
          <w:numId w:val="36"/>
        </w:numPr>
      </w:pPr>
      <w:r w:rsidRPr="00AA0DB3">
        <w:t>A description of how the applicant will effectively recruit schools and prepare for successful implementation. The plan should highlight outreach strategies to engage a diverse range of schools statewide, including charter schools, using tactics like targeted communication campaigns, collaboration with educational organizations, and other approaches to maximize participation</w:t>
      </w:r>
      <w:r w:rsidR="00990896">
        <w:t>;</w:t>
      </w:r>
    </w:p>
    <w:p w14:paraId="5AA93693" w14:textId="77777777" w:rsidR="00AA0DB3" w:rsidRDefault="00AA0DB3" w:rsidP="00AA0DB3">
      <w:pPr>
        <w:pStyle w:val="ListParagraph"/>
      </w:pPr>
    </w:p>
    <w:p w14:paraId="07511357" w14:textId="427EBF5A" w:rsidR="00AA0DB3" w:rsidRPr="00AA0DB3" w:rsidRDefault="00AA0DB3" w:rsidP="00AA0DB3">
      <w:pPr>
        <w:pStyle w:val="ListParagraph"/>
        <w:numPr>
          <w:ilvl w:val="0"/>
          <w:numId w:val="36"/>
        </w:numPr>
      </w:pPr>
      <w:r w:rsidRPr="00AA0DB3">
        <w:t>Timeline to develop and begin the implementation of B</w:t>
      </w:r>
      <w:r w:rsidR="006904B4">
        <w:t>PWs and CINs</w:t>
      </w:r>
      <w:r w:rsidRPr="00AA0DB3">
        <w:t xml:space="preserve"> </w:t>
      </w:r>
      <w:r w:rsidR="000F5FCF">
        <w:t>by topics applied for</w:t>
      </w:r>
      <w:r w:rsidRPr="00AA0DB3">
        <w:t>; and</w:t>
      </w:r>
    </w:p>
    <w:p w14:paraId="2B377F8A" w14:textId="77777777" w:rsidR="00AA0DB3" w:rsidRDefault="00AA0DB3" w:rsidP="00AA0DB3">
      <w:pPr>
        <w:pStyle w:val="ListParagraph"/>
      </w:pPr>
    </w:p>
    <w:p w14:paraId="6D043B3F" w14:textId="04B548B9" w:rsidR="00B465CF" w:rsidRDefault="00AA0DB3" w:rsidP="00B465CF">
      <w:pPr>
        <w:pStyle w:val="ListParagraph"/>
        <w:numPr>
          <w:ilvl w:val="0"/>
          <w:numId w:val="36"/>
        </w:numPr>
      </w:pPr>
      <w:r w:rsidRPr="00AA0DB3">
        <w:t>Identify sufficient Key Personnel in order to accomplish all activities described above.</w:t>
      </w:r>
    </w:p>
    <w:p w14:paraId="4E4E75E0" w14:textId="64C1419B" w:rsidR="00B465CF" w:rsidRPr="009709C2" w:rsidRDefault="00B465CF" w:rsidP="00C1527E">
      <w:pPr>
        <w:pStyle w:val="Heading5"/>
      </w:pPr>
      <w:r>
        <w:t xml:space="preserve">5.3.2 Task 2: </w:t>
      </w:r>
      <w:r w:rsidRPr="009709C2">
        <w:t xml:space="preserve">Subject Matter Expertise </w:t>
      </w:r>
    </w:p>
    <w:p w14:paraId="330CEE2A" w14:textId="2F2D6CD3" w:rsidR="00B465CF" w:rsidRPr="00EA1445" w:rsidRDefault="00B465CF" w:rsidP="00512B58">
      <w:r w:rsidRPr="00512B58">
        <w:t>Th</w:t>
      </w:r>
      <w:r w:rsidR="00990896">
        <w:t>is section of the RFA narrative</w:t>
      </w:r>
      <w:r w:rsidRPr="00512B58">
        <w:t xml:space="preserve"> </w:t>
      </w:r>
      <w:r w:rsidRPr="00EA1445">
        <w:t xml:space="preserve">must describe how the applicant proposes </w:t>
      </w:r>
      <w:r w:rsidR="00990896" w:rsidRPr="00EA1445">
        <w:t xml:space="preserve">to accomplish Task 2 and all associated subtasks for each topic area </w:t>
      </w:r>
      <w:r w:rsidRPr="00EA1445">
        <w:t>(EL, SPED,</w:t>
      </w:r>
      <w:r w:rsidR="006118C6" w:rsidRPr="00EA1445">
        <w:t xml:space="preserve"> SED, CTE, </w:t>
      </w:r>
      <w:r w:rsidR="00A30E74" w:rsidRPr="00EA1445">
        <w:t>and/</w:t>
      </w:r>
      <w:r w:rsidR="006118C6" w:rsidRPr="00EA1445">
        <w:t>or</w:t>
      </w:r>
      <w:r w:rsidRPr="00EA1445">
        <w:t xml:space="preserve"> Innovative Strategies) for which they are applying</w:t>
      </w:r>
      <w:r w:rsidR="00990896" w:rsidRPr="00EA1445">
        <w:t>, as detailed herein, for the duration of the subgrant term</w:t>
      </w:r>
      <w:r w:rsidRPr="00EA1445">
        <w:t>. The content must demonstrate the applicant’s ability to provide the services contained in Section 5.3, Scope of Work, and must address the following:</w:t>
      </w:r>
    </w:p>
    <w:p w14:paraId="0EA50D84" w14:textId="10FAC24D" w:rsidR="00B465CF" w:rsidRPr="00AA0DB3" w:rsidRDefault="00B465CF" w:rsidP="00B465CF">
      <w:pPr>
        <w:pStyle w:val="ListParagraph"/>
        <w:numPr>
          <w:ilvl w:val="0"/>
          <w:numId w:val="28"/>
        </w:numPr>
      </w:pPr>
      <w:r w:rsidRPr="00EA1445">
        <w:t xml:space="preserve">Demonstrate the applicant’s experience in each proposed topic area (EL, SPED, </w:t>
      </w:r>
      <w:r w:rsidR="00A30E74" w:rsidRPr="00EA1445">
        <w:t xml:space="preserve">SED, CTE, and/or </w:t>
      </w:r>
      <w:r w:rsidRPr="00EA1445">
        <w:t>Innovative Strategies) the applicant is applying for and provide evidence of delivering high-quality</w:t>
      </w:r>
      <w:r>
        <w:t xml:space="preserve"> technical assistance and professional development to charter schools. </w:t>
      </w:r>
      <w:r w:rsidRPr="00831714">
        <w:t>This includes showcasing expertise in best practices, instructional strategies, and school/community leadership and outreach relevant to the proposed topic area. Include any relevant qualifications</w:t>
      </w:r>
      <w:r>
        <w:t xml:space="preserve">, </w:t>
      </w:r>
      <w:r w:rsidRPr="00E97156">
        <w:t xml:space="preserve">certifications, or history of successful projects in the proposed topic area, highlighting measurable outcomes. </w:t>
      </w:r>
      <w:r w:rsidR="004D2142" w:rsidRPr="00E97156">
        <w:rPr>
          <w:rFonts w:cs="Arial"/>
          <w:szCs w:val="24"/>
        </w:rPr>
        <w:t>URLs and externally linked documents may not be reviewed.</w:t>
      </w:r>
    </w:p>
    <w:p w14:paraId="3EE68EC1" w14:textId="1F45AF63" w:rsidR="00FC02F7" w:rsidRDefault="00CA6304" w:rsidP="00C1527E">
      <w:pPr>
        <w:pStyle w:val="Heading5"/>
      </w:pPr>
      <w:r>
        <w:t>5.</w:t>
      </w:r>
      <w:r w:rsidR="001A1EBB">
        <w:t>3</w:t>
      </w:r>
      <w:r>
        <w:t>.</w:t>
      </w:r>
      <w:r w:rsidR="00B465CF">
        <w:t>3</w:t>
      </w:r>
      <w:r>
        <w:t xml:space="preserve"> Task </w:t>
      </w:r>
      <w:r w:rsidR="00B465CF">
        <w:t>3</w:t>
      </w:r>
      <w:r w:rsidR="00407A8A">
        <w:t>:</w:t>
      </w:r>
      <w:r>
        <w:t xml:space="preserve"> </w:t>
      </w:r>
      <w:r w:rsidR="009709C2">
        <w:t>Best Practices Webinar</w:t>
      </w:r>
      <w:r w:rsidR="00D721D0">
        <w:t>s</w:t>
      </w:r>
    </w:p>
    <w:p w14:paraId="2454CE2D" w14:textId="7BC319ED" w:rsidR="004E2C9C" w:rsidRPr="00681462" w:rsidRDefault="00FC02F7" w:rsidP="00FC02F7">
      <w:pPr>
        <w:rPr>
          <w:rFonts w:eastAsia="Calibri" w:cs="Arial"/>
          <w:szCs w:val="24"/>
        </w:rPr>
      </w:pPr>
      <w:bookmarkStart w:id="28" w:name="_Hlk184642294"/>
      <w:r w:rsidRPr="00681462">
        <w:rPr>
          <w:rFonts w:eastAsia="Calibri" w:cs="Arial"/>
          <w:color w:val="000000"/>
          <w:szCs w:val="24"/>
        </w:rPr>
        <w:t>This section of the RFA narrative must provide a proposal detailing how the applicant plans to</w:t>
      </w:r>
      <w:r w:rsidRPr="00681462">
        <w:rPr>
          <w:rFonts w:eastAsia="Calibri" w:cs="Arial"/>
          <w:szCs w:val="24"/>
        </w:rPr>
        <w:t xml:space="preserve"> accomplish Task </w:t>
      </w:r>
      <w:r w:rsidR="00990896" w:rsidRPr="00681462">
        <w:rPr>
          <w:rFonts w:eastAsia="Calibri" w:cs="Arial"/>
          <w:szCs w:val="24"/>
        </w:rPr>
        <w:t>3</w:t>
      </w:r>
      <w:r w:rsidRPr="00681462">
        <w:rPr>
          <w:rFonts w:eastAsia="Calibri" w:cs="Arial"/>
          <w:szCs w:val="24"/>
        </w:rPr>
        <w:t xml:space="preserve"> and all associated subtasks for each topic area (EL, SPED, </w:t>
      </w:r>
      <w:r w:rsidR="00B12957" w:rsidRPr="00681462">
        <w:rPr>
          <w:rFonts w:eastAsia="Calibri" w:cs="Arial"/>
          <w:szCs w:val="24"/>
        </w:rPr>
        <w:t xml:space="preserve">SED, CTE and/or </w:t>
      </w:r>
      <w:r w:rsidRPr="00681462">
        <w:rPr>
          <w:rFonts w:eastAsia="Calibri" w:cs="Arial"/>
          <w:szCs w:val="24"/>
        </w:rPr>
        <w:t>I</w:t>
      </w:r>
      <w:r w:rsidR="00A4394B" w:rsidRPr="00681462">
        <w:rPr>
          <w:rFonts w:eastAsia="Calibri" w:cs="Arial"/>
          <w:szCs w:val="24"/>
        </w:rPr>
        <w:t>nnovative Strategies</w:t>
      </w:r>
      <w:r w:rsidRPr="00681462">
        <w:rPr>
          <w:rFonts w:eastAsia="Calibri" w:cs="Arial"/>
          <w:szCs w:val="24"/>
        </w:rPr>
        <w:t xml:space="preserve">) they are applying for, as detailed herein, for the duration of the subgrant term. </w:t>
      </w:r>
      <w:r w:rsidR="004E2C9C" w:rsidRPr="00681462">
        <w:rPr>
          <w:rFonts w:eastAsia="Calibri" w:cs="Arial"/>
          <w:szCs w:val="24"/>
        </w:rPr>
        <w:t>The proposal should identify how the tasks will directly contribute</w:t>
      </w:r>
      <w:r w:rsidR="004E2C9C">
        <w:rPr>
          <w:rFonts w:eastAsia="Calibri" w:cs="Arial"/>
          <w:szCs w:val="24"/>
        </w:rPr>
        <w:t xml:space="preserve"> to building a comprehensive technical </w:t>
      </w:r>
      <w:r w:rsidR="004E2C9C" w:rsidRPr="005C127E">
        <w:rPr>
          <w:rFonts w:eastAsia="Calibri" w:cs="Arial"/>
          <w:szCs w:val="24"/>
        </w:rPr>
        <w:t xml:space="preserve">assistance program aimed at expanding opportunities for all students, particularly traditionally underserved students, and improving the quality of charter schools statewide. </w:t>
      </w:r>
      <w:r w:rsidR="00CD654E" w:rsidRPr="005C127E">
        <w:t>The proposal must include a three-year plan over FY 2025</w:t>
      </w:r>
      <w:r w:rsidR="00CD654E" w:rsidRPr="005C127E">
        <w:rPr>
          <w:rFonts w:cs="Arial"/>
        </w:rPr>
        <w:t>−</w:t>
      </w:r>
      <w:r w:rsidR="00CD654E" w:rsidRPr="005C127E">
        <w:t>26, FY 2026</w:t>
      </w:r>
      <w:r w:rsidR="00CD654E" w:rsidRPr="005C127E">
        <w:rPr>
          <w:rFonts w:cs="Arial"/>
        </w:rPr>
        <w:t>−</w:t>
      </w:r>
      <w:r w:rsidR="00CD654E" w:rsidRPr="005C127E">
        <w:t>27, and FY 2027</w:t>
      </w:r>
      <w:r w:rsidR="00CD654E" w:rsidRPr="005C127E">
        <w:rPr>
          <w:rFonts w:cs="Arial"/>
        </w:rPr>
        <w:t>−</w:t>
      </w:r>
      <w:r w:rsidR="00CD654E" w:rsidRPr="005C127E">
        <w:t>28 for the following</w:t>
      </w:r>
      <w:r w:rsidR="00CD654E">
        <w:t>:</w:t>
      </w:r>
    </w:p>
    <w:p w14:paraId="253048C1" w14:textId="3DF0C283" w:rsidR="001D0FA6" w:rsidRPr="00681462" w:rsidRDefault="001D0FA6" w:rsidP="001D0FA6">
      <w:pPr>
        <w:pStyle w:val="ListParagraph"/>
        <w:numPr>
          <w:ilvl w:val="0"/>
          <w:numId w:val="28"/>
        </w:numPr>
        <w:rPr>
          <w:rFonts w:eastAsia="Calibri" w:cs="Arial"/>
          <w:szCs w:val="24"/>
        </w:rPr>
      </w:pPr>
      <w:r w:rsidRPr="00681462">
        <w:rPr>
          <w:rFonts w:eastAsia="Calibri" w:cs="Arial"/>
          <w:szCs w:val="24"/>
        </w:rPr>
        <w:t xml:space="preserve">A clear outline of the specific topic(s) (EL, SPED, </w:t>
      </w:r>
      <w:r w:rsidR="00B12957" w:rsidRPr="00681462">
        <w:rPr>
          <w:rFonts w:eastAsia="Calibri" w:cs="Arial"/>
          <w:szCs w:val="24"/>
        </w:rPr>
        <w:t xml:space="preserve">SED, CTE, and/or </w:t>
      </w:r>
      <w:r w:rsidRPr="00681462">
        <w:rPr>
          <w:rFonts w:eastAsia="Calibri" w:cs="Arial"/>
          <w:szCs w:val="24"/>
        </w:rPr>
        <w:t>I</w:t>
      </w:r>
      <w:r w:rsidR="00A4394B" w:rsidRPr="00681462">
        <w:rPr>
          <w:rFonts w:eastAsia="Calibri" w:cs="Arial"/>
          <w:szCs w:val="24"/>
        </w:rPr>
        <w:t>nnovative Strategies</w:t>
      </w:r>
      <w:r w:rsidRPr="00681462">
        <w:rPr>
          <w:rFonts w:eastAsia="Calibri" w:cs="Arial"/>
          <w:szCs w:val="24"/>
        </w:rPr>
        <w:t>) the applicant is proposing</w:t>
      </w:r>
      <w:r w:rsidR="008C42CE" w:rsidRPr="00681462">
        <w:rPr>
          <w:rFonts w:eastAsia="Calibri" w:cs="Arial"/>
          <w:szCs w:val="24"/>
        </w:rPr>
        <w:t xml:space="preserve"> to address;</w:t>
      </w:r>
    </w:p>
    <w:p w14:paraId="35FF31D4" w14:textId="1D17923A" w:rsidR="001D0FA6" w:rsidRPr="00681462" w:rsidRDefault="001D0FA6" w:rsidP="001D0FA6">
      <w:pPr>
        <w:pStyle w:val="ListParagraph"/>
        <w:rPr>
          <w:rFonts w:eastAsia="Calibri" w:cs="Arial"/>
          <w:szCs w:val="24"/>
        </w:rPr>
      </w:pPr>
    </w:p>
    <w:bookmarkEnd w:id="28"/>
    <w:p w14:paraId="431F4BDC" w14:textId="24EE58B5" w:rsidR="004E2C9C" w:rsidRDefault="004E2C9C" w:rsidP="00681462">
      <w:pPr>
        <w:pStyle w:val="ListParagraph"/>
        <w:numPr>
          <w:ilvl w:val="0"/>
          <w:numId w:val="37"/>
        </w:numPr>
      </w:pPr>
      <w:r w:rsidRPr="00681462">
        <w:lastRenderedPageBreak/>
        <w:t xml:space="preserve">A comprehensive plan </w:t>
      </w:r>
      <w:r w:rsidR="008F508F" w:rsidRPr="00681462">
        <w:t xml:space="preserve">to conduct a minimum of </w:t>
      </w:r>
      <w:r w:rsidR="00B12957" w:rsidRPr="00681462">
        <w:t>nine</w:t>
      </w:r>
      <w:r w:rsidR="008F508F" w:rsidRPr="00681462">
        <w:t xml:space="preserve"> webinars</w:t>
      </w:r>
      <w:r w:rsidR="00B12957" w:rsidRPr="00681462">
        <w:t xml:space="preserve"> total</w:t>
      </w:r>
      <w:r w:rsidR="008F508F" w:rsidRPr="00681462">
        <w:t xml:space="preserve"> </w:t>
      </w:r>
      <w:r w:rsidR="001D0FA6" w:rsidRPr="00681462">
        <w:t>for each topic area (EL, SPED,</w:t>
      </w:r>
      <w:r w:rsidR="00B12957" w:rsidRPr="00681462">
        <w:t xml:space="preserve"> SED, CTE, and/or</w:t>
      </w:r>
      <w:r w:rsidR="001D0FA6" w:rsidRPr="00681462">
        <w:t xml:space="preserve"> I</w:t>
      </w:r>
      <w:r w:rsidR="00A4394B" w:rsidRPr="00681462">
        <w:t>nnovative Strategies</w:t>
      </w:r>
      <w:r w:rsidR="001D0FA6" w:rsidRPr="00681462">
        <w:t>) being applied for</w:t>
      </w:r>
      <w:r w:rsidR="00CD654E">
        <w:t xml:space="preserve"> </w:t>
      </w:r>
      <w:r w:rsidR="0000013F">
        <w:t xml:space="preserve">including </w:t>
      </w:r>
      <w:r w:rsidR="008C42CE">
        <w:t>webinar</w:t>
      </w:r>
      <w:r w:rsidR="0000013F">
        <w:t xml:space="preserve"> objectives, and how the topics will progressively build participants’ understanding of the </w:t>
      </w:r>
      <w:r w:rsidR="008C42CE">
        <w:t>topic</w:t>
      </w:r>
      <w:r w:rsidR="0000013F">
        <w:t xml:space="preserve"> over the course of the webinar series</w:t>
      </w:r>
      <w:r w:rsidR="00681462">
        <w:t>;</w:t>
      </w:r>
      <w:r w:rsidR="0000013F">
        <w:t xml:space="preserve"> </w:t>
      </w:r>
    </w:p>
    <w:p w14:paraId="790B5DDC" w14:textId="77777777" w:rsidR="00681462" w:rsidRDefault="00681462" w:rsidP="00681462">
      <w:pPr>
        <w:pStyle w:val="ListParagraph"/>
      </w:pPr>
    </w:p>
    <w:p w14:paraId="09A0EA67" w14:textId="2EA79EDC" w:rsidR="00681462" w:rsidRPr="005C127E" w:rsidRDefault="00681462" w:rsidP="00681462">
      <w:pPr>
        <w:pStyle w:val="ListParagraph"/>
        <w:numPr>
          <w:ilvl w:val="1"/>
          <w:numId w:val="37"/>
        </w:numPr>
      </w:pPr>
      <w:r w:rsidRPr="005C127E">
        <w:t>To remain eligible for continued participation in the STACS Subgrant program, the subgrantee must conduct a minimum of one webinar per approved topic area during FY 2025</w:t>
      </w:r>
      <w:r w:rsidRPr="005C127E">
        <w:rPr>
          <w:rFonts w:cs="Arial"/>
        </w:rPr>
        <w:t>−</w:t>
      </w:r>
      <w:r w:rsidRPr="005C127E">
        <w:t>26.</w:t>
      </w:r>
    </w:p>
    <w:p w14:paraId="53EA6164" w14:textId="77777777" w:rsidR="001D0FA6" w:rsidRPr="004E2C9C" w:rsidRDefault="001D0FA6" w:rsidP="001D0FA6">
      <w:pPr>
        <w:pStyle w:val="ListParagraph"/>
      </w:pPr>
    </w:p>
    <w:p w14:paraId="6BF0B417" w14:textId="7C6F3E26" w:rsidR="00B47380" w:rsidRPr="00FF3A52" w:rsidRDefault="00B47380" w:rsidP="00B47380">
      <w:pPr>
        <w:pStyle w:val="ListParagraph"/>
        <w:numPr>
          <w:ilvl w:val="0"/>
          <w:numId w:val="11"/>
        </w:numPr>
        <w:contextualSpacing w:val="0"/>
      </w:pPr>
      <w:r w:rsidRPr="00FF3A52">
        <w:t>Proposed webinar dates</w:t>
      </w:r>
      <w:r w:rsidR="001D0FA6">
        <w:t xml:space="preserve"> and length of individual webinars</w:t>
      </w:r>
      <w:r w:rsidRPr="00FF3A52">
        <w:t xml:space="preserve">; </w:t>
      </w:r>
    </w:p>
    <w:p w14:paraId="0C39BA03" w14:textId="5E67BD3E" w:rsidR="00B47380" w:rsidRPr="00FF3A52" w:rsidRDefault="008C42CE" w:rsidP="00B47380">
      <w:pPr>
        <w:pStyle w:val="ListParagraph"/>
        <w:numPr>
          <w:ilvl w:val="0"/>
          <w:numId w:val="11"/>
        </w:numPr>
        <w:contextualSpacing w:val="0"/>
      </w:pPr>
      <w:r>
        <w:t>A d</w:t>
      </w:r>
      <w:r w:rsidR="00B47380" w:rsidRPr="00FF3A52">
        <w:t>escription of how the content will be presented (lecture, interactive, small group, etc.) and audience engagement strategies;</w:t>
      </w:r>
    </w:p>
    <w:p w14:paraId="1DA1CF0C" w14:textId="77777777" w:rsidR="00B47380" w:rsidRPr="00FF3A52" w:rsidRDefault="00B47380" w:rsidP="00B47380">
      <w:pPr>
        <w:pStyle w:val="ListParagraph"/>
        <w:numPr>
          <w:ilvl w:val="0"/>
          <w:numId w:val="11"/>
        </w:numPr>
        <w:contextualSpacing w:val="0"/>
      </w:pPr>
      <w:r w:rsidRPr="00FF3A52">
        <w:t xml:space="preserve">Target audience for the presentation (educators, school leaders, etc.); </w:t>
      </w:r>
    </w:p>
    <w:p w14:paraId="15435B21" w14:textId="20AC3724" w:rsidR="0000013F" w:rsidRPr="0000013F" w:rsidRDefault="0000013F" w:rsidP="0000013F">
      <w:pPr>
        <w:pStyle w:val="ListParagraph"/>
        <w:widowControl w:val="0"/>
        <w:numPr>
          <w:ilvl w:val="0"/>
          <w:numId w:val="11"/>
        </w:numPr>
        <w:contextualSpacing w:val="0"/>
        <w:rPr>
          <w:rFonts w:eastAsia="Calibri" w:cs="Arial"/>
          <w:szCs w:val="24"/>
        </w:rPr>
      </w:pPr>
      <w:r w:rsidRPr="0000013F">
        <w:t>A plan to track session attendance, with a focus on charter school participants,</w:t>
      </w:r>
      <w:r>
        <w:t xml:space="preserve"> </w:t>
      </w:r>
      <w:r w:rsidRPr="0000013F">
        <w:t xml:space="preserve">and </w:t>
      </w:r>
      <w:r>
        <w:t xml:space="preserve">a </w:t>
      </w:r>
      <w:r w:rsidRPr="0000013F">
        <w:t xml:space="preserve">method for collecting, reviewing, and sharing participant feedback. </w:t>
      </w:r>
      <w:r>
        <w:t>Proposals should detail how</w:t>
      </w:r>
      <w:r w:rsidRPr="0000013F">
        <w:t xml:space="preserve"> data will be used to assess program performance and inform adjustments for future webinars</w:t>
      </w:r>
      <w:r>
        <w:t>; and</w:t>
      </w:r>
      <w:r w:rsidRPr="0000013F">
        <w:t xml:space="preserve"> </w:t>
      </w:r>
    </w:p>
    <w:p w14:paraId="42C49AEC" w14:textId="6E1FF7E4" w:rsidR="00B47380" w:rsidRPr="00C44375" w:rsidRDefault="004E2C9C" w:rsidP="004E2C9C">
      <w:pPr>
        <w:pStyle w:val="ListParagraph"/>
        <w:widowControl w:val="0"/>
        <w:numPr>
          <w:ilvl w:val="0"/>
          <w:numId w:val="11"/>
        </w:numPr>
        <w:contextualSpacing w:val="0"/>
        <w:rPr>
          <w:rFonts w:eastAsia="Calibri" w:cs="Arial"/>
          <w:szCs w:val="24"/>
        </w:rPr>
      </w:pPr>
      <w:r w:rsidRPr="00215F81">
        <w:rPr>
          <w:rFonts w:eastAsia="Calibri" w:cs="Arial"/>
          <w:szCs w:val="24"/>
        </w:rPr>
        <w:t>Identif</w:t>
      </w:r>
      <w:r w:rsidR="008C42CE">
        <w:rPr>
          <w:rFonts w:eastAsia="Calibri" w:cs="Arial"/>
          <w:szCs w:val="24"/>
        </w:rPr>
        <w:t>ication of</w:t>
      </w:r>
      <w:r w:rsidRPr="00215F81">
        <w:rPr>
          <w:rFonts w:eastAsia="Calibri" w:cs="Arial"/>
          <w:szCs w:val="24"/>
        </w:rPr>
        <w:t xml:space="preserve"> sufficient Key Personnel in order to accomplish all activities described above.</w:t>
      </w:r>
    </w:p>
    <w:p w14:paraId="0B781B44" w14:textId="1AF9F0B1" w:rsidR="00B47380" w:rsidRPr="00FF3A52" w:rsidRDefault="00B47380" w:rsidP="00B47380">
      <w:r w:rsidRPr="00FF3A52">
        <w:t>Subgrant applicants may choose to partner with another eligible entity to deliver the webinars.</w:t>
      </w:r>
      <w:r w:rsidR="000D785D">
        <w:t xml:space="preserve"> The RFA narrative must outline the partner’s specific responsibilities, including the specific activities and deliverables the partner will be responsible for.</w:t>
      </w:r>
      <w:r w:rsidRPr="00FF3A52">
        <w:t xml:space="preserve"> Partner organization costs must be included under the budget object code for Contracts (5000). A signed agreement and invoice must be submitted to the CDE prior to expenses being reimbursed.</w:t>
      </w:r>
    </w:p>
    <w:p w14:paraId="30B33FBA" w14:textId="1186EF5D" w:rsidR="008346F8" w:rsidRDefault="00B47380" w:rsidP="00B47380">
      <w:pPr>
        <w:spacing w:before="100" w:beforeAutospacing="1"/>
      </w:pPr>
      <w:r w:rsidRPr="00FF3A52">
        <w:t xml:space="preserve">The narrative must include a plan for delivering webinars to allow for attendance across the state, and an accessibility plan for reasonable </w:t>
      </w:r>
      <w:r w:rsidR="00B12957" w:rsidRPr="00FF3A52">
        <w:t>accommodation</w:t>
      </w:r>
      <w:r w:rsidRPr="00FF3A52">
        <w:t xml:space="preserve">. All workshops must be recorded and posted on a vendor-hosted webpage, along with handouts and resources, with the ability to link back to the CDE-hosted webpage. </w:t>
      </w:r>
    </w:p>
    <w:p w14:paraId="314D127D" w14:textId="169D6497" w:rsidR="008C42CE" w:rsidRPr="008C42CE" w:rsidRDefault="003C12BE" w:rsidP="008C42CE">
      <w:pPr>
        <w:spacing w:before="100" w:beforeAutospacing="1"/>
      </w:pPr>
      <w:r w:rsidRPr="008C42CE">
        <w:t xml:space="preserve">In addition to the proposal, </w:t>
      </w:r>
      <w:r>
        <w:t>t</w:t>
      </w:r>
      <w:r w:rsidRPr="003C12BE">
        <w:t>he applicant must acknowledge and agree to the following subgrant terms and identify sufficient Key Personnel to accomplish the activit</w:t>
      </w:r>
      <w:r>
        <w:t>y</w:t>
      </w:r>
      <w:r w:rsidRPr="003C12BE">
        <w:t xml:space="preserve"> outlined below</w:t>
      </w:r>
      <w:r>
        <w:t>:</w:t>
      </w:r>
    </w:p>
    <w:p w14:paraId="18F13C40" w14:textId="7FC95010" w:rsidR="008346F8" w:rsidRDefault="008C42CE" w:rsidP="008C42CE">
      <w:pPr>
        <w:pStyle w:val="ListParagraph"/>
        <w:numPr>
          <w:ilvl w:val="0"/>
          <w:numId w:val="39"/>
        </w:numPr>
        <w:spacing w:before="100" w:beforeAutospacing="1"/>
        <w:rPr>
          <w:rFonts w:eastAsia="Calibri" w:cs="Arial"/>
        </w:rPr>
      </w:pPr>
      <w:r>
        <w:rPr>
          <w:rFonts w:cs="Arial"/>
          <w:szCs w:val="24"/>
        </w:rPr>
        <w:t xml:space="preserve">The </w:t>
      </w:r>
      <w:r w:rsidR="008346F8" w:rsidRPr="008C42CE">
        <w:rPr>
          <w:rFonts w:cs="Arial"/>
          <w:szCs w:val="24"/>
        </w:rPr>
        <w:t xml:space="preserve">STACS </w:t>
      </w:r>
      <w:r w:rsidR="00B714D9">
        <w:rPr>
          <w:rFonts w:cs="Arial"/>
          <w:szCs w:val="24"/>
        </w:rPr>
        <w:t>S</w:t>
      </w:r>
      <w:r w:rsidR="008346F8" w:rsidRPr="008C42CE">
        <w:rPr>
          <w:rFonts w:cs="Arial"/>
          <w:szCs w:val="24"/>
        </w:rPr>
        <w:t>ubgrantee must acknowledge that</w:t>
      </w:r>
      <w:r>
        <w:rPr>
          <w:rFonts w:cs="Arial"/>
          <w:szCs w:val="24"/>
        </w:rPr>
        <w:t xml:space="preserve"> for each webinar to be conducted, </w:t>
      </w:r>
      <w:r w:rsidR="008346F8" w:rsidRPr="008C42CE">
        <w:rPr>
          <w:rFonts w:cs="Arial"/>
          <w:szCs w:val="24"/>
        </w:rPr>
        <w:t xml:space="preserve">they will provide training materials (e.g., presentation slides, handouts, resources) to </w:t>
      </w:r>
      <w:r w:rsidR="008346F8" w:rsidRPr="008C42CE">
        <w:rPr>
          <w:rFonts w:eastAsia="Calibri" w:cs="Arial"/>
        </w:rPr>
        <w:t xml:space="preserve">ensure that there are no fewer than ten working days for the CDE to initially review any finalized deliverables; (2) make all modifications within five working days from receipt of the changes directed by the CDE; and (3) </w:t>
      </w:r>
      <w:r w:rsidR="008346F8" w:rsidRPr="008C42CE">
        <w:rPr>
          <w:rFonts w:eastAsia="Calibri" w:cs="Arial"/>
        </w:rPr>
        <w:lastRenderedPageBreak/>
        <w:t>allow the CDE at least five working days to review and approve the modified deliverables; and</w:t>
      </w:r>
    </w:p>
    <w:p w14:paraId="615FB306" w14:textId="77777777" w:rsidR="008C42CE" w:rsidRPr="008C42CE" w:rsidRDefault="008C42CE" w:rsidP="008C42CE">
      <w:pPr>
        <w:pStyle w:val="ListParagraph"/>
        <w:spacing w:before="100" w:beforeAutospacing="1"/>
        <w:rPr>
          <w:rFonts w:eastAsia="Calibri" w:cs="Arial"/>
        </w:rPr>
      </w:pPr>
    </w:p>
    <w:p w14:paraId="562E7E2C" w14:textId="323BAA72" w:rsidR="008346F8" w:rsidRPr="00EA1445" w:rsidRDefault="008C42CE" w:rsidP="008C42CE">
      <w:pPr>
        <w:pStyle w:val="ListParagraph"/>
        <w:numPr>
          <w:ilvl w:val="0"/>
          <w:numId w:val="39"/>
        </w:numPr>
        <w:spacing w:before="240"/>
        <w:rPr>
          <w:rFonts w:cs="Arial"/>
          <w:bCs/>
          <w:color w:val="000000"/>
          <w:szCs w:val="24"/>
        </w:rPr>
      </w:pPr>
      <w:r>
        <w:rPr>
          <w:rFonts w:cs="Arial"/>
          <w:szCs w:val="24"/>
        </w:rPr>
        <w:t xml:space="preserve">The </w:t>
      </w:r>
      <w:r w:rsidR="008346F8" w:rsidRPr="008C42CE">
        <w:rPr>
          <w:rFonts w:cs="Arial"/>
          <w:szCs w:val="24"/>
        </w:rPr>
        <w:t>STACS Subgrantee</w:t>
      </w:r>
      <w:r>
        <w:rPr>
          <w:rFonts w:cs="Arial"/>
          <w:szCs w:val="24"/>
        </w:rPr>
        <w:t xml:space="preserve"> must acknowledge that they</w:t>
      </w:r>
      <w:r w:rsidR="008346F8" w:rsidRPr="008C42CE">
        <w:rPr>
          <w:rFonts w:cs="Arial"/>
          <w:szCs w:val="24"/>
        </w:rPr>
        <w:t xml:space="preserve"> will provide quarterly reports (by </w:t>
      </w:r>
      <w:r w:rsidR="008346F8" w:rsidRPr="00AB6CAE">
        <w:rPr>
          <w:rFonts w:cs="Arial"/>
          <w:szCs w:val="24"/>
        </w:rPr>
        <w:t>October 31,</w:t>
      </w:r>
      <w:r w:rsidR="008346F8" w:rsidRPr="008C42CE">
        <w:rPr>
          <w:rFonts w:cs="Arial"/>
          <w:szCs w:val="24"/>
        </w:rPr>
        <w:t xml:space="preserve"> January 31</w:t>
      </w:r>
      <w:r w:rsidR="00AB6CAE">
        <w:rPr>
          <w:rFonts w:cs="Arial"/>
          <w:szCs w:val="24"/>
        </w:rPr>
        <w:t>,</w:t>
      </w:r>
      <w:r w:rsidR="008346F8" w:rsidRPr="008C42CE">
        <w:rPr>
          <w:rFonts w:cs="Arial"/>
          <w:szCs w:val="24"/>
        </w:rPr>
        <w:t xml:space="preserve"> April 30, and June 26) on webinars conducted, attendance, and participant feedback. A closeout report including trainings conducted, attendance</w:t>
      </w:r>
      <w:r w:rsidR="008346F8" w:rsidRPr="00EA1445">
        <w:rPr>
          <w:rFonts w:cs="Arial"/>
          <w:szCs w:val="24"/>
        </w:rPr>
        <w:t xml:space="preserve">, and participant feedback from quarter 4, as well as a summary of </w:t>
      </w:r>
      <w:r w:rsidR="00B12957" w:rsidRPr="00EA1445">
        <w:rPr>
          <w:rFonts w:cs="Arial"/>
          <w:szCs w:val="24"/>
        </w:rPr>
        <w:t xml:space="preserve">program </w:t>
      </w:r>
      <w:r w:rsidR="008346F8" w:rsidRPr="00EA1445">
        <w:rPr>
          <w:rFonts w:cs="Arial"/>
          <w:szCs w:val="24"/>
        </w:rPr>
        <w:t xml:space="preserve">activities is due by </w:t>
      </w:r>
      <w:r w:rsidR="00D721D0" w:rsidRPr="00EA1445">
        <w:rPr>
          <w:rFonts w:cs="Arial"/>
          <w:szCs w:val="24"/>
        </w:rPr>
        <w:t>July 31</w:t>
      </w:r>
      <w:r w:rsidR="008346F8" w:rsidRPr="00EA1445">
        <w:rPr>
          <w:rFonts w:cs="Arial"/>
          <w:szCs w:val="24"/>
        </w:rPr>
        <w:t>, 202</w:t>
      </w:r>
      <w:r w:rsidR="00B12957" w:rsidRPr="00EA1445">
        <w:rPr>
          <w:rFonts w:cs="Arial"/>
          <w:szCs w:val="24"/>
        </w:rPr>
        <w:t>8</w:t>
      </w:r>
      <w:r w:rsidR="00D721D0" w:rsidRPr="00EA1445">
        <w:rPr>
          <w:rFonts w:cs="Arial"/>
          <w:szCs w:val="24"/>
        </w:rPr>
        <w:t>, or a later date if the subgrant is extended</w:t>
      </w:r>
      <w:r w:rsidR="008346F8" w:rsidRPr="00EA1445">
        <w:rPr>
          <w:rFonts w:cs="Arial"/>
          <w:szCs w:val="24"/>
        </w:rPr>
        <w:t xml:space="preserve">. STACS </w:t>
      </w:r>
      <w:r w:rsidRPr="00EA1445">
        <w:rPr>
          <w:rFonts w:cs="Arial"/>
          <w:szCs w:val="24"/>
        </w:rPr>
        <w:t>Subgrantees</w:t>
      </w:r>
      <w:r w:rsidR="008346F8" w:rsidRPr="00EA1445">
        <w:rPr>
          <w:rFonts w:cs="Arial"/>
          <w:szCs w:val="24"/>
        </w:rPr>
        <w:t xml:space="preserve"> </w:t>
      </w:r>
      <w:r w:rsidRPr="00EA1445">
        <w:rPr>
          <w:rFonts w:cs="Arial"/>
          <w:szCs w:val="24"/>
        </w:rPr>
        <w:t xml:space="preserve">must acknowledge that they </w:t>
      </w:r>
      <w:r w:rsidR="008346F8" w:rsidRPr="00EA1445">
        <w:rPr>
          <w:rFonts w:cs="Arial"/>
          <w:szCs w:val="24"/>
        </w:rPr>
        <w:t>will provide revisions if needed, based on CDE feedback.</w:t>
      </w:r>
    </w:p>
    <w:p w14:paraId="2B02B72D" w14:textId="4765F7A2" w:rsidR="00B47380" w:rsidRPr="00FF3A52" w:rsidRDefault="00B47380" w:rsidP="00C1527E">
      <w:pPr>
        <w:pStyle w:val="Heading5"/>
      </w:pPr>
      <w:r w:rsidRPr="00EA1445">
        <w:t>5.</w:t>
      </w:r>
      <w:r w:rsidR="001A1EBB" w:rsidRPr="00EA1445">
        <w:t>3</w:t>
      </w:r>
      <w:r w:rsidRPr="00EA1445">
        <w:t>.</w:t>
      </w:r>
      <w:r w:rsidR="00B465CF" w:rsidRPr="00EA1445">
        <w:t>4</w:t>
      </w:r>
      <w:r w:rsidR="00AA0DB3" w:rsidRPr="00EA1445">
        <w:t xml:space="preserve"> Task </w:t>
      </w:r>
      <w:r w:rsidR="00B465CF" w:rsidRPr="00EA1445">
        <w:t>4</w:t>
      </w:r>
      <w:r w:rsidR="00AA0DB3" w:rsidRPr="00EA1445">
        <w:t>:</w:t>
      </w:r>
      <w:r w:rsidRPr="00EA1445">
        <w:t xml:space="preserve"> </w:t>
      </w:r>
      <w:r w:rsidR="004E4D0B" w:rsidRPr="00EA1445">
        <w:t>Continuous Improvement Network</w:t>
      </w:r>
      <w:r w:rsidR="004E4D0B">
        <w:t xml:space="preserve"> </w:t>
      </w:r>
    </w:p>
    <w:p w14:paraId="61C5D997" w14:textId="1374A806" w:rsidR="00FA19E5" w:rsidRPr="008C42CE" w:rsidRDefault="00FA19E5" w:rsidP="00B47380">
      <w:pPr>
        <w:rPr>
          <w:rFonts w:eastAsia="Calibri" w:cs="Arial"/>
          <w:szCs w:val="24"/>
        </w:rPr>
      </w:pPr>
      <w:r w:rsidRPr="00D853F5">
        <w:rPr>
          <w:rFonts w:eastAsia="Calibri" w:cs="Arial"/>
          <w:color w:val="000000"/>
          <w:szCs w:val="24"/>
        </w:rPr>
        <w:t xml:space="preserve">This section of the RFA narrative </w:t>
      </w:r>
      <w:r>
        <w:rPr>
          <w:rFonts w:eastAsia="Calibri" w:cs="Arial"/>
          <w:color w:val="000000"/>
          <w:szCs w:val="24"/>
        </w:rPr>
        <w:t xml:space="preserve">must provide a proposal detailing how </w:t>
      </w:r>
      <w:r w:rsidRPr="00D853F5">
        <w:rPr>
          <w:rFonts w:eastAsia="Calibri" w:cs="Arial"/>
          <w:color w:val="000000"/>
          <w:szCs w:val="24"/>
        </w:rPr>
        <w:t>the applicant</w:t>
      </w:r>
      <w:r>
        <w:rPr>
          <w:rFonts w:eastAsia="Calibri" w:cs="Arial"/>
          <w:color w:val="000000"/>
          <w:szCs w:val="24"/>
        </w:rPr>
        <w:t xml:space="preserve"> </w:t>
      </w:r>
      <w:r w:rsidRPr="008B5AC9">
        <w:t xml:space="preserve">plans to accomplish Task </w:t>
      </w:r>
      <w:r w:rsidR="002D0EF8">
        <w:t>4</w:t>
      </w:r>
      <w:r w:rsidRPr="008B5AC9">
        <w:t xml:space="preserve"> and all associated subtasks for each topic area (EL, SPED, </w:t>
      </w:r>
      <w:r w:rsidR="00B12957" w:rsidRPr="008D18C8">
        <w:t xml:space="preserve">SED, CTE and/or </w:t>
      </w:r>
      <w:r w:rsidRPr="008D18C8">
        <w:t>I</w:t>
      </w:r>
      <w:r w:rsidR="00A4394B" w:rsidRPr="008D18C8">
        <w:t>nnovative</w:t>
      </w:r>
      <w:r w:rsidR="00A4394B">
        <w:t xml:space="preserve"> Strategies</w:t>
      </w:r>
      <w:r w:rsidRPr="008B5AC9">
        <w:t>) they are applying for, as detailed herein, for the duration of the subgrant term.</w:t>
      </w:r>
      <w:r w:rsidR="003F113B" w:rsidRPr="008B5AC9">
        <w:t xml:space="preserve"> </w:t>
      </w:r>
      <w:r w:rsidR="008B5AC9" w:rsidRPr="008B5AC9">
        <w:t xml:space="preserve">The proposal must demonstrate how the tasks will directly build upon and integrate the knowledge, strategies, and objectives presented in the Best Practices Webinars (BPWs) to </w:t>
      </w:r>
      <w:r w:rsidR="008B5AC9" w:rsidRPr="005C127E">
        <w:t>establish a comprehensive technical assistance program that supports the specific topic area. The proposal must include</w:t>
      </w:r>
      <w:r w:rsidR="00582615" w:rsidRPr="005C127E">
        <w:t xml:space="preserve"> a </w:t>
      </w:r>
      <w:r w:rsidR="005D78A5" w:rsidRPr="005C127E">
        <w:t>three-year</w:t>
      </w:r>
      <w:r w:rsidR="00582615" w:rsidRPr="005C127E">
        <w:t xml:space="preserve"> plan over FY 2025</w:t>
      </w:r>
      <w:r w:rsidR="00582615" w:rsidRPr="005C127E">
        <w:rPr>
          <w:rFonts w:cs="Arial"/>
        </w:rPr>
        <w:t>−</w:t>
      </w:r>
      <w:r w:rsidR="00582615" w:rsidRPr="005C127E">
        <w:t>26, FY 2026</w:t>
      </w:r>
      <w:r w:rsidR="00582615" w:rsidRPr="005C127E">
        <w:rPr>
          <w:rFonts w:cs="Arial"/>
        </w:rPr>
        <w:t>−</w:t>
      </w:r>
      <w:r w:rsidR="00582615" w:rsidRPr="005C127E">
        <w:t>27, and FY 2027</w:t>
      </w:r>
      <w:r w:rsidR="00582615" w:rsidRPr="005C127E">
        <w:rPr>
          <w:rFonts w:cs="Arial"/>
        </w:rPr>
        <w:t>−</w:t>
      </w:r>
      <w:r w:rsidR="00582615" w:rsidRPr="005C127E">
        <w:t>28 for the following:</w:t>
      </w:r>
    </w:p>
    <w:p w14:paraId="29353E4D" w14:textId="77777777" w:rsidR="008B1F5D" w:rsidRDefault="00700928" w:rsidP="008B1F5D">
      <w:pPr>
        <w:pStyle w:val="ListParagraph"/>
        <w:numPr>
          <w:ilvl w:val="0"/>
          <w:numId w:val="53"/>
        </w:numPr>
      </w:pPr>
      <w:r w:rsidRPr="008B1F5D">
        <w:t>A comprehensive plan for facilitating a</w:t>
      </w:r>
      <w:r w:rsidR="00D721D0" w:rsidRPr="008B1F5D">
        <w:t>t least one</w:t>
      </w:r>
      <w:r w:rsidRPr="008B1F5D">
        <w:t xml:space="preserve"> CIN cohort of at least 10 school administrators, teachers or other staff from across California</w:t>
      </w:r>
      <w:r w:rsidR="00747592" w:rsidRPr="008B1F5D">
        <w:t>, including strategies of how the applicant will create a safe and collaborative environment for participants to identify high-leverage challenges, analyze data, and work towards developing high-quality charter schools</w:t>
      </w:r>
      <w:r w:rsidRPr="008B1F5D">
        <w:t xml:space="preserve">; </w:t>
      </w:r>
    </w:p>
    <w:p w14:paraId="6AF4C8FD" w14:textId="77777777" w:rsidR="008B1F5D" w:rsidRDefault="008B1F5D" w:rsidP="008B1F5D">
      <w:pPr>
        <w:pStyle w:val="ListParagraph"/>
      </w:pPr>
    </w:p>
    <w:p w14:paraId="4AFC7CE0" w14:textId="77777777" w:rsidR="008B1F5D" w:rsidRDefault="00B47380" w:rsidP="008B1F5D">
      <w:pPr>
        <w:pStyle w:val="ListParagraph"/>
        <w:numPr>
          <w:ilvl w:val="0"/>
          <w:numId w:val="53"/>
        </w:numPr>
      </w:pPr>
      <w:r w:rsidRPr="008B1F5D">
        <w:t xml:space="preserve">A description of the CIN activities throughout the term of the subgrant, including at least </w:t>
      </w:r>
      <w:r w:rsidR="000C6587" w:rsidRPr="008B1F5D">
        <w:t>18</w:t>
      </w:r>
      <w:r w:rsidRPr="008B1F5D">
        <w:t>, one-hour meetings for participants</w:t>
      </w:r>
      <w:r w:rsidR="005D78A5" w:rsidRPr="008B1F5D">
        <w:t>;</w:t>
      </w:r>
    </w:p>
    <w:p w14:paraId="74301C00" w14:textId="77777777" w:rsidR="008B1F5D" w:rsidRDefault="008B1F5D" w:rsidP="008B1F5D">
      <w:pPr>
        <w:pStyle w:val="ListParagraph"/>
      </w:pPr>
    </w:p>
    <w:p w14:paraId="548EA2CB" w14:textId="77777777" w:rsidR="008B1F5D" w:rsidRDefault="00AA5BE7" w:rsidP="008B1F5D">
      <w:pPr>
        <w:pStyle w:val="ListParagraph"/>
        <w:numPr>
          <w:ilvl w:val="0"/>
          <w:numId w:val="53"/>
        </w:numPr>
      </w:pPr>
      <w:r w:rsidRPr="008B1F5D">
        <w:t xml:space="preserve">A plan to track session attendance, with a focus on charter school participants, and a method for collecting, reviewing, and sharing participant feedback. Proposals should detail how data will be used to assess program performance and inform adjustments for future meetings;  </w:t>
      </w:r>
    </w:p>
    <w:p w14:paraId="5C659AA7" w14:textId="77777777" w:rsidR="008B1F5D" w:rsidRDefault="008B1F5D" w:rsidP="008B1F5D">
      <w:pPr>
        <w:pStyle w:val="ListParagraph"/>
      </w:pPr>
    </w:p>
    <w:p w14:paraId="45A7515B" w14:textId="7F3BB389" w:rsidR="008B1F5D" w:rsidRDefault="00B47380" w:rsidP="008B1F5D">
      <w:pPr>
        <w:pStyle w:val="ListParagraph"/>
        <w:numPr>
          <w:ilvl w:val="0"/>
          <w:numId w:val="53"/>
        </w:numPr>
      </w:pPr>
      <w:r w:rsidRPr="008B1F5D">
        <w:t>An explanation of how the CIN activities will be tied back to the content learned in the BPWs, ensuring that participants apply the strategies and best practices from the webinars to their work in the CIN;</w:t>
      </w:r>
    </w:p>
    <w:p w14:paraId="72AECDF4" w14:textId="77777777" w:rsidR="008B1F5D" w:rsidRDefault="008B1F5D" w:rsidP="008B1F5D">
      <w:pPr>
        <w:pStyle w:val="ListParagraph"/>
      </w:pPr>
    </w:p>
    <w:p w14:paraId="3F0F9982" w14:textId="3C1D9516" w:rsidR="008B1F5D" w:rsidRDefault="00AE23F0" w:rsidP="008B1F5D">
      <w:pPr>
        <w:pStyle w:val="ListParagraph"/>
        <w:numPr>
          <w:ilvl w:val="0"/>
          <w:numId w:val="53"/>
        </w:numPr>
      </w:pPr>
      <w:r w:rsidRPr="008B1F5D">
        <w:t>A sample plan that outlines clear and measurable outcomes, tracks relevant data, and documents participant progress throughout the CIN, with the purpose of producing a comprehensive final report that accurately reflects the impact of the work completed during the CIN. The plan must specify key deliverables and submission deadlines, such as drafts and progress reports, to ensure regular updates are provided to the CDE, emphasizing how charter school participants have implemented strategies for school improvement</w:t>
      </w:r>
      <w:r w:rsidR="00A306EB">
        <w:t xml:space="preserve">; and </w:t>
      </w:r>
      <w:r w:rsidRPr="008B1F5D">
        <w:t xml:space="preserve"> </w:t>
      </w:r>
    </w:p>
    <w:p w14:paraId="42107700" w14:textId="77777777" w:rsidR="008B1F5D" w:rsidRDefault="008B1F5D" w:rsidP="008B1F5D">
      <w:pPr>
        <w:pStyle w:val="ListParagraph"/>
      </w:pPr>
    </w:p>
    <w:p w14:paraId="33767E83" w14:textId="77777777" w:rsidR="00A306EB" w:rsidRDefault="002C4A04" w:rsidP="00A306EB">
      <w:pPr>
        <w:pStyle w:val="ListParagraph"/>
        <w:numPr>
          <w:ilvl w:val="0"/>
          <w:numId w:val="53"/>
        </w:numPr>
      </w:pPr>
      <w:r w:rsidRPr="008B1F5D">
        <w:t xml:space="preserve">A plan for offering small group and one-on-one targeted support outside of the </w:t>
      </w:r>
      <w:r w:rsidR="000C6587" w:rsidRPr="008B1F5D">
        <w:t>18</w:t>
      </w:r>
      <w:r w:rsidRPr="008B1F5D">
        <w:t xml:space="preserve"> scheduled CIN meetings, if requested by participants. </w:t>
      </w:r>
    </w:p>
    <w:p w14:paraId="63E03297" w14:textId="77777777" w:rsidR="00A306EB" w:rsidRDefault="00A306EB" w:rsidP="00A306EB">
      <w:pPr>
        <w:pStyle w:val="ListParagraph"/>
      </w:pPr>
    </w:p>
    <w:p w14:paraId="3DDCA1A9" w14:textId="55DA5187" w:rsidR="000D785D" w:rsidRPr="000D785D" w:rsidRDefault="000D785D" w:rsidP="00A306EB">
      <w:r w:rsidRPr="00FF3A52">
        <w:t xml:space="preserve">Subgrant applicants may choose to partner with another eligible entity to </w:t>
      </w:r>
      <w:r w:rsidR="00F3590C">
        <w:t xml:space="preserve">facilitate the CINS. </w:t>
      </w:r>
      <w:r>
        <w:t>The RFA narrative must outline the partner’s specific responsibilities, including the specific activities and deliverables the partner will be responsible for.</w:t>
      </w:r>
      <w:r w:rsidRPr="00FF3A52">
        <w:t xml:space="preserve"> Partner organization costs must be included under the budget object code for Contracts (5000). A signed agreement and invoice must be submitted to the CDE prior to expenses being reimbursed.</w:t>
      </w:r>
    </w:p>
    <w:p w14:paraId="57D0BF51" w14:textId="22E6F461" w:rsidR="00104853" w:rsidRPr="00451344" w:rsidRDefault="00104853" w:rsidP="00451344">
      <w:pPr>
        <w:spacing w:before="100" w:beforeAutospacing="1"/>
      </w:pPr>
      <w:r w:rsidRPr="008C42CE">
        <w:t xml:space="preserve">In addition to the proposal, </w:t>
      </w:r>
      <w:r w:rsidR="003C12BE">
        <w:t>t</w:t>
      </w:r>
      <w:r w:rsidR="003C12BE" w:rsidRPr="003C12BE">
        <w:t>he applicant must acknowledge and agree to the following subgrant terms and identify sufficient Key Personnel to accomplish the activit</w:t>
      </w:r>
      <w:r w:rsidR="003C12BE">
        <w:t>y</w:t>
      </w:r>
      <w:r w:rsidR="003C12BE" w:rsidRPr="003C12BE">
        <w:t xml:space="preserve"> outlined below</w:t>
      </w:r>
      <w:r w:rsidR="003C12BE">
        <w:t>:</w:t>
      </w:r>
    </w:p>
    <w:p w14:paraId="3FC310F7" w14:textId="70FF97E8" w:rsidR="00104853" w:rsidRPr="00EA1445" w:rsidRDefault="00104853" w:rsidP="00104853">
      <w:pPr>
        <w:pStyle w:val="ListParagraph"/>
        <w:numPr>
          <w:ilvl w:val="0"/>
          <w:numId w:val="39"/>
        </w:numPr>
        <w:spacing w:before="240"/>
        <w:rPr>
          <w:rFonts w:cs="Arial"/>
          <w:bCs/>
          <w:color w:val="000000"/>
          <w:szCs w:val="24"/>
        </w:rPr>
      </w:pPr>
      <w:r w:rsidRPr="00EA1445">
        <w:rPr>
          <w:rFonts w:cs="Arial"/>
          <w:szCs w:val="24"/>
        </w:rPr>
        <w:t xml:space="preserve">The STACS Subgrantee must acknowledge that they will provide quarterly reports (by October 31, January 31, April 30, and June 26) on CIN meetings conducted, attendance, and participant feedback. A closeout report including trainings conducted, attendance, and participant feedback from quarter 4, </w:t>
      </w:r>
      <w:r w:rsidR="00451344" w:rsidRPr="00EA1445">
        <w:rPr>
          <w:rFonts w:cs="Arial"/>
          <w:szCs w:val="24"/>
        </w:rPr>
        <w:t xml:space="preserve">and a final deliverable demonstrating measurable outcomes or impact of the CIN, </w:t>
      </w:r>
      <w:r w:rsidRPr="00EA1445">
        <w:rPr>
          <w:rFonts w:cs="Arial"/>
          <w:szCs w:val="24"/>
        </w:rPr>
        <w:t xml:space="preserve">as well as a summary of </w:t>
      </w:r>
      <w:r w:rsidR="00F81089" w:rsidRPr="00EA1445">
        <w:rPr>
          <w:rFonts w:cs="Arial"/>
          <w:szCs w:val="24"/>
        </w:rPr>
        <w:t>program</w:t>
      </w:r>
      <w:r w:rsidRPr="00EA1445">
        <w:rPr>
          <w:rFonts w:cs="Arial"/>
          <w:szCs w:val="24"/>
        </w:rPr>
        <w:t xml:space="preserve"> activities is due by</w:t>
      </w:r>
      <w:r w:rsidR="007442EC" w:rsidRPr="00EA1445">
        <w:rPr>
          <w:rFonts w:cs="Arial"/>
          <w:szCs w:val="24"/>
        </w:rPr>
        <w:t xml:space="preserve"> July 31, 2028, or a later date if the subgrant is extended.</w:t>
      </w:r>
      <w:r w:rsidRPr="00EA1445">
        <w:rPr>
          <w:rFonts w:cs="Arial"/>
          <w:szCs w:val="24"/>
        </w:rPr>
        <w:t xml:space="preserve"> STACS Subgrantees must acknowledge that they will provide revisions if needed, based on CDE feedback.</w:t>
      </w:r>
    </w:p>
    <w:p w14:paraId="0925551E" w14:textId="15E27A9D" w:rsidR="00407A8A" w:rsidRPr="00EA1445" w:rsidRDefault="00407A8A" w:rsidP="00C1527E">
      <w:pPr>
        <w:pStyle w:val="Heading5"/>
      </w:pPr>
      <w:r w:rsidRPr="00EA1445">
        <w:t>5.</w:t>
      </w:r>
      <w:r w:rsidR="001A1EBB" w:rsidRPr="00EA1445">
        <w:t>3</w:t>
      </w:r>
      <w:r w:rsidRPr="00EA1445">
        <w:t>.</w:t>
      </w:r>
      <w:r w:rsidR="00B465CF" w:rsidRPr="00EA1445">
        <w:t>5</w:t>
      </w:r>
      <w:r w:rsidRPr="00EA1445">
        <w:t xml:space="preserve"> Task </w:t>
      </w:r>
      <w:r w:rsidR="00B465CF" w:rsidRPr="00EA1445">
        <w:t>5</w:t>
      </w:r>
      <w:r w:rsidRPr="00EA1445">
        <w:t>: Planning Meetings</w:t>
      </w:r>
      <w:r w:rsidR="00C44375" w:rsidRPr="00EA1445">
        <w:t xml:space="preserve"> </w:t>
      </w:r>
    </w:p>
    <w:p w14:paraId="783F1D30" w14:textId="3DE7C8C2" w:rsidR="00407A8A" w:rsidRDefault="00407A8A" w:rsidP="00407A8A">
      <w:pPr>
        <w:rPr>
          <w:rFonts w:eastAsia="Calibri" w:cs="Arial"/>
          <w:szCs w:val="24"/>
        </w:rPr>
      </w:pPr>
      <w:r w:rsidRPr="00EA1445">
        <w:rPr>
          <w:rFonts w:eastAsia="Calibri" w:cs="Arial"/>
          <w:color w:val="000000"/>
          <w:szCs w:val="24"/>
        </w:rPr>
        <w:t>This section of the RFA narrative must</w:t>
      </w:r>
      <w:r w:rsidRPr="00D853F5">
        <w:rPr>
          <w:rFonts w:eastAsia="Calibri" w:cs="Arial"/>
          <w:color w:val="000000"/>
          <w:szCs w:val="24"/>
        </w:rPr>
        <w:t xml:space="preserve"> acknowledge the applicant’s commitment to</w:t>
      </w:r>
      <w:r w:rsidRPr="00D853F5">
        <w:rPr>
          <w:rFonts w:eastAsia="Calibri" w:cs="Arial"/>
          <w:szCs w:val="24"/>
        </w:rPr>
        <w:t xml:space="preserve"> accomplish </w:t>
      </w:r>
      <w:r w:rsidRPr="00C44375">
        <w:rPr>
          <w:rFonts w:eastAsia="Calibri" w:cs="Arial"/>
          <w:szCs w:val="24"/>
        </w:rPr>
        <w:t xml:space="preserve">Task </w:t>
      </w:r>
      <w:r w:rsidR="002D0EF8">
        <w:rPr>
          <w:rFonts w:eastAsia="Calibri" w:cs="Arial"/>
          <w:szCs w:val="24"/>
        </w:rPr>
        <w:t>5</w:t>
      </w:r>
      <w:r w:rsidRPr="00D853F5">
        <w:rPr>
          <w:rFonts w:eastAsia="Calibri" w:cs="Arial"/>
          <w:szCs w:val="24"/>
        </w:rPr>
        <w:t xml:space="preserve"> and all subtasks contained herein for the duration of the </w:t>
      </w:r>
      <w:r w:rsidR="009709C2">
        <w:rPr>
          <w:rFonts w:eastAsia="Calibri" w:cs="Arial"/>
          <w:szCs w:val="24"/>
        </w:rPr>
        <w:t>subgrant</w:t>
      </w:r>
      <w:r w:rsidRPr="00D853F5">
        <w:rPr>
          <w:rFonts w:eastAsia="Calibri" w:cs="Arial"/>
          <w:szCs w:val="24"/>
        </w:rPr>
        <w:t xml:space="preserve"> term. Identify sufficient Key Personnel in order to accomplish all activities below: </w:t>
      </w:r>
    </w:p>
    <w:p w14:paraId="01B1480A" w14:textId="5E49BAD2" w:rsidR="00407A8A" w:rsidRDefault="00407A8A" w:rsidP="001B3592">
      <w:pPr>
        <w:pStyle w:val="ListParagraph"/>
        <w:numPr>
          <w:ilvl w:val="0"/>
          <w:numId w:val="39"/>
        </w:numPr>
        <w:rPr>
          <w:rFonts w:cs="Arial"/>
          <w:bCs/>
          <w:color w:val="000000"/>
          <w:szCs w:val="24"/>
        </w:rPr>
      </w:pPr>
      <w:r>
        <w:rPr>
          <w:rFonts w:cs="Arial"/>
          <w:szCs w:val="24"/>
        </w:rPr>
        <w:t>STACS</w:t>
      </w:r>
      <w:r w:rsidRPr="0004264B">
        <w:rPr>
          <w:rFonts w:cs="Arial"/>
          <w:szCs w:val="24"/>
        </w:rPr>
        <w:t xml:space="preserve"> </w:t>
      </w:r>
      <w:r w:rsidR="00C44375">
        <w:rPr>
          <w:rFonts w:cs="Arial"/>
          <w:szCs w:val="24"/>
        </w:rPr>
        <w:t>Subgrantees</w:t>
      </w:r>
      <w:r w:rsidRPr="0004264B">
        <w:rPr>
          <w:rFonts w:cs="Arial"/>
          <w:szCs w:val="24"/>
        </w:rPr>
        <w:t xml:space="preserve"> </w:t>
      </w:r>
      <w:r>
        <w:rPr>
          <w:rFonts w:cs="Arial"/>
          <w:szCs w:val="24"/>
        </w:rPr>
        <w:t xml:space="preserve">will convene at least monthly for collaboration purposes with </w:t>
      </w:r>
      <w:r w:rsidR="00C44375">
        <w:rPr>
          <w:rFonts w:cs="Arial"/>
          <w:szCs w:val="24"/>
        </w:rPr>
        <w:t>CDE Subgrant</w:t>
      </w:r>
      <w:r>
        <w:rPr>
          <w:rFonts w:cs="Arial"/>
          <w:szCs w:val="24"/>
        </w:rPr>
        <w:t xml:space="preserve"> Monitors for each </w:t>
      </w:r>
      <w:r w:rsidR="00C44375">
        <w:rPr>
          <w:rFonts w:cs="Arial"/>
          <w:szCs w:val="24"/>
        </w:rPr>
        <w:t>subaward</w:t>
      </w:r>
      <w:r>
        <w:rPr>
          <w:rFonts w:cs="Arial"/>
          <w:szCs w:val="24"/>
        </w:rPr>
        <w:t xml:space="preserve"> awarded (EL, SPED,</w:t>
      </w:r>
      <w:r w:rsidR="00F81089">
        <w:rPr>
          <w:rFonts w:cs="Arial"/>
          <w:szCs w:val="24"/>
        </w:rPr>
        <w:t xml:space="preserve"> </w:t>
      </w:r>
      <w:r w:rsidR="00F81089" w:rsidRPr="00846DBA">
        <w:rPr>
          <w:rFonts w:cs="Arial"/>
          <w:szCs w:val="24"/>
        </w:rPr>
        <w:t>SED, CTE</w:t>
      </w:r>
      <w:r w:rsidRPr="00846DBA">
        <w:rPr>
          <w:rFonts w:cs="Arial"/>
          <w:szCs w:val="24"/>
        </w:rPr>
        <w:t xml:space="preserve"> </w:t>
      </w:r>
      <w:r w:rsidR="00F81089" w:rsidRPr="00846DBA">
        <w:rPr>
          <w:rFonts w:cs="Arial"/>
          <w:szCs w:val="24"/>
        </w:rPr>
        <w:t>and/</w:t>
      </w:r>
      <w:r w:rsidRPr="00846DBA">
        <w:rPr>
          <w:rFonts w:cs="Arial"/>
          <w:szCs w:val="24"/>
        </w:rPr>
        <w:t>or I</w:t>
      </w:r>
      <w:r w:rsidR="00A4394B" w:rsidRPr="00846DBA">
        <w:rPr>
          <w:rFonts w:cs="Arial"/>
          <w:szCs w:val="24"/>
        </w:rPr>
        <w:t>nnovative Strategies</w:t>
      </w:r>
      <w:r w:rsidRPr="00846DBA">
        <w:rPr>
          <w:rFonts w:cs="Arial"/>
          <w:szCs w:val="24"/>
        </w:rPr>
        <w:t xml:space="preserve">). STACS </w:t>
      </w:r>
      <w:r w:rsidR="00C44375" w:rsidRPr="00846DBA">
        <w:rPr>
          <w:rFonts w:cs="Arial"/>
          <w:szCs w:val="24"/>
        </w:rPr>
        <w:t>Monitors</w:t>
      </w:r>
      <w:r w:rsidRPr="00846DBA">
        <w:rPr>
          <w:rFonts w:cs="Arial"/>
          <w:bCs/>
          <w:color w:val="000000"/>
          <w:szCs w:val="24"/>
        </w:rPr>
        <w:t xml:space="preserve"> will attend monthly, virtual meetings to be determined by the CDE on a date to be determined at least</w:t>
      </w:r>
      <w:r>
        <w:rPr>
          <w:rFonts w:cs="Arial"/>
          <w:bCs/>
          <w:color w:val="000000"/>
          <w:szCs w:val="24"/>
        </w:rPr>
        <w:t xml:space="preserve"> 30 days prior to the meeting date.</w:t>
      </w:r>
      <w:r w:rsidRPr="0004264B">
        <w:rPr>
          <w:rFonts w:cs="Arial"/>
          <w:bCs/>
          <w:color w:val="000000"/>
          <w:szCs w:val="24"/>
        </w:rPr>
        <w:t xml:space="preserve"> </w:t>
      </w:r>
      <w:r w:rsidRPr="00FF3A52">
        <w:rPr>
          <w:rFonts w:eastAsia="Calibri" w:cs="Times New Roman"/>
        </w:rPr>
        <w:t xml:space="preserve">The meetings will be conducted in an online meeting format. </w:t>
      </w:r>
      <w:r w:rsidRPr="0004264B">
        <w:rPr>
          <w:rFonts w:cs="Arial"/>
          <w:bCs/>
          <w:color w:val="000000"/>
          <w:szCs w:val="24"/>
        </w:rPr>
        <w:t xml:space="preserve">The purpose of these meetings is to update the CDE on the status of </w:t>
      </w:r>
      <w:r>
        <w:rPr>
          <w:rFonts w:cs="Arial"/>
          <w:bCs/>
          <w:color w:val="000000"/>
          <w:szCs w:val="24"/>
        </w:rPr>
        <w:t>STACS</w:t>
      </w:r>
      <w:r w:rsidRPr="0004264B">
        <w:rPr>
          <w:rFonts w:cs="Arial"/>
          <w:bCs/>
          <w:color w:val="000000"/>
          <w:szCs w:val="24"/>
        </w:rPr>
        <w:t xml:space="preserve"> project activities and deliverables. Most meetings will be no more than one hour. The CDE reserves the right to schedule or cancel meetings as needed. The CDE may schedule additional meetings as needed to accommodate collaboration with CDE staff, interviews with federal program monitors, or other </w:t>
      </w:r>
      <w:r w:rsidR="008440B2">
        <w:rPr>
          <w:rFonts w:cs="Arial"/>
          <w:bCs/>
          <w:color w:val="000000"/>
          <w:szCs w:val="24"/>
        </w:rPr>
        <w:t>subgrant</w:t>
      </w:r>
      <w:r w:rsidRPr="0004264B">
        <w:rPr>
          <w:rFonts w:cs="Arial"/>
          <w:bCs/>
          <w:color w:val="000000"/>
          <w:szCs w:val="24"/>
        </w:rPr>
        <w:t xml:space="preserve"> management needs.</w:t>
      </w:r>
    </w:p>
    <w:p w14:paraId="3BC5E950" w14:textId="1FF5FC98" w:rsidR="00A060C2" w:rsidRPr="009117AB" w:rsidRDefault="009117AB" w:rsidP="00C1527E">
      <w:pPr>
        <w:pStyle w:val="Heading3"/>
      </w:pPr>
      <w:bookmarkStart w:id="29" w:name="_Toc199842727"/>
      <w:bookmarkStart w:id="30" w:name="_Toc79391977"/>
      <w:bookmarkStart w:id="31" w:name="_Toc92803883"/>
      <w:r w:rsidRPr="009117AB">
        <w:t>6</w:t>
      </w:r>
      <w:r w:rsidR="00A060C2" w:rsidRPr="009117AB">
        <w:t>. Specific Conditions and Assurances</w:t>
      </w:r>
      <w:bookmarkEnd w:id="29"/>
    </w:p>
    <w:p w14:paraId="3294649A" w14:textId="74C281E8" w:rsidR="00A060C2" w:rsidRPr="00F5625B" w:rsidRDefault="00A060C2" w:rsidP="00A060C2">
      <w:r>
        <w:t xml:space="preserve">The following </w:t>
      </w:r>
      <w:r w:rsidRPr="000C24D5">
        <w:t xml:space="preserve">are some of the specific conditions and assurances that will apply to this </w:t>
      </w:r>
      <w:r w:rsidR="00A617F5" w:rsidRPr="000C24D5">
        <w:t>subgrant</w:t>
      </w:r>
      <w:r w:rsidRPr="000C24D5">
        <w:t xml:space="preserve">, for the awareness of applicants. </w:t>
      </w:r>
      <w:r w:rsidR="00A452EF" w:rsidRPr="000C24D5">
        <w:t>Failure</w:t>
      </w:r>
      <w:r w:rsidR="009C054D" w:rsidRPr="000C24D5">
        <w:t xml:space="preserve"> to conduct any subgrant requirements </w:t>
      </w:r>
      <w:r w:rsidR="009C054D" w:rsidRPr="000C24D5">
        <w:lastRenderedPageBreak/>
        <w:t>on or before the end of the subgrant period</w:t>
      </w:r>
      <w:r w:rsidR="00A452EF" w:rsidRPr="000C24D5">
        <w:t xml:space="preserve"> will result in </w:t>
      </w:r>
      <w:r w:rsidR="009C054D" w:rsidRPr="000C24D5">
        <w:t>the CDE withhold</w:t>
      </w:r>
      <w:r w:rsidR="00A452EF" w:rsidRPr="000C24D5">
        <w:t>ing</w:t>
      </w:r>
      <w:r w:rsidR="009C054D" w:rsidRPr="000C24D5">
        <w:t xml:space="preserve"> ten percent of the total subgrant award.</w:t>
      </w:r>
    </w:p>
    <w:p w14:paraId="01E426D0" w14:textId="1A6731AB" w:rsidR="00A060C2" w:rsidRDefault="009117AB" w:rsidP="00C1527E">
      <w:pPr>
        <w:pStyle w:val="Heading4"/>
      </w:pPr>
      <w:r>
        <w:t>6</w:t>
      </w:r>
      <w:r w:rsidR="00A060C2" w:rsidRPr="00DA4B2A">
        <w:t>.1 Resolution of Disputes</w:t>
      </w:r>
    </w:p>
    <w:p w14:paraId="28B1BC40" w14:textId="737974E3" w:rsidR="00A060C2" w:rsidRDefault="00A060C2" w:rsidP="00A060C2">
      <w:pPr>
        <w:rPr>
          <w:rFonts w:cs="Arial"/>
          <w:szCs w:val="24"/>
        </w:rPr>
      </w:pPr>
      <w:r w:rsidRPr="001C2294">
        <w:rPr>
          <w:rFonts w:cs="Arial"/>
          <w:szCs w:val="24"/>
        </w:rPr>
        <w:t xml:space="preserve">If the </w:t>
      </w:r>
      <w:r>
        <w:rPr>
          <w:rFonts w:cs="Arial"/>
          <w:szCs w:val="24"/>
        </w:rPr>
        <w:t>subgrantee</w:t>
      </w:r>
      <w:r w:rsidRPr="001C2294">
        <w:rPr>
          <w:rFonts w:cs="Arial"/>
          <w:szCs w:val="24"/>
        </w:rPr>
        <w:t xml:space="preserve"> disputes any action by the CDE arising under or out of the performance of this </w:t>
      </w:r>
      <w:r>
        <w:rPr>
          <w:rFonts w:cs="Arial"/>
          <w:szCs w:val="24"/>
        </w:rPr>
        <w:t>subgrant</w:t>
      </w:r>
      <w:r w:rsidRPr="001C2294">
        <w:rPr>
          <w:rFonts w:cs="Arial"/>
          <w:szCs w:val="24"/>
        </w:rPr>
        <w:t xml:space="preserve">, the </w:t>
      </w:r>
      <w:r>
        <w:rPr>
          <w:rFonts w:cs="Arial"/>
          <w:szCs w:val="24"/>
        </w:rPr>
        <w:t>subgrantee</w:t>
      </w:r>
      <w:r w:rsidRPr="001C2294">
        <w:rPr>
          <w:rFonts w:cs="Arial"/>
          <w:szCs w:val="24"/>
        </w:rPr>
        <w:t xml:space="preserve"> shall notify the </w:t>
      </w:r>
      <w:r>
        <w:rPr>
          <w:rFonts w:cs="Arial"/>
          <w:szCs w:val="24"/>
        </w:rPr>
        <w:t xml:space="preserve">CDE </w:t>
      </w:r>
      <w:r w:rsidRPr="001C2294">
        <w:rPr>
          <w:rFonts w:cs="Arial"/>
          <w:szCs w:val="24"/>
        </w:rPr>
        <w:t xml:space="preserve">of the dispute in writing and request a claims decision. The CDE shall issue a decision within 30 days of the </w:t>
      </w:r>
      <w:r>
        <w:rPr>
          <w:rFonts w:cs="Arial"/>
          <w:szCs w:val="24"/>
        </w:rPr>
        <w:t>subgrantee</w:t>
      </w:r>
      <w:r w:rsidRPr="001C2294">
        <w:rPr>
          <w:rFonts w:cs="Arial"/>
          <w:szCs w:val="24"/>
        </w:rPr>
        <w:t xml:space="preserve">'s notice. If the </w:t>
      </w:r>
      <w:r>
        <w:rPr>
          <w:rFonts w:cs="Arial"/>
          <w:szCs w:val="24"/>
        </w:rPr>
        <w:t>subgrantee</w:t>
      </w:r>
      <w:r w:rsidRPr="001C2294">
        <w:rPr>
          <w:rFonts w:cs="Arial"/>
          <w:szCs w:val="24"/>
        </w:rPr>
        <w:t xml:space="preserve"> disagrees with the CDE claims decision, the </w:t>
      </w:r>
      <w:r>
        <w:rPr>
          <w:rFonts w:cs="Arial"/>
          <w:szCs w:val="24"/>
        </w:rPr>
        <w:t>subgrantee</w:t>
      </w:r>
      <w:r w:rsidRPr="001C2294">
        <w:rPr>
          <w:rFonts w:cs="Arial"/>
          <w:szCs w:val="24"/>
        </w:rPr>
        <w:t xml:space="preserve"> shall submit a formal claim to the </w:t>
      </w:r>
      <w:r>
        <w:rPr>
          <w:rFonts w:cs="Arial"/>
          <w:szCs w:val="24"/>
        </w:rPr>
        <w:t xml:space="preserve">State </w:t>
      </w:r>
      <w:r w:rsidRPr="001C2294">
        <w:rPr>
          <w:rFonts w:cs="Arial"/>
          <w:szCs w:val="24"/>
        </w:rPr>
        <w:t xml:space="preserve">Superintendent of Public Instruction </w:t>
      </w:r>
      <w:r>
        <w:rPr>
          <w:rFonts w:cs="Arial"/>
          <w:szCs w:val="24"/>
        </w:rPr>
        <w:t xml:space="preserve">(SSPI) </w:t>
      </w:r>
      <w:r w:rsidRPr="001C2294">
        <w:rPr>
          <w:rFonts w:cs="Arial"/>
          <w:szCs w:val="24"/>
        </w:rPr>
        <w:t xml:space="preserve">or the Superintendent's designee. The decision of the Superintendent shall be final and conclusive on the claim unless the decision is arbitrary or capricious. The decision may encompass facts, interpretations of the </w:t>
      </w:r>
      <w:r>
        <w:rPr>
          <w:rFonts w:cs="Arial"/>
          <w:szCs w:val="24"/>
        </w:rPr>
        <w:t>subgrant</w:t>
      </w:r>
      <w:r w:rsidRPr="001C2294">
        <w:rPr>
          <w:rFonts w:cs="Arial"/>
          <w:szCs w:val="24"/>
        </w:rPr>
        <w:t xml:space="preserve">, and determinations or applications of law. The decision shall be in writing following an opportunity for the </w:t>
      </w:r>
      <w:r>
        <w:rPr>
          <w:rFonts w:cs="Arial"/>
          <w:szCs w:val="24"/>
        </w:rPr>
        <w:t>subgrantee</w:t>
      </w:r>
      <w:r w:rsidRPr="001C2294">
        <w:rPr>
          <w:rFonts w:cs="Arial"/>
          <w:szCs w:val="24"/>
        </w:rPr>
        <w:t xml:space="preserve"> to present oral or documentary evidence and arguments in support of the claim. </w:t>
      </w:r>
      <w:r>
        <w:rPr>
          <w:rFonts w:cs="Arial"/>
          <w:szCs w:val="24"/>
        </w:rPr>
        <w:t>The subgrantee</w:t>
      </w:r>
      <w:r w:rsidRPr="001C2294">
        <w:rPr>
          <w:rFonts w:cs="Arial"/>
          <w:szCs w:val="24"/>
        </w:rPr>
        <w:t xml:space="preserve"> shall continue with the responsibilities under this Agreement during any dispute.</w:t>
      </w:r>
    </w:p>
    <w:p w14:paraId="458FB00E" w14:textId="1F8842D7" w:rsidR="00A060C2" w:rsidRPr="00AE03E7" w:rsidRDefault="009117AB" w:rsidP="00C1527E">
      <w:pPr>
        <w:pStyle w:val="Heading4"/>
      </w:pPr>
      <w:r>
        <w:t>6</w:t>
      </w:r>
      <w:r w:rsidR="00A060C2" w:rsidRPr="00AE03E7">
        <w:t xml:space="preserve">.2 </w:t>
      </w:r>
      <w:r w:rsidR="00A617F5">
        <w:t>Subgrants</w:t>
      </w:r>
      <w:r w:rsidR="00A060C2" w:rsidRPr="00AE03E7">
        <w:t xml:space="preserve"> Funded by the Federal Government</w:t>
      </w:r>
    </w:p>
    <w:p w14:paraId="3461DA89" w14:textId="61814DB7" w:rsidR="00A060C2" w:rsidRPr="00AE03E7" w:rsidRDefault="00A060C2" w:rsidP="00A060C2">
      <w:pPr>
        <w:rPr>
          <w:rFonts w:cs="Arial"/>
          <w:iCs/>
          <w:szCs w:val="24"/>
        </w:rPr>
      </w:pPr>
      <w:r w:rsidRPr="00AE03E7">
        <w:rPr>
          <w:rFonts w:cs="Arial"/>
          <w:iCs/>
          <w:szCs w:val="24"/>
        </w:rPr>
        <w:t xml:space="preserve">It is mutually understood between the parties that this </w:t>
      </w:r>
      <w:r w:rsidR="00A617F5">
        <w:rPr>
          <w:rFonts w:cs="Arial"/>
          <w:iCs/>
          <w:szCs w:val="24"/>
        </w:rPr>
        <w:t>subgrant</w:t>
      </w:r>
      <w:r w:rsidRPr="00AE03E7">
        <w:rPr>
          <w:rFonts w:cs="Arial"/>
          <w:iCs/>
          <w:szCs w:val="24"/>
        </w:rPr>
        <w:t xml:space="preserve"> may have been written before ascertaining the availability of congressional appropriation of funds, for the mutual benefit of both parties, in order to avoid program and fiscal delays which would occur if the </w:t>
      </w:r>
      <w:r>
        <w:rPr>
          <w:rFonts w:cs="Arial"/>
          <w:iCs/>
          <w:szCs w:val="24"/>
        </w:rPr>
        <w:t>subgrant</w:t>
      </w:r>
      <w:r w:rsidRPr="00AE03E7">
        <w:rPr>
          <w:rFonts w:cs="Arial"/>
          <w:iCs/>
          <w:szCs w:val="24"/>
        </w:rPr>
        <w:t xml:space="preserve"> were executed after that determination was made.</w:t>
      </w:r>
    </w:p>
    <w:p w14:paraId="29097E41" w14:textId="35DC2A0F" w:rsidR="00A060C2" w:rsidRPr="00AE03E7" w:rsidRDefault="00A060C2" w:rsidP="00A060C2">
      <w:pPr>
        <w:tabs>
          <w:tab w:val="left" w:pos="360"/>
        </w:tabs>
        <w:rPr>
          <w:rFonts w:cs="Arial"/>
          <w:iCs/>
          <w:szCs w:val="24"/>
        </w:rPr>
      </w:pPr>
      <w:r w:rsidRPr="00AE03E7">
        <w:rPr>
          <w:rFonts w:cs="Arial"/>
          <w:iCs/>
          <w:szCs w:val="24"/>
        </w:rPr>
        <w:t xml:space="preserve">This </w:t>
      </w:r>
      <w:r w:rsidR="00A617F5">
        <w:rPr>
          <w:rFonts w:cs="Arial"/>
          <w:iCs/>
          <w:szCs w:val="24"/>
        </w:rPr>
        <w:t>subgrant</w:t>
      </w:r>
      <w:r w:rsidRPr="00AE03E7">
        <w:rPr>
          <w:rFonts w:cs="Arial"/>
          <w:iCs/>
          <w:szCs w:val="24"/>
        </w:rPr>
        <w:t xml:space="preserve"> is valid and enforceable only if sufficient funds are made available to the </w:t>
      </w:r>
      <w:r>
        <w:rPr>
          <w:rFonts w:cs="Arial"/>
          <w:iCs/>
          <w:szCs w:val="24"/>
        </w:rPr>
        <w:t>CDE</w:t>
      </w:r>
      <w:r w:rsidRPr="00AE03E7">
        <w:rPr>
          <w:rFonts w:cs="Arial"/>
          <w:iCs/>
          <w:szCs w:val="24"/>
        </w:rPr>
        <w:t xml:space="preserve"> by the United States Government for </w:t>
      </w:r>
      <w:r>
        <w:rPr>
          <w:rFonts w:cs="Arial"/>
          <w:iCs/>
          <w:szCs w:val="24"/>
        </w:rPr>
        <w:t>the term</w:t>
      </w:r>
      <w:r w:rsidRPr="00AE03E7">
        <w:rPr>
          <w:rFonts w:cs="Arial"/>
          <w:iCs/>
          <w:szCs w:val="24"/>
        </w:rPr>
        <w:t xml:space="preserve"> covered by this agreement for the purposes of this program</w:t>
      </w:r>
      <w:r w:rsidRPr="0064629C">
        <w:rPr>
          <w:rFonts w:eastAsia="Times New Roman" w:cs="Arial"/>
          <w:szCs w:val="24"/>
        </w:rPr>
        <w:t>, including appropriation in the annual Budget Act.</w:t>
      </w:r>
      <w:r w:rsidRPr="00AE03E7">
        <w:rPr>
          <w:rFonts w:cs="Arial"/>
          <w:iCs/>
          <w:szCs w:val="24"/>
        </w:rPr>
        <w:t xml:space="preserve"> In addition, this </w:t>
      </w:r>
      <w:r w:rsidR="00A617F5">
        <w:rPr>
          <w:rFonts w:cs="Arial"/>
          <w:iCs/>
          <w:szCs w:val="24"/>
        </w:rPr>
        <w:t>subgrant</w:t>
      </w:r>
      <w:r w:rsidRPr="00AE03E7">
        <w:rPr>
          <w:rFonts w:cs="Arial"/>
          <w:iCs/>
          <w:szCs w:val="24"/>
        </w:rPr>
        <w:t xml:space="preserve"> is subject to any additional restrictions, limitations, or conditions enacted by the Congress or any statute enacted by the Congress, which may affect the provisions, terms, or funding of this </w:t>
      </w:r>
      <w:r w:rsidR="00A617F5">
        <w:rPr>
          <w:rFonts w:cs="Arial"/>
          <w:iCs/>
          <w:szCs w:val="24"/>
        </w:rPr>
        <w:t>subgrant</w:t>
      </w:r>
      <w:r w:rsidRPr="00AE03E7">
        <w:rPr>
          <w:rFonts w:cs="Arial"/>
          <w:iCs/>
          <w:szCs w:val="24"/>
        </w:rPr>
        <w:t xml:space="preserve"> in any manner.</w:t>
      </w:r>
      <w:r>
        <w:rPr>
          <w:rFonts w:cs="Arial"/>
          <w:iCs/>
          <w:szCs w:val="24"/>
        </w:rPr>
        <w:t xml:space="preserve"> </w:t>
      </w:r>
      <w:r w:rsidRPr="00AE03E7">
        <w:rPr>
          <w:rFonts w:cs="Arial"/>
          <w:iCs/>
          <w:szCs w:val="24"/>
        </w:rPr>
        <w:t xml:space="preserve">It is mutually agreed that if Congress does not appropriate sufficient funds for the program, this </w:t>
      </w:r>
      <w:r w:rsidR="00A617F5">
        <w:rPr>
          <w:rFonts w:cs="Arial"/>
          <w:iCs/>
          <w:szCs w:val="24"/>
        </w:rPr>
        <w:t>subgrant</w:t>
      </w:r>
      <w:r w:rsidRPr="00AE03E7">
        <w:rPr>
          <w:rFonts w:cs="Arial"/>
          <w:iCs/>
          <w:szCs w:val="24"/>
        </w:rPr>
        <w:t xml:space="preserve"> shall be amended to reflect any reduction in funds.</w:t>
      </w:r>
      <w:r>
        <w:rPr>
          <w:rFonts w:cs="Arial"/>
          <w:iCs/>
          <w:szCs w:val="24"/>
        </w:rPr>
        <w:t xml:space="preserve"> </w:t>
      </w:r>
      <w:r w:rsidRPr="00AE03E7">
        <w:rPr>
          <w:rFonts w:cs="Arial"/>
          <w:iCs/>
          <w:szCs w:val="24"/>
        </w:rPr>
        <w:t xml:space="preserve">The </w:t>
      </w:r>
      <w:r>
        <w:rPr>
          <w:rFonts w:cs="Arial"/>
          <w:iCs/>
          <w:szCs w:val="24"/>
        </w:rPr>
        <w:t>CDE</w:t>
      </w:r>
      <w:r w:rsidRPr="00AE03E7">
        <w:rPr>
          <w:rFonts w:cs="Arial"/>
          <w:iCs/>
          <w:szCs w:val="24"/>
        </w:rPr>
        <w:t xml:space="preserve"> has the option to void the </w:t>
      </w:r>
      <w:r w:rsidR="00A617F5">
        <w:rPr>
          <w:rFonts w:cs="Arial"/>
          <w:iCs/>
          <w:szCs w:val="24"/>
        </w:rPr>
        <w:t>subgrant</w:t>
      </w:r>
      <w:r>
        <w:rPr>
          <w:rFonts w:cs="Arial"/>
          <w:iCs/>
          <w:szCs w:val="24"/>
        </w:rPr>
        <w:t xml:space="preserve"> </w:t>
      </w:r>
      <w:r w:rsidRPr="00AE03E7">
        <w:rPr>
          <w:rFonts w:cs="Arial"/>
          <w:iCs/>
          <w:szCs w:val="24"/>
        </w:rPr>
        <w:t xml:space="preserve">under the 30-day cancellation clause or to amend the </w:t>
      </w:r>
      <w:r w:rsidR="008440B2">
        <w:rPr>
          <w:rFonts w:cs="Arial"/>
          <w:iCs/>
          <w:szCs w:val="24"/>
        </w:rPr>
        <w:t>subgrant</w:t>
      </w:r>
      <w:r w:rsidRPr="00AE03E7">
        <w:rPr>
          <w:rFonts w:cs="Arial"/>
          <w:iCs/>
          <w:szCs w:val="24"/>
        </w:rPr>
        <w:t xml:space="preserve"> to reflect any reduction of funds.</w:t>
      </w:r>
    </w:p>
    <w:p w14:paraId="6C3D5E33" w14:textId="77777777" w:rsidR="00A060C2" w:rsidRPr="00AE03E7" w:rsidRDefault="00A060C2" w:rsidP="00A060C2">
      <w:pPr>
        <w:tabs>
          <w:tab w:val="left" w:pos="360"/>
        </w:tabs>
        <w:rPr>
          <w:rFonts w:cs="Arial"/>
          <w:iCs/>
          <w:szCs w:val="24"/>
        </w:rPr>
      </w:pPr>
      <w:r w:rsidRPr="00AE03E7">
        <w:rPr>
          <w:rFonts w:cs="Arial"/>
          <w:iCs/>
          <w:szCs w:val="24"/>
        </w:rPr>
        <w:t>The recipient shall comply with the Single Audit Act and the reporting requirements set forth in Uniform Administrative Requirements, Cost Principles, and Audit Requirements for Federal Awards,</w:t>
      </w:r>
      <w:r>
        <w:rPr>
          <w:rFonts w:cs="Arial"/>
          <w:iCs/>
          <w:szCs w:val="24"/>
        </w:rPr>
        <w:t xml:space="preserve"> 2 </w:t>
      </w:r>
      <w:r w:rsidRPr="00C9429E">
        <w:rPr>
          <w:rFonts w:cs="Arial"/>
          <w:i/>
          <w:iCs/>
          <w:szCs w:val="24"/>
        </w:rPr>
        <w:t>Code of Federal Regulations</w:t>
      </w:r>
      <w:r w:rsidRPr="00055FC7">
        <w:rPr>
          <w:rFonts w:cs="Arial"/>
          <w:iCs/>
          <w:szCs w:val="24"/>
        </w:rPr>
        <w:t>,</w:t>
      </w:r>
      <w:r w:rsidRPr="00AE03E7">
        <w:rPr>
          <w:rFonts w:cs="Arial"/>
          <w:iCs/>
          <w:szCs w:val="24"/>
        </w:rPr>
        <w:t xml:space="preserve"> Part 200.</w:t>
      </w:r>
    </w:p>
    <w:p w14:paraId="0953BB86" w14:textId="27AB9F54" w:rsidR="00A060C2" w:rsidRPr="00826CCC" w:rsidRDefault="009117AB" w:rsidP="00C1527E">
      <w:pPr>
        <w:pStyle w:val="Heading4"/>
      </w:pPr>
      <w:r>
        <w:t>6</w:t>
      </w:r>
      <w:r w:rsidR="00A060C2" w:rsidRPr="00826CCC">
        <w:t>.</w:t>
      </w:r>
      <w:r w:rsidR="00A060C2">
        <w:t>3</w:t>
      </w:r>
      <w:r w:rsidR="00A060C2" w:rsidRPr="00826CCC">
        <w:t xml:space="preserve"> Right to Terminate </w:t>
      </w:r>
    </w:p>
    <w:p w14:paraId="6C4DB3DB" w14:textId="756996F7" w:rsidR="00A060C2" w:rsidRPr="00AE03E7" w:rsidRDefault="00A060C2" w:rsidP="00A060C2">
      <w:pPr>
        <w:spacing w:before="240"/>
        <w:rPr>
          <w:rFonts w:cs="Arial"/>
          <w:szCs w:val="24"/>
        </w:rPr>
      </w:pPr>
      <w:r w:rsidRPr="00AE03E7">
        <w:rPr>
          <w:rFonts w:cs="Arial"/>
          <w:szCs w:val="24"/>
        </w:rPr>
        <w:t xml:space="preserve">The </w:t>
      </w:r>
      <w:r>
        <w:rPr>
          <w:rFonts w:cs="Arial"/>
          <w:szCs w:val="24"/>
        </w:rPr>
        <w:t>CDE</w:t>
      </w:r>
      <w:r w:rsidRPr="00AE03E7">
        <w:rPr>
          <w:rFonts w:cs="Arial"/>
          <w:szCs w:val="24"/>
        </w:rPr>
        <w:t xml:space="preserve"> reserves the right to terminate this </w:t>
      </w:r>
      <w:r>
        <w:rPr>
          <w:rFonts w:cs="Arial"/>
          <w:szCs w:val="24"/>
        </w:rPr>
        <w:t>subgrant</w:t>
      </w:r>
      <w:r w:rsidRPr="00AE03E7">
        <w:rPr>
          <w:rFonts w:cs="Arial"/>
          <w:szCs w:val="24"/>
        </w:rPr>
        <w:t xml:space="preserve"> subject to 30</w:t>
      </w:r>
      <w:r>
        <w:rPr>
          <w:rFonts w:cs="Arial"/>
          <w:szCs w:val="24"/>
        </w:rPr>
        <w:t xml:space="preserve"> </w:t>
      </w:r>
      <w:r w:rsidRPr="00AE03E7">
        <w:rPr>
          <w:rFonts w:cs="Arial"/>
          <w:szCs w:val="24"/>
        </w:rPr>
        <w:t xml:space="preserve">days written notice to the </w:t>
      </w:r>
      <w:r w:rsidR="00A617F5">
        <w:rPr>
          <w:rFonts w:cs="Arial"/>
          <w:szCs w:val="24"/>
        </w:rPr>
        <w:t>subgrantee</w:t>
      </w:r>
      <w:r w:rsidRPr="00AE03E7">
        <w:rPr>
          <w:rFonts w:cs="Arial"/>
          <w:szCs w:val="24"/>
        </w:rPr>
        <w:t xml:space="preserve">. </w:t>
      </w:r>
      <w:r w:rsidRPr="006D6062">
        <w:rPr>
          <w:rFonts w:cs="Arial"/>
          <w:szCs w:val="24"/>
        </w:rPr>
        <w:t xml:space="preserve">The </w:t>
      </w:r>
      <w:r w:rsidR="00A617F5">
        <w:rPr>
          <w:rFonts w:cs="Arial"/>
          <w:szCs w:val="24"/>
        </w:rPr>
        <w:t>subgrantee</w:t>
      </w:r>
      <w:r w:rsidRPr="006D6062">
        <w:rPr>
          <w:rFonts w:cs="Arial"/>
          <w:szCs w:val="24"/>
        </w:rPr>
        <w:t xml:space="preserve"> may submit</w:t>
      </w:r>
      <w:r w:rsidRPr="00AE03E7">
        <w:rPr>
          <w:rFonts w:cs="Arial"/>
          <w:szCs w:val="24"/>
        </w:rPr>
        <w:t xml:space="preserve"> a written request to terminate this </w:t>
      </w:r>
      <w:r w:rsidR="008440B2">
        <w:rPr>
          <w:rFonts w:cs="Arial"/>
          <w:szCs w:val="24"/>
        </w:rPr>
        <w:t>subgrant</w:t>
      </w:r>
      <w:r w:rsidRPr="00AE03E7">
        <w:rPr>
          <w:rFonts w:cs="Arial"/>
          <w:szCs w:val="24"/>
        </w:rPr>
        <w:t xml:space="preserve"> only if the </w:t>
      </w:r>
      <w:r>
        <w:rPr>
          <w:rFonts w:cs="Arial"/>
          <w:szCs w:val="24"/>
        </w:rPr>
        <w:t>CDE</w:t>
      </w:r>
      <w:r w:rsidRPr="00AE03E7">
        <w:rPr>
          <w:rFonts w:cs="Arial"/>
          <w:szCs w:val="24"/>
        </w:rPr>
        <w:t xml:space="preserve"> should substantially fail to perform its responsibilities as provided herein.</w:t>
      </w:r>
      <w:r>
        <w:rPr>
          <w:rFonts w:cs="Arial"/>
          <w:szCs w:val="24"/>
        </w:rPr>
        <w:t xml:space="preserve"> </w:t>
      </w:r>
      <w:r w:rsidRPr="00AE03E7">
        <w:rPr>
          <w:rFonts w:cs="Arial"/>
          <w:szCs w:val="24"/>
        </w:rPr>
        <w:t xml:space="preserve">However, the </w:t>
      </w:r>
      <w:r w:rsidR="00A617F5">
        <w:rPr>
          <w:rFonts w:cs="Arial"/>
          <w:szCs w:val="24"/>
        </w:rPr>
        <w:t>subgrant</w:t>
      </w:r>
      <w:r w:rsidRPr="00AE03E7">
        <w:rPr>
          <w:rFonts w:cs="Arial"/>
          <w:szCs w:val="24"/>
        </w:rPr>
        <w:t xml:space="preserve"> can be immediately terminated for cause by the </w:t>
      </w:r>
      <w:r>
        <w:rPr>
          <w:rFonts w:cs="Arial"/>
          <w:szCs w:val="24"/>
        </w:rPr>
        <w:t>CDE</w:t>
      </w:r>
      <w:r w:rsidRPr="00AE03E7">
        <w:rPr>
          <w:rFonts w:cs="Arial"/>
          <w:szCs w:val="24"/>
        </w:rPr>
        <w:t>. The term “for cause” shall mean that the</w:t>
      </w:r>
      <w:r w:rsidR="00A617F5">
        <w:rPr>
          <w:rFonts w:cs="Arial"/>
          <w:szCs w:val="24"/>
        </w:rPr>
        <w:t xml:space="preserve"> subgrantee </w:t>
      </w:r>
      <w:r w:rsidRPr="00AE03E7">
        <w:rPr>
          <w:rFonts w:cs="Arial"/>
          <w:szCs w:val="24"/>
        </w:rPr>
        <w:t xml:space="preserve">fails to meet the terms, </w:t>
      </w:r>
      <w:r w:rsidRPr="00AE03E7">
        <w:rPr>
          <w:rFonts w:cs="Arial"/>
          <w:szCs w:val="24"/>
        </w:rPr>
        <w:lastRenderedPageBreak/>
        <w:t xml:space="preserve">conditions, and/or responsibilities of the </w:t>
      </w:r>
      <w:r w:rsidR="00A617F5">
        <w:rPr>
          <w:rFonts w:cs="Arial"/>
          <w:szCs w:val="24"/>
        </w:rPr>
        <w:t>subgrant</w:t>
      </w:r>
      <w:r w:rsidRPr="00AE03E7">
        <w:rPr>
          <w:rFonts w:cs="Arial"/>
          <w:szCs w:val="24"/>
        </w:rPr>
        <w:t xml:space="preserve">. In this instance, the </w:t>
      </w:r>
      <w:r w:rsidR="00A617F5">
        <w:rPr>
          <w:rFonts w:cs="Arial"/>
          <w:szCs w:val="24"/>
        </w:rPr>
        <w:t>subgrant</w:t>
      </w:r>
      <w:r>
        <w:rPr>
          <w:rFonts w:cs="Arial"/>
          <w:szCs w:val="24"/>
        </w:rPr>
        <w:t xml:space="preserve"> </w:t>
      </w:r>
      <w:r w:rsidRPr="00AE03E7">
        <w:rPr>
          <w:rFonts w:cs="Arial"/>
          <w:szCs w:val="24"/>
        </w:rPr>
        <w:t xml:space="preserve">termination shall be effective as of the date indicated on the </w:t>
      </w:r>
      <w:r>
        <w:rPr>
          <w:rFonts w:cs="Arial"/>
          <w:szCs w:val="24"/>
        </w:rPr>
        <w:t>CDE</w:t>
      </w:r>
      <w:r w:rsidRPr="00AE03E7">
        <w:rPr>
          <w:rFonts w:cs="Arial"/>
          <w:szCs w:val="24"/>
        </w:rPr>
        <w:t xml:space="preserve">’s notification to the </w:t>
      </w:r>
      <w:r w:rsidR="00A617F5">
        <w:rPr>
          <w:rFonts w:cs="Arial"/>
          <w:szCs w:val="24"/>
        </w:rPr>
        <w:t>subgrantee</w:t>
      </w:r>
      <w:r w:rsidRPr="00AE03E7">
        <w:rPr>
          <w:rFonts w:cs="Arial"/>
          <w:szCs w:val="24"/>
        </w:rPr>
        <w:t>.</w:t>
      </w:r>
    </w:p>
    <w:p w14:paraId="7BF9D0E4" w14:textId="45C7B923" w:rsidR="00A060C2" w:rsidRPr="00AE03E7" w:rsidRDefault="00A060C2" w:rsidP="00A060C2">
      <w:pPr>
        <w:spacing w:before="240"/>
        <w:rPr>
          <w:rFonts w:cs="Arial"/>
          <w:szCs w:val="24"/>
        </w:rPr>
      </w:pPr>
      <w:r w:rsidRPr="00AE03E7">
        <w:rPr>
          <w:rFonts w:cs="Arial"/>
          <w:szCs w:val="24"/>
        </w:rPr>
        <w:t xml:space="preserve">This agreement may be suspended or cancelled without notice, at the option of the </w:t>
      </w:r>
      <w:r>
        <w:rPr>
          <w:rFonts w:cs="Arial"/>
          <w:szCs w:val="24"/>
        </w:rPr>
        <w:t>subgrantee</w:t>
      </w:r>
      <w:r w:rsidRPr="00AE03E7">
        <w:rPr>
          <w:rFonts w:cs="Arial"/>
          <w:szCs w:val="24"/>
        </w:rPr>
        <w:t xml:space="preserve">, if the </w:t>
      </w:r>
      <w:r>
        <w:rPr>
          <w:rFonts w:cs="Arial"/>
          <w:szCs w:val="24"/>
        </w:rPr>
        <w:t>subgrantee</w:t>
      </w:r>
      <w:r w:rsidRPr="00AE03E7">
        <w:rPr>
          <w:rFonts w:cs="Arial"/>
          <w:szCs w:val="24"/>
        </w:rPr>
        <w:t xml:space="preserve"> or State’s premises or equipment are destroyed by fire or other catastrophe, or so substantially damaged that it is impractical to continue service, or in the event the </w:t>
      </w:r>
      <w:r>
        <w:rPr>
          <w:rFonts w:cs="Arial"/>
          <w:szCs w:val="24"/>
        </w:rPr>
        <w:t>subgrantee</w:t>
      </w:r>
      <w:r w:rsidRPr="00AE03E7">
        <w:rPr>
          <w:rFonts w:cs="Arial"/>
          <w:szCs w:val="24"/>
        </w:rPr>
        <w:t xml:space="preserve"> is unable to render services as a result of any action by any governmental authority.</w:t>
      </w:r>
    </w:p>
    <w:p w14:paraId="39CFB03E" w14:textId="31D9613C" w:rsidR="00A060C2" w:rsidRPr="00826CCC" w:rsidRDefault="009117AB" w:rsidP="00C1527E">
      <w:pPr>
        <w:pStyle w:val="Heading4"/>
      </w:pPr>
      <w:r>
        <w:t>6</w:t>
      </w:r>
      <w:r w:rsidR="00A060C2" w:rsidRPr="00826CCC">
        <w:t>.</w:t>
      </w:r>
      <w:r w:rsidR="00A060C2">
        <w:t>4</w:t>
      </w:r>
      <w:r w:rsidR="00A060C2" w:rsidRPr="00826CCC">
        <w:t xml:space="preserve"> Prohibition Against Outside Agreements</w:t>
      </w:r>
    </w:p>
    <w:p w14:paraId="6FA90646" w14:textId="34DE802C" w:rsidR="00A060C2" w:rsidRPr="00AE03E7" w:rsidRDefault="00A060C2" w:rsidP="00A060C2">
      <w:pPr>
        <w:keepNext/>
        <w:keepLines/>
        <w:spacing w:before="240"/>
        <w:rPr>
          <w:rFonts w:cs="Arial"/>
          <w:szCs w:val="24"/>
        </w:rPr>
      </w:pPr>
      <w:r w:rsidRPr="00AE03E7">
        <w:rPr>
          <w:rFonts w:cs="Arial"/>
          <w:szCs w:val="24"/>
        </w:rPr>
        <w:t xml:space="preserve">The </w:t>
      </w:r>
      <w:r w:rsidR="00A617F5">
        <w:rPr>
          <w:rFonts w:cs="Arial"/>
          <w:szCs w:val="24"/>
        </w:rPr>
        <w:t xml:space="preserve">subgrantee </w:t>
      </w:r>
      <w:r w:rsidRPr="00AE03E7">
        <w:rPr>
          <w:rFonts w:cs="Arial"/>
          <w:szCs w:val="24"/>
        </w:rPr>
        <w:t xml:space="preserve">shall not enter into agreements related to products and/or services </w:t>
      </w:r>
      <w:r>
        <w:rPr>
          <w:rFonts w:cs="Arial"/>
          <w:szCs w:val="24"/>
        </w:rPr>
        <w:t>provided under</w:t>
      </w:r>
      <w:r w:rsidRPr="00AE03E7">
        <w:rPr>
          <w:rFonts w:cs="Arial"/>
          <w:szCs w:val="24"/>
        </w:rPr>
        <w:t xml:space="preserve"> this </w:t>
      </w:r>
      <w:r w:rsidR="008440B2">
        <w:rPr>
          <w:rFonts w:cs="Arial"/>
          <w:szCs w:val="24"/>
        </w:rPr>
        <w:t>subgrant</w:t>
      </w:r>
      <w:r w:rsidRPr="00AE03E7">
        <w:rPr>
          <w:rFonts w:cs="Arial"/>
          <w:szCs w:val="24"/>
        </w:rPr>
        <w:t xml:space="preserve"> with any out-of-state agency or organization. Any out-of-state agency or organization shall negotiate </w:t>
      </w:r>
      <w:r>
        <w:rPr>
          <w:rFonts w:cs="Arial"/>
          <w:szCs w:val="24"/>
        </w:rPr>
        <w:t xml:space="preserve">directly </w:t>
      </w:r>
      <w:r w:rsidRPr="00AE03E7">
        <w:rPr>
          <w:rFonts w:cs="Arial"/>
          <w:szCs w:val="24"/>
        </w:rPr>
        <w:t xml:space="preserve">with the CDE for products and/or services pertaining to this </w:t>
      </w:r>
      <w:r w:rsidR="008440B2">
        <w:rPr>
          <w:rFonts w:cs="Arial"/>
          <w:szCs w:val="24"/>
        </w:rPr>
        <w:t>subgrant</w:t>
      </w:r>
      <w:r w:rsidRPr="00AE03E7">
        <w:rPr>
          <w:rFonts w:cs="Arial"/>
          <w:szCs w:val="24"/>
        </w:rPr>
        <w:t>.</w:t>
      </w:r>
    </w:p>
    <w:p w14:paraId="42629DC5" w14:textId="30177994" w:rsidR="00A060C2" w:rsidRPr="00826CCC" w:rsidRDefault="009117AB" w:rsidP="00C1527E">
      <w:pPr>
        <w:pStyle w:val="Heading4"/>
      </w:pPr>
      <w:r>
        <w:t>6</w:t>
      </w:r>
      <w:r w:rsidR="00A060C2" w:rsidRPr="00826CCC">
        <w:t>.</w:t>
      </w:r>
      <w:r w:rsidR="00A060C2">
        <w:t>5</w:t>
      </w:r>
      <w:r w:rsidR="00A060C2" w:rsidRPr="00826CCC">
        <w:t xml:space="preserve"> Material Developed Under the Terms of This Agreement</w:t>
      </w:r>
    </w:p>
    <w:p w14:paraId="5C4B6F99" w14:textId="46735CCA" w:rsidR="00A060C2" w:rsidRPr="00AE03E7" w:rsidRDefault="00A060C2" w:rsidP="00A060C2">
      <w:pPr>
        <w:spacing w:before="240"/>
        <w:rPr>
          <w:rFonts w:cs="Arial"/>
          <w:szCs w:val="24"/>
        </w:rPr>
      </w:pPr>
      <w:r w:rsidRPr="00AE03E7">
        <w:rPr>
          <w:rFonts w:cs="Arial"/>
          <w:szCs w:val="24"/>
        </w:rPr>
        <w:t xml:space="preserve">All materials developed under the terms of this </w:t>
      </w:r>
      <w:r w:rsidR="008440B2">
        <w:rPr>
          <w:rFonts w:cs="Arial"/>
          <w:szCs w:val="24"/>
        </w:rPr>
        <w:t>subgrant</w:t>
      </w:r>
      <w:r w:rsidRPr="00AE03E7">
        <w:rPr>
          <w:rFonts w:cs="Arial"/>
          <w:szCs w:val="24"/>
        </w:rPr>
        <w:t xml:space="preserve"> shall be considered a work made for hire. The </w:t>
      </w:r>
      <w:r>
        <w:rPr>
          <w:rFonts w:cs="Arial"/>
          <w:szCs w:val="24"/>
        </w:rPr>
        <w:t>CDE</w:t>
      </w:r>
      <w:r w:rsidRPr="00AE03E7">
        <w:rPr>
          <w:rFonts w:cs="Arial"/>
          <w:szCs w:val="24"/>
        </w:rPr>
        <w:t xml:space="preserve">, therefore, reserves the exclusive right to copyright and publish, disseminate, and otherwise use the material developed under the terms of this </w:t>
      </w:r>
      <w:r w:rsidR="008440B2">
        <w:rPr>
          <w:rFonts w:cs="Arial"/>
          <w:szCs w:val="24"/>
        </w:rPr>
        <w:t>subgrant</w:t>
      </w:r>
      <w:r w:rsidRPr="00AE03E7">
        <w:rPr>
          <w:rFonts w:cs="Arial"/>
          <w:szCs w:val="24"/>
        </w:rPr>
        <w:t xml:space="preserve"> in whatever way it deems appropriate.</w:t>
      </w:r>
    </w:p>
    <w:p w14:paraId="55052309" w14:textId="3B33FEE0" w:rsidR="00A060C2" w:rsidRPr="00AE03E7" w:rsidRDefault="00A060C2" w:rsidP="00A060C2">
      <w:pPr>
        <w:spacing w:before="240"/>
        <w:rPr>
          <w:rFonts w:cs="Arial"/>
          <w:szCs w:val="24"/>
        </w:rPr>
      </w:pPr>
      <w:r w:rsidRPr="00AE03E7">
        <w:rPr>
          <w:rFonts w:cs="Arial"/>
          <w:szCs w:val="24"/>
        </w:rPr>
        <w:t xml:space="preserve">Any material that is not acceptable to the </w:t>
      </w:r>
      <w:r>
        <w:rPr>
          <w:rFonts w:cs="Arial"/>
          <w:szCs w:val="24"/>
        </w:rPr>
        <w:t xml:space="preserve">CDE </w:t>
      </w:r>
      <w:r w:rsidRPr="00AE03E7">
        <w:rPr>
          <w:rFonts w:cs="Arial"/>
          <w:szCs w:val="24"/>
        </w:rPr>
        <w:t xml:space="preserve">may be rejected by the </w:t>
      </w:r>
      <w:r>
        <w:rPr>
          <w:rFonts w:cs="Arial"/>
          <w:szCs w:val="24"/>
        </w:rPr>
        <w:t>CDE</w:t>
      </w:r>
      <w:r w:rsidRPr="00AE03E7">
        <w:rPr>
          <w:rFonts w:cs="Arial"/>
          <w:szCs w:val="24"/>
        </w:rPr>
        <w:t xml:space="preserve"> at its discretion. Notice of such a rejection shall be given to the </w:t>
      </w:r>
      <w:r w:rsidR="00A617F5">
        <w:rPr>
          <w:rFonts w:cs="Arial"/>
          <w:szCs w:val="24"/>
        </w:rPr>
        <w:t xml:space="preserve">subgrantee </w:t>
      </w:r>
      <w:r w:rsidRPr="00AE03E7">
        <w:rPr>
          <w:rFonts w:cs="Arial"/>
          <w:szCs w:val="24"/>
        </w:rPr>
        <w:t>by the</w:t>
      </w:r>
      <w:r w:rsidR="00A617F5">
        <w:rPr>
          <w:rFonts w:cs="Arial"/>
          <w:szCs w:val="24"/>
        </w:rPr>
        <w:t xml:space="preserve"> CDE</w:t>
      </w:r>
      <w:r w:rsidRPr="00AE03E7">
        <w:rPr>
          <w:rFonts w:cs="Arial"/>
          <w:szCs w:val="24"/>
        </w:rPr>
        <w:t xml:space="preserve"> within 10</w:t>
      </w:r>
      <w:r>
        <w:rPr>
          <w:rFonts w:cs="Arial"/>
          <w:szCs w:val="24"/>
        </w:rPr>
        <w:t xml:space="preserve"> </w:t>
      </w:r>
      <w:r w:rsidRPr="00AE03E7">
        <w:rPr>
          <w:rFonts w:cs="Arial"/>
          <w:szCs w:val="24"/>
        </w:rPr>
        <w:t xml:space="preserve">days of receipt of the materials, and final payment shall not be made for such material until substantial compliance has been obtained within the time and manner determined by the </w:t>
      </w:r>
      <w:r>
        <w:rPr>
          <w:rFonts w:cs="Arial"/>
          <w:szCs w:val="24"/>
        </w:rPr>
        <w:t>CDE</w:t>
      </w:r>
      <w:r w:rsidRPr="00AE03E7">
        <w:rPr>
          <w:rFonts w:cs="Arial"/>
          <w:szCs w:val="24"/>
        </w:rPr>
        <w:t>.</w:t>
      </w:r>
    </w:p>
    <w:p w14:paraId="411E0409" w14:textId="03664921" w:rsidR="00A060C2" w:rsidRPr="00826CCC" w:rsidRDefault="009117AB" w:rsidP="00C1527E">
      <w:pPr>
        <w:pStyle w:val="Heading4"/>
      </w:pPr>
      <w:r>
        <w:t>6</w:t>
      </w:r>
      <w:r w:rsidR="00A060C2" w:rsidRPr="00826CCC">
        <w:t>.</w:t>
      </w:r>
      <w:r w:rsidR="00A060C2">
        <w:t>6</w:t>
      </w:r>
      <w:r w:rsidR="00A060C2" w:rsidRPr="00826CCC">
        <w:t xml:space="preserve"> Staff Replacements</w:t>
      </w:r>
    </w:p>
    <w:p w14:paraId="378D9919" w14:textId="584594FE" w:rsidR="00A060C2" w:rsidRPr="00AE03E7" w:rsidRDefault="00A060C2" w:rsidP="00A060C2">
      <w:pPr>
        <w:spacing w:before="240"/>
        <w:rPr>
          <w:rFonts w:cs="Arial"/>
          <w:szCs w:val="24"/>
        </w:rPr>
      </w:pPr>
      <w:r w:rsidRPr="00AE03E7">
        <w:rPr>
          <w:rFonts w:cs="Arial"/>
          <w:szCs w:val="24"/>
        </w:rPr>
        <w:t xml:space="preserve">The </w:t>
      </w:r>
      <w:r w:rsidR="00A617F5">
        <w:rPr>
          <w:rFonts w:cs="Arial"/>
          <w:szCs w:val="24"/>
        </w:rPr>
        <w:t xml:space="preserve">subgrantee </w:t>
      </w:r>
      <w:r w:rsidRPr="00AE03E7">
        <w:rPr>
          <w:rFonts w:cs="Arial"/>
          <w:szCs w:val="24"/>
        </w:rPr>
        <w:t xml:space="preserve">will be required to obtain prior approval from the CDE before changing named </w:t>
      </w:r>
      <w:r w:rsidR="00A617F5">
        <w:rPr>
          <w:rFonts w:cs="Arial"/>
          <w:szCs w:val="24"/>
        </w:rPr>
        <w:t>subgrant</w:t>
      </w:r>
      <w:r w:rsidRPr="00AE03E7">
        <w:rPr>
          <w:rFonts w:cs="Arial"/>
          <w:szCs w:val="24"/>
        </w:rPr>
        <w:t xml:space="preserve"> personnel. </w:t>
      </w:r>
      <w:r w:rsidRPr="00AE03E7">
        <w:rPr>
          <w:rFonts w:eastAsia="Times New Roman" w:cs="Arial"/>
          <w:snapToGrid w:val="0"/>
          <w:szCs w:val="24"/>
        </w:rPr>
        <w:t xml:space="preserve">When changing or substituting named </w:t>
      </w:r>
      <w:r>
        <w:rPr>
          <w:rFonts w:eastAsia="Times New Roman" w:cs="Arial"/>
          <w:snapToGrid w:val="0"/>
          <w:szCs w:val="24"/>
        </w:rPr>
        <w:t>K</w:t>
      </w:r>
      <w:r w:rsidRPr="00AE03E7">
        <w:rPr>
          <w:rFonts w:eastAsia="Times New Roman" w:cs="Arial"/>
          <w:snapToGrid w:val="0"/>
          <w:szCs w:val="24"/>
        </w:rPr>
        <w:t xml:space="preserve">ey </w:t>
      </w:r>
      <w:r>
        <w:rPr>
          <w:rFonts w:eastAsia="Times New Roman" w:cs="Arial"/>
          <w:snapToGrid w:val="0"/>
          <w:szCs w:val="24"/>
        </w:rPr>
        <w:t>P</w:t>
      </w:r>
      <w:r w:rsidRPr="00AE03E7">
        <w:rPr>
          <w:rFonts w:eastAsia="Times New Roman" w:cs="Arial"/>
          <w:snapToGrid w:val="0"/>
          <w:szCs w:val="24"/>
        </w:rPr>
        <w:t xml:space="preserve">ersonnel (including </w:t>
      </w:r>
      <w:r w:rsidR="00A617F5">
        <w:rPr>
          <w:rFonts w:eastAsia="Times New Roman" w:cs="Arial"/>
          <w:snapToGrid w:val="0"/>
          <w:szCs w:val="24"/>
        </w:rPr>
        <w:t>Subgrant</w:t>
      </w:r>
      <w:r>
        <w:rPr>
          <w:rFonts w:eastAsia="Times New Roman" w:cs="Arial"/>
          <w:snapToGrid w:val="0"/>
          <w:szCs w:val="24"/>
        </w:rPr>
        <w:t xml:space="preserve"> Monitor</w:t>
      </w:r>
      <w:r w:rsidRPr="00AE03E7">
        <w:rPr>
          <w:rFonts w:eastAsia="Times New Roman" w:cs="Arial"/>
          <w:snapToGrid w:val="0"/>
          <w:szCs w:val="24"/>
        </w:rPr>
        <w:t xml:space="preserve">, Fiscal Manager, </w:t>
      </w:r>
      <w:r>
        <w:rPr>
          <w:rFonts w:eastAsia="Times New Roman" w:cs="Arial"/>
          <w:snapToGrid w:val="0"/>
          <w:szCs w:val="24"/>
        </w:rPr>
        <w:t>or other Key Personnel</w:t>
      </w:r>
      <w:r w:rsidRPr="00AE03E7">
        <w:rPr>
          <w:rFonts w:eastAsia="Times New Roman" w:cs="Arial"/>
          <w:snapToGrid w:val="0"/>
          <w:szCs w:val="24"/>
        </w:rPr>
        <w:t xml:space="preserve">), the </w:t>
      </w:r>
      <w:r w:rsidR="00A617F5">
        <w:rPr>
          <w:rFonts w:cs="Arial"/>
          <w:szCs w:val="24"/>
        </w:rPr>
        <w:t xml:space="preserve">subgrantee </w:t>
      </w:r>
      <w:r w:rsidRPr="00AE03E7">
        <w:rPr>
          <w:rFonts w:eastAsia="Times New Roman" w:cs="Arial"/>
          <w:snapToGrid w:val="0"/>
          <w:szCs w:val="24"/>
        </w:rPr>
        <w:t xml:space="preserve">must obtain prior approval from </w:t>
      </w:r>
      <w:r>
        <w:rPr>
          <w:rFonts w:eastAsia="Times New Roman" w:cs="Arial"/>
          <w:snapToGrid w:val="0"/>
          <w:szCs w:val="24"/>
        </w:rPr>
        <w:t xml:space="preserve">the </w:t>
      </w:r>
      <w:r w:rsidRPr="00AE03E7">
        <w:rPr>
          <w:rFonts w:eastAsia="Times New Roman" w:cs="Arial"/>
          <w:snapToGrid w:val="0"/>
          <w:szCs w:val="24"/>
        </w:rPr>
        <w:t>CDE</w:t>
      </w:r>
      <w:r>
        <w:rPr>
          <w:rFonts w:eastAsia="Times New Roman" w:cs="Arial"/>
          <w:snapToGrid w:val="0"/>
          <w:szCs w:val="24"/>
        </w:rPr>
        <w:t xml:space="preserve">. </w:t>
      </w:r>
      <w:r w:rsidRPr="00AE03E7">
        <w:rPr>
          <w:rFonts w:eastAsia="Times New Roman" w:cs="Arial"/>
          <w:snapToGrid w:val="0"/>
          <w:szCs w:val="24"/>
        </w:rPr>
        <w:t>The substitute personnel shall meet or exceed the qualifications and experience level of the previously assigned</w:t>
      </w:r>
      <w:r>
        <w:rPr>
          <w:rFonts w:eastAsia="Times New Roman" w:cs="Arial"/>
          <w:snapToGrid w:val="0"/>
          <w:szCs w:val="24"/>
        </w:rPr>
        <w:t xml:space="preserve"> subgrant</w:t>
      </w:r>
      <w:r w:rsidRPr="00AE03E7">
        <w:rPr>
          <w:rFonts w:eastAsia="Times New Roman" w:cs="Arial"/>
          <w:snapToGrid w:val="0"/>
          <w:szCs w:val="24"/>
        </w:rPr>
        <w:t xml:space="preserve"> staff/personnel.</w:t>
      </w:r>
    </w:p>
    <w:p w14:paraId="4E372707" w14:textId="34203594" w:rsidR="00A060C2" w:rsidRPr="00B370C4" w:rsidRDefault="009117AB" w:rsidP="00C1527E">
      <w:pPr>
        <w:pStyle w:val="Heading4"/>
      </w:pPr>
      <w:r>
        <w:t>6</w:t>
      </w:r>
      <w:r w:rsidR="00A060C2" w:rsidRPr="00B370C4">
        <w:t>.</w:t>
      </w:r>
      <w:r w:rsidR="00A060C2">
        <w:t>7</w:t>
      </w:r>
      <w:r w:rsidR="00A060C2" w:rsidRPr="00B370C4">
        <w:t xml:space="preserve"> Compliance Audit</w:t>
      </w:r>
    </w:p>
    <w:p w14:paraId="34E1144E" w14:textId="5938AA55" w:rsidR="00A060C2" w:rsidRDefault="00A060C2" w:rsidP="00A060C2">
      <w:pPr>
        <w:rPr>
          <w:rFonts w:cs="Arial"/>
          <w:szCs w:val="24"/>
        </w:rPr>
      </w:pPr>
      <w:r w:rsidRPr="00DE6356">
        <w:rPr>
          <w:rFonts w:cs="Arial"/>
          <w:szCs w:val="24"/>
        </w:rPr>
        <w:t xml:space="preserve">The </w:t>
      </w:r>
      <w:r w:rsidR="00A617F5">
        <w:rPr>
          <w:rFonts w:cs="Arial"/>
          <w:szCs w:val="24"/>
        </w:rPr>
        <w:t xml:space="preserve">subgrantee </w:t>
      </w:r>
      <w:r w:rsidRPr="00DE6356">
        <w:rPr>
          <w:rFonts w:cs="Arial"/>
          <w:szCs w:val="24"/>
        </w:rPr>
        <w:t xml:space="preserve">must agree that the State or its designee will have the right to review, obtain, and copy all records pertaining to performance of the </w:t>
      </w:r>
      <w:r w:rsidR="00A617F5">
        <w:rPr>
          <w:rFonts w:cs="Arial"/>
          <w:szCs w:val="24"/>
        </w:rPr>
        <w:t>subgrant</w:t>
      </w:r>
      <w:r w:rsidRPr="00DE6356">
        <w:rPr>
          <w:rFonts w:cs="Arial"/>
          <w:szCs w:val="24"/>
        </w:rPr>
        <w:t xml:space="preserve">. The </w:t>
      </w:r>
      <w:r w:rsidR="00A617F5">
        <w:rPr>
          <w:rFonts w:cs="Arial"/>
          <w:szCs w:val="24"/>
        </w:rPr>
        <w:t>subgrantee</w:t>
      </w:r>
      <w:r w:rsidRPr="00DE6356">
        <w:rPr>
          <w:rFonts w:cs="Arial"/>
          <w:szCs w:val="24"/>
        </w:rPr>
        <w:t xml:space="preserve"> must agree to provide the </w:t>
      </w:r>
      <w:r>
        <w:rPr>
          <w:rFonts w:cs="Arial"/>
          <w:szCs w:val="24"/>
        </w:rPr>
        <w:t>CDE</w:t>
      </w:r>
      <w:r w:rsidRPr="00DE6356">
        <w:rPr>
          <w:rFonts w:cs="Arial"/>
          <w:szCs w:val="24"/>
        </w:rPr>
        <w:t xml:space="preserve"> or its designee with any relevant information requested and shall permit the </w:t>
      </w:r>
      <w:r>
        <w:rPr>
          <w:rFonts w:cs="Arial"/>
          <w:szCs w:val="24"/>
        </w:rPr>
        <w:t>CDE</w:t>
      </w:r>
      <w:r w:rsidRPr="00DE6356">
        <w:rPr>
          <w:rFonts w:cs="Arial"/>
          <w:szCs w:val="24"/>
        </w:rPr>
        <w:t xml:space="preserve"> or its designee access to its premises, upon reasonable notice, during normal business hours for the purpose of interviewing employees and inspecting and copying such books, records, accounts, and other material that may be </w:t>
      </w:r>
      <w:r w:rsidRPr="00DE6356">
        <w:rPr>
          <w:rFonts w:cs="Arial"/>
          <w:szCs w:val="24"/>
        </w:rPr>
        <w:lastRenderedPageBreak/>
        <w:t xml:space="preserve">relevant to a matter under investigation for the purpose of determining compliance with this requirement. The </w:t>
      </w:r>
      <w:r w:rsidR="00A617F5">
        <w:rPr>
          <w:rFonts w:cs="Arial"/>
          <w:szCs w:val="24"/>
        </w:rPr>
        <w:t xml:space="preserve">subgrantee </w:t>
      </w:r>
      <w:r w:rsidRPr="00DE6356">
        <w:rPr>
          <w:rFonts w:cs="Arial"/>
          <w:szCs w:val="24"/>
        </w:rPr>
        <w:t xml:space="preserve">must further agree to maintain such records for a period of five years after final payment under the </w:t>
      </w:r>
      <w:r w:rsidR="008440B2">
        <w:rPr>
          <w:rFonts w:cs="Arial"/>
          <w:szCs w:val="24"/>
        </w:rPr>
        <w:t>subgrant</w:t>
      </w:r>
      <w:r w:rsidRPr="00DE6356">
        <w:rPr>
          <w:rFonts w:cs="Arial"/>
          <w:szCs w:val="24"/>
        </w:rPr>
        <w:t>.</w:t>
      </w:r>
    </w:p>
    <w:p w14:paraId="39D4C93B" w14:textId="7793980A" w:rsidR="00A060C2" w:rsidRPr="00EA1445" w:rsidRDefault="009117AB" w:rsidP="00C1527E">
      <w:pPr>
        <w:pStyle w:val="Heading4"/>
      </w:pPr>
      <w:r w:rsidRPr="008440B2">
        <w:t>6</w:t>
      </w:r>
      <w:r w:rsidR="00A060C2" w:rsidRPr="008440B2">
        <w:t xml:space="preserve">.8 </w:t>
      </w:r>
      <w:r w:rsidR="00A060C2" w:rsidRPr="00EA1445">
        <w:t>Potential Subcontractors</w:t>
      </w:r>
    </w:p>
    <w:p w14:paraId="1B061BA5" w14:textId="37BB0966" w:rsidR="001328E9" w:rsidRPr="00EA1445" w:rsidRDefault="005D78A5" w:rsidP="008440B2">
      <w:pPr>
        <w:spacing w:before="240"/>
        <w:rPr>
          <w:rFonts w:eastAsia="Calibri" w:cs="Arial"/>
          <w:szCs w:val="24"/>
        </w:rPr>
      </w:pPr>
      <w:r w:rsidRPr="00EA1445">
        <w:rPr>
          <w:rFonts w:eastAsia="Calibri" w:cs="Arial"/>
          <w:szCs w:val="24"/>
        </w:rPr>
        <w:t>T</w:t>
      </w:r>
      <w:r w:rsidR="008440B2" w:rsidRPr="00EA1445">
        <w:rPr>
          <w:rFonts w:eastAsia="Calibri" w:cs="Arial"/>
          <w:szCs w:val="24"/>
        </w:rPr>
        <w:t xml:space="preserve">he applicant must identify intended subcontractors in their application including subcontractor qualifications and the rationale for subcontracting required subgrant activities. </w:t>
      </w:r>
      <w:r w:rsidR="001328E9" w:rsidRPr="00EA1445">
        <w:rPr>
          <w:rFonts w:eastAsia="Calibri" w:cs="Arial"/>
          <w:szCs w:val="24"/>
        </w:rPr>
        <w:t xml:space="preserve">Subcontractors must meet all eligibility requirements as defined in 2.1 Applicant Eligibility. </w:t>
      </w:r>
    </w:p>
    <w:p w14:paraId="36E701CE" w14:textId="5C7679F5" w:rsidR="008440B2" w:rsidRPr="00A060C2" w:rsidRDefault="008440B2" w:rsidP="008440B2">
      <w:pPr>
        <w:rPr>
          <w:rFonts w:cs="Arial"/>
          <w:szCs w:val="24"/>
        </w:rPr>
      </w:pPr>
      <w:r w:rsidRPr="00EA1445">
        <w:rPr>
          <w:rFonts w:cs="Arial"/>
          <w:szCs w:val="24"/>
        </w:rPr>
        <w:t xml:space="preserve">Nothing contained in the STACS </w:t>
      </w:r>
      <w:r w:rsidR="00B714D9" w:rsidRPr="00EA1445">
        <w:rPr>
          <w:rFonts w:cs="Arial"/>
          <w:szCs w:val="24"/>
        </w:rPr>
        <w:t>S</w:t>
      </w:r>
      <w:r w:rsidRPr="00EA1445">
        <w:rPr>
          <w:rFonts w:cs="Arial"/>
          <w:szCs w:val="24"/>
        </w:rPr>
        <w:t>ubgrant or otherwise, shall create any contractual relation between the CDE and any subcontractors, and no subcontract shall relieve the subgrantee of their</w:t>
      </w:r>
      <w:r w:rsidRPr="00523498">
        <w:rPr>
          <w:rFonts w:cs="Arial"/>
          <w:szCs w:val="24"/>
        </w:rPr>
        <w:t xml:space="preserve"> responsibilities and obligations hereunder. The </w:t>
      </w:r>
      <w:r>
        <w:rPr>
          <w:rFonts w:cs="Arial"/>
          <w:szCs w:val="24"/>
        </w:rPr>
        <w:t>subgrantee</w:t>
      </w:r>
      <w:r w:rsidRPr="00523498">
        <w:rPr>
          <w:rFonts w:cs="Arial"/>
          <w:szCs w:val="24"/>
        </w:rPr>
        <w:t xml:space="preserve"> agrees to </w:t>
      </w:r>
      <w:r w:rsidR="00C973AD" w:rsidRPr="00523498">
        <w:rPr>
          <w:rFonts w:cs="Arial"/>
          <w:szCs w:val="24"/>
        </w:rPr>
        <w:t>be</w:t>
      </w:r>
      <w:r w:rsidRPr="00523498">
        <w:rPr>
          <w:rFonts w:cs="Arial"/>
          <w:szCs w:val="24"/>
        </w:rPr>
        <w:t xml:space="preserve"> </w:t>
      </w:r>
      <w:r w:rsidR="00C973AD">
        <w:rPr>
          <w:rFonts w:cs="Arial"/>
          <w:szCs w:val="24"/>
        </w:rPr>
        <w:t xml:space="preserve">as </w:t>
      </w:r>
      <w:r w:rsidRPr="00523498">
        <w:rPr>
          <w:rFonts w:cs="Arial"/>
          <w:szCs w:val="24"/>
        </w:rPr>
        <w:t xml:space="preserve">fully responsible to the </w:t>
      </w:r>
      <w:r>
        <w:rPr>
          <w:rFonts w:cs="Arial"/>
          <w:szCs w:val="24"/>
        </w:rPr>
        <w:t>CDE</w:t>
      </w:r>
      <w:r w:rsidRPr="00523498">
        <w:rPr>
          <w:rFonts w:cs="Arial"/>
          <w:szCs w:val="24"/>
        </w:rPr>
        <w:t xml:space="preserve"> for the acts and omissions of its subcontractors and of persons either directly or indirectly employed by any of them as it is for the acts and omissions of persons directly employed by the </w:t>
      </w:r>
      <w:r>
        <w:rPr>
          <w:rFonts w:cs="Arial"/>
          <w:szCs w:val="24"/>
        </w:rPr>
        <w:t>subgrantee</w:t>
      </w:r>
      <w:r w:rsidRPr="00523498">
        <w:rPr>
          <w:rFonts w:cs="Arial"/>
          <w:szCs w:val="24"/>
        </w:rPr>
        <w:t xml:space="preserve">. The </w:t>
      </w:r>
      <w:r>
        <w:rPr>
          <w:rFonts w:cs="Arial"/>
          <w:szCs w:val="24"/>
        </w:rPr>
        <w:t>subgrantee</w:t>
      </w:r>
      <w:r w:rsidRPr="00523498">
        <w:rPr>
          <w:rFonts w:cs="Arial"/>
          <w:szCs w:val="24"/>
        </w:rPr>
        <w:t xml:space="preserve">'s obligation to pay its subcontractors is an independent obligation from the State's obligation to make payments to the </w:t>
      </w:r>
      <w:r>
        <w:rPr>
          <w:rFonts w:cs="Arial"/>
          <w:szCs w:val="24"/>
        </w:rPr>
        <w:t>subgrantee</w:t>
      </w:r>
      <w:r w:rsidRPr="00523498">
        <w:rPr>
          <w:rFonts w:cs="Arial"/>
          <w:szCs w:val="24"/>
        </w:rPr>
        <w:t xml:space="preserve">. As a result, the </w:t>
      </w:r>
      <w:r>
        <w:rPr>
          <w:rFonts w:cs="Arial"/>
          <w:szCs w:val="24"/>
        </w:rPr>
        <w:t>CDE</w:t>
      </w:r>
      <w:r w:rsidRPr="00523498">
        <w:rPr>
          <w:rFonts w:cs="Arial"/>
          <w:szCs w:val="24"/>
        </w:rPr>
        <w:t xml:space="preserve"> shall have no obligation to pay or to enforce the payment of any moneys to any subcontractor.</w:t>
      </w:r>
    </w:p>
    <w:p w14:paraId="0E12CE95" w14:textId="604B4F06" w:rsidR="0069076E" w:rsidRPr="00DB4CDB" w:rsidRDefault="0069076E" w:rsidP="00C1527E">
      <w:pPr>
        <w:pStyle w:val="Heading2"/>
        <w:jc w:val="center"/>
      </w:pPr>
      <w:bookmarkStart w:id="32" w:name="_Toc199842728"/>
      <w:r w:rsidRPr="00DB4CDB">
        <w:t xml:space="preserve">CDE Proposed </w:t>
      </w:r>
      <w:r w:rsidR="00AC3EE0">
        <w:t>STACS</w:t>
      </w:r>
      <w:r w:rsidRPr="00DB4CDB">
        <w:t xml:space="preserve"> Sub</w:t>
      </w:r>
      <w:r w:rsidR="00747770">
        <w:t>g</w:t>
      </w:r>
      <w:r w:rsidRPr="00DB4CDB">
        <w:t>rant Activity Dates</w:t>
      </w:r>
      <w:bookmarkEnd w:id="30"/>
      <w:bookmarkEnd w:id="31"/>
      <w:bookmarkEnd w:id="32"/>
    </w:p>
    <w:p w14:paraId="028BEB3F" w14:textId="77777777" w:rsidR="0069076E" w:rsidRPr="00DB4CDB" w:rsidRDefault="0069076E" w:rsidP="00CA40D1">
      <w:pPr>
        <w:rPr>
          <w:rFonts w:eastAsia="Arial"/>
          <w:bCs/>
          <w:szCs w:val="24"/>
        </w:rPr>
      </w:pPr>
      <w:r w:rsidRPr="00DB4CDB">
        <w:rPr>
          <w:rFonts w:eastAsia="Arial"/>
          <w:bCs/>
          <w:szCs w:val="24"/>
        </w:rPr>
        <w:t xml:space="preserve">The table below shows the </w:t>
      </w:r>
      <w:r w:rsidRPr="00DB4CDB">
        <w:rPr>
          <w:rFonts w:eastAsia="Arial"/>
          <w:b/>
          <w:bCs/>
          <w:szCs w:val="24"/>
        </w:rPr>
        <w:t>minimum</w:t>
      </w:r>
      <w:r w:rsidRPr="00DB4CDB">
        <w:rPr>
          <w:rFonts w:eastAsia="Arial"/>
          <w:bCs/>
          <w:szCs w:val="24"/>
        </w:rPr>
        <w:t xml:space="preserve"> number of activities applicants must address in the RFA narrative response. </w:t>
      </w:r>
    </w:p>
    <w:p w14:paraId="11FA2391" w14:textId="1C68E4E4" w:rsidR="0069076E" w:rsidRPr="00393A50" w:rsidRDefault="0069076E" w:rsidP="00B477B2">
      <w:pPr>
        <w:pStyle w:val="TableHeader"/>
      </w:pPr>
      <w:bookmarkStart w:id="33" w:name="_Toc72236653"/>
      <w:bookmarkStart w:id="34" w:name="_Toc72409722"/>
      <w:bookmarkStart w:id="35" w:name="_Toc78544024"/>
      <w:bookmarkStart w:id="36" w:name="_Toc79391979"/>
      <w:bookmarkStart w:id="37" w:name="_Toc92803884"/>
      <w:r w:rsidRPr="00393A50">
        <w:t xml:space="preserve">Subgrant Period 1: </w:t>
      </w:r>
      <w:r w:rsidR="00634AD4">
        <w:t>November</w:t>
      </w:r>
      <w:r w:rsidR="008A4BF0" w:rsidRPr="00017D58">
        <w:t xml:space="preserve"> 1</w:t>
      </w:r>
      <w:r w:rsidRPr="00017D58">
        <w:t xml:space="preserve">, </w:t>
      </w:r>
      <w:r w:rsidR="00CC75AE" w:rsidRPr="00017D58">
        <w:t>2025,</w:t>
      </w:r>
      <w:r w:rsidRPr="00017D58">
        <w:t xml:space="preserve"> to June 30, 202</w:t>
      </w:r>
      <w:bookmarkEnd w:id="33"/>
      <w:bookmarkEnd w:id="34"/>
      <w:bookmarkEnd w:id="35"/>
      <w:bookmarkEnd w:id="36"/>
      <w:bookmarkEnd w:id="37"/>
      <w:r w:rsidR="0004202A" w:rsidRPr="00017D58">
        <w:t>8</w:t>
      </w:r>
    </w:p>
    <w:tbl>
      <w:tblPr>
        <w:tblStyle w:val="TableGrid1"/>
        <w:tblW w:w="5000" w:type="pct"/>
        <w:tblLook w:val="04A0" w:firstRow="1" w:lastRow="0" w:firstColumn="1" w:lastColumn="0" w:noHBand="0" w:noVBand="1"/>
        <w:tblDescription w:val="Subgrant Period 1: October 1, 2025, to June 30, 2028"/>
      </w:tblPr>
      <w:tblGrid>
        <w:gridCol w:w="4662"/>
        <w:gridCol w:w="4688"/>
      </w:tblGrid>
      <w:tr w:rsidR="0069076E" w:rsidRPr="00DB4CDB" w14:paraId="763C8DFA" w14:textId="77777777" w:rsidTr="003850D3">
        <w:trPr>
          <w:cantSplit/>
          <w:tblHeader/>
        </w:trPr>
        <w:tc>
          <w:tcPr>
            <w:tcW w:w="2493" w:type="pct"/>
            <w:shd w:val="clear" w:color="auto" w:fill="BFBFBF" w:themeFill="background1" w:themeFillShade="BF"/>
            <w:vAlign w:val="center"/>
          </w:tcPr>
          <w:p w14:paraId="44332214" w14:textId="77777777" w:rsidR="0069076E" w:rsidRPr="00DB4CDB" w:rsidRDefault="0069076E" w:rsidP="00BE58CA">
            <w:pPr>
              <w:spacing w:before="120" w:after="120"/>
              <w:jc w:val="center"/>
              <w:rPr>
                <w:b/>
              </w:rPr>
            </w:pPr>
            <w:r w:rsidRPr="00DB4CDB">
              <w:rPr>
                <w:b/>
              </w:rPr>
              <w:t>Activity</w:t>
            </w:r>
          </w:p>
        </w:tc>
        <w:tc>
          <w:tcPr>
            <w:tcW w:w="2507" w:type="pct"/>
            <w:shd w:val="clear" w:color="auto" w:fill="BFBFBF" w:themeFill="background1" w:themeFillShade="BF"/>
            <w:vAlign w:val="center"/>
          </w:tcPr>
          <w:p w14:paraId="78AF4024" w14:textId="044CA81F" w:rsidR="0069076E" w:rsidRPr="00DB4CDB" w:rsidRDefault="0069076E" w:rsidP="00BE58CA">
            <w:pPr>
              <w:spacing w:before="120" w:after="120"/>
              <w:jc w:val="center"/>
              <w:rPr>
                <w:b/>
              </w:rPr>
            </w:pPr>
            <w:r w:rsidRPr="00DB4CDB">
              <w:rPr>
                <w:b/>
              </w:rPr>
              <w:t xml:space="preserve">Proposed </w:t>
            </w:r>
            <w:r w:rsidR="00343070">
              <w:rPr>
                <w:b/>
              </w:rPr>
              <w:t>Cadence</w:t>
            </w:r>
          </w:p>
        </w:tc>
      </w:tr>
      <w:tr w:rsidR="0069076E" w:rsidRPr="00DB4CDB" w14:paraId="286EB82B" w14:textId="77777777" w:rsidTr="003850D3">
        <w:trPr>
          <w:cantSplit/>
        </w:trPr>
        <w:tc>
          <w:tcPr>
            <w:tcW w:w="2493" w:type="pct"/>
            <w:vAlign w:val="center"/>
          </w:tcPr>
          <w:p w14:paraId="761F9D9F" w14:textId="3F50EC75" w:rsidR="0069076E" w:rsidRPr="00FB4A02" w:rsidRDefault="0069076E" w:rsidP="00BE58CA">
            <w:pPr>
              <w:spacing w:before="120" w:after="120"/>
              <w:rPr>
                <w:bCs/>
              </w:rPr>
            </w:pPr>
            <w:r w:rsidRPr="00FB4A02">
              <w:rPr>
                <w:bCs/>
              </w:rPr>
              <w:t>Virtual CDE Management Meetings</w:t>
            </w:r>
          </w:p>
        </w:tc>
        <w:tc>
          <w:tcPr>
            <w:tcW w:w="2507" w:type="pct"/>
            <w:vAlign w:val="center"/>
          </w:tcPr>
          <w:p w14:paraId="35EEE25C" w14:textId="490778BD" w:rsidR="004178F9" w:rsidRPr="00EA1445" w:rsidRDefault="00343070" w:rsidP="005329F0">
            <w:pPr>
              <w:spacing w:after="0"/>
              <w:rPr>
                <w:rFonts w:cs="Arial"/>
                <w:szCs w:val="24"/>
              </w:rPr>
            </w:pPr>
            <w:r w:rsidRPr="00EA1445">
              <w:rPr>
                <w:rFonts w:cs="Arial"/>
                <w:szCs w:val="24"/>
              </w:rPr>
              <w:t>Monthly</w:t>
            </w:r>
          </w:p>
        </w:tc>
      </w:tr>
      <w:tr w:rsidR="00FB4A02" w:rsidRPr="00DB4CDB" w14:paraId="62FD789A" w14:textId="77777777" w:rsidTr="003850D3">
        <w:trPr>
          <w:cantSplit/>
        </w:trPr>
        <w:tc>
          <w:tcPr>
            <w:tcW w:w="2493" w:type="pct"/>
            <w:vAlign w:val="center"/>
          </w:tcPr>
          <w:p w14:paraId="036CA5E2" w14:textId="62FB046D" w:rsidR="00FB4A02" w:rsidRPr="00FB4A02" w:rsidRDefault="00FB4A02" w:rsidP="00BE58CA">
            <w:pPr>
              <w:spacing w:before="120" w:after="120"/>
            </w:pPr>
            <w:r w:rsidRPr="00FB4A02">
              <w:t>Recruitment and development of comprehensive technical assistance program by topic</w:t>
            </w:r>
          </w:p>
        </w:tc>
        <w:tc>
          <w:tcPr>
            <w:tcW w:w="2507" w:type="pct"/>
            <w:vAlign w:val="center"/>
          </w:tcPr>
          <w:p w14:paraId="7A247084" w14:textId="67B5F745" w:rsidR="00FB4A02" w:rsidRPr="00EA1445" w:rsidRDefault="003C78BF" w:rsidP="00BE58CA">
            <w:pPr>
              <w:spacing w:before="120" w:after="0"/>
              <w:rPr>
                <w:rFonts w:cs="Arial"/>
                <w:szCs w:val="24"/>
              </w:rPr>
            </w:pPr>
            <w:r w:rsidRPr="00EA1445">
              <w:rPr>
                <w:rFonts w:cs="Arial"/>
                <w:szCs w:val="24"/>
              </w:rPr>
              <w:t>Ongoing as needed</w:t>
            </w:r>
          </w:p>
        </w:tc>
      </w:tr>
      <w:tr w:rsidR="0069076E" w:rsidRPr="00DB4CDB" w14:paraId="05E50BBD" w14:textId="77777777" w:rsidTr="003850D3">
        <w:trPr>
          <w:cantSplit/>
        </w:trPr>
        <w:tc>
          <w:tcPr>
            <w:tcW w:w="2493" w:type="pct"/>
            <w:vAlign w:val="center"/>
          </w:tcPr>
          <w:p w14:paraId="7C37FC9C" w14:textId="776A647A" w:rsidR="0069076E" w:rsidRPr="00FB4A02" w:rsidRDefault="0069076E" w:rsidP="00BE58CA">
            <w:pPr>
              <w:spacing w:before="120" w:after="120"/>
            </w:pPr>
            <w:r w:rsidRPr="00FB4A02">
              <w:t xml:space="preserve">Best Practices </w:t>
            </w:r>
            <w:r w:rsidR="005329F0" w:rsidRPr="00FB4A02">
              <w:t>Webinars</w:t>
            </w:r>
            <w:r w:rsidR="007153E3" w:rsidRPr="00FB4A02">
              <w:t xml:space="preserve"> </w:t>
            </w:r>
          </w:p>
        </w:tc>
        <w:tc>
          <w:tcPr>
            <w:tcW w:w="2507" w:type="pct"/>
            <w:vAlign w:val="center"/>
          </w:tcPr>
          <w:p w14:paraId="08462423" w14:textId="5CA90856" w:rsidR="0069076E" w:rsidRPr="00EA1445" w:rsidRDefault="00343070" w:rsidP="00BE58CA">
            <w:pPr>
              <w:spacing w:after="120"/>
              <w:rPr>
                <w:rFonts w:cs="Arial"/>
                <w:i/>
                <w:iCs/>
                <w:szCs w:val="24"/>
              </w:rPr>
            </w:pPr>
            <w:r w:rsidRPr="00EA1445">
              <w:rPr>
                <w:rFonts w:cs="Arial"/>
                <w:szCs w:val="24"/>
              </w:rPr>
              <w:t xml:space="preserve">9 per topic, as proposed by the applicant </w:t>
            </w:r>
            <w:r w:rsidR="00AB6CAE" w:rsidRPr="00EA1445">
              <w:rPr>
                <w:rFonts w:cs="Arial"/>
                <w:i/>
                <w:iCs/>
                <w:szCs w:val="24"/>
              </w:rPr>
              <w:t xml:space="preserve">**Must </w:t>
            </w:r>
            <w:r w:rsidR="00D87800" w:rsidRPr="00EA1445">
              <w:rPr>
                <w:rFonts w:cs="Arial"/>
                <w:i/>
                <w:iCs/>
                <w:szCs w:val="24"/>
              </w:rPr>
              <w:t>complete</w:t>
            </w:r>
            <w:r w:rsidR="003C78BF" w:rsidRPr="00EA1445">
              <w:rPr>
                <w:rFonts w:cs="Arial"/>
                <w:i/>
                <w:iCs/>
                <w:szCs w:val="24"/>
              </w:rPr>
              <w:t xml:space="preserve"> at least one BPW in FY 202</w:t>
            </w:r>
            <w:r w:rsidRPr="00EA1445">
              <w:rPr>
                <w:rFonts w:cs="Arial"/>
                <w:i/>
                <w:iCs/>
                <w:szCs w:val="24"/>
              </w:rPr>
              <w:t>5</w:t>
            </w:r>
            <w:r w:rsidR="003C78BF" w:rsidRPr="00EA1445">
              <w:rPr>
                <w:rFonts w:cs="Arial"/>
                <w:i/>
                <w:iCs/>
                <w:szCs w:val="24"/>
              </w:rPr>
              <w:t>-2</w:t>
            </w:r>
            <w:r w:rsidRPr="00EA1445">
              <w:rPr>
                <w:rFonts w:cs="Arial"/>
                <w:i/>
                <w:iCs/>
                <w:szCs w:val="24"/>
              </w:rPr>
              <w:t>6</w:t>
            </w:r>
            <w:r w:rsidR="003C78BF" w:rsidRPr="00EA1445">
              <w:rPr>
                <w:rFonts w:cs="Arial"/>
                <w:i/>
                <w:iCs/>
                <w:szCs w:val="24"/>
              </w:rPr>
              <w:t>.</w:t>
            </w:r>
          </w:p>
        </w:tc>
      </w:tr>
      <w:tr w:rsidR="0069076E" w:rsidRPr="00DB4CDB" w14:paraId="2DE8CE97" w14:textId="77777777" w:rsidTr="003850D3">
        <w:trPr>
          <w:cantSplit/>
        </w:trPr>
        <w:tc>
          <w:tcPr>
            <w:tcW w:w="2493" w:type="pct"/>
            <w:vAlign w:val="center"/>
          </w:tcPr>
          <w:p w14:paraId="1DCBC971" w14:textId="6AFED3E0" w:rsidR="0069076E" w:rsidRPr="00FB4A02" w:rsidRDefault="00FB4A02" w:rsidP="00BE58CA">
            <w:pPr>
              <w:spacing w:before="120" w:after="120"/>
            </w:pPr>
            <w:r w:rsidRPr="00FB4A02">
              <w:t xml:space="preserve">Continuous Improvement Network </w:t>
            </w:r>
          </w:p>
        </w:tc>
        <w:tc>
          <w:tcPr>
            <w:tcW w:w="2507" w:type="pct"/>
            <w:vAlign w:val="center"/>
          </w:tcPr>
          <w:p w14:paraId="2DFBBF5B" w14:textId="3AEFFA64" w:rsidR="0069076E" w:rsidRPr="00EA1445" w:rsidRDefault="00343070" w:rsidP="00BE58CA">
            <w:pPr>
              <w:spacing w:before="120" w:after="0"/>
              <w:rPr>
                <w:rFonts w:cs="Arial"/>
                <w:szCs w:val="24"/>
              </w:rPr>
            </w:pPr>
            <w:r w:rsidRPr="00EA1445">
              <w:rPr>
                <w:rFonts w:cs="Arial"/>
                <w:szCs w:val="24"/>
              </w:rPr>
              <w:t>18 per topic, as proposed by the applicant</w:t>
            </w:r>
          </w:p>
        </w:tc>
      </w:tr>
      <w:tr w:rsidR="0069076E" w:rsidRPr="00DB4CDB" w14:paraId="2DD4E5A2" w14:textId="77777777" w:rsidTr="003850D3">
        <w:trPr>
          <w:cantSplit/>
        </w:trPr>
        <w:tc>
          <w:tcPr>
            <w:tcW w:w="2493" w:type="pct"/>
            <w:vAlign w:val="center"/>
          </w:tcPr>
          <w:p w14:paraId="3F000DE7" w14:textId="555B6365" w:rsidR="0069076E" w:rsidRPr="00FB4A02" w:rsidRDefault="00FB4A02" w:rsidP="00BE58CA">
            <w:pPr>
              <w:spacing w:before="120"/>
            </w:pPr>
            <w:r w:rsidRPr="00FB4A02">
              <w:t>Reporting</w:t>
            </w:r>
            <w:r w:rsidR="0069076E" w:rsidRPr="00FB4A02">
              <w:t xml:space="preserve"> Due Dates</w:t>
            </w:r>
          </w:p>
        </w:tc>
        <w:tc>
          <w:tcPr>
            <w:tcW w:w="2507" w:type="pct"/>
            <w:vAlign w:val="center"/>
          </w:tcPr>
          <w:p w14:paraId="16CC11D5" w14:textId="4CAA9990" w:rsidR="0069076E" w:rsidRPr="00EA1445" w:rsidRDefault="00343070" w:rsidP="00CA40D1">
            <w:pPr>
              <w:spacing w:after="120"/>
            </w:pPr>
            <w:r w:rsidRPr="00EA1445">
              <w:rPr>
                <w:rFonts w:eastAsia="Arial"/>
                <w:bCs/>
                <w:szCs w:val="24"/>
              </w:rPr>
              <w:t>Quarterly</w:t>
            </w:r>
          </w:p>
        </w:tc>
      </w:tr>
      <w:tr w:rsidR="00FB4A02" w:rsidRPr="00DB4CDB" w14:paraId="6A8427D1" w14:textId="77777777" w:rsidTr="003850D3">
        <w:trPr>
          <w:cantSplit/>
        </w:trPr>
        <w:tc>
          <w:tcPr>
            <w:tcW w:w="2493" w:type="pct"/>
            <w:vAlign w:val="center"/>
          </w:tcPr>
          <w:p w14:paraId="3507D49C" w14:textId="660FB12F" w:rsidR="00FB4A02" w:rsidRDefault="00FB4A02" w:rsidP="00BE58CA">
            <w:pPr>
              <w:spacing w:before="120"/>
              <w:rPr>
                <w:bCs/>
              </w:rPr>
            </w:pPr>
            <w:r>
              <w:rPr>
                <w:bCs/>
              </w:rPr>
              <w:t xml:space="preserve">CIN Final Deliverable </w:t>
            </w:r>
          </w:p>
        </w:tc>
        <w:tc>
          <w:tcPr>
            <w:tcW w:w="2507" w:type="pct"/>
            <w:vAlign w:val="center"/>
          </w:tcPr>
          <w:p w14:paraId="0874238A" w14:textId="2445FF01" w:rsidR="00FB4A02" w:rsidRPr="00EA1445" w:rsidRDefault="00343070" w:rsidP="00BE58CA">
            <w:pPr>
              <w:spacing w:before="120" w:after="0"/>
              <w:rPr>
                <w:rFonts w:eastAsia="Arial"/>
                <w:bCs/>
                <w:szCs w:val="24"/>
              </w:rPr>
            </w:pPr>
            <w:r w:rsidRPr="00EA1445">
              <w:rPr>
                <w:rFonts w:eastAsia="Arial"/>
                <w:bCs/>
                <w:szCs w:val="24"/>
              </w:rPr>
              <w:t>July 31</w:t>
            </w:r>
            <w:r w:rsidR="00FB4A02" w:rsidRPr="00EA1445">
              <w:rPr>
                <w:rFonts w:eastAsia="Arial"/>
                <w:bCs/>
                <w:szCs w:val="24"/>
              </w:rPr>
              <w:t>,</w:t>
            </w:r>
            <w:r w:rsidRPr="00EA1445">
              <w:rPr>
                <w:rFonts w:eastAsia="Arial"/>
                <w:bCs/>
                <w:szCs w:val="24"/>
              </w:rPr>
              <w:t xml:space="preserve"> </w:t>
            </w:r>
            <w:r w:rsidR="00FB4A02" w:rsidRPr="00EA1445">
              <w:rPr>
                <w:rFonts w:eastAsia="Arial"/>
                <w:bCs/>
                <w:szCs w:val="24"/>
              </w:rPr>
              <w:t>202</w:t>
            </w:r>
            <w:r w:rsidR="003C78BF" w:rsidRPr="00EA1445">
              <w:rPr>
                <w:rFonts w:eastAsia="Arial"/>
                <w:bCs/>
                <w:szCs w:val="24"/>
              </w:rPr>
              <w:t>8</w:t>
            </w:r>
            <w:r w:rsidRPr="00EA1445">
              <w:rPr>
                <w:rFonts w:eastAsia="Arial"/>
                <w:bCs/>
                <w:szCs w:val="24"/>
              </w:rPr>
              <w:t>, or later if subgrant is extended</w:t>
            </w:r>
          </w:p>
        </w:tc>
      </w:tr>
      <w:tr w:rsidR="00FB4A02" w:rsidRPr="00DB4CDB" w14:paraId="48B64E6C" w14:textId="77777777" w:rsidTr="003850D3">
        <w:trPr>
          <w:cantSplit/>
        </w:trPr>
        <w:tc>
          <w:tcPr>
            <w:tcW w:w="2493" w:type="pct"/>
            <w:vAlign w:val="center"/>
          </w:tcPr>
          <w:p w14:paraId="1B4A2161" w14:textId="7209E0E0" w:rsidR="00FB4A02" w:rsidRPr="00FB4A02" w:rsidRDefault="00FB4A02" w:rsidP="00BE58CA">
            <w:pPr>
              <w:spacing w:before="120"/>
              <w:rPr>
                <w:bCs/>
              </w:rPr>
            </w:pPr>
            <w:r>
              <w:rPr>
                <w:bCs/>
              </w:rPr>
              <w:lastRenderedPageBreak/>
              <w:t xml:space="preserve">Comprehensive Final Report </w:t>
            </w:r>
          </w:p>
        </w:tc>
        <w:tc>
          <w:tcPr>
            <w:tcW w:w="2507" w:type="pct"/>
            <w:vAlign w:val="center"/>
          </w:tcPr>
          <w:p w14:paraId="05EF4EFF" w14:textId="659EE6B8" w:rsidR="00FB4A02" w:rsidRPr="00EA1445" w:rsidRDefault="00343070" w:rsidP="00BE58CA">
            <w:pPr>
              <w:spacing w:before="120" w:after="0"/>
              <w:rPr>
                <w:rFonts w:eastAsia="Arial"/>
                <w:bCs/>
                <w:szCs w:val="24"/>
              </w:rPr>
            </w:pPr>
            <w:r w:rsidRPr="00EA1445">
              <w:rPr>
                <w:rFonts w:eastAsia="Arial"/>
                <w:bCs/>
                <w:szCs w:val="24"/>
              </w:rPr>
              <w:t>July 31</w:t>
            </w:r>
            <w:r w:rsidR="00FB4A02" w:rsidRPr="00EA1445">
              <w:rPr>
                <w:rFonts w:eastAsia="Arial"/>
                <w:bCs/>
                <w:szCs w:val="24"/>
              </w:rPr>
              <w:t>, 202</w:t>
            </w:r>
            <w:r w:rsidR="003C78BF" w:rsidRPr="00EA1445">
              <w:rPr>
                <w:rFonts w:eastAsia="Arial"/>
                <w:bCs/>
                <w:szCs w:val="24"/>
              </w:rPr>
              <w:t>8</w:t>
            </w:r>
            <w:r w:rsidRPr="00EA1445">
              <w:rPr>
                <w:rFonts w:eastAsia="Arial"/>
                <w:bCs/>
                <w:szCs w:val="24"/>
              </w:rPr>
              <w:t>, or later if subgrant is extended</w:t>
            </w:r>
          </w:p>
        </w:tc>
      </w:tr>
    </w:tbl>
    <w:p w14:paraId="62EE28B1" w14:textId="152D32ED" w:rsidR="00CB770F" w:rsidRDefault="00CB770F" w:rsidP="00BE58CA">
      <w:pPr>
        <w:spacing w:before="100" w:beforeAutospacing="1"/>
        <w:rPr>
          <w:szCs w:val="24"/>
        </w:rPr>
      </w:pPr>
      <w:r w:rsidRPr="00DB4CDB">
        <w:rPr>
          <w:szCs w:val="24"/>
        </w:rPr>
        <w:t xml:space="preserve">See </w:t>
      </w:r>
      <w:hyperlink w:anchor="_2.2_Subaward_Funding" w:history="1">
        <w:r w:rsidRPr="003850D3">
          <w:rPr>
            <w:rStyle w:val="Hyperlink"/>
            <w:szCs w:val="24"/>
          </w:rPr>
          <w:t>RFA Section 2.</w:t>
        </w:r>
        <w:r w:rsidR="005329F0" w:rsidRPr="003850D3">
          <w:rPr>
            <w:rStyle w:val="Hyperlink"/>
            <w:szCs w:val="24"/>
          </w:rPr>
          <w:t>2</w:t>
        </w:r>
        <w:r w:rsidRPr="003850D3">
          <w:rPr>
            <w:rStyle w:val="Hyperlink"/>
            <w:szCs w:val="24"/>
          </w:rPr>
          <w:t>.</w:t>
        </w:r>
        <w:r w:rsidR="003C78BF" w:rsidRPr="003850D3">
          <w:rPr>
            <w:rStyle w:val="Hyperlink"/>
            <w:szCs w:val="24"/>
          </w:rPr>
          <w:t xml:space="preserve"> Subaward Funding Levels and Time Period</w:t>
        </w:r>
      </w:hyperlink>
      <w:r w:rsidRPr="00EA1445">
        <w:rPr>
          <w:szCs w:val="24"/>
        </w:rPr>
        <w:t xml:space="preserve"> for additional information </w:t>
      </w:r>
      <w:r w:rsidR="004B5992" w:rsidRPr="00EA1445">
        <w:rPr>
          <w:szCs w:val="24"/>
        </w:rPr>
        <w:t>regarding</w:t>
      </w:r>
      <w:r w:rsidRPr="00EA1445">
        <w:rPr>
          <w:szCs w:val="24"/>
        </w:rPr>
        <w:t xml:space="preserve"> the </w:t>
      </w:r>
      <w:r w:rsidR="004B5992" w:rsidRPr="00EA1445">
        <w:rPr>
          <w:szCs w:val="24"/>
        </w:rPr>
        <w:t>subgrant period.</w:t>
      </w:r>
    </w:p>
    <w:p w14:paraId="62483AE0" w14:textId="77777777" w:rsidR="005320B9" w:rsidRPr="00EA1445" w:rsidRDefault="005320B9" w:rsidP="00C1527E">
      <w:pPr>
        <w:pStyle w:val="Heading2"/>
        <w:jc w:val="center"/>
      </w:pPr>
      <w:bookmarkStart w:id="38" w:name="_Toc82503231"/>
      <w:bookmarkStart w:id="39" w:name="_Toc82503749"/>
      <w:bookmarkStart w:id="40" w:name="_Toc82503960"/>
      <w:bookmarkStart w:id="41" w:name="_Toc188990898"/>
      <w:bookmarkStart w:id="42" w:name="_Toc199842729"/>
      <w:r w:rsidRPr="00EA1445">
        <w:t>Request for Applications Instructions</w:t>
      </w:r>
      <w:bookmarkEnd w:id="38"/>
      <w:bookmarkEnd w:id="39"/>
      <w:bookmarkEnd w:id="40"/>
      <w:bookmarkEnd w:id="41"/>
      <w:bookmarkEnd w:id="42"/>
    </w:p>
    <w:p w14:paraId="08079139" w14:textId="5B99C197" w:rsidR="005320B9" w:rsidRPr="00EA1445" w:rsidRDefault="005320B9" w:rsidP="005320B9">
      <w:pPr>
        <w:spacing w:after="100" w:afterAutospacing="1"/>
      </w:pPr>
      <w:r w:rsidRPr="00EA1445">
        <w:t xml:space="preserve">The following forms must be included as part of the </w:t>
      </w:r>
      <w:r w:rsidR="007F3003" w:rsidRPr="00EA1445">
        <w:t>STACS</w:t>
      </w:r>
      <w:r w:rsidRPr="00EA1445">
        <w:t xml:space="preserve"> application. </w:t>
      </w:r>
    </w:p>
    <w:p w14:paraId="255AF620" w14:textId="1F0C16FF" w:rsidR="005320B9" w:rsidRPr="00EA1445" w:rsidRDefault="005320B9" w:rsidP="005320B9">
      <w:pPr>
        <w:spacing w:after="100" w:afterAutospacing="1"/>
      </w:pPr>
      <w:bookmarkStart w:id="43" w:name="_Hlk80177063"/>
      <w:r w:rsidRPr="00EA1445">
        <w:t>Forms 1, 2, 3 contained in one Word document, the</w:t>
      </w:r>
      <w:r w:rsidR="007F3003" w:rsidRPr="00EA1445">
        <w:t xml:space="preserve"> Statewide Technical Assistance for Charter Schools Subgrant Request for Applications Packet. </w:t>
      </w:r>
      <w:r w:rsidRPr="00EA1445">
        <w:t xml:space="preserve">Forms </w:t>
      </w:r>
      <w:r w:rsidR="007F3003" w:rsidRPr="00EA1445">
        <w:t>4</w:t>
      </w:r>
      <w:r w:rsidRPr="00EA1445">
        <w:t xml:space="preserve"> and </w:t>
      </w:r>
      <w:r w:rsidR="007F3003" w:rsidRPr="00EA1445">
        <w:t>5</w:t>
      </w:r>
      <w:r w:rsidRPr="00EA1445">
        <w:t xml:space="preserve"> are contained in one Excel workbook, the </w:t>
      </w:r>
      <w:r w:rsidR="007F3003" w:rsidRPr="00EA1445">
        <w:t>Statewide Technical Assistance for Charter Schools Subgrant Proposal Workbook</w:t>
      </w:r>
      <w:r w:rsidR="007F3003" w:rsidRPr="00EA1445">
        <w:rPr>
          <w:b/>
        </w:rPr>
        <w:t>.</w:t>
      </w:r>
      <w:r w:rsidRPr="00EA1445">
        <w:t xml:space="preserve"> All application components must be submitted in the order listed on Form 1 and submitted as one PDF (see instructions in Section </w:t>
      </w:r>
      <w:r w:rsidR="007F3003" w:rsidRPr="00EA1445">
        <w:t>4</w:t>
      </w:r>
      <w:r w:rsidRPr="00EA1445">
        <w:t>.</w:t>
      </w:r>
      <w:r w:rsidR="007F3003" w:rsidRPr="00EA1445">
        <w:t xml:space="preserve">2 </w:t>
      </w:r>
      <w:r w:rsidRPr="00EA1445">
        <w:t>Submission of Applications). Prior to submission, the PDF application package must be signed by the primary applicant using an authenticated electronic signature.</w:t>
      </w:r>
      <w:bookmarkEnd w:id="43"/>
    </w:p>
    <w:p w14:paraId="2DA0E8DE" w14:textId="61CEDA3F" w:rsidR="005320B9" w:rsidRPr="00E34647" w:rsidRDefault="005320B9" w:rsidP="005320B9">
      <w:pPr>
        <w:spacing w:after="100" w:afterAutospacing="1"/>
        <w:ind w:right="360"/>
      </w:pPr>
      <w:r w:rsidRPr="00EA1445">
        <w:rPr>
          <w:b/>
        </w:rPr>
        <w:t>Important:</w:t>
      </w:r>
      <w:r w:rsidRPr="00EA1445">
        <w:t xml:space="preserve"> Enter the </w:t>
      </w:r>
      <w:r w:rsidR="004D2142" w:rsidRPr="00EA1445">
        <w:t>applicant</w:t>
      </w:r>
      <w:r w:rsidRPr="00EA1445">
        <w:t xml:space="preserve"> name in each of the document headers to ensure that all pages of the application</w:t>
      </w:r>
      <w:r w:rsidRPr="000C24D5">
        <w:t xml:space="preserve"> can be traced back to the same application package.</w:t>
      </w:r>
    </w:p>
    <w:p w14:paraId="658A0AB5" w14:textId="77777777" w:rsidR="0069076E" w:rsidRPr="00DB4CDB" w:rsidRDefault="0069076E" w:rsidP="00BE58CA">
      <w:pPr>
        <w:spacing w:after="160"/>
        <w:rPr>
          <w:b/>
          <w:sz w:val="32"/>
          <w:szCs w:val="32"/>
        </w:rPr>
      </w:pPr>
      <w:r w:rsidRPr="00DB4CDB">
        <w:rPr>
          <w:b/>
          <w:sz w:val="32"/>
          <w:szCs w:val="32"/>
        </w:rPr>
        <w:br w:type="page"/>
      </w:r>
    </w:p>
    <w:p w14:paraId="2CBF3418" w14:textId="767B489D" w:rsidR="00754C79" w:rsidRPr="00DB4CDB" w:rsidRDefault="00754C79" w:rsidP="00CA40D1">
      <w:pPr>
        <w:jc w:val="center"/>
        <w:rPr>
          <w:b/>
          <w:sz w:val="32"/>
          <w:szCs w:val="32"/>
        </w:rPr>
      </w:pPr>
      <w:r w:rsidRPr="00DB4CDB">
        <w:rPr>
          <w:b/>
          <w:sz w:val="32"/>
          <w:szCs w:val="32"/>
        </w:rPr>
        <w:lastRenderedPageBreak/>
        <w:t xml:space="preserve"> </w:t>
      </w:r>
      <w:r w:rsidR="00067BD7">
        <w:rPr>
          <w:b/>
          <w:sz w:val="32"/>
          <w:szCs w:val="32"/>
        </w:rPr>
        <w:t>Statewide</w:t>
      </w:r>
      <w:r w:rsidR="009C5481" w:rsidRPr="00DB4CDB">
        <w:rPr>
          <w:b/>
          <w:sz w:val="32"/>
          <w:szCs w:val="32"/>
        </w:rPr>
        <w:t xml:space="preserve"> Technical Assistance </w:t>
      </w:r>
      <w:r w:rsidR="00067BD7">
        <w:rPr>
          <w:b/>
          <w:sz w:val="32"/>
          <w:szCs w:val="32"/>
        </w:rPr>
        <w:t>for Charter Schools</w:t>
      </w:r>
      <w:r w:rsidR="00594788">
        <w:rPr>
          <w:b/>
          <w:sz w:val="32"/>
          <w:szCs w:val="32"/>
        </w:rPr>
        <w:t xml:space="preserve"> </w:t>
      </w:r>
      <w:r w:rsidR="00C128AC" w:rsidRPr="00DB4CDB">
        <w:rPr>
          <w:b/>
          <w:sz w:val="32"/>
          <w:szCs w:val="32"/>
        </w:rPr>
        <w:t>Sub</w:t>
      </w:r>
      <w:r w:rsidR="00747770">
        <w:rPr>
          <w:b/>
          <w:sz w:val="32"/>
          <w:szCs w:val="32"/>
        </w:rPr>
        <w:t>g</w:t>
      </w:r>
      <w:r w:rsidR="00C128AC" w:rsidRPr="00DB4CDB">
        <w:rPr>
          <w:b/>
          <w:sz w:val="32"/>
          <w:szCs w:val="32"/>
        </w:rPr>
        <w:t>rant Request for Application</w:t>
      </w:r>
      <w:r w:rsidR="007F3003">
        <w:rPr>
          <w:b/>
          <w:sz w:val="32"/>
          <w:szCs w:val="32"/>
        </w:rPr>
        <w:t>s Packet</w:t>
      </w:r>
    </w:p>
    <w:p w14:paraId="70615F46" w14:textId="46BEBBE4" w:rsidR="005D7E29" w:rsidRPr="007F3003" w:rsidRDefault="00614CFE" w:rsidP="007F3003">
      <w:pPr>
        <w:pStyle w:val="Heading2"/>
        <w:jc w:val="center"/>
      </w:pPr>
      <w:bookmarkStart w:id="44" w:name="_Toc199842730"/>
      <w:r w:rsidRPr="00DB4CDB">
        <w:t xml:space="preserve">Form </w:t>
      </w:r>
      <w:r w:rsidR="00000829" w:rsidRPr="00DB4CDB">
        <w:t>1</w:t>
      </w:r>
      <w:r w:rsidR="00C128AC" w:rsidRPr="00DB4CDB">
        <w:t xml:space="preserve"> – A</w:t>
      </w:r>
      <w:r w:rsidR="00023086" w:rsidRPr="00DB4CDB">
        <w:t>p</w:t>
      </w:r>
      <w:r w:rsidR="00754C79" w:rsidRPr="00DB4CDB">
        <w:t>plication Component Checklist</w:t>
      </w:r>
      <w:bookmarkEnd w:id="44"/>
    </w:p>
    <w:tbl>
      <w:tblPr>
        <w:tblStyle w:val="TableGrid"/>
        <w:tblW w:w="5000" w:type="pct"/>
        <w:tblLook w:val="04A0" w:firstRow="1" w:lastRow="0" w:firstColumn="1" w:lastColumn="0" w:noHBand="0" w:noVBand="1"/>
        <w:tblDescription w:val="Form 1 - Application Component Checklist"/>
      </w:tblPr>
      <w:tblGrid>
        <w:gridCol w:w="6475"/>
        <w:gridCol w:w="1898"/>
        <w:gridCol w:w="977"/>
      </w:tblGrid>
      <w:tr w:rsidR="00ED2E9C" w14:paraId="4CFDAE14" w14:textId="77777777" w:rsidTr="006D2EEC">
        <w:trPr>
          <w:cantSplit/>
          <w:tblHeader/>
        </w:trPr>
        <w:tc>
          <w:tcPr>
            <w:tcW w:w="3463" w:type="pct"/>
            <w:shd w:val="clear" w:color="auto" w:fill="BFBFBF" w:themeFill="background1" w:themeFillShade="BF"/>
            <w:vAlign w:val="center"/>
          </w:tcPr>
          <w:p w14:paraId="0432C0C9" w14:textId="7B7A0428" w:rsidR="00ED2E9C" w:rsidRPr="00BE58CA" w:rsidRDefault="00ED2E9C" w:rsidP="00BE58CA">
            <w:pPr>
              <w:spacing w:after="0"/>
              <w:jc w:val="center"/>
              <w:rPr>
                <w:b/>
              </w:rPr>
            </w:pPr>
            <w:r w:rsidRPr="00BE58CA">
              <w:rPr>
                <w:b/>
              </w:rPr>
              <w:t>Forms</w:t>
            </w:r>
          </w:p>
        </w:tc>
        <w:tc>
          <w:tcPr>
            <w:tcW w:w="1015" w:type="pct"/>
            <w:shd w:val="clear" w:color="auto" w:fill="BFBFBF" w:themeFill="background1" w:themeFillShade="BF"/>
            <w:vAlign w:val="center"/>
          </w:tcPr>
          <w:p w14:paraId="2A1A81B7" w14:textId="7412EFD2" w:rsidR="00ED2E9C" w:rsidRPr="00BE58CA" w:rsidRDefault="00ED2E9C" w:rsidP="00BE58CA">
            <w:pPr>
              <w:spacing w:after="0"/>
              <w:jc w:val="center"/>
              <w:rPr>
                <w:b/>
              </w:rPr>
            </w:pPr>
            <w:r w:rsidRPr="00BE58CA">
              <w:rPr>
                <w:b/>
              </w:rPr>
              <w:t>Required in Application</w:t>
            </w:r>
          </w:p>
        </w:tc>
        <w:tc>
          <w:tcPr>
            <w:tcW w:w="522" w:type="pct"/>
            <w:shd w:val="clear" w:color="auto" w:fill="BFBFBF" w:themeFill="background1" w:themeFillShade="BF"/>
            <w:vAlign w:val="center"/>
          </w:tcPr>
          <w:p w14:paraId="55EF00C7" w14:textId="1DD1E2E4" w:rsidR="00ED2E9C" w:rsidRPr="00BE58CA" w:rsidRDefault="00ED2E9C" w:rsidP="00BE58CA">
            <w:pPr>
              <w:spacing w:after="0"/>
              <w:jc w:val="center"/>
              <w:rPr>
                <w:b/>
              </w:rPr>
            </w:pPr>
            <w:r w:rsidRPr="00BE58CA">
              <w:rPr>
                <w:b/>
              </w:rPr>
              <w:t>Initial</w:t>
            </w:r>
            <w:r w:rsidR="009B7BB5">
              <w:rPr>
                <w:b/>
              </w:rPr>
              <w:t>s</w:t>
            </w:r>
          </w:p>
        </w:tc>
      </w:tr>
      <w:tr w:rsidR="00ED2E9C" w14:paraId="7D45640C" w14:textId="77777777" w:rsidTr="006D2EEC">
        <w:trPr>
          <w:cantSplit/>
        </w:trPr>
        <w:tc>
          <w:tcPr>
            <w:tcW w:w="3463" w:type="pct"/>
            <w:vAlign w:val="center"/>
          </w:tcPr>
          <w:p w14:paraId="3B0C22A9" w14:textId="1192CC12" w:rsidR="00ED2E9C" w:rsidRDefault="00ED2E9C" w:rsidP="00BE58CA">
            <w:pPr>
              <w:spacing w:before="40" w:after="120"/>
            </w:pPr>
            <w:r>
              <w:t>Form 1 – Application Component Checklist</w:t>
            </w:r>
          </w:p>
        </w:tc>
        <w:tc>
          <w:tcPr>
            <w:tcW w:w="1015" w:type="pct"/>
            <w:vAlign w:val="center"/>
          </w:tcPr>
          <w:p w14:paraId="5B9A8EBA" w14:textId="7389CACD" w:rsidR="00ED2E9C" w:rsidRDefault="00ED2E9C" w:rsidP="00BE58CA">
            <w:pPr>
              <w:spacing w:before="40" w:after="120"/>
            </w:pPr>
            <w:r>
              <w:t>Required</w:t>
            </w:r>
          </w:p>
        </w:tc>
        <w:tc>
          <w:tcPr>
            <w:tcW w:w="522" w:type="pct"/>
            <w:vAlign w:val="center"/>
          </w:tcPr>
          <w:p w14:paraId="53624D89" w14:textId="77777777" w:rsidR="00ED2E9C" w:rsidRDefault="00ED2E9C" w:rsidP="00BE58CA">
            <w:pPr>
              <w:spacing w:before="40" w:after="120"/>
            </w:pPr>
          </w:p>
        </w:tc>
      </w:tr>
      <w:tr w:rsidR="00ED2E9C" w14:paraId="52120C8D" w14:textId="77777777" w:rsidTr="006D2EEC">
        <w:trPr>
          <w:cantSplit/>
        </w:trPr>
        <w:tc>
          <w:tcPr>
            <w:tcW w:w="3463" w:type="pct"/>
            <w:vAlign w:val="center"/>
          </w:tcPr>
          <w:p w14:paraId="04FA3853" w14:textId="2A3FDD5D" w:rsidR="00ED2E9C" w:rsidRDefault="00ED2E9C" w:rsidP="00BE58CA">
            <w:pPr>
              <w:spacing w:before="40" w:after="120"/>
            </w:pPr>
            <w:r>
              <w:t>Form 2 – Sub</w:t>
            </w:r>
            <w:r w:rsidR="00747770">
              <w:t>g</w:t>
            </w:r>
            <w:r>
              <w:t>rant Application Cover Page</w:t>
            </w:r>
          </w:p>
          <w:p w14:paraId="6A1C140C" w14:textId="5846DB5C" w:rsidR="00ED2E9C" w:rsidRPr="008F7CA6" w:rsidRDefault="00ED2E9C" w:rsidP="00BE58CA">
            <w:pPr>
              <w:spacing w:before="40" w:after="120"/>
              <w:rPr>
                <w:i/>
                <w:iCs/>
              </w:rPr>
            </w:pPr>
            <w:r w:rsidRPr="008F7CA6">
              <w:rPr>
                <w:i/>
                <w:iCs/>
              </w:rPr>
              <w:t xml:space="preserve">The Primary Applicant must sign </w:t>
            </w:r>
            <w:r w:rsidR="00343070">
              <w:rPr>
                <w:i/>
                <w:iCs/>
              </w:rPr>
              <w:t xml:space="preserve">using an </w:t>
            </w:r>
            <w:r w:rsidRPr="008F7CA6">
              <w:rPr>
                <w:i/>
                <w:iCs/>
              </w:rPr>
              <w:t>authenticated e</w:t>
            </w:r>
            <w:r w:rsidR="008F7CA6" w:rsidRPr="008F7CA6">
              <w:rPr>
                <w:i/>
                <w:iCs/>
              </w:rPr>
              <w:t xml:space="preserve">lectronic </w:t>
            </w:r>
            <w:r w:rsidRPr="008F7CA6">
              <w:rPr>
                <w:i/>
                <w:iCs/>
              </w:rPr>
              <w:t>signature.</w:t>
            </w:r>
          </w:p>
        </w:tc>
        <w:tc>
          <w:tcPr>
            <w:tcW w:w="1015" w:type="pct"/>
            <w:vAlign w:val="center"/>
          </w:tcPr>
          <w:p w14:paraId="5239FB95" w14:textId="6D2313B2" w:rsidR="00ED2E9C" w:rsidRDefault="00ED2E9C" w:rsidP="00BE58CA">
            <w:pPr>
              <w:spacing w:before="40" w:after="120"/>
            </w:pPr>
            <w:r>
              <w:t>Required</w:t>
            </w:r>
          </w:p>
        </w:tc>
        <w:tc>
          <w:tcPr>
            <w:tcW w:w="522" w:type="pct"/>
            <w:vAlign w:val="center"/>
          </w:tcPr>
          <w:p w14:paraId="15755A33" w14:textId="77777777" w:rsidR="00ED2E9C" w:rsidRDefault="00ED2E9C" w:rsidP="00BE58CA">
            <w:pPr>
              <w:spacing w:before="40" w:after="120"/>
            </w:pPr>
          </w:p>
        </w:tc>
      </w:tr>
      <w:tr w:rsidR="00ED2E9C" w14:paraId="1D117B10" w14:textId="77777777" w:rsidTr="006D2EEC">
        <w:trPr>
          <w:cantSplit/>
        </w:trPr>
        <w:tc>
          <w:tcPr>
            <w:tcW w:w="3463" w:type="pct"/>
            <w:vAlign w:val="center"/>
          </w:tcPr>
          <w:p w14:paraId="197855A4" w14:textId="43C1E950" w:rsidR="00ED2E9C" w:rsidRDefault="00ED2E9C" w:rsidP="00BE58CA">
            <w:pPr>
              <w:spacing w:before="40" w:after="120"/>
            </w:pPr>
            <w:r>
              <w:t>Sub</w:t>
            </w:r>
            <w:r w:rsidR="00747770">
              <w:t>g</w:t>
            </w:r>
            <w:r>
              <w:t>rant Application Narrative Response (30-page limit)</w:t>
            </w:r>
          </w:p>
        </w:tc>
        <w:tc>
          <w:tcPr>
            <w:tcW w:w="1015" w:type="pct"/>
            <w:vAlign w:val="center"/>
          </w:tcPr>
          <w:p w14:paraId="387A34F1" w14:textId="5169C043" w:rsidR="00ED2E9C" w:rsidRDefault="00ED2E9C" w:rsidP="00BE58CA">
            <w:pPr>
              <w:spacing w:before="40" w:after="120"/>
            </w:pPr>
            <w:r>
              <w:t>Required</w:t>
            </w:r>
          </w:p>
        </w:tc>
        <w:tc>
          <w:tcPr>
            <w:tcW w:w="522" w:type="pct"/>
            <w:vAlign w:val="center"/>
          </w:tcPr>
          <w:p w14:paraId="434DDC84" w14:textId="77777777" w:rsidR="00ED2E9C" w:rsidRDefault="00ED2E9C" w:rsidP="00BE58CA">
            <w:pPr>
              <w:spacing w:before="40" w:after="120"/>
            </w:pPr>
          </w:p>
        </w:tc>
      </w:tr>
      <w:tr w:rsidR="00ED2E9C" w14:paraId="19836C2F" w14:textId="77777777" w:rsidTr="006D2EEC">
        <w:trPr>
          <w:cantSplit/>
        </w:trPr>
        <w:tc>
          <w:tcPr>
            <w:tcW w:w="3463" w:type="pct"/>
            <w:vAlign w:val="center"/>
          </w:tcPr>
          <w:p w14:paraId="42AAD6C0" w14:textId="68C3B4E5" w:rsidR="00ED2E9C" w:rsidRDefault="00ED2E9C" w:rsidP="00BE58CA">
            <w:pPr>
              <w:spacing w:before="40" w:after="120"/>
            </w:pPr>
            <w:r>
              <w:t xml:space="preserve">Form 4 – </w:t>
            </w:r>
            <w:r w:rsidR="00487DC8">
              <w:t>Proposed</w:t>
            </w:r>
            <w:r>
              <w:t xml:space="preserve"> Budget Summary</w:t>
            </w:r>
          </w:p>
        </w:tc>
        <w:tc>
          <w:tcPr>
            <w:tcW w:w="1015" w:type="pct"/>
            <w:vAlign w:val="center"/>
          </w:tcPr>
          <w:p w14:paraId="2EFD5799" w14:textId="6878CF2D" w:rsidR="00ED2E9C" w:rsidRDefault="00ED2E9C" w:rsidP="00BE58CA">
            <w:pPr>
              <w:spacing w:before="40" w:after="120"/>
            </w:pPr>
            <w:r>
              <w:t>Required</w:t>
            </w:r>
          </w:p>
        </w:tc>
        <w:tc>
          <w:tcPr>
            <w:tcW w:w="522" w:type="pct"/>
            <w:vAlign w:val="center"/>
          </w:tcPr>
          <w:p w14:paraId="481645E0" w14:textId="77777777" w:rsidR="00ED2E9C" w:rsidRDefault="00ED2E9C" w:rsidP="00BE58CA">
            <w:pPr>
              <w:spacing w:before="40" w:after="120"/>
            </w:pPr>
          </w:p>
        </w:tc>
      </w:tr>
      <w:tr w:rsidR="00ED2E9C" w14:paraId="1B92CFA4" w14:textId="77777777" w:rsidTr="006D2EEC">
        <w:trPr>
          <w:cantSplit/>
        </w:trPr>
        <w:tc>
          <w:tcPr>
            <w:tcW w:w="3463" w:type="pct"/>
            <w:vAlign w:val="center"/>
          </w:tcPr>
          <w:p w14:paraId="61D9F754" w14:textId="36FFABF4" w:rsidR="00ED2E9C" w:rsidRDefault="00ED2E9C" w:rsidP="00BE58CA">
            <w:pPr>
              <w:spacing w:before="40" w:after="120"/>
            </w:pPr>
            <w:r>
              <w:t xml:space="preserve">Form 5 – </w:t>
            </w:r>
            <w:r w:rsidR="00487DC8">
              <w:t>Proposed</w:t>
            </w:r>
            <w:r>
              <w:t xml:space="preserve"> Budget </w:t>
            </w:r>
            <w:r w:rsidR="00FA09AE">
              <w:t>Narrative</w:t>
            </w:r>
          </w:p>
        </w:tc>
        <w:tc>
          <w:tcPr>
            <w:tcW w:w="1015" w:type="pct"/>
            <w:vAlign w:val="center"/>
          </w:tcPr>
          <w:p w14:paraId="01F22A76" w14:textId="04410570" w:rsidR="00ED2E9C" w:rsidRDefault="00ED2E9C" w:rsidP="00BE58CA">
            <w:pPr>
              <w:spacing w:before="40" w:after="120"/>
            </w:pPr>
            <w:r>
              <w:t>Required</w:t>
            </w:r>
          </w:p>
        </w:tc>
        <w:tc>
          <w:tcPr>
            <w:tcW w:w="522" w:type="pct"/>
            <w:vAlign w:val="center"/>
          </w:tcPr>
          <w:p w14:paraId="42539548" w14:textId="77777777" w:rsidR="00ED2E9C" w:rsidRDefault="00ED2E9C" w:rsidP="00BE58CA">
            <w:pPr>
              <w:spacing w:before="40" w:after="120"/>
            </w:pPr>
          </w:p>
        </w:tc>
      </w:tr>
      <w:tr w:rsidR="00487DC8" w14:paraId="6914DC2E" w14:textId="77777777" w:rsidTr="006D2EEC">
        <w:trPr>
          <w:cantSplit/>
        </w:trPr>
        <w:tc>
          <w:tcPr>
            <w:tcW w:w="3463" w:type="pct"/>
            <w:vAlign w:val="center"/>
          </w:tcPr>
          <w:p w14:paraId="62B3386B" w14:textId="097485A9" w:rsidR="00487DC8" w:rsidRDefault="00487DC8" w:rsidP="00487DC8">
            <w:pPr>
              <w:spacing w:before="40" w:after="120"/>
            </w:pPr>
            <w:r>
              <w:t xml:space="preserve">Form </w:t>
            </w:r>
            <w:r w:rsidR="00FA09AE" w:rsidRPr="00A556F0">
              <w:t>6</w:t>
            </w:r>
            <w:r>
              <w:t xml:space="preserve"> – Specific Conditions and Assurances</w:t>
            </w:r>
          </w:p>
        </w:tc>
        <w:tc>
          <w:tcPr>
            <w:tcW w:w="1015" w:type="pct"/>
            <w:vAlign w:val="center"/>
          </w:tcPr>
          <w:p w14:paraId="108842A8" w14:textId="55EB3DE9" w:rsidR="00487DC8" w:rsidRDefault="0083180A" w:rsidP="00487DC8">
            <w:pPr>
              <w:spacing w:before="40" w:after="120"/>
            </w:pPr>
            <w:r>
              <w:t>Required</w:t>
            </w:r>
          </w:p>
        </w:tc>
        <w:tc>
          <w:tcPr>
            <w:tcW w:w="522" w:type="pct"/>
            <w:vAlign w:val="center"/>
          </w:tcPr>
          <w:p w14:paraId="5671DC14" w14:textId="77777777" w:rsidR="00487DC8" w:rsidRDefault="00487DC8" w:rsidP="00487DC8">
            <w:pPr>
              <w:spacing w:before="40" w:after="120"/>
            </w:pPr>
          </w:p>
        </w:tc>
      </w:tr>
      <w:tr w:rsidR="00487DC8" w14:paraId="7E1B6B47" w14:textId="77777777" w:rsidTr="006D2EEC">
        <w:trPr>
          <w:cantSplit/>
        </w:trPr>
        <w:tc>
          <w:tcPr>
            <w:tcW w:w="3463" w:type="pct"/>
            <w:vAlign w:val="center"/>
          </w:tcPr>
          <w:p w14:paraId="16B9A320" w14:textId="45BF1C0F" w:rsidR="00487DC8" w:rsidRDefault="00487DC8" w:rsidP="00487DC8">
            <w:pPr>
              <w:spacing w:before="40" w:after="120"/>
            </w:pPr>
            <w:r>
              <w:t xml:space="preserve">Appendix A: STD. 204 State for California – Department of Finance Payee Data Record </w:t>
            </w:r>
          </w:p>
        </w:tc>
        <w:tc>
          <w:tcPr>
            <w:tcW w:w="1015" w:type="pct"/>
            <w:vAlign w:val="center"/>
          </w:tcPr>
          <w:p w14:paraId="6AB3C3CF" w14:textId="6848CFAE" w:rsidR="00487DC8" w:rsidRDefault="00487DC8" w:rsidP="00487DC8">
            <w:pPr>
              <w:spacing w:before="40" w:after="120"/>
            </w:pPr>
            <w:r>
              <w:t>Required</w:t>
            </w:r>
          </w:p>
        </w:tc>
        <w:tc>
          <w:tcPr>
            <w:tcW w:w="522" w:type="pct"/>
            <w:vAlign w:val="center"/>
          </w:tcPr>
          <w:p w14:paraId="0D6BDD74" w14:textId="77777777" w:rsidR="00487DC8" w:rsidRDefault="00487DC8" w:rsidP="00487DC8">
            <w:pPr>
              <w:spacing w:before="40" w:after="120"/>
            </w:pPr>
          </w:p>
        </w:tc>
      </w:tr>
      <w:tr w:rsidR="00487DC8" w14:paraId="481FAF6C" w14:textId="77777777" w:rsidTr="006D2EEC">
        <w:trPr>
          <w:cantSplit/>
        </w:trPr>
        <w:tc>
          <w:tcPr>
            <w:tcW w:w="3463" w:type="pct"/>
            <w:vAlign w:val="center"/>
          </w:tcPr>
          <w:p w14:paraId="129C5A9F" w14:textId="028A04A1" w:rsidR="00487DC8" w:rsidRDefault="00487DC8" w:rsidP="00487DC8">
            <w:pPr>
              <w:spacing w:before="40" w:after="120"/>
            </w:pPr>
            <w:r>
              <w:t>Appendix B: Verification of SAM registrations</w:t>
            </w:r>
          </w:p>
        </w:tc>
        <w:tc>
          <w:tcPr>
            <w:tcW w:w="1015" w:type="pct"/>
            <w:vAlign w:val="center"/>
          </w:tcPr>
          <w:p w14:paraId="134D5018" w14:textId="14B6181F" w:rsidR="00487DC8" w:rsidRDefault="00487DC8" w:rsidP="00487DC8">
            <w:pPr>
              <w:spacing w:before="40" w:after="120"/>
            </w:pPr>
            <w:r>
              <w:t>Required</w:t>
            </w:r>
          </w:p>
        </w:tc>
        <w:tc>
          <w:tcPr>
            <w:tcW w:w="522" w:type="pct"/>
            <w:vAlign w:val="center"/>
          </w:tcPr>
          <w:p w14:paraId="18066364" w14:textId="77777777" w:rsidR="00487DC8" w:rsidRDefault="00487DC8" w:rsidP="00487DC8">
            <w:pPr>
              <w:spacing w:before="40" w:after="120"/>
            </w:pPr>
          </w:p>
        </w:tc>
      </w:tr>
      <w:tr w:rsidR="00487DC8" w14:paraId="34AD2514" w14:textId="77777777" w:rsidTr="006D2EEC">
        <w:trPr>
          <w:cantSplit/>
        </w:trPr>
        <w:tc>
          <w:tcPr>
            <w:tcW w:w="3463" w:type="pct"/>
            <w:vAlign w:val="center"/>
          </w:tcPr>
          <w:p w14:paraId="77358514" w14:textId="2AE022C3" w:rsidR="00487DC8" w:rsidRDefault="00487DC8" w:rsidP="00487DC8">
            <w:pPr>
              <w:spacing w:before="40" w:after="120"/>
            </w:pPr>
            <w:r>
              <w:t>Appendix C: Resumes</w:t>
            </w:r>
          </w:p>
        </w:tc>
        <w:tc>
          <w:tcPr>
            <w:tcW w:w="1015" w:type="pct"/>
            <w:vAlign w:val="center"/>
          </w:tcPr>
          <w:p w14:paraId="5B3F3917" w14:textId="1FF9721D" w:rsidR="00487DC8" w:rsidRDefault="00487DC8" w:rsidP="00487DC8">
            <w:pPr>
              <w:spacing w:before="40" w:after="120"/>
            </w:pPr>
            <w:r>
              <w:t>Required</w:t>
            </w:r>
          </w:p>
        </w:tc>
        <w:tc>
          <w:tcPr>
            <w:tcW w:w="522" w:type="pct"/>
            <w:vAlign w:val="center"/>
          </w:tcPr>
          <w:p w14:paraId="237E05B1" w14:textId="77777777" w:rsidR="00487DC8" w:rsidRDefault="00487DC8" w:rsidP="00487DC8">
            <w:pPr>
              <w:spacing w:before="40" w:after="120"/>
            </w:pPr>
          </w:p>
        </w:tc>
      </w:tr>
      <w:tr w:rsidR="00487DC8" w14:paraId="613EA53B" w14:textId="77777777" w:rsidTr="006D2EEC">
        <w:trPr>
          <w:cantSplit/>
        </w:trPr>
        <w:tc>
          <w:tcPr>
            <w:tcW w:w="3463" w:type="pct"/>
            <w:vAlign w:val="center"/>
          </w:tcPr>
          <w:p w14:paraId="1486676E" w14:textId="7ACB617E" w:rsidR="00487DC8" w:rsidRDefault="00487DC8" w:rsidP="00487DC8">
            <w:pPr>
              <w:spacing w:before="40" w:after="120"/>
            </w:pPr>
            <w:r>
              <w:t>Appendix D: Letters of Support</w:t>
            </w:r>
          </w:p>
        </w:tc>
        <w:tc>
          <w:tcPr>
            <w:tcW w:w="1015" w:type="pct"/>
            <w:vAlign w:val="center"/>
          </w:tcPr>
          <w:p w14:paraId="033A94AC" w14:textId="2121B8C6" w:rsidR="00487DC8" w:rsidRDefault="00487DC8" w:rsidP="00487DC8">
            <w:pPr>
              <w:spacing w:before="40" w:after="120"/>
            </w:pPr>
            <w:r>
              <w:t>Required</w:t>
            </w:r>
          </w:p>
        </w:tc>
        <w:tc>
          <w:tcPr>
            <w:tcW w:w="522" w:type="pct"/>
            <w:vAlign w:val="center"/>
          </w:tcPr>
          <w:p w14:paraId="79663650" w14:textId="77777777" w:rsidR="00487DC8" w:rsidRDefault="00487DC8" w:rsidP="00487DC8">
            <w:pPr>
              <w:spacing w:before="40" w:after="120"/>
            </w:pPr>
          </w:p>
        </w:tc>
      </w:tr>
      <w:tr w:rsidR="005F459C" w14:paraId="3E426432" w14:textId="77777777" w:rsidTr="006D2EEC">
        <w:trPr>
          <w:cantSplit/>
        </w:trPr>
        <w:tc>
          <w:tcPr>
            <w:tcW w:w="3463" w:type="pct"/>
            <w:vAlign w:val="center"/>
          </w:tcPr>
          <w:p w14:paraId="1647F0AA" w14:textId="51FAE024" w:rsidR="005F459C" w:rsidRPr="000C24D5" w:rsidRDefault="005F459C" w:rsidP="00487DC8">
            <w:pPr>
              <w:spacing w:before="40" w:after="120"/>
            </w:pPr>
            <w:r w:rsidRPr="000C24D5">
              <w:t>Appendix E: Technical Assistance Portfolio</w:t>
            </w:r>
          </w:p>
        </w:tc>
        <w:tc>
          <w:tcPr>
            <w:tcW w:w="1015" w:type="pct"/>
            <w:vAlign w:val="center"/>
          </w:tcPr>
          <w:p w14:paraId="60E86F97" w14:textId="77071139" w:rsidR="005F459C" w:rsidRPr="000C24D5" w:rsidRDefault="005F459C" w:rsidP="00487DC8">
            <w:pPr>
              <w:spacing w:before="40" w:after="120"/>
            </w:pPr>
            <w:r w:rsidRPr="000C24D5">
              <w:t>Required</w:t>
            </w:r>
          </w:p>
        </w:tc>
        <w:tc>
          <w:tcPr>
            <w:tcW w:w="522" w:type="pct"/>
            <w:vAlign w:val="center"/>
          </w:tcPr>
          <w:p w14:paraId="500DD8C9" w14:textId="77777777" w:rsidR="005F459C" w:rsidRDefault="005F459C" w:rsidP="00487DC8">
            <w:pPr>
              <w:spacing w:before="40" w:after="120"/>
            </w:pPr>
          </w:p>
        </w:tc>
      </w:tr>
    </w:tbl>
    <w:p w14:paraId="1D81D448" w14:textId="18B9975D" w:rsidR="00ED2E9C" w:rsidRDefault="00ED2E9C" w:rsidP="00CA40D1"/>
    <w:p w14:paraId="31627628" w14:textId="77777777" w:rsidR="00ED2E9C" w:rsidRDefault="00ED2E9C" w:rsidP="00CA40D1">
      <w:pPr>
        <w:sectPr w:rsidR="00ED2E9C" w:rsidSect="00927630">
          <w:headerReference w:type="default" r:id="rId20"/>
          <w:type w:val="continuous"/>
          <w:pgSz w:w="12240" w:h="15840"/>
          <w:pgMar w:top="1440" w:right="1440" w:bottom="1440" w:left="1440" w:header="720" w:footer="720" w:gutter="0"/>
          <w:cols w:space="720"/>
          <w:docGrid w:linePitch="299"/>
        </w:sectPr>
      </w:pPr>
    </w:p>
    <w:p w14:paraId="2E21C6A2" w14:textId="0C473D7F" w:rsidR="00754C79" w:rsidRPr="00DB4CDB" w:rsidRDefault="00754C79" w:rsidP="00C1527E">
      <w:pPr>
        <w:pStyle w:val="Heading2"/>
        <w:jc w:val="center"/>
      </w:pPr>
      <w:bookmarkStart w:id="45" w:name="_Toc515443955"/>
      <w:bookmarkStart w:id="46" w:name="_Toc516834975"/>
      <w:bookmarkStart w:id="47" w:name="_Toc199842731"/>
      <w:r w:rsidRPr="00DB4CDB">
        <w:lastRenderedPageBreak/>
        <w:t>Form 2</w:t>
      </w:r>
      <w:r w:rsidR="00786263" w:rsidRPr="00DB4CDB">
        <w:t xml:space="preserve"> – Sub</w:t>
      </w:r>
      <w:r w:rsidR="00747770">
        <w:t>g</w:t>
      </w:r>
      <w:r w:rsidR="00786263" w:rsidRPr="00DB4CDB">
        <w:t xml:space="preserve">rant </w:t>
      </w:r>
      <w:r w:rsidRPr="00DB4CDB">
        <w:t xml:space="preserve">Application Cover </w:t>
      </w:r>
      <w:bookmarkEnd w:id="45"/>
      <w:bookmarkEnd w:id="46"/>
      <w:r w:rsidR="00786263" w:rsidRPr="00DB4CDB">
        <w:t>Page</w:t>
      </w:r>
      <w:bookmarkEnd w:id="47"/>
    </w:p>
    <w:p w14:paraId="25FACE02" w14:textId="0DB9C67B" w:rsidR="00AE6FB3" w:rsidRPr="00DB4CDB" w:rsidRDefault="00AE6FB3" w:rsidP="00C1527E">
      <w:pPr>
        <w:pStyle w:val="Heading3"/>
      </w:pPr>
      <w:bookmarkStart w:id="48" w:name="_Toc77310252"/>
      <w:bookmarkStart w:id="49" w:name="_Toc77335620"/>
      <w:bookmarkStart w:id="50" w:name="_Toc92803889"/>
      <w:bookmarkStart w:id="51" w:name="_Toc199842732"/>
      <w:r w:rsidRPr="00DB4CDB">
        <w:t>Applica</w:t>
      </w:r>
      <w:r w:rsidR="00ED7FDE" w:rsidRPr="00DB4CDB">
        <w:t>nt</w:t>
      </w:r>
      <w:r w:rsidRPr="00DB4CDB">
        <w:t xml:space="preserve"> </w:t>
      </w:r>
      <w:r w:rsidR="00ED7FDE" w:rsidRPr="00DB4CDB">
        <w:t>Information</w:t>
      </w:r>
      <w:bookmarkEnd w:id="48"/>
      <w:bookmarkEnd w:id="49"/>
      <w:bookmarkEnd w:id="50"/>
      <w:bookmarkEnd w:id="51"/>
    </w:p>
    <w:tbl>
      <w:tblPr>
        <w:tblStyle w:val="TableGrid1"/>
        <w:tblW w:w="5000" w:type="pct"/>
        <w:tblLook w:val="04A0" w:firstRow="1" w:lastRow="0" w:firstColumn="1" w:lastColumn="0" w:noHBand="0" w:noVBand="1"/>
        <w:tblDescription w:val="Applicant Information"/>
      </w:tblPr>
      <w:tblGrid>
        <w:gridCol w:w="3325"/>
        <w:gridCol w:w="6025"/>
      </w:tblGrid>
      <w:tr w:rsidR="00927630" w:rsidRPr="00DB4CDB" w14:paraId="1A51649F" w14:textId="77777777" w:rsidTr="006D2EEC">
        <w:trPr>
          <w:cantSplit/>
          <w:tblHeader/>
        </w:trPr>
        <w:tc>
          <w:tcPr>
            <w:tcW w:w="1778" w:type="pct"/>
            <w:shd w:val="clear" w:color="auto" w:fill="BFBFBF" w:themeFill="background1" w:themeFillShade="BF"/>
            <w:vAlign w:val="center"/>
          </w:tcPr>
          <w:p w14:paraId="46215734" w14:textId="77777777" w:rsidR="00927630" w:rsidRPr="00DB4CDB" w:rsidRDefault="00927630" w:rsidP="00CA40D1">
            <w:pPr>
              <w:spacing w:after="120"/>
              <w:jc w:val="center"/>
              <w:rPr>
                <w:rFonts w:cs="Arial"/>
                <w:b/>
                <w:szCs w:val="24"/>
              </w:rPr>
            </w:pPr>
            <w:r w:rsidRPr="00DB4CDB">
              <w:rPr>
                <w:rFonts w:cs="Arial"/>
                <w:b/>
                <w:szCs w:val="24"/>
              </w:rPr>
              <w:t>Required Fields</w:t>
            </w:r>
          </w:p>
        </w:tc>
        <w:tc>
          <w:tcPr>
            <w:tcW w:w="3222" w:type="pct"/>
            <w:shd w:val="clear" w:color="auto" w:fill="BFBFBF" w:themeFill="background1" w:themeFillShade="BF"/>
            <w:vAlign w:val="center"/>
          </w:tcPr>
          <w:p w14:paraId="081B4C79" w14:textId="77777777" w:rsidR="00927630" w:rsidRPr="00DB4CDB" w:rsidRDefault="00927630" w:rsidP="00CA40D1">
            <w:pPr>
              <w:spacing w:after="120"/>
              <w:jc w:val="center"/>
              <w:rPr>
                <w:rFonts w:cs="Arial"/>
                <w:b/>
                <w:szCs w:val="24"/>
              </w:rPr>
            </w:pPr>
            <w:r w:rsidRPr="00DB4CDB">
              <w:rPr>
                <w:rFonts w:cs="Arial"/>
                <w:b/>
                <w:szCs w:val="24"/>
              </w:rPr>
              <w:t>Applicant Information</w:t>
            </w:r>
          </w:p>
        </w:tc>
      </w:tr>
      <w:tr w:rsidR="00927630" w:rsidRPr="00DB4CDB" w14:paraId="78E69818" w14:textId="77777777" w:rsidTr="006D2EEC">
        <w:trPr>
          <w:cantSplit/>
        </w:trPr>
        <w:tc>
          <w:tcPr>
            <w:tcW w:w="1778" w:type="pct"/>
            <w:vAlign w:val="center"/>
          </w:tcPr>
          <w:p w14:paraId="3F8DF71C" w14:textId="11129B83" w:rsidR="00927630" w:rsidRPr="00DB4CDB" w:rsidRDefault="0098594B" w:rsidP="00CA40D1">
            <w:pPr>
              <w:rPr>
                <w:rFonts w:cs="Arial"/>
                <w:szCs w:val="24"/>
              </w:rPr>
            </w:pPr>
            <w:r w:rsidRPr="00DB4CDB">
              <w:rPr>
                <w:rFonts w:cs="Arial"/>
                <w:szCs w:val="24"/>
              </w:rPr>
              <w:t xml:space="preserve">Primary Applicant </w:t>
            </w:r>
            <w:r w:rsidR="00927630" w:rsidRPr="00DB4CDB">
              <w:rPr>
                <w:rFonts w:cs="Arial"/>
                <w:szCs w:val="24"/>
              </w:rPr>
              <w:t>Organization Name:</w:t>
            </w:r>
          </w:p>
        </w:tc>
        <w:tc>
          <w:tcPr>
            <w:tcW w:w="3222" w:type="pct"/>
            <w:vAlign w:val="center"/>
          </w:tcPr>
          <w:p w14:paraId="444DD4B9" w14:textId="77777777" w:rsidR="00927630" w:rsidRPr="00DB4CDB" w:rsidRDefault="00927630" w:rsidP="00CA40D1">
            <w:pPr>
              <w:spacing w:after="120"/>
              <w:rPr>
                <w:rFonts w:cs="Arial"/>
                <w:szCs w:val="24"/>
              </w:rPr>
            </w:pPr>
          </w:p>
        </w:tc>
      </w:tr>
      <w:tr w:rsidR="00927630" w:rsidRPr="00DB4CDB" w14:paraId="15BFF1AD" w14:textId="77777777" w:rsidTr="006D2EEC">
        <w:trPr>
          <w:cantSplit/>
        </w:trPr>
        <w:tc>
          <w:tcPr>
            <w:tcW w:w="1778" w:type="pct"/>
            <w:vAlign w:val="center"/>
          </w:tcPr>
          <w:p w14:paraId="4165B739" w14:textId="30BDE9B2" w:rsidR="00927630" w:rsidRPr="00DB4CDB" w:rsidRDefault="00927630" w:rsidP="00CA40D1">
            <w:pPr>
              <w:rPr>
                <w:rFonts w:cs="Arial"/>
                <w:szCs w:val="24"/>
              </w:rPr>
            </w:pPr>
            <w:r w:rsidRPr="00DB4CDB">
              <w:rPr>
                <w:rFonts w:cs="Arial"/>
                <w:szCs w:val="24"/>
              </w:rPr>
              <w:t xml:space="preserve">Indicate Type of </w:t>
            </w:r>
            <w:r w:rsidR="0083180A">
              <w:rPr>
                <w:rFonts w:cs="Arial"/>
                <w:szCs w:val="24"/>
              </w:rPr>
              <w:t>Entity</w:t>
            </w:r>
            <w:r w:rsidRPr="00DB4CDB">
              <w:rPr>
                <w:rFonts w:cs="Arial"/>
                <w:szCs w:val="24"/>
              </w:rPr>
              <w:t>: (</w:t>
            </w:r>
            <w:r w:rsidR="001A5D28" w:rsidRPr="00DB4CDB">
              <w:rPr>
                <w:rFonts w:cs="Arial"/>
                <w:szCs w:val="24"/>
              </w:rPr>
              <w:t>e.g.</w:t>
            </w:r>
            <w:r w:rsidR="00BD6486">
              <w:rPr>
                <w:rFonts w:cs="Arial"/>
                <w:szCs w:val="24"/>
              </w:rPr>
              <w:t xml:space="preserve"> </w:t>
            </w:r>
            <w:r w:rsidRPr="00DB4CDB">
              <w:rPr>
                <w:rFonts w:cs="Arial"/>
                <w:szCs w:val="24"/>
              </w:rPr>
              <w:t>COE, District, or Non-Profit)</w:t>
            </w:r>
          </w:p>
        </w:tc>
        <w:tc>
          <w:tcPr>
            <w:tcW w:w="3222" w:type="pct"/>
            <w:vAlign w:val="center"/>
          </w:tcPr>
          <w:p w14:paraId="7632CBC3" w14:textId="77777777" w:rsidR="00927630" w:rsidRPr="00DB4CDB" w:rsidRDefault="00927630" w:rsidP="00CA40D1">
            <w:pPr>
              <w:spacing w:after="120"/>
              <w:rPr>
                <w:rFonts w:cs="Arial"/>
                <w:szCs w:val="24"/>
              </w:rPr>
            </w:pPr>
          </w:p>
        </w:tc>
      </w:tr>
      <w:tr w:rsidR="00927630" w:rsidRPr="00DB4CDB" w14:paraId="75FCDE82" w14:textId="77777777" w:rsidTr="006D2EEC">
        <w:trPr>
          <w:cantSplit/>
        </w:trPr>
        <w:tc>
          <w:tcPr>
            <w:tcW w:w="1778" w:type="pct"/>
            <w:vAlign w:val="center"/>
          </w:tcPr>
          <w:p w14:paraId="7FA73ACF" w14:textId="77777777" w:rsidR="00927630" w:rsidRPr="00DB4CDB" w:rsidRDefault="00927630" w:rsidP="00CA40D1">
            <w:pPr>
              <w:rPr>
                <w:rFonts w:cs="Arial"/>
                <w:szCs w:val="24"/>
              </w:rPr>
            </w:pPr>
            <w:r w:rsidRPr="00DB4CDB">
              <w:rPr>
                <w:rFonts w:cs="Arial"/>
                <w:szCs w:val="24"/>
              </w:rPr>
              <w:t>Address:</w:t>
            </w:r>
          </w:p>
        </w:tc>
        <w:tc>
          <w:tcPr>
            <w:tcW w:w="3222" w:type="pct"/>
            <w:vAlign w:val="center"/>
          </w:tcPr>
          <w:p w14:paraId="4D88038C" w14:textId="77777777" w:rsidR="00927630" w:rsidRPr="00DB4CDB" w:rsidRDefault="00927630" w:rsidP="00CA40D1">
            <w:pPr>
              <w:spacing w:after="120"/>
              <w:rPr>
                <w:rFonts w:cs="Arial"/>
                <w:szCs w:val="24"/>
              </w:rPr>
            </w:pPr>
          </w:p>
        </w:tc>
      </w:tr>
      <w:tr w:rsidR="00927630" w:rsidRPr="00DB4CDB" w14:paraId="20594A27" w14:textId="77777777" w:rsidTr="006D2EEC">
        <w:trPr>
          <w:cantSplit/>
        </w:trPr>
        <w:tc>
          <w:tcPr>
            <w:tcW w:w="1778" w:type="pct"/>
            <w:vAlign w:val="center"/>
          </w:tcPr>
          <w:p w14:paraId="00F11A77" w14:textId="77777777" w:rsidR="00927630" w:rsidRPr="00DB4CDB" w:rsidRDefault="00927630" w:rsidP="00CA40D1">
            <w:pPr>
              <w:rPr>
                <w:rFonts w:cs="Arial"/>
                <w:szCs w:val="24"/>
              </w:rPr>
            </w:pPr>
            <w:r w:rsidRPr="00DB4CDB">
              <w:rPr>
                <w:rFonts w:cs="Arial"/>
                <w:szCs w:val="24"/>
              </w:rPr>
              <w:t xml:space="preserve">County: </w:t>
            </w:r>
          </w:p>
        </w:tc>
        <w:tc>
          <w:tcPr>
            <w:tcW w:w="3222" w:type="pct"/>
            <w:vAlign w:val="center"/>
          </w:tcPr>
          <w:p w14:paraId="3C90F6CF" w14:textId="77777777" w:rsidR="00927630" w:rsidRPr="00DB4CDB" w:rsidRDefault="00927630" w:rsidP="00CA40D1">
            <w:pPr>
              <w:spacing w:after="120"/>
              <w:rPr>
                <w:rFonts w:cs="Arial"/>
                <w:szCs w:val="24"/>
              </w:rPr>
            </w:pPr>
          </w:p>
        </w:tc>
      </w:tr>
      <w:tr w:rsidR="006A7F18" w:rsidRPr="00DB4CDB" w14:paraId="6BF566A8" w14:textId="77777777" w:rsidTr="006D2EEC">
        <w:trPr>
          <w:cantSplit/>
        </w:trPr>
        <w:tc>
          <w:tcPr>
            <w:tcW w:w="1778" w:type="pct"/>
            <w:vAlign w:val="center"/>
          </w:tcPr>
          <w:p w14:paraId="26D31531" w14:textId="7C02F370" w:rsidR="006A7F18" w:rsidRPr="00DB4CDB" w:rsidRDefault="006A7F18" w:rsidP="00CA40D1">
            <w:pPr>
              <w:rPr>
                <w:rFonts w:cs="Arial"/>
                <w:szCs w:val="24"/>
              </w:rPr>
            </w:pPr>
            <w:r w:rsidRPr="00DB4CDB">
              <w:rPr>
                <w:rFonts w:eastAsia="Arial" w:cs="Arial"/>
                <w:szCs w:val="24"/>
              </w:rPr>
              <w:t xml:space="preserve">Primary Applicant </w:t>
            </w:r>
            <w:r w:rsidR="00AC3EE0">
              <w:rPr>
                <w:rFonts w:eastAsia="Arial" w:cs="Arial"/>
                <w:szCs w:val="24"/>
              </w:rPr>
              <w:t>UEI</w:t>
            </w:r>
            <w:r w:rsidRPr="00DB4CDB">
              <w:rPr>
                <w:rFonts w:eastAsia="Arial" w:cs="Arial"/>
                <w:szCs w:val="24"/>
              </w:rPr>
              <w:t xml:space="preserve"> Number:</w:t>
            </w:r>
          </w:p>
        </w:tc>
        <w:tc>
          <w:tcPr>
            <w:tcW w:w="3222" w:type="pct"/>
            <w:vAlign w:val="center"/>
          </w:tcPr>
          <w:p w14:paraId="0AE0C515" w14:textId="77777777" w:rsidR="006A7F18" w:rsidRPr="00DB4CDB" w:rsidRDefault="006A7F18" w:rsidP="00CA40D1">
            <w:pPr>
              <w:spacing w:after="120"/>
              <w:rPr>
                <w:rFonts w:cs="Arial"/>
                <w:szCs w:val="24"/>
              </w:rPr>
            </w:pPr>
          </w:p>
        </w:tc>
      </w:tr>
      <w:tr w:rsidR="00927630" w:rsidRPr="00DB4CDB" w14:paraId="2019598E" w14:textId="77777777" w:rsidTr="006D2EEC">
        <w:trPr>
          <w:cantSplit/>
        </w:trPr>
        <w:tc>
          <w:tcPr>
            <w:tcW w:w="1778" w:type="pct"/>
            <w:vAlign w:val="center"/>
          </w:tcPr>
          <w:p w14:paraId="1C7E8F24" w14:textId="511394B8" w:rsidR="00927630" w:rsidRPr="00DB4CDB" w:rsidRDefault="00CC75AE" w:rsidP="00CA40D1">
            <w:pPr>
              <w:rPr>
                <w:rFonts w:cs="Arial"/>
                <w:szCs w:val="24"/>
              </w:rPr>
            </w:pPr>
            <w:r>
              <w:rPr>
                <w:rFonts w:cs="Arial"/>
                <w:szCs w:val="24"/>
              </w:rPr>
              <w:t>Subgrant Monitor</w:t>
            </w:r>
            <w:r w:rsidR="00844FA8" w:rsidRPr="00DB4CDB">
              <w:rPr>
                <w:rFonts w:cs="Arial"/>
                <w:szCs w:val="24"/>
              </w:rPr>
              <w:t xml:space="preserve"> Name</w:t>
            </w:r>
            <w:r w:rsidR="00914B9D" w:rsidRPr="00DB4CDB">
              <w:rPr>
                <w:rFonts w:cs="Arial"/>
                <w:szCs w:val="24"/>
              </w:rPr>
              <w:t xml:space="preserve"> and Title</w:t>
            </w:r>
            <w:r w:rsidR="00844FA8" w:rsidRPr="00DB4CDB">
              <w:rPr>
                <w:rFonts w:cs="Arial"/>
                <w:szCs w:val="24"/>
              </w:rPr>
              <w:t>:</w:t>
            </w:r>
          </w:p>
        </w:tc>
        <w:tc>
          <w:tcPr>
            <w:tcW w:w="3222" w:type="pct"/>
            <w:vAlign w:val="center"/>
          </w:tcPr>
          <w:p w14:paraId="3E460ACE" w14:textId="77777777" w:rsidR="00927630" w:rsidRPr="00DB4CDB" w:rsidRDefault="00927630" w:rsidP="00CA40D1">
            <w:pPr>
              <w:spacing w:after="120"/>
              <w:rPr>
                <w:rFonts w:cs="Arial"/>
                <w:szCs w:val="24"/>
              </w:rPr>
            </w:pPr>
          </w:p>
        </w:tc>
      </w:tr>
      <w:tr w:rsidR="00927630" w:rsidRPr="00DB4CDB" w14:paraId="6CA175EF" w14:textId="77777777" w:rsidTr="006D2EEC">
        <w:trPr>
          <w:cantSplit/>
        </w:trPr>
        <w:tc>
          <w:tcPr>
            <w:tcW w:w="1778" w:type="pct"/>
            <w:vAlign w:val="center"/>
          </w:tcPr>
          <w:p w14:paraId="078D5277" w14:textId="548ADEA3" w:rsidR="00927630" w:rsidRPr="00DB4CDB" w:rsidRDefault="00CC75AE" w:rsidP="00CA40D1">
            <w:pPr>
              <w:rPr>
                <w:rFonts w:cs="Arial"/>
                <w:szCs w:val="24"/>
              </w:rPr>
            </w:pPr>
            <w:r>
              <w:rPr>
                <w:rFonts w:cs="Arial"/>
                <w:szCs w:val="24"/>
              </w:rPr>
              <w:t>Subgrant Monitor</w:t>
            </w:r>
            <w:r w:rsidR="00844FA8" w:rsidRPr="00DB4CDB">
              <w:rPr>
                <w:rFonts w:cs="Arial"/>
                <w:szCs w:val="24"/>
              </w:rPr>
              <w:t xml:space="preserve"> </w:t>
            </w:r>
            <w:r w:rsidR="00927630" w:rsidRPr="00DB4CDB">
              <w:rPr>
                <w:rFonts w:cs="Arial"/>
                <w:szCs w:val="24"/>
              </w:rPr>
              <w:t>Phone Number:</w:t>
            </w:r>
          </w:p>
        </w:tc>
        <w:tc>
          <w:tcPr>
            <w:tcW w:w="3222" w:type="pct"/>
            <w:vAlign w:val="center"/>
          </w:tcPr>
          <w:p w14:paraId="53A14358" w14:textId="77777777" w:rsidR="00927630" w:rsidRPr="00DB4CDB" w:rsidRDefault="00927630" w:rsidP="00CA40D1">
            <w:pPr>
              <w:spacing w:after="120"/>
              <w:rPr>
                <w:rFonts w:cs="Arial"/>
                <w:szCs w:val="24"/>
              </w:rPr>
            </w:pPr>
          </w:p>
        </w:tc>
      </w:tr>
      <w:tr w:rsidR="0098594B" w:rsidRPr="00DB4CDB" w14:paraId="31FDD677" w14:textId="77777777" w:rsidTr="006D2EEC">
        <w:trPr>
          <w:cantSplit/>
        </w:trPr>
        <w:tc>
          <w:tcPr>
            <w:tcW w:w="1778" w:type="pct"/>
            <w:vAlign w:val="center"/>
          </w:tcPr>
          <w:p w14:paraId="41B169DD" w14:textId="5FBBDA9F" w:rsidR="0098594B" w:rsidRPr="00DB4CDB" w:rsidRDefault="00CC75AE" w:rsidP="00CA40D1">
            <w:pPr>
              <w:rPr>
                <w:rFonts w:cs="Arial"/>
                <w:szCs w:val="24"/>
              </w:rPr>
            </w:pPr>
            <w:r>
              <w:rPr>
                <w:rFonts w:cs="Arial"/>
                <w:szCs w:val="24"/>
              </w:rPr>
              <w:t xml:space="preserve">Subgrant Monitor </w:t>
            </w:r>
            <w:r w:rsidR="0098594B" w:rsidRPr="00DB4CDB">
              <w:rPr>
                <w:rFonts w:cs="Arial"/>
                <w:szCs w:val="24"/>
              </w:rPr>
              <w:t>Email:</w:t>
            </w:r>
          </w:p>
        </w:tc>
        <w:tc>
          <w:tcPr>
            <w:tcW w:w="3222" w:type="pct"/>
            <w:vAlign w:val="center"/>
          </w:tcPr>
          <w:p w14:paraId="4E3713C2" w14:textId="77777777" w:rsidR="0098594B" w:rsidRPr="00DB4CDB" w:rsidRDefault="0098594B" w:rsidP="00CA40D1">
            <w:pPr>
              <w:spacing w:after="120"/>
              <w:rPr>
                <w:rFonts w:cs="Arial"/>
                <w:szCs w:val="24"/>
              </w:rPr>
            </w:pPr>
          </w:p>
        </w:tc>
      </w:tr>
      <w:tr w:rsidR="0098594B" w:rsidRPr="00DB4CDB" w14:paraId="5F58B06F" w14:textId="77777777" w:rsidTr="006D2EEC">
        <w:trPr>
          <w:cantSplit/>
        </w:trPr>
        <w:tc>
          <w:tcPr>
            <w:tcW w:w="1778" w:type="pct"/>
            <w:vAlign w:val="center"/>
          </w:tcPr>
          <w:p w14:paraId="1F4F8FF6" w14:textId="7C07AB1A" w:rsidR="0098594B" w:rsidRPr="00DB4CDB" w:rsidRDefault="0098594B" w:rsidP="00CA40D1">
            <w:pPr>
              <w:rPr>
                <w:rFonts w:cs="Arial"/>
                <w:szCs w:val="24"/>
              </w:rPr>
            </w:pPr>
            <w:r w:rsidRPr="00DB4CDB">
              <w:rPr>
                <w:rFonts w:cs="Arial"/>
                <w:szCs w:val="24"/>
              </w:rPr>
              <w:t>Fiscal Manager Name</w:t>
            </w:r>
            <w:r w:rsidR="00CE1C76" w:rsidRPr="00DB4CDB">
              <w:rPr>
                <w:rFonts w:cs="Arial"/>
                <w:szCs w:val="24"/>
              </w:rPr>
              <w:t xml:space="preserve"> and Title</w:t>
            </w:r>
            <w:r w:rsidRPr="00DB4CDB">
              <w:rPr>
                <w:rFonts w:cs="Arial"/>
                <w:szCs w:val="24"/>
              </w:rPr>
              <w:t>:</w:t>
            </w:r>
          </w:p>
        </w:tc>
        <w:tc>
          <w:tcPr>
            <w:tcW w:w="3222" w:type="pct"/>
            <w:vAlign w:val="center"/>
          </w:tcPr>
          <w:p w14:paraId="4A52A38A" w14:textId="77777777" w:rsidR="0098594B" w:rsidRPr="00DB4CDB" w:rsidRDefault="0098594B" w:rsidP="00CA40D1">
            <w:pPr>
              <w:spacing w:after="120"/>
              <w:rPr>
                <w:rFonts w:cs="Arial"/>
                <w:szCs w:val="24"/>
              </w:rPr>
            </w:pPr>
          </w:p>
        </w:tc>
      </w:tr>
      <w:tr w:rsidR="0098594B" w:rsidRPr="00DB4CDB" w14:paraId="7788A96A" w14:textId="77777777" w:rsidTr="006D2EEC">
        <w:trPr>
          <w:cantSplit/>
        </w:trPr>
        <w:tc>
          <w:tcPr>
            <w:tcW w:w="1778" w:type="pct"/>
            <w:vAlign w:val="center"/>
          </w:tcPr>
          <w:p w14:paraId="1B81B721" w14:textId="1CE16F5F" w:rsidR="0098594B" w:rsidRPr="00DB4CDB" w:rsidRDefault="0098594B" w:rsidP="00CA40D1">
            <w:pPr>
              <w:rPr>
                <w:rFonts w:cs="Arial"/>
                <w:szCs w:val="24"/>
              </w:rPr>
            </w:pPr>
            <w:r w:rsidRPr="00DB4CDB">
              <w:rPr>
                <w:rFonts w:cs="Arial"/>
                <w:szCs w:val="24"/>
              </w:rPr>
              <w:t>Fiscal Manager Phone Number:</w:t>
            </w:r>
          </w:p>
        </w:tc>
        <w:tc>
          <w:tcPr>
            <w:tcW w:w="3222" w:type="pct"/>
            <w:vAlign w:val="center"/>
          </w:tcPr>
          <w:p w14:paraId="5A5B318C" w14:textId="77777777" w:rsidR="0098594B" w:rsidRPr="00DB4CDB" w:rsidRDefault="0098594B" w:rsidP="00CA40D1">
            <w:pPr>
              <w:spacing w:after="120"/>
              <w:rPr>
                <w:rFonts w:cs="Arial"/>
                <w:szCs w:val="24"/>
              </w:rPr>
            </w:pPr>
          </w:p>
        </w:tc>
      </w:tr>
      <w:tr w:rsidR="0098594B" w:rsidRPr="00DB4CDB" w14:paraId="0DA376F5" w14:textId="77777777" w:rsidTr="006D2EEC">
        <w:trPr>
          <w:cantSplit/>
        </w:trPr>
        <w:tc>
          <w:tcPr>
            <w:tcW w:w="1778" w:type="pct"/>
            <w:vAlign w:val="center"/>
          </w:tcPr>
          <w:p w14:paraId="1F81CCC7" w14:textId="1AC54137" w:rsidR="0098594B" w:rsidRPr="00DB4CDB" w:rsidRDefault="0098594B" w:rsidP="00CA40D1">
            <w:pPr>
              <w:rPr>
                <w:rFonts w:cs="Arial"/>
                <w:szCs w:val="24"/>
              </w:rPr>
            </w:pPr>
            <w:r w:rsidRPr="00DB4CDB">
              <w:rPr>
                <w:rFonts w:cs="Arial"/>
                <w:szCs w:val="24"/>
              </w:rPr>
              <w:t>Fiscal Manager Email:</w:t>
            </w:r>
          </w:p>
        </w:tc>
        <w:tc>
          <w:tcPr>
            <w:tcW w:w="3222" w:type="pct"/>
            <w:vAlign w:val="center"/>
          </w:tcPr>
          <w:p w14:paraId="5199A032" w14:textId="77777777" w:rsidR="0098594B" w:rsidRPr="00DB4CDB" w:rsidRDefault="0098594B" w:rsidP="00CA40D1">
            <w:pPr>
              <w:spacing w:after="120"/>
              <w:rPr>
                <w:rFonts w:cs="Arial"/>
                <w:szCs w:val="24"/>
              </w:rPr>
            </w:pPr>
          </w:p>
        </w:tc>
      </w:tr>
    </w:tbl>
    <w:p w14:paraId="79952C69" w14:textId="77777777" w:rsidR="00927630" w:rsidRPr="00DB4CDB" w:rsidRDefault="00927630" w:rsidP="00CA40D1">
      <w:pPr>
        <w:spacing w:before="100" w:beforeAutospacing="1"/>
        <w:rPr>
          <w:rFonts w:eastAsia="Arial" w:cs="Arial"/>
          <w:b/>
          <w:sz w:val="28"/>
          <w:szCs w:val="28"/>
        </w:rPr>
        <w:sectPr w:rsidR="00927630" w:rsidRPr="00DB4CDB" w:rsidSect="00ED2E9C">
          <w:pgSz w:w="12240" w:h="15840"/>
          <w:pgMar w:top="1440" w:right="1440" w:bottom="1440" w:left="1440" w:header="720" w:footer="720" w:gutter="0"/>
          <w:cols w:space="720"/>
          <w:docGrid w:linePitch="299"/>
        </w:sectPr>
      </w:pPr>
    </w:p>
    <w:p w14:paraId="083555B0" w14:textId="5080E3C1" w:rsidR="00AE6FB3" w:rsidRPr="00DB4CDB" w:rsidRDefault="00A556F0" w:rsidP="00453FA2">
      <w:pPr>
        <w:pStyle w:val="Heading3"/>
      </w:pPr>
      <w:bookmarkStart w:id="52" w:name="_Toc77310253"/>
      <w:bookmarkStart w:id="53" w:name="_Toc77335621"/>
      <w:bookmarkStart w:id="54" w:name="_Toc92803890"/>
      <w:bookmarkStart w:id="55" w:name="_Toc199842733"/>
      <w:r>
        <w:lastRenderedPageBreak/>
        <w:t xml:space="preserve">Primary Applicant </w:t>
      </w:r>
      <w:r w:rsidR="00AE6FB3" w:rsidRPr="00DB4CDB">
        <w:t>Certification, Assurance, and Signature Section</w:t>
      </w:r>
      <w:bookmarkEnd w:id="52"/>
      <w:bookmarkEnd w:id="53"/>
      <w:bookmarkEnd w:id="54"/>
      <w:bookmarkEnd w:id="55"/>
    </w:p>
    <w:p w14:paraId="3BC893CE" w14:textId="77777777" w:rsidR="00A556F0" w:rsidRPr="00A556F0" w:rsidRDefault="00A556F0" w:rsidP="00A556F0">
      <w:pPr>
        <w:pStyle w:val="Default"/>
        <w:spacing w:before="240" w:after="240"/>
        <w:rPr>
          <w:rFonts w:ascii="Arial" w:hAnsi="Arial" w:cs="Arial"/>
        </w:rPr>
      </w:pPr>
      <w:r w:rsidRPr="00A556F0">
        <w:rPr>
          <w:rFonts w:ascii="Arial" w:hAnsi="Arial" w:cs="Arial"/>
          <w:b/>
          <w:bCs/>
        </w:rPr>
        <w:t>CERTIFICATION/ASSURANCE</w:t>
      </w:r>
      <w:r w:rsidRPr="00A556F0">
        <w:rPr>
          <w:rFonts w:ascii="Arial" w:hAnsi="Arial" w:cs="Arial"/>
        </w:rPr>
        <w:t xml:space="preserve">: As the duly authorized representative of the applicant, I have read all assurances, certifications, terms, and conditions associated with the Federal Charter Schools Program, and I agree to comply with all requirements as a condition of funding. </w:t>
      </w:r>
    </w:p>
    <w:p w14:paraId="18DB06F4" w14:textId="5FBF20D3" w:rsidR="00A556F0" w:rsidRPr="00A556F0" w:rsidRDefault="00A556F0" w:rsidP="00A556F0">
      <w:pPr>
        <w:pStyle w:val="Default"/>
        <w:spacing w:before="240" w:after="240"/>
        <w:rPr>
          <w:rFonts w:ascii="Arial" w:hAnsi="Arial" w:cs="Arial"/>
        </w:rPr>
      </w:pPr>
      <w:r w:rsidRPr="00A556F0">
        <w:rPr>
          <w:rFonts w:ascii="Arial" w:hAnsi="Arial" w:cs="Arial"/>
        </w:rPr>
        <w:t xml:space="preserve">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 </w:t>
      </w:r>
    </w:p>
    <w:p w14:paraId="25A66C33" w14:textId="77777777" w:rsidR="00A556F0" w:rsidRPr="00A556F0" w:rsidRDefault="00A556F0" w:rsidP="00B477B2">
      <w:pPr>
        <w:pStyle w:val="TableHeader"/>
      </w:pPr>
      <w:r w:rsidRPr="00A556F0">
        <w:t>Certification, Assurances, and Signature</w:t>
      </w:r>
    </w:p>
    <w:tbl>
      <w:tblPr>
        <w:tblStyle w:val="TableGrid"/>
        <w:tblW w:w="5000" w:type="pct"/>
        <w:tblLook w:val="04A0" w:firstRow="1" w:lastRow="0" w:firstColumn="1" w:lastColumn="0" w:noHBand="0" w:noVBand="1"/>
        <w:tblDescription w:val="Certification, Assurances, and Signature"/>
      </w:tblPr>
      <w:tblGrid>
        <w:gridCol w:w="3776"/>
        <w:gridCol w:w="5574"/>
      </w:tblGrid>
      <w:tr w:rsidR="004D2142" w:rsidRPr="00A556F0" w14:paraId="539F5AA8" w14:textId="77777777" w:rsidTr="00B9304E">
        <w:trPr>
          <w:cantSplit/>
          <w:trHeight w:val="552"/>
          <w:tblHeader/>
        </w:trPr>
        <w:tc>
          <w:tcPr>
            <w:tcW w:w="2019" w:type="pct"/>
            <w:shd w:val="clear" w:color="auto" w:fill="BFBFBF" w:themeFill="background1" w:themeFillShade="BF"/>
            <w:vAlign w:val="center"/>
          </w:tcPr>
          <w:p w14:paraId="08977DB9" w14:textId="77777777" w:rsidR="004D2142" w:rsidRPr="00A556F0" w:rsidRDefault="004D2142" w:rsidP="00B9304E">
            <w:pPr>
              <w:jc w:val="center"/>
              <w:rPr>
                <w:szCs w:val="24"/>
              </w:rPr>
            </w:pPr>
            <w:r w:rsidRPr="00A556F0">
              <w:rPr>
                <w:rFonts w:eastAsia="Arial"/>
                <w:b/>
                <w:szCs w:val="24"/>
              </w:rPr>
              <w:t>Required Information</w:t>
            </w:r>
          </w:p>
        </w:tc>
        <w:tc>
          <w:tcPr>
            <w:tcW w:w="2981" w:type="pct"/>
            <w:shd w:val="clear" w:color="auto" w:fill="BFBFBF" w:themeFill="background1" w:themeFillShade="BF"/>
            <w:vAlign w:val="center"/>
          </w:tcPr>
          <w:p w14:paraId="36BEDFE0" w14:textId="77777777" w:rsidR="004D2142" w:rsidRPr="00A556F0" w:rsidRDefault="004D2142" w:rsidP="00B9304E">
            <w:pPr>
              <w:jc w:val="center"/>
              <w:rPr>
                <w:szCs w:val="24"/>
              </w:rPr>
            </w:pPr>
            <w:r w:rsidRPr="00A556F0">
              <w:rPr>
                <w:rFonts w:eastAsia="Arial"/>
                <w:b/>
                <w:szCs w:val="24"/>
              </w:rPr>
              <w:t>Certification Information</w:t>
            </w:r>
          </w:p>
        </w:tc>
      </w:tr>
      <w:tr w:rsidR="004D2142" w:rsidRPr="00A556F0" w14:paraId="14EC95C1" w14:textId="77777777" w:rsidTr="00B9304E">
        <w:trPr>
          <w:cantSplit/>
          <w:trHeight w:val="552"/>
        </w:trPr>
        <w:tc>
          <w:tcPr>
            <w:tcW w:w="2019" w:type="pct"/>
          </w:tcPr>
          <w:p w14:paraId="2365C769" w14:textId="77777777" w:rsidR="004D2142" w:rsidRPr="00A556F0" w:rsidRDefault="004D2142" w:rsidP="00B9304E">
            <w:pPr>
              <w:spacing w:after="120"/>
              <w:rPr>
                <w:szCs w:val="24"/>
              </w:rPr>
            </w:pPr>
            <w:r w:rsidRPr="00A556F0">
              <w:rPr>
                <w:szCs w:val="24"/>
              </w:rPr>
              <w:t>Name of Primary Applicant</w:t>
            </w:r>
          </w:p>
        </w:tc>
        <w:tc>
          <w:tcPr>
            <w:tcW w:w="2981" w:type="pct"/>
          </w:tcPr>
          <w:p w14:paraId="129FBB99" w14:textId="77777777" w:rsidR="004D2142" w:rsidRPr="00A556F0" w:rsidRDefault="004D2142" w:rsidP="00B9304E">
            <w:pPr>
              <w:spacing w:after="120"/>
              <w:rPr>
                <w:szCs w:val="24"/>
              </w:rPr>
            </w:pPr>
          </w:p>
        </w:tc>
      </w:tr>
      <w:tr w:rsidR="004D2142" w:rsidRPr="00A556F0" w14:paraId="7A5C934D" w14:textId="77777777" w:rsidTr="00B9304E">
        <w:trPr>
          <w:cantSplit/>
          <w:trHeight w:val="552"/>
        </w:trPr>
        <w:tc>
          <w:tcPr>
            <w:tcW w:w="2019" w:type="pct"/>
          </w:tcPr>
          <w:p w14:paraId="5339D74B" w14:textId="77777777" w:rsidR="004D2142" w:rsidRPr="00A556F0" w:rsidRDefault="004D2142" w:rsidP="00B9304E">
            <w:pPr>
              <w:spacing w:after="120"/>
              <w:rPr>
                <w:szCs w:val="24"/>
              </w:rPr>
            </w:pPr>
            <w:r w:rsidRPr="00A556F0">
              <w:rPr>
                <w:rFonts w:eastAsia="Arial"/>
                <w:szCs w:val="24"/>
              </w:rPr>
              <w:t xml:space="preserve">Title of </w:t>
            </w:r>
            <w:r w:rsidRPr="00A556F0">
              <w:rPr>
                <w:szCs w:val="24"/>
              </w:rPr>
              <w:t>Primary Applicant</w:t>
            </w:r>
          </w:p>
        </w:tc>
        <w:tc>
          <w:tcPr>
            <w:tcW w:w="2981" w:type="pct"/>
          </w:tcPr>
          <w:p w14:paraId="6D052B57" w14:textId="77777777" w:rsidR="004D2142" w:rsidRPr="00A556F0" w:rsidRDefault="004D2142" w:rsidP="00B9304E">
            <w:pPr>
              <w:spacing w:after="120"/>
              <w:rPr>
                <w:szCs w:val="24"/>
              </w:rPr>
            </w:pPr>
          </w:p>
        </w:tc>
      </w:tr>
      <w:tr w:rsidR="004D2142" w:rsidRPr="00A556F0" w14:paraId="41F03552" w14:textId="77777777" w:rsidTr="00B9304E">
        <w:trPr>
          <w:cantSplit/>
          <w:trHeight w:val="552"/>
        </w:trPr>
        <w:tc>
          <w:tcPr>
            <w:tcW w:w="2019" w:type="pct"/>
          </w:tcPr>
          <w:p w14:paraId="4C8BE3FD" w14:textId="77777777" w:rsidR="004D2142" w:rsidRPr="00A556F0" w:rsidRDefault="004D2142" w:rsidP="00B9304E">
            <w:pPr>
              <w:spacing w:after="120"/>
              <w:rPr>
                <w:szCs w:val="24"/>
              </w:rPr>
            </w:pPr>
            <w:r w:rsidRPr="00A556F0">
              <w:rPr>
                <w:szCs w:val="24"/>
              </w:rPr>
              <w:t>Date</w:t>
            </w:r>
          </w:p>
        </w:tc>
        <w:tc>
          <w:tcPr>
            <w:tcW w:w="2981" w:type="pct"/>
          </w:tcPr>
          <w:p w14:paraId="2DB633DB" w14:textId="77777777" w:rsidR="004D2142" w:rsidRPr="00A556F0" w:rsidRDefault="004D2142" w:rsidP="00B9304E">
            <w:pPr>
              <w:spacing w:after="120"/>
              <w:rPr>
                <w:szCs w:val="24"/>
              </w:rPr>
            </w:pPr>
          </w:p>
        </w:tc>
      </w:tr>
      <w:tr w:rsidR="004D2142" w:rsidRPr="00A556F0" w14:paraId="19F01F81" w14:textId="77777777" w:rsidTr="00B9304E">
        <w:trPr>
          <w:cantSplit/>
          <w:trHeight w:val="1295"/>
        </w:trPr>
        <w:tc>
          <w:tcPr>
            <w:tcW w:w="2019" w:type="pct"/>
          </w:tcPr>
          <w:p w14:paraId="373A5FAF" w14:textId="77777777" w:rsidR="004D2142" w:rsidRPr="00A556F0" w:rsidRDefault="004D2142" w:rsidP="00B9304E">
            <w:pPr>
              <w:spacing w:after="120"/>
              <w:rPr>
                <w:szCs w:val="24"/>
              </w:rPr>
            </w:pPr>
            <w:r w:rsidRPr="00A556F0">
              <w:rPr>
                <w:szCs w:val="24"/>
              </w:rPr>
              <w:t>Primary Applicant</w:t>
            </w:r>
            <w:r w:rsidRPr="00A556F0">
              <w:rPr>
                <w:rFonts w:eastAsia="Arial"/>
                <w:szCs w:val="24"/>
              </w:rPr>
              <w:t xml:space="preserve"> Signature (Authenticated e-signature)</w:t>
            </w:r>
          </w:p>
        </w:tc>
        <w:tc>
          <w:tcPr>
            <w:tcW w:w="2981" w:type="pct"/>
          </w:tcPr>
          <w:p w14:paraId="55758EB2" w14:textId="77777777" w:rsidR="004D2142" w:rsidRPr="00A556F0" w:rsidRDefault="004D2142" w:rsidP="00B9304E">
            <w:pPr>
              <w:spacing w:after="120"/>
              <w:rPr>
                <w:szCs w:val="24"/>
              </w:rPr>
            </w:pPr>
          </w:p>
        </w:tc>
      </w:tr>
    </w:tbl>
    <w:p w14:paraId="2AF735C9" w14:textId="78A31A5C" w:rsidR="0069076E" w:rsidRPr="00A556F0" w:rsidRDefault="0069076E" w:rsidP="00CA40D1">
      <w:pPr>
        <w:spacing w:before="240"/>
        <w:rPr>
          <w:rFonts w:cs="Arial"/>
          <w:b/>
          <w:szCs w:val="24"/>
        </w:rPr>
      </w:pPr>
      <w:r w:rsidRPr="00A556F0">
        <w:rPr>
          <w:rFonts w:cs="Arial"/>
          <w:b/>
          <w:szCs w:val="24"/>
        </w:rPr>
        <w:t xml:space="preserve">The </w:t>
      </w:r>
      <w:r w:rsidR="00B53F66" w:rsidRPr="00A556F0">
        <w:rPr>
          <w:rFonts w:cs="Arial"/>
          <w:b/>
          <w:spacing w:val="-3"/>
          <w:szCs w:val="24"/>
        </w:rPr>
        <w:t>STACS</w:t>
      </w:r>
      <w:r w:rsidRPr="00A556F0">
        <w:rPr>
          <w:rFonts w:cs="Arial"/>
          <w:b/>
          <w:spacing w:val="-3"/>
          <w:szCs w:val="24"/>
        </w:rPr>
        <w:t xml:space="preserve"> Sub</w:t>
      </w:r>
      <w:r w:rsidR="00747770" w:rsidRPr="00A556F0">
        <w:rPr>
          <w:rFonts w:cs="Arial"/>
          <w:b/>
          <w:spacing w:val="-3"/>
          <w:szCs w:val="24"/>
        </w:rPr>
        <w:t>g</w:t>
      </w:r>
      <w:r w:rsidRPr="00A556F0">
        <w:rPr>
          <w:rFonts w:cs="Arial"/>
          <w:b/>
          <w:spacing w:val="-3"/>
          <w:szCs w:val="24"/>
        </w:rPr>
        <w:t xml:space="preserve">rant </w:t>
      </w:r>
      <w:r w:rsidRPr="00A556F0">
        <w:rPr>
          <w:rFonts w:cs="Arial"/>
          <w:b/>
          <w:szCs w:val="24"/>
        </w:rPr>
        <w:t>Application Narrative should immediately follow Form 2.</w:t>
      </w:r>
    </w:p>
    <w:p w14:paraId="6DA5735B" w14:textId="77777777" w:rsidR="00927630" w:rsidRPr="00DB4CDB" w:rsidRDefault="00927630" w:rsidP="00CA40D1">
      <w:pPr>
        <w:spacing w:before="100" w:beforeAutospacing="1" w:after="100" w:afterAutospacing="1"/>
        <w:rPr>
          <w:b/>
          <w:sz w:val="32"/>
          <w:szCs w:val="32"/>
        </w:rPr>
        <w:sectPr w:rsidR="00927630" w:rsidRPr="00DB4CDB" w:rsidSect="00F4404A">
          <w:footerReference w:type="default" r:id="rId21"/>
          <w:pgSz w:w="12240" w:h="15840"/>
          <w:pgMar w:top="1440" w:right="1440" w:bottom="1440" w:left="1440" w:header="720" w:footer="720" w:gutter="0"/>
          <w:cols w:space="720"/>
          <w:docGrid w:linePitch="299"/>
        </w:sectPr>
      </w:pPr>
    </w:p>
    <w:p w14:paraId="5550158A" w14:textId="77777777" w:rsidR="0083180A" w:rsidRDefault="0083180A">
      <w:pPr>
        <w:spacing w:after="160" w:line="259" w:lineRule="auto"/>
        <w:rPr>
          <w:rFonts w:eastAsiaTheme="majorEastAsia" w:cstheme="majorBidi"/>
          <w:b/>
          <w:sz w:val="32"/>
          <w:szCs w:val="26"/>
        </w:rPr>
      </w:pPr>
      <w:bookmarkStart w:id="56" w:name="_Toc184386469"/>
      <w:bookmarkStart w:id="57" w:name="_Toc507593878"/>
      <w:r>
        <w:br w:type="page"/>
      </w:r>
    </w:p>
    <w:p w14:paraId="6D6FC877" w14:textId="05136D2D" w:rsidR="00CC75AE" w:rsidRPr="00EE56A9" w:rsidRDefault="00CC75AE" w:rsidP="00A556F0">
      <w:pPr>
        <w:pStyle w:val="Heading2"/>
        <w:jc w:val="center"/>
      </w:pPr>
      <w:bookmarkStart w:id="58" w:name="_Toc199842734"/>
      <w:r>
        <w:lastRenderedPageBreak/>
        <w:t xml:space="preserve">Form 3 </w:t>
      </w:r>
      <w:r w:rsidRPr="00FE3FFF">
        <w:rPr>
          <w:i/>
        </w:rPr>
        <w:t>–</w:t>
      </w:r>
      <w:r>
        <w:t xml:space="preserve"> </w:t>
      </w:r>
      <w:r w:rsidRPr="00EE56A9">
        <w:t>Application</w:t>
      </w:r>
      <w:r>
        <w:t xml:space="preserve"> Narrative</w:t>
      </w:r>
      <w:bookmarkEnd w:id="56"/>
      <w:bookmarkEnd w:id="58"/>
    </w:p>
    <w:p w14:paraId="21D0F5BF" w14:textId="73CE2BE4" w:rsidR="0069076E" w:rsidRPr="00DB4CDB" w:rsidRDefault="00CC75AE" w:rsidP="00CC75AE">
      <w:pPr>
        <w:rPr>
          <w:b/>
        </w:rPr>
      </w:pPr>
      <w:r>
        <w:t xml:space="preserve">The </w:t>
      </w:r>
      <w:r>
        <w:rPr>
          <w:spacing w:val="-3"/>
        </w:rPr>
        <w:t>narrative responses must address each of the areas identified in the RFA Section 5</w:t>
      </w:r>
      <w:r w:rsidR="00634AD4">
        <w:rPr>
          <w:spacing w:val="-3"/>
        </w:rPr>
        <w:t xml:space="preserve"> </w:t>
      </w:r>
      <w:r>
        <w:rPr>
          <w:spacing w:val="-3"/>
        </w:rPr>
        <w:t>Application Specifications. The m</w:t>
      </w:r>
      <w:r>
        <w:t>aximum page limit for the narrative response is 30 pages. The pages must be</w:t>
      </w:r>
      <w:r w:rsidRPr="00BC08DD">
        <w:t xml:space="preserve"> 8</w:t>
      </w:r>
      <w:r>
        <w:t xml:space="preserve">.5” </w:t>
      </w:r>
      <w:r w:rsidRPr="00BC08DD">
        <w:t>x 11</w:t>
      </w:r>
      <w:r>
        <w:t>”</w:t>
      </w:r>
      <w:r w:rsidRPr="00BC08DD">
        <w:t xml:space="preserve"> pages with one-inch margins, </w:t>
      </w:r>
      <w:r w:rsidR="00EB7A39">
        <w:t>single-line-spaced</w:t>
      </w:r>
      <w:r w:rsidRPr="00BC08DD">
        <w:t>, and 12-point</w:t>
      </w:r>
      <w:r>
        <w:t xml:space="preserve"> Arial font.</w:t>
      </w:r>
      <w:r w:rsidR="0069076E" w:rsidRPr="00DB4CDB">
        <w:rPr>
          <w:b/>
        </w:rPr>
        <w:br w:type="page"/>
      </w:r>
    </w:p>
    <w:p w14:paraId="0D37866B" w14:textId="1E22611B" w:rsidR="00CC75AE" w:rsidRDefault="00CC75AE" w:rsidP="00A556F0">
      <w:pPr>
        <w:pStyle w:val="Heading2"/>
        <w:jc w:val="center"/>
      </w:pPr>
      <w:bookmarkStart w:id="59" w:name="_Toc184386470"/>
      <w:bookmarkStart w:id="60" w:name="_Toc199842735"/>
      <w:bookmarkStart w:id="61" w:name="_Toc77335623"/>
      <w:bookmarkStart w:id="62" w:name="_Toc92803892"/>
      <w:r>
        <w:lastRenderedPageBreak/>
        <w:t>Forms 4</w:t>
      </w:r>
      <w:r w:rsidR="003B30DC">
        <w:t xml:space="preserve"> and</w:t>
      </w:r>
      <w:r>
        <w:t xml:space="preserve"> 5 </w:t>
      </w:r>
      <w:r w:rsidRPr="00FE3FFF">
        <w:t>–</w:t>
      </w:r>
      <w:r>
        <w:t xml:space="preserve"> Budget Form Instructions</w:t>
      </w:r>
      <w:bookmarkEnd w:id="59"/>
      <w:bookmarkEnd w:id="60"/>
    </w:p>
    <w:p w14:paraId="262C6FE5" w14:textId="4C6EDDB8" w:rsidR="00CC75AE" w:rsidRDefault="00CC75AE" w:rsidP="00CC75AE">
      <w:pPr>
        <w:spacing w:after="100" w:afterAutospacing="1"/>
      </w:pPr>
      <w:r>
        <w:t>The RFA applicant must complete the following Excel workbook forms: Form 4 – Budget Summary</w:t>
      </w:r>
      <w:r w:rsidR="003B30DC">
        <w:t xml:space="preserve"> and</w:t>
      </w:r>
      <w:r>
        <w:t xml:space="preserve"> Form 5 – Budget </w:t>
      </w:r>
      <w:r w:rsidR="003B30DC">
        <w:t xml:space="preserve">Narrative </w:t>
      </w:r>
      <w:r>
        <w:t xml:space="preserve">for the full </w:t>
      </w:r>
      <w:r w:rsidR="003C78BF">
        <w:t>subgrant</w:t>
      </w:r>
      <w:r>
        <w:t xml:space="preserve"> term covered in the application. Instructions for completing the forms are included in the Excel workbook and can be downloaded </w:t>
      </w:r>
      <w:r w:rsidR="00017D58">
        <w:t xml:space="preserve">at the RFA web page. </w:t>
      </w:r>
    </w:p>
    <w:p w14:paraId="11CD6070" w14:textId="1CAD8315" w:rsidR="00CC75AE" w:rsidRDefault="00CC75AE" w:rsidP="00453FA2">
      <w:pPr>
        <w:pStyle w:val="Heading3"/>
      </w:pPr>
      <w:bookmarkStart w:id="63" w:name="_Toc199842736"/>
      <w:r>
        <w:t>Form 4 – Budget Summary</w:t>
      </w:r>
      <w:bookmarkEnd w:id="63"/>
    </w:p>
    <w:p w14:paraId="0EF95DAA" w14:textId="15979073" w:rsidR="00CC75AE" w:rsidRDefault="00CC75AE" w:rsidP="00CC75AE">
      <w:pPr>
        <w:spacing w:before="100" w:beforeAutospacing="1"/>
      </w:pPr>
      <w:r>
        <w:t xml:space="preserve">The Form 4 – Budget Summary spreadsheet must provide a summary of proposed expenditures by object code series for the full </w:t>
      </w:r>
      <w:r w:rsidR="003C78BF">
        <w:t>subgrant</w:t>
      </w:r>
      <w:r>
        <w:t xml:space="preserve"> term. This summary must align with the Form 5 – Budget Narrative.</w:t>
      </w:r>
    </w:p>
    <w:p w14:paraId="21A11C7A" w14:textId="7A1BB410" w:rsidR="00CC75AE" w:rsidRDefault="00CC75AE" w:rsidP="00453FA2">
      <w:pPr>
        <w:pStyle w:val="Heading3"/>
      </w:pPr>
      <w:bookmarkStart w:id="64" w:name="_Toc199842737"/>
      <w:r>
        <w:t xml:space="preserve">Form </w:t>
      </w:r>
      <w:r w:rsidR="003B30DC">
        <w:t>5</w:t>
      </w:r>
      <w:r>
        <w:t xml:space="preserve"> – Budget Narrative</w:t>
      </w:r>
      <w:bookmarkEnd w:id="64"/>
    </w:p>
    <w:p w14:paraId="3CCE465E" w14:textId="4CDD7B02" w:rsidR="00CC75AE" w:rsidRDefault="00CC75AE" w:rsidP="00CC75AE">
      <w:pPr>
        <w:spacing w:before="100" w:beforeAutospacing="1"/>
        <w:rPr>
          <w:rFonts w:eastAsia="Arial" w:cs="Arial"/>
          <w:szCs w:val="24"/>
        </w:rPr>
      </w:pPr>
      <w:r w:rsidRPr="000A6383">
        <w:rPr>
          <w:rFonts w:eastAsia="Arial" w:cs="Arial"/>
          <w:szCs w:val="24"/>
        </w:rPr>
        <w:t xml:space="preserve">The </w:t>
      </w:r>
      <w:r>
        <w:rPr>
          <w:rFonts w:eastAsia="Arial" w:cs="Arial"/>
          <w:szCs w:val="24"/>
        </w:rPr>
        <w:t xml:space="preserve">Form </w:t>
      </w:r>
      <w:r w:rsidR="005D6F3F">
        <w:rPr>
          <w:rFonts w:eastAsia="Arial" w:cs="Arial"/>
          <w:szCs w:val="24"/>
        </w:rPr>
        <w:t>5</w:t>
      </w:r>
      <w:r>
        <w:rPr>
          <w:rFonts w:eastAsia="Arial" w:cs="Arial"/>
          <w:szCs w:val="24"/>
        </w:rPr>
        <w:t xml:space="preserve"> –Budget </w:t>
      </w:r>
      <w:r w:rsidRPr="000A6383">
        <w:rPr>
          <w:rFonts w:eastAsia="Arial" w:cs="Arial"/>
          <w:szCs w:val="24"/>
        </w:rPr>
        <w:t>Narrative</w:t>
      </w:r>
      <w:r>
        <w:rPr>
          <w:rFonts w:eastAsia="Arial" w:cs="Arial"/>
          <w:szCs w:val="24"/>
        </w:rPr>
        <w:t xml:space="preserve"> document </w:t>
      </w:r>
      <w:r w:rsidRPr="000A6383">
        <w:rPr>
          <w:rFonts w:eastAsia="Arial" w:cs="Arial"/>
          <w:szCs w:val="24"/>
        </w:rPr>
        <w:t xml:space="preserve">must provide detailed descriptions </w:t>
      </w:r>
      <w:r>
        <w:rPr>
          <w:rFonts w:eastAsia="Arial" w:cs="Arial"/>
          <w:szCs w:val="24"/>
        </w:rPr>
        <w:t xml:space="preserve">by object code series and task </w:t>
      </w:r>
      <w:r w:rsidRPr="000A6383">
        <w:rPr>
          <w:rFonts w:eastAsia="Arial" w:cs="Arial"/>
          <w:szCs w:val="24"/>
        </w:rPr>
        <w:t xml:space="preserve">of how the </w:t>
      </w:r>
      <w:r>
        <w:rPr>
          <w:rFonts w:eastAsia="Arial" w:cs="Arial"/>
          <w:szCs w:val="24"/>
        </w:rPr>
        <w:t>subgrant</w:t>
      </w:r>
      <w:r w:rsidRPr="000A6383">
        <w:rPr>
          <w:rFonts w:eastAsia="Arial" w:cs="Arial"/>
          <w:szCs w:val="24"/>
        </w:rPr>
        <w:t xml:space="preserve"> funds will be expended.</w:t>
      </w:r>
      <w:r>
        <w:rPr>
          <w:rFonts w:eastAsia="Arial" w:cs="Arial"/>
          <w:szCs w:val="24"/>
        </w:rPr>
        <w:t xml:space="preserve"> </w:t>
      </w:r>
    </w:p>
    <w:p w14:paraId="506E5A04" w14:textId="6B3D9C5C" w:rsidR="00CC75AE" w:rsidRPr="000A6383" w:rsidRDefault="00CC75AE" w:rsidP="00CC75AE">
      <w:pPr>
        <w:spacing w:before="100" w:beforeAutospacing="1"/>
        <w:rPr>
          <w:rFonts w:eastAsia="Arial" w:cs="Arial"/>
          <w:szCs w:val="24"/>
        </w:rPr>
      </w:pPr>
      <w:r w:rsidRPr="000A6383">
        <w:rPr>
          <w:rFonts w:eastAsia="Arial" w:cs="Arial"/>
          <w:szCs w:val="24"/>
        </w:rPr>
        <w:t>The Budget Narrative must include a breakdown of expenses including per unit costs, quantity, and justification for the expense. Salaries and benefits must detail who is being paid, cost per unit</w:t>
      </w:r>
      <w:r>
        <w:rPr>
          <w:rFonts w:eastAsia="Arial" w:cs="Arial"/>
          <w:szCs w:val="24"/>
        </w:rPr>
        <w:t>,</w:t>
      </w:r>
      <w:r w:rsidRPr="000A6383">
        <w:rPr>
          <w:rFonts w:eastAsia="Arial" w:cs="Arial"/>
          <w:szCs w:val="24"/>
        </w:rPr>
        <w:t xml:space="preserve"> and how many units are to be paid. </w:t>
      </w:r>
    </w:p>
    <w:p w14:paraId="34802B70" w14:textId="77777777" w:rsidR="00CC75AE" w:rsidRDefault="00CC75AE" w:rsidP="00CC75AE">
      <w:pPr>
        <w:spacing w:before="100" w:beforeAutospacing="1"/>
        <w:rPr>
          <w:rFonts w:eastAsia="Arial" w:cs="Arial"/>
          <w:szCs w:val="24"/>
        </w:rPr>
      </w:pPr>
      <w:r w:rsidRPr="000A6383">
        <w:rPr>
          <w:rFonts w:eastAsia="Arial" w:cs="Arial"/>
          <w:szCs w:val="24"/>
        </w:rPr>
        <w:t xml:space="preserve">Example: </w:t>
      </w:r>
    </w:p>
    <w:p w14:paraId="340F3550" w14:textId="77777777" w:rsidR="00CC75AE" w:rsidRPr="00822D4B" w:rsidRDefault="00CC75AE" w:rsidP="00CC75AE">
      <w:pPr>
        <w:spacing w:before="100" w:beforeAutospacing="1"/>
        <w:rPr>
          <w:rFonts w:eastAsia="Arial" w:cs="Arial"/>
          <w:b/>
          <w:bCs/>
          <w:szCs w:val="24"/>
        </w:rPr>
      </w:pPr>
      <w:r w:rsidRPr="00822D4B">
        <w:rPr>
          <w:rFonts w:eastAsia="Arial" w:cs="Arial"/>
          <w:b/>
          <w:bCs/>
          <w:szCs w:val="24"/>
        </w:rPr>
        <w:t>1000: Certificated Salaries: $22,500</w:t>
      </w:r>
    </w:p>
    <w:p w14:paraId="467D1ECB" w14:textId="70756E6F" w:rsidR="00CC75AE" w:rsidRDefault="00CC75AE" w:rsidP="00CC75AE">
      <w:pPr>
        <w:spacing w:before="100" w:beforeAutospacing="1"/>
        <w:rPr>
          <w:rFonts w:eastAsia="Arial" w:cs="Arial"/>
          <w:szCs w:val="24"/>
        </w:rPr>
      </w:pPr>
      <w:r>
        <w:rPr>
          <w:rFonts w:eastAsia="Arial" w:cs="Arial"/>
          <w:szCs w:val="24"/>
        </w:rPr>
        <w:t>Subgrant Monitor, Insert Subgrant Monitor’s Name</w:t>
      </w:r>
    </w:p>
    <w:p w14:paraId="49133EB1" w14:textId="77777777" w:rsidR="00CC75AE" w:rsidRDefault="00CC75AE" w:rsidP="00CC75AE">
      <w:pPr>
        <w:spacing w:before="100" w:beforeAutospacing="1"/>
        <w:rPr>
          <w:rFonts w:eastAsia="Arial" w:cs="Arial"/>
          <w:szCs w:val="24"/>
        </w:rPr>
      </w:pPr>
      <w:r>
        <w:rPr>
          <w:rFonts w:eastAsia="Arial" w:cs="Arial"/>
          <w:szCs w:val="24"/>
        </w:rPr>
        <w:t>Insert a brief description of roles and responsibilities.</w:t>
      </w:r>
    </w:p>
    <w:p w14:paraId="0258EA31" w14:textId="77777777" w:rsidR="00CC75AE" w:rsidRDefault="00CC75AE" w:rsidP="00CC75AE">
      <w:pPr>
        <w:spacing w:before="100" w:beforeAutospacing="1"/>
        <w:rPr>
          <w:rFonts w:eastAsia="Arial" w:cs="Arial"/>
          <w:szCs w:val="24"/>
        </w:rPr>
      </w:pPr>
      <w:r>
        <w:rPr>
          <w:rFonts w:eastAsia="Arial" w:cs="Arial"/>
          <w:szCs w:val="24"/>
        </w:rPr>
        <w:t xml:space="preserve">Base </w:t>
      </w:r>
      <w:r w:rsidRPr="000A6383">
        <w:rPr>
          <w:rFonts w:eastAsia="Arial" w:cs="Arial"/>
          <w:szCs w:val="24"/>
        </w:rPr>
        <w:t>Salary $</w:t>
      </w:r>
      <w:r>
        <w:rPr>
          <w:rFonts w:eastAsia="Arial" w:cs="Arial"/>
          <w:szCs w:val="24"/>
        </w:rPr>
        <w:t>90,000 per year x .25 full-time equivalent (FTE) = $22,500.</w:t>
      </w:r>
    </w:p>
    <w:p w14:paraId="281CFDC5" w14:textId="2F072DEE" w:rsidR="00CC75AE" w:rsidRDefault="00CC75AE" w:rsidP="00CC75AE">
      <w:pPr>
        <w:pStyle w:val="ListParagraph"/>
        <w:widowControl w:val="0"/>
        <w:numPr>
          <w:ilvl w:val="0"/>
          <w:numId w:val="40"/>
        </w:numPr>
        <w:spacing w:before="100" w:beforeAutospacing="1"/>
        <w:contextualSpacing w:val="0"/>
        <w:rPr>
          <w:rFonts w:eastAsia="Arial" w:cs="Arial"/>
          <w:szCs w:val="24"/>
        </w:rPr>
      </w:pPr>
      <w:r>
        <w:rPr>
          <w:rFonts w:eastAsia="Arial" w:cs="Arial"/>
          <w:szCs w:val="24"/>
        </w:rPr>
        <w:t xml:space="preserve">Task 1: Estimated 10 hours per month for recruitment and development activities including </w:t>
      </w:r>
      <w:r w:rsidRPr="00AA0DB3">
        <w:t>targeted communication, collaboration with educational organizations,</w:t>
      </w:r>
      <w:r>
        <w:t xml:space="preserve"> and</w:t>
      </w:r>
      <w:r w:rsidR="00F2533C">
        <w:t xml:space="preserve"> conducting</w:t>
      </w:r>
      <w:r>
        <w:t xml:space="preserve"> outreach efforts. </w:t>
      </w:r>
    </w:p>
    <w:p w14:paraId="7B40293C" w14:textId="718D4FEE" w:rsidR="00CC75AE" w:rsidRDefault="00CC75AE" w:rsidP="00CC75AE">
      <w:pPr>
        <w:pStyle w:val="ListParagraph"/>
        <w:widowControl w:val="0"/>
        <w:numPr>
          <w:ilvl w:val="0"/>
          <w:numId w:val="40"/>
        </w:numPr>
        <w:spacing w:before="100" w:beforeAutospacing="1"/>
        <w:contextualSpacing w:val="0"/>
        <w:rPr>
          <w:rFonts w:eastAsia="Arial" w:cs="Arial"/>
          <w:szCs w:val="24"/>
        </w:rPr>
      </w:pPr>
      <w:r>
        <w:rPr>
          <w:rFonts w:eastAsia="Arial" w:cs="Arial"/>
          <w:szCs w:val="24"/>
        </w:rPr>
        <w:t xml:space="preserve">Task </w:t>
      </w:r>
      <w:r w:rsidR="00B14B24">
        <w:rPr>
          <w:rFonts w:eastAsia="Arial" w:cs="Arial"/>
          <w:szCs w:val="24"/>
        </w:rPr>
        <w:t>3</w:t>
      </w:r>
      <w:r>
        <w:rPr>
          <w:rFonts w:eastAsia="Arial" w:cs="Arial"/>
          <w:szCs w:val="24"/>
        </w:rPr>
        <w:t>: Estimated 10 hours per month for Best Practices webinar content development, presentation, post event data analysis, etc.</w:t>
      </w:r>
    </w:p>
    <w:p w14:paraId="677ADC41" w14:textId="1E4277F1" w:rsidR="00CC75AE" w:rsidRDefault="00CC75AE" w:rsidP="00CC75AE">
      <w:pPr>
        <w:pStyle w:val="ListParagraph"/>
        <w:widowControl w:val="0"/>
        <w:numPr>
          <w:ilvl w:val="0"/>
          <w:numId w:val="40"/>
        </w:numPr>
        <w:spacing w:before="100" w:beforeAutospacing="1"/>
        <w:contextualSpacing w:val="0"/>
        <w:rPr>
          <w:rFonts w:eastAsia="Arial" w:cs="Arial"/>
          <w:szCs w:val="24"/>
        </w:rPr>
      </w:pPr>
      <w:r>
        <w:rPr>
          <w:rFonts w:eastAsia="Arial" w:cs="Arial"/>
          <w:szCs w:val="24"/>
        </w:rPr>
        <w:t xml:space="preserve">Task </w:t>
      </w:r>
      <w:r w:rsidR="00B14B24">
        <w:rPr>
          <w:rFonts w:eastAsia="Arial" w:cs="Arial"/>
          <w:szCs w:val="24"/>
        </w:rPr>
        <w:t>4</w:t>
      </w:r>
      <w:r>
        <w:rPr>
          <w:rFonts w:eastAsia="Arial" w:cs="Arial"/>
          <w:szCs w:val="24"/>
        </w:rPr>
        <w:t xml:space="preserve">: Estimated 15 hours per month for </w:t>
      </w:r>
      <w:r w:rsidR="00F2533C">
        <w:rPr>
          <w:rFonts w:eastAsia="Arial" w:cs="Arial"/>
          <w:szCs w:val="24"/>
        </w:rPr>
        <w:t>Continuous Improvement Network planning, development, and facilitation</w:t>
      </w:r>
      <w:r>
        <w:rPr>
          <w:rFonts w:eastAsia="Arial" w:cs="Arial"/>
          <w:szCs w:val="24"/>
        </w:rPr>
        <w:t xml:space="preserve"> to </w:t>
      </w:r>
      <w:r w:rsidR="00F2533C">
        <w:rPr>
          <w:rFonts w:eastAsia="Arial" w:cs="Arial"/>
          <w:szCs w:val="24"/>
        </w:rPr>
        <w:t>develop</w:t>
      </w:r>
      <w:r>
        <w:rPr>
          <w:rFonts w:eastAsia="Arial" w:cs="Arial"/>
          <w:szCs w:val="24"/>
        </w:rPr>
        <w:t xml:space="preserve"> materials, coordinate travel</w:t>
      </w:r>
      <w:r w:rsidR="00F2533C">
        <w:rPr>
          <w:rFonts w:eastAsia="Arial" w:cs="Arial"/>
          <w:szCs w:val="24"/>
        </w:rPr>
        <w:t xml:space="preserve"> (if needed)</w:t>
      </w:r>
      <w:r>
        <w:rPr>
          <w:rFonts w:eastAsia="Arial" w:cs="Arial"/>
          <w:szCs w:val="24"/>
        </w:rPr>
        <w:t xml:space="preserve">, conduct </w:t>
      </w:r>
      <w:r w:rsidR="00F2533C">
        <w:rPr>
          <w:rFonts w:eastAsia="Arial" w:cs="Arial"/>
          <w:szCs w:val="24"/>
        </w:rPr>
        <w:t>meetings</w:t>
      </w:r>
      <w:r>
        <w:rPr>
          <w:rFonts w:eastAsia="Arial" w:cs="Arial"/>
          <w:szCs w:val="24"/>
        </w:rPr>
        <w:t>, post event data analysis, etc.</w:t>
      </w:r>
    </w:p>
    <w:p w14:paraId="3B5DE23E" w14:textId="5B527240" w:rsidR="00CC75AE" w:rsidRPr="00CF28C6" w:rsidRDefault="00CC75AE" w:rsidP="00CC75AE">
      <w:pPr>
        <w:pStyle w:val="ListParagraph"/>
        <w:widowControl w:val="0"/>
        <w:numPr>
          <w:ilvl w:val="0"/>
          <w:numId w:val="40"/>
        </w:numPr>
        <w:spacing w:before="100" w:beforeAutospacing="1"/>
        <w:contextualSpacing w:val="0"/>
        <w:rPr>
          <w:rFonts w:eastAsia="Arial" w:cs="Arial"/>
          <w:szCs w:val="24"/>
        </w:rPr>
      </w:pPr>
      <w:r>
        <w:rPr>
          <w:rFonts w:eastAsia="Arial" w:cs="Arial"/>
          <w:szCs w:val="24"/>
        </w:rPr>
        <w:t xml:space="preserve">Task </w:t>
      </w:r>
      <w:r w:rsidR="00B14B24">
        <w:rPr>
          <w:rFonts w:eastAsia="Arial" w:cs="Arial"/>
          <w:szCs w:val="24"/>
        </w:rPr>
        <w:t>5</w:t>
      </w:r>
      <w:r>
        <w:rPr>
          <w:rFonts w:eastAsia="Arial" w:cs="Arial"/>
          <w:szCs w:val="24"/>
        </w:rPr>
        <w:t xml:space="preserve">: Estimated </w:t>
      </w:r>
      <w:r w:rsidR="00F2533C">
        <w:rPr>
          <w:rFonts w:eastAsia="Arial" w:cs="Arial"/>
          <w:szCs w:val="24"/>
        </w:rPr>
        <w:t>4</w:t>
      </w:r>
      <w:r>
        <w:rPr>
          <w:rFonts w:eastAsia="Arial" w:cs="Arial"/>
          <w:szCs w:val="24"/>
        </w:rPr>
        <w:t xml:space="preserve"> </w:t>
      </w:r>
      <w:r w:rsidR="00F2533C">
        <w:rPr>
          <w:rFonts w:eastAsia="Arial" w:cs="Arial"/>
          <w:szCs w:val="24"/>
        </w:rPr>
        <w:t>hours</w:t>
      </w:r>
      <w:r>
        <w:rPr>
          <w:rFonts w:eastAsia="Arial" w:cs="Arial"/>
          <w:szCs w:val="24"/>
        </w:rPr>
        <w:t xml:space="preserve"> per month for Planning Meetings with CDE and </w:t>
      </w:r>
      <w:r w:rsidR="00F2533C">
        <w:rPr>
          <w:rFonts w:eastAsia="Arial" w:cs="Arial"/>
          <w:szCs w:val="24"/>
        </w:rPr>
        <w:t>partnering agency</w:t>
      </w:r>
      <w:r>
        <w:rPr>
          <w:rFonts w:eastAsia="Arial" w:cs="Arial"/>
          <w:szCs w:val="24"/>
        </w:rPr>
        <w:t xml:space="preserve"> collaboration, plus planning and post-meeting next steps.</w:t>
      </w:r>
    </w:p>
    <w:p w14:paraId="2B77CF2F" w14:textId="7FEEA6D2" w:rsidR="00D31072" w:rsidRDefault="00D31072" w:rsidP="00453FA2">
      <w:pPr>
        <w:pStyle w:val="Heading3"/>
      </w:pPr>
      <w:bookmarkStart w:id="65" w:name="_Toc199842738"/>
      <w:r w:rsidRPr="00DB4CDB">
        <w:lastRenderedPageBreak/>
        <w:t>Object Code Budget Categories</w:t>
      </w:r>
      <w:bookmarkEnd w:id="61"/>
      <w:bookmarkEnd w:id="62"/>
      <w:bookmarkEnd w:id="65"/>
    </w:p>
    <w:p w14:paraId="4696E470" w14:textId="04F1D5E0" w:rsidR="00CC75AE" w:rsidRDefault="00CC75AE" w:rsidP="00CC75AE">
      <w:pPr>
        <w:spacing w:before="100" w:beforeAutospacing="1"/>
        <w:rPr>
          <w:rFonts w:cs="Arial"/>
          <w:spacing w:val="-2"/>
          <w:szCs w:val="24"/>
        </w:rPr>
      </w:pPr>
      <w:r>
        <w:rPr>
          <w:rFonts w:eastAsia="Arial" w:cs="Arial"/>
          <w:szCs w:val="24"/>
        </w:rPr>
        <w:t>All Budget Forms</w:t>
      </w:r>
      <w:r w:rsidRPr="000A6383">
        <w:rPr>
          <w:rFonts w:eastAsia="Arial" w:cs="Arial"/>
          <w:szCs w:val="24"/>
        </w:rPr>
        <w:t xml:space="preserve"> must be grouped by object code series (e.g., 1000, 2000, 3000, etc.)</w:t>
      </w:r>
      <w:r>
        <w:rPr>
          <w:rFonts w:eastAsia="Arial" w:cs="Arial"/>
          <w:szCs w:val="24"/>
        </w:rPr>
        <w:t xml:space="preserve"> and </w:t>
      </w:r>
      <w:r w:rsidRPr="000A6383">
        <w:rPr>
          <w:rFonts w:eastAsia="Arial" w:cs="Arial"/>
          <w:szCs w:val="24"/>
        </w:rPr>
        <w:t>must include totals by object code series</w:t>
      </w:r>
      <w:r>
        <w:rPr>
          <w:rFonts w:eastAsia="Arial" w:cs="Arial"/>
          <w:szCs w:val="24"/>
        </w:rPr>
        <w:t xml:space="preserve"> and </w:t>
      </w:r>
      <w:r w:rsidR="003C78BF">
        <w:rPr>
          <w:rFonts w:eastAsia="Arial" w:cs="Arial"/>
          <w:szCs w:val="24"/>
        </w:rPr>
        <w:t>subgrant</w:t>
      </w:r>
      <w:r>
        <w:rPr>
          <w:rFonts w:eastAsia="Arial" w:cs="Arial"/>
          <w:szCs w:val="24"/>
        </w:rPr>
        <w:t xml:space="preserve"> term. The table below </w:t>
      </w:r>
      <w:r w:rsidRPr="00875AF6">
        <w:rPr>
          <w:rFonts w:eastAsia="Arial" w:cs="Arial"/>
          <w:szCs w:val="24"/>
        </w:rPr>
        <w:t xml:space="preserve">explains </w:t>
      </w:r>
      <w:r>
        <w:rPr>
          <w:rFonts w:eastAsia="Arial" w:cs="Arial"/>
          <w:szCs w:val="24"/>
        </w:rPr>
        <w:t>e</w:t>
      </w:r>
      <w:r w:rsidRPr="00875AF6">
        <w:rPr>
          <w:rFonts w:cs="Arial"/>
          <w:szCs w:val="24"/>
        </w:rPr>
        <w:t>ach</w:t>
      </w:r>
      <w:r w:rsidRPr="00875AF6">
        <w:rPr>
          <w:rFonts w:cs="Arial"/>
          <w:spacing w:val="-2"/>
          <w:szCs w:val="24"/>
        </w:rPr>
        <w:t xml:space="preserve"> </w:t>
      </w:r>
      <w:r w:rsidRPr="00875AF6">
        <w:rPr>
          <w:rFonts w:cs="Arial"/>
          <w:szCs w:val="24"/>
        </w:rPr>
        <w:t>budget</w:t>
      </w:r>
      <w:r w:rsidRPr="00875AF6">
        <w:rPr>
          <w:rFonts w:cs="Arial"/>
          <w:spacing w:val="-1"/>
          <w:szCs w:val="24"/>
        </w:rPr>
        <w:t xml:space="preserve"> </w:t>
      </w:r>
      <w:r w:rsidRPr="00875AF6">
        <w:rPr>
          <w:rFonts w:cs="Arial"/>
          <w:szCs w:val="24"/>
        </w:rPr>
        <w:t>category</w:t>
      </w:r>
      <w:r w:rsidRPr="00875AF6">
        <w:rPr>
          <w:rFonts w:cs="Arial"/>
          <w:spacing w:val="-2"/>
          <w:szCs w:val="24"/>
        </w:rPr>
        <w:t xml:space="preserve"> </w:t>
      </w:r>
      <w:r w:rsidRPr="00875AF6">
        <w:rPr>
          <w:rFonts w:cs="Arial"/>
          <w:szCs w:val="24"/>
        </w:rPr>
        <w:t>or</w:t>
      </w:r>
      <w:r w:rsidRPr="00875AF6">
        <w:rPr>
          <w:rFonts w:cs="Arial"/>
          <w:spacing w:val="-2"/>
          <w:szCs w:val="24"/>
        </w:rPr>
        <w:t xml:space="preserve"> </w:t>
      </w:r>
      <w:r w:rsidRPr="00875AF6">
        <w:rPr>
          <w:rFonts w:cs="Arial"/>
          <w:szCs w:val="24"/>
        </w:rPr>
        <w:t>object</w:t>
      </w:r>
      <w:r w:rsidRPr="00875AF6">
        <w:rPr>
          <w:rFonts w:cs="Arial"/>
          <w:spacing w:val="-1"/>
          <w:szCs w:val="24"/>
        </w:rPr>
        <w:t xml:space="preserve"> </w:t>
      </w:r>
      <w:r w:rsidRPr="00875AF6">
        <w:rPr>
          <w:rFonts w:cs="Arial"/>
          <w:szCs w:val="24"/>
        </w:rPr>
        <w:t>code</w:t>
      </w:r>
      <w:r>
        <w:rPr>
          <w:rFonts w:cs="Arial"/>
          <w:spacing w:val="-2"/>
          <w:szCs w:val="24"/>
        </w:rPr>
        <w:t>.</w:t>
      </w:r>
    </w:p>
    <w:p w14:paraId="02885283" w14:textId="45C5D0D0" w:rsidR="00D67E8D" w:rsidRPr="00CC75AE" w:rsidRDefault="00D67E8D" w:rsidP="00B477B2">
      <w:pPr>
        <w:pStyle w:val="TableHeader"/>
      </w:pPr>
      <w:r w:rsidRPr="00D67E8D">
        <w:t>Object Code Budget Categories</w:t>
      </w:r>
    </w:p>
    <w:tbl>
      <w:tblPr>
        <w:tblStyle w:val="TableGrid1"/>
        <w:tblW w:w="5000" w:type="pct"/>
        <w:tblLook w:val="01E0" w:firstRow="1" w:lastRow="1" w:firstColumn="1" w:lastColumn="1" w:noHBand="0" w:noVBand="0"/>
        <w:tblDescription w:val="Object Code Budget Categories"/>
      </w:tblPr>
      <w:tblGrid>
        <w:gridCol w:w="1259"/>
        <w:gridCol w:w="8091"/>
      </w:tblGrid>
      <w:tr w:rsidR="009B067B" w:rsidRPr="00DB4CDB" w14:paraId="02CB4E87" w14:textId="77777777" w:rsidTr="00D67E8D">
        <w:trPr>
          <w:cantSplit/>
          <w:trHeight w:hRule="exact" w:val="615"/>
          <w:tblHeader/>
        </w:trPr>
        <w:tc>
          <w:tcPr>
            <w:tcW w:w="673" w:type="pct"/>
            <w:shd w:val="clear" w:color="auto" w:fill="BFBFBF" w:themeFill="background1" w:themeFillShade="BF"/>
            <w:vAlign w:val="center"/>
          </w:tcPr>
          <w:p w14:paraId="783D27DF" w14:textId="77777777" w:rsidR="009B067B" w:rsidRPr="00DB4CDB" w:rsidRDefault="009B067B" w:rsidP="00BE58CA">
            <w:pPr>
              <w:spacing w:before="17" w:after="0"/>
              <w:ind w:left="209" w:right="152" w:hanging="60"/>
              <w:rPr>
                <w:rFonts w:eastAsia="Arial" w:cs="Arial"/>
                <w:szCs w:val="24"/>
              </w:rPr>
            </w:pPr>
            <w:r w:rsidRPr="00DB4CDB">
              <w:rPr>
                <w:rFonts w:eastAsia="Calibri" w:cs="Arial"/>
                <w:b/>
                <w:spacing w:val="-1"/>
                <w:szCs w:val="24"/>
              </w:rPr>
              <w:t>Object</w:t>
            </w:r>
            <w:r w:rsidRPr="00DB4CDB">
              <w:rPr>
                <w:rFonts w:eastAsia="Calibri" w:cs="Arial"/>
                <w:b/>
                <w:spacing w:val="21"/>
                <w:szCs w:val="24"/>
              </w:rPr>
              <w:t xml:space="preserve"> </w:t>
            </w:r>
            <w:r w:rsidRPr="00DB4CDB">
              <w:rPr>
                <w:rFonts w:eastAsia="Calibri" w:cs="Arial"/>
                <w:b/>
                <w:spacing w:val="-1"/>
                <w:szCs w:val="24"/>
              </w:rPr>
              <w:t>Code</w:t>
            </w:r>
          </w:p>
        </w:tc>
        <w:tc>
          <w:tcPr>
            <w:tcW w:w="4327" w:type="pct"/>
            <w:shd w:val="clear" w:color="auto" w:fill="BFBFBF" w:themeFill="background1" w:themeFillShade="BF"/>
            <w:vAlign w:val="center"/>
          </w:tcPr>
          <w:p w14:paraId="5D2F8341" w14:textId="77777777" w:rsidR="009B067B" w:rsidRPr="00DB4CDB" w:rsidRDefault="009B067B" w:rsidP="00CA40D1">
            <w:pPr>
              <w:spacing w:before="17" w:after="0"/>
              <w:jc w:val="center"/>
              <w:rPr>
                <w:rFonts w:eastAsia="Arial" w:cs="Arial"/>
                <w:szCs w:val="24"/>
              </w:rPr>
            </w:pPr>
            <w:r w:rsidRPr="00DB4CDB">
              <w:rPr>
                <w:rFonts w:eastAsia="Calibri" w:cs="Arial"/>
                <w:b/>
                <w:spacing w:val="-1"/>
                <w:szCs w:val="24"/>
              </w:rPr>
              <w:t>Description</w:t>
            </w:r>
            <w:r w:rsidRPr="00DB4CDB">
              <w:rPr>
                <w:rFonts w:eastAsia="Calibri" w:cs="Arial"/>
                <w:b/>
                <w:spacing w:val="-5"/>
                <w:szCs w:val="24"/>
              </w:rPr>
              <w:t xml:space="preserve"> </w:t>
            </w:r>
            <w:r w:rsidRPr="00DB4CDB">
              <w:rPr>
                <w:rFonts w:eastAsia="Calibri" w:cs="Arial"/>
                <w:b/>
                <w:spacing w:val="-1"/>
                <w:szCs w:val="24"/>
              </w:rPr>
              <w:t>of</w:t>
            </w:r>
            <w:r w:rsidRPr="00DB4CDB">
              <w:rPr>
                <w:rFonts w:eastAsia="Calibri" w:cs="Arial"/>
                <w:b/>
                <w:spacing w:val="-5"/>
                <w:szCs w:val="24"/>
              </w:rPr>
              <w:t xml:space="preserve"> </w:t>
            </w:r>
            <w:r w:rsidRPr="00DB4CDB">
              <w:rPr>
                <w:rFonts w:eastAsia="Calibri" w:cs="Arial"/>
                <w:b/>
                <w:spacing w:val="-1"/>
                <w:szCs w:val="24"/>
              </w:rPr>
              <w:t>the</w:t>
            </w:r>
            <w:r w:rsidRPr="00DB4CDB">
              <w:rPr>
                <w:rFonts w:eastAsia="Calibri" w:cs="Arial"/>
                <w:b/>
                <w:spacing w:val="-4"/>
                <w:szCs w:val="24"/>
              </w:rPr>
              <w:t xml:space="preserve"> </w:t>
            </w:r>
            <w:r w:rsidRPr="00DB4CDB">
              <w:rPr>
                <w:rFonts w:eastAsia="Calibri" w:cs="Arial"/>
                <w:b/>
                <w:spacing w:val="-1"/>
                <w:szCs w:val="24"/>
              </w:rPr>
              <w:t>Budget</w:t>
            </w:r>
            <w:r w:rsidRPr="00DB4CDB">
              <w:rPr>
                <w:rFonts w:eastAsia="Calibri" w:cs="Arial"/>
                <w:b/>
                <w:spacing w:val="-5"/>
                <w:szCs w:val="24"/>
              </w:rPr>
              <w:t xml:space="preserve"> </w:t>
            </w:r>
            <w:r w:rsidRPr="00DB4CDB">
              <w:rPr>
                <w:rFonts w:eastAsia="Calibri" w:cs="Arial"/>
                <w:b/>
                <w:spacing w:val="-1"/>
                <w:szCs w:val="24"/>
              </w:rPr>
              <w:t>Category</w:t>
            </w:r>
          </w:p>
        </w:tc>
      </w:tr>
      <w:tr w:rsidR="009B067B" w:rsidRPr="00DB4CDB" w14:paraId="5DA1F1A7" w14:textId="77777777" w:rsidTr="00D67E8D">
        <w:trPr>
          <w:cantSplit/>
        </w:trPr>
        <w:tc>
          <w:tcPr>
            <w:tcW w:w="673" w:type="pct"/>
            <w:vAlign w:val="center"/>
          </w:tcPr>
          <w:p w14:paraId="4C903276" w14:textId="77777777" w:rsidR="009B067B" w:rsidRPr="00DB4CDB" w:rsidRDefault="009B067B" w:rsidP="00CA40D1">
            <w:pPr>
              <w:spacing w:before="17" w:after="0"/>
              <w:ind w:left="119"/>
              <w:rPr>
                <w:rFonts w:eastAsia="Arial" w:cs="Arial"/>
                <w:szCs w:val="24"/>
              </w:rPr>
            </w:pPr>
            <w:r w:rsidRPr="00DB4CDB">
              <w:rPr>
                <w:rFonts w:eastAsia="Calibri" w:cs="Arial"/>
                <w:spacing w:val="-1"/>
                <w:szCs w:val="24"/>
              </w:rPr>
              <w:t>1000</w:t>
            </w:r>
          </w:p>
        </w:tc>
        <w:tc>
          <w:tcPr>
            <w:tcW w:w="4327" w:type="pct"/>
            <w:vAlign w:val="center"/>
          </w:tcPr>
          <w:p w14:paraId="52ECB328" w14:textId="093EB1E8" w:rsidR="009B067B" w:rsidRPr="00DB4CDB" w:rsidRDefault="009B067B" w:rsidP="00CA40D1">
            <w:pPr>
              <w:spacing w:before="100" w:beforeAutospacing="1" w:after="120"/>
              <w:ind w:left="119" w:right="229"/>
              <w:rPr>
                <w:rFonts w:eastAsia="Arial" w:cs="Arial"/>
                <w:szCs w:val="24"/>
              </w:rPr>
            </w:pPr>
            <w:r w:rsidRPr="00DB4CDB">
              <w:rPr>
                <w:rFonts w:eastAsia="Calibri" w:cs="Arial"/>
                <w:b/>
                <w:spacing w:val="-1"/>
                <w:szCs w:val="24"/>
              </w:rPr>
              <w:t>Certificated Salaries:</w:t>
            </w:r>
            <w:r w:rsidRPr="00DB4CDB">
              <w:rPr>
                <w:rFonts w:eastAsia="Calibri" w:cs="Arial"/>
                <w:spacing w:val="-2"/>
                <w:szCs w:val="24"/>
              </w:rPr>
              <w:t xml:space="preserve"> </w:t>
            </w:r>
            <w:r w:rsidRPr="00DB4CDB">
              <w:rPr>
                <w:rFonts w:eastAsia="Calibri" w:cs="Arial"/>
                <w:spacing w:val="-1"/>
                <w:szCs w:val="24"/>
              </w:rPr>
              <w:t>Salaries</w:t>
            </w:r>
            <w:r w:rsidRPr="00DB4CDB">
              <w:rPr>
                <w:rFonts w:eastAsia="Calibri" w:cs="Arial"/>
                <w:spacing w:val="-2"/>
                <w:szCs w:val="24"/>
              </w:rPr>
              <w:t xml:space="preserve"> </w:t>
            </w:r>
            <w:r w:rsidRPr="00DB4CDB">
              <w:rPr>
                <w:rFonts w:eastAsia="Calibri" w:cs="Arial"/>
                <w:spacing w:val="-1"/>
                <w:szCs w:val="24"/>
              </w:rPr>
              <w:t>that</w:t>
            </w:r>
            <w:r w:rsidRPr="00DB4CDB">
              <w:rPr>
                <w:rFonts w:eastAsia="Calibri" w:cs="Arial"/>
                <w:spacing w:val="-2"/>
                <w:szCs w:val="24"/>
              </w:rPr>
              <w:t xml:space="preserve"> </w:t>
            </w:r>
            <w:r w:rsidRPr="00DB4CDB">
              <w:rPr>
                <w:rFonts w:eastAsia="Calibri" w:cs="Arial"/>
                <w:spacing w:val="-1"/>
                <w:szCs w:val="24"/>
              </w:rPr>
              <w:t xml:space="preserve">require </w:t>
            </w:r>
            <w:r w:rsidRPr="00DB4CDB">
              <w:rPr>
                <w:rFonts w:eastAsia="Calibri" w:cs="Arial"/>
                <w:szCs w:val="24"/>
              </w:rPr>
              <w:t>a</w:t>
            </w:r>
            <w:r w:rsidRPr="00DB4CDB">
              <w:rPr>
                <w:rFonts w:eastAsia="Calibri" w:cs="Arial"/>
                <w:spacing w:val="-2"/>
                <w:szCs w:val="24"/>
              </w:rPr>
              <w:t xml:space="preserve"> </w:t>
            </w:r>
            <w:r w:rsidRPr="00DB4CDB">
              <w:rPr>
                <w:rFonts w:eastAsia="Calibri" w:cs="Arial"/>
                <w:spacing w:val="-1"/>
                <w:szCs w:val="24"/>
              </w:rPr>
              <w:t>credential or</w:t>
            </w:r>
            <w:r w:rsidRPr="00DB4CDB">
              <w:rPr>
                <w:rFonts w:eastAsia="Calibri" w:cs="Arial"/>
                <w:spacing w:val="-2"/>
                <w:szCs w:val="24"/>
              </w:rPr>
              <w:t xml:space="preserve"> </w:t>
            </w:r>
            <w:r w:rsidRPr="00DB4CDB">
              <w:rPr>
                <w:rFonts w:eastAsia="Calibri" w:cs="Arial"/>
                <w:spacing w:val="-1"/>
                <w:szCs w:val="24"/>
              </w:rPr>
              <w:t>permit issued</w:t>
            </w:r>
            <w:r w:rsidRPr="00DB4CDB">
              <w:rPr>
                <w:rFonts w:eastAsia="Calibri" w:cs="Arial"/>
                <w:spacing w:val="-2"/>
                <w:szCs w:val="24"/>
              </w:rPr>
              <w:t xml:space="preserve"> </w:t>
            </w:r>
            <w:r w:rsidRPr="00DB4CDB">
              <w:rPr>
                <w:rFonts w:eastAsia="Calibri" w:cs="Arial"/>
                <w:spacing w:val="-1"/>
                <w:szCs w:val="24"/>
              </w:rPr>
              <w:t>by</w:t>
            </w:r>
            <w:r w:rsidRPr="00DB4CDB">
              <w:rPr>
                <w:rFonts w:eastAsia="Calibri" w:cs="Arial"/>
                <w:spacing w:val="-2"/>
                <w:szCs w:val="24"/>
              </w:rPr>
              <w:t xml:space="preserve"> </w:t>
            </w:r>
            <w:r w:rsidRPr="00DB4CDB">
              <w:rPr>
                <w:rFonts w:eastAsia="Calibri" w:cs="Arial"/>
                <w:spacing w:val="-1"/>
                <w:szCs w:val="24"/>
              </w:rPr>
              <w:t>the</w:t>
            </w:r>
            <w:r w:rsidRPr="00DB4CDB">
              <w:rPr>
                <w:rFonts w:eastAsia="Calibri" w:cs="Arial"/>
                <w:spacing w:val="25"/>
                <w:szCs w:val="24"/>
              </w:rPr>
              <w:t xml:space="preserve"> </w:t>
            </w:r>
            <w:r w:rsidRPr="00DB4CDB">
              <w:rPr>
                <w:rFonts w:eastAsia="Calibri" w:cs="Arial"/>
                <w:spacing w:val="-1"/>
                <w:szCs w:val="24"/>
              </w:rPr>
              <w:t>Commission</w:t>
            </w:r>
            <w:r w:rsidRPr="00DB4CDB">
              <w:rPr>
                <w:rFonts w:eastAsia="Calibri" w:cs="Arial"/>
                <w:spacing w:val="-2"/>
                <w:szCs w:val="24"/>
              </w:rPr>
              <w:t xml:space="preserve"> </w:t>
            </w:r>
            <w:r w:rsidRPr="00DB4CDB">
              <w:rPr>
                <w:rFonts w:eastAsia="Calibri" w:cs="Arial"/>
                <w:spacing w:val="-1"/>
                <w:szCs w:val="24"/>
              </w:rPr>
              <w:t>on</w:t>
            </w:r>
            <w:r w:rsidRPr="00DB4CDB">
              <w:rPr>
                <w:rFonts w:eastAsia="Calibri" w:cs="Arial"/>
                <w:spacing w:val="-2"/>
                <w:szCs w:val="24"/>
              </w:rPr>
              <w:t xml:space="preserve"> </w:t>
            </w:r>
            <w:r w:rsidRPr="00DB4CDB">
              <w:rPr>
                <w:rFonts w:eastAsia="Calibri" w:cs="Arial"/>
                <w:spacing w:val="-1"/>
                <w:szCs w:val="24"/>
              </w:rPr>
              <w:t>Teacher</w:t>
            </w:r>
            <w:r w:rsidRPr="00DB4CDB">
              <w:rPr>
                <w:rFonts w:eastAsia="Calibri" w:cs="Arial"/>
                <w:spacing w:val="-2"/>
                <w:szCs w:val="24"/>
              </w:rPr>
              <w:t xml:space="preserve"> </w:t>
            </w:r>
            <w:r w:rsidRPr="00DB4CDB">
              <w:rPr>
                <w:rFonts w:eastAsia="Calibri" w:cs="Arial"/>
                <w:spacing w:val="-1"/>
                <w:szCs w:val="24"/>
              </w:rPr>
              <w:t>Credentialing.</w:t>
            </w:r>
            <w:r w:rsidRPr="00DB4CDB">
              <w:rPr>
                <w:rFonts w:eastAsia="Calibri" w:cs="Arial"/>
                <w:spacing w:val="-2"/>
                <w:szCs w:val="24"/>
              </w:rPr>
              <w:t xml:space="preserve"> </w:t>
            </w:r>
            <w:r w:rsidRPr="00DB4CDB">
              <w:rPr>
                <w:rFonts w:eastAsia="Calibri" w:cs="Arial"/>
                <w:spacing w:val="-1"/>
                <w:szCs w:val="24"/>
              </w:rPr>
              <w:t>List all</w:t>
            </w:r>
            <w:r w:rsidRPr="00DB4CDB">
              <w:rPr>
                <w:rFonts w:eastAsia="Calibri" w:cs="Arial"/>
                <w:spacing w:val="-2"/>
                <w:szCs w:val="24"/>
              </w:rPr>
              <w:t xml:space="preserve"> </w:t>
            </w:r>
            <w:r w:rsidRPr="00DB4CDB">
              <w:rPr>
                <w:rFonts w:eastAsia="Calibri" w:cs="Arial"/>
                <w:spacing w:val="-1"/>
                <w:szCs w:val="24"/>
              </w:rPr>
              <w:t>certificated</w:t>
            </w:r>
            <w:r w:rsidRPr="00DB4CDB">
              <w:rPr>
                <w:rFonts w:eastAsia="Calibri" w:cs="Arial"/>
                <w:spacing w:val="-2"/>
                <w:szCs w:val="24"/>
              </w:rPr>
              <w:t xml:space="preserve"> </w:t>
            </w:r>
            <w:r w:rsidRPr="00DB4CDB">
              <w:rPr>
                <w:rFonts w:eastAsia="Calibri" w:cs="Arial"/>
                <w:spacing w:val="-1"/>
                <w:szCs w:val="24"/>
              </w:rPr>
              <w:t xml:space="preserve">employees supporting </w:t>
            </w:r>
            <w:r w:rsidR="00747770">
              <w:rPr>
                <w:rFonts w:eastAsia="Calibri" w:cs="Arial"/>
                <w:spacing w:val="-1"/>
                <w:szCs w:val="24"/>
              </w:rPr>
              <w:t>STACS</w:t>
            </w:r>
            <w:r w:rsidRPr="00DB4CDB">
              <w:rPr>
                <w:rFonts w:eastAsia="Calibri" w:cs="Arial"/>
                <w:spacing w:val="-1"/>
                <w:szCs w:val="24"/>
              </w:rPr>
              <w:t xml:space="preserve"> </w:t>
            </w:r>
            <w:r w:rsidR="00291DB0" w:rsidRPr="00DB4CDB">
              <w:rPr>
                <w:rFonts w:eastAsia="Calibri" w:cs="Arial"/>
                <w:spacing w:val="-1"/>
                <w:szCs w:val="24"/>
              </w:rPr>
              <w:t>S</w:t>
            </w:r>
            <w:r w:rsidRPr="00DB4CDB">
              <w:rPr>
                <w:rFonts w:eastAsia="Calibri" w:cs="Arial"/>
                <w:spacing w:val="-1"/>
                <w:szCs w:val="24"/>
              </w:rPr>
              <w:t>ub</w:t>
            </w:r>
            <w:r w:rsidR="00747770">
              <w:rPr>
                <w:rFonts w:eastAsia="Calibri" w:cs="Arial"/>
                <w:spacing w:val="-1"/>
                <w:szCs w:val="24"/>
              </w:rPr>
              <w:t>g</w:t>
            </w:r>
            <w:r w:rsidRPr="00DB4CDB">
              <w:rPr>
                <w:rFonts w:eastAsia="Calibri" w:cs="Arial"/>
                <w:spacing w:val="-1"/>
                <w:szCs w:val="24"/>
              </w:rPr>
              <w:t>rant activities,</w:t>
            </w:r>
            <w:r w:rsidRPr="00DB4CDB">
              <w:rPr>
                <w:rFonts w:eastAsia="Calibri" w:cs="Arial"/>
                <w:spacing w:val="30"/>
                <w:w w:val="99"/>
                <w:szCs w:val="24"/>
              </w:rPr>
              <w:t xml:space="preserve"> </w:t>
            </w:r>
            <w:r w:rsidRPr="00DB4CDB">
              <w:rPr>
                <w:rFonts w:eastAsia="Calibri" w:cs="Arial"/>
                <w:spacing w:val="-1"/>
                <w:szCs w:val="24"/>
              </w:rPr>
              <w:t>including</w:t>
            </w:r>
            <w:r w:rsidRPr="00DB4CDB">
              <w:rPr>
                <w:rFonts w:eastAsia="Calibri" w:cs="Arial"/>
                <w:spacing w:val="-2"/>
                <w:szCs w:val="24"/>
              </w:rPr>
              <w:t xml:space="preserve"> </w:t>
            </w:r>
            <w:r w:rsidRPr="00DB4CDB">
              <w:rPr>
                <w:rFonts w:eastAsia="Calibri" w:cs="Arial"/>
                <w:spacing w:val="-1"/>
                <w:szCs w:val="24"/>
              </w:rPr>
              <w:t>percentage</w:t>
            </w:r>
            <w:r w:rsidRPr="00DB4CDB">
              <w:rPr>
                <w:rFonts w:eastAsia="Calibri" w:cs="Arial"/>
                <w:spacing w:val="-2"/>
                <w:szCs w:val="24"/>
              </w:rPr>
              <w:t xml:space="preserve"> </w:t>
            </w:r>
            <w:r w:rsidRPr="00DB4CDB">
              <w:rPr>
                <w:rFonts w:eastAsia="Calibri" w:cs="Arial"/>
                <w:spacing w:val="-1"/>
                <w:szCs w:val="24"/>
              </w:rPr>
              <w:t>or</w:t>
            </w:r>
            <w:r w:rsidRPr="00DB4CDB">
              <w:rPr>
                <w:rFonts w:eastAsia="Calibri" w:cs="Arial"/>
                <w:spacing w:val="-2"/>
                <w:szCs w:val="24"/>
              </w:rPr>
              <w:t xml:space="preserve"> </w:t>
            </w:r>
            <w:r w:rsidRPr="00DB4CDB">
              <w:rPr>
                <w:rFonts w:eastAsia="Calibri" w:cs="Arial"/>
                <w:spacing w:val="-1"/>
                <w:szCs w:val="24"/>
              </w:rPr>
              <w:t>fraction</w:t>
            </w:r>
            <w:r w:rsidRPr="00DB4CDB">
              <w:rPr>
                <w:rFonts w:eastAsia="Calibri" w:cs="Arial"/>
                <w:spacing w:val="-2"/>
                <w:szCs w:val="24"/>
              </w:rPr>
              <w:t xml:space="preserve"> </w:t>
            </w:r>
            <w:r w:rsidRPr="00DB4CDB">
              <w:rPr>
                <w:rFonts w:eastAsia="Calibri" w:cs="Arial"/>
                <w:spacing w:val="-1"/>
                <w:szCs w:val="24"/>
              </w:rPr>
              <w:t>of FTE</w:t>
            </w:r>
            <w:r w:rsidRPr="00DB4CDB">
              <w:rPr>
                <w:rFonts w:eastAsia="Calibri" w:cs="Arial"/>
                <w:spacing w:val="-2"/>
                <w:szCs w:val="24"/>
              </w:rPr>
              <w:t xml:space="preserve"> </w:t>
            </w:r>
            <w:r w:rsidRPr="00DB4CDB">
              <w:rPr>
                <w:rFonts w:eastAsia="Calibri" w:cs="Arial"/>
                <w:spacing w:val="-1"/>
                <w:szCs w:val="24"/>
              </w:rPr>
              <w:t>and</w:t>
            </w:r>
            <w:r w:rsidRPr="00DB4CDB">
              <w:rPr>
                <w:rFonts w:eastAsia="Calibri" w:cs="Arial"/>
                <w:spacing w:val="-2"/>
                <w:szCs w:val="24"/>
              </w:rPr>
              <w:t xml:space="preserve"> </w:t>
            </w:r>
            <w:r w:rsidRPr="00DB4CDB">
              <w:rPr>
                <w:rFonts w:eastAsia="Calibri" w:cs="Arial"/>
                <w:spacing w:val="-1"/>
                <w:szCs w:val="24"/>
              </w:rPr>
              <w:t>rate of</w:t>
            </w:r>
            <w:r w:rsidRPr="00DB4CDB">
              <w:rPr>
                <w:rFonts w:eastAsia="Calibri" w:cs="Arial"/>
                <w:spacing w:val="-2"/>
                <w:szCs w:val="24"/>
              </w:rPr>
              <w:t xml:space="preserve"> </w:t>
            </w:r>
            <w:r w:rsidRPr="00DB4CDB">
              <w:rPr>
                <w:rFonts w:eastAsia="Calibri" w:cs="Arial"/>
                <w:spacing w:val="-1"/>
                <w:szCs w:val="24"/>
              </w:rPr>
              <w:t>pay</w:t>
            </w:r>
            <w:r w:rsidRPr="00DB4CDB">
              <w:rPr>
                <w:rFonts w:eastAsia="Calibri" w:cs="Arial"/>
                <w:spacing w:val="-2"/>
                <w:szCs w:val="24"/>
              </w:rPr>
              <w:t xml:space="preserve"> </w:t>
            </w:r>
            <w:r w:rsidRPr="00DB4CDB">
              <w:rPr>
                <w:rFonts w:eastAsia="Calibri" w:cs="Arial"/>
                <w:spacing w:val="-1"/>
                <w:szCs w:val="24"/>
              </w:rPr>
              <w:t>per</w:t>
            </w:r>
            <w:r w:rsidRPr="00DB4CDB">
              <w:rPr>
                <w:rFonts w:eastAsia="Calibri" w:cs="Arial"/>
                <w:spacing w:val="-2"/>
                <w:szCs w:val="24"/>
              </w:rPr>
              <w:t xml:space="preserve"> </w:t>
            </w:r>
            <w:r w:rsidRPr="00DB4CDB">
              <w:rPr>
                <w:rFonts w:eastAsia="Calibri" w:cs="Arial"/>
                <w:spacing w:val="-1"/>
                <w:szCs w:val="24"/>
              </w:rPr>
              <w:t>day,</w:t>
            </w:r>
            <w:r w:rsidRPr="00DB4CDB">
              <w:rPr>
                <w:rFonts w:eastAsia="Calibri" w:cs="Arial"/>
                <w:spacing w:val="29"/>
                <w:w w:val="99"/>
                <w:szCs w:val="24"/>
              </w:rPr>
              <w:t xml:space="preserve"> </w:t>
            </w:r>
            <w:r w:rsidRPr="00DB4CDB">
              <w:rPr>
                <w:rFonts w:eastAsia="Calibri" w:cs="Arial"/>
                <w:spacing w:val="-1"/>
                <w:szCs w:val="24"/>
              </w:rPr>
              <w:t>month,</w:t>
            </w:r>
            <w:r w:rsidRPr="00DB4CDB">
              <w:rPr>
                <w:rFonts w:eastAsia="Calibri" w:cs="Arial"/>
                <w:spacing w:val="-2"/>
                <w:szCs w:val="24"/>
              </w:rPr>
              <w:t xml:space="preserve"> </w:t>
            </w:r>
            <w:r w:rsidRPr="00DB4CDB">
              <w:rPr>
                <w:rFonts w:eastAsia="Calibri" w:cs="Arial"/>
                <w:spacing w:val="-1"/>
                <w:szCs w:val="24"/>
              </w:rPr>
              <w:t>and/or</w:t>
            </w:r>
            <w:r w:rsidRPr="00DB4CDB">
              <w:rPr>
                <w:rFonts w:eastAsia="Calibri" w:cs="Arial"/>
                <w:spacing w:val="-2"/>
                <w:szCs w:val="24"/>
              </w:rPr>
              <w:t xml:space="preserve"> </w:t>
            </w:r>
            <w:r w:rsidRPr="00DB4CDB">
              <w:rPr>
                <w:rFonts w:eastAsia="Calibri" w:cs="Arial"/>
                <w:spacing w:val="-1"/>
                <w:szCs w:val="24"/>
              </w:rPr>
              <w:t>annual salary.</w:t>
            </w:r>
            <w:r w:rsidRPr="00DB4CDB">
              <w:rPr>
                <w:rFonts w:eastAsia="Calibri" w:cs="Arial"/>
                <w:spacing w:val="-2"/>
                <w:szCs w:val="24"/>
              </w:rPr>
              <w:t xml:space="preserve"> </w:t>
            </w:r>
            <w:r w:rsidRPr="00DB4CDB">
              <w:rPr>
                <w:rFonts w:eastAsia="Calibri" w:cs="Arial"/>
                <w:spacing w:val="-1"/>
                <w:szCs w:val="24"/>
              </w:rPr>
              <w:t>(Funds</w:t>
            </w:r>
            <w:r w:rsidRPr="00DB4CDB">
              <w:rPr>
                <w:rFonts w:eastAsia="Calibri" w:cs="Arial"/>
                <w:spacing w:val="-2"/>
                <w:szCs w:val="24"/>
              </w:rPr>
              <w:t xml:space="preserve"> </w:t>
            </w:r>
            <w:r w:rsidRPr="00DB4CDB">
              <w:rPr>
                <w:rFonts w:eastAsia="Calibri" w:cs="Arial"/>
                <w:spacing w:val="-1"/>
                <w:szCs w:val="24"/>
              </w:rPr>
              <w:t>in this</w:t>
            </w:r>
            <w:r w:rsidRPr="00DB4CDB">
              <w:rPr>
                <w:rFonts w:eastAsia="Calibri" w:cs="Arial"/>
                <w:spacing w:val="-2"/>
                <w:szCs w:val="24"/>
              </w:rPr>
              <w:t xml:space="preserve"> </w:t>
            </w:r>
            <w:r w:rsidRPr="00DB4CDB">
              <w:rPr>
                <w:rFonts w:eastAsia="Calibri" w:cs="Arial"/>
                <w:spacing w:val="-1"/>
                <w:szCs w:val="24"/>
              </w:rPr>
              <w:t>category</w:t>
            </w:r>
            <w:r w:rsidRPr="00DB4CDB">
              <w:rPr>
                <w:rFonts w:eastAsia="Calibri" w:cs="Arial"/>
                <w:spacing w:val="-2"/>
                <w:szCs w:val="24"/>
              </w:rPr>
              <w:t xml:space="preserve"> </w:t>
            </w:r>
            <w:r w:rsidRPr="00DB4CDB">
              <w:rPr>
                <w:rFonts w:eastAsia="Calibri" w:cs="Arial"/>
                <w:spacing w:val="-1"/>
                <w:szCs w:val="24"/>
              </w:rPr>
              <w:t>are not</w:t>
            </w:r>
            <w:r w:rsidRPr="00DB4CDB">
              <w:rPr>
                <w:rFonts w:eastAsia="Calibri" w:cs="Arial"/>
                <w:spacing w:val="-2"/>
                <w:szCs w:val="24"/>
              </w:rPr>
              <w:t xml:space="preserve"> </w:t>
            </w:r>
            <w:r w:rsidRPr="00DB4CDB">
              <w:rPr>
                <w:rFonts w:eastAsia="Calibri" w:cs="Arial"/>
                <w:spacing w:val="-1"/>
                <w:szCs w:val="24"/>
              </w:rPr>
              <w:t>intended</w:t>
            </w:r>
            <w:r w:rsidRPr="00DB4CDB">
              <w:rPr>
                <w:rFonts w:eastAsia="Calibri" w:cs="Arial"/>
                <w:spacing w:val="-2"/>
                <w:szCs w:val="24"/>
              </w:rPr>
              <w:t xml:space="preserve"> </w:t>
            </w:r>
            <w:r w:rsidRPr="00DB4CDB">
              <w:rPr>
                <w:rFonts w:eastAsia="Calibri" w:cs="Arial"/>
                <w:spacing w:val="-1"/>
                <w:szCs w:val="24"/>
              </w:rPr>
              <w:t>to</w:t>
            </w:r>
            <w:r w:rsidRPr="00DB4CDB">
              <w:rPr>
                <w:rFonts w:eastAsia="Calibri" w:cs="Arial"/>
                <w:spacing w:val="27"/>
                <w:szCs w:val="24"/>
              </w:rPr>
              <w:t xml:space="preserve"> </w:t>
            </w:r>
            <w:r w:rsidRPr="00DB4CDB">
              <w:rPr>
                <w:rFonts w:eastAsia="Calibri" w:cs="Arial"/>
                <w:spacing w:val="-1"/>
                <w:szCs w:val="24"/>
              </w:rPr>
              <w:t>supplant</w:t>
            </w:r>
            <w:r w:rsidRPr="00DB4CDB">
              <w:rPr>
                <w:rFonts w:eastAsia="Calibri" w:cs="Arial"/>
                <w:spacing w:val="-2"/>
                <w:szCs w:val="24"/>
              </w:rPr>
              <w:t xml:space="preserve"> </w:t>
            </w:r>
            <w:r w:rsidRPr="00DB4CDB">
              <w:rPr>
                <w:rFonts w:eastAsia="Calibri" w:cs="Arial"/>
                <w:spacing w:val="-1"/>
                <w:szCs w:val="24"/>
              </w:rPr>
              <w:t>current</w:t>
            </w:r>
            <w:r w:rsidRPr="00DB4CDB">
              <w:rPr>
                <w:rFonts w:eastAsia="Calibri" w:cs="Arial"/>
                <w:spacing w:val="-3"/>
                <w:szCs w:val="24"/>
              </w:rPr>
              <w:t xml:space="preserve"> </w:t>
            </w:r>
            <w:r w:rsidRPr="00DB4CDB">
              <w:rPr>
                <w:rFonts w:eastAsia="Calibri" w:cs="Arial"/>
                <w:spacing w:val="-1"/>
                <w:szCs w:val="24"/>
              </w:rPr>
              <w:t>fixed</w:t>
            </w:r>
            <w:r w:rsidRPr="00DB4CDB">
              <w:rPr>
                <w:rFonts w:eastAsia="Calibri" w:cs="Arial"/>
                <w:spacing w:val="-2"/>
                <w:szCs w:val="24"/>
              </w:rPr>
              <w:t xml:space="preserve"> </w:t>
            </w:r>
            <w:r w:rsidRPr="00DB4CDB">
              <w:rPr>
                <w:rFonts w:eastAsia="Calibri" w:cs="Arial"/>
                <w:spacing w:val="-1"/>
                <w:szCs w:val="24"/>
              </w:rPr>
              <w:t>costs.)</w:t>
            </w:r>
          </w:p>
        </w:tc>
      </w:tr>
      <w:tr w:rsidR="009B067B" w:rsidRPr="00DB4CDB" w14:paraId="54E241EE" w14:textId="77777777" w:rsidTr="00D67E8D">
        <w:trPr>
          <w:cantSplit/>
        </w:trPr>
        <w:tc>
          <w:tcPr>
            <w:tcW w:w="673" w:type="pct"/>
            <w:vAlign w:val="center"/>
          </w:tcPr>
          <w:p w14:paraId="28C071A1" w14:textId="77777777" w:rsidR="009B067B" w:rsidRPr="00DB4CDB" w:rsidRDefault="009B067B" w:rsidP="00CA40D1">
            <w:pPr>
              <w:spacing w:before="17" w:after="0"/>
              <w:ind w:left="119"/>
              <w:rPr>
                <w:rFonts w:eastAsia="Arial" w:cs="Arial"/>
                <w:szCs w:val="24"/>
              </w:rPr>
            </w:pPr>
            <w:r w:rsidRPr="00DB4CDB">
              <w:rPr>
                <w:rFonts w:eastAsia="Calibri" w:cs="Arial"/>
                <w:spacing w:val="-1"/>
                <w:szCs w:val="24"/>
              </w:rPr>
              <w:t>2000</w:t>
            </w:r>
          </w:p>
        </w:tc>
        <w:tc>
          <w:tcPr>
            <w:tcW w:w="4327" w:type="pct"/>
            <w:vAlign w:val="center"/>
          </w:tcPr>
          <w:p w14:paraId="79D3FEC8" w14:textId="667F07CF" w:rsidR="009B067B" w:rsidRPr="00DB4CDB" w:rsidRDefault="009B067B" w:rsidP="00CA40D1">
            <w:pPr>
              <w:spacing w:before="100" w:beforeAutospacing="1" w:after="120"/>
              <w:ind w:left="119" w:right="216"/>
              <w:rPr>
                <w:rFonts w:eastAsia="Arial" w:cs="Arial"/>
                <w:szCs w:val="24"/>
              </w:rPr>
            </w:pPr>
            <w:r w:rsidRPr="00DB4CDB">
              <w:rPr>
                <w:rFonts w:eastAsia="Calibri" w:cs="Arial"/>
                <w:b/>
                <w:spacing w:val="-1"/>
                <w:szCs w:val="24"/>
              </w:rPr>
              <w:t>Classified Salaries:</w:t>
            </w:r>
            <w:r w:rsidRPr="00DB4CDB">
              <w:rPr>
                <w:rFonts w:eastAsia="Calibri" w:cs="Arial"/>
                <w:b/>
                <w:spacing w:val="-2"/>
                <w:szCs w:val="24"/>
              </w:rPr>
              <w:t xml:space="preserve"> </w:t>
            </w:r>
            <w:r w:rsidRPr="00DB4CDB">
              <w:rPr>
                <w:rFonts w:eastAsia="Calibri" w:cs="Arial"/>
                <w:spacing w:val="-1"/>
                <w:szCs w:val="24"/>
              </w:rPr>
              <w:t>Salaries</w:t>
            </w:r>
            <w:r w:rsidRPr="00DB4CDB">
              <w:rPr>
                <w:rFonts w:eastAsia="Calibri" w:cs="Arial"/>
                <w:spacing w:val="-2"/>
                <w:szCs w:val="24"/>
              </w:rPr>
              <w:t xml:space="preserve"> </w:t>
            </w:r>
            <w:r w:rsidRPr="00DB4CDB">
              <w:rPr>
                <w:rFonts w:eastAsia="Calibri" w:cs="Arial"/>
                <w:spacing w:val="-1"/>
                <w:szCs w:val="24"/>
              </w:rPr>
              <w:t>for services</w:t>
            </w:r>
            <w:r w:rsidRPr="00DB4CDB">
              <w:rPr>
                <w:rFonts w:eastAsia="Calibri" w:cs="Arial"/>
                <w:spacing w:val="-2"/>
                <w:szCs w:val="24"/>
              </w:rPr>
              <w:t xml:space="preserve"> </w:t>
            </w:r>
            <w:r w:rsidRPr="00DB4CDB">
              <w:rPr>
                <w:rFonts w:eastAsia="Calibri" w:cs="Arial"/>
                <w:spacing w:val="-1"/>
                <w:szCs w:val="24"/>
              </w:rPr>
              <w:t>that do not</w:t>
            </w:r>
            <w:r w:rsidRPr="00DB4CDB">
              <w:rPr>
                <w:rFonts w:eastAsia="Calibri" w:cs="Arial"/>
                <w:spacing w:val="-2"/>
                <w:szCs w:val="24"/>
              </w:rPr>
              <w:t xml:space="preserve"> </w:t>
            </w:r>
            <w:r w:rsidRPr="00DB4CDB">
              <w:rPr>
                <w:rFonts w:eastAsia="Calibri" w:cs="Arial"/>
                <w:spacing w:val="-1"/>
                <w:szCs w:val="24"/>
              </w:rPr>
              <w:t xml:space="preserve">require </w:t>
            </w:r>
            <w:r w:rsidRPr="00DB4CDB">
              <w:rPr>
                <w:rFonts w:eastAsia="Calibri" w:cs="Arial"/>
                <w:szCs w:val="24"/>
              </w:rPr>
              <w:t>a</w:t>
            </w:r>
            <w:r w:rsidRPr="00DB4CDB">
              <w:rPr>
                <w:rFonts w:eastAsia="Calibri" w:cs="Arial"/>
                <w:spacing w:val="-2"/>
                <w:szCs w:val="24"/>
              </w:rPr>
              <w:t xml:space="preserve"> </w:t>
            </w:r>
            <w:r w:rsidRPr="00DB4CDB">
              <w:rPr>
                <w:rFonts w:eastAsia="Calibri" w:cs="Arial"/>
                <w:spacing w:val="-1"/>
                <w:szCs w:val="24"/>
              </w:rPr>
              <w:t>credential or</w:t>
            </w:r>
            <w:r w:rsidRPr="00DB4CDB">
              <w:rPr>
                <w:rFonts w:eastAsia="Calibri" w:cs="Arial"/>
                <w:spacing w:val="25"/>
                <w:szCs w:val="24"/>
              </w:rPr>
              <w:t xml:space="preserve"> </w:t>
            </w:r>
            <w:r w:rsidRPr="00DB4CDB">
              <w:rPr>
                <w:rFonts w:eastAsia="Calibri" w:cs="Arial"/>
                <w:spacing w:val="-1"/>
                <w:szCs w:val="24"/>
              </w:rPr>
              <w:t>permit</w:t>
            </w:r>
            <w:r w:rsidRPr="00DB4CDB">
              <w:rPr>
                <w:rFonts w:eastAsia="Calibri" w:cs="Arial"/>
                <w:spacing w:val="-2"/>
                <w:szCs w:val="24"/>
              </w:rPr>
              <w:t xml:space="preserve"> </w:t>
            </w:r>
            <w:r w:rsidRPr="00DB4CDB">
              <w:rPr>
                <w:rFonts w:eastAsia="Calibri" w:cs="Arial"/>
                <w:spacing w:val="-1"/>
                <w:szCs w:val="24"/>
              </w:rPr>
              <w:t>issued</w:t>
            </w:r>
            <w:r w:rsidRPr="00DB4CDB">
              <w:rPr>
                <w:rFonts w:eastAsia="Calibri" w:cs="Arial"/>
                <w:spacing w:val="-2"/>
                <w:szCs w:val="24"/>
              </w:rPr>
              <w:t xml:space="preserve"> </w:t>
            </w:r>
            <w:r w:rsidRPr="00DB4CDB">
              <w:rPr>
                <w:rFonts w:eastAsia="Calibri" w:cs="Arial"/>
                <w:spacing w:val="-1"/>
                <w:szCs w:val="24"/>
              </w:rPr>
              <w:t>by the</w:t>
            </w:r>
            <w:r w:rsidRPr="00DB4CDB">
              <w:rPr>
                <w:rFonts w:eastAsia="Calibri" w:cs="Arial"/>
                <w:spacing w:val="-2"/>
                <w:szCs w:val="24"/>
              </w:rPr>
              <w:t xml:space="preserve"> </w:t>
            </w:r>
            <w:r w:rsidRPr="00DB4CDB">
              <w:rPr>
                <w:rFonts w:eastAsia="Calibri" w:cs="Arial"/>
                <w:spacing w:val="-1"/>
                <w:szCs w:val="24"/>
              </w:rPr>
              <w:t>Commission on</w:t>
            </w:r>
            <w:r w:rsidRPr="00DB4CDB">
              <w:rPr>
                <w:rFonts w:eastAsia="Calibri" w:cs="Arial"/>
                <w:spacing w:val="-2"/>
                <w:szCs w:val="24"/>
              </w:rPr>
              <w:t xml:space="preserve"> </w:t>
            </w:r>
            <w:r w:rsidRPr="00DB4CDB">
              <w:rPr>
                <w:rFonts w:eastAsia="Calibri" w:cs="Arial"/>
                <w:spacing w:val="-1"/>
                <w:szCs w:val="24"/>
              </w:rPr>
              <w:t>Teacher Credentialing.</w:t>
            </w:r>
            <w:r w:rsidRPr="00DB4CDB">
              <w:rPr>
                <w:rFonts w:eastAsia="Calibri" w:cs="Arial"/>
                <w:spacing w:val="-2"/>
                <w:szCs w:val="24"/>
              </w:rPr>
              <w:t xml:space="preserve"> </w:t>
            </w:r>
            <w:r w:rsidRPr="00DB4CDB">
              <w:rPr>
                <w:rFonts w:eastAsia="Calibri" w:cs="Arial"/>
                <w:spacing w:val="-1"/>
                <w:szCs w:val="24"/>
              </w:rPr>
              <w:t>List all</w:t>
            </w:r>
            <w:r w:rsidRPr="00DB4CDB">
              <w:rPr>
                <w:rFonts w:eastAsia="Calibri" w:cs="Arial"/>
                <w:spacing w:val="-2"/>
                <w:szCs w:val="24"/>
              </w:rPr>
              <w:t xml:space="preserve"> </w:t>
            </w:r>
            <w:r w:rsidRPr="00DB4CDB">
              <w:rPr>
                <w:rFonts w:eastAsia="Calibri" w:cs="Arial"/>
                <w:spacing w:val="-1"/>
                <w:szCs w:val="24"/>
              </w:rPr>
              <w:t xml:space="preserve">classified employees supporting </w:t>
            </w:r>
            <w:r w:rsidR="00747770">
              <w:rPr>
                <w:rFonts w:eastAsia="Calibri" w:cs="Arial"/>
                <w:spacing w:val="-1"/>
                <w:szCs w:val="24"/>
              </w:rPr>
              <w:t>STACS</w:t>
            </w:r>
            <w:r w:rsidRPr="00DB4CDB">
              <w:rPr>
                <w:rFonts w:eastAsia="Calibri" w:cs="Arial"/>
                <w:spacing w:val="-1"/>
                <w:szCs w:val="24"/>
              </w:rPr>
              <w:t xml:space="preserve"> </w:t>
            </w:r>
            <w:r w:rsidR="00291DB0" w:rsidRPr="00DB4CDB">
              <w:rPr>
                <w:rFonts w:eastAsia="Calibri" w:cs="Arial"/>
                <w:spacing w:val="-1"/>
                <w:szCs w:val="24"/>
              </w:rPr>
              <w:t>S</w:t>
            </w:r>
            <w:r w:rsidRPr="00DB4CDB">
              <w:rPr>
                <w:rFonts w:eastAsia="Calibri" w:cs="Arial"/>
                <w:spacing w:val="-1"/>
                <w:szCs w:val="24"/>
              </w:rPr>
              <w:t>ub</w:t>
            </w:r>
            <w:r w:rsidR="00747770">
              <w:rPr>
                <w:rFonts w:eastAsia="Calibri" w:cs="Arial"/>
                <w:spacing w:val="-1"/>
                <w:szCs w:val="24"/>
              </w:rPr>
              <w:t>g</w:t>
            </w:r>
            <w:r w:rsidRPr="00DB4CDB">
              <w:rPr>
                <w:rFonts w:eastAsia="Calibri" w:cs="Arial"/>
                <w:spacing w:val="-1"/>
                <w:szCs w:val="24"/>
              </w:rPr>
              <w:t>rant activities,</w:t>
            </w:r>
            <w:r w:rsidRPr="00DB4CDB">
              <w:rPr>
                <w:rFonts w:eastAsia="Calibri" w:cs="Arial"/>
                <w:spacing w:val="-2"/>
                <w:szCs w:val="24"/>
              </w:rPr>
              <w:t xml:space="preserve"> </w:t>
            </w:r>
            <w:r w:rsidRPr="00DB4CDB">
              <w:rPr>
                <w:rFonts w:eastAsia="Calibri" w:cs="Arial"/>
                <w:spacing w:val="-1"/>
                <w:szCs w:val="24"/>
              </w:rPr>
              <w:t>including</w:t>
            </w:r>
            <w:r w:rsidRPr="00DB4CDB">
              <w:rPr>
                <w:rFonts w:eastAsia="Calibri" w:cs="Arial"/>
                <w:spacing w:val="-2"/>
                <w:szCs w:val="24"/>
              </w:rPr>
              <w:t xml:space="preserve"> </w:t>
            </w:r>
            <w:r w:rsidRPr="00DB4CDB">
              <w:rPr>
                <w:rFonts w:eastAsia="Calibri" w:cs="Arial"/>
                <w:spacing w:val="-1"/>
                <w:szCs w:val="24"/>
              </w:rPr>
              <w:t>percentage</w:t>
            </w:r>
            <w:r w:rsidRPr="00DB4CDB">
              <w:rPr>
                <w:rFonts w:eastAsia="Calibri" w:cs="Arial"/>
                <w:spacing w:val="-2"/>
                <w:szCs w:val="24"/>
              </w:rPr>
              <w:t xml:space="preserve"> </w:t>
            </w:r>
            <w:r w:rsidRPr="00DB4CDB">
              <w:rPr>
                <w:rFonts w:eastAsia="Calibri" w:cs="Arial"/>
                <w:spacing w:val="-1"/>
                <w:szCs w:val="24"/>
              </w:rPr>
              <w:t>of</w:t>
            </w:r>
            <w:r w:rsidRPr="00DB4CDB">
              <w:rPr>
                <w:rFonts w:eastAsia="Calibri" w:cs="Arial"/>
                <w:spacing w:val="-2"/>
                <w:szCs w:val="24"/>
              </w:rPr>
              <w:t xml:space="preserve"> </w:t>
            </w:r>
            <w:r w:rsidRPr="00DB4CDB">
              <w:rPr>
                <w:rFonts w:eastAsia="Calibri" w:cs="Arial"/>
                <w:spacing w:val="-1"/>
                <w:szCs w:val="24"/>
              </w:rPr>
              <w:t>FTE, and</w:t>
            </w:r>
            <w:r w:rsidRPr="00DB4CDB">
              <w:rPr>
                <w:rFonts w:eastAsia="Calibri" w:cs="Arial"/>
                <w:spacing w:val="-2"/>
                <w:szCs w:val="24"/>
              </w:rPr>
              <w:t xml:space="preserve"> </w:t>
            </w:r>
            <w:r w:rsidRPr="00DB4CDB">
              <w:rPr>
                <w:rFonts w:eastAsia="Calibri" w:cs="Arial"/>
                <w:spacing w:val="-1"/>
                <w:szCs w:val="24"/>
              </w:rPr>
              <w:t>rate</w:t>
            </w:r>
            <w:r w:rsidRPr="00DB4CDB">
              <w:rPr>
                <w:rFonts w:eastAsia="Calibri" w:cs="Arial"/>
                <w:spacing w:val="-2"/>
                <w:szCs w:val="24"/>
              </w:rPr>
              <w:t xml:space="preserve"> </w:t>
            </w:r>
            <w:r w:rsidRPr="00DB4CDB">
              <w:rPr>
                <w:rFonts w:eastAsia="Calibri" w:cs="Arial"/>
                <w:spacing w:val="-1"/>
                <w:szCs w:val="24"/>
              </w:rPr>
              <w:t>of</w:t>
            </w:r>
            <w:r w:rsidRPr="00DB4CDB">
              <w:rPr>
                <w:rFonts w:eastAsia="Calibri" w:cs="Arial"/>
                <w:spacing w:val="-2"/>
                <w:szCs w:val="24"/>
              </w:rPr>
              <w:t xml:space="preserve"> </w:t>
            </w:r>
            <w:r w:rsidRPr="00DB4CDB">
              <w:rPr>
                <w:rFonts w:eastAsia="Calibri" w:cs="Arial"/>
                <w:spacing w:val="-1"/>
                <w:szCs w:val="24"/>
              </w:rPr>
              <w:t>pay</w:t>
            </w:r>
            <w:r w:rsidRPr="00DB4CDB">
              <w:rPr>
                <w:rFonts w:eastAsia="Calibri" w:cs="Arial"/>
                <w:spacing w:val="-2"/>
                <w:szCs w:val="24"/>
              </w:rPr>
              <w:t xml:space="preserve"> </w:t>
            </w:r>
            <w:r w:rsidRPr="00DB4CDB">
              <w:rPr>
                <w:rFonts w:eastAsia="Calibri" w:cs="Arial"/>
                <w:spacing w:val="-1"/>
                <w:szCs w:val="24"/>
              </w:rPr>
              <w:t>per day,</w:t>
            </w:r>
            <w:r w:rsidRPr="00DB4CDB">
              <w:rPr>
                <w:rFonts w:eastAsia="Calibri" w:cs="Arial"/>
                <w:spacing w:val="-2"/>
                <w:szCs w:val="24"/>
              </w:rPr>
              <w:t xml:space="preserve"> </w:t>
            </w:r>
            <w:r w:rsidRPr="00DB4CDB">
              <w:rPr>
                <w:rFonts w:eastAsia="Calibri" w:cs="Arial"/>
                <w:spacing w:val="-1"/>
                <w:szCs w:val="24"/>
              </w:rPr>
              <w:t>month</w:t>
            </w:r>
            <w:r w:rsidRPr="00DB4CDB">
              <w:rPr>
                <w:rFonts w:eastAsia="Calibri" w:cs="Arial"/>
                <w:spacing w:val="-2"/>
                <w:szCs w:val="24"/>
              </w:rPr>
              <w:t xml:space="preserve"> </w:t>
            </w:r>
            <w:r w:rsidRPr="00DB4CDB">
              <w:rPr>
                <w:rFonts w:eastAsia="Calibri" w:cs="Arial"/>
                <w:spacing w:val="-1"/>
                <w:szCs w:val="24"/>
              </w:rPr>
              <w:t>and/or</w:t>
            </w:r>
            <w:r w:rsidRPr="00DB4CDB">
              <w:rPr>
                <w:rFonts w:eastAsia="Calibri" w:cs="Arial"/>
                <w:spacing w:val="-2"/>
                <w:szCs w:val="24"/>
              </w:rPr>
              <w:t xml:space="preserve"> </w:t>
            </w:r>
            <w:r w:rsidRPr="00DB4CDB">
              <w:rPr>
                <w:rFonts w:eastAsia="Calibri" w:cs="Arial"/>
                <w:spacing w:val="-1"/>
                <w:szCs w:val="24"/>
              </w:rPr>
              <w:t>year.</w:t>
            </w:r>
            <w:r w:rsidRPr="00DB4CDB">
              <w:rPr>
                <w:rFonts w:eastAsia="Calibri" w:cs="Arial"/>
                <w:spacing w:val="29"/>
                <w:w w:val="99"/>
                <w:szCs w:val="24"/>
              </w:rPr>
              <w:t xml:space="preserve"> </w:t>
            </w:r>
            <w:r w:rsidRPr="00DB4CDB">
              <w:rPr>
                <w:rFonts w:eastAsia="Calibri" w:cs="Arial"/>
                <w:spacing w:val="-1"/>
                <w:szCs w:val="24"/>
              </w:rPr>
              <w:t>(Funds in</w:t>
            </w:r>
            <w:r w:rsidRPr="00DB4CDB">
              <w:rPr>
                <w:rFonts w:eastAsia="Calibri" w:cs="Arial"/>
                <w:spacing w:val="-2"/>
                <w:szCs w:val="24"/>
              </w:rPr>
              <w:t xml:space="preserve"> </w:t>
            </w:r>
            <w:r w:rsidRPr="00DB4CDB">
              <w:rPr>
                <w:rFonts w:eastAsia="Calibri" w:cs="Arial"/>
                <w:spacing w:val="-1"/>
                <w:szCs w:val="24"/>
              </w:rPr>
              <w:t>this</w:t>
            </w:r>
            <w:r w:rsidRPr="00DB4CDB">
              <w:rPr>
                <w:rFonts w:eastAsia="Calibri" w:cs="Arial"/>
                <w:spacing w:val="-2"/>
                <w:szCs w:val="24"/>
              </w:rPr>
              <w:t xml:space="preserve"> </w:t>
            </w:r>
            <w:r w:rsidRPr="00DB4CDB">
              <w:rPr>
                <w:rFonts w:eastAsia="Calibri" w:cs="Arial"/>
                <w:spacing w:val="-1"/>
                <w:szCs w:val="24"/>
              </w:rPr>
              <w:t>category are</w:t>
            </w:r>
            <w:r w:rsidRPr="00DB4CDB">
              <w:rPr>
                <w:rFonts w:eastAsia="Calibri" w:cs="Arial"/>
                <w:spacing w:val="-2"/>
                <w:szCs w:val="24"/>
              </w:rPr>
              <w:t xml:space="preserve"> </w:t>
            </w:r>
            <w:r w:rsidRPr="00DB4CDB">
              <w:rPr>
                <w:rFonts w:eastAsia="Calibri" w:cs="Arial"/>
                <w:spacing w:val="-1"/>
                <w:szCs w:val="24"/>
              </w:rPr>
              <w:t>not</w:t>
            </w:r>
            <w:r w:rsidRPr="00DB4CDB">
              <w:rPr>
                <w:rFonts w:eastAsia="Calibri" w:cs="Arial"/>
                <w:spacing w:val="-2"/>
                <w:szCs w:val="24"/>
              </w:rPr>
              <w:t xml:space="preserve"> </w:t>
            </w:r>
            <w:r w:rsidRPr="00DB4CDB">
              <w:rPr>
                <w:rFonts w:eastAsia="Calibri" w:cs="Arial"/>
                <w:spacing w:val="-1"/>
                <w:szCs w:val="24"/>
              </w:rPr>
              <w:t>intended to</w:t>
            </w:r>
            <w:r w:rsidRPr="00DB4CDB">
              <w:rPr>
                <w:rFonts w:eastAsia="Calibri" w:cs="Arial"/>
                <w:spacing w:val="-2"/>
                <w:szCs w:val="24"/>
              </w:rPr>
              <w:t xml:space="preserve"> </w:t>
            </w:r>
            <w:r w:rsidRPr="00DB4CDB">
              <w:rPr>
                <w:rFonts w:eastAsia="Calibri" w:cs="Arial"/>
                <w:spacing w:val="-1"/>
                <w:szCs w:val="24"/>
              </w:rPr>
              <w:t>supplant</w:t>
            </w:r>
            <w:r w:rsidRPr="00DB4CDB">
              <w:rPr>
                <w:rFonts w:eastAsia="Calibri" w:cs="Arial"/>
                <w:spacing w:val="-2"/>
                <w:szCs w:val="24"/>
              </w:rPr>
              <w:t xml:space="preserve"> </w:t>
            </w:r>
            <w:r w:rsidRPr="00DB4CDB">
              <w:rPr>
                <w:rFonts w:eastAsia="Calibri" w:cs="Arial"/>
                <w:spacing w:val="-1"/>
                <w:szCs w:val="24"/>
              </w:rPr>
              <w:t>current fixed</w:t>
            </w:r>
            <w:r w:rsidRPr="00DB4CDB">
              <w:rPr>
                <w:rFonts w:eastAsia="Calibri" w:cs="Arial"/>
                <w:spacing w:val="-2"/>
                <w:szCs w:val="24"/>
              </w:rPr>
              <w:t xml:space="preserve"> </w:t>
            </w:r>
            <w:r w:rsidRPr="00DB4CDB">
              <w:rPr>
                <w:rFonts w:eastAsia="Calibri" w:cs="Arial"/>
                <w:spacing w:val="-1"/>
                <w:szCs w:val="24"/>
              </w:rPr>
              <w:t>costs.)</w:t>
            </w:r>
          </w:p>
        </w:tc>
      </w:tr>
      <w:tr w:rsidR="009B067B" w:rsidRPr="00DB4CDB" w14:paraId="66412E35" w14:textId="77777777" w:rsidTr="00D67E8D">
        <w:trPr>
          <w:cantSplit/>
        </w:trPr>
        <w:tc>
          <w:tcPr>
            <w:tcW w:w="673" w:type="pct"/>
            <w:vAlign w:val="center"/>
          </w:tcPr>
          <w:p w14:paraId="07082A4C" w14:textId="77777777" w:rsidR="009B067B" w:rsidRPr="00DB4CDB" w:rsidRDefault="009B067B" w:rsidP="00CA40D1">
            <w:pPr>
              <w:spacing w:before="17" w:after="0"/>
              <w:ind w:left="119"/>
              <w:rPr>
                <w:rFonts w:eastAsia="Arial" w:cs="Arial"/>
                <w:szCs w:val="24"/>
              </w:rPr>
            </w:pPr>
            <w:r w:rsidRPr="00DB4CDB">
              <w:rPr>
                <w:rFonts w:eastAsia="Calibri" w:cs="Arial"/>
                <w:spacing w:val="-1"/>
                <w:szCs w:val="24"/>
              </w:rPr>
              <w:t>3000</w:t>
            </w:r>
          </w:p>
        </w:tc>
        <w:tc>
          <w:tcPr>
            <w:tcW w:w="4327" w:type="pct"/>
            <w:vAlign w:val="center"/>
          </w:tcPr>
          <w:p w14:paraId="5F4B4920" w14:textId="77777777" w:rsidR="009B067B" w:rsidRPr="00DB4CDB" w:rsidRDefault="009B067B" w:rsidP="00CA40D1">
            <w:pPr>
              <w:spacing w:before="100" w:beforeAutospacing="1" w:after="120"/>
              <w:ind w:left="119" w:right="557"/>
              <w:rPr>
                <w:rFonts w:eastAsia="Arial" w:cs="Arial"/>
                <w:szCs w:val="24"/>
              </w:rPr>
            </w:pPr>
            <w:r w:rsidRPr="00DB4CDB">
              <w:rPr>
                <w:rFonts w:eastAsia="Arial" w:cs="Arial"/>
                <w:b/>
                <w:spacing w:val="-1"/>
                <w:szCs w:val="24"/>
              </w:rPr>
              <w:t>Employee</w:t>
            </w:r>
            <w:r w:rsidRPr="00DB4CDB">
              <w:rPr>
                <w:rFonts w:eastAsia="Arial" w:cs="Arial"/>
                <w:b/>
                <w:spacing w:val="-2"/>
                <w:szCs w:val="24"/>
              </w:rPr>
              <w:t xml:space="preserve"> </w:t>
            </w:r>
            <w:r w:rsidRPr="00DB4CDB">
              <w:rPr>
                <w:rFonts w:eastAsia="Arial" w:cs="Arial"/>
                <w:b/>
                <w:spacing w:val="-1"/>
                <w:szCs w:val="24"/>
              </w:rPr>
              <w:t>Benefits:</w:t>
            </w:r>
            <w:r w:rsidRPr="00DB4CDB">
              <w:rPr>
                <w:rFonts w:eastAsia="Arial" w:cs="Arial"/>
                <w:spacing w:val="-2"/>
                <w:szCs w:val="24"/>
              </w:rPr>
              <w:t xml:space="preserve"> </w:t>
            </w:r>
            <w:r w:rsidRPr="00DB4CDB">
              <w:rPr>
                <w:rFonts w:eastAsia="Arial" w:cs="Arial"/>
                <w:spacing w:val="-1"/>
                <w:szCs w:val="24"/>
              </w:rPr>
              <w:t>Record the</w:t>
            </w:r>
            <w:r w:rsidRPr="00DB4CDB">
              <w:rPr>
                <w:rFonts w:eastAsia="Arial" w:cs="Arial"/>
                <w:spacing w:val="-2"/>
                <w:szCs w:val="24"/>
              </w:rPr>
              <w:t xml:space="preserve"> </w:t>
            </w:r>
            <w:r w:rsidRPr="00DB4CDB">
              <w:rPr>
                <w:rFonts w:eastAsia="Arial" w:cs="Arial"/>
                <w:spacing w:val="-1"/>
                <w:szCs w:val="24"/>
              </w:rPr>
              <w:t>employer’s</w:t>
            </w:r>
            <w:r w:rsidRPr="00DB4CDB">
              <w:rPr>
                <w:rFonts w:eastAsia="Arial" w:cs="Arial"/>
                <w:spacing w:val="-2"/>
                <w:szCs w:val="24"/>
              </w:rPr>
              <w:t xml:space="preserve"> </w:t>
            </w:r>
            <w:r w:rsidRPr="00DB4CDB">
              <w:rPr>
                <w:rFonts w:eastAsia="Arial" w:cs="Arial"/>
                <w:spacing w:val="-1"/>
                <w:szCs w:val="24"/>
              </w:rPr>
              <w:t>contributions</w:t>
            </w:r>
            <w:r w:rsidRPr="00DB4CDB">
              <w:rPr>
                <w:rFonts w:eastAsia="Arial" w:cs="Arial"/>
                <w:spacing w:val="-2"/>
                <w:szCs w:val="24"/>
              </w:rPr>
              <w:t xml:space="preserve"> </w:t>
            </w:r>
            <w:r w:rsidRPr="00DB4CDB">
              <w:rPr>
                <w:rFonts w:eastAsia="Arial" w:cs="Arial"/>
                <w:spacing w:val="-1"/>
                <w:szCs w:val="24"/>
              </w:rPr>
              <w:t>to</w:t>
            </w:r>
            <w:r w:rsidRPr="00DB4CDB">
              <w:rPr>
                <w:rFonts w:eastAsia="Arial" w:cs="Arial"/>
                <w:spacing w:val="-2"/>
                <w:szCs w:val="24"/>
              </w:rPr>
              <w:t xml:space="preserve"> </w:t>
            </w:r>
            <w:r w:rsidRPr="00DB4CDB">
              <w:rPr>
                <w:rFonts w:eastAsia="Arial" w:cs="Arial"/>
                <w:spacing w:val="-1"/>
                <w:szCs w:val="24"/>
              </w:rPr>
              <w:t>retirement</w:t>
            </w:r>
            <w:r w:rsidRPr="00DB4CDB">
              <w:rPr>
                <w:rFonts w:eastAsia="Arial" w:cs="Arial"/>
                <w:spacing w:val="-2"/>
                <w:szCs w:val="24"/>
              </w:rPr>
              <w:t xml:space="preserve"> </w:t>
            </w:r>
            <w:r w:rsidRPr="00DB4CDB">
              <w:rPr>
                <w:rFonts w:eastAsia="Arial" w:cs="Arial"/>
                <w:spacing w:val="-1"/>
                <w:szCs w:val="24"/>
              </w:rPr>
              <w:t>plans</w:t>
            </w:r>
            <w:r w:rsidRPr="00DB4CDB">
              <w:rPr>
                <w:rFonts w:eastAsia="Arial" w:cs="Arial"/>
                <w:spacing w:val="-2"/>
                <w:szCs w:val="24"/>
              </w:rPr>
              <w:t xml:space="preserve"> </w:t>
            </w:r>
            <w:r w:rsidRPr="00DB4CDB">
              <w:rPr>
                <w:rFonts w:eastAsia="Arial" w:cs="Arial"/>
                <w:spacing w:val="-1"/>
                <w:szCs w:val="24"/>
              </w:rPr>
              <w:t>and</w:t>
            </w:r>
            <w:r w:rsidRPr="00DB4CDB">
              <w:rPr>
                <w:rFonts w:eastAsia="Arial" w:cs="Arial"/>
                <w:spacing w:val="21"/>
                <w:szCs w:val="24"/>
              </w:rPr>
              <w:t xml:space="preserve"> </w:t>
            </w:r>
            <w:r w:rsidRPr="00DB4CDB">
              <w:rPr>
                <w:rFonts w:eastAsia="Arial" w:cs="Arial"/>
                <w:spacing w:val="-1"/>
                <w:szCs w:val="24"/>
              </w:rPr>
              <w:t>health</w:t>
            </w:r>
            <w:r w:rsidRPr="00DB4CDB">
              <w:rPr>
                <w:rFonts w:eastAsia="Arial" w:cs="Arial"/>
                <w:spacing w:val="-2"/>
                <w:szCs w:val="24"/>
              </w:rPr>
              <w:t xml:space="preserve"> </w:t>
            </w:r>
            <w:r w:rsidRPr="00DB4CDB">
              <w:rPr>
                <w:rFonts w:eastAsia="Arial" w:cs="Arial"/>
                <w:spacing w:val="-1"/>
                <w:szCs w:val="24"/>
              </w:rPr>
              <w:t>and welfare</w:t>
            </w:r>
            <w:r w:rsidRPr="00DB4CDB">
              <w:rPr>
                <w:rFonts w:eastAsia="Arial" w:cs="Arial"/>
                <w:spacing w:val="-2"/>
                <w:szCs w:val="24"/>
              </w:rPr>
              <w:t xml:space="preserve"> </w:t>
            </w:r>
            <w:r w:rsidRPr="00DB4CDB">
              <w:rPr>
                <w:rFonts w:eastAsia="Arial" w:cs="Arial"/>
                <w:spacing w:val="-1"/>
                <w:szCs w:val="24"/>
              </w:rPr>
              <w:t>benefits.</w:t>
            </w:r>
            <w:r w:rsidRPr="00DB4CDB">
              <w:rPr>
                <w:rFonts w:eastAsia="Arial" w:cs="Arial"/>
                <w:spacing w:val="-2"/>
                <w:szCs w:val="24"/>
              </w:rPr>
              <w:t xml:space="preserve"> </w:t>
            </w:r>
            <w:r w:rsidRPr="00DB4CDB">
              <w:rPr>
                <w:rFonts w:eastAsia="Arial" w:cs="Arial"/>
                <w:spacing w:val="-1"/>
                <w:szCs w:val="24"/>
              </w:rPr>
              <w:t>List and</w:t>
            </w:r>
            <w:r w:rsidRPr="00DB4CDB">
              <w:rPr>
                <w:rFonts w:eastAsia="Arial" w:cs="Arial"/>
                <w:spacing w:val="-2"/>
                <w:szCs w:val="24"/>
              </w:rPr>
              <w:t xml:space="preserve"> </w:t>
            </w:r>
            <w:r w:rsidRPr="00DB4CDB">
              <w:rPr>
                <w:rFonts w:eastAsia="Arial" w:cs="Arial"/>
                <w:spacing w:val="-1"/>
                <w:szCs w:val="24"/>
              </w:rPr>
              <w:t>include the</w:t>
            </w:r>
            <w:r w:rsidRPr="00DB4CDB">
              <w:rPr>
                <w:rFonts w:eastAsia="Arial" w:cs="Arial"/>
                <w:spacing w:val="-2"/>
                <w:szCs w:val="24"/>
              </w:rPr>
              <w:t xml:space="preserve"> </w:t>
            </w:r>
            <w:r w:rsidRPr="00DB4CDB">
              <w:rPr>
                <w:rFonts w:eastAsia="Arial" w:cs="Arial"/>
                <w:spacing w:val="-1"/>
                <w:szCs w:val="24"/>
              </w:rPr>
              <w:t>percentage and</w:t>
            </w:r>
            <w:r w:rsidRPr="00DB4CDB">
              <w:rPr>
                <w:rFonts w:eastAsia="Arial" w:cs="Arial"/>
                <w:spacing w:val="-2"/>
                <w:szCs w:val="24"/>
              </w:rPr>
              <w:t xml:space="preserve"> </w:t>
            </w:r>
            <w:r w:rsidRPr="00DB4CDB">
              <w:rPr>
                <w:rFonts w:eastAsia="Arial" w:cs="Arial"/>
                <w:spacing w:val="-1"/>
                <w:szCs w:val="24"/>
              </w:rPr>
              <w:t>dollar amount</w:t>
            </w:r>
            <w:r w:rsidRPr="00DB4CDB">
              <w:rPr>
                <w:rFonts w:eastAsia="Arial" w:cs="Arial"/>
                <w:spacing w:val="-2"/>
                <w:szCs w:val="24"/>
              </w:rPr>
              <w:t xml:space="preserve"> </w:t>
            </w:r>
            <w:r w:rsidRPr="00DB4CDB">
              <w:rPr>
                <w:rFonts w:eastAsia="Arial" w:cs="Arial"/>
                <w:spacing w:val="-1"/>
                <w:szCs w:val="24"/>
              </w:rPr>
              <w:t>for</w:t>
            </w:r>
            <w:r w:rsidRPr="00DB4CDB">
              <w:rPr>
                <w:rFonts w:eastAsia="Arial" w:cs="Arial"/>
                <w:spacing w:val="27"/>
                <w:szCs w:val="24"/>
              </w:rPr>
              <w:t xml:space="preserve"> </w:t>
            </w:r>
            <w:r w:rsidRPr="00DB4CDB">
              <w:rPr>
                <w:rFonts w:eastAsia="Arial" w:cs="Arial"/>
                <w:spacing w:val="-1"/>
                <w:szCs w:val="24"/>
              </w:rPr>
              <w:t>each</w:t>
            </w:r>
            <w:r w:rsidRPr="00DB4CDB">
              <w:rPr>
                <w:rFonts w:eastAsia="Arial" w:cs="Arial"/>
                <w:spacing w:val="-2"/>
                <w:szCs w:val="24"/>
              </w:rPr>
              <w:t xml:space="preserve"> </w:t>
            </w:r>
            <w:r w:rsidRPr="00DB4CDB">
              <w:rPr>
                <w:rFonts w:eastAsia="Arial" w:cs="Arial"/>
                <w:spacing w:val="-1"/>
                <w:szCs w:val="24"/>
              </w:rPr>
              <w:t>employee benefit</w:t>
            </w:r>
            <w:r w:rsidRPr="00DB4CDB">
              <w:rPr>
                <w:rFonts w:eastAsia="Arial" w:cs="Arial"/>
                <w:spacing w:val="-2"/>
                <w:szCs w:val="24"/>
              </w:rPr>
              <w:t xml:space="preserve"> </w:t>
            </w:r>
            <w:r w:rsidRPr="00DB4CDB">
              <w:rPr>
                <w:rFonts w:eastAsia="Arial" w:cs="Arial"/>
                <w:spacing w:val="-1"/>
                <w:szCs w:val="24"/>
              </w:rPr>
              <w:t>being claimed.</w:t>
            </w:r>
          </w:p>
        </w:tc>
      </w:tr>
      <w:tr w:rsidR="009B067B" w:rsidRPr="00DB4CDB" w14:paraId="779CB222" w14:textId="77777777" w:rsidTr="00D67E8D">
        <w:trPr>
          <w:cantSplit/>
          <w:trHeight w:val="2303"/>
        </w:trPr>
        <w:tc>
          <w:tcPr>
            <w:tcW w:w="673" w:type="pct"/>
            <w:vAlign w:val="center"/>
          </w:tcPr>
          <w:p w14:paraId="6D96A26F" w14:textId="77777777" w:rsidR="009B067B" w:rsidRPr="00DB4CDB" w:rsidRDefault="009B067B" w:rsidP="00CA40D1">
            <w:pPr>
              <w:spacing w:before="17" w:after="0"/>
              <w:ind w:left="119"/>
              <w:rPr>
                <w:rFonts w:eastAsia="Arial" w:cs="Arial"/>
                <w:szCs w:val="24"/>
              </w:rPr>
            </w:pPr>
            <w:r w:rsidRPr="00DB4CDB">
              <w:rPr>
                <w:rFonts w:eastAsia="Calibri" w:cs="Arial"/>
                <w:spacing w:val="-1"/>
                <w:szCs w:val="24"/>
              </w:rPr>
              <w:t>4000</w:t>
            </w:r>
          </w:p>
        </w:tc>
        <w:tc>
          <w:tcPr>
            <w:tcW w:w="4327" w:type="pct"/>
            <w:vAlign w:val="center"/>
          </w:tcPr>
          <w:p w14:paraId="46E26DD7" w14:textId="5C10562D" w:rsidR="009B067B" w:rsidRPr="00DB4CDB" w:rsidRDefault="009B067B" w:rsidP="00CA40D1">
            <w:pPr>
              <w:ind w:left="144"/>
              <w:rPr>
                <w:bCs/>
              </w:rPr>
            </w:pPr>
            <w:r w:rsidRPr="00DB4CDB">
              <w:rPr>
                <w:rFonts w:eastAsia="Calibri" w:cs="Arial"/>
                <w:b/>
                <w:spacing w:val="-1"/>
                <w:szCs w:val="24"/>
              </w:rPr>
              <w:t>Books and Supplies:</w:t>
            </w:r>
            <w:r w:rsidRPr="00DB4CDB">
              <w:rPr>
                <w:rFonts w:eastAsia="Calibri" w:cs="Arial"/>
                <w:spacing w:val="-2"/>
                <w:szCs w:val="24"/>
              </w:rPr>
              <w:t xml:space="preserve"> </w:t>
            </w:r>
            <w:r w:rsidRPr="00DB4CDB">
              <w:rPr>
                <w:rFonts w:eastAsia="Calibri" w:cs="Arial"/>
                <w:spacing w:val="-1"/>
                <w:szCs w:val="24"/>
              </w:rPr>
              <w:t>Record</w:t>
            </w:r>
            <w:r w:rsidRPr="00DB4CDB">
              <w:rPr>
                <w:rFonts w:eastAsia="Calibri" w:cs="Arial"/>
                <w:spacing w:val="-2"/>
                <w:szCs w:val="24"/>
              </w:rPr>
              <w:t xml:space="preserve"> </w:t>
            </w:r>
            <w:r w:rsidRPr="00DB4CDB">
              <w:rPr>
                <w:rFonts w:eastAsia="Calibri" w:cs="Arial"/>
                <w:spacing w:val="-1"/>
                <w:szCs w:val="24"/>
              </w:rPr>
              <w:t>expenditures for</w:t>
            </w:r>
            <w:r w:rsidRPr="00DB4CDB">
              <w:rPr>
                <w:rFonts w:eastAsia="Calibri" w:cs="Arial"/>
                <w:spacing w:val="-2"/>
                <w:szCs w:val="24"/>
              </w:rPr>
              <w:t xml:space="preserve"> </w:t>
            </w:r>
            <w:r w:rsidRPr="00DB4CDB">
              <w:rPr>
                <w:rFonts w:eastAsia="Calibri" w:cs="Arial"/>
                <w:spacing w:val="-1"/>
                <w:szCs w:val="24"/>
              </w:rPr>
              <w:t>materials and</w:t>
            </w:r>
            <w:r w:rsidRPr="00DB4CDB">
              <w:rPr>
                <w:rFonts w:eastAsia="Calibri" w:cs="Arial"/>
                <w:spacing w:val="-2"/>
                <w:szCs w:val="24"/>
              </w:rPr>
              <w:t xml:space="preserve"> </w:t>
            </w:r>
            <w:r w:rsidRPr="00DB4CDB">
              <w:rPr>
                <w:rFonts w:eastAsia="Calibri" w:cs="Arial"/>
                <w:spacing w:val="-1"/>
                <w:szCs w:val="24"/>
              </w:rPr>
              <w:t>supplies,</w:t>
            </w:r>
            <w:r w:rsidRPr="00DB4CDB">
              <w:rPr>
                <w:rFonts w:eastAsia="Calibri" w:cs="Arial"/>
                <w:spacing w:val="-2"/>
                <w:szCs w:val="24"/>
              </w:rPr>
              <w:t xml:space="preserve"> </w:t>
            </w:r>
            <w:r w:rsidRPr="00DB4CDB">
              <w:rPr>
                <w:rFonts w:eastAsia="Calibri" w:cs="Arial"/>
                <w:spacing w:val="-1"/>
                <w:szCs w:val="24"/>
              </w:rPr>
              <w:t>and other</w:t>
            </w:r>
            <w:r w:rsidRPr="00DB4CDB">
              <w:rPr>
                <w:rFonts w:eastAsia="Calibri" w:cs="Arial"/>
                <w:spacing w:val="21"/>
                <w:szCs w:val="24"/>
              </w:rPr>
              <w:t xml:space="preserve"> </w:t>
            </w:r>
            <w:r w:rsidRPr="00DB4CDB">
              <w:rPr>
                <w:rFonts w:eastAsia="Calibri" w:cs="Arial"/>
                <w:spacing w:val="-1"/>
                <w:szCs w:val="24"/>
              </w:rPr>
              <w:t>non­capitalized</w:t>
            </w:r>
            <w:r w:rsidRPr="00DB4CDB">
              <w:rPr>
                <w:rFonts w:eastAsia="Calibri" w:cs="Arial"/>
                <w:spacing w:val="-2"/>
                <w:szCs w:val="24"/>
              </w:rPr>
              <w:t xml:space="preserve"> </w:t>
            </w:r>
            <w:r w:rsidRPr="00DB4CDB">
              <w:rPr>
                <w:rFonts w:eastAsia="Calibri" w:cs="Arial"/>
                <w:spacing w:val="-1"/>
                <w:szCs w:val="24"/>
              </w:rPr>
              <w:t>material and</w:t>
            </w:r>
            <w:r w:rsidRPr="00DB4CDB">
              <w:rPr>
                <w:rFonts w:eastAsia="Calibri" w:cs="Arial"/>
                <w:spacing w:val="-2"/>
                <w:szCs w:val="24"/>
              </w:rPr>
              <w:t xml:space="preserve"> </w:t>
            </w:r>
            <w:r w:rsidRPr="00DB4CDB">
              <w:rPr>
                <w:rFonts w:eastAsia="Calibri" w:cs="Arial"/>
                <w:spacing w:val="-1"/>
                <w:szCs w:val="24"/>
              </w:rPr>
              <w:t>supplies necessary</w:t>
            </w:r>
            <w:r w:rsidRPr="00DB4CDB">
              <w:rPr>
                <w:rFonts w:eastAsia="Calibri" w:cs="Arial"/>
                <w:spacing w:val="-2"/>
                <w:szCs w:val="24"/>
              </w:rPr>
              <w:t xml:space="preserve"> </w:t>
            </w:r>
            <w:r w:rsidRPr="00DB4CDB">
              <w:rPr>
                <w:rFonts w:eastAsia="Calibri" w:cs="Arial"/>
                <w:spacing w:val="-1"/>
                <w:szCs w:val="24"/>
              </w:rPr>
              <w:t>to meet</w:t>
            </w:r>
            <w:r w:rsidRPr="00DB4CDB">
              <w:rPr>
                <w:rFonts w:eastAsia="Calibri" w:cs="Arial"/>
                <w:spacing w:val="-2"/>
                <w:szCs w:val="24"/>
              </w:rPr>
              <w:t xml:space="preserve"> </w:t>
            </w:r>
            <w:r w:rsidRPr="00DB4CDB">
              <w:rPr>
                <w:rFonts w:eastAsia="Calibri" w:cs="Arial"/>
                <w:spacing w:val="-1"/>
                <w:szCs w:val="24"/>
              </w:rPr>
              <w:t>the objectives</w:t>
            </w:r>
            <w:r w:rsidRPr="00DB4CDB">
              <w:rPr>
                <w:rFonts w:eastAsia="Calibri" w:cs="Arial"/>
                <w:spacing w:val="-2"/>
                <w:szCs w:val="24"/>
              </w:rPr>
              <w:t xml:space="preserve"> </w:t>
            </w:r>
            <w:r w:rsidRPr="00DB4CDB">
              <w:rPr>
                <w:rFonts w:eastAsia="Calibri" w:cs="Arial"/>
                <w:spacing w:val="-1"/>
                <w:szCs w:val="24"/>
              </w:rPr>
              <w:t>of the</w:t>
            </w:r>
            <w:r w:rsidRPr="00DB4CDB">
              <w:rPr>
                <w:rFonts w:eastAsia="Calibri" w:cs="Arial"/>
                <w:spacing w:val="23"/>
                <w:szCs w:val="24"/>
              </w:rPr>
              <w:t xml:space="preserve"> </w:t>
            </w:r>
            <w:r w:rsidRPr="00DB4CDB">
              <w:rPr>
                <w:rFonts w:eastAsia="Calibri" w:cs="Arial"/>
                <w:spacing w:val="-1"/>
                <w:szCs w:val="24"/>
              </w:rPr>
              <w:t xml:space="preserve">subgrant. </w:t>
            </w:r>
            <w:r w:rsidR="00763878" w:rsidRPr="00DB4CDB">
              <w:rPr>
                <w:rFonts w:eastAsia="Calibri" w:cs="Arial"/>
                <w:spacing w:val="-1"/>
                <w:szCs w:val="24"/>
              </w:rPr>
              <w:t>Copy</w:t>
            </w:r>
            <w:r w:rsidR="00763878" w:rsidRPr="00DB4CDB">
              <w:t xml:space="preserve"> charges must be limited to only those items needed to complete the tasks associated with the subgrant.</w:t>
            </w:r>
            <w:r w:rsidR="0069076E" w:rsidRPr="00DB4CDB">
              <w:t xml:space="preserve"> </w:t>
            </w:r>
            <w:r w:rsidRPr="00DB4CDB">
              <w:rPr>
                <w:rFonts w:eastAsia="Calibri" w:cs="Arial"/>
                <w:spacing w:val="-1"/>
                <w:szCs w:val="24"/>
              </w:rPr>
              <w:t>This</w:t>
            </w:r>
            <w:r w:rsidRPr="00DB4CDB">
              <w:rPr>
                <w:rFonts w:eastAsia="Calibri" w:cs="Arial"/>
                <w:spacing w:val="-2"/>
                <w:szCs w:val="24"/>
              </w:rPr>
              <w:t xml:space="preserve"> </w:t>
            </w:r>
            <w:r w:rsidRPr="00DB4CDB">
              <w:rPr>
                <w:rFonts w:eastAsia="Calibri" w:cs="Arial"/>
                <w:spacing w:val="-1"/>
                <w:szCs w:val="24"/>
              </w:rPr>
              <w:t>category also</w:t>
            </w:r>
            <w:r w:rsidRPr="00DB4CDB">
              <w:rPr>
                <w:rFonts w:eastAsia="Calibri" w:cs="Arial"/>
                <w:spacing w:val="-2"/>
                <w:szCs w:val="24"/>
              </w:rPr>
              <w:t xml:space="preserve"> </w:t>
            </w:r>
            <w:r w:rsidRPr="00DB4CDB">
              <w:rPr>
                <w:rFonts w:eastAsia="Calibri" w:cs="Arial"/>
                <w:spacing w:val="-1"/>
                <w:szCs w:val="24"/>
              </w:rPr>
              <w:t>includes supplies</w:t>
            </w:r>
            <w:r w:rsidRPr="00DB4CDB">
              <w:rPr>
                <w:rFonts w:eastAsia="Calibri" w:cs="Arial"/>
                <w:spacing w:val="-2"/>
                <w:szCs w:val="24"/>
              </w:rPr>
              <w:t xml:space="preserve"> </w:t>
            </w:r>
            <w:r w:rsidRPr="00DB4CDB">
              <w:rPr>
                <w:rFonts w:eastAsia="Calibri" w:cs="Arial"/>
                <w:spacing w:val="-1"/>
                <w:szCs w:val="24"/>
              </w:rPr>
              <w:t>used</w:t>
            </w:r>
            <w:r w:rsidRPr="00DB4CDB">
              <w:rPr>
                <w:rFonts w:eastAsia="Calibri" w:cs="Arial"/>
                <w:spacing w:val="-2"/>
                <w:szCs w:val="24"/>
              </w:rPr>
              <w:t xml:space="preserve"> </w:t>
            </w:r>
            <w:r w:rsidRPr="00DB4CDB">
              <w:rPr>
                <w:rFonts w:eastAsia="Calibri" w:cs="Arial"/>
                <w:spacing w:val="-1"/>
                <w:szCs w:val="24"/>
              </w:rPr>
              <w:t>in support</w:t>
            </w:r>
            <w:r w:rsidRPr="00DB4CDB">
              <w:rPr>
                <w:rFonts w:eastAsia="Calibri" w:cs="Arial"/>
                <w:spacing w:val="23"/>
                <w:w w:val="99"/>
                <w:szCs w:val="24"/>
              </w:rPr>
              <w:t xml:space="preserve"> </w:t>
            </w:r>
            <w:r w:rsidRPr="00DB4CDB">
              <w:rPr>
                <w:rFonts w:eastAsia="Calibri" w:cs="Arial"/>
                <w:spacing w:val="-1"/>
                <w:szCs w:val="24"/>
              </w:rPr>
              <w:t>services</w:t>
            </w:r>
            <w:r w:rsidRPr="00DB4CDB">
              <w:rPr>
                <w:rFonts w:eastAsia="Calibri" w:cs="Arial"/>
                <w:spacing w:val="-2"/>
                <w:szCs w:val="24"/>
              </w:rPr>
              <w:t xml:space="preserve"> </w:t>
            </w:r>
            <w:r w:rsidRPr="00DB4CDB">
              <w:rPr>
                <w:rFonts w:eastAsia="Calibri" w:cs="Arial"/>
                <w:spacing w:val="-1"/>
                <w:szCs w:val="24"/>
              </w:rPr>
              <w:t>and auxiliary</w:t>
            </w:r>
            <w:r w:rsidRPr="00DB4CDB">
              <w:rPr>
                <w:rFonts w:eastAsia="Calibri" w:cs="Arial"/>
                <w:spacing w:val="-2"/>
                <w:szCs w:val="24"/>
              </w:rPr>
              <w:t xml:space="preserve"> </w:t>
            </w:r>
            <w:r w:rsidRPr="00DB4CDB">
              <w:rPr>
                <w:rFonts w:eastAsia="Calibri" w:cs="Arial"/>
                <w:spacing w:val="-1"/>
                <w:szCs w:val="24"/>
              </w:rPr>
              <w:t>programs, publications,</w:t>
            </w:r>
            <w:r w:rsidRPr="00DB4CDB">
              <w:rPr>
                <w:rFonts w:eastAsia="Calibri" w:cs="Arial"/>
                <w:spacing w:val="-2"/>
                <w:szCs w:val="24"/>
              </w:rPr>
              <w:t xml:space="preserve"> </w:t>
            </w:r>
            <w:r w:rsidRPr="00DB4CDB">
              <w:rPr>
                <w:rFonts w:eastAsia="Calibri" w:cs="Arial"/>
                <w:spacing w:val="-1"/>
                <w:szCs w:val="24"/>
              </w:rPr>
              <w:t>and subscriptions necessary</w:t>
            </w:r>
            <w:r w:rsidRPr="00DB4CDB">
              <w:rPr>
                <w:rFonts w:eastAsia="Calibri" w:cs="Arial"/>
                <w:spacing w:val="-2"/>
                <w:szCs w:val="24"/>
              </w:rPr>
              <w:t xml:space="preserve"> </w:t>
            </w:r>
            <w:r w:rsidRPr="00DB4CDB">
              <w:rPr>
                <w:rFonts w:eastAsia="Calibri" w:cs="Arial"/>
                <w:spacing w:val="-1"/>
                <w:szCs w:val="24"/>
              </w:rPr>
              <w:t>to operate</w:t>
            </w:r>
            <w:r w:rsidRPr="00DB4CDB">
              <w:rPr>
                <w:rFonts w:eastAsia="Calibri" w:cs="Arial"/>
                <w:spacing w:val="21"/>
                <w:szCs w:val="24"/>
              </w:rPr>
              <w:t xml:space="preserve"> </w:t>
            </w:r>
            <w:r w:rsidRPr="00DB4CDB">
              <w:rPr>
                <w:rFonts w:eastAsia="Calibri" w:cs="Arial"/>
                <w:szCs w:val="24"/>
              </w:rPr>
              <w:t xml:space="preserve">an office to support </w:t>
            </w:r>
            <w:r w:rsidR="002854F6" w:rsidRPr="00DB4CDB">
              <w:rPr>
                <w:rFonts w:eastAsia="Calibri" w:cs="Arial"/>
                <w:szCs w:val="24"/>
              </w:rPr>
              <w:t>RTAC</w:t>
            </w:r>
            <w:r w:rsidRPr="00DB4CDB">
              <w:rPr>
                <w:rFonts w:eastAsia="Calibri" w:cs="Arial"/>
                <w:szCs w:val="24"/>
              </w:rPr>
              <w:t xml:space="preserve"> </w:t>
            </w:r>
            <w:r w:rsidR="00291DB0" w:rsidRPr="00DB4CDB">
              <w:rPr>
                <w:rFonts w:eastAsia="Calibri" w:cs="Arial"/>
                <w:szCs w:val="24"/>
              </w:rPr>
              <w:t>S</w:t>
            </w:r>
            <w:r w:rsidRPr="00DB4CDB">
              <w:rPr>
                <w:rFonts w:eastAsia="Calibri" w:cs="Arial"/>
                <w:szCs w:val="24"/>
              </w:rPr>
              <w:t>ub</w:t>
            </w:r>
            <w:r w:rsidR="00747770">
              <w:rPr>
                <w:rFonts w:eastAsia="Calibri" w:cs="Arial"/>
                <w:szCs w:val="24"/>
              </w:rPr>
              <w:t>g</w:t>
            </w:r>
            <w:r w:rsidRPr="00DB4CDB">
              <w:rPr>
                <w:rFonts w:eastAsia="Calibri" w:cs="Arial"/>
                <w:szCs w:val="24"/>
              </w:rPr>
              <w:t>rant activities</w:t>
            </w:r>
            <w:r w:rsidRPr="00DB4CDB">
              <w:rPr>
                <w:rFonts w:eastAsia="Calibri" w:cs="Arial"/>
                <w:spacing w:val="-1"/>
                <w:szCs w:val="24"/>
              </w:rPr>
              <w:t xml:space="preserve">. </w:t>
            </w:r>
            <w:r w:rsidRPr="00DB4CDB">
              <w:rPr>
                <w:rFonts w:eastAsia="Calibri" w:cs="Arial"/>
                <w:szCs w:val="24"/>
              </w:rPr>
              <w:t>Equipment purchases are not allowed under this subgrant</w:t>
            </w:r>
            <w:r w:rsidRPr="00DB4CDB">
              <w:rPr>
                <w:rFonts w:eastAsia="Calibri" w:cs="Arial"/>
                <w:spacing w:val="-1"/>
                <w:szCs w:val="24"/>
              </w:rPr>
              <w:t>.</w:t>
            </w:r>
          </w:p>
        </w:tc>
      </w:tr>
      <w:tr w:rsidR="009B067B" w:rsidRPr="00DB4CDB" w14:paraId="3020D379" w14:textId="77777777" w:rsidTr="00D67E8D">
        <w:trPr>
          <w:cantSplit/>
        </w:trPr>
        <w:tc>
          <w:tcPr>
            <w:tcW w:w="673" w:type="pct"/>
            <w:vAlign w:val="center"/>
          </w:tcPr>
          <w:p w14:paraId="516ACB2B" w14:textId="77777777" w:rsidR="009B067B" w:rsidRPr="00DB4CDB" w:rsidRDefault="009B067B" w:rsidP="00CA40D1">
            <w:pPr>
              <w:spacing w:before="17" w:after="0"/>
              <w:ind w:left="119"/>
              <w:rPr>
                <w:rFonts w:eastAsia="Arial" w:cs="Arial"/>
                <w:szCs w:val="24"/>
              </w:rPr>
            </w:pPr>
            <w:r w:rsidRPr="00DB4CDB">
              <w:rPr>
                <w:rFonts w:eastAsia="Calibri" w:cs="Arial"/>
                <w:spacing w:val="-1"/>
                <w:szCs w:val="24"/>
              </w:rPr>
              <w:lastRenderedPageBreak/>
              <w:t>5000</w:t>
            </w:r>
          </w:p>
        </w:tc>
        <w:tc>
          <w:tcPr>
            <w:tcW w:w="4327" w:type="pct"/>
            <w:vAlign w:val="center"/>
          </w:tcPr>
          <w:p w14:paraId="0901248A" w14:textId="79C6E731" w:rsidR="009B067B" w:rsidRPr="00DB4CDB" w:rsidRDefault="009B067B" w:rsidP="00CA40D1">
            <w:pPr>
              <w:spacing w:before="17" w:after="120"/>
              <w:ind w:left="144" w:right="241"/>
              <w:rPr>
                <w:rFonts w:eastAsia="Arial" w:cs="Arial"/>
                <w:szCs w:val="24"/>
              </w:rPr>
            </w:pPr>
            <w:r w:rsidRPr="00DB4CDB">
              <w:rPr>
                <w:rFonts w:eastAsia="Calibri" w:cs="Arial"/>
                <w:b/>
                <w:spacing w:val="-1"/>
                <w:szCs w:val="24"/>
              </w:rPr>
              <w:t>Services</w:t>
            </w:r>
            <w:r w:rsidRPr="00DB4CDB">
              <w:rPr>
                <w:rFonts w:eastAsia="Calibri" w:cs="Arial"/>
                <w:b/>
                <w:spacing w:val="-2"/>
                <w:szCs w:val="24"/>
              </w:rPr>
              <w:t xml:space="preserve"> </w:t>
            </w:r>
            <w:r w:rsidRPr="00DB4CDB">
              <w:rPr>
                <w:rFonts w:eastAsia="Calibri" w:cs="Arial"/>
                <w:b/>
                <w:spacing w:val="-1"/>
                <w:szCs w:val="24"/>
              </w:rPr>
              <w:t>and Other</w:t>
            </w:r>
            <w:r w:rsidRPr="00DB4CDB">
              <w:rPr>
                <w:rFonts w:eastAsia="Calibri" w:cs="Arial"/>
                <w:b/>
                <w:spacing w:val="-2"/>
                <w:szCs w:val="24"/>
              </w:rPr>
              <w:t xml:space="preserve"> </w:t>
            </w:r>
            <w:r w:rsidRPr="00DB4CDB">
              <w:rPr>
                <w:rFonts w:eastAsia="Calibri" w:cs="Arial"/>
                <w:b/>
                <w:spacing w:val="-1"/>
                <w:szCs w:val="24"/>
              </w:rPr>
              <w:t>Operating Expenditures</w:t>
            </w:r>
            <w:r w:rsidRPr="00DB4CDB">
              <w:rPr>
                <w:rFonts w:eastAsia="Calibri" w:cs="Arial"/>
                <w:spacing w:val="-1"/>
                <w:szCs w:val="24"/>
              </w:rPr>
              <w:t>:</w:t>
            </w:r>
            <w:r w:rsidRPr="00DB4CDB">
              <w:rPr>
                <w:rFonts w:eastAsia="Calibri" w:cs="Arial"/>
                <w:spacing w:val="-3"/>
                <w:szCs w:val="24"/>
              </w:rPr>
              <w:t xml:space="preserve"> </w:t>
            </w:r>
            <w:r w:rsidRPr="00DB4CDB">
              <w:rPr>
                <w:rFonts w:eastAsia="Calibri" w:cs="Arial"/>
                <w:spacing w:val="-1"/>
                <w:szCs w:val="24"/>
              </w:rPr>
              <w:t>Record</w:t>
            </w:r>
            <w:r w:rsidRPr="00DB4CDB">
              <w:rPr>
                <w:rFonts w:eastAsia="Calibri" w:cs="Arial"/>
                <w:spacing w:val="-2"/>
                <w:szCs w:val="24"/>
              </w:rPr>
              <w:t xml:space="preserve"> </w:t>
            </w:r>
            <w:r w:rsidRPr="00DB4CDB">
              <w:rPr>
                <w:rFonts w:eastAsia="Calibri" w:cs="Arial"/>
                <w:spacing w:val="-1"/>
                <w:szCs w:val="24"/>
              </w:rPr>
              <w:t>expenditures</w:t>
            </w:r>
            <w:r w:rsidRPr="00DB4CDB">
              <w:rPr>
                <w:rFonts w:eastAsia="Calibri" w:cs="Arial"/>
                <w:spacing w:val="-2"/>
                <w:szCs w:val="24"/>
              </w:rPr>
              <w:t xml:space="preserve"> </w:t>
            </w:r>
            <w:r w:rsidRPr="00DB4CDB">
              <w:rPr>
                <w:rFonts w:eastAsia="Calibri" w:cs="Arial"/>
                <w:spacing w:val="-1"/>
                <w:szCs w:val="24"/>
              </w:rPr>
              <w:t>for</w:t>
            </w:r>
            <w:r w:rsidRPr="00DB4CDB">
              <w:rPr>
                <w:rFonts w:eastAsia="Calibri" w:cs="Arial"/>
                <w:spacing w:val="-2"/>
                <w:szCs w:val="24"/>
              </w:rPr>
              <w:t xml:space="preserve"> </w:t>
            </w:r>
            <w:r w:rsidRPr="00DB4CDB">
              <w:rPr>
                <w:rFonts w:eastAsia="Calibri" w:cs="Arial"/>
                <w:spacing w:val="-1"/>
                <w:szCs w:val="24"/>
              </w:rPr>
              <w:t>travel,</w:t>
            </w:r>
            <w:r w:rsidRPr="00DB4CDB">
              <w:rPr>
                <w:rFonts w:eastAsia="Calibri" w:cs="Arial"/>
                <w:spacing w:val="-2"/>
                <w:szCs w:val="24"/>
              </w:rPr>
              <w:t xml:space="preserve"> </w:t>
            </w:r>
            <w:r w:rsidRPr="00DB4CDB">
              <w:rPr>
                <w:rFonts w:eastAsia="Calibri" w:cs="Arial"/>
                <w:spacing w:val="-1"/>
                <w:szCs w:val="24"/>
              </w:rPr>
              <w:t>and CDE approved sub</w:t>
            </w:r>
            <w:r w:rsidR="004B5992" w:rsidRPr="00DB4CDB">
              <w:rPr>
                <w:rFonts w:eastAsia="Calibri" w:cs="Arial"/>
                <w:spacing w:val="-1"/>
                <w:szCs w:val="24"/>
              </w:rPr>
              <w:t>contracts</w:t>
            </w:r>
            <w:r w:rsidRPr="00DB4CDB">
              <w:rPr>
                <w:rFonts w:eastAsia="Calibri" w:cs="Arial"/>
                <w:spacing w:val="-1"/>
                <w:szCs w:val="24"/>
              </w:rPr>
              <w:t>.</w:t>
            </w:r>
            <w:r w:rsidR="004B5992" w:rsidRPr="00DB4CDB">
              <w:rPr>
                <w:rFonts w:eastAsia="Calibri" w:cs="Arial"/>
                <w:spacing w:val="-1"/>
                <w:szCs w:val="24"/>
              </w:rPr>
              <w:t xml:space="preserve"> </w:t>
            </w:r>
            <w:r w:rsidR="004B5992" w:rsidRPr="00DB4CDB">
              <w:t>Collaborating agency costs must be included under the budget object code for Contracts (5000). A signed agreement and invoice must be submitted to the CDE prior to expenses being reimbursed.</w:t>
            </w:r>
          </w:p>
          <w:p w14:paraId="0BE3758A" w14:textId="24F47CE0" w:rsidR="009B067B" w:rsidRPr="00DB4CDB" w:rsidRDefault="009B067B" w:rsidP="00CA40D1">
            <w:pPr>
              <w:ind w:left="144"/>
              <w:rPr>
                <w:bCs/>
              </w:rPr>
            </w:pPr>
            <w:r w:rsidRPr="00DB4CDB">
              <w:rPr>
                <w:rFonts w:eastAsia="Calibri" w:cs="Arial"/>
                <w:b/>
                <w:spacing w:val="-1"/>
                <w:szCs w:val="24"/>
              </w:rPr>
              <w:t>Travel and Conferences:</w:t>
            </w:r>
            <w:r w:rsidRPr="00DB4CDB">
              <w:rPr>
                <w:rFonts w:eastAsia="Calibri" w:cs="Arial"/>
                <w:spacing w:val="-2"/>
                <w:szCs w:val="24"/>
              </w:rPr>
              <w:t xml:space="preserve"> </w:t>
            </w:r>
            <w:r w:rsidRPr="00DB4CDB">
              <w:rPr>
                <w:rFonts w:eastAsia="Calibri" w:cs="Arial"/>
                <w:spacing w:val="-1"/>
                <w:szCs w:val="24"/>
              </w:rPr>
              <w:t>Include expenditures</w:t>
            </w:r>
            <w:r w:rsidRPr="00DB4CDB">
              <w:rPr>
                <w:rFonts w:eastAsia="Calibri" w:cs="Arial"/>
                <w:spacing w:val="-2"/>
                <w:szCs w:val="24"/>
              </w:rPr>
              <w:t xml:space="preserve"> </w:t>
            </w:r>
            <w:r w:rsidRPr="00DB4CDB">
              <w:rPr>
                <w:rFonts w:eastAsia="Calibri" w:cs="Arial"/>
                <w:spacing w:val="-1"/>
                <w:szCs w:val="24"/>
              </w:rPr>
              <w:t>incurred</w:t>
            </w:r>
            <w:r w:rsidRPr="00DB4CDB">
              <w:rPr>
                <w:rFonts w:eastAsia="Calibri" w:cs="Arial"/>
                <w:spacing w:val="-2"/>
                <w:szCs w:val="24"/>
              </w:rPr>
              <w:t xml:space="preserve"> </w:t>
            </w:r>
            <w:r w:rsidRPr="00DB4CDB">
              <w:rPr>
                <w:rFonts w:eastAsia="Calibri" w:cs="Arial"/>
                <w:spacing w:val="-1"/>
                <w:szCs w:val="24"/>
              </w:rPr>
              <w:t xml:space="preserve">by/for </w:t>
            </w:r>
            <w:r w:rsidR="00763878" w:rsidRPr="00DB4CDB">
              <w:rPr>
                <w:rFonts w:eastAsia="Calibri" w:cs="Arial"/>
                <w:spacing w:val="-1"/>
                <w:szCs w:val="24"/>
              </w:rPr>
              <w:t xml:space="preserve">subgrant personnel </w:t>
            </w:r>
            <w:r w:rsidRPr="00DB4CDB">
              <w:rPr>
                <w:rFonts w:eastAsia="Calibri" w:cs="Arial"/>
                <w:spacing w:val="-1"/>
                <w:szCs w:val="24"/>
              </w:rPr>
              <w:t>including lodging,</w:t>
            </w:r>
            <w:r w:rsidRPr="00DB4CDB">
              <w:rPr>
                <w:rFonts w:eastAsia="Calibri" w:cs="Arial"/>
                <w:spacing w:val="-2"/>
                <w:szCs w:val="24"/>
              </w:rPr>
              <w:t xml:space="preserve"> </w:t>
            </w:r>
            <w:r w:rsidRPr="00DB4CDB">
              <w:rPr>
                <w:rFonts w:eastAsia="Calibri" w:cs="Arial"/>
                <w:spacing w:val="-1"/>
                <w:szCs w:val="24"/>
              </w:rPr>
              <w:t>mileage, parking,</w:t>
            </w:r>
            <w:r w:rsidRPr="00DB4CDB">
              <w:rPr>
                <w:rFonts w:eastAsia="Calibri" w:cs="Arial"/>
                <w:spacing w:val="-2"/>
                <w:szCs w:val="24"/>
              </w:rPr>
              <w:t xml:space="preserve"> </w:t>
            </w:r>
            <w:r w:rsidRPr="00DB4CDB">
              <w:rPr>
                <w:rFonts w:eastAsia="Calibri" w:cs="Arial"/>
                <w:spacing w:val="-1"/>
                <w:szCs w:val="24"/>
              </w:rPr>
              <w:t>bridge</w:t>
            </w:r>
            <w:r w:rsidRPr="00DB4CDB">
              <w:rPr>
                <w:rFonts w:eastAsia="Calibri" w:cs="Arial"/>
                <w:spacing w:val="21"/>
                <w:szCs w:val="24"/>
              </w:rPr>
              <w:t xml:space="preserve"> </w:t>
            </w:r>
            <w:r w:rsidRPr="00DB4CDB">
              <w:rPr>
                <w:rFonts w:eastAsia="Calibri" w:cs="Arial"/>
                <w:spacing w:val="-1"/>
                <w:szCs w:val="24"/>
              </w:rPr>
              <w:t>tolls,</w:t>
            </w:r>
            <w:r w:rsidRPr="00DB4CDB">
              <w:rPr>
                <w:rFonts w:eastAsia="Calibri" w:cs="Arial"/>
                <w:spacing w:val="-2"/>
                <w:szCs w:val="24"/>
              </w:rPr>
              <w:t xml:space="preserve"> </w:t>
            </w:r>
            <w:r w:rsidRPr="00DB4CDB">
              <w:rPr>
                <w:rFonts w:eastAsia="Calibri" w:cs="Arial"/>
                <w:spacing w:val="-1"/>
                <w:szCs w:val="24"/>
              </w:rPr>
              <w:t>and/or</w:t>
            </w:r>
            <w:r w:rsidRPr="00DB4CDB">
              <w:rPr>
                <w:rFonts w:eastAsia="Calibri" w:cs="Arial"/>
                <w:spacing w:val="-2"/>
                <w:szCs w:val="24"/>
              </w:rPr>
              <w:t xml:space="preserve"> </w:t>
            </w:r>
            <w:r w:rsidRPr="00DB4CDB">
              <w:rPr>
                <w:rFonts w:eastAsia="Calibri" w:cs="Arial"/>
                <w:spacing w:val="-1"/>
                <w:szCs w:val="24"/>
              </w:rPr>
              <w:t>car rental(s),</w:t>
            </w:r>
            <w:r w:rsidRPr="00DB4CDB">
              <w:rPr>
                <w:rFonts w:eastAsia="Calibri" w:cs="Arial"/>
                <w:spacing w:val="-2"/>
                <w:szCs w:val="24"/>
              </w:rPr>
              <w:t xml:space="preserve"> </w:t>
            </w:r>
            <w:r w:rsidRPr="00DB4CDB">
              <w:rPr>
                <w:rFonts w:eastAsia="Calibri" w:cs="Arial"/>
                <w:spacing w:val="-1"/>
                <w:szCs w:val="24"/>
              </w:rPr>
              <w:t>necessary</w:t>
            </w:r>
            <w:r w:rsidRPr="00DB4CDB">
              <w:rPr>
                <w:rFonts w:eastAsia="Calibri" w:cs="Arial"/>
                <w:spacing w:val="-2"/>
                <w:szCs w:val="24"/>
              </w:rPr>
              <w:t xml:space="preserve"> </w:t>
            </w:r>
            <w:r w:rsidRPr="00DB4CDB">
              <w:rPr>
                <w:rFonts w:eastAsia="Calibri" w:cs="Arial"/>
                <w:spacing w:val="-1"/>
                <w:szCs w:val="24"/>
              </w:rPr>
              <w:t>to meet</w:t>
            </w:r>
            <w:r w:rsidRPr="00DB4CDB">
              <w:rPr>
                <w:rFonts w:eastAsia="Calibri" w:cs="Arial"/>
                <w:spacing w:val="-2"/>
                <w:szCs w:val="24"/>
              </w:rPr>
              <w:t xml:space="preserve"> </w:t>
            </w:r>
            <w:r w:rsidRPr="00DB4CDB">
              <w:rPr>
                <w:rFonts w:eastAsia="Calibri" w:cs="Arial"/>
                <w:spacing w:val="-1"/>
                <w:szCs w:val="24"/>
              </w:rPr>
              <w:t>the</w:t>
            </w:r>
            <w:r w:rsidRPr="00DB4CDB">
              <w:rPr>
                <w:rFonts w:eastAsia="Calibri" w:cs="Arial"/>
                <w:spacing w:val="-2"/>
                <w:szCs w:val="24"/>
              </w:rPr>
              <w:t xml:space="preserve"> </w:t>
            </w:r>
            <w:r w:rsidRPr="00DB4CDB">
              <w:rPr>
                <w:rFonts w:eastAsia="Calibri" w:cs="Arial"/>
                <w:spacing w:val="-1"/>
                <w:szCs w:val="24"/>
              </w:rPr>
              <w:t>objectives of</w:t>
            </w:r>
            <w:r w:rsidRPr="00DB4CDB">
              <w:rPr>
                <w:rFonts w:eastAsia="Calibri" w:cs="Arial"/>
                <w:spacing w:val="-2"/>
                <w:szCs w:val="24"/>
              </w:rPr>
              <w:t xml:space="preserve"> </w:t>
            </w:r>
            <w:r w:rsidRPr="00DB4CDB">
              <w:rPr>
                <w:rFonts w:eastAsia="Calibri" w:cs="Arial"/>
                <w:spacing w:val="-1"/>
                <w:szCs w:val="24"/>
              </w:rPr>
              <w:t>the</w:t>
            </w:r>
            <w:r w:rsidRPr="00DB4CDB">
              <w:rPr>
                <w:rFonts w:eastAsia="Calibri" w:cs="Arial"/>
                <w:spacing w:val="-2"/>
                <w:szCs w:val="24"/>
              </w:rPr>
              <w:t xml:space="preserve"> </w:t>
            </w:r>
            <w:r w:rsidRPr="00DB4CDB">
              <w:rPr>
                <w:rFonts w:eastAsia="Calibri" w:cs="Arial"/>
                <w:spacing w:val="-1"/>
                <w:szCs w:val="24"/>
              </w:rPr>
              <w:t>program. Receipts</w:t>
            </w:r>
            <w:r w:rsidRPr="00DB4CDB">
              <w:rPr>
                <w:rFonts w:eastAsia="Calibri" w:cs="Arial"/>
                <w:spacing w:val="27"/>
                <w:szCs w:val="24"/>
              </w:rPr>
              <w:t xml:space="preserve"> </w:t>
            </w:r>
            <w:r w:rsidRPr="00DB4CDB">
              <w:rPr>
                <w:rFonts w:eastAsia="Calibri" w:cs="Arial"/>
                <w:spacing w:val="-1"/>
                <w:szCs w:val="24"/>
              </w:rPr>
              <w:t>are</w:t>
            </w:r>
            <w:r w:rsidRPr="00DB4CDB">
              <w:rPr>
                <w:rFonts w:eastAsia="Calibri" w:cs="Arial"/>
                <w:spacing w:val="-2"/>
                <w:szCs w:val="24"/>
              </w:rPr>
              <w:t xml:space="preserve"> </w:t>
            </w:r>
            <w:r w:rsidRPr="00DB4CDB">
              <w:rPr>
                <w:rFonts w:eastAsia="Calibri" w:cs="Arial"/>
                <w:spacing w:val="-1"/>
                <w:szCs w:val="24"/>
              </w:rPr>
              <w:t>required to be</w:t>
            </w:r>
            <w:r w:rsidRPr="00DB4CDB">
              <w:rPr>
                <w:rFonts w:eastAsia="Calibri" w:cs="Arial"/>
                <w:spacing w:val="-2"/>
                <w:szCs w:val="24"/>
              </w:rPr>
              <w:t xml:space="preserve"> </w:t>
            </w:r>
            <w:r w:rsidRPr="00DB4CDB">
              <w:rPr>
                <w:rFonts w:eastAsia="Calibri" w:cs="Arial"/>
                <w:spacing w:val="-1"/>
                <w:szCs w:val="24"/>
              </w:rPr>
              <w:t>kept on file</w:t>
            </w:r>
            <w:r w:rsidRPr="00DB4CDB">
              <w:rPr>
                <w:rFonts w:eastAsia="Calibri" w:cs="Arial"/>
                <w:spacing w:val="-2"/>
                <w:szCs w:val="24"/>
              </w:rPr>
              <w:t xml:space="preserve"> </w:t>
            </w:r>
            <w:r w:rsidRPr="00DB4CDB">
              <w:rPr>
                <w:rFonts w:eastAsia="Calibri" w:cs="Arial"/>
                <w:spacing w:val="-1"/>
                <w:szCs w:val="24"/>
              </w:rPr>
              <w:t>by the subgrantee for audit purposes.</w:t>
            </w:r>
            <w:r w:rsidR="00763878" w:rsidRPr="00DB4CDB">
              <w:rPr>
                <w:rFonts w:eastAsia="Calibri" w:cs="Arial"/>
                <w:spacing w:val="-1"/>
                <w:szCs w:val="24"/>
              </w:rPr>
              <w:t xml:space="preserve"> </w:t>
            </w:r>
            <w:bookmarkStart w:id="66" w:name="_Hlk74044493"/>
            <w:r w:rsidR="00763878" w:rsidRPr="00DB4CDB">
              <w:t xml:space="preserve">Travel expenses charged to the subgrant cannot exceed approved California travel rates </w:t>
            </w:r>
            <w:bookmarkEnd w:id="66"/>
            <w:r w:rsidR="00763878" w:rsidRPr="00DB4CDB">
              <w:t>(Appendix C: California State Travel Program). All travel costs charged to the subgrant must be reasonable and necessary to complete the RTAC Sub</w:t>
            </w:r>
            <w:r w:rsidR="00747770">
              <w:t>g</w:t>
            </w:r>
            <w:r w:rsidR="00763878" w:rsidRPr="00DB4CDB">
              <w:t xml:space="preserve">rant tasks. Food not associated with travel costs, per diem expenses, CANNOT be charged to the RTAC subgrant. </w:t>
            </w:r>
          </w:p>
        </w:tc>
      </w:tr>
      <w:tr w:rsidR="009B067B" w:rsidRPr="00DB4CDB" w14:paraId="74383FC3" w14:textId="77777777" w:rsidTr="00D67E8D">
        <w:trPr>
          <w:cantSplit/>
        </w:trPr>
        <w:tc>
          <w:tcPr>
            <w:tcW w:w="673" w:type="pct"/>
            <w:vAlign w:val="center"/>
          </w:tcPr>
          <w:p w14:paraId="765DA677" w14:textId="77777777" w:rsidR="009B067B" w:rsidRPr="00DB4CDB" w:rsidRDefault="009B067B" w:rsidP="00CA40D1">
            <w:pPr>
              <w:spacing w:before="17" w:after="0"/>
              <w:ind w:left="119"/>
              <w:rPr>
                <w:rFonts w:eastAsia="Arial" w:cs="Arial"/>
                <w:szCs w:val="24"/>
              </w:rPr>
            </w:pPr>
            <w:r w:rsidRPr="00DB4CDB">
              <w:rPr>
                <w:rFonts w:eastAsia="Calibri" w:cs="Arial"/>
                <w:spacing w:val="-1"/>
                <w:szCs w:val="24"/>
              </w:rPr>
              <w:t>6000</w:t>
            </w:r>
          </w:p>
        </w:tc>
        <w:tc>
          <w:tcPr>
            <w:tcW w:w="4327" w:type="pct"/>
            <w:vAlign w:val="center"/>
          </w:tcPr>
          <w:p w14:paraId="01C81773" w14:textId="776DFFC8" w:rsidR="009B067B" w:rsidRPr="00DB4CDB" w:rsidRDefault="009B067B" w:rsidP="00CA40D1">
            <w:pPr>
              <w:spacing w:before="17" w:after="120"/>
              <w:ind w:left="119" w:right="399"/>
              <w:rPr>
                <w:rFonts w:eastAsia="Arial" w:cs="Arial"/>
                <w:szCs w:val="24"/>
              </w:rPr>
            </w:pPr>
            <w:r w:rsidRPr="00DB4CDB">
              <w:rPr>
                <w:rFonts w:eastAsia="Calibri" w:cs="Arial"/>
                <w:b/>
                <w:spacing w:val="-1"/>
                <w:szCs w:val="24"/>
              </w:rPr>
              <w:t>Capital</w:t>
            </w:r>
            <w:r w:rsidRPr="00DB4CDB">
              <w:rPr>
                <w:rFonts w:eastAsia="Calibri" w:cs="Arial"/>
                <w:b/>
                <w:spacing w:val="-2"/>
                <w:szCs w:val="24"/>
              </w:rPr>
              <w:t xml:space="preserve"> </w:t>
            </w:r>
            <w:r w:rsidRPr="00DB4CDB">
              <w:rPr>
                <w:rFonts w:eastAsia="Calibri" w:cs="Arial"/>
                <w:b/>
                <w:spacing w:val="-1"/>
                <w:szCs w:val="24"/>
              </w:rPr>
              <w:t>Outlay Equipment:</w:t>
            </w:r>
            <w:r w:rsidRPr="00DB4CDB">
              <w:rPr>
                <w:rFonts w:eastAsia="Calibri" w:cs="Arial"/>
                <w:spacing w:val="-2"/>
                <w:szCs w:val="24"/>
              </w:rPr>
              <w:t xml:space="preserve"> </w:t>
            </w:r>
            <w:r w:rsidRPr="00DB4CDB">
              <w:rPr>
                <w:rFonts w:eastAsia="Calibri" w:cs="Arial"/>
                <w:spacing w:val="-1"/>
                <w:szCs w:val="24"/>
              </w:rPr>
              <w:t>Capital</w:t>
            </w:r>
            <w:r w:rsidRPr="00DB4CDB">
              <w:rPr>
                <w:rFonts w:eastAsia="Calibri" w:cs="Arial"/>
                <w:spacing w:val="-2"/>
                <w:szCs w:val="24"/>
              </w:rPr>
              <w:t xml:space="preserve"> </w:t>
            </w:r>
            <w:r w:rsidRPr="00DB4CDB">
              <w:rPr>
                <w:rFonts w:eastAsia="Calibri" w:cs="Arial"/>
                <w:spacing w:val="-1"/>
                <w:szCs w:val="24"/>
              </w:rPr>
              <w:t>Outlay</w:t>
            </w:r>
            <w:r w:rsidRPr="00DB4CDB">
              <w:rPr>
                <w:rFonts w:eastAsia="Calibri" w:cs="Arial"/>
                <w:spacing w:val="-2"/>
                <w:szCs w:val="24"/>
              </w:rPr>
              <w:t xml:space="preserve"> is </w:t>
            </w:r>
            <w:r w:rsidRPr="00DB4CDB">
              <w:rPr>
                <w:rFonts w:eastAsia="Calibri" w:cs="Arial"/>
                <w:spacing w:val="-1"/>
                <w:szCs w:val="24"/>
              </w:rPr>
              <w:t>not</w:t>
            </w:r>
            <w:r w:rsidRPr="00DB4CDB">
              <w:rPr>
                <w:rFonts w:eastAsia="Calibri" w:cs="Arial"/>
                <w:spacing w:val="-2"/>
                <w:szCs w:val="24"/>
              </w:rPr>
              <w:t xml:space="preserve"> </w:t>
            </w:r>
            <w:r w:rsidRPr="00DB4CDB">
              <w:rPr>
                <w:rFonts w:eastAsia="Calibri" w:cs="Arial"/>
                <w:spacing w:val="-1"/>
                <w:szCs w:val="24"/>
              </w:rPr>
              <w:t>allowable</w:t>
            </w:r>
            <w:r w:rsidRPr="00DB4CDB">
              <w:rPr>
                <w:rFonts w:eastAsia="Calibri" w:cs="Arial"/>
                <w:spacing w:val="-2"/>
                <w:szCs w:val="24"/>
              </w:rPr>
              <w:t xml:space="preserve"> </w:t>
            </w:r>
            <w:r w:rsidRPr="00DB4CDB">
              <w:rPr>
                <w:rFonts w:eastAsia="Calibri" w:cs="Arial"/>
                <w:spacing w:val="-1"/>
                <w:szCs w:val="24"/>
              </w:rPr>
              <w:t>under this subgrant.</w:t>
            </w:r>
          </w:p>
        </w:tc>
      </w:tr>
      <w:tr w:rsidR="009B067B" w:rsidRPr="00DB4CDB" w14:paraId="0A95F2A7" w14:textId="77777777" w:rsidTr="00D67E8D">
        <w:trPr>
          <w:cantSplit/>
        </w:trPr>
        <w:tc>
          <w:tcPr>
            <w:tcW w:w="673" w:type="pct"/>
            <w:vAlign w:val="center"/>
          </w:tcPr>
          <w:p w14:paraId="2CF30365" w14:textId="77777777" w:rsidR="009B067B" w:rsidRPr="00DB4CDB" w:rsidRDefault="009B067B" w:rsidP="00CA40D1">
            <w:pPr>
              <w:spacing w:before="17" w:after="0"/>
              <w:ind w:left="119"/>
              <w:rPr>
                <w:rFonts w:eastAsia="Arial" w:cs="Arial"/>
                <w:szCs w:val="24"/>
              </w:rPr>
            </w:pPr>
            <w:r w:rsidRPr="00DB4CDB">
              <w:rPr>
                <w:rFonts w:eastAsia="Calibri" w:cs="Arial"/>
                <w:spacing w:val="-1"/>
                <w:szCs w:val="24"/>
              </w:rPr>
              <w:t>7000</w:t>
            </w:r>
          </w:p>
        </w:tc>
        <w:tc>
          <w:tcPr>
            <w:tcW w:w="4327" w:type="pct"/>
            <w:vAlign w:val="center"/>
          </w:tcPr>
          <w:p w14:paraId="01D6054C" w14:textId="088199DA" w:rsidR="00C52DCE" w:rsidRPr="00D67E8D" w:rsidRDefault="009B067B" w:rsidP="00CA40D1">
            <w:pPr>
              <w:spacing w:before="17" w:after="120"/>
              <w:ind w:left="119" w:right="240"/>
              <w:rPr>
                <w:rFonts w:eastAsia="Calibri" w:cs="Arial"/>
                <w:spacing w:val="-2"/>
                <w:szCs w:val="24"/>
              </w:rPr>
            </w:pPr>
            <w:r w:rsidRPr="00DB4CDB">
              <w:rPr>
                <w:rFonts w:eastAsia="Calibri" w:cs="Arial"/>
                <w:b/>
                <w:spacing w:val="-1"/>
                <w:szCs w:val="24"/>
              </w:rPr>
              <w:t>Indirect Costs:</w:t>
            </w:r>
            <w:r w:rsidRPr="00DB4CDB">
              <w:rPr>
                <w:rFonts w:eastAsia="Calibri" w:cs="Arial"/>
                <w:spacing w:val="-2"/>
                <w:szCs w:val="24"/>
              </w:rPr>
              <w:t xml:space="preserve"> </w:t>
            </w:r>
            <w:r w:rsidR="009D69C3" w:rsidRPr="00DB4CDB">
              <w:rPr>
                <w:rFonts w:ascii="Helvetica" w:hAnsi="Helvetica" w:cs="Helvetica"/>
                <w:shd w:val="clear" w:color="auto" w:fill="FFFFFF"/>
              </w:rPr>
              <w:t xml:space="preserve">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centralized data processing. </w:t>
            </w:r>
            <w:r w:rsidR="001A299A" w:rsidRPr="00DB4CDB">
              <w:rPr>
                <w:rFonts w:ascii="Helvetica" w:hAnsi="Helvetica" w:cs="Helvetica"/>
                <w:shd w:val="clear" w:color="auto" w:fill="FFFFFF"/>
              </w:rPr>
              <w:t xml:space="preserve">All indirect costs must be charged against eligible program expenditures, in compliance with state and federal law and regulations, and aligned with standard accounting practices. </w:t>
            </w:r>
            <w:r w:rsidR="0080590E" w:rsidRPr="0080590E">
              <w:rPr>
                <w:rFonts w:cs="Arial"/>
                <w:szCs w:val="24"/>
              </w:rPr>
              <w:t>All instructional salaries and benefits, program supplies, contracts for instructional and support services, board and superintendent services, facility costs (plant maintenance and operations and facilities rents and leases), except for a minimal portion associated with the general administrative offices. This is referred to as the modified total direct costs (MTDC) base. MTDC excludes capital expenditures (objects 6000-6999), food costs (object 4700), other outgo (objects 7000-7499), other financing uses, the portion of each subagreement for services in excess of $25,000 (object 5100), and expenditures from the deferred maintenance fund, the capital facilities fund, the proprietary funds other than cafeteria, and the fiduciary funds</w:t>
            </w:r>
            <w:r w:rsidR="0080590E">
              <w:rPr>
                <w:rFonts w:cs="Arial"/>
                <w:szCs w:val="24"/>
              </w:rPr>
              <w:t xml:space="preserve">. </w:t>
            </w:r>
            <w:r w:rsidR="009D69C3" w:rsidRPr="00DB4CDB">
              <w:rPr>
                <w:rFonts w:ascii="Helvetica" w:hAnsi="Helvetica" w:cs="Helvetica"/>
                <w:shd w:val="clear" w:color="auto" w:fill="FFFFFF"/>
              </w:rPr>
              <w:t xml:space="preserve">Please see additional information on rates, eligible program expenditures, and other guidance at the </w:t>
            </w:r>
            <w:hyperlink r:id="rId22" w:history="1">
              <w:r w:rsidR="009D69C3" w:rsidRPr="00087A7A">
                <w:rPr>
                  <w:rStyle w:val="Hyperlink"/>
                  <w:szCs w:val="24"/>
                </w:rPr>
                <w:t xml:space="preserve">CDE ICR </w:t>
              </w:r>
              <w:r w:rsidR="00AC10F4" w:rsidRPr="00087A7A">
                <w:rPr>
                  <w:rStyle w:val="Hyperlink"/>
                  <w:szCs w:val="24"/>
                </w:rPr>
                <w:t xml:space="preserve">Frequently Asked Questions </w:t>
              </w:r>
              <w:r w:rsidR="009D69C3" w:rsidRPr="00087A7A">
                <w:rPr>
                  <w:rStyle w:val="Hyperlink"/>
                  <w:szCs w:val="24"/>
                </w:rPr>
                <w:t>web page</w:t>
              </w:r>
            </w:hyperlink>
            <w:r w:rsidR="00087A7A">
              <w:rPr>
                <w:szCs w:val="24"/>
              </w:rPr>
              <w:t>.</w:t>
            </w:r>
          </w:p>
        </w:tc>
      </w:tr>
    </w:tbl>
    <w:p w14:paraId="7232EDC4" w14:textId="77777777" w:rsidR="00D67E8D" w:rsidRPr="00D67E8D" w:rsidRDefault="00D67E8D" w:rsidP="00D67E8D">
      <w:pPr>
        <w:sectPr w:rsidR="00D67E8D" w:rsidRPr="00D67E8D" w:rsidSect="00C04D43">
          <w:footerReference w:type="default" r:id="rId23"/>
          <w:type w:val="continuous"/>
          <w:pgSz w:w="12240" w:h="15840"/>
          <w:pgMar w:top="1440" w:right="1440" w:bottom="1440" w:left="1440" w:header="720" w:footer="720" w:gutter="0"/>
          <w:cols w:space="720"/>
          <w:docGrid w:linePitch="360"/>
        </w:sectPr>
      </w:pPr>
    </w:p>
    <w:p w14:paraId="26CFCE6F" w14:textId="13D7B676" w:rsidR="00137232" w:rsidRPr="00DB4CDB" w:rsidRDefault="00137232" w:rsidP="00CA40D1">
      <w:pPr>
        <w:pStyle w:val="Heading2"/>
        <w:jc w:val="center"/>
      </w:pPr>
      <w:bookmarkStart w:id="67" w:name="_Toc199842739"/>
      <w:r w:rsidRPr="00DB4CDB">
        <w:lastRenderedPageBreak/>
        <w:t xml:space="preserve">Form </w:t>
      </w:r>
      <w:r w:rsidR="00FA09AE">
        <w:t>6</w:t>
      </w:r>
      <w:r w:rsidRPr="00DB4CDB">
        <w:t xml:space="preserve"> – Sub</w:t>
      </w:r>
      <w:r w:rsidR="00747770">
        <w:t>g</w:t>
      </w:r>
      <w:r w:rsidRPr="00DB4CDB">
        <w:t>rant Conditions and Assurances</w:t>
      </w:r>
      <w:bookmarkEnd w:id="57"/>
      <w:bookmarkEnd w:id="67"/>
    </w:p>
    <w:p w14:paraId="731D7081" w14:textId="77777777" w:rsidR="00A556F0" w:rsidRPr="00CE00C3" w:rsidRDefault="00A556F0" w:rsidP="00A556F0">
      <w:pPr>
        <w:pStyle w:val="Heading3"/>
      </w:pPr>
      <w:bookmarkStart w:id="68" w:name="_Toc199842740"/>
      <w:bookmarkStart w:id="69" w:name="_Toc507593879"/>
      <w:bookmarkStart w:id="70" w:name="_Toc77310255"/>
      <w:bookmarkStart w:id="71" w:name="_Toc77335625"/>
      <w:bookmarkStart w:id="72" w:name="_Toc92803894"/>
      <w:r w:rsidRPr="00CE00C3">
        <w:t>CDE General Assurances</w:t>
      </w:r>
      <w:bookmarkEnd w:id="68"/>
    </w:p>
    <w:p w14:paraId="4B71F8B4" w14:textId="77777777" w:rsidR="00A556F0" w:rsidRPr="00CE00C3" w:rsidRDefault="00A556F0" w:rsidP="00A556F0">
      <w:pPr>
        <w:pStyle w:val="FootnoteText"/>
        <w:numPr>
          <w:ilvl w:val="0"/>
          <w:numId w:val="48"/>
        </w:numPr>
        <w:rPr>
          <w:rFonts w:cs="Arial"/>
          <w:szCs w:val="24"/>
        </w:rPr>
      </w:pPr>
      <w:r w:rsidRPr="00CE00C3">
        <w:rPr>
          <w:rFonts w:cs="Arial"/>
          <w:szCs w:val="24"/>
        </w:rPr>
        <w:t>Programs and services are and will be in compliance with Title VI and Title VII of the Civil Rights Act of 1964; the California Fair Employment Practices Act, Government Code Section11135; and Chapter 1, Subchapter 4 (commencing with Section 30) of Division I of Title 5, California Code of Regulations (5 CCR).</w:t>
      </w:r>
    </w:p>
    <w:p w14:paraId="6E5EE455" w14:textId="77777777" w:rsidR="00A556F0" w:rsidRPr="00CE00C3" w:rsidRDefault="00A556F0" w:rsidP="00A556F0">
      <w:pPr>
        <w:pStyle w:val="FootnoteText"/>
        <w:numPr>
          <w:ilvl w:val="0"/>
          <w:numId w:val="48"/>
        </w:numPr>
        <w:rPr>
          <w:rFonts w:cs="Arial"/>
          <w:szCs w:val="24"/>
        </w:rPr>
      </w:pPr>
      <w:r w:rsidRPr="00CE00C3">
        <w:rPr>
          <w:rFonts w:cs="Arial"/>
          <w:szCs w:val="24"/>
        </w:rPr>
        <w:t>Programs and services are and will be in compliance with Title IX (nondiscrimination on the basis of sex) of the Education Amendments of 1972. Each program or activity conducted by the local educational agency (LEA) will be conducted in compliance with the provisions of Chapter 2, (commencing with Section 200), Prohibition of Discrimination on the Basis of Sex, of Part 1 of Division 1 of Title I of the California Education Code (EC), as well as all other applicable provisions of state law prohibiting discrimination on the basis of sex.</w:t>
      </w:r>
    </w:p>
    <w:p w14:paraId="496A9401" w14:textId="77777777" w:rsidR="00A556F0" w:rsidRPr="00CE00C3" w:rsidRDefault="00A556F0" w:rsidP="00A556F0">
      <w:pPr>
        <w:pStyle w:val="FootnoteText"/>
        <w:numPr>
          <w:ilvl w:val="0"/>
          <w:numId w:val="48"/>
        </w:numPr>
        <w:rPr>
          <w:rFonts w:cs="Arial"/>
          <w:szCs w:val="24"/>
        </w:rPr>
      </w:pPr>
      <w:r w:rsidRPr="00CE00C3">
        <w:rPr>
          <w:rFonts w:cs="Arial"/>
          <w:szCs w:val="24"/>
        </w:rPr>
        <w:t>Programs and services are and will be in compliance with the affirmative action provisions of the Education Amendments of 1972.</w:t>
      </w:r>
    </w:p>
    <w:p w14:paraId="18BCBF69" w14:textId="77777777" w:rsidR="00A556F0" w:rsidRPr="00CE00C3" w:rsidRDefault="00A556F0" w:rsidP="00A556F0">
      <w:pPr>
        <w:pStyle w:val="FootnoteText"/>
        <w:numPr>
          <w:ilvl w:val="0"/>
          <w:numId w:val="48"/>
        </w:numPr>
        <w:rPr>
          <w:rFonts w:cs="Arial"/>
          <w:szCs w:val="24"/>
        </w:rPr>
      </w:pPr>
      <w:r w:rsidRPr="00CE00C3">
        <w:rPr>
          <w:rFonts w:cs="Arial"/>
          <w:szCs w:val="24"/>
        </w:rPr>
        <w:t>Programs and services are and will be in compliance with the Age Discrimination Act of 1975.</w:t>
      </w:r>
    </w:p>
    <w:p w14:paraId="1C07D8D8" w14:textId="77777777" w:rsidR="00A556F0" w:rsidRPr="00CE00C3" w:rsidRDefault="00A556F0" w:rsidP="00A556F0">
      <w:pPr>
        <w:pStyle w:val="FootnoteText"/>
        <w:numPr>
          <w:ilvl w:val="0"/>
          <w:numId w:val="48"/>
        </w:numPr>
        <w:rPr>
          <w:rFonts w:cs="Arial"/>
          <w:szCs w:val="24"/>
        </w:rPr>
      </w:pPr>
      <w:r w:rsidRPr="00CE00C3">
        <w:rPr>
          <w:rFonts w:cs="Arial"/>
          <w:szCs w:val="24"/>
        </w:rPr>
        <w:t>Programs and services for individuals with disabilities are in compliance with the disability laws. (Public Law [PL] 105-17; 34 Code of Federal Regulations [CFR] 300, 303; and Section 504 of the Rehabilitation Act of 1973)</w:t>
      </w:r>
    </w:p>
    <w:p w14:paraId="741684B2" w14:textId="77777777" w:rsidR="00A556F0" w:rsidRPr="00CE00C3" w:rsidRDefault="00A556F0" w:rsidP="00A556F0">
      <w:pPr>
        <w:pStyle w:val="FootnoteText"/>
        <w:numPr>
          <w:ilvl w:val="0"/>
          <w:numId w:val="48"/>
        </w:numPr>
        <w:rPr>
          <w:rFonts w:cs="Arial"/>
          <w:szCs w:val="24"/>
        </w:rPr>
      </w:pPr>
      <w:r w:rsidRPr="00CE00C3">
        <w:rPr>
          <w:rFonts w:cs="Arial"/>
          <w:szCs w:val="24"/>
        </w:rPr>
        <w:t>When federal funds are made available, they will be used to supplement the amount of state and local funds that would, in the absence of such federal funds, be made available for the uses specified in the state plan, and in no case supplant such state or local funds. (20 United States Code [USC] Section 6321; PL 114-95, Section 1118[b][1])</w:t>
      </w:r>
    </w:p>
    <w:p w14:paraId="1EEDA3A4" w14:textId="77777777" w:rsidR="00A556F0" w:rsidRPr="00CE00C3" w:rsidRDefault="00A556F0" w:rsidP="00A556F0">
      <w:pPr>
        <w:pStyle w:val="FootnoteText"/>
        <w:numPr>
          <w:ilvl w:val="0"/>
          <w:numId w:val="48"/>
        </w:numPr>
        <w:rPr>
          <w:rFonts w:cs="Arial"/>
          <w:szCs w:val="24"/>
        </w:rPr>
      </w:pPr>
      <w:r w:rsidRPr="00CE00C3">
        <w:rPr>
          <w:rFonts w:cs="Arial"/>
          <w:szCs w:val="24"/>
        </w:rPr>
        <w:t>All state and federal statutes, regulations, program plans, and applications appropriate to each program under which federal or state funds are made available through this application will be met by the applicant agency in its administration of each program.</w:t>
      </w:r>
    </w:p>
    <w:p w14:paraId="1DAB918A" w14:textId="77777777" w:rsidR="00A556F0" w:rsidRPr="00CE00C3" w:rsidRDefault="00A556F0" w:rsidP="00A556F0">
      <w:pPr>
        <w:pStyle w:val="FootnoteText"/>
        <w:numPr>
          <w:ilvl w:val="0"/>
          <w:numId w:val="48"/>
        </w:numPr>
        <w:rPr>
          <w:rFonts w:cs="Arial"/>
          <w:szCs w:val="24"/>
        </w:rPr>
      </w:pPr>
      <w:r w:rsidRPr="00CE00C3">
        <w:rPr>
          <w:rFonts w:cs="Arial"/>
          <w:szCs w:val="24"/>
        </w:rPr>
        <w:t>Schoolsite councils have developed and approved a School Plan for Student Achievement (SPSA) for schools participating in programs funded through the consolidated application process, and any other school program they choose to include, and that school plans were developed with the review, certification, and advice of any applicable school advisory committees. (EC Section 64001)</w:t>
      </w:r>
    </w:p>
    <w:p w14:paraId="59FB0F22" w14:textId="77777777" w:rsidR="00A556F0" w:rsidRPr="00CE00C3" w:rsidRDefault="00A556F0" w:rsidP="00A556F0">
      <w:pPr>
        <w:pStyle w:val="FootnoteText"/>
        <w:numPr>
          <w:ilvl w:val="0"/>
          <w:numId w:val="48"/>
        </w:numPr>
        <w:rPr>
          <w:rFonts w:cs="Arial"/>
          <w:szCs w:val="24"/>
        </w:rPr>
      </w:pPr>
      <w:r w:rsidRPr="00CE00C3">
        <w:rPr>
          <w:rFonts w:cs="Arial"/>
          <w:szCs w:val="24"/>
        </w:rPr>
        <w:t xml:space="preserve">LEAs using their own school planning template in place of the SPSA have ensured that the content meets the statutory requirements of schoolwide programs and school improvement (comprehensive support and improvement, </w:t>
      </w:r>
      <w:r w:rsidRPr="00CE00C3">
        <w:rPr>
          <w:rFonts w:cs="Arial"/>
          <w:szCs w:val="24"/>
        </w:rPr>
        <w:lastRenderedPageBreak/>
        <w:t>targeted support and improvement, and additional targeted support and improvement) under the Every Student Succeeds Act, as applicable. (EC Section 64001; 20 USC Section 6311; PL 114-95, Section 1111[d][1][2])</w:t>
      </w:r>
    </w:p>
    <w:p w14:paraId="0F806771" w14:textId="77777777" w:rsidR="00A556F0" w:rsidRPr="00CE00C3" w:rsidRDefault="00A556F0" w:rsidP="00A556F0">
      <w:pPr>
        <w:pStyle w:val="FootnoteText"/>
        <w:numPr>
          <w:ilvl w:val="0"/>
          <w:numId w:val="48"/>
        </w:numPr>
        <w:rPr>
          <w:rFonts w:cs="Arial"/>
          <w:szCs w:val="24"/>
        </w:rPr>
      </w:pPr>
      <w:r w:rsidRPr="00CE00C3">
        <w:rPr>
          <w:rFonts w:cs="Arial"/>
          <w:szCs w:val="24"/>
        </w:rPr>
        <w:t>The LEA will use fiscal control and fund accounting procedures that will ensure proper disbursement for state and federal funds paid to that agency under each program. (5 CCR, Section 4202)</w:t>
      </w:r>
    </w:p>
    <w:p w14:paraId="4C0D1698" w14:textId="77777777" w:rsidR="00A556F0" w:rsidRPr="00CE00C3" w:rsidRDefault="00A556F0" w:rsidP="00A556F0">
      <w:pPr>
        <w:pStyle w:val="FootnoteText"/>
        <w:numPr>
          <w:ilvl w:val="0"/>
          <w:numId w:val="48"/>
        </w:numPr>
        <w:rPr>
          <w:rFonts w:cs="Arial"/>
          <w:szCs w:val="24"/>
        </w:rPr>
      </w:pPr>
      <w:r w:rsidRPr="00CE00C3">
        <w:rPr>
          <w:rFonts w:cs="Arial"/>
          <w:szCs w:val="24"/>
        </w:rPr>
        <w:t>The LEA will make reports to the state agency or board and to the Secretary of Education as may reasonably be necessary to enable the state agency or board and the Secretary to perform their duties and will maintain such records and provide access to those records as the state agency or board or the Secretary deems necessary. Such records will include, but will not be limited to, records which fully disclose the amount and disposition by the recipient of those funds, the total cost of the activity for which the funds are used, the share of that cost provided from other sources, and such other records as will facilitate an effective audit. The recipient shall maintain such records for three years after the completion of the activities for which the funds are used. (34 CFR 76.722, 76.730, 76.731, 76.760; 2 CFR 200.333)</w:t>
      </w:r>
    </w:p>
    <w:p w14:paraId="2D289611" w14:textId="77777777" w:rsidR="00A556F0" w:rsidRPr="00CE00C3" w:rsidRDefault="00A556F0" w:rsidP="00A556F0">
      <w:pPr>
        <w:pStyle w:val="FootnoteText"/>
        <w:numPr>
          <w:ilvl w:val="0"/>
          <w:numId w:val="48"/>
        </w:numPr>
        <w:rPr>
          <w:rFonts w:cs="Arial"/>
          <w:szCs w:val="24"/>
        </w:rPr>
      </w:pPr>
      <w:r w:rsidRPr="00CE00C3">
        <w:rPr>
          <w:rFonts w:cs="Arial"/>
          <w:szCs w:val="24"/>
        </w:rPr>
        <w:t>The local governing board has adopted written procedures to ensure prompt response to complaints within 60 calendar days, and has disseminated these procedures to students, employees, parents or guardians, district/school advisory committees, appropriate private school officials or representatives, and other interested parties. (5 CCR, Section 4600 et seq.)</w:t>
      </w:r>
    </w:p>
    <w:p w14:paraId="0911E3A5" w14:textId="77777777" w:rsidR="00A556F0" w:rsidRPr="00CE00C3" w:rsidRDefault="00A556F0" w:rsidP="00A556F0">
      <w:pPr>
        <w:pStyle w:val="FootnoteText"/>
        <w:numPr>
          <w:ilvl w:val="0"/>
          <w:numId w:val="48"/>
        </w:numPr>
        <w:rPr>
          <w:rFonts w:cs="Arial"/>
          <w:szCs w:val="24"/>
        </w:rPr>
      </w:pPr>
      <w:r w:rsidRPr="00CE00C3">
        <w:rPr>
          <w:rFonts w:cs="Arial"/>
          <w:szCs w:val="24"/>
        </w:rPr>
        <w:t>The LEA declares that it neither uses nor will use federal funds for lobbying activities and hereby complies with the certification requirements of 34 CFR Part 82.</w:t>
      </w:r>
    </w:p>
    <w:p w14:paraId="0E56DFC6" w14:textId="77777777" w:rsidR="00A556F0" w:rsidRPr="00CE00C3" w:rsidRDefault="00A556F0" w:rsidP="00A556F0">
      <w:pPr>
        <w:pStyle w:val="FootnoteText"/>
        <w:numPr>
          <w:ilvl w:val="0"/>
          <w:numId w:val="48"/>
        </w:numPr>
        <w:rPr>
          <w:rFonts w:cs="Arial"/>
          <w:szCs w:val="24"/>
        </w:rPr>
      </w:pPr>
      <w:r w:rsidRPr="00CE00C3">
        <w:rPr>
          <w:rFonts w:cs="Arial"/>
          <w:szCs w:val="24"/>
        </w:rPr>
        <w:t>The LEA has complied with the certification requirements under 34 CFR Part 84 regarding debarment, suspension and other requirements for a drug-free workplace. (34 CFR Part 84)</w:t>
      </w:r>
    </w:p>
    <w:p w14:paraId="35D37690" w14:textId="77777777" w:rsidR="00A556F0" w:rsidRPr="00CE00C3" w:rsidRDefault="00A556F0" w:rsidP="00A556F0">
      <w:pPr>
        <w:pStyle w:val="FootnoteText"/>
        <w:numPr>
          <w:ilvl w:val="0"/>
          <w:numId w:val="48"/>
        </w:numPr>
        <w:rPr>
          <w:rFonts w:cs="Arial"/>
          <w:szCs w:val="24"/>
        </w:rPr>
      </w:pPr>
      <w:r w:rsidRPr="00CE00C3">
        <w:rPr>
          <w:rFonts w:cs="Arial"/>
          <w:szCs w:val="24"/>
        </w:rPr>
        <w:t>The LEA will provide the certification on constitutionally protected prayer. (20 USC Section 7904; PL 114-95, Section 8524[b])</w:t>
      </w:r>
    </w:p>
    <w:p w14:paraId="0C783EAB" w14:textId="77777777" w:rsidR="00A556F0" w:rsidRPr="00CE00C3" w:rsidRDefault="00A556F0" w:rsidP="00A556F0">
      <w:pPr>
        <w:pStyle w:val="FootnoteText"/>
        <w:numPr>
          <w:ilvl w:val="0"/>
          <w:numId w:val="48"/>
        </w:numPr>
        <w:rPr>
          <w:rFonts w:cs="Arial"/>
          <w:szCs w:val="24"/>
        </w:rPr>
      </w:pPr>
      <w:r w:rsidRPr="00CE00C3">
        <w:rPr>
          <w:rFonts w:cs="Arial"/>
          <w:szCs w:val="24"/>
        </w:rPr>
        <w:t>The control of funds provided under each such program and title to property acquired with program funds will be in a public agency, an eligible private agency, institution, or organization, or an Indian tribe, if the law authorizing the program provides for assistance to those entities; and (B) the public agency, eligible private agency, institution, or organization, or Indian tribe will administer those funds and property to the extent required by the authorizing law. (20 USC Section 7844; PL 114-95, Section 8304[a][2][A-B])</w:t>
      </w:r>
    </w:p>
    <w:p w14:paraId="7C08DD1D" w14:textId="77777777" w:rsidR="00A556F0" w:rsidRPr="00CE00C3" w:rsidRDefault="00A556F0" w:rsidP="00A556F0">
      <w:pPr>
        <w:pStyle w:val="FootnoteText"/>
        <w:numPr>
          <w:ilvl w:val="0"/>
          <w:numId w:val="48"/>
        </w:numPr>
        <w:rPr>
          <w:rFonts w:cs="Arial"/>
          <w:szCs w:val="24"/>
        </w:rPr>
      </w:pPr>
      <w:r w:rsidRPr="00CE00C3">
        <w:rPr>
          <w:rFonts w:cs="Arial"/>
          <w:szCs w:val="24"/>
        </w:rPr>
        <w:lastRenderedPageBreak/>
        <w:t>The LEA administers all funds and property related to programs funded for equitable services provided to students attending private schools. (20 USC Section 6320; PL 114-95, Section 1117[d][1])</w:t>
      </w:r>
    </w:p>
    <w:p w14:paraId="7B17AE2C" w14:textId="77777777" w:rsidR="00A556F0" w:rsidRPr="00CE00C3" w:rsidRDefault="00A556F0" w:rsidP="00A556F0">
      <w:pPr>
        <w:pStyle w:val="FootnoteText"/>
        <w:numPr>
          <w:ilvl w:val="0"/>
          <w:numId w:val="48"/>
        </w:numPr>
        <w:rPr>
          <w:rFonts w:cs="Arial"/>
          <w:szCs w:val="24"/>
        </w:rPr>
      </w:pPr>
      <w:r w:rsidRPr="00CE00C3">
        <w:rPr>
          <w:rFonts w:cs="Arial"/>
          <w:szCs w:val="24"/>
        </w:rPr>
        <w:t>The LEA will adopt and use proper methods of administering each program including enforcement of any obligations imposed by law on agencies responsible for carrying out programs and correction of deficiencies in program operations identified through audits, monitoring or evaluation. (20 USC Section 7846; PL 114-95, Section 8306[a][3][A-B])</w:t>
      </w:r>
    </w:p>
    <w:p w14:paraId="5681CBF0" w14:textId="77777777" w:rsidR="00A556F0" w:rsidRPr="00CE00C3" w:rsidRDefault="00A556F0" w:rsidP="00A556F0">
      <w:pPr>
        <w:pStyle w:val="FootnoteText"/>
        <w:numPr>
          <w:ilvl w:val="0"/>
          <w:numId w:val="48"/>
        </w:numPr>
        <w:rPr>
          <w:rFonts w:cs="Arial"/>
          <w:szCs w:val="24"/>
        </w:rPr>
      </w:pPr>
      <w:r w:rsidRPr="00CE00C3">
        <w:rPr>
          <w:rFonts w:cs="Arial"/>
          <w:szCs w:val="24"/>
        </w:rPr>
        <w:t>The LEA will participate in the California Assessment of Student Performance and Progress. (EC Section 60640, et seq.)</w:t>
      </w:r>
    </w:p>
    <w:p w14:paraId="4C799D10" w14:textId="77777777" w:rsidR="00A556F0" w:rsidRPr="00CE00C3" w:rsidRDefault="00A556F0" w:rsidP="00A556F0">
      <w:pPr>
        <w:pStyle w:val="FootnoteText"/>
        <w:numPr>
          <w:ilvl w:val="0"/>
          <w:numId w:val="48"/>
        </w:numPr>
        <w:rPr>
          <w:rFonts w:cs="Arial"/>
          <w:szCs w:val="24"/>
        </w:rPr>
      </w:pPr>
      <w:r w:rsidRPr="00CE00C3">
        <w:rPr>
          <w:rFonts w:cs="Arial"/>
          <w:szCs w:val="24"/>
        </w:rPr>
        <w:t>The LEA assures that classroom teachers who are being assisted by instructional assistants retain their responsibility for the instruction and supervision of the students in their charge. (EC Section 45344[a])</w:t>
      </w:r>
    </w:p>
    <w:p w14:paraId="708B57B6" w14:textId="77777777" w:rsidR="00A556F0" w:rsidRPr="00CE00C3" w:rsidRDefault="00A556F0" w:rsidP="00A556F0">
      <w:pPr>
        <w:pStyle w:val="FootnoteText"/>
        <w:numPr>
          <w:ilvl w:val="0"/>
          <w:numId w:val="48"/>
        </w:numPr>
        <w:rPr>
          <w:rFonts w:cs="Arial"/>
          <w:szCs w:val="24"/>
        </w:rPr>
      </w:pPr>
      <w:r w:rsidRPr="00CE00C3">
        <w:rPr>
          <w:rFonts w:cs="Arial"/>
          <w:szCs w:val="24"/>
        </w:rPr>
        <w:t>The LEA governing board has adopted a policy on parent involvement that is consistent with the purposes and goals of EC Section 11502. These include all of the following: (a) to engage parents positively in their children's education by helping parents to develop skills to use at home that support their children's academic efforts at school and their children's development as responsible future members of our society; (b) to inform parents that they can directly affect the success of their children's learning, by providing parents with techniques and strategies that they may utilize to improve their children's academic success and to assist their children in learning at home; (c) to build consistent and effective communication between the home and the school so that parents may know when and how to assist their children in support of classroom learning activities; (d) to train teachers and administrators to communicate effectively with parents; and (e) to integrate parent involvement programs, including compliance with this chapter, into the school's master plan for academic accountability. (EC sections 11502, 11504)</w:t>
      </w:r>
    </w:p>
    <w:p w14:paraId="2CB0C659" w14:textId="77777777" w:rsidR="00A556F0" w:rsidRPr="00CE00C3" w:rsidRDefault="00A556F0" w:rsidP="00A556F0">
      <w:pPr>
        <w:pStyle w:val="FootnoteText"/>
        <w:numPr>
          <w:ilvl w:val="0"/>
          <w:numId w:val="48"/>
        </w:numPr>
        <w:rPr>
          <w:rFonts w:cs="Arial"/>
          <w:szCs w:val="24"/>
        </w:rPr>
      </w:pPr>
      <w:r w:rsidRPr="00CE00C3">
        <w:rPr>
          <w:rFonts w:cs="Arial"/>
          <w:szCs w:val="24"/>
        </w:rPr>
        <w:t>Results of an annual evaluation demonstrate that the LEA and each participating school are implementing Consolidated Programs that are not of low effectiveness, under criteria established by the local governing board. (5 CCR Section 3942)</w:t>
      </w:r>
    </w:p>
    <w:p w14:paraId="14B60719" w14:textId="77777777" w:rsidR="00A556F0" w:rsidRPr="00CE00C3" w:rsidRDefault="00A556F0" w:rsidP="00A556F0">
      <w:pPr>
        <w:pStyle w:val="FootnoteText"/>
        <w:numPr>
          <w:ilvl w:val="0"/>
          <w:numId w:val="48"/>
        </w:numPr>
        <w:rPr>
          <w:rFonts w:cs="Arial"/>
          <w:szCs w:val="24"/>
        </w:rPr>
      </w:pPr>
      <w:r w:rsidRPr="00CE00C3">
        <w:rPr>
          <w:rFonts w:cs="Arial"/>
          <w:szCs w:val="24"/>
        </w:rPr>
        <w:t>The program using consolidated programs funds does not isolate or segregate students on the basis of race, ethnicity, religion, sex, sexual orientation or socioeconomic status. (United States Constitution, Fourteenth Amendment; California Constitution, Article 1, Section 7; California Government Code sections11135-11138; 42 USC Section 2000d; 5 CCR, Section 3934)</w:t>
      </w:r>
    </w:p>
    <w:p w14:paraId="263AF77E" w14:textId="77777777" w:rsidR="00A556F0" w:rsidRPr="00CE00C3" w:rsidRDefault="00A556F0" w:rsidP="00A556F0">
      <w:pPr>
        <w:pStyle w:val="FootnoteText"/>
        <w:numPr>
          <w:ilvl w:val="0"/>
          <w:numId w:val="48"/>
        </w:numPr>
        <w:rPr>
          <w:rFonts w:cs="Arial"/>
          <w:szCs w:val="24"/>
        </w:rPr>
      </w:pPr>
      <w:r w:rsidRPr="00CE00C3">
        <w:rPr>
          <w:rFonts w:cs="Arial"/>
          <w:szCs w:val="24"/>
        </w:rPr>
        <w:t>Personnel, contracts, materials, supplies, and equipment purchased with Consolidated Program funds supplement the basic education program. (EC Section 62002; 5 CCR, sections 3944, 3946)</w:t>
      </w:r>
    </w:p>
    <w:p w14:paraId="3F355319" w14:textId="77777777" w:rsidR="00A556F0" w:rsidRPr="00CE00C3" w:rsidRDefault="00A556F0" w:rsidP="00A556F0">
      <w:pPr>
        <w:pStyle w:val="FootnoteText"/>
        <w:numPr>
          <w:ilvl w:val="0"/>
          <w:numId w:val="48"/>
        </w:numPr>
        <w:rPr>
          <w:rFonts w:cs="Arial"/>
          <w:szCs w:val="24"/>
        </w:rPr>
      </w:pPr>
      <w:r w:rsidRPr="00CE00C3">
        <w:rPr>
          <w:rFonts w:cs="Arial"/>
          <w:szCs w:val="24"/>
        </w:rPr>
        <w:lastRenderedPageBreak/>
        <w:t>At least 85 percent of the funds for School Improvement Programs, Title I, Title VI and Economic Impact Aid (State Compensatory Education and programs for English learners) are spent for direct services to students. One hundred percent of Miller-Unruh apportionments are spent for the salary of specialist reading teachers. (EC Section 63001; 5 CCR, Section 3944[a][b])</w:t>
      </w:r>
    </w:p>
    <w:p w14:paraId="7BC1B401" w14:textId="77777777" w:rsidR="00A556F0" w:rsidRPr="00CE00C3" w:rsidRDefault="00A556F0" w:rsidP="00A556F0">
      <w:pPr>
        <w:pStyle w:val="FootnoteText"/>
        <w:numPr>
          <w:ilvl w:val="0"/>
          <w:numId w:val="48"/>
        </w:numPr>
        <w:rPr>
          <w:rFonts w:cs="Arial"/>
          <w:szCs w:val="24"/>
        </w:rPr>
      </w:pPr>
      <w:r w:rsidRPr="00CE00C3">
        <w:rPr>
          <w:rFonts w:cs="Arial"/>
          <w:szCs w:val="24"/>
        </w:rPr>
        <w:t>State and federal categorical funds will be allocated to continuation schools in the same manner as to comprehensive schools, to the maximum extent permitted by state and federal laws and regulations. (EC Section 48438)</w:t>
      </w:r>
    </w:p>
    <w:p w14:paraId="512386F8" w14:textId="77777777" w:rsidR="00A556F0" w:rsidRPr="00CE00C3" w:rsidRDefault="00A556F0" w:rsidP="00A556F0">
      <w:pPr>
        <w:pStyle w:val="FootnoteText"/>
        <w:numPr>
          <w:ilvl w:val="0"/>
          <w:numId w:val="48"/>
        </w:numPr>
        <w:rPr>
          <w:rFonts w:cs="Arial"/>
          <w:szCs w:val="24"/>
        </w:rPr>
      </w:pPr>
      <w:r w:rsidRPr="00CE00C3">
        <w:rPr>
          <w:rFonts w:cs="Arial"/>
          <w:szCs w:val="24"/>
        </w:rPr>
        <w:t>Programs and services are and will be in compliance with Section 8355 of the California Government Code and the Drug-Free Workplace Act of 1988, and implemented at CFR Part 84, Subpart F, for grantees, as defined at 34 CFR Part 84, Sections 84.105 and 84.110.</w:t>
      </w:r>
    </w:p>
    <w:p w14:paraId="5AFDB4A1" w14:textId="77777777" w:rsidR="00A556F0" w:rsidRPr="00CE00C3" w:rsidRDefault="00A556F0" w:rsidP="00A556F0">
      <w:pPr>
        <w:pStyle w:val="FootnoteText"/>
        <w:numPr>
          <w:ilvl w:val="0"/>
          <w:numId w:val="48"/>
        </w:numPr>
        <w:rPr>
          <w:rFonts w:cs="Arial"/>
          <w:szCs w:val="24"/>
        </w:rPr>
      </w:pPr>
      <w:r w:rsidRPr="00CE00C3">
        <w:rPr>
          <w:rFonts w:cs="Arial"/>
          <w:szCs w:val="24"/>
        </w:rPr>
        <w:t>Federal grant recipients, sub recipients and their grant personnel are prohibited from text messaging while driving a government owned vehicle, or while driving their own privately owned vehicle during official grant business, or from using government supplied electronic equipment to text message or email when driving. Recipients must comply with these conditions under Executive Order 13513, "Federal Leadership on Reducing Text Messaging while Driving," October 1, 2009.</w:t>
      </w:r>
    </w:p>
    <w:p w14:paraId="4F0A6F64" w14:textId="36C2F25E" w:rsidR="00D67E8D" w:rsidRPr="00D67E8D" w:rsidRDefault="00A556F0" w:rsidP="00D67E8D">
      <w:pPr>
        <w:pStyle w:val="FootnoteText"/>
        <w:numPr>
          <w:ilvl w:val="0"/>
          <w:numId w:val="48"/>
        </w:numPr>
        <w:rPr>
          <w:rFonts w:cs="Arial"/>
          <w:szCs w:val="24"/>
        </w:rPr>
      </w:pPr>
      <w:r w:rsidRPr="00CE00C3">
        <w:rPr>
          <w:rFonts w:cs="Arial"/>
          <w:szCs w:val="24"/>
        </w:rPr>
        <w:t>The Federal grant sub recipient has complied with the Federal Funding Accountability and Transparency Act, as defined in 2 CFR Part 25 (PL 109-282; PL 110-252) regarding the establishment of a Unique Entity Identifier (UEI) number and maintaining a current/active registration in the</w:t>
      </w:r>
      <w:r w:rsidR="00D67E8D">
        <w:rPr>
          <w:rFonts w:cs="Arial"/>
          <w:szCs w:val="24"/>
        </w:rPr>
        <w:t xml:space="preserve"> </w:t>
      </w:r>
      <w:hyperlink r:id="rId24" w:history="1">
        <w:r w:rsidR="00D67E8D">
          <w:rPr>
            <w:rStyle w:val="Hyperlink"/>
          </w:rPr>
          <w:t>System for Award Management (External Link)</w:t>
        </w:r>
      </w:hyperlink>
      <w:r w:rsidR="00D67E8D" w:rsidRPr="00D67E8D">
        <w:rPr>
          <w:rFonts w:cs="Arial"/>
          <w:szCs w:val="24"/>
        </w:rPr>
        <w:t>.</w:t>
      </w:r>
    </w:p>
    <w:p w14:paraId="019A9898" w14:textId="50FCB58A" w:rsidR="00A556F0" w:rsidRPr="00CE00C3" w:rsidRDefault="00A556F0" w:rsidP="00A556F0">
      <w:pPr>
        <w:pStyle w:val="FootnoteText"/>
        <w:numPr>
          <w:ilvl w:val="0"/>
          <w:numId w:val="48"/>
        </w:numPr>
        <w:rPr>
          <w:rFonts w:cs="Arial"/>
          <w:szCs w:val="24"/>
        </w:rPr>
      </w:pPr>
      <w:r w:rsidRPr="00CE00C3">
        <w:rPr>
          <w:rFonts w:cs="Arial"/>
          <w:szCs w:val="24"/>
        </w:rPr>
        <w:t xml:space="preserve">Tribal consultation is required for all Title programs covered by ESSA (ESEA section 1111[a][1][A]) when an LEA have received a Title VI Indian Education formula grant in the previous fiscal year that exceeds $40,000, or have 50 percent or more (using enrollment from the previous year) of its student enrollment made up of American Indian/American Native (AI/AN) students. The total AI/AN enrollment data would include those students who self-identify as AI/AN alone and AI/AN in combination with one or more races, regardless of Hispanic ethnicity. A list of LEAs required to conduct tribal consultation can be found </w:t>
      </w:r>
      <w:r w:rsidR="00D67E8D">
        <w:rPr>
          <w:rFonts w:cs="Arial"/>
          <w:szCs w:val="24"/>
        </w:rPr>
        <w:t>at</w:t>
      </w:r>
      <w:r w:rsidR="00087A7A">
        <w:rPr>
          <w:rFonts w:cs="Arial"/>
          <w:szCs w:val="24"/>
        </w:rPr>
        <w:t xml:space="preserve"> </w:t>
      </w:r>
      <w:hyperlink r:id="rId25" w:history="1">
        <w:r w:rsidR="00087A7A" w:rsidRPr="00087A7A">
          <w:rPr>
            <w:rStyle w:val="Hyperlink"/>
            <w:rFonts w:cs="Arial"/>
            <w:szCs w:val="24"/>
          </w:rPr>
          <w:t>Tribal Consultation</w:t>
        </w:r>
      </w:hyperlink>
      <w:r w:rsidR="00087A7A">
        <w:rPr>
          <w:rFonts w:cs="Arial"/>
          <w:szCs w:val="24"/>
        </w:rPr>
        <w:t>.</w:t>
      </w:r>
      <w:r w:rsidR="007A0059">
        <w:rPr>
          <w:rFonts w:cs="Arial"/>
          <w:szCs w:val="24"/>
        </w:rPr>
        <w:t xml:space="preserve"> </w:t>
      </w:r>
      <w:r w:rsidRPr="00CE00C3">
        <w:rPr>
          <w:rFonts w:cs="Arial"/>
          <w:szCs w:val="24"/>
        </w:rPr>
        <w:t>Each affected LEA shall maintain in the agency’s records and provide to the state educational agency a written affirmation signed by the appropriate officials of the participating tribes—or tribal organizations approved by the tribes—that the consultation required by this section has occurred. (20 USC Section 7918; PL 114-95, Section 8538)</w:t>
      </w:r>
    </w:p>
    <w:p w14:paraId="0D2F4BA6" w14:textId="09CD56C3" w:rsidR="00137232" w:rsidRPr="00DB4CDB" w:rsidRDefault="00246D03" w:rsidP="00453FA2">
      <w:pPr>
        <w:pStyle w:val="Heading3"/>
      </w:pPr>
      <w:bookmarkStart w:id="73" w:name="_Toc199842741"/>
      <w:r>
        <w:t xml:space="preserve">STACS </w:t>
      </w:r>
      <w:r w:rsidR="00137232" w:rsidRPr="00DB4CDB">
        <w:t>Specific</w:t>
      </w:r>
      <w:r w:rsidR="00137232" w:rsidRPr="00DB4CDB">
        <w:rPr>
          <w:spacing w:val="1"/>
        </w:rPr>
        <w:t xml:space="preserve"> </w:t>
      </w:r>
      <w:r w:rsidR="00137232" w:rsidRPr="00DB4CDB">
        <w:t>Assurances</w:t>
      </w:r>
      <w:bookmarkEnd w:id="69"/>
      <w:bookmarkEnd w:id="70"/>
      <w:bookmarkEnd w:id="71"/>
      <w:bookmarkEnd w:id="72"/>
      <w:bookmarkEnd w:id="73"/>
    </w:p>
    <w:p w14:paraId="6A75D22E" w14:textId="1BBFB903" w:rsidR="00137232" w:rsidRPr="00DB4CDB" w:rsidRDefault="00137232" w:rsidP="00760810">
      <w:pPr>
        <w:spacing w:after="100" w:afterAutospacing="1"/>
        <w:rPr>
          <w:rFonts w:eastAsia="Times New Roman" w:cs="Arial"/>
          <w:szCs w:val="24"/>
        </w:rPr>
      </w:pPr>
      <w:r w:rsidRPr="00DB4CDB">
        <w:rPr>
          <w:rFonts w:eastAsia="Times New Roman" w:cs="Arial"/>
          <w:szCs w:val="24"/>
        </w:rPr>
        <w:t xml:space="preserve">As a condition of the receipt of funds under this subgrant program, the applicant agrees to comply with the following Subgrant Conditions and Assurances. The signatures of the </w:t>
      </w:r>
      <w:r w:rsidRPr="00DB4CDB">
        <w:rPr>
          <w:rFonts w:eastAsia="Times New Roman" w:cs="Arial"/>
          <w:szCs w:val="24"/>
        </w:rPr>
        <w:lastRenderedPageBreak/>
        <w:t xml:space="preserve">authorized agents on the front of the application indicate acknowledgement and agreement to all assurances. The applicant is required to print and retain a copy of these specific assurances at the </w:t>
      </w:r>
      <w:r w:rsidR="00432350" w:rsidRPr="00DB4CDB">
        <w:rPr>
          <w:rFonts w:eastAsia="Times New Roman" w:cs="Arial"/>
          <w:szCs w:val="24"/>
        </w:rPr>
        <w:t>organization</w:t>
      </w:r>
      <w:r w:rsidRPr="00DB4CDB">
        <w:rPr>
          <w:rFonts w:eastAsia="Times New Roman" w:cs="Arial"/>
          <w:szCs w:val="24"/>
        </w:rPr>
        <w:t xml:space="preserve"> site and to submit a signed copy to the CDE. </w:t>
      </w:r>
    </w:p>
    <w:p w14:paraId="450D155D" w14:textId="77777777" w:rsidR="00137232" w:rsidRPr="00DB4CDB" w:rsidRDefault="00137232" w:rsidP="003B30DC">
      <w:pPr>
        <w:pStyle w:val="Heading4"/>
      </w:pPr>
      <w:bookmarkStart w:id="74" w:name="_Toc77310256"/>
      <w:bookmarkStart w:id="75" w:name="_Toc77335626"/>
      <w:bookmarkStart w:id="76" w:name="_Toc92803895"/>
      <w:r w:rsidRPr="00DB4CDB">
        <w:t>Expenditures and Reporting</w:t>
      </w:r>
      <w:bookmarkEnd w:id="74"/>
      <w:bookmarkEnd w:id="75"/>
      <w:bookmarkEnd w:id="76"/>
    </w:p>
    <w:p w14:paraId="21F964C8" w14:textId="2EBFEB6A" w:rsidR="00137232" w:rsidRPr="00DB4CDB" w:rsidRDefault="00137232" w:rsidP="00F17306">
      <w:pPr>
        <w:numPr>
          <w:ilvl w:val="0"/>
          <w:numId w:val="7"/>
        </w:numPr>
        <w:autoSpaceDE w:val="0"/>
        <w:autoSpaceDN w:val="0"/>
        <w:adjustRightInd w:val="0"/>
        <w:rPr>
          <w:rFonts w:eastAsia="Times New Roman" w:cs="Arial"/>
        </w:rPr>
      </w:pPr>
      <w:r w:rsidRPr="00DB4CDB">
        <w:rPr>
          <w:rFonts w:cs="Arial"/>
        </w:rPr>
        <w:t>The CSP</w:t>
      </w:r>
      <w:r w:rsidR="003440A3" w:rsidRPr="00DB4CDB">
        <w:rPr>
          <w:rFonts w:cs="Arial"/>
        </w:rPr>
        <w:t xml:space="preserve"> </w:t>
      </w:r>
      <w:r w:rsidRPr="00DB4CDB">
        <w:rPr>
          <w:rFonts w:cs="Arial"/>
        </w:rPr>
        <w:t xml:space="preserve">State Entities program is authorized under Title IV, Part C of the </w:t>
      </w:r>
      <w:r w:rsidR="003440A3" w:rsidRPr="00DB4CDB">
        <w:rPr>
          <w:rFonts w:cs="Arial"/>
        </w:rPr>
        <w:t>ESEA</w:t>
      </w:r>
      <w:r w:rsidRPr="00DB4CDB">
        <w:rPr>
          <w:rFonts w:cs="Arial"/>
        </w:rPr>
        <w:t xml:space="preserve"> of 1965, as amended by ESSA (20 </w:t>
      </w:r>
      <w:r w:rsidR="00A538B8" w:rsidRPr="00DB4CDB">
        <w:rPr>
          <w:rFonts w:cs="Arial"/>
        </w:rPr>
        <w:t>U.S.C</w:t>
      </w:r>
      <w:r w:rsidRPr="00DB4CDB">
        <w:rPr>
          <w:rFonts w:cs="Arial"/>
        </w:rPr>
        <w:t>. 7221–7221j</w:t>
      </w:r>
      <w:r w:rsidR="003440A3" w:rsidRPr="00DB4CDB">
        <w:rPr>
          <w:rFonts w:cs="Arial"/>
        </w:rPr>
        <w:t>)</w:t>
      </w:r>
      <w:r w:rsidRPr="00DB4CDB">
        <w:rPr>
          <w:rFonts w:cs="Arial"/>
        </w:rPr>
        <w:t xml:space="preserve"> and administered under the </w:t>
      </w:r>
      <w:r w:rsidR="004B7874" w:rsidRPr="00DB4CDB">
        <w:rPr>
          <w:rFonts w:cs="Arial"/>
        </w:rPr>
        <w:t>Department of Education (</w:t>
      </w:r>
      <w:r w:rsidR="003440A3" w:rsidRPr="00DB4CDB">
        <w:rPr>
          <w:rFonts w:cs="Arial"/>
        </w:rPr>
        <w:t>ED</w:t>
      </w:r>
      <w:r w:rsidR="004B7874" w:rsidRPr="00DB4CDB">
        <w:rPr>
          <w:rFonts w:cs="Arial"/>
        </w:rPr>
        <w:t>)</w:t>
      </w:r>
      <w:r w:rsidRPr="00DB4CDB">
        <w:rPr>
          <w:rFonts w:cs="Arial"/>
        </w:rPr>
        <w:t xml:space="preserve"> General Administrative Regulation (EDGAR) as it relates to 34 </w:t>
      </w:r>
      <w:r w:rsidR="00A538B8" w:rsidRPr="00DB4CDB">
        <w:rPr>
          <w:rFonts w:cs="Arial"/>
          <w:i/>
          <w:iCs/>
        </w:rPr>
        <w:t>CFR</w:t>
      </w:r>
      <w:r w:rsidRPr="00DB4CDB">
        <w:rPr>
          <w:rFonts w:cs="Arial"/>
        </w:rPr>
        <w:t xml:space="preserve"> Parts 75–81</w:t>
      </w:r>
      <w:r w:rsidR="003440A3" w:rsidRPr="00DB4CDB">
        <w:rPr>
          <w:rFonts w:cs="Arial"/>
        </w:rPr>
        <w:t xml:space="preserve">, </w:t>
      </w:r>
      <w:r w:rsidRPr="00DB4CDB">
        <w:rPr>
          <w:rFonts w:cs="Arial"/>
        </w:rPr>
        <w:t xml:space="preserve">2 </w:t>
      </w:r>
      <w:r w:rsidRPr="00DB4CDB">
        <w:rPr>
          <w:rFonts w:cs="Arial"/>
          <w:i/>
          <w:iCs/>
        </w:rPr>
        <w:t>CFR</w:t>
      </w:r>
      <w:r w:rsidRPr="00DB4CDB">
        <w:rPr>
          <w:rFonts w:cs="Arial"/>
        </w:rPr>
        <w:t xml:space="preserve"> Parts 200 and 3485. </w:t>
      </w:r>
      <w:r w:rsidRPr="00DB4CDB">
        <w:rPr>
          <w:rFonts w:eastAsia="Times New Roman" w:cs="Arial"/>
        </w:rPr>
        <w:t>Expenditures shall comply with all applicable provisions of federal and state regulations and policies relating to the administration, use</w:t>
      </w:r>
      <w:r w:rsidR="00D20067">
        <w:rPr>
          <w:rFonts w:eastAsia="Times New Roman" w:cs="Arial"/>
        </w:rPr>
        <w:t>,</w:t>
      </w:r>
      <w:r w:rsidRPr="00DB4CDB">
        <w:rPr>
          <w:rFonts w:eastAsia="Times New Roman" w:cs="Arial"/>
        </w:rPr>
        <w:t xml:space="preserve"> and accounting for public school funds. Any interpretations of law, regulations, and procedures shall be the sole responsibility of the CDE.</w:t>
      </w:r>
    </w:p>
    <w:p w14:paraId="779C17E2" w14:textId="2857B18C" w:rsidR="00137232" w:rsidRPr="00DB4CDB" w:rsidRDefault="00137232" w:rsidP="00F17306">
      <w:pPr>
        <w:numPr>
          <w:ilvl w:val="0"/>
          <w:numId w:val="7"/>
        </w:numPr>
        <w:rPr>
          <w:rFonts w:eastAsia="Times New Roman" w:cs="Arial"/>
          <w:szCs w:val="24"/>
        </w:rPr>
      </w:pPr>
      <w:r w:rsidRPr="00DB4CDB">
        <w:rPr>
          <w:rFonts w:eastAsia="Times New Roman" w:cs="Arial"/>
          <w:szCs w:val="24"/>
        </w:rPr>
        <w:t xml:space="preserve">The CDE reserves the authority to require the repayment of received funds, the return of all unused funds, and/or the termination of the </w:t>
      </w:r>
      <w:r w:rsidR="00562882" w:rsidRPr="00DB4CDB">
        <w:rPr>
          <w:rFonts w:eastAsia="Times New Roman" w:cs="Arial"/>
          <w:szCs w:val="24"/>
        </w:rPr>
        <w:t>subgrant</w:t>
      </w:r>
      <w:r w:rsidRPr="00DB4CDB">
        <w:rPr>
          <w:rFonts w:eastAsia="Times New Roman" w:cs="Arial"/>
          <w:szCs w:val="24"/>
        </w:rPr>
        <w:t xml:space="preserve"> if the </w:t>
      </w:r>
      <w:r w:rsidR="00562882" w:rsidRPr="00DB4CDB">
        <w:rPr>
          <w:rFonts w:eastAsia="Times New Roman" w:cs="Arial"/>
          <w:szCs w:val="24"/>
        </w:rPr>
        <w:t>subgrant</w:t>
      </w:r>
      <w:r w:rsidRPr="00DB4CDB">
        <w:rPr>
          <w:rFonts w:eastAsia="Times New Roman" w:cs="Arial"/>
          <w:szCs w:val="24"/>
        </w:rPr>
        <w:t xml:space="preserve"> recipient fails to meet the terms of this agreement, fails to meet established deadlines, </w:t>
      </w:r>
      <w:r w:rsidR="009F1F67">
        <w:rPr>
          <w:rFonts w:eastAsia="Times New Roman" w:cs="Arial"/>
          <w:szCs w:val="24"/>
        </w:rPr>
        <w:t xml:space="preserve">or </w:t>
      </w:r>
      <w:r w:rsidRPr="00DB4CDB">
        <w:rPr>
          <w:rFonts w:eastAsia="Times New Roman" w:cs="Arial"/>
          <w:szCs w:val="24"/>
        </w:rPr>
        <w:t xml:space="preserve">fails to act in good faith to carry out the activities described in the </w:t>
      </w:r>
      <w:r w:rsidR="00562882" w:rsidRPr="00DB4CDB">
        <w:rPr>
          <w:rFonts w:eastAsia="Times New Roman" w:cs="Arial"/>
          <w:szCs w:val="24"/>
        </w:rPr>
        <w:t>subgrant</w:t>
      </w:r>
      <w:r w:rsidRPr="00DB4CDB">
        <w:rPr>
          <w:rFonts w:eastAsia="Times New Roman" w:cs="Arial"/>
          <w:szCs w:val="24"/>
        </w:rPr>
        <w:t xml:space="preserve"> proposal.</w:t>
      </w:r>
    </w:p>
    <w:p w14:paraId="3A4D2107" w14:textId="42CC5669" w:rsidR="00137232" w:rsidRPr="00DB4CDB" w:rsidRDefault="00137232" w:rsidP="00F17306">
      <w:pPr>
        <w:numPr>
          <w:ilvl w:val="0"/>
          <w:numId w:val="7"/>
        </w:numPr>
        <w:rPr>
          <w:rFonts w:eastAsia="Times New Roman" w:cs="Arial"/>
          <w:szCs w:val="24"/>
        </w:rPr>
      </w:pPr>
      <w:r w:rsidRPr="00DB4CDB">
        <w:rPr>
          <w:rFonts w:eastAsia="Times New Roman" w:cs="Arial"/>
          <w:szCs w:val="24"/>
        </w:rPr>
        <w:t xml:space="preserve">The </w:t>
      </w:r>
      <w:r w:rsidR="00562882" w:rsidRPr="00DB4CDB">
        <w:rPr>
          <w:rFonts w:eastAsia="Times New Roman" w:cs="Arial"/>
          <w:szCs w:val="24"/>
        </w:rPr>
        <w:t>subgrant</w:t>
      </w:r>
      <w:r w:rsidR="003440A3" w:rsidRPr="00DB4CDB">
        <w:rPr>
          <w:rFonts w:eastAsia="Times New Roman" w:cs="Arial"/>
          <w:szCs w:val="24"/>
        </w:rPr>
        <w:t xml:space="preserve"> recipient</w:t>
      </w:r>
      <w:r w:rsidRPr="00DB4CDB">
        <w:rPr>
          <w:rFonts w:eastAsia="Times New Roman" w:cs="Arial"/>
          <w:szCs w:val="24"/>
        </w:rPr>
        <w:t xml:space="preserve"> agrees to use the funding in a manner consistent with their applications as submitted, or as revised</w:t>
      </w:r>
      <w:r w:rsidR="00D20067">
        <w:rPr>
          <w:rFonts w:eastAsia="Times New Roman" w:cs="Arial"/>
          <w:szCs w:val="24"/>
        </w:rPr>
        <w:t>,</w:t>
      </w:r>
      <w:r w:rsidRPr="00DB4CDB">
        <w:rPr>
          <w:rFonts w:eastAsia="Times New Roman" w:cs="Arial"/>
          <w:szCs w:val="24"/>
        </w:rPr>
        <w:t xml:space="preserve"> and approved by the CDE.</w:t>
      </w:r>
    </w:p>
    <w:p w14:paraId="3BF8E0FC" w14:textId="0F4B3EB2" w:rsidR="00137232" w:rsidRPr="00DB4CDB" w:rsidRDefault="00137232" w:rsidP="00F17306">
      <w:pPr>
        <w:numPr>
          <w:ilvl w:val="0"/>
          <w:numId w:val="7"/>
        </w:numPr>
        <w:rPr>
          <w:rFonts w:eastAsia="Times New Roman" w:cs="Arial"/>
          <w:szCs w:val="24"/>
        </w:rPr>
      </w:pPr>
      <w:r w:rsidRPr="00DB4CDB">
        <w:rPr>
          <w:rFonts w:eastAsia="Times New Roman" w:cs="Arial"/>
          <w:szCs w:val="24"/>
        </w:rPr>
        <w:t xml:space="preserve">The </w:t>
      </w:r>
      <w:r w:rsidR="00562882" w:rsidRPr="00DB4CDB">
        <w:rPr>
          <w:rFonts w:eastAsia="Times New Roman" w:cs="Arial"/>
          <w:szCs w:val="24"/>
        </w:rPr>
        <w:t>subgrant</w:t>
      </w:r>
      <w:r w:rsidRPr="00DB4CDB">
        <w:rPr>
          <w:rFonts w:eastAsia="Times New Roman" w:cs="Arial"/>
          <w:szCs w:val="24"/>
        </w:rPr>
        <w:t xml:space="preserve"> recipient agrees to fulfill the performance measures specific to its </w:t>
      </w:r>
      <w:r w:rsidR="00562882" w:rsidRPr="00DB4CDB">
        <w:rPr>
          <w:rFonts w:eastAsia="Times New Roman" w:cs="Arial"/>
          <w:szCs w:val="24"/>
        </w:rPr>
        <w:t>subgrant</w:t>
      </w:r>
      <w:r w:rsidRPr="00DB4CDB">
        <w:rPr>
          <w:rFonts w:eastAsia="Times New Roman" w:cs="Arial"/>
          <w:szCs w:val="24"/>
        </w:rPr>
        <w:t xml:space="preserve"> type and submit timely financial reports, status reports, and all other required reports. Failure to do so could result in the forfeiture of the </w:t>
      </w:r>
      <w:r w:rsidR="00562882" w:rsidRPr="00DB4CDB">
        <w:rPr>
          <w:rFonts w:eastAsia="Times New Roman" w:cs="Arial"/>
          <w:szCs w:val="24"/>
        </w:rPr>
        <w:t>subgrant</w:t>
      </w:r>
      <w:r w:rsidRPr="00DB4CDB">
        <w:rPr>
          <w:rFonts w:eastAsia="Times New Roman" w:cs="Arial"/>
          <w:szCs w:val="24"/>
        </w:rPr>
        <w:t xml:space="preserve"> and repayment of funds.</w:t>
      </w:r>
    </w:p>
    <w:p w14:paraId="55DBFC69" w14:textId="240CB036" w:rsidR="00137232" w:rsidRPr="00DB4CDB" w:rsidRDefault="00137232" w:rsidP="00F17306">
      <w:pPr>
        <w:numPr>
          <w:ilvl w:val="0"/>
          <w:numId w:val="7"/>
        </w:numPr>
        <w:rPr>
          <w:rFonts w:eastAsia="Times New Roman" w:cs="Arial"/>
        </w:rPr>
      </w:pPr>
      <w:r w:rsidRPr="00DB4CDB">
        <w:rPr>
          <w:rFonts w:eastAsia="Times New Roman" w:cs="Arial"/>
        </w:rPr>
        <w:t xml:space="preserve">The </w:t>
      </w:r>
      <w:r w:rsidR="00562882" w:rsidRPr="00DB4CDB">
        <w:rPr>
          <w:rFonts w:eastAsia="Times New Roman" w:cs="Arial"/>
        </w:rPr>
        <w:t>subgrant</w:t>
      </w:r>
      <w:r w:rsidRPr="00DB4CDB">
        <w:rPr>
          <w:rFonts w:eastAsia="Times New Roman" w:cs="Arial"/>
        </w:rPr>
        <w:t xml:space="preserve"> recipient agrees to cooperate with the </w:t>
      </w:r>
      <w:r w:rsidR="003440A3" w:rsidRPr="00DB4CDB">
        <w:rPr>
          <w:rFonts w:eastAsia="Times New Roman" w:cs="Arial"/>
        </w:rPr>
        <w:t>ED</w:t>
      </w:r>
      <w:r w:rsidRPr="00DB4CDB">
        <w:rPr>
          <w:rFonts w:eastAsia="Times New Roman" w:cs="Arial"/>
        </w:rPr>
        <w:t xml:space="preserve">, the CDE, the </w:t>
      </w:r>
      <w:r w:rsidR="004B7874" w:rsidRPr="00DB4CDB">
        <w:rPr>
          <w:rFonts w:eastAsia="Times New Roman" w:cs="Arial"/>
        </w:rPr>
        <w:t>State Board of Education (SBE)</w:t>
      </w:r>
      <w:r w:rsidRPr="00DB4CDB">
        <w:rPr>
          <w:rFonts w:eastAsia="Times New Roman" w:cs="Arial"/>
        </w:rPr>
        <w:t xml:space="preserve">, and their independent contractors, if any, in the administration of this </w:t>
      </w:r>
      <w:r w:rsidR="00562882" w:rsidRPr="00DB4CDB">
        <w:rPr>
          <w:rFonts w:eastAsia="Times New Roman" w:cs="Arial"/>
        </w:rPr>
        <w:t>subgrant</w:t>
      </w:r>
      <w:r w:rsidRPr="00DB4CDB">
        <w:rPr>
          <w:rFonts w:eastAsia="Times New Roman" w:cs="Arial"/>
        </w:rPr>
        <w:t xml:space="preserve">, and to conduct any external evaluation of the effectiveness of the </w:t>
      </w:r>
      <w:r w:rsidR="00562882" w:rsidRPr="00DB4CDB">
        <w:rPr>
          <w:rFonts w:eastAsia="Times New Roman" w:cs="Arial"/>
        </w:rPr>
        <w:t>grant</w:t>
      </w:r>
      <w:r w:rsidRPr="00DB4CDB">
        <w:rPr>
          <w:rFonts w:eastAsia="Times New Roman" w:cs="Arial"/>
        </w:rPr>
        <w:t xml:space="preserve"> process.</w:t>
      </w:r>
    </w:p>
    <w:p w14:paraId="736F3251" w14:textId="77777777" w:rsidR="00137232" w:rsidRPr="00DB4CDB" w:rsidRDefault="00137232" w:rsidP="00F17306">
      <w:pPr>
        <w:numPr>
          <w:ilvl w:val="0"/>
          <w:numId w:val="7"/>
        </w:numPr>
        <w:rPr>
          <w:rFonts w:eastAsia="Times New Roman" w:cs="Arial"/>
          <w:szCs w:val="24"/>
        </w:rPr>
      </w:pPr>
      <w:r w:rsidRPr="00DB4CDB">
        <w:rPr>
          <w:rFonts w:eastAsia="Times New Roman" w:cs="Arial"/>
          <w:szCs w:val="24"/>
        </w:rPr>
        <w:t>Maintain fiscal procedures to minimize the time elapsing between the transfer of the funds from the CDE and disbursement.</w:t>
      </w:r>
    </w:p>
    <w:p w14:paraId="0BEA3607" w14:textId="0C840952" w:rsidR="00137232" w:rsidRPr="00DB4CDB" w:rsidRDefault="005D6F3F" w:rsidP="003B30DC">
      <w:pPr>
        <w:pStyle w:val="Heading4"/>
      </w:pPr>
      <w:bookmarkStart w:id="77" w:name="_Toc77310257"/>
      <w:bookmarkStart w:id="78" w:name="_Toc77335627"/>
      <w:bookmarkStart w:id="79" w:name="_Toc92803896"/>
      <w:r>
        <w:t>STACS</w:t>
      </w:r>
      <w:r w:rsidR="00356C55">
        <w:t xml:space="preserve"> </w:t>
      </w:r>
      <w:r w:rsidR="00137232" w:rsidRPr="00DB4CDB">
        <w:t>Information and Data</w:t>
      </w:r>
      <w:bookmarkEnd w:id="77"/>
      <w:bookmarkEnd w:id="78"/>
      <w:bookmarkEnd w:id="79"/>
    </w:p>
    <w:p w14:paraId="332773E6" w14:textId="6D939DCF" w:rsidR="00137232" w:rsidRPr="00DB4CDB" w:rsidRDefault="00137232" w:rsidP="00F17306">
      <w:pPr>
        <w:numPr>
          <w:ilvl w:val="0"/>
          <w:numId w:val="8"/>
        </w:numPr>
        <w:rPr>
          <w:rFonts w:eastAsia="Times New Roman" w:cs="Arial"/>
          <w:szCs w:val="24"/>
        </w:rPr>
      </w:pPr>
      <w:r w:rsidRPr="00DB4CDB">
        <w:rPr>
          <w:rFonts w:eastAsia="Times New Roman" w:cs="Arial"/>
          <w:szCs w:val="24"/>
        </w:rPr>
        <w:t xml:space="preserve">The applicant will complete all data reporting requests to the CDE for </w:t>
      </w:r>
      <w:r w:rsidR="00356C55">
        <w:rPr>
          <w:rFonts w:eastAsia="Times New Roman" w:cs="Arial"/>
          <w:szCs w:val="24"/>
        </w:rPr>
        <w:t>STACS</w:t>
      </w:r>
      <w:r w:rsidR="002854F6" w:rsidRPr="00DB4CDB">
        <w:rPr>
          <w:rFonts w:eastAsia="Times New Roman" w:cs="Arial"/>
          <w:szCs w:val="24"/>
        </w:rPr>
        <w:t xml:space="preserve"> </w:t>
      </w:r>
      <w:r w:rsidR="003440A3" w:rsidRPr="00DB4CDB">
        <w:rPr>
          <w:rFonts w:eastAsia="Times New Roman" w:cs="Arial"/>
          <w:szCs w:val="24"/>
        </w:rPr>
        <w:t>participant</w:t>
      </w:r>
      <w:r w:rsidRPr="00DB4CDB">
        <w:rPr>
          <w:rFonts w:eastAsia="Times New Roman" w:cs="Arial"/>
          <w:szCs w:val="24"/>
        </w:rPr>
        <w:t xml:space="preserve"> data including, but not limited to, the following:</w:t>
      </w:r>
    </w:p>
    <w:p w14:paraId="0B9611BB" w14:textId="1E217991" w:rsidR="00137232" w:rsidRPr="00DB4CDB" w:rsidRDefault="003440A3" w:rsidP="00F17306">
      <w:pPr>
        <w:numPr>
          <w:ilvl w:val="1"/>
          <w:numId w:val="8"/>
        </w:numPr>
        <w:rPr>
          <w:rFonts w:eastAsia="Times New Roman" w:cs="Arial"/>
          <w:szCs w:val="24"/>
        </w:rPr>
      </w:pPr>
      <w:r w:rsidRPr="00DB4CDB">
        <w:rPr>
          <w:rFonts w:eastAsia="Times New Roman" w:cs="Arial"/>
          <w:szCs w:val="24"/>
        </w:rPr>
        <w:t xml:space="preserve">List of all attendees at </w:t>
      </w:r>
      <w:r w:rsidR="00356C55">
        <w:rPr>
          <w:rFonts w:eastAsia="Times New Roman" w:cs="Arial"/>
          <w:szCs w:val="24"/>
        </w:rPr>
        <w:t>best practices webinars and continuous improvement network meetings</w:t>
      </w:r>
    </w:p>
    <w:p w14:paraId="1732D7E0" w14:textId="68BE806D" w:rsidR="00137232" w:rsidRPr="001F20BE" w:rsidRDefault="003440A3" w:rsidP="00F17306">
      <w:pPr>
        <w:numPr>
          <w:ilvl w:val="1"/>
          <w:numId w:val="8"/>
        </w:numPr>
        <w:rPr>
          <w:rFonts w:eastAsia="Times New Roman" w:cs="Arial"/>
          <w:szCs w:val="24"/>
        </w:rPr>
      </w:pPr>
      <w:r w:rsidRPr="001F20BE">
        <w:rPr>
          <w:rFonts w:eastAsia="Times New Roman" w:cs="Arial"/>
          <w:szCs w:val="24"/>
        </w:rPr>
        <w:lastRenderedPageBreak/>
        <w:t xml:space="preserve">List of communications with </w:t>
      </w:r>
      <w:r w:rsidR="001F20BE" w:rsidRPr="001F20BE">
        <w:rPr>
          <w:rFonts w:eastAsia="Times New Roman" w:cs="Arial"/>
          <w:szCs w:val="24"/>
        </w:rPr>
        <w:t>BPW and CIN</w:t>
      </w:r>
      <w:r w:rsidRPr="001F20BE">
        <w:rPr>
          <w:rFonts w:eastAsia="Times New Roman" w:cs="Arial"/>
          <w:szCs w:val="24"/>
        </w:rPr>
        <w:t xml:space="preserve"> participants, including dates</w:t>
      </w:r>
      <w:r w:rsidR="00D036D3" w:rsidRPr="001F20BE">
        <w:rPr>
          <w:rFonts w:eastAsia="Times New Roman" w:cs="Arial"/>
          <w:szCs w:val="24"/>
        </w:rPr>
        <w:t xml:space="preserve"> and people</w:t>
      </w:r>
      <w:r w:rsidRPr="001F20BE">
        <w:rPr>
          <w:rFonts w:eastAsia="Times New Roman" w:cs="Arial"/>
          <w:szCs w:val="24"/>
        </w:rPr>
        <w:t xml:space="preserve"> contacted</w:t>
      </w:r>
    </w:p>
    <w:p w14:paraId="6135E21F" w14:textId="3A8E4476" w:rsidR="00614212" w:rsidRPr="00DB4CDB" w:rsidRDefault="00614212" w:rsidP="00F17306">
      <w:pPr>
        <w:numPr>
          <w:ilvl w:val="1"/>
          <w:numId w:val="8"/>
        </w:numPr>
        <w:rPr>
          <w:rFonts w:eastAsia="Times New Roman" w:cs="Arial"/>
          <w:szCs w:val="24"/>
        </w:rPr>
      </w:pPr>
      <w:r w:rsidRPr="00DB4CDB">
        <w:rPr>
          <w:rFonts w:eastAsia="Times New Roman" w:cs="Arial"/>
          <w:szCs w:val="24"/>
        </w:rPr>
        <w:t>Survey responses and feedback from subgrant activity participants</w:t>
      </w:r>
    </w:p>
    <w:p w14:paraId="149074E9" w14:textId="7EE534AF" w:rsidR="00137232" w:rsidRPr="00DB4CDB" w:rsidRDefault="00137232" w:rsidP="00F17306">
      <w:pPr>
        <w:numPr>
          <w:ilvl w:val="0"/>
          <w:numId w:val="8"/>
        </w:numPr>
        <w:rPr>
          <w:rFonts w:eastAsia="Times New Roman" w:cs="Arial"/>
          <w:szCs w:val="24"/>
        </w:rPr>
      </w:pPr>
      <w:r w:rsidRPr="00DB4CDB">
        <w:rPr>
          <w:rFonts w:eastAsia="Times New Roman" w:cs="Arial"/>
          <w:szCs w:val="24"/>
        </w:rPr>
        <w:t xml:space="preserve">The </w:t>
      </w:r>
      <w:r w:rsidR="00562882" w:rsidRPr="00DB4CDB">
        <w:rPr>
          <w:rFonts w:eastAsia="Times New Roman" w:cs="Arial"/>
          <w:szCs w:val="24"/>
        </w:rPr>
        <w:t>subgrant</w:t>
      </w:r>
      <w:r w:rsidR="00614212" w:rsidRPr="00DB4CDB">
        <w:rPr>
          <w:rFonts w:eastAsia="Times New Roman" w:cs="Arial"/>
          <w:szCs w:val="24"/>
        </w:rPr>
        <w:t>ee</w:t>
      </w:r>
      <w:r w:rsidRPr="00DB4CDB">
        <w:rPr>
          <w:rFonts w:eastAsia="Times New Roman" w:cs="Arial"/>
          <w:szCs w:val="24"/>
        </w:rPr>
        <w:t>’s name will be used in all communications.</w:t>
      </w:r>
    </w:p>
    <w:p w14:paraId="04E1BB88" w14:textId="1AFB07EF" w:rsidR="00137232" w:rsidRPr="00DB4CDB" w:rsidRDefault="004B7874" w:rsidP="00F17306">
      <w:pPr>
        <w:numPr>
          <w:ilvl w:val="0"/>
          <w:numId w:val="8"/>
        </w:numPr>
        <w:rPr>
          <w:rFonts w:eastAsia="Times New Roman" w:cs="Arial"/>
          <w:b/>
          <w:bCs/>
        </w:rPr>
      </w:pPr>
      <w:r w:rsidRPr="00DB4CDB">
        <w:rPr>
          <w:rFonts w:eastAsia="Times New Roman" w:cs="Arial"/>
        </w:rPr>
        <w:t>The applicant will r</w:t>
      </w:r>
      <w:r w:rsidR="00137232" w:rsidRPr="00DB4CDB">
        <w:rPr>
          <w:rFonts w:eastAsia="Times New Roman" w:cs="Arial"/>
        </w:rPr>
        <w:t xml:space="preserve">espond to any additional </w:t>
      </w:r>
      <w:r w:rsidR="009F1F67">
        <w:rPr>
          <w:rFonts w:eastAsia="Times New Roman" w:cs="Arial"/>
        </w:rPr>
        <w:t xml:space="preserve">inquiries, </w:t>
      </w:r>
      <w:r w:rsidR="00137232" w:rsidRPr="00DB4CDB">
        <w:rPr>
          <w:rFonts w:eastAsia="Times New Roman" w:cs="Arial"/>
        </w:rPr>
        <w:t>surveys</w:t>
      </w:r>
      <w:r w:rsidR="009F1F67">
        <w:rPr>
          <w:rFonts w:eastAsia="Times New Roman" w:cs="Arial"/>
        </w:rPr>
        <w:t>,</w:t>
      </w:r>
      <w:r w:rsidR="00137232" w:rsidRPr="00DB4CDB">
        <w:rPr>
          <w:rFonts w:eastAsia="Times New Roman" w:cs="Arial"/>
        </w:rPr>
        <w:t xml:space="preserve"> or other methods of data collection that may be required for the full subgrant period.</w:t>
      </w:r>
    </w:p>
    <w:p w14:paraId="62E3FC50" w14:textId="723F95C2" w:rsidR="00137232" w:rsidRPr="00DB4CDB" w:rsidRDefault="00137232" w:rsidP="00F17306">
      <w:pPr>
        <w:numPr>
          <w:ilvl w:val="0"/>
          <w:numId w:val="8"/>
        </w:numPr>
        <w:rPr>
          <w:rFonts w:eastAsia="Times New Roman" w:cs="Arial"/>
          <w:szCs w:val="24"/>
        </w:rPr>
      </w:pPr>
      <w:r w:rsidRPr="00DB4CDB">
        <w:rPr>
          <w:rFonts w:eastAsia="Times New Roman" w:cs="Arial"/>
          <w:szCs w:val="24"/>
        </w:rPr>
        <w:t xml:space="preserve">The applicant will cooperate with the </w:t>
      </w:r>
      <w:r w:rsidR="003440A3" w:rsidRPr="00DB4CDB">
        <w:rPr>
          <w:rFonts w:eastAsia="Times New Roman" w:cs="Arial"/>
          <w:szCs w:val="24"/>
        </w:rPr>
        <w:t>ED</w:t>
      </w:r>
      <w:r w:rsidRPr="00DB4CDB">
        <w:rPr>
          <w:rFonts w:eastAsia="Times New Roman" w:cs="Arial"/>
          <w:szCs w:val="24"/>
        </w:rPr>
        <w:t xml:space="preserve"> and </w:t>
      </w:r>
      <w:r w:rsidR="00D036D3" w:rsidRPr="00DB4CDB">
        <w:rPr>
          <w:rFonts w:eastAsia="Times New Roman" w:cs="Arial"/>
          <w:szCs w:val="24"/>
        </w:rPr>
        <w:t xml:space="preserve">the </w:t>
      </w:r>
      <w:r w:rsidRPr="00DB4CDB">
        <w:rPr>
          <w:rFonts w:eastAsia="Times New Roman" w:cs="Arial"/>
          <w:szCs w:val="24"/>
        </w:rPr>
        <w:t xml:space="preserve">CDE in evaluating the </w:t>
      </w:r>
      <w:r w:rsidR="00562882" w:rsidRPr="00DB4CDB">
        <w:rPr>
          <w:rFonts w:eastAsia="Times New Roman" w:cs="Arial"/>
          <w:szCs w:val="24"/>
        </w:rPr>
        <w:t>subgrant</w:t>
      </w:r>
      <w:r w:rsidRPr="00DB4CDB">
        <w:rPr>
          <w:rFonts w:eastAsia="Times New Roman" w:cs="Arial"/>
          <w:szCs w:val="24"/>
        </w:rPr>
        <w:t xml:space="preserve"> program.</w:t>
      </w:r>
    </w:p>
    <w:p w14:paraId="5F5373D5" w14:textId="77777777" w:rsidR="00137232" w:rsidRPr="00DB4CDB" w:rsidRDefault="00137232" w:rsidP="003B30DC">
      <w:pPr>
        <w:pStyle w:val="Heading4"/>
      </w:pPr>
      <w:bookmarkStart w:id="80" w:name="_Toc77310258"/>
      <w:bookmarkStart w:id="81" w:name="_Toc77335628"/>
      <w:bookmarkStart w:id="82" w:name="_Toc92803897"/>
      <w:r w:rsidRPr="00DB4CDB">
        <w:t>Federal and State Regulations</w:t>
      </w:r>
      <w:bookmarkEnd w:id="80"/>
      <w:bookmarkEnd w:id="81"/>
      <w:bookmarkEnd w:id="82"/>
    </w:p>
    <w:p w14:paraId="1F8FAC5D" w14:textId="52247445" w:rsidR="00137232" w:rsidRPr="00DB4CDB" w:rsidRDefault="00137232" w:rsidP="00F17306">
      <w:pPr>
        <w:numPr>
          <w:ilvl w:val="0"/>
          <w:numId w:val="8"/>
        </w:numPr>
        <w:rPr>
          <w:rFonts w:eastAsia="Times New Roman" w:cs="Arial"/>
          <w:szCs w:val="24"/>
        </w:rPr>
      </w:pPr>
      <w:r w:rsidRPr="00DB4CDB">
        <w:rPr>
          <w:rFonts w:eastAsia="Times New Roman" w:cs="Arial"/>
          <w:szCs w:val="24"/>
        </w:rPr>
        <w:t>All audits of financial statements will be conducted in accordance with Government Auditing Standards and with policies, procedures, and guidelines established by the EDGAR, Single Audit Act Amendments, and O</w:t>
      </w:r>
      <w:r w:rsidR="00D036D3" w:rsidRPr="00DB4CDB">
        <w:rPr>
          <w:rFonts w:eastAsia="Times New Roman" w:cs="Arial"/>
          <w:szCs w:val="24"/>
        </w:rPr>
        <w:t>ffice of Management and Budget (O</w:t>
      </w:r>
      <w:r w:rsidRPr="00DB4CDB">
        <w:rPr>
          <w:rFonts w:eastAsia="Times New Roman" w:cs="Arial"/>
          <w:szCs w:val="24"/>
        </w:rPr>
        <w:t>MB</w:t>
      </w:r>
      <w:r w:rsidR="00D036D3" w:rsidRPr="00DB4CDB">
        <w:rPr>
          <w:rFonts w:eastAsia="Times New Roman" w:cs="Arial"/>
          <w:szCs w:val="24"/>
        </w:rPr>
        <w:t>)</w:t>
      </w:r>
      <w:r w:rsidRPr="00DB4CDB">
        <w:rPr>
          <w:rFonts w:eastAsia="Times New Roman" w:cs="Arial"/>
          <w:szCs w:val="24"/>
        </w:rPr>
        <w:t xml:space="preserve"> Circular A-133.</w:t>
      </w:r>
    </w:p>
    <w:p w14:paraId="42C75EE6" w14:textId="0C612D50" w:rsidR="0069076E" w:rsidRPr="00DB4CDB" w:rsidRDefault="0069076E" w:rsidP="00F17306">
      <w:pPr>
        <w:numPr>
          <w:ilvl w:val="0"/>
          <w:numId w:val="8"/>
        </w:numPr>
        <w:rPr>
          <w:rFonts w:eastAsia="Times New Roman" w:cs="Arial"/>
          <w:szCs w:val="24"/>
        </w:rPr>
      </w:pPr>
      <w:r w:rsidRPr="00DB4CDB">
        <w:t>Federal regulations require subgrant recipients to establish written standards pursuant to employee conflicts of interest in awarding contracts, and written standards for resolution of any protests or disputes that arise from procurements. Regulations also provide numerous requirements in the procurement process, specifically designed to ensure proper use of public funds in an open and freely competitive environment. Procurements that are not negotiated in accordance with federal regulations will be disallowed.</w:t>
      </w:r>
    </w:p>
    <w:p w14:paraId="65D43A88" w14:textId="2842D94E" w:rsidR="00137232" w:rsidRPr="00DB4CDB" w:rsidRDefault="00137232" w:rsidP="00F17306">
      <w:pPr>
        <w:numPr>
          <w:ilvl w:val="0"/>
          <w:numId w:val="8"/>
        </w:numPr>
        <w:rPr>
          <w:rFonts w:eastAsia="Times New Roman" w:cs="Arial"/>
        </w:rPr>
      </w:pPr>
      <w:r w:rsidRPr="00DB4CDB">
        <w:rPr>
          <w:rFonts w:eastAsia="Times New Roman" w:cs="Arial"/>
        </w:rPr>
        <w:t xml:space="preserve">The non-Federal entity or applicant for a Federal award must disclose in a timely manner, in writing to the CDE, all violations of Federal criminal law involving fraud, bribery, or gratuity violations potentially affecting the Federal award. Failure to make required disclosures can result in any of the remedies described in Remedies for Noncompliance 2 </w:t>
      </w:r>
      <w:r w:rsidRPr="00DB4CDB">
        <w:rPr>
          <w:rFonts w:eastAsia="Times New Roman" w:cs="Arial"/>
          <w:i/>
          <w:iCs/>
        </w:rPr>
        <w:t>CFR</w:t>
      </w:r>
      <w:r w:rsidRPr="00DB4CDB">
        <w:rPr>
          <w:rFonts w:eastAsia="Times New Roman" w:cs="Arial"/>
        </w:rPr>
        <w:t xml:space="preserve"> </w:t>
      </w:r>
      <w:r w:rsidR="00AA3DB5">
        <w:rPr>
          <w:rFonts w:eastAsia="Times New Roman" w:cs="Arial"/>
        </w:rPr>
        <w:t>S</w:t>
      </w:r>
      <w:r w:rsidR="00BE58CA">
        <w:rPr>
          <w:rFonts w:eastAsia="Times New Roman" w:cs="Arial"/>
        </w:rPr>
        <w:t xml:space="preserve">ection </w:t>
      </w:r>
      <w:r w:rsidRPr="00DB4CDB">
        <w:rPr>
          <w:rFonts w:eastAsia="Times New Roman" w:cs="Arial"/>
        </w:rPr>
        <w:t>200.338.</w:t>
      </w:r>
    </w:p>
    <w:p w14:paraId="4EDD5940" w14:textId="07141707" w:rsidR="00740058" w:rsidRPr="00DB4CDB" w:rsidRDefault="00137232" w:rsidP="00F17306">
      <w:pPr>
        <w:numPr>
          <w:ilvl w:val="0"/>
          <w:numId w:val="10"/>
        </w:numPr>
        <w:rPr>
          <w:rFonts w:eastAsia="Times New Roman" w:cs="Arial"/>
          <w:szCs w:val="24"/>
        </w:rPr>
      </w:pPr>
      <w:r w:rsidRPr="00DB4CDB">
        <w:rPr>
          <w:rFonts w:eastAsia="Times New Roman" w:cs="Arial"/>
          <w:szCs w:val="24"/>
        </w:rPr>
        <w:t xml:space="preserve">For all </w:t>
      </w:r>
      <w:r w:rsidR="00562882" w:rsidRPr="00DB4CDB">
        <w:rPr>
          <w:rFonts w:eastAsia="Times New Roman" w:cs="Arial"/>
          <w:szCs w:val="24"/>
        </w:rPr>
        <w:t>subgrant</w:t>
      </w:r>
      <w:r w:rsidRPr="00DB4CDB">
        <w:rPr>
          <w:rFonts w:eastAsia="Times New Roman" w:cs="Arial"/>
          <w:szCs w:val="24"/>
        </w:rPr>
        <w:t xml:space="preserve"> recipients, the following documents must be on file at their business offices:</w:t>
      </w:r>
      <w:r w:rsidR="006E62FA" w:rsidRPr="00DB4CDB">
        <w:rPr>
          <w:rFonts w:eastAsia="Times New Roman" w:cs="Arial"/>
          <w:szCs w:val="24"/>
        </w:rPr>
        <w:t xml:space="preserve"> </w:t>
      </w:r>
    </w:p>
    <w:p w14:paraId="52911FAE" w14:textId="40605DAD" w:rsidR="007A7800" w:rsidRPr="00DB4CDB" w:rsidRDefault="00137232" w:rsidP="00F17306">
      <w:pPr>
        <w:numPr>
          <w:ilvl w:val="1"/>
          <w:numId w:val="10"/>
        </w:numPr>
        <w:rPr>
          <w:rFonts w:eastAsia="Times New Roman" w:cs="Arial"/>
          <w:szCs w:val="24"/>
        </w:rPr>
      </w:pPr>
      <w:r w:rsidRPr="00DB4CDB">
        <w:rPr>
          <w:rFonts w:eastAsia="Times New Roman" w:cs="Arial"/>
          <w:szCs w:val="24"/>
        </w:rPr>
        <w:t>A copy of this RFA and the general assurances and certifications, as well as other relevant materials that are referred to but not included within the RFA. This information is subject to review and verification by CDE staff.</w:t>
      </w:r>
    </w:p>
    <w:p w14:paraId="247939B8" w14:textId="06DE0CC9" w:rsidR="00137232" w:rsidRPr="00DB4CDB" w:rsidRDefault="00137232" w:rsidP="003B30DC">
      <w:pPr>
        <w:pStyle w:val="Heading4"/>
      </w:pPr>
      <w:bookmarkStart w:id="83" w:name="_Toc77310259"/>
      <w:bookmarkStart w:id="84" w:name="_Toc77335629"/>
      <w:bookmarkStart w:id="85" w:name="_Toc92803898"/>
      <w:r w:rsidRPr="00DB4CDB">
        <w:t>Specific Sub</w:t>
      </w:r>
      <w:r w:rsidR="00747770">
        <w:t>g</w:t>
      </w:r>
      <w:r w:rsidRPr="00DB4CDB">
        <w:t>rant Conditions</w:t>
      </w:r>
      <w:bookmarkEnd w:id="83"/>
      <w:bookmarkEnd w:id="84"/>
      <w:bookmarkEnd w:id="85"/>
    </w:p>
    <w:p w14:paraId="54949AFF" w14:textId="317C771D" w:rsidR="009F1F67" w:rsidRDefault="009F1F67" w:rsidP="009F1F67">
      <w:pPr>
        <w:numPr>
          <w:ilvl w:val="0"/>
          <w:numId w:val="9"/>
        </w:numPr>
      </w:pPr>
      <w:r w:rsidRPr="00CE00C3">
        <w:t xml:space="preserve">Will fulfill all application requirements to meet all statutory and regulatory requirements, including the requirements in Section 4303(f)(1)(C)(i) of the ESEA and Application Requirement (a)(3)(ii) (information that must be included in subgrant applications) in the Notice Inviting Applications for New Awards under the CSP </w:t>
      </w:r>
      <w:r w:rsidRPr="00CE00C3">
        <w:lastRenderedPageBreak/>
        <w:t>S</w:t>
      </w:r>
      <w:r w:rsidR="00FB571E">
        <w:t>tate Entities</w:t>
      </w:r>
      <w:r w:rsidRPr="00CE00C3">
        <w:t xml:space="preserve"> program that was published in the Federal Register </w:t>
      </w:r>
      <w:r w:rsidR="00173C61">
        <w:t xml:space="preserve">(FR) </w:t>
      </w:r>
      <w:r w:rsidRPr="00CE00C3">
        <w:t xml:space="preserve">on April 24, 2024 (89 FR 31172). </w:t>
      </w:r>
    </w:p>
    <w:p w14:paraId="43FCFECE" w14:textId="3883F522" w:rsidR="009F1F67" w:rsidRPr="00CE00C3" w:rsidRDefault="009F1F67" w:rsidP="009F1F67">
      <w:pPr>
        <w:numPr>
          <w:ilvl w:val="0"/>
          <w:numId w:val="9"/>
        </w:numPr>
      </w:pPr>
      <w:r w:rsidRPr="00CE00C3">
        <w:t xml:space="preserve">If charging for indirect costs, will follow all guidance provided at </w:t>
      </w:r>
      <w:hyperlink r:id="rId26">
        <w:r>
          <w:rPr>
            <w:rStyle w:val="Hyperlink"/>
          </w:rPr>
          <w:t>Indirect Cost Rates</w:t>
        </w:r>
      </w:hyperlink>
      <w:r>
        <w:t xml:space="preserve"> a</w:t>
      </w:r>
      <w:r w:rsidRPr="00CE00C3">
        <w:t xml:space="preserve">s well as 34 CFR 75.560(d)(a), 34 CFR 75.561(b), and any other state or federal statute, regulations, or interagency agreements. </w:t>
      </w:r>
    </w:p>
    <w:p w14:paraId="1DA33BFB" w14:textId="28C42D87" w:rsidR="00137232" w:rsidRPr="00DB4CDB" w:rsidRDefault="00137232" w:rsidP="00F17306">
      <w:pPr>
        <w:numPr>
          <w:ilvl w:val="0"/>
          <w:numId w:val="9"/>
        </w:numPr>
        <w:rPr>
          <w:rFonts w:eastAsia="Times New Roman" w:cs="Arial"/>
          <w:szCs w:val="24"/>
        </w:rPr>
      </w:pPr>
      <w:r w:rsidRPr="00DB4CDB">
        <w:rPr>
          <w:rFonts w:eastAsia="Times New Roman" w:cs="Arial"/>
          <w:szCs w:val="24"/>
        </w:rPr>
        <w:t xml:space="preserve">Auditable records will be maintained on file for five years following the </w:t>
      </w:r>
      <w:r w:rsidR="00562882" w:rsidRPr="00DB4CDB">
        <w:rPr>
          <w:rFonts w:eastAsia="Times New Roman" w:cs="Arial"/>
          <w:szCs w:val="24"/>
        </w:rPr>
        <w:t>subgrant</w:t>
      </w:r>
      <w:r w:rsidRPr="00DB4CDB">
        <w:rPr>
          <w:rFonts w:eastAsia="Times New Roman" w:cs="Arial"/>
          <w:szCs w:val="24"/>
        </w:rPr>
        <w:t xml:space="preserve"> closing date.</w:t>
      </w:r>
    </w:p>
    <w:p w14:paraId="1A40BE03" w14:textId="4085F38F" w:rsidR="00137232" w:rsidRPr="00DB4CDB" w:rsidRDefault="00137232" w:rsidP="00F17306">
      <w:pPr>
        <w:widowControl w:val="0"/>
        <w:numPr>
          <w:ilvl w:val="0"/>
          <w:numId w:val="9"/>
        </w:numPr>
        <w:tabs>
          <w:tab w:val="left" w:pos="820"/>
        </w:tabs>
        <w:kinsoku w:val="0"/>
        <w:overflowPunct w:val="0"/>
        <w:autoSpaceDE w:val="0"/>
        <w:autoSpaceDN w:val="0"/>
        <w:adjustRightInd w:val="0"/>
        <w:ind w:right="164"/>
        <w:rPr>
          <w:rFonts w:eastAsia="Times New Roman" w:cs="Arial"/>
          <w:color w:val="000000"/>
          <w:spacing w:val="-1"/>
          <w:szCs w:val="24"/>
        </w:rPr>
      </w:pPr>
      <w:r w:rsidRPr="00DB4CDB">
        <w:rPr>
          <w:rFonts w:eastAsia="Times New Roman" w:cs="Arial"/>
          <w:spacing w:val="-1"/>
          <w:szCs w:val="24"/>
        </w:rPr>
        <w:t>All</w:t>
      </w:r>
      <w:r w:rsidRPr="00DB4CDB">
        <w:rPr>
          <w:rFonts w:eastAsia="Times New Roman" w:cs="Arial"/>
          <w:szCs w:val="24"/>
        </w:rPr>
        <w:t xml:space="preserve"> </w:t>
      </w:r>
      <w:r w:rsidRPr="00DB4CDB">
        <w:rPr>
          <w:rFonts w:eastAsia="Times New Roman" w:cs="Arial"/>
          <w:spacing w:val="-1"/>
          <w:szCs w:val="24"/>
        </w:rPr>
        <w:t>non-</w:t>
      </w:r>
      <w:r w:rsidR="00D036D3" w:rsidRPr="00DB4CDB">
        <w:rPr>
          <w:rFonts w:eastAsia="Times New Roman" w:cs="Arial"/>
          <w:spacing w:val="-1"/>
          <w:szCs w:val="24"/>
        </w:rPr>
        <w:t>F</w:t>
      </w:r>
      <w:r w:rsidRPr="00DB4CDB">
        <w:rPr>
          <w:rFonts w:eastAsia="Times New Roman" w:cs="Arial"/>
          <w:spacing w:val="-1"/>
          <w:szCs w:val="24"/>
        </w:rPr>
        <w:t>ederal</w:t>
      </w:r>
      <w:r w:rsidRPr="00DB4CDB">
        <w:rPr>
          <w:rFonts w:eastAsia="Times New Roman" w:cs="Arial"/>
          <w:spacing w:val="-3"/>
          <w:szCs w:val="24"/>
        </w:rPr>
        <w:t xml:space="preserve"> </w:t>
      </w:r>
      <w:r w:rsidRPr="00DB4CDB">
        <w:rPr>
          <w:rFonts w:eastAsia="Times New Roman" w:cs="Arial"/>
          <w:spacing w:val="-1"/>
          <w:szCs w:val="24"/>
        </w:rPr>
        <w:t>entities</w:t>
      </w:r>
      <w:r w:rsidRPr="00DB4CDB">
        <w:rPr>
          <w:rFonts w:eastAsia="Times New Roman" w:cs="Arial"/>
          <w:spacing w:val="-5"/>
          <w:szCs w:val="24"/>
        </w:rPr>
        <w:t xml:space="preserve"> </w:t>
      </w:r>
      <w:r w:rsidRPr="00DB4CDB">
        <w:rPr>
          <w:rFonts w:eastAsia="Times New Roman" w:cs="Arial"/>
          <w:spacing w:val="-1"/>
          <w:szCs w:val="24"/>
        </w:rPr>
        <w:t>expending $750,000</w:t>
      </w:r>
      <w:r w:rsidRPr="00DB4CDB">
        <w:rPr>
          <w:rFonts w:eastAsia="Times New Roman" w:cs="Arial"/>
          <w:spacing w:val="1"/>
          <w:szCs w:val="24"/>
        </w:rPr>
        <w:t xml:space="preserve"> </w:t>
      </w:r>
      <w:r w:rsidRPr="00DB4CDB">
        <w:rPr>
          <w:rFonts w:eastAsia="Times New Roman" w:cs="Arial"/>
          <w:szCs w:val="24"/>
        </w:rPr>
        <w:t>or</w:t>
      </w:r>
      <w:r w:rsidRPr="00DB4CDB">
        <w:rPr>
          <w:rFonts w:eastAsia="Times New Roman" w:cs="Arial"/>
          <w:spacing w:val="-3"/>
          <w:szCs w:val="24"/>
        </w:rPr>
        <w:t xml:space="preserve"> </w:t>
      </w:r>
      <w:r w:rsidRPr="00DB4CDB">
        <w:rPr>
          <w:rFonts w:eastAsia="Times New Roman" w:cs="Arial"/>
          <w:szCs w:val="24"/>
        </w:rPr>
        <w:t>more</w:t>
      </w:r>
      <w:r w:rsidRPr="00DB4CDB">
        <w:rPr>
          <w:rFonts w:eastAsia="Times New Roman" w:cs="Arial"/>
          <w:spacing w:val="-1"/>
          <w:szCs w:val="24"/>
        </w:rPr>
        <w:t xml:space="preserve"> in</w:t>
      </w:r>
      <w:r w:rsidRPr="00DB4CDB">
        <w:rPr>
          <w:rFonts w:eastAsia="Times New Roman" w:cs="Arial"/>
          <w:spacing w:val="1"/>
          <w:szCs w:val="24"/>
        </w:rPr>
        <w:t xml:space="preserve"> </w:t>
      </w:r>
      <w:r w:rsidRPr="00DB4CDB">
        <w:rPr>
          <w:rFonts w:eastAsia="Times New Roman" w:cs="Arial"/>
          <w:spacing w:val="-1"/>
          <w:szCs w:val="24"/>
        </w:rPr>
        <w:t>combined</w:t>
      </w:r>
      <w:r w:rsidRPr="00DB4CDB">
        <w:rPr>
          <w:rFonts w:eastAsia="Times New Roman" w:cs="Arial"/>
          <w:spacing w:val="-4"/>
          <w:szCs w:val="24"/>
        </w:rPr>
        <w:t xml:space="preserve"> </w:t>
      </w:r>
      <w:r w:rsidRPr="00DB4CDB">
        <w:rPr>
          <w:rFonts w:eastAsia="Times New Roman" w:cs="Arial"/>
          <w:spacing w:val="-1"/>
          <w:szCs w:val="24"/>
        </w:rPr>
        <w:t>federal</w:t>
      </w:r>
      <w:r w:rsidRPr="00DB4CDB">
        <w:rPr>
          <w:rFonts w:eastAsia="Times New Roman" w:cs="Arial"/>
          <w:spacing w:val="-3"/>
          <w:szCs w:val="24"/>
        </w:rPr>
        <w:t xml:space="preserve"> </w:t>
      </w:r>
      <w:r w:rsidRPr="00DB4CDB">
        <w:rPr>
          <w:rFonts w:eastAsia="Times New Roman" w:cs="Arial"/>
          <w:szCs w:val="24"/>
        </w:rPr>
        <w:t>funds</w:t>
      </w:r>
      <w:r w:rsidRPr="00DB4CDB">
        <w:rPr>
          <w:rFonts w:eastAsia="Times New Roman" w:cs="Arial"/>
          <w:spacing w:val="61"/>
          <w:szCs w:val="24"/>
        </w:rPr>
        <w:t xml:space="preserve"> </w:t>
      </w:r>
      <w:r w:rsidRPr="00DB4CDB">
        <w:rPr>
          <w:rFonts w:eastAsia="Times New Roman" w:cs="Arial"/>
          <w:spacing w:val="-1"/>
          <w:szCs w:val="24"/>
        </w:rPr>
        <w:t>(e.g.,</w:t>
      </w:r>
      <w:r w:rsidRPr="00DB4CDB">
        <w:rPr>
          <w:rFonts w:eastAsia="Times New Roman" w:cs="Arial"/>
          <w:szCs w:val="24"/>
        </w:rPr>
        <w:t xml:space="preserve"> </w:t>
      </w:r>
      <w:r w:rsidRPr="00DB4CDB">
        <w:rPr>
          <w:rFonts w:eastAsia="Times New Roman" w:cs="Arial"/>
          <w:spacing w:val="-1"/>
          <w:szCs w:val="24"/>
        </w:rPr>
        <w:t>PCSGP</w:t>
      </w:r>
      <w:r w:rsidRPr="00DB4CDB">
        <w:rPr>
          <w:rFonts w:eastAsia="Times New Roman" w:cs="Arial"/>
          <w:spacing w:val="-2"/>
          <w:szCs w:val="24"/>
        </w:rPr>
        <w:t xml:space="preserve"> </w:t>
      </w:r>
      <w:r w:rsidRPr="00DB4CDB">
        <w:rPr>
          <w:rFonts w:eastAsia="Times New Roman" w:cs="Arial"/>
          <w:spacing w:val="-1"/>
          <w:szCs w:val="24"/>
        </w:rPr>
        <w:t xml:space="preserve">and </w:t>
      </w:r>
      <w:r w:rsidRPr="00DB4CDB">
        <w:rPr>
          <w:rFonts w:eastAsia="Times New Roman" w:cs="Arial"/>
          <w:szCs w:val="24"/>
        </w:rPr>
        <w:t>Title</w:t>
      </w:r>
      <w:r w:rsidRPr="00DB4CDB">
        <w:rPr>
          <w:rFonts w:eastAsia="Times New Roman" w:cs="Arial"/>
          <w:spacing w:val="-1"/>
          <w:szCs w:val="24"/>
        </w:rPr>
        <w:t xml:space="preserve"> </w:t>
      </w:r>
      <w:r w:rsidRPr="00DB4CDB">
        <w:rPr>
          <w:rFonts w:eastAsia="Times New Roman" w:cs="Arial"/>
          <w:szCs w:val="24"/>
        </w:rPr>
        <w:t>I</w:t>
      </w:r>
      <w:r w:rsidRPr="00DB4CDB">
        <w:rPr>
          <w:rFonts w:eastAsia="Times New Roman" w:cs="Arial"/>
          <w:spacing w:val="-2"/>
          <w:szCs w:val="24"/>
        </w:rPr>
        <w:t xml:space="preserve"> </w:t>
      </w:r>
      <w:r w:rsidRPr="00DB4CDB">
        <w:rPr>
          <w:rFonts w:eastAsia="Times New Roman" w:cs="Arial"/>
          <w:szCs w:val="24"/>
        </w:rPr>
        <w:t>funds,</w:t>
      </w:r>
      <w:r w:rsidRPr="00DB4CDB">
        <w:rPr>
          <w:rFonts w:eastAsia="Times New Roman" w:cs="Arial"/>
          <w:spacing w:val="-2"/>
          <w:szCs w:val="24"/>
        </w:rPr>
        <w:t xml:space="preserve"> </w:t>
      </w:r>
      <w:r w:rsidRPr="00DB4CDB">
        <w:rPr>
          <w:rFonts w:eastAsia="Times New Roman" w:cs="Arial"/>
          <w:szCs w:val="24"/>
        </w:rPr>
        <w:t>or</w:t>
      </w:r>
      <w:r w:rsidRPr="00DB4CDB">
        <w:rPr>
          <w:rFonts w:eastAsia="Times New Roman" w:cs="Arial"/>
          <w:spacing w:val="-1"/>
          <w:szCs w:val="24"/>
        </w:rPr>
        <w:t xml:space="preserve"> American Recovery</w:t>
      </w:r>
      <w:r w:rsidRPr="00DB4CDB">
        <w:rPr>
          <w:rFonts w:eastAsia="Times New Roman" w:cs="Arial"/>
          <w:spacing w:val="-2"/>
          <w:szCs w:val="24"/>
        </w:rPr>
        <w:t xml:space="preserve"> </w:t>
      </w:r>
      <w:r w:rsidRPr="00DB4CDB">
        <w:rPr>
          <w:rFonts w:eastAsia="Times New Roman" w:cs="Arial"/>
          <w:szCs w:val="24"/>
        </w:rPr>
        <w:t>and</w:t>
      </w:r>
      <w:r w:rsidRPr="00DB4CDB">
        <w:rPr>
          <w:rFonts w:eastAsia="Times New Roman" w:cs="Arial"/>
          <w:spacing w:val="1"/>
          <w:szCs w:val="24"/>
        </w:rPr>
        <w:t xml:space="preserve"> </w:t>
      </w:r>
      <w:r w:rsidRPr="00DB4CDB">
        <w:rPr>
          <w:rFonts w:eastAsia="Times New Roman" w:cs="Arial"/>
          <w:spacing w:val="-1"/>
          <w:szCs w:val="24"/>
        </w:rPr>
        <w:t>Reinvestment</w:t>
      </w:r>
      <w:r w:rsidRPr="00DB4CDB">
        <w:rPr>
          <w:rFonts w:eastAsia="Times New Roman" w:cs="Arial"/>
          <w:szCs w:val="24"/>
        </w:rPr>
        <w:t xml:space="preserve"> Act</w:t>
      </w:r>
      <w:r w:rsidRPr="00DB4CDB">
        <w:rPr>
          <w:rFonts w:eastAsia="Times New Roman" w:cs="Arial"/>
          <w:spacing w:val="45"/>
          <w:szCs w:val="24"/>
        </w:rPr>
        <w:t xml:space="preserve"> </w:t>
      </w:r>
      <w:r w:rsidRPr="00DB4CDB">
        <w:rPr>
          <w:rFonts w:eastAsia="Times New Roman" w:cs="Arial"/>
          <w:spacing w:val="-1"/>
          <w:szCs w:val="24"/>
        </w:rPr>
        <w:t>[ARRA]</w:t>
      </w:r>
      <w:r w:rsidRPr="00DB4CDB">
        <w:rPr>
          <w:rFonts w:eastAsia="Times New Roman" w:cs="Arial"/>
          <w:spacing w:val="-2"/>
          <w:szCs w:val="24"/>
        </w:rPr>
        <w:t xml:space="preserve"> </w:t>
      </w:r>
      <w:r w:rsidRPr="00DB4CDB">
        <w:rPr>
          <w:rFonts w:eastAsia="Times New Roman" w:cs="Arial"/>
          <w:szCs w:val="24"/>
        </w:rPr>
        <w:t>funds)</w:t>
      </w:r>
      <w:r w:rsidRPr="00DB4CDB">
        <w:rPr>
          <w:rFonts w:eastAsia="Times New Roman" w:cs="Arial"/>
          <w:spacing w:val="-1"/>
          <w:szCs w:val="24"/>
        </w:rPr>
        <w:t xml:space="preserve"> in </w:t>
      </w:r>
      <w:r w:rsidRPr="00DB4CDB">
        <w:rPr>
          <w:rFonts w:eastAsia="Times New Roman" w:cs="Arial"/>
          <w:szCs w:val="24"/>
        </w:rPr>
        <w:t>a</w:t>
      </w:r>
      <w:r w:rsidRPr="00DB4CDB">
        <w:rPr>
          <w:rFonts w:eastAsia="Times New Roman" w:cs="Arial"/>
          <w:spacing w:val="1"/>
          <w:szCs w:val="24"/>
        </w:rPr>
        <w:t xml:space="preserve"> </w:t>
      </w:r>
      <w:r w:rsidRPr="00DB4CDB">
        <w:rPr>
          <w:rFonts w:eastAsia="Times New Roman" w:cs="Arial"/>
          <w:spacing w:val="-1"/>
          <w:szCs w:val="24"/>
        </w:rPr>
        <w:t>single</w:t>
      </w:r>
      <w:r w:rsidRPr="00DB4CDB">
        <w:rPr>
          <w:rFonts w:eastAsia="Times New Roman" w:cs="Arial"/>
          <w:spacing w:val="1"/>
          <w:szCs w:val="24"/>
        </w:rPr>
        <w:t xml:space="preserve"> </w:t>
      </w:r>
      <w:r w:rsidRPr="00DB4CDB">
        <w:rPr>
          <w:rFonts w:eastAsia="Times New Roman" w:cs="Arial"/>
          <w:spacing w:val="-1"/>
          <w:szCs w:val="24"/>
        </w:rPr>
        <w:t>year are</w:t>
      </w:r>
      <w:r w:rsidRPr="00DB4CDB">
        <w:rPr>
          <w:rFonts w:eastAsia="Times New Roman" w:cs="Arial"/>
          <w:spacing w:val="1"/>
          <w:szCs w:val="24"/>
        </w:rPr>
        <w:t xml:space="preserve"> </w:t>
      </w:r>
      <w:r w:rsidRPr="00DB4CDB">
        <w:rPr>
          <w:rFonts w:eastAsia="Times New Roman" w:cs="Arial"/>
          <w:spacing w:val="-1"/>
          <w:szCs w:val="24"/>
        </w:rPr>
        <w:t>required</w:t>
      </w:r>
      <w:r w:rsidRPr="00DB4CDB">
        <w:rPr>
          <w:rFonts w:eastAsia="Times New Roman" w:cs="Arial"/>
          <w:spacing w:val="1"/>
          <w:szCs w:val="24"/>
        </w:rPr>
        <w:t xml:space="preserve"> </w:t>
      </w:r>
      <w:r w:rsidRPr="00DB4CDB">
        <w:rPr>
          <w:rFonts w:eastAsia="Times New Roman" w:cs="Arial"/>
          <w:spacing w:val="-1"/>
          <w:szCs w:val="24"/>
        </w:rPr>
        <w:t>by</w:t>
      </w:r>
      <w:r w:rsidRPr="00DB4CDB">
        <w:rPr>
          <w:rFonts w:eastAsia="Times New Roman" w:cs="Arial"/>
          <w:spacing w:val="-2"/>
          <w:szCs w:val="24"/>
        </w:rPr>
        <w:t xml:space="preserve"> </w:t>
      </w:r>
      <w:r w:rsidRPr="00DB4CDB">
        <w:rPr>
          <w:rFonts w:eastAsia="Times New Roman" w:cs="Arial"/>
          <w:spacing w:val="-1"/>
          <w:szCs w:val="24"/>
        </w:rPr>
        <w:t>federal</w:t>
      </w:r>
      <w:r w:rsidRPr="00DB4CDB">
        <w:rPr>
          <w:rFonts w:eastAsia="Times New Roman" w:cs="Arial"/>
          <w:szCs w:val="24"/>
        </w:rPr>
        <w:t xml:space="preserve"> </w:t>
      </w:r>
      <w:r w:rsidRPr="00DB4CDB">
        <w:rPr>
          <w:rFonts w:eastAsia="Times New Roman" w:cs="Arial"/>
          <w:spacing w:val="-1"/>
          <w:szCs w:val="24"/>
        </w:rPr>
        <w:t>law</w:t>
      </w:r>
      <w:r w:rsidRPr="00DB4CDB">
        <w:rPr>
          <w:rFonts w:eastAsia="Times New Roman" w:cs="Arial"/>
          <w:spacing w:val="-3"/>
          <w:szCs w:val="24"/>
        </w:rPr>
        <w:t xml:space="preserve"> </w:t>
      </w:r>
      <w:r w:rsidRPr="00DB4CDB">
        <w:rPr>
          <w:rFonts w:eastAsia="Times New Roman" w:cs="Arial"/>
          <w:szCs w:val="24"/>
        </w:rPr>
        <w:t>to</w:t>
      </w:r>
      <w:r w:rsidRPr="00DB4CDB">
        <w:rPr>
          <w:rFonts w:eastAsia="Times New Roman" w:cs="Arial"/>
          <w:spacing w:val="1"/>
          <w:szCs w:val="24"/>
        </w:rPr>
        <w:t xml:space="preserve"> </w:t>
      </w:r>
      <w:r w:rsidRPr="00DB4CDB">
        <w:rPr>
          <w:rFonts w:eastAsia="Times New Roman" w:cs="Arial"/>
          <w:spacing w:val="-1"/>
          <w:szCs w:val="24"/>
        </w:rPr>
        <w:t xml:space="preserve">obtain </w:t>
      </w:r>
      <w:r w:rsidRPr="00DB4CDB">
        <w:rPr>
          <w:rFonts w:eastAsia="Times New Roman" w:cs="Arial"/>
          <w:szCs w:val="24"/>
        </w:rPr>
        <w:t>and</w:t>
      </w:r>
      <w:r w:rsidRPr="00DB4CDB">
        <w:rPr>
          <w:rFonts w:eastAsia="Times New Roman" w:cs="Arial"/>
          <w:spacing w:val="1"/>
          <w:szCs w:val="24"/>
        </w:rPr>
        <w:t xml:space="preserve"> </w:t>
      </w:r>
      <w:r w:rsidRPr="00DB4CDB">
        <w:rPr>
          <w:rFonts w:eastAsia="Times New Roman" w:cs="Arial"/>
          <w:spacing w:val="-1"/>
          <w:szCs w:val="24"/>
        </w:rPr>
        <w:t>submit</w:t>
      </w:r>
      <w:r w:rsidRPr="00DB4CDB">
        <w:rPr>
          <w:rFonts w:eastAsia="Times New Roman" w:cs="Arial"/>
          <w:szCs w:val="24"/>
        </w:rPr>
        <w:t xml:space="preserve"> a</w:t>
      </w:r>
      <w:r w:rsidRPr="00DB4CDB">
        <w:rPr>
          <w:rFonts w:eastAsia="Times New Roman" w:cs="Arial"/>
          <w:spacing w:val="47"/>
          <w:szCs w:val="24"/>
        </w:rPr>
        <w:t xml:space="preserve"> </w:t>
      </w:r>
      <w:r w:rsidRPr="00DB4CDB">
        <w:rPr>
          <w:rFonts w:eastAsia="Times New Roman" w:cs="Arial"/>
          <w:spacing w:val="-1"/>
          <w:szCs w:val="24"/>
        </w:rPr>
        <w:t>Single</w:t>
      </w:r>
      <w:r w:rsidRPr="00DB4CDB">
        <w:rPr>
          <w:rFonts w:eastAsia="Times New Roman" w:cs="Arial"/>
          <w:spacing w:val="1"/>
          <w:szCs w:val="24"/>
        </w:rPr>
        <w:t xml:space="preserve"> </w:t>
      </w:r>
      <w:r w:rsidRPr="00DB4CDB">
        <w:rPr>
          <w:rFonts w:eastAsia="Times New Roman" w:cs="Arial"/>
          <w:spacing w:val="-1"/>
          <w:szCs w:val="24"/>
        </w:rPr>
        <w:t>Audit</w:t>
      </w:r>
      <w:r w:rsidRPr="00DB4CDB">
        <w:rPr>
          <w:rFonts w:eastAsia="Times New Roman" w:cs="Arial"/>
          <w:spacing w:val="-2"/>
          <w:szCs w:val="24"/>
        </w:rPr>
        <w:t xml:space="preserve"> </w:t>
      </w:r>
      <w:r w:rsidRPr="00DB4CDB">
        <w:rPr>
          <w:rFonts w:eastAsia="Times New Roman" w:cs="Arial"/>
          <w:szCs w:val="24"/>
        </w:rPr>
        <w:t>to</w:t>
      </w:r>
      <w:r w:rsidRPr="00DB4CDB">
        <w:rPr>
          <w:rFonts w:eastAsia="Times New Roman" w:cs="Arial"/>
          <w:spacing w:val="-1"/>
          <w:szCs w:val="24"/>
        </w:rPr>
        <w:t xml:space="preserve"> </w:t>
      </w:r>
      <w:r w:rsidRPr="00DB4CDB">
        <w:rPr>
          <w:rFonts w:eastAsia="Times New Roman" w:cs="Arial"/>
          <w:szCs w:val="24"/>
        </w:rPr>
        <w:t>the</w:t>
      </w:r>
      <w:r w:rsidRPr="00DB4CDB">
        <w:rPr>
          <w:rFonts w:eastAsia="Times New Roman" w:cs="Arial"/>
          <w:spacing w:val="1"/>
          <w:szCs w:val="24"/>
        </w:rPr>
        <w:t xml:space="preserve"> </w:t>
      </w:r>
      <w:r w:rsidRPr="00DB4CDB">
        <w:rPr>
          <w:rFonts w:eastAsia="Times New Roman" w:cs="Arial"/>
          <w:spacing w:val="-1"/>
          <w:szCs w:val="24"/>
        </w:rPr>
        <w:t>Federal Audit</w:t>
      </w:r>
      <w:r w:rsidRPr="00DB4CDB">
        <w:rPr>
          <w:rFonts w:eastAsia="Times New Roman" w:cs="Arial"/>
          <w:szCs w:val="24"/>
        </w:rPr>
        <w:t xml:space="preserve"> </w:t>
      </w:r>
      <w:r w:rsidRPr="00DB4CDB">
        <w:rPr>
          <w:rFonts w:eastAsia="Times New Roman" w:cs="Arial"/>
          <w:spacing w:val="-1"/>
          <w:szCs w:val="24"/>
        </w:rPr>
        <w:t>Clearinghouse.</w:t>
      </w:r>
    </w:p>
    <w:p w14:paraId="40C64AE9" w14:textId="718CB24C" w:rsidR="00137232" w:rsidRPr="000C24D5" w:rsidRDefault="009F1F67" w:rsidP="00F17306">
      <w:pPr>
        <w:widowControl w:val="0"/>
        <w:numPr>
          <w:ilvl w:val="0"/>
          <w:numId w:val="9"/>
        </w:numPr>
        <w:tabs>
          <w:tab w:val="left" w:pos="820"/>
        </w:tabs>
        <w:kinsoku w:val="0"/>
        <w:overflowPunct w:val="0"/>
        <w:autoSpaceDE w:val="0"/>
        <w:autoSpaceDN w:val="0"/>
        <w:adjustRightInd w:val="0"/>
        <w:ind w:right="164"/>
        <w:rPr>
          <w:rFonts w:eastAsia="Times New Roman" w:cs="Arial"/>
          <w:color w:val="000000"/>
          <w:spacing w:val="-1"/>
          <w:szCs w:val="24"/>
        </w:rPr>
      </w:pPr>
      <w:r>
        <w:rPr>
          <w:rFonts w:eastAsia="Times New Roman" w:cs="Arial"/>
          <w:spacing w:val="-1"/>
          <w:szCs w:val="24"/>
        </w:rPr>
        <w:t>Subg</w:t>
      </w:r>
      <w:r w:rsidRPr="00DB4CDB">
        <w:rPr>
          <w:rFonts w:eastAsia="Times New Roman" w:cs="Arial"/>
          <w:spacing w:val="-1"/>
          <w:szCs w:val="24"/>
        </w:rPr>
        <w:t>rant</w:t>
      </w:r>
      <w:r w:rsidRPr="00DB4CDB">
        <w:rPr>
          <w:rFonts w:eastAsia="Times New Roman" w:cs="Arial"/>
          <w:szCs w:val="24"/>
        </w:rPr>
        <w:t xml:space="preserve"> </w:t>
      </w:r>
      <w:r w:rsidR="00137232" w:rsidRPr="00DB4CDB">
        <w:rPr>
          <w:rFonts w:eastAsia="Times New Roman" w:cs="Arial"/>
          <w:spacing w:val="-1"/>
          <w:szCs w:val="24"/>
        </w:rPr>
        <w:t>recipients</w:t>
      </w:r>
      <w:r w:rsidR="00137232" w:rsidRPr="00DB4CDB">
        <w:rPr>
          <w:rFonts w:eastAsia="Times New Roman" w:cs="Arial"/>
          <w:szCs w:val="24"/>
        </w:rPr>
        <w:t xml:space="preserve"> </w:t>
      </w:r>
      <w:r w:rsidR="00137232" w:rsidRPr="00DB4CDB">
        <w:rPr>
          <w:rFonts w:eastAsia="Times New Roman" w:cs="Arial"/>
          <w:spacing w:val="-2"/>
          <w:szCs w:val="24"/>
        </w:rPr>
        <w:t>will</w:t>
      </w:r>
      <w:r w:rsidR="00137232" w:rsidRPr="00DB4CDB">
        <w:rPr>
          <w:rFonts w:eastAsia="Times New Roman" w:cs="Arial"/>
          <w:szCs w:val="24"/>
        </w:rPr>
        <w:t xml:space="preserve"> access </w:t>
      </w:r>
      <w:r w:rsidR="00137232" w:rsidRPr="00DB4CDB">
        <w:rPr>
          <w:rFonts w:eastAsia="Times New Roman" w:cs="Arial"/>
          <w:spacing w:val="-1"/>
          <w:szCs w:val="24"/>
        </w:rPr>
        <w:t>the</w:t>
      </w:r>
      <w:r w:rsidR="00137232" w:rsidRPr="00DB4CDB">
        <w:rPr>
          <w:rFonts w:eastAsia="Times New Roman" w:cs="Arial"/>
          <w:spacing w:val="1"/>
          <w:szCs w:val="24"/>
        </w:rPr>
        <w:t xml:space="preserve"> </w:t>
      </w:r>
      <w:hyperlink r:id="rId27" w:history="1">
        <w:r w:rsidR="00137232" w:rsidRPr="007A0059">
          <w:rPr>
            <w:rStyle w:val="Hyperlink"/>
            <w:rFonts w:eastAsia="Times New Roman" w:cs="Arial"/>
            <w:spacing w:val="-1"/>
            <w:szCs w:val="24"/>
          </w:rPr>
          <w:t>Federal</w:t>
        </w:r>
        <w:r w:rsidR="00137232" w:rsidRPr="007A0059">
          <w:rPr>
            <w:rStyle w:val="Hyperlink"/>
            <w:rFonts w:eastAsia="Times New Roman" w:cs="Arial"/>
            <w:szCs w:val="24"/>
          </w:rPr>
          <w:t xml:space="preserve"> </w:t>
        </w:r>
        <w:r w:rsidR="00137232" w:rsidRPr="007A0059">
          <w:rPr>
            <w:rStyle w:val="Hyperlink"/>
            <w:rFonts w:eastAsia="Times New Roman" w:cs="Arial"/>
            <w:spacing w:val="-1"/>
            <w:szCs w:val="24"/>
          </w:rPr>
          <w:t>Audit</w:t>
        </w:r>
        <w:r w:rsidR="00137232" w:rsidRPr="007A0059">
          <w:rPr>
            <w:rStyle w:val="Hyperlink"/>
            <w:rFonts w:eastAsia="Times New Roman" w:cs="Arial"/>
            <w:spacing w:val="-2"/>
            <w:szCs w:val="24"/>
          </w:rPr>
          <w:t xml:space="preserve"> </w:t>
        </w:r>
        <w:r w:rsidR="00137232" w:rsidRPr="007A0059">
          <w:rPr>
            <w:rStyle w:val="Hyperlink"/>
            <w:rFonts w:eastAsia="Times New Roman" w:cs="Arial"/>
            <w:spacing w:val="-1"/>
            <w:szCs w:val="24"/>
          </w:rPr>
          <w:t>Clearinghouse</w:t>
        </w:r>
      </w:hyperlink>
      <w:r w:rsidR="00137232" w:rsidRPr="00DB4CDB">
        <w:rPr>
          <w:rFonts w:eastAsia="Times New Roman" w:cs="Arial"/>
          <w:spacing w:val="-6"/>
          <w:szCs w:val="24"/>
        </w:rPr>
        <w:t xml:space="preserve"> </w:t>
      </w:r>
      <w:r w:rsidR="0072048E" w:rsidRPr="00DB4CDB">
        <w:rPr>
          <w:rFonts w:eastAsia="Times New Roman" w:cs="Arial"/>
          <w:spacing w:val="2"/>
          <w:szCs w:val="24"/>
        </w:rPr>
        <w:t>w</w:t>
      </w:r>
      <w:r w:rsidR="00137232" w:rsidRPr="00DB4CDB">
        <w:rPr>
          <w:rFonts w:eastAsia="Times New Roman" w:cs="Arial"/>
          <w:spacing w:val="2"/>
          <w:szCs w:val="24"/>
        </w:rPr>
        <w:t>eb</w:t>
      </w:r>
      <w:r w:rsidR="00137232" w:rsidRPr="00DB4CDB">
        <w:rPr>
          <w:rFonts w:eastAsia="Times New Roman" w:cs="Arial"/>
          <w:spacing w:val="-1"/>
          <w:szCs w:val="24"/>
        </w:rPr>
        <w:t xml:space="preserve"> </w:t>
      </w:r>
      <w:r w:rsidR="0072048E" w:rsidRPr="00DB4CDB">
        <w:rPr>
          <w:rFonts w:eastAsia="Times New Roman" w:cs="Arial"/>
          <w:spacing w:val="-2"/>
          <w:szCs w:val="24"/>
        </w:rPr>
        <w:t>site</w:t>
      </w:r>
      <w:r w:rsidR="00137232" w:rsidRPr="00DB4CDB">
        <w:rPr>
          <w:rFonts w:eastAsia="Times New Roman" w:cs="Arial"/>
          <w:spacing w:val="1"/>
          <w:szCs w:val="24"/>
        </w:rPr>
        <w:t xml:space="preserve"> </w:t>
      </w:r>
      <w:r w:rsidR="00137232" w:rsidRPr="00DB4CDB">
        <w:rPr>
          <w:rFonts w:eastAsia="Times New Roman" w:cs="Arial"/>
          <w:szCs w:val="24"/>
        </w:rPr>
        <w:t>to</w:t>
      </w:r>
      <w:r w:rsidR="00137232" w:rsidRPr="00DB4CDB">
        <w:rPr>
          <w:rFonts w:eastAsia="Times New Roman" w:cs="Arial"/>
          <w:spacing w:val="1"/>
          <w:szCs w:val="24"/>
        </w:rPr>
        <w:t xml:space="preserve"> </w:t>
      </w:r>
      <w:r w:rsidR="00137232" w:rsidRPr="00DB4CDB">
        <w:rPr>
          <w:rFonts w:eastAsia="Times New Roman" w:cs="Arial"/>
          <w:spacing w:val="-1"/>
          <w:szCs w:val="24"/>
        </w:rPr>
        <w:t>submit</w:t>
      </w:r>
      <w:r w:rsidR="00137232" w:rsidRPr="00DB4CDB">
        <w:rPr>
          <w:rFonts w:eastAsia="Times New Roman" w:cs="Arial"/>
          <w:spacing w:val="63"/>
          <w:szCs w:val="24"/>
        </w:rPr>
        <w:t xml:space="preserve"> </w:t>
      </w:r>
      <w:r w:rsidR="00137232" w:rsidRPr="00DB4CDB">
        <w:rPr>
          <w:rFonts w:eastAsia="Times New Roman" w:cs="Arial"/>
          <w:spacing w:val="-1"/>
          <w:szCs w:val="24"/>
        </w:rPr>
        <w:t>their Single</w:t>
      </w:r>
      <w:r w:rsidR="00137232" w:rsidRPr="00DB4CDB">
        <w:rPr>
          <w:rFonts w:eastAsia="Times New Roman" w:cs="Arial"/>
          <w:spacing w:val="1"/>
          <w:szCs w:val="24"/>
        </w:rPr>
        <w:t xml:space="preserve"> </w:t>
      </w:r>
      <w:r w:rsidR="00137232" w:rsidRPr="00DB4CDB">
        <w:rPr>
          <w:rFonts w:eastAsia="Times New Roman" w:cs="Arial"/>
          <w:spacing w:val="-1"/>
          <w:szCs w:val="24"/>
        </w:rPr>
        <w:t>Audit.</w:t>
      </w:r>
      <w:r w:rsidR="00137232" w:rsidRPr="00DB4CDB">
        <w:rPr>
          <w:rFonts w:eastAsia="Times New Roman" w:cs="Arial"/>
          <w:spacing w:val="-2"/>
          <w:szCs w:val="24"/>
        </w:rPr>
        <w:t xml:space="preserve"> </w:t>
      </w:r>
    </w:p>
    <w:p w14:paraId="7701057A" w14:textId="25863256" w:rsidR="009F1F67" w:rsidRDefault="009F1F67" w:rsidP="009F1F67">
      <w:pPr>
        <w:pStyle w:val="ListParagraph"/>
        <w:numPr>
          <w:ilvl w:val="0"/>
          <w:numId w:val="9"/>
        </w:numPr>
        <w:spacing w:after="0"/>
      </w:pPr>
      <w:r w:rsidRPr="00CE00C3">
        <w:t>The subgrant recipient must meet all Federal Funding Accountability and Transparency Act requirements, including reporting of executive compensation if applicable, by completing the CDE Federal Funding Accountability and Transparency Act Sub-Award Reporting Form (CDE AO-FFATA-001 Form).</w:t>
      </w:r>
    </w:p>
    <w:p w14:paraId="361A8409" w14:textId="77777777" w:rsidR="009F1F67" w:rsidRPr="009F1F67" w:rsidRDefault="009F1F67" w:rsidP="009F1F67">
      <w:pPr>
        <w:spacing w:after="0"/>
      </w:pPr>
    </w:p>
    <w:p w14:paraId="7556A895" w14:textId="77777777" w:rsidR="00246D03" w:rsidRDefault="00246D03" w:rsidP="007F3003">
      <w:pPr>
        <w:pStyle w:val="Heading3"/>
      </w:pPr>
      <w:r w:rsidRPr="00CE00C3">
        <w:t>Primary Applicant Certification, Assurances, and Signature</w:t>
      </w:r>
    </w:p>
    <w:p w14:paraId="188E40C3" w14:textId="77777777" w:rsidR="00246D03" w:rsidRDefault="00246D03" w:rsidP="00246D03">
      <w:r>
        <w:t>I have read the applicable certifications, assurances, terms, and conditions and I agree that the subgrant applicant will comply with all requirements as a condition of funding. On behalf of the subgrant applicant, I certify that the organization intends that this and future transaction be completed by electronic means, and any electronic signature is intended to be as binding as a physical signature.</w:t>
      </w:r>
    </w:p>
    <w:p w14:paraId="24572A38" w14:textId="0C4E27B4" w:rsidR="00246D03" w:rsidRPr="000D0A46" w:rsidRDefault="00D67E8D" w:rsidP="00B477B2">
      <w:pPr>
        <w:pStyle w:val="TableHeader"/>
      </w:pPr>
      <w:r w:rsidRPr="00D67E8D">
        <w:t>Certification, Assurances, and Signature</w:t>
      </w:r>
    </w:p>
    <w:tbl>
      <w:tblPr>
        <w:tblStyle w:val="TableGrid"/>
        <w:tblW w:w="5000" w:type="pct"/>
        <w:tblLook w:val="04A0" w:firstRow="1" w:lastRow="0" w:firstColumn="1" w:lastColumn="0" w:noHBand="0" w:noVBand="1"/>
        <w:tblDescription w:val="Certification, Assurances, and Signature"/>
      </w:tblPr>
      <w:tblGrid>
        <w:gridCol w:w="3776"/>
        <w:gridCol w:w="5574"/>
      </w:tblGrid>
      <w:tr w:rsidR="00246D03" w:rsidRPr="00CE00C3" w14:paraId="1CEA9B82" w14:textId="77777777" w:rsidTr="00D67E8D">
        <w:trPr>
          <w:cantSplit/>
          <w:trHeight w:val="552"/>
          <w:tblHeader/>
        </w:trPr>
        <w:tc>
          <w:tcPr>
            <w:tcW w:w="2019" w:type="pct"/>
            <w:shd w:val="clear" w:color="auto" w:fill="BFBFBF" w:themeFill="background1" w:themeFillShade="BF"/>
            <w:vAlign w:val="center"/>
          </w:tcPr>
          <w:p w14:paraId="3EFB74B8" w14:textId="77777777" w:rsidR="00246D03" w:rsidRPr="00CE00C3" w:rsidRDefault="00246D03" w:rsidP="000B0695">
            <w:pPr>
              <w:jc w:val="center"/>
            </w:pPr>
            <w:r w:rsidRPr="00CE00C3">
              <w:rPr>
                <w:rFonts w:eastAsia="Arial"/>
                <w:b/>
              </w:rPr>
              <w:t>Required Information</w:t>
            </w:r>
          </w:p>
        </w:tc>
        <w:tc>
          <w:tcPr>
            <w:tcW w:w="2981" w:type="pct"/>
            <w:shd w:val="clear" w:color="auto" w:fill="BFBFBF" w:themeFill="background1" w:themeFillShade="BF"/>
            <w:vAlign w:val="center"/>
          </w:tcPr>
          <w:p w14:paraId="4FB99088" w14:textId="77777777" w:rsidR="00246D03" w:rsidRPr="00CE00C3" w:rsidRDefault="00246D03" w:rsidP="000B0695">
            <w:pPr>
              <w:jc w:val="center"/>
            </w:pPr>
            <w:r w:rsidRPr="00CE00C3">
              <w:rPr>
                <w:rFonts w:eastAsia="Arial"/>
                <w:b/>
              </w:rPr>
              <w:t>Certification Information</w:t>
            </w:r>
          </w:p>
        </w:tc>
      </w:tr>
      <w:tr w:rsidR="00246D03" w:rsidRPr="00CE00C3" w14:paraId="282827FC" w14:textId="77777777" w:rsidTr="00D67E8D">
        <w:trPr>
          <w:cantSplit/>
          <w:trHeight w:val="552"/>
        </w:trPr>
        <w:tc>
          <w:tcPr>
            <w:tcW w:w="2019" w:type="pct"/>
            <w:vAlign w:val="center"/>
          </w:tcPr>
          <w:p w14:paraId="6F5C857E" w14:textId="77777777" w:rsidR="00246D03" w:rsidRPr="00CE00C3" w:rsidRDefault="00246D03" w:rsidP="000B0695">
            <w:pPr>
              <w:spacing w:after="120"/>
            </w:pPr>
            <w:r w:rsidRPr="00CE00C3">
              <w:t>Name of Primary Applicant</w:t>
            </w:r>
          </w:p>
        </w:tc>
        <w:tc>
          <w:tcPr>
            <w:tcW w:w="2981" w:type="pct"/>
            <w:vAlign w:val="center"/>
          </w:tcPr>
          <w:p w14:paraId="4B7A269D" w14:textId="77777777" w:rsidR="00246D03" w:rsidRPr="00CE00C3" w:rsidRDefault="00246D03" w:rsidP="000B0695">
            <w:pPr>
              <w:spacing w:after="120"/>
            </w:pPr>
          </w:p>
        </w:tc>
      </w:tr>
      <w:tr w:rsidR="00246D03" w:rsidRPr="00CE00C3" w14:paraId="76C85351" w14:textId="77777777" w:rsidTr="00D67E8D">
        <w:trPr>
          <w:cantSplit/>
          <w:trHeight w:val="552"/>
        </w:trPr>
        <w:tc>
          <w:tcPr>
            <w:tcW w:w="2019" w:type="pct"/>
            <w:vAlign w:val="center"/>
          </w:tcPr>
          <w:p w14:paraId="2792A4F2" w14:textId="77777777" w:rsidR="00246D03" w:rsidRPr="00CE00C3" w:rsidRDefault="00246D03" w:rsidP="000B0695">
            <w:pPr>
              <w:spacing w:after="120"/>
            </w:pPr>
            <w:r w:rsidRPr="00CE00C3">
              <w:rPr>
                <w:rFonts w:eastAsia="Arial"/>
              </w:rPr>
              <w:t xml:space="preserve">Title of </w:t>
            </w:r>
            <w:r w:rsidRPr="00CE00C3">
              <w:t>Primary Applicant</w:t>
            </w:r>
          </w:p>
        </w:tc>
        <w:tc>
          <w:tcPr>
            <w:tcW w:w="2981" w:type="pct"/>
            <w:vAlign w:val="center"/>
          </w:tcPr>
          <w:p w14:paraId="3FCEACCF" w14:textId="77777777" w:rsidR="00246D03" w:rsidRPr="00CE00C3" w:rsidRDefault="00246D03" w:rsidP="000B0695">
            <w:pPr>
              <w:spacing w:after="120"/>
            </w:pPr>
          </w:p>
        </w:tc>
      </w:tr>
      <w:tr w:rsidR="00246D03" w:rsidRPr="00CE00C3" w14:paraId="5CC36DDB" w14:textId="77777777" w:rsidTr="00D67E8D">
        <w:trPr>
          <w:cantSplit/>
          <w:trHeight w:val="552"/>
        </w:trPr>
        <w:tc>
          <w:tcPr>
            <w:tcW w:w="2019" w:type="pct"/>
            <w:vAlign w:val="center"/>
          </w:tcPr>
          <w:p w14:paraId="7E314D9F" w14:textId="77777777" w:rsidR="00246D03" w:rsidRPr="00CE00C3" w:rsidRDefault="00246D03" w:rsidP="000B0695">
            <w:pPr>
              <w:spacing w:after="120"/>
            </w:pPr>
            <w:r w:rsidRPr="00CE00C3">
              <w:t>Date</w:t>
            </w:r>
          </w:p>
        </w:tc>
        <w:tc>
          <w:tcPr>
            <w:tcW w:w="2981" w:type="pct"/>
            <w:vAlign w:val="center"/>
          </w:tcPr>
          <w:p w14:paraId="447BCF10" w14:textId="77777777" w:rsidR="00246D03" w:rsidRPr="00CE00C3" w:rsidRDefault="00246D03" w:rsidP="000B0695">
            <w:pPr>
              <w:spacing w:after="120"/>
            </w:pPr>
          </w:p>
        </w:tc>
      </w:tr>
      <w:tr w:rsidR="00246D03" w:rsidRPr="00AA5A8F" w14:paraId="5821E3E2" w14:textId="77777777" w:rsidTr="00D67E8D">
        <w:trPr>
          <w:cantSplit/>
          <w:trHeight w:val="1052"/>
        </w:trPr>
        <w:tc>
          <w:tcPr>
            <w:tcW w:w="2019" w:type="pct"/>
            <w:vAlign w:val="center"/>
          </w:tcPr>
          <w:p w14:paraId="505A4A9E" w14:textId="77777777" w:rsidR="00246D03" w:rsidRPr="00AA5A8F" w:rsidRDefault="00246D03" w:rsidP="000B0695">
            <w:pPr>
              <w:spacing w:after="120"/>
            </w:pPr>
            <w:r w:rsidRPr="00CE00C3">
              <w:t>Primary Applicant</w:t>
            </w:r>
            <w:r w:rsidRPr="00CE00C3">
              <w:rPr>
                <w:rFonts w:eastAsia="Arial"/>
              </w:rPr>
              <w:t xml:space="preserve"> Signature (Authenticated e-signature)</w:t>
            </w:r>
          </w:p>
        </w:tc>
        <w:tc>
          <w:tcPr>
            <w:tcW w:w="2981" w:type="pct"/>
            <w:vAlign w:val="center"/>
          </w:tcPr>
          <w:p w14:paraId="32ED63FE" w14:textId="77777777" w:rsidR="00246D03" w:rsidRPr="00AA5A8F" w:rsidRDefault="00246D03" w:rsidP="000B0695">
            <w:pPr>
              <w:spacing w:after="120"/>
            </w:pPr>
          </w:p>
        </w:tc>
      </w:tr>
    </w:tbl>
    <w:p w14:paraId="6923D44E" w14:textId="6F61FD1A" w:rsidR="00607564" w:rsidRPr="00DB4CDB" w:rsidRDefault="00607564" w:rsidP="00CA40D1">
      <w:pPr>
        <w:pStyle w:val="Heading2"/>
        <w:jc w:val="center"/>
      </w:pPr>
      <w:bookmarkStart w:id="86" w:name="_Toc199842742"/>
      <w:bookmarkStart w:id="87" w:name="_Toc516834988"/>
      <w:bookmarkStart w:id="88" w:name="_Hlk77320914"/>
      <w:r w:rsidRPr="00DB4CDB">
        <w:lastRenderedPageBreak/>
        <w:t xml:space="preserve">Required Application </w:t>
      </w:r>
      <w:r w:rsidR="000B78DD" w:rsidRPr="00DB4CDB">
        <w:t>Appendi</w:t>
      </w:r>
      <w:r w:rsidRPr="00DB4CDB">
        <w:t>ces</w:t>
      </w:r>
      <w:bookmarkEnd w:id="86"/>
    </w:p>
    <w:p w14:paraId="1FF1E204" w14:textId="7428FA75" w:rsidR="00AE6FB3" w:rsidRPr="00DB4CDB" w:rsidRDefault="00AE6FB3" w:rsidP="00453FA2">
      <w:pPr>
        <w:pStyle w:val="Heading3"/>
      </w:pPr>
      <w:bookmarkStart w:id="89" w:name="_Toc92803901"/>
      <w:bookmarkStart w:id="90" w:name="_Toc199842743"/>
      <w:r w:rsidRPr="00DB4CDB">
        <w:t>Payee Data Record</w:t>
      </w:r>
      <w:bookmarkEnd w:id="87"/>
      <w:r w:rsidR="00161F0B" w:rsidRPr="00DB4CDB">
        <w:t xml:space="preserve"> (STD. 204)</w:t>
      </w:r>
      <w:bookmarkEnd w:id="89"/>
      <w:bookmarkEnd w:id="90"/>
    </w:p>
    <w:p w14:paraId="28E83539" w14:textId="50F9622E" w:rsidR="00161F0B" w:rsidRPr="00DB4CDB" w:rsidRDefault="00161F0B" w:rsidP="00CA40D1">
      <w:pPr>
        <w:spacing w:before="240"/>
        <w:rPr>
          <w:rFonts w:eastAsia="Calibri" w:cs="Times New Roman"/>
        </w:rPr>
      </w:pPr>
      <w:r w:rsidRPr="00DB4CDB">
        <w:rPr>
          <w:rFonts w:eastAsia="Calibri" w:cs="Times New Roman"/>
        </w:rPr>
        <w:t xml:space="preserve">The Payee Data Record (STD. 204) must be fully completed, signed, and dated with an original signature on the form included with the electronic </w:t>
      </w:r>
      <w:r w:rsidR="009D594D">
        <w:rPr>
          <w:rFonts w:eastAsia="Calibri" w:cs="Times New Roman"/>
        </w:rPr>
        <w:t>STACS</w:t>
      </w:r>
      <w:r w:rsidRPr="00DB4CDB">
        <w:rPr>
          <w:rFonts w:eastAsia="Calibri" w:cs="Times New Roman"/>
        </w:rPr>
        <w:t xml:space="preserve"> application. The Payee Data Record (STD. 204) can be found at the </w:t>
      </w:r>
      <w:hyperlink r:id="rId28" w:history="1">
        <w:r w:rsidR="00D67E8D">
          <w:rPr>
            <w:rStyle w:val="Hyperlink"/>
            <w:rFonts w:eastAsia="Calibri" w:cs="Times New Roman"/>
          </w:rPr>
          <w:t>Department of General Services</w:t>
        </w:r>
      </w:hyperlink>
      <w:r w:rsidR="00D67E8D">
        <w:rPr>
          <w:rFonts w:eastAsia="Calibri" w:cs="Times New Roman"/>
        </w:rPr>
        <w:t xml:space="preserve"> website.</w:t>
      </w:r>
    </w:p>
    <w:p w14:paraId="01DB6CA2" w14:textId="329D6CF9" w:rsidR="00607564" w:rsidRPr="00DB4CDB" w:rsidRDefault="00AE6FB3" w:rsidP="00CA40D1">
      <w:pPr>
        <w:spacing w:after="100" w:afterAutospacing="1"/>
        <w:rPr>
          <w:b/>
        </w:rPr>
      </w:pPr>
      <w:r w:rsidRPr="00DB4CDB">
        <w:rPr>
          <w:b/>
        </w:rPr>
        <w:t xml:space="preserve">This document is required for all applicants at the time the application is submitted. Failure to submit will disqualify the applicant from being considered for funding. </w:t>
      </w:r>
      <w:bookmarkEnd w:id="88"/>
    </w:p>
    <w:p w14:paraId="73A33B17" w14:textId="08F4CE5D" w:rsidR="00607564" w:rsidRPr="00487DC8" w:rsidRDefault="00607564" w:rsidP="00453FA2">
      <w:pPr>
        <w:pStyle w:val="Heading3"/>
      </w:pPr>
      <w:bookmarkStart w:id="91" w:name="_Toc92803902"/>
      <w:bookmarkStart w:id="92" w:name="_Toc199842744"/>
      <w:r w:rsidRPr="00487DC8">
        <w:t>Verification of SAM Registration</w:t>
      </w:r>
      <w:bookmarkEnd w:id="91"/>
      <w:bookmarkEnd w:id="92"/>
    </w:p>
    <w:p w14:paraId="7C15780E" w14:textId="2171FCC3" w:rsidR="00D2031D" w:rsidRPr="00EA1445" w:rsidRDefault="00607564" w:rsidP="00CA40D1">
      <w:r w:rsidRPr="00DB4CDB">
        <w:t xml:space="preserve">The </w:t>
      </w:r>
      <w:r w:rsidRPr="00EA1445">
        <w:t>primary applicant must include evidence of SAM registration, which may be a print out or screenshot of email registration confirmation. The CDE will additionally verify registration with SAM. For additional information about SAM Registration</w:t>
      </w:r>
      <w:r w:rsidR="009D594D" w:rsidRPr="00EA1445">
        <w:t xml:space="preserve"> </w:t>
      </w:r>
      <w:r w:rsidRPr="00EA1445">
        <w:t>see Section 2.1 Applicant Eligibility.</w:t>
      </w:r>
    </w:p>
    <w:p w14:paraId="32CB6B70" w14:textId="5AFF199C" w:rsidR="00D2031D" w:rsidRPr="00EA1445" w:rsidRDefault="00D2031D" w:rsidP="00453FA2">
      <w:pPr>
        <w:pStyle w:val="Heading3"/>
      </w:pPr>
      <w:bookmarkStart w:id="93" w:name="_Toc92803903"/>
      <w:bookmarkStart w:id="94" w:name="_Toc199842745"/>
      <w:r w:rsidRPr="00EA1445">
        <w:t>Resumes</w:t>
      </w:r>
      <w:bookmarkEnd w:id="93"/>
      <w:bookmarkEnd w:id="94"/>
    </w:p>
    <w:p w14:paraId="6E19A17F" w14:textId="2950479D" w:rsidR="00D2031D" w:rsidRPr="00EA1445" w:rsidRDefault="00D2031D" w:rsidP="00CA40D1">
      <w:r w:rsidRPr="00EA1445">
        <w:t xml:space="preserve">For additional information regarding required resumes, please see Section </w:t>
      </w:r>
      <w:r w:rsidR="009D594D" w:rsidRPr="00EA1445">
        <w:t>5</w:t>
      </w:r>
      <w:r w:rsidRPr="00EA1445">
        <w:t>.</w:t>
      </w:r>
      <w:r w:rsidR="009D594D" w:rsidRPr="00EA1445">
        <w:t>2</w:t>
      </w:r>
      <w:r w:rsidRPr="00EA1445">
        <w:t xml:space="preserve"> </w:t>
      </w:r>
      <w:r w:rsidR="008F7CA6" w:rsidRPr="00EA1445">
        <w:t>Personnel Resources</w:t>
      </w:r>
      <w:r w:rsidRPr="00EA1445">
        <w:t>.</w:t>
      </w:r>
    </w:p>
    <w:p w14:paraId="3FCBB5B0" w14:textId="65B6A451" w:rsidR="00487DC8" w:rsidRPr="00EA1445" w:rsidRDefault="00487DC8" w:rsidP="00453FA2">
      <w:pPr>
        <w:pStyle w:val="Heading3"/>
      </w:pPr>
      <w:bookmarkStart w:id="95" w:name="_Toc199842746"/>
      <w:r w:rsidRPr="00EA1445">
        <w:t>Letters of Support</w:t>
      </w:r>
      <w:bookmarkEnd w:id="95"/>
      <w:r w:rsidRPr="00EA1445">
        <w:t xml:space="preserve"> </w:t>
      </w:r>
    </w:p>
    <w:p w14:paraId="640FBFC3" w14:textId="213AF478" w:rsidR="005F459C" w:rsidRPr="00EA1445" w:rsidRDefault="00487DC8" w:rsidP="005F459C">
      <w:r w:rsidRPr="00EA1445">
        <w:t>For additional information regarding required letters of support, please see section 5.1 Organizational Capacity.</w:t>
      </w:r>
    </w:p>
    <w:p w14:paraId="4A1A80AA" w14:textId="51317917" w:rsidR="005F459C" w:rsidRPr="00EA1445" w:rsidRDefault="005F459C" w:rsidP="005F459C">
      <w:pPr>
        <w:pStyle w:val="Heading3"/>
      </w:pPr>
      <w:r w:rsidRPr="00EA1445">
        <w:t>Technical Assistance Portfolio</w:t>
      </w:r>
    </w:p>
    <w:p w14:paraId="2599526D" w14:textId="188401FC" w:rsidR="005F459C" w:rsidRDefault="005F459C" w:rsidP="005F459C">
      <w:r w:rsidRPr="00EA1445">
        <w:t>For additional information regarding required technical assistance portfolio, please see section 5.1 Organizational Capacity.</w:t>
      </w:r>
    </w:p>
    <w:p w14:paraId="6E8C30F5" w14:textId="05FBF04D" w:rsidR="005F459C" w:rsidRPr="005F459C" w:rsidRDefault="005F459C" w:rsidP="005F459C">
      <w:pPr>
        <w:sectPr w:rsidR="005F459C" w:rsidRPr="005F459C" w:rsidSect="00155FB7">
          <w:footerReference w:type="default" r:id="rId29"/>
          <w:pgSz w:w="12240" w:h="15840"/>
          <w:pgMar w:top="1440" w:right="1440" w:bottom="1440" w:left="1440" w:header="720" w:footer="720" w:gutter="0"/>
          <w:cols w:space="720"/>
          <w:docGrid w:linePitch="360"/>
        </w:sectPr>
      </w:pPr>
    </w:p>
    <w:p w14:paraId="4AA7A400" w14:textId="581106D9" w:rsidR="0064377C" w:rsidRPr="00DB4CDB" w:rsidRDefault="0064377C" w:rsidP="00453FA2">
      <w:pPr>
        <w:pStyle w:val="Heading2"/>
      </w:pPr>
      <w:bookmarkStart w:id="96" w:name="_Toc516834989"/>
      <w:bookmarkStart w:id="97" w:name="_Toc199842747"/>
      <w:r w:rsidRPr="00DB4CDB">
        <w:lastRenderedPageBreak/>
        <w:t>Appendix A:</w:t>
      </w:r>
      <w:bookmarkEnd w:id="96"/>
      <w:r w:rsidR="006900A7">
        <w:t xml:space="preserve"> </w:t>
      </w:r>
      <w:r w:rsidR="006900A7">
        <w:rPr>
          <w:rFonts w:eastAsia="Arial"/>
        </w:rPr>
        <w:t>Statewide Technical Assistance for Charter Schools Subgrant Request for Applications Scoring Rubric</w:t>
      </w:r>
      <w:bookmarkEnd w:id="97"/>
    </w:p>
    <w:p w14:paraId="53B8E955" w14:textId="05CB3478" w:rsidR="00246D03" w:rsidRDefault="00453FA2" w:rsidP="00246D03">
      <w:pPr>
        <w:pStyle w:val="Heading3"/>
        <w:numPr>
          <w:ilvl w:val="0"/>
          <w:numId w:val="50"/>
        </w:numPr>
      </w:pPr>
      <w:bookmarkStart w:id="98" w:name="_Toc92803905"/>
      <w:bookmarkStart w:id="99" w:name="_Toc199842748"/>
      <w:r>
        <w:rPr>
          <w:rStyle w:val="Heading3Char"/>
        </w:rPr>
        <w:t>Organizational</w:t>
      </w:r>
      <w:r w:rsidR="0064377C" w:rsidRPr="00DB4CDB">
        <w:rPr>
          <w:rStyle w:val="Heading3Char"/>
        </w:rPr>
        <w:t xml:space="preserve"> </w:t>
      </w:r>
      <w:r>
        <w:rPr>
          <w:rStyle w:val="Heading3Char"/>
        </w:rPr>
        <w:t>Capacity</w:t>
      </w:r>
      <w:bookmarkEnd w:id="98"/>
      <w:bookmarkEnd w:id="99"/>
    </w:p>
    <w:p w14:paraId="78C2ABC1" w14:textId="50E93750" w:rsidR="00B60CDB" w:rsidRPr="00EA1445" w:rsidRDefault="00F71BDF" w:rsidP="00246D03">
      <w:pPr>
        <w:rPr>
          <w:b/>
        </w:rPr>
      </w:pPr>
      <w:r w:rsidRPr="00EA1445">
        <w:rPr>
          <w:snapToGrid w:val="0"/>
        </w:rPr>
        <w:t>The content of this section must describe how the applicant demonstrates the organizational experience and capacity necessary to complete the tasks and deliverables contained in Section 5.3 Scope of Work.</w:t>
      </w:r>
    </w:p>
    <w:p w14:paraId="63ADA2CA" w14:textId="4957BFA3" w:rsidR="0064377C" w:rsidRDefault="0064377C" w:rsidP="00B60CDB">
      <w:pPr>
        <w:spacing w:after="0"/>
      </w:pPr>
      <w:r w:rsidRPr="00EA1445">
        <w:t xml:space="preserve">Total score of </w:t>
      </w:r>
      <w:r w:rsidR="00201EC6" w:rsidRPr="00EA1445">
        <w:t xml:space="preserve">16 </w:t>
      </w:r>
      <w:r w:rsidRPr="00EA1445">
        <w:t>points possible:</w:t>
      </w:r>
    </w:p>
    <w:p w14:paraId="5DF1F96E" w14:textId="77777777" w:rsidR="00D67E8D" w:rsidRDefault="00D67E8D" w:rsidP="00B60CDB">
      <w:pPr>
        <w:spacing w:after="0"/>
      </w:pPr>
    </w:p>
    <w:p w14:paraId="0E29D4BB" w14:textId="0C528C02" w:rsidR="004A743E" w:rsidRDefault="00037A63" w:rsidP="00B477B2">
      <w:pPr>
        <w:pStyle w:val="TableHeader"/>
      </w:pPr>
      <w:r w:rsidRPr="00037A63">
        <w:t>Organizational Capacity</w:t>
      </w:r>
    </w:p>
    <w:tbl>
      <w:tblPr>
        <w:tblStyle w:val="TableGrid1"/>
        <w:tblW w:w="12961" w:type="dxa"/>
        <w:tblLook w:val="04A0" w:firstRow="1" w:lastRow="0" w:firstColumn="1" w:lastColumn="0" w:noHBand="0" w:noVBand="1"/>
        <w:tblDescription w:val="Organizational Capacity"/>
      </w:tblPr>
      <w:tblGrid>
        <w:gridCol w:w="2011"/>
        <w:gridCol w:w="2736"/>
        <w:gridCol w:w="2701"/>
        <w:gridCol w:w="2701"/>
        <w:gridCol w:w="2812"/>
      </w:tblGrid>
      <w:tr w:rsidR="00D16F4E" w:rsidRPr="00166FE4" w14:paraId="488AFF35" w14:textId="77777777" w:rsidTr="00B477B2">
        <w:trPr>
          <w:cantSplit/>
          <w:tblHeader/>
        </w:trPr>
        <w:tc>
          <w:tcPr>
            <w:tcW w:w="2011" w:type="dxa"/>
            <w:shd w:val="clear" w:color="auto" w:fill="AEAAAA" w:themeFill="background2" w:themeFillShade="BF"/>
          </w:tcPr>
          <w:p w14:paraId="75D2C739" w14:textId="77777777" w:rsidR="004A743E" w:rsidRPr="00166FE4" w:rsidRDefault="004A743E" w:rsidP="00903A94">
            <w:pPr>
              <w:pStyle w:val="TableParagraph"/>
              <w:ind w:right="78"/>
              <w:jc w:val="center"/>
              <w:rPr>
                <w:rFonts w:ascii="Arial" w:eastAsia="Arial" w:hAnsi="Arial" w:cs="Arial"/>
                <w:b/>
              </w:rPr>
            </w:pPr>
            <w:r w:rsidRPr="00166FE4">
              <w:rPr>
                <w:rFonts w:ascii="Arial" w:eastAsia="Arial" w:hAnsi="Arial" w:cs="Arial"/>
                <w:b/>
              </w:rPr>
              <w:t>I. Applicant Qualifications</w:t>
            </w:r>
          </w:p>
        </w:tc>
        <w:tc>
          <w:tcPr>
            <w:tcW w:w="2736" w:type="dxa"/>
            <w:shd w:val="clear" w:color="auto" w:fill="AEAAAA" w:themeFill="background2" w:themeFillShade="BF"/>
          </w:tcPr>
          <w:p w14:paraId="229E5B23" w14:textId="77777777" w:rsidR="00037A63" w:rsidRDefault="004A743E" w:rsidP="00037A63">
            <w:pPr>
              <w:pStyle w:val="TableParagraph"/>
              <w:spacing w:before="6"/>
              <w:ind w:right="78"/>
              <w:jc w:val="center"/>
              <w:rPr>
                <w:rFonts w:ascii="Arial" w:hAnsi="Arial" w:cs="Arial"/>
                <w:b/>
                <w:spacing w:val="-1"/>
              </w:rPr>
            </w:pPr>
            <w:r w:rsidRPr="00166FE4">
              <w:rPr>
                <w:rFonts w:ascii="Arial" w:hAnsi="Arial" w:cs="Arial"/>
                <w:b/>
                <w:spacing w:val="-10"/>
              </w:rPr>
              <w:t xml:space="preserve">CLEAR </w:t>
            </w:r>
            <w:r w:rsidRPr="00166FE4">
              <w:rPr>
                <w:rFonts w:ascii="Arial" w:hAnsi="Arial" w:cs="Arial"/>
                <w:b/>
                <w:spacing w:val="-1"/>
              </w:rPr>
              <w:t>CASE</w:t>
            </w:r>
          </w:p>
          <w:p w14:paraId="3A80F911" w14:textId="18D0F046" w:rsidR="004A743E" w:rsidRPr="00166FE4" w:rsidRDefault="004A743E" w:rsidP="00037A63">
            <w:pPr>
              <w:pStyle w:val="TableParagraph"/>
              <w:spacing w:before="6"/>
              <w:ind w:right="78"/>
              <w:jc w:val="center"/>
              <w:rPr>
                <w:rFonts w:ascii="Arial" w:eastAsia="Arial" w:hAnsi="Arial" w:cs="Arial"/>
              </w:rPr>
            </w:pPr>
            <w:r w:rsidRPr="00166FE4">
              <w:rPr>
                <w:rFonts w:ascii="Arial" w:eastAsia="Arial" w:hAnsi="Arial" w:cs="Arial"/>
                <w:b/>
                <w:bCs/>
                <w:spacing w:val="-1"/>
              </w:rPr>
              <w:t>8–7</w:t>
            </w:r>
            <w:r w:rsidRPr="00166FE4">
              <w:rPr>
                <w:rFonts w:ascii="Arial" w:eastAsia="Arial" w:hAnsi="Arial" w:cs="Arial"/>
                <w:b/>
                <w:bCs/>
                <w:spacing w:val="-6"/>
              </w:rPr>
              <w:t xml:space="preserve"> </w:t>
            </w:r>
            <w:r w:rsidRPr="00166FE4">
              <w:rPr>
                <w:rFonts w:ascii="Arial" w:eastAsia="Arial" w:hAnsi="Arial" w:cs="Arial"/>
                <w:b/>
                <w:bCs/>
                <w:spacing w:val="-1"/>
              </w:rPr>
              <w:t>Points</w:t>
            </w:r>
          </w:p>
        </w:tc>
        <w:tc>
          <w:tcPr>
            <w:tcW w:w="2701" w:type="dxa"/>
            <w:shd w:val="clear" w:color="auto" w:fill="AEAAAA" w:themeFill="background2" w:themeFillShade="BF"/>
          </w:tcPr>
          <w:p w14:paraId="00DFE117" w14:textId="77777777" w:rsidR="004A743E" w:rsidRPr="00166FE4" w:rsidRDefault="004A743E" w:rsidP="00903A94">
            <w:pPr>
              <w:pStyle w:val="TableParagraph"/>
              <w:spacing w:before="6"/>
              <w:ind w:right="78"/>
              <w:jc w:val="center"/>
              <w:rPr>
                <w:rFonts w:ascii="Arial" w:eastAsia="Arial" w:hAnsi="Arial" w:cs="Arial"/>
              </w:rPr>
            </w:pPr>
            <w:r w:rsidRPr="00166FE4">
              <w:rPr>
                <w:rFonts w:ascii="Arial" w:hAnsi="Arial" w:cs="Arial"/>
                <w:b/>
                <w:spacing w:val="-1"/>
              </w:rPr>
              <w:t>ADEQUATE</w:t>
            </w:r>
            <w:r w:rsidRPr="00166FE4">
              <w:rPr>
                <w:rFonts w:ascii="Arial" w:hAnsi="Arial" w:cs="Arial"/>
                <w:b/>
                <w:spacing w:val="-10"/>
              </w:rPr>
              <w:t xml:space="preserve"> </w:t>
            </w:r>
            <w:r w:rsidRPr="00166FE4">
              <w:rPr>
                <w:rFonts w:ascii="Arial" w:hAnsi="Arial" w:cs="Arial"/>
                <w:b/>
                <w:spacing w:val="-1"/>
              </w:rPr>
              <w:t>CASE</w:t>
            </w:r>
          </w:p>
          <w:p w14:paraId="27CACFA7" w14:textId="77777777" w:rsidR="004A743E" w:rsidRPr="00166FE4" w:rsidRDefault="004A743E" w:rsidP="00903A94">
            <w:pPr>
              <w:pStyle w:val="TableParagraph"/>
              <w:spacing w:before="10"/>
              <w:ind w:right="78"/>
              <w:jc w:val="center"/>
              <w:rPr>
                <w:rFonts w:ascii="Arial" w:eastAsia="Arial" w:hAnsi="Arial" w:cs="Arial"/>
              </w:rPr>
            </w:pPr>
            <w:r w:rsidRPr="00166FE4">
              <w:rPr>
                <w:rFonts w:ascii="Arial" w:eastAsia="Arial" w:hAnsi="Arial" w:cs="Arial"/>
                <w:b/>
                <w:bCs/>
                <w:spacing w:val="-1"/>
              </w:rPr>
              <w:t>6–5</w:t>
            </w:r>
            <w:r w:rsidRPr="00166FE4">
              <w:rPr>
                <w:rFonts w:ascii="Arial" w:eastAsia="Arial" w:hAnsi="Arial" w:cs="Arial"/>
                <w:b/>
                <w:bCs/>
                <w:spacing w:val="-6"/>
              </w:rPr>
              <w:t xml:space="preserve"> </w:t>
            </w:r>
            <w:r w:rsidRPr="00166FE4">
              <w:rPr>
                <w:rFonts w:ascii="Arial" w:eastAsia="Arial" w:hAnsi="Arial" w:cs="Arial"/>
                <w:b/>
                <w:bCs/>
                <w:spacing w:val="-1"/>
              </w:rPr>
              <w:t>Points</w:t>
            </w:r>
          </w:p>
        </w:tc>
        <w:tc>
          <w:tcPr>
            <w:tcW w:w="2701" w:type="dxa"/>
            <w:shd w:val="clear" w:color="auto" w:fill="AEAAAA" w:themeFill="background2" w:themeFillShade="BF"/>
          </w:tcPr>
          <w:p w14:paraId="2A8CF829" w14:textId="77777777" w:rsidR="004A743E" w:rsidRPr="00166FE4" w:rsidRDefault="004A743E" w:rsidP="00903A94">
            <w:pPr>
              <w:pStyle w:val="TableParagraph"/>
              <w:spacing w:before="6"/>
              <w:ind w:right="78"/>
              <w:jc w:val="center"/>
              <w:rPr>
                <w:rFonts w:ascii="Arial" w:eastAsia="Arial" w:hAnsi="Arial" w:cs="Arial"/>
              </w:rPr>
            </w:pPr>
            <w:r w:rsidRPr="00166FE4">
              <w:rPr>
                <w:rFonts w:ascii="Arial" w:hAnsi="Arial" w:cs="Arial"/>
                <w:b/>
                <w:spacing w:val="-1"/>
              </w:rPr>
              <w:t>LIMITED</w:t>
            </w:r>
            <w:r w:rsidRPr="00166FE4">
              <w:rPr>
                <w:rFonts w:ascii="Arial" w:hAnsi="Arial" w:cs="Arial"/>
                <w:b/>
                <w:spacing w:val="-9"/>
              </w:rPr>
              <w:t xml:space="preserve"> </w:t>
            </w:r>
            <w:r w:rsidRPr="00166FE4">
              <w:rPr>
                <w:rFonts w:ascii="Arial" w:hAnsi="Arial" w:cs="Arial"/>
                <w:b/>
                <w:spacing w:val="-1"/>
              </w:rPr>
              <w:t>CASE</w:t>
            </w:r>
          </w:p>
          <w:p w14:paraId="7D190E9A" w14:textId="77777777" w:rsidR="004A743E" w:rsidRPr="00166FE4" w:rsidRDefault="004A743E" w:rsidP="00903A94">
            <w:pPr>
              <w:pStyle w:val="TableParagraph"/>
              <w:spacing w:before="10"/>
              <w:ind w:right="78"/>
              <w:jc w:val="center"/>
              <w:rPr>
                <w:rFonts w:ascii="Arial" w:eastAsia="Arial" w:hAnsi="Arial" w:cs="Arial"/>
              </w:rPr>
            </w:pPr>
            <w:r w:rsidRPr="00166FE4">
              <w:rPr>
                <w:rFonts w:ascii="Arial" w:eastAsia="Arial" w:hAnsi="Arial" w:cs="Arial"/>
                <w:b/>
                <w:bCs/>
                <w:spacing w:val="-1"/>
              </w:rPr>
              <w:t>4–3</w:t>
            </w:r>
            <w:r w:rsidRPr="00166FE4">
              <w:rPr>
                <w:rFonts w:ascii="Arial" w:eastAsia="Arial" w:hAnsi="Arial" w:cs="Arial"/>
                <w:b/>
                <w:bCs/>
                <w:spacing w:val="-6"/>
              </w:rPr>
              <w:t xml:space="preserve"> </w:t>
            </w:r>
            <w:r w:rsidRPr="00166FE4">
              <w:rPr>
                <w:rFonts w:ascii="Arial" w:eastAsia="Arial" w:hAnsi="Arial" w:cs="Arial"/>
                <w:b/>
                <w:bCs/>
                <w:spacing w:val="-1"/>
              </w:rPr>
              <w:t>Points</w:t>
            </w:r>
          </w:p>
        </w:tc>
        <w:tc>
          <w:tcPr>
            <w:tcW w:w="2812" w:type="dxa"/>
            <w:shd w:val="clear" w:color="auto" w:fill="AEAAAA" w:themeFill="background2" w:themeFillShade="BF"/>
          </w:tcPr>
          <w:p w14:paraId="45521A00" w14:textId="77777777" w:rsidR="004A743E" w:rsidRPr="00166FE4" w:rsidRDefault="004A743E" w:rsidP="00903A94">
            <w:pPr>
              <w:pStyle w:val="TableParagraph"/>
              <w:spacing w:before="6"/>
              <w:ind w:right="114"/>
              <w:jc w:val="center"/>
              <w:rPr>
                <w:rFonts w:ascii="Arial" w:eastAsia="Arial" w:hAnsi="Arial" w:cs="Arial"/>
              </w:rPr>
            </w:pPr>
            <w:r w:rsidRPr="00166FE4">
              <w:rPr>
                <w:rFonts w:ascii="Arial" w:hAnsi="Arial" w:cs="Arial"/>
                <w:b/>
                <w:spacing w:val="-1"/>
              </w:rPr>
              <w:t>INADEQUATE</w:t>
            </w:r>
            <w:r w:rsidRPr="00166FE4">
              <w:rPr>
                <w:rFonts w:ascii="Arial" w:hAnsi="Arial" w:cs="Arial"/>
                <w:b/>
                <w:spacing w:val="-6"/>
              </w:rPr>
              <w:t xml:space="preserve"> </w:t>
            </w:r>
            <w:r w:rsidRPr="00166FE4">
              <w:rPr>
                <w:rFonts w:ascii="Arial" w:hAnsi="Arial" w:cs="Arial"/>
                <w:b/>
                <w:spacing w:val="-1"/>
              </w:rPr>
              <w:t>CASE</w:t>
            </w:r>
          </w:p>
          <w:p w14:paraId="79BC5161" w14:textId="77777777" w:rsidR="004A743E" w:rsidRPr="00166FE4" w:rsidRDefault="004A743E" w:rsidP="00903A94">
            <w:pPr>
              <w:pStyle w:val="TableParagraph"/>
              <w:spacing w:before="10"/>
              <w:ind w:right="114"/>
              <w:jc w:val="center"/>
              <w:rPr>
                <w:rFonts w:ascii="Arial" w:eastAsia="Arial" w:hAnsi="Arial" w:cs="Arial"/>
              </w:rPr>
            </w:pPr>
            <w:r w:rsidRPr="00166FE4">
              <w:rPr>
                <w:rFonts w:ascii="Arial" w:eastAsia="Arial" w:hAnsi="Arial" w:cs="Arial"/>
                <w:b/>
                <w:bCs/>
                <w:spacing w:val="-1"/>
              </w:rPr>
              <w:t>2–0</w:t>
            </w:r>
            <w:r w:rsidRPr="00166FE4">
              <w:rPr>
                <w:rFonts w:ascii="Arial" w:eastAsia="Arial" w:hAnsi="Arial" w:cs="Arial"/>
                <w:b/>
                <w:bCs/>
                <w:spacing w:val="-6"/>
              </w:rPr>
              <w:t xml:space="preserve"> </w:t>
            </w:r>
            <w:r w:rsidRPr="00166FE4">
              <w:rPr>
                <w:rFonts w:ascii="Arial" w:eastAsia="Arial" w:hAnsi="Arial" w:cs="Arial"/>
                <w:b/>
                <w:bCs/>
                <w:spacing w:val="-1"/>
              </w:rPr>
              <w:t>Points</w:t>
            </w:r>
          </w:p>
        </w:tc>
      </w:tr>
      <w:tr w:rsidR="004A743E" w:rsidRPr="00166FE4" w14:paraId="2DDCB204" w14:textId="77777777" w:rsidTr="004A743E">
        <w:tc>
          <w:tcPr>
            <w:tcW w:w="2011" w:type="dxa"/>
          </w:tcPr>
          <w:p w14:paraId="176D6F98" w14:textId="77777777" w:rsidR="004A743E" w:rsidRPr="00166FE4" w:rsidRDefault="004A743E" w:rsidP="00903A94">
            <w:pPr>
              <w:pStyle w:val="TableParagraph"/>
              <w:spacing w:before="40" w:after="240"/>
              <w:ind w:right="78"/>
              <w:rPr>
                <w:rFonts w:ascii="Arial" w:eastAsia="Arial" w:hAnsi="Arial" w:cs="Arial"/>
              </w:rPr>
            </w:pPr>
            <w:r w:rsidRPr="00166FE4">
              <w:rPr>
                <w:rFonts w:ascii="Arial" w:eastAsia="Arial" w:hAnsi="Arial" w:cs="Arial"/>
              </w:rPr>
              <w:t xml:space="preserve">A. Applicant </w:t>
            </w:r>
            <w:r>
              <w:rPr>
                <w:rFonts w:ascii="Arial" w:eastAsia="Arial" w:hAnsi="Arial" w:cs="Arial"/>
              </w:rPr>
              <w:t>Qualifications</w:t>
            </w:r>
          </w:p>
          <w:p w14:paraId="5C5EDDCD" w14:textId="77777777" w:rsidR="004A743E" w:rsidRPr="00166FE4" w:rsidRDefault="004A743E" w:rsidP="00903A94">
            <w:pPr>
              <w:pStyle w:val="TableParagraph"/>
              <w:spacing w:before="40" w:after="40"/>
              <w:ind w:right="78"/>
              <w:rPr>
                <w:rFonts w:ascii="Arial" w:eastAsia="Arial" w:hAnsi="Arial" w:cs="Arial"/>
              </w:rPr>
            </w:pPr>
            <w:r w:rsidRPr="00166FE4">
              <w:rPr>
                <w:rFonts w:ascii="Arial" w:eastAsia="Arial" w:hAnsi="Arial" w:cs="Arial"/>
              </w:rPr>
              <w:t xml:space="preserve">Score of 8 points possible: </w:t>
            </w:r>
          </w:p>
        </w:tc>
        <w:tc>
          <w:tcPr>
            <w:tcW w:w="2736" w:type="dxa"/>
          </w:tcPr>
          <w:p w14:paraId="3E6FFB88" w14:textId="77777777" w:rsidR="004A743E" w:rsidRPr="00017D58" w:rsidRDefault="004A743E" w:rsidP="00903A94">
            <w:pPr>
              <w:pStyle w:val="TableParagraph"/>
              <w:spacing w:before="15" w:after="120"/>
              <w:ind w:right="78"/>
              <w:rPr>
                <w:rFonts w:ascii="Arial" w:hAnsi="Arial" w:cs="Arial"/>
              </w:rPr>
            </w:pPr>
            <w:r w:rsidRPr="00017D58">
              <w:rPr>
                <w:rFonts w:ascii="Arial" w:hAnsi="Arial" w:cs="Arial"/>
              </w:rPr>
              <w:t xml:space="preserve">The applicant clearly describes their mission, history, and statewide presence in supporting charter schools at various stages of development. Specific evidence of the number of schools served, the regions impacted, and measurable outcomes of their work are provided. Detailed evidence of providing professional development, including recent topics addressed and target audience. Strong evidence of success in developing </w:t>
            </w:r>
            <w:r w:rsidRPr="00017D58">
              <w:rPr>
                <w:rFonts w:ascii="Arial" w:hAnsi="Arial" w:cs="Arial"/>
              </w:rPr>
              <w:lastRenderedPageBreak/>
              <w:t xml:space="preserve">high-quality schools. </w:t>
            </w:r>
            <w:r w:rsidRPr="00017D58">
              <w:rPr>
                <w:rFonts w:ascii="Arial" w:hAnsi="Arial" w:cs="Arial"/>
                <w:i/>
                <w:iCs/>
              </w:rPr>
              <w:t>Exceeds</w:t>
            </w:r>
            <w:r w:rsidRPr="00017D58">
              <w:rPr>
                <w:rFonts w:ascii="Arial" w:hAnsi="Arial" w:cs="Arial"/>
              </w:rPr>
              <w:t xml:space="preserve"> the minimum of (1) five years of experience in direct charter school support and (2) experience delivering professional development in the past three years.</w:t>
            </w:r>
          </w:p>
          <w:p w14:paraId="6911661F" w14:textId="77777777" w:rsidR="004A743E" w:rsidRPr="00017D58" w:rsidRDefault="004A743E" w:rsidP="00903A94">
            <w:pPr>
              <w:pStyle w:val="TableParagraph"/>
              <w:spacing w:before="40" w:after="120"/>
              <w:ind w:right="78"/>
              <w:rPr>
                <w:rFonts w:ascii="Arial" w:hAnsi="Arial" w:cs="Arial"/>
              </w:rPr>
            </w:pPr>
            <w:r w:rsidRPr="00017D58">
              <w:rPr>
                <w:rFonts w:ascii="Arial" w:hAnsi="Arial" w:cs="Arial"/>
                <w:b/>
                <w:bCs/>
              </w:rPr>
              <w:t>For previous awardees:</w:t>
            </w:r>
            <w:r w:rsidRPr="00017D58">
              <w:rPr>
                <w:rFonts w:ascii="Arial" w:hAnsi="Arial" w:cs="Arial"/>
              </w:rPr>
              <w:t xml:space="preserve"> Strong evidence of submitting deliverables on time, achieving project goals, and impact on schools are provided. </w:t>
            </w:r>
          </w:p>
        </w:tc>
        <w:tc>
          <w:tcPr>
            <w:tcW w:w="2701" w:type="dxa"/>
          </w:tcPr>
          <w:p w14:paraId="5B87ABAC" w14:textId="77777777" w:rsidR="004A743E" w:rsidRPr="00017D58" w:rsidRDefault="004A743E" w:rsidP="00903A94">
            <w:pPr>
              <w:pStyle w:val="TableParagraph"/>
              <w:spacing w:before="15"/>
              <w:ind w:right="78"/>
              <w:rPr>
                <w:rFonts w:ascii="Arial" w:hAnsi="Arial" w:cs="Arial"/>
              </w:rPr>
            </w:pPr>
            <w:r w:rsidRPr="00017D58">
              <w:rPr>
                <w:rFonts w:ascii="Arial" w:hAnsi="Arial" w:cs="Arial"/>
              </w:rPr>
              <w:lastRenderedPageBreak/>
              <w:t xml:space="preserve">The applicant provides a description of their mission, history, and statewide presence in supporting charter schools, including general evidence of the number of schools served and regions impacted. Some evidence of measurable outcomes or success is provided. Evidence of providing professional development is not fully detailed, and only some evidence of success in developing high-quality schools is provided, but </w:t>
            </w:r>
            <w:r w:rsidRPr="00017D58">
              <w:rPr>
                <w:rFonts w:ascii="Arial" w:hAnsi="Arial" w:cs="Arial"/>
              </w:rPr>
              <w:lastRenderedPageBreak/>
              <w:t xml:space="preserve">it lacks specificity. </w:t>
            </w:r>
            <w:r w:rsidRPr="00017D58">
              <w:rPr>
                <w:rFonts w:ascii="Arial" w:hAnsi="Arial" w:cs="Arial"/>
                <w:i/>
              </w:rPr>
              <w:t>Meets</w:t>
            </w:r>
            <w:r w:rsidRPr="00017D58">
              <w:rPr>
                <w:rFonts w:ascii="Arial" w:hAnsi="Arial" w:cs="Arial"/>
              </w:rPr>
              <w:t xml:space="preserve"> the minimum of (1) five years of experience in direct charter school support and (2) experience delivering professional development in the past three years. </w:t>
            </w:r>
          </w:p>
          <w:p w14:paraId="7ED1BB59" w14:textId="77777777" w:rsidR="004A743E" w:rsidRPr="00017D58" w:rsidRDefault="004A743E" w:rsidP="00903A94">
            <w:pPr>
              <w:pStyle w:val="TableParagraph"/>
              <w:spacing w:before="40" w:after="40"/>
              <w:ind w:right="78"/>
              <w:rPr>
                <w:rFonts w:ascii="Arial" w:hAnsi="Arial" w:cs="Arial"/>
                <w:b/>
                <w:bCs/>
              </w:rPr>
            </w:pPr>
          </w:p>
          <w:p w14:paraId="4F0D4BAE" w14:textId="77777777" w:rsidR="004A743E" w:rsidRPr="00017D58" w:rsidRDefault="004A743E" w:rsidP="00903A94">
            <w:pPr>
              <w:pStyle w:val="TableParagraph"/>
              <w:spacing w:before="40" w:after="40"/>
              <w:ind w:right="78"/>
              <w:rPr>
                <w:rFonts w:ascii="Arial" w:hAnsi="Arial" w:cs="Arial"/>
              </w:rPr>
            </w:pPr>
            <w:r w:rsidRPr="00017D58">
              <w:rPr>
                <w:rFonts w:ascii="Arial" w:hAnsi="Arial" w:cs="Arial"/>
                <w:b/>
                <w:bCs/>
              </w:rPr>
              <w:t>For previous awardees:</w:t>
            </w:r>
            <w:r w:rsidRPr="00017D58">
              <w:rPr>
                <w:rFonts w:ascii="Arial" w:hAnsi="Arial" w:cs="Arial"/>
              </w:rPr>
              <w:t xml:space="preserve"> Evidence of meeting deliverables and achieving project goals is included but may lack specific data or detailed impact.</w:t>
            </w:r>
          </w:p>
        </w:tc>
        <w:tc>
          <w:tcPr>
            <w:tcW w:w="2701" w:type="dxa"/>
          </w:tcPr>
          <w:p w14:paraId="4C1D1FE9" w14:textId="77777777" w:rsidR="004A743E" w:rsidRPr="00166FE4" w:rsidRDefault="004A743E" w:rsidP="00903A94">
            <w:pPr>
              <w:pStyle w:val="TableParagraph"/>
              <w:spacing w:before="15" w:after="120"/>
              <w:ind w:right="78"/>
              <w:rPr>
                <w:rFonts w:ascii="Arial" w:hAnsi="Arial" w:cs="Arial"/>
              </w:rPr>
            </w:pPr>
            <w:r w:rsidRPr="00166FE4">
              <w:rPr>
                <w:rFonts w:ascii="Arial" w:hAnsi="Arial" w:cs="Arial"/>
              </w:rPr>
              <w:lastRenderedPageBreak/>
              <w:t xml:space="preserve">The applicant provides a limited description of their mission, history and success with high-quality schools and/or school improvement activities. Minimal or vague evidence of statewide presence, with insufficient details on the number of schools served or regions impacted. Professional development lacks sufficient detail, limited evidence of success in developing high-quality schools. The applicant </w:t>
            </w:r>
            <w:r w:rsidRPr="00A02D33">
              <w:rPr>
                <w:rFonts w:ascii="Arial" w:hAnsi="Arial" w:cs="Arial"/>
                <w:i/>
                <w:iCs/>
              </w:rPr>
              <w:lastRenderedPageBreak/>
              <w:t>meets</w:t>
            </w:r>
            <w:r w:rsidRPr="00166FE4">
              <w:rPr>
                <w:rFonts w:ascii="Arial" w:hAnsi="Arial" w:cs="Arial"/>
              </w:rPr>
              <w:t xml:space="preserve"> the minimum required experience for direct charter school</w:t>
            </w:r>
            <w:r>
              <w:rPr>
                <w:rFonts w:ascii="Arial" w:hAnsi="Arial" w:cs="Arial"/>
              </w:rPr>
              <w:t xml:space="preserve"> support and professional development</w:t>
            </w:r>
            <w:r w:rsidRPr="00166FE4">
              <w:rPr>
                <w:rFonts w:ascii="Arial" w:hAnsi="Arial" w:cs="Arial"/>
              </w:rPr>
              <w:t xml:space="preserve"> support but does not provide strong evidence of their effectiveness or broader impact.</w:t>
            </w:r>
          </w:p>
          <w:p w14:paraId="145E1559" w14:textId="77777777" w:rsidR="004A743E" w:rsidRPr="00166FE4" w:rsidRDefault="004A743E" w:rsidP="00903A94">
            <w:pPr>
              <w:pStyle w:val="TableParagraph"/>
              <w:spacing w:before="40" w:after="40"/>
              <w:ind w:right="78"/>
              <w:rPr>
                <w:rFonts w:ascii="Arial" w:hAnsi="Arial" w:cs="Arial"/>
              </w:rPr>
            </w:pPr>
            <w:r w:rsidRPr="00166FE4">
              <w:rPr>
                <w:rFonts w:ascii="Arial" w:hAnsi="Arial" w:cs="Arial"/>
                <w:b/>
                <w:bCs/>
              </w:rPr>
              <w:t>For previous awardees</w:t>
            </w:r>
            <w:r w:rsidRPr="00166FE4">
              <w:rPr>
                <w:rFonts w:ascii="Arial" w:hAnsi="Arial" w:cs="Arial"/>
              </w:rPr>
              <w:t>: There is limited evidence of meeting deliverables, achieving project goals, or demonstrating the impact of their work.</w:t>
            </w:r>
          </w:p>
        </w:tc>
        <w:tc>
          <w:tcPr>
            <w:tcW w:w="2812" w:type="dxa"/>
          </w:tcPr>
          <w:p w14:paraId="7865B9CA" w14:textId="77777777" w:rsidR="004A743E" w:rsidRPr="00166FE4" w:rsidRDefault="004A743E" w:rsidP="00903A94">
            <w:pPr>
              <w:pStyle w:val="TableParagraph"/>
              <w:spacing w:before="15"/>
              <w:ind w:right="114"/>
              <w:rPr>
                <w:rFonts w:ascii="Arial" w:hAnsi="Arial" w:cs="Arial"/>
              </w:rPr>
            </w:pPr>
            <w:r w:rsidRPr="00166FE4">
              <w:rPr>
                <w:rFonts w:ascii="Arial" w:hAnsi="Arial" w:cs="Arial"/>
              </w:rPr>
              <w:lastRenderedPageBreak/>
              <w:t xml:space="preserve">The applicant’s mission does not match the goals of the STACS </w:t>
            </w:r>
            <w:r>
              <w:rPr>
                <w:rFonts w:ascii="Arial" w:hAnsi="Arial" w:cs="Arial"/>
              </w:rPr>
              <w:t>S</w:t>
            </w:r>
            <w:r w:rsidRPr="00166FE4">
              <w:rPr>
                <w:rFonts w:ascii="Arial" w:hAnsi="Arial" w:cs="Arial"/>
              </w:rPr>
              <w:t>ubgrant. Insufficient evidence or no evidence of statewide presence, with no clear details on the number of schools served or regions impacted. Describes insufficient experience related to high-quality schools, school improvement activities, delivering professional development, or directly supporting charter schools.</w:t>
            </w:r>
          </w:p>
          <w:p w14:paraId="71957F01" w14:textId="77777777" w:rsidR="004A743E" w:rsidRPr="00166FE4" w:rsidRDefault="004A743E" w:rsidP="00903A94">
            <w:pPr>
              <w:pStyle w:val="TableParagraph"/>
              <w:spacing w:before="15"/>
              <w:ind w:left="103" w:right="114"/>
              <w:rPr>
                <w:rFonts w:ascii="Arial" w:hAnsi="Arial" w:cs="Arial"/>
              </w:rPr>
            </w:pPr>
          </w:p>
          <w:p w14:paraId="0F3636B0" w14:textId="77777777" w:rsidR="004A743E" w:rsidRPr="00166FE4" w:rsidRDefault="004A743E" w:rsidP="00903A94">
            <w:pPr>
              <w:pStyle w:val="TableParagraph"/>
              <w:spacing w:before="40" w:after="40"/>
              <w:ind w:right="114"/>
              <w:rPr>
                <w:rFonts w:ascii="Arial" w:hAnsi="Arial" w:cs="Arial"/>
              </w:rPr>
            </w:pPr>
            <w:r w:rsidRPr="00166FE4">
              <w:rPr>
                <w:rFonts w:ascii="Arial" w:hAnsi="Arial" w:cs="Arial"/>
                <w:b/>
                <w:bCs/>
              </w:rPr>
              <w:lastRenderedPageBreak/>
              <w:t>For previous awardees:</w:t>
            </w:r>
            <w:r w:rsidRPr="00166FE4">
              <w:rPr>
                <w:rFonts w:ascii="Arial" w:hAnsi="Arial" w:cs="Arial"/>
              </w:rPr>
              <w:t xml:space="preserve"> No evidence of meeting deliverables, achieving project goals, or demonstrating impact on charter schools in California is provided. There is no clear record of success or meaningful contribution to the charter school community.</w:t>
            </w:r>
          </w:p>
        </w:tc>
      </w:tr>
      <w:tr w:rsidR="004A743E" w:rsidRPr="00166FE4" w14:paraId="5CFDA410" w14:textId="77777777" w:rsidTr="004A743E">
        <w:tc>
          <w:tcPr>
            <w:tcW w:w="2011" w:type="dxa"/>
          </w:tcPr>
          <w:p w14:paraId="06A60026" w14:textId="77777777" w:rsidR="004A743E" w:rsidRPr="000C24D5" w:rsidRDefault="004A743E" w:rsidP="00903A94">
            <w:pPr>
              <w:pStyle w:val="TableParagraph"/>
              <w:numPr>
                <w:ilvl w:val="0"/>
                <w:numId w:val="12"/>
              </w:numPr>
              <w:spacing w:before="40" w:after="240"/>
              <w:ind w:right="78"/>
              <w:rPr>
                <w:rFonts w:ascii="Arial" w:eastAsia="Arial" w:hAnsi="Arial" w:cs="Arial"/>
              </w:rPr>
            </w:pPr>
            <w:r w:rsidRPr="000C24D5">
              <w:rPr>
                <w:rFonts w:ascii="Arial" w:eastAsia="Arial" w:hAnsi="Arial" w:cs="Arial"/>
              </w:rPr>
              <w:lastRenderedPageBreak/>
              <w:t>Technical Assistance Portfolio</w:t>
            </w:r>
          </w:p>
          <w:p w14:paraId="29606A3A" w14:textId="77777777" w:rsidR="004A743E" w:rsidRPr="000C24D5" w:rsidRDefault="004A743E" w:rsidP="00903A94">
            <w:pPr>
              <w:pStyle w:val="TableParagraph"/>
              <w:spacing w:before="40" w:after="240"/>
              <w:ind w:right="78"/>
              <w:rPr>
                <w:rFonts w:ascii="Arial" w:eastAsia="Arial" w:hAnsi="Arial" w:cs="Arial"/>
              </w:rPr>
            </w:pPr>
            <w:r w:rsidRPr="000C24D5">
              <w:rPr>
                <w:rFonts w:ascii="Arial" w:eastAsia="Arial" w:hAnsi="Arial" w:cs="Arial"/>
              </w:rPr>
              <w:t>Score of 8 points possible:</w:t>
            </w:r>
          </w:p>
        </w:tc>
        <w:tc>
          <w:tcPr>
            <w:tcW w:w="2736" w:type="dxa"/>
          </w:tcPr>
          <w:p w14:paraId="2D8E4261" w14:textId="410FD406" w:rsidR="004A743E" w:rsidRPr="00017D58" w:rsidRDefault="00D37059" w:rsidP="00903A94">
            <w:r w:rsidRPr="00017D58">
              <w:rPr>
                <w:sz w:val="22"/>
              </w:rPr>
              <w:t xml:space="preserve">Applicant provided three high-quality sample document types clearly demonstrating extensive TA experience with charter or district schools. Materials are detailed, relevant, and professional, including well-developed training resources. All materials fully comply with portfolio requirements, including the limit of three sample document types and a 30 </w:t>
            </w:r>
            <w:r w:rsidRPr="00017D58">
              <w:rPr>
                <w:sz w:val="22"/>
              </w:rPr>
              <w:lastRenderedPageBreak/>
              <w:t>page maximum.</w:t>
            </w:r>
          </w:p>
        </w:tc>
        <w:tc>
          <w:tcPr>
            <w:tcW w:w="2701" w:type="dxa"/>
          </w:tcPr>
          <w:p w14:paraId="459546C0" w14:textId="77777777" w:rsidR="004A743E" w:rsidRPr="00017D58" w:rsidRDefault="004A743E" w:rsidP="00903A94">
            <w:pPr>
              <w:rPr>
                <w:sz w:val="22"/>
              </w:rPr>
            </w:pPr>
            <w:r w:rsidRPr="00017D58">
              <w:rPr>
                <w:sz w:val="22"/>
              </w:rPr>
              <w:lastRenderedPageBreak/>
              <w:t xml:space="preserve">Applicant provided three sample document types demonstrating relevant TA experience with charter or district schools. Materials are generally appropriate and professional, though some may lack depth or clarity. Training resources are present but may be less developed. Portfolio meets basic compliance with application requirements, including </w:t>
            </w:r>
            <w:r w:rsidRPr="00017D58">
              <w:rPr>
                <w:sz w:val="22"/>
              </w:rPr>
              <w:lastRenderedPageBreak/>
              <w:t>the limit of three sample document types and a 30-page maximum.</w:t>
            </w:r>
          </w:p>
          <w:p w14:paraId="0AC8007B" w14:textId="77777777" w:rsidR="004A743E" w:rsidRPr="00017D58" w:rsidRDefault="004A743E" w:rsidP="00903A94">
            <w:pPr>
              <w:pStyle w:val="TableParagraph"/>
              <w:spacing w:before="15"/>
              <w:ind w:right="78"/>
              <w:rPr>
                <w:rFonts w:ascii="Arial" w:hAnsi="Arial" w:cs="Arial"/>
              </w:rPr>
            </w:pPr>
          </w:p>
        </w:tc>
        <w:tc>
          <w:tcPr>
            <w:tcW w:w="2701" w:type="dxa"/>
          </w:tcPr>
          <w:p w14:paraId="35C72229" w14:textId="77777777" w:rsidR="004A743E" w:rsidRPr="00017D58" w:rsidRDefault="004A743E" w:rsidP="00903A94">
            <w:pPr>
              <w:rPr>
                <w:sz w:val="22"/>
              </w:rPr>
            </w:pPr>
            <w:r w:rsidRPr="00017D58">
              <w:rPr>
                <w:sz w:val="22"/>
              </w:rPr>
              <w:lastRenderedPageBreak/>
              <w:t xml:space="preserve">Applicant provided fewer than three sample document types or submitted materials that offer limited evidence of TA experience with charter or district schools. Materials may be incomplete, lack relevance, or show minimal detail. Training resources are present but underdeveloped or unclear. Portfolio may not fully comply with application requirements </w:t>
            </w:r>
            <w:r w:rsidRPr="00017D58">
              <w:rPr>
                <w:sz w:val="22"/>
              </w:rPr>
              <w:lastRenderedPageBreak/>
              <w:t>related to document type or page limits.</w:t>
            </w:r>
          </w:p>
        </w:tc>
        <w:tc>
          <w:tcPr>
            <w:tcW w:w="2812" w:type="dxa"/>
          </w:tcPr>
          <w:p w14:paraId="33765091" w14:textId="77777777" w:rsidR="004A743E" w:rsidRPr="00017D58" w:rsidRDefault="004A743E" w:rsidP="00903A94">
            <w:pPr>
              <w:pStyle w:val="TableParagraph"/>
              <w:spacing w:before="15"/>
              <w:ind w:right="114"/>
              <w:rPr>
                <w:rFonts w:ascii="Arial" w:hAnsi="Arial" w:cs="Arial"/>
              </w:rPr>
            </w:pPr>
            <w:r w:rsidRPr="00017D58">
              <w:rPr>
                <w:rFonts w:ascii="Arial" w:hAnsi="Arial" w:cs="Arial"/>
              </w:rPr>
              <w:lastRenderedPageBreak/>
              <w:t xml:space="preserve">Applicant provided insufficient or no relevant evidence of TA experience with charter or district schools. Materials are unclear, incomplete, unprofessional, or unrelated to TA work, showing little or no support for the applicant’s capacity to deliver technical assistance. Materials do not comply with portfolio requirements. </w:t>
            </w:r>
          </w:p>
        </w:tc>
      </w:tr>
      <w:tr w:rsidR="004A743E" w:rsidRPr="00166FE4" w14:paraId="081538A8" w14:textId="77777777" w:rsidTr="004A743E">
        <w:tc>
          <w:tcPr>
            <w:tcW w:w="2011" w:type="dxa"/>
          </w:tcPr>
          <w:p w14:paraId="098BEE68" w14:textId="77777777" w:rsidR="004A743E" w:rsidRPr="00166FE4" w:rsidRDefault="004A743E" w:rsidP="00903A94">
            <w:pPr>
              <w:pStyle w:val="TableParagraph"/>
              <w:spacing w:before="15"/>
              <w:ind w:right="78"/>
              <w:rPr>
                <w:rFonts w:ascii="Arial" w:eastAsia="Arial" w:hAnsi="Arial" w:cs="Arial"/>
              </w:rPr>
            </w:pPr>
            <w:r w:rsidRPr="00166FE4">
              <w:rPr>
                <w:rFonts w:ascii="Arial" w:eastAsia="Arial" w:hAnsi="Arial" w:cs="Arial"/>
              </w:rPr>
              <w:t>Letters of Support</w:t>
            </w:r>
          </w:p>
          <w:p w14:paraId="5845B12B" w14:textId="77777777" w:rsidR="004A743E" w:rsidRPr="00166FE4" w:rsidRDefault="004A743E" w:rsidP="00903A94">
            <w:pPr>
              <w:pStyle w:val="TableParagraph"/>
              <w:spacing w:before="15"/>
              <w:ind w:right="78"/>
              <w:rPr>
                <w:rFonts w:ascii="Arial" w:eastAsia="Arial" w:hAnsi="Arial" w:cs="Arial"/>
              </w:rPr>
            </w:pPr>
          </w:p>
          <w:p w14:paraId="04AAB0F7" w14:textId="77777777" w:rsidR="004A743E" w:rsidRPr="00166FE4" w:rsidRDefault="004A743E" w:rsidP="00903A94">
            <w:pPr>
              <w:pStyle w:val="TableParagraph"/>
              <w:spacing w:before="15"/>
              <w:ind w:left="104" w:right="78"/>
              <w:rPr>
                <w:rFonts w:ascii="Arial" w:eastAsia="Arial" w:hAnsi="Arial" w:cs="Arial"/>
              </w:rPr>
            </w:pPr>
            <w:r w:rsidRPr="00166FE4">
              <w:rPr>
                <w:rFonts w:ascii="Arial" w:eastAsia="Arial" w:hAnsi="Arial" w:cs="Arial"/>
                <w:b/>
                <w:bCs/>
              </w:rPr>
              <w:t>Not included in total score but must meet clear case standard</w:t>
            </w:r>
          </w:p>
        </w:tc>
        <w:tc>
          <w:tcPr>
            <w:tcW w:w="2736" w:type="dxa"/>
          </w:tcPr>
          <w:p w14:paraId="2353AE40" w14:textId="77777777" w:rsidR="004A743E" w:rsidRPr="00166FE4" w:rsidRDefault="004A743E" w:rsidP="00903A94">
            <w:pPr>
              <w:pStyle w:val="TableParagraph"/>
              <w:spacing w:before="40" w:after="120"/>
              <w:ind w:left="102" w:right="78"/>
              <w:rPr>
                <w:rFonts w:ascii="Arial" w:hAnsi="Arial" w:cs="Arial"/>
              </w:rPr>
            </w:pPr>
            <w:r w:rsidRPr="00166FE4">
              <w:rPr>
                <w:rFonts w:ascii="Arial" w:hAnsi="Arial" w:cs="Arial"/>
              </w:rPr>
              <w:t>Applicant provided three letters of support from each required entity: a Charter School or CMO, a School District, and a COE. Each letter is signed and clearly demonstrates the applicant's capacity to successfully implement the proposed project and ensure statewide impact.</w:t>
            </w:r>
            <w:r>
              <w:rPr>
                <w:rFonts w:ascii="Arial" w:hAnsi="Arial" w:cs="Arial"/>
              </w:rPr>
              <w:t xml:space="preserve"> If applicable, provided letters of support from any proposed collaborating agencies.</w:t>
            </w:r>
          </w:p>
        </w:tc>
        <w:tc>
          <w:tcPr>
            <w:tcW w:w="2701" w:type="dxa"/>
          </w:tcPr>
          <w:p w14:paraId="5C50A1C5" w14:textId="77777777" w:rsidR="004A743E" w:rsidRPr="00166FE4" w:rsidRDefault="004A743E" w:rsidP="00903A94">
            <w:pPr>
              <w:pStyle w:val="TableParagraph"/>
              <w:spacing w:before="40" w:after="100" w:afterAutospacing="1"/>
              <w:ind w:left="103" w:right="78"/>
              <w:rPr>
                <w:rFonts w:ascii="Arial" w:hAnsi="Arial" w:cs="Arial"/>
              </w:rPr>
            </w:pPr>
            <w:r w:rsidRPr="00166FE4">
              <w:rPr>
                <w:rFonts w:ascii="Arial" w:hAnsi="Arial" w:cs="Arial"/>
              </w:rPr>
              <w:t>Not Applicable</w:t>
            </w:r>
          </w:p>
        </w:tc>
        <w:tc>
          <w:tcPr>
            <w:tcW w:w="2701" w:type="dxa"/>
          </w:tcPr>
          <w:p w14:paraId="1C5AD836" w14:textId="77777777" w:rsidR="004A743E" w:rsidRPr="00166FE4" w:rsidRDefault="004A743E" w:rsidP="00903A94">
            <w:pPr>
              <w:pStyle w:val="TableParagraph"/>
              <w:spacing w:before="40"/>
              <w:ind w:left="103" w:right="78"/>
              <w:rPr>
                <w:rFonts w:ascii="Arial" w:hAnsi="Arial" w:cs="Arial"/>
              </w:rPr>
            </w:pPr>
            <w:r w:rsidRPr="00166FE4">
              <w:rPr>
                <w:rFonts w:ascii="Arial" w:hAnsi="Arial" w:cs="Arial"/>
              </w:rPr>
              <w:t>Not Applicable</w:t>
            </w:r>
          </w:p>
        </w:tc>
        <w:tc>
          <w:tcPr>
            <w:tcW w:w="2812" w:type="dxa"/>
          </w:tcPr>
          <w:p w14:paraId="64255AB2" w14:textId="77777777" w:rsidR="004A743E" w:rsidRPr="00166FE4" w:rsidRDefault="004A743E" w:rsidP="00903A94">
            <w:pPr>
              <w:pStyle w:val="TableParagraph"/>
              <w:spacing w:before="40" w:after="240"/>
              <w:ind w:left="102" w:right="78"/>
              <w:rPr>
                <w:rFonts w:ascii="Arial" w:hAnsi="Arial" w:cs="Arial"/>
              </w:rPr>
            </w:pPr>
            <w:r w:rsidRPr="00166FE4">
              <w:rPr>
                <w:rFonts w:ascii="Arial" w:hAnsi="Arial" w:cs="Arial"/>
              </w:rPr>
              <w:t>The applicant failed to meet the requirements for submitted letters of support from the correct entities.</w:t>
            </w:r>
          </w:p>
        </w:tc>
      </w:tr>
    </w:tbl>
    <w:p w14:paraId="4411AED2" w14:textId="2D629861" w:rsidR="00037A63" w:rsidRDefault="00037A63" w:rsidP="003850D5">
      <w:pPr>
        <w:rPr>
          <w:rStyle w:val="Heading3Char"/>
        </w:rPr>
      </w:pPr>
      <w:bookmarkStart w:id="100" w:name="_Toc92803909"/>
    </w:p>
    <w:p w14:paraId="3A7C8DBE" w14:textId="77777777" w:rsidR="00037A63" w:rsidRDefault="00037A63">
      <w:pPr>
        <w:spacing w:after="160" w:line="259" w:lineRule="auto"/>
        <w:rPr>
          <w:rStyle w:val="Heading3Char"/>
        </w:rPr>
      </w:pPr>
      <w:r>
        <w:rPr>
          <w:rStyle w:val="Heading3Char"/>
        </w:rPr>
        <w:br w:type="page"/>
      </w:r>
    </w:p>
    <w:p w14:paraId="5E093569" w14:textId="6E37E96A" w:rsidR="00246D03" w:rsidRDefault="003850D5" w:rsidP="00246D03">
      <w:pPr>
        <w:pStyle w:val="Heading3"/>
        <w:numPr>
          <w:ilvl w:val="0"/>
          <w:numId w:val="50"/>
        </w:numPr>
      </w:pPr>
      <w:bookmarkStart w:id="101" w:name="_Toc199842749"/>
      <w:r>
        <w:rPr>
          <w:rStyle w:val="Heading3Char"/>
        </w:rPr>
        <w:lastRenderedPageBreak/>
        <w:t>Personnel Resources</w:t>
      </w:r>
      <w:bookmarkEnd w:id="101"/>
      <w:r w:rsidRPr="006113CA">
        <w:t xml:space="preserve"> </w:t>
      </w:r>
    </w:p>
    <w:p w14:paraId="6B638ABD" w14:textId="4E7AF4AB" w:rsidR="003850D5" w:rsidRPr="00EA1445" w:rsidRDefault="003850D5" w:rsidP="00246D03">
      <w:r w:rsidRPr="00453FA2">
        <w:rPr>
          <w:snapToGrid w:val="0"/>
        </w:rPr>
        <w:t xml:space="preserve">The content of this section must describe how the applicant demonstrates the staffing experience and resources </w:t>
      </w:r>
      <w:r w:rsidRPr="00EA1445">
        <w:rPr>
          <w:snapToGrid w:val="0"/>
        </w:rPr>
        <w:t>necessary to complete the tasks and deliverables contained in Section 5.3 Scope of Work.</w:t>
      </w:r>
    </w:p>
    <w:p w14:paraId="6E95A244" w14:textId="4A301EE6" w:rsidR="00037A63" w:rsidRDefault="003850D5" w:rsidP="00037A63">
      <w:pPr>
        <w:spacing w:after="0"/>
      </w:pPr>
      <w:r w:rsidRPr="00EA1445">
        <w:t xml:space="preserve">Total score of </w:t>
      </w:r>
      <w:r w:rsidR="00201EC6" w:rsidRPr="00EA1445">
        <w:t xml:space="preserve">24 </w:t>
      </w:r>
      <w:r w:rsidRPr="00EA1445">
        <w:t>points possible:</w:t>
      </w:r>
    </w:p>
    <w:p w14:paraId="2917B12D" w14:textId="77777777" w:rsidR="00037A63" w:rsidRDefault="00037A63" w:rsidP="00037A63">
      <w:pPr>
        <w:spacing w:after="0"/>
        <w:rPr>
          <w:bCs/>
        </w:rPr>
      </w:pPr>
    </w:p>
    <w:p w14:paraId="6D0B0AB6" w14:textId="226D32EF" w:rsidR="00B60CDB" w:rsidRPr="00037A63" w:rsidRDefault="00B60CDB" w:rsidP="00B477B2">
      <w:pPr>
        <w:pStyle w:val="TableHeader"/>
      </w:pPr>
      <w:r w:rsidRPr="00037A63">
        <w:t>Personnel Resources</w:t>
      </w:r>
    </w:p>
    <w:tbl>
      <w:tblPr>
        <w:tblStyle w:val="TableGrid1"/>
        <w:tblW w:w="12961" w:type="dxa"/>
        <w:tblLook w:val="01E0" w:firstRow="1" w:lastRow="1" w:firstColumn="1" w:lastColumn="1" w:noHBand="0" w:noVBand="0"/>
        <w:tblDescription w:val="Personnel Resources"/>
      </w:tblPr>
      <w:tblGrid>
        <w:gridCol w:w="2015"/>
        <w:gridCol w:w="2751"/>
        <w:gridCol w:w="2716"/>
        <w:gridCol w:w="2716"/>
        <w:gridCol w:w="2763"/>
      </w:tblGrid>
      <w:tr w:rsidR="003850D5" w:rsidRPr="00166FE4" w14:paraId="56545EAE" w14:textId="77777777" w:rsidTr="00005638">
        <w:trPr>
          <w:cantSplit/>
          <w:tblHeader/>
        </w:trPr>
        <w:tc>
          <w:tcPr>
            <w:tcW w:w="2015" w:type="dxa"/>
            <w:shd w:val="clear" w:color="auto" w:fill="A6A6A6" w:themeFill="background1" w:themeFillShade="A6"/>
          </w:tcPr>
          <w:p w14:paraId="642870DB" w14:textId="77777777" w:rsidR="003850D5" w:rsidRPr="00166FE4" w:rsidRDefault="003850D5" w:rsidP="00005638">
            <w:pPr>
              <w:pStyle w:val="TableParagraph"/>
              <w:ind w:right="78"/>
              <w:jc w:val="center"/>
              <w:rPr>
                <w:rFonts w:ascii="Arial" w:eastAsia="Arial" w:hAnsi="Arial" w:cs="Arial"/>
                <w:b/>
                <w:szCs w:val="24"/>
              </w:rPr>
            </w:pPr>
            <w:r w:rsidRPr="00166FE4">
              <w:rPr>
                <w:rFonts w:ascii="Arial" w:eastAsia="Arial" w:hAnsi="Arial" w:cs="Arial"/>
                <w:b/>
                <w:szCs w:val="24"/>
              </w:rPr>
              <w:t>I. Applicant Qualifications</w:t>
            </w:r>
          </w:p>
        </w:tc>
        <w:tc>
          <w:tcPr>
            <w:tcW w:w="2751" w:type="dxa"/>
            <w:shd w:val="clear" w:color="auto" w:fill="A6A6A6" w:themeFill="background1" w:themeFillShade="A6"/>
          </w:tcPr>
          <w:p w14:paraId="7E7E7A44" w14:textId="77777777" w:rsidR="003850D5" w:rsidRPr="00166FE4" w:rsidRDefault="003850D5" w:rsidP="00005638">
            <w:pPr>
              <w:pStyle w:val="TableParagraph"/>
              <w:spacing w:before="6"/>
              <w:ind w:right="78"/>
              <w:jc w:val="center"/>
              <w:rPr>
                <w:rFonts w:ascii="Arial" w:eastAsia="Arial" w:hAnsi="Arial" w:cs="Arial"/>
                <w:szCs w:val="24"/>
              </w:rPr>
            </w:pPr>
            <w:r w:rsidRPr="00166FE4">
              <w:rPr>
                <w:rFonts w:ascii="Arial" w:hAnsi="Arial" w:cs="Arial"/>
                <w:b/>
                <w:spacing w:val="-10"/>
                <w:szCs w:val="24"/>
              </w:rPr>
              <w:t xml:space="preserve">CLEAR </w:t>
            </w:r>
            <w:r w:rsidRPr="00166FE4">
              <w:rPr>
                <w:rFonts w:ascii="Arial" w:hAnsi="Arial" w:cs="Arial"/>
                <w:b/>
                <w:spacing w:val="-1"/>
                <w:szCs w:val="24"/>
              </w:rPr>
              <w:t>CASE</w:t>
            </w:r>
          </w:p>
          <w:p w14:paraId="55257471" w14:textId="77777777" w:rsidR="003850D5" w:rsidRPr="00166FE4" w:rsidRDefault="003850D5" w:rsidP="00005638">
            <w:pPr>
              <w:pStyle w:val="TableParagraph"/>
              <w:spacing w:before="10"/>
              <w:ind w:right="78"/>
              <w:jc w:val="center"/>
              <w:rPr>
                <w:rFonts w:ascii="Arial" w:eastAsia="Arial" w:hAnsi="Arial" w:cs="Arial"/>
                <w:szCs w:val="24"/>
              </w:rPr>
            </w:pPr>
            <w:r w:rsidRPr="00166FE4">
              <w:rPr>
                <w:rFonts w:ascii="Arial" w:eastAsia="Arial" w:hAnsi="Arial" w:cs="Arial"/>
                <w:b/>
                <w:bCs/>
                <w:spacing w:val="-1"/>
                <w:szCs w:val="24"/>
              </w:rPr>
              <w:t>8–7</w:t>
            </w:r>
            <w:r w:rsidRPr="00166FE4">
              <w:rPr>
                <w:rFonts w:ascii="Arial" w:eastAsia="Arial" w:hAnsi="Arial" w:cs="Arial"/>
                <w:b/>
                <w:bCs/>
                <w:spacing w:val="-6"/>
                <w:szCs w:val="24"/>
              </w:rPr>
              <w:t xml:space="preserve"> </w:t>
            </w:r>
            <w:r w:rsidRPr="00166FE4">
              <w:rPr>
                <w:rFonts w:ascii="Arial" w:eastAsia="Arial" w:hAnsi="Arial" w:cs="Arial"/>
                <w:b/>
                <w:bCs/>
                <w:spacing w:val="-1"/>
                <w:szCs w:val="24"/>
              </w:rPr>
              <w:t>Points</w:t>
            </w:r>
          </w:p>
        </w:tc>
        <w:tc>
          <w:tcPr>
            <w:tcW w:w="2716" w:type="dxa"/>
            <w:shd w:val="clear" w:color="auto" w:fill="A6A6A6" w:themeFill="background1" w:themeFillShade="A6"/>
          </w:tcPr>
          <w:p w14:paraId="18F10911" w14:textId="77777777" w:rsidR="003850D5" w:rsidRPr="00166FE4" w:rsidRDefault="003850D5" w:rsidP="00005638">
            <w:pPr>
              <w:pStyle w:val="TableParagraph"/>
              <w:spacing w:before="6"/>
              <w:ind w:right="78"/>
              <w:jc w:val="center"/>
              <w:rPr>
                <w:rFonts w:ascii="Arial" w:eastAsia="Arial" w:hAnsi="Arial" w:cs="Arial"/>
                <w:szCs w:val="24"/>
              </w:rPr>
            </w:pPr>
            <w:r w:rsidRPr="00166FE4">
              <w:rPr>
                <w:rFonts w:ascii="Arial" w:hAnsi="Arial" w:cs="Arial"/>
                <w:b/>
                <w:spacing w:val="-1"/>
                <w:szCs w:val="24"/>
              </w:rPr>
              <w:t>ADEQUATE</w:t>
            </w:r>
            <w:r w:rsidRPr="00166FE4">
              <w:rPr>
                <w:rFonts w:ascii="Arial" w:hAnsi="Arial" w:cs="Arial"/>
                <w:b/>
                <w:spacing w:val="-10"/>
                <w:szCs w:val="24"/>
              </w:rPr>
              <w:t xml:space="preserve"> </w:t>
            </w:r>
            <w:r w:rsidRPr="00166FE4">
              <w:rPr>
                <w:rFonts w:ascii="Arial" w:hAnsi="Arial" w:cs="Arial"/>
                <w:b/>
                <w:spacing w:val="-1"/>
                <w:szCs w:val="24"/>
              </w:rPr>
              <w:t>CASE</w:t>
            </w:r>
          </w:p>
          <w:p w14:paraId="71F587DF" w14:textId="77777777" w:rsidR="003850D5" w:rsidRPr="00166FE4" w:rsidRDefault="003850D5" w:rsidP="00005638">
            <w:pPr>
              <w:pStyle w:val="TableParagraph"/>
              <w:spacing w:before="10"/>
              <w:ind w:right="78"/>
              <w:jc w:val="center"/>
              <w:rPr>
                <w:rFonts w:ascii="Arial" w:eastAsia="Arial" w:hAnsi="Arial" w:cs="Arial"/>
                <w:szCs w:val="24"/>
              </w:rPr>
            </w:pPr>
            <w:r w:rsidRPr="00166FE4">
              <w:rPr>
                <w:rFonts w:ascii="Arial" w:eastAsia="Arial" w:hAnsi="Arial" w:cs="Arial"/>
                <w:b/>
                <w:bCs/>
                <w:spacing w:val="-1"/>
                <w:szCs w:val="24"/>
              </w:rPr>
              <w:t>6–5</w:t>
            </w:r>
            <w:r w:rsidRPr="00166FE4">
              <w:rPr>
                <w:rFonts w:ascii="Arial" w:eastAsia="Arial" w:hAnsi="Arial" w:cs="Arial"/>
                <w:b/>
                <w:bCs/>
                <w:spacing w:val="-6"/>
                <w:szCs w:val="24"/>
              </w:rPr>
              <w:t xml:space="preserve"> </w:t>
            </w:r>
            <w:r w:rsidRPr="00166FE4">
              <w:rPr>
                <w:rFonts w:ascii="Arial" w:eastAsia="Arial" w:hAnsi="Arial" w:cs="Arial"/>
                <w:b/>
                <w:bCs/>
                <w:spacing w:val="-1"/>
                <w:szCs w:val="24"/>
              </w:rPr>
              <w:t>Points</w:t>
            </w:r>
          </w:p>
        </w:tc>
        <w:tc>
          <w:tcPr>
            <w:tcW w:w="2716" w:type="dxa"/>
            <w:shd w:val="clear" w:color="auto" w:fill="A6A6A6" w:themeFill="background1" w:themeFillShade="A6"/>
          </w:tcPr>
          <w:p w14:paraId="736A66C7" w14:textId="77777777" w:rsidR="003850D5" w:rsidRPr="00166FE4" w:rsidRDefault="003850D5" w:rsidP="00005638">
            <w:pPr>
              <w:pStyle w:val="TableParagraph"/>
              <w:spacing w:before="6"/>
              <w:ind w:right="78"/>
              <w:jc w:val="center"/>
              <w:rPr>
                <w:rFonts w:ascii="Arial" w:eastAsia="Arial" w:hAnsi="Arial" w:cs="Arial"/>
                <w:szCs w:val="24"/>
              </w:rPr>
            </w:pPr>
            <w:r w:rsidRPr="00166FE4">
              <w:rPr>
                <w:rFonts w:ascii="Arial" w:hAnsi="Arial" w:cs="Arial"/>
                <w:b/>
                <w:spacing w:val="-1"/>
                <w:szCs w:val="24"/>
              </w:rPr>
              <w:t>LIMITED</w:t>
            </w:r>
            <w:r w:rsidRPr="00166FE4">
              <w:rPr>
                <w:rFonts w:ascii="Arial" w:hAnsi="Arial" w:cs="Arial"/>
                <w:b/>
                <w:spacing w:val="-9"/>
                <w:szCs w:val="24"/>
              </w:rPr>
              <w:t xml:space="preserve"> </w:t>
            </w:r>
            <w:r w:rsidRPr="00166FE4">
              <w:rPr>
                <w:rFonts w:ascii="Arial" w:hAnsi="Arial" w:cs="Arial"/>
                <w:b/>
                <w:spacing w:val="-1"/>
                <w:szCs w:val="24"/>
              </w:rPr>
              <w:t>CASE</w:t>
            </w:r>
          </w:p>
          <w:p w14:paraId="53F5C85E" w14:textId="77777777" w:rsidR="003850D5" w:rsidRPr="00166FE4" w:rsidRDefault="003850D5" w:rsidP="00005638">
            <w:pPr>
              <w:pStyle w:val="TableParagraph"/>
              <w:spacing w:before="10"/>
              <w:ind w:right="78"/>
              <w:jc w:val="center"/>
              <w:rPr>
                <w:rFonts w:ascii="Arial" w:eastAsia="Arial" w:hAnsi="Arial" w:cs="Arial"/>
                <w:szCs w:val="24"/>
              </w:rPr>
            </w:pPr>
            <w:r w:rsidRPr="00166FE4">
              <w:rPr>
                <w:rFonts w:ascii="Arial" w:eastAsia="Arial" w:hAnsi="Arial" w:cs="Arial"/>
                <w:b/>
                <w:bCs/>
                <w:spacing w:val="-1"/>
                <w:szCs w:val="24"/>
              </w:rPr>
              <w:t>4–3</w:t>
            </w:r>
            <w:r w:rsidRPr="00166FE4">
              <w:rPr>
                <w:rFonts w:ascii="Arial" w:eastAsia="Arial" w:hAnsi="Arial" w:cs="Arial"/>
                <w:b/>
                <w:bCs/>
                <w:spacing w:val="-6"/>
                <w:szCs w:val="24"/>
              </w:rPr>
              <w:t xml:space="preserve"> </w:t>
            </w:r>
            <w:r w:rsidRPr="00166FE4">
              <w:rPr>
                <w:rFonts w:ascii="Arial" w:eastAsia="Arial" w:hAnsi="Arial" w:cs="Arial"/>
                <w:b/>
                <w:bCs/>
                <w:spacing w:val="-1"/>
                <w:szCs w:val="24"/>
              </w:rPr>
              <w:t>Points</w:t>
            </w:r>
          </w:p>
        </w:tc>
        <w:tc>
          <w:tcPr>
            <w:tcW w:w="2763" w:type="dxa"/>
            <w:shd w:val="clear" w:color="auto" w:fill="A6A6A6" w:themeFill="background1" w:themeFillShade="A6"/>
          </w:tcPr>
          <w:p w14:paraId="1714A387" w14:textId="77777777" w:rsidR="003850D5" w:rsidRPr="00166FE4" w:rsidRDefault="003850D5" w:rsidP="00005638">
            <w:pPr>
              <w:pStyle w:val="TableParagraph"/>
              <w:spacing w:before="6"/>
              <w:ind w:right="114"/>
              <w:jc w:val="center"/>
              <w:rPr>
                <w:rFonts w:ascii="Arial" w:eastAsia="Arial" w:hAnsi="Arial" w:cs="Arial"/>
                <w:szCs w:val="24"/>
              </w:rPr>
            </w:pPr>
            <w:r w:rsidRPr="00166FE4">
              <w:rPr>
                <w:rFonts w:ascii="Arial" w:hAnsi="Arial" w:cs="Arial"/>
                <w:b/>
                <w:spacing w:val="-1"/>
                <w:szCs w:val="24"/>
              </w:rPr>
              <w:t>INADEQUATE</w:t>
            </w:r>
            <w:r w:rsidRPr="00166FE4">
              <w:rPr>
                <w:rFonts w:ascii="Arial" w:hAnsi="Arial" w:cs="Arial"/>
                <w:b/>
                <w:spacing w:val="-6"/>
                <w:szCs w:val="24"/>
              </w:rPr>
              <w:t xml:space="preserve"> </w:t>
            </w:r>
            <w:r w:rsidRPr="00166FE4">
              <w:rPr>
                <w:rFonts w:ascii="Arial" w:hAnsi="Arial" w:cs="Arial"/>
                <w:b/>
                <w:spacing w:val="-1"/>
                <w:szCs w:val="24"/>
              </w:rPr>
              <w:t>CASE</w:t>
            </w:r>
          </w:p>
          <w:p w14:paraId="0DD242AB" w14:textId="77777777" w:rsidR="003850D5" w:rsidRPr="00166FE4" w:rsidRDefault="003850D5" w:rsidP="00005638">
            <w:pPr>
              <w:pStyle w:val="TableParagraph"/>
              <w:spacing w:before="10"/>
              <w:ind w:right="114"/>
              <w:jc w:val="center"/>
              <w:rPr>
                <w:rFonts w:ascii="Arial" w:eastAsia="Arial" w:hAnsi="Arial" w:cs="Arial"/>
                <w:szCs w:val="24"/>
              </w:rPr>
            </w:pPr>
            <w:r w:rsidRPr="00166FE4">
              <w:rPr>
                <w:rFonts w:ascii="Arial" w:eastAsia="Arial" w:hAnsi="Arial" w:cs="Arial"/>
                <w:b/>
                <w:bCs/>
                <w:spacing w:val="-1"/>
                <w:szCs w:val="24"/>
              </w:rPr>
              <w:t>2–0</w:t>
            </w:r>
            <w:r w:rsidRPr="00166FE4">
              <w:rPr>
                <w:rFonts w:ascii="Arial" w:eastAsia="Arial" w:hAnsi="Arial" w:cs="Arial"/>
                <w:b/>
                <w:bCs/>
                <w:spacing w:val="-6"/>
                <w:szCs w:val="24"/>
              </w:rPr>
              <w:t xml:space="preserve"> </w:t>
            </w:r>
            <w:r w:rsidRPr="00166FE4">
              <w:rPr>
                <w:rFonts w:ascii="Arial" w:eastAsia="Arial" w:hAnsi="Arial" w:cs="Arial"/>
                <w:b/>
                <w:bCs/>
                <w:spacing w:val="-1"/>
                <w:szCs w:val="24"/>
              </w:rPr>
              <w:t>Points</w:t>
            </w:r>
          </w:p>
        </w:tc>
      </w:tr>
      <w:tr w:rsidR="003850D5" w:rsidRPr="00166FE4" w14:paraId="127655E4" w14:textId="77777777" w:rsidTr="00005638">
        <w:trPr>
          <w:cantSplit/>
        </w:trPr>
        <w:tc>
          <w:tcPr>
            <w:tcW w:w="2015" w:type="dxa"/>
            <w:shd w:val="clear" w:color="auto" w:fill="auto"/>
          </w:tcPr>
          <w:p w14:paraId="7DC11AC4" w14:textId="77777777" w:rsidR="003850D5" w:rsidRPr="00166FE4" w:rsidRDefault="003850D5" w:rsidP="00005638">
            <w:pPr>
              <w:pStyle w:val="TableParagraph"/>
              <w:spacing w:before="100" w:beforeAutospacing="1" w:after="240"/>
              <w:ind w:right="78"/>
              <w:rPr>
                <w:rFonts w:ascii="Arial" w:eastAsia="Arial" w:hAnsi="Arial" w:cs="Arial"/>
                <w:szCs w:val="24"/>
              </w:rPr>
            </w:pPr>
            <w:r w:rsidRPr="00166FE4">
              <w:rPr>
                <w:rFonts w:ascii="Arial" w:eastAsia="Arial" w:hAnsi="Arial" w:cs="Arial"/>
                <w:szCs w:val="24"/>
              </w:rPr>
              <w:t>A. Subgrant Monitor Qualifications</w:t>
            </w:r>
          </w:p>
          <w:p w14:paraId="742CBE12" w14:textId="77777777" w:rsidR="003850D5" w:rsidRPr="00166FE4" w:rsidRDefault="003850D5" w:rsidP="00005638">
            <w:pPr>
              <w:pStyle w:val="TableParagraph"/>
              <w:spacing w:before="15"/>
              <w:ind w:right="78"/>
              <w:rPr>
                <w:rFonts w:ascii="Arial" w:eastAsia="Arial" w:hAnsi="Arial" w:cs="Arial"/>
                <w:szCs w:val="24"/>
              </w:rPr>
            </w:pPr>
            <w:r w:rsidRPr="00166FE4">
              <w:rPr>
                <w:rFonts w:ascii="Arial" w:eastAsia="Arial" w:hAnsi="Arial" w:cs="Arial"/>
                <w:szCs w:val="24"/>
              </w:rPr>
              <w:t xml:space="preserve">Score of 8 points possible:  </w:t>
            </w:r>
          </w:p>
        </w:tc>
        <w:tc>
          <w:tcPr>
            <w:tcW w:w="2751" w:type="dxa"/>
            <w:shd w:val="clear" w:color="auto" w:fill="auto"/>
          </w:tcPr>
          <w:p w14:paraId="7384B5E4" w14:textId="25F0753A" w:rsidR="00174C8B" w:rsidRPr="00017D58" w:rsidRDefault="00174C8B" w:rsidP="00340C76">
            <w:pPr>
              <w:pStyle w:val="TableParagraph"/>
              <w:spacing w:before="15" w:after="120"/>
              <w:ind w:right="78"/>
              <w:rPr>
                <w:rFonts w:ascii="Arial" w:hAnsi="Arial" w:cs="Arial"/>
                <w:szCs w:val="24"/>
              </w:rPr>
            </w:pPr>
            <w:r w:rsidRPr="00017D58">
              <w:rPr>
                <w:rFonts w:ascii="Arial" w:hAnsi="Arial" w:cs="Arial"/>
                <w:szCs w:val="24"/>
              </w:rPr>
              <w:t>Applicant clearly identifies the Subgrant Monitor and demonstrates how they meet or exceed all minimum qualifications, including three or more years of experience in high-quality schools or school improvement, professional learning communities, project management, and educational technology. Description clearly explains how the Monitor will coordinate, manage, and supervise all subgrant activities and staff. Resume is included.</w:t>
            </w:r>
          </w:p>
        </w:tc>
        <w:tc>
          <w:tcPr>
            <w:tcW w:w="2716" w:type="dxa"/>
            <w:shd w:val="clear" w:color="auto" w:fill="auto"/>
          </w:tcPr>
          <w:p w14:paraId="4542E7AF" w14:textId="03A6A60D" w:rsidR="00174C8B" w:rsidRPr="00017D58" w:rsidRDefault="00174C8B" w:rsidP="00340C76">
            <w:pPr>
              <w:pStyle w:val="TableParagraph"/>
              <w:spacing w:before="15"/>
              <w:ind w:right="78"/>
              <w:rPr>
                <w:rFonts w:ascii="Arial" w:hAnsi="Arial" w:cs="Arial"/>
                <w:szCs w:val="24"/>
              </w:rPr>
            </w:pPr>
            <w:r w:rsidRPr="00017D58">
              <w:rPr>
                <w:rFonts w:ascii="Arial" w:hAnsi="Arial" w:cs="Arial"/>
                <w:szCs w:val="24"/>
              </w:rPr>
              <w:t>Applicant identifies the Subgrant Monitor and describes how they meet most required qualifications, including at least three years of relevant experience. Description addresses how the Monitor will manage subgrant activities and staff. Minor detail may be lacking. Resume is included.</w:t>
            </w:r>
          </w:p>
        </w:tc>
        <w:tc>
          <w:tcPr>
            <w:tcW w:w="2716" w:type="dxa"/>
            <w:shd w:val="clear" w:color="auto" w:fill="auto"/>
          </w:tcPr>
          <w:p w14:paraId="32BF0828" w14:textId="50B99DE5" w:rsidR="00174C8B" w:rsidRPr="00017D58" w:rsidRDefault="00174C8B" w:rsidP="00340C76">
            <w:pPr>
              <w:pStyle w:val="TableParagraph"/>
              <w:spacing w:before="15"/>
              <w:ind w:right="78"/>
              <w:rPr>
                <w:rFonts w:ascii="Arial" w:hAnsi="Arial" w:cs="Arial"/>
                <w:szCs w:val="24"/>
              </w:rPr>
            </w:pPr>
            <w:r w:rsidRPr="00017D58">
              <w:rPr>
                <w:rFonts w:ascii="Arial" w:hAnsi="Arial" w:cs="Arial"/>
                <w:szCs w:val="24"/>
              </w:rPr>
              <w:t>Applicant identifies a Subgrant Monitor, but the description provides limited evidence of required qualifications or experience. Responsibilities may be only partially addressed or unclear. Resume may be incomplete or missing.</w:t>
            </w:r>
          </w:p>
        </w:tc>
        <w:tc>
          <w:tcPr>
            <w:tcW w:w="2763" w:type="dxa"/>
            <w:shd w:val="clear" w:color="auto" w:fill="auto"/>
          </w:tcPr>
          <w:p w14:paraId="65A8A95E" w14:textId="4308ECDD" w:rsidR="00174C8B" w:rsidRPr="00017D58" w:rsidRDefault="00174C8B" w:rsidP="00340C76">
            <w:pPr>
              <w:pStyle w:val="TableParagraph"/>
              <w:spacing w:before="15" w:after="120"/>
              <w:ind w:right="78"/>
              <w:rPr>
                <w:rFonts w:ascii="Arial" w:hAnsi="Arial" w:cs="Arial"/>
                <w:szCs w:val="24"/>
              </w:rPr>
            </w:pPr>
            <w:r w:rsidRPr="00017D58">
              <w:rPr>
                <w:rFonts w:ascii="Arial" w:hAnsi="Arial" w:cs="Arial"/>
                <w:szCs w:val="24"/>
              </w:rPr>
              <w:t>Applicant does not identify a qualified Subgrant Monitor or provides minimal/no evidence of required qualifications or responsibilities. Lacks sufficient detail on experience or role. Resume is missing.</w:t>
            </w:r>
          </w:p>
        </w:tc>
      </w:tr>
      <w:tr w:rsidR="003850D5" w:rsidRPr="00166FE4" w14:paraId="6A2113FA" w14:textId="77777777" w:rsidTr="00005638">
        <w:trPr>
          <w:cantSplit/>
        </w:trPr>
        <w:tc>
          <w:tcPr>
            <w:tcW w:w="2015" w:type="dxa"/>
            <w:shd w:val="clear" w:color="auto" w:fill="auto"/>
          </w:tcPr>
          <w:p w14:paraId="60C9BE07" w14:textId="77777777" w:rsidR="003850D5" w:rsidRPr="00166FE4" w:rsidRDefault="003850D5" w:rsidP="00005638">
            <w:pPr>
              <w:pStyle w:val="TableParagraph"/>
              <w:spacing w:before="100" w:beforeAutospacing="1" w:after="240"/>
              <w:ind w:right="78"/>
              <w:rPr>
                <w:rFonts w:ascii="Arial" w:eastAsia="Arial" w:hAnsi="Arial" w:cs="Arial"/>
                <w:szCs w:val="24"/>
              </w:rPr>
            </w:pPr>
            <w:r w:rsidRPr="00166FE4">
              <w:rPr>
                <w:rFonts w:ascii="Arial" w:eastAsia="Arial" w:hAnsi="Arial" w:cs="Arial"/>
                <w:szCs w:val="24"/>
              </w:rPr>
              <w:lastRenderedPageBreak/>
              <w:t>B. Fiscal Manager Qualifications</w:t>
            </w:r>
          </w:p>
          <w:p w14:paraId="368C0735" w14:textId="77777777" w:rsidR="003850D5" w:rsidRPr="00166FE4" w:rsidRDefault="003850D5" w:rsidP="00005638">
            <w:pPr>
              <w:pStyle w:val="TableParagraph"/>
              <w:spacing w:before="15"/>
              <w:ind w:right="78"/>
              <w:rPr>
                <w:rFonts w:ascii="Arial" w:eastAsia="Arial" w:hAnsi="Arial" w:cs="Arial"/>
                <w:szCs w:val="24"/>
              </w:rPr>
            </w:pPr>
            <w:r w:rsidRPr="00166FE4">
              <w:rPr>
                <w:rFonts w:ascii="Arial" w:eastAsia="Arial" w:hAnsi="Arial" w:cs="Arial"/>
                <w:szCs w:val="24"/>
              </w:rPr>
              <w:t>Score of 8 points possible:</w:t>
            </w:r>
          </w:p>
        </w:tc>
        <w:tc>
          <w:tcPr>
            <w:tcW w:w="2751" w:type="dxa"/>
            <w:shd w:val="clear" w:color="auto" w:fill="auto"/>
          </w:tcPr>
          <w:p w14:paraId="34FD4EFA" w14:textId="77777777" w:rsidR="003850D5" w:rsidRPr="00166FE4" w:rsidRDefault="003850D5" w:rsidP="00340C76">
            <w:pPr>
              <w:pStyle w:val="TableParagraph"/>
              <w:spacing w:before="15" w:after="120"/>
              <w:ind w:right="78"/>
              <w:rPr>
                <w:rFonts w:ascii="Arial" w:hAnsi="Arial" w:cs="Arial"/>
                <w:szCs w:val="24"/>
              </w:rPr>
            </w:pPr>
            <w:r w:rsidRPr="00166FE4">
              <w:rPr>
                <w:rFonts w:ascii="Arial" w:hAnsi="Arial" w:cs="Arial"/>
                <w:szCs w:val="24"/>
              </w:rPr>
              <w:t xml:space="preserve">Includes a clear description of the person identified to act as the Fiscal Manager outlining how they </w:t>
            </w:r>
            <w:r w:rsidRPr="00166FE4">
              <w:rPr>
                <w:rFonts w:ascii="Arial" w:hAnsi="Arial" w:cs="Arial"/>
                <w:i/>
                <w:szCs w:val="24"/>
              </w:rPr>
              <w:t>exceed</w:t>
            </w:r>
            <w:r w:rsidRPr="00166FE4">
              <w:rPr>
                <w:rFonts w:ascii="Arial" w:hAnsi="Arial" w:cs="Arial"/>
                <w:szCs w:val="24"/>
              </w:rPr>
              <w:t xml:space="preserve"> the minimum three years’</w:t>
            </w:r>
            <w:r w:rsidRPr="00166FE4">
              <w:rPr>
                <w:rStyle w:val="CommentReference"/>
                <w:rFonts w:ascii="Arial" w:hAnsi="Arial" w:cs="Arial"/>
              </w:rPr>
              <w:t xml:space="preserve"> </w:t>
            </w:r>
            <w:r w:rsidRPr="00166FE4">
              <w:rPr>
                <w:rFonts w:ascii="Arial" w:hAnsi="Arial" w:cs="Arial"/>
                <w:szCs w:val="24"/>
              </w:rPr>
              <w:t>experience managing a project of similar size and scope. The fiscal and budgetary processes are described. Resume is included.</w:t>
            </w:r>
          </w:p>
        </w:tc>
        <w:tc>
          <w:tcPr>
            <w:tcW w:w="2716" w:type="dxa"/>
            <w:shd w:val="clear" w:color="auto" w:fill="auto"/>
          </w:tcPr>
          <w:p w14:paraId="74CB94AC" w14:textId="77777777" w:rsidR="003850D5" w:rsidRPr="00166FE4" w:rsidRDefault="003850D5" w:rsidP="00340C76">
            <w:pPr>
              <w:pStyle w:val="TableParagraph"/>
              <w:spacing w:before="15"/>
              <w:ind w:right="78"/>
              <w:rPr>
                <w:rFonts w:ascii="Arial" w:hAnsi="Arial" w:cs="Arial"/>
                <w:szCs w:val="24"/>
              </w:rPr>
            </w:pPr>
            <w:r w:rsidRPr="00166FE4">
              <w:rPr>
                <w:rFonts w:ascii="Arial" w:hAnsi="Arial" w:cs="Arial"/>
                <w:szCs w:val="24"/>
              </w:rPr>
              <w:t xml:space="preserve">Includes an adequate description of the person identified to act as the Fiscal Manager outlining how they </w:t>
            </w:r>
            <w:r w:rsidRPr="00166FE4">
              <w:rPr>
                <w:rFonts w:ascii="Arial" w:hAnsi="Arial" w:cs="Arial"/>
                <w:i/>
                <w:szCs w:val="24"/>
              </w:rPr>
              <w:t>meet</w:t>
            </w:r>
            <w:r w:rsidRPr="00166FE4">
              <w:rPr>
                <w:rFonts w:ascii="Arial" w:hAnsi="Arial" w:cs="Arial"/>
                <w:szCs w:val="24"/>
              </w:rPr>
              <w:t xml:space="preserve"> the minimum years of experience managing a project of similar size and scope. The fiscal and budgetary processes are described. Resume is included.</w:t>
            </w:r>
          </w:p>
        </w:tc>
        <w:tc>
          <w:tcPr>
            <w:tcW w:w="2716" w:type="dxa"/>
            <w:shd w:val="clear" w:color="auto" w:fill="auto"/>
          </w:tcPr>
          <w:p w14:paraId="4113921B" w14:textId="77777777" w:rsidR="003850D5" w:rsidRPr="00166FE4" w:rsidRDefault="003850D5" w:rsidP="00340C76">
            <w:pPr>
              <w:pStyle w:val="TableParagraph"/>
              <w:spacing w:before="15"/>
              <w:ind w:right="78"/>
              <w:rPr>
                <w:rFonts w:ascii="Arial" w:hAnsi="Arial" w:cs="Arial"/>
                <w:szCs w:val="24"/>
              </w:rPr>
            </w:pPr>
            <w:r w:rsidRPr="00166FE4">
              <w:rPr>
                <w:rFonts w:ascii="Arial" w:hAnsi="Arial" w:cs="Arial"/>
                <w:szCs w:val="24"/>
              </w:rPr>
              <w:t>Includes a limited description of the person identified to act as the Fiscal Manager or limited experience managing a project of similar size and scope. Resume is included.</w:t>
            </w:r>
          </w:p>
        </w:tc>
        <w:tc>
          <w:tcPr>
            <w:tcW w:w="2763" w:type="dxa"/>
            <w:shd w:val="clear" w:color="auto" w:fill="auto"/>
          </w:tcPr>
          <w:p w14:paraId="26D8E6F5" w14:textId="77777777" w:rsidR="003850D5" w:rsidRPr="00166FE4" w:rsidRDefault="003850D5" w:rsidP="00340C76">
            <w:pPr>
              <w:pStyle w:val="TableParagraph"/>
              <w:spacing w:before="15" w:after="120"/>
              <w:ind w:right="78"/>
              <w:rPr>
                <w:rFonts w:ascii="Arial" w:hAnsi="Arial" w:cs="Arial"/>
                <w:szCs w:val="24"/>
              </w:rPr>
            </w:pPr>
            <w:r w:rsidRPr="00166FE4">
              <w:rPr>
                <w:rFonts w:ascii="Arial" w:hAnsi="Arial" w:cs="Arial"/>
                <w:szCs w:val="24"/>
              </w:rPr>
              <w:t>The applicant provides an inadequate description of the person identified to act as the Fiscal Manager or inadequate experience with projects of a similar size and scope. Resume is not included.</w:t>
            </w:r>
          </w:p>
        </w:tc>
      </w:tr>
      <w:tr w:rsidR="003850D5" w:rsidRPr="00166FE4" w14:paraId="23D83F0F" w14:textId="77777777" w:rsidTr="00005638">
        <w:trPr>
          <w:cantSplit/>
        </w:trPr>
        <w:tc>
          <w:tcPr>
            <w:tcW w:w="2015" w:type="dxa"/>
            <w:shd w:val="clear" w:color="auto" w:fill="auto"/>
          </w:tcPr>
          <w:p w14:paraId="120848E5" w14:textId="77777777" w:rsidR="003850D5" w:rsidRPr="00166FE4" w:rsidRDefault="003850D5" w:rsidP="00005638">
            <w:pPr>
              <w:pStyle w:val="TableParagraph"/>
              <w:spacing w:before="100" w:beforeAutospacing="1" w:after="240"/>
              <w:ind w:right="78"/>
              <w:rPr>
                <w:rFonts w:ascii="Arial" w:eastAsia="Arial" w:hAnsi="Arial" w:cs="Arial"/>
                <w:szCs w:val="24"/>
              </w:rPr>
            </w:pPr>
            <w:r w:rsidRPr="00166FE4">
              <w:rPr>
                <w:rFonts w:ascii="Arial" w:eastAsia="Arial" w:hAnsi="Arial" w:cs="Arial"/>
                <w:szCs w:val="24"/>
              </w:rPr>
              <w:t>C. Key Personnel Qualifications</w:t>
            </w:r>
          </w:p>
          <w:p w14:paraId="62E14252" w14:textId="77777777" w:rsidR="003850D5" w:rsidRPr="00166FE4" w:rsidRDefault="003850D5" w:rsidP="00005638">
            <w:pPr>
              <w:pStyle w:val="TableParagraph"/>
              <w:spacing w:before="15"/>
              <w:ind w:right="78"/>
              <w:rPr>
                <w:rFonts w:ascii="Arial" w:eastAsia="Arial" w:hAnsi="Arial" w:cs="Arial"/>
                <w:szCs w:val="24"/>
              </w:rPr>
            </w:pPr>
            <w:r w:rsidRPr="00166FE4">
              <w:rPr>
                <w:rFonts w:ascii="Arial" w:eastAsia="Arial" w:hAnsi="Arial" w:cs="Arial"/>
                <w:szCs w:val="24"/>
              </w:rPr>
              <w:t xml:space="preserve">Score of 8 points possible:  </w:t>
            </w:r>
          </w:p>
        </w:tc>
        <w:tc>
          <w:tcPr>
            <w:tcW w:w="2751" w:type="dxa"/>
            <w:shd w:val="clear" w:color="auto" w:fill="auto"/>
          </w:tcPr>
          <w:p w14:paraId="76BA286A" w14:textId="77777777" w:rsidR="003850D5" w:rsidRPr="00166FE4" w:rsidRDefault="003850D5" w:rsidP="00340C76">
            <w:pPr>
              <w:pStyle w:val="TableParagraph"/>
              <w:spacing w:before="15" w:after="120"/>
              <w:ind w:right="78"/>
              <w:rPr>
                <w:rFonts w:ascii="Arial" w:hAnsi="Arial" w:cs="Arial"/>
                <w:szCs w:val="24"/>
              </w:rPr>
            </w:pPr>
            <w:r w:rsidRPr="00166FE4">
              <w:rPr>
                <w:rFonts w:ascii="Arial" w:hAnsi="Arial" w:cs="Arial"/>
                <w:szCs w:val="24"/>
              </w:rPr>
              <w:t xml:space="preserve">Includes a clear description of any Key Personnel and how they </w:t>
            </w:r>
            <w:r w:rsidRPr="00166FE4">
              <w:rPr>
                <w:rFonts w:ascii="Arial" w:hAnsi="Arial" w:cs="Arial"/>
                <w:i/>
                <w:szCs w:val="24"/>
              </w:rPr>
              <w:t>exceed</w:t>
            </w:r>
            <w:r w:rsidRPr="00166FE4">
              <w:rPr>
                <w:rFonts w:ascii="Arial" w:hAnsi="Arial" w:cs="Arial"/>
                <w:szCs w:val="24"/>
              </w:rPr>
              <w:t xml:space="preserve"> the minimum three years’ experience required to complete required tasks. Resume(s) included.</w:t>
            </w:r>
          </w:p>
        </w:tc>
        <w:tc>
          <w:tcPr>
            <w:tcW w:w="2716" w:type="dxa"/>
            <w:shd w:val="clear" w:color="auto" w:fill="auto"/>
          </w:tcPr>
          <w:p w14:paraId="5EAD6889" w14:textId="77777777" w:rsidR="003850D5" w:rsidRPr="00166FE4" w:rsidRDefault="003850D5" w:rsidP="00340C76">
            <w:pPr>
              <w:pStyle w:val="TableParagraph"/>
              <w:spacing w:before="15"/>
              <w:ind w:right="78"/>
              <w:rPr>
                <w:rFonts w:ascii="Arial" w:hAnsi="Arial" w:cs="Arial"/>
                <w:szCs w:val="24"/>
              </w:rPr>
            </w:pPr>
            <w:r w:rsidRPr="00166FE4">
              <w:rPr>
                <w:rFonts w:ascii="Arial" w:hAnsi="Arial" w:cs="Arial"/>
                <w:szCs w:val="24"/>
              </w:rPr>
              <w:t xml:space="preserve">Includes an adequate description of any Key Personnel and how they </w:t>
            </w:r>
            <w:r w:rsidRPr="00166FE4">
              <w:rPr>
                <w:rFonts w:ascii="Arial" w:hAnsi="Arial" w:cs="Arial"/>
                <w:i/>
                <w:szCs w:val="24"/>
              </w:rPr>
              <w:t>meet</w:t>
            </w:r>
            <w:r w:rsidRPr="00166FE4">
              <w:rPr>
                <w:rFonts w:ascii="Arial" w:hAnsi="Arial" w:cs="Arial"/>
                <w:szCs w:val="24"/>
              </w:rPr>
              <w:t xml:space="preserve"> the minimum years of experience required to complete required tasks. Resume(s) included.</w:t>
            </w:r>
          </w:p>
        </w:tc>
        <w:tc>
          <w:tcPr>
            <w:tcW w:w="2716" w:type="dxa"/>
            <w:shd w:val="clear" w:color="auto" w:fill="auto"/>
          </w:tcPr>
          <w:p w14:paraId="3D903DB1" w14:textId="77777777" w:rsidR="003850D5" w:rsidRPr="00166FE4" w:rsidRDefault="003850D5" w:rsidP="00340C76">
            <w:pPr>
              <w:pStyle w:val="TableParagraph"/>
              <w:spacing w:before="15" w:after="120"/>
              <w:ind w:right="78"/>
              <w:rPr>
                <w:rFonts w:ascii="Arial" w:hAnsi="Arial" w:cs="Arial"/>
                <w:szCs w:val="24"/>
              </w:rPr>
            </w:pPr>
            <w:r w:rsidRPr="00166FE4">
              <w:rPr>
                <w:rFonts w:ascii="Arial" w:hAnsi="Arial" w:cs="Arial"/>
                <w:szCs w:val="24"/>
              </w:rPr>
              <w:t xml:space="preserve">Includes a limited description of any Key Personnel and their experience related to completing the required tasks. Resume(s) included </w:t>
            </w:r>
          </w:p>
        </w:tc>
        <w:tc>
          <w:tcPr>
            <w:tcW w:w="2763" w:type="dxa"/>
            <w:shd w:val="clear" w:color="auto" w:fill="auto"/>
          </w:tcPr>
          <w:p w14:paraId="619B74AF" w14:textId="77777777" w:rsidR="003850D5" w:rsidRPr="00166FE4" w:rsidRDefault="003850D5" w:rsidP="00340C76">
            <w:pPr>
              <w:pStyle w:val="TableParagraph"/>
              <w:spacing w:before="15"/>
              <w:ind w:right="114"/>
              <w:rPr>
                <w:rFonts w:ascii="Arial" w:hAnsi="Arial" w:cs="Arial"/>
                <w:szCs w:val="24"/>
              </w:rPr>
            </w:pPr>
            <w:r w:rsidRPr="00166FE4">
              <w:rPr>
                <w:rFonts w:ascii="Arial" w:hAnsi="Arial" w:cs="Arial"/>
                <w:szCs w:val="24"/>
              </w:rPr>
              <w:t xml:space="preserve">Includes an insufficient description of Key Personnel. Resume(s) not included. </w:t>
            </w:r>
          </w:p>
        </w:tc>
      </w:tr>
      <w:tr w:rsidR="003850D5" w:rsidRPr="00166FE4" w14:paraId="219DF5AA" w14:textId="77777777" w:rsidTr="00005638">
        <w:trPr>
          <w:cantSplit/>
        </w:trPr>
        <w:tc>
          <w:tcPr>
            <w:tcW w:w="2015" w:type="dxa"/>
            <w:shd w:val="clear" w:color="auto" w:fill="auto"/>
          </w:tcPr>
          <w:p w14:paraId="39F7E1FD" w14:textId="77777777" w:rsidR="003850D5" w:rsidRPr="00166FE4" w:rsidRDefault="003850D5" w:rsidP="003850D5">
            <w:pPr>
              <w:pStyle w:val="TableParagraph"/>
              <w:spacing w:before="15"/>
              <w:ind w:right="78"/>
              <w:rPr>
                <w:rFonts w:ascii="Arial" w:eastAsia="Arial" w:hAnsi="Arial" w:cs="Arial"/>
                <w:szCs w:val="24"/>
              </w:rPr>
            </w:pPr>
            <w:r w:rsidRPr="00166FE4">
              <w:rPr>
                <w:rFonts w:ascii="Arial" w:eastAsia="Arial" w:hAnsi="Arial" w:cs="Arial"/>
                <w:szCs w:val="24"/>
              </w:rPr>
              <w:t>D. Collaborating Agency Qualifications (if applicable)</w:t>
            </w:r>
          </w:p>
          <w:p w14:paraId="75A581F2" w14:textId="77777777" w:rsidR="003850D5" w:rsidRPr="00166FE4" w:rsidRDefault="003850D5" w:rsidP="003850D5">
            <w:pPr>
              <w:pStyle w:val="TableParagraph"/>
              <w:spacing w:before="100" w:beforeAutospacing="1" w:after="240"/>
              <w:ind w:right="78"/>
              <w:rPr>
                <w:rFonts w:ascii="Arial" w:eastAsia="Arial" w:hAnsi="Arial" w:cs="Arial"/>
                <w:szCs w:val="24"/>
              </w:rPr>
            </w:pPr>
            <w:r w:rsidRPr="00166FE4">
              <w:rPr>
                <w:rFonts w:ascii="Arial" w:eastAsia="Arial" w:hAnsi="Arial" w:cs="Arial"/>
                <w:b/>
                <w:szCs w:val="24"/>
              </w:rPr>
              <w:t>Not included in total score but must meet Adequate Case Standard</w:t>
            </w:r>
          </w:p>
        </w:tc>
        <w:tc>
          <w:tcPr>
            <w:tcW w:w="2751" w:type="dxa"/>
            <w:shd w:val="clear" w:color="auto" w:fill="auto"/>
          </w:tcPr>
          <w:p w14:paraId="6977155A" w14:textId="77777777" w:rsidR="003850D5" w:rsidRPr="00166FE4" w:rsidRDefault="003850D5" w:rsidP="00005638">
            <w:pPr>
              <w:pStyle w:val="TableParagraph"/>
              <w:spacing w:before="15" w:after="120"/>
              <w:ind w:right="78"/>
              <w:rPr>
                <w:rFonts w:ascii="Arial" w:hAnsi="Arial" w:cs="Arial"/>
                <w:szCs w:val="24"/>
              </w:rPr>
            </w:pPr>
            <w:r w:rsidRPr="00166FE4">
              <w:rPr>
                <w:rFonts w:ascii="Arial" w:hAnsi="Arial" w:cs="Arial"/>
              </w:rPr>
              <w:t xml:space="preserve">Includes names, positions, tasks to be assigned, and clear justification for the use of the proposed collaborating agency. Describes how the collaborating agency staff </w:t>
            </w:r>
            <w:r w:rsidRPr="00166FE4">
              <w:rPr>
                <w:rFonts w:ascii="Arial" w:hAnsi="Arial" w:cs="Arial"/>
                <w:i/>
              </w:rPr>
              <w:t>exceeds</w:t>
            </w:r>
            <w:r w:rsidRPr="00166FE4">
              <w:rPr>
                <w:rFonts w:ascii="Arial" w:hAnsi="Arial" w:cs="Arial"/>
              </w:rPr>
              <w:t xml:space="preserve"> minimum qualifications. Resume(s) included.</w:t>
            </w:r>
          </w:p>
        </w:tc>
        <w:tc>
          <w:tcPr>
            <w:tcW w:w="2716" w:type="dxa"/>
            <w:shd w:val="clear" w:color="auto" w:fill="auto"/>
          </w:tcPr>
          <w:p w14:paraId="187B0207" w14:textId="77777777" w:rsidR="003850D5" w:rsidRPr="00166FE4" w:rsidRDefault="003850D5" w:rsidP="00005638">
            <w:pPr>
              <w:pStyle w:val="TableParagraph"/>
              <w:spacing w:before="15"/>
              <w:ind w:right="78"/>
              <w:rPr>
                <w:rFonts w:ascii="Arial" w:hAnsi="Arial" w:cs="Arial"/>
                <w:szCs w:val="24"/>
              </w:rPr>
            </w:pPr>
            <w:r w:rsidRPr="00166FE4">
              <w:rPr>
                <w:rFonts w:ascii="Arial" w:hAnsi="Arial" w:cs="Arial"/>
              </w:rPr>
              <w:t xml:space="preserve">Includes names, positions, tasks to be assigned, and an adequate justification for the use of the proposed collaborating agency. Describes how the collaborating agency staff </w:t>
            </w:r>
            <w:r w:rsidRPr="00166FE4">
              <w:rPr>
                <w:rFonts w:ascii="Arial" w:hAnsi="Arial" w:cs="Arial"/>
                <w:i/>
              </w:rPr>
              <w:t>meets</w:t>
            </w:r>
            <w:r w:rsidRPr="00166FE4">
              <w:rPr>
                <w:rFonts w:ascii="Arial" w:hAnsi="Arial" w:cs="Arial"/>
              </w:rPr>
              <w:t xml:space="preserve"> minimum qualifications. Resume(s) included. </w:t>
            </w:r>
          </w:p>
        </w:tc>
        <w:tc>
          <w:tcPr>
            <w:tcW w:w="2716" w:type="dxa"/>
            <w:shd w:val="clear" w:color="auto" w:fill="auto"/>
          </w:tcPr>
          <w:p w14:paraId="42098256" w14:textId="77777777" w:rsidR="003850D5" w:rsidRPr="00166FE4" w:rsidRDefault="003850D5" w:rsidP="00005638">
            <w:pPr>
              <w:pStyle w:val="TableParagraph"/>
              <w:spacing w:before="15"/>
              <w:ind w:right="78"/>
              <w:rPr>
                <w:rFonts w:ascii="Arial" w:hAnsi="Arial" w:cs="Arial"/>
                <w:szCs w:val="24"/>
              </w:rPr>
            </w:pPr>
            <w:r w:rsidRPr="00166FE4">
              <w:rPr>
                <w:rFonts w:ascii="Arial" w:hAnsi="Arial" w:cs="Arial"/>
              </w:rPr>
              <w:t xml:space="preserve">Includes the tasks to be assigned, and limited justification for the proposed collaborating agency. Limited description of how the collaborating agency staff </w:t>
            </w:r>
            <w:r w:rsidRPr="00166FE4">
              <w:rPr>
                <w:rFonts w:ascii="Arial" w:hAnsi="Arial" w:cs="Arial"/>
                <w:i/>
              </w:rPr>
              <w:t>meets</w:t>
            </w:r>
            <w:r w:rsidRPr="00166FE4">
              <w:rPr>
                <w:rFonts w:ascii="Arial" w:hAnsi="Arial" w:cs="Arial"/>
              </w:rPr>
              <w:t xml:space="preserve"> minimum qualifications. Resume(s) included.</w:t>
            </w:r>
          </w:p>
        </w:tc>
        <w:tc>
          <w:tcPr>
            <w:tcW w:w="2763" w:type="dxa"/>
            <w:shd w:val="clear" w:color="auto" w:fill="auto"/>
          </w:tcPr>
          <w:p w14:paraId="01D9F523" w14:textId="77777777" w:rsidR="003850D5" w:rsidRPr="00166FE4" w:rsidRDefault="003850D5" w:rsidP="00005638">
            <w:pPr>
              <w:pStyle w:val="TableParagraph"/>
              <w:spacing w:before="15" w:after="120"/>
              <w:ind w:right="114"/>
              <w:rPr>
                <w:rFonts w:ascii="Arial" w:hAnsi="Arial" w:cs="Arial"/>
                <w:szCs w:val="24"/>
              </w:rPr>
            </w:pPr>
            <w:r w:rsidRPr="00166FE4">
              <w:rPr>
                <w:rFonts w:ascii="Arial" w:hAnsi="Arial" w:cs="Arial"/>
              </w:rPr>
              <w:t>Includes the tasks to be assigned, but inadequate justification for using the proposed collaborating agency or qualifications. Resume(s) not included.</w:t>
            </w:r>
          </w:p>
        </w:tc>
      </w:tr>
      <w:tr w:rsidR="003850D5" w:rsidRPr="00166FE4" w14:paraId="4B18C62A" w14:textId="77777777" w:rsidTr="00005638">
        <w:trPr>
          <w:cantSplit/>
        </w:trPr>
        <w:tc>
          <w:tcPr>
            <w:tcW w:w="2015" w:type="dxa"/>
            <w:shd w:val="clear" w:color="auto" w:fill="auto"/>
          </w:tcPr>
          <w:p w14:paraId="302EF74D" w14:textId="3B1D3423" w:rsidR="003850D5" w:rsidRDefault="003850D5" w:rsidP="00005638">
            <w:pPr>
              <w:pStyle w:val="TableParagraph"/>
              <w:spacing w:before="100" w:beforeAutospacing="1" w:after="240"/>
              <w:ind w:right="78"/>
              <w:rPr>
                <w:rFonts w:ascii="Arial" w:eastAsia="Arial" w:hAnsi="Arial" w:cs="Arial"/>
                <w:szCs w:val="24"/>
              </w:rPr>
            </w:pPr>
            <w:r w:rsidRPr="00166FE4">
              <w:rPr>
                <w:rFonts w:ascii="Arial" w:eastAsia="Arial" w:hAnsi="Arial" w:cs="Arial"/>
                <w:szCs w:val="24"/>
              </w:rPr>
              <w:lastRenderedPageBreak/>
              <w:t xml:space="preserve">E. Changes to Personnel Requirements  </w:t>
            </w:r>
          </w:p>
          <w:p w14:paraId="750668BD" w14:textId="1F796200" w:rsidR="00E914F8" w:rsidRPr="00166FE4" w:rsidRDefault="00E914F8" w:rsidP="00005638">
            <w:pPr>
              <w:pStyle w:val="TableParagraph"/>
              <w:spacing w:before="100" w:beforeAutospacing="1" w:after="240"/>
              <w:ind w:right="78"/>
              <w:rPr>
                <w:rFonts w:ascii="Arial" w:eastAsia="Arial" w:hAnsi="Arial" w:cs="Arial"/>
                <w:szCs w:val="24"/>
              </w:rPr>
            </w:pPr>
            <w:r w:rsidRPr="00166FE4">
              <w:rPr>
                <w:rFonts w:ascii="Arial" w:eastAsia="Arial" w:hAnsi="Arial" w:cs="Arial"/>
                <w:b/>
                <w:bCs/>
              </w:rPr>
              <w:t>Not included in total score but must meet clear case standard</w:t>
            </w:r>
          </w:p>
        </w:tc>
        <w:tc>
          <w:tcPr>
            <w:tcW w:w="2751" w:type="dxa"/>
            <w:shd w:val="clear" w:color="auto" w:fill="auto"/>
          </w:tcPr>
          <w:p w14:paraId="11ED128C" w14:textId="15FEE57D" w:rsidR="003850D5" w:rsidRPr="00166FE4" w:rsidRDefault="003850D5" w:rsidP="003850D5">
            <w:pPr>
              <w:pStyle w:val="TableParagraph"/>
              <w:spacing w:before="15" w:after="120"/>
              <w:ind w:right="78"/>
              <w:rPr>
                <w:rFonts w:ascii="Arial" w:hAnsi="Arial" w:cs="Arial"/>
              </w:rPr>
            </w:pPr>
            <w:r w:rsidRPr="00166FE4">
              <w:rPr>
                <w:rFonts w:ascii="Arial" w:hAnsi="Arial" w:cs="Arial"/>
              </w:rPr>
              <w:t xml:space="preserve">The application must </w:t>
            </w:r>
            <w:r w:rsidR="00340C76">
              <w:rPr>
                <w:rFonts w:ascii="Arial" w:hAnsi="Arial" w:cs="Arial"/>
              </w:rPr>
              <w:t>acknowledge</w:t>
            </w:r>
            <w:r w:rsidRPr="00166FE4">
              <w:rPr>
                <w:rFonts w:ascii="Arial" w:hAnsi="Arial" w:cs="Arial"/>
              </w:rPr>
              <w:t xml:space="preserve"> that the applicant will comply with the Changes to Key Personnel Requirements.</w:t>
            </w:r>
          </w:p>
        </w:tc>
        <w:tc>
          <w:tcPr>
            <w:tcW w:w="2716" w:type="dxa"/>
            <w:shd w:val="clear" w:color="auto" w:fill="auto"/>
          </w:tcPr>
          <w:p w14:paraId="4EED5050" w14:textId="77777777" w:rsidR="003850D5" w:rsidRPr="00166FE4" w:rsidRDefault="003850D5" w:rsidP="003850D5">
            <w:pPr>
              <w:pStyle w:val="TableParagraph"/>
              <w:spacing w:before="15"/>
              <w:ind w:right="78"/>
              <w:rPr>
                <w:rFonts w:ascii="Arial" w:hAnsi="Arial" w:cs="Arial"/>
              </w:rPr>
            </w:pPr>
            <w:r w:rsidRPr="00166FE4">
              <w:rPr>
                <w:rFonts w:ascii="Arial" w:hAnsi="Arial" w:cs="Arial"/>
              </w:rPr>
              <w:t>Not Applicable</w:t>
            </w:r>
          </w:p>
        </w:tc>
        <w:tc>
          <w:tcPr>
            <w:tcW w:w="2716" w:type="dxa"/>
            <w:shd w:val="clear" w:color="auto" w:fill="auto"/>
          </w:tcPr>
          <w:p w14:paraId="012EE389" w14:textId="77777777" w:rsidR="003850D5" w:rsidRPr="00166FE4" w:rsidRDefault="003850D5" w:rsidP="003850D5">
            <w:pPr>
              <w:pStyle w:val="TableParagraph"/>
              <w:spacing w:before="15"/>
              <w:ind w:right="78"/>
              <w:rPr>
                <w:rFonts w:ascii="Arial" w:hAnsi="Arial" w:cs="Arial"/>
              </w:rPr>
            </w:pPr>
            <w:r w:rsidRPr="00166FE4">
              <w:rPr>
                <w:rFonts w:ascii="Arial" w:hAnsi="Arial" w:cs="Arial"/>
              </w:rPr>
              <w:t>Not Applicable</w:t>
            </w:r>
          </w:p>
        </w:tc>
        <w:tc>
          <w:tcPr>
            <w:tcW w:w="2763" w:type="dxa"/>
            <w:shd w:val="clear" w:color="auto" w:fill="auto"/>
          </w:tcPr>
          <w:p w14:paraId="7EDBA368" w14:textId="1C198B64" w:rsidR="003850D5" w:rsidRPr="00166FE4" w:rsidRDefault="003850D5" w:rsidP="003850D5">
            <w:pPr>
              <w:pStyle w:val="TableParagraph"/>
              <w:spacing w:before="15" w:after="120"/>
              <w:ind w:right="114"/>
              <w:rPr>
                <w:rFonts w:ascii="Arial" w:hAnsi="Arial" w:cs="Arial"/>
              </w:rPr>
            </w:pPr>
            <w:r w:rsidRPr="00166FE4">
              <w:rPr>
                <w:rFonts w:ascii="Arial" w:hAnsi="Arial" w:cs="Arial"/>
              </w:rPr>
              <w:t xml:space="preserve">The application does not </w:t>
            </w:r>
            <w:r w:rsidR="00340C76">
              <w:rPr>
                <w:rFonts w:ascii="Arial" w:hAnsi="Arial" w:cs="Arial"/>
              </w:rPr>
              <w:t>acknowledge</w:t>
            </w:r>
            <w:r w:rsidRPr="00166FE4">
              <w:rPr>
                <w:rFonts w:ascii="Arial" w:hAnsi="Arial" w:cs="Arial"/>
              </w:rPr>
              <w:t xml:space="preserve"> compliance with Changes to Key Personnel Requirements. </w:t>
            </w:r>
          </w:p>
        </w:tc>
      </w:tr>
    </w:tbl>
    <w:p w14:paraId="350B19F3" w14:textId="77777777" w:rsidR="00FB5E52" w:rsidRDefault="00FB5E52">
      <w:pPr>
        <w:spacing w:after="160" w:line="259" w:lineRule="auto"/>
        <w:rPr>
          <w:rFonts w:cs="Arial"/>
        </w:rPr>
      </w:pPr>
      <w:r>
        <w:rPr>
          <w:rFonts w:cs="Arial"/>
        </w:rPr>
        <w:br w:type="page"/>
      </w:r>
    </w:p>
    <w:p w14:paraId="43B3543B" w14:textId="68D3B79D" w:rsidR="00246D03" w:rsidRDefault="00B37E1E" w:rsidP="00246D03">
      <w:pPr>
        <w:pStyle w:val="Heading3"/>
        <w:numPr>
          <w:ilvl w:val="0"/>
          <w:numId w:val="50"/>
        </w:numPr>
        <w:rPr>
          <w:rStyle w:val="Heading3Char"/>
          <w:b/>
          <w:bCs/>
          <w:i/>
          <w:iCs/>
        </w:rPr>
      </w:pPr>
      <w:bookmarkStart w:id="102" w:name="_Toc199842750"/>
      <w:r w:rsidRPr="00CF2A87">
        <w:rPr>
          <w:rStyle w:val="Heading3Char"/>
          <w:b/>
          <w:bCs/>
          <w:i/>
          <w:iCs/>
        </w:rPr>
        <w:lastRenderedPageBreak/>
        <w:t>Scope of Work</w:t>
      </w:r>
      <w:bookmarkEnd w:id="102"/>
    </w:p>
    <w:p w14:paraId="11B1CCB5" w14:textId="4B521E0D" w:rsidR="00CF2A87" w:rsidRPr="00453FA2" w:rsidRDefault="00CF2A87" w:rsidP="00246D03">
      <w:pPr>
        <w:rPr>
          <w:iCs/>
        </w:rPr>
      </w:pPr>
      <w:r w:rsidRPr="00453FA2">
        <w:t xml:space="preserve">The </w:t>
      </w:r>
      <w:r w:rsidR="00453FA2" w:rsidRPr="00453FA2">
        <w:t>content of this section</w:t>
      </w:r>
      <w:r w:rsidRPr="00453FA2">
        <w:t xml:space="preserve"> must describe how the</w:t>
      </w:r>
      <w:r w:rsidR="00453FA2" w:rsidRPr="00453FA2">
        <w:t xml:space="preserve"> applicant</w:t>
      </w:r>
      <w:r w:rsidRPr="00453FA2">
        <w:t xml:space="preserve"> will meet </w:t>
      </w:r>
      <w:r w:rsidR="00453FA2" w:rsidRPr="00453FA2">
        <w:t>all</w:t>
      </w:r>
      <w:r w:rsidRPr="00453FA2">
        <w:t xml:space="preserve"> the requirements stated for the tasks identified in the </w:t>
      </w:r>
      <w:r w:rsidRPr="007463B4">
        <w:t xml:space="preserve">RFA. </w:t>
      </w:r>
      <w:r w:rsidR="00AA20FF" w:rsidRPr="007463B4">
        <w:t>Th</w:t>
      </w:r>
      <w:r w:rsidR="00453FA2" w:rsidRPr="007463B4">
        <w:t>is portion of the</w:t>
      </w:r>
      <w:r w:rsidR="00AA20FF" w:rsidRPr="007463B4">
        <w:t xml:space="preserve"> rubric will be applied </w:t>
      </w:r>
      <w:r w:rsidR="008878B4" w:rsidRPr="007463B4">
        <w:t>separately</w:t>
      </w:r>
      <w:r w:rsidR="00AA20FF" w:rsidRPr="007463B4">
        <w:t xml:space="preserve"> to each topic area </w:t>
      </w:r>
      <w:r w:rsidR="00453FA2" w:rsidRPr="007463B4">
        <w:t xml:space="preserve">(EL, SPED, SED, CTE, and Innovative Strategies) </w:t>
      </w:r>
      <w:r w:rsidR="00AA20FF" w:rsidRPr="007463B4">
        <w:t>for</w:t>
      </w:r>
      <w:r w:rsidR="00453FA2" w:rsidRPr="007463B4">
        <w:t xml:space="preserve"> which a Scope of Work is submitted</w:t>
      </w:r>
      <w:r w:rsidR="00AA20FF" w:rsidRPr="007463B4">
        <w:t xml:space="preserve">. The criteria and scoring </w:t>
      </w:r>
      <w:r w:rsidR="00453FA2" w:rsidRPr="007463B4">
        <w:t xml:space="preserve">are </w:t>
      </w:r>
      <w:r w:rsidR="00AA20FF" w:rsidRPr="007463B4">
        <w:t>consistent across all topic areas</w:t>
      </w:r>
      <w:r w:rsidR="00453FA2" w:rsidRPr="007463B4">
        <w:t>.</w:t>
      </w:r>
      <w:r w:rsidR="00AA20FF" w:rsidRPr="007463B4">
        <w:t xml:space="preserve"> </w:t>
      </w:r>
      <w:r w:rsidR="008878B4" w:rsidRPr="007463B4">
        <w:t>For more information on how applications are scored, please refer to Section 4.1 Scoring Rubric.</w:t>
      </w:r>
    </w:p>
    <w:p w14:paraId="10EC5A71" w14:textId="2857A91F" w:rsidR="00B37E1E" w:rsidRDefault="00B37E1E" w:rsidP="00B37E1E">
      <w:pPr>
        <w:spacing w:after="100" w:afterAutospacing="1"/>
      </w:pPr>
      <w:r w:rsidRPr="00EA1445">
        <w:t xml:space="preserve">Total score of </w:t>
      </w:r>
      <w:r w:rsidR="000B3E9A" w:rsidRPr="00EA1445">
        <w:t>40</w:t>
      </w:r>
      <w:r w:rsidRPr="00EA1445">
        <w:t xml:space="preserve"> points possible</w:t>
      </w:r>
      <w:r w:rsidR="00AD3D8E" w:rsidRPr="00EA1445">
        <w:t xml:space="preserve"> per topic appli</w:t>
      </w:r>
      <w:r w:rsidR="000B3E9A" w:rsidRPr="00EA1445">
        <w:t>ed to</w:t>
      </w:r>
      <w:r w:rsidRPr="00EA1445">
        <w:t>:</w:t>
      </w:r>
    </w:p>
    <w:p w14:paraId="565669E2" w14:textId="0C4FD8AC" w:rsidR="00B37E1E" w:rsidRPr="00453FA2" w:rsidRDefault="00B37E1E" w:rsidP="00B477B2">
      <w:pPr>
        <w:pStyle w:val="TableHeader"/>
      </w:pPr>
      <w:r w:rsidRPr="00453FA2">
        <w:t xml:space="preserve">Scope of Work – </w:t>
      </w:r>
      <w:r w:rsidR="001F43D0" w:rsidRPr="00453FA2">
        <w:t>EL</w:t>
      </w:r>
      <w:r w:rsidR="00453FA2" w:rsidRPr="00453FA2">
        <w:t>, SPED, SED, CTE, Innovative Strategies</w:t>
      </w:r>
    </w:p>
    <w:tbl>
      <w:tblPr>
        <w:tblStyle w:val="TableGrid"/>
        <w:tblW w:w="12950" w:type="dxa"/>
        <w:tblInd w:w="-4" w:type="dxa"/>
        <w:tblLook w:val="04A0" w:firstRow="1" w:lastRow="0" w:firstColumn="1" w:lastColumn="0" w:noHBand="0" w:noVBand="1"/>
        <w:tblDescription w:val="Scope of Work – EL, SPED, SED, CTE, Innovative Strategies"/>
      </w:tblPr>
      <w:tblGrid>
        <w:gridCol w:w="2194"/>
        <w:gridCol w:w="2689"/>
        <w:gridCol w:w="2688"/>
        <w:gridCol w:w="2688"/>
        <w:gridCol w:w="2691"/>
      </w:tblGrid>
      <w:tr w:rsidR="00B37E1E" w:rsidRPr="000C1A72" w14:paraId="49A5F635" w14:textId="77777777" w:rsidTr="00005638">
        <w:trPr>
          <w:cantSplit/>
          <w:tblHeader/>
        </w:trPr>
        <w:tc>
          <w:tcPr>
            <w:tcW w:w="2106"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14:paraId="3ECA69C6" w14:textId="77777777" w:rsidR="00B37E1E" w:rsidRPr="000C1A72" w:rsidRDefault="00B37E1E" w:rsidP="00005638">
            <w:pPr>
              <w:pStyle w:val="TableParagraph"/>
              <w:ind w:right="78"/>
              <w:rPr>
                <w:rFonts w:ascii="Arial" w:eastAsia="Arial" w:hAnsi="Arial"/>
                <w:b/>
                <w:szCs w:val="24"/>
              </w:rPr>
            </w:pPr>
            <w:r w:rsidRPr="000C1A72">
              <w:rPr>
                <w:rFonts w:ascii="Arial" w:eastAsia="Arial" w:hAnsi="Arial"/>
                <w:b/>
                <w:szCs w:val="24"/>
              </w:rPr>
              <w:t>3</w:t>
            </w:r>
            <w:r w:rsidRPr="000C1A72">
              <w:rPr>
                <w:rFonts w:ascii="Arial" w:eastAsia="Arial" w:hAnsi="Arial"/>
                <w:b/>
              </w:rPr>
              <w:t>. Scope of Work</w:t>
            </w:r>
          </w:p>
        </w:tc>
        <w:tc>
          <w:tcPr>
            <w:tcW w:w="2711"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14:paraId="7648AD17" w14:textId="77777777" w:rsidR="00B37E1E" w:rsidRPr="000C1A72" w:rsidRDefault="00B37E1E" w:rsidP="00005638">
            <w:pPr>
              <w:pStyle w:val="TableParagraph"/>
              <w:spacing w:before="6"/>
              <w:ind w:right="78"/>
              <w:jc w:val="center"/>
              <w:rPr>
                <w:rFonts w:ascii="Arial" w:eastAsia="Arial" w:hAnsi="Arial"/>
                <w:szCs w:val="24"/>
              </w:rPr>
            </w:pPr>
            <w:r w:rsidRPr="000C1A72">
              <w:rPr>
                <w:rFonts w:ascii="Arial" w:hAnsi="Arial"/>
                <w:b/>
                <w:spacing w:val="-1"/>
                <w:szCs w:val="24"/>
              </w:rPr>
              <w:t>CLEAR</w:t>
            </w:r>
            <w:r w:rsidRPr="000C1A72">
              <w:rPr>
                <w:rFonts w:ascii="Arial" w:hAnsi="Arial"/>
                <w:b/>
                <w:spacing w:val="-10"/>
                <w:szCs w:val="24"/>
              </w:rPr>
              <w:t xml:space="preserve"> </w:t>
            </w:r>
            <w:r w:rsidRPr="000C1A72">
              <w:rPr>
                <w:rFonts w:ascii="Arial" w:hAnsi="Arial"/>
                <w:b/>
                <w:spacing w:val="-1"/>
                <w:szCs w:val="24"/>
              </w:rPr>
              <w:t>CASE</w:t>
            </w:r>
          </w:p>
          <w:p w14:paraId="5D25353A" w14:textId="795B3D82" w:rsidR="00B37E1E" w:rsidRPr="000C1A72" w:rsidRDefault="00AD3D8E" w:rsidP="00005638">
            <w:pPr>
              <w:pStyle w:val="TableParagraph"/>
              <w:spacing w:before="10"/>
              <w:ind w:right="78"/>
              <w:jc w:val="center"/>
              <w:rPr>
                <w:rFonts w:ascii="Arial" w:eastAsia="Arial" w:hAnsi="Arial"/>
                <w:szCs w:val="24"/>
              </w:rPr>
            </w:pPr>
            <w:r w:rsidRPr="000C1A72">
              <w:rPr>
                <w:rFonts w:ascii="Arial" w:eastAsia="Arial" w:hAnsi="Arial"/>
                <w:b/>
                <w:bCs/>
                <w:spacing w:val="-6"/>
                <w:szCs w:val="24"/>
              </w:rPr>
              <w:t>8-7</w:t>
            </w:r>
            <w:r w:rsidR="00B37E1E" w:rsidRPr="000C1A72">
              <w:rPr>
                <w:rFonts w:ascii="Arial" w:eastAsia="Arial" w:hAnsi="Arial"/>
                <w:b/>
                <w:bCs/>
                <w:spacing w:val="-6"/>
                <w:szCs w:val="24"/>
              </w:rPr>
              <w:t xml:space="preserve"> </w:t>
            </w:r>
            <w:r w:rsidR="00B37E1E" w:rsidRPr="000C1A72">
              <w:rPr>
                <w:rFonts w:ascii="Arial" w:eastAsia="Arial" w:hAnsi="Arial"/>
                <w:b/>
                <w:bCs/>
                <w:spacing w:val="-1"/>
                <w:szCs w:val="24"/>
              </w:rPr>
              <w:t>Points</w:t>
            </w:r>
          </w:p>
        </w:tc>
        <w:tc>
          <w:tcPr>
            <w:tcW w:w="2711"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14:paraId="7777E53B" w14:textId="77777777" w:rsidR="00B37E1E" w:rsidRPr="000C1A72" w:rsidRDefault="00B37E1E" w:rsidP="00005638">
            <w:pPr>
              <w:pStyle w:val="TableParagraph"/>
              <w:spacing w:before="6"/>
              <w:ind w:right="78"/>
              <w:jc w:val="center"/>
              <w:rPr>
                <w:rFonts w:ascii="Arial" w:eastAsia="Arial" w:hAnsi="Arial"/>
                <w:szCs w:val="24"/>
              </w:rPr>
            </w:pPr>
            <w:r w:rsidRPr="000C1A72">
              <w:rPr>
                <w:rFonts w:ascii="Arial" w:hAnsi="Arial"/>
                <w:b/>
                <w:spacing w:val="-1"/>
                <w:szCs w:val="24"/>
              </w:rPr>
              <w:t>ADEQUATE</w:t>
            </w:r>
            <w:r w:rsidRPr="000C1A72">
              <w:rPr>
                <w:rFonts w:ascii="Arial" w:hAnsi="Arial"/>
                <w:b/>
                <w:spacing w:val="-10"/>
                <w:szCs w:val="24"/>
              </w:rPr>
              <w:t xml:space="preserve"> </w:t>
            </w:r>
            <w:r w:rsidRPr="000C1A72">
              <w:rPr>
                <w:rFonts w:ascii="Arial" w:hAnsi="Arial"/>
                <w:b/>
                <w:spacing w:val="-1"/>
                <w:szCs w:val="24"/>
              </w:rPr>
              <w:t>CASE</w:t>
            </w:r>
          </w:p>
          <w:p w14:paraId="4DA20F9B" w14:textId="0411657C" w:rsidR="00B37E1E" w:rsidRPr="000C1A72" w:rsidRDefault="00AD3D8E" w:rsidP="00005638">
            <w:pPr>
              <w:pStyle w:val="TableParagraph"/>
              <w:spacing w:before="10"/>
              <w:ind w:right="78"/>
              <w:jc w:val="center"/>
              <w:rPr>
                <w:rFonts w:ascii="Arial" w:eastAsia="Arial" w:hAnsi="Arial"/>
                <w:szCs w:val="24"/>
              </w:rPr>
            </w:pPr>
            <w:r w:rsidRPr="000C1A72">
              <w:rPr>
                <w:rFonts w:ascii="Arial" w:eastAsia="Arial" w:hAnsi="Arial"/>
                <w:b/>
                <w:bCs/>
                <w:spacing w:val="-6"/>
                <w:szCs w:val="24"/>
              </w:rPr>
              <w:t>6-5</w:t>
            </w:r>
            <w:r w:rsidR="00B37E1E" w:rsidRPr="000C1A72">
              <w:rPr>
                <w:rFonts w:ascii="Arial" w:eastAsia="Arial" w:hAnsi="Arial"/>
                <w:b/>
                <w:bCs/>
                <w:spacing w:val="-6"/>
                <w:szCs w:val="24"/>
              </w:rPr>
              <w:t xml:space="preserve"> </w:t>
            </w:r>
            <w:r w:rsidR="00B37E1E" w:rsidRPr="000C1A72">
              <w:rPr>
                <w:rFonts w:ascii="Arial" w:eastAsia="Arial" w:hAnsi="Arial"/>
                <w:b/>
                <w:bCs/>
                <w:spacing w:val="-1"/>
                <w:szCs w:val="24"/>
              </w:rPr>
              <w:t>Points</w:t>
            </w:r>
          </w:p>
        </w:tc>
        <w:tc>
          <w:tcPr>
            <w:tcW w:w="2711"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14:paraId="5D3D7ADC" w14:textId="77777777" w:rsidR="00B37E1E" w:rsidRPr="000C1A72" w:rsidRDefault="00B37E1E" w:rsidP="00005638">
            <w:pPr>
              <w:pStyle w:val="TableParagraph"/>
              <w:spacing w:before="6"/>
              <w:ind w:right="78"/>
              <w:jc w:val="center"/>
              <w:rPr>
                <w:rFonts w:ascii="Arial" w:eastAsia="Arial" w:hAnsi="Arial"/>
                <w:szCs w:val="24"/>
              </w:rPr>
            </w:pPr>
            <w:r w:rsidRPr="000C1A72">
              <w:rPr>
                <w:rFonts w:ascii="Arial" w:hAnsi="Arial"/>
                <w:b/>
                <w:spacing w:val="-1"/>
                <w:szCs w:val="24"/>
              </w:rPr>
              <w:t>LIMITED</w:t>
            </w:r>
            <w:r w:rsidRPr="000C1A72">
              <w:rPr>
                <w:rFonts w:ascii="Arial" w:hAnsi="Arial"/>
                <w:b/>
                <w:spacing w:val="-9"/>
                <w:szCs w:val="24"/>
              </w:rPr>
              <w:t xml:space="preserve"> </w:t>
            </w:r>
            <w:r w:rsidRPr="000C1A72">
              <w:rPr>
                <w:rFonts w:ascii="Arial" w:hAnsi="Arial"/>
                <w:b/>
                <w:spacing w:val="-1"/>
                <w:szCs w:val="24"/>
              </w:rPr>
              <w:t>CASE</w:t>
            </w:r>
          </w:p>
          <w:p w14:paraId="1A9F23B0" w14:textId="50D4B3E1" w:rsidR="00B37E1E" w:rsidRPr="000C1A72" w:rsidRDefault="00AD3D8E" w:rsidP="00005638">
            <w:pPr>
              <w:pStyle w:val="TableParagraph"/>
              <w:spacing w:before="10"/>
              <w:ind w:right="78"/>
              <w:jc w:val="center"/>
              <w:rPr>
                <w:rFonts w:ascii="Arial" w:eastAsia="Arial" w:hAnsi="Arial"/>
                <w:szCs w:val="24"/>
              </w:rPr>
            </w:pPr>
            <w:r w:rsidRPr="000C1A72">
              <w:rPr>
                <w:rFonts w:ascii="Arial" w:eastAsia="Arial" w:hAnsi="Arial"/>
                <w:b/>
                <w:bCs/>
                <w:spacing w:val="-6"/>
                <w:szCs w:val="24"/>
              </w:rPr>
              <w:t>4-3</w:t>
            </w:r>
            <w:r w:rsidR="00B37E1E" w:rsidRPr="000C1A72">
              <w:rPr>
                <w:rFonts w:ascii="Arial" w:eastAsia="Arial" w:hAnsi="Arial"/>
                <w:b/>
                <w:bCs/>
                <w:spacing w:val="-6"/>
                <w:szCs w:val="24"/>
              </w:rPr>
              <w:t xml:space="preserve"> </w:t>
            </w:r>
            <w:r w:rsidR="00B37E1E" w:rsidRPr="000C1A72">
              <w:rPr>
                <w:rFonts w:ascii="Arial" w:eastAsia="Arial" w:hAnsi="Arial"/>
                <w:b/>
                <w:bCs/>
                <w:spacing w:val="-1"/>
                <w:szCs w:val="24"/>
              </w:rPr>
              <w:t>Points</w:t>
            </w:r>
          </w:p>
        </w:tc>
        <w:tc>
          <w:tcPr>
            <w:tcW w:w="2711"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vAlign w:val="center"/>
          </w:tcPr>
          <w:p w14:paraId="6628E1A4" w14:textId="77777777" w:rsidR="00B37E1E" w:rsidRPr="000C1A72" w:rsidRDefault="00B37E1E" w:rsidP="00005638">
            <w:pPr>
              <w:pStyle w:val="TableParagraph"/>
              <w:spacing w:before="6"/>
              <w:ind w:right="114"/>
              <w:jc w:val="center"/>
              <w:rPr>
                <w:rFonts w:ascii="Arial" w:eastAsia="Arial" w:hAnsi="Arial"/>
                <w:szCs w:val="24"/>
              </w:rPr>
            </w:pPr>
            <w:r w:rsidRPr="000C1A72">
              <w:rPr>
                <w:rFonts w:ascii="Arial" w:hAnsi="Arial"/>
                <w:b/>
                <w:spacing w:val="-1"/>
                <w:szCs w:val="24"/>
              </w:rPr>
              <w:t>INSUFFICIENT</w:t>
            </w:r>
            <w:r w:rsidRPr="000C1A72">
              <w:rPr>
                <w:rFonts w:ascii="Arial" w:hAnsi="Arial"/>
                <w:b/>
                <w:spacing w:val="-6"/>
                <w:szCs w:val="24"/>
              </w:rPr>
              <w:t xml:space="preserve"> </w:t>
            </w:r>
            <w:r w:rsidRPr="000C1A72">
              <w:rPr>
                <w:rFonts w:ascii="Arial" w:hAnsi="Arial"/>
                <w:b/>
                <w:spacing w:val="-1"/>
                <w:szCs w:val="24"/>
              </w:rPr>
              <w:t>CASE</w:t>
            </w:r>
          </w:p>
          <w:p w14:paraId="49652E17" w14:textId="77777777" w:rsidR="00B37E1E" w:rsidRPr="000C1A72" w:rsidRDefault="00B37E1E" w:rsidP="00005638">
            <w:pPr>
              <w:pStyle w:val="TableParagraph"/>
              <w:spacing w:before="10"/>
              <w:ind w:right="114"/>
              <w:jc w:val="center"/>
              <w:rPr>
                <w:rFonts w:ascii="Arial" w:eastAsia="Arial" w:hAnsi="Arial"/>
                <w:szCs w:val="24"/>
              </w:rPr>
            </w:pPr>
            <w:r w:rsidRPr="000C1A72">
              <w:rPr>
                <w:rFonts w:ascii="Arial" w:eastAsia="Arial" w:hAnsi="Arial"/>
                <w:b/>
                <w:bCs/>
                <w:spacing w:val="-1"/>
                <w:szCs w:val="24"/>
              </w:rPr>
              <w:t>1–0</w:t>
            </w:r>
            <w:r w:rsidRPr="000C1A72">
              <w:rPr>
                <w:rFonts w:ascii="Arial" w:eastAsia="Arial" w:hAnsi="Arial"/>
                <w:b/>
                <w:bCs/>
                <w:spacing w:val="-6"/>
                <w:szCs w:val="24"/>
              </w:rPr>
              <w:t xml:space="preserve"> </w:t>
            </w:r>
            <w:r w:rsidRPr="000C1A72">
              <w:rPr>
                <w:rFonts w:ascii="Arial" w:eastAsia="Arial" w:hAnsi="Arial"/>
                <w:b/>
                <w:bCs/>
                <w:spacing w:val="-1"/>
                <w:szCs w:val="24"/>
              </w:rPr>
              <w:t>Points</w:t>
            </w:r>
          </w:p>
        </w:tc>
      </w:tr>
      <w:tr w:rsidR="00B37E1E" w14:paraId="512016B1" w14:textId="77777777" w:rsidTr="00005638">
        <w:trPr>
          <w:cantSplit/>
        </w:trPr>
        <w:tc>
          <w:tcPr>
            <w:tcW w:w="2106" w:type="dxa"/>
          </w:tcPr>
          <w:p w14:paraId="35BE59B7" w14:textId="77777777" w:rsidR="00B37E1E" w:rsidRPr="00B83EEC" w:rsidRDefault="00B37E1E" w:rsidP="00005638">
            <w:pPr>
              <w:spacing w:after="100" w:afterAutospacing="1"/>
              <w:rPr>
                <w:sz w:val="22"/>
                <w:szCs w:val="22"/>
              </w:rPr>
            </w:pPr>
            <w:r w:rsidRPr="00B83EEC">
              <w:rPr>
                <w:sz w:val="22"/>
                <w:szCs w:val="22"/>
              </w:rPr>
              <w:t>A. Task 1 - Recruitment</w:t>
            </w:r>
          </w:p>
          <w:p w14:paraId="7EE31E86" w14:textId="2E0AA11E" w:rsidR="00AD3D8E" w:rsidRPr="00B83EEC" w:rsidRDefault="00AD3D8E" w:rsidP="00005638">
            <w:pPr>
              <w:spacing w:after="100" w:afterAutospacing="1"/>
              <w:rPr>
                <w:sz w:val="22"/>
                <w:szCs w:val="22"/>
              </w:rPr>
            </w:pPr>
            <w:r w:rsidRPr="00B83EEC">
              <w:rPr>
                <w:rFonts w:eastAsia="Arial"/>
                <w:sz w:val="22"/>
                <w:szCs w:val="22"/>
              </w:rPr>
              <w:t>Score of 8 points possible:</w:t>
            </w:r>
          </w:p>
        </w:tc>
        <w:tc>
          <w:tcPr>
            <w:tcW w:w="2711" w:type="dxa"/>
          </w:tcPr>
          <w:p w14:paraId="6A1701A0" w14:textId="33020820" w:rsidR="00B37E1E" w:rsidRPr="00B83EEC" w:rsidRDefault="00B37E1E" w:rsidP="00005638">
            <w:pPr>
              <w:spacing w:after="120"/>
              <w:rPr>
                <w:sz w:val="22"/>
                <w:szCs w:val="22"/>
              </w:rPr>
            </w:pPr>
            <w:r w:rsidRPr="00B83EEC">
              <w:rPr>
                <w:sz w:val="22"/>
                <w:szCs w:val="22"/>
              </w:rPr>
              <w:t>Th</w:t>
            </w:r>
            <w:r w:rsidRPr="00B83EEC">
              <w:rPr>
                <w:spacing w:val="-5"/>
                <w:sz w:val="22"/>
                <w:szCs w:val="22"/>
              </w:rPr>
              <w:t xml:space="preserve">e </w:t>
            </w:r>
            <w:r w:rsidRPr="00B83EEC">
              <w:rPr>
                <w:sz w:val="22"/>
                <w:szCs w:val="22"/>
              </w:rPr>
              <w:t xml:space="preserve">narrative describes a clear, well-developed </w:t>
            </w:r>
            <w:r w:rsidR="005B7B23">
              <w:rPr>
                <w:sz w:val="22"/>
                <w:szCs w:val="22"/>
              </w:rPr>
              <w:t xml:space="preserve">multi-year </w:t>
            </w:r>
            <w:r w:rsidRPr="00B83EEC">
              <w:rPr>
                <w:sz w:val="22"/>
                <w:szCs w:val="22"/>
              </w:rPr>
              <w:t>plan for recruiting participa</w:t>
            </w:r>
            <w:r w:rsidR="00846A42" w:rsidRPr="00B83EEC">
              <w:rPr>
                <w:sz w:val="22"/>
                <w:szCs w:val="22"/>
              </w:rPr>
              <w:t>nt</w:t>
            </w:r>
            <w:r w:rsidR="00750891" w:rsidRPr="00B83EEC">
              <w:rPr>
                <w:sz w:val="22"/>
                <w:szCs w:val="22"/>
              </w:rPr>
              <w:t>s</w:t>
            </w:r>
            <w:r w:rsidR="00846A42" w:rsidRPr="00B83EEC">
              <w:rPr>
                <w:sz w:val="22"/>
                <w:szCs w:val="22"/>
              </w:rPr>
              <w:t xml:space="preserve"> statewide</w:t>
            </w:r>
            <w:r w:rsidRPr="00B83EEC">
              <w:rPr>
                <w:sz w:val="22"/>
                <w:szCs w:val="22"/>
              </w:rPr>
              <w:t xml:space="preserve"> in </w:t>
            </w:r>
            <w:r w:rsidR="005B7B23">
              <w:rPr>
                <w:sz w:val="22"/>
                <w:szCs w:val="22"/>
              </w:rPr>
              <w:t xml:space="preserve">all </w:t>
            </w:r>
            <w:r w:rsidRPr="00B83EEC">
              <w:rPr>
                <w:sz w:val="22"/>
                <w:szCs w:val="22"/>
              </w:rPr>
              <w:t xml:space="preserve">STACs activities using three or more resources. </w:t>
            </w:r>
            <w:r w:rsidRPr="00B83EEC">
              <w:rPr>
                <w:spacing w:val="-5"/>
                <w:sz w:val="22"/>
                <w:szCs w:val="22"/>
              </w:rPr>
              <w:t xml:space="preserve">Systems for targeting low-performance schools, following up with interested schools, recording attendance, soliciting feedback, and reporting out to CDE are also described. </w:t>
            </w:r>
            <w:r w:rsidRPr="00B83EEC">
              <w:rPr>
                <w:sz w:val="22"/>
                <w:szCs w:val="22"/>
              </w:rPr>
              <w:t>This activity is clearly aligned in the budget narrative.</w:t>
            </w:r>
          </w:p>
        </w:tc>
        <w:tc>
          <w:tcPr>
            <w:tcW w:w="2711" w:type="dxa"/>
          </w:tcPr>
          <w:p w14:paraId="0FA63636" w14:textId="36100317" w:rsidR="00B37E1E" w:rsidRPr="00B83EEC" w:rsidRDefault="00B37E1E" w:rsidP="00005638">
            <w:pPr>
              <w:rPr>
                <w:sz w:val="22"/>
                <w:szCs w:val="22"/>
              </w:rPr>
            </w:pPr>
            <w:r w:rsidRPr="00B83EEC">
              <w:rPr>
                <w:sz w:val="22"/>
                <w:szCs w:val="22"/>
              </w:rPr>
              <w:t xml:space="preserve">The narrative describes an adequate plan </w:t>
            </w:r>
            <w:r w:rsidR="006912D6">
              <w:rPr>
                <w:sz w:val="22"/>
                <w:szCs w:val="22"/>
              </w:rPr>
              <w:t xml:space="preserve">multi-year plan </w:t>
            </w:r>
            <w:r w:rsidRPr="00B83EEC">
              <w:rPr>
                <w:sz w:val="22"/>
                <w:szCs w:val="22"/>
              </w:rPr>
              <w:t xml:space="preserve">for recruiting </w:t>
            </w:r>
            <w:r w:rsidR="00750891" w:rsidRPr="00B83EEC">
              <w:rPr>
                <w:sz w:val="22"/>
                <w:szCs w:val="22"/>
              </w:rPr>
              <w:t xml:space="preserve">participants statewide </w:t>
            </w:r>
            <w:r w:rsidRPr="00B83EEC">
              <w:rPr>
                <w:sz w:val="22"/>
                <w:szCs w:val="22"/>
              </w:rPr>
              <w:t xml:space="preserve">in </w:t>
            </w:r>
            <w:r w:rsidR="006912D6">
              <w:rPr>
                <w:sz w:val="22"/>
                <w:szCs w:val="22"/>
              </w:rPr>
              <w:t xml:space="preserve">all </w:t>
            </w:r>
            <w:r w:rsidRPr="00B83EEC">
              <w:rPr>
                <w:sz w:val="22"/>
                <w:szCs w:val="22"/>
              </w:rPr>
              <w:t xml:space="preserve">STACs activities using at least two different resources. </w:t>
            </w:r>
            <w:r w:rsidRPr="00B83EEC">
              <w:rPr>
                <w:spacing w:val="-5"/>
                <w:sz w:val="22"/>
                <w:szCs w:val="22"/>
              </w:rPr>
              <w:t xml:space="preserve">Adequate follow up plans are described including recording attendance and soliciting feedback. </w:t>
            </w:r>
            <w:r w:rsidRPr="00B83EEC">
              <w:rPr>
                <w:sz w:val="22"/>
                <w:szCs w:val="22"/>
              </w:rPr>
              <w:t>This activity is adequately aligned in the budget narrative.</w:t>
            </w:r>
          </w:p>
        </w:tc>
        <w:tc>
          <w:tcPr>
            <w:tcW w:w="2711" w:type="dxa"/>
          </w:tcPr>
          <w:p w14:paraId="767A7C59" w14:textId="7BE3D873" w:rsidR="00B37E1E" w:rsidRPr="00B83EEC" w:rsidRDefault="00B37E1E" w:rsidP="00005638">
            <w:pPr>
              <w:rPr>
                <w:sz w:val="22"/>
                <w:szCs w:val="22"/>
              </w:rPr>
            </w:pPr>
            <w:r w:rsidRPr="00B83EEC">
              <w:rPr>
                <w:sz w:val="22"/>
                <w:szCs w:val="22"/>
              </w:rPr>
              <w:t xml:space="preserve">The narrative describes a limited plan for </w:t>
            </w:r>
            <w:r w:rsidR="00750891" w:rsidRPr="00B83EEC">
              <w:rPr>
                <w:sz w:val="22"/>
                <w:szCs w:val="22"/>
              </w:rPr>
              <w:t xml:space="preserve">recruiting participants statewide </w:t>
            </w:r>
            <w:r w:rsidRPr="00B83EEC">
              <w:rPr>
                <w:sz w:val="22"/>
                <w:szCs w:val="22"/>
              </w:rPr>
              <w:t>in STACs activities</w:t>
            </w:r>
            <w:r w:rsidR="005D6F3F">
              <w:rPr>
                <w:sz w:val="22"/>
                <w:szCs w:val="22"/>
              </w:rPr>
              <w:t xml:space="preserve"> over multiple years</w:t>
            </w:r>
            <w:r w:rsidRPr="00B83EEC">
              <w:rPr>
                <w:sz w:val="22"/>
                <w:szCs w:val="22"/>
              </w:rPr>
              <w:t xml:space="preserve">. </w:t>
            </w:r>
            <w:r w:rsidRPr="00B83EEC">
              <w:rPr>
                <w:spacing w:val="-5"/>
                <w:sz w:val="22"/>
                <w:szCs w:val="22"/>
              </w:rPr>
              <w:t xml:space="preserve">Follow-up plans are vague. This activity is partially aligned in the budget narrative, with limited or unclear funds allocated for the recruitment efforts in the months leading up to program implementation. </w:t>
            </w:r>
          </w:p>
        </w:tc>
        <w:tc>
          <w:tcPr>
            <w:tcW w:w="2711" w:type="dxa"/>
          </w:tcPr>
          <w:p w14:paraId="54014E27" w14:textId="6BF3C687" w:rsidR="00B37E1E" w:rsidRPr="00B83EEC" w:rsidRDefault="00B37E1E" w:rsidP="00005638">
            <w:pPr>
              <w:rPr>
                <w:sz w:val="22"/>
                <w:szCs w:val="22"/>
              </w:rPr>
            </w:pPr>
            <w:r w:rsidRPr="00B83EEC">
              <w:rPr>
                <w:sz w:val="22"/>
                <w:szCs w:val="22"/>
              </w:rPr>
              <w:t>Inadequate plan for recruiting participa</w:t>
            </w:r>
            <w:r w:rsidR="00750891" w:rsidRPr="00B83EEC">
              <w:rPr>
                <w:sz w:val="22"/>
                <w:szCs w:val="22"/>
              </w:rPr>
              <w:t>n</w:t>
            </w:r>
            <w:r w:rsidRPr="00B83EEC">
              <w:rPr>
                <w:sz w:val="22"/>
                <w:szCs w:val="22"/>
              </w:rPr>
              <w:t>t</w:t>
            </w:r>
            <w:r w:rsidR="00750891" w:rsidRPr="00B83EEC">
              <w:rPr>
                <w:sz w:val="22"/>
                <w:szCs w:val="22"/>
              </w:rPr>
              <w:t>s</w:t>
            </w:r>
            <w:r w:rsidRPr="00B83EEC">
              <w:rPr>
                <w:sz w:val="22"/>
                <w:szCs w:val="22"/>
              </w:rPr>
              <w:t xml:space="preserve"> in STACs activities. </w:t>
            </w:r>
            <w:r w:rsidRPr="00B83EEC">
              <w:rPr>
                <w:spacing w:val="-5"/>
                <w:sz w:val="22"/>
                <w:szCs w:val="22"/>
              </w:rPr>
              <w:t>Follow-up plans are not discussed. There is no clear or adequate budget allocation for recruitment and outreach.</w:t>
            </w:r>
          </w:p>
        </w:tc>
      </w:tr>
      <w:tr w:rsidR="0076596B" w14:paraId="45F3118A" w14:textId="77777777" w:rsidTr="00005638">
        <w:trPr>
          <w:cantSplit/>
        </w:trPr>
        <w:tc>
          <w:tcPr>
            <w:tcW w:w="2106" w:type="dxa"/>
          </w:tcPr>
          <w:p w14:paraId="08E389EF" w14:textId="4ACDB690" w:rsidR="0076596B" w:rsidRPr="00166FE4" w:rsidRDefault="0076596B" w:rsidP="0076596B">
            <w:pPr>
              <w:pStyle w:val="TableParagraph"/>
              <w:spacing w:before="15"/>
              <w:ind w:right="78"/>
              <w:rPr>
                <w:rFonts w:ascii="Arial" w:eastAsia="Arial" w:hAnsi="Arial"/>
              </w:rPr>
            </w:pPr>
            <w:r w:rsidRPr="00166FE4">
              <w:rPr>
                <w:rFonts w:ascii="Arial" w:eastAsia="Arial" w:hAnsi="Arial"/>
              </w:rPr>
              <w:lastRenderedPageBreak/>
              <w:t xml:space="preserve">B. </w:t>
            </w:r>
            <w:r>
              <w:rPr>
                <w:rFonts w:ascii="Arial" w:eastAsia="Arial" w:hAnsi="Arial"/>
              </w:rPr>
              <w:t xml:space="preserve">Task 2 - </w:t>
            </w:r>
            <w:r w:rsidRPr="00166FE4">
              <w:rPr>
                <w:rFonts w:ascii="Arial" w:eastAsia="Arial" w:hAnsi="Arial"/>
              </w:rPr>
              <w:t>Subject Matter Expertise</w:t>
            </w:r>
          </w:p>
          <w:p w14:paraId="1C2F4B2D" w14:textId="77777777" w:rsidR="0076596B" w:rsidRPr="00166FE4" w:rsidRDefault="0076596B" w:rsidP="0076596B">
            <w:pPr>
              <w:pStyle w:val="TableParagraph"/>
              <w:spacing w:before="15"/>
              <w:ind w:right="78"/>
              <w:rPr>
                <w:rFonts w:ascii="Arial" w:eastAsia="Arial" w:hAnsi="Arial"/>
              </w:rPr>
            </w:pPr>
          </w:p>
          <w:p w14:paraId="4B4BAFEF" w14:textId="5D63BD69" w:rsidR="0076596B" w:rsidRPr="0076596B" w:rsidRDefault="0076596B" w:rsidP="0076596B">
            <w:pPr>
              <w:spacing w:after="100" w:afterAutospacing="1"/>
            </w:pPr>
            <w:r w:rsidRPr="0076596B">
              <w:rPr>
                <w:rFonts w:eastAsia="Arial"/>
              </w:rPr>
              <w:t>Score of 8 points possible:</w:t>
            </w:r>
          </w:p>
        </w:tc>
        <w:tc>
          <w:tcPr>
            <w:tcW w:w="2711" w:type="dxa"/>
          </w:tcPr>
          <w:p w14:paraId="31A94F1F" w14:textId="234769F7" w:rsidR="0076596B" w:rsidRPr="0076596B" w:rsidRDefault="0076596B" w:rsidP="0076596B">
            <w:pPr>
              <w:spacing w:after="120"/>
              <w:rPr>
                <w:sz w:val="22"/>
                <w:szCs w:val="22"/>
              </w:rPr>
            </w:pPr>
            <w:r w:rsidRPr="0076596B">
              <w:rPr>
                <w:sz w:val="22"/>
                <w:szCs w:val="22"/>
              </w:rPr>
              <w:t xml:space="preserve">The applicant provides extensive experience in </w:t>
            </w:r>
            <w:r w:rsidR="00612145">
              <w:rPr>
                <w:sz w:val="22"/>
                <w:szCs w:val="22"/>
              </w:rPr>
              <w:t>the</w:t>
            </w:r>
            <w:r w:rsidRPr="0076596B">
              <w:rPr>
                <w:sz w:val="22"/>
                <w:szCs w:val="22"/>
              </w:rPr>
              <w:t xml:space="preserve"> proposed topic area</w:t>
            </w:r>
            <w:r w:rsidR="00530050">
              <w:rPr>
                <w:sz w:val="22"/>
                <w:szCs w:val="22"/>
              </w:rPr>
              <w:t xml:space="preserve"> </w:t>
            </w:r>
            <w:r w:rsidRPr="0076596B">
              <w:rPr>
                <w:sz w:val="22"/>
                <w:szCs w:val="22"/>
              </w:rPr>
              <w:t>and a strong history of delivering high-quality technical assistance and professional development to charter schools in the topics they are applying for. Demonstrates expertise in best practices, instructional strategies, and leadership with measurable outcomes. Qualifications, certifications, and past successful projects are clearly outlined and directly relevant.</w:t>
            </w:r>
          </w:p>
        </w:tc>
        <w:tc>
          <w:tcPr>
            <w:tcW w:w="2711" w:type="dxa"/>
          </w:tcPr>
          <w:p w14:paraId="474D364C" w14:textId="47DE988F" w:rsidR="0076596B" w:rsidRPr="0076596B" w:rsidRDefault="0076596B" w:rsidP="0076596B">
            <w:pPr>
              <w:spacing w:after="120"/>
              <w:rPr>
                <w:sz w:val="22"/>
                <w:szCs w:val="22"/>
              </w:rPr>
            </w:pPr>
            <w:r w:rsidRPr="0076596B">
              <w:rPr>
                <w:sz w:val="22"/>
                <w:szCs w:val="22"/>
              </w:rPr>
              <w:t>The applicant demonstrates solid experience in the proposed topic area</w:t>
            </w:r>
            <w:r w:rsidR="00530050">
              <w:rPr>
                <w:sz w:val="22"/>
                <w:szCs w:val="22"/>
              </w:rPr>
              <w:t xml:space="preserve"> </w:t>
            </w:r>
            <w:r w:rsidRPr="0076596B">
              <w:rPr>
                <w:sz w:val="22"/>
                <w:szCs w:val="22"/>
              </w:rPr>
              <w:t xml:space="preserve">and has delivered technical assistance to charter schools on those topics. Shows clear knowledge of best practices, instructional strategies, and leadership, with some evidence of successful outcomes. Qualifications and certifications are outlined but may not be fully comprehensive or relevant. </w:t>
            </w:r>
          </w:p>
        </w:tc>
        <w:tc>
          <w:tcPr>
            <w:tcW w:w="2711" w:type="dxa"/>
          </w:tcPr>
          <w:p w14:paraId="7828D9DF" w14:textId="5102B8A3" w:rsidR="0076596B" w:rsidRPr="0076596B" w:rsidRDefault="0076596B" w:rsidP="0076596B">
            <w:pPr>
              <w:spacing w:after="120"/>
              <w:rPr>
                <w:sz w:val="22"/>
                <w:szCs w:val="22"/>
              </w:rPr>
            </w:pPr>
            <w:r w:rsidRPr="0076596B">
              <w:rPr>
                <w:sz w:val="22"/>
                <w:szCs w:val="22"/>
              </w:rPr>
              <w:t xml:space="preserve">The applicant has some experience in the proposed </w:t>
            </w:r>
            <w:r w:rsidRPr="004F487F">
              <w:rPr>
                <w:sz w:val="22"/>
                <w:szCs w:val="22"/>
              </w:rPr>
              <w:t>topic area but lacks depth in delivering technical assistance on the proposed topics</w:t>
            </w:r>
            <w:r w:rsidR="004F487F" w:rsidRPr="004F487F">
              <w:rPr>
                <w:sz w:val="22"/>
                <w:szCs w:val="22"/>
              </w:rPr>
              <w:t xml:space="preserve"> to charter school</w:t>
            </w:r>
            <w:r w:rsidR="004F487F">
              <w:rPr>
                <w:sz w:val="22"/>
                <w:szCs w:val="22"/>
              </w:rPr>
              <w:t>s</w:t>
            </w:r>
            <w:r w:rsidRPr="004F487F">
              <w:rPr>
                <w:sz w:val="22"/>
                <w:szCs w:val="22"/>
              </w:rPr>
              <w:t>. Provides limited examples of expertise in best</w:t>
            </w:r>
            <w:r w:rsidRPr="0076596B">
              <w:rPr>
                <w:sz w:val="22"/>
                <w:szCs w:val="22"/>
              </w:rPr>
              <w:t xml:space="preserve"> practices and instructional strategies. Qualifications or successful project history may be incomplete or only partially relevant. Measurable outcomes are unclear.</w:t>
            </w:r>
          </w:p>
        </w:tc>
        <w:tc>
          <w:tcPr>
            <w:tcW w:w="2711" w:type="dxa"/>
          </w:tcPr>
          <w:p w14:paraId="523B3F2A" w14:textId="2596A765" w:rsidR="0076596B" w:rsidRPr="0076596B" w:rsidRDefault="0076596B" w:rsidP="0076596B">
            <w:pPr>
              <w:spacing w:after="120"/>
              <w:rPr>
                <w:sz w:val="22"/>
                <w:szCs w:val="22"/>
              </w:rPr>
            </w:pPr>
            <w:r w:rsidRPr="0076596B">
              <w:rPr>
                <w:sz w:val="22"/>
                <w:szCs w:val="22"/>
              </w:rPr>
              <w:t>The applicant demonstrates minimal experience in the proposed topic area</w:t>
            </w:r>
            <w:r w:rsidR="00530050">
              <w:rPr>
                <w:sz w:val="22"/>
                <w:szCs w:val="22"/>
              </w:rPr>
              <w:t xml:space="preserve"> </w:t>
            </w:r>
            <w:r w:rsidRPr="0076596B">
              <w:rPr>
                <w:sz w:val="22"/>
                <w:szCs w:val="22"/>
              </w:rPr>
              <w:t>and lacks clear evidence of delivering technical assistance and professional development on the topics. Shows little to no expertise in best practices, instructional strategies, or leadership. No relevant qualifications, certifications, or measurable outcomes are provided.</w:t>
            </w:r>
          </w:p>
        </w:tc>
      </w:tr>
      <w:tr w:rsidR="0076596B" w14:paraId="323039D8" w14:textId="77777777" w:rsidTr="00005638">
        <w:trPr>
          <w:cantSplit/>
        </w:trPr>
        <w:tc>
          <w:tcPr>
            <w:tcW w:w="2106" w:type="dxa"/>
          </w:tcPr>
          <w:p w14:paraId="69139B7C" w14:textId="2F86A9FD" w:rsidR="0076596B" w:rsidRPr="000C24D5" w:rsidRDefault="0076596B" w:rsidP="0032219D">
            <w:pPr>
              <w:pStyle w:val="ListParagraph"/>
              <w:numPr>
                <w:ilvl w:val="0"/>
                <w:numId w:val="42"/>
              </w:numPr>
              <w:spacing w:after="100" w:afterAutospacing="1"/>
              <w:rPr>
                <w:sz w:val="22"/>
                <w:szCs w:val="22"/>
              </w:rPr>
            </w:pPr>
            <w:r w:rsidRPr="000C24D5">
              <w:rPr>
                <w:sz w:val="22"/>
                <w:szCs w:val="22"/>
              </w:rPr>
              <w:lastRenderedPageBreak/>
              <w:t>Task 3 – Best Practices Webinar</w:t>
            </w:r>
          </w:p>
          <w:p w14:paraId="57136D0D" w14:textId="316FBF6C" w:rsidR="0076596B" w:rsidRPr="000C24D5" w:rsidRDefault="0076596B" w:rsidP="0076596B">
            <w:pPr>
              <w:spacing w:after="100" w:afterAutospacing="1"/>
              <w:rPr>
                <w:sz w:val="22"/>
                <w:szCs w:val="22"/>
              </w:rPr>
            </w:pPr>
            <w:r w:rsidRPr="000C24D5">
              <w:rPr>
                <w:rFonts w:eastAsia="Arial"/>
                <w:sz w:val="22"/>
                <w:szCs w:val="22"/>
              </w:rPr>
              <w:t xml:space="preserve">Score of 8 points possible:  </w:t>
            </w:r>
          </w:p>
        </w:tc>
        <w:tc>
          <w:tcPr>
            <w:tcW w:w="2711" w:type="dxa"/>
          </w:tcPr>
          <w:p w14:paraId="2A225B62" w14:textId="23490ECD" w:rsidR="0076596B" w:rsidRPr="00017D58" w:rsidRDefault="0076596B" w:rsidP="0076596B">
            <w:pPr>
              <w:spacing w:after="120"/>
              <w:rPr>
                <w:sz w:val="22"/>
                <w:szCs w:val="22"/>
              </w:rPr>
            </w:pPr>
            <w:r w:rsidRPr="00017D58">
              <w:rPr>
                <w:sz w:val="22"/>
                <w:szCs w:val="22"/>
              </w:rPr>
              <w:t xml:space="preserve">The narrative provides a comprehensive, clear, and feasible plan for delivering </w:t>
            </w:r>
            <w:r w:rsidR="005B7B23" w:rsidRPr="00017D58">
              <w:rPr>
                <w:sz w:val="22"/>
                <w:szCs w:val="22"/>
              </w:rPr>
              <w:t xml:space="preserve">9 </w:t>
            </w:r>
            <w:r w:rsidRPr="00017D58">
              <w:rPr>
                <w:sz w:val="22"/>
                <w:szCs w:val="22"/>
              </w:rPr>
              <w:t>webinars</w:t>
            </w:r>
            <w:r w:rsidR="005B7B23" w:rsidRPr="00017D58">
              <w:rPr>
                <w:sz w:val="22"/>
                <w:szCs w:val="22"/>
              </w:rPr>
              <w:t xml:space="preserve"> over three fiscal years</w:t>
            </w:r>
            <w:r w:rsidRPr="00017D58">
              <w:rPr>
                <w:sz w:val="22"/>
                <w:szCs w:val="22"/>
              </w:rPr>
              <w:t xml:space="preserve">, including </w:t>
            </w:r>
            <w:r w:rsidR="00AF5025" w:rsidRPr="00017D58">
              <w:rPr>
                <w:sz w:val="22"/>
                <w:szCs w:val="22"/>
              </w:rPr>
              <w:t>requirements detailed in RFA Section 5.3.3</w:t>
            </w:r>
            <w:r w:rsidR="006912D6" w:rsidRPr="00017D58">
              <w:rPr>
                <w:sz w:val="22"/>
                <w:szCs w:val="22"/>
              </w:rPr>
              <w:t xml:space="preserve"> Task 3 – Best Practices Webinars</w:t>
            </w:r>
            <w:r w:rsidRPr="00017D58">
              <w:rPr>
                <w:sz w:val="22"/>
                <w:szCs w:val="22"/>
              </w:rPr>
              <w:t>.</w:t>
            </w:r>
            <w:r w:rsidR="00865EFC" w:rsidRPr="00017D58">
              <w:rPr>
                <w:sz w:val="22"/>
                <w:szCs w:val="22"/>
              </w:rPr>
              <w:t xml:space="preserve"> If partnering with an eligible entity, the narrative clearly outlines the partner’s specific responsibilities, activities, and deliverables in alignment with RFA requirements.</w:t>
            </w:r>
          </w:p>
          <w:p w14:paraId="03188AA8" w14:textId="77777777" w:rsidR="0076596B" w:rsidRPr="00017D58" w:rsidRDefault="0076596B" w:rsidP="0076596B">
            <w:pPr>
              <w:spacing w:after="120"/>
              <w:rPr>
                <w:sz w:val="22"/>
                <w:szCs w:val="22"/>
              </w:rPr>
            </w:pPr>
            <w:r w:rsidRPr="00017D58">
              <w:rPr>
                <w:sz w:val="22"/>
                <w:szCs w:val="22"/>
              </w:rPr>
              <w:t>The applicant clearly acknowledges they will provide the required deliverables and adhere to the reporting timelines as contained in the RFA.</w:t>
            </w:r>
          </w:p>
        </w:tc>
        <w:tc>
          <w:tcPr>
            <w:tcW w:w="2711" w:type="dxa"/>
          </w:tcPr>
          <w:p w14:paraId="1B628EB8" w14:textId="2CB1D544" w:rsidR="0076596B" w:rsidRPr="00017D58" w:rsidRDefault="006912D6" w:rsidP="0076596B">
            <w:pPr>
              <w:rPr>
                <w:sz w:val="22"/>
                <w:szCs w:val="22"/>
              </w:rPr>
            </w:pPr>
            <w:r w:rsidRPr="00017D58">
              <w:rPr>
                <w:sz w:val="22"/>
                <w:szCs w:val="22"/>
              </w:rPr>
              <w:t>The narrative provides a feasible plan for delivering 9 webinars over three fiscal years and addresses most of the requirements detailed in RFA Section 5.3.3.</w:t>
            </w:r>
            <w:r w:rsidR="00865EFC" w:rsidRPr="00017D58">
              <w:rPr>
                <w:sz w:val="22"/>
                <w:szCs w:val="22"/>
              </w:rPr>
              <w:t xml:space="preserve"> If a partner is proposed, the narrative includes general information about the partnership, though specific responsibilities, activities, or deliverables may be lacking or unclear.</w:t>
            </w:r>
          </w:p>
        </w:tc>
        <w:tc>
          <w:tcPr>
            <w:tcW w:w="2711" w:type="dxa"/>
          </w:tcPr>
          <w:p w14:paraId="1528AA5D" w14:textId="77777777" w:rsidR="00865EFC" w:rsidRPr="00017D58" w:rsidRDefault="006912D6" w:rsidP="00865EFC">
            <w:pPr>
              <w:spacing w:after="120"/>
              <w:rPr>
                <w:sz w:val="22"/>
                <w:szCs w:val="22"/>
              </w:rPr>
            </w:pPr>
            <w:r w:rsidRPr="00017D58">
              <w:rPr>
                <w:sz w:val="22"/>
                <w:szCs w:val="22"/>
              </w:rPr>
              <w:t>The narrative provides a limited plan for delivering 9 webinars, and lacks sufficient detail or clarity, and/or only partially addresses the requirements outlined in RFA Section 5.3.3.</w:t>
            </w:r>
            <w:r w:rsidR="00865EFC" w:rsidRPr="00017D58">
              <w:rPr>
                <w:sz w:val="22"/>
                <w:szCs w:val="22"/>
              </w:rPr>
              <w:t xml:space="preserve"> If a partner is proposed, the description of the partner’s responsibilities, activities, or deliverables is minimal, vague, or missing.</w:t>
            </w:r>
          </w:p>
          <w:p w14:paraId="031D8A1C" w14:textId="77777777" w:rsidR="0076596B" w:rsidRPr="00017D58" w:rsidRDefault="0076596B" w:rsidP="0076596B">
            <w:pPr>
              <w:rPr>
                <w:sz w:val="22"/>
                <w:szCs w:val="22"/>
              </w:rPr>
            </w:pPr>
          </w:p>
        </w:tc>
        <w:tc>
          <w:tcPr>
            <w:tcW w:w="2711" w:type="dxa"/>
          </w:tcPr>
          <w:p w14:paraId="1A5DAE4B" w14:textId="19AAAD84" w:rsidR="0076596B" w:rsidRPr="00017D58" w:rsidRDefault="006912D6" w:rsidP="006912D6">
            <w:pPr>
              <w:spacing w:after="120"/>
              <w:rPr>
                <w:sz w:val="22"/>
                <w:szCs w:val="22"/>
              </w:rPr>
            </w:pPr>
            <w:r w:rsidRPr="00017D58">
              <w:rPr>
                <w:sz w:val="22"/>
                <w:szCs w:val="22"/>
              </w:rPr>
              <w:t>The narrative does not provide a clear or feasible plan for delivering 9 webinars and fails to address the requirements outlined in RFA Section 5.3.3.</w:t>
            </w:r>
            <w:r w:rsidR="00865EFC" w:rsidRPr="00017D58">
              <w:rPr>
                <w:sz w:val="22"/>
                <w:szCs w:val="22"/>
              </w:rPr>
              <w:t xml:space="preserve"> If a partner is mentioned, no information is provided about the partner’s responsibilities, activities, or deliverables.</w:t>
            </w:r>
          </w:p>
          <w:p w14:paraId="16F438B5" w14:textId="6DEDEC32" w:rsidR="0076596B" w:rsidRPr="00017D58" w:rsidRDefault="0076596B" w:rsidP="0076596B">
            <w:pPr>
              <w:rPr>
                <w:sz w:val="22"/>
                <w:szCs w:val="22"/>
              </w:rPr>
            </w:pPr>
            <w:r w:rsidRPr="00017D58">
              <w:rPr>
                <w:sz w:val="22"/>
                <w:szCs w:val="22"/>
              </w:rPr>
              <w:t xml:space="preserve">The applicant does not acknowledge they will provide the required deliverables and adhere to the reporting timelines contained in the RFA. </w:t>
            </w:r>
          </w:p>
        </w:tc>
      </w:tr>
      <w:tr w:rsidR="0076596B" w14:paraId="4DD93D20" w14:textId="77777777" w:rsidTr="00005638">
        <w:trPr>
          <w:cantSplit/>
        </w:trPr>
        <w:tc>
          <w:tcPr>
            <w:tcW w:w="2106" w:type="dxa"/>
          </w:tcPr>
          <w:p w14:paraId="15056E56" w14:textId="4C9B5B4B" w:rsidR="0076596B" w:rsidRPr="000C24D5" w:rsidRDefault="0032219D" w:rsidP="008C337A">
            <w:pPr>
              <w:ind w:left="693" w:hanging="360"/>
              <w:rPr>
                <w:sz w:val="22"/>
                <w:szCs w:val="22"/>
              </w:rPr>
            </w:pPr>
            <w:r w:rsidRPr="000C24D5">
              <w:rPr>
                <w:sz w:val="22"/>
                <w:szCs w:val="22"/>
              </w:rPr>
              <w:lastRenderedPageBreak/>
              <w:t xml:space="preserve">D. </w:t>
            </w:r>
            <w:r w:rsidR="0076596B" w:rsidRPr="000C24D5">
              <w:rPr>
                <w:sz w:val="22"/>
                <w:szCs w:val="22"/>
              </w:rPr>
              <w:t>Task 4 – Continuous Improvement Networks</w:t>
            </w:r>
          </w:p>
          <w:p w14:paraId="7F27CEE2" w14:textId="0B364F7D" w:rsidR="0076596B" w:rsidRPr="000C24D5" w:rsidRDefault="0076596B" w:rsidP="0076596B">
            <w:pPr>
              <w:rPr>
                <w:sz w:val="22"/>
                <w:szCs w:val="22"/>
              </w:rPr>
            </w:pPr>
            <w:r w:rsidRPr="000C24D5">
              <w:rPr>
                <w:rFonts w:eastAsia="Arial"/>
                <w:sz w:val="22"/>
                <w:szCs w:val="22"/>
              </w:rPr>
              <w:t>Score of 8 points possible:</w:t>
            </w:r>
          </w:p>
        </w:tc>
        <w:tc>
          <w:tcPr>
            <w:tcW w:w="2711" w:type="dxa"/>
          </w:tcPr>
          <w:p w14:paraId="3538B5E1" w14:textId="0623DB45" w:rsidR="0076596B" w:rsidRPr="00017D58" w:rsidRDefault="0076596B" w:rsidP="0076596B">
            <w:pPr>
              <w:spacing w:after="120"/>
              <w:rPr>
                <w:sz w:val="22"/>
                <w:szCs w:val="22"/>
              </w:rPr>
            </w:pPr>
            <w:r w:rsidRPr="00017D58">
              <w:rPr>
                <w:sz w:val="22"/>
                <w:szCs w:val="22"/>
              </w:rPr>
              <w:t>The narrative provides a comprehensive</w:t>
            </w:r>
            <w:r w:rsidR="00FA3530" w:rsidRPr="00017D58">
              <w:rPr>
                <w:sz w:val="22"/>
                <w:szCs w:val="22"/>
              </w:rPr>
              <w:t>, clear and feasible</w:t>
            </w:r>
            <w:r w:rsidRPr="00017D58">
              <w:rPr>
                <w:sz w:val="22"/>
                <w:szCs w:val="22"/>
              </w:rPr>
              <w:t xml:space="preserve"> plan for facilitating </w:t>
            </w:r>
            <w:r w:rsidR="00FA3530" w:rsidRPr="00017D58">
              <w:rPr>
                <w:sz w:val="22"/>
                <w:szCs w:val="22"/>
              </w:rPr>
              <w:t>18 CIN meetings over three fiscal years including</w:t>
            </w:r>
            <w:r w:rsidRPr="00017D58">
              <w:rPr>
                <w:sz w:val="22"/>
                <w:szCs w:val="22"/>
              </w:rPr>
              <w:t xml:space="preserve"> </w:t>
            </w:r>
            <w:r w:rsidR="00AF5025" w:rsidRPr="00017D58">
              <w:rPr>
                <w:sz w:val="22"/>
                <w:szCs w:val="22"/>
              </w:rPr>
              <w:t>requirements detailed in RFA Section 5.3.4</w:t>
            </w:r>
            <w:r w:rsidR="00FA3530" w:rsidRPr="00017D58">
              <w:rPr>
                <w:sz w:val="22"/>
                <w:szCs w:val="22"/>
              </w:rPr>
              <w:t>.</w:t>
            </w:r>
            <w:r w:rsidR="006F6FC1" w:rsidRPr="00017D58">
              <w:rPr>
                <w:sz w:val="22"/>
                <w:szCs w:val="22"/>
              </w:rPr>
              <w:t xml:space="preserve"> If partnering with an eligible entity, the narrative clearly outlines the partner’s specific responsibilities, activities, and deliverables in alignment with RFA requirements.</w:t>
            </w:r>
          </w:p>
          <w:p w14:paraId="5BA6434A" w14:textId="77777777" w:rsidR="0076596B" w:rsidRPr="00017D58" w:rsidRDefault="0076596B" w:rsidP="0076596B">
            <w:pPr>
              <w:rPr>
                <w:sz w:val="22"/>
                <w:szCs w:val="22"/>
              </w:rPr>
            </w:pPr>
            <w:r w:rsidRPr="00017D58">
              <w:rPr>
                <w:sz w:val="22"/>
                <w:szCs w:val="22"/>
              </w:rPr>
              <w:t>The applicant clearly acknowledges they will provide the required deliverables and adhere to the reporting timelines as contained in the RFA.</w:t>
            </w:r>
          </w:p>
        </w:tc>
        <w:tc>
          <w:tcPr>
            <w:tcW w:w="2711" w:type="dxa"/>
          </w:tcPr>
          <w:p w14:paraId="147063D3" w14:textId="36B050DD" w:rsidR="00FA3530" w:rsidRPr="00017D58" w:rsidRDefault="00FA3530" w:rsidP="0076596B">
            <w:pPr>
              <w:rPr>
                <w:sz w:val="22"/>
                <w:szCs w:val="22"/>
              </w:rPr>
            </w:pPr>
            <w:r w:rsidRPr="00017D58">
              <w:rPr>
                <w:sz w:val="22"/>
                <w:szCs w:val="22"/>
              </w:rPr>
              <w:t>The narrative provides a feasible plan for facilitating 18 CIN meetings over three fiscal years and addresses most requirements detailed in RFA Section 5.3.4.</w:t>
            </w:r>
            <w:r w:rsidR="006F6FC1" w:rsidRPr="00017D58">
              <w:rPr>
                <w:sz w:val="22"/>
                <w:szCs w:val="22"/>
              </w:rPr>
              <w:t xml:space="preserve"> If a partner is proposed, the narrative includes general information about the partnership, though specific responsibilities, activities, or deliverables may be lacking or unclear.</w:t>
            </w:r>
          </w:p>
        </w:tc>
        <w:tc>
          <w:tcPr>
            <w:tcW w:w="2711" w:type="dxa"/>
          </w:tcPr>
          <w:p w14:paraId="36B24562" w14:textId="06591877" w:rsidR="00FA3530" w:rsidRPr="00017D58" w:rsidRDefault="00FA3530" w:rsidP="000C1A72">
            <w:pPr>
              <w:spacing w:after="120"/>
              <w:rPr>
                <w:sz w:val="22"/>
                <w:szCs w:val="22"/>
              </w:rPr>
            </w:pPr>
            <w:r w:rsidRPr="00017D58">
              <w:rPr>
                <w:sz w:val="22"/>
                <w:szCs w:val="22"/>
              </w:rPr>
              <w:t>The narrative provides a limited plan for delivering 18 CIN meetings over three fiscal years, lacks sufficient detail or clarity, and/or only partially addresses the requirements outlined in RFA Section 5.3.4.</w:t>
            </w:r>
            <w:r w:rsidR="006F6FC1" w:rsidRPr="00017D58">
              <w:rPr>
                <w:sz w:val="22"/>
                <w:szCs w:val="22"/>
              </w:rPr>
              <w:t xml:space="preserve"> If a partner is proposed, the description of the partner’s responsibilities, activities, or deliverables is minimal, vague, or missing.</w:t>
            </w:r>
          </w:p>
        </w:tc>
        <w:tc>
          <w:tcPr>
            <w:tcW w:w="2711" w:type="dxa"/>
          </w:tcPr>
          <w:p w14:paraId="5E15C72E" w14:textId="6F81B4F8" w:rsidR="0076596B" w:rsidRPr="00017D58" w:rsidRDefault="00FA3530" w:rsidP="00FA3530">
            <w:pPr>
              <w:spacing w:after="120"/>
              <w:rPr>
                <w:sz w:val="22"/>
                <w:szCs w:val="22"/>
              </w:rPr>
            </w:pPr>
            <w:r w:rsidRPr="00017D58">
              <w:rPr>
                <w:sz w:val="22"/>
                <w:szCs w:val="22"/>
              </w:rPr>
              <w:t>The narrative does not provide a clear or feasible plan for delivering 18 CIN meetings and fails to address the requirements outlined in RFA Section 5.3.4.</w:t>
            </w:r>
            <w:r w:rsidR="006F6FC1" w:rsidRPr="00017D58">
              <w:rPr>
                <w:sz w:val="22"/>
                <w:szCs w:val="22"/>
              </w:rPr>
              <w:t xml:space="preserve"> If a partner is mentioned, no information is provided about the partner’s responsibilities, activities, or deliverables.</w:t>
            </w:r>
          </w:p>
          <w:p w14:paraId="04871910" w14:textId="77777777" w:rsidR="0076596B" w:rsidRPr="00017D58" w:rsidRDefault="0076596B" w:rsidP="0076596B">
            <w:pPr>
              <w:rPr>
                <w:sz w:val="22"/>
                <w:szCs w:val="22"/>
              </w:rPr>
            </w:pPr>
            <w:r w:rsidRPr="00017D58">
              <w:rPr>
                <w:sz w:val="22"/>
                <w:szCs w:val="22"/>
              </w:rPr>
              <w:t>The applicant does not acknowledge they will provide the required deliverables and adhere to the reporting timelines contained in the RFA.</w:t>
            </w:r>
          </w:p>
        </w:tc>
      </w:tr>
      <w:tr w:rsidR="0076596B" w14:paraId="4F298E40" w14:textId="77777777" w:rsidTr="00005638">
        <w:trPr>
          <w:cantSplit/>
        </w:trPr>
        <w:tc>
          <w:tcPr>
            <w:tcW w:w="2106" w:type="dxa"/>
          </w:tcPr>
          <w:p w14:paraId="0481C9BC" w14:textId="26B808B7" w:rsidR="0076596B" w:rsidRPr="00B83EEC" w:rsidRDefault="0076596B" w:rsidP="0032219D">
            <w:pPr>
              <w:pStyle w:val="ListParagraph"/>
              <w:numPr>
                <w:ilvl w:val="0"/>
                <w:numId w:val="22"/>
              </w:numPr>
              <w:rPr>
                <w:sz w:val="22"/>
                <w:szCs w:val="22"/>
              </w:rPr>
            </w:pPr>
            <w:r w:rsidRPr="00B83EEC">
              <w:rPr>
                <w:sz w:val="22"/>
                <w:szCs w:val="22"/>
              </w:rPr>
              <w:t>Task 5 – Planning Meetings</w:t>
            </w:r>
          </w:p>
          <w:p w14:paraId="220AC4F3" w14:textId="76AB55B8" w:rsidR="0076596B" w:rsidRPr="00B83EEC" w:rsidRDefault="0076596B" w:rsidP="0076596B">
            <w:pPr>
              <w:rPr>
                <w:sz w:val="22"/>
                <w:szCs w:val="22"/>
              </w:rPr>
            </w:pPr>
            <w:r w:rsidRPr="00B83EEC">
              <w:rPr>
                <w:rFonts w:eastAsia="Arial"/>
                <w:sz w:val="22"/>
                <w:szCs w:val="22"/>
              </w:rPr>
              <w:t>Score of 8 points possible:</w:t>
            </w:r>
          </w:p>
        </w:tc>
        <w:tc>
          <w:tcPr>
            <w:tcW w:w="2711" w:type="dxa"/>
          </w:tcPr>
          <w:p w14:paraId="12326D54" w14:textId="1A568D06" w:rsidR="0076596B" w:rsidRPr="00B83EEC" w:rsidRDefault="0076596B" w:rsidP="0076596B">
            <w:pPr>
              <w:rPr>
                <w:sz w:val="22"/>
                <w:szCs w:val="22"/>
              </w:rPr>
            </w:pPr>
            <w:r w:rsidRPr="00B83EEC">
              <w:rPr>
                <w:sz w:val="22"/>
                <w:szCs w:val="22"/>
              </w:rPr>
              <w:t>Acknowledges Task 4 and all subtasks contained herein for the duration of the subgrant term. Identifies sufficient Key Personnel to accomplish all activities.</w:t>
            </w:r>
          </w:p>
        </w:tc>
        <w:tc>
          <w:tcPr>
            <w:tcW w:w="2711" w:type="dxa"/>
          </w:tcPr>
          <w:p w14:paraId="0EE9722D" w14:textId="51A9AC40" w:rsidR="0076596B" w:rsidRPr="00B83EEC" w:rsidRDefault="0076596B" w:rsidP="0076596B">
            <w:pPr>
              <w:rPr>
                <w:sz w:val="22"/>
                <w:szCs w:val="22"/>
              </w:rPr>
            </w:pPr>
            <w:r w:rsidRPr="00B83EEC">
              <w:rPr>
                <w:sz w:val="22"/>
                <w:szCs w:val="22"/>
              </w:rPr>
              <w:t>Not applicable</w:t>
            </w:r>
          </w:p>
        </w:tc>
        <w:tc>
          <w:tcPr>
            <w:tcW w:w="2711" w:type="dxa"/>
          </w:tcPr>
          <w:p w14:paraId="2CCDE6FD" w14:textId="46315ECC" w:rsidR="0076596B" w:rsidRPr="00B83EEC" w:rsidRDefault="0076596B" w:rsidP="0076596B">
            <w:pPr>
              <w:rPr>
                <w:sz w:val="22"/>
                <w:szCs w:val="22"/>
              </w:rPr>
            </w:pPr>
            <w:r w:rsidRPr="00B83EEC">
              <w:rPr>
                <w:sz w:val="22"/>
                <w:szCs w:val="22"/>
              </w:rPr>
              <w:t>Not applicable</w:t>
            </w:r>
          </w:p>
        </w:tc>
        <w:tc>
          <w:tcPr>
            <w:tcW w:w="2711" w:type="dxa"/>
          </w:tcPr>
          <w:p w14:paraId="72234C0D" w14:textId="056CE9F6" w:rsidR="0076596B" w:rsidRPr="00B83EEC" w:rsidRDefault="0076596B" w:rsidP="0076596B">
            <w:pPr>
              <w:rPr>
                <w:sz w:val="22"/>
                <w:szCs w:val="22"/>
              </w:rPr>
            </w:pPr>
            <w:r w:rsidRPr="00B83EEC">
              <w:rPr>
                <w:sz w:val="22"/>
                <w:szCs w:val="22"/>
              </w:rPr>
              <w:t>Does not acknowledge Task 4 and all subtasks contained herein for the duration of the subgrant term. Identifies sufficient Key Personnel to accomplish all activities.</w:t>
            </w:r>
          </w:p>
        </w:tc>
      </w:tr>
    </w:tbl>
    <w:p w14:paraId="66339577" w14:textId="77777777" w:rsidR="00B60CDB" w:rsidRDefault="00B60CDB" w:rsidP="00B60CDB">
      <w:pPr>
        <w:rPr>
          <w:b/>
          <w:bCs/>
          <w:szCs w:val="32"/>
        </w:rPr>
      </w:pPr>
    </w:p>
    <w:p w14:paraId="30136E5E" w14:textId="3716B674" w:rsidR="00246D03" w:rsidRDefault="00166FE4" w:rsidP="00246D03">
      <w:pPr>
        <w:pStyle w:val="Heading3"/>
        <w:numPr>
          <w:ilvl w:val="0"/>
          <w:numId w:val="50"/>
        </w:numPr>
      </w:pPr>
      <w:bookmarkStart w:id="103" w:name="_Toc199842751"/>
      <w:r w:rsidRPr="00B60CDB">
        <w:lastRenderedPageBreak/>
        <w:t>Budget</w:t>
      </w:r>
      <w:bookmarkEnd w:id="103"/>
      <w:r w:rsidR="00453FA2">
        <w:t xml:space="preserve"> </w:t>
      </w:r>
    </w:p>
    <w:p w14:paraId="32D35605" w14:textId="6692FD7C" w:rsidR="00166FE4" w:rsidRDefault="00453FA2" w:rsidP="00246D03">
      <w:r w:rsidRPr="00B83EEC">
        <w:t>The content of this section must describe how the applicant will meet all the requirements stated for the tasks identified in the RFA.</w:t>
      </w:r>
    </w:p>
    <w:p w14:paraId="3EBD5939" w14:textId="1F2131BB" w:rsidR="00B60CDB" w:rsidRPr="00453FA2" w:rsidRDefault="00B60CDB" w:rsidP="00B60CDB">
      <w:pPr>
        <w:spacing w:before="120" w:after="120"/>
      </w:pPr>
      <w:r w:rsidRPr="00EA1445">
        <w:t xml:space="preserve">Total score of </w:t>
      </w:r>
      <w:r w:rsidR="00201EC6" w:rsidRPr="00EA1445">
        <w:t xml:space="preserve">16 </w:t>
      </w:r>
      <w:r w:rsidRPr="00EA1445">
        <w:t>points possible:</w:t>
      </w:r>
    </w:p>
    <w:p w14:paraId="74C5DC4C" w14:textId="34297FC0" w:rsidR="00B60CDB" w:rsidRPr="00B60CDB" w:rsidRDefault="00B60CDB" w:rsidP="00B477B2">
      <w:pPr>
        <w:pStyle w:val="TableHeader"/>
      </w:pPr>
      <w:r w:rsidRPr="00B60CDB">
        <w:t>Budget</w:t>
      </w:r>
    </w:p>
    <w:tbl>
      <w:tblPr>
        <w:tblStyle w:val="TableGrid1"/>
        <w:tblW w:w="12961" w:type="dxa"/>
        <w:tblLook w:val="01E0" w:firstRow="1" w:lastRow="1" w:firstColumn="1" w:lastColumn="1" w:noHBand="0" w:noVBand="0"/>
        <w:tblDescription w:val="Budget"/>
      </w:tblPr>
      <w:tblGrid>
        <w:gridCol w:w="2080"/>
        <w:gridCol w:w="3135"/>
        <w:gridCol w:w="2970"/>
        <w:gridCol w:w="2520"/>
        <w:gridCol w:w="2256"/>
      </w:tblGrid>
      <w:tr w:rsidR="00166FE4" w:rsidRPr="00964060" w14:paraId="461D277A" w14:textId="77777777" w:rsidTr="00005638">
        <w:trPr>
          <w:cantSplit/>
          <w:tblHeader/>
        </w:trPr>
        <w:tc>
          <w:tcPr>
            <w:tcW w:w="2080" w:type="dxa"/>
            <w:shd w:val="clear" w:color="auto" w:fill="A6A6A6" w:themeFill="background1" w:themeFillShade="A6"/>
          </w:tcPr>
          <w:p w14:paraId="7097CB5D" w14:textId="77777777" w:rsidR="00166FE4" w:rsidRPr="00166FE4" w:rsidRDefault="00166FE4" w:rsidP="00005638">
            <w:pPr>
              <w:pStyle w:val="TableParagraph"/>
              <w:spacing w:before="15"/>
              <w:ind w:right="78"/>
              <w:rPr>
                <w:rFonts w:ascii="Arial" w:hAnsi="Arial" w:cs="Arial"/>
              </w:rPr>
            </w:pPr>
            <w:r w:rsidRPr="00166FE4">
              <w:rPr>
                <w:rFonts w:ascii="Arial" w:eastAsia="Arial" w:hAnsi="Arial" w:cs="Arial"/>
                <w:b/>
                <w:szCs w:val="24"/>
              </w:rPr>
              <w:t>4. Budget</w:t>
            </w:r>
          </w:p>
        </w:tc>
        <w:tc>
          <w:tcPr>
            <w:tcW w:w="3135" w:type="dxa"/>
            <w:shd w:val="clear" w:color="auto" w:fill="A6A6A6" w:themeFill="background1" w:themeFillShade="A6"/>
          </w:tcPr>
          <w:p w14:paraId="0A61AEEB" w14:textId="77777777" w:rsidR="00166FE4" w:rsidRPr="00166FE4" w:rsidRDefault="00166FE4" w:rsidP="00005638">
            <w:pPr>
              <w:pStyle w:val="TableParagraph"/>
              <w:spacing w:before="6"/>
              <w:ind w:right="78"/>
              <w:jc w:val="center"/>
              <w:rPr>
                <w:rFonts w:ascii="Arial" w:eastAsia="Arial" w:hAnsi="Arial" w:cs="Arial"/>
                <w:szCs w:val="24"/>
              </w:rPr>
            </w:pPr>
            <w:r w:rsidRPr="00166FE4">
              <w:rPr>
                <w:rFonts w:ascii="Arial" w:hAnsi="Arial" w:cs="Arial"/>
                <w:b/>
                <w:spacing w:val="-10"/>
                <w:szCs w:val="24"/>
              </w:rPr>
              <w:t xml:space="preserve">CLEAR </w:t>
            </w:r>
            <w:r w:rsidRPr="00166FE4">
              <w:rPr>
                <w:rFonts w:ascii="Arial" w:hAnsi="Arial" w:cs="Arial"/>
                <w:b/>
                <w:spacing w:val="-1"/>
                <w:szCs w:val="24"/>
              </w:rPr>
              <w:t>CASE</w:t>
            </w:r>
          </w:p>
          <w:p w14:paraId="608011DC" w14:textId="77777777" w:rsidR="00166FE4" w:rsidRPr="00166FE4" w:rsidRDefault="00166FE4" w:rsidP="00005638">
            <w:pPr>
              <w:pStyle w:val="TableParagraph"/>
              <w:spacing w:before="15" w:after="120"/>
              <w:ind w:left="90" w:right="78"/>
              <w:jc w:val="center"/>
              <w:rPr>
                <w:rFonts w:ascii="Arial" w:hAnsi="Arial" w:cs="Arial"/>
                <w:szCs w:val="24"/>
              </w:rPr>
            </w:pPr>
            <w:r w:rsidRPr="00166FE4">
              <w:rPr>
                <w:rFonts w:ascii="Arial" w:eastAsia="Arial" w:hAnsi="Arial" w:cs="Arial"/>
                <w:b/>
                <w:bCs/>
                <w:spacing w:val="-1"/>
                <w:szCs w:val="24"/>
              </w:rPr>
              <w:t>8–7</w:t>
            </w:r>
            <w:r w:rsidRPr="00166FE4">
              <w:rPr>
                <w:rFonts w:ascii="Arial" w:eastAsia="Arial" w:hAnsi="Arial" w:cs="Arial"/>
                <w:b/>
                <w:bCs/>
                <w:spacing w:val="-6"/>
                <w:szCs w:val="24"/>
              </w:rPr>
              <w:t xml:space="preserve"> </w:t>
            </w:r>
            <w:r w:rsidRPr="00166FE4">
              <w:rPr>
                <w:rFonts w:ascii="Arial" w:eastAsia="Arial" w:hAnsi="Arial" w:cs="Arial"/>
                <w:b/>
                <w:bCs/>
                <w:spacing w:val="-1"/>
                <w:szCs w:val="24"/>
              </w:rPr>
              <w:t>Points</w:t>
            </w:r>
          </w:p>
        </w:tc>
        <w:tc>
          <w:tcPr>
            <w:tcW w:w="2970" w:type="dxa"/>
            <w:shd w:val="clear" w:color="auto" w:fill="A6A6A6" w:themeFill="background1" w:themeFillShade="A6"/>
          </w:tcPr>
          <w:p w14:paraId="2C3A105F" w14:textId="77777777" w:rsidR="00166FE4" w:rsidRPr="00166FE4" w:rsidRDefault="00166FE4" w:rsidP="00005638">
            <w:pPr>
              <w:pStyle w:val="TableParagraph"/>
              <w:spacing w:before="6"/>
              <w:ind w:right="78"/>
              <w:jc w:val="center"/>
              <w:rPr>
                <w:rFonts w:ascii="Arial" w:eastAsia="Arial" w:hAnsi="Arial" w:cs="Arial"/>
                <w:szCs w:val="24"/>
              </w:rPr>
            </w:pPr>
            <w:r w:rsidRPr="00166FE4">
              <w:rPr>
                <w:rFonts w:ascii="Arial" w:hAnsi="Arial" w:cs="Arial"/>
                <w:b/>
                <w:spacing w:val="-1"/>
                <w:szCs w:val="24"/>
              </w:rPr>
              <w:t>ADEQUATE</w:t>
            </w:r>
            <w:r w:rsidRPr="00166FE4">
              <w:rPr>
                <w:rFonts w:ascii="Arial" w:hAnsi="Arial" w:cs="Arial"/>
                <w:b/>
                <w:spacing w:val="-10"/>
                <w:szCs w:val="24"/>
              </w:rPr>
              <w:t xml:space="preserve"> </w:t>
            </w:r>
            <w:r w:rsidRPr="00166FE4">
              <w:rPr>
                <w:rFonts w:ascii="Arial" w:hAnsi="Arial" w:cs="Arial"/>
                <w:b/>
                <w:spacing w:val="-1"/>
                <w:szCs w:val="24"/>
              </w:rPr>
              <w:t>CASE</w:t>
            </w:r>
          </w:p>
          <w:p w14:paraId="4A92D21F" w14:textId="77777777" w:rsidR="00166FE4" w:rsidRPr="00166FE4" w:rsidRDefault="00166FE4" w:rsidP="00005638">
            <w:pPr>
              <w:pStyle w:val="TableParagraph"/>
              <w:spacing w:before="15"/>
              <w:ind w:left="103" w:right="78"/>
              <w:jc w:val="center"/>
              <w:rPr>
                <w:rFonts w:ascii="Arial" w:hAnsi="Arial" w:cs="Arial"/>
                <w:szCs w:val="24"/>
              </w:rPr>
            </w:pPr>
            <w:r w:rsidRPr="00166FE4">
              <w:rPr>
                <w:rFonts w:ascii="Arial" w:eastAsia="Arial" w:hAnsi="Arial" w:cs="Arial"/>
                <w:b/>
                <w:bCs/>
                <w:spacing w:val="-1"/>
                <w:szCs w:val="24"/>
              </w:rPr>
              <w:t>6–5</w:t>
            </w:r>
            <w:r w:rsidRPr="00166FE4">
              <w:rPr>
                <w:rFonts w:ascii="Arial" w:eastAsia="Arial" w:hAnsi="Arial" w:cs="Arial"/>
                <w:b/>
                <w:bCs/>
                <w:spacing w:val="-6"/>
                <w:szCs w:val="24"/>
              </w:rPr>
              <w:t xml:space="preserve"> </w:t>
            </w:r>
            <w:r w:rsidRPr="00166FE4">
              <w:rPr>
                <w:rFonts w:ascii="Arial" w:eastAsia="Arial" w:hAnsi="Arial" w:cs="Arial"/>
                <w:b/>
                <w:bCs/>
                <w:spacing w:val="-1"/>
                <w:szCs w:val="24"/>
              </w:rPr>
              <w:t>Points</w:t>
            </w:r>
          </w:p>
        </w:tc>
        <w:tc>
          <w:tcPr>
            <w:tcW w:w="2520" w:type="dxa"/>
            <w:shd w:val="clear" w:color="auto" w:fill="A6A6A6" w:themeFill="background1" w:themeFillShade="A6"/>
          </w:tcPr>
          <w:p w14:paraId="7D93BF48" w14:textId="77777777" w:rsidR="00166FE4" w:rsidRPr="00166FE4" w:rsidRDefault="00166FE4" w:rsidP="00005638">
            <w:pPr>
              <w:pStyle w:val="TableParagraph"/>
              <w:spacing w:before="6"/>
              <w:ind w:right="78"/>
              <w:jc w:val="center"/>
              <w:rPr>
                <w:rFonts w:ascii="Arial" w:eastAsia="Arial" w:hAnsi="Arial" w:cs="Arial"/>
                <w:szCs w:val="24"/>
              </w:rPr>
            </w:pPr>
            <w:r w:rsidRPr="00166FE4">
              <w:rPr>
                <w:rFonts w:ascii="Arial" w:hAnsi="Arial" w:cs="Arial"/>
                <w:b/>
                <w:spacing w:val="-1"/>
                <w:szCs w:val="24"/>
              </w:rPr>
              <w:t>LIMITED</w:t>
            </w:r>
            <w:r w:rsidRPr="00166FE4">
              <w:rPr>
                <w:rFonts w:ascii="Arial" w:hAnsi="Arial" w:cs="Arial"/>
                <w:b/>
                <w:spacing w:val="-9"/>
                <w:szCs w:val="24"/>
              </w:rPr>
              <w:t xml:space="preserve"> </w:t>
            </w:r>
            <w:r w:rsidRPr="00166FE4">
              <w:rPr>
                <w:rFonts w:ascii="Arial" w:hAnsi="Arial" w:cs="Arial"/>
                <w:b/>
                <w:spacing w:val="-1"/>
                <w:szCs w:val="24"/>
              </w:rPr>
              <w:t>CASE</w:t>
            </w:r>
          </w:p>
          <w:p w14:paraId="281E2D10" w14:textId="77777777" w:rsidR="00166FE4" w:rsidRPr="00166FE4" w:rsidRDefault="00166FE4" w:rsidP="00005638">
            <w:pPr>
              <w:pStyle w:val="TableParagraph"/>
              <w:spacing w:before="15" w:after="120"/>
              <w:ind w:left="103" w:right="78"/>
              <w:jc w:val="center"/>
              <w:rPr>
                <w:rFonts w:ascii="Arial" w:hAnsi="Arial" w:cs="Arial"/>
                <w:szCs w:val="24"/>
              </w:rPr>
            </w:pPr>
            <w:r w:rsidRPr="00166FE4">
              <w:rPr>
                <w:rFonts w:ascii="Arial" w:eastAsia="Arial" w:hAnsi="Arial" w:cs="Arial"/>
                <w:b/>
                <w:bCs/>
                <w:spacing w:val="-1"/>
                <w:szCs w:val="24"/>
              </w:rPr>
              <w:t>4–3</w:t>
            </w:r>
            <w:r w:rsidRPr="00166FE4">
              <w:rPr>
                <w:rFonts w:ascii="Arial" w:eastAsia="Arial" w:hAnsi="Arial" w:cs="Arial"/>
                <w:b/>
                <w:bCs/>
                <w:spacing w:val="-6"/>
                <w:szCs w:val="24"/>
              </w:rPr>
              <w:t xml:space="preserve"> </w:t>
            </w:r>
            <w:r w:rsidRPr="00166FE4">
              <w:rPr>
                <w:rFonts w:ascii="Arial" w:eastAsia="Arial" w:hAnsi="Arial" w:cs="Arial"/>
                <w:b/>
                <w:bCs/>
                <w:spacing w:val="-1"/>
                <w:szCs w:val="24"/>
              </w:rPr>
              <w:t>Points</w:t>
            </w:r>
          </w:p>
        </w:tc>
        <w:tc>
          <w:tcPr>
            <w:tcW w:w="2256" w:type="dxa"/>
            <w:shd w:val="clear" w:color="auto" w:fill="A6A6A6" w:themeFill="background1" w:themeFillShade="A6"/>
          </w:tcPr>
          <w:p w14:paraId="28B374B0" w14:textId="77777777" w:rsidR="00166FE4" w:rsidRPr="00166FE4" w:rsidRDefault="00166FE4" w:rsidP="00005638">
            <w:pPr>
              <w:pStyle w:val="TableParagraph"/>
              <w:spacing w:before="6"/>
              <w:ind w:right="114"/>
              <w:jc w:val="center"/>
              <w:rPr>
                <w:rFonts w:ascii="Arial" w:eastAsia="Arial" w:hAnsi="Arial" w:cs="Arial"/>
                <w:szCs w:val="24"/>
              </w:rPr>
            </w:pPr>
            <w:r w:rsidRPr="00166FE4">
              <w:rPr>
                <w:rFonts w:ascii="Arial" w:hAnsi="Arial" w:cs="Arial"/>
                <w:b/>
                <w:spacing w:val="-1"/>
                <w:szCs w:val="24"/>
              </w:rPr>
              <w:t>INSUFFICIENT</w:t>
            </w:r>
            <w:r w:rsidRPr="00166FE4">
              <w:rPr>
                <w:rFonts w:ascii="Arial" w:hAnsi="Arial" w:cs="Arial"/>
                <w:b/>
                <w:spacing w:val="-6"/>
                <w:szCs w:val="24"/>
              </w:rPr>
              <w:t xml:space="preserve"> </w:t>
            </w:r>
            <w:r w:rsidRPr="00166FE4">
              <w:rPr>
                <w:rFonts w:ascii="Arial" w:hAnsi="Arial" w:cs="Arial"/>
                <w:b/>
                <w:spacing w:val="-1"/>
                <w:szCs w:val="24"/>
              </w:rPr>
              <w:t>CASE</w:t>
            </w:r>
          </w:p>
          <w:p w14:paraId="07904E6C" w14:textId="77777777" w:rsidR="00166FE4" w:rsidRPr="00166FE4" w:rsidRDefault="00166FE4" w:rsidP="00005638">
            <w:pPr>
              <w:pStyle w:val="TableParagraph"/>
              <w:spacing w:before="15"/>
              <w:ind w:left="103" w:right="114"/>
              <w:jc w:val="center"/>
              <w:rPr>
                <w:rFonts w:ascii="Arial" w:hAnsi="Arial" w:cs="Arial"/>
                <w:szCs w:val="24"/>
              </w:rPr>
            </w:pPr>
            <w:r w:rsidRPr="00166FE4">
              <w:rPr>
                <w:rFonts w:ascii="Arial" w:eastAsia="Arial" w:hAnsi="Arial" w:cs="Arial"/>
                <w:b/>
                <w:bCs/>
                <w:spacing w:val="-1"/>
                <w:szCs w:val="24"/>
              </w:rPr>
              <w:t>2–0</w:t>
            </w:r>
            <w:r w:rsidRPr="00166FE4">
              <w:rPr>
                <w:rFonts w:ascii="Arial" w:eastAsia="Arial" w:hAnsi="Arial" w:cs="Arial"/>
                <w:b/>
                <w:bCs/>
                <w:spacing w:val="-6"/>
                <w:szCs w:val="24"/>
              </w:rPr>
              <w:t xml:space="preserve"> </w:t>
            </w:r>
            <w:r w:rsidRPr="00166FE4">
              <w:rPr>
                <w:rFonts w:ascii="Arial" w:eastAsia="Arial" w:hAnsi="Arial" w:cs="Arial"/>
                <w:b/>
                <w:bCs/>
                <w:spacing w:val="-1"/>
                <w:szCs w:val="24"/>
              </w:rPr>
              <w:t>Points</w:t>
            </w:r>
          </w:p>
        </w:tc>
      </w:tr>
      <w:tr w:rsidR="00166FE4" w:rsidRPr="00964060" w14:paraId="2FC0A219" w14:textId="77777777" w:rsidTr="00005638">
        <w:trPr>
          <w:cantSplit/>
        </w:trPr>
        <w:tc>
          <w:tcPr>
            <w:tcW w:w="2080" w:type="dxa"/>
          </w:tcPr>
          <w:p w14:paraId="67804D88" w14:textId="77777777" w:rsidR="00166FE4" w:rsidRPr="00B83EEC" w:rsidRDefault="00166FE4" w:rsidP="00005638">
            <w:pPr>
              <w:spacing w:before="240"/>
              <w:rPr>
                <w:rFonts w:eastAsia="Times New Roman" w:cs="Arial"/>
                <w:snapToGrid w:val="0"/>
                <w:sz w:val="22"/>
              </w:rPr>
            </w:pPr>
            <w:r w:rsidRPr="00B83EEC">
              <w:rPr>
                <w:rFonts w:eastAsia="Arial" w:cs="Arial"/>
                <w:sz w:val="22"/>
              </w:rPr>
              <w:t xml:space="preserve">A. </w:t>
            </w:r>
            <w:r w:rsidRPr="00B83EEC">
              <w:rPr>
                <w:rFonts w:eastAsia="Times New Roman" w:cs="Arial"/>
                <w:snapToGrid w:val="0"/>
                <w:sz w:val="22"/>
              </w:rPr>
              <w:t>Budget Overview</w:t>
            </w:r>
          </w:p>
          <w:p w14:paraId="402B4EEC" w14:textId="77777777" w:rsidR="00166FE4" w:rsidRPr="00B83EEC" w:rsidRDefault="00166FE4" w:rsidP="00005638">
            <w:pPr>
              <w:pStyle w:val="TableParagraph"/>
              <w:spacing w:before="240"/>
              <w:ind w:right="78"/>
              <w:rPr>
                <w:rFonts w:ascii="Arial" w:eastAsia="Arial" w:hAnsi="Arial" w:cs="Arial"/>
              </w:rPr>
            </w:pPr>
            <w:r w:rsidRPr="00B83EEC">
              <w:rPr>
                <w:rFonts w:ascii="Arial" w:eastAsia="Arial" w:hAnsi="Arial" w:cs="Arial"/>
              </w:rPr>
              <w:t xml:space="preserve">Score of 8 points possible: </w:t>
            </w:r>
          </w:p>
        </w:tc>
        <w:tc>
          <w:tcPr>
            <w:tcW w:w="3135" w:type="dxa"/>
          </w:tcPr>
          <w:p w14:paraId="587F7884" w14:textId="71457029" w:rsidR="00166FE4" w:rsidRPr="00B83EEC" w:rsidRDefault="00166FE4" w:rsidP="00005638">
            <w:pPr>
              <w:pStyle w:val="TableParagraph"/>
              <w:spacing w:before="15" w:after="120"/>
              <w:ind w:right="78"/>
              <w:rPr>
                <w:rFonts w:ascii="Arial" w:hAnsi="Arial" w:cs="Arial"/>
              </w:rPr>
            </w:pPr>
            <w:r w:rsidRPr="00B83EEC">
              <w:rPr>
                <w:rFonts w:ascii="Arial" w:hAnsi="Arial" w:cs="Arial"/>
              </w:rPr>
              <w:t xml:space="preserve">The Budget Summary and Budget Narrative Costs are clear and aligned. </w:t>
            </w:r>
          </w:p>
        </w:tc>
        <w:tc>
          <w:tcPr>
            <w:tcW w:w="2970" w:type="dxa"/>
          </w:tcPr>
          <w:p w14:paraId="2D3F566B" w14:textId="76B20C76" w:rsidR="00166FE4" w:rsidRPr="00B83EEC" w:rsidRDefault="00166FE4" w:rsidP="00005638">
            <w:pPr>
              <w:pStyle w:val="TableParagraph"/>
              <w:spacing w:before="15"/>
              <w:ind w:left="103" w:right="78"/>
              <w:rPr>
                <w:rFonts w:ascii="Arial" w:hAnsi="Arial" w:cs="Arial"/>
              </w:rPr>
            </w:pPr>
            <w:r w:rsidRPr="00B83EEC">
              <w:rPr>
                <w:rFonts w:ascii="Arial" w:hAnsi="Arial" w:cs="Arial"/>
              </w:rPr>
              <w:t>The Budget Summary</w:t>
            </w:r>
            <w:r w:rsidR="000C24D5">
              <w:rPr>
                <w:rFonts w:ascii="Arial" w:hAnsi="Arial" w:cs="Arial"/>
              </w:rPr>
              <w:t xml:space="preserve"> </w:t>
            </w:r>
            <w:r w:rsidRPr="00B83EEC">
              <w:rPr>
                <w:rFonts w:ascii="Arial" w:hAnsi="Arial" w:cs="Arial"/>
              </w:rPr>
              <w:t>and Budget Narrative Costs are aligned.</w:t>
            </w:r>
          </w:p>
        </w:tc>
        <w:tc>
          <w:tcPr>
            <w:tcW w:w="2520" w:type="dxa"/>
          </w:tcPr>
          <w:p w14:paraId="71E30103" w14:textId="77777777" w:rsidR="00166FE4" w:rsidRPr="00B83EEC" w:rsidRDefault="00166FE4" w:rsidP="00005638">
            <w:pPr>
              <w:pStyle w:val="TableParagraph"/>
              <w:spacing w:before="15" w:after="120"/>
              <w:ind w:left="103" w:right="78"/>
              <w:rPr>
                <w:rFonts w:ascii="Arial" w:hAnsi="Arial" w:cs="Arial"/>
              </w:rPr>
            </w:pPr>
            <w:r w:rsidRPr="00B83EEC">
              <w:rPr>
                <w:rFonts w:ascii="Arial" w:hAnsi="Arial" w:cs="Arial"/>
              </w:rPr>
              <w:t>Minor revision may be required to ensure that all Budget Forms are aligned.</w:t>
            </w:r>
          </w:p>
        </w:tc>
        <w:tc>
          <w:tcPr>
            <w:tcW w:w="2256" w:type="dxa"/>
          </w:tcPr>
          <w:p w14:paraId="2CAACE7F" w14:textId="7825DA41" w:rsidR="00166FE4" w:rsidRPr="00B83EEC" w:rsidRDefault="00166FE4" w:rsidP="00005638">
            <w:pPr>
              <w:pStyle w:val="TableParagraph"/>
              <w:spacing w:before="15"/>
              <w:ind w:left="103" w:right="114"/>
              <w:rPr>
                <w:rFonts w:ascii="Arial" w:hAnsi="Arial" w:cs="Arial"/>
              </w:rPr>
            </w:pPr>
            <w:r w:rsidRPr="00B83EEC">
              <w:rPr>
                <w:rFonts w:ascii="Arial" w:hAnsi="Arial" w:cs="Arial"/>
              </w:rPr>
              <w:t>Major revisions may be required to ensure that all Budget Forms are aligned, OR costs exceed the annual allocation.</w:t>
            </w:r>
          </w:p>
        </w:tc>
      </w:tr>
      <w:tr w:rsidR="00166FE4" w:rsidRPr="00964060" w14:paraId="14EA9743" w14:textId="77777777" w:rsidTr="00005638">
        <w:trPr>
          <w:cantSplit/>
        </w:trPr>
        <w:tc>
          <w:tcPr>
            <w:tcW w:w="2080" w:type="dxa"/>
          </w:tcPr>
          <w:p w14:paraId="0C176942" w14:textId="097479FF" w:rsidR="00166FE4" w:rsidRPr="000C24D5" w:rsidRDefault="00201EC6" w:rsidP="000C24D5">
            <w:pPr>
              <w:spacing w:before="240"/>
              <w:rPr>
                <w:rFonts w:eastAsia="Arial" w:cs="Arial"/>
                <w:sz w:val="22"/>
              </w:rPr>
            </w:pPr>
            <w:r>
              <w:rPr>
                <w:rFonts w:eastAsia="Arial" w:cs="Arial"/>
                <w:sz w:val="22"/>
              </w:rPr>
              <w:t xml:space="preserve">B. </w:t>
            </w:r>
            <w:r w:rsidR="00166FE4" w:rsidRPr="000C24D5">
              <w:rPr>
                <w:rFonts w:eastAsia="Arial" w:cs="Arial"/>
                <w:sz w:val="22"/>
              </w:rPr>
              <w:t xml:space="preserve">Budget Narrative </w:t>
            </w:r>
          </w:p>
          <w:p w14:paraId="792DCA16" w14:textId="77777777" w:rsidR="00166FE4" w:rsidRPr="00B83EEC" w:rsidRDefault="00166FE4" w:rsidP="00005638">
            <w:pPr>
              <w:spacing w:before="240"/>
              <w:rPr>
                <w:rFonts w:eastAsia="Arial" w:cs="Arial"/>
                <w:sz w:val="22"/>
              </w:rPr>
            </w:pPr>
            <w:r w:rsidRPr="00B83EEC">
              <w:rPr>
                <w:rFonts w:eastAsia="Arial" w:cs="Arial"/>
                <w:sz w:val="22"/>
              </w:rPr>
              <w:t>Score of 8 points possible:</w:t>
            </w:r>
          </w:p>
        </w:tc>
        <w:tc>
          <w:tcPr>
            <w:tcW w:w="3135" w:type="dxa"/>
          </w:tcPr>
          <w:p w14:paraId="6CAEA846" w14:textId="1BA02C2E" w:rsidR="00166FE4" w:rsidRPr="00B83EEC" w:rsidRDefault="00166FE4" w:rsidP="008C337A">
            <w:pPr>
              <w:pStyle w:val="TableParagraph"/>
              <w:spacing w:before="15" w:after="120"/>
              <w:ind w:left="58" w:right="78"/>
              <w:rPr>
                <w:rFonts w:ascii="Arial" w:hAnsi="Arial" w:cs="Arial"/>
              </w:rPr>
            </w:pPr>
            <w:r w:rsidRPr="00B83EEC">
              <w:rPr>
                <w:rFonts w:ascii="Arial" w:hAnsi="Arial" w:cs="Arial"/>
              </w:rPr>
              <w:t xml:space="preserve">The Budget Forms provide a clear, itemized projection of expenditures that are sufficient to conduct all required activities. Strong detail is provided to ensure that expenditures are allowable, reasonable, allocable, and necessary to achieve the goals of </w:t>
            </w:r>
            <w:r w:rsidR="008F6575" w:rsidRPr="00B83EEC">
              <w:rPr>
                <w:rFonts w:ascii="Arial" w:hAnsi="Arial" w:cs="Arial"/>
              </w:rPr>
              <w:t>STACS</w:t>
            </w:r>
            <w:r w:rsidRPr="00B83EEC">
              <w:rPr>
                <w:rFonts w:ascii="Arial" w:hAnsi="Arial" w:cs="Arial"/>
              </w:rPr>
              <w:t>.</w:t>
            </w:r>
          </w:p>
        </w:tc>
        <w:tc>
          <w:tcPr>
            <w:tcW w:w="2970" w:type="dxa"/>
          </w:tcPr>
          <w:p w14:paraId="037A700F" w14:textId="2C6D3646" w:rsidR="00166FE4" w:rsidRPr="00B83EEC" w:rsidRDefault="00166FE4" w:rsidP="008C337A">
            <w:pPr>
              <w:pStyle w:val="TableParagraph"/>
              <w:spacing w:before="15"/>
              <w:ind w:left="77" w:right="78"/>
              <w:rPr>
                <w:rFonts w:ascii="Arial" w:hAnsi="Arial" w:cs="Arial"/>
              </w:rPr>
            </w:pPr>
            <w:r w:rsidRPr="00B83EEC">
              <w:rPr>
                <w:rFonts w:ascii="Arial" w:hAnsi="Arial" w:cs="Arial"/>
              </w:rPr>
              <w:t xml:space="preserve">The Budget Forms provide an adequate itemized projection of expenditures that are sufficient to conduct all required activities. Sufficient detail is provided to ensure that expenditures are allowable, reasonable, allocable, and necessary to achieve the goals of </w:t>
            </w:r>
            <w:r w:rsidR="008F6575" w:rsidRPr="00B83EEC">
              <w:rPr>
                <w:rFonts w:ascii="Arial" w:hAnsi="Arial" w:cs="Arial"/>
              </w:rPr>
              <w:t>STACS</w:t>
            </w:r>
            <w:r w:rsidRPr="00B83EEC">
              <w:rPr>
                <w:rFonts w:ascii="Arial" w:hAnsi="Arial" w:cs="Arial"/>
              </w:rPr>
              <w:t>.</w:t>
            </w:r>
          </w:p>
        </w:tc>
        <w:tc>
          <w:tcPr>
            <w:tcW w:w="2520" w:type="dxa"/>
          </w:tcPr>
          <w:p w14:paraId="0B298ED9" w14:textId="20937DEB" w:rsidR="00166FE4" w:rsidRPr="00B83EEC" w:rsidRDefault="00166FE4" w:rsidP="008C337A">
            <w:pPr>
              <w:pStyle w:val="TableParagraph"/>
              <w:spacing w:before="15" w:after="120"/>
              <w:ind w:left="66" w:right="78"/>
              <w:rPr>
                <w:rFonts w:ascii="Arial" w:hAnsi="Arial" w:cs="Arial"/>
              </w:rPr>
            </w:pPr>
            <w:r w:rsidRPr="00B83EEC">
              <w:rPr>
                <w:rFonts w:ascii="Arial" w:hAnsi="Arial" w:cs="Arial"/>
              </w:rPr>
              <w:t xml:space="preserve">The Budget Forms provide a limited itemized projection of expenditures that are sufficient to conduct all required activities. Additional detail may be needed to ensure that expenditures are allowable, reasonable, allocable, and </w:t>
            </w:r>
            <w:r w:rsidR="008F6575" w:rsidRPr="00B83EEC">
              <w:rPr>
                <w:rFonts w:ascii="Arial" w:hAnsi="Arial" w:cs="Arial"/>
              </w:rPr>
              <w:t>necessary</w:t>
            </w:r>
            <w:r w:rsidRPr="00B83EEC">
              <w:rPr>
                <w:rFonts w:ascii="Arial" w:hAnsi="Arial" w:cs="Arial"/>
              </w:rPr>
              <w:t xml:space="preserve"> to achieve the goals of </w:t>
            </w:r>
            <w:r w:rsidR="008F6575" w:rsidRPr="00B83EEC">
              <w:rPr>
                <w:rFonts w:ascii="Arial" w:hAnsi="Arial" w:cs="Arial"/>
              </w:rPr>
              <w:t>STACS</w:t>
            </w:r>
            <w:r w:rsidRPr="00B83EEC">
              <w:rPr>
                <w:rFonts w:ascii="Arial" w:hAnsi="Arial" w:cs="Arial"/>
              </w:rPr>
              <w:t>.</w:t>
            </w:r>
          </w:p>
        </w:tc>
        <w:tc>
          <w:tcPr>
            <w:tcW w:w="2256" w:type="dxa"/>
          </w:tcPr>
          <w:p w14:paraId="5459D26E" w14:textId="77777777" w:rsidR="00166FE4" w:rsidRPr="00B83EEC" w:rsidRDefault="00166FE4" w:rsidP="008C337A">
            <w:pPr>
              <w:pStyle w:val="TableParagraph"/>
              <w:spacing w:before="15"/>
              <w:ind w:left="74" w:right="114"/>
              <w:rPr>
                <w:rFonts w:ascii="Arial" w:hAnsi="Arial" w:cs="Arial"/>
              </w:rPr>
            </w:pPr>
            <w:r w:rsidRPr="00B83EEC">
              <w:rPr>
                <w:rFonts w:ascii="Arial" w:hAnsi="Arial" w:cs="Arial"/>
              </w:rPr>
              <w:t>The Budget Forms provide insufficient  itemized detail, OR costs are not allowable, reasonable, or necessary, OR staffing may be insufficient to achieve all goals.</w:t>
            </w:r>
          </w:p>
        </w:tc>
      </w:tr>
    </w:tbl>
    <w:bookmarkEnd w:id="100"/>
    <w:p w14:paraId="1DD45FED" w14:textId="7587E55B" w:rsidR="003B6076" w:rsidRPr="00DB4CDB" w:rsidRDefault="0064377C" w:rsidP="00BE58CA">
      <w:pPr>
        <w:sectPr w:rsidR="003B6076" w:rsidRPr="00DB4CDB" w:rsidSect="003B6076">
          <w:footerReference w:type="default" r:id="rId30"/>
          <w:pgSz w:w="15840" w:h="12240" w:orient="landscape"/>
          <w:pgMar w:top="1440" w:right="1440" w:bottom="1440" w:left="1440" w:header="720" w:footer="720" w:gutter="0"/>
          <w:cols w:space="720"/>
          <w:docGrid w:linePitch="360"/>
        </w:sectPr>
      </w:pPr>
      <w:r w:rsidRPr="009755D6">
        <w:t xml:space="preserve"> </w:t>
      </w:r>
    </w:p>
    <w:p w14:paraId="567BDAE1" w14:textId="0852652D" w:rsidR="00B51D4F" w:rsidRPr="00DB4CDB" w:rsidRDefault="00B51D4F" w:rsidP="00246D03">
      <w:pPr>
        <w:pStyle w:val="Heading2"/>
        <w:jc w:val="center"/>
      </w:pPr>
      <w:bookmarkStart w:id="104" w:name="_Toc199842752"/>
      <w:r w:rsidRPr="00DB4CDB">
        <w:lastRenderedPageBreak/>
        <w:t>Appendix B: Definitions of PCSGP Terms</w:t>
      </w:r>
      <w:bookmarkEnd w:id="104"/>
    </w:p>
    <w:p w14:paraId="49F0CA10" w14:textId="77777777" w:rsidR="00DE391F" w:rsidRPr="00F90B7A" w:rsidRDefault="00DE391F" w:rsidP="00DE391F">
      <w:pPr>
        <w:spacing w:before="240"/>
        <w:rPr>
          <w:rFonts w:eastAsia="Calibri" w:cs="Times New Roman"/>
        </w:rPr>
      </w:pPr>
      <w:r w:rsidRPr="00F90B7A">
        <w:rPr>
          <w:rFonts w:eastAsia="Calibri" w:cs="Times New Roman"/>
          <w:b/>
          <w:bCs/>
        </w:rPr>
        <w:t xml:space="preserve">Career Technical Education (CTE): </w:t>
      </w:r>
      <w:r w:rsidRPr="00F90B7A">
        <w:rPr>
          <w:rFonts w:eastAsia="Calibri" w:cs="Times New Roman"/>
        </w:rPr>
        <w:t xml:space="preserve">A program of study that involves a multiyear sequence of courses that integrates core academic knowledge with technical and occupational knowledge to provide students with a pathway to postsecondary education and careers in alignment with </w:t>
      </w:r>
      <w:hyperlink r:id="rId31" w:history="1">
        <w:r w:rsidRPr="00F90B7A">
          <w:rPr>
            <w:rStyle w:val="Hyperlink"/>
            <w:rFonts w:eastAsia="Calibri" w:cs="Times New Roman"/>
          </w:rPr>
          <w:t>CDE CTE Guidance</w:t>
        </w:r>
      </w:hyperlink>
      <w:r w:rsidRPr="00F90B7A">
        <w:rPr>
          <w:rFonts w:eastAsia="Calibri" w:cs="Times New Roman"/>
        </w:rPr>
        <w:t xml:space="preserve">, </w:t>
      </w:r>
      <w:hyperlink r:id="rId32" w:history="1">
        <w:r w:rsidRPr="00F90B7A">
          <w:rPr>
            <w:rStyle w:val="Hyperlink"/>
            <w:rFonts w:eastAsia="Calibri" w:cs="Times New Roman"/>
          </w:rPr>
          <w:t>CTE Model Curriculum Standards</w:t>
        </w:r>
      </w:hyperlink>
      <w:r w:rsidRPr="00F90B7A">
        <w:rPr>
          <w:rFonts w:eastAsia="Calibri" w:cs="Times New Roman"/>
        </w:rPr>
        <w:t xml:space="preserve">, and </w:t>
      </w:r>
      <w:r w:rsidRPr="00F90B7A">
        <w:rPr>
          <w:rFonts w:eastAsia="Calibri" w:cs="Times New Roman"/>
          <w:i/>
          <w:iCs/>
        </w:rPr>
        <w:t xml:space="preserve">EC </w:t>
      </w:r>
      <w:r w:rsidRPr="00F90B7A">
        <w:rPr>
          <w:rFonts w:eastAsia="Calibri" w:cs="Times New Roman"/>
        </w:rPr>
        <w:t>Section 51220(i).</w:t>
      </w:r>
    </w:p>
    <w:p w14:paraId="6F5B0E56" w14:textId="19ED9564" w:rsidR="00ED7FDE" w:rsidRPr="00DB4CDB" w:rsidRDefault="00ED7FDE" w:rsidP="00CA40D1">
      <w:pPr>
        <w:spacing w:before="240"/>
        <w:rPr>
          <w:rFonts w:eastAsia="Calibri" w:cs="Times New Roman"/>
        </w:rPr>
      </w:pPr>
      <w:r w:rsidRPr="00DB4CDB">
        <w:rPr>
          <w:rFonts w:eastAsia="Calibri" w:cs="Times New Roman"/>
          <w:b/>
          <w:bCs/>
        </w:rPr>
        <w:t>CDE Business Hours:</w:t>
      </w:r>
      <w:r w:rsidRPr="00DB4CDB">
        <w:rPr>
          <w:rFonts w:eastAsia="Calibri" w:cs="Times New Roman"/>
        </w:rPr>
        <w:t xml:space="preserve"> The hours the CDE staff at large are available to the public, 8:00 a.m. to 5:00 p.m. Pacific Standard Time (PST)/Pacific Daylight Time (PDT).</w:t>
      </w:r>
    </w:p>
    <w:p w14:paraId="5EF92CB5" w14:textId="6BEFF8E9" w:rsidR="00ED7FDE" w:rsidRPr="00DB4CDB" w:rsidRDefault="00ED7FDE" w:rsidP="00CA40D1">
      <w:pPr>
        <w:spacing w:after="100" w:afterAutospacing="1"/>
        <w:rPr>
          <w:rFonts w:cs="Arial"/>
        </w:rPr>
      </w:pPr>
      <w:bookmarkStart w:id="105" w:name="_Hlk73700122"/>
      <w:r w:rsidRPr="00DB4CDB">
        <w:rPr>
          <w:rFonts w:cs="Arial"/>
          <w:b/>
          <w:bCs/>
        </w:rPr>
        <w:t>Charter School:</w:t>
      </w:r>
      <w:r w:rsidRPr="00DB4CDB">
        <w:rPr>
          <w:rFonts w:cs="Arial"/>
        </w:rPr>
        <w:t xml:space="preserve"> A public school that provides instruction in any grades kindergarten through </w:t>
      </w:r>
      <w:r w:rsidR="00B51776" w:rsidRPr="00DB4CDB">
        <w:rPr>
          <w:rFonts w:cs="Arial"/>
        </w:rPr>
        <w:t>twelve</w:t>
      </w:r>
      <w:r w:rsidRPr="00DB4CDB">
        <w:rPr>
          <w:rFonts w:cs="Arial"/>
        </w:rPr>
        <w:t xml:space="preserve"> and is approved by an authorized public chartering agency as a charter school under the provisions of California </w:t>
      </w:r>
      <w:r w:rsidRPr="00DB4CDB">
        <w:rPr>
          <w:rFonts w:cs="Arial"/>
          <w:i/>
          <w:iCs/>
        </w:rPr>
        <w:t>Education Code</w:t>
      </w:r>
      <w:r w:rsidRPr="00DB4CDB">
        <w:rPr>
          <w:rFonts w:cs="Arial"/>
        </w:rPr>
        <w:t xml:space="preserve"> (</w:t>
      </w:r>
      <w:r w:rsidRPr="00DB4CDB">
        <w:rPr>
          <w:rFonts w:cs="Arial"/>
          <w:i/>
          <w:iCs/>
        </w:rPr>
        <w:t xml:space="preserve">EC) </w:t>
      </w:r>
      <w:r w:rsidRPr="00DB4CDB">
        <w:rPr>
          <w:rFonts w:cs="Arial"/>
        </w:rPr>
        <w:t xml:space="preserve">Section 47600 et. seq. </w:t>
      </w:r>
    </w:p>
    <w:bookmarkEnd w:id="105"/>
    <w:p w14:paraId="2DD2C388" w14:textId="1BD13287" w:rsidR="00B51D4F" w:rsidRPr="00DB4CDB" w:rsidRDefault="00B51D4F" w:rsidP="00CA40D1">
      <w:pPr>
        <w:spacing w:after="100" w:afterAutospacing="1"/>
        <w:rPr>
          <w:rFonts w:cs="Arial"/>
          <w:szCs w:val="24"/>
        </w:rPr>
      </w:pPr>
      <w:r w:rsidRPr="00DB4CDB">
        <w:rPr>
          <w:rFonts w:cs="Arial"/>
          <w:b/>
          <w:szCs w:val="24"/>
        </w:rPr>
        <w:t xml:space="preserve">Charter Schools Program (CSP): </w:t>
      </w:r>
      <w:r w:rsidRPr="00DB4CDB">
        <w:rPr>
          <w:rFonts w:cs="Arial"/>
          <w:szCs w:val="24"/>
        </w:rPr>
        <w:t>A United States Department of Education (ED) administered discretionary grant program. Awarded states distribute subgrants to charter school developers to assist in the development and initial operations of newly established or conversion charter schools.</w:t>
      </w:r>
    </w:p>
    <w:p w14:paraId="09A40FC7" w14:textId="77777777" w:rsidR="00B51D4F" w:rsidRPr="00DB4CDB" w:rsidRDefault="00B51D4F" w:rsidP="00CA40D1">
      <w:pPr>
        <w:spacing w:after="100" w:afterAutospacing="1"/>
        <w:rPr>
          <w:rFonts w:cs="Arial"/>
          <w:szCs w:val="24"/>
        </w:rPr>
      </w:pPr>
      <w:r w:rsidRPr="00DB4CDB">
        <w:rPr>
          <w:rFonts w:cs="Arial"/>
          <w:b/>
          <w:szCs w:val="24"/>
        </w:rPr>
        <w:t>Conflict of Interest:</w:t>
      </w:r>
      <w:r w:rsidRPr="00DB4CDB">
        <w:rPr>
          <w:rFonts w:cs="Arial"/>
          <w:szCs w:val="24"/>
        </w:rPr>
        <w:t xml:space="preserve"> Charter</w:t>
      </w:r>
      <w:r w:rsidR="006E0AD5" w:rsidRPr="00DB4CDB">
        <w:rPr>
          <w:rFonts w:cs="Arial"/>
          <w:szCs w:val="24"/>
        </w:rPr>
        <w:t xml:space="preserve">, non-charter </w:t>
      </w:r>
      <w:r w:rsidRPr="00DB4CDB">
        <w:rPr>
          <w:rFonts w:cs="Arial"/>
          <w:szCs w:val="24"/>
        </w:rPr>
        <w:t xml:space="preserve">school and non-profit public benefit corporation board members are regarded as governmental representatives and as such are subject to provisions of the Fair Political Practices Act and federal regulations found in 34 </w:t>
      </w:r>
      <w:r w:rsidRPr="00DB4CDB">
        <w:rPr>
          <w:rFonts w:cs="Arial"/>
          <w:i/>
          <w:szCs w:val="24"/>
        </w:rPr>
        <w:t>Code of Federal Regulations</w:t>
      </w:r>
      <w:r w:rsidRPr="00DB4CDB">
        <w:rPr>
          <w:rFonts w:cs="Arial"/>
          <w:szCs w:val="24"/>
        </w:rPr>
        <w:t xml:space="preserve"> (</w:t>
      </w:r>
      <w:r w:rsidRPr="00DB4CDB">
        <w:rPr>
          <w:rFonts w:cs="Arial"/>
          <w:i/>
          <w:szCs w:val="24"/>
        </w:rPr>
        <w:t>CFR)</w:t>
      </w:r>
      <w:r w:rsidRPr="00DB4CDB">
        <w:rPr>
          <w:rFonts w:cs="Arial"/>
          <w:szCs w:val="24"/>
        </w:rPr>
        <w:t xml:space="preserve"> Section 75.525.</w:t>
      </w:r>
    </w:p>
    <w:p w14:paraId="7C321920" w14:textId="2B221DF9" w:rsidR="00CA6A0D" w:rsidRPr="00DB4CDB" w:rsidRDefault="00CA6A0D" w:rsidP="00CA40D1">
      <w:pPr>
        <w:spacing w:before="240"/>
        <w:rPr>
          <w:rFonts w:eastAsia="Calibri" w:cs="Times New Roman"/>
        </w:rPr>
      </w:pPr>
      <w:r w:rsidRPr="00DB4CDB">
        <w:rPr>
          <w:rFonts w:eastAsia="Calibri" w:cs="Times New Roman"/>
          <w:b/>
        </w:rPr>
        <w:t>Cost reimbursement subgrant:</w:t>
      </w:r>
      <w:r w:rsidRPr="00DB4CDB">
        <w:rPr>
          <w:rFonts w:eastAsia="Calibri" w:cs="Times New Roman"/>
        </w:rPr>
        <w:t xml:space="preserve"> Provides for payment of allowable incurred costs related to services performed, to the extent prescribed in the subgrant. These subgrants establish an estimate of total cost for the purpose of obligating funds and establishing a ceiling that the successful applicant may not exceed for each line item.</w:t>
      </w:r>
    </w:p>
    <w:p w14:paraId="45B97824" w14:textId="685AFA04" w:rsidR="00B51D4F" w:rsidRDefault="00B51D4F" w:rsidP="00CA40D1">
      <w:pPr>
        <w:spacing w:after="100" w:afterAutospacing="1"/>
        <w:rPr>
          <w:rFonts w:cs="Arial"/>
          <w:szCs w:val="24"/>
        </w:rPr>
      </w:pPr>
      <w:r w:rsidRPr="00DB4CDB">
        <w:rPr>
          <w:rFonts w:cs="Arial"/>
          <w:b/>
          <w:szCs w:val="24"/>
        </w:rPr>
        <w:t xml:space="preserve">ED: </w:t>
      </w:r>
      <w:r w:rsidRPr="00DB4CDB">
        <w:rPr>
          <w:rFonts w:cs="Arial"/>
          <w:szCs w:val="24"/>
        </w:rPr>
        <w:t>The Federal Department of Education.</w:t>
      </w:r>
    </w:p>
    <w:p w14:paraId="2A76D2DE" w14:textId="2DE73B34" w:rsidR="001A5D28" w:rsidRPr="00DB4CDB" w:rsidRDefault="001A5D28" w:rsidP="00CA40D1">
      <w:pPr>
        <w:spacing w:after="100" w:afterAutospacing="1"/>
        <w:rPr>
          <w:rFonts w:cs="Arial"/>
          <w:szCs w:val="24"/>
        </w:rPr>
      </w:pPr>
      <w:r w:rsidRPr="00DB4CDB">
        <w:rPr>
          <w:rFonts w:cs="Arial"/>
          <w:b/>
          <w:szCs w:val="24"/>
        </w:rPr>
        <w:t>Education Non-Profit:</w:t>
      </w:r>
      <w:r w:rsidRPr="00DB4CDB">
        <w:rPr>
          <w:rFonts w:cs="Arial"/>
          <w:szCs w:val="24"/>
        </w:rPr>
        <w:t xml:space="preserve"> A non-profit organization whose mission is </w:t>
      </w:r>
      <w:r w:rsidR="00C94E42" w:rsidRPr="00DB4CDB">
        <w:rPr>
          <w:rFonts w:cs="Arial"/>
          <w:szCs w:val="24"/>
        </w:rPr>
        <w:t xml:space="preserve">to support schools, educators, and/or LEAs. This may include </w:t>
      </w:r>
      <w:r w:rsidRPr="00DB4CDB">
        <w:rPr>
          <w:rFonts w:cs="Arial"/>
          <w:szCs w:val="24"/>
        </w:rPr>
        <w:t>provid</w:t>
      </w:r>
      <w:r w:rsidR="00C94E42" w:rsidRPr="00DB4CDB">
        <w:rPr>
          <w:rFonts w:cs="Arial"/>
          <w:szCs w:val="24"/>
        </w:rPr>
        <w:t>ing</w:t>
      </w:r>
      <w:r w:rsidRPr="00DB4CDB">
        <w:rPr>
          <w:rFonts w:cs="Arial"/>
          <w:szCs w:val="24"/>
        </w:rPr>
        <w:t xml:space="preserve"> technical assistance, professional development, and resources to </w:t>
      </w:r>
      <w:r w:rsidR="00C94E42" w:rsidRPr="00DB4CDB">
        <w:rPr>
          <w:rFonts w:cs="Arial"/>
          <w:szCs w:val="24"/>
        </w:rPr>
        <w:t xml:space="preserve">LEA </w:t>
      </w:r>
      <w:r w:rsidRPr="00DB4CDB">
        <w:rPr>
          <w:rFonts w:cs="Arial"/>
          <w:szCs w:val="24"/>
        </w:rPr>
        <w:t>administrators</w:t>
      </w:r>
      <w:r w:rsidR="00C94E42" w:rsidRPr="00DB4CDB">
        <w:rPr>
          <w:rFonts w:cs="Arial"/>
          <w:szCs w:val="24"/>
        </w:rPr>
        <w:t>, teachers,</w:t>
      </w:r>
      <w:r w:rsidRPr="00DB4CDB">
        <w:rPr>
          <w:rFonts w:cs="Arial"/>
          <w:szCs w:val="24"/>
        </w:rPr>
        <w:t xml:space="preserve"> and staff.</w:t>
      </w:r>
    </w:p>
    <w:p w14:paraId="7742C9F4" w14:textId="77777777" w:rsidR="00B51D4F" w:rsidRPr="00F90B7A" w:rsidRDefault="00B51D4F" w:rsidP="00CA40D1">
      <w:pPr>
        <w:rPr>
          <w:rFonts w:cs="Arial"/>
          <w:szCs w:val="24"/>
        </w:rPr>
      </w:pPr>
      <w:r w:rsidRPr="00DB4CDB">
        <w:rPr>
          <w:rFonts w:cs="Arial"/>
          <w:b/>
          <w:szCs w:val="24"/>
        </w:rPr>
        <w:t xml:space="preserve">Elementary and Secondary Education Act (ESEA): </w:t>
      </w:r>
      <w:r w:rsidRPr="00DB4CDB">
        <w:rPr>
          <w:rFonts w:cs="Arial"/>
          <w:szCs w:val="24"/>
        </w:rPr>
        <w:t xml:space="preserve">The Elementary and Secondary Education Act of 1965. ESEA is the primary federal legislation for primary (elementary) </w:t>
      </w:r>
      <w:r w:rsidRPr="00F90B7A">
        <w:rPr>
          <w:rFonts w:cs="Arial"/>
          <w:szCs w:val="24"/>
        </w:rPr>
        <w:t>and secondary education in the United States.</w:t>
      </w:r>
    </w:p>
    <w:p w14:paraId="03AB13C0" w14:textId="05054820" w:rsidR="00DE391F" w:rsidRPr="005548C0" w:rsidRDefault="00DE391F" w:rsidP="00DE391F">
      <w:pPr>
        <w:spacing w:before="240"/>
        <w:rPr>
          <w:rFonts w:eastAsia="Calibri" w:cs="Times New Roman"/>
          <w:bCs/>
        </w:rPr>
      </w:pPr>
      <w:r w:rsidRPr="00F90B7A">
        <w:rPr>
          <w:rFonts w:eastAsia="Calibri" w:cs="Times New Roman"/>
          <w:b/>
        </w:rPr>
        <w:t>English Learner:</w:t>
      </w:r>
      <w:r w:rsidRPr="00F90B7A">
        <w:rPr>
          <w:rFonts w:eastAsia="Calibri" w:cs="Times New Roman"/>
          <w:bCs/>
        </w:rPr>
        <w:t xml:space="preserve"> For the purposes of this subgrant application</w:t>
      </w:r>
      <w:r w:rsidR="00C53575" w:rsidRPr="00F90B7A">
        <w:rPr>
          <w:rFonts w:eastAsia="Calibri" w:cs="Times New Roman"/>
          <w:bCs/>
        </w:rPr>
        <w:t>,</w:t>
      </w:r>
      <w:r w:rsidRPr="00F90B7A">
        <w:rPr>
          <w:rFonts w:eastAsia="Calibri" w:cs="Times New Roman"/>
          <w:bCs/>
        </w:rPr>
        <w:t xml:space="preserve"> English </w:t>
      </w:r>
      <w:r w:rsidR="00A12A08" w:rsidRPr="00F90B7A">
        <w:rPr>
          <w:rFonts w:eastAsia="Calibri" w:cs="Times New Roman"/>
          <w:bCs/>
        </w:rPr>
        <w:t>l</w:t>
      </w:r>
      <w:r w:rsidRPr="00F90B7A">
        <w:rPr>
          <w:rFonts w:eastAsia="Calibri" w:cs="Times New Roman"/>
          <w:bCs/>
        </w:rPr>
        <w:t xml:space="preserve">earners are those students identified in </w:t>
      </w:r>
      <w:r w:rsidRPr="00F90B7A">
        <w:rPr>
          <w:rFonts w:eastAsia="Calibri" w:cs="Times New Roman"/>
          <w:bCs/>
          <w:i/>
          <w:iCs/>
        </w:rPr>
        <w:t>EC</w:t>
      </w:r>
      <w:r w:rsidRPr="00F90B7A">
        <w:rPr>
          <w:rFonts w:eastAsia="Calibri" w:cs="Times New Roman"/>
          <w:bCs/>
        </w:rPr>
        <w:t xml:space="preserve"> Section 52163</w:t>
      </w:r>
      <w:r w:rsidR="00C53575" w:rsidRPr="00F90B7A">
        <w:rPr>
          <w:rFonts w:eastAsia="Calibri" w:cs="Times New Roman"/>
          <w:bCs/>
        </w:rPr>
        <w:t>(</w:t>
      </w:r>
      <w:r w:rsidRPr="00F90B7A">
        <w:rPr>
          <w:rFonts w:eastAsia="Calibri" w:cs="Times New Roman"/>
          <w:bCs/>
        </w:rPr>
        <w:t>m</w:t>
      </w:r>
      <w:r w:rsidR="00C53575" w:rsidRPr="00F90B7A">
        <w:rPr>
          <w:rFonts w:eastAsia="Calibri" w:cs="Times New Roman"/>
          <w:bCs/>
        </w:rPr>
        <w:t>)</w:t>
      </w:r>
      <w:r w:rsidRPr="00F90B7A">
        <w:rPr>
          <w:rFonts w:eastAsia="Calibri" w:cs="Times New Roman"/>
          <w:bCs/>
        </w:rPr>
        <w:t xml:space="preserve"> and ESEA Section 8101(20).</w:t>
      </w:r>
    </w:p>
    <w:p w14:paraId="584A7D6A" w14:textId="326C401E" w:rsidR="00B51D4F" w:rsidRPr="00DB4CDB" w:rsidRDefault="00B51D4F" w:rsidP="00CA40D1">
      <w:pPr>
        <w:rPr>
          <w:rFonts w:cs="Arial"/>
          <w:szCs w:val="24"/>
        </w:rPr>
      </w:pPr>
      <w:r w:rsidRPr="00DB4CDB">
        <w:rPr>
          <w:rFonts w:cs="Arial"/>
          <w:b/>
          <w:szCs w:val="24"/>
        </w:rPr>
        <w:t>Every Student Succeeds Act (ESSA):</w:t>
      </w:r>
      <w:r w:rsidRPr="00DB4CDB">
        <w:rPr>
          <w:rFonts w:cs="Arial"/>
          <w:szCs w:val="24"/>
        </w:rPr>
        <w:t xml:space="preserve"> The Every Student Succeeds Act was signed into law on December 10, 2015</w:t>
      </w:r>
      <w:r w:rsidR="00CA6A0D" w:rsidRPr="00DB4CDB">
        <w:rPr>
          <w:rFonts w:cs="Arial"/>
          <w:szCs w:val="24"/>
        </w:rPr>
        <w:t>,</w:t>
      </w:r>
      <w:r w:rsidRPr="00DB4CDB">
        <w:rPr>
          <w:rFonts w:cs="Arial"/>
          <w:szCs w:val="24"/>
        </w:rPr>
        <w:t xml:space="preserve"> and reauthorized the ESEA.</w:t>
      </w:r>
    </w:p>
    <w:p w14:paraId="3CBA3B60" w14:textId="4AEE5649" w:rsidR="00B51D4F" w:rsidRPr="00DB4CDB" w:rsidRDefault="00B51D4F" w:rsidP="00CA40D1">
      <w:pPr>
        <w:spacing w:before="240"/>
        <w:rPr>
          <w:rFonts w:eastAsia="Calibri" w:cs="Times New Roman"/>
        </w:rPr>
      </w:pPr>
      <w:r w:rsidRPr="00DB4CDB">
        <w:rPr>
          <w:rFonts w:eastAsia="Calibri" w:cs="Times New Roman"/>
          <w:b/>
        </w:rPr>
        <w:lastRenderedPageBreak/>
        <w:t>Fiscal year:</w:t>
      </w:r>
      <w:r w:rsidRPr="00DB4CDB">
        <w:rPr>
          <w:rFonts w:eastAsia="Calibri" w:cs="Times New Roman"/>
        </w:rPr>
        <w:t xml:space="preserve"> The </w:t>
      </w:r>
      <w:r w:rsidR="00E41344" w:rsidRPr="00DB4CDB">
        <w:rPr>
          <w:rFonts w:eastAsia="Calibri" w:cs="Times New Roman"/>
        </w:rPr>
        <w:t xml:space="preserve">California </w:t>
      </w:r>
      <w:r w:rsidRPr="00DB4CDB">
        <w:rPr>
          <w:rFonts w:eastAsia="Calibri" w:cs="Times New Roman"/>
        </w:rPr>
        <w:t xml:space="preserve">state fiscal year </w:t>
      </w:r>
      <w:r w:rsidR="00E41344" w:rsidRPr="00DB4CDB">
        <w:rPr>
          <w:rFonts w:eastAsia="Calibri" w:cs="Times New Roman"/>
        </w:rPr>
        <w:t xml:space="preserve">is </w:t>
      </w:r>
      <w:r w:rsidRPr="00DB4CDB">
        <w:rPr>
          <w:rFonts w:eastAsia="Calibri" w:cs="Times New Roman"/>
        </w:rPr>
        <w:t>July 1 through and including the following June 30.</w:t>
      </w:r>
    </w:p>
    <w:p w14:paraId="4F84B2FB" w14:textId="098AB2A3" w:rsidR="00B51D4F" w:rsidRPr="00DB4CDB" w:rsidRDefault="00B51D4F" w:rsidP="00CA40D1">
      <w:pPr>
        <w:spacing w:after="100" w:afterAutospacing="1"/>
        <w:rPr>
          <w:rFonts w:cs="Arial"/>
          <w:b/>
          <w:szCs w:val="24"/>
        </w:rPr>
      </w:pPr>
      <w:r w:rsidRPr="00DB4CDB">
        <w:rPr>
          <w:rFonts w:cs="Arial"/>
          <w:b/>
          <w:szCs w:val="24"/>
        </w:rPr>
        <w:t xml:space="preserve">Grant Award Notification (GAN): </w:t>
      </w:r>
      <w:r w:rsidR="0053687F" w:rsidRPr="00DB4CDB">
        <w:rPr>
          <w:rFonts w:cs="Arial"/>
          <w:szCs w:val="24"/>
        </w:rPr>
        <w:t>A</w:t>
      </w:r>
      <w:r w:rsidRPr="00DB4CDB">
        <w:rPr>
          <w:rFonts w:cs="Arial"/>
          <w:szCs w:val="24"/>
        </w:rPr>
        <w:t xml:space="preserve"> legally binding document between the CDE and the grantee or subgrantee for purposes of this </w:t>
      </w:r>
      <w:r w:rsidR="0053687F" w:rsidRPr="00DB4CDB">
        <w:rPr>
          <w:rFonts w:cs="Arial"/>
          <w:szCs w:val="24"/>
        </w:rPr>
        <w:t xml:space="preserve">Request for Applications (RFA) </w:t>
      </w:r>
      <w:r w:rsidRPr="00DB4CDB">
        <w:rPr>
          <w:rFonts w:cs="Arial"/>
          <w:szCs w:val="24"/>
        </w:rPr>
        <w:t>and the Public Charter Schools Grant Program (PCSGP). An o</w:t>
      </w:r>
      <w:r w:rsidRPr="00DB4CDB">
        <w:rPr>
          <w:rFonts w:cs="Arial"/>
          <w:color w:val="000000"/>
          <w:szCs w:val="24"/>
        </w:rPr>
        <w:t>fficial document signed by an authorized official stating the amount, terms, and conditions of the grant award.</w:t>
      </w:r>
    </w:p>
    <w:p w14:paraId="30D3309C" w14:textId="77777777" w:rsidR="00B51D4F" w:rsidRPr="00DB4CDB" w:rsidRDefault="00B51D4F" w:rsidP="00CA40D1">
      <w:pPr>
        <w:spacing w:after="100" w:afterAutospacing="1"/>
        <w:rPr>
          <w:rFonts w:cs="Arial"/>
          <w:szCs w:val="24"/>
        </w:rPr>
      </w:pPr>
      <w:r w:rsidRPr="00DB4CDB">
        <w:rPr>
          <w:rFonts w:cs="Arial"/>
          <w:b/>
          <w:szCs w:val="24"/>
        </w:rPr>
        <w:t xml:space="preserve">Grantee: </w:t>
      </w:r>
      <w:r w:rsidRPr="00DB4CDB">
        <w:rPr>
          <w:rFonts w:cs="Arial"/>
          <w:szCs w:val="24"/>
        </w:rPr>
        <w:t>For the purposes of this RFA and the PCSGP, the CDE is the “grantee.”</w:t>
      </w:r>
    </w:p>
    <w:p w14:paraId="30FC99F4" w14:textId="7A4919A4" w:rsidR="00B51D4F" w:rsidRPr="00DB4CDB" w:rsidRDefault="00B51D4F" w:rsidP="00CA40D1">
      <w:pPr>
        <w:spacing w:after="100" w:afterAutospacing="1"/>
        <w:rPr>
          <w:rFonts w:cs="Arial"/>
          <w:szCs w:val="24"/>
        </w:rPr>
      </w:pPr>
      <w:r w:rsidRPr="00DB4CDB">
        <w:rPr>
          <w:rFonts w:cs="Arial"/>
          <w:b/>
          <w:szCs w:val="24"/>
        </w:rPr>
        <w:t>High</w:t>
      </w:r>
      <w:r w:rsidR="00653F11" w:rsidRPr="00DB4CDB">
        <w:rPr>
          <w:rFonts w:cs="Arial"/>
          <w:b/>
          <w:szCs w:val="24"/>
        </w:rPr>
        <w:t>-</w:t>
      </w:r>
      <w:r w:rsidRPr="00DB4CDB">
        <w:rPr>
          <w:rFonts w:cs="Arial"/>
          <w:b/>
          <w:szCs w:val="24"/>
        </w:rPr>
        <w:t xml:space="preserve">Quality Charter School: </w:t>
      </w:r>
      <w:r w:rsidRPr="00DB4CDB">
        <w:rPr>
          <w:rFonts w:cs="Arial"/>
          <w:szCs w:val="24"/>
        </w:rPr>
        <w:t xml:space="preserve">As defined by </w:t>
      </w:r>
      <w:r w:rsidR="008D5F50" w:rsidRPr="00DB4CDB">
        <w:rPr>
          <w:rFonts w:cs="Arial"/>
          <w:szCs w:val="24"/>
        </w:rPr>
        <w:t xml:space="preserve">ESEA </w:t>
      </w:r>
      <w:r w:rsidR="00AA3DB5">
        <w:rPr>
          <w:rFonts w:cs="Arial"/>
          <w:szCs w:val="24"/>
        </w:rPr>
        <w:t xml:space="preserve">Section </w:t>
      </w:r>
      <w:r w:rsidRPr="00DB4CDB">
        <w:rPr>
          <w:rFonts w:cs="Arial"/>
          <w:szCs w:val="24"/>
        </w:rPr>
        <w:t>4310(3), as amended by the ESSA, means a charter school that:</w:t>
      </w:r>
    </w:p>
    <w:p w14:paraId="65AAF1D7" w14:textId="77777777" w:rsidR="00B51D4F" w:rsidRPr="00DB4CDB" w:rsidRDefault="00B51D4F" w:rsidP="00F17306">
      <w:pPr>
        <w:pStyle w:val="ListParagraph"/>
        <w:numPr>
          <w:ilvl w:val="0"/>
          <w:numId w:val="1"/>
        </w:numPr>
        <w:autoSpaceDE w:val="0"/>
        <w:autoSpaceDN w:val="0"/>
        <w:adjustRightInd w:val="0"/>
        <w:spacing w:before="100" w:beforeAutospacing="1"/>
        <w:contextualSpacing w:val="0"/>
        <w:rPr>
          <w:rFonts w:cs="Arial"/>
          <w:szCs w:val="24"/>
        </w:rPr>
      </w:pPr>
      <w:r w:rsidRPr="00DB4CDB">
        <w:rPr>
          <w:rFonts w:cs="Arial"/>
          <w:szCs w:val="24"/>
        </w:rPr>
        <w:t>Shows evidence of strong academic results, which may include strong student academic growth, as determined by a State;</w:t>
      </w:r>
    </w:p>
    <w:p w14:paraId="6A0CBAE4" w14:textId="77777777" w:rsidR="00B51D4F" w:rsidRPr="00DB4CDB" w:rsidRDefault="00B51D4F" w:rsidP="00F17306">
      <w:pPr>
        <w:pStyle w:val="ListParagraph"/>
        <w:numPr>
          <w:ilvl w:val="0"/>
          <w:numId w:val="1"/>
        </w:numPr>
        <w:autoSpaceDE w:val="0"/>
        <w:autoSpaceDN w:val="0"/>
        <w:adjustRightInd w:val="0"/>
        <w:spacing w:before="100" w:beforeAutospacing="1"/>
        <w:contextualSpacing w:val="0"/>
        <w:rPr>
          <w:rFonts w:cs="Arial"/>
          <w:szCs w:val="24"/>
        </w:rPr>
      </w:pPr>
      <w:r w:rsidRPr="00DB4CDB">
        <w:rPr>
          <w:rFonts w:cs="Arial"/>
          <w:szCs w:val="24"/>
        </w:rPr>
        <w:t>Has no significant issues in the areas of student safety, financial and operational management, or statutory or regulatory compliance (may be verified with letter from authorizer);</w:t>
      </w:r>
    </w:p>
    <w:p w14:paraId="056AAB5A" w14:textId="12BCB8E5" w:rsidR="00B51D4F" w:rsidRPr="00DB4CDB" w:rsidRDefault="00B51D4F" w:rsidP="00F17306">
      <w:pPr>
        <w:pStyle w:val="ListParagraph"/>
        <w:numPr>
          <w:ilvl w:val="0"/>
          <w:numId w:val="1"/>
        </w:numPr>
        <w:autoSpaceDE w:val="0"/>
        <w:autoSpaceDN w:val="0"/>
        <w:adjustRightInd w:val="0"/>
        <w:spacing w:before="100" w:beforeAutospacing="1"/>
        <w:contextualSpacing w:val="0"/>
        <w:rPr>
          <w:rFonts w:cs="Arial"/>
          <w:szCs w:val="24"/>
        </w:rPr>
      </w:pPr>
      <w:r w:rsidRPr="00DB4CDB">
        <w:rPr>
          <w:rFonts w:cs="Arial"/>
          <w:szCs w:val="24"/>
        </w:rPr>
        <w:t>Has demonstrated success in significantly increasing schoolwide student academic achievement, including graduation rates where applicable;</w:t>
      </w:r>
    </w:p>
    <w:p w14:paraId="683C4C19" w14:textId="1232433F" w:rsidR="00B51D4F" w:rsidRPr="00F90B7A" w:rsidRDefault="00B51D4F" w:rsidP="00F17306">
      <w:pPr>
        <w:pStyle w:val="ListParagraph"/>
        <w:numPr>
          <w:ilvl w:val="0"/>
          <w:numId w:val="1"/>
        </w:numPr>
        <w:autoSpaceDE w:val="0"/>
        <w:autoSpaceDN w:val="0"/>
        <w:adjustRightInd w:val="0"/>
        <w:spacing w:before="100" w:beforeAutospacing="1"/>
        <w:contextualSpacing w:val="0"/>
        <w:rPr>
          <w:rFonts w:cs="Arial"/>
          <w:szCs w:val="24"/>
        </w:rPr>
      </w:pPr>
      <w:r w:rsidRPr="00DB4CDB">
        <w:rPr>
          <w:rFonts w:cs="Arial"/>
          <w:szCs w:val="24"/>
        </w:rPr>
        <w:t xml:space="preserve">Has demonstrated success in increasing student academic achievement, including graduation rates where applicable, for a majority of the subgroups of students, as defined in </w:t>
      </w:r>
      <w:r w:rsidR="008D5F50" w:rsidRPr="00DB4CDB">
        <w:rPr>
          <w:rFonts w:cs="Arial"/>
          <w:szCs w:val="24"/>
        </w:rPr>
        <w:t xml:space="preserve">ESSA </w:t>
      </w:r>
      <w:r w:rsidR="00AA3DB5">
        <w:rPr>
          <w:rFonts w:cs="Arial"/>
          <w:szCs w:val="24"/>
        </w:rPr>
        <w:t xml:space="preserve">Section </w:t>
      </w:r>
      <w:r w:rsidRPr="00DB4CDB">
        <w:rPr>
          <w:rFonts w:cs="Arial"/>
          <w:szCs w:val="24"/>
        </w:rPr>
        <w:t xml:space="preserve">1111(c)(2), except that such demonstration is not required in a case in which the number of students in a group is insufficient to yield statistically reliable information or the results would reveal personally </w:t>
      </w:r>
      <w:r w:rsidRPr="00F90B7A">
        <w:rPr>
          <w:rFonts w:cs="Arial"/>
          <w:szCs w:val="24"/>
        </w:rPr>
        <w:t>identifiable information about an individual student.</w:t>
      </w:r>
    </w:p>
    <w:p w14:paraId="0E2D9B18" w14:textId="4B247E16" w:rsidR="00DE391F" w:rsidRPr="00F90B7A" w:rsidRDefault="00DE391F" w:rsidP="00A12A08">
      <w:pPr>
        <w:spacing w:after="100" w:afterAutospacing="1"/>
        <w:rPr>
          <w:rFonts w:cs="Arial"/>
          <w:bCs/>
          <w:szCs w:val="24"/>
        </w:rPr>
      </w:pPr>
      <w:r w:rsidRPr="00F90B7A">
        <w:rPr>
          <w:rFonts w:cs="Arial"/>
          <w:b/>
          <w:szCs w:val="24"/>
        </w:rPr>
        <w:t xml:space="preserve">Innovative Strategies: </w:t>
      </w:r>
      <w:r w:rsidRPr="00F90B7A">
        <w:rPr>
          <w:rFonts w:cs="Arial"/>
          <w:bCs/>
          <w:szCs w:val="24"/>
        </w:rPr>
        <w:t>Those strategies and best practices designed to address a significant barrier or challenge faced by charter school or traditional public schools and designed to improve academic outcomes for all students.</w:t>
      </w:r>
      <w:r w:rsidRPr="00F90B7A">
        <w:rPr>
          <w:rFonts w:ascii="Segoe UI" w:eastAsia="Times New Roman" w:hAnsi="Segoe UI" w:cs="Segoe UI"/>
          <w:sz w:val="18"/>
          <w:szCs w:val="18"/>
        </w:rPr>
        <w:t xml:space="preserve"> </w:t>
      </w:r>
      <w:r w:rsidRPr="00F90B7A">
        <w:rPr>
          <w:rFonts w:cs="Arial"/>
          <w:bCs/>
          <w:szCs w:val="24"/>
        </w:rPr>
        <w:t>Innovative strategies may include, but are not limited to, practices aimed at enhancing student recruitment, enrollment, and retention that promote the inclusion of all students and reduce the overuse of discipline practices that remove students from the classroom (2024 CSP Grants to State Entities, Notice Inviting Applications</w:t>
      </w:r>
      <w:r w:rsidR="00F51CC1" w:rsidRPr="00F90B7A">
        <w:rPr>
          <w:rFonts w:cs="Arial"/>
          <w:bCs/>
          <w:szCs w:val="24"/>
        </w:rPr>
        <w:t>,</w:t>
      </w:r>
      <w:r w:rsidR="00C53575" w:rsidRPr="00F90B7A">
        <w:rPr>
          <w:rFonts w:cs="Arial"/>
          <w:bCs/>
          <w:szCs w:val="24"/>
        </w:rPr>
        <w:t xml:space="preserve"> </w:t>
      </w:r>
      <w:r w:rsidR="00C53575" w:rsidRPr="00F90B7A">
        <w:t>89 FR 31172</w:t>
      </w:r>
      <w:r w:rsidRPr="00F90B7A">
        <w:rPr>
          <w:rFonts w:cs="Arial"/>
          <w:bCs/>
          <w:szCs w:val="24"/>
        </w:rPr>
        <w:t>)</w:t>
      </w:r>
    </w:p>
    <w:p w14:paraId="6BE06DC5" w14:textId="1F0D541F" w:rsidR="00A40E5E" w:rsidRPr="00DB4CDB" w:rsidRDefault="00A40E5E" w:rsidP="00CA40D1">
      <w:pPr>
        <w:spacing w:after="100" w:afterAutospacing="1"/>
        <w:rPr>
          <w:rFonts w:cs="Arial"/>
          <w:szCs w:val="24"/>
        </w:rPr>
      </w:pPr>
      <w:r w:rsidRPr="00DB4CDB">
        <w:rPr>
          <w:rFonts w:cs="Arial"/>
          <w:b/>
          <w:szCs w:val="24"/>
        </w:rPr>
        <w:t>Key Personnel:</w:t>
      </w:r>
      <w:r w:rsidRPr="00DB4CDB">
        <w:rPr>
          <w:rFonts w:cs="Arial"/>
          <w:szCs w:val="24"/>
        </w:rPr>
        <w:t xml:space="preserve"> Defined as those people in conjunction with the Project Manager who will exercise a major management and/or administrative role on behalf of the applicant (directing, overseeing and/or coordinating the work of assigned staff, subgrantees and/or independent consultants performing tasks and activities) or who will have significant responsibility for completing or assisting with the completion of tasks described in this RFA. Key personnel do not include clerical staff.</w:t>
      </w:r>
    </w:p>
    <w:p w14:paraId="0904E585" w14:textId="77777777" w:rsidR="007E5FDA" w:rsidRPr="00DB4CDB" w:rsidRDefault="007E5FDA" w:rsidP="00CA40D1">
      <w:pPr>
        <w:spacing w:after="100" w:afterAutospacing="1"/>
        <w:rPr>
          <w:rFonts w:cs="Arial"/>
          <w:szCs w:val="24"/>
        </w:rPr>
      </w:pPr>
      <w:r w:rsidRPr="00DB4CDB">
        <w:rPr>
          <w:rFonts w:cs="Arial"/>
          <w:b/>
          <w:szCs w:val="24"/>
        </w:rPr>
        <w:t>Local educational agency (LEA):</w:t>
      </w:r>
      <w:r w:rsidRPr="00DB4CDB">
        <w:rPr>
          <w:rFonts w:cs="Arial"/>
          <w:szCs w:val="24"/>
        </w:rPr>
        <w:t xml:space="preserve"> A COE, school district, state special school, or direct-funded charter school as described in </w:t>
      </w:r>
      <w:r w:rsidRPr="00DB4CDB">
        <w:rPr>
          <w:rFonts w:cs="Arial"/>
          <w:i/>
          <w:szCs w:val="24"/>
        </w:rPr>
        <w:t>EC</w:t>
      </w:r>
      <w:r w:rsidRPr="00DB4CDB">
        <w:rPr>
          <w:rFonts w:cs="Arial"/>
          <w:szCs w:val="24"/>
        </w:rPr>
        <w:t xml:space="preserve"> Section 47651.</w:t>
      </w:r>
    </w:p>
    <w:p w14:paraId="231ADE5F" w14:textId="2B40BF26" w:rsidR="00B51D4F" w:rsidRPr="00DB4CDB" w:rsidRDefault="00B51D4F" w:rsidP="00CA40D1">
      <w:pPr>
        <w:spacing w:after="100" w:afterAutospacing="1"/>
        <w:rPr>
          <w:rFonts w:cs="Arial"/>
          <w:szCs w:val="24"/>
        </w:rPr>
      </w:pPr>
      <w:r w:rsidRPr="00DB4CDB">
        <w:rPr>
          <w:rFonts w:cs="Arial"/>
          <w:b/>
          <w:szCs w:val="24"/>
        </w:rPr>
        <w:lastRenderedPageBreak/>
        <w:t>Non-Federal Entity:</w:t>
      </w:r>
      <w:r w:rsidRPr="00DB4CDB">
        <w:rPr>
          <w:rFonts w:cs="Arial"/>
          <w:szCs w:val="24"/>
        </w:rPr>
        <w:t xml:space="preserve"> </w:t>
      </w:r>
      <w:r w:rsidR="00653F11" w:rsidRPr="00DB4CDB">
        <w:rPr>
          <w:rFonts w:cs="Arial"/>
          <w:szCs w:val="24"/>
        </w:rPr>
        <w:t>A</w:t>
      </w:r>
      <w:r w:rsidRPr="00DB4CDB">
        <w:rPr>
          <w:rFonts w:cs="Arial"/>
          <w:szCs w:val="24"/>
        </w:rPr>
        <w:t xml:space="preserve"> state, local government, Indian Tribe, institution of higher education (IHE) or non</w:t>
      </w:r>
      <w:r w:rsidR="00653F11" w:rsidRPr="00DB4CDB">
        <w:rPr>
          <w:rFonts w:cs="Arial"/>
          <w:szCs w:val="24"/>
        </w:rPr>
        <w:t>-</w:t>
      </w:r>
      <w:r w:rsidRPr="00DB4CDB">
        <w:rPr>
          <w:rFonts w:cs="Arial"/>
          <w:szCs w:val="24"/>
        </w:rPr>
        <w:t>profit organization that carries out a Federal award as a recipient or subrecipient.</w:t>
      </w:r>
    </w:p>
    <w:p w14:paraId="00A9A094" w14:textId="353C22B0" w:rsidR="00B51D4F" w:rsidRPr="00DB4CDB" w:rsidRDefault="00B51D4F" w:rsidP="00CA40D1">
      <w:pPr>
        <w:spacing w:after="100" w:afterAutospacing="1"/>
        <w:rPr>
          <w:rFonts w:cs="Arial"/>
          <w:szCs w:val="24"/>
        </w:rPr>
      </w:pPr>
      <w:r w:rsidRPr="00DB4CDB">
        <w:rPr>
          <w:rFonts w:cs="Arial"/>
          <w:b/>
          <w:szCs w:val="24"/>
        </w:rPr>
        <w:t xml:space="preserve">Pass-through entity: </w:t>
      </w:r>
      <w:r w:rsidR="00653F11" w:rsidRPr="00DB4CDB">
        <w:rPr>
          <w:rFonts w:cs="Arial"/>
          <w:szCs w:val="24"/>
        </w:rPr>
        <w:t>A</w:t>
      </w:r>
      <w:r w:rsidRPr="00DB4CDB">
        <w:rPr>
          <w:rFonts w:cs="Arial"/>
          <w:szCs w:val="24"/>
        </w:rPr>
        <w:t xml:space="preserve"> non-Federal entity that provides a su</w:t>
      </w:r>
      <w:r w:rsidR="00747770">
        <w:rPr>
          <w:rFonts w:cs="Arial"/>
          <w:szCs w:val="24"/>
        </w:rPr>
        <w:t>b</w:t>
      </w:r>
      <w:r w:rsidRPr="00DB4CDB">
        <w:rPr>
          <w:rFonts w:cs="Arial"/>
          <w:szCs w:val="24"/>
        </w:rPr>
        <w:t>award to a subrecipient to carry out part of a federal program.</w:t>
      </w:r>
    </w:p>
    <w:p w14:paraId="068206CA" w14:textId="5F0B7D39" w:rsidR="00B51D4F" w:rsidRPr="00DB4CDB" w:rsidRDefault="00B51D4F" w:rsidP="00CA40D1">
      <w:pPr>
        <w:spacing w:after="100" w:afterAutospacing="1"/>
        <w:rPr>
          <w:rFonts w:cs="Arial"/>
          <w:szCs w:val="24"/>
        </w:rPr>
      </w:pPr>
      <w:r w:rsidRPr="00DB4CDB">
        <w:rPr>
          <w:rFonts w:cs="Arial"/>
          <w:b/>
          <w:szCs w:val="24"/>
        </w:rPr>
        <w:t xml:space="preserve">Procurement: </w:t>
      </w:r>
      <w:r w:rsidRPr="00DB4CDB">
        <w:rPr>
          <w:rFonts w:cs="Arial"/>
          <w:szCs w:val="24"/>
        </w:rPr>
        <w:t xml:space="preserve">Any formal requisition process used to acquire goods and services that may involve the use of purchase orders, invoices, contracts, and approvals by any level of hierarchy at the </w:t>
      </w:r>
      <w:r w:rsidR="00562882" w:rsidRPr="00DB4CDB">
        <w:rPr>
          <w:rFonts w:cs="Arial"/>
          <w:szCs w:val="24"/>
        </w:rPr>
        <w:t>subgrant</w:t>
      </w:r>
      <w:r w:rsidRPr="00DB4CDB">
        <w:rPr>
          <w:rFonts w:cs="Arial"/>
          <w:szCs w:val="24"/>
        </w:rPr>
        <w:t xml:space="preserve">ee’s agency. </w:t>
      </w:r>
    </w:p>
    <w:p w14:paraId="72B6743A" w14:textId="551D23B5" w:rsidR="00D2031D" w:rsidRPr="00DB4CDB" w:rsidRDefault="00D2031D" w:rsidP="00CA40D1">
      <w:pPr>
        <w:spacing w:after="100" w:afterAutospacing="1"/>
        <w:rPr>
          <w:rFonts w:cs="Arial"/>
          <w:szCs w:val="24"/>
        </w:rPr>
      </w:pPr>
      <w:r w:rsidRPr="00DB4CDB">
        <w:rPr>
          <w:rFonts w:cs="Arial"/>
          <w:b/>
          <w:szCs w:val="24"/>
        </w:rPr>
        <w:t>Primary Applicant:</w:t>
      </w:r>
      <w:r w:rsidRPr="00DB4CDB">
        <w:rPr>
          <w:rFonts w:cs="Arial"/>
          <w:szCs w:val="24"/>
        </w:rPr>
        <w:t xml:space="preserve"> Any agency whose name is listed as the “Primary Applicant Organization Name” on Form 2 – Sub</w:t>
      </w:r>
      <w:r w:rsidR="00747770">
        <w:rPr>
          <w:rFonts w:cs="Arial"/>
          <w:szCs w:val="24"/>
        </w:rPr>
        <w:t>g</w:t>
      </w:r>
      <w:r w:rsidRPr="00DB4CDB">
        <w:rPr>
          <w:rFonts w:cs="Arial"/>
          <w:szCs w:val="24"/>
        </w:rPr>
        <w:t xml:space="preserve">rant Application Cover Sheet. </w:t>
      </w:r>
      <w:r w:rsidRPr="00DB4CDB">
        <w:rPr>
          <w:rFonts w:eastAsia="Calibri" w:cs="Arial"/>
          <w:szCs w:val="24"/>
        </w:rPr>
        <w:t>The primary subgrant applicant is designated as the lead agency to be responsible for ensuring all subgrant requirements are accurately completed in a timely manner.</w:t>
      </w:r>
    </w:p>
    <w:p w14:paraId="454B2FA0" w14:textId="6D4C81F2" w:rsidR="00B51D4F" w:rsidRPr="00DB4CDB" w:rsidRDefault="00B51D4F" w:rsidP="00CA40D1">
      <w:pPr>
        <w:spacing w:after="100" w:afterAutospacing="1"/>
        <w:rPr>
          <w:rFonts w:cs="Arial"/>
          <w:szCs w:val="24"/>
        </w:rPr>
      </w:pPr>
      <w:r w:rsidRPr="00DB4CDB">
        <w:rPr>
          <w:rFonts w:cs="Arial"/>
          <w:b/>
          <w:szCs w:val="24"/>
        </w:rPr>
        <w:t xml:space="preserve">Public Charter Schools Grant Program (PCSGP): </w:t>
      </w:r>
      <w:r w:rsidRPr="00DB4CDB">
        <w:rPr>
          <w:rFonts w:cs="Arial"/>
          <w:szCs w:val="24"/>
        </w:rPr>
        <w:t>A federal discretionary grant program administered by the CDE. The CDE distributes subgrants to charter school developers to assist in the development and initial operations of newly established or conversion charter schools</w:t>
      </w:r>
      <w:r w:rsidR="007B31FC" w:rsidRPr="00DB4CDB">
        <w:rPr>
          <w:rFonts w:cs="Arial"/>
          <w:szCs w:val="24"/>
        </w:rPr>
        <w:t>, as well as for the provision of technical assistance</w:t>
      </w:r>
      <w:r w:rsidRPr="00DB4CDB">
        <w:rPr>
          <w:rFonts w:cs="Arial"/>
          <w:szCs w:val="24"/>
        </w:rPr>
        <w:t>.</w:t>
      </w:r>
    </w:p>
    <w:p w14:paraId="0AE17F9F" w14:textId="52F0E0E8" w:rsidR="004A6DEB" w:rsidRPr="00DB4CDB" w:rsidRDefault="00B51D4F" w:rsidP="00CA40D1">
      <w:pPr>
        <w:spacing w:after="100" w:afterAutospacing="1"/>
        <w:rPr>
          <w:rFonts w:cs="Arial"/>
          <w:szCs w:val="24"/>
        </w:rPr>
      </w:pPr>
      <w:r w:rsidRPr="00DB4CDB">
        <w:rPr>
          <w:rFonts w:cs="Arial"/>
          <w:b/>
          <w:szCs w:val="24"/>
        </w:rPr>
        <w:t>Single Audit:</w:t>
      </w:r>
      <w:r w:rsidRPr="00DB4CDB">
        <w:rPr>
          <w:rFonts w:cs="Arial"/>
          <w:szCs w:val="24"/>
        </w:rPr>
        <w:t xml:space="preserve"> All non-federal entities expending $</w:t>
      </w:r>
      <w:r w:rsidR="00AD2B51">
        <w:rPr>
          <w:rFonts w:cs="Arial"/>
          <w:szCs w:val="24"/>
        </w:rPr>
        <w:t>1,000,000</w:t>
      </w:r>
      <w:r w:rsidRPr="00DB4CDB">
        <w:rPr>
          <w:rFonts w:cs="Arial"/>
          <w:szCs w:val="24"/>
        </w:rPr>
        <w:t xml:space="preserve"> or more in </w:t>
      </w:r>
      <w:r w:rsidRPr="00DB4CDB">
        <w:rPr>
          <w:rFonts w:cs="Arial"/>
          <w:b/>
          <w:szCs w:val="24"/>
        </w:rPr>
        <w:t>combined</w:t>
      </w:r>
      <w:r w:rsidRPr="00DB4CDB">
        <w:rPr>
          <w:rFonts w:cs="Arial"/>
          <w:szCs w:val="24"/>
        </w:rPr>
        <w:t xml:space="preserve"> federal funds (e.g., PCSGP and Title I funds, or American Recovery and Reinvestment Act [ARRA] funds) in a single year are required by federal law to obtain and submit a Single Audit to the Federal Audit Clearinghouse. PCSGP recipients required to file federal Single Audits must submit a copy of the reporting package to the CDE Charter Schools Division as a PCSGP performance benchmark. </w:t>
      </w:r>
    </w:p>
    <w:p w14:paraId="706EF3F5" w14:textId="7E503342" w:rsidR="00B51D4F" w:rsidRPr="00DB4CDB" w:rsidRDefault="00B51D4F" w:rsidP="00CA40D1">
      <w:pPr>
        <w:spacing w:after="100" w:afterAutospacing="1"/>
        <w:rPr>
          <w:rFonts w:cs="Arial"/>
          <w:szCs w:val="24"/>
        </w:rPr>
      </w:pPr>
      <w:r w:rsidRPr="00DB4CDB">
        <w:rPr>
          <w:rFonts w:cs="Arial"/>
          <w:szCs w:val="24"/>
        </w:rPr>
        <w:t>Further information may be found in</w:t>
      </w:r>
      <w:r w:rsidR="004A6DEB" w:rsidRPr="00DB4CDB">
        <w:rPr>
          <w:rFonts w:cs="Arial"/>
          <w:szCs w:val="24"/>
        </w:rPr>
        <w:t xml:space="preserve"> the </w:t>
      </w:r>
      <w:hyperlink r:id="rId33" w:history="1">
        <w:r w:rsidR="008C337A">
          <w:rPr>
            <w:rStyle w:val="Hyperlink"/>
            <w:rFonts w:cs="Arial"/>
            <w:szCs w:val="24"/>
          </w:rPr>
          <w:t>Office of Management and Budget (OMB) Federal Register (External Link)</w:t>
        </w:r>
      </w:hyperlink>
      <w:r w:rsidRPr="00DB4CDB">
        <w:rPr>
          <w:rFonts w:cs="Arial"/>
          <w:szCs w:val="24"/>
        </w:rPr>
        <w:t>.</w:t>
      </w:r>
    </w:p>
    <w:p w14:paraId="49C3E9E2" w14:textId="69A102FF" w:rsidR="00653F11" w:rsidRPr="00F90B7A" w:rsidRDefault="00D2031D" w:rsidP="00CA40D1">
      <w:pPr>
        <w:spacing w:after="100" w:afterAutospacing="1"/>
        <w:rPr>
          <w:rFonts w:cs="Arial"/>
          <w:szCs w:val="24"/>
        </w:rPr>
      </w:pPr>
      <w:r w:rsidRPr="00DB4CDB">
        <w:rPr>
          <w:rFonts w:cs="Arial"/>
          <w:szCs w:val="24"/>
        </w:rPr>
        <w:t>Subg</w:t>
      </w:r>
      <w:r w:rsidR="00653F11" w:rsidRPr="00DB4CDB">
        <w:rPr>
          <w:rFonts w:cs="Arial"/>
          <w:szCs w:val="24"/>
        </w:rPr>
        <w:t xml:space="preserve">rantees will access the Federal Audit Clearinghouse web page to submit their </w:t>
      </w:r>
      <w:r w:rsidR="00653F11" w:rsidRPr="00F90B7A">
        <w:rPr>
          <w:rFonts w:cs="Arial"/>
          <w:szCs w:val="24"/>
        </w:rPr>
        <w:t>Single Audit at</w:t>
      </w:r>
      <w:r w:rsidR="007A0059" w:rsidRPr="00F90B7A">
        <w:rPr>
          <w:rFonts w:cs="Arial"/>
          <w:szCs w:val="24"/>
        </w:rPr>
        <w:t xml:space="preserve"> </w:t>
      </w:r>
      <w:hyperlink r:id="rId34" w:history="1">
        <w:r w:rsidR="007A0059" w:rsidRPr="00F90B7A">
          <w:rPr>
            <w:rStyle w:val="Hyperlink"/>
            <w:rFonts w:cs="Arial"/>
            <w:szCs w:val="24"/>
          </w:rPr>
          <w:t>Federal Audit Clearinghouse</w:t>
        </w:r>
      </w:hyperlink>
      <w:r w:rsidR="00653F11" w:rsidRPr="00F90B7A">
        <w:t>.</w:t>
      </w:r>
    </w:p>
    <w:p w14:paraId="5A734557" w14:textId="0460B873" w:rsidR="00DE391F" w:rsidRPr="00F90B7A" w:rsidRDefault="00DE391F" w:rsidP="00DE391F">
      <w:pPr>
        <w:spacing w:after="200"/>
        <w:rPr>
          <w:rFonts w:cs="Arial"/>
          <w:szCs w:val="24"/>
        </w:rPr>
      </w:pPr>
      <w:bookmarkStart w:id="106" w:name="_Hlk203398093"/>
      <w:r w:rsidRPr="00F90B7A">
        <w:rPr>
          <w:rFonts w:eastAsia="Calibri" w:cs="Times New Roman"/>
          <w:b/>
        </w:rPr>
        <w:t xml:space="preserve">Socioeconomically Disadvantaged Students: </w:t>
      </w:r>
      <w:r w:rsidRPr="00F90B7A">
        <w:rPr>
          <w:rFonts w:eastAsia="Calibri" w:cs="Times New Roman"/>
          <w:bCs/>
        </w:rPr>
        <w:t xml:space="preserve">For the purposes of this subgrant application, </w:t>
      </w:r>
      <w:r w:rsidR="00A12A08" w:rsidRPr="00F90B7A">
        <w:rPr>
          <w:rFonts w:eastAsia="Calibri" w:cs="Times New Roman"/>
          <w:bCs/>
        </w:rPr>
        <w:t>s</w:t>
      </w:r>
      <w:r w:rsidRPr="00F90B7A">
        <w:rPr>
          <w:rFonts w:eastAsia="Calibri" w:cs="Times New Roman"/>
          <w:bCs/>
        </w:rPr>
        <w:t xml:space="preserve">ocioeconomically </w:t>
      </w:r>
      <w:r w:rsidR="00A12A08" w:rsidRPr="00F90B7A">
        <w:rPr>
          <w:rFonts w:eastAsia="Calibri" w:cs="Times New Roman"/>
          <w:bCs/>
        </w:rPr>
        <w:t>d</w:t>
      </w:r>
      <w:r w:rsidRPr="00F90B7A">
        <w:rPr>
          <w:rFonts w:eastAsia="Calibri" w:cs="Times New Roman"/>
          <w:bCs/>
        </w:rPr>
        <w:t>isadvantaged</w:t>
      </w:r>
      <w:r w:rsidR="00A12A08" w:rsidRPr="00F90B7A">
        <w:rPr>
          <w:rFonts w:eastAsia="Calibri" w:cs="Times New Roman"/>
          <w:bCs/>
        </w:rPr>
        <w:t xml:space="preserve"> s</w:t>
      </w:r>
      <w:r w:rsidRPr="00F90B7A">
        <w:rPr>
          <w:rFonts w:eastAsia="Calibri" w:cs="Times New Roman"/>
          <w:bCs/>
        </w:rPr>
        <w:t xml:space="preserve">tudents </w:t>
      </w:r>
      <w:r w:rsidR="00C53575" w:rsidRPr="00F90B7A">
        <w:rPr>
          <w:rFonts w:eastAsia="Calibri" w:cs="Times New Roman"/>
          <w:bCs/>
        </w:rPr>
        <w:t xml:space="preserve">may include </w:t>
      </w:r>
      <w:r w:rsidRPr="00F90B7A">
        <w:rPr>
          <w:rFonts w:eastAsia="Calibri" w:cs="Times New Roman"/>
          <w:bCs/>
        </w:rPr>
        <w:t xml:space="preserve">those students identified </w:t>
      </w:r>
      <w:r w:rsidR="00C53575" w:rsidRPr="00F90B7A">
        <w:rPr>
          <w:rFonts w:eastAsia="Calibri" w:cs="Times New Roman"/>
          <w:bCs/>
        </w:rPr>
        <w:t xml:space="preserve">as “economically disadvantaged pupils” </w:t>
      </w:r>
      <w:r w:rsidRPr="00F90B7A">
        <w:rPr>
          <w:rFonts w:eastAsia="Calibri" w:cs="Times New Roman"/>
          <w:bCs/>
        </w:rPr>
        <w:t xml:space="preserve">in </w:t>
      </w:r>
      <w:r w:rsidRPr="00F90B7A">
        <w:rPr>
          <w:rFonts w:cs="Arial"/>
          <w:i/>
          <w:iCs/>
          <w:szCs w:val="24"/>
        </w:rPr>
        <w:t>EC</w:t>
      </w:r>
      <w:r w:rsidRPr="00F90B7A">
        <w:rPr>
          <w:rFonts w:cs="Arial"/>
          <w:szCs w:val="24"/>
        </w:rPr>
        <w:t xml:space="preserve"> Section 54026 and ESEA Section 1115</w:t>
      </w:r>
      <w:r w:rsidR="00F51CC1" w:rsidRPr="00F90B7A">
        <w:rPr>
          <w:rFonts w:cs="Arial"/>
          <w:szCs w:val="24"/>
        </w:rPr>
        <w:t>(</w:t>
      </w:r>
      <w:r w:rsidRPr="00F90B7A">
        <w:rPr>
          <w:rFonts w:cs="Arial"/>
          <w:szCs w:val="24"/>
        </w:rPr>
        <w:t>c</w:t>
      </w:r>
      <w:r w:rsidR="00F51CC1" w:rsidRPr="00F90B7A">
        <w:rPr>
          <w:rFonts w:cs="Arial"/>
          <w:szCs w:val="24"/>
        </w:rPr>
        <w:t>)(</w:t>
      </w:r>
      <w:r w:rsidRPr="00F90B7A">
        <w:rPr>
          <w:rFonts w:cs="Arial"/>
          <w:szCs w:val="24"/>
        </w:rPr>
        <w:t>2).</w:t>
      </w:r>
    </w:p>
    <w:bookmarkEnd w:id="106"/>
    <w:p w14:paraId="48380FC2" w14:textId="653F8C3B" w:rsidR="00DE391F" w:rsidRPr="00E212EA" w:rsidRDefault="00DE391F" w:rsidP="00DE391F">
      <w:pPr>
        <w:spacing w:after="200"/>
        <w:rPr>
          <w:rFonts w:cs="Arial"/>
          <w:szCs w:val="24"/>
        </w:rPr>
      </w:pPr>
      <w:r w:rsidRPr="00F90B7A">
        <w:rPr>
          <w:rFonts w:eastAsia="Calibri" w:cs="Times New Roman"/>
          <w:b/>
        </w:rPr>
        <w:t>Special Education:</w:t>
      </w:r>
      <w:r w:rsidRPr="00F90B7A">
        <w:rPr>
          <w:rFonts w:eastAsia="Calibri" w:cs="Times New Roman"/>
          <w:bCs/>
        </w:rPr>
        <w:t xml:space="preserve"> For the purposes of this subgrant application</w:t>
      </w:r>
      <w:r w:rsidR="00F51CC1" w:rsidRPr="00F90B7A">
        <w:rPr>
          <w:rFonts w:eastAsia="Calibri" w:cs="Times New Roman"/>
          <w:bCs/>
        </w:rPr>
        <w:t>,</w:t>
      </w:r>
      <w:r w:rsidRPr="00F90B7A">
        <w:rPr>
          <w:rFonts w:eastAsia="Calibri" w:cs="Times New Roman"/>
          <w:bCs/>
        </w:rPr>
        <w:t xml:space="preserve"> </w:t>
      </w:r>
      <w:r w:rsidR="00F51CC1" w:rsidRPr="00F90B7A">
        <w:rPr>
          <w:rFonts w:eastAsia="Calibri" w:cs="Times New Roman"/>
          <w:bCs/>
        </w:rPr>
        <w:t xml:space="preserve">“special education,” in accordance with Section 1401(29) of Title 20 of the United States Code, means specially designed instruction, at no cost to the parent, to meet the unique needs of individuals with exceptional needs, including instruction conducted in the classroom, in the home, in hospitals and institutions, and other settings, and instruction in physical education, pursuant to </w:t>
      </w:r>
      <w:r w:rsidR="00F51CC1" w:rsidRPr="00F90B7A">
        <w:rPr>
          <w:rFonts w:eastAsia="Calibri" w:cs="Times New Roman"/>
          <w:bCs/>
          <w:i/>
          <w:iCs/>
        </w:rPr>
        <w:t xml:space="preserve">EC </w:t>
      </w:r>
      <w:r w:rsidR="00F51CC1" w:rsidRPr="00F90B7A">
        <w:rPr>
          <w:rFonts w:eastAsia="Calibri" w:cs="Times New Roman"/>
          <w:bCs/>
        </w:rPr>
        <w:t>Section 56031(a).</w:t>
      </w:r>
    </w:p>
    <w:p w14:paraId="588A832D" w14:textId="03C8CE81" w:rsidR="00B51D4F" w:rsidRPr="00DB4CDB" w:rsidRDefault="00B51D4F" w:rsidP="00CA40D1">
      <w:pPr>
        <w:spacing w:before="240"/>
        <w:rPr>
          <w:rFonts w:eastAsia="Calibri" w:cs="Times New Roman"/>
        </w:rPr>
      </w:pPr>
      <w:r w:rsidRPr="00DB4CDB">
        <w:rPr>
          <w:rFonts w:eastAsia="Calibri" w:cs="Times New Roman"/>
          <w:b/>
        </w:rPr>
        <w:lastRenderedPageBreak/>
        <w:t>Specifications:</w:t>
      </w:r>
      <w:r w:rsidRPr="00DB4CDB">
        <w:rPr>
          <w:rFonts w:eastAsia="Calibri" w:cs="Times New Roman"/>
        </w:rPr>
        <w:t xml:space="preserve"> The minimum specifications required by the CDE for a task, subtask, or activity. Specifications provided in this RFA represent a comprehensive outline of the detail required in the applicant’s application for successful accomplishment of a task, subtask, or activity.</w:t>
      </w:r>
    </w:p>
    <w:p w14:paraId="54D74DC2" w14:textId="77777777" w:rsidR="00B51D4F" w:rsidRPr="00DB4CDB" w:rsidRDefault="00B51D4F" w:rsidP="00CA40D1">
      <w:pPr>
        <w:spacing w:after="100" w:afterAutospacing="1"/>
        <w:rPr>
          <w:rFonts w:cs="Arial"/>
          <w:szCs w:val="24"/>
        </w:rPr>
      </w:pPr>
      <w:r w:rsidRPr="00DB4CDB">
        <w:rPr>
          <w:rFonts w:cs="Arial"/>
          <w:b/>
          <w:szCs w:val="24"/>
        </w:rPr>
        <w:t xml:space="preserve">State Education Agency (SEA): </w:t>
      </w:r>
      <w:r w:rsidRPr="00DB4CDB">
        <w:rPr>
          <w:rFonts w:cs="Arial"/>
          <w:szCs w:val="24"/>
        </w:rPr>
        <w:t>For the purposes of this RFA, the SEA is the SBE.</w:t>
      </w:r>
    </w:p>
    <w:p w14:paraId="62CEE158" w14:textId="526766F4" w:rsidR="00B51D4F" w:rsidRPr="00DB4CDB" w:rsidRDefault="00B51D4F" w:rsidP="00CA40D1">
      <w:pPr>
        <w:spacing w:before="240"/>
        <w:rPr>
          <w:rFonts w:eastAsia="Calibri" w:cs="Times New Roman"/>
        </w:rPr>
      </w:pPr>
      <w:r w:rsidRPr="00DB4CDB">
        <w:rPr>
          <w:rFonts w:eastAsia="Calibri" w:cs="Times New Roman"/>
          <w:b/>
        </w:rPr>
        <w:t>Subcontract:</w:t>
      </w:r>
      <w:r w:rsidRPr="00DB4CDB">
        <w:rPr>
          <w:rFonts w:eastAsia="Calibri" w:cs="Times New Roman"/>
        </w:rPr>
        <w:t xml:space="preserve"> Any and all agreement(s) between an applicant and another entity (including</w:t>
      </w:r>
      <w:r w:rsidR="00CA6A0D" w:rsidRPr="00DB4CDB">
        <w:rPr>
          <w:rFonts w:eastAsia="Calibri" w:cs="Times New Roman"/>
        </w:rPr>
        <w:t>,</w:t>
      </w:r>
      <w:r w:rsidRPr="00DB4CDB">
        <w:rPr>
          <w:rFonts w:eastAsia="Calibri" w:cs="Times New Roman"/>
        </w:rPr>
        <w:t xml:space="preserve"> but not limited to</w:t>
      </w:r>
      <w:r w:rsidR="00CA6A0D" w:rsidRPr="00DB4CDB">
        <w:rPr>
          <w:rFonts w:eastAsia="Calibri" w:cs="Times New Roman"/>
        </w:rPr>
        <w:t>,</w:t>
      </w:r>
      <w:r w:rsidRPr="00DB4CDB">
        <w:rPr>
          <w:rFonts w:eastAsia="Calibri" w:cs="Times New Roman"/>
        </w:rPr>
        <w:t xml:space="preserve"> an individual or business) for the accomplishment of any task, subtask</w:t>
      </w:r>
      <w:r w:rsidR="00CA6A0D" w:rsidRPr="00DB4CDB">
        <w:rPr>
          <w:rFonts w:eastAsia="Calibri" w:cs="Times New Roman"/>
        </w:rPr>
        <w:t>,</w:t>
      </w:r>
      <w:r w:rsidRPr="00DB4CDB">
        <w:rPr>
          <w:rFonts w:eastAsia="Calibri" w:cs="Times New Roman"/>
        </w:rPr>
        <w:t xml:space="preserve"> or activity, in whole or in part, described in this RFA, or to provide goods or services in support of the work described in this RFA.</w:t>
      </w:r>
    </w:p>
    <w:p w14:paraId="35A7CCF4" w14:textId="63E586B7" w:rsidR="00B51D4F" w:rsidRPr="00DB4CDB" w:rsidRDefault="00B51D4F" w:rsidP="00CA40D1">
      <w:pPr>
        <w:spacing w:before="240"/>
        <w:rPr>
          <w:rFonts w:eastAsia="Calibri" w:cs="Times New Roman"/>
        </w:rPr>
      </w:pPr>
      <w:r w:rsidRPr="00DB4CDB">
        <w:rPr>
          <w:rFonts w:eastAsia="Calibri" w:cs="Times New Roman"/>
          <w:b/>
        </w:rPr>
        <w:t>Successful applicant:</w:t>
      </w:r>
      <w:r w:rsidRPr="00DB4CDB">
        <w:rPr>
          <w:rFonts w:eastAsia="Calibri" w:cs="Times New Roman"/>
        </w:rPr>
        <w:t xml:space="preserve"> The entity selected by the CDE as the entity to administer its application and subsequent </w:t>
      </w:r>
      <w:r w:rsidR="00562882" w:rsidRPr="00DB4CDB">
        <w:rPr>
          <w:rFonts w:eastAsia="Calibri" w:cs="Times New Roman"/>
        </w:rPr>
        <w:t>subgrant</w:t>
      </w:r>
      <w:r w:rsidR="002C2190" w:rsidRPr="00DB4CDB">
        <w:rPr>
          <w:rFonts w:eastAsia="Calibri" w:cs="Times New Roman"/>
        </w:rPr>
        <w:t xml:space="preserve"> award</w:t>
      </w:r>
      <w:r w:rsidRPr="00DB4CDB">
        <w:rPr>
          <w:rFonts w:eastAsia="Calibri" w:cs="Times New Roman"/>
        </w:rPr>
        <w:t xml:space="preserve"> to support the accomplishment of any task(s) described in this RFA.</w:t>
      </w:r>
    </w:p>
    <w:p w14:paraId="64BDBCB6" w14:textId="261AEBC6" w:rsidR="00A4394B" w:rsidRDefault="007B31FC" w:rsidP="00CA40D1">
      <w:pPr>
        <w:spacing w:before="240"/>
        <w:rPr>
          <w:rFonts w:eastAsia="Calibri" w:cs="Times New Roman"/>
        </w:rPr>
      </w:pPr>
      <w:r w:rsidRPr="00DB4CDB">
        <w:rPr>
          <w:rFonts w:eastAsia="Calibri" w:cs="Times New Roman"/>
          <w:b/>
        </w:rPr>
        <w:t>Working day:</w:t>
      </w:r>
      <w:r w:rsidRPr="00DB4CDB">
        <w:rPr>
          <w:rFonts w:eastAsia="Calibri" w:cs="Times New Roman"/>
        </w:rPr>
        <w:t xml:space="preserve"> The days Monday through Friday, inclusive, but exclusive of the CDE-observed holidays.</w:t>
      </w:r>
    </w:p>
    <w:p w14:paraId="5BAD1B90" w14:textId="77777777" w:rsidR="00A4394B" w:rsidRPr="00691E5C" w:rsidRDefault="00A4394B" w:rsidP="00246D03">
      <w:pPr>
        <w:pStyle w:val="Heading2"/>
        <w:jc w:val="center"/>
      </w:pPr>
      <w:bookmarkStart w:id="107" w:name="_Toc185855012"/>
      <w:bookmarkStart w:id="108" w:name="_Toc199842753"/>
      <w:r w:rsidRPr="00691E5C">
        <w:t>Appendix C: California State Travel Program</w:t>
      </w:r>
      <w:bookmarkEnd w:id="107"/>
      <w:bookmarkEnd w:id="108"/>
    </w:p>
    <w:p w14:paraId="1B074B65" w14:textId="77777777" w:rsidR="00A4394B" w:rsidRPr="00691E5C" w:rsidRDefault="00A4394B" w:rsidP="00453FA2">
      <w:pPr>
        <w:pStyle w:val="Heading3"/>
      </w:pPr>
      <w:bookmarkStart w:id="109" w:name="_Toc199842754"/>
      <w:r w:rsidRPr="00691E5C">
        <w:t>Travel and Per Diem Limitations</w:t>
      </w:r>
      <w:bookmarkEnd w:id="109"/>
    </w:p>
    <w:p w14:paraId="01E41146" w14:textId="77777777" w:rsidR="00A4394B" w:rsidRPr="00691E5C" w:rsidRDefault="00A4394B" w:rsidP="00A4394B">
      <w:r w:rsidRPr="00691E5C">
        <w:t>A summary of the State of California Short-Term Travel Expense Reimbursement Program Administered by the California Department of Human Resources (CalHR).</w:t>
      </w:r>
    </w:p>
    <w:p w14:paraId="25776B05" w14:textId="66B68800" w:rsidR="00A4394B" w:rsidRPr="00691E5C" w:rsidRDefault="00A4394B" w:rsidP="00A4394B">
      <w:r w:rsidRPr="00691E5C">
        <w:t xml:space="preserve">Reimbursement for travel is governed by the terms of the current Memorandum of Understanding and the applicable </w:t>
      </w:r>
      <w:r w:rsidRPr="00691E5C">
        <w:rPr>
          <w:i/>
        </w:rPr>
        <w:t>Government Code</w:t>
      </w:r>
      <w:r w:rsidRPr="00691E5C">
        <w:t xml:space="preserve"> sections and CalHR Rules. Reimbursement for transportation expenses will be based on the method of transportation that is in the best interest of the state, considering both direct expense and the employee's time. Rates, time frames, and requirements are applicable to all </w:t>
      </w:r>
      <w:r w:rsidR="000805BA">
        <w:t>subgrantees</w:t>
      </w:r>
      <w:r w:rsidRPr="00691E5C">
        <w:t xml:space="preserve"> and subcontractors. Additional details applicable to the travel reimbursement program may be found in the </w:t>
      </w:r>
      <w:r w:rsidRPr="00691E5C">
        <w:rPr>
          <w:i/>
        </w:rPr>
        <w:t>California Code of Regulations</w:t>
      </w:r>
      <w:r w:rsidRPr="00691E5C">
        <w:t>, Title 2, Division 1, Chapter 3, Article 2 (requirements applicable to excluded employees).</w:t>
      </w:r>
    </w:p>
    <w:p w14:paraId="71516852" w14:textId="6A4F6CAA" w:rsidR="00A4394B" w:rsidRPr="00691E5C" w:rsidRDefault="00A4394B" w:rsidP="00A4394B">
      <w:r w:rsidRPr="00691E5C">
        <w:t xml:space="preserve">All travel rates included in this proposal must be based on current state approved rates and are subject to change. </w:t>
      </w:r>
      <w:r w:rsidR="000805BA">
        <w:t>The subgrantee</w:t>
      </w:r>
      <w:r w:rsidRPr="00691E5C">
        <w:t xml:space="preserve"> will be paid the current state rates as established by the CalHR. Additional information is available at </w:t>
      </w:r>
      <w:hyperlink r:id="rId35" w:history="1">
        <w:r w:rsidRPr="00691E5C">
          <w:rPr>
            <w:rStyle w:val="Hyperlink"/>
          </w:rPr>
          <w:t>CalHR Travel Reimbursements</w:t>
        </w:r>
      </w:hyperlink>
      <w:r w:rsidRPr="00691E5C">
        <w:t>.</w:t>
      </w:r>
    </w:p>
    <w:p w14:paraId="5B1C09E6" w14:textId="77777777" w:rsidR="00A4394B" w:rsidRPr="00691E5C" w:rsidRDefault="00A4394B" w:rsidP="00453FA2">
      <w:pPr>
        <w:pStyle w:val="Heading3"/>
      </w:pPr>
      <w:bookmarkStart w:id="110" w:name="_Toc199842755"/>
      <w:r w:rsidRPr="00691E5C">
        <w:t>Conditions of Travel</w:t>
      </w:r>
      <w:bookmarkEnd w:id="110"/>
    </w:p>
    <w:p w14:paraId="5DB49CFC" w14:textId="31180B00" w:rsidR="00A4394B" w:rsidRPr="00691E5C" w:rsidRDefault="00A4394B" w:rsidP="00A4394B">
      <w:r w:rsidRPr="00691E5C">
        <w:t xml:space="preserve">Reimbursement shall not be made for meal and lodging expenses incurred within 50 miles of home or headquarters (of the </w:t>
      </w:r>
      <w:r w:rsidR="0021317A">
        <w:t>STACS Subgrantee</w:t>
      </w:r>
      <w:r w:rsidRPr="00691E5C">
        <w:t xml:space="preserve">). The CDE may approve meals and/or lodging for employees </w:t>
      </w:r>
      <w:r w:rsidRPr="00691E5C">
        <w:rPr>
          <w:i/>
        </w:rPr>
        <w:t xml:space="preserve">on travel status </w:t>
      </w:r>
      <w:r w:rsidRPr="00691E5C">
        <w:t xml:space="preserve">away from, but within 50 miles of, </w:t>
      </w:r>
      <w:r w:rsidRPr="00691E5C">
        <w:lastRenderedPageBreak/>
        <w:t>home or headquarters. Delegation does not extend to the approval of meals or lodging at either the home or headquarters location.</w:t>
      </w:r>
    </w:p>
    <w:p w14:paraId="74F766FB" w14:textId="77777777" w:rsidR="00A4394B" w:rsidRPr="00691E5C" w:rsidRDefault="00A4394B" w:rsidP="00453FA2">
      <w:pPr>
        <w:pStyle w:val="Heading3"/>
      </w:pPr>
      <w:bookmarkStart w:id="111" w:name="_Toc199842756"/>
      <w:r w:rsidRPr="00691E5C">
        <w:t>Out of State Travel</w:t>
      </w:r>
      <w:bookmarkEnd w:id="111"/>
    </w:p>
    <w:p w14:paraId="5236998D" w14:textId="009F8A54" w:rsidR="00A4394B" w:rsidRPr="00A4394B" w:rsidRDefault="00A4394B" w:rsidP="00A4394B">
      <w:r w:rsidRPr="00A4394B">
        <w:t xml:space="preserve">Not allowable under this </w:t>
      </w:r>
      <w:r w:rsidR="00070061">
        <w:t>subgrant</w:t>
      </w:r>
    </w:p>
    <w:p w14:paraId="13ADA57F" w14:textId="77777777" w:rsidR="00A4394B" w:rsidRPr="00691E5C" w:rsidRDefault="00A4394B" w:rsidP="00453FA2">
      <w:pPr>
        <w:pStyle w:val="Heading3"/>
      </w:pPr>
      <w:bookmarkStart w:id="112" w:name="_Toc199842757"/>
      <w:r w:rsidRPr="00691E5C">
        <w:t>Out of Country Travel</w:t>
      </w:r>
      <w:bookmarkEnd w:id="112"/>
    </w:p>
    <w:p w14:paraId="07B2A280" w14:textId="6CC6E23B" w:rsidR="00A4394B" w:rsidRPr="00A4394B" w:rsidRDefault="00A4394B" w:rsidP="00A4394B">
      <w:r w:rsidRPr="00A4394B">
        <w:t xml:space="preserve">Not allowable under this </w:t>
      </w:r>
      <w:r w:rsidR="00070061">
        <w:t>subgrant</w:t>
      </w:r>
    </w:p>
    <w:p w14:paraId="6B10C62A" w14:textId="77777777" w:rsidR="00A4394B" w:rsidRPr="00691E5C" w:rsidRDefault="00A4394B" w:rsidP="00453FA2">
      <w:pPr>
        <w:pStyle w:val="Heading3"/>
      </w:pPr>
      <w:bookmarkStart w:id="113" w:name="_Toc199842758"/>
      <w:r w:rsidRPr="00691E5C">
        <w:t>Receipts/Miscellaneous</w:t>
      </w:r>
      <w:bookmarkEnd w:id="113"/>
    </w:p>
    <w:p w14:paraId="7D8F25E7" w14:textId="77777777" w:rsidR="00A4394B" w:rsidRPr="00691E5C" w:rsidRDefault="00A4394B" w:rsidP="00A4394B">
      <w:r w:rsidRPr="00691E5C">
        <w:t>Receipts are required for each item for expense for street car, ferry fares, bridge and road tolls, local transit, taxi, shuttle, or hotel bus, and parking over $10, business phone calls over $5, all gas for rental cars and all lodging, regardless of amount.</w:t>
      </w:r>
    </w:p>
    <w:p w14:paraId="77ADF771" w14:textId="101171F1" w:rsidR="00A4394B" w:rsidRPr="00691E5C" w:rsidRDefault="00A4394B" w:rsidP="00A4394B">
      <w:r w:rsidRPr="00691E5C">
        <w:t xml:space="preserve">Keep all receipts. The CDE may require submission of receipts with </w:t>
      </w:r>
      <w:r w:rsidR="00BA3CB1">
        <w:t>quarterly expenditure reports</w:t>
      </w:r>
      <w:r w:rsidRPr="00691E5C">
        <w:t>. All business expenses are to be incurred as a result of conducting state business and are subject to review/verification by the CDE.</w:t>
      </w:r>
    </w:p>
    <w:p w14:paraId="2CF74C2B" w14:textId="3F529EEE" w:rsidR="007F2CE4" w:rsidRPr="007F2CE4" w:rsidRDefault="00BA3CB1" w:rsidP="007F2CE4">
      <w:r>
        <w:t>Subgrantee</w:t>
      </w:r>
      <w:r w:rsidR="00A4394B" w:rsidRPr="00691E5C">
        <w:t>s are subject to the same rules and requirements if they are reimbursed for travel. Meals when the individual is not on travel status and refreshments or break service at meetings are not reimbursable.</w:t>
      </w:r>
      <w:bookmarkStart w:id="114" w:name="_Toc74046765"/>
      <w:bookmarkStart w:id="115" w:name="_Hlk77320996"/>
      <w:bookmarkEnd w:id="114"/>
      <w:bookmarkEnd w:id="115"/>
    </w:p>
    <w:sectPr w:rsidR="007F2CE4" w:rsidRPr="007F2CE4" w:rsidSect="003B60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7FECC" w14:textId="77777777" w:rsidR="00190161" w:rsidRDefault="00190161" w:rsidP="00F55B33">
      <w:pPr>
        <w:spacing w:after="0"/>
      </w:pPr>
      <w:r>
        <w:separator/>
      </w:r>
    </w:p>
  </w:endnote>
  <w:endnote w:type="continuationSeparator" w:id="0">
    <w:p w14:paraId="0E791B44" w14:textId="77777777" w:rsidR="00190161" w:rsidRDefault="00190161" w:rsidP="00F55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CC05" w14:textId="6BCD405E" w:rsidR="00EE41DE" w:rsidRDefault="00EE41DE" w:rsidP="4141507C">
    <w:pPr>
      <w:pStyle w:val="Footer"/>
      <w:rPr>
        <w:rFonts w:eastAsia="Calibr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2662" w14:textId="06F90A59" w:rsidR="00EE41DE" w:rsidRDefault="00EE41DE" w:rsidP="4141507C">
    <w:pPr>
      <w:pStyle w:val="Footer"/>
      <w:rPr>
        <w:rFonts w:eastAsia="Calibr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F632" w14:textId="0DF4CD45" w:rsidR="00EE41DE" w:rsidRDefault="00EE41DE" w:rsidP="4141507C">
    <w:pPr>
      <w:pStyle w:val="Footer"/>
      <w:rPr>
        <w:rFonts w:eastAsia="Calibri"/>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5377A" w14:textId="49D241B9" w:rsidR="00EE41DE" w:rsidRDefault="00EE41DE" w:rsidP="4141507C">
    <w:pPr>
      <w:pStyle w:val="Footer"/>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3521B" w14:textId="77777777" w:rsidR="00190161" w:rsidRDefault="00190161" w:rsidP="00F55B33">
      <w:pPr>
        <w:spacing w:after="0"/>
      </w:pPr>
      <w:r>
        <w:separator/>
      </w:r>
    </w:p>
  </w:footnote>
  <w:footnote w:type="continuationSeparator" w:id="0">
    <w:p w14:paraId="6306B351" w14:textId="77777777" w:rsidR="00190161" w:rsidRDefault="00190161" w:rsidP="00F55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90AA" w14:textId="7138DF09" w:rsidR="00EE41DE" w:rsidRPr="00C95FBA" w:rsidRDefault="000461B7" w:rsidP="00F4404A">
    <w:pPr>
      <w:jc w:val="right"/>
      <w:rPr>
        <w:rFonts w:cs="Arial"/>
        <w:szCs w:val="24"/>
      </w:rPr>
    </w:pPr>
    <w:r w:rsidRPr="000461B7">
      <w:rPr>
        <w:rFonts w:cs="Arial"/>
        <w:szCs w:val="24"/>
      </w:rPr>
      <w:t>Statewide Technical Assistance for Charter Schools</w:t>
    </w:r>
    <w:r w:rsidR="00EE41DE" w:rsidRPr="000461B7">
      <w:rPr>
        <w:rFonts w:cs="Arial"/>
        <w:szCs w:val="24"/>
      </w:rPr>
      <w:t xml:space="preserve"> Sub</w:t>
    </w:r>
    <w:r w:rsidR="00BC1BBE">
      <w:rPr>
        <w:rFonts w:cs="Arial"/>
        <w:szCs w:val="24"/>
      </w:rPr>
      <w:t>g</w:t>
    </w:r>
    <w:r w:rsidR="00EE41DE" w:rsidRPr="000461B7">
      <w:rPr>
        <w:rFonts w:cs="Arial"/>
        <w:szCs w:val="24"/>
      </w:rPr>
      <w:t>rant 202</w:t>
    </w:r>
    <w:r w:rsidR="00291191">
      <w:rPr>
        <w:rFonts w:cs="Arial"/>
        <w:szCs w:val="24"/>
      </w:rPr>
      <w:t>5</w:t>
    </w:r>
    <w:r w:rsidR="00EE41DE" w:rsidRPr="000461B7">
      <w:rPr>
        <w:rFonts w:cs="Arial"/>
        <w:szCs w:val="24"/>
      </w:rPr>
      <w:t>–2</w:t>
    </w:r>
    <w:r w:rsidR="00F17306">
      <w:rPr>
        <w:rFonts w:cs="Arial"/>
        <w:szCs w:val="24"/>
      </w:rPr>
      <w:t>6</w:t>
    </w:r>
    <w:r w:rsidR="00EE41DE" w:rsidRPr="000461B7">
      <w:rPr>
        <w:rFonts w:cs="Arial"/>
        <w:szCs w:val="24"/>
      </w:rPr>
      <w:br/>
      <w:t xml:space="preserve">Page </w:t>
    </w:r>
    <w:r w:rsidR="00EE41DE" w:rsidRPr="000461B7">
      <w:rPr>
        <w:rFonts w:cs="Arial"/>
        <w:szCs w:val="24"/>
      </w:rPr>
      <w:fldChar w:fldCharType="begin"/>
    </w:r>
    <w:r w:rsidR="00EE41DE" w:rsidRPr="000461B7">
      <w:rPr>
        <w:rFonts w:cs="Arial"/>
        <w:szCs w:val="24"/>
      </w:rPr>
      <w:instrText xml:space="preserve"> PAGE   \* MERGEFORMAT </w:instrText>
    </w:r>
    <w:r w:rsidR="00EE41DE" w:rsidRPr="000461B7">
      <w:rPr>
        <w:rFonts w:cs="Arial"/>
        <w:szCs w:val="24"/>
      </w:rPr>
      <w:fldChar w:fldCharType="separate"/>
    </w:r>
    <w:r w:rsidR="00EE41DE" w:rsidRPr="000461B7">
      <w:rPr>
        <w:rFonts w:cs="Arial"/>
        <w:noProof/>
        <w:szCs w:val="24"/>
      </w:rPr>
      <w:t>2</w:t>
    </w:r>
    <w:r w:rsidR="00EE41DE" w:rsidRPr="000461B7">
      <w:rPr>
        <w:rFonts w:cs="Arial"/>
        <w:szCs w:val="24"/>
      </w:rPr>
      <w:fldChar w:fldCharType="end"/>
    </w:r>
    <w:r w:rsidR="00EE41DE" w:rsidRPr="000461B7">
      <w:rPr>
        <w:rFonts w:cs="Arial"/>
        <w:noProof/>
        <w:szCs w:val="24"/>
      </w:rPr>
      <w:t xml:space="preserve"> of </w:t>
    </w:r>
    <w:r w:rsidR="00EE41DE" w:rsidRPr="000461B7">
      <w:rPr>
        <w:rFonts w:cs="Arial"/>
        <w:noProof/>
        <w:szCs w:val="24"/>
      </w:rPr>
      <w:fldChar w:fldCharType="begin"/>
    </w:r>
    <w:r w:rsidR="00EE41DE" w:rsidRPr="000461B7">
      <w:rPr>
        <w:rFonts w:cs="Arial"/>
        <w:noProof/>
        <w:szCs w:val="24"/>
      </w:rPr>
      <w:instrText xml:space="preserve"> NUMPAGES   \* MERGEFORMAT </w:instrText>
    </w:r>
    <w:r w:rsidR="00EE41DE" w:rsidRPr="000461B7">
      <w:rPr>
        <w:rFonts w:cs="Arial"/>
        <w:noProof/>
        <w:szCs w:val="24"/>
      </w:rPr>
      <w:fldChar w:fldCharType="separate"/>
    </w:r>
    <w:r w:rsidR="00EE41DE" w:rsidRPr="000461B7">
      <w:rPr>
        <w:rFonts w:cs="Arial"/>
        <w:noProof/>
        <w:szCs w:val="24"/>
      </w:rPr>
      <w:t>55</w:t>
    </w:r>
    <w:r w:rsidR="00EE41DE" w:rsidRPr="000461B7">
      <w:rPr>
        <w:rFonts w:cs="Arial"/>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9FF"/>
    <w:multiLevelType w:val="hybridMultilevel"/>
    <w:tmpl w:val="8C26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C2298"/>
    <w:multiLevelType w:val="hybridMultilevel"/>
    <w:tmpl w:val="14DCAE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1361733"/>
    <w:multiLevelType w:val="multilevel"/>
    <w:tmpl w:val="835E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018D1"/>
    <w:multiLevelType w:val="hybridMultilevel"/>
    <w:tmpl w:val="9EAE0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51DFE"/>
    <w:multiLevelType w:val="hybridMultilevel"/>
    <w:tmpl w:val="9F88D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5EE29FA"/>
    <w:multiLevelType w:val="hybridMultilevel"/>
    <w:tmpl w:val="2D9633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2015F"/>
    <w:multiLevelType w:val="hybridMultilevel"/>
    <w:tmpl w:val="ADDA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153FF"/>
    <w:multiLevelType w:val="hybridMultilevel"/>
    <w:tmpl w:val="21FADB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A7F0F"/>
    <w:multiLevelType w:val="hybridMultilevel"/>
    <w:tmpl w:val="83FE1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92E23"/>
    <w:multiLevelType w:val="hybridMultilevel"/>
    <w:tmpl w:val="AC7EEBD0"/>
    <w:lvl w:ilvl="0" w:tplc="04090015">
      <w:start w:val="1"/>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D021C"/>
    <w:multiLevelType w:val="hybridMultilevel"/>
    <w:tmpl w:val="2C78800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18786E04"/>
    <w:multiLevelType w:val="hybridMultilevel"/>
    <w:tmpl w:val="5D6A4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C687A"/>
    <w:multiLevelType w:val="hybridMultilevel"/>
    <w:tmpl w:val="C256D3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3" w15:restartNumberingAfterBreak="0">
    <w:nsid w:val="1BF419CD"/>
    <w:multiLevelType w:val="hybridMultilevel"/>
    <w:tmpl w:val="024E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74F83"/>
    <w:multiLevelType w:val="hybridMultilevel"/>
    <w:tmpl w:val="2BCE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902B4"/>
    <w:multiLevelType w:val="hybridMultilevel"/>
    <w:tmpl w:val="137A7F38"/>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5B1AD4"/>
    <w:multiLevelType w:val="hybridMultilevel"/>
    <w:tmpl w:val="A8402A7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2452B8"/>
    <w:multiLevelType w:val="hybridMultilevel"/>
    <w:tmpl w:val="07524A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635E3"/>
    <w:multiLevelType w:val="hybridMultilevel"/>
    <w:tmpl w:val="F4F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C2A70"/>
    <w:multiLevelType w:val="hybridMultilevel"/>
    <w:tmpl w:val="A3A46662"/>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29103E"/>
    <w:multiLevelType w:val="hybridMultilevel"/>
    <w:tmpl w:val="BC80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05DCC"/>
    <w:multiLevelType w:val="hybridMultilevel"/>
    <w:tmpl w:val="A64A0F14"/>
    <w:lvl w:ilvl="0" w:tplc="A24CB2CA">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3">
      <w:start w:val="1"/>
      <w:numFmt w:val="upperRoman"/>
      <w:lvlText w:val="%3."/>
      <w:lvlJc w:val="right"/>
      <w:pPr>
        <w:ind w:left="2340" w:hanging="360"/>
      </w:pPr>
    </w:lvl>
    <w:lvl w:ilvl="3" w:tplc="7B1683B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66E02"/>
    <w:multiLevelType w:val="hybridMultilevel"/>
    <w:tmpl w:val="E62846C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60F30"/>
    <w:multiLevelType w:val="hybridMultilevel"/>
    <w:tmpl w:val="88AC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729FC"/>
    <w:multiLevelType w:val="hybridMultilevel"/>
    <w:tmpl w:val="E06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74859"/>
    <w:multiLevelType w:val="hybridMultilevel"/>
    <w:tmpl w:val="E63C1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14580"/>
    <w:multiLevelType w:val="hybridMultilevel"/>
    <w:tmpl w:val="F5101C02"/>
    <w:lvl w:ilvl="0" w:tplc="04090005">
      <w:start w:val="1"/>
      <w:numFmt w:val="bullet"/>
      <w:lvlText w:val=""/>
      <w:lvlJc w:val="left"/>
      <w:pPr>
        <w:ind w:left="360" w:hanging="360"/>
      </w:pPr>
      <w:rPr>
        <w:rFonts w:ascii="Wingdings" w:hAnsi="Wingdings" w:hint="default"/>
        <w:b w:val="0"/>
        <w:sz w:val="24"/>
        <w:szCs w:val="24"/>
      </w:rPr>
    </w:lvl>
    <w:lvl w:ilvl="1" w:tplc="04090001">
      <w:start w:val="1"/>
      <w:numFmt w:val="bullet"/>
      <w:lvlText w:val=""/>
      <w:lvlJc w:val="left"/>
      <w:pPr>
        <w:ind w:left="1080" w:hanging="360"/>
      </w:pPr>
      <w:rPr>
        <w:rFonts w:ascii="Symbol" w:hAnsi="Symbol" w:hint="default"/>
        <w:b w:val="0"/>
        <w:sz w:val="24"/>
        <w:szCs w:val="24"/>
      </w:rPr>
    </w:lvl>
    <w:lvl w:ilvl="2" w:tplc="0409001B">
      <w:start w:val="1"/>
      <w:numFmt w:val="lowerRoman"/>
      <w:lvlText w:val="%3."/>
      <w:lvlJc w:val="right"/>
      <w:pPr>
        <w:ind w:left="1800" w:hanging="180"/>
      </w:pPr>
    </w:lvl>
    <w:lvl w:ilvl="3" w:tplc="CF6E4F88">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4D7EEF"/>
    <w:multiLevelType w:val="hybridMultilevel"/>
    <w:tmpl w:val="EE0E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65013"/>
    <w:multiLevelType w:val="hybridMultilevel"/>
    <w:tmpl w:val="6CC663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F6A32"/>
    <w:multiLevelType w:val="hybridMultilevel"/>
    <w:tmpl w:val="B46062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9714AC0"/>
    <w:multiLevelType w:val="hybridMultilevel"/>
    <w:tmpl w:val="B23EABE6"/>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A04249"/>
    <w:multiLevelType w:val="hybridMultilevel"/>
    <w:tmpl w:val="5F38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D76414"/>
    <w:multiLevelType w:val="hybridMultilevel"/>
    <w:tmpl w:val="CE587D9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980" w:hanging="360"/>
      </w:pPr>
      <w:rPr>
        <w:rFonts w:hint="default"/>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897820"/>
    <w:multiLevelType w:val="multilevel"/>
    <w:tmpl w:val="6764E2E6"/>
    <w:lvl w:ilvl="0">
      <w:start w:val="1"/>
      <w:numFmt w:val="bullet"/>
      <w:lvlText w:val=""/>
      <w:lvlJc w:val="left"/>
      <w:pPr>
        <w:ind w:left="400" w:hanging="400"/>
      </w:pPr>
      <w:rPr>
        <w:rFonts w:ascii="Symbol" w:hAnsi="Symbol" w:hint="default"/>
        <w:b w:val="0"/>
        <w:sz w:val="24"/>
        <w:szCs w:val="24"/>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555213"/>
    <w:multiLevelType w:val="hybridMultilevel"/>
    <w:tmpl w:val="105C07B8"/>
    <w:lvl w:ilvl="0" w:tplc="398632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72D72"/>
    <w:multiLevelType w:val="hybridMultilevel"/>
    <w:tmpl w:val="2C9CDC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744033"/>
    <w:multiLevelType w:val="hybridMultilevel"/>
    <w:tmpl w:val="3018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7937B9"/>
    <w:multiLevelType w:val="hybridMultilevel"/>
    <w:tmpl w:val="C3DC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F470F9"/>
    <w:multiLevelType w:val="hybridMultilevel"/>
    <w:tmpl w:val="C320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9568FC"/>
    <w:multiLevelType w:val="hybridMultilevel"/>
    <w:tmpl w:val="7862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7171B"/>
    <w:multiLevelType w:val="hybridMultilevel"/>
    <w:tmpl w:val="2BE44B4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980" w:hanging="360"/>
      </w:pPr>
      <w:rPr>
        <w:rFonts w:hint="default"/>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9EC0BF4"/>
    <w:multiLevelType w:val="hybridMultilevel"/>
    <w:tmpl w:val="80F240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E250E0"/>
    <w:multiLevelType w:val="multilevel"/>
    <w:tmpl w:val="B622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2C1B0F"/>
    <w:multiLevelType w:val="hybridMultilevel"/>
    <w:tmpl w:val="7DA8F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317E11"/>
    <w:multiLevelType w:val="hybridMultilevel"/>
    <w:tmpl w:val="88268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B0B91"/>
    <w:multiLevelType w:val="hybridMultilevel"/>
    <w:tmpl w:val="E614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968F3"/>
    <w:multiLevelType w:val="hybridMultilevel"/>
    <w:tmpl w:val="E6F000E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7" w15:restartNumberingAfterBreak="0">
    <w:nsid w:val="7118017C"/>
    <w:multiLevelType w:val="hybridMultilevel"/>
    <w:tmpl w:val="1B9A2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5D5F17"/>
    <w:multiLevelType w:val="hybridMultilevel"/>
    <w:tmpl w:val="8F16B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665085"/>
    <w:multiLevelType w:val="hybridMultilevel"/>
    <w:tmpl w:val="7BD04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5A0943"/>
    <w:multiLevelType w:val="hybridMultilevel"/>
    <w:tmpl w:val="79C4DA1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902CBE"/>
    <w:multiLevelType w:val="hybridMultilevel"/>
    <w:tmpl w:val="73F4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4E4CBD"/>
    <w:multiLevelType w:val="hybridMultilevel"/>
    <w:tmpl w:val="7D6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284615">
    <w:abstractNumId w:val="35"/>
  </w:num>
  <w:num w:numId="2" w16cid:durableId="399907202">
    <w:abstractNumId w:val="23"/>
  </w:num>
  <w:num w:numId="3" w16cid:durableId="159852311">
    <w:abstractNumId w:val="38"/>
  </w:num>
  <w:num w:numId="4" w16cid:durableId="1311252200">
    <w:abstractNumId w:val="4"/>
  </w:num>
  <w:num w:numId="5" w16cid:durableId="1322079161">
    <w:abstractNumId w:val="24"/>
  </w:num>
  <w:num w:numId="6" w16cid:durableId="1350982370">
    <w:abstractNumId w:val="12"/>
  </w:num>
  <w:num w:numId="7" w16cid:durableId="485124862">
    <w:abstractNumId w:val="30"/>
  </w:num>
  <w:num w:numId="8" w16cid:durableId="988288256">
    <w:abstractNumId w:val="15"/>
  </w:num>
  <w:num w:numId="9" w16cid:durableId="36707263">
    <w:abstractNumId w:val="33"/>
  </w:num>
  <w:num w:numId="10" w16cid:durableId="1054082034">
    <w:abstractNumId w:val="26"/>
  </w:num>
  <w:num w:numId="11" w16cid:durableId="1723552314">
    <w:abstractNumId w:val="51"/>
  </w:num>
  <w:num w:numId="12" w16cid:durableId="1650555386">
    <w:abstractNumId w:val="32"/>
  </w:num>
  <w:num w:numId="13" w16cid:durableId="386153251">
    <w:abstractNumId w:val="1"/>
  </w:num>
  <w:num w:numId="14" w16cid:durableId="424764567">
    <w:abstractNumId w:val="16"/>
  </w:num>
  <w:num w:numId="15" w16cid:durableId="843983186">
    <w:abstractNumId w:val="7"/>
  </w:num>
  <w:num w:numId="16" w16cid:durableId="841045912">
    <w:abstractNumId w:val="28"/>
  </w:num>
  <w:num w:numId="17" w16cid:durableId="807208913">
    <w:abstractNumId w:val="40"/>
  </w:num>
  <w:num w:numId="18" w16cid:durableId="699865096">
    <w:abstractNumId w:val="5"/>
  </w:num>
  <w:num w:numId="19" w16cid:durableId="1149715601">
    <w:abstractNumId w:val="20"/>
  </w:num>
  <w:num w:numId="20" w16cid:durableId="233930319">
    <w:abstractNumId w:val="10"/>
  </w:num>
  <w:num w:numId="21" w16cid:durableId="1195189001">
    <w:abstractNumId w:val="46"/>
  </w:num>
  <w:num w:numId="22" w16cid:durableId="282006661">
    <w:abstractNumId w:val="9"/>
  </w:num>
  <w:num w:numId="23" w16cid:durableId="859900227">
    <w:abstractNumId w:val="47"/>
  </w:num>
  <w:num w:numId="24" w16cid:durableId="1042440905">
    <w:abstractNumId w:val="0"/>
  </w:num>
  <w:num w:numId="25" w16cid:durableId="1117682851">
    <w:abstractNumId w:val="37"/>
  </w:num>
  <w:num w:numId="26" w16cid:durableId="1342850875">
    <w:abstractNumId w:val="45"/>
  </w:num>
  <w:num w:numId="27" w16cid:durableId="1096942083">
    <w:abstractNumId w:val="29"/>
  </w:num>
  <w:num w:numId="28" w16cid:durableId="350569315">
    <w:abstractNumId w:val="49"/>
  </w:num>
  <w:num w:numId="29" w16cid:durableId="2020155921">
    <w:abstractNumId w:val="18"/>
  </w:num>
  <w:num w:numId="30" w16cid:durableId="1387070226">
    <w:abstractNumId w:val="19"/>
  </w:num>
  <w:num w:numId="31" w16cid:durableId="983200857">
    <w:abstractNumId w:val="25"/>
  </w:num>
  <w:num w:numId="32" w16cid:durableId="468792555">
    <w:abstractNumId w:val="11"/>
  </w:num>
  <w:num w:numId="33" w16cid:durableId="1753309328">
    <w:abstractNumId w:val="13"/>
  </w:num>
  <w:num w:numId="34" w16cid:durableId="92284343">
    <w:abstractNumId w:val="8"/>
  </w:num>
  <w:num w:numId="35" w16cid:durableId="475954723">
    <w:abstractNumId w:val="36"/>
  </w:num>
  <w:num w:numId="36" w16cid:durableId="1299918727">
    <w:abstractNumId w:val="3"/>
  </w:num>
  <w:num w:numId="37" w16cid:durableId="1853176818">
    <w:abstractNumId w:val="48"/>
  </w:num>
  <w:num w:numId="38" w16cid:durableId="1509446153">
    <w:abstractNumId w:val="43"/>
  </w:num>
  <w:num w:numId="39" w16cid:durableId="1400055612">
    <w:abstractNumId w:val="39"/>
  </w:num>
  <w:num w:numId="40" w16cid:durableId="106656467">
    <w:abstractNumId w:val="31"/>
  </w:num>
  <w:num w:numId="41" w16cid:durableId="257641186">
    <w:abstractNumId w:val="6"/>
  </w:num>
  <w:num w:numId="42" w16cid:durableId="509876901">
    <w:abstractNumId w:val="22"/>
  </w:num>
  <w:num w:numId="43" w16cid:durableId="2052337390">
    <w:abstractNumId w:val="44"/>
  </w:num>
  <w:num w:numId="44" w16cid:durableId="2016298760">
    <w:abstractNumId w:val="34"/>
  </w:num>
  <w:num w:numId="45" w16cid:durableId="1588071073">
    <w:abstractNumId w:val="17"/>
  </w:num>
  <w:num w:numId="46" w16cid:durableId="1993486660">
    <w:abstractNumId w:val="2"/>
  </w:num>
  <w:num w:numId="47" w16cid:durableId="58407865">
    <w:abstractNumId w:val="52"/>
  </w:num>
  <w:num w:numId="48" w16cid:durableId="169027523">
    <w:abstractNumId w:val="42"/>
  </w:num>
  <w:num w:numId="49" w16cid:durableId="1112358313">
    <w:abstractNumId w:val="27"/>
  </w:num>
  <w:num w:numId="50" w16cid:durableId="2001737179">
    <w:abstractNumId w:val="50"/>
  </w:num>
  <w:num w:numId="51" w16cid:durableId="1218279951">
    <w:abstractNumId w:val="41"/>
  </w:num>
  <w:num w:numId="52" w16cid:durableId="564100762">
    <w:abstractNumId w:val="21"/>
  </w:num>
  <w:num w:numId="53" w16cid:durableId="90191038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1D"/>
    <w:rsid w:val="0000013F"/>
    <w:rsid w:val="00000829"/>
    <w:rsid w:val="0000359D"/>
    <w:rsid w:val="00003F18"/>
    <w:rsid w:val="00004A80"/>
    <w:rsid w:val="00005638"/>
    <w:rsid w:val="00010D23"/>
    <w:rsid w:val="000110AB"/>
    <w:rsid w:val="000155A9"/>
    <w:rsid w:val="00017D58"/>
    <w:rsid w:val="00022234"/>
    <w:rsid w:val="00023086"/>
    <w:rsid w:val="00024001"/>
    <w:rsid w:val="00025635"/>
    <w:rsid w:val="0002639C"/>
    <w:rsid w:val="00026F04"/>
    <w:rsid w:val="00027015"/>
    <w:rsid w:val="00027230"/>
    <w:rsid w:val="00030B4E"/>
    <w:rsid w:val="000310A4"/>
    <w:rsid w:val="0003240B"/>
    <w:rsid w:val="0003688C"/>
    <w:rsid w:val="00037237"/>
    <w:rsid w:val="00037A63"/>
    <w:rsid w:val="00037D98"/>
    <w:rsid w:val="0004202A"/>
    <w:rsid w:val="0004557C"/>
    <w:rsid w:val="00045C32"/>
    <w:rsid w:val="000461B7"/>
    <w:rsid w:val="0004710A"/>
    <w:rsid w:val="0004731A"/>
    <w:rsid w:val="00047DF7"/>
    <w:rsid w:val="00050E59"/>
    <w:rsid w:val="00051A47"/>
    <w:rsid w:val="00052FEA"/>
    <w:rsid w:val="00054157"/>
    <w:rsid w:val="00055E2F"/>
    <w:rsid w:val="00057E72"/>
    <w:rsid w:val="00060705"/>
    <w:rsid w:val="00062982"/>
    <w:rsid w:val="0006398E"/>
    <w:rsid w:val="000647D9"/>
    <w:rsid w:val="00067830"/>
    <w:rsid w:val="00067BD7"/>
    <w:rsid w:val="00070061"/>
    <w:rsid w:val="00071329"/>
    <w:rsid w:val="00072A14"/>
    <w:rsid w:val="000805BA"/>
    <w:rsid w:val="00081E65"/>
    <w:rsid w:val="000822C6"/>
    <w:rsid w:val="00082B94"/>
    <w:rsid w:val="00082D08"/>
    <w:rsid w:val="0008378B"/>
    <w:rsid w:val="000862CB"/>
    <w:rsid w:val="00087A7A"/>
    <w:rsid w:val="00087CE4"/>
    <w:rsid w:val="00090C99"/>
    <w:rsid w:val="00090E54"/>
    <w:rsid w:val="00090EDD"/>
    <w:rsid w:val="0009425D"/>
    <w:rsid w:val="000945E1"/>
    <w:rsid w:val="00095D04"/>
    <w:rsid w:val="00095E74"/>
    <w:rsid w:val="000961EF"/>
    <w:rsid w:val="0009623A"/>
    <w:rsid w:val="000964C9"/>
    <w:rsid w:val="000965DE"/>
    <w:rsid w:val="000973E6"/>
    <w:rsid w:val="000A02A6"/>
    <w:rsid w:val="000A1154"/>
    <w:rsid w:val="000A2396"/>
    <w:rsid w:val="000A44C6"/>
    <w:rsid w:val="000A5E3C"/>
    <w:rsid w:val="000B2A5D"/>
    <w:rsid w:val="000B31B8"/>
    <w:rsid w:val="000B3E9A"/>
    <w:rsid w:val="000B4E87"/>
    <w:rsid w:val="000B76B5"/>
    <w:rsid w:val="000B78DD"/>
    <w:rsid w:val="000C15D9"/>
    <w:rsid w:val="000C1A72"/>
    <w:rsid w:val="000C24D5"/>
    <w:rsid w:val="000C27A7"/>
    <w:rsid w:val="000C3DCA"/>
    <w:rsid w:val="000C4E67"/>
    <w:rsid w:val="000C54BC"/>
    <w:rsid w:val="000C5C0B"/>
    <w:rsid w:val="000C6587"/>
    <w:rsid w:val="000C7D66"/>
    <w:rsid w:val="000D21E1"/>
    <w:rsid w:val="000D2A1C"/>
    <w:rsid w:val="000D785D"/>
    <w:rsid w:val="000D7C74"/>
    <w:rsid w:val="000E2AC8"/>
    <w:rsid w:val="000E2DBA"/>
    <w:rsid w:val="000E2E30"/>
    <w:rsid w:val="000E48C4"/>
    <w:rsid w:val="000E4FF6"/>
    <w:rsid w:val="000E5D01"/>
    <w:rsid w:val="000E5EF8"/>
    <w:rsid w:val="000E7058"/>
    <w:rsid w:val="000F32C2"/>
    <w:rsid w:val="000F3461"/>
    <w:rsid w:val="000F5FCF"/>
    <w:rsid w:val="000F6EB2"/>
    <w:rsid w:val="000F7012"/>
    <w:rsid w:val="000F7607"/>
    <w:rsid w:val="000F7AF5"/>
    <w:rsid w:val="0010016F"/>
    <w:rsid w:val="00100691"/>
    <w:rsid w:val="00101BE9"/>
    <w:rsid w:val="00102608"/>
    <w:rsid w:val="00103283"/>
    <w:rsid w:val="001046C8"/>
    <w:rsid w:val="00104853"/>
    <w:rsid w:val="00104D21"/>
    <w:rsid w:val="0010652C"/>
    <w:rsid w:val="0011203D"/>
    <w:rsid w:val="0011232E"/>
    <w:rsid w:val="0011238A"/>
    <w:rsid w:val="00114182"/>
    <w:rsid w:val="001151E4"/>
    <w:rsid w:val="00120405"/>
    <w:rsid w:val="00120B2A"/>
    <w:rsid w:val="00120D98"/>
    <w:rsid w:val="00121654"/>
    <w:rsid w:val="00121B4E"/>
    <w:rsid w:val="00122019"/>
    <w:rsid w:val="0012380F"/>
    <w:rsid w:val="0012481F"/>
    <w:rsid w:val="001253C4"/>
    <w:rsid w:val="00125608"/>
    <w:rsid w:val="00130B16"/>
    <w:rsid w:val="001328E9"/>
    <w:rsid w:val="00134520"/>
    <w:rsid w:val="00134E76"/>
    <w:rsid w:val="00137232"/>
    <w:rsid w:val="00137B64"/>
    <w:rsid w:val="0014695B"/>
    <w:rsid w:val="00147BEF"/>
    <w:rsid w:val="001515BF"/>
    <w:rsid w:val="00151762"/>
    <w:rsid w:val="00155FB7"/>
    <w:rsid w:val="001563BE"/>
    <w:rsid w:val="00156FA4"/>
    <w:rsid w:val="00157FE8"/>
    <w:rsid w:val="00161238"/>
    <w:rsid w:val="001618F8"/>
    <w:rsid w:val="00161F0B"/>
    <w:rsid w:val="00162ED8"/>
    <w:rsid w:val="00163D3B"/>
    <w:rsid w:val="001646FD"/>
    <w:rsid w:val="00165D81"/>
    <w:rsid w:val="001662B1"/>
    <w:rsid w:val="00166FE4"/>
    <w:rsid w:val="00167521"/>
    <w:rsid w:val="00170994"/>
    <w:rsid w:val="001712AE"/>
    <w:rsid w:val="001715A6"/>
    <w:rsid w:val="001717C8"/>
    <w:rsid w:val="00173117"/>
    <w:rsid w:val="00173C61"/>
    <w:rsid w:val="001741FC"/>
    <w:rsid w:val="001742BF"/>
    <w:rsid w:val="00174C8B"/>
    <w:rsid w:val="00175019"/>
    <w:rsid w:val="00175065"/>
    <w:rsid w:val="00175DAC"/>
    <w:rsid w:val="001775F2"/>
    <w:rsid w:val="0018256C"/>
    <w:rsid w:val="001850C7"/>
    <w:rsid w:val="00190161"/>
    <w:rsid w:val="001943D6"/>
    <w:rsid w:val="00197F04"/>
    <w:rsid w:val="001A0CA5"/>
    <w:rsid w:val="001A1B8B"/>
    <w:rsid w:val="001A1EBB"/>
    <w:rsid w:val="001A206A"/>
    <w:rsid w:val="001A299A"/>
    <w:rsid w:val="001A2CF8"/>
    <w:rsid w:val="001A31B2"/>
    <w:rsid w:val="001A338F"/>
    <w:rsid w:val="001A5D28"/>
    <w:rsid w:val="001A612A"/>
    <w:rsid w:val="001A6C55"/>
    <w:rsid w:val="001B026E"/>
    <w:rsid w:val="001B0E00"/>
    <w:rsid w:val="001B1B21"/>
    <w:rsid w:val="001B20D8"/>
    <w:rsid w:val="001B357D"/>
    <w:rsid w:val="001B3592"/>
    <w:rsid w:val="001B3EEF"/>
    <w:rsid w:val="001B5C7C"/>
    <w:rsid w:val="001B6193"/>
    <w:rsid w:val="001B70DE"/>
    <w:rsid w:val="001B77E5"/>
    <w:rsid w:val="001B79BB"/>
    <w:rsid w:val="001C2A71"/>
    <w:rsid w:val="001C4AF0"/>
    <w:rsid w:val="001C5B64"/>
    <w:rsid w:val="001C63A3"/>
    <w:rsid w:val="001D0FA6"/>
    <w:rsid w:val="001D10A5"/>
    <w:rsid w:val="001D1290"/>
    <w:rsid w:val="001D77C9"/>
    <w:rsid w:val="001E39BB"/>
    <w:rsid w:val="001E3E06"/>
    <w:rsid w:val="001E4100"/>
    <w:rsid w:val="001E4755"/>
    <w:rsid w:val="001E6BF4"/>
    <w:rsid w:val="001E75EE"/>
    <w:rsid w:val="001F20BE"/>
    <w:rsid w:val="001F30B9"/>
    <w:rsid w:val="001F3429"/>
    <w:rsid w:val="001F4275"/>
    <w:rsid w:val="001F43D0"/>
    <w:rsid w:val="001F4533"/>
    <w:rsid w:val="00201EC6"/>
    <w:rsid w:val="002025AA"/>
    <w:rsid w:val="00205384"/>
    <w:rsid w:val="00207170"/>
    <w:rsid w:val="00207FA5"/>
    <w:rsid w:val="00212B82"/>
    <w:rsid w:val="0021317A"/>
    <w:rsid w:val="002143AD"/>
    <w:rsid w:val="002146EA"/>
    <w:rsid w:val="002148C1"/>
    <w:rsid w:val="002178B2"/>
    <w:rsid w:val="00223D1E"/>
    <w:rsid w:val="00223F78"/>
    <w:rsid w:val="00225D25"/>
    <w:rsid w:val="00230555"/>
    <w:rsid w:val="00230589"/>
    <w:rsid w:val="0023090C"/>
    <w:rsid w:val="00232793"/>
    <w:rsid w:val="00232F43"/>
    <w:rsid w:val="00234C18"/>
    <w:rsid w:val="00236B87"/>
    <w:rsid w:val="00236FF3"/>
    <w:rsid w:val="00237F1C"/>
    <w:rsid w:val="00241A5C"/>
    <w:rsid w:val="00244658"/>
    <w:rsid w:val="00246D03"/>
    <w:rsid w:val="00251026"/>
    <w:rsid w:val="00252771"/>
    <w:rsid w:val="00254AD1"/>
    <w:rsid w:val="00257308"/>
    <w:rsid w:val="00260E17"/>
    <w:rsid w:val="0026268A"/>
    <w:rsid w:val="00262CF6"/>
    <w:rsid w:val="00263669"/>
    <w:rsid w:val="0027049F"/>
    <w:rsid w:val="00271627"/>
    <w:rsid w:val="002721A9"/>
    <w:rsid w:val="002725D4"/>
    <w:rsid w:val="00272621"/>
    <w:rsid w:val="0028045B"/>
    <w:rsid w:val="002854F6"/>
    <w:rsid w:val="00285701"/>
    <w:rsid w:val="00291191"/>
    <w:rsid w:val="00291425"/>
    <w:rsid w:val="00291DB0"/>
    <w:rsid w:val="00291F8B"/>
    <w:rsid w:val="0029649B"/>
    <w:rsid w:val="00296BC5"/>
    <w:rsid w:val="00297035"/>
    <w:rsid w:val="00297CDC"/>
    <w:rsid w:val="002A4BC3"/>
    <w:rsid w:val="002A4D0D"/>
    <w:rsid w:val="002A5675"/>
    <w:rsid w:val="002B0E83"/>
    <w:rsid w:val="002B15FB"/>
    <w:rsid w:val="002B32BC"/>
    <w:rsid w:val="002B6A28"/>
    <w:rsid w:val="002C15DC"/>
    <w:rsid w:val="002C2190"/>
    <w:rsid w:val="002C2898"/>
    <w:rsid w:val="002C40B7"/>
    <w:rsid w:val="002C4A04"/>
    <w:rsid w:val="002C50D1"/>
    <w:rsid w:val="002C78CE"/>
    <w:rsid w:val="002D01BB"/>
    <w:rsid w:val="002D0A68"/>
    <w:rsid w:val="002D0EF8"/>
    <w:rsid w:val="002D1B62"/>
    <w:rsid w:val="002D2284"/>
    <w:rsid w:val="002D25DB"/>
    <w:rsid w:val="002D2CDF"/>
    <w:rsid w:val="002D3D2D"/>
    <w:rsid w:val="002D4474"/>
    <w:rsid w:val="002D4B35"/>
    <w:rsid w:val="002D7921"/>
    <w:rsid w:val="002E0673"/>
    <w:rsid w:val="002E101A"/>
    <w:rsid w:val="002E4CB5"/>
    <w:rsid w:val="002E655E"/>
    <w:rsid w:val="002E66E3"/>
    <w:rsid w:val="002E6CEC"/>
    <w:rsid w:val="002F130D"/>
    <w:rsid w:val="002F2F3D"/>
    <w:rsid w:val="002F4F13"/>
    <w:rsid w:val="002F5230"/>
    <w:rsid w:val="002F5F23"/>
    <w:rsid w:val="002F6A2B"/>
    <w:rsid w:val="002FC7FB"/>
    <w:rsid w:val="00300086"/>
    <w:rsid w:val="00300144"/>
    <w:rsid w:val="00300770"/>
    <w:rsid w:val="00302121"/>
    <w:rsid w:val="003034A6"/>
    <w:rsid w:val="003045BC"/>
    <w:rsid w:val="00307148"/>
    <w:rsid w:val="00310387"/>
    <w:rsid w:val="00310C56"/>
    <w:rsid w:val="00311539"/>
    <w:rsid w:val="003130FC"/>
    <w:rsid w:val="00314DBA"/>
    <w:rsid w:val="00315149"/>
    <w:rsid w:val="00316CD5"/>
    <w:rsid w:val="0032219D"/>
    <w:rsid w:val="00323124"/>
    <w:rsid w:val="0032338E"/>
    <w:rsid w:val="00323AF6"/>
    <w:rsid w:val="003275CD"/>
    <w:rsid w:val="00327FDD"/>
    <w:rsid w:val="00330132"/>
    <w:rsid w:val="00332FDE"/>
    <w:rsid w:val="00333D8E"/>
    <w:rsid w:val="00333FEF"/>
    <w:rsid w:val="00340C76"/>
    <w:rsid w:val="00342214"/>
    <w:rsid w:val="00343070"/>
    <w:rsid w:val="00343936"/>
    <w:rsid w:val="00343CA7"/>
    <w:rsid w:val="003440A3"/>
    <w:rsid w:val="003445A1"/>
    <w:rsid w:val="0034482A"/>
    <w:rsid w:val="003455C3"/>
    <w:rsid w:val="00345B3A"/>
    <w:rsid w:val="00345B9B"/>
    <w:rsid w:val="003465F4"/>
    <w:rsid w:val="00346860"/>
    <w:rsid w:val="00347FF9"/>
    <w:rsid w:val="00350932"/>
    <w:rsid w:val="003511F0"/>
    <w:rsid w:val="00351884"/>
    <w:rsid w:val="00356C55"/>
    <w:rsid w:val="00357E08"/>
    <w:rsid w:val="0036187A"/>
    <w:rsid w:val="003620B5"/>
    <w:rsid w:val="00363744"/>
    <w:rsid w:val="00363CA8"/>
    <w:rsid w:val="00364D3C"/>
    <w:rsid w:val="00367060"/>
    <w:rsid w:val="003703BF"/>
    <w:rsid w:val="00372E13"/>
    <w:rsid w:val="003738B8"/>
    <w:rsid w:val="00376481"/>
    <w:rsid w:val="003764BB"/>
    <w:rsid w:val="00376A3A"/>
    <w:rsid w:val="0038024F"/>
    <w:rsid w:val="00380355"/>
    <w:rsid w:val="00382A4D"/>
    <w:rsid w:val="00382E2B"/>
    <w:rsid w:val="003850D3"/>
    <w:rsid w:val="003850D5"/>
    <w:rsid w:val="00390975"/>
    <w:rsid w:val="003929D2"/>
    <w:rsid w:val="00392FEC"/>
    <w:rsid w:val="00393A50"/>
    <w:rsid w:val="003955F7"/>
    <w:rsid w:val="00395E30"/>
    <w:rsid w:val="003965F0"/>
    <w:rsid w:val="0039702E"/>
    <w:rsid w:val="0039734C"/>
    <w:rsid w:val="003A0BF9"/>
    <w:rsid w:val="003A1F21"/>
    <w:rsid w:val="003A2C44"/>
    <w:rsid w:val="003A48FC"/>
    <w:rsid w:val="003A4C1A"/>
    <w:rsid w:val="003A5991"/>
    <w:rsid w:val="003A5D05"/>
    <w:rsid w:val="003A66AD"/>
    <w:rsid w:val="003B0BE1"/>
    <w:rsid w:val="003B1205"/>
    <w:rsid w:val="003B19E9"/>
    <w:rsid w:val="003B30DC"/>
    <w:rsid w:val="003B40F8"/>
    <w:rsid w:val="003B4C78"/>
    <w:rsid w:val="003B6076"/>
    <w:rsid w:val="003B6782"/>
    <w:rsid w:val="003B7C68"/>
    <w:rsid w:val="003B7C69"/>
    <w:rsid w:val="003C0CFB"/>
    <w:rsid w:val="003C12BE"/>
    <w:rsid w:val="003C256F"/>
    <w:rsid w:val="003C3564"/>
    <w:rsid w:val="003C4267"/>
    <w:rsid w:val="003C60C2"/>
    <w:rsid w:val="003C78BF"/>
    <w:rsid w:val="003D0965"/>
    <w:rsid w:val="003D0A4A"/>
    <w:rsid w:val="003D126D"/>
    <w:rsid w:val="003D1F13"/>
    <w:rsid w:val="003D7828"/>
    <w:rsid w:val="003D7E92"/>
    <w:rsid w:val="003E143F"/>
    <w:rsid w:val="003E3C66"/>
    <w:rsid w:val="003E5688"/>
    <w:rsid w:val="003E63E0"/>
    <w:rsid w:val="003E69C3"/>
    <w:rsid w:val="003E6BDD"/>
    <w:rsid w:val="003E6D0B"/>
    <w:rsid w:val="003E7125"/>
    <w:rsid w:val="003F113B"/>
    <w:rsid w:val="003F22C8"/>
    <w:rsid w:val="003F2B27"/>
    <w:rsid w:val="003F2F04"/>
    <w:rsid w:val="003F3A20"/>
    <w:rsid w:val="003F477C"/>
    <w:rsid w:val="003F54D1"/>
    <w:rsid w:val="003F7251"/>
    <w:rsid w:val="003F7460"/>
    <w:rsid w:val="003F7679"/>
    <w:rsid w:val="003F79D5"/>
    <w:rsid w:val="00401235"/>
    <w:rsid w:val="00403AF3"/>
    <w:rsid w:val="00404F92"/>
    <w:rsid w:val="004068A0"/>
    <w:rsid w:val="00407A8A"/>
    <w:rsid w:val="00411B79"/>
    <w:rsid w:val="004133D9"/>
    <w:rsid w:val="00413B71"/>
    <w:rsid w:val="00414180"/>
    <w:rsid w:val="00414712"/>
    <w:rsid w:val="0041681E"/>
    <w:rsid w:val="00416AB0"/>
    <w:rsid w:val="004178F9"/>
    <w:rsid w:val="00421383"/>
    <w:rsid w:val="0042337D"/>
    <w:rsid w:val="00423DA9"/>
    <w:rsid w:val="00430734"/>
    <w:rsid w:val="00432350"/>
    <w:rsid w:val="00434F58"/>
    <w:rsid w:val="00436591"/>
    <w:rsid w:val="00436E8A"/>
    <w:rsid w:val="00437C00"/>
    <w:rsid w:val="00440181"/>
    <w:rsid w:val="004456E9"/>
    <w:rsid w:val="00445CEA"/>
    <w:rsid w:val="004460F3"/>
    <w:rsid w:val="00446DF8"/>
    <w:rsid w:val="00450171"/>
    <w:rsid w:val="004505C6"/>
    <w:rsid w:val="004509C1"/>
    <w:rsid w:val="00450B67"/>
    <w:rsid w:val="00451344"/>
    <w:rsid w:val="004515E9"/>
    <w:rsid w:val="00453FA2"/>
    <w:rsid w:val="00457C6F"/>
    <w:rsid w:val="00457D84"/>
    <w:rsid w:val="00470447"/>
    <w:rsid w:val="00470EF9"/>
    <w:rsid w:val="004713A5"/>
    <w:rsid w:val="004728AA"/>
    <w:rsid w:val="004759D8"/>
    <w:rsid w:val="004805E6"/>
    <w:rsid w:val="004806EE"/>
    <w:rsid w:val="00481669"/>
    <w:rsid w:val="004837DC"/>
    <w:rsid w:val="004844B0"/>
    <w:rsid w:val="004865EC"/>
    <w:rsid w:val="00487550"/>
    <w:rsid w:val="00487975"/>
    <w:rsid w:val="00487DC8"/>
    <w:rsid w:val="00491849"/>
    <w:rsid w:val="00491AF9"/>
    <w:rsid w:val="004939DF"/>
    <w:rsid w:val="00493D2D"/>
    <w:rsid w:val="00494015"/>
    <w:rsid w:val="0049408B"/>
    <w:rsid w:val="00495C9F"/>
    <w:rsid w:val="004979AA"/>
    <w:rsid w:val="004A0B65"/>
    <w:rsid w:val="004A28AA"/>
    <w:rsid w:val="004A4ED7"/>
    <w:rsid w:val="004A6DEB"/>
    <w:rsid w:val="004A743E"/>
    <w:rsid w:val="004A7464"/>
    <w:rsid w:val="004A7D82"/>
    <w:rsid w:val="004A7F6C"/>
    <w:rsid w:val="004B0C6E"/>
    <w:rsid w:val="004B1879"/>
    <w:rsid w:val="004B25D5"/>
    <w:rsid w:val="004B29C4"/>
    <w:rsid w:val="004B2B5C"/>
    <w:rsid w:val="004B2B68"/>
    <w:rsid w:val="004B413C"/>
    <w:rsid w:val="004B52CB"/>
    <w:rsid w:val="004B57FF"/>
    <w:rsid w:val="004B5992"/>
    <w:rsid w:val="004B6497"/>
    <w:rsid w:val="004B772B"/>
    <w:rsid w:val="004B7874"/>
    <w:rsid w:val="004B7F47"/>
    <w:rsid w:val="004C14F2"/>
    <w:rsid w:val="004C2E18"/>
    <w:rsid w:val="004C4A3D"/>
    <w:rsid w:val="004C6EF6"/>
    <w:rsid w:val="004D0C88"/>
    <w:rsid w:val="004D2142"/>
    <w:rsid w:val="004D38ED"/>
    <w:rsid w:val="004D3D7A"/>
    <w:rsid w:val="004D58E8"/>
    <w:rsid w:val="004D6DD3"/>
    <w:rsid w:val="004D726A"/>
    <w:rsid w:val="004E08D3"/>
    <w:rsid w:val="004E0C59"/>
    <w:rsid w:val="004E15A5"/>
    <w:rsid w:val="004E2C9C"/>
    <w:rsid w:val="004E30A3"/>
    <w:rsid w:val="004E4D0B"/>
    <w:rsid w:val="004E4D95"/>
    <w:rsid w:val="004E529F"/>
    <w:rsid w:val="004E5C94"/>
    <w:rsid w:val="004E7710"/>
    <w:rsid w:val="004E7AC1"/>
    <w:rsid w:val="004F0108"/>
    <w:rsid w:val="004F08EE"/>
    <w:rsid w:val="004F1D22"/>
    <w:rsid w:val="004F457A"/>
    <w:rsid w:val="004F487F"/>
    <w:rsid w:val="004F5039"/>
    <w:rsid w:val="004F7676"/>
    <w:rsid w:val="004F7B3D"/>
    <w:rsid w:val="00500436"/>
    <w:rsid w:val="0050267F"/>
    <w:rsid w:val="00504034"/>
    <w:rsid w:val="0050660C"/>
    <w:rsid w:val="00506F2A"/>
    <w:rsid w:val="005100C9"/>
    <w:rsid w:val="005125C5"/>
    <w:rsid w:val="00512B58"/>
    <w:rsid w:val="00515B7F"/>
    <w:rsid w:val="005208F4"/>
    <w:rsid w:val="00521839"/>
    <w:rsid w:val="00524662"/>
    <w:rsid w:val="00525FAD"/>
    <w:rsid w:val="00526524"/>
    <w:rsid w:val="00527657"/>
    <w:rsid w:val="00527851"/>
    <w:rsid w:val="00530050"/>
    <w:rsid w:val="005305A5"/>
    <w:rsid w:val="00531D42"/>
    <w:rsid w:val="00532037"/>
    <w:rsid w:val="005320B9"/>
    <w:rsid w:val="005329F0"/>
    <w:rsid w:val="00532F54"/>
    <w:rsid w:val="00532FA9"/>
    <w:rsid w:val="00534F37"/>
    <w:rsid w:val="0053687F"/>
    <w:rsid w:val="00542195"/>
    <w:rsid w:val="005427E0"/>
    <w:rsid w:val="00543863"/>
    <w:rsid w:val="00543BEB"/>
    <w:rsid w:val="0054762B"/>
    <w:rsid w:val="00551AFF"/>
    <w:rsid w:val="00553296"/>
    <w:rsid w:val="00555EB9"/>
    <w:rsid w:val="005562E1"/>
    <w:rsid w:val="0056046D"/>
    <w:rsid w:val="00561484"/>
    <w:rsid w:val="005619CE"/>
    <w:rsid w:val="00562882"/>
    <w:rsid w:val="0056322A"/>
    <w:rsid w:val="00565C09"/>
    <w:rsid w:val="00565EC0"/>
    <w:rsid w:val="005675E5"/>
    <w:rsid w:val="005745A3"/>
    <w:rsid w:val="00574FED"/>
    <w:rsid w:val="00576709"/>
    <w:rsid w:val="005772E0"/>
    <w:rsid w:val="005773B3"/>
    <w:rsid w:val="00577527"/>
    <w:rsid w:val="00582159"/>
    <w:rsid w:val="00582615"/>
    <w:rsid w:val="005834C7"/>
    <w:rsid w:val="005849C0"/>
    <w:rsid w:val="00587A76"/>
    <w:rsid w:val="005928D1"/>
    <w:rsid w:val="0059292B"/>
    <w:rsid w:val="00592A31"/>
    <w:rsid w:val="00593F6D"/>
    <w:rsid w:val="00594318"/>
    <w:rsid w:val="00594788"/>
    <w:rsid w:val="005A0B82"/>
    <w:rsid w:val="005A1E3F"/>
    <w:rsid w:val="005A2100"/>
    <w:rsid w:val="005A22B1"/>
    <w:rsid w:val="005A308F"/>
    <w:rsid w:val="005A5015"/>
    <w:rsid w:val="005A6451"/>
    <w:rsid w:val="005A6F97"/>
    <w:rsid w:val="005A79F9"/>
    <w:rsid w:val="005A7C0C"/>
    <w:rsid w:val="005B3D6C"/>
    <w:rsid w:val="005B4679"/>
    <w:rsid w:val="005B4D72"/>
    <w:rsid w:val="005B7B23"/>
    <w:rsid w:val="005C127E"/>
    <w:rsid w:val="005C5B70"/>
    <w:rsid w:val="005C5D05"/>
    <w:rsid w:val="005D1965"/>
    <w:rsid w:val="005D1AD4"/>
    <w:rsid w:val="005D2850"/>
    <w:rsid w:val="005D2903"/>
    <w:rsid w:val="005D30DF"/>
    <w:rsid w:val="005D6F3F"/>
    <w:rsid w:val="005D78A5"/>
    <w:rsid w:val="005D7E29"/>
    <w:rsid w:val="005E0087"/>
    <w:rsid w:val="005E037A"/>
    <w:rsid w:val="005E05A6"/>
    <w:rsid w:val="005E07F8"/>
    <w:rsid w:val="005E0D1D"/>
    <w:rsid w:val="005E0F76"/>
    <w:rsid w:val="005E1027"/>
    <w:rsid w:val="005E1909"/>
    <w:rsid w:val="005E205E"/>
    <w:rsid w:val="005E7BEC"/>
    <w:rsid w:val="005E7E60"/>
    <w:rsid w:val="005F0C67"/>
    <w:rsid w:val="005F289F"/>
    <w:rsid w:val="005F359B"/>
    <w:rsid w:val="005F459C"/>
    <w:rsid w:val="006039BC"/>
    <w:rsid w:val="00605435"/>
    <w:rsid w:val="0060631F"/>
    <w:rsid w:val="00607564"/>
    <w:rsid w:val="006100CD"/>
    <w:rsid w:val="0061017A"/>
    <w:rsid w:val="00610A68"/>
    <w:rsid w:val="006118C6"/>
    <w:rsid w:val="00612145"/>
    <w:rsid w:val="00612882"/>
    <w:rsid w:val="00614212"/>
    <w:rsid w:val="00614CFE"/>
    <w:rsid w:val="0061707F"/>
    <w:rsid w:val="006223A2"/>
    <w:rsid w:val="00623D13"/>
    <w:rsid w:val="00624C7D"/>
    <w:rsid w:val="00625123"/>
    <w:rsid w:val="006253E8"/>
    <w:rsid w:val="00625B4F"/>
    <w:rsid w:val="0062651F"/>
    <w:rsid w:val="0062744F"/>
    <w:rsid w:val="006343CE"/>
    <w:rsid w:val="00634AD4"/>
    <w:rsid w:val="0064058B"/>
    <w:rsid w:val="006418B4"/>
    <w:rsid w:val="00642F3A"/>
    <w:rsid w:val="006430B2"/>
    <w:rsid w:val="0064377C"/>
    <w:rsid w:val="0064496E"/>
    <w:rsid w:val="006463DF"/>
    <w:rsid w:val="006470FC"/>
    <w:rsid w:val="006473E3"/>
    <w:rsid w:val="006503AE"/>
    <w:rsid w:val="006505BD"/>
    <w:rsid w:val="00650B56"/>
    <w:rsid w:val="0065206F"/>
    <w:rsid w:val="00652471"/>
    <w:rsid w:val="00653F11"/>
    <w:rsid w:val="0065467C"/>
    <w:rsid w:val="006566DE"/>
    <w:rsid w:val="00660941"/>
    <w:rsid w:val="00661EB9"/>
    <w:rsid w:val="0066282A"/>
    <w:rsid w:val="00665BA1"/>
    <w:rsid w:val="00667C11"/>
    <w:rsid w:val="0067053C"/>
    <w:rsid w:val="00671B28"/>
    <w:rsid w:val="00673ED9"/>
    <w:rsid w:val="006755BB"/>
    <w:rsid w:val="006759EA"/>
    <w:rsid w:val="00677B93"/>
    <w:rsid w:val="00681462"/>
    <w:rsid w:val="006824CC"/>
    <w:rsid w:val="00682E1F"/>
    <w:rsid w:val="0068335E"/>
    <w:rsid w:val="00683B85"/>
    <w:rsid w:val="00685B59"/>
    <w:rsid w:val="00690039"/>
    <w:rsid w:val="006900A7"/>
    <w:rsid w:val="006904B4"/>
    <w:rsid w:val="0069076E"/>
    <w:rsid w:val="00691104"/>
    <w:rsid w:val="00691191"/>
    <w:rsid w:val="006912B1"/>
    <w:rsid w:val="006912D6"/>
    <w:rsid w:val="00691ED4"/>
    <w:rsid w:val="00692F0F"/>
    <w:rsid w:val="00693525"/>
    <w:rsid w:val="00693AE4"/>
    <w:rsid w:val="00695FA0"/>
    <w:rsid w:val="006A19A5"/>
    <w:rsid w:val="006A2856"/>
    <w:rsid w:val="006A394F"/>
    <w:rsid w:val="006A5EC3"/>
    <w:rsid w:val="006A7442"/>
    <w:rsid w:val="006A7F18"/>
    <w:rsid w:val="006B261D"/>
    <w:rsid w:val="006B3E61"/>
    <w:rsid w:val="006B757A"/>
    <w:rsid w:val="006B791A"/>
    <w:rsid w:val="006C05FB"/>
    <w:rsid w:val="006C15E5"/>
    <w:rsid w:val="006C29F6"/>
    <w:rsid w:val="006C5E10"/>
    <w:rsid w:val="006C648F"/>
    <w:rsid w:val="006C714F"/>
    <w:rsid w:val="006C7C01"/>
    <w:rsid w:val="006C7FCD"/>
    <w:rsid w:val="006D2EEC"/>
    <w:rsid w:val="006D4372"/>
    <w:rsid w:val="006D4C48"/>
    <w:rsid w:val="006D72B6"/>
    <w:rsid w:val="006D7CFE"/>
    <w:rsid w:val="006D7F2E"/>
    <w:rsid w:val="006E0AD5"/>
    <w:rsid w:val="006E1915"/>
    <w:rsid w:val="006E1A86"/>
    <w:rsid w:val="006E480A"/>
    <w:rsid w:val="006E5AF9"/>
    <w:rsid w:val="006E62FA"/>
    <w:rsid w:val="006E67D4"/>
    <w:rsid w:val="006E742A"/>
    <w:rsid w:val="006E787D"/>
    <w:rsid w:val="006F14EA"/>
    <w:rsid w:val="006F1EFB"/>
    <w:rsid w:val="006F526E"/>
    <w:rsid w:val="006F62B2"/>
    <w:rsid w:val="006F6FC1"/>
    <w:rsid w:val="006F7078"/>
    <w:rsid w:val="00700928"/>
    <w:rsid w:val="00701D36"/>
    <w:rsid w:val="00702990"/>
    <w:rsid w:val="00703520"/>
    <w:rsid w:val="0070643A"/>
    <w:rsid w:val="00711311"/>
    <w:rsid w:val="007153E3"/>
    <w:rsid w:val="00715762"/>
    <w:rsid w:val="0072048E"/>
    <w:rsid w:val="007210C8"/>
    <w:rsid w:val="0072159A"/>
    <w:rsid w:val="00722874"/>
    <w:rsid w:val="00723C68"/>
    <w:rsid w:val="007250F0"/>
    <w:rsid w:val="007300D5"/>
    <w:rsid w:val="00731791"/>
    <w:rsid w:val="00732ACE"/>
    <w:rsid w:val="007331BD"/>
    <w:rsid w:val="00734431"/>
    <w:rsid w:val="00734C2C"/>
    <w:rsid w:val="00734D1B"/>
    <w:rsid w:val="00740058"/>
    <w:rsid w:val="007428B8"/>
    <w:rsid w:val="007442EC"/>
    <w:rsid w:val="00745464"/>
    <w:rsid w:val="007463B4"/>
    <w:rsid w:val="00746833"/>
    <w:rsid w:val="00747592"/>
    <w:rsid w:val="00747770"/>
    <w:rsid w:val="00750891"/>
    <w:rsid w:val="00750E4B"/>
    <w:rsid w:val="00751C18"/>
    <w:rsid w:val="00753B0E"/>
    <w:rsid w:val="0075429F"/>
    <w:rsid w:val="00754C79"/>
    <w:rsid w:val="00755041"/>
    <w:rsid w:val="00760810"/>
    <w:rsid w:val="00761437"/>
    <w:rsid w:val="00761B24"/>
    <w:rsid w:val="00763102"/>
    <w:rsid w:val="00763878"/>
    <w:rsid w:val="007643F2"/>
    <w:rsid w:val="00764AE1"/>
    <w:rsid w:val="00764E57"/>
    <w:rsid w:val="0076596B"/>
    <w:rsid w:val="00766251"/>
    <w:rsid w:val="00767C14"/>
    <w:rsid w:val="00772875"/>
    <w:rsid w:val="00776301"/>
    <w:rsid w:val="00776CD6"/>
    <w:rsid w:val="00777466"/>
    <w:rsid w:val="00782800"/>
    <w:rsid w:val="00785B98"/>
    <w:rsid w:val="00786241"/>
    <w:rsid w:val="00786263"/>
    <w:rsid w:val="00787783"/>
    <w:rsid w:val="007879E5"/>
    <w:rsid w:val="00792BED"/>
    <w:rsid w:val="0079398B"/>
    <w:rsid w:val="007942E2"/>
    <w:rsid w:val="00795AA0"/>
    <w:rsid w:val="007A0059"/>
    <w:rsid w:val="007A08DA"/>
    <w:rsid w:val="007A24AD"/>
    <w:rsid w:val="007A3333"/>
    <w:rsid w:val="007A61DA"/>
    <w:rsid w:val="007A7800"/>
    <w:rsid w:val="007B31FC"/>
    <w:rsid w:val="007C17A8"/>
    <w:rsid w:val="007C209A"/>
    <w:rsid w:val="007C2A10"/>
    <w:rsid w:val="007C2FB7"/>
    <w:rsid w:val="007C58A6"/>
    <w:rsid w:val="007C77A3"/>
    <w:rsid w:val="007D23A2"/>
    <w:rsid w:val="007D3807"/>
    <w:rsid w:val="007D59FA"/>
    <w:rsid w:val="007D72EC"/>
    <w:rsid w:val="007E239F"/>
    <w:rsid w:val="007E24FE"/>
    <w:rsid w:val="007E4382"/>
    <w:rsid w:val="007E5BF1"/>
    <w:rsid w:val="007E5E7A"/>
    <w:rsid w:val="007E5FDA"/>
    <w:rsid w:val="007E64ED"/>
    <w:rsid w:val="007E7089"/>
    <w:rsid w:val="007F0A66"/>
    <w:rsid w:val="007F1BB7"/>
    <w:rsid w:val="007F2BAF"/>
    <w:rsid w:val="007F2CE4"/>
    <w:rsid w:val="007F3003"/>
    <w:rsid w:val="007F4D32"/>
    <w:rsid w:val="007F5F3F"/>
    <w:rsid w:val="007F74D4"/>
    <w:rsid w:val="007F7B85"/>
    <w:rsid w:val="00800209"/>
    <w:rsid w:val="00800C8E"/>
    <w:rsid w:val="008017A8"/>
    <w:rsid w:val="00801D97"/>
    <w:rsid w:val="0080236E"/>
    <w:rsid w:val="00802FEC"/>
    <w:rsid w:val="00803D6A"/>
    <w:rsid w:val="008048BE"/>
    <w:rsid w:val="0080590E"/>
    <w:rsid w:val="00806FD8"/>
    <w:rsid w:val="0080777F"/>
    <w:rsid w:val="00807AB4"/>
    <w:rsid w:val="0081103E"/>
    <w:rsid w:val="00811D98"/>
    <w:rsid w:val="00811F4A"/>
    <w:rsid w:val="0081256C"/>
    <w:rsid w:val="00813F21"/>
    <w:rsid w:val="00814252"/>
    <w:rsid w:val="0081580F"/>
    <w:rsid w:val="00816E1A"/>
    <w:rsid w:val="008175CF"/>
    <w:rsid w:val="0082047F"/>
    <w:rsid w:val="00820A94"/>
    <w:rsid w:val="008216AE"/>
    <w:rsid w:val="00822394"/>
    <w:rsid w:val="0082429C"/>
    <w:rsid w:val="00825AE0"/>
    <w:rsid w:val="008269CE"/>
    <w:rsid w:val="00830699"/>
    <w:rsid w:val="00830DC7"/>
    <w:rsid w:val="00830ECC"/>
    <w:rsid w:val="00831714"/>
    <w:rsid w:val="0083180A"/>
    <w:rsid w:val="00832F15"/>
    <w:rsid w:val="008346F8"/>
    <w:rsid w:val="008364B1"/>
    <w:rsid w:val="00841DC6"/>
    <w:rsid w:val="00842C81"/>
    <w:rsid w:val="008440B2"/>
    <w:rsid w:val="00844BD2"/>
    <w:rsid w:val="00844FA8"/>
    <w:rsid w:val="00846A42"/>
    <w:rsid w:val="00846DBA"/>
    <w:rsid w:val="00847689"/>
    <w:rsid w:val="00850737"/>
    <w:rsid w:val="008544A8"/>
    <w:rsid w:val="00854C30"/>
    <w:rsid w:val="00854F46"/>
    <w:rsid w:val="00856D45"/>
    <w:rsid w:val="008607CF"/>
    <w:rsid w:val="008624BE"/>
    <w:rsid w:val="00863407"/>
    <w:rsid w:val="00864F8D"/>
    <w:rsid w:val="008651E7"/>
    <w:rsid w:val="00865EFC"/>
    <w:rsid w:val="0086672D"/>
    <w:rsid w:val="00877B80"/>
    <w:rsid w:val="00881E01"/>
    <w:rsid w:val="00884F22"/>
    <w:rsid w:val="0088593D"/>
    <w:rsid w:val="00886945"/>
    <w:rsid w:val="008876BB"/>
    <w:rsid w:val="008878B4"/>
    <w:rsid w:val="0089053B"/>
    <w:rsid w:val="00893756"/>
    <w:rsid w:val="00894AE1"/>
    <w:rsid w:val="00897D48"/>
    <w:rsid w:val="008A0544"/>
    <w:rsid w:val="008A090B"/>
    <w:rsid w:val="008A0B51"/>
    <w:rsid w:val="008A13CE"/>
    <w:rsid w:val="008A2A57"/>
    <w:rsid w:val="008A4BF0"/>
    <w:rsid w:val="008B15B4"/>
    <w:rsid w:val="008B1F5D"/>
    <w:rsid w:val="008B303E"/>
    <w:rsid w:val="008B4118"/>
    <w:rsid w:val="008B5803"/>
    <w:rsid w:val="008B5AC9"/>
    <w:rsid w:val="008B6172"/>
    <w:rsid w:val="008B7332"/>
    <w:rsid w:val="008C0F6A"/>
    <w:rsid w:val="008C124A"/>
    <w:rsid w:val="008C337A"/>
    <w:rsid w:val="008C42CE"/>
    <w:rsid w:val="008C4402"/>
    <w:rsid w:val="008C4853"/>
    <w:rsid w:val="008C6CB8"/>
    <w:rsid w:val="008C7853"/>
    <w:rsid w:val="008D00D6"/>
    <w:rsid w:val="008D0F2F"/>
    <w:rsid w:val="008D146A"/>
    <w:rsid w:val="008D18C8"/>
    <w:rsid w:val="008D1C14"/>
    <w:rsid w:val="008D5F50"/>
    <w:rsid w:val="008D68BA"/>
    <w:rsid w:val="008D7EE8"/>
    <w:rsid w:val="008E04FC"/>
    <w:rsid w:val="008E4916"/>
    <w:rsid w:val="008E4D20"/>
    <w:rsid w:val="008E7396"/>
    <w:rsid w:val="008F00A4"/>
    <w:rsid w:val="008F0F3D"/>
    <w:rsid w:val="008F24BD"/>
    <w:rsid w:val="008F3FE4"/>
    <w:rsid w:val="008F4C81"/>
    <w:rsid w:val="008F508F"/>
    <w:rsid w:val="008F6575"/>
    <w:rsid w:val="008F7CA6"/>
    <w:rsid w:val="0090009B"/>
    <w:rsid w:val="00900669"/>
    <w:rsid w:val="00900EDA"/>
    <w:rsid w:val="00903F3A"/>
    <w:rsid w:val="00904A21"/>
    <w:rsid w:val="00904F47"/>
    <w:rsid w:val="00905F3F"/>
    <w:rsid w:val="00910A58"/>
    <w:rsid w:val="009117AB"/>
    <w:rsid w:val="00911EA3"/>
    <w:rsid w:val="00912616"/>
    <w:rsid w:val="00913DF0"/>
    <w:rsid w:val="00913EDD"/>
    <w:rsid w:val="009143F9"/>
    <w:rsid w:val="00914B9D"/>
    <w:rsid w:val="00915D96"/>
    <w:rsid w:val="00916601"/>
    <w:rsid w:val="009170A4"/>
    <w:rsid w:val="0092032C"/>
    <w:rsid w:val="0092045F"/>
    <w:rsid w:val="00922206"/>
    <w:rsid w:val="0092256C"/>
    <w:rsid w:val="009225B4"/>
    <w:rsid w:val="00925DD7"/>
    <w:rsid w:val="00925E2C"/>
    <w:rsid w:val="00927630"/>
    <w:rsid w:val="0093006A"/>
    <w:rsid w:val="00930F04"/>
    <w:rsid w:val="009336AA"/>
    <w:rsid w:val="00933FA2"/>
    <w:rsid w:val="009362B6"/>
    <w:rsid w:val="00937644"/>
    <w:rsid w:val="009405B2"/>
    <w:rsid w:val="00940D51"/>
    <w:rsid w:val="009503C2"/>
    <w:rsid w:val="009510CD"/>
    <w:rsid w:val="009515CE"/>
    <w:rsid w:val="00952167"/>
    <w:rsid w:val="00952312"/>
    <w:rsid w:val="00954DC5"/>
    <w:rsid w:val="00962B06"/>
    <w:rsid w:val="00963730"/>
    <w:rsid w:val="00963810"/>
    <w:rsid w:val="009709C2"/>
    <w:rsid w:val="00971240"/>
    <w:rsid w:val="00972EC7"/>
    <w:rsid w:val="009755D6"/>
    <w:rsid w:val="00983746"/>
    <w:rsid w:val="00983D4D"/>
    <w:rsid w:val="0098594B"/>
    <w:rsid w:val="00985C28"/>
    <w:rsid w:val="00985CD3"/>
    <w:rsid w:val="00990020"/>
    <w:rsid w:val="00990896"/>
    <w:rsid w:val="009914B5"/>
    <w:rsid w:val="00992006"/>
    <w:rsid w:val="009921B5"/>
    <w:rsid w:val="0099290C"/>
    <w:rsid w:val="00995255"/>
    <w:rsid w:val="00995394"/>
    <w:rsid w:val="009954F6"/>
    <w:rsid w:val="00995FA4"/>
    <w:rsid w:val="009972A3"/>
    <w:rsid w:val="009A09E0"/>
    <w:rsid w:val="009A5209"/>
    <w:rsid w:val="009A7AB1"/>
    <w:rsid w:val="009B067B"/>
    <w:rsid w:val="009B38F2"/>
    <w:rsid w:val="009B3E8C"/>
    <w:rsid w:val="009B6A5F"/>
    <w:rsid w:val="009B7673"/>
    <w:rsid w:val="009B7843"/>
    <w:rsid w:val="009B7BB5"/>
    <w:rsid w:val="009C054D"/>
    <w:rsid w:val="009C12A0"/>
    <w:rsid w:val="009C1361"/>
    <w:rsid w:val="009C1FD3"/>
    <w:rsid w:val="009C34EE"/>
    <w:rsid w:val="009C3E25"/>
    <w:rsid w:val="009C5481"/>
    <w:rsid w:val="009C5AB0"/>
    <w:rsid w:val="009C604B"/>
    <w:rsid w:val="009C70F5"/>
    <w:rsid w:val="009D13CF"/>
    <w:rsid w:val="009D3432"/>
    <w:rsid w:val="009D4B01"/>
    <w:rsid w:val="009D4E33"/>
    <w:rsid w:val="009D594D"/>
    <w:rsid w:val="009D5BB7"/>
    <w:rsid w:val="009D69C3"/>
    <w:rsid w:val="009D6E63"/>
    <w:rsid w:val="009E0D6C"/>
    <w:rsid w:val="009E132B"/>
    <w:rsid w:val="009E2E95"/>
    <w:rsid w:val="009E3054"/>
    <w:rsid w:val="009E3099"/>
    <w:rsid w:val="009E37A5"/>
    <w:rsid w:val="009E3A17"/>
    <w:rsid w:val="009E4F6C"/>
    <w:rsid w:val="009F1D76"/>
    <w:rsid w:val="009F1F67"/>
    <w:rsid w:val="009F1FDC"/>
    <w:rsid w:val="009F3E11"/>
    <w:rsid w:val="009F4ED1"/>
    <w:rsid w:val="009F567A"/>
    <w:rsid w:val="009F7673"/>
    <w:rsid w:val="00A00AFA"/>
    <w:rsid w:val="00A00E1E"/>
    <w:rsid w:val="00A02885"/>
    <w:rsid w:val="00A02D33"/>
    <w:rsid w:val="00A03CF0"/>
    <w:rsid w:val="00A060C2"/>
    <w:rsid w:val="00A11B18"/>
    <w:rsid w:val="00A12A08"/>
    <w:rsid w:val="00A135C2"/>
    <w:rsid w:val="00A236A8"/>
    <w:rsid w:val="00A23AFF"/>
    <w:rsid w:val="00A2471B"/>
    <w:rsid w:val="00A24ABE"/>
    <w:rsid w:val="00A306EB"/>
    <w:rsid w:val="00A30E74"/>
    <w:rsid w:val="00A3168D"/>
    <w:rsid w:val="00A31877"/>
    <w:rsid w:val="00A328F7"/>
    <w:rsid w:val="00A32A22"/>
    <w:rsid w:val="00A348AC"/>
    <w:rsid w:val="00A37F25"/>
    <w:rsid w:val="00A408CC"/>
    <w:rsid w:val="00A40AF9"/>
    <w:rsid w:val="00A40E5E"/>
    <w:rsid w:val="00A4394B"/>
    <w:rsid w:val="00A452EF"/>
    <w:rsid w:val="00A458CB"/>
    <w:rsid w:val="00A45EAA"/>
    <w:rsid w:val="00A464F8"/>
    <w:rsid w:val="00A46BCD"/>
    <w:rsid w:val="00A47BEA"/>
    <w:rsid w:val="00A47C7A"/>
    <w:rsid w:val="00A47DB7"/>
    <w:rsid w:val="00A52066"/>
    <w:rsid w:val="00A538B8"/>
    <w:rsid w:val="00A556F0"/>
    <w:rsid w:val="00A57239"/>
    <w:rsid w:val="00A60683"/>
    <w:rsid w:val="00A617F5"/>
    <w:rsid w:val="00A66161"/>
    <w:rsid w:val="00A71946"/>
    <w:rsid w:val="00A71ABF"/>
    <w:rsid w:val="00A71B79"/>
    <w:rsid w:val="00A71DD4"/>
    <w:rsid w:val="00A72493"/>
    <w:rsid w:val="00A73098"/>
    <w:rsid w:val="00A77BA1"/>
    <w:rsid w:val="00A83521"/>
    <w:rsid w:val="00A836CB"/>
    <w:rsid w:val="00A841E7"/>
    <w:rsid w:val="00A8664C"/>
    <w:rsid w:val="00A86EAD"/>
    <w:rsid w:val="00A901A9"/>
    <w:rsid w:val="00A9194F"/>
    <w:rsid w:val="00A922AF"/>
    <w:rsid w:val="00A92308"/>
    <w:rsid w:val="00A93DC5"/>
    <w:rsid w:val="00A9403E"/>
    <w:rsid w:val="00A96CA4"/>
    <w:rsid w:val="00A97C8C"/>
    <w:rsid w:val="00AA0DB3"/>
    <w:rsid w:val="00AA20FF"/>
    <w:rsid w:val="00AA30F9"/>
    <w:rsid w:val="00AA3785"/>
    <w:rsid w:val="00AA3DB5"/>
    <w:rsid w:val="00AA4A2B"/>
    <w:rsid w:val="00AA4C85"/>
    <w:rsid w:val="00AA521E"/>
    <w:rsid w:val="00AA5BE7"/>
    <w:rsid w:val="00AA627E"/>
    <w:rsid w:val="00AA74EE"/>
    <w:rsid w:val="00AB094E"/>
    <w:rsid w:val="00AB4A9A"/>
    <w:rsid w:val="00AB56A8"/>
    <w:rsid w:val="00AB6CAE"/>
    <w:rsid w:val="00AC0860"/>
    <w:rsid w:val="00AC10F4"/>
    <w:rsid w:val="00AC3EE0"/>
    <w:rsid w:val="00AC4301"/>
    <w:rsid w:val="00AC4C12"/>
    <w:rsid w:val="00AC6583"/>
    <w:rsid w:val="00AD2B51"/>
    <w:rsid w:val="00AD3D8E"/>
    <w:rsid w:val="00AD4DCA"/>
    <w:rsid w:val="00AD6D85"/>
    <w:rsid w:val="00AD7EA7"/>
    <w:rsid w:val="00AE0319"/>
    <w:rsid w:val="00AE03DD"/>
    <w:rsid w:val="00AE0C8E"/>
    <w:rsid w:val="00AE23F0"/>
    <w:rsid w:val="00AE2AA0"/>
    <w:rsid w:val="00AE2AC7"/>
    <w:rsid w:val="00AE3055"/>
    <w:rsid w:val="00AE3BA6"/>
    <w:rsid w:val="00AE4E75"/>
    <w:rsid w:val="00AE5192"/>
    <w:rsid w:val="00AE6269"/>
    <w:rsid w:val="00AE632A"/>
    <w:rsid w:val="00AE6FB3"/>
    <w:rsid w:val="00AF0211"/>
    <w:rsid w:val="00AF09CD"/>
    <w:rsid w:val="00AF17E2"/>
    <w:rsid w:val="00AF4FAA"/>
    <w:rsid w:val="00AF5025"/>
    <w:rsid w:val="00AF56D7"/>
    <w:rsid w:val="00AF6051"/>
    <w:rsid w:val="00AF749A"/>
    <w:rsid w:val="00B002FD"/>
    <w:rsid w:val="00B0097A"/>
    <w:rsid w:val="00B028E7"/>
    <w:rsid w:val="00B0414F"/>
    <w:rsid w:val="00B06E4F"/>
    <w:rsid w:val="00B10DD5"/>
    <w:rsid w:val="00B110A7"/>
    <w:rsid w:val="00B115F7"/>
    <w:rsid w:val="00B12957"/>
    <w:rsid w:val="00B14B24"/>
    <w:rsid w:val="00B2073D"/>
    <w:rsid w:val="00B252D2"/>
    <w:rsid w:val="00B2609C"/>
    <w:rsid w:val="00B265F3"/>
    <w:rsid w:val="00B307C1"/>
    <w:rsid w:val="00B30D53"/>
    <w:rsid w:val="00B31C34"/>
    <w:rsid w:val="00B3463A"/>
    <w:rsid w:val="00B353C0"/>
    <w:rsid w:val="00B35E5C"/>
    <w:rsid w:val="00B360D2"/>
    <w:rsid w:val="00B37A45"/>
    <w:rsid w:val="00B37E1E"/>
    <w:rsid w:val="00B416EA"/>
    <w:rsid w:val="00B41D55"/>
    <w:rsid w:val="00B42D93"/>
    <w:rsid w:val="00B4478C"/>
    <w:rsid w:val="00B4526E"/>
    <w:rsid w:val="00B4639C"/>
    <w:rsid w:val="00B465A6"/>
    <w:rsid w:val="00B465CF"/>
    <w:rsid w:val="00B47380"/>
    <w:rsid w:val="00B477B2"/>
    <w:rsid w:val="00B50BFA"/>
    <w:rsid w:val="00B51776"/>
    <w:rsid w:val="00B5190A"/>
    <w:rsid w:val="00B51D4F"/>
    <w:rsid w:val="00B521BF"/>
    <w:rsid w:val="00B52CED"/>
    <w:rsid w:val="00B53F66"/>
    <w:rsid w:val="00B545FA"/>
    <w:rsid w:val="00B56660"/>
    <w:rsid w:val="00B60CDB"/>
    <w:rsid w:val="00B63539"/>
    <w:rsid w:val="00B67926"/>
    <w:rsid w:val="00B70554"/>
    <w:rsid w:val="00B714D9"/>
    <w:rsid w:val="00B71957"/>
    <w:rsid w:val="00B729BA"/>
    <w:rsid w:val="00B77F5B"/>
    <w:rsid w:val="00B80668"/>
    <w:rsid w:val="00B830FA"/>
    <w:rsid w:val="00B83440"/>
    <w:rsid w:val="00B83EEC"/>
    <w:rsid w:val="00B8731F"/>
    <w:rsid w:val="00B92062"/>
    <w:rsid w:val="00B93228"/>
    <w:rsid w:val="00B932DB"/>
    <w:rsid w:val="00B933E0"/>
    <w:rsid w:val="00B94633"/>
    <w:rsid w:val="00B94C54"/>
    <w:rsid w:val="00B95482"/>
    <w:rsid w:val="00B960E2"/>
    <w:rsid w:val="00BA0D40"/>
    <w:rsid w:val="00BA0FD4"/>
    <w:rsid w:val="00BA12CD"/>
    <w:rsid w:val="00BA2A76"/>
    <w:rsid w:val="00BA3CB1"/>
    <w:rsid w:val="00BA57F0"/>
    <w:rsid w:val="00BB0F66"/>
    <w:rsid w:val="00BB1847"/>
    <w:rsid w:val="00BB22CA"/>
    <w:rsid w:val="00BB3D20"/>
    <w:rsid w:val="00BB463B"/>
    <w:rsid w:val="00BB6883"/>
    <w:rsid w:val="00BB7E7F"/>
    <w:rsid w:val="00BC04C6"/>
    <w:rsid w:val="00BC1BBE"/>
    <w:rsid w:val="00BC415A"/>
    <w:rsid w:val="00BC45FC"/>
    <w:rsid w:val="00BC54EC"/>
    <w:rsid w:val="00BC5651"/>
    <w:rsid w:val="00BC6351"/>
    <w:rsid w:val="00BC76C9"/>
    <w:rsid w:val="00BC76FC"/>
    <w:rsid w:val="00BC779D"/>
    <w:rsid w:val="00BC7AEC"/>
    <w:rsid w:val="00BD0B08"/>
    <w:rsid w:val="00BD3292"/>
    <w:rsid w:val="00BD44F2"/>
    <w:rsid w:val="00BD55D6"/>
    <w:rsid w:val="00BD5664"/>
    <w:rsid w:val="00BD5EDC"/>
    <w:rsid w:val="00BD6486"/>
    <w:rsid w:val="00BD6B56"/>
    <w:rsid w:val="00BD73B1"/>
    <w:rsid w:val="00BE06DD"/>
    <w:rsid w:val="00BE271F"/>
    <w:rsid w:val="00BE36C2"/>
    <w:rsid w:val="00BE459A"/>
    <w:rsid w:val="00BE4A2F"/>
    <w:rsid w:val="00BE58CA"/>
    <w:rsid w:val="00BE70AD"/>
    <w:rsid w:val="00BF1B32"/>
    <w:rsid w:val="00BF4194"/>
    <w:rsid w:val="00BF4CAD"/>
    <w:rsid w:val="00C0016D"/>
    <w:rsid w:val="00C01619"/>
    <w:rsid w:val="00C03645"/>
    <w:rsid w:val="00C03817"/>
    <w:rsid w:val="00C048C2"/>
    <w:rsid w:val="00C04D43"/>
    <w:rsid w:val="00C04D94"/>
    <w:rsid w:val="00C058AC"/>
    <w:rsid w:val="00C07D8C"/>
    <w:rsid w:val="00C10EDD"/>
    <w:rsid w:val="00C120E6"/>
    <w:rsid w:val="00C128AC"/>
    <w:rsid w:val="00C14222"/>
    <w:rsid w:val="00C14C4A"/>
    <w:rsid w:val="00C1527E"/>
    <w:rsid w:val="00C1758D"/>
    <w:rsid w:val="00C21731"/>
    <w:rsid w:val="00C22DC4"/>
    <w:rsid w:val="00C2361D"/>
    <w:rsid w:val="00C256BA"/>
    <w:rsid w:val="00C26252"/>
    <w:rsid w:val="00C273C4"/>
    <w:rsid w:val="00C32C3B"/>
    <w:rsid w:val="00C367FE"/>
    <w:rsid w:val="00C40BF0"/>
    <w:rsid w:val="00C44375"/>
    <w:rsid w:val="00C47E9F"/>
    <w:rsid w:val="00C525F6"/>
    <w:rsid w:val="00C52BEC"/>
    <w:rsid w:val="00C52DCE"/>
    <w:rsid w:val="00C53575"/>
    <w:rsid w:val="00C53EAD"/>
    <w:rsid w:val="00C55EA0"/>
    <w:rsid w:val="00C56003"/>
    <w:rsid w:val="00C56DF5"/>
    <w:rsid w:val="00C6403A"/>
    <w:rsid w:val="00C65DA4"/>
    <w:rsid w:val="00C66A26"/>
    <w:rsid w:val="00C678DB"/>
    <w:rsid w:val="00C7019D"/>
    <w:rsid w:val="00C73E61"/>
    <w:rsid w:val="00C7596D"/>
    <w:rsid w:val="00C75D48"/>
    <w:rsid w:val="00C7623F"/>
    <w:rsid w:val="00C77603"/>
    <w:rsid w:val="00C80E5C"/>
    <w:rsid w:val="00C82560"/>
    <w:rsid w:val="00C82975"/>
    <w:rsid w:val="00C87953"/>
    <w:rsid w:val="00C949B7"/>
    <w:rsid w:val="00C94E19"/>
    <w:rsid w:val="00C94E42"/>
    <w:rsid w:val="00C951F5"/>
    <w:rsid w:val="00C960DC"/>
    <w:rsid w:val="00C967CC"/>
    <w:rsid w:val="00C973AD"/>
    <w:rsid w:val="00C97416"/>
    <w:rsid w:val="00C97477"/>
    <w:rsid w:val="00CA0B85"/>
    <w:rsid w:val="00CA0F71"/>
    <w:rsid w:val="00CA1A13"/>
    <w:rsid w:val="00CA2B3D"/>
    <w:rsid w:val="00CA34D9"/>
    <w:rsid w:val="00CA40D1"/>
    <w:rsid w:val="00CA6304"/>
    <w:rsid w:val="00CA6A0D"/>
    <w:rsid w:val="00CA6D11"/>
    <w:rsid w:val="00CA6E47"/>
    <w:rsid w:val="00CA6FD0"/>
    <w:rsid w:val="00CB2D92"/>
    <w:rsid w:val="00CB38A1"/>
    <w:rsid w:val="00CB3F01"/>
    <w:rsid w:val="00CB405A"/>
    <w:rsid w:val="00CB43D9"/>
    <w:rsid w:val="00CB45E8"/>
    <w:rsid w:val="00CB4C3F"/>
    <w:rsid w:val="00CB4D6A"/>
    <w:rsid w:val="00CB6664"/>
    <w:rsid w:val="00CB6D22"/>
    <w:rsid w:val="00CB7390"/>
    <w:rsid w:val="00CB770F"/>
    <w:rsid w:val="00CC4690"/>
    <w:rsid w:val="00CC75AE"/>
    <w:rsid w:val="00CD1364"/>
    <w:rsid w:val="00CD2530"/>
    <w:rsid w:val="00CD3EC2"/>
    <w:rsid w:val="00CD4AF0"/>
    <w:rsid w:val="00CD654E"/>
    <w:rsid w:val="00CE042E"/>
    <w:rsid w:val="00CE1812"/>
    <w:rsid w:val="00CE1C76"/>
    <w:rsid w:val="00CE1C7B"/>
    <w:rsid w:val="00CE23C0"/>
    <w:rsid w:val="00CE2E5D"/>
    <w:rsid w:val="00CE51CE"/>
    <w:rsid w:val="00CE61F9"/>
    <w:rsid w:val="00CE664F"/>
    <w:rsid w:val="00CE7004"/>
    <w:rsid w:val="00CE7E68"/>
    <w:rsid w:val="00CF145A"/>
    <w:rsid w:val="00CF15AE"/>
    <w:rsid w:val="00CF238F"/>
    <w:rsid w:val="00CF2914"/>
    <w:rsid w:val="00CF2A87"/>
    <w:rsid w:val="00CF6E97"/>
    <w:rsid w:val="00CF710E"/>
    <w:rsid w:val="00CF7F40"/>
    <w:rsid w:val="00D007D8"/>
    <w:rsid w:val="00D035C2"/>
    <w:rsid w:val="00D036D3"/>
    <w:rsid w:val="00D03A6A"/>
    <w:rsid w:val="00D03D07"/>
    <w:rsid w:val="00D04668"/>
    <w:rsid w:val="00D04F70"/>
    <w:rsid w:val="00D10244"/>
    <w:rsid w:val="00D118AA"/>
    <w:rsid w:val="00D15074"/>
    <w:rsid w:val="00D16F4E"/>
    <w:rsid w:val="00D17D64"/>
    <w:rsid w:val="00D20067"/>
    <w:rsid w:val="00D2031D"/>
    <w:rsid w:val="00D23BE8"/>
    <w:rsid w:val="00D23C04"/>
    <w:rsid w:val="00D25682"/>
    <w:rsid w:val="00D262ED"/>
    <w:rsid w:val="00D262FD"/>
    <w:rsid w:val="00D27E7A"/>
    <w:rsid w:val="00D305A5"/>
    <w:rsid w:val="00D31072"/>
    <w:rsid w:val="00D3316D"/>
    <w:rsid w:val="00D33796"/>
    <w:rsid w:val="00D33A24"/>
    <w:rsid w:val="00D33B40"/>
    <w:rsid w:val="00D35030"/>
    <w:rsid w:val="00D35B8B"/>
    <w:rsid w:val="00D37059"/>
    <w:rsid w:val="00D3734C"/>
    <w:rsid w:val="00D405CF"/>
    <w:rsid w:val="00D41632"/>
    <w:rsid w:val="00D4270F"/>
    <w:rsid w:val="00D443AF"/>
    <w:rsid w:val="00D45450"/>
    <w:rsid w:val="00D47DAB"/>
    <w:rsid w:val="00D51519"/>
    <w:rsid w:val="00D51747"/>
    <w:rsid w:val="00D52717"/>
    <w:rsid w:val="00D56A28"/>
    <w:rsid w:val="00D57587"/>
    <w:rsid w:val="00D61BD9"/>
    <w:rsid w:val="00D62F93"/>
    <w:rsid w:val="00D6765A"/>
    <w:rsid w:val="00D67E8D"/>
    <w:rsid w:val="00D70512"/>
    <w:rsid w:val="00D70AD1"/>
    <w:rsid w:val="00D711AF"/>
    <w:rsid w:val="00D721D0"/>
    <w:rsid w:val="00D725C7"/>
    <w:rsid w:val="00D72A1B"/>
    <w:rsid w:val="00D730FD"/>
    <w:rsid w:val="00D732BD"/>
    <w:rsid w:val="00D740A3"/>
    <w:rsid w:val="00D75B8C"/>
    <w:rsid w:val="00D75E7D"/>
    <w:rsid w:val="00D7675C"/>
    <w:rsid w:val="00D814D2"/>
    <w:rsid w:val="00D82EB7"/>
    <w:rsid w:val="00D83A0A"/>
    <w:rsid w:val="00D83B26"/>
    <w:rsid w:val="00D83BB1"/>
    <w:rsid w:val="00D845D5"/>
    <w:rsid w:val="00D87800"/>
    <w:rsid w:val="00D90384"/>
    <w:rsid w:val="00D90572"/>
    <w:rsid w:val="00D93A62"/>
    <w:rsid w:val="00D93C08"/>
    <w:rsid w:val="00D93F8A"/>
    <w:rsid w:val="00D94076"/>
    <w:rsid w:val="00D94821"/>
    <w:rsid w:val="00D94D8A"/>
    <w:rsid w:val="00D96EDC"/>
    <w:rsid w:val="00D97AA4"/>
    <w:rsid w:val="00DA0FC1"/>
    <w:rsid w:val="00DA1CE2"/>
    <w:rsid w:val="00DA25FA"/>
    <w:rsid w:val="00DA2CB4"/>
    <w:rsid w:val="00DA3405"/>
    <w:rsid w:val="00DA4EBD"/>
    <w:rsid w:val="00DA52B3"/>
    <w:rsid w:val="00DA592C"/>
    <w:rsid w:val="00DB027F"/>
    <w:rsid w:val="00DB093B"/>
    <w:rsid w:val="00DB0DD5"/>
    <w:rsid w:val="00DB0F6F"/>
    <w:rsid w:val="00DB24EC"/>
    <w:rsid w:val="00DB2C78"/>
    <w:rsid w:val="00DB2DCD"/>
    <w:rsid w:val="00DB2DF3"/>
    <w:rsid w:val="00DB411C"/>
    <w:rsid w:val="00DB4CDB"/>
    <w:rsid w:val="00DB518C"/>
    <w:rsid w:val="00DC08CA"/>
    <w:rsid w:val="00DC1D5B"/>
    <w:rsid w:val="00DC215E"/>
    <w:rsid w:val="00DC256A"/>
    <w:rsid w:val="00DC52B0"/>
    <w:rsid w:val="00DC568A"/>
    <w:rsid w:val="00DC62C4"/>
    <w:rsid w:val="00DC6AE6"/>
    <w:rsid w:val="00DC6BD9"/>
    <w:rsid w:val="00DC708E"/>
    <w:rsid w:val="00DC774C"/>
    <w:rsid w:val="00DD1C5C"/>
    <w:rsid w:val="00DD34A1"/>
    <w:rsid w:val="00DD3AD8"/>
    <w:rsid w:val="00DD43BB"/>
    <w:rsid w:val="00DD4489"/>
    <w:rsid w:val="00DD4998"/>
    <w:rsid w:val="00DD6906"/>
    <w:rsid w:val="00DD7E58"/>
    <w:rsid w:val="00DE0807"/>
    <w:rsid w:val="00DE1309"/>
    <w:rsid w:val="00DE142E"/>
    <w:rsid w:val="00DE18DB"/>
    <w:rsid w:val="00DE301C"/>
    <w:rsid w:val="00DE391F"/>
    <w:rsid w:val="00DE3C8B"/>
    <w:rsid w:val="00DE40B1"/>
    <w:rsid w:val="00DE40FD"/>
    <w:rsid w:val="00DE5442"/>
    <w:rsid w:val="00DE667B"/>
    <w:rsid w:val="00DE7035"/>
    <w:rsid w:val="00DF1125"/>
    <w:rsid w:val="00DF568B"/>
    <w:rsid w:val="00DF7EFD"/>
    <w:rsid w:val="00DF7F0B"/>
    <w:rsid w:val="00E01A3B"/>
    <w:rsid w:val="00E032F2"/>
    <w:rsid w:val="00E06ACA"/>
    <w:rsid w:val="00E07E6A"/>
    <w:rsid w:val="00E10789"/>
    <w:rsid w:val="00E114E7"/>
    <w:rsid w:val="00E11817"/>
    <w:rsid w:val="00E11BB1"/>
    <w:rsid w:val="00E123D8"/>
    <w:rsid w:val="00E126BF"/>
    <w:rsid w:val="00E15642"/>
    <w:rsid w:val="00E205AC"/>
    <w:rsid w:val="00E212EA"/>
    <w:rsid w:val="00E224C1"/>
    <w:rsid w:val="00E23048"/>
    <w:rsid w:val="00E24197"/>
    <w:rsid w:val="00E246E0"/>
    <w:rsid w:val="00E24B4D"/>
    <w:rsid w:val="00E264C6"/>
    <w:rsid w:val="00E270FA"/>
    <w:rsid w:val="00E311D3"/>
    <w:rsid w:val="00E323FA"/>
    <w:rsid w:val="00E35C7B"/>
    <w:rsid w:val="00E35CE3"/>
    <w:rsid w:val="00E365ED"/>
    <w:rsid w:val="00E36855"/>
    <w:rsid w:val="00E40439"/>
    <w:rsid w:val="00E407AA"/>
    <w:rsid w:val="00E41344"/>
    <w:rsid w:val="00E425E6"/>
    <w:rsid w:val="00E42A25"/>
    <w:rsid w:val="00E42B33"/>
    <w:rsid w:val="00E44897"/>
    <w:rsid w:val="00E4563D"/>
    <w:rsid w:val="00E45D76"/>
    <w:rsid w:val="00E46468"/>
    <w:rsid w:val="00E46978"/>
    <w:rsid w:val="00E52B7C"/>
    <w:rsid w:val="00E52BB7"/>
    <w:rsid w:val="00E536FD"/>
    <w:rsid w:val="00E53AC7"/>
    <w:rsid w:val="00E5463A"/>
    <w:rsid w:val="00E54EA0"/>
    <w:rsid w:val="00E5577F"/>
    <w:rsid w:val="00E57EFF"/>
    <w:rsid w:val="00E62BB7"/>
    <w:rsid w:val="00E632AC"/>
    <w:rsid w:val="00E634EC"/>
    <w:rsid w:val="00E63B12"/>
    <w:rsid w:val="00E66CE2"/>
    <w:rsid w:val="00E66D13"/>
    <w:rsid w:val="00E67F05"/>
    <w:rsid w:val="00E70E6E"/>
    <w:rsid w:val="00E72420"/>
    <w:rsid w:val="00E73A3E"/>
    <w:rsid w:val="00E75424"/>
    <w:rsid w:val="00E7642C"/>
    <w:rsid w:val="00E76649"/>
    <w:rsid w:val="00E814D5"/>
    <w:rsid w:val="00E84297"/>
    <w:rsid w:val="00E846F8"/>
    <w:rsid w:val="00E84A5B"/>
    <w:rsid w:val="00E84E3B"/>
    <w:rsid w:val="00E8604B"/>
    <w:rsid w:val="00E86152"/>
    <w:rsid w:val="00E864FA"/>
    <w:rsid w:val="00E86601"/>
    <w:rsid w:val="00E87500"/>
    <w:rsid w:val="00E903D5"/>
    <w:rsid w:val="00E9046D"/>
    <w:rsid w:val="00E9064C"/>
    <w:rsid w:val="00E90B6F"/>
    <w:rsid w:val="00E914F8"/>
    <w:rsid w:val="00E93EBF"/>
    <w:rsid w:val="00E94B5C"/>
    <w:rsid w:val="00E94FE8"/>
    <w:rsid w:val="00E969F4"/>
    <w:rsid w:val="00E97156"/>
    <w:rsid w:val="00E97E31"/>
    <w:rsid w:val="00EA1445"/>
    <w:rsid w:val="00EA58D4"/>
    <w:rsid w:val="00EA593A"/>
    <w:rsid w:val="00EA5B56"/>
    <w:rsid w:val="00EA5F2F"/>
    <w:rsid w:val="00EA7375"/>
    <w:rsid w:val="00EA7766"/>
    <w:rsid w:val="00EB2F0B"/>
    <w:rsid w:val="00EB4CF3"/>
    <w:rsid w:val="00EB78AA"/>
    <w:rsid w:val="00EB7A39"/>
    <w:rsid w:val="00EC112F"/>
    <w:rsid w:val="00EC15CD"/>
    <w:rsid w:val="00EC27CF"/>
    <w:rsid w:val="00EC34A3"/>
    <w:rsid w:val="00EC7F44"/>
    <w:rsid w:val="00ED076A"/>
    <w:rsid w:val="00ED1695"/>
    <w:rsid w:val="00ED2326"/>
    <w:rsid w:val="00ED2936"/>
    <w:rsid w:val="00ED2E9C"/>
    <w:rsid w:val="00ED495E"/>
    <w:rsid w:val="00ED6BA4"/>
    <w:rsid w:val="00ED72DE"/>
    <w:rsid w:val="00ED7E85"/>
    <w:rsid w:val="00ED7FDE"/>
    <w:rsid w:val="00EE264A"/>
    <w:rsid w:val="00EE3770"/>
    <w:rsid w:val="00EE385F"/>
    <w:rsid w:val="00EE41DE"/>
    <w:rsid w:val="00EE5D4B"/>
    <w:rsid w:val="00EE7251"/>
    <w:rsid w:val="00EF0BA7"/>
    <w:rsid w:val="00EF0D4A"/>
    <w:rsid w:val="00EF14B8"/>
    <w:rsid w:val="00EF1FA4"/>
    <w:rsid w:val="00EF38FB"/>
    <w:rsid w:val="00EF3BC7"/>
    <w:rsid w:val="00F00553"/>
    <w:rsid w:val="00F01FE1"/>
    <w:rsid w:val="00F023A6"/>
    <w:rsid w:val="00F03A6E"/>
    <w:rsid w:val="00F03D37"/>
    <w:rsid w:val="00F07682"/>
    <w:rsid w:val="00F11AFF"/>
    <w:rsid w:val="00F12914"/>
    <w:rsid w:val="00F17306"/>
    <w:rsid w:val="00F2129F"/>
    <w:rsid w:val="00F21D31"/>
    <w:rsid w:val="00F22333"/>
    <w:rsid w:val="00F2533C"/>
    <w:rsid w:val="00F25710"/>
    <w:rsid w:val="00F32142"/>
    <w:rsid w:val="00F33673"/>
    <w:rsid w:val="00F3590C"/>
    <w:rsid w:val="00F35FCF"/>
    <w:rsid w:val="00F36F21"/>
    <w:rsid w:val="00F37CC0"/>
    <w:rsid w:val="00F42414"/>
    <w:rsid w:val="00F42649"/>
    <w:rsid w:val="00F4404A"/>
    <w:rsid w:val="00F46A2F"/>
    <w:rsid w:val="00F46E98"/>
    <w:rsid w:val="00F51CC1"/>
    <w:rsid w:val="00F5352E"/>
    <w:rsid w:val="00F53C0C"/>
    <w:rsid w:val="00F54724"/>
    <w:rsid w:val="00F54F10"/>
    <w:rsid w:val="00F55B33"/>
    <w:rsid w:val="00F5707E"/>
    <w:rsid w:val="00F611B1"/>
    <w:rsid w:val="00F61382"/>
    <w:rsid w:val="00F6286A"/>
    <w:rsid w:val="00F65606"/>
    <w:rsid w:val="00F65A1B"/>
    <w:rsid w:val="00F66A3D"/>
    <w:rsid w:val="00F66A4A"/>
    <w:rsid w:val="00F71BDF"/>
    <w:rsid w:val="00F75236"/>
    <w:rsid w:val="00F763B9"/>
    <w:rsid w:val="00F80BC2"/>
    <w:rsid w:val="00F81089"/>
    <w:rsid w:val="00F82985"/>
    <w:rsid w:val="00F8430B"/>
    <w:rsid w:val="00F85153"/>
    <w:rsid w:val="00F85977"/>
    <w:rsid w:val="00F85C3F"/>
    <w:rsid w:val="00F87330"/>
    <w:rsid w:val="00F90452"/>
    <w:rsid w:val="00F90B7A"/>
    <w:rsid w:val="00F95AE9"/>
    <w:rsid w:val="00FA09AE"/>
    <w:rsid w:val="00FA19E5"/>
    <w:rsid w:val="00FA3530"/>
    <w:rsid w:val="00FA5774"/>
    <w:rsid w:val="00FA7EA4"/>
    <w:rsid w:val="00FB099F"/>
    <w:rsid w:val="00FB0EBB"/>
    <w:rsid w:val="00FB19AB"/>
    <w:rsid w:val="00FB2589"/>
    <w:rsid w:val="00FB2943"/>
    <w:rsid w:val="00FB4651"/>
    <w:rsid w:val="00FB4A02"/>
    <w:rsid w:val="00FB5087"/>
    <w:rsid w:val="00FB571E"/>
    <w:rsid w:val="00FB5E52"/>
    <w:rsid w:val="00FC02C1"/>
    <w:rsid w:val="00FC02F7"/>
    <w:rsid w:val="00FC0553"/>
    <w:rsid w:val="00FC1E87"/>
    <w:rsid w:val="00FC2775"/>
    <w:rsid w:val="00FC2ACE"/>
    <w:rsid w:val="00FC2BBA"/>
    <w:rsid w:val="00FD0396"/>
    <w:rsid w:val="00FD1106"/>
    <w:rsid w:val="00FD2F39"/>
    <w:rsid w:val="00FD562A"/>
    <w:rsid w:val="00FD733D"/>
    <w:rsid w:val="00FE1B42"/>
    <w:rsid w:val="00FE3007"/>
    <w:rsid w:val="00FE31DB"/>
    <w:rsid w:val="00FE3285"/>
    <w:rsid w:val="00FE32AB"/>
    <w:rsid w:val="00FE4672"/>
    <w:rsid w:val="00FF21CE"/>
    <w:rsid w:val="00FF452D"/>
    <w:rsid w:val="00FF7435"/>
    <w:rsid w:val="00FF75AB"/>
    <w:rsid w:val="061BCA87"/>
    <w:rsid w:val="08BCCB83"/>
    <w:rsid w:val="09358D3F"/>
    <w:rsid w:val="09599F79"/>
    <w:rsid w:val="0BD3BC04"/>
    <w:rsid w:val="0EE67EA0"/>
    <w:rsid w:val="0F8D7808"/>
    <w:rsid w:val="116B04B6"/>
    <w:rsid w:val="12D746E4"/>
    <w:rsid w:val="12F33843"/>
    <w:rsid w:val="13D93E43"/>
    <w:rsid w:val="13F9D43C"/>
    <w:rsid w:val="14870E28"/>
    <w:rsid w:val="161C90E1"/>
    <w:rsid w:val="17B4CBA0"/>
    <w:rsid w:val="17C61EE7"/>
    <w:rsid w:val="1822F223"/>
    <w:rsid w:val="19B35B0F"/>
    <w:rsid w:val="19FD62B5"/>
    <w:rsid w:val="1A4B4CE6"/>
    <w:rsid w:val="1F2BA608"/>
    <w:rsid w:val="22BF1DB5"/>
    <w:rsid w:val="24F93243"/>
    <w:rsid w:val="250739D8"/>
    <w:rsid w:val="269BB5A0"/>
    <w:rsid w:val="2ACE482C"/>
    <w:rsid w:val="2B0BEBAE"/>
    <w:rsid w:val="2E05738B"/>
    <w:rsid w:val="2FC55B76"/>
    <w:rsid w:val="316A2190"/>
    <w:rsid w:val="33AC2CE3"/>
    <w:rsid w:val="3A4AC61C"/>
    <w:rsid w:val="3A5B7A37"/>
    <w:rsid w:val="3A7570E1"/>
    <w:rsid w:val="3B006318"/>
    <w:rsid w:val="3CD15A09"/>
    <w:rsid w:val="3F3AA126"/>
    <w:rsid w:val="3F699B13"/>
    <w:rsid w:val="4094CA04"/>
    <w:rsid w:val="410DBA6C"/>
    <w:rsid w:val="4141507C"/>
    <w:rsid w:val="4149C44C"/>
    <w:rsid w:val="43C8B117"/>
    <w:rsid w:val="440B4A26"/>
    <w:rsid w:val="44EF2B9A"/>
    <w:rsid w:val="451CCE7D"/>
    <w:rsid w:val="469CCF3D"/>
    <w:rsid w:val="47064CA1"/>
    <w:rsid w:val="4A40256B"/>
    <w:rsid w:val="4CB81087"/>
    <w:rsid w:val="4DD9A0DF"/>
    <w:rsid w:val="4FDA4E24"/>
    <w:rsid w:val="54532FA8"/>
    <w:rsid w:val="5553C768"/>
    <w:rsid w:val="57E7B0DA"/>
    <w:rsid w:val="5C24BAF8"/>
    <w:rsid w:val="5CD32781"/>
    <w:rsid w:val="5E3A0DD2"/>
    <w:rsid w:val="607F5A9B"/>
    <w:rsid w:val="637CD6A1"/>
    <w:rsid w:val="637F9AA4"/>
    <w:rsid w:val="646CE705"/>
    <w:rsid w:val="648AA2CD"/>
    <w:rsid w:val="65D00418"/>
    <w:rsid w:val="66692518"/>
    <w:rsid w:val="67239166"/>
    <w:rsid w:val="6AB74A60"/>
    <w:rsid w:val="6C43815C"/>
    <w:rsid w:val="6D53F541"/>
    <w:rsid w:val="6EAC61DC"/>
    <w:rsid w:val="70375DF4"/>
    <w:rsid w:val="7194C291"/>
    <w:rsid w:val="71BE369F"/>
    <w:rsid w:val="72EDD40B"/>
    <w:rsid w:val="736FBCEB"/>
    <w:rsid w:val="73BF2AF2"/>
    <w:rsid w:val="7ADDB1E1"/>
    <w:rsid w:val="7CF4CB7A"/>
    <w:rsid w:val="7FC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F6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6E"/>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53FA2"/>
    <w:pPr>
      <w:keepNext/>
      <w:keepLines/>
      <w:spacing w:after="100" w:afterAutospacing="1"/>
      <w:outlineLvl w:val="2"/>
    </w:pPr>
    <w:rPr>
      <w:rFonts w:cstheme="majorBidi"/>
      <w:b/>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1F4533"/>
    <w:pPr>
      <w:keepNext/>
      <w:keepLines/>
      <w:spacing w:before="240" w:after="120"/>
      <w:outlineLvl w:val="4"/>
    </w:pPr>
    <w:rPr>
      <w:rFonts w:eastAsia="Arial" w:cstheme="majorBidi"/>
      <w:bCs/>
      <w:snapToGrid w:val="0"/>
      <w:szCs w:val="24"/>
    </w:rPr>
  </w:style>
  <w:style w:type="paragraph" w:styleId="Heading6">
    <w:name w:val="heading 6"/>
    <w:basedOn w:val="Normal"/>
    <w:next w:val="Normal"/>
    <w:link w:val="Heading6Char"/>
    <w:autoRedefine/>
    <w:uiPriority w:val="9"/>
    <w:unhideWhenUsed/>
    <w:qFormat/>
    <w:rsid w:val="009709C2"/>
    <w:pPr>
      <w:keepNext/>
      <w:keepLines/>
      <w:spacing w:before="240" w:after="120"/>
      <w:outlineLvl w:val="5"/>
    </w:pPr>
    <w:rPr>
      <w:rFonts w:eastAsiaTheme="majorEastAsia" w:cstheme="majorBidi"/>
      <w:b/>
      <w:iCs/>
    </w:rPr>
  </w:style>
  <w:style w:type="paragraph" w:styleId="Heading7">
    <w:name w:val="heading 7"/>
    <w:basedOn w:val="Normal"/>
    <w:next w:val="Normal"/>
    <w:link w:val="Heading7Char"/>
    <w:uiPriority w:val="9"/>
    <w:unhideWhenUsed/>
    <w:qFormat/>
    <w:rsid w:val="00AA4A2B"/>
    <w:pPr>
      <w:keepNext/>
      <w:keepLines/>
      <w:spacing w:before="40" w:after="0"/>
      <w:outlineLvl w:val="6"/>
    </w:pPr>
    <w:rPr>
      <w:rFonts w:eastAsiaTheme="majorEastAsia" w:cstheme="majorBidi"/>
      <w:b/>
      <w:iCs/>
    </w:rPr>
  </w:style>
  <w:style w:type="paragraph" w:styleId="Heading8">
    <w:name w:val="heading 8"/>
    <w:basedOn w:val="Normal"/>
    <w:next w:val="Normal"/>
    <w:link w:val="Heading8Char"/>
    <w:uiPriority w:val="9"/>
    <w:unhideWhenUsed/>
    <w:qFormat/>
    <w:rsid w:val="00AA4A2B"/>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qFormat/>
    <w:rsid w:val="00A32A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53FA2"/>
    <w:rPr>
      <w:rFonts w:ascii="Arial" w:hAnsi="Arial" w:cstheme="majorBidi"/>
      <w:b/>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1F4533"/>
    <w:rPr>
      <w:rFonts w:ascii="Arial" w:eastAsia="Arial" w:hAnsi="Arial" w:cstheme="majorBidi"/>
      <w:bCs/>
      <w:snapToGrid w:val="0"/>
      <w:sz w:val="24"/>
      <w:szCs w:val="24"/>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9709C2"/>
    <w:rPr>
      <w:rFonts w:ascii="Arial" w:eastAsiaTheme="majorEastAsia" w:hAnsi="Arial" w:cstheme="majorBidi"/>
      <w:b/>
      <w:iCs/>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AA4A2B"/>
    <w:rPr>
      <w:rFonts w:ascii="Arial" w:eastAsiaTheme="majorEastAsia" w:hAnsi="Arial" w:cstheme="majorBidi"/>
      <w:b/>
      <w:iCs/>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4939DF"/>
    <w:rPr>
      <w:color w:val="0563C1"/>
      <w:u w:val="single"/>
    </w:rPr>
  </w:style>
  <w:style w:type="paragraph" w:customStyle="1" w:styleId="Default">
    <w:name w:val="Default"/>
    <w:rsid w:val="005928D1"/>
    <w:pPr>
      <w:autoSpaceDE w:val="0"/>
      <w:autoSpaceDN w:val="0"/>
      <w:adjustRightInd w:val="0"/>
      <w:spacing w:after="0" w:line="240" w:lineRule="auto"/>
    </w:pPr>
    <w:rPr>
      <w:rFonts w:ascii="TeXGyreAdventor" w:hAnsi="TeXGyreAdventor" w:cs="TeXGyreAdventor"/>
      <w:color w:val="000000"/>
      <w:sz w:val="24"/>
      <w:szCs w:val="24"/>
    </w:rPr>
  </w:style>
  <w:style w:type="paragraph" w:customStyle="1" w:styleId="Pa6">
    <w:name w:val="Pa6"/>
    <w:basedOn w:val="Default"/>
    <w:next w:val="Default"/>
    <w:uiPriority w:val="99"/>
    <w:rsid w:val="005928D1"/>
    <w:pPr>
      <w:spacing w:line="201" w:lineRule="atLeast"/>
    </w:pPr>
    <w:rPr>
      <w:rFonts w:cstheme="minorBidi"/>
      <w:color w:val="auto"/>
    </w:rPr>
  </w:style>
  <w:style w:type="character" w:customStyle="1" w:styleId="A15">
    <w:name w:val="A15"/>
    <w:uiPriority w:val="99"/>
    <w:rsid w:val="005928D1"/>
    <w:rPr>
      <w:rFonts w:cs="TeXGyreAdventor"/>
      <w:b/>
      <w:bCs/>
      <w:i/>
      <w:iCs/>
      <w:color w:val="000000"/>
    </w:rPr>
  </w:style>
  <w:style w:type="table" w:styleId="TableGrid">
    <w:name w:val="Table Grid"/>
    <w:basedOn w:val="TableNormal"/>
    <w:uiPriority w:val="39"/>
    <w:rsid w:val="00F8430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7644"/>
    <w:pPr>
      <w:ind w:left="720"/>
      <w:contextualSpacing/>
    </w:pPr>
  </w:style>
  <w:style w:type="character" w:customStyle="1" w:styleId="ListParagraphChar">
    <w:name w:val="List Paragraph Char"/>
    <w:basedOn w:val="DefaultParagraphFont"/>
    <w:link w:val="ListParagraph"/>
    <w:uiPriority w:val="34"/>
    <w:locked/>
    <w:rsid w:val="007D72EC"/>
    <w:rPr>
      <w:rFonts w:ascii="Arial" w:hAnsi="Arial"/>
      <w:sz w:val="24"/>
    </w:rPr>
  </w:style>
  <w:style w:type="character" w:styleId="UnresolvedMention">
    <w:name w:val="Unresolved Mention"/>
    <w:basedOn w:val="DefaultParagraphFont"/>
    <w:uiPriority w:val="99"/>
    <w:semiHidden/>
    <w:unhideWhenUsed/>
    <w:rsid w:val="007331BD"/>
    <w:rPr>
      <w:color w:val="605E5C"/>
      <w:shd w:val="clear" w:color="auto" w:fill="E1DFDD"/>
    </w:rPr>
  </w:style>
  <w:style w:type="paragraph" w:styleId="BodyText">
    <w:name w:val="Body Text"/>
    <w:basedOn w:val="Normal"/>
    <w:link w:val="BodyTextChar"/>
    <w:rsid w:val="00754C79"/>
    <w:pPr>
      <w:spacing w:before="100" w:beforeAutospacing="1" w:line="281" w:lineRule="atLeast"/>
    </w:pPr>
    <w:rPr>
      <w:rFonts w:ascii="Times New Roman" w:eastAsia="Times New Roman" w:hAnsi="Times New Roman" w:cs="Arial"/>
      <w:b/>
      <w:sz w:val="28"/>
      <w:szCs w:val="20"/>
    </w:rPr>
  </w:style>
  <w:style w:type="character" w:customStyle="1" w:styleId="BodyTextChar">
    <w:name w:val="Body Text Char"/>
    <w:basedOn w:val="DefaultParagraphFont"/>
    <w:link w:val="BodyText"/>
    <w:rsid w:val="00754C79"/>
    <w:rPr>
      <w:rFonts w:ascii="Times New Roman" w:eastAsia="Times New Roman" w:hAnsi="Times New Roman" w:cs="Arial"/>
      <w:b/>
      <w:sz w:val="28"/>
      <w:szCs w:val="20"/>
    </w:rPr>
  </w:style>
  <w:style w:type="paragraph" w:styleId="Header">
    <w:name w:val="header"/>
    <w:basedOn w:val="Normal"/>
    <w:link w:val="HeaderChar"/>
    <w:uiPriority w:val="99"/>
    <w:unhideWhenUsed/>
    <w:rsid w:val="00F55B33"/>
    <w:pPr>
      <w:tabs>
        <w:tab w:val="center" w:pos="4680"/>
        <w:tab w:val="right" w:pos="9360"/>
      </w:tabs>
      <w:spacing w:after="0"/>
    </w:pPr>
  </w:style>
  <w:style w:type="character" w:customStyle="1" w:styleId="HeaderChar">
    <w:name w:val="Header Char"/>
    <w:basedOn w:val="DefaultParagraphFont"/>
    <w:link w:val="Header"/>
    <w:uiPriority w:val="99"/>
    <w:rsid w:val="00F55B33"/>
    <w:rPr>
      <w:rFonts w:ascii="Arial" w:hAnsi="Arial"/>
      <w:sz w:val="24"/>
    </w:rPr>
  </w:style>
  <w:style w:type="paragraph" w:styleId="Footer">
    <w:name w:val="footer"/>
    <w:basedOn w:val="Normal"/>
    <w:link w:val="FooterChar"/>
    <w:uiPriority w:val="99"/>
    <w:unhideWhenUsed/>
    <w:rsid w:val="00F55B33"/>
    <w:pPr>
      <w:tabs>
        <w:tab w:val="center" w:pos="4680"/>
        <w:tab w:val="right" w:pos="9360"/>
      </w:tabs>
      <w:spacing w:after="0"/>
    </w:pPr>
  </w:style>
  <w:style w:type="character" w:customStyle="1" w:styleId="FooterChar">
    <w:name w:val="Footer Char"/>
    <w:basedOn w:val="DefaultParagraphFont"/>
    <w:link w:val="Footer"/>
    <w:uiPriority w:val="99"/>
    <w:rsid w:val="00F55B33"/>
    <w:rPr>
      <w:rFonts w:ascii="Arial" w:hAnsi="Arial"/>
      <w:sz w:val="24"/>
    </w:rPr>
  </w:style>
  <w:style w:type="table" w:customStyle="1" w:styleId="TableGrid2">
    <w:name w:val="Table Grid2"/>
    <w:basedOn w:val="TableNormal"/>
    <w:next w:val="TableGrid"/>
    <w:uiPriority w:val="39"/>
    <w:rsid w:val="0049408B"/>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AE6269"/>
    <w:pPr>
      <w:widowControl w:val="0"/>
      <w:spacing w:after="0"/>
    </w:pPr>
    <w:rPr>
      <w:rFonts w:asciiTheme="minorHAnsi" w:hAnsiTheme="minorHAnsi"/>
      <w:sz w:val="22"/>
    </w:rPr>
  </w:style>
  <w:style w:type="character" w:styleId="FollowedHyperlink">
    <w:name w:val="FollowedHyperlink"/>
    <w:basedOn w:val="DefaultParagraphFont"/>
    <w:uiPriority w:val="99"/>
    <w:semiHidden/>
    <w:unhideWhenUsed/>
    <w:rsid w:val="0068335E"/>
    <w:rPr>
      <w:color w:val="954F72" w:themeColor="followedHyperlink"/>
      <w:u w:val="single"/>
    </w:rPr>
  </w:style>
  <w:style w:type="character" w:styleId="CommentReference">
    <w:name w:val="annotation reference"/>
    <w:basedOn w:val="DefaultParagraphFont"/>
    <w:uiPriority w:val="99"/>
    <w:semiHidden/>
    <w:unhideWhenUsed/>
    <w:rsid w:val="00BE36C2"/>
    <w:rPr>
      <w:sz w:val="16"/>
      <w:szCs w:val="16"/>
    </w:rPr>
  </w:style>
  <w:style w:type="paragraph" w:styleId="CommentText">
    <w:name w:val="annotation text"/>
    <w:basedOn w:val="Normal"/>
    <w:link w:val="CommentTextChar"/>
    <w:uiPriority w:val="99"/>
    <w:unhideWhenUsed/>
    <w:rsid w:val="00BE36C2"/>
    <w:rPr>
      <w:sz w:val="20"/>
      <w:szCs w:val="20"/>
    </w:rPr>
  </w:style>
  <w:style w:type="character" w:customStyle="1" w:styleId="CommentTextChar">
    <w:name w:val="Comment Text Char"/>
    <w:basedOn w:val="DefaultParagraphFont"/>
    <w:link w:val="CommentText"/>
    <w:uiPriority w:val="99"/>
    <w:rsid w:val="00BE36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36C2"/>
    <w:rPr>
      <w:b/>
      <w:bCs/>
    </w:rPr>
  </w:style>
  <w:style w:type="character" w:customStyle="1" w:styleId="CommentSubjectChar">
    <w:name w:val="Comment Subject Char"/>
    <w:basedOn w:val="CommentTextChar"/>
    <w:link w:val="CommentSubject"/>
    <w:uiPriority w:val="99"/>
    <w:semiHidden/>
    <w:rsid w:val="00BE36C2"/>
    <w:rPr>
      <w:rFonts w:ascii="Arial" w:hAnsi="Arial"/>
      <w:b/>
      <w:bCs/>
      <w:sz w:val="20"/>
      <w:szCs w:val="20"/>
    </w:rPr>
  </w:style>
  <w:style w:type="table" w:customStyle="1" w:styleId="TableGrid1">
    <w:name w:val="Table Grid1"/>
    <w:basedOn w:val="TableNormal"/>
    <w:next w:val="TableGrid"/>
    <w:uiPriority w:val="39"/>
    <w:rsid w:val="0092763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630"/>
    <w:pPr>
      <w:spacing w:before="100" w:beforeAutospacing="1" w:after="100" w:afterAutospacing="1"/>
    </w:pPr>
    <w:rPr>
      <w:rFonts w:ascii="Times New Roman" w:eastAsiaTheme="minorEastAsia" w:hAnsi="Times New Roman" w:cs="Times New Roman"/>
      <w:szCs w:val="24"/>
    </w:rPr>
  </w:style>
  <w:style w:type="paragraph" w:styleId="TOC1">
    <w:name w:val="toc 1"/>
    <w:basedOn w:val="Normal"/>
    <w:next w:val="Normal"/>
    <w:autoRedefine/>
    <w:uiPriority w:val="39"/>
    <w:unhideWhenUsed/>
    <w:rsid w:val="00BC6351"/>
    <w:pPr>
      <w:tabs>
        <w:tab w:val="right" w:leader="dot" w:pos="9350"/>
      </w:tabs>
      <w:spacing w:after="100"/>
    </w:pPr>
  </w:style>
  <w:style w:type="paragraph" w:styleId="TOC2">
    <w:name w:val="toc 2"/>
    <w:basedOn w:val="Normal"/>
    <w:next w:val="Normal"/>
    <w:autoRedefine/>
    <w:uiPriority w:val="39"/>
    <w:unhideWhenUsed/>
    <w:rsid w:val="00BC6351"/>
    <w:pPr>
      <w:tabs>
        <w:tab w:val="right" w:leader="dot" w:pos="9350"/>
      </w:tabs>
      <w:spacing w:after="100"/>
      <w:ind w:left="240"/>
    </w:pPr>
  </w:style>
  <w:style w:type="paragraph" w:styleId="TOC3">
    <w:name w:val="toc 3"/>
    <w:basedOn w:val="Normal"/>
    <w:next w:val="Normal"/>
    <w:autoRedefine/>
    <w:uiPriority w:val="39"/>
    <w:unhideWhenUsed/>
    <w:rsid w:val="00BC6351"/>
    <w:pPr>
      <w:tabs>
        <w:tab w:val="right" w:leader="dot" w:pos="9350"/>
      </w:tabs>
      <w:spacing w:after="100"/>
      <w:ind w:left="480"/>
    </w:pPr>
  </w:style>
  <w:style w:type="character" w:customStyle="1" w:styleId="Heading8Char">
    <w:name w:val="Heading 8 Char"/>
    <w:basedOn w:val="DefaultParagraphFont"/>
    <w:link w:val="Heading8"/>
    <w:uiPriority w:val="9"/>
    <w:rsid w:val="00AA4A2B"/>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A32A22"/>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030B4E"/>
    <w:pPr>
      <w:spacing w:after="0" w:line="240" w:lineRule="auto"/>
    </w:pPr>
    <w:rPr>
      <w:rFonts w:ascii="Arial" w:hAnsi="Arial"/>
      <w:sz w:val="24"/>
    </w:rPr>
  </w:style>
  <w:style w:type="paragraph" w:styleId="TOCHeading">
    <w:name w:val="TOC Heading"/>
    <w:basedOn w:val="Heading1"/>
    <w:next w:val="Normal"/>
    <w:uiPriority w:val="39"/>
    <w:unhideWhenUsed/>
    <w:qFormat/>
    <w:rsid w:val="00393A50"/>
    <w:pPr>
      <w:spacing w:after="0" w:line="259" w:lineRule="auto"/>
      <w:outlineLvl w:val="9"/>
    </w:pPr>
    <w:rPr>
      <w:rFonts w:asciiTheme="majorHAnsi" w:hAnsiTheme="majorHAnsi"/>
      <w:b w:val="0"/>
      <w:color w:val="2F5496" w:themeColor="accent1" w:themeShade="BF"/>
      <w:sz w:val="32"/>
    </w:rPr>
  </w:style>
  <w:style w:type="paragraph" w:styleId="FootnoteText">
    <w:name w:val="footnote text"/>
    <w:basedOn w:val="Normal"/>
    <w:link w:val="FootnoteTextChar"/>
    <w:uiPriority w:val="99"/>
    <w:rsid w:val="00FA09AE"/>
    <w:rPr>
      <w:rFonts w:eastAsia="Times New Roman" w:cs="Times New Roman"/>
      <w:szCs w:val="20"/>
    </w:rPr>
  </w:style>
  <w:style w:type="character" w:customStyle="1" w:styleId="FootnoteTextChar">
    <w:name w:val="Footnote Text Char"/>
    <w:basedOn w:val="DefaultParagraphFont"/>
    <w:link w:val="FootnoteText"/>
    <w:uiPriority w:val="99"/>
    <w:rsid w:val="00FA09AE"/>
    <w:rPr>
      <w:rFonts w:ascii="Arial" w:eastAsia="Times New Roman" w:hAnsi="Arial" w:cs="Times New Roman"/>
      <w:sz w:val="24"/>
      <w:szCs w:val="20"/>
    </w:rPr>
  </w:style>
  <w:style w:type="paragraph" w:customStyle="1" w:styleId="TableHeader">
    <w:name w:val="Table Header"/>
    <w:basedOn w:val="Normal"/>
    <w:link w:val="TableHeaderChar"/>
    <w:autoRedefine/>
    <w:qFormat/>
    <w:rsid w:val="00B477B2"/>
    <w:pPr>
      <w:spacing w:before="240"/>
      <w:contextualSpacing/>
    </w:pPr>
    <w:rPr>
      <w:i/>
    </w:rPr>
  </w:style>
  <w:style w:type="character" w:customStyle="1" w:styleId="TableHeaderChar">
    <w:name w:val="Table Header Char"/>
    <w:basedOn w:val="DefaultParagraphFont"/>
    <w:link w:val="TableHeader"/>
    <w:rsid w:val="00B477B2"/>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2823">
      <w:bodyDiv w:val="1"/>
      <w:marLeft w:val="0"/>
      <w:marRight w:val="0"/>
      <w:marTop w:val="0"/>
      <w:marBottom w:val="0"/>
      <w:divBdr>
        <w:top w:val="none" w:sz="0" w:space="0" w:color="auto"/>
        <w:left w:val="none" w:sz="0" w:space="0" w:color="auto"/>
        <w:bottom w:val="none" w:sz="0" w:space="0" w:color="auto"/>
        <w:right w:val="none" w:sz="0" w:space="0" w:color="auto"/>
      </w:divBdr>
    </w:div>
    <w:div w:id="347874861">
      <w:bodyDiv w:val="1"/>
      <w:marLeft w:val="0"/>
      <w:marRight w:val="0"/>
      <w:marTop w:val="0"/>
      <w:marBottom w:val="0"/>
      <w:divBdr>
        <w:top w:val="none" w:sz="0" w:space="0" w:color="auto"/>
        <w:left w:val="none" w:sz="0" w:space="0" w:color="auto"/>
        <w:bottom w:val="none" w:sz="0" w:space="0" w:color="auto"/>
        <w:right w:val="none" w:sz="0" w:space="0" w:color="auto"/>
      </w:divBdr>
    </w:div>
    <w:div w:id="350885363">
      <w:bodyDiv w:val="1"/>
      <w:marLeft w:val="0"/>
      <w:marRight w:val="0"/>
      <w:marTop w:val="0"/>
      <w:marBottom w:val="0"/>
      <w:divBdr>
        <w:top w:val="none" w:sz="0" w:space="0" w:color="auto"/>
        <w:left w:val="none" w:sz="0" w:space="0" w:color="auto"/>
        <w:bottom w:val="none" w:sz="0" w:space="0" w:color="auto"/>
        <w:right w:val="none" w:sz="0" w:space="0" w:color="auto"/>
      </w:divBdr>
    </w:div>
    <w:div w:id="507136015">
      <w:bodyDiv w:val="1"/>
      <w:marLeft w:val="0"/>
      <w:marRight w:val="0"/>
      <w:marTop w:val="0"/>
      <w:marBottom w:val="0"/>
      <w:divBdr>
        <w:top w:val="none" w:sz="0" w:space="0" w:color="auto"/>
        <w:left w:val="none" w:sz="0" w:space="0" w:color="auto"/>
        <w:bottom w:val="none" w:sz="0" w:space="0" w:color="auto"/>
        <w:right w:val="none" w:sz="0" w:space="0" w:color="auto"/>
      </w:divBdr>
    </w:div>
    <w:div w:id="620041257">
      <w:bodyDiv w:val="1"/>
      <w:marLeft w:val="0"/>
      <w:marRight w:val="0"/>
      <w:marTop w:val="0"/>
      <w:marBottom w:val="0"/>
      <w:divBdr>
        <w:top w:val="none" w:sz="0" w:space="0" w:color="auto"/>
        <w:left w:val="none" w:sz="0" w:space="0" w:color="auto"/>
        <w:bottom w:val="none" w:sz="0" w:space="0" w:color="auto"/>
        <w:right w:val="none" w:sz="0" w:space="0" w:color="auto"/>
      </w:divBdr>
    </w:div>
    <w:div w:id="66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66615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425340">
      <w:bodyDiv w:val="1"/>
      <w:marLeft w:val="0"/>
      <w:marRight w:val="0"/>
      <w:marTop w:val="0"/>
      <w:marBottom w:val="0"/>
      <w:divBdr>
        <w:top w:val="none" w:sz="0" w:space="0" w:color="auto"/>
        <w:left w:val="none" w:sz="0" w:space="0" w:color="auto"/>
        <w:bottom w:val="none" w:sz="0" w:space="0" w:color="auto"/>
        <w:right w:val="none" w:sz="0" w:space="0" w:color="auto"/>
      </w:divBdr>
    </w:div>
    <w:div w:id="746807637">
      <w:bodyDiv w:val="1"/>
      <w:marLeft w:val="0"/>
      <w:marRight w:val="0"/>
      <w:marTop w:val="0"/>
      <w:marBottom w:val="0"/>
      <w:divBdr>
        <w:top w:val="none" w:sz="0" w:space="0" w:color="auto"/>
        <w:left w:val="none" w:sz="0" w:space="0" w:color="auto"/>
        <w:bottom w:val="none" w:sz="0" w:space="0" w:color="auto"/>
        <w:right w:val="none" w:sz="0" w:space="0" w:color="auto"/>
      </w:divBdr>
    </w:div>
    <w:div w:id="755173082">
      <w:bodyDiv w:val="1"/>
      <w:marLeft w:val="0"/>
      <w:marRight w:val="0"/>
      <w:marTop w:val="0"/>
      <w:marBottom w:val="0"/>
      <w:divBdr>
        <w:top w:val="none" w:sz="0" w:space="0" w:color="auto"/>
        <w:left w:val="none" w:sz="0" w:space="0" w:color="auto"/>
        <w:bottom w:val="none" w:sz="0" w:space="0" w:color="auto"/>
        <w:right w:val="none" w:sz="0" w:space="0" w:color="auto"/>
      </w:divBdr>
    </w:div>
    <w:div w:id="921137100">
      <w:bodyDiv w:val="1"/>
      <w:marLeft w:val="0"/>
      <w:marRight w:val="0"/>
      <w:marTop w:val="0"/>
      <w:marBottom w:val="0"/>
      <w:divBdr>
        <w:top w:val="none" w:sz="0" w:space="0" w:color="auto"/>
        <w:left w:val="none" w:sz="0" w:space="0" w:color="auto"/>
        <w:bottom w:val="none" w:sz="0" w:space="0" w:color="auto"/>
        <w:right w:val="none" w:sz="0" w:space="0" w:color="auto"/>
      </w:divBdr>
    </w:div>
    <w:div w:id="979070295">
      <w:bodyDiv w:val="1"/>
      <w:marLeft w:val="0"/>
      <w:marRight w:val="0"/>
      <w:marTop w:val="0"/>
      <w:marBottom w:val="0"/>
      <w:divBdr>
        <w:top w:val="none" w:sz="0" w:space="0" w:color="auto"/>
        <w:left w:val="none" w:sz="0" w:space="0" w:color="auto"/>
        <w:bottom w:val="none" w:sz="0" w:space="0" w:color="auto"/>
        <w:right w:val="none" w:sz="0" w:space="0" w:color="auto"/>
      </w:divBdr>
    </w:div>
    <w:div w:id="1159660541">
      <w:bodyDiv w:val="1"/>
      <w:marLeft w:val="0"/>
      <w:marRight w:val="0"/>
      <w:marTop w:val="0"/>
      <w:marBottom w:val="0"/>
      <w:divBdr>
        <w:top w:val="none" w:sz="0" w:space="0" w:color="auto"/>
        <w:left w:val="none" w:sz="0" w:space="0" w:color="auto"/>
        <w:bottom w:val="none" w:sz="0" w:space="0" w:color="auto"/>
        <w:right w:val="none" w:sz="0" w:space="0" w:color="auto"/>
      </w:divBdr>
      <w:divsChild>
        <w:div w:id="722409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53324">
      <w:bodyDiv w:val="1"/>
      <w:marLeft w:val="0"/>
      <w:marRight w:val="0"/>
      <w:marTop w:val="0"/>
      <w:marBottom w:val="0"/>
      <w:divBdr>
        <w:top w:val="none" w:sz="0" w:space="0" w:color="auto"/>
        <w:left w:val="none" w:sz="0" w:space="0" w:color="auto"/>
        <w:bottom w:val="none" w:sz="0" w:space="0" w:color="auto"/>
        <w:right w:val="none" w:sz="0" w:space="0" w:color="auto"/>
      </w:divBdr>
    </w:div>
    <w:div w:id="1257206584">
      <w:bodyDiv w:val="1"/>
      <w:marLeft w:val="0"/>
      <w:marRight w:val="0"/>
      <w:marTop w:val="0"/>
      <w:marBottom w:val="0"/>
      <w:divBdr>
        <w:top w:val="none" w:sz="0" w:space="0" w:color="auto"/>
        <w:left w:val="none" w:sz="0" w:space="0" w:color="auto"/>
        <w:bottom w:val="none" w:sz="0" w:space="0" w:color="auto"/>
        <w:right w:val="none" w:sz="0" w:space="0" w:color="auto"/>
      </w:divBdr>
    </w:div>
    <w:div w:id="1269200091">
      <w:bodyDiv w:val="1"/>
      <w:marLeft w:val="0"/>
      <w:marRight w:val="0"/>
      <w:marTop w:val="0"/>
      <w:marBottom w:val="0"/>
      <w:divBdr>
        <w:top w:val="none" w:sz="0" w:space="0" w:color="auto"/>
        <w:left w:val="none" w:sz="0" w:space="0" w:color="auto"/>
        <w:bottom w:val="none" w:sz="0" w:space="0" w:color="auto"/>
        <w:right w:val="none" w:sz="0" w:space="0" w:color="auto"/>
      </w:divBdr>
    </w:div>
    <w:div w:id="1364095464">
      <w:bodyDiv w:val="1"/>
      <w:marLeft w:val="0"/>
      <w:marRight w:val="0"/>
      <w:marTop w:val="0"/>
      <w:marBottom w:val="0"/>
      <w:divBdr>
        <w:top w:val="none" w:sz="0" w:space="0" w:color="auto"/>
        <w:left w:val="none" w:sz="0" w:space="0" w:color="auto"/>
        <w:bottom w:val="none" w:sz="0" w:space="0" w:color="auto"/>
        <w:right w:val="none" w:sz="0" w:space="0" w:color="auto"/>
      </w:divBdr>
    </w:div>
    <w:div w:id="1412310303">
      <w:bodyDiv w:val="1"/>
      <w:marLeft w:val="0"/>
      <w:marRight w:val="0"/>
      <w:marTop w:val="0"/>
      <w:marBottom w:val="0"/>
      <w:divBdr>
        <w:top w:val="none" w:sz="0" w:space="0" w:color="auto"/>
        <w:left w:val="none" w:sz="0" w:space="0" w:color="auto"/>
        <w:bottom w:val="none" w:sz="0" w:space="0" w:color="auto"/>
        <w:right w:val="none" w:sz="0" w:space="0" w:color="auto"/>
      </w:divBdr>
    </w:div>
    <w:div w:id="1527602492">
      <w:bodyDiv w:val="1"/>
      <w:marLeft w:val="0"/>
      <w:marRight w:val="0"/>
      <w:marTop w:val="0"/>
      <w:marBottom w:val="0"/>
      <w:divBdr>
        <w:top w:val="none" w:sz="0" w:space="0" w:color="auto"/>
        <w:left w:val="none" w:sz="0" w:space="0" w:color="auto"/>
        <w:bottom w:val="none" w:sz="0" w:space="0" w:color="auto"/>
        <w:right w:val="none" w:sz="0" w:space="0" w:color="auto"/>
      </w:divBdr>
    </w:div>
    <w:div w:id="1619991430">
      <w:bodyDiv w:val="1"/>
      <w:marLeft w:val="0"/>
      <w:marRight w:val="0"/>
      <w:marTop w:val="0"/>
      <w:marBottom w:val="0"/>
      <w:divBdr>
        <w:top w:val="none" w:sz="0" w:space="0" w:color="auto"/>
        <w:left w:val="none" w:sz="0" w:space="0" w:color="auto"/>
        <w:bottom w:val="none" w:sz="0" w:space="0" w:color="auto"/>
        <w:right w:val="none" w:sz="0" w:space="0" w:color="auto"/>
      </w:divBdr>
    </w:div>
    <w:div w:id="1708602707">
      <w:bodyDiv w:val="1"/>
      <w:marLeft w:val="0"/>
      <w:marRight w:val="0"/>
      <w:marTop w:val="0"/>
      <w:marBottom w:val="0"/>
      <w:divBdr>
        <w:top w:val="none" w:sz="0" w:space="0" w:color="auto"/>
        <w:left w:val="none" w:sz="0" w:space="0" w:color="auto"/>
        <w:bottom w:val="none" w:sz="0" w:space="0" w:color="auto"/>
        <w:right w:val="none" w:sz="0" w:space="0" w:color="auto"/>
      </w:divBdr>
      <w:divsChild>
        <w:div w:id="1131048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946383">
      <w:bodyDiv w:val="1"/>
      <w:marLeft w:val="0"/>
      <w:marRight w:val="0"/>
      <w:marTop w:val="0"/>
      <w:marBottom w:val="0"/>
      <w:divBdr>
        <w:top w:val="none" w:sz="0" w:space="0" w:color="auto"/>
        <w:left w:val="none" w:sz="0" w:space="0" w:color="auto"/>
        <w:bottom w:val="none" w:sz="0" w:space="0" w:color="auto"/>
        <w:right w:val="none" w:sz="0" w:space="0" w:color="auto"/>
      </w:divBdr>
    </w:div>
    <w:div w:id="1753428108">
      <w:bodyDiv w:val="1"/>
      <w:marLeft w:val="0"/>
      <w:marRight w:val="0"/>
      <w:marTop w:val="0"/>
      <w:marBottom w:val="0"/>
      <w:divBdr>
        <w:top w:val="none" w:sz="0" w:space="0" w:color="auto"/>
        <w:left w:val="none" w:sz="0" w:space="0" w:color="auto"/>
        <w:bottom w:val="none" w:sz="0" w:space="0" w:color="auto"/>
        <w:right w:val="none" w:sz="0" w:space="0" w:color="auto"/>
      </w:divBdr>
    </w:div>
    <w:div w:id="1842507894">
      <w:bodyDiv w:val="1"/>
      <w:marLeft w:val="0"/>
      <w:marRight w:val="0"/>
      <w:marTop w:val="0"/>
      <w:marBottom w:val="0"/>
      <w:divBdr>
        <w:top w:val="none" w:sz="0" w:space="0" w:color="auto"/>
        <w:left w:val="none" w:sz="0" w:space="0" w:color="auto"/>
        <w:bottom w:val="none" w:sz="0" w:space="0" w:color="auto"/>
        <w:right w:val="none" w:sz="0" w:space="0" w:color="auto"/>
      </w:divBdr>
      <w:divsChild>
        <w:div w:id="129729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508653">
      <w:bodyDiv w:val="1"/>
      <w:marLeft w:val="0"/>
      <w:marRight w:val="0"/>
      <w:marTop w:val="0"/>
      <w:marBottom w:val="0"/>
      <w:divBdr>
        <w:top w:val="none" w:sz="0" w:space="0" w:color="auto"/>
        <w:left w:val="none" w:sz="0" w:space="0" w:color="auto"/>
        <w:bottom w:val="none" w:sz="0" w:space="0" w:color="auto"/>
        <w:right w:val="none" w:sz="0" w:space="0" w:color="auto"/>
      </w:divBdr>
    </w:div>
    <w:div w:id="19373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gov/sites/ed/files/2019/11/Statute-for-website.pdf" TargetMode="External"/><Relationship Id="rId18" Type="http://schemas.openxmlformats.org/officeDocument/2006/relationships/hyperlink" Target="mailto:PCSGP@cde.ca.gov" TargetMode="External"/><Relationship Id="rId26" Type="http://schemas.openxmlformats.org/officeDocument/2006/relationships/hyperlink" Target="https://www.cde.ca.gov/fg/ac/ic/"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facweb.census.gov/uploadpdf.aspx" TargetMode="External"/><Relationship Id="rId7" Type="http://schemas.openxmlformats.org/officeDocument/2006/relationships/settings" Target="settings.xml"/><Relationship Id="rId12" Type="http://schemas.openxmlformats.org/officeDocument/2006/relationships/hyperlink" Target="mailto:PCSGP@cde.ca.gov" TargetMode="External"/><Relationship Id="rId17" Type="http://schemas.openxmlformats.org/officeDocument/2006/relationships/hyperlink" Target="https://www.documents.dgs.ca.gov/dgs/fmc/pdf/std204.pdf" TargetMode="External"/><Relationship Id="rId25" Type="http://schemas.openxmlformats.org/officeDocument/2006/relationships/hyperlink" Target="https://www.cde.ca.gov/sp/ai/tc/" TargetMode="External"/><Relationship Id="rId33" Type="http://schemas.openxmlformats.org/officeDocument/2006/relationships/hyperlink" Target="https://www.federalregister.gov/articles/2013/12/26/2013-30465/uniform-administrative-requirements-cost-principles-and-audit-requirements-for-federal-awards" TargetMode="External"/><Relationship Id="rId2" Type="http://schemas.openxmlformats.org/officeDocument/2006/relationships/customXml" Target="../customXml/item2.xml"/><Relationship Id="rId16" Type="http://schemas.openxmlformats.org/officeDocument/2006/relationships/hyperlink" Target="mailto:pcsgpg@cde.ca.gov"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m.gov/SAM/" TargetMode="External"/><Relationship Id="rId32" Type="http://schemas.openxmlformats.org/officeDocument/2006/relationships/hyperlink" Target="https://www.cde.ca.gov/ci/ct/sf/ctemcstandards.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e.ca.gov/fg/ac/ic/icrfaq.asp" TargetMode="External"/><Relationship Id="rId23" Type="http://schemas.openxmlformats.org/officeDocument/2006/relationships/footer" Target="footer2.xml"/><Relationship Id="rId28" Type="http://schemas.openxmlformats.org/officeDocument/2006/relationships/hyperlink" Target="https://www.documents.dgs.ca.gov/dgs/fmc/pdf/std204.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CSGP@cde.ca.gov" TargetMode="External"/><Relationship Id="rId31" Type="http://schemas.openxmlformats.org/officeDocument/2006/relationships/hyperlink" Target="https://www.cde.ca.gov/ci/ct/index.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 Id="rId22" Type="http://schemas.openxmlformats.org/officeDocument/2006/relationships/hyperlink" Target="https://www.cde.ca.gov/fg/ac/ic/icrfaq.asp" TargetMode="External"/><Relationship Id="rId27" Type="http://schemas.openxmlformats.org/officeDocument/2006/relationships/hyperlink" Target="https://facweb.census.gov/uploadpdf.aspx" TargetMode="External"/><Relationship Id="rId30" Type="http://schemas.openxmlformats.org/officeDocument/2006/relationships/footer" Target="footer4.xml"/><Relationship Id="rId35" Type="http://schemas.openxmlformats.org/officeDocument/2006/relationships/hyperlink" Target="https://www.calhr.ca.gov/employees/pages/travel-reimburs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55ba1b-07d5-491d-b3ed-fbe39fa990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0C69357511094BA0827856154BAF73" ma:contentTypeVersion="13" ma:contentTypeDescription="Create a new document." ma:contentTypeScope="" ma:versionID="7a72bd30140092b4601de7f9e69faebb">
  <xsd:schema xmlns:xsd="http://www.w3.org/2001/XMLSchema" xmlns:xs="http://www.w3.org/2001/XMLSchema" xmlns:p="http://schemas.microsoft.com/office/2006/metadata/properties" xmlns:ns3="b755ba1b-07d5-491d-b3ed-fbe39fa990ea" xmlns:ns4="b9c7cd0a-db52-4d4e-a65f-769741dd9e5c" targetNamespace="http://schemas.microsoft.com/office/2006/metadata/properties" ma:root="true" ma:fieldsID="028e4c9d6799ead59c8a9c2ef6fed526" ns3:_="" ns4:_="">
    <xsd:import namespace="b755ba1b-07d5-491d-b3ed-fbe39fa990ea"/>
    <xsd:import namespace="b9c7cd0a-db52-4d4e-a65f-769741dd9e5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5ba1b-07d5-491d-b3ed-fbe39fa99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7cd0a-db52-4d4e-a65f-769741dd9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61CC5-7235-4684-9A71-D413A875AE1C}">
  <ds:schemaRefs>
    <ds:schemaRef ds:uri="http://schemas.microsoft.com/office/2006/metadata/properties"/>
    <ds:schemaRef ds:uri="http://schemas.microsoft.com/office/infopath/2007/PartnerControls"/>
    <ds:schemaRef ds:uri="b755ba1b-07d5-491d-b3ed-fbe39fa990ea"/>
  </ds:schemaRefs>
</ds:datastoreItem>
</file>

<file path=customXml/itemProps2.xml><?xml version="1.0" encoding="utf-8"?>
<ds:datastoreItem xmlns:ds="http://schemas.openxmlformats.org/officeDocument/2006/customXml" ds:itemID="{6746F0CB-09E5-4EFA-981B-79C209BAE2B8}">
  <ds:schemaRefs>
    <ds:schemaRef ds:uri="http://schemas.openxmlformats.org/officeDocument/2006/bibliography"/>
  </ds:schemaRefs>
</ds:datastoreItem>
</file>

<file path=customXml/itemProps3.xml><?xml version="1.0" encoding="utf-8"?>
<ds:datastoreItem xmlns:ds="http://schemas.openxmlformats.org/officeDocument/2006/customXml" ds:itemID="{86D6D745-53E9-4D55-B97E-C0199AED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5ba1b-07d5-491d-b3ed-fbe39fa990ea"/>
    <ds:schemaRef ds:uri="b9c7cd0a-db52-4d4e-a65f-769741dd9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762F1-BBD5-495C-B32E-990E21BA6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17386</Words>
  <Characters>99102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RFA-25: PCSGP STACS (CA Dept of Education)</vt:lpstr>
    </vt:vector>
  </TitlesOfParts>
  <Company/>
  <LinksUpToDate>false</LinksUpToDate>
  <CharactersWithSpaces>116256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PCSGP STACS (CA Dept of Education)</dc:title>
  <dc:subject>Statewide Technical Assistance for Charter Schools Request for Applications.</dc:subject>
  <dc:creator/>
  <cp:keywords/>
  <dc:description/>
  <cp:lastModifiedBy/>
  <cp:revision>1</cp:revision>
  <dcterms:created xsi:type="dcterms:W3CDTF">2025-07-14T22:55:00Z</dcterms:created>
  <dcterms:modified xsi:type="dcterms:W3CDTF">2025-08-05T18:09:00Z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0x010100270C69357511094BA0827856154BAF73</vt:lpwstr>
  </property>
</Properties>
</file>