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2CF2" w14:textId="188F96AE" w:rsidR="00074442" w:rsidRPr="00561EAB" w:rsidRDefault="000B1024" w:rsidP="00381C33">
      <w:pPr>
        <w:pStyle w:val="Heading1"/>
        <w:spacing w:after="480"/>
      </w:pPr>
      <w:r w:rsidRPr="00381C33">
        <w:rPr>
          <w:sz w:val="44"/>
          <w:szCs w:val="44"/>
        </w:rPr>
        <w:t>21</w:t>
      </w:r>
      <w:r w:rsidRPr="00381C33">
        <w:rPr>
          <w:sz w:val="44"/>
          <w:szCs w:val="44"/>
          <w:vertAlign w:val="superscript"/>
        </w:rPr>
        <w:t>st</w:t>
      </w:r>
      <w:r w:rsidRPr="00381C33">
        <w:rPr>
          <w:sz w:val="44"/>
          <w:szCs w:val="44"/>
        </w:rPr>
        <w:t xml:space="preserve"> Century California School </w:t>
      </w:r>
      <w:r w:rsidR="00381C33">
        <w:rPr>
          <w:sz w:val="44"/>
          <w:szCs w:val="44"/>
        </w:rPr>
        <w:br/>
      </w:r>
      <w:r w:rsidRPr="00381C33">
        <w:rPr>
          <w:sz w:val="44"/>
          <w:szCs w:val="44"/>
        </w:rPr>
        <w:t>Leadership Academy</w:t>
      </w:r>
      <w:r w:rsidR="00F153FD" w:rsidRPr="00381C33">
        <w:rPr>
          <w:sz w:val="44"/>
          <w:szCs w:val="44"/>
        </w:rPr>
        <w:t xml:space="preserve"> </w:t>
      </w:r>
      <w:r w:rsidR="00E3368D" w:rsidRPr="00381C33">
        <w:rPr>
          <w:sz w:val="44"/>
          <w:szCs w:val="44"/>
        </w:rPr>
        <w:t>20</w:t>
      </w:r>
      <w:r w:rsidRPr="00381C33">
        <w:rPr>
          <w:sz w:val="44"/>
          <w:szCs w:val="44"/>
        </w:rPr>
        <w:t>23</w:t>
      </w:r>
      <w:r w:rsidR="00E3368D" w:rsidRPr="00381C33">
        <w:rPr>
          <w:sz w:val="44"/>
          <w:szCs w:val="44"/>
        </w:rPr>
        <w:t>–</w:t>
      </w:r>
      <w:r w:rsidRPr="00381C33">
        <w:rPr>
          <w:sz w:val="44"/>
          <w:szCs w:val="44"/>
        </w:rPr>
        <w:t>26</w:t>
      </w:r>
      <w:r w:rsidR="00381C33">
        <w:rPr>
          <w:sz w:val="44"/>
          <w:szCs w:val="44"/>
        </w:rPr>
        <w:br/>
      </w:r>
      <w:r w:rsidR="00294624" w:rsidRPr="00381C33">
        <w:rPr>
          <w:sz w:val="44"/>
          <w:szCs w:val="44"/>
        </w:rPr>
        <w:t xml:space="preserve">Cohort </w:t>
      </w:r>
      <w:r w:rsidR="004D5A47" w:rsidRPr="00381C33">
        <w:rPr>
          <w:sz w:val="44"/>
          <w:szCs w:val="44"/>
        </w:rPr>
        <w:t>2</w:t>
      </w:r>
      <w:r w:rsidR="00074442" w:rsidRPr="00381C33">
        <w:rPr>
          <w:sz w:val="44"/>
          <w:szCs w:val="44"/>
        </w:rPr>
        <w:t xml:space="preserve"> Application</w:t>
      </w:r>
    </w:p>
    <w:p w14:paraId="43A66E34" w14:textId="77777777" w:rsidR="00074442" w:rsidRPr="00074442" w:rsidRDefault="007C2FF9" w:rsidP="00591BAD">
      <w:pPr>
        <w:spacing w:after="480"/>
        <w:jc w:val="center"/>
        <w:rPr>
          <w:b/>
          <w:bCs/>
          <w:sz w:val="32"/>
        </w:rPr>
      </w:pPr>
      <w:r w:rsidRPr="0039319A">
        <w:rPr>
          <w:noProof/>
        </w:rPr>
        <w:drawing>
          <wp:inline distT="0" distB="0" distL="0" distR="0" wp14:anchorId="36366225" wp14:editId="5F5FFE88">
            <wp:extent cx="1676400" cy="1676400"/>
            <wp:effectExtent l="0" t="0" r="0" b="0"/>
            <wp:docPr id="1" name="Picture 4"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ial Seal of the California Department of Education"/>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rsidRPr="009206BC">
        <w:rPr>
          <w:noProof/>
        </w:rPr>
        <w:drawing>
          <wp:inline distT="0" distB="0" distL="0" distR="0" wp14:anchorId="00B48020" wp14:editId="27A40180">
            <wp:extent cx="1905000" cy="1524000"/>
            <wp:effectExtent l="0" t="0" r="0" b="0"/>
            <wp:docPr id="2" name="image2.jpeg" descr="California Collaborative for Educational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California Collaborative for Educational Excellen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14:paraId="22C14ACE" w14:textId="77777777" w:rsidR="00E37574" w:rsidRPr="002F505D" w:rsidRDefault="00E37574" w:rsidP="00E37574">
      <w:pPr>
        <w:spacing w:after="240"/>
        <w:jc w:val="center"/>
        <w:rPr>
          <w:rFonts w:cs="Arial"/>
          <w:b/>
          <w:color w:val="000000"/>
          <w:sz w:val="32"/>
          <w:szCs w:val="32"/>
        </w:rPr>
      </w:pPr>
      <w:r w:rsidRPr="002F505D">
        <w:rPr>
          <w:rFonts w:cs="Arial"/>
          <w:b/>
          <w:color w:val="000000"/>
          <w:sz w:val="32"/>
          <w:szCs w:val="32"/>
        </w:rPr>
        <w:t xml:space="preserve">Deadline for Applications: </w:t>
      </w:r>
    </w:p>
    <w:p w14:paraId="7C8B3B58" w14:textId="4E1DAF81" w:rsidR="00074442" w:rsidRPr="00074442" w:rsidRDefault="00E37574" w:rsidP="00EE6AA9">
      <w:pPr>
        <w:spacing w:after="1800"/>
        <w:jc w:val="center"/>
        <w:rPr>
          <w:b/>
          <w:bCs/>
          <w:sz w:val="28"/>
        </w:rPr>
      </w:pPr>
      <w:r w:rsidRPr="002F505D">
        <w:rPr>
          <w:rFonts w:cs="Arial"/>
          <w:b/>
          <w:color w:val="C00000"/>
          <w:sz w:val="32"/>
          <w:szCs w:val="32"/>
        </w:rPr>
        <w:t xml:space="preserve">Friday, </w:t>
      </w:r>
      <w:r>
        <w:rPr>
          <w:rFonts w:cs="Arial"/>
          <w:b/>
          <w:color w:val="C00000"/>
          <w:sz w:val="32"/>
          <w:szCs w:val="32"/>
        </w:rPr>
        <w:t>September 2, 2022</w:t>
      </w:r>
    </w:p>
    <w:p w14:paraId="32FA2B21" w14:textId="77777777" w:rsidR="00074442" w:rsidRPr="00074442" w:rsidRDefault="00074442" w:rsidP="00074442">
      <w:pPr>
        <w:jc w:val="center"/>
        <w:rPr>
          <w:bCs/>
          <w:sz w:val="28"/>
        </w:rPr>
      </w:pPr>
      <w:r w:rsidRPr="00074442">
        <w:rPr>
          <w:sz w:val="28"/>
        </w:rPr>
        <w:t>California Department of Education</w:t>
      </w:r>
    </w:p>
    <w:p w14:paraId="425558D8" w14:textId="77777777" w:rsidR="00074442" w:rsidRPr="00074442" w:rsidRDefault="000B1024" w:rsidP="00074442">
      <w:pPr>
        <w:jc w:val="center"/>
        <w:rPr>
          <w:bCs/>
          <w:sz w:val="28"/>
        </w:rPr>
      </w:pPr>
      <w:r>
        <w:rPr>
          <w:bCs/>
          <w:sz w:val="28"/>
        </w:rPr>
        <w:t>Educator Excellence and Equity</w:t>
      </w:r>
      <w:r w:rsidR="00074442" w:rsidRPr="00074442">
        <w:rPr>
          <w:bCs/>
          <w:sz w:val="28"/>
        </w:rPr>
        <w:t xml:space="preserve"> Division</w:t>
      </w:r>
    </w:p>
    <w:p w14:paraId="5F3E37B9" w14:textId="77777777" w:rsidR="00074442" w:rsidRPr="00074442" w:rsidRDefault="000B1024" w:rsidP="00074442">
      <w:pPr>
        <w:jc w:val="center"/>
        <w:rPr>
          <w:bCs/>
          <w:sz w:val="28"/>
        </w:rPr>
      </w:pPr>
      <w:r>
        <w:rPr>
          <w:bCs/>
          <w:sz w:val="28"/>
        </w:rPr>
        <w:t>Teacher and Leader Policy</w:t>
      </w:r>
      <w:r w:rsidR="00074442" w:rsidRPr="00074442">
        <w:rPr>
          <w:bCs/>
          <w:sz w:val="28"/>
        </w:rPr>
        <w:t xml:space="preserve"> Office</w:t>
      </w:r>
    </w:p>
    <w:p w14:paraId="70ECAB91" w14:textId="77777777" w:rsidR="00074442" w:rsidRPr="00074442" w:rsidRDefault="008C174D" w:rsidP="000B1024">
      <w:pPr>
        <w:tabs>
          <w:tab w:val="center" w:pos="4680"/>
          <w:tab w:val="left" w:pos="7515"/>
        </w:tabs>
        <w:rPr>
          <w:sz w:val="28"/>
          <w:szCs w:val="32"/>
        </w:rPr>
      </w:pPr>
      <w:r>
        <w:rPr>
          <w:sz w:val="28"/>
        </w:rPr>
        <w:tab/>
      </w:r>
      <w:r w:rsidR="00074442" w:rsidRPr="00074442">
        <w:rPr>
          <w:sz w:val="28"/>
          <w:szCs w:val="32"/>
        </w:rPr>
        <w:t xml:space="preserve">1430 N Street, Suite </w:t>
      </w:r>
      <w:r w:rsidR="000B1024">
        <w:rPr>
          <w:sz w:val="28"/>
          <w:szCs w:val="32"/>
        </w:rPr>
        <w:t>4309</w:t>
      </w:r>
    </w:p>
    <w:p w14:paraId="427EC114" w14:textId="77777777" w:rsidR="00074442" w:rsidRPr="00074442" w:rsidRDefault="00074442" w:rsidP="00074442">
      <w:pPr>
        <w:jc w:val="center"/>
        <w:rPr>
          <w:sz w:val="28"/>
          <w:szCs w:val="32"/>
        </w:rPr>
      </w:pPr>
      <w:r w:rsidRPr="00074442">
        <w:rPr>
          <w:sz w:val="28"/>
          <w:szCs w:val="32"/>
        </w:rPr>
        <w:t>Sacramento, CA 95814-5901</w:t>
      </w:r>
    </w:p>
    <w:p w14:paraId="5261528E" w14:textId="2605A38C" w:rsidR="001F7C78" w:rsidRPr="001F7C78" w:rsidRDefault="00074442" w:rsidP="001F7C78">
      <w:pPr>
        <w:spacing w:after="480"/>
        <w:jc w:val="center"/>
        <w:rPr>
          <w:noProof/>
        </w:rPr>
      </w:pPr>
      <w:r w:rsidRPr="00074442">
        <w:rPr>
          <w:sz w:val="28"/>
          <w:szCs w:val="32"/>
        </w:rPr>
        <w:t>916-</w:t>
      </w:r>
      <w:r w:rsidR="000B1024">
        <w:rPr>
          <w:sz w:val="28"/>
          <w:szCs w:val="32"/>
        </w:rPr>
        <w:t>445-7331</w:t>
      </w:r>
      <w:r w:rsidRPr="00074442">
        <w:rPr>
          <w:sz w:val="28"/>
          <w:szCs w:val="28"/>
        </w:rPr>
        <w:br w:type="page"/>
      </w:r>
      <w:bookmarkStart w:id="0" w:name="_Toc401229213"/>
      <w:r w:rsidR="00E065FF" w:rsidRPr="008B5889">
        <w:rPr>
          <w:rStyle w:val="Heading2Char"/>
        </w:rPr>
        <w:lastRenderedPageBreak/>
        <w:t>Table of Contents</w:t>
      </w:r>
      <w:bookmarkEnd w:id="0"/>
      <w:r w:rsidR="00E065FF" w:rsidRPr="000B1024">
        <w:rPr>
          <w:rFonts w:eastAsia="Calibri"/>
          <w:highlight w:val="yellow"/>
        </w:rPr>
        <w:fldChar w:fldCharType="begin"/>
      </w:r>
      <w:r w:rsidR="00E065FF" w:rsidRPr="000B1024">
        <w:rPr>
          <w:highlight w:val="yellow"/>
        </w:rPr>
        <w:instrText xml:space="preserve"> TOC \o "1-3" \h \z \u </w:instrText>
      </w:r>
      <w:r w:rsidR="00E065FF" w:rsidRPr="000B1024">
        <w:rPr>
          <w:rFonts w:eastAsia="Calibri"/>
          <w:highlight w:val="yellow"/>
        </w:rPr>
        <w:fldChar w:fldCharType="separate"/>
      </w:r>
    </w:p>
    <w:sdt>
      <w:sdtPr>
        <w:rPr>
          <w:rFonts w:cs="Times New Roman"/>
          <w:b w:val="0"/>
          <w:noProof/>
          <w:color w:val="auto"/>
          <w:sz w:val="24"/>
          <w:szCs w:val="24"/>
          <w:lang w:eastAsia="en-US"/>
        </w:rPr>
        <w:id w:val="-1533346461"/>
        <w:docPartObj>
          <w:docPartGallery w:val="Table of Contents"/>
          <w:docPartUnique/>
        </w:docPartObj>
      </w:sdtPr>
      <w:sdtEndPr>
        <w:rPr>
          <w:bCs/>
        </w:rPr>
      </w:sdtEndPr>
      <w:sdtContent>
        <w:p w14:paraId="7AA90473" w14:textId="4BF02449" w:rsidR="001F7C78" w:rsidRDefault="001F7C78" w:rsidP="001F7C78">
          <w:pPr>
            <w:pStyle w:val="TOCHeading"/>
            <w:jc w:val="left"/>
            <w:rPr>
              <w:noProof/>
            </w:rPr>
          </w:pPr>
        </w:p>
        <w:p w14:paraId="1A2B07DE" w14:textId="1277B9ED" w:rsidR="001F7C78" w:rsidRDefault="001F7C78">
          <w:pPr>
            <w:pStyle w:val="TOC2"/>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105571269" w:history="1">
            <w:r w:rsidRPr="00ED1F23">
              <w:rPr>
                <w:rStyle w:val="Hyperlink"/>
                <w:noProof/>
              </w:rPr>
              <w:t>21</w:t>
            </w:r>
            <w:r w:rsidR="00E25B69" w:rsidRPr="00E25B69">
              <w:rPr>
                <w:rStyle w:val="Hyperlink"/>
                <w:noProof/>
                <w:vertAlign w:val="superscript"/>
              </w:rPr>
              <w:t>st</w:t>
            </w:r>
            <w:r w:rsidR="00E25B69">
              <w:rPr>
                <w:rStyle w:val="Hyperlink"/>
                <w:noProof/>
              </w:rPr>
              <w:t xml:space="preserve"> </w:t>
            </w:r>
            <w:r w:rsidRPr="00ED1F23">
              <w:rPr>
                <w:rStyle w:val="Hyperlink"/>
                <w:noProof/>
              </w:rPr>
              <w:t>Century</w:t>
            </w:r>
            <w:r w:rsidR="00D67BF4">
              <w:rPr>
                <w:rStyle w:val="Hyperlink"/>
                <w:noProof/>
              </w:rPr>
              <w:t xml:space="preserve"> California</w:t>
            </w:r>
            <w:r w:rsidRPr="00ED1F23">
              <w:rPr>
                <w:rStyle w:val="Hyperlink"/>
                <w:noProof/>
              </w:rPr>
              <w:t xml:space="preserve"> School Leadership Academy Cohort 2 Application</w:t>
            </w:r>
            <w:r>
              <w:rPr>
                <w:noProof/>
                <w:webHidden/>
              </w:rPr>
              <w:tab/>
            </w:r>
            <w:r>
              <w:rPr>
                <w:noProof/>
                <w:webHidden/>
              </w:rPr>
              <w:fldChar w:fldCharType="begin"/>
            </w:r>
            <w:r>
              <w:rPr>
                <w:noProof/>
                <w:webHidden/>
              </w:rPr>
              <w:instrText xml:space="preserve"> PAGEREF _Toc105571269 \h </w:instrText>
            </w:r>
            <w:r>
              <w:rPr>
                <w:noProof/>
                <w:webHidden/>
              </w:rPr>
            </w:r>
            <w:r>
              <w:rPr>
                <w:noProof/>
                <w:webHidden/>
              </w:rPr>
              <w:fldChar w:fldCharType="separate"/>
            </w:r>
            <w:r w:rsidR="00771095">
              <w:rPr>
                <w:noProof/>
                <w:webHidden/>
              </w:rPr>
              <w:t>3</w:t>
            </w:r>
            <w:r>
              <w:rPr>
                <w:noProof/>
                <w:webHidden/>
              </w:rPr>
              <w:fldChar w:fldCharType="end"/>
            </w:r>
          </w:hyperlink>
        </w:p>
        <w:p w14:paraId="7FD998DA" w14:textId="1714EE16" w:rsidR="001F7C78" w:rsidRDefault="00000000">
          <w:pPr>
            <w:pStyle w:val="TOC3"/>
            <w:tabs>
              <w:tab w:val="right" w:leader="dot" w:pos="9350"/>
            </w:tabs>
            <w:rPr>
              <w:rFonts w:asciiTheme="minorHAnsi" w:eastAsiaTheme="minorEastAsia" w:hAnsiTheme="minorHAnsi" w:cstheme="minorBidi"/>
              <w:noProof/>
              <w:sz w:val="22"/>
              <w:szCs w:val="22"/>
            </w:rPr>
          </w:pPr>
          <w:hyperlink w:anchor="_Toc105571270" w:history="1">
            <w:r w:rsidR="001F7C78" w:rsidRPr="00ED1F23">
              <w:rPr>
                <w:rStyle w:val="Hyperlink"/>
                <w:noProof/>
              </w:rPr>
              <w:t>Background</w:t>
            </w:r>
            <w:r w:rsidR="001F7C78">
              <w:rPr>
                <w:noProof/>
                <w:webHidden/>
              </w:rPr>
              <w:tab/>
            </w:r>
            <w:r w:rsidR="001F7C78">
              <w:rPr>
                <w:noProof/>
                <w:webHidden/>
              </w:rPr>
              <w:fldChar w:fldCharType="begin"/>
            </w:r>
            <w:r w:rsidR="001F7C78">
              <w:rPr>
                <w:noProof/>
                <w:webHidden/>
              </w:rPr>
              <w:instrText xml:space="preserve"> PAGEREF _Toc105571270 \h </w:instrText>
            </w:r>
            <w:r w:rsidR="001F7C78">
              <w:rPr>
                <w:noProof/>
                <w:webHidden/>
              </w:rPr>
            </w:r>
            <w:r w:rsidR="001F7C78">
              <w:rPr>
                <w:noProof/>
                <w:webHidden/>
              </w:rPr>
              <w:fldChar w:fldCharType="separate"/>
            </w:r>
            <w:r w:rsidR="00771095">
              <w:rPr>
                <w:noProof/>
                <w:webHidden/>
              </w:rPr>
              <w:t>3</w:t>
            </w:r>
            <w:r w:rsidR="001F7C78">
              <w:rPr>
                <w:noProof/>
                <w:webHidden/>
              </w:rPr>
              <w:fldChar w:fldCharType="end"/>
            </w:r>
          </w:hyperlink>
        </w:p>
        <w:p w14:paraId="59C9CECB" w14:textId="24FDD90B" w:rsidR="001F7C78" w:rsidRDefault="00000000">
          <w:pPr>
            <w:pStyle w:val="TOC3"/>
            <w:tabs>
              <w:tab w:val="right" w:leader="dot" w:pos="9350"/>
            </w:tabs>
            <w:rPr>
              <w:rFonts w:asciiTheme="minorHAnsi" w:eastAsiaTheme="minorEastAsia" w:hAnsiTheme="minorHAnsi" w:cstheme="minorBidi"/>
              <w:noProof/>
              <w:sz w:val="22"/>
              <w:szCs w:val="22"/>
            </w:rPr>
          </w:pPr>
          <w:hyperlink w:anchor="_Toc105571271" w:history="1">
            <w:r w:rsidR="001F7C78" w:rsidRPr="00ED1F23">
              <w:rPr>
                <w:rStyle w:val="Hyperlink"/>
                <w:noProof/>
              </w:rPr>
              <w:t>Purpose</w:t>
            </w:r>
            <w:r w:rsidR="001F7C78">
              <w:rPr>
                <w:noProof/>
                <w:webHidden/>
              </w:rPr>
              <w:tab/>
            </w:r>
            <w:r w:rsidR="001F7C78">
              <w:rPr>
                <w:noProof/>
                <w:webHidden/>
              </w:rPr>
              <w:fldChar w:fldCharType="begin"/>
            </w:r>
            <w:r w:rsidR="001F7C78">
              <w:rPr>
                <w:noProof/>
                <w:webHidden/>
              </w:rPr>
              <w:instrText xml:space="preserve"> PAGEREF _Toc105571271 \h </w:instrText>
            </w:r>
            <w:r w:rsidR="001F7C78">
              <w:rPr>
                <w:noProof/>
                <w:webHidden/>
              </w:rPr>
            </w:r>
            <w:r w:rsidR="001F7C78">
              <w:rPr>
                <w:noProof/>
                <w:webHidden/>
              </w:rPr>
              <w:fldChar w:fldCharType="separate"/>
            </w:r>
            <w:r w:rsidR="00771095">
              <w:rPr>
                <w:noProof/>
                <w:webHidden/>
              </w:rPr>
              <w:t>3</w:t>
            </w:r>
            <w:r w:rsidR="001F7C78">
              <w:rPr>
                <w:noProof/>
                <w:webHidden/>
              </w:rPr>
              <w:fldChar w:fldCharType="end"/>
            </w:r>
          </w:hyperlink>
        </w:p>
        <w:p w14:paraId="2E0F154B" w14:textId="6E7B786A" w:rsidR="001F7C78" w:rsidRDefault="00000000">
          <w:pPr>
            <w:pStyle w:val="TOC3"/>
            <w:tabs>
              <w:tab w:val="right" w:leader="dot" w:pos="9350"/>
            </w:tabs>
            <w:rPr>
              <w:rFonts w:asciiTheme="minorHAnsi" w:eastAsiaTheme="minorEastAsia" w:hAnsiTheme="minorHAnsi" w:cstheme="minorBidi"/>
              <w:noProof/>
              <w:sz w:val="22"/>
              <w:szCs w:val="22"/>
            </w:rPr>
          </w:pPr>
          <w:hyperlink w:anchor="_Toc105571272" w:history="1">
            <w:r w:rsidR="001F7C78" w:rsidRPr="00ED1F23">
              <w:rPr>
                <w:rStyle w:val="Hyperlink"/>
                <w:noProof/>
              </w:rPr>
              <w:t>Timeline</w:t>
            </w:r>
            <w:r w:rsidR="001F7C78">
              <w:rPr>
                <w:noProof/>
                <w:webHidden/>
              </w:rPr>
              <w:tab/>
            </w:r>
            <w:r w:rsidR="001F7C78">
              <w:rPr>
                <w:noProof/>
                <w:webHidden/>
              </w:rPr>
              <w:fldChar w:fldCharType="begin"/>
            </w:r>
            <w:r w:rsidR="001F7C78">
              <w:rPr>
                <w:noProof/>
                <w:webHidden/>
              </w:rPr>
              <w:instrText xml:space="preserve"> PAGEREF _Toc105571272 \h </w:instrText>
            </w:r>
            <w:r w:rsidR="001F7C78">
              <w:rPr>
                <w:noProof/>
                <w:webHidden/>
              </w:rPr>
            </w:r>
            <w:r w:rsidR="001F7C78">
              <w:rPr>
                <w:noProof/>
                <w:webHidden/>
              </w:rPr>
              <w:fldChar w:fldCharType="separate"/>
            </w:r>
            <w:r w:rsidR="00771095">
              <w:rPr>
                <w:noProof/>
                <w:webHidden/>
              </w:rPr>
              <w:t>4</w:t>
            </w:r>
            <w:r w:rsidR="001F7C78">
              <w:rPr>
                <w:noProof/>
                <w:webHidden/>
              </w:rPr>
              <w:fldChar w:fldCharType="end"/>
            </w:r>
          </w:hyperlink>
        </w:p>
        <w:p w14:paraId="13B0A608" w14:textId="75A66024" w:rsidR="001F7C78" w:rsidRDefault="00000000">
          <w:pPr>
            <w:pStyle w:val="TOC3"/>
            <w:tabs>
              <w:tab w:val="right" w:leader="dot" w:pos="9350"/>
            </w:tabs>
            <w:rPr>
              <w:rFonts w:asciiTheme="minorHAnsi" w:eastAsiaTheme="minorEastAsia" w:hAnsiTheme="minorHAnsi" w:cstheme="minorBidi"/>
              <w:noProof/>
              <w:sz w:val="22"/>
              <w:szCs w:val="22"/>
            </w:rPr>
          </w:pPr>
          <w:hyperlink w:anchor="_Toc105571273" w:history="1">
            <w:r w:rsidR="001F7C78" w:rsidRPr="00ED1F23">
              <w:rPr>
                <w:rStyle w:val="Hyperlink"/>
                <w:noProof/>
              </w:rPr>
              <w:t>The Role of the 21st Century</w:t>
            </w:r>
            <w:r w:rsidR="00D67BF4">
              <w:rPr>
                <w:rStyle w:val="Hyperlink"/>
                <w:noProof/>
              </w:rPr>
              <w:t xml:space="preserve"> California</w:t>
            </w:r>
            <w:r w:rsidR="001F7C78" w:rsidRPr="00ED1F23">
              <w:rPr>
                <w:rStyle w:val="Hyperlink"/>
                <w:noProof/>
              </w:rPr>
              <w:t xml:space="preserve"> School Leadership Academy Center</w:t>
            </w:r>
            <w:r w:rsidR="001F7C78">
              <w:rPr>
                <w:noProof/>
                <w:webHidden/>
              </w:rPr>
              <w:tab/>
            </w:r>
            <w:r w:rsidR="001F7C78">
              <w:rPr>
                <w:noProof/>
                <w:webHidden/>
              </w:rPr>
              <w:fldChar w:fldCharType="begin"/>
            </w:r>
            <w:r w:rsidR="001F7C78">
              <w:rPr>
                <w:noProof/>
                <w:webHidden/>
              </w:rPr>
              <w:instrText xml:space="preserve"> PAGEREF _Toc105571273 \h </w:instrText>
            </w:r>
            <w:r w:rsidR="001F7C78">
              <w:rPr>
                <w:noProof/>
                <w:webHidden/>
              </w:rPr>
            </w:r>
            <w:r w:rsidR="001F7C78">
              <w:rPr>
                <w:noProof/>
                <w:webHidden/>
              </w:rPr>
              <w:fldChar w:fldCharType="separate"/>
            </w:r>
            <w:r w:rsidR="00771095">
              <w:rPr>
                <w:noProof/>
                <w:webHidden/>
              </w:rPr>
              <w:t>4</w:t>
            </w:r>
            <w:r w:rsidR="001F7C78">
              <w:rPr>
                <w:noProof/>
                <w:webHidden/>
              </w:rPr>
              <w:fldChar w:fldCharType="end"/>
            </w:r>
          </w:hyperlink>
        </w:p>
        <w:p w14:paraId="7ADE34D4" w14:textId="02464BBF" w:rsidR="001F7C78" w:rsidRDefault="00000000">
          <w:pPr>
            <w:pStyle w:val="TOC3"/>
            <w:tabs>
              <w:tab w:val="right" w:leader="dot" w:pos="9350"/>
            </w:tabs>
            <w:rPr>
              <w:rFonts w:asciiTheme="minorHAnsi" w:eastAsiaTheme="minorEastAsia" w:hAnsiTheme="minorHAnsi" w:cstheme="minorBidi"/>
              <w:noProof/>
              <w:sz w:val="22"/>
              <w:szCs w:val="22"/>
            </w:rPr>
          </w:pPr>
          <w:hyperlink w:anchor="_Toc105571274" w:history="1">
            <w:r w:rsidR="001F7C78" w:rsidRPr="00ED1F23">
              <w:rPr>
                <w:rStyle w:val="Hyperlink"/>
                <w:noProof/>
              </w:rPr>
              <w:t>Fiscal and Evaluation Modifications Implemented During Cohort 2</w:t>
            </w:r>
            <w:r w:rsidR="001F7C78">
              <w:rPr>
                <w:noProof/>
                <w:webHidden/>
              </w:rPr>
              <w:tab/>
            </w:r>
            <w:r w:rsidR="001F7C78">
              <w:rPr>
                <w:noProof/>
                <w:webHidden/>
              </w:rPr>
              <w:fldChar w:fldCharType="begin"/>
            </w:r>
            <w:r w:rsidR="001F7C78">
              <w:rPr>
                <w:noProof/>
                <w:webHidden/>
              </w:rPr>
              <w:instrText xml:space="preserve"> PAGEREF _Toc105571274 \h </w:instrText>
            </w:r>
            <w:r w:rsidR="001F7C78">
              <w:rPr>
                <w:noProof/>
                <w:webHidden/>
              </w:rPr>
            </w:r>
            <w:r w:rsidR="001F7C78">
              <w:rPr>
                <w:noProof/>
                <w:webHidden/>
              </w:rPr>
              <w:fldChar w:fldCharType="separate"/>
            </w:r>
            <w:r w:rsidR="00771095">
              <w:rPr>
                <w:noProof/>
                <w:webHidden/>
              </w:rPr>
              <w:t>5</w:t>
            </w:r>
            <w:r w:rsidR="001F7C78">
              <w:rPr>
                <w:noProof/>
                <w:webHidden/>
              </w:rPr>
              <w:fldChar w:fldCharType="end"/>
            </w:r>
          </w:hyperlink>
        </w:p>
        <w:p w14:paraId="399DA480" w14:textId="7C9BD5B5" w:rsidR="001F7C78" w:rsidRDefault="00000000">
          <w:pPr>
            <w:pStyle w:val="TOC3"/>
            <w:tabs>
              <w:tab w:val="right" w:leader="dot" w:pos="9350"/>
            </w:tabs>
            <w:rPr>
              <w:rFonts w:asciiTheme="minorHAnsi" w:eastAsiaTheme="minorEastAsia" w:hAnsiTheme="minorHAnsi" w:cstheme="minorBidi"/>
              <w:noProof/>
              <w:sz w:val="22"/>
              <w:szCs w:val="22"/>
            </w:rPr>
          </w:pPr>
          <w:hyperlink w:anchor="_Toc105571275" w:history="1">
            <w:r w:rsidR="001F7C78" w:rsidRPr="00ED1F23">
              <w:rPr>
                <w:rStyle w:val="Hyperlink"/>
                <w:noProof/>
              </w:rPr>
              <w:t>Grant Awards and Payments</w:t>
            </w:r>
            <w:r w:rsidR="001F7C78">
              <w:rPr>
                <w:noProof/>
                <w:webHidden/>
              </w:rPr>
              <w:tab/>
            </w:r>
            <w:r w:rsidR="001F7C78">
              <w:rPr>
                <w:noProof/>
                <w:webHidden/>
              </w:rPr>
              <w:fldChar w:fldCharType="begin"/>
            </w:r>
            <w:r w:rsidR="001F7C78">
              <w:rPr>
                <w:noProof/>
                <w:webHidden/>
              </w:rPr>
              <w:instrText xml:space="preserve"> PAGEREF _Toc105571275 \h </w:instrText>
            </w:r>
            <w:r w:rsidR="001F7C78">
              <w:rPr>
                <w:noProof/>
                <w:webHidden/>
              </w:rPr>
            </w:r>
            <w:r w:rsidR="001F7C78">
              <w:rPr>
                <w:noProof/>
                <w:webHidden/>
              </w:rPr>
              <w:fldChar w:fldCharType="separate"/>
            </w:r>
            <w:r w:rsidR="00771095">
              <w:rPr>
                <w:noProof/>
                <w:webHidden/>
              </w:rPr>
              <w:t>7</w:t>
            </w:r>
            <w:r w:rsidR="001F7C78">
              <w:rPr>
                <w:noProof/>
                <w:webHidden/>
              </w:rPr>
              <w:fldChar w:fldCharType="end"/>
            </w:r>
          </w:hyperlink>
        </w:p>
        <w:p w14:paraId="6FBC8329" w14:textId="40C7EFDC" w:rsidR="001F7C78" w:rsidRDefault="00000000">
          <w:pPr>
            <w:pStyle w:val="TOC2"/>
            <w:rPr>
              <w:rFonts w:asciiTheme="minorHAnsi" w:eastAsiaTheme="minorEastAsia" w:hAnsiTheme="minorHAnsi" w:cstheme="minorBidi"/>
              <w:noProof/>
              <w:sz w:val="22"/>
              <w:szCs w:val="22"/>
            </w:rPr>
          </w:pPr>
          <w:hyperlink w:anchor="_Toc105571276" w:history="1">
            <w:r w:rsidR="001F7C78" w:rsidRPr="00ED1F23">
              <w:rPr>
                <w:rStyle w:val="Hyperlink"/>
                <w:noProof/>
              </w:rPr>
              <w:t>21</w:t>
            </w:r>
            <w:r w:rsidR="001F7C78" w:rsidRPr="00ED1F23">
              <w:rPr>
                <w:rStyle w:val="Hyperlink"/>
                <w:noProof/>
                <w:vertAlign w:val="superscript"/>
              </w:rPr>
              <w:t>st</w:t>
            </w:r>
            <w:r w:rsidR="001F7C78" w:rsidRPr="00ED1F23">
              <w:rPr>
                <w:rStyle w:val="Hyperlink"/>
                <w:noProof/>
              </w:rPr>
              <w:t xml:space="preserve"> Century California School Leadership Academy: Regional Academy Cohort 2 Application</w:t>
            </w:r>
            <w:r w:rsidR="001F7C78">
              <w:rPr>
                <w:noProof/>
                <w:webHidden/>
              </w:rPr>
              <w:tab/>
            </w:r>
            <w:r w:rsidR="001F7C78">
              <w:rPr>
                <w:noProof/>
                <w:webHidden/>
              </w:rPr>
              <w:fldChar w:fldCharType="begin"/>
            </w:r>
            <w:r w:rsidR="001F7C78">
              <w:rPr>
                <w:noProof/>
                <w:webHidden/>
              </w:rPr>
              <w:instrText xml:space="preserve"> PAGEREF _Toc105571276 \h </w:instrText>
            </w:r>
            <w:r w:rsidR="001F7C78">
              <w:rPr>
                <w:noProof/>
                <w:webHidden/>
              </w:rPr>
            </w:r>
            <w:r w:rsidR="001F7C78">
              <w:rPr>
                <w:noProof/>
                <w:webHidden/>
              </w:rPr>
              <w:fldChar w:fldCharType="separate"/>
            </w:r>
            <w:r w:rsidR="00771095">
              <w:rPr>
                <w:noProof/>
                <w:webHidden/>
              </w:rPr>
              <w:t>7</w:t>
            </w:r>
            <w:r w:rsidR="001F7C78">
              <w:rPr>
                <w:noProof/>
                <w:webHidden/>
              </w:rPr>
              <w:fldChar w:fldCharType="end"/>
            </w:r>
          </w:hyperlink>
        </w:p>
        <w:p w14:paraId="2E00B2BB" w14:textId="401935F5" w:rsidR="001F7C78" w:rsidRDefault="00000000">
          <w:pPr>
            <w:pStyle w:val="TOC3"/>
            <w:tabs>
              <w:tab w:val="right" w:leader="dot" w:pos="9350"/>
            </w:tabs>
            <w:rPr>
              <w:rFonts w:asciiTheme="minorHAnsi" w:eastAsiaTheme="minorEastAsia" w:hAnsiTheme="minorHAnsi" w:cstheme="minorBidi"/>
              <w:noProof/>
              <w:sz w:val="22"/>
              <w:szCs w:val="22"/>
            </w:rPr>
          </w:pPr>
          <w:hyperlink w:anchor="_Toc105571277" w:history="1">
            <w:r w:rsidR="001F7C78" w:rsidRPr="00ED1F23">
              <w:rPr>
                <w:rStyle w:val="Hyperlink"/>
                <w:noProof/>
              </w:rPr>
              <w:t>Attachment/Assurance/Certification Instructions</w:t>
            </w:r>
            <w:r w:rsidR="001F7C78">
              <w:rPr>
                <w:noProof/>
                <w:webHidden/>
              </w:rPr>
              <w:tab/>
            </w:r>
            <w:r w:rsidR="001F7C78">
              <w:rPr>
                <w:noProof/>
                <w:webHidden/>
              </w:rPr>
              <w:fldChar w:fldCharType="begin"/>
            </w:r>
            <w:r w:rsidR="001F7C78">
              <w:rPr>
                <w:noProof/>
                <w:webHidden/>
              </w:rPr>
              <w:instrText xml:space="preserve"> PAGEREF _Toc105571277 \h </w:instrText>
            </w:r>
            <w:r w:rsidR="001F7C78">
              <w:rPr>
                <w:noProof/>
                <w:webHidden/>
              </w:rPr>
            </w:r>
            <w:r w:rsidR="001F7C78">
              <w:rPr>
                <w:noProof/>
                <w:webHidden/>
              </w:rPr>
              <w:fldChar w:fldCharType="separate"/>
            </w:r>
            <w:r w:rsidR="00771095">
              <w:rPr>
                <w:noProof/>
                <w:webHidden/>
              </w:rPr>
              <w:t>8</w:t>
            </w:r>
            <w:r w:rsidR="001F7C78">
              <w:rPr>
                <w:noProof/>
                <w:webHidden/>
              </w:rPr>
              <w:fldChar w:fldCharType="end"/>
            </w:r>
          </w:hyperlink>
        </w:p>
        <w:p w14:paraId="6BD58D11" w14:textId="7458E359" w:rsidR="001F7C78" w:rsidRDefault="00000000">
          <w:pPr>
            <w:pStyle w:val="TOC3"/>
            <w:tabs>
              <w:tab w:val="right" w:leader="dot" w:pos="9350"/>
            </w:tabs>
            <w:rPr>
              <w:rFonts w:asciiTheme="minorHAnsi" w:eastAsiaTheme="minorEastAsia" w:hAnsiTheme="minorHAnsi" w:cstheme="minorBidi"/>
              <w:noProof/>
              <w:sz w:val="22"/>
              <w:szCs w:val="22"/>
            </w:rPr>
          </w:pPr>
          <w:hyperlink w:anchor="_Toc105571278" w:history="1">
            <w:r w:rsidR="001F7C78" w:rsidRPr="00ED1F23">
              <w:rPr>
                <w:rStyle w:val="Hyperlink"/>
                <w:noProof/>
              </w:rPr>
              <w:t>21</w:t>
            </w:r>
            <w:r w:rsidR="000B19EF" w:rsidRPr="000B19EF">
              <w:rPr>
                <w:rStyle w:val="Hyperlink"/>
                <w:noProof/>
                <w:vertAlign w:val="superscript"/>
              </w:rPr>
              <w:t>st</w:t>
            </w:r>
            <w:r w:rsidR="000B19EF">
              <w:rPr>
                <w:rStyle w:val="Hyperlink"/>
                <w:noProof/>
              </w:rPr>
              <w:t xml:space="preserve"> </w:t>
            </w:r>
            <w:r w:rsidR="001F7C78" w:rsidRPr="00ED1F23">
              <w:rPr>
                <w:rStyle w:val="Hyperlink"/>
                <w:noProof/>
              </w:rPr>
              <w:t>C</w:t>
            </w:r>
            <w:r w:rsidR="000B19EF">
              <w:rPr>
                <w:rStyle w:val="Hyperlink"/>
                <w:noProof/>
              </w:rPr>
              <w:t xml:space="preserve">entury California School </w:t>
            </w:r>
            <w:r w:rsidR="001F7C78" w:rsidRPr="00ED1F23">
              <w:rPr>
                <w:rStyle w:val="Hyperlink"/>
                <w:noProof/>
              </w:rPr>
              <w:t>L</w:t>
            </w:r>
            <w:r w:rsidR="000B19EF">
              <w:rPr>
                <w:rStyle w:val="Hyperlink"/>
                <w:noProof/>
              </w:rPr>
              <w:t xml:space="preserve">eadership </w:t>
            </w:r>
            <w:r w:rsidR="001F7C78" w:rsidRPr="00ED1F23">
              <w:rPr>
                <w:rStyle w:val="Hyperlink"/>
                <w:noProof/>
              </w:rPr>
              <w:t>A</w:t>
            </w:r>
            <w:r w:rsidR="000B19EF">
              <w:rPr>
                <w:rStyle w:val="Hyperlink"/>
                <w:noProof/>
              </w:rPr>
              <w:t>cademy:</w:t>
            </w:r>
            <w:r w:rsidR="001F7C78" w:rsidRPr="00ED1F23">
              <w:rPr>
                <w:rStyle w:val="Hyperlink"/>
                <w:noProof/>
              </w:rPr>
              <w:t xml:space="preserve"> Regional Academy Acknowledgements</w:t>
            </w:r>
            <w:r w:rsidR="001F7C78">
              <w:rPr>
                <w:noProof/>
                <w:webHidden/>
              </w:rPr>
              <w:tab/>
            </w:r>
            <w:r w:rsidR="001F7C78">
              <w:rPr>
                <w:noProof/>
                <w:webHidden/>
              </w:rPr>
              <w:fldChar w:fldCharType="begin"/>
            </w:r>
            <w:r w:rsidR="001F7C78">
              <w:rPr>
                <w:noProof/>
                <w:webHidden/>
              </w:rPr>
              <w:instrText xml:space="preserve"> PAGEREF _Toc105571278 \h </w:instrText>
            </w:r>
            <w:r w:rsidR="001F7C78">
              <w:rPr>
                <w:noProof/>
                <w:webHidden/>
              </w:rPr>
            </w:r>
            <w:r w:rsidR="001F7C78">
              <w:rPr>
                <w:noProof/>
                <w:webHidden/>
              </w:rPr>
              <w:fldChar w:fldCharType="separate"/>
            </w:r>
            <w:r w:rsidR="00771095">
              <w:rPr>
                <w:noProof/>
                <w:webHidden/>
              </w:rPr>
              <w:t>8</w:t>
            </w:r>
            <w:r w:rsidR="001F7C78">
              <w:rPr>
                <w:noProof/>
                <w:webHidden/>
              </w:rPr>
              <w:fldChar w:fldCharType="end"/>
            </w:r>
          </w:hyperlink>
        </w:p>
        <w:p w14:paraId="7A91BCE8" w14:textId="0B73F0C3" w:rsidR="001F7C78" w:rsidRDefault="00000000">
          <w:pPr>
            <w:pStyle w:val="TOC2"/>
            <w:rPr>
              <w:rFonts w:asciiTheme="minorHAnsi" w:eastAsiaTheme="minorEastAsia" w:hAnsiTheme="minorHAnsi" w:cstheme="minorBidi"/>
              <w:noProof/>
              <w:sz w:val="22"/>
              <w:szCs w:val="22"/>
            </w:rPr>
          </w:pPr>
          <w:hyperlink w:anchor="_Toc105571279" w:history="1">
            <w:r w:rsidR="001F7C78" w:rsidRPr="00ED1F23">
              <w:rPr>
                <w:rStyle w:val="Hyperlink"/>
                <w:noProof/>
              </w:rPr>
              <w:t>21</w:t>
            </w:r>
            <w:r w:rsidR="001F7C78" w:rsidRPr="00ED1F23">
              <w:rPr>
                <w:rStyle w:val="Hyperlink"/>
                <w:noProof/>
                <w:vertAlign w:val="superscript"/>
              </w:rPr>
              <w:t>st</w:t>
            </w:r>
            <w:r w:rsidR="001F7C78" w:rsidRPr="00ED1F23">
              <w:rPr>
                <w:rStyle w:val="Hyperlink"/>
                <w:noProof/>
              </w:rPr>
              <w:t xml:space="preserve"> Century California School Leadership Academy: Center Cohort 2 Application</w:t>
            </w:r>
            <w:r w:rsidR="001F7C78">
              <w:rPr>
                <w:noProof/>
                <w:webHidden/>
              </w:rPr>
              <w:tab/>
            </w:r>
            <w:r w:rsidR="001F7C78">
              <w:rPr>
                <w:noProof/>
                <w:webHidden/>
              </w:rPr>
              <w:fldChar w:fldCharType="begin"/>
            </w:r>
            <w:r w:rsidR="001F7C78">
              <w:rPr>
                <w:noProof/>
                <w:webHidden/>
              </w:rPr>
              <w:instrText xml:space="preserve"> PAGEREF _Toc105571279 \h </w:instrText>
            </w:r>
            <w:r w:rsidR="001F7C78">
              <w:rPr>
                <w:noProof/>
                <w:webHidden/>
              </w:rPr>
            </w:r>
            <w:r w:rsidR="001F7C78">
              <w:rPr>
                <w:noProof/>
                <w:webHidden/>
              </w:rPr>
              <w:fldChar w:fldCharType="separate"/>
            </w:r>
            <w:r w:rsidR="00771095">
              <w:rPr>
                <w:noProof/>
                <w:webHidden/>
              </w:rPr>
              <w:t>9</w:t>
            </w:r>
            <w:r w:rsidR="001F7C78">
              <w:rPr>
                <w:noProof/>
                <w:webHidden/>
              </w:rPr>
              <w:fldChar w:fldCharType="end"/>
            </w:r>
          </w:hyperlink>
        </w:p>
        <w:p w14:paraId="44091AAD" w14:textId="2B112812" w:rsidR="001F7C78" w:rsidRDefault="00000000">
          <w:pPr>
            <w:pStyle w:val="TOC3"/>
            <w:tabs>
              <w:tab w:val="right" w:leader="dot" w:pos="9350"/>
            </w:tabs>
            <w:rPr>
              <w:rFonts w:asciiTheme="minorHAnsi" w:eastAsiaTheme="minorEastAsia" w:hAnsiTheme="minorHAnsi" w:cstheme="minorBidi"/>
              <w:noProof/>
              <w:sz w:val="22"/>
              <w:szCs w:val="22"/>
            </w:rPr>
          </w:pPr>
          <w:hyperlink w:anchor="_Toc105571280" w:history="1">
            <w:r w:rsidR="001F7C78" w:rsidRPr="00ED1F23">
              <w:rPr>
                <w:rStyle w:val="Hyperlink"/>
                <w:noProof/>
              </w:rPr>
              <w:t>Attachment/Assurance/Certification Instructions</w:t>
            </w:r>
            <w:r w:rsidR="001F7C78">
              <w:rPr>
                <w:noProof/>
                <w:webHidden/>
              </w:rPr>
              <w:tab/>
            </w:r>
            <w:r w:rsidR="001F7C78">
              <w:rPr>
                <w:noProof/>
                <w:webHidden/>
              </w:rPr>
              <w:fldChar w:fldCharType="begin"/>
            </w:r>
            <w:r w:rsidR="001F7C78">
              <w:rPr>
                <w:noProof/>
                <w:webHidden/>
              </w:rPr>
              <w:instrText xml:space="preserve"> PAGEREF _Toc105571280 \h </w:instrText>
            </w:r>
            <w:r w:rsidR="001F7C78">
              <w:rPr>
                <w:noProof/>
                <w:webHidden/>
              </w:rPr>
            </w:r>
            <w:r w:rsidR="001F7C78">
              <w:rPr>
                <w:noProof/>
                <w:webHidden/>
              </w:rPr>
              <w:fldChar w:fldCharType="separate"/>
            </w:r>
            <w:r w:rsidR="00771095">
              <w:rPr>
                <w:noProof/>
                <w:webHidden/>
              </w:rPr>
              <w:t>10</w:t>
            </w:r>
            <w:r w:rsidR="001F7C78">
              <w:rPr>
                <w:noProof/>
                <w:webHidden/>
              </w:rPr>
              <w:fldChar w:fldCharType="end"/>
            </w:r>
          </w:hyperlink>
        </w:p>
        <w:p w14:paraId="2C512535" w14:textId="507221F2" w:rsidR="001F7C78" w:rsidRDefault="00000000">
          <w:pPr>
            <w:pStyle w:val="TOC3"/>
            <w:tabs>
              <w:tab w:val="right" w:leader="dot" w:pos="9350"/>
            </w:tabs>
            <w:rPr>
              <w:rFonts w:asciiTheme="minorHAnsi" w:eastAsiaTheme="minorEastAsia" w:hAnsiTheme="minorHAnsi" w:cstheme="minorBidi"/>
              <w:noProof/>
              <w:sz w:val="22"/>
              <w:szCs w:val="22"/>
            </w:rPr>
          </w:pPr>
          <w:hyperlink w:anchor="_Toc105571281" w:history="1">
            <w:r w:rsidR="001F7C78" w:rsidRPr="00ED1F23">
              <w:rPr>
                <w:rStyle w:val="Hyperlink"/>
                <w:noProof/>
              </w:rPr>
              <w:t>21</w:t>
            </w:r>
            <w:r w:rsidR="000B19EF" w:rsidRPr="000B19EF">
              <w:rPr>
                <w:rStyle w:val="Hyperlink"/>
                <w:noProof/>
                <w:vertAlign w:val="superscript"/>
              </w:rPr>
              <w:t>st</w:t>
            </w:r>
            <w:r w:rsidR="000B19EF">
              <w:rPr>
                <w:rStyle w:val="Hyperlink"/>
                <w:noProof/>
              </w:rPr>
              <w:t xml:space="preserve"> Century California </w:t>
            </w:r>
            <w:r w:rsidR="001F7C78" w:rsidRPr="00ED1F23">
              <w:rPr>
                <w:rStyle w:val="Hyperlink"/>
                <w:noProof/>
              </w:rPr>
              <w:t>S</w:t>
            </w:r>
            <w:r w:rsidR="000B19EF">
              <w:rPr>
                <w:rStyle w:val="Hyperlink"/>
                <w:noProof/>
              </w:rPr>
              <w:t xml:space="preserve">chool </w:t>
            </w:r>
            <w:r w:rsidR="001F7C78" w:rsidRPr="00ED1F23">
              <w:rPr>
                <w:rStyle w:val="Hyperlink"/>
                <w:noProof/>
              </w:rPr>
              <w:t>L</w:t>
            </w:r>
            <w:r w:rsidR="000B19EF">
              <w:rPr>
                <w:rStyle w:val="Hyperlink"/>
                <w:noProof/>
              </w:rPr>
              <w:t xml:space="preserve">eadership </w:t>
            </w:r>
            <w:r w:rsidR="001F7C78" w:rsidRPr="00ED1F23">
              <w:rPr>
                <w:rStyle w:val="Hyperlink"/>
                <w:noProof/>
              </w:rPr>
              <w:t>A</w:t>
            </w:r>
            <w:r w:rsidR="000B19EF">
              <w:rPr>
                <w:rStyle w:val="Hyperlink"/>
                <w:noProof/>
              </w:rPr>
              <w:t>cademy:</w:t>
            </w:r>
            <w:r w:rsidR="001F7C78" w:rsidRPr="00ED1F23">
              <w:rPr>
                <w:rStyle w:val="Hyperlink"/>
                <w:noProof/>
              </w:rPr>
              <w:t xml:space="preserve"> Center Acknowledgements</w:t>
            </w:r>
            <w:r w:rsidR="001F7C78">
              <w:rPr>
                <w:noProof/>
                <w:webHidden/>
              </w:rPr>
              <w:tab/>
            </w:r>
            <w:r w:rsidR="001F7C78">
              <w:rPr>
                <w:noProof/>
                <w:webHidden/>
              </w:rPr>
              <w:fldChar w:fldCharType="begin"/>
            </w:r>
            <w:r w:rsidR="001F7C78">
              <w:rPr>
                <w:noProof/>
                <w:webHidden/>
              </w:rPr>
              <w:instrText xml:space="preserve"> PAGEREF _Toc105571281 \h </w:instrText>
            </w:r>
            <w:r w:rsidR="001F7C78">
              <w:rPr>
                <w:noProof/>
                <w:webHidden/>
              </w:rPr>
            </w:r>
            <w:r w:rsidR="001F7C78">
              <w:rPr>
                <w:noProof/>
                <w:webHidden/>
              </w:rPr>
              <w:fldChar w:fldCharType="separate"/>
            </w:r>
            <w:r w:rsidR="00771095">
              <w:rPr>
                <w:noProof/>
                <w:webHidden/>
              </w:rPr>
              <w:t>10</w:t>
            </w:r>
            <w:r w:rsidR="001F7C78">
              <w:rPr>
                <w:noProof/>
                <w:webHidden/>
              </w:rPr>
              <w:fldChar w:fldCharType="end"/>
            </w:r>
          </w:hyperlink>
        </w:p>
        <w:p w14:paraId="400D2B3C" w14:textId="47471DFB" w:rsidR="001F7C78" w:rsidRDefault="00000000">
          <w:pPr>
            <w:pStyle w:val="TOC2"/>
            <w:rPr>
              <w:rFonts w:asciiTheme="minorHAnsi" w:eastAsiaTheme="minorEastAsia" w:hAnsiTheme="minorHAnsi" w:cstheme="minorBidi"/>
              <w:noProof/>
              <w:sz w:val="22"/>
              <w:szCs w:val="22"/>
            </w:rPr>
          </w:pPr>
          <w:hyperlink w:anchor="_Toc105571282" w:history="1">
            <w:r w:rsidR="001F7C78" w:rsidRPr="00ED1F23">
              <w:rPr>
                <w:rStyle w:val="Hyperlink"/>
                <w:noProof/>
              </w:rPr>
              <w:t>Appendix A: 21st Century California School Leadership Academy Scoring Rubric for Cohort 2 Renewal Application: Regional Academies</w:t>
            </w:r>
            <w:r w:rsidR="001F7C78">
              <w:rPr>
                <w:noProof/>
                <w:webHidden/>
              </w:rPr>
              <w:tab/>
            </w:r>
            <w:r w:rsidR="001F7C78">
              <w:rPr>
                <w:noProof/>
                <w:webHidden/>
              </w:rPr>
              <w:fldChar w:fldCharType="begin"/>
            </w:r>
            <w:r w:rsidR="001F7C78">
              <w:rPr>
                <w:noProof/>
                <w:webHidden/>
              </w:rPr>
              <w:instrText xml:space="preserve"> PAGEREF _Toc105571282 \h </w:instrText>
            </w:r>
            <w:r w:rsidR="001F7C78">
              <w:rPr>
                <w:noProof/>
                <w:webHidden/>
              </w:rPr>
            </w:r>
            <w:r w:rsidR="001F7C78">
              <w:rPr>
                <w:noProof/>
                <w:webHidden/>
              </w:rPr>
              <w:fldChar w:fldCharType="separate"/>
            </w:r>
            <w:r w:rsidR="00771095">
              <w:rPr>
                <w:noProof/>
                <w:webHidden/>
              </w:rPr>
              <w:t>12</w:t>
            </w:r>
            <w:r w:rsidR="001F7C78">
              <w:rPr>
                <w:noProof/>
                <w:webHidden/>
              </w:rPr>
              <w:fldChar w:fldCharType="end"/>
            </w:r>
          </w:hyperlink>
        </w:p>
        <w:p w14:paraId="5440737D" w14:textId="7F1CAF57" w:rsidR="001F7C78" w:rsidRDefault="00000000">
          <w:pPr>
            <w:pStyle w:val="TOC2"/>
            <w:rPr>
              <w:rFonts w:asciiTheme="minorHAnsi" w:eastAsiaTheme="minorEastAsia" w:hAnsiTheme="minorHAnsi" w:cstheme="minorBidi"/>
              <w:noProof/>
              <w:sz w:val="22"/>
              <w:szCs w:val="22"/>
            </w:rPr>
          </w:pPr>
          <w:hyperlink w:anchor="_Toc105571283" w:history="1">
            <w:r w:rsidR="001F7C78" w:rsidRPr="00ED1F23">
              <w:rPr>
                <w:rStyle w:val="Hyperlink"/>
                <w:noProof/>
              </w:rPr>
              <w:t>Appendix B: 21st Century California School Leadership Academy Scoring Rubric for Cohort 2 Renewal Application: Center</w:t>
            </w:r>
            <w:r w:rsidR="001F7C78">
              <w:rPr>
                <w:noProof/>
                <w:webHidden/>
              </w:rPr>
              <w:tab/>
            </w:r>
            <w:r w:rsidR="001F7C78">
              <w:rPr>
                <w:noProof/>
                <w:webHidden/>
              </w:rPr>
              <w:fldChar w:fldCharType="begin"/>
            </w:r>
            <w:r w:rsidR="001F7C78">
              <w:rPr>
                <w:noProof/>
                <w:webHidden/>
              </w:rPr>
              <w:instrText xml:space="preserve"> PAGEREF _Toc105571283 \h </w:instrText>
            </w:r>
            <w:r w:rsidR="001F7C78">
              <w:rPr>
                <w:noProof/>
                <w:webHidden/>
              </w:rPr>
            </w:r>
            <w:r w:rsidR="001F7C78">
              <w:rPr>
                <w:noProof/>
                <w:webHidden/>
              </w:rPr>
              <w:fldChar w:fldCharType="separate"/>
            </w:r>
            <w:r w:rsidR="00771095">
              <w:rPr>
                <w:noProof/>
                <w:webHidden/>
              </w:rPr>
              <w:t>14</w:t>
            </w:r>
            <w:r w:rsidR="001F7C78">
              <w:rPr>
                <w:noProof/>
                <w:webHidden/>
              </w:rPr>
              <w:fldChar w:fldCharType="end"/>
            </w:r>
          </w:hyperlink>
        </w:p>
        <w:p w14:paraId="479B6251" w14:textId="0D97400D" w:rsidR="001F7C78" w:rsidRDefault="00000000">
          <w:pPr>
            <w:pStyle w:val="TOC2"/>
            <w:rPr>
              <w:rFonts w:asciiTheme="minorHAnsi" w:eastAsiaTheme="minorEastAsia" w:hAnsiTheme="minorHAnsi" w:cstheme="minorBidi"/>
              <w:noProof/>
              <w:sz w:val="22"/>
              <w:szCs w:val="22"/>
            </w:rPr>
          </w:pPr>
          <w:hyperlink w:anchor="_Toc105571284" w:history="1">
            <w:r w:rsidR="001F7C78" w:rsidRPr="00ED1F23">
              <w:rPr>
                <w:rStyle w:val="Hyperlink"/>
                <w:noProof/>
              </w:rPr>
              <w:t>Appendix C: 21st Century California School Leadership Academy Scoring Rubric for Cohort 2 Metrics: Regional Academies</w:t>
            </w:r>
            <w:r w:rsidR="001F7C78">
              <w:rPr>
                <w:noProof/>
                <w:webHidden/>
              </w:rPr>
              <w:tab/>
            </w:r>
            <w:r w:rsidR="001F7C78">
              <w:rPr>
                <w:noProof/>
                <w:webHidden/>
              </w:rPr>
              <w:fldChar w:fldCharType="begin"/>
            </w:r>
            <w:r w:rsidR="001F7C78">
              <w:rPr>
                <w:noProof/>
                <w:webHidden/>
              </w:rPr>
              <w:instrText xml:space="preserve"> PAGEREF _Toc105571284 \h </w:instrText>
            </w:r>
            <w:r w:rsidR="001F7C78">
              <w:rPr>
                <w:noProof/>
                <w:webHidden/>
              </w:rPr>
            </w:r>
            <w:r w:rsidR="001F7C78">
              <w:rPr>
                <w:noProof/>
                <w:webHidden/>
              </w:rPr>
              <w:fldChar w:fldCharType="separate"/>
            </w:r>
            <w:r w:rsidR="00771095">
              <w:rPr>
                <w:noProof/>
                <w:webHidden/>
              </w:rPr>
              <w:t>16</w:t>
            </w:r>
            <w:r w:rsidR="001F7C78">
              <w:rPr>
                <w:noProof/>
                <w:webHidden/>
              </w:rPr>
              <w:fldChar w:fldCharType="end"/>
            </w:r>
          </w:hyperlink>
        </w:p>
        <w:p w14:paraId="2F17AA73" w14:textId="54A60DF3" w:rsidR="001F7C78" w:rsidRDefault="00000000">
          <w:pPr>
            <w:pStyle w:val="TOC2"/>
            <w:rPr>
              <w:rFonts w:asciiTheme="minorHAnsi" w:eastAsiaTheme="minorEastAsia" w:hAnsiTheme="minorHAnsi" w:cstheme="minorBidi"/>
              <w:noProof/>
              <w:sz w:val="22"/>
              <w:szCs w:val="22"/>
            </w:rPr>
          </w:pPr>
          <w:hyperlink w:anchor="_Toc105571285" w:history="1">
            <w:r w:rsidR="001F7C78" w:rsidRPr="00ED1F23">
              <w:rPr>
                <w:rStyle w:val="Hyperlink"/>
                <w:noProof/>
              </w:rPr>
              <w:t>Appendix D: 21st Century California School Leadership Academy Scoring Rubric for Cohort 2 Metrics: Center</w:t>
            </w:r>
            <w:r w:rsidR="001F7C78">
              <w:rPr>
                <w:noProof/>
                <w:webHidden/>
              </w:rPr>
              <w:tab/>
            </w:r>
            <w:r w:rsidR="001F7C78">
              <w:rPr>
                <w:noProof/>
                <w:webHidden/>
              </w:rPr>
              <w:fldChar w:fldCharType="begin"/>
            </w:r>
            <w:r w:rsidR="001F7C78">
              <w:rPr>
                <w:noProof/>
                <w:webHidden/>
              </w:rPr>
              <w:instrText xml:space="preserve"> PAGEREF _Toc105571285 \h </w:instrText>
            </w:r>
            <w:r w:rsidR="001F7C78">
              <w:rPr>
                <w:noProof/>
                <w:webHidden/>
              </w:rPr>
            </w:r>
            <w:r w:rsidR="001F7C78">
              <w:rPr>
                <w:noProof/>
                <w:webHidden/>
              </w:rPr>
              <w:fldChar w:fldCharType="separate"/>
            </w:r>
            <w:r w:rsidR="00771095">
              <w:rPr>
                <w:noProof/>
                <w:webHidden/>
              </w:rPr>
              <w:t>19</w:t>
            </w:r>
            <w:r w:rsidR="001F7C78">
              <w:rPr>
                <w:noProof/>
                <w:webHidden/>
              </w:rPr>
              <w:fldChar w:fldCharType="end"/>
            </w:r>
          </w:hyperlink>
        </w:p>
        <w:p w14:paraId="337C5FA2" w14:textId="2822FA64" w:rsidR="00551793" w:rsidRPr="001F7C78" w:rsidRDefault="001F7C78" w:rsidP="001F7C78">
          <w:pPr>
            <w:rPr>
              <w:noProof/>
            </w:rPr>
          </w:pPr>
          <w:r>
            <w:rPr>
              <w:b/>
              <w:bCs/>
              <w:noProof/>
            </w:rPr>
            <w:fldChar w:fldCharType="end"/>
          </w:r>
        </w:p>
      </w:sdtContent>
    </w:sdt>
    <w:p w14:paraId="723563E9" w14:textId="02D7B40D" w:rsidR="00074442" w:rsidRDefault="00E065FF" w:rsidP="001F7C78">
      <w:r w:rsidRPr="000B1024">
        <w:rPr>
          <w:rFonts w:cs="Arial"/>
          <w:bCs/>
          <w:noProof/>
          <w:highlight w:val="yellow"/>
        </w:rPr>
        <w:fldChar w:fldCharType="end"/>
      </w:r>
      <w:r w:rsidR="00074442" w:rsidRPr="00074442">
        <w:br w:type="page"/>
      </w:r>
    </w:p>
    <w:p w14:paraId="62F4BF17" w14:textId="1CCA2D1D" w:rsidR="00074442" w:rsidRPr="00816E89" w:rsidRDefault="00C13E9B" w:rsidP="0096431C">
      <w:pPr>
        <w:pStyle w:val="Heading2"/>
        <w:spacing w:before="480"/>
      </w:pPr>
      <w:bookmarkStart w:id="1" w:name="_Toc104968438"/>
      <w:bookmarkStart w:id="2" w:name="_Toc105571269"/>
      <w:r w:rsidRPr="00E42546">
        <w:lastRenderedPageBreak/>
        <w:t>21</w:t>
      </w:r>
      <w:r w:rsidR="00DD53E1" w:rsidRPr="00DD53E1">
        <w:rPr>
          <w:vertAlign w:val="superscript"/>
        </w:rPr>
        <w:t>st</w:t>
      </w:r>
      <w:r w:rsidR="00DD53E1">
        <w:t xml:space="preserve"> </w:t>
      </w:r>
      <w:r w:rsidRPr="00E42546">
        <w:t xml:space="preserve">Century </w:t>
      </w:r>
      <w:r w:rsidR="008831DD">
        <w:t xml:space="preserve">California </w:t>
      </w:r>
      <w:r w:rsidRPr="00E42546">
        <w:t>School Leadership Academy</w:t>
      </w:r>
      <w:r w:rsidR="00363203">
        <w:t xml:space="preserve"> Cohort </w:t>
      </w:r>
      <w:r w:rsidR="004D5A47">
        <w:t>2</w:t>
      </w:r>
      <w:r w:rsidR="005F21B3" w:rsidRPr="00816E89">
        <w:t xml:space="preserve"> </w:t>
      </w:r>
      <w:r w:rsidR="00A37D37">
        <w:t>Application</w:t>
      </w:r>
      <w:bookmarkEnd w:id="1"/>
      <w:bookmarkEnd w:id="2"/>
    </w:p>
    <w:p w14:paraId="645167FF" w14:textId="0FEC1DCF" w:rsidR="00816E89" w:rsidRPr="009C1F49" w:rsidRDefault="00816E89" w:rsidP="0096431C">
      <w:pPr>
        <w:pStyle w:val="Heading3"/>
      </w:pPr>
      <w:bookmarkStart w:id="3" w:name="_Toc104968439"/>
      <w:bookmarkStart w:id="4" w:name="_Toc105571270"/>
      <w:r w:rsidRPr="009C1F49">
        <w:t>Background</w:t>
      </w:r>
      <w:bookmarkEnd w:id="3"/>
      <w:bookmarkEnd w:id="4"/>
    </w:p>
    <w:p w14:paraId="4956AE18" w14:textId="21F7CFB8" w:rsidR="00284B3D" w:rsidRDefault="00284B3D" w:rsidP="00AB3163">
      <w:pPr>
        <w:spacing w:after="240"/>
        <w:ind w:left="360"/>
        <w:rPr>
          <w:rFonts w:cs="Arial"/>
        </w:rPr>
      </w:pPr>
      <w:r w:rsidRPr="00E42546">
        <w:rPr>
          <w:rFonts w:cs="Arial"/>
        </w:rPr>
        <w:t>The 21</w:t>
      </w:r>
      <w:r w:rsidR="00A14271" w:rsidRPr="007A2DD5">
        <w:rPr>
          <w:rFonts w:cs="Arial"/>
          <w:vertAlign w:val="superscript"/>
        </w:rPr>
        <w:t>st</w:t>
      </w:r>
      <w:r w:rsidR="00A14271">
        <w:rPr>
          <w:rFonts w:cs="Arial"/>
        </w:rPr>
        <w:t xml:space="preserve"> </w:t>
      </w:r>
      <w:r w:rsidRPr="00E42546">
        <w:rPr>
          <w:rFonts w:cs="Arial"/>
        </w:rPr>
        <w:t xml:space="preserve">Century California School Leadership Academy (21CSLA) Program; established by Senate Bill 75, Section 26 Statutes of 2019; </w:t>
      </w:r>
      <w:r w:rsidR="003201F6">
        <w:rPr>
          <w:rFonts w:cs="Arial"/>
        </w:rPr>
        <w:t>funded</w:t>
      </w:r>
      <w:r w:rsidRPr="00E42546">
        <w:rPr>
          <w:rFonts w:cs="Arial"/>
        </w:rPr>
        <w:t xml:space="preserve"> institutions of higher education (IHEs), nonprofit educational services providers, and </w:t>
      </w:r>
      <w:r w:rsidR="003201F6">
        <w:rPr>
          <w:rFonts w:cs="Arial"/>
        </w:rPr>
        <w:t>local educational agencies (</w:t>
      </w:r>
      <w:r w:rsidRPr="00E42546">
        <w:rPr>
          <w:rFonts w:cs="Arial"/>
        </w:rPr>
        <w:t>LEAs</w:t>
      </w:r>
      <w:r w:rsidR="003201F6">
        <w:rPr>
          <w:rFonts w:cs="Arial"/>
        </w:rPr>
        <w:t>)</w:t>
      </w:r>
      <w:r w:rsidRPr="00E42546">
        <w:rPr>
          <w:rFonts w:cs="Arial"/>
        </w:rPr>
        <w:t xml:space="preserve"> with expertise in </w:t>
      </w:r>
      <w:bookmarkStart w:id="5" w:name="_Hlk16152608"/>
      <w:r w:rsidRPr="00E42546">
        <w:rPr>
          <w:rFonts w:cs="Arial"/>
        </w:rPr>
        <w:t xml:space="preserve">providing professional learning, coaching, and mentoring to principals and other school leaders in public schools </w:t>
      </w:r>
      <w:bookmarkEnd w:id="5"/>
      <w:r w:rsidRPr="00E42546">
        <w:rPr>
          <w:rFonts w:cs="Arial"/>
        </w:rPr>
        <w:t>serving kindergarten and grades one to twelve, inclusive, to organize and offer high-quality professional learning, coaching, and mentoring for central office leaders, principals, and other school leaders, including teacher leaders, involved in school improvement efforts.</w:t>
      </w:r>
    </w:p>
    <w:p w14:paraId="1D619AEC" w14:textId="258B51D4" w:rsidR="00284B3D" w:rsidRDefault="00284B3D" w:rsidP="00284B3D">
      <w:pPr>
        <w:spacing w:after="240"/>
        <w:ind w:left="360"/>
        <w:rPr>
          <w:rFonts w:cs="Arial"/>
          <w:bCs/>
        </w:rPr>
      </w:pPr>
      <w:r w:rsidRPr="00E42546">
        <w:rPr>
          <w:rFonts w:cs="Arial"/>
        </w:rPr>
        <w:t>The California Department of Education (CDE) and the California Collaborative for Educational Excellence (CCEE) select</w:t>
      </w:r>
      <w:r>
        <w:rPr>
          <w:rFonts w:cs="Arial"/>
        </w:rPr>
        <w:t>ed</w:t>
      </w:r>
      <w:r w:rsidRPr="00E42546">
        <w:rPr>
          <w:rFonts w:cs="Arial"/>
        </w:rPr>
        <w:t xml:space="preserve"> one awardee to serve as the 21CSLA Center and seven awardees to serve as 21CSLA Regional Academies</w:t>
      </w:r>
      <w:r w:rsidR="00913DB9">
        <w:rPr>
          <w:rFonts w:cs="Arial"/>
        </w:rPr>
        <w:t xml:space="preserve"> (RAs)</w:t>
      </w:r>
      <w:r w:rsidR="00826D40">
        <w:rPr>
          <w:rFonts w:cs="Arial"/>
        </w:rPr>
        <w:t>,</w:t>
      </w:r>
      <w:r w:rsidR="00913DB9">
        <w:rPr>
          <w:rFonts w:cs="Arial"/>
        </w:rPr>
        <w:t xml:space="preserve"> see: </w:t>
      </w:r>
      <w:hyperlink r:id="rId13" w:tooltip="CDE 21 CSLA web page" w:history="1">
        <w:r w:rsidR="00C13E9B" w:rsidRPr="003B0AAA">
          <w:rPr>
            <w:rStyle w:val="Hyperlink"/>
            <w:rFonts w:cs="Arial"/>
          </w:rPr>
          <w:t>https://www.cde.ca.gov/pd/ai/ca21csla.asp</w:t>
        </w:r>
      </w:hyperlink>
      <w:r w:rsidRPr="00E42546">
        <w:rPr>
          <w:rFonts w:cs="Arial"/>
        </w:rPr>
        <w:t xml:space="preserve">. Awardees, </w:t>
      </w:r>
      <w:r>
        <w:rPr>
          <w:rFonts w:cs="Arial"/>
        </w:rPr>
        <w:t xml:space="preserve">in partnership with </w:t>
      </w:r>
      <w:r w:rsidRPr="00E42546">
        <w:rPr>
          <w:rFonts w:cs="Arial"/>
        </w:rPr>
        <w:t xml:space="preserve">the CDE and CCEE, work collaboratively within the Statewide System of Support (SOS) to build the capacity of educational leaders statewide through professional learning aligned to the </w:t>
      </w:r>
      <w:r w:rsidRPr="00E42546">
        <w:rPr>
          <w:rFonts w:cs="Arial"/>
          <w:bCs/>
        </w:rPr>
        <w:t>California Professional Standards for Education Leaders and the Quality Professional Learning Standards.</w:t>
      </w:r>
    </w:p>
    <w:p w14:paraId="3FCDD25C" w14:textId="188713A6" w:rsidR="00913DB9" w:rsidRDefault="00913DB9" w:rsidP="00284B3D">
      <w:pPr>
        <w:spacing w:after="240"/>
        <w:ind w:left="360"/>
        <w:rPr>
          <w:rFonts w:cs="Arial"/>
          <w:bCs/>
        </w:rPr>
      </w:pPr>
      <w:r>
        <w:rPr>
          <w:rFonts w:cs="Arial"/>
          <w:bCs/>
        </w:rPr>
        <w:t>Only the current organizations serving as the 21CSLA Center and RAs are eligible to apply for Cohort 2. If any of these current entities are not selected to continue to serve in Cohort 2, a separate Request for Application</w:t>
      </w:r>
      <w:r w:rsidR="00C13E9B">
        <w:rPr>
          <w:rFonts w:cs="Arial"/>
          <w:bCs/>
        </w:rPr>
        <w:t>s</w:t>
      </w:r>
      <w:r>
        <w:rPr>
          <w:rFonts w:cs="Arial"/>
          <w:bCs/>
        </w:rPr>
        <w:t xml:space="preserve"> (RFA) will be posted for only those RAs or the Center in the fall of 2022.</w:t>
      </w:r>
    </w:p>
    <w:p w14:paraId="6400A2C4" w14:textId="1F4B025E" w:rsidR="00913DB9" w:rsidRPr="00E42546" w:rsidRDefault="00913DB9" w:rsidP="00284B3D">
      <w:pPr>
        <w:spacing w:after="240"/>
        <w:ind w:left="360"/>
        <w:rPr>
          <w:rFonts w:cs="Arial"/>
        </w:rPr>
      </w:pPr>
      <w:r>
        <w:rPr>
          <w:rFonts w:cs="Arial"/>
          <w:bCs/>
        </w:rPr>
        <w:t xml:space="preserve">All requirements of the original 21CSLA RFA are also required in Cohort 2, see: </w:t>
      </w:r>
      <w:hyperlink r:id="rId14" w:tooltip="CDE 21CSLA Grant Award Process web page" w:history="1">
        <w:r w:rsidRPr="00FC3FF0">
          <w:rPr>
            <w:rStyle w:val="Hyperlink"/>
            <w:rFonts w:cs="Arial"/>
            <w:bCs/>
          </w:rPr>
          <w:t>https://www.cde.ca.gov/pd/ai/21cslagrantprocess.asp</w:t>
        </w:r>
      </w:hyperlink>
      <w:r>
        <w:rPr>
          <w:rFonts w:cs="Arial"/>
          <w:bCs/>
        </w:rPr>
        <w:t xml:space="preserve">. </w:t>
      </w:r>
    </w:p>
    <w:p w14:paraId="44811F29" w14:textId="397F67B9" w:rsidR="00074442" w:rsidRPr="00074442" w:rsidRDefault="00074442" w:rsidP="0096431C">
      <w:pPr>
        <w:pStyle w:val="Heading3"/>
      </w:pPr>
      <w:bookmarkStart w:id="6" w:name="_Toc104968440"/>
      <w:bookmarkStart w:id="7" w:name="_Toc105571271"/>
      <w:r w:rsidRPr="0025386B">
        <w:t>Purpose</w:t>
      </w:r>
      <w:bookmarkEnd w:id="6"/>
      <w:bookmarkEnd w:id="7"/>
    </w:p>
    <w:p w14:paraId="7E61397C" w14:textId="6C264112" w:rsidR="00C943CB" w:rsidRPr="00E42546" w:rsidRDefault="00C943CB" w:rsidP="00A7398B">
      <w:pPr>
        <w:spacing w:after="240"/>
        <w:ind w:left="360"/>
        <w:rPr>
          <w:rFonts w:cs="Arial"/>
          <w:b/>
        </w:rPr>
      </w:pPr>
      <w:r>
        <w:rPr>
          <w:rFonts w:cs="Arial"/>
        </w:rPr>
        <w:t>Grantees</w:t>
      </w:r>
      <w:r w:rsidRPr="00E42546">
        <w:rPr>
          <w:rFonts w:cs="Arial"/>
        </w:rPr>
        <w:t xml:space="preserve"> will </w:t>
      </w:r>
      <w:r>
        <w:rPr>
          <w:rFonts w:cs="Arial"/>
        </w:rPr>
        <w:t>develop and disseminate</w:t>
      </w:r>
      <w:r w:rsidRPr="00E42546">
        <w:rPr>
          <w:rFonts w:cs="Arial"/>
        </w:rPr>
        <w:t xml:space="preserve"> </w:t>
      </w:r>
      <w:r w:rsidR="0038762C">
        <w:rPr>
          <w:rFonts w:cs="Arial"/>
        </w:rPr>
        <w:t xml:space="preserve">sustained </w:t>
      </w:r>
      <w:r w:rsidRPr="00E42546">
        <w:rPr>
          <w:rFonts w:cs="Arial"/>
        </w:rPr>
        <w:t xml:space="preserve">professional learning and coaching that is rooted in student and educator needs; grounded in cycles of inquiry; designed and structured to be ongoing, intensive, and embedded in practice; and focused on deepening content expertise and pedagogy. </w:t>
      </w:r>
      <w:r w:rsidR="00931BA9">
        <w:rPr>
          <w:rFonts w:cs="Arial"/>
        </w:rPr>
        <w:t>Grantees</w:t>
      </w:r>
      <w:r w:rsidRPr="00E42546">
        <w:rPr>
          <w:rFonts w:cs="Arial"/>
        </w:rPr>
        <w:t xml:space="preserve"> will provide ongoing, high-quality professional learning and coaching, as well as develop </w:t>
      </w:r>
      <w:r>
        <w:rPr>
          <w:rFonts w:cs="Arial"/>
        </w:rPr>
        <w:t xml:space="preserve">the </w:t>
      </w:r>
      <w:r w:rsidRPr="00E42546">
        <w:rPr>
          <w:rFonts w:cs="Arial"/>
        </w:rPr>
        <w:t xml:space="preserve">ability of school leaders to offer professional learning and coaching in order for 21CSLA to scale and spread across the state. </w:t>
      </w:r>
      <w:r w:rsidR="00931BA9">
        <w:rPr>
          <w:rFonts w:cs="Arial"/>
        </w:rPr>
        <w:t>Grantees will meet the following goals</w:t>
      </w:r>
      <w:r w:rsidRPr="00E42546">
        <w:rPr>
          <w:rFonts w:cs="Arial"/>
        </w:rPr>
        <w:t>:</w:t>
      </w:r>
      <w:r w:rsidR="00A7398B">
        <w:rPr>
          <w:rFonts w:cs="Arial"/>
        </w:rPr>
        <w:t xml:space="preserve"> </w:t>
      </w:r>
    </w:p>
    <w:p w14:paraId="72E75749" w14:textId="79C7A137" w:rsidR="00C943CB" w:rsidRPr="00E42546" w:rsidRDefault="00C943CB" w:rsidP="00FB5341">
      <w:pPr>
        <w:pStyle w:val="ColorfulList-Accent12"/>
        <w:numPr>
          <w:ilvl w:val="0"/>
          <w:numId w:val="3"/>
        </w:numPr>
        <w:snapToGrid w:val="0"/>
        <w:spacing w:after="240"/>
        <w:rPr>
          <w:rFonts w:cs="Arial"/>
          <w:szCs w:val="24"/>
        </w:rPr>
      </w:pPr>
      <w:r w:rsidRPr="00E42546">
        <w:rPr>
          <w:rFonts w:cs="Arial"/>
          <w:szCs w:val="24"/>
        </w:rPr>
        <w:t xml:space="preserve">To support the goals set forth in the authorizing statute described in Section </w:t>
      </w:r>
      <w:r w:rsidR="003201F6">
        <w:rPr>
          <w:rFonts w:cs="Arial"/>
          <w:szCs w:val="24"/>
        </w:rPr>
        <w:t>I</w:t>
      </w:r>
      <w:r w:rsidRPr="00E42546">
        <w:rPr>
          <w:rFonts w:cs="Arial"/>
          <w:szCs w:val="24"/>
        </w:rPr>
        <w:t>, above</w:t>
      </w:r>
      <w:r w:rsidR="00D829B6">
        <w:rPr>
          <w:rFonts w:cs="Arial"/>
          <w:szCs w:val="24"/>
        </w:rPr>
        <w:t>.</w:t>
      </w:r>
    </w:p>
    <w:p w14:paraId="300C747F" w14:textId="7A80B7A8" w:rsidR="00C943CB" w:rsidRPr="00E42546" w:rsidRDefault="00C943CB" w:rsidP="00A7398B">
      <w:pPr>
        <w:pStyle w:val="ColorfulList-Accent12"/>
        <w:numPr>
          <w:ilvl w:val="0"/>
          <w:numId w:val="3"/>
        </w:numPr>
        <w:snapToGrid w:val="0"/>
        <w:spacing w:after="240"/>
        <w:rPr>
          <w:rFonts w:cs="Arial"/>
          <w:szCs w:val="24"/>
        </w:rPr>
      </w:pPr>
      <w:r w:rsidRPr="00E42546">
        <w:rPr>
          <w:rFonts w:cs="Arial"/>
          <w:szCs w:val="24"/>
        </w:rPr>
        <w:lastRenderedPageBreak/>
        <w:t xml:space="preserve">To provide high-quality regional and statewide professional learning opportunities to educational leaders that </w:t>
      </w:r>
      <w:r w:rsidR="00042905">
        <w:rPr>
          <w:rFonts w:cs="Arial"/>
          <w:szCs w:val="24"/>
        </w:rPr>
        <w:t>are</w:t>
      </w:r>
      <w:r w:rsidRPr="00E42546">
        <w:rPr>
          <w:rFonts w:cs="Arial"/>
          <w:szCs w:val="24"/>
        </w:rPr>
        <w:t xml:space="preserve"> consistent with the Statewide SOS</w:t>
      </w:r>
      <w:r w:rsidR="00D829B6">
        <w:rPr>
          <w:rFonts w:cs="Arial"/>
          <w:szCs w:val="24"/>
        </w:rPr>
        <w:t>.</w:t>
      </w:r>
    </w:p>
    <w:p w14:paraId="68DDF20B" w14:textId="3712B1D3" w:rsidR="00C943CB" w:rsidRPr="00E42546" w:rsidRDefault="00C943CB" w:rsidP="00A7398B">
      <w:pPr>
        <w:pStyle w:val="ColorfulList-Accent12"/>
        <w:numPr>
          <w:ilvl w:val="0"/>
          <w:numId w:val="3"/>
        </w:numPr>
        <w:snapToGrid w:val="0"/>
        <w:spacing w:after="240"/>
        <w:rPr>
          <w:rFonts w:cs="Arial"/>
          <w:szCs w:val="24"/>
        </w:rPr>
      </w:pPr>
      <w:r w:rsidRPr="00E42546">
        <w:rPr>
          <w:rFonts w:cs="Arial"/>
          <w:szCs w:val="24"/>
        </w:rPr>
        <w:t xml:space="preserve">To provide </w:t>
      </w:r>
      <w:r w:rsidR="0038762C">
        <w:rPr>
          <w:rFonts w:cs="Arial"/>
          <w:szCs w:val="24"/>
        </w:rPr>
        <w:t xml:space="preserve">sustained </w:t>
      </w:r>
      <w:r w:rsidRPr="00E42546">
        <w:rPr>
          <w:rFonts w:cs="Arial"/>
          <w:szCs w:val="24"/>
        </w:rPr>
        <w:t>professional learning to site and LEA-based teams of school leaders that is relevant, job embedded, and provides site-based support such as coaching and mentoring</w:t>
      </w:r>
      <w:r w:rsidR="00D829B6">
        <w:rPr>
          <w:rFonts w:cs="Arial"/>
          <w:szCs w:val="24"/>
        </w:rPr>
        <w:t>.</w:t>
      </w:r>
    </w:p>
    <w:p w14:paraId="259B7BE5" w14:textId="633CC6FD" w:rsidR="00C943CB" w:rsidRPr="00E42546" w:rsidRDefault="00C943CB" w:rsidP="00A7398B">
      <w:pPr>
        <w:pStyle w:val="ColorfulList-Accent12"/>
        <w:numPr>
          <w:ilvl w:val="0"/>
          <w:numId w:val="3"/>
        </w:numPr>
        <w:snapToGrid w:val="0"/>
        <w:spacing w:after="240"/>
        <w:rPr>
          <w:rFonts w:cs="Arial"/>
          <w:szCs w:val="24"/>
        </w:rPr>
      </w:pPr>
      <w:r w:rsidRPr="00E42546">
        <w:rPr>
          <w:rFonts w:cs="Arial"/>
          <w:szCs w:val="24"/>
        </w:rPr>
        <w:t>To support implementation of existing core efforts such as Universal Design for Learning, Multi-Tiered System</w:t>
      </w:r>
      <w:r w:rsidR="003201F6">
        <w:rPr>
          <w:rFonts w:cs="Arial"/>
          <w:szCs w:val="24"/>
        </w:rPr>
        <w:t>s</w:t>
      </w:r>
      <w:r w:rsidRPr="00E42546">
        <w:rPr>
          <w:rFonts w:cs="Arial"/>
          <w:szCs w:val="24"/>
        </w:rPr>
        <w:t xml:space="preserve"> of Support, and the English Learner Roadmap</w:t>
      </w:r>
      <w:r w:rsidR="00D829B6">
        <w:rPr>
          <w:rFonts w:cs="Arial"/>
          <w:szCs w:val="24"/>
        </w:rPr>
        <w:t>.</w:t>
      </w:r>
    </w:p>
    <w:p w14:paraId="58ECC93F" w14:textId="2DAAC1DC" w:rsidR="00C943CB" w:rsidRPr="00E42546" w:rsidRDefault="00C943CB" w:rsidP="00A7398B">
      <w:pPr>
        <w:pStyle w:val="ColorfulList-Accent12"/>
        <w:numPr>
          <w:ilvl w:val="0"/>
          <w:numId w:val="3"/>
        </w:numPr>
        <w:snapToGrid w:val="0"/>
        <w:spacing w:after="240"/>
        <w:rPr>
          <w:rFonts w:cs="Arial"/>
          <w:szCs w:val="24"/>
        </w:rPr>
      </w:pPr>
      <w:r w:rsidRPr="00E42546">
        <w:rPr>
          <w:rFonts w:cs="Arial"/>
          <w:szCs w:val="24"/>
        </w:rPr>
        <w:t xml:space="preserve">To develop a cycle of activities, including theory, demonstration, practice, feedback, reflection, additional critical areas identified by key stakeholders, and coaching that </w:t>
      </w:r>
      <w:r w:rsidR="00EA18CB">
        <w:rPr>
          <w:rFonts w:cs="Arial"/>
          <w:szCs w:val="24"/>
        </w:rPr>
        <w:t>is</w:t>
      </w:r>
      <w:r w:rsidR="00EA18CB" w:rsidRPr="00E42546">
        <w:rPr>
          <w:rFonts w:cs="Arial"/>
          <w:szCs w:val="24"/>
        </w:rPr>
        <w:t xml:space="preserve"> </w:t>
      </w:r>
      <w:r w:rsidRPr="00E42546">
        <w:rPr>
          <w:rFonts w:cs="Arial"/>
          <w:szCs w:val="24"/>
        </w:rPr>
        <w:t>spaced over time</w:t>
      </w:r>
      <w:r w:rsidR="00D829B6">
        <w:rPr>
          <w:rFonts w:cs="Arial"/>
          <w:szCs w:val="24"/>
        </w:rPr>
        <w:t>.</w:t>
      </w:r>
    </w:p>
    <w:p w14:paraId="3A70829C" w14:textId="0ADBE89F" w:rsidR="00156BC5" w:rsidRPr="00EE6AA9" w:rsidRDefault="00C943CB" w:rsidP="00A7398B">
      <w:pPr>
        <w:pStyle w:val="ColorfulList-Accent12"/>
        <w:numPr>
          <w:ilvl w:val="0"/>
          <w:numId w:val="3"/>
        </w:numPr>
        <w:snapToGrid w:val="0"/>
        <w:spacing w:after="240"/>
        <w:rPr>
          <w:rFonts w:cs="Arial"/>
          <w:color w:val="000000"/>
        </w:rPr>
      </w:pPr>
      <w:r w:rsidRPr="00E42546">
        <w:rPr>
          <w:rFonts w:cs="Arial"/>
          <w:szCs w:val="24"/>
        </w:rPr>
        <w:t xml:space="preserve">To support administrators to </w:t>
      </w:r>
      <w:r w:rsidR="00EA18CB">
        <w:rPr>
          <w:rFonts w:cs="Arial"/>
          <w:szCs w:val="24"/>
        </w:rPr>
        <w:t>develop</w:t>
      </w:r>
      <w:r w:rsidR="00EA18CB" w:rsidRPr="00E42546">
        <w:rPr>
          <w:rFonts w:cs="Arial"/>
          <w:szCs w:val="24"/>
        </w:rPr>
        <w:t xml:space="preserve"> </w:t>
      </w:r>
      <w:r w:rsidRPr="00E42546">
        <w:rPr>
          <w:rFonts w:cs="Arial"/>
          <w:szCs w:val="24"/>
        </w:rPr>
        <w:t xml:space="preserve">their skills as instructional leaders to build educator capacity, support </w:t>
      </w:r>
      <w:r>
        <w:rPr>
          <w:rFonts w:cs="Arial"/>
          <w:szCs w:val="24"/>
        </w:rPr>
        <w:t>asset-based</w:t>
      </w:r>
      <w:r w:rsidRPr="00E42546">
        <w:rPr>
          <w:rFonts w:cs="Arial"/>
          <w:szCs w:val="24"/>
        </w:rPr>
        <w:t xml:space="preserve"> pedagog</w:t>
      </w:r>
      <w:r>
        <w:rPr>
          <w:rFonts w:cs="Arial"/>
          <w:szCs w:val="24"/>
        </w:rPr>
        <w:t>ies</w:t>
      </w:r>
      <w:r w:rsidRPr="00E42546">
        <w:rPr>
          <w:rFonts w:cs="Arial"/>
          <w:szCs w:val="24"/>
        </w:rPr>
        <w:t>, and establish and maintain a culture of continuous improvement</w:t>
      </w:r>
      <w:r w:rsidR="00D829B6">
        <w:rPr>
          <w:rFonts w:cs="Arial"/>
          <w:szCs w:val="24"/>
        </w:rPr>
        <w:t>.</w:t>
      </w:r>
    </w:p>
    <w:p w14:paraId="071B067C" w14:textId="09189FD0" w:rsidR="00E37574" w:rsidRPr="00EE6AA9" w:rsidRDefault="00E37574" w:rsidP="0096431C">
      <w:pPr>
        <w:pStyle w:val="Heading3"/>
        <w:rPr>
          <w:color w:val="000000"/>
        </w:rPr>
      </w:pPr>
      <w:bookmarkStart w:id="8" w:name="_Toc104968441"/>
      <w:bookmarkStart w:id="9" w:name="_Toc105571272"/>
      <w:r w:rsidRPr="008C6F9B">
        <w:t>Timeline</w:t>
      </w:r>
      <w:bookmarkEnd w:id="8"/>
      <w:bookmarkEnd w:id="9"/>
    </w:p>
    <w:tbl>
      <w:tblPr>
        <w:tblStyle w:val="TableGrid2"/>
        <w:tblW w:w="9270" w:type="dxa"/>
        <w:tblLook w:val="04A0" w:firstRow="1" w:lastRow="0" w:firstColumn="1" w:lastColumn="0" w:noHBand="0" w:noVBand="1"/>
        <w:tblDescription w:val="This basic timeline provides key dates for the 21CSLA Cohort 2 Application."/>
      </w:tblPr>
      <w:tblGrid>
        <w:gridCol w:w="2700"/>
        <w:gridCol w:w="6570"/>
      </w:tblGrid>
      <w:tr w:rsidR="00E37574" w:rsidRPr="00A044DB" w14:paraId="0645BE9C" w14:textId="77777777" w:rsidTr="00C03A61">
        <w:tc>
          <w:tcPr>
            <w:tcW w:w="2700" w:type="dxa"/>
          </w:tcPr>
          <w:p w14:paraId="676732A9" w14:textId="1616A5CC" w:rsidR="00E37574" w:rsidRPr="00CC5A7C" w:rsidRDefault="00E37574" w:rsidP="00CC5A7C">
            <w:pPr>
              <w:jc w:val="center"/>
              <w:rPr>
                <w:rFonts w:cs="Arial"/>
                <w:b/>
                <w:bCs/>
              </w:rPr>
            </w:pPr>
            <w:r w:rsidRPr="00A044DB">
              <w:rPr>
                <w:rFonts w:cs="Arial"/>
                <w:b/>
                <w:bCs/>
              </w:rPr>
              <w:t>Date</w:t>
            </w:r>
          </w:p>
        </w:tc>
        <w:tc>
          <w:tcPr>
            <w:tcW w:w="6570" w:type="dxa"/>
          </w:tcPr>
          <w:p w14:paraId="513C02D6" w14:textId="77777777" w:rsidR="00E37574" w:rsidRPr="00A044DB" w:rsidRDefault="00E37574" w:rsidP="00CC5A7C">
            <w:pPr>
              <w:jc w:val="center"/>
              <w:rPr>
                <w:rFonts w:cs="Arial"/>
                <w:b/>
                <w:bCs/>
                <w:sz w:val="22"/>
                <w:szCs w:val="22"/>
              </w:rPr>
            </w:pPr>
            <w:r w:rsidRPr="00A044DB">
              <w:rPr>
                <w:rFonts w:cs="Arial"/>
                <w:b/>
                <w:bCs/>
              </w:rPr>
              <w:t>Events</w:t>
            </w:r>
          </w:p>
        </w:tc>
      </w:tr>
      <w:tr w:rsidR="00E37574" w:rsidRPr="00A044DB" w14:paraId="2245833D" w14:textId="77777777" w:rsidTr="00C03A61">
        <w:trPr>
          <w:trHeight w:val="576"/>
        </w:trPr>
        <w:tc>
          <w:tcPr>
            <w:tcW w:w="2700" w:type="dxa"/>
          </w:tcPr>
          <w:p w14:paraId="3CAE2B9B" w14:textId="56C49B31" w:rsidR="00E37574" w:rsidRPr="00A044DB" w:rsidRDefault="00E37574" w:rsidP="00CB6837">
            <w:pPr>
              <w:spacing w:after="300"/>
              <w:rPr>
                <w:rFonts w:cs="Arial"/>
              </w:rPr>
            </w:pPr>
            <w:r>
              <w:rPr>
                <w:rFonts w:cs="Arial"/>
              </w:rPr>
              <w:t>June</w:t>
            </w:r>
            <w:r w:rsidRPr="00A044DB">
              <w:rPr>
                <w:rFonts w:cs="Arial"/>
              </w:rPr>
              <w:t xml:space="preserve"> </w:t>
            </w:r>
            <w:r w:rsidR="00875560">
              <w:rPr>
                <w:rFonts w:cs="Arial"/>
              </w:rPr>
              <w:t>7</w:t>
            </w:r>
            <w:r w:rsidRPr="00A044DB">
              <w:rPr>
                <w:rFonts w:cs="Arial"/>
              </w:rPr>
              <w:t>, 2022</w:t>
            </w:r>
          </w:p>
        </w:tc>
        <w:tc>
          <w:tcPr>
            <w:tcW w:w="6570" w:type="dxa"/>
          </w:tcPr>
          <w:p w14:paraId="00CBB759" w14:textId="7DE33934" w:rsidR="00E37574" w:rsidRPr="00A044DB" w:rsidRDefault="00E37574" w:rsidP="00CB6837">
            <w:pPr>
              <w:spacing w:after="300"/>
              <w:rPr>
                <w:rFonts w:cs="Arial"/>
              </w:rPr>
            </w:pPr>
            <w:r w:rsidRPr="00A044DB">
              <w:rPr>
                <w:rFonts w:cs="Arial"/>
              </w:rPr>
              <w:t xml:space="preserve">Announcement of </w:t>
            </w:r>
            <w:r>
              <w:rPr>
                <w:rFonts w:cs="Arial"/>
              </w:rPr>
              <w:t>21CSLA Cohort 2</w:t>
            </w:r>
            <w:r w:rsidRPr="00A044DB">
              <w:rPr>
                <w:rFonts w:cs="Arial"/>
              </w:rPr>
              <w:t xml:space="preserve"> Process and Timeline</w:t>
            </w:r>
          </w:p>
        </w:tc>
      </w:tr>
      <w:tr w:rsidR="00E37574" w:rsidRPr="00A044DB" w14:paraId="385E337F" w14:textId="77777777" w:rsidTr="00C03A61">
        <w:trPr>
          <w:trHeight w:val="576"/>
        </w:trPr>
        <w:tc>
          <w:tcPr>
            <w:tcW w:w="2700" w:type="dxa"/>
          </w:tcPr>
          <w:p w14:paraId="5FC86D96" w14:textId="77777777" w:rsidR="00E37574" w:rsidRPr="00A044DB" w:rsidRDefault="00E37574" w:rsidP="00CB6837">
            <w:pPr>
              <w:spacing w:after="300"/>
              <w:rPr>
                <w:rFonts w:cs="Arial"/>
              </w:rPr>
            </w:pPr>
            <w:r>
              <w:rPr>
                <w:rFonts w:cs="Arial"/>
              </w:rPr>
              <w:t>June 20</w:t>
            </w:r>
            <w:r w:rsidRPr="00A044DB">
              <w:rPr>
                <w:rFonts w:cs="Arial"/>
              </w:rPr>
              <w:t>, 2022</w:t>
            </w:r>
          </w:p>
        </w:tc>
        <w:tc>
          <w:tcPr>
            <w:tcW w:w="6570" w:type="dxa"/>
          </w:tcPr>
          <w:p w14:paraId="27210233" w14:textId="48A12FDA" w:rsidR="00E37574" w:rsidRPr="00A044DB" w:rsidRDefault="00E37574" w:rsidP="00CB6837">
            <w:pPr>
              <w:spacing w:after="300"/>
              <w:rPr>
                <w:rFonts w:cs="Arial"/>
              </w:rPr>
            </w:pPr>
            <w:r>
              <w:rPr>
                <w:rFonts w:cs="Arial"/>
              </w:rPr>
              <w:t>21CSLA Cohort 2</w:t>
            </w:r>
            <w:r w:rsidRPr="00A044DB">
              <w:rPr>
                <w:rFonts w:cs="Arial"/>
              </w:rPr>
              <w:t xml:space="preserve"> Application and Instructions Posted Online – Notification of requirements and </w:t>
            </w:r>
            <w:r w:rsidR="00E819F2">
              <w:rPr>
                <w:rFonts w:cs="Arial"/>
              </w:rPr>
              <w:t>funding for the 2022 and 2023 fiscal years</w:t>
            </w:r>
          </w:p>
        </w:tc>
      </w:tr>
      <w:tr w:rsidR="00E37574" w:rsidRPr="00A044DB" w14:paraId="13276842" w14:textId="77777777" w:rsidTr="00C03A61">
        <w:trPr>
          <w:trHeight w:val="576"/>
        </w:trPr>
        <w:tc>
          <w:tcPr>
            <w:tcW w:w="2700" w:type="dxa"/>
          </w:tcPr>
          <w:p w14:paraId="10EA683B" w14:textId="77777777" w:rsidR="00E37574" w:rsidRDefault="00E37574" w:rsidP="00CB6837">
            <w:pPr>
              <w:spacing w:after="300"/>
              <w:rPr>
                <w:rFonts w:cs="Arial"/>
              </w:rPr>
            </w:pPr>
            <w:r>
              <w:rPr>
                <w:rFonts w:cs="Arial"/>
              </w:rPr>
              <w:t>June 23, 2022</w:t>
            </w:r>
          </w:p>
        </w:tc>
        <w:tc>
          <w:tcPr>
            <w:tcW w:w="6570" w:type="dxa"/>
          </w:tcPr>
          <w:p w14:paraId="0BAD51CA" w14:textId="3C063EE9" w:rsidR="00E37574" w:rsidRDefault="004D5A47" w:rsidP="00CB6837">
            <w:pPr>
              <w:spacing w:after="300"/>
              <w:rPr>
                <w:rFonts w:cs="Arial"/>
              </w:rPr>
            </w:pPr>
            <w:r>
              <w:rPr>
                <w:rFonts w:cs="Arial"/>
              </w:rPr>
              <w:t xml:space="preserve">21CSLA </w:t>
            </w:r>
            <w:r w:rsidR="00E37574">
              <w:rPr>
                <w:rFonts w:cs="Arial"/>
              </w:rPr>
              <w:t>Cohort 2 Application Work Session Question and Answers</w:t>
            </w:r>
          </w:p>
        </w:tc>
      </w:tr>
      <w:tr w:rsidR="00E37574" w:rsidRPr="00A044DB" w14:paraId="2B641F63" w14:textId="77777777" w:rsidTr="00C03A61">
        <w:trPr>
          <w:trHeight w:val="576"/>
        </w:trPr>
        <w:tc>
          <w:tcPr>
            <w:tcW w:w="2700" w:type="dxa"/>
          </w:tcPr>
          <w:p w14:paraId="69D77674" w14:textId="77777777" w:rsidR="00E37574" w:rsidRPr="00A044DB" w:rsidRDefault="00E37574" w:rsidP="00CB6837">
            <w:pPr>
              <w:spacing w:after="300"/>
              <w:rPr>
                <w:rFonts w:cs="Arial"/>
              </w:rPr>
            </w:pPr>
            <w:r>
              <w:rPr>
                <w:rFonts w:cs="Arial"/>
              </w:rPr>
              <w:t>September 2</w:t>
            </w:r>
            <w:r w:rsidRPr="00A044DB">
              <w:rPr>
                <w:rFonts w:cs="Arial"/>
              </w:rPr>
              <w:t>, 2022</w:t>
            </w:r>
          </w:p>
        </w:tc>
        <w:tc>
          <w:tcPr>
            <w:tcW w:w="6570" w:type="dxa"/>
          </w:tcPr>
          <w:p w14:paraId="09E82F1D" w14:textId="77777777" w:rsidR="00E37574" w:rsidRPr="00A044DB" w:rsidRDefault="00E37574" w:rsidP="00CB6837">
            <w:pPr>
              <w:spacing w:after="300"/>
              <w:rPr>
                <w:rFonts w:cs="Arial"/>
              </w:rPr>
            </w:pPr>
            <w:r>
              <w:rPr>
                <w:rFonts w:cs="Arial"/>
              </w:rPr>
              <w:t>21CSLA Cohort 2</w:t>
            </w:r>
            <w:r w:rsidRPr="00A044DB">
              <w:rPr>
                <w:rFonts w:cs="Arial"/>
              </w:rPr>
              <w:t xml:space="preserve"> Applications and Attachments Due Online</w:t>
            </w:r>
          </w:p>
        </w:tc>
      </w:tr>
    </w:tbl>
    <w:p w14:paraId="4166217B" w14:textId="3AE89A70" w:rsidR="00156BC5" w:rsidRDefault="00156BC5" w:rsidP="001F382E">
      <w:pPr>
        <w:pStyle w:val="Heading3"/>
      </w:pPr>
      <w:bookmarkStart w:id="10" w:name="_Toc104968442"/>
      <w:bookmarkStart w:id="11" w:name="_Toc105571273"/>
      <w:r w:rsidRPr="00156BC5">
        <w:t xml:space="preserve">The Role of </w:t>
      </w:r>
      <w:r w:rsidRPr="00AB3163">
        <w:t>the</w:t>
      </w:r>
      <w:r w:rsidRPr="00156BC5">
        <w:t xml:space="preserve"> </w:t>
      </w:r>
      <w:r w:rsidR="00C13E9B" w:rsidRPr="00E42546">
        <w:t>21</w:t>
      </w:r>
      <w:r w:rsidR="00E67BB5" w:rsidRPr="007A2DD5">
        <w:rPr>
          <w:vertAlign w:val="superscript"/>
        </w:rPr>
        <w:t>st</w:t>
      </w:r>
      <w:r w:rsidR="00E67BB5">
        <w:t xml:space="preserve"> </w:t>
      </w:r>
      <w:r w:rsidR="00C13E9B" w:rsidRPr="00E42546">
        <w:t>Century</w:t>
      </w:r>
      <w:r w:rsidR="00E67BB5">
        <w:t xml:space="preserve"> California</w:t>
      </w:r>
      <w:r w:rsidR="00C13E9B" w:rsidRPr="00E42546">
        <w:t xml:space="preserve"> School Leadership Academy</w:t>
      </w:r>
      <w:r w:rsidRPr="00156BC5">
        <w:t xml:space="preserve"> Center</w:t>
      </w:r>
      <w:bookmarkEnd w:id="10"/>
      <w:bookmarkEnd w:id="11"/>
      <w:r w:rsidRPr="00156BC5">
        <w:t xml:space="preserve"> </w:t>
      </w:r>
    </w:p>
    <w:p w14:paraId="5C075E04" w14:textId="27126A1E" w:rsidR="00C679D9" w:rsidRPr="00156BC5" w:rsidRDefault="00156BC5" w:rsidP="00E36E63">
      <w:pPr>
        <w:spacing w:after="240"/>
        <w:ind w:left="360"/>
      </w:pPr>
      <w:r w:rsidRPr="00284BAA">
        <w:t xml:space="preserve">The 21CSLA Center plays an important role in serving as a </w:t>
      </w:r>
      <w:r w:rsidR="00C679D9" w:rsidRPr="00284BAA">
        <w:t>liaison</w:t>
      </w:r>
      <w:r w:rsidRPr="00284BAA">
        <w:t xml:space="preserve"> between state agencies and </w:t>
      </w:r>
      <w:r w:rsidR="00C679D9" w:rsidRPr="00284BAA">
        <w:t>R</w:t>
      </w:r>
      <w:r w:rsidR="00913DB9">
        <w:t>A</w:t>
      </w:r>
      <w:r w:rsidR="00C679D9" w:rsidRPr="00284BAA">
        <w:t>s</w:t>
      </w:r>
      <w:r w:rsidR="00702BDB" w:rsidRPr="00284BAA">
        <w:t>, e</w:t>
      </w:r>
      <w:r w:rsidR="00C679D9" w:rsidRPr="00284BAA">
        <w:t>specially in the area</w:t>
      </w:r>
      <w:r w:rsidR="00EA18CB">
        <w:t>s</w:t>
      </w:r>
      <w:r w:rsidR="00C679D9" w:rsidRPr="00284BAA">
        <w:t xml:space="preserve"> of policy, cohesion, data reporting and collection, </w:t>
      </w:r>
      <w:r w:rsidR="00CC5A7C">
        <w:t xml:space="preserve">and </w:t>
      </w:r>
      <w:r w:rsidR="00C679D9" w:rsidRPr="00284BAA">
        <w:t xml:space="preserve">coherence with the greater SOS. It serves as a capacity builder to meet the expectations listed in </w:t>
      </w:r>
      <w:r w:rsidR="0098290A">
        <w:t>this RFA</w:t>
      </w:r>
      <w:r w:rsidR="00C679D9" w:rsidRPr="00284BAA">
        <w:t xml:space="preserve">. The 21CSLA Center does not </w:t>
      </w:r>
      <w:r w:rsidR="00702BDB" w:rsidRPr="00284BAA">
        <w:t>function as an external</w:t>
      </w:r>
      <w:r w:rsidR="00C679D9" w:rsidRPr="00284BAA">
        <w:t xml:space="preserve"> evaluator of the 21CSLA Grant Program</w:t>
      </w:r>
      <w:r w:rsidR="00702BDB" w:rsidRPr="00284BAA">
        <w:t xml:space="preserve">, however it will create a </w:t>
      </w:r>
      <w:r w:rsidR="00702BDB" w:rsidRPr="00284BAA">
        <w:lastRenderedPageBreak/>
        <w:t xml:space="preserve">database to collect and report quantitative and qualitative data to the external evaluators, CDE, </w:t>
      </w:r>
      <w:r w:rsidR="00EA18CB">
        <w:t>State Board of Education (</w:t>
      </w:r>
      <w:r w:rsidR="00702BDB" w:rsidRPr="00284BAA">
        <w:t>SBE</w:t>
      </w:r>
      <w:r w:rsidR="00EA18CB">
        <w:t>)</w:t>
      </w:r>
      <w:r w:rsidR="00702BDB" w:rsidRPr="00284BAA">
        <w:t>, and CCEE</w:t>
      </w:r>
      <w:r w:rsidR="00C679D9" w:rsidRPr="00284BAA">
        <w:t xml:space="preserve">. </w:t>
      </w:r>
      <w:r w:rsidR="00702BDB" w:rsidRPr="00284BAA">
        <w:t>The 21CSLA Center develops the deliverables for each year in cooperation</w:t>
      </w:r>
      <w:r w:rsidR="00702BDB">
        <w:t xml:space="preserve"> with the CDE, SBE, and CCEE. </w:t>
      </w:r>
      <w:r w:rsidR="00C679D9">
        <w:t>There is an expectation that the RAs will collaborate</w:t>
      </w:r>
      <w:r w:rsidR="0038762C">
        <w:t xml:space="preserve"> and follow the guidance and direction of</w:t>
      </w:r>
      <w:r w:rsidR="00C679D9">
        <w:t xml:space="preserve"> the Center.</w:t>
      </w:r>
    </w:p>
    <w:p w14:paraId="26759C35" w14:textId="16FB17FA" w:rsidR="00074442" w:rsidRPr="00074442" w:rsidRDefault="007A4116" w:rsidP="00E32587">
      <w:pPr>
        <w:pStyle w:val="Heading3"/>
      </w:pPr>
      <w:bookmarkStart w:id="12" w:name="_Toc104968443"/>
      <w:bookmarkStart w:id="13" w:name="_Toc105571274"/>
      <w:r w:rsidRPr="00AB3163">
        <w:t>Fiscal</w:t>
      </w:r>
      <w:r>
        <w:t xml:space="preserve"> </w:t>
      </w:r>
      <w:r w:rsidRPr="002C64E8">
        <w:t>and</w:t>
      </w:r>
      <w:r>
        <w:t xml:space="preserve"> Evaluation Modifications </w:t>
      </w:r>
      <w:r w:rsidR="004C36BE">
        <w:t xml:space="preserve">Implemented </w:t>
      </w:r>
      <w:r>
        <w:t>During Cohort</w:t>
      </w:r>
      <w:r w:rsidR="004D5A47">
        <w:t xml:space="preserve"> 2</w:t>
      </w:r>
      <w:bookmarkEnd w:id="12"/>
      <w:bookmarkEnd w:id="13"/>
    </w:p>
    <w:p w14:paraId="70A5B803" w14:textId="35580E6E" w:rsidR="00074442" w:rsidRDefault="007A4116" w:rsidP="00E36E63">
      <w:pPr>
        <w:spacing w:after="240"/>
        <w:ind w:left="360"/>
        <w:rPr>
          <w:szCs w:val="22"/>
        </w:rPr>
      </w:pPr>
      <w:r>
        <w:rPr>
          <w:szCs w:val="22"/>
        </w:rPr>
        <w:t xml:space="preserve">All grantees awarded a </w:t>
      </w:r>
      <w:r w:rsidR="00BA012F">
        <w:rPr>
          <w:szCs w:val="22"/>
        </w:rPr>
        <w:t>grant</w:t>
      </w:r>
      <w:r>
        <w:rPr>
          <w:szCs w:val="22"/>
        </w:rPr>
        <w:t xml:space="preserve"> for another three-year cycle with the </w:t>
      </w:r>
      <w:r w:rsidR="0098290A">
        <w:rPr>
          <w:szCs w:val="22"/>
        </w:rPr>
        <w:t>21CSLA</w:t>
      </w:r>
      <w:r>
        <w:rPr>
          <w:szCs w:val="22"/>
        </w:rPr>
        <w:t xml:space="preserve"> will </w:t>
      </w:r>
      <w:r w:rsidR="00F72F93">
        <w:rPr>
          <w:szCs w:val="22"/>
        </w:rPr>
        <w:t xml:space="preserve">receive funds for the 2022 and 2023 fiscal years (FYs) </w:t>
      </w:r>
      <w:r>
        <w:rPr>
          <w:szCs w:val="22"/>
        </w:rPr>
        <w:t>in Cohort 2 Year 1 (July</w:t>
      </w:r>
      <w:r w:rsidR="00577128">
        <w:rPr>
          <w:szCs w:val="22"/>
        </w:rPr>
        <w:t xml:space="preserve"> 1,</w:t>
      </w:r>
      <w:r>
        <w:rPr>
          <w:szCs w:val="22"/>
        </w:rPr>
        <w:t xml:space="preserve"> 2023 through June</w:t>
      </w:r>
      <w:r w:rsidR="00577128">
        <w:rPr>
          <w:szCs w:val="22"/>
        </w:rPr>
        <w:t xml:space="preserve"> 30,</w:t>
      </w:r>
      <w:r>
        <w:rPr>
          <w:szCs w:val="22"/>
        </w:rPr>
        <w:t xml:space="preserve"> 2024) in order for the grant performance period to align with the </w:t>
      </w:r>
      <w:r w:rsidR="00F72F93">
        <w:rPr>
          <w:szCs w:val="22"/>
        </w:rPr>
        <w:t xml:space="preserve">federal </w:t>
      </w:r>
      <w:r>
        <w:rPr>
          <w:szCs w:val="22"/>
        </w:rPr>
        <w:t xml:space="preserve">fiscal funding of the program. </w:t>
      </w:r>
      <w:r w:rsidR="00577128">
        <w:rPr>
          <w:szCs w:val="22"/>
        </w:rPr>
        <w:t xml:space="preserve">Funding for the 2022 FY is anticipated to be released in June 2023. Funding for the 2023 FY is anticipated to be release July 2023. </w:t>
      </w:r>
      <w:r>
        <w:rPr>
          <w:szCs w:val="22"/>
        </w:rPr>
        <w:t xml:space="preserve">Grantees will be notified of each </w:t>
      </w:r>
      <w:r w:rsidR="00577128">
        <w:rPr>
          <w:szCs w:val="22"/>
        </w:rPr>
        <w:t>FY</w:t>
      </w:r>
      <w:r>
        <w:rPr>
          <w:szCs w:val="22"/>
        </w:rPr>
        <w:t xml:space="preserve">’s funding allocation before the start of the performance period. At that time, grantees will generate a budget according to the funds they are anticipated to receive for that </w:t>
      </w:r>
      <w:r w:rsidR="00F72F93">
        <w:rPr>
          <w:szCs w:val="22"/>
        </w:rPr>
        <w:t>FY</w:t>
      </w:r>
      <w:r>
        <w:rPr>
          <w:szCs w:val="22"/>
        </w:rPr>
        <w:t xml:space="preserve">. The budget must be submitted to the CDE before the Grant Award Notification will be generated and released for each </w:t>
      </w:r>
      <w:r w:rsidR="00F72F93">
        <w:rPr>
          <w:szCs w:val="22"/>
        </w:rPr>
        <w:t>FY</w:t>
      </w:r>
      <w:r>
        <w:rPr>
          <w:szCs w:val="22"/>
        </w:rPr>
        <w:t xml:space="preserve">. </w:t>
      </w:r>
    </w:p>
    <w:p w14:paraId="7DE331F1" w14:textId="572D9600" w:rsidR="007A4116" w:rsidRPr="00C679D9" w:rsidRDefault="00C679D9" w:rsidP="00E36E63">
      <w:pPr>
        <w:spacing w:after="240"/>
        <w:ind w:left="360"/>
      </w:pPr>
      <w:r>
        <w:t xml:space="preserve">All RAs will continue to follow the specifications and criteria outlined in the original 21CSLA </w:t>
      </w:r>
      <w:r w:rsidR="00EA18CB">
        <w:t>RFA</w:t>
      </w:r>
      <w:r w:rsidR="00696471">
        <w:t xml:space="preserve"> and subsequent updates including the deliverables set annually by the Center</w:t>
      </w:r>
      <w:r>
        <w:t xml:space="preserve">. </w:t>
      </w:r>
      <w:r w:rsidR="00696471">
        <w:rPr>
          <w:rFonts w:cs="Arial"/>
          <w:color w:val="000000"/>
        </w:rPr>
        <w:t>In addition, the</w:t>
      </w:r>
      <w:r w:rsidR="007A4116" w:rsidRPr="00074442">
        <w:rPr>
          <w:rFonts w:cs="Arial"/>
          <w:color w:val="000000"/>
        </w:rPr>
        <w:t xml:space="preserve"> CDE</w:t>
      </w:r>
      <w:r w:rsidR="007A4116">
        <w:rPr>
          <w:rFonts w:cs="Arial"/>
          <w:color w:val="000000"/>
        </w:rPr>
        <w:t xml:space="preserve">, CCEE, </w:t>
      </w:r>
      <w:r w:rsidR="00084219">
        <w:rPr>
          <w:rFonts w:cs="Arial"/>
          <w:color w:val="000000"/>
        </w:rPr>
        <w:t xml:space="preserve">and </w:t>
      </w:r>
      <w:r w:rsidR="007A4116">
        <w:rPr>
          <w:rFonts w:cs="Arial"/>
          <w:color w:val="000000"/>
        </w:rPr>
        <w:t xml:space="preserve">SBE </w:t>
      </w:r>
      <w:r w:rsidR="007A4116" w:rsidRPr="00074442">
        <w:rPr>
          <w:rFonts w:cs="Arial"/>
          <w:color w:val="000000"/>
        </w:rPr>
        <w:t xml:space="preserve">will </w:t>
      </w:r>
      <w:r w:rsidR="007A4116">
        <w:rPr>
          <w:rFonts w:cs="Arial"/>
          <w:color w:val="000000"/>
        </w:rPr>
        <w:t xml:space="preserve">be </w:t>
      </w:r>
      <w:r w:rsidR="007A4116" w:rsidRPr="00074442">
        <w:rPr>
          <w:rFonts w:cs="Arial"/>
          <w:color w:val="000000"/>
        </w:rPr>
        <w:t>consider</w:t>
      </w:r>
      <w:r w:rsidR="007A4116">
        <w:rPr>
          <w:rFonts w:cs="Arial"/>
          <w:color w:val="000000"/>
        </w:rPr>
        <w:t>ing</w:t>
      </w:r>
      <w:r w:rsidR="007A4116" w:rsidRPr="00074442">
        <w:rPr>
          <w:rFonts w:cs="Arial"/>
          <w:color w:val="000000"/>
        </w:rPr>
        <w:t xml:space="preserve"> </w:t>
      </w:r>
      <w:r w:rsidR="007A4116" w:rsidRPr="00916762">
        <w:rPr>
          <w:rFonts w:cs="Arial"/>
          <w:color w:val="000000"/>
        </w:rPr>
        <w:t>all of</w:t>
      </w:r>
      <w:r w:rsidR="007A4116">
        <w:rPr>
          <w:rFonts w:cs="Arial"/>
          <w:color w:val="000000"/>
        </w:rPr>
        <w:t xml:space="preserve"> </w:t>
      </w:r>
      <w:r w:rsidR="007A4116" w:rsidRPr="00074442">
        <w:rPr>
          <w:rFonts w:cs="Arial"/>
          <w:color w:val="000000"/>
        </w:rPr>
        <w:t xml:space="preserve">the following </w:t>
      </w:r>
      <w:r w:rsidR="007A4116">
        <w:rPr>
          <w:rFonts w:cs="Arial"/>
          <w:color w:val="000000"/>
        </w:rPr>
        <w:t xml:space="preserve">factors throughout the Cohort 2 performance period. </w:t>
      </w:r>
      <w:r w:rsidR="00AB6A49">
        <w:rPr>
          <w:rFonts w:cs="Arial"/>
          <w:color w:val="000000"/>
        </w:rPr>
        <w:t>The following metrics will be utilized to evaluate the performance of the Cohort 2 RAs</w:t>
      </w:r>
      <w:r w:rsidR="007A4116">
        <w:rPr>
          <w:rFonts w:cs="Arial"/>
          <w:color w:val="000000"/>
        </w:rPr>
        <w:t xml:space="preserve">. </w:t>
      </w:r>
      <w:r w:rsidR="00E37574">
        <w:rPr>
          <w:rFonts w:cs="Arial"/>
          <w:color w:val="000000"/>
        </w:rPr>
        <w:t xml:space="preserve">RAs </w:t>
      </w:r>
      <w:r w:rsidR="007A4116">
        <w:rPr>
          <w:rFonts w:cs="Arial"/>
          <w:color w:val="000000"/>
        </w:rPr>
        <w:t>will be asked to track and monitor their progress on meeting the following:</w:t>
      </w:r>
    </w:p>
    <w:p w14:paraId="47D6AB54" w14:textId="3394A6D1" w:rsidR="007F1FD6" w:rsidRPr="00284BAA" w:rsidRDefault="00431014" w:rsidP="00EE0DAF">
      <w:pPr>
        <w:pStyle w:val="ListParagraph"/>
        <w:numPr>
          <w:ilvl w:val="0"/>
          <w:numId w:val="3"/>
        </w:numPr>
        <w:spacing w:after="240"/>
        <w:rPr>
          <w:color w:val="201F1E"/>
          <w:lang w:val="en"/>
        </w:rPr>
      </w:pPr>
      <w:r>
        <w:rPr>
          <w:color w:val="201F1E"/>
          <w:shd w:val="clear" w:color="auto" w:fill="FFFFFF"/>
          <w:lang w:val="en"/>
        </w:rPr>
        <w:t>Employ a</w:t>
      </w:r>
      <w:r w:rsidR="002C6AA7">
        <w:rPr>
          <w:color w:val="201F1E"/>
          <w:shd w:val="clear" w:color="auto" w:fill="FFFFFF"/>
          <w:lang w:val="en"/>
        </w:rPr>
        <w:t xml:space="preserve">t least one full time </w:t>
      </w:r>
      <w:r w:rsidR="004D5A47">
        <w:rPr>
          <w:color w:val="201F1E"/>
          <w:shd w:val="clear" w:color="auto" w:fill="FFFFFF"/>
          <w:lang w:val="en"/>
        </w:rPr>
        <w:t>project lead</w:t>
      </w:r>
      <w:r w:rsidR="002C6AA7">
        <w:rPr>
          <w:color w:val="201F1E"/>
          <w:shd w:val="clear" w:color="auto" w:fill="FFFFFF"/>
          <w:lang w:val="en"/>
        </w:rPr>
        <w:t xml:space="preserve"> exclusively dedicated to the 21CSLA program and appropriate levels of staff, full-time equivalent, and/or contracted support </w:t>
      </w:r>
      <w:r w:rsidR="00BA2380" w:rsidRPr="00BA2380">
        <w:rPr>
          <w:color w:val="201F1E"/>
          <w:shd w:val="clear" w:color="auto" w:fill="FFFFFF"/>
          <w:lang w:val="en"/>
        </w:rPr>
        <w:t xml:space="preserve">to ensure full participation in all 21CSLA program activities offered by the </w:t>
      </w:r>
      <w:r w:rsidR="00FF5AB8">
        <w:rPr>
          <w:color w:val="201F1E"/>
          <w:shd w:val="clear" w:color="auto" w:fill="FFFFFF"/>
          <w:lang w:val="en"/>
        </w:rPr>
        <w:t xml:space="preserve">21CSLA </w:t>
      </w:r>
      <w:r w:rsidR="00BA2380" w:rsidRPr="00BA2380">
        <w:rPr>
          <w:color w:val="201F1E"/>
          <w:shd w:val="clear" w:color="auto" w:fill="FFFFFF"/>
          <w:lang w:val="en"/>
        </w:rPr>
        <w:t>Center</w:t>
      </w:r>
      <w:r w:rsidR="00084219">
        <w:rPr>
          <w:color w:val="201F1E"/>
          <w:shd w:val="clear" w:color="auto" w:fill="FFFFFF"/>
          <w:lang w:val="en"/>
        </w:rPr>
        <w:t>.</w:t>
      </w:r>
    </w:p>
    <w:p w14:paraId="395CB66F" w14:textId="79CA2553" w:rsidR="007F1FD6" w:rsidRPr="00654771" w:rsidRDefault="00EA711C" w:rsidP="00EE0DAF">
      <w:pPr>
        <w:pStyle w:val="ListParagraph"/>
        <w:numPr>
          <w:ilvl w:val="0"/>
          <w:numId w:val="3"/>
        </w:numPr>
        <w:spacing w:after="240"/>
        <w:rPr>
          <w:rFonts w:cs="Arial"/>
          <w:color w:val="201F1E"/>
          <w:lang w:val="en"/>
        </w:rPr>
      </w:pPr>
      <w:r w:rsidRPr="00654771">
        <w:rPr>
          <w:rFonts w:cs="Arial"/>
          <w:color w:val="201F1E"/>
          <w:shd w:val="clear" w:color="auto" w:fill="FFFFFF"/>
          <w:lang w:val="en"/>
        </w:rPr>
        <w:t>E</w:t>
      </w:r>
      <w:r w:rsidR="00BA2380" w:rsidRPr="00654771">
        <w:rPr>
          <w:rFonts w:cs="Arial"/>
          <w:color w:val="201F1E"/>
          <w:shd w:val="clear" w:color="auto" w:fill="FFFFFF"/>
          <w:lang w:val="en"/>
        </w:rPr>
        <w:t xml:space="preserve">nsure full implementation of Cohort 2 deliverables </w:t>
      </w:r>
      <w:r w:rsidR="00BA2380" w:rsidRPr="00591BAD">
        <w:rPr>
          <w:rFonts w:cs="Arial"/>
          <w:color w:val="000000"/>
          <w:shd w:val="clear" w:color="auto" w:fill="FFFFFF"/>
          <w:lang w:val="en"/>
        </w:rPr>
        <w:t>in</w:t>
      </w:r>
      <w:r w:rsidR="00BA2380" w:rsidRPr="00654771">
        <w:rPr>
          <w:rFonts w:cs="Arial"/>
          <w:color w:val="201F1E"/>
          <w:shd w:val="clear" w:color="auto" w:fill="FFFFFF"/>
          <w:lang w:val="en"/>
        </w:rPr>
        <w:t>cluding Universal Transitional Kindergarten and others specified by the CDE, CCEE</w:t>
      </w:r>
      <w:r w:rsidRPr="00654771">
        <w:rPr>
          <w:rFonts w:cs="Arial"/>
          <w:color w:val="201F1E"/>
          <w:shd w:val="clear" w:color="auto" w:fill="FFFFFF"/>
          <w:lang w:val="en"/>
        </w:rPr>
        <w:t>, and SBE</w:t>
      </w:r>
      <w:r w:rsidR="00FF5AB8" w:rsidRPr="00654771">
        <w:rPr>
          <w:rFonts w:cs="Arial"/>
          <w:color w:val="201F1E"/>
          <w:shd w:val="clear" w:color="auto" w:fill="FFFFFF"/>
          <w:lang w:val="en"/>
        </w:rPr>
        <w:t>.</w:t>
      </w:r>
    </w:p>
    <w:p w14:paraId="4E207563" w14:textId="2C1333E9" w:rsidR="007F1FD6" w:rsidRPr="00BE6DB4" w:rsidRDefault="00BA2380" w:rsidP="00EE0DAF">
      <w:pPr>
        <w:pStyle w:val="ListParagraph"/>
        <w:numPr>
          <w:ilvl w:val="0"/>
          <w:numId w:val="3"/>
        </w:numPr>
        <w:spacing w:after="240"/>
        <w:rPr>
          <w:rFonts w:cs="Arial"/>
          <w:color w:val="201F1E"/>
          <w:lang w:val="en"/>
        </w:rPr>
      </w:pPr>
      <w:r w:rsidRPr="00654771">
        <w:rPr>
          <w:rFonts w:cs="Arial"/>
          <w:color w:val="201F1E"/>
          <w:shd w:val="clear" w:color="auto" w:fill="FFFFFF"/>
          <w:lang w:val="en"/>
        </w:rPr>
        <w:t xml:space="preserve">Ensure regular meeting contact </w:t>
      </w:r>
      <w:r w:rsidR="002C6AA7" w:rsidRPr="00654771">
        <w:rPr>
          <w:rFonts w:cs="Arial"/>
          <w:color w:val="201F1E"/>
          <w:shd w:val="clear" w:color="auto" w:fill="FFFFFF"/>
          <w:lang w:val="en"/>
        </w:rPr>
        <w:t>through a combination of virtual and in</w:t>
      </w:r>
      <w:r w:rsidR="009C136E">
        <w:rPr>
          <w:rFonts w:cs="Arial"/>
          <w:color w:val="201F1E"/>
          <w:shd w:val="clear" w:color="auto" w:fill="FFFFFF"/>
          <w:lang w:val="en"/>
        </w:rPr>
        <w:t>-</w:t>
      </w:r>
      <w:r w:rsidR="002C6AA7" w:rsidRPr="00654771">
        <w:rPr>
          <w:rFonts w:cs="Arial"/>
          <w:color w:val="201F1E"/>
          <w:shd w:val="clear" w:color="auto" w:fill="FFFFFF"/>
          <w:lang w:val="en"/>
        </w:rPr>
        <w:t xml:space="preserve">person connections </w:t>
      </w:r>
      <w:r w:rsidRPr="00654771">
        <w:rPr>
          <w:rFonts w:cs="Arial"/>
          <w:color w:val="201F1E"/>
          <w:shd w:val="clear" w:color="auto" w:fill="FFFFFF"/>
          <w:lang w:val="en"/>
        </w:rPr>
        <w:t>within the Geo Region to inform, improve, and expand program services a</w:t>
      </w:r>
      <w:r w:rsidR="00702BDB" w:rsidRPr="00654771">
        <w:rPr>
          <w:rFonts w:cs="Arial"/>
          <w:color w:val="201F1E"/>
          <w:shd w:val="clear" w:color="auto" w:fill="FFFFFF"/>
          <w:lang w:val="en"/>
        </w:rPr>
        <w:t>cross</w:t>
      </w:r>
      <w:r w:rsidRPr="00654771">
        <w:rPr>
          <w:rFonts w:cs="Arial"/>
          <w:color w:val="201F1E"/>
          <w:shd w:val="clear" w:color="auto" w:fill="FFFFFF"/>
          <w:lang w:val="en"/>
        </w:rPr>
        <w:t xml:space="preserve"> the Geo Region, </w:t>
      </w:r>
      <w:r w:rsidR="00702BDB" w:rsidRPr="00654771">
        <w:rPr>
          <w:rFonts w:cs="Arial"/>
          <w:color w:val="201F1E"/>
          <w:shd w:val="clear" w:color="auto" w:fill="FFFFFF"/>
          <w:lang w:val="en"/>
        </w:rPr>
        <w:t>c</w:t>
      </w:r>
      <w:r w:rsidRPr="00654771">
        <w:rPr>
          <w:rFonts w:cs="Arial"/>
          <w:color w:val="201F1E"/>
          <w:shd w:val="clear" w:color="auto" w:fill="FFFFFF"/>
          <w:lang w:val="en"/>
        </w:rPr>
        <w:t xml:space="preserve">ounty, </w:t>
      </w:r>
      <w:r w:rsidR="00702BDB" w:rsidRPr="00654771">
        <w:rPr>
          <w:rFonts w:cs="Arial"/>
          <w:color w:val="201F1E"/>
          <w:shd w:val="clear" w:color="auto" w:fill="FFFFFF"/>
          <w:lang w:val="en"/>
        </w:rPr>
        <w:t>d</w:t>
      </w:r>
      <w:r w:rsidRPr="00654771">
        <w:rPr>
          <w:rFonts w:cs="Arial"/>
          <w:color w:val="201F1E"/>
          <w:shd w:val="clear" w:color="auto" w:fill="FFFFFF"/>
          <w:lang w:val="en"/>
        </w:rPr>
        <w:t xml:space="preserve">istrict, and school levels and fulfill data input/reporting of those contacts as requested by the CDE, CCEE, </w:t>
      </w:r>
      <w:r w:rsidR="00EA711C" w:rsidRPr="00654771">
        <w:rPr>
          <w:rFonts w:cs="Arial"/>
          <w:color w:val="201F1E"/>
          <w:shd w:val="clear" w:color="auto" w:fill="FFFFFF"/>
          <w:lang w:val="en"/>
        </w:rPr>
        <w:t>SBE</w:t>
      </w:r>
      <w:r w:rsidR="002F34F2">
        <w:rPr>
          <w:rFonts w:cs="Arial"/>
          <w:color w:val="201F1E"/>
          <w:shd w:val="clear" w:color="auto" w:fill="FFFFFF"/>
          <w:lang w:val="en"/>
        </w:rPr>
        <w:t>,</w:t>
      </w:r>
      <w:r w:rsidR="00EA711C" w:rsidRPr="00654771">
        <w:rPr>
          <w:rFonts w:cs="Arial"/>
          <w:color w:val="201F1E"/>
          <w:shd w:val="clear" w:color="auto" w:fill="FFFFFF"/>
          <w:lang w:val="en"/>
        </w:rPr>
        <w:t xml:space="preserve"> </w:t>
      </w:r>
      <w:r w:rsidRPr="00654771">
        <w:rPr>
          <w:rFonts w:cs="Arial"/>
          <w:color w:val="201F1E"/>
          <w:shd w:val="clear" w:color="auto" w:fill="FFFFFF"/>
          <w:lang w:val="en"/>
        </w:rPr>
        <w:t>and an external evaluator.</w:t>
      </w:r>
    </w:p>
    <w:p w14:paraId="3CCC8FDC" w14:textId="79820803" w:rsidR="007F1FD6" w:rsidRPr="00BE6DB4" w:rsidRDefault="00BA2380" w:rsidP="00EE0DAF">
      <w:pPr>
        <w:pStyle w:val="ListParagraph"/>
        <w:numPr>
          <w:ilvl w:val="0"/>
          <w:numId w:val="3"/>
        </w:numPr>
        <w:spacing w:after="240"/>
        <w:rPr>
          <w:rFonts w:cs="Arial"/>
          <w:color w:val="201F1E"/>
          <w:lang w:val="en"/>
        </w:rPr>
      </w:pPr>
      <w:r w:rsidRPr="00BE6DB4">
        <w:rPr>
          <w:rFonts w:cs="Arial"/>
          <w:color w:val="201F1E"/>
          <w:shd w:val="clear" w:color="auto" w:fill="FFFFFF"/>
          <w:lang w:val="en"/>
        </w:rPr>
        <w:t xml:space="preserve">Ensure that service is consistently </w:t>
      </w:r>
      <w:r w:rsidR="00413446" w:rsidRPr="00BE6DB4">
        <w:rPr>
          <w:rFonts w:cs="Arial"/>
          <w:color w:val="201F1E"/>
          <w:shd w:val="clear" w:color="auto" w:fill="FFFFFF"/>
          <w:lang w:val="en"/>
        </w:rPr>
        <w:t xml:space="preserve">responding and </w:t>
      </w:r>
      <w:r w:rsidRPr="00BE6DB4">
        <w:rPr>
          <w:rFonts w:cs="Arial"/>
          <w:color w:val="201F1E"/>
          <w:shd w:val="clear" w:color="auto" w:fill="FFFFFF"/>
          <w:lang w:val="en"/>
        </w:rPr>
        <w:t>expanding in scope and depth beyond current offerings and practice in alignment with</w:t>
      </w:r>
      <w:r w:rsidR="00413446" w:rsidRPr="00BE6DB4">
        <w:rPr>
          <w:rFonts w:cs="Arial"/>
          <w:color w:val="201F1E"/>
          <w:shd w:val="clear" w:color="auto" w:fill="FFFFFF"/>
          <w:lang w:val="en"/>
        </w:rPr>
        <w:t xml:space="preserve"> California’s evolving educational environment in response to</w:t>
      </w:r>
      <w:r w:rsidRPr="00BE6DB4">
        <w:rPr>
          <w:rFonts w:cs="Arial"/>
          <w:color w:val="201F1E"/>
          <w:shd w:val="clear" w:color="auto" w:fill="FFFFFF"/>
          <w:lang w:val="en"/>
        </w:rPr>
        <w:t xml:space="preserve"> CDE,</w:t>
      </w:r>
      <w:r w:rsidR="00413446" w:rsidRPr="00BE6DB4">
        <w:rPr>
          <w:rFonts w:cs="Arial"/>
          <w:color w:val="201F1E"/>
          <w:shd w:val="clear" w:color="auto" w:fill="FFFFFF"/>
          <w:lang w:val="en"/>
        </w:rPr>
        <w:t xml:space="preserve"> </w:t>
      </w:r>
      <w:r w:rsidRPr="00BE6DB4">
        <w:rPr>
          <w:rFonts w:cs="Arial"/>
          <w:color w:val="201F1E"/>
          <w:shd w:val="clear" w:color="auto" w:fill="FFFFFF"/>
          <w:lang w:val="en"/>
        </w:rPr>
        <w:t xml:space="preserve">CCEE, </w:t>
      </w:r>
      <w:r w:rsidR="00EA711C" w:rsidRPr="00BE6DB4">
        <w:rPr>
          <w:rFonts w:cs="Arial"/>
          <w:color w:val="201F1E"/>
          <w:shd w:val="clear" w:color="auto" w:fill="FFFFFF"/>
          <w:lang w:val="en"/>
        </w:rPr>
        <w:t>SBE</w:t>
      </w:r>
      <w:r w:rsidR="00BA1226">
        <w:rPr>
          <w:rFonts w:cs="Arial"/>
          <w:color w:val="201F1E"/>
          <w:shd w:val="clear" w:color="auto" w:fill="FFFFFF"/>
          <w:lang w:val="en"/>
        </w:rPr>
        <w:t>,</w:t>
      </w:r>
      <w:r w:rsidR="00EA711C" w:rsidRPr="00BE6DB4">
        <w:rPr>
          <w:rFonts w:cs="Arial"/>
          <w:color w:val="201F1E"/>
          <w:shd w:val="clear" w:color="auto" w:fill="FFFFFF"/>
          <w:lang w:val="en"/>
        </w:rPr>
        <w:t xml:space="preserve"> </w:t>
      </w:r>
      <w:r w:rsidRPr="00BE6DB4">
        <w:rPr>
          <w:rFonts w:cs="Arial"/>
          <w:color w:val="201F1E"/>
          <w:shd w:val="clear" w:color="auto" w:fill="FFFFFF"/>
          <w:lang w:val="en"/>
        </w:rPr>
        <w:t>and Center guidance</w:t>
      </w:r>
      <w:r w:rsidR="00FB5341" w:rsidRPr="00BE6DB4">
        <w:rPr>
          <w:rFonts w:cs="Arial"/>
          <w:color w:val="201F1E"/>
          <w:shd w:val="clear" w:color="auto" w:fill="FFFFFF"/>
          <w:lang w:val="en"/>
        </w:rPr>
        <w:t>.</w:t>
      </w:r>
    </w:p>
    <w:p w14:paraId="7CA67716" w14:textId="15F3DCE9" w:rsidR="00BA2380" w:rsidRPr="007F1FD6" w:rsidRDefault="008D59F4" w:rsidP="00EE0DAF">
      <w:pPr>
        <w:pStyle w:val="ListParagraph"/>
        <w:numPr>
          <w:ilvl w:val="0"/>
          <w:numId w:val="3"/>
        </w:numPr>
        <w:spacing w:after="240"/>
        <w:rPr>
          <w:rFonts w:ascii="Calibri" w:hAnsi="Calibri" w:cs="Calibri"/>
          <w:sz w:val="22"/>
          <w:szCs w:val="22"/>
          <w:lang w:val="en"/>
        </w:rPr>
      </w:pPr>
      <w:r w:rsidRPr="00BE6DB4">
        <w:rPr>
          <w:rFonts w:cs="Arial"/>
          <w:color w:val="201F1E"/>
          <w:shd w:val="clear" w:color="auto" w:fill="FFFFFF"/>
          <w:lang w:val="en"/>
        </w:rPr>
        <w:lastRenderedPageBreak/>
        <w:t xml:space="preserve">Demonstrate </w:t>
      </w:r>
      <w:r w:rsidR="00431014" w:rsidRPr="00BE6DB4">
        <w:rPr>
          <w:rFonts w:cs="Arial"/>
          <w:color w:val="201F1E"/>
          <w:shd w:val="clear" w:color="auto" w:fill="FFFFFF"/>
          <w:lang w:val="en"/>
        </w:rPr>
        <w:t>commitment</w:t>
      </w:r>
      <w:r w:rsidRPr="00BE6DB4">
        <w:rPr>
          <w:rFonts w:cs="Arial"/>
          <w:color w:val="201F1E"/>
          <w:shd w:val="clear" w:color="auto" w:fill="FFFFFF"/>
          <w:lang w:val="en"/>
        </w:rPr>
        <w:t xml:space="preserve"> to continuous improvement practices utilizing evidence including participant feedback to e</w:t>
      </w:r>
      <w:r w:rsidR="00BA2380" w:rsidRPr="00BE6DB4">
        <w:rPr>
          <w:rFonts w:cs="Arial"/>
          <w:color w:val="201F1E"/>
          <w:shd w:val="clear" w:color="auto" w:fill="FFFFFF"/>
          <w:lang w:val="en"/>
        </w:rPr>
        <w:t xml:space="preserve">nsure high quality equity-centered coaching and professional learning </w:t>
      </w:r>
      <w:r w:rsidR="00084219" w:rsidRPr="00BE6DB4">
        <w:rPr>
          <w:rFonts w:cs="Arial"/>
          <w:color w:val="201F1E"/>
          <w:shd w:val="clear" w:color="auto" w:fill="FFFFFF"/>
          <w:lang w:val="en"/>
        </w:rPr>
        <w:t xml:space="preserve">through </w:t>
      </w:r>
      <w:r w:rsidR="00BA2380" w:rsidRPr="00BE6DB4">
        <w:rPr>
          <w:rFonts w:cs="Arial"/>
          <w:color w:val="201F1E"/>
          <w:shd w:val="clear" w:color="auto" w:fill="FFFFFF"/>
          <w:lang w:val="en"/>
        </w:rPr>
        <w:t>a combination of virtual and in-person connections</w:t>
      </w:r>
      <w:r w:rsidR="00E268EF" w:rsidRPr="00BE6DB4">
        <w:rPr>
          <w:rFonts w:cs="Arial"/>
          <w:color w:val="201F1E"/>
          <w:shd w:val="clear" w:color="auto" w:fill="FFFFFF"/>
          <w:lang w:val="en"/>
        </w:rPr>
        <w:t xml:space="preserve"> </w:t>
      </w:r>
      <w:r w:rsidRPr="00BE6DB4">
        <w:rPr>
          <w:rFonts w:cs="Arial"/>
          <w:color w:val="201F1E"/>
          <w:shd w:val="clear" w:color="auto" w:fill="FFFFFF"/>
          <w:lang w:val="en"/>
        </w:rPr>
        <w:t xml:space="preserve">as public health guidance allows for the reintegration of in-person activities </w:t>
      </w:r>
      <w:r w:rsidR="001E7C8D">
        <w:rPr>
          <w:rFonts w:cs="Arial"/>
          <w:color w:val="201F1E"/>
          <w:shd w:val="clear" w:color="auto" w:fill="FFFFFF"/>
          <w:lang w:val="en"/>
        </w:rPr>
        <w:t>as COVID becomes endemic</w:t>
      </w:r>
      <w:r w:rsidR="004D5A47" w:rsidRPr="00BE6DB4">
        <w:rPr>
          <w:rFonts w:cs="Arial"/>
          <w:color w:val="201F1E"/>
          <w:shd w:val="clear" w:color="auto" w:fill="FFFFFF"/>
          <w:lang w:val="en"/>
        </w:rPr>
        <w:t>.</w:t>
      </w:r>
      <w:r w:rsidRPr="00BE6DB4">
        <w:rPr>
          <w:rFonts w:cs="Arial"/>
          <w:color w:val="201F1E"/>
          <w:shd w:val="clear" w:color="auto" w:fill="FFFFFF"/>
          <w:lang w:val="en"/>
        </w:rPr>
        <w:t xml:space="preserve"> </w:t>
      </w:r>
    </w:p>
    <w:p w14:paraId="75444F2B" w14:textId="6638DACA" w:rsidR="00913DB9" w:rsidRPr="00C679D9" w:rsidRDefault="00913DB9" w:rsidP="003A5077">
      <w:pPr>
        <w:spacing w:after="240"/>
        <w:ind w:left="360"/>
      </w:pPr>
      <w:r>
        <w:t xml:space="preserve">The Center will continue to follow the specifications and criteria outlined in the original 21CSLA </w:t>
      </w:r>
      <w:r w:rsidR="00EA18CB">
        <w:t>RFA</w:t>
      </w:r>
      <w:r>
        <w:t xml:space="preserve"> and subsequent updates. </w:t>
      </w:r>
      <w:r>
        <w:rPr>
          <w:rFonts w:cs="Arial"/>
          <w:color w:val="000000"/>
        </w:rPr>
        <w:t>In addition, the</w:t>
      </w:r>
      <w:r w:rsidRPr="00074442">
        <w:rPr>
          <w:rFonts w:cs="Arial"/>
          <w:color w:val="000000"/>
        </w:rPr>
        <w:t xml:space="preserve"> CDE</w:t>
      </w:r>
      <w:r>
        <w:rPr>
          <w:rFonts w:cs="Arial"/>
          <w:color w:val="000000"/>
        </w:rPr>
        <w:t xml:space="preserve">, CCEE, and SBE </w:t>
      </w:r>
      <w:r w:rsidRPr="00074442">
        <w:rPr>
          <w:rFonts w:cs="Arial"/>
          <w:color w:val="000000"/>
        </w:rPr>
        <w:t xml:space="preserve">will </w:t>
      </w:r>
      <w:r>
        <w:rPr>
          <w:rFonts w:cs="Arial"/>
          <w:color w:val="000000"/>
        </w:rPr>
        <w:t xml:space="preserve">be </w:t>
      </w:r>
      <w:r w:rsidRPr="00074442">
        <w:rPr>
          <w:rFonts w:cs="Arial"/>
          <w:color w:val="000000"/>
        </w:rPr>
        <w:t>consider</w:t>
      </w:r>
      <w:r>
        <w:rPr>
          <w:rFonts w:cs="Arial"/>
          <w:color w:val="000000"/>
        </w:rPr>
        <w:t>ing</w:t>
      </w:r>
      <w:r w:rsidRPr="00074442">
        <w:rPr>
          <w:rFonts w:cs="Arial"/>
          <w:color w:val="000000"/>
        </w:rPr>
        <w:t xml:space="preserve"> </w:t>
      </w:r>
      <w:r w:rsidRPr="00916762">
        <w:rPr>
          <w:rFonts w:cs="Arial"/>
          <w:color w:val="000000"/>
        </w:rPr>
        <w:t>all of</w:t>
      </w:r>
      <w:r>
        <w:rPr>
          <w:rFonts w:cs="Arial"/>
          <w:color w:val="000000"/>
        </w:rPr>
        <w:t xml:space="preserve"> </w:t>
      </w:r>
      <w:r w:rsidRPr="00074442">
        <w:rPr>
          <w:rFonts w:cs="Arial"/>
          <w:color w:val="000000"/>
        </w:rPr>
        <w:t xml:space="preserve">the following </w:t>
      </w:r>
      <w:r>
        <w:rPr>
          <w:rFonts w:cs="Arial"/>
          <w:color w:val="000000"/>
        </w:rPr>
        <w:t>factors throughout the Cohort 2 performance period. The following metrics will be utilized to evaluate the performance of the Center in Cohort 2. The Center will be asked to track and monitor their progress on meeting the following:</w:t>
      </w:r>
    </w:p>
    <w:p w14:paraId="21982CAF" w14:textId="09CF84B5" w:rsidR="007F1FD6" w:rsidRPr="00284BAA" w:rsidRDefault="00913DB9" w:rsidP="00252826">
      <w:pPr>
        <w:pStyle w:val="ListParagraph"/>
        <w:numPr>
          <w:ilvl w:val="0"/>
          <w:numId w:val="3"/>
        </w:numPr>
        <w:spacing w:after="240"/>
        <w:rPr>
          <w:color w:val="201F1E"/>
          <w:lang w:val="en"/>
        </w:rPr>
      </w:pPr>
      <w:r>
        <w:rPr>
          <w:color w:val="201F1E"/>
          <w:shd w:val="clear" w:color="auto" w:fill="FFFFFF"/>
          <w:lang w:val="en"/>
        </w:rPr>
        <w:t xml:space="preserve">Employ at least one full time </w:t>
      </w:r>
      <w:r w:rsidR="004D5A47">
        <w:rPr>
          <w:color w:val="201F1E"/>
          <w:shd w:val="clear" w:color="auto" w:fill="FFFFFF"/>
          <w:lang w:val="en"/>
        </w:rPr>
        <w:t>project lead</w:t>
      </w:r>
      <w:r>
        <w:rPr>
          <w:color w:val="201F1E"/>
          <w:shd w:val="clear" w:color="auto" w:fill="FFFFFF"/>
          <w:lang w:val="en"/>
        </w:rPr>
        <w:t xml:space="preserve"> exclusively dedicated to the 21CSLA program and appropriate levels of staff, full-time equivalent, and/or contracted </w:t>
      </w:r>
      <w:r w:rsidR="00EA18CB">
        <w:rPr>
          <w:color w:val="201F1E"/>
          <w:shd w:val="clear" w:color="auto" w:fill="FFFFFF"/>
          <w:lang w:val="en"/>
        </w:rPr>
        <w:t xml:space="preserve">staff </w:t>
      </w:r>
      <w:r w:rsidRPr="00BA2380">
        <w:rPr>
          <w:color w:val="201F1E"/>
          <w:shd w:val="clear" w:color="auto" w:fill="FFFFFF"/>
          <w:lang w:val="en"/>
        </w:rPr>
        <w:t xml:space="preserve">to </w:t>
      </w:r>
      <w:r>
        <w:rPr>
          <w:color w:val="201F1E"/>
          <w:shd w:val="clear" w:color="auto" w:fill="FFFFFF"/>
          <w:lang w:val="en"/>
        </w:rPr>
        <w:t>support the RAs</w:t>
      </w:r>
      <w:r w:rsidRPr="00BA2380">
        <w:rPr>
          <w:color w:val="201F1E"/>
          <w:shd w:val="clear" w:color="auto" w:fill="FFFFFF"/>
          <w:lang w:val="en"/>
        </w:rPr>
        <w:t xml:space="preserve"> full participation in all 21CSLA program activities</w:t>
      </w:r>
      <w:r>
        <w:rPr>
          <w:color w:val="201F1E"/>
          <w:shd w:val="clear" w:color="auto" w:fill="FFFFFF"/>
          <w:lang w:val="en"/>
        </w:rPr>
        <w:t>.</w:t>
      </w:r>
      <w:r w:rsidRPr="00BA2380">
        <w:rPr>
          <w:color w:val="201F1E"/>
          <w:shd w:val="clear" w:color="auto" w:fill="FFFFFF"/>
          <w:lang w:val="en"/>
        </w:rPr>
        <w:t xml:space="preserve"> </w:t>
      </w:r>
    </w:p>
    <w:p w14:paraId="718DBE04" w14:textId="44CF24CA" w:rsidR="007F1FD6" w:rsidRPr="00D944B9" w:rsidRDefault="0066307F" w:rsidP="00252826">
      <w:pPr>
        <w:pStyle w:val="ListParagraph"/>
        <w:numPr>
          <w:ilvl w:val="0"/>
          <w:numId w:val="3"/>
        </w:numPr>
        <w:spacing w:after="240"/>
        <w:rPr>
          <w:rFonts w:cs="Arial"/>
          <w:color w:val="201F1E"/>
          <w:lang w:val="en"/>
        </w:rPr>
      </w:pPr>
      <w:r w:rsidRPr="00D944B9">
        <w:rPr>
          <w:rFonts w:cs="Arial"/>
          <w:color w:val="201F1E"/>
          <w:shd w:val="clear" w:color="auto" w:fill="FFFFFF"/>
          <w:lang w:val="en"/>
        </w:rPr>
        <w:t>Develop the</w:t>
      </w:r>
      <w:r w:rsidR="00913DB9" w:rsidRPr="00D944B9">
        <w:rPr>
          <w:rFonts w:cs="Arial"/>
          <w:color w:val="201F1E"/>
          <w:shd w:val="clear" w:color="auto" w:fill="FFFFFF"/>
          <w:lang w:val="en"/>
        </w:rPr>
        <w:t xml:space="preserve"> Cohort 2 deliverables </w:t>
      </w:r>
      <w:r w:rsidR="00913DB9" w:rsidRPr="00591BAD">
        <w:rPr>
          <w:rFonts w:cs="Arial"/>
          <w:color w:val="000000"/>
          <w:shd w:val="clear" w:color="auto" w:fill="FFFFFF"/>
          <w:lang w:val="en"/>
        </w:rPr>
        <w:t>in</w:t>
      </w:r>
      <w:r w:rsidR="00913DB9" w:rsidRPr="00D944B9">
        <w:rPr>
          <w:rFonts w:cs="Arial"/>
          <w:color w:val="201F1E"/>
          <w:shd w:val="clear" w:color="auto" w:fill="FFFFFF"/>
          <w:lang w:val="en"/>
        </w:rPr>
        <w:t xml:space="preserve">cluding Universal Transitional Kindergarten and others </w:t>
      </w:r>
      <w:r w:rsidRPr="00D944B9">
        <w:rPr>
          <w:rFonts w:cs="Arial"/>
          <w:color w:val="201F1E"/>
          <w:shd w:val="clear" w:color="auto" w:fill="FFFFFF"/>
          <w:lang w:val="en"/>
        </w:rPr>
        <w:t>in conjunction with</w:t>
      </w:r>
      <w:r w:rsidR="00913DB9" w:rsidRPr="00D944B9">
        <w:rPr>
          <w:rFonts w:cs="Arial"/>
          <w:color w:val="201F1E"/>
          <w:shd w:val="clear" w:color="auto" w:fill="FFFFFF"/>
          <w:lang w:val="en"/>
        </w:rPr>
        <w:t xml:space="preserve"> the CDE, CCEE,</w:t>
      </w:r>
      <w:r w:rsidR="00084219" w:rsidRPr="00D944B9">
        <w:rPr>
          <w:rFonts w:cs="Arial"/>
          <w:color w:val="201F1E"/>
          <w:shd w:val="clear" w:color="auto" w:fill="FFFFFF"/>
          <w:lang w:val="en"/>
        </w:rPr>
        <w:t xml:space="preserve"> and</w:t>
      </w:r>
      <w:r w:rsidRPr="00D944B9">
        <w:rPr>
          <w:rFonts w:cs="Arial"/>
          <w:color w:val="201F1E"/>
          <w:shd w:val="clear" w:color="auto" w:fill="FFFFFF"/>
          <w:lang w:val="en"/>
        </w:rPr>
        <w:t xml:space="preserve"> </w:t>
      </w:r>
      <w:r w:rsidR="00913DB9" w:rsidRPr="00D944B9">
        <w:rPr>
          <w:rFonts w:cs="Arial"/>
          <w:color w:val="201F1E"/>
          <w:shd w:val="clear" w:color="auto" w:fill="FFFFFF"/>
          <w:lang w:val="en"/>
        </w:rPr>
        <w:t>SBE</w:t>
      </w:r>
      <w:r w:rsidR="00084219" w:rsidRPr="00D944B9">
        <w:rPr>
          <w:rFonts w:cs="Arial"/>
          <w:color w:val="201F1E"/>
          <w:shd w:val="clear" w:color="auto" w:fill="FFFFFF"/>
          <w:lang w:val="en"/>
        </w:rPr>
        <w:t>,</w:t>
      </w:r>
      <w:r w:rsidRPr="00D944B9">
        <w:rPr>
          <w:rFonts w:cs="Arial"/>
          <w:color w:val="201F1E"/>
          <w:shd w:val="clear" w:color="auto" w:fill="FFFFFF"/>
          <w:lang w:val="en"/>
        </w:rPr>
        <w:t xml:space="preserve"> and in consultation with the RAs</w:t>
      </w:r>
      <w:r w:rsidR="00913DB9" w:rsidRPr="00D944B9">
        <w:rPr>
          <w:rFonts w:cs="Arial"/>
          <w:color w:val="201F1E"/>
          <w:shd w:val="clear" w:color="auto" w:fill="FFFFFF"/>
          <w:lang w:val="en"/>
        </w:rPr>
        <w:t>.</w:t>
      </w:r>
    </w:p>
    <w:p w14:paraId="30A26527" w14:textId="2FB0AD78" w:rsidR="007F1FD6" w:rsidRPr="00D944B9" w:rsidRDefault="0066307F" w:rsidP="00252826">
      <w:pPr>
        <w:pStyle w:val="ListParagraph"/>
        <w:numPr>
          <w:ilvl w:val="0"/>
          <w:numId w:val="3"/>
        </w:numPr>
        <w:spacing w:after="240"/>
        <w:rPr>
          <w:rFonts w:cs="Arial"/>
          <w:color w:val="201F1E"/>
          <w:lang w:val="en"/>
        </w:rPr>
      </w:pPr>
      <w:r w:rsidRPr="00D944B9">
        <w:rPr>
          <w:rFonts w:cs="Arial"/>
          <w:color w:val="201F1E"/>
          <w:shd w:val="clear" w:color="auto" w:fill="FFFFFF"/>
          <w:lang w:val="en"/>
        </w:rPr>
        <w:t xml:space="preserve">Coordinate </w:t>
      </w:r>
      <w:r w:rsidR="00913DB9" w:rsidRPr="00D944B9">
        <w:rPr>
          <w:rFonts w:cs="Arial"/>
          <w:color w:val="201F1E"/>
          <w:shd w:val="clear" w:color="auto" w:fill="FFFFFF"/>
          <w:lang w:val="en"/>
        </w:rPr>
        <w:t>regular meeting contact through a combination of virtual and in person connections with the RAs to inform, improve, and expand program services and</w:t>
      </w:r>
      <w:r w:rsidR="00084219" w:rsidRPr="00D944B9">
        <w:rPr>
          <w:rFonts w:cs="Arial"/>
          <w:color w:val="201F1E"/>
          <w:shd w:val="clear" w:color="auto" w:fill="FFFFFF"/>
          <w:lang w:val="en"/>
        </w:rPr>
        <w:t xml:space="preserve"> </w:t>
      </w:r>
      <w:r w:rsidRPr="00D944B9">
        <w:rPr>
          <w:rFonts w:cs="Arial"/>
          <w:color w:val="201F1E"/>
          <w:shd w:val="clear" w:color="auto" w:fill="FFFFFF"/>
          <w:lang w:val="en"/>
        </w:rPr>
        <w:t xml:space="preserve">create a 21CSLA database </w:t>
      </w:r>
      <w:r w:rsidR="004D5A47" w:rsidRPr="00D944B9">
        <w:rPr>
          <w:rFonts w:cs="Arial"/>
          <w:color w:val="201F1E"/>
          <w:shd w:val="clear" w:color="auto" w:fill="FFFFFF"/>
          <w:lang w:val="en"/>
        </w:rPr>
        <w:t>to</w:t>
      </w:r>
      <w:r w:rsidRPr="00D944B9">
        <w:rPr>
          <w:rFonts w:cs="Arial"/>
          <w:color w:val="201F1E"/>
          <w:shd w:val="clear" w:color="auto" w:fill="FFFFFF"/>
          <w:lang w:val="en"/>
        </w:rPr>
        <w:t xml:space="preserve"> provide data as requested </w:t>
      </w:r>
      <w:r w:rsidR="00913DB9" w:rsidRPr="00D944B9">
        <w:rPr>
          <w:rFonts w:cs="Arial"/>
          <w:color w:val="201F1E"/>
          <w:shd w:val="clear" w:color="auto" w:fill="FFFFFF"/>
          <w:lang w:val="en"/>
        </w:rPr>
        <w:t>by the CDE, CCEE, SBE</w:t>
      </w:r>
      <w:r w:rsidR="00084219" w:rsidRPr="00D944B9">
        <w:rPr>
          <w:rFonts w:cs="Arial"/>
          <w:color w:val="201F1E"/>
          <w:shd w:val="clear" w:color="auto" w:fill="FFFFFF"/>
          <w:lang w:val="en"/>
        </w:rPr>
        <w:t>,</w:t>
      </w:r>
      <w:r w:rsidR="00913DB9" w:rsidRPr="00D944B9">
        <w:rPr>
          <w:rFonts w:cs="Arial"/>
          <w:color w:val="201F1E"/>
          <w:shd w:val="clear" w:color="auto" w:fill="FFFFFF"/>
          <w:lang w:val="en"/>
        </w:rPr>
        <w:t xml:space="preserve"> and an external evaluator.</w:t>
      </w:r>
    </w:p>
    <w:p w14:paraId="4DC03129" w14:textId="48EB7073" w:rsidR="007F1FD6" w:rsidRDefault="0066307F" w:rsidP="00252826">
      <w:pPr>
        <w:pStyle w:val="ListParagraph"/>
        <w:numPr>
          <w:ilvl w:val="0"/>
          <w:numId w:val="3"/>
        </w:numPr>
        <w:spacing w:after="240"/>
        <w:rPr>
          <w:shd w:val="clear" w:color="auto" w:fill="FFFFFF"/>
          <w:lang w:val="en"/>
        </w:rPr>
      </w:pPr>
      <w:r w:rsidRPr="00D944B9">
        <w:rPr>
          <w:rFonts w:cs="Arial"/>
          <w:color w:val="201F1E"/>
          <w:shd w:val="clear" w:color="auto" w:fill="FFFFFF"/>
          <w:lang w:val="en"/>
        </w:rPr>
        <w:t xml:space="preserve">Build the capacity of 21CSLA partners to be responsive to the field in </w:t>
      </w:r>
      <w:r w:rsidR="00913DB9" w:rsidRPr="00D944B9">
        <w:rPr>
          <w:rFonts w:cs="Arial"/>
          <w:color w:val="201F1E"/>
          <w:shd w:val="clear" w:color="auto" w:fill="FFFFFF"/>
          <w:lang w:val="en"/>
        </w:rPr>
        <w:t>responding and expanding in scope and depth beyond current offerings and practice in alignment with California’s evolving educational environment in response to CDE, CCEE, and SBE guidance.</w:t>
      </w:r>
    </w:p>
    <w:p w14:paraId="6A5C0A84" w14:textId="20068875" w:rsidR="007F1FD6" w:rsidRPr="007F1FD6" w:rsidRDefault="0066307F" w:rsidP="00252826">
      <w:pPr>
        <w:pStyle w:val="ListParagraph"/>
        <w:numPr>
          <w:ilvl w:val="0"/>
          <w:numId w:val="3"/>
        </w:numPr>
        <w:spacing w:after="240"/>
        <w:rPr>
          <w:rFonts w:ascii="Calibri" w:hAnsi="Calibri" w:cs="Calibri"/>
          <w:sz w:val="22"/>
          <w:szCs w:val="22"/>
          <w:lang w:val="en"/>
        </w:rPr>
      </w:pPr>
      <w:r w:rsidRPr="00D944B9">
        <w:rPr>
          <w:rFonts w:cs="Arial"/>
          <w:color w:val="201F1E"/>
          <w:shd w:val="clear" w:color="auto" w:fill="FFFFFF"/>
          <w:lang w:val="en"/>
        </w:rPr>
        <w:t>Suppo</w:t>
      </w:r>
      <w:r w:rsidR="007F1FD6" w:rsidRPr="00D944B9">
        <w:rPr>
          <w:rFonts w:cs="Arial"/>
          <w:color w:val="201F1E"/>
          <w:shd w:val="clear" w:color="auto" w:fill="FFFFFF"/>
          <w:lang w:val="en"/>
        </w:rPr>
        <w:t>r</w:t>
      </w:r>
      <w:r w:rsidRPr="00D944B9">
        <w:rPr>
          <w:rFonts w:cs="Arial"/>
          <w:color w:val="201F1E"/>
          <w:shd w:val="clear" w:color="auto" w:fill="FFFFFF"/>
          <w:lang w:val="en"/>
        </w:rPr>
        <w:t xml:space="preserve">t the RAs to engage in </w:t>
      </w:r>
      <w:r w:rsidR="00913DB9" w:rsidRPr="00D944B9">
        <w:rPr>
          <w:rFonts w:cs="Arial"/>
          <w:color w:val="201F1E"/>
          <w:shd w:val="clear" w:color="auto" w:fill="FFFFFF"/>
          <w:lang w:val="en"/>
        </w:rPr>
        <w:t xml:space="preserve">continuous improvement practices to ensure high quality equity-centered coaching and professional learning </w:t>
      </w:r>
      <w:r w:rsidR="00084219" w:rsidRPr="00D944B9">
        <w:rPr>
          <w:rFonts w:cs="Arial"/>
          <w:color w:val="201F1E"/>
          <w:shd w:val="clear" w:color="auto" w:fill="FFFFFF"/>
          <w:lang w:val="en"/>
        </w:rPr>
        <w:t xml:space="preserve">through </w:t>
      </w:r>
      <w:r w:rsidR="00913DB9" w:rsidRPr="00D944B9">
        <w:rPr>
          <w:rFonts w:cs="Arial"/>
          <w:color w:val="201F1E"/>
          <w:shd w:val="clear" w:color="auto" w:fill="FFFFFF"/>
          <w:lang w:val="en"/>
        </w:rPr>
        <w:t xml:space="preserve">a combination of virtual and in-person connections as public health guidance allows for the reintegration of in-person activities </w:t>
      </w:r>
      <w:r w:rsidR="0045309F">
        <w:rPr>
          <w:rFonts w:cs="Arial"/>
          <w:color w:val="201F1E"/>
          <w:shd w:val="clear" w:color="auto" w:fill="FFFFFF"/>
          <w:lang w:val="en"/>
        </w:rPr>
        <w:t>as COVID becomes endemic</w:t>
      </w:r>
      <w:r w:rsidR="00913DB9" w:rsidRPr="00D944B9">
        <w:rPr>
          <w:rFonts w:cs="Arial"/>
          <w:color w:val="201F1E"/>
          <w:shd w:val="clear" w:color="auto" w:fill="FFFFFF"/>
          <w:lang w:val="en"/>
        </w:rPr>
        <w:t>.</w:t>
      </w:r>
    </w:p>
    <w:p w14:paraId="38991415" w14:textId="457F5EFF" w:rsidR="00844848" w:rsidRDefault="00EA18CB" w:rsidP="003E0458">
      <w:pPr>
        <w:spacing w:after="240"/>
        <w:ind w:left="360"/>
        <w:rPr>
          <w:lang w:val="en"/>
        </w:rPr>
      </w:pPr>
      <w:r w:rsidRPr="007F1FD6">
        <w:rPr>
          <w:lang w:val="en"/>
        </w:rPr>
        <w:t xml:space="preserve">The </w:t>
      </w:r>
      <w:r w:rsidR="00341DDE" w:rsidRPr="007F1FD6">
        <w:rPr>
          <w:lang w:val="en"/>
        </w:rPr>
        <w:t xml:space="preserve">CDE, SBE, and CCEE will collect data on abovementioned metrics </w:t>
      </w:r>
      <w:r w:rsidR="00084219" w:rsidRPr="007F1FD6">
        <w:rPr>
          <w:lang w:val="en"/>
        </w:rPr>
        <w:t xml:space="preserve">through </w:t>
      </w:r>
      <w:r w:rsidR="00341DDE" w:rsidRPr="007F1FD6">
        <w:rPr>
          <w:lang w:val="en"/>
        </w:rPr>
        <w:t xml:space="preserve">the 21CSLA Center’s database, quarterly reports, mid-grant interviews, information provided by the 21CSLA Center, and any other qualitative and quantitative data. </w:t>
      </w:r>
      <w:r w:rsidR="00913DB9" w:rsidRPr="007F1FD6">
        <w:rPr>
          <w:lang w:val="en"/>
        </w:rPr>
        <w:t>R</w:t>
      </w:r>
      <w:r w:rsidR="00C9659E" w:rsidRPr="007F1FD6">
        <w:rPr>
          <w:lang w:val="en"/>
        </w:rPr>
        <w:t>ubric</w:t>
      </w:r>
      <w:r w:rsidR="00913DB9" w:rsidRPr="007F1FD6">
        <w:rPr>
          <w:lang w:val="en"/>
        </w:rPr>
        <w:t>s</w:t>
      </w:r>
      <w:r w:rsidR="00C9659E" w:rsidRPr="007F1FD6">
        <w:rPr>
          <w:lang w:val="en"/>
        </w:rPr>
        <w:t xml:space="preserve"> </w:t>
      </w:r>
      <w:r w:rsidR="00912AE1" w:rsidRPr="007F1FD6">
        <w:rPr>
          <w:lang w:val="en"/>
        </w:rPr>
        <w:t xml:space="preserve">based on these metrics </w:t>
      </w:r>
      <w:r w:rsidR="00913DB9" w:rsidRPr="007F1FD6">
        <w:rPr>
          <w:lang w:val="en"/>
        </w:rPr>
        <w:t>are</w:t>
      </w:r>
      <w:r w:rsidR="00C9659E" w:rsidRPr="007F1FD6">
        <w:rPr>
          <w:lang w:val="en"/>
        </w:rPr>
        <w:t xml:space="preserve"> included </w:t>
      </w:r>
      <w:r w:rsidR="00E37574" w:rsidRPr="007F1FD6">
        <w:rPr>
          <w:lang w:val="en"/>
        </w:rPr>
        <w:t>in Appendix C and Appendix D</w:t>
      </w:r>
      <w:r w:rsidR="00C9659E" w:rsidRPr="007F1FD6">
        <w:rPr>
          <w:lang w:val="en"/>
        </w:rPr>
        <w:t xml:space="preserve">. </w:t>
      </w:r>
    </w:p>
    <w:p w14:paraId="3903E80B" w14:textId="77777777" w:rsidR="006D0A0D" w:rsidRDefault="006D0A0D" w:rsidP="003E0458">
      <w:pPr>
        <w:spacing w:after="240"/>
        <w:ind w:left="360"/>
        <w:rPr>
          <w:rFonts w:cs="Arial"/>
          <w:color w:val="000000"/>
        </w:rPr>
      </w:pPr>
      <w:r>
        <w:rPr>
          <w:rFonts w:cs="Arial"/>
          <w:color w:val="000000"/>
        </w:rPr>
        <w:t xml:space="preserve">All current grantees must certify that they are aware of and are committed to meet the fiscal and evaluative measures that will be implemented during the Cohort 2 grant performance period. </w:t>
      </w:r>
    </w:p>
    <w:p w14:paraId="547070BE" w14:textId="1E59F37E" w:rsidR="006D0A0D" w:rsidRDefault="006D0A0D" w:rsidP="003E0458">
      <w:pPr>
        <w:spacing w:after="240"/>
        <w:ind w:left="360"/>
        <w:rPr>
          <w:rFonts w:cs="Arial"/>
          <w:color w:val="000000"/>
        </w:rPr>
      </w:pPr>
      <w:r>
        <w:rPr>
          <w:rFonts w:cs="Arial"/>
          <w:color w:val="000000"/>
        </w:rPr>
        <w:lastRenderedPageBreak/>
        <w:t>If you agree to the criteria set forth in this announcement, please complete the application and return it by the date identified.</w:t>
      </w:r>
    </w:p>
    <w:p w14:paraId="68EA7A14" w14:textId="77777777" w:rsidR="00074442" w:rsidRPr="00074442" w:rsidRDefault="00074442" w:rsidP="00E36DC9">
      <w:pPr>
        <w:pStyle w:val="Heading3"/>
      </w:pPr>
      <w:bookmarkStart w:id="14" w:name="_Toc104968444"/>
      <w:bookmarkStart w:id="15" w:name="_Toc105571275"/>
      <w:r w:rsidRPr="00074442">
        <w:t>Grant Awards and Payments</w:t>
      </w:r>
      <w:bookmarkEnd w:id="14"/>
      <w:bookmarkEnd w:id="15"/>
    </w:p>
    <w:p w14:paraId="77363B12" w14:textId="65B4A43F" w:rsidR="004D5A47" w:rsidRPr="004D5A47" w:rsidRDefault="00204E4D" w:rsidP="00723909">
      <w:pPr>
        <w:spacing w:after="240"/>
        <w:ind w:left="360"/>
        <w:rPr>
          <w:szCs w:val="22"/>
        </w:rPr>
      </w:pPr>
      <w:r w:rsidRPr="00136CE0">
        <w:rPr>
          <w:szCs w:val="22"/>
        </w:rPr>
        <w:t>T</w:t>
      </w:r>
      <w:r w:rsidR="00074442" w:rsidRPr="00136CE0">
        <w:rPr>
          <w:szCs w:val="22"/>
        </w:rPr>
        <w:t xml:space="preserve">he </w:t>
      </w:r>
      <w:r w:rsidRPr="00136CE0">
        <w:rPr>
          <w:szCs w:val="22"/>
        </w:rPr>
        <w:t>21CSLA</w:t>
      </w:r>
      <w:r w:rsidR="00074442" w:rsidRPr="00136CE0">
        <w:rPr>
          <w:szCs w:val="22"/>
        </w:rPr>
        <w:t xml:space="preserve"> </w:t>
      </w:r>
      <w:r w:rsidR="00CD7046" w:rsidRPr="00136CE0">
        <w:rPr>
          <w:szCs w:val="22"/>
        </w:rPr>
        <w:t>p</w:t>
      </w:r>
      <w:r w:rsidR="00074442" w:rsidRPr="00136CE0">
        <w:rPr>
          <w:szCs w:val="22"/>
        </w:rPr>
        <w:t>rogram is a three-year grant award</w:t>
      </w:r>
      <w:r w:rsidRPr="00136CE0">
        <w:rPr>
          <w:szCs w:val="22"/>
        </w:rPr>
        <w:t>.</w:t>
      </w:r>
      <w:r w:rsidR="00074442" w:rsidRPr="00136CE0">
        <w:rPr>
          <w:szCs w:val="22"/>
        </w:rPr>
        <w:t xml:space="preserve"> Once the CDE approves grant award</w:t>
      </w:r>
      <w:r w:rsidR="004D5A47">
        <w:rPr>
          <w:szCs w:val="22"/>
        </w:rPr>
        <w:t>s</w:t>
      </w:r>
      <w:r w:rsidR="00074442" w:rsidRPr="00136CE0">
        <w:rPr>
          <w:szCs w:val="22"/>
        </w:rPr>
        <w:t xml:space="preserve"> for </w:t>
      </w:r>
      <w:r w:rsidRPr="00136CE0">
        <w:rPr>
          <w:szCs w:val="22"/>
        </w:rPr>
        <w:t xml:space="preserve">Cohort </w:t>
      </w:r>
      <w:r w:rsidR="004D5A47">
        <w:rPr>
          <w:szCs w:val="22"/>
        </w:rPr>
        <w:t>2</w:t>
      </w:r>
      <w:r w:rsidR="00074442" w:rsidRPr="00136CE0">
        <w:rPr>
          <w:szCs w:val="22"/>
        </w:rPr>
        <w:t>, the grant period will run from July</w:t>
      </w:r>
      <w:r w:rsidR="007D0B20" w:rsidRPr="00136CE0">
        <w:rPr>
          <w:szCs w:val="22"/>
        </w:rPr>
        <w:t xml:space="preserve"> 1</w:t>
      </w:r>
      <w:r w:rsidR="00074442" w:rsidRPr="00136CE0">
        <w:rPr>
          <w:szCs w:val="22"/>
        </w:rPr>
        <w:t xml:space="preserve">, </w:t>
      </w:r>
      <w:r w:rsidR="00536C6F" w:rsidRPr="00136CE0">
        <w:rPr>
          <w:szCs w:val="22"/>
        </w:rPr>
        <w:t>20</w:t>
      </w:r>
      <w:r w:rsidRPr="00136CE0">
        <w:rPr>
          <w:szCs w:val="22"/>
        </w:rPr>
        <w:t>23</w:t>
      </w:r>
      <w:r w:rsidR="00074442" w:rsidRPr="00136CE0">
        <w:rPr>
          <w:szCs w:val="22"/>
        </w:rPr>
        <w:t xml:space="preserve">, through </w:t>
      </w:r>
      <w:r w:rsidRPr="00136CE0">
        <w:rPr>
          <w:szCs w:val="22"/>
        </w:rPr>
        <w:t>June</w:t>
      </w:r>
      <w:r w:rsidR="00074442" w:rsidRPr="00136CE0">
        <w:rPr>
          <w:szCs w:val="22"/>
        </w:rPr>
        <w:t xml:space="preserve"> 30, 20</w:t>
      </w:r>
      <w:r w:rsidRPr="00136CE0">
        <w:rPr>
          <w:szCs w:val="22"/>
        </w:rPr>
        <w:t>26</w:t>
      </w:r>
      <w:r w:rsidR="00074442" w:rsidRPr="00136CE0">
        <w:rPr>
          <w:szCs w:val="22"/>
        </w:rPr>
        <w:t>.</w:t>
      </w:r>
      <w:r w:rsidR="00136CE0">
        <w:rPr>
          <w:szCs w:val="22"/>
        </w:rPr>
        <w:t xml:space="preserve"> Grant Award Notifications will be issued each </w:t>
      </w:r>
      <w:r w:rsidR="00577128">
        <w:rPr>
          <w:szCs w:val="22"/>
        </w:rPr>
        <w:t>FY</w:t>
      </w:r>
      <w:r w:rsidR="005336BB">
        <w:rPr>
          <w:szCs w:val="22"/>
        </w:rPr>
        <w:t xml:space="preserve"> </w:t>
      </w:r>
      <w:r w:rsidR="00136CE0">
        <w:rPr>
          <w:szCs w:val="22"/>
        </w:rPr>
        <w:t xml:space="preserve">for that year’s funding allocation. </w:t>
      </w:r>
      <w:r w:rsidR="008F7833">
        <w:rPr>
          <w:szCs w:val="22"/>
        </w:rPr>
        <w:t xml:space="preserve">All funding criteria and payment processes outlined in the original </w:t>
      </w:r>
      <w:r w:rsidR="005C080E">
        <w:rPr>
          <w:szCs w:val="22"/>
        </w:rPr>
        <w:t xml:space="preserve">RFA </w:t>
      </w:r>
      <w:r w:rsidR="008F7833">
        <w:rPr>
          <w:szCs w:val="22"/>
        </w:rPr>
        <w:t xml:space="preserve">applies to the </w:t>
      </w:r>
      <w:r w:rsidR="00C652E9">
        <w:rPr>
          <w:szCs w:val="22"/>
        </w:rPr>
        <w:t xml:space="preserve">Cohort 2 grant </w:t>
      </w:r>
      <w:r w:rsidR="008F7833">
        <w:rPr>
          <w:szCs w:val="22"/>
        </w:rPr>
        <w:t xml:space="preserve">period. </w:t>
      </w:r>
      <w:r w:rsidR="004D5A47" w:rsidRPr="004D5A47">
        <w:rPr>
          <w:bCs/>
          <w:szCs w:val="22"/>
        </w:rPr>
        <w:t>Grant payments are subject to fulfillment of all reporting requirements.</w:t>
      </w:r>
    </w:p>
    <w:p w14:paraId="507F4694" w14:textId="426C3A5F" w:rsidR="00284BAA" w:rsidRPr="004D5A47" w:rsidRDefault="00284BAA" w:rsidP="00876617">
      <w:pPr>
        <w:pStyle w:val="Heading2"/>
        <w:spacing w:before="480"/>
      </w:pPr>
      <w:bookmarkStart w:id="16" w:name="_Toc104183446"/>
      <w:bookmarkStart w:id="17" w:name="_Toc104968445"/>
      <w:bookmarkStart w:id="18" w:name="_Toc105571276"/>
      <w:bookmarkStart w:id="19" w:name="_Toc303946389"/>
      <w:bookmarkEnd w:id="16"/>
      <w:r w:rsidRPr="004D5A47">
        <w:t>21</w:t>
      </w:r>
      <w:r w:rsidRPr="004D5A47">
        <w:rPr>
          <w:vertAlign w:val="superscript"/>
        </w:rPr>
        <w:t>st</w:t>
      </w:r>
      <w:r w:rsidRPr="004D5A47">
        <w:t xml:space="preserve"> Century California School Leadership Academy</w:t>
      </w:r>
      <w:r w:rsidR="004D5A47">
        <w:t>:</w:t>
      </w:r>
      <w:r w:rsidRPr="004D5A47">
        <w:t xml:space="preserve"> </w:t>
      </w:r>
      <w:r w:rsidR="00913DB9" w:rsidRPr="004D5A47">
        <w:t xml:space="preserve">Regional Academy </w:t>
      </w:r>
      <w:r w:rsidRPr="004D5A47">
        <w:t>Cohort 2 Application</w:t>
      </w:r>
      <w:bookmarkEnd w:id="17"/>
      <w:bookmarkEnd w:id="18"/>
    </w:p>
    <w:p w14:paraId="11802A95" w14:textId="4D006227" w:rsidR="00284BAA" w:rsidRPr="004D5A47" w:rsidRDefault="00F56B85" w:rsidP="00706F10">
      <w:pPr>
        <w:tabs>
          <w:tab w:val="left" w:pos="720"/>
        </w:tabs>
        <w:spacing w:after="240"/>
        <w:rPr>
          <w:rFonts w:cs="Arial"/>
          <w:bCs/>
          <w:color w:val="000000" w:themeColor="text1"/>
        </w:rPr>
      </w:pPr>
      <w:r>
        <w:t>Proposals must address all questions and include all assurances and additional documentation requested. Applications are submitted electronically and are available on the 21CSLA web</w:t>
      </w:r>
      <w:r w:rsidR="00C769FE">
        <w:t xml:space="preserve"> </w:t>
      </w:r>
      <w:r>
        <w:t xml:space="preserve">page at: </w:t>
      </w:r>
      <w:hyperlink r:id="rId15" w:tooltip="21CSLA web page" w:history="1">
        <w:r w:rsidR="00EA18CB" w:rsidRPr="00FC3FF0">
          <w:rPr>
            <w:rStyle w:val="Hyperlink"/>
          </w:rPr>
          <w:t>https://www.cde.ca.gov/pd/ai/21cslagrantprocess.asp</w:t>
        </w:r>
      </w:hyperlink>
      <w:r w:rsidR="00EA18CB">
        <w:t xml:space="preserve">. </w:t>
      </w:r>
      <w:r>
        <w:t xml:space="preserve">All questions should be submitted to </w:t>
      </w:r>
      <w:hyperlink r:id="rId16" w:history="1">
        <w:r w:rsidR="00284BAA" w:rsidRPr="009C7E38">
          <w:rPr>
            <w:rStyle w:val="Hyperlink"/>
            <w:rFonts w:cs="Arial"/>
            <w:bCs/>
          </w:rPr>
          <w:t>21CSLA@cde.ca.gov</w:t>
        </w:r>
      </w:hyperlink>
      <w:r w:rsidR="00284BAA" w:rsidRPr="00074442">
        <w:rPr>
          <w:rFonts w:cs="Arial"/>
        </w:rPr>
        <w:t>.</w:t>
      </w:r>
      <w:r w:rsidR="00284BAA" w:rsidRPr="004D5A47">
        <w:rPr>
          <w:rFonts w:cs="Arial"/>
          <w:bCs/>
          <w:color w:val="0000FF"/>
        </w:rPr>
        <w:t xml:space="preserve"> </w:t>
      </w:r>
      <w:r w:rsidRPr="004D5A47">
        <w:rPr>
          <w:rFonts w:cs="Arial"/>
          <w:bCs/>
          <w:color w:val="000000" w:themeColor="text1"/>
        </w:rPr>
        <w:t xml:space="preserve">Proposals will be scored by a panel of readers using a </w:t>
      </w:r>
      <w:r w:rsidR="00E37574" w:rsidRPr="004D5A47">
        <w:rPr>
          <w:rFonts w:cs="Arial"/>
          <w:bCs/>
          <w:color w:val="000000" w:themeColor="text1"/>
        </w:rPr>
        <w:t xml:space="preserve">rubric </w:t>
      </w:r>
      <w:r w:rsidRPr="004D5A47">
        <w:rPr>
          <w:rFonts w:cs="Arial"/>
          <w:bCs/>
          <w:color w:val="000000" w:themeColor="text1"/>
        </w:rPr>
        <w:t>that</w:t>
      </w:r>
      <w:r w:rsidR="00E37574" w:rsidRPr="004D5A47">
        <w:rPr>
          <w:rFonts w:cs="Arial"/>
          <w:bCs/>
          <w:color w:val="000000" w:themeColor="text1"/>
        </w:rPr>
        <w:t xml:space="preserve"> is included in Appendix A.</w:t>
      </w:r>
    </w:p>
    <w:p w14:paraId="7CEE597C" w14:textId="7054D436" w:rsidR="00284BAA" w:rsidRDefault="00284BAA" w:rsidP="00DF0274">
      <w:pPr>
        <w:spacing w:after="240"/>
        <w:rPr>
          <w:b/>
        </w:rPr>
      </w:pPr>
      <w:r w:rsidRPr="004D5A47">
        <w:rPr>
          <w:bCs/>
        </w:rPr>
        <w:t>The CDE must receive your online submission no later than</w:t>
      </w:r>
      <w:r w:rsidRPr="00B959B1">
        <w:rPr>
          <w:b/>
        </w:rPr>
        <w:t xml:space="preserve"> </w:t>
      </w:r>
      <w:r>
        <w:rPr>
          <w:b/>
        </w:rPr>
        <w:t>September 2</w:t>
      </w:r>
      <w:r w:rsidRPr="00056193">
        <w:rPr>
          <w:b/>
        </w:rPr>
        <w:t>, 2022.</w:t>
      </w:r>
    </w:p>
    <w:p w14:paraId="44EF95A2" w14:textId="6E397AF6" w:rsidR="00771095" w:rsidRDefault="00771095" w:rsidP="00771095">
      <w:pPr>
        <w:pStyle w:val="Heading3"/>
      </w:pPr>
      <w:r>
        <w:t>21</w:t>
      </w:r>
      <w:r w:rsidRPr="00042BED">
        <w:rPr>
          <w:vertAlign w:val="superscript"/>
        </w:rPr>
        <w:t>st</w:t>
      </w:r>
      <w:r>
        <w:t xml:space="preserve"> Century California School Leadership Academy: </w:t>
      </w:r>
      <w:r w:rsidRPr="00771095">
        <w:t xml:space="preserve">Application </w:t>
      </w:r>
      <w:r>
        <w:t>Questions</w:t>
      </w:r>
    </w:p>
    <w:p w14:paraId="5EEBF590" w14:textId="37CF2906" w:rsidR="00284BAA" w:rsidRDefault="00F56B85" w:rsidP="003D155E">
      <w:pPr>
        <w:pStyle w:val="Heading4"/>
      </w:pPr>
      <w:r>
        <w:t xml:space="preserve">Part </w:t>
      </w:r>
      <w:r w:rsidR="008C6F9B">
        <w:t>1</w:t>
      </w:r>
      <w:r>
        <w:t>: Lessons Learned in Cohort 1/Recruitment of Participants</w:t>
      </w:r>
    </w:p>
    <w:p w14:paraId="31691A34" w14:textId="0DD5B867" w:rsidR="008C6F9B" w:rsidRDefault="00C769FE" w:rsidP="00F579B4">
      <w:pPr>
        <w:pStyle w:val="ListParagraph"/>
        <w:numPr>
          <w:ilvl w:val="0"/>
          <w:numId w:val="26"/>
        </w:numPr>
        <w:spacing w:after="240"/>
      </w:pPr>
      <w:r>
        <w:t xml:space="preserve">Reflecting </w:t>
      </w:r>
      <w:r w:rsidR="00F56B85" w:rsidRPr="00F56B85">
        <w:t xml:space="preserve">on your </w:t>
      </w:r>
      <w:r w:rsidR="00EA18CB">
        <w:t>RA’s</w:t>
      </w:r>
      <w:r w:rsidR="00F56B85" w:rsidRPr="00F56B85">
        <w:t xml:space="preserve"> experience in Cohort 1, what have been some of your key lessons learned in providing Area 6, 7</w:t>
      </w:r>
      <w:r w:rsidR="004D5A47">
        <w:t>,</w:t>
      </w:r>
      <w:r w:rsidR="00F56B85" w:rsidRPr="00F56B85">
        <w:t xml:space="preserve"> and 8 services to your region?</w:t>
      </w:r>
      <w:r w:rsidR="00534D66">
        <w:t xml:space="preserve"> Consider </w:t>
      </w:r>
      <w:r w:rsidR="00F56B85" w:rsidRPr="00F56B85">
        <w:t>your RA’s experience with recruiting participants of diverse role types (teacher leaders, site leaders, district leaders), backgrounds (race/ethnicity, gender, etc.), and location within the Geo Region.</w:t>
      </w:r>
    </w:p>
    <w:p w14:paraId="1B3F24B2" w14:textId="7777214F" w:rsidR="00F56B85" w:rsidRPr="00F56B85" w:rsidRDefault="00F56B85" w:rsidP="00F579B4">
      <w:pPr>
        <w:pStyle w:val="ListParagraph"/>
        <w:numPr>
          <w:ilvl w:val="0"/>
          <w:numId w:val="26"/>
        </w:numPr>
        <w:spacing w:after="240"/>
      </w:pPr>
      <w:r w:rsidRPr="00F56B85">
        <w:t>Describe both areas of achievement and areas for future growth you would pursue in Cohort 2.</w:t>
      </w:r>
    </w:p>
    <w:p w14:paraId="70AFE756" w14:textId="6B2FC2FB" w:rsidR="00284BAA" w:rsidRPr="009C1F49" w:rsidRDefault="00F56B85" w:rsidP="00813471">
      <w:pPr>
        <w:pStyle w:val="Heading4"/>
      </w:pPr>
      <w:r w:rsidRPr="009C1F49">
        <w:t>Part 2: Benefits of Professional Learning Offerings</w:t>
      </w:r>
    </w:p>
    <w:p w14:paraId="79BF66AA" w14:textId="6C3B7EA6" w:rsidR="008C6F9B" w:rsidRDefault="00F56B85" w:rsidP="00813471">
      <w:pPr>
        <w:pStyle w:val="ListParagraph"/>
        <w:numPr>
          <w:ilvl w:val="0"/>
          <w:numId w:val="29"/>
        </w:numPr>
        <w:spacing w:after="240"/>
      </w:pPr>
      <w:r w:rsidRPr="00284BAA">
        <w:t xml:space="preserve">How </w:t>
      </w:r>
      <w:r w:rsidR="00EA18CB">
        <w:t>have</w:t>
      </w:r>
      <w:r w:rsidR="00EA18CB" w:rsidRPr="00284BAA">
        <w:t xml:space="preserve"> </w:t>
      </w:r>
      <w:r w:rsidRPr="00284BAA">
        <w:t xml:space="preserve">your </w:t>
      </w:r>
      <w:r w:rsidR="00EA18CB">
        <w:t>RA’s</w:t>
      </w:r>
      <w:r w:rsidRPr="00284BAA">
        <w:t xml:space="preserve"> professional learning offerings benefited educators in your region? Please include data to supplement your response, to the extent practicable.</w:t>
      </w:r>
    </w:p>
    <w:p w14:paraId="4DD176A5" w14:textId="5FA645D4" w:rsidR="00F56B85" w:rsidRPr="00284BAA" w:rsidRDefault="00F56B85" w:rsidP="0062204C">
      <w:pPr>
        <w:pStyle w:val="ListParagraph"/>
        <w:numPr>
          <w:ilvl w:val="0"/>
          <w:numId w:val="29"/>
        </w:numPr>
        <w:spacing w:after="240"/>
      </w:pPr>
      <w:r w:rsidRPr="00284BAA">
        <w:lastRenderedPageBreak/>
        <w:t xml:space="preserve">Provide examples of how educators have used what they have learned through your </w:t>
      </w:r>
      <w:r w:rsidR="00EA18CB">
        <w:t>RA</w:t>
      </w:r>
      <w:r w:rsidR="00EA18CB" w:rsidRPr="00284BAA">
        <w:t xml:space="preserve"> </w:t>
      </w:r>
      <w:r w:rsidRPr="00284BAA">
        <w:t>to improve their practice.</w:t>
      </w:r>
    </w:p>
    <w:p w14:paraId="62128C98" w14:textId="47E005E0" w:rsidR="00F56B85" w:rsidRPr="009C1F49" w:rsidRDefault="00F56B85" w:rsidP="008A1121">
      <w:pPr>
        <w:pStyle w:val="Heading4"/>
      </w:pPr>
      <w:bookmarkStart w:id="20" w:name="_Toc23953133"/>
      <w:r w:rsidRPr="009C1F49">
        <w:t>Part 3: Budget and Staffing Reflections</w:t>
      </w:r>
    </w:p>
    <w:p w14:paraId="5C676D07" w14:textId="1CC86B82" w:rsidR="008C6F9B" w:rsidRDefault="00F56B85" w:rsidP="008A1121">
      <w:pPr>
        <w:pStyle w:val="ListParagraph"/>
        <w:numPr>
          <w:ilvl w:val="0"/>
          <w:numId w:val="31"/>
        </w:numPr>
        <w:spacing w:after="240"/>
      </w:pPr>
      <w:r w:rsidRPr="00F56B85">
        <w:t xml:space="preserve">Reflecting on your </w:t>
      </w:r>
      <w:r w:rsidR="00EA18CB">
        <w:t>RA’s</w:t>
      </w:r>
      <w:r w:rsidRPr="00F56B85">
        <w:t xml:space="preserve"> experience operating in Cohort 1, what has your </w:t>
      </w:r>
      <w:r w:rsidR="00EA18CB">
        <w:t>RA</w:t>
      </w:r>
      <w:r w:rsidRPr="00F56B85">
        <w:t xml:space="preserve"> learned about the budget and staffing requirements you require to operate a robust </w:t>
      </w:r>
      <w:r w:rsidR="00EA18CB">
        <w:t>RA</w:t>
      </w:r>
      <w:r w:rsidRPr="00F56B85">
        <w:t>?</w:t>
      </w:r>
    </w:p>
    <w:p w14:paraId="68660B1F" w14:textId="24A545EE" w:rsidR="00F56B85" w:rsidRDefault="00F56B85" w:rsidP="008A1121">
      <w:pPr>
        <w:pStyle w:val="ListParagraph"/>
        <w:numPr>
          <w:ilvl w:val="0"/>
          <w:numId w:val="31"/>
        </w:numPr>
        <w:spacing w:after="240"/>
      </w:pPr>
      <w:r w:rsidRPr="00F56B85">
        <w:t xml:space="preserve">Based on your reflections above, how would you modify your budget, if needed, to best support your </w:t>
      </w:r>
      <w:r w:rsidR="00EA18CB">
        <w:t>RA’s</w:t>
      </w:r>
      <w:r w:rsidRPr="00F56B85">
        <w:t xml:space="preserve"> work in Cohort 2?</w:t>
      </w:r>
    </w:p>
    <w:p w14:paraId="4A9688E2" w14:textId="26FE5CBB" w:rsidR="00F56B85" w:rsidRPr="00284BAA" w:rsidRDefault="00F56B85" w:rsidP="00813471">
      <w:pPr>
        <w:pStyle w:val="Heading4"/>
      </w:pPr>
      <w:r w:rsidRPr="004D5A47">
        <w:rPr>
          <w:bCs/>
        </w:rPr>
        <w:t xml:space="preserve">Part 4: </w:t>
      </w:r>
      <w:r w:rsidRPr="00F56B85">
        <w:rPr>
          <w:bCs/>
        </w:rPr>
        <w:t>Plans</w:t>
      </w:r>
      <w:r>
        <w:t xml:space="preserve"> for </w:t>
      </w:r>
      <w:r w:rsidR="003C12C2">
        <w:t xml:space="preserve">2022 and 2023 FY </w:t>
      </w:r>
      <w:r>
        <w:t>Funding in Year 1</w:t>
      </w:r>
    </w:p>
    <w:p w14:paraId="59128EEF" w14:textId="07383F57" w:rsidR="00F56B85" w:rsidRPr="00F56B85" w:rsidRDefault="00F56B85" w:rsidP="00723909">
      <w:pPr>
        <w:pStyle w:val="ListParagraph"/>
        <w:numPr>
          <w:ilvl w:val="0"/>
          <w:numId w:val="32"/>
        </w:numPr>
        <w:spacing w:after="240"/>
      </w:pPr>
      <w:r w:rsidRPr="00F56B85">
        <w:t xml:space="preserve">Provide a plan to spend out </w:t>
      </w:r>
      <w:r w:rsidR="003C12C2">
        <w:t xml:space="preserve">2022 and 2023 FY </w:t>
      </w:r>
      <w:r w:rsidRPr="00F56B85">
        <w:t xml:space="preserve">funds that will be made available in Year 1 of Cohort 2. </w:t>
      </w:r>
      <w:r w:rsidR="00EA18CB" w:rsidRPr="00F56B85">
        <w:t>Attach a budget that aligns with this plan</w:t>
      </w:r>
      <w:r w:rsidRPr="00F56B85">
        <w:t>.</w:t>
      </w:r>
    </w:p>
    <w:p w14:paraId="274AB3B2" w14:textId="1C283D4C" w:rsidR="00284BAA" w:rsidRPr="00F104B3" w:rsidRDefault="00284BAA" w:rsidP="0005302C">
      <w:pPr>
        <w:pStyle w:val="Heading3"/>
      </w:pPr>
      <w:bookmarkStart w:id="21" w:name="_Toc104968446"/>
      <w:bookmarkStart w:id="22" w:name="_Toc105571277"/>
      <w:r w:rsidRPr="00F104B3">
        <w:t>Att</w:t>
      </w:r>
      <w:r>
        <w:t>achment/Assurance/Certification</w:t>
      </w:r>
      <w:r w:rsidRPr="00F104B3">
        <w:t xml:space="preserve"> Instructions</w:t>
      </w:r>
      <w:bookmarkEnd w:id="20"/>
      <w:bookmarkEnd w:id="21"/>
      <w:bookmarkEnd w:id="22"/>
      <w:r w:rsidR="0066307F">
        <w:t xml:space="preserve"> </w:t>
      </w:r>
    </w:p>
    <w:p w14:paraId="77DC8B67" w14:textId="5D676A28" w:rsidR="00284BAA" w:rsidRDefault="00284BAA" w:rsidP="00941B24">
      <w:pPr>
        <w:spacing w:after="240"/>
        <w:ind w:left="360"/>
      </w:pPr>
      <w:r w:rsidRPr="00F104B3">
        <w:t xml:space="preserve">Required attachments will be requested at the end of the online application. Applicants are required to </w:t>
      </w:r>
      <w:r>
        <w:t xml:space="preserve">complete and </w:t>
      </w:r>
      <w:r w:rsidRPr="00550642">
        <w:t>return</w:t>
      </w:r>
      <w:r>
        <w:t xml:space="preserve"> </w:t>
      </w:r>
      <w:r w:rsidRPr="00F104B3">
        <w:t xml:space="preserve">the </w:t>
      </w:r>
      <w:r>
        <w:t xml:space="preserve">following attachments with their renewal application: </w:t>
      </w:r>
    </w:p>
    <w:p w14:paraId="4F034F5F" w14:textId="325FF702" w:rsidR="00284BAA" w:rsidRPr="009074F4" w:rsidRDefault="00EA18CB" w:rsidP="00284BAA">
      <w:pPr>
        <w:numPr>
          <w:ilvl w:val="0"/>
          <w:numId w:val="5"/>
        </w:numPr>
        <w:spacing w:after="240"/>
      </w:pPr>
      <w:r w:rsidRPr="00D32659">
        <w:rPr>
          <w:rFonts w:ascii="Helvetica" w:hAnsi="Helvetica" w:cs="Helvetica"/>
          <w:shd w:val="clear" w:color="auto" w:fill="FFFFFF"/>
        </w:rPr>
        <w:t>2021-22 General Assurances and Certifications</w:t>
      </w:r>
      <w:r w:rsidR="00D32659">
        <w:t>:</w:t>
      </w:r>
      <w:r w:rsidR="00D32659">
        <w:br/>
      </w:r>
      <w:hyperlink r:id="rId17" w:history="1">
        <w:r w:rsidR="00D32659" w:rsidRPr="00766A37">
          <w:rPr>
            <w:rStyle w:val="Hyperlink"/>
          </w:rPr>
          <w:t>https://www.cde.ca.gov/fg/fo/fm/generalassurances2021-22.asp</w:t>
        </w:r>
      </w:hyperlink>
      <w:r w:rsidR="00D32659">
        <w:t xml:space="preserve"> </w:t>
      </w:r>
    </w:p>
    <w:p w14:paraId="7C756424" w14:textId="5A7BD433" w:rsidR="00941B24" w:rsidRPr="0044633C" w:rsidRDefault="00E37574" w:rsidP="00941B24">
      <w:pPr>
        <w:widowControl w:val="0"/>
        <w:numPr>
          <w:ilvl w:val="0"/>
          <w:numId w:val="5"/>
        </w:numPr>
        <w:spacing w:after="240"/>
        <w:rPr>
          <w:rFonts w:cs="Arial"/>
          <w:strike/>
        </w:rPr>
      </w:pPr>
      <w:bookmarkStart w:id="23" w:name="_Hlk107922837"/>
      <w:r w:rsidRPr="0044633C">
        <w:rPr>
          <w:rFonts w:cs="Arial"/>
          <w:strike/>
        </w:rPr>
        <w:t>Drug-Free Workplace</w:t>
      </w:r>
      <w:bookmarkEnd w:id="23"/>
      <w:r w:rsidRPr="0044633C">
        <w:rPr>
          <w:rFonts w:cs="Arial"/>
          <w:strike/>
        </w:rPr>
        <w:t>, CDE-100DF</w:t>
      </w:r>
      <w:r w:rsidR="00D32659" w:rsidRPr="0044633C">
        <w:rPr>
          <w:rFonts w:cs="Arial"/>
          <w:strike/>
        </w:rPr>
        <w:t>:</w:t>
      </w:r>
      <w:r w:rsidR="00D32659" w:rsidRPr="0044633C">
        <w:rPr>
          <w:rFonts w:cs="Arial"/>
          <w:strike/>
        </w:rPr>
        <w:br/>
        <w:t xml:space="preserve">https://www.cde.ca.gov/fg/fo/fm/drug.asp </w:t>
      </w:r>
    </w:p>
    <w:p w14:paraId="63E80176" w14:textId="78935DE5" w:rsidR="00284BAA" w:rsidRPr="0044633C" w:rsidRDefault="00E37574" w:rsidP="00941B24">
      <w:pPr>
        <w:widowControl w:val="0"/>
        <w:numPr>
          <w:ilvl w:val="0"/>
          <w:numId w:val="5"/>
        </w:numPr>
        <w:spacing w:after="240"/>
        <w:rPr>
          <w:rFonts w:cs="Arial"/>
          <w:strike/>
        </w:rPr>
      </w:pPr>
      <w:r w:rsidRPr="0044633C">
        <w:rPr>
          <w:rFonts w:cs="Arial"/>
          <w:strike/>
        </w:rPr>
        <w:t xml:space="preserve">Lobbying, </w:t>
      </w:r>
      <w:r w:rsidR="00D32659" w:rsidRPr="0044633C">
        <w:rPr>
          <w:strike/>
        </w:rPr>
        <w:t xml:space="preserve">United States Department of Education Form </w:t>
      </w:r>
      <w:r w:rsidRPr="0044633C">
        <w:rPr>
          <w:rFonts w:cs="Arial"/>
          <w:strike/>
        </w:rPr>
        <w:t>ED 80-0013</w:t>
      </w:r>
      <w:r w:rsidR="00D32659" w:rsidRPr="0044633C">
        <w:rPr>
          <w:rFonts w:cs="Arial"/>
          <w:strike/>
        </w:rPr>
        <w:t>:</w:t>
      </w:r>
      <w:r w:rsidR="00D32659" w:rsidRPr="0044633C">
        <w:rPr>
          <w:rFonts w:cs="Arial"/>
          <w:strike/>
        </w:rPr>
        <w:br/>
        <w:t xml:space="preserve">https://www.cde.ca.gov/fg/fo/fm/lobby.asp </w:t>
      </w:r>
    </w:p>
    <w:p w14:paraId="568D0074" w14:textId="515DEC71" w:rsidR="00284BAA" w:rsidRPr="0044633C" w:rsidRDefault="00284BAA" w:rsidP="00284BAA">
      <w:pPr>
        <w:numPr>
          <w:ilvl w:val="0"/>
          <w:numId w:val="5"/>
        </w:numPr>
        <w:spacing w:after="240"/>
        <w:rPr>
          <w:strike/>
        </w:rPr>
      </w:pPr>
      <w:r w:rsidRPr="0044633C">
        <w:rPr>
          <w:strike/>
        </w:rPr>
        <w:t xml:space="preserve">Debarment and Suspension, </w:t>
      </w:r>
      <w:bookmarkStart w:id="24" w:name="_Hlk107923251"/>
      <w:r w:rsidRPr="0044633C">
        <w:rPr>
          <w:strike/>
        </w:rPr>
        <w:t>U</w:t>
      </w:r>
      <w:r w:rsidR="00FC21C2" w:rsidRPr="0044633C">
        <w:rPr>
          <w:strike/>
        </w:rPr>
        <w:t>nited States</w:t>
      </w:r>
      <w:r w:rsidRPr="0044633C">
        <w:rPr>
          <w:strike/>
        </w:rPr>
        <w:t xml:space="preserve"> Department of Education Form </w:t>
      </w:r>
      <w:bookmarkEnd w:id="24"/>
      <w:r w:rsidR="00D32659" w:rsidRPr="0044633C">
        <w:rPr>
          <w:strike/>
        </w:rPr>
        <w:t xml:space="preserve">ED </w:t>
      </w:r>
      <w:r w:rsidRPr="0044633C">
        <w:rPr>
          <w:strike/>
        </w:rPr>
        <w:t>80-0014</w:t>
      </w:r>
      <w:r w:rsidR="00D32659" w:rsidRPr="0044633C">
        <w:rPr>
          <w:strike/>
        </w:rPr>
        <w:t>:</w:t>
      </w:r>
      <w:r w:rsidR="00D32659" w:rsidRPr="0044633C">
        <w:rPr>
          <w:strike/>
        </w:rPr>
        <w:br/>
        <w:t xml:space="preserve">https://www.cde.ca.gov/fg/fo/fm/debar.asp </w:t>
      </w:r>
    </w:p>
    <w:p w14:paraId="7A575441" w14:textId="4C28DA01" w:rsidR="00284BAA" w:rsidRPr="0044633C" w:rsidRDefault="00284BAA" w:rsidP="00167E3B">
      <w:pPr>
        <w:numPr>
          <w:ilvl w:val="0"/>
          <w:numId w:val="5"/>
        </w:numPr>
        <w:spacing w:after="240"/>
        <w:rPr>
          <w:strike/>
        </w:rPr>
      </w:pPr>
      <w:bookmarkStart w:id="25" w:name="_Hlk107922884"/>
      <w:r w:rsidRPr="0044633C">
        <w:rPr>
          <w:strike/>
        </w:rPr>
        <w:t>Federal Funding Accountability and Transparency Act</w:t>
      </w:r>
      <w:bookmarkEnd w:id="25"/>
      <w:r w:rsidRPr="0044633C">
        <w:rPr>
          <w:strike/>
        </w:rPr>
        <w:t>, CDE Form AO-FFATA-001</w:t>
      </w:r>
      <w:r w:rsidR="00D32659" w:rsidRPr="0044633C">
        <w:rPr>
          <w:strike/>
        </w:rPr>
        <w:t>:</w:t>
      </w:r>
      <w:r w:rsidR="00D32659" w:rsidRPr="0044633C">
        <w:rPr>
          <w:strike/>
        </w:rPr>
        <w:br/>
        <w:t>https://www.cde.ca.gov/sp/cd</w:t>
      </w:r>
      <w:r w:rsidR="00D32659" w:rsidRPr="0044633C">
        <w:rPr>
          <w:strike/>
        </w:rPr>
        <w:t>/</w:t>
      </w:r>
      <w:r w:rsidR="00D32659" w:rsidRPr="0044633C">
        <w:rPr>
          <w:strike/>
        </w:rPr>
        <w:t xml:space="preserve">ci/documents/eesdao001fattaform.pdf </w:t>
      </w:r>
    </w:p>
    <w:p w14:paraId="0D88D344" w14:textId="70EBBE87" w:rsidR="0066307F" w:rsidRDefault="0066307F" w:rsidP="00167E3B">
      <w:pPr>
        <w:pStyle w:val="Heading3"/>
      </w:pPr>
      <w:bookmarkStart w:id="26" w:name="_Toc104968447"/>
      <w:bookmarkStart w:id="27" w:name="_Toc105571278"/>
      <w:r>
        <w:t>21</w:t>
      </w:r>
      <w:r w:rsidR="00042BED" w:rsidRPr="00042BED">
        <w:rPr>
          <w:vertAlign w:val="superscript"/>
        </w:rPr>
        <w:t>st</w:t>
      </w:r>
      <w:r w:rsidR="00042BED">
        <w:t xml:space="preserve"> Century California </w:t>
      </w:r>
      <w:r>
        <w:t>S</w:t>
      </w:r>
      <w:r w:rsidR="00042BED">
        <w:t xml:space="preserve">chool </w:t>
      </w:r>
      <w:r>
        <w:t>L</w:t>
      </w:r>
      <w:r w:rsidR="00042BED">
        <w:t xml:space="preserve">eadership </w:t>
      </w:r>
      <w:r>
        <w:t>A</w:t>
      </w:r>
      <w:r w:rsidR="00042BED">
        <w:t>cademy</w:t>
      </w:r>
      <w:r w:rsidR="00F63898">
        <w:t>:</w:t>
      </w:r>
      <w:r>
        <w:t xml:space="preserve"> </w:t>
      </w:r>
      <w:r w:rsidR="00F56B85">
        <w:t xml:space="preserve">Regional Academy </w:t>
      </w:r>
      <w:r>
        <w:t>Acknowledgements</w:t>
      </w:r>
      <w:bookmarkEnd w:id="26"/>
      <w:bookmarkEnd w:id="27"/>
    </w:p>
    <w:p w14:paraId="551D8050" w14:textId="3DB6FB72" w:rsidR="0066307F" w:rsidRDefault="0066307F" w:rsidP="007E7153">
      <w:pPr>
        <w:spacing w:after="240"/>
        <w:ind w:left="360"/>
      </w:pPr>
      <w:r>
        <w:t xml:space="preserve">Please </w:t>
      </w:r>
      <w:r w:rsidR="00E37574">
        <w:t xml:space="preserve">check off </w:t>
      </w:r>
      <w:r>
        <w:t>the acknowledgements below certifying understanding of each item:</w:t>
      </w:r>
    </w:p>
    <w:p w14:paraId="4137CFD8" w14:textId="1AC929F9" w:rsidR="0066307F" w:rsidRDefault="0015697F" w:rsidP="0066307F">
      <w:pPr>
        <w:spacing w:after="240"/>
        <w:ind w:left="900" w:hanging="900"/>
      </w:pPr>
      <w:r w:rsidRPr="0015697F">
        <w:rPr>
          <w:highlight w:val="cyan"/>
        </w:rPr>
        <w:lastRenderedPageBreak/>
        <w:t>[Check here]</w:t>
      </w:r>
      <w:r w:rsidR="0066307F">
        <w:t xml:space="preserve"> By submitting this application, we acknowledge that we will continue to follow the specifications and criteria outlined in the original 21CSLA R</w:t>
      </w:r>
      <w:r w:rsidR="00FC21C2">
        <w:t>FA</w:t>
      </w:r>
      <w:r w:rsidR="0066307F">
        <w:t>.</w:t>
      </w:r>
    </w:p>
    <w:p w14:paraId="152D761A" w14:textId="01507EAD" w:rsidR="0066307F" w:rsidRDefault="0015697F" w:rsidP="0066307F">
      <w:pPr>
        <w:spacing w:after="240"/>
        <w:ind w:left="900" w:hanging="900"/>
      </w:pPr>
      <w:r w:rsidRPr="0015697F">
        <w:rPr>
          <w:highlight w:val="cyan"/>
        </w:rPr>
        <w:t>[Check here]</w:t>
      </w:r>
      <w:r w:rsidR="0066307F">
        <w:t xml:space="preserve"> Our program will continue to serve the area within California that we are currently serving and will work towards expanding services.</w:t>
      </w:r>
    </w:p>
    <w:p w14:paraId="0C1874C0" w14:textId="28FB0845" w:rsidR="0066307F" w:rsidRDefault="0015697F" w:rsidP="0066307F">
      <w:pPr>
        <w:spacing w:after="240"/>
        <w:ind w:left="900" w:hanging="900"/>
      </w:pPr>
      <w:r w:rsidRPr="0015697F">
        <w:rPr>
          <w:highlight w:val="cyan"/>
        </w:rPr>
        <w:t>[Check here]</w:t>
      </w:r>
      <w:r w:rsidR="0066307F">
        <w:t xml:space="preserve"> We are aware that</w:t>
      </w:r>
      <w:r w:rsidR="00A50A99">
        <w:t xml:space="preserve"> in</w:t>
      </w:r>
      <w:r w:rsidR="0066307F">
        <w:t xml:space="preserve"> Year 1 of Cohort 2 will </w:t>
      </w:r>
      <w:r w:rsidR="00A50A99">
        <w:t xml:space="preserve">receive 2022 and 2023 FY funds </w:t>
      </w:r>
      <w:r w:rsidR="0066307F">
        <w:t>and we will provide a plan and a budget that must be approved by the CDE, CCEE, SBE</w:t>
      </w:r>
      <w:r w:rsidR="00FC21C2">
        <w:t>,</w:t>
      </w:r>
      <w:r w:rsidR="0066307F">
        <w:t xml:space="preserve"> and 21CSLA Center describing how our RA will spend out the funds allocated to our program.</w:t>
      </w:r>
    </w:p>
    <w:p w14:paraId="2143B129" w14:textId="5B63190C" w:rsidR="0066307F" w:rsidRDefault="0015697F" w:rsidP="0066307F">
      <w:pPr>
        <w:spacing w:after="240"/>
        <w:ind w:left="900" w:hanging="900"/>
        <w:rPr>
          <w:rFonts w:cs="Arial"/>
          <w:color w:val="000000"/>
        </w:rPr>
      </w:pPr>
      <w:r w:rsidRPr="0015697F">
        <w:rPr>
          <w:highlight w:val="cyan"/>
        </w:rPr>
        <w:t>[Check here]</w:t>
      </w:r>
      <w:r w:rsidR="00F13A17">
        <w:t xml:space="preserve"> </w:t>
      </w:r>
      <w:r w:rsidR="0066307F">
        <w:t xml:space="preserve">We are aware that </w:t>
      </w:r>
      <w:r w:rsidR="0066307F">
        <w:rPr>
          <w:rFonts w:cs="Arial"/>
          <w:color w:val="000000"/>
        </w:rPr>
        <w:t>metrics included in this application will be utilized to evaluate the performance of the Cohort 2 RAs.</w:t>
      </w:r>
    </w:p>
    <w:p w14:paraId="3CF02958" w14:textId="2D45C597" w:rsidR="0066307F" w:rsidRDefault="0015697F" w:rsidP="00126C8B">
      <w:pPr>
        <w:spacing w:after="480"/>
        <w:ind w:left="907" w:hanging="907"/>
      </w:pPr>
      <w:r w:rsidRPr="0015697F">
        <w:rPr>
          <w:highlight w:val="cyan"/>
        </w:rPr>
        <w:t>[Check here]</w:t>
      </w:r>
      <w:r w:rsidR="00F13A17">
        <w:t xml:space="preserve"> </w:t>
      </w:r>
      <w:r w:rsidR="0066307F">
        <w:t>We are aware that each RA may receive additional funds that were included in the 2021 state budget and will provide a plan and a budget that must be approved by the CDE, CCEE, SBE</w:t>
      </w:r>
      <w:r w:rsidR="00FC21C2">
        <w:t>,</w:t>
      </w:r>
      <w:r w:rsidR="0066307F">
        <w:t xml:space="preserve"> and 21CSLA Center describing how our RA will spend out the funds allocated to our program.</w:t>
      </w:r>
    </w:p>
    <w:p w14:paraId="6B97EA28" w14:textId="5D8E3A46" w:rsidR="00F56B85" w:rsidRPr="004D5A47" w:rsidRDefault="00F56B85" w:rsidP="00AA75CE">
      <w:pPr>
        <w:pStyle w:val="Heading2"/>
      </w:pPr>
      <w:bookmarkStart w:id="28" w:name="_Toc104968448"/>
      <w:bookmarkStart w:id="29" w:name="_Toc105571279"/>
      <w:r w:rsidRPr="004D5A47">
        <w:t>21</w:t>
      </w:r>
      <w:r w:rsidRPr="004D5A47">
        <w:rPr>
          <w:vertAlign w:val="superscript"/>
        </w:rPr>
        <w:t>st</w:t>
      </w:r>
      <w:r w:rsidRPr="004D5A47">
        <w:t xml:space="preserve"> Century California School Leadership Academy</w:t>
      </w:r>
      <w:r w:rsidR="004D5A47">
        <w:t xml:space="preserve">: </w:t>
      </w:r>
      <w:r w:rsidRPr="004D5A47">
        <w:t>Center Cohort 2 Application</w:t>
      </w:r>
      <w:bookmarkEnd w:id="28"/>
      <w:bookmarkEnd w:id="29"/>
      <w:r w:rsidRPr="004D5A47">
        <w:t xml:space="preserve"> </w:t>
      </w:r>
    </w:p>
    <w:p w14:paraId="12BFBC14" w14:textId="42D8052E" w:rsidR="00F56B85" w:rsidRPr="004D5A47" w:rsidRDefault="00F56B85" w:rsidP="00AA75CE">
      <w:pPr>
        <w:tabs>
          <w:tab w:val="left" w:pos="720"/>
        </w:tabs>
        <w:spacing w:after="240"/>
        <w:rPr>
          <w:rFonts w:cs="Arial"/>
          <w:bCs/>
          <w:color w:val="000000" w:themeColor="text1"/>
        </w:rPr>
      </w:pPr>
      <w:bookmarkStart w:id="30" w:name="_Ref377733155"/>
      <w:bookmarkEnd w:id="19"/>
      <w:r>
        <w:t>Proposals must address all questions and include all assurances and additional documentation requested. Applications are submitted electronically and are available on the 21CSLA web</w:t>
      </w:r>
      <w:r w:rsidR="000D0A6F">
        <w:t xml:space="preserve"> </w:t>
      </w:r>
      <w:r>
        <w:t xml:space="preserve">page at: </w:t>
      </w:r>
      <w:hyperlink r:id="rId18" w:tooltip="21CSLA web page " w:history="1">
        <w:r w:rsidR="004D5A47" w:rsidRPr="00FC3FF0">
          <w:rPr>
            <w:rStyle w:val="Hyperlink"/>
          </w:rPr>
          <w:t>https://www.cde.ca.gov/pd/ai/21cslagrantprocess.asp</w:t>
        </w:r>
      </w:hyperlink>
      <w:r w:rsidR="004D5A47">
        <w:t>.</w:t>
      </w:r>
      <w:r>
        <w:t xml:space="preserve"> All questions should be submitted to </w:t>
      </w:r>
      <w:hyperlink r:id="rId19" w:history="1">
        <w:r w:rsidRPr="009C7E38">
          <w:rPr>
            <w:rStyle w:val="Hyperlink"/>
            <w:rFonts w:cs="Arial"/>
            <w:bCs/>
          </w:rPr>
          <w:t>21CSLA@cde.ca.gov</w:t>
        </w:r>
      </w:hyperlink>
      <w:r w:rsidRPr="00074442">
        <w:rPr>
          <w:rFonts w:cs="Arial"/>
        </w:rPr>
        <w:t>.</w:t>
      </w:r>
      <w:r w:rsidRPr="004D5A47">
        <w:rPr>
          <w:rFonts w:cs="Arial"/>
          <w:bCs/>
          <w:color w:val="0000FF"/>
        </w:rPr>
        <w:t xml:space="preserve"> </w:t>
      </w:r>
      <w:r w:rsidRPr="004D5A47">
        <w:rPr>
          <w:rFonts w:cs="Arial"/>
          <w:bCs/>
          <w:color w:val="000000" w:themeColor="text1"/>
        </w:rPr>
        <w:t xml:space="preserve">Proposals will be scored by a panel of readers using a rubric that is included in Appendix </w:t>
      </w:r>
      <w:r w:rsidR="00EA18CB">
        <w:rPr>
          <w:rFonts w:cs="Arial"/>
          <w:bCs/>
          <w:color w:val="000000" w:themeColor="text1"/>
        </w:rPr>
        <w:t>B</w:t>
      </w:r>
      <w:r w:rsidRPr="004D5A47">
        <w:rPr>
          <w:rFonts w:cs="Arial"/>
          <w:bCs/>
          <w:color w:val="000000" w:themeColor="text1"/>
        </w:rPr>
        <w:t>.</w:t>
      </w:r>
    </w:p>
    <w:p w14:paraId="4D635EEC" w14:textId="05FD1E59" w:rsidR="00F56B85" w:rsidRDefault="00F56B85" w:rsidP="00E3098E">
      <w:pPr>
        <w:spacing w:after="240"/>
        <w:rPr>
          <w:b/>
        </w:rPr>
      </w:pPr>
      <w:r w:rsidRPr="004D5A47">
        <w:rPr>
          <w:bCs/>
        </w:rPr>
        <w:t>The CDE must receive your online submission no later than</w:t>
      </w:r>
      <w:r w:rsidRPr="00B959B1">
        <w:rPr>
          <w:b/>
        </w:rPr>
        <w:t xml:space="preserve"> </w:t>
      </w:r>
      <w:r>
        <w:rPr>
          <w:b/>
        </w:rPr>
        <w:t>September 2</w:t>
      </w:r>
      <w:r w:rsidRPr="00056193">
        <w:rPr>
          <w:b/>
        </w:rPr>
        <w:t>, 2022.</w:t>
      </w:r>
      <w:r w:rsidRPr="00B959B1">
        <w:rPr>
          <w:b/>
        </w:rPr>
        <w:t xml:space="preserve"> </w:t>
      </w:r>
    </w:p>
    <w:p w14:paraId="483B0E74" w14:textId="77777777" w:rsidR="00771095" w:rsidRDefault="00771095" w:rsidP="00771095">
      <w:pPr>
        <w:pStyle w:val="Heading3"/>
      </w:pPr>
      <w:r>
        <w:t>21</w:t>
      </w:r>
      <w:r w:rsidRPr="00042BED">
        <w:rPr>
          <w:vertAlign w:val="superscript"/>
        </w:rPr>
        <w:t>st</w:t>
      </w:r>
      <w:r>
        <w:t xml:space="preserve"> Century California School Leadership Academy: </w:t>
      </w:r>
      <w:r w:rsidRPr="00771095">
        <w:t xml:space="preserve">Application </w:t>
      </w:r>
      <w:r>
        <w:t>Questions</w:t>
      </w:r>
    </w:p>
    <w:p w14:paraId="641C2F01" w14:textId="11F16E5F" w:rsidR="00F56B85" w:rsidRDefault="00F56B85" w:rsidP="00126C8B">
      <w:pPr>
        <w:pStyle w:val="Heading4"/>
      </w:pPr>
      <w:r>
        <w:t xml:space="preserve">Part </w:t>
      </w:r>
      <w:r w:rsidR="008C6F9B">
        <w:t>1</w:t>
      </w:r>
      <w:r>
        <w:t>: Lessons Learned in Cohort 1</w:t>
      </w:r>
    </w:p>
    <w:p w14:paraId="4425FFD3" w14:textId="725C719B" w:rsidR="008C6F9B" w:rsidRDefault="00F56B85" w:rsidP="00E3098E">
      <w:pPr>
        <w:pStyle w:val="ListParagraph"/>
        <w:numPr>
          <w:ilvl w:val="0"/>
          <w:numId w:val="33"/>
        </w:numPr>
        <w:spacing w:after="240"/>
      </w:pPr>
      <w:r w:rsidRPr="00F56B85">
        <w:t>Reflecting on the Center’s experience in Cohort 1, what have been some of your key lessons learned in providing support to the RAs?</w:t>
      </w:r>
    </w:p>
    <w:p w14:paraId="3B09DFC8" w14:textId="42B6DEC3" w:rsidR="00F56B85" w:rsidRPr="00F56B85" w:rsidRDefault="00F56B85" w:rsidP="00E3098E">
      <w:pPr>
        <w:pStyle w:val="ListParagraph"/>
        <w:numPr>
          <w:ilvl w:val="0"/>
          <w:numId w:val="33"/>
        </w:numPr>
        <w:spacing w:after="240"/>
      </w:pPr>
      <w:r w:rsidRPr="00F56B85">
        <w:t>Describe both areas of achievement, and areas for future growth you would pursue in Cohort 2.</w:t>
      </w:r>
    </w:p>
    <w:p w14:paraId="1A916267" w14:textId="02F13C8E" w:rsidR="00F56B85" w:rsidRDefault="00F56B85" w:rsidP="00421693">
      <w:pPr>
        <w:pStyle w:val="Heading4"/>
      </w:pPr>
      <w:r w:rsidRPr="00417A26">
        <w:t>Part</w:t>
      </w:r>
      <w:r w:rsidRPr="0058217C">
        <w:t xml:space="preserve"> 2: Benefits of </w:t>
      </w:r>
      <w:r>
        <w:t>Center Support</w:t>
      </w:r>
    </w:p>
    <w:p w14:paraId="0B705A8F" w14:textId="14304A7B" w:rsidR="008C6F9B" w:rsidRDefault="00F56B85" w:rsidP="00421693">
      <w:pPr>
        <w:pStyle w:val="ListParagraph"/>
        <w:numPr>
          <w:ilvl w:val="0"/>
          <w:numId w:val="34"/>
        </w:numPr>
        <w:spacing w:after="240"/>
      </w:pPr>
      <w:r w:rsidRPr="00284BAA">
        <w:t xml:space="preserve">How </w:t>
      </w:r>
      <w:r>
        <w:t>have the</w:t>
      </w:r>
      <w:r w:rsidRPr="00284BAA">
        <w:t xml:space="preserve"> </w:t>
      </w:r>
      <w:r w:rsidR="00EA18CB">
        <w:t>RA</w:t>
      </w:r>
      <w:r w:rsidR="00FC21C2">
        <w:t>s</w:t>
      </w:r>
      <w:r>
        <w:t xml:space="preserve"> </w:t>
      </w:r>
      <w:r w:rsidRPr="00284BAA">
        <w:t xml:space="preserve">benefited </w:t>
      </w:r>
      <w:r>
        <w:t>from the Center’s guidance and support?</w:t>
      </w:r>
      <w:r w:rsidRPr="00284BAA">
        <w:t xml:space="preserve"> Please include data to supplement your response, to the extent practicable. </w:t>
      </w:r>
    </w:p>
    <w:p w14:paraId="644C7E43" w14:textId="6A3889AD" w:rsidR="00F56B85" w:rsidRPr="00284BAA" w:rsidRDefault="00F56B85" w:rsidP="00421693">
      <w:pPr>
        <w:pStyle w:val="ListParagraph"/>
        <w:numPr>
          <w:ilvl w:val="0"/>
          <w:numId w:val="34"/>
        </w:numPr>
        <w:spacing w:after="240"/>
      </w:pPr>
      <w:r w:rsidRPr="00284BAA">
        <w:lastRenderedPageBreak/>
        <w:t xml:space="preserve">Provide examples of how </w:t>
      </w:r>
      <w:r>
        <w:t>the RAs have</w:t>
      </w:r>
      <w:r w:rsidRPr="00284BAA">
        <w:t xml:space="preserve"> used what they have learned </w:t>
      </w:r>
      <w:r>
        <w:t>from the Center</w:t>
      </w:r>
      <w:r w:rsidRPr="00284BAA">
        <w:t xml:space="preserve"> to improve their practice.</w:t>
      </w:r>
    </w:p>
    <w:p w14:paraId="0DC7EBD3" w14:textId="5F01629D" w:rsidR="00F56B85" w:rsidRDefault="00F56B85" w:rsidP="00543FFE">
      <w:pPr>
        <w:pStyle w:val="Heading4"/>
      </w:pPr>
      <w:r>
        <w:t>Part 3: Budget and Staffing Reflections</w:t>
      </w:r>
    </w:p>
    <w:p w14:paraId="0EA91C23" w14:textId="1855B26D" w:rsidR="008C6F9B" w:rsidRPr="00F56B85" w:rsidRDefault="00F56B85" w:rsidP="00421693">
      <w:pPr>
        <w:pStyle w:val="ListParagraph"/>
        <w:numPr>
          <w:ilvl w:val="0"/>
          <w:numId w:val="35"/>
        </w:numPr>
        <w:spacing w:after="240"/>
      </w:pPr>
      <w:r w:rsidRPr="00F56B85">
        <w:t>Reflecting on the Center’s experience operating in Cohort 1, what has the Center learned about the budget and staffing requirements you require to operate a robust Center?</w:t>
      </w:r>
    </w:p>
    <w:p w14:paraId="6F8EF9EC" w14:textId="6FC81A0C" w:rsidR="00F56B85" w:rsidRPr="00F56B85" w:rsidRDefault="00F56B85" w:rsidP="00421693">
      <w:pPr>
        <w:pStyle w:val="ListParagraph"/>
        <w:numPr>
          <w:ilvl w:val="0"/>
          <w:numId w:val="35"/>
        </w:numPr>
        <w:spacing w:after="240"/>
      </w:pPr>
      <w:r w:rsidRPr="00F56B85">
        <w:t>Based on your reflections above, how would you modify your budget, if needed, to best support the Center’s work in Cohort 2?</w:t>
      </w:r>
    </w:p>
    <w:p w14:paraId="3FAFA77F" w14:textId="77777777" w:rsidR="00F56B85" w:rsidRPr="00284BAA" w:rsidRDefault="00F56B85" w:rsidP="00421693">
      <w:pPr>
        <w:pStyle w:val="Heading4"/>
      </w:pPr>
      <w:r w:rsidRPr="0058217C">
        <w:rPr>
          <w:bCs/>
        </w:rPr>
        <w:t xml:space="preserve">Part 4: </w:t>
      </w:r>
      <w:r w:rsidRPr="00F56B85">
        <w:rPr>
          <w:bCs/>
        </w:rPr>
        <w:t>Plans</w:t>
      </w:r>
      <w:r>
        <w:t xml:space="preserve"> for Double Funding in Year 1</w:t>
      </w:r>
    </w:p>
    <w:p w14:paraId="539FD2CD" w14:textId="4B3B2E3E" w:rsidR="00F56B85" w:rsidRPr="00F56B85" w:rsidRDefault="00F56B85" w:rsidP="00421693">
      <w:pPr>
        <w:pStyle w:val="ListParagraph"/>
        <w:numPr>
          <w:ilvl w:val="0"/>
          <w:numId w:val="36"/>
        </w:numPr>
        <w:spacing w:after="240"/>
      </w:pPr>
      <w:r w:rsidRPr="00F56B85">
        <w:t xml:space="preserve">Provide a plan to spend out </w:t>
      </w:r>
      <w:r w:rsidR="00A50A99">
        <w:t>2022 and 2023 FY funds</w:t>
      </w:r>
      <w:r w:rsidRPr="00F56B85">
        <w:t xml:space="preserve"> that will be made available in Year 1 of Cohort 2. Attach a budget that aligns with this plan.</w:t>
      </w:r>
    </w:p>
    <w:p w14:paraId="753C961C" w14:textId="77777777" w:rsidR="00F56B85" w:rsidRPr="00F104B3" w:rsidRDefault="00F56B85" w:rsidP="00BA1226">
      <w:pPr>
        <w:pStyle w:val="Heading3"/>
      </w:pPr>
      <w:bookmarkStart w:id="31" w:name="_Toc104968449"/>
      <w:bookmarkStart w:id="32" w:name="_Toc105571280"/>
      <w:r w:rsidRPr="00F104B3">
        <w:t>Att</w:t>
      </w:r>
      <w:r>
        <w:t>achment/Assurance/Certification</w:t>
      </w:r>
      <w:r w:rsidRPr="00F104B3">
        <w:t xml:space="preserve"> Instructions</w:t>
      </w:r>
      <w:bookmarkEnd w:id="31"/>
      <w:bookmarkEnd w:id="32"/>
      <w:r>
        <w:t xml:space="preserve"> </w:t>
      </w:r>
    </w:p>
    <w:p w14:paraId="30579FBE" w14:textId="77777777" w:rsidR="00F56B85" w:rsidRDefault="00F56B85" w:rsidP="00D80061">
      <w:pPr>
        <w:spacing w:after="240"/>
        <w:ind w:left="360"/>
      </w:pPr>
      <w:r w:rsidRPr="00F104B3">
        <w:t xml:space="preserve">Required attachments will be requested at the end of the online application. Applicants are required to </w:t>
      </w:r>
      <w:r>
        <w:t xml:space="preserve">complete and </w:t>
      </w:r>
      <w:r w:rsidRPr="00550642">
        <w:t>return</w:t>
      </w:r>
      <w:r>
        <w:t xml:space="preserve"> </w:t>
      </w:r>
      <w:r w:rsidRPr="00F104B3">
        <w:t xml:space="preserve">the </w:t>
      </w:r>
      <w:r>
        <w:t xml:space="preserve">following attachments with their renewal application: </w:t>
      </w:r>
    </w:p>
    <w:p w14:paraId="5509E221" w14:textId="77777777" w:rsidR="007366BE" w:rsidRPr="009074F4" w:rsidRDefault="007366BE" w:rsidP="007366BE">
      <w:pPr>
        <w:numPr>
          <w:ilvl w:val="0"/>
          <w:numId w:val="5"/>
        </w:numPr>
        <w:spacing w:after="240"/>
      </w:pPr>
      <w:bookmarkStart w:id="33" w:name="_Toc104968450"/>
      <w:bookmarkStart w:id="34" w:name="_Toc105571281"/>
      <w:bookmarkEnd w:id="30"/>
      <w:r w:rsidRPr="00D32659">
        <w:rPr>
          <w:rFonts w:ascii="Helvetica" w:hAnsi="Helvetica" w:cs="Helvetica"/>
          <w:shd w:val="clear" w:color="auto" w:fill="FFFFFF"/>
        </w:rPr>
        <w:t>2021-22 General Assurances and Certifications</w:t>
      </w:r>
      <w:r>
        <w:t>:</w:t>
      </w:r>
      <w:r>
        <w:br/>
      </w:r>
      <w:hyperlink r:id="rId20" w:history="1">
        <w:r w:rsidRPr="00766A37">
          <w:rPr>
            <w:rStyle w:val="Hyperlink"/>
          </w:rPr>
          <w:t>https://www.cde.ca.gov/fg/fo/fm/generalassurances2021-22.asp</w:t>
        </w:r>
      </w:hyperlink>
      <w:r>
        <w:t xml:space="preserve"> </w:t>
      </w:r>
    </w:p>
    <w:p w14:paraId="7734EF91" w14:textId="21C421E1" w:rsidR="007366BE" w:rsidRPr="0044633C" w:rsidRDefault="007366BE" w:rsidP="007366BE">
      <w:pPr>
        <w:widowControl w:val="0"/>
        <w:numPr>
          <w:ilvl w:val="0"/>
          <w:numId w:val="5"/>
        </w:numPr>
        <w:spacing w:after="240"/>
        <w:rPr>
          <w:rFonts w:cs="Arial"/>
          <w:strike/>
        </w:rPr>
      </w:pPr>
      <w:r w:rsidRPr="0044633C">
        <w:rPr>
          <w:rFonts w:cs="Arial"/>
          <w:strike/>
        </w:rPr>
        <w:t>Drug-Free Workplace, CDE-100DF:</w:t>
      </w:r>
      <w:r w:rsidRPr="0044633C">
        <w:rPr>
          <w:rFonts w:cs="Arial"/>
          <w:strike/>
        </w:rPr>
        <w:br/>
        <w:t xml:space="preserve">https://www.cde.ca.gov/fg/fo/fm/drug.asp </w:t>
      </w:r>
    </w:p>
    <w:p w14:paraId="44D776E0" w14:textId="4FCC9985" w:rsidR="007366BE" w:rsidRPr="0044633C" w:rsidRDefault="007366BE" w:rsidP="007366BE">
      <w:pPr>
        <w:widowControl w:val="0"/>
        <w:numPr>
          <w:ilvl w:val="0"/>
          <w:numId w:val="5"/>
        </w:numPr>
        <w:spacing w:after="240"/>
        <w:rPr>
          <w:rFonts w:cs="Arial"/>
          <w:strike/>
        </w:rPr>
      </w:pPr>
      <w:r w:rsidRPr="0044633C">
        <w:rPr>
          <w:rFonts w:cs="Arial"/>
          <w:strike/>
        </w:rPr>
        <w:t xml:space="preserve">Lobbying, </w:t>
      </w:r>
      <w:r w:rsidRPr="0044633C">
        <w:rPr>
          <w:strike/>
        </w:rPr>
        <w:t xml:space="preserve">United States Department of Education Form </w:t>
      </w:r>
      <w:r w:rsidRPr="0044633C">
        <w:rPr>
          <w:rFonts w:cs="Arial"/>
          <w:strike/>
        </w:rPr>
        <w:t>ED 80-0013:</w:t>
      </w:r>
      <w:r w:rsidRPr="0044633C">
        <w:rPr>
          <w:rFonts w:cs="Arial"/>
          <w:strike/>
        </w:rPr>
        <w:br/>
        <w:t xml:space="preserve">https://www.cde.ca.gov/fg/fo/fm/lobby.asp </w:t>
      </w:r>
    </w:p>
    <w:p w14:paraId="18F84A1E" w14:textId="2F0B1BCA" w:rsidR="007366BE" w:rsidRPr="0044633C" w:rsidRDefault="007366BE" w:rsidP="007366BE">
      <w:pPr>
        <w:numPr>
          <w:ilvl w:val="0"/>
          <w:numId w:val="5"/>
        </w:numPr>
        <w:spacing w:after="240"/>
        <w:rPr>
          <w:strike/>
        </w:rPr>
      </w:pPr>
      <w:r w:rsidRPr="0044633C">
        <w:rPr>
          <w:strike/>
        </w:rPr>
        <w:t>Debarment and Suspension, United States Department of Education Form ED 80-0014:</w:t>
      </w:r>
      <w:r w:rsidRPr="0044633C">
        <w:rPr>
          <w:strike/>
        </w:rPr>
        <w:br/>
        <w:t xml:space="preserve">https://www.cde.ca.gov/fg/fo/fm/debar.asp </w:t>
      </w:r>
    </w:p>
    <w:p w14:paraId="0840131B" w14:textId="28CFC912" w:rsidR="007366BE" w:rsidRPr="0044633C" w:rsidRDefault="007366BE" w:rsidP="007366BE">
      <w:pPr>
        <w:numPr>
          <w:ilvl w:val="0"/>
          <w:numId w:val="5"/>
        </w:numPr>
        <w:spacing w:after="240"/>
        <w:rPr>
          <w:strike/>
        </w:rPr>
      </w:pPr>
      <w:r w:rsidRPr="0044633C">
        <w:rPr>
          <w:strike/>
        </w:rPr>
        <w:t>Federal Funding Accountability and Transparency Act, CDE Form AO-FFATA-001:</w:t>
      </w:r>
      <w:r w:rsidRPr="0044633C">
        <w:rPr>
          <w:strike/>
        </w:rPr>
        <w:br/>
        <w:t xml:space="preserve">https://www.cde.ca.gov/sp/cd/ci/documents/eesdao001fattaform.pdf </w:t>
      </w:r>
    </w:p>
    <w:p w14:paraId="0CB66F7B" w14:textId="165647C0" w:rsidR="00E37574" w:rsidRDefault="00E37574" w:rsidP="00417F69">
      <w:pPr>
        <w:pStyle w:val="Heading3"/>
      </w:pPr>
      <w:r>
        <w:t>21</w:t>
      </w:r>
      <w:r w:rsidR="00561CEE" w:rsidRPr="00561CEE">
        <w:rPr>
          <w:vertAlign w:val="superscript"/>
        </w:rPr>
        <w:t>st</w:t>
      </w:r>
      <w:r w:rsidR="00561CEE">
        <w:t xml:space="preserve"> </w:t>
      </w:r>
      <w:r>
        <w:t>C</w:t>
      </w:r>
      <w:r w:rsidR="00561CEE">
        <w:t xml:space="preserve">entury California School </w:t>
      </w:r>
      <w:r>
        <w:t>L</w:t>
      </w:r>
      <w:r w:rsidR="00561CEE">
        <w:t xml:space="preserve">eadership </w:t>
      </w:r>
      <w:r>
        <w:t>A</w:t>
      </w:r>
      <w:r w:rsidR="00561CEE">
        <w:t>cademy:</w:t>
      </w:r>
      <w:r>
        <w:t xml:space="preserve"> </w:t>
      </w:r>
      <w:r w:rsidR="00F56B85">
        <w:t xml:space="preserve">Center </w:t>
      </w:r>
      <w:r>
        <w:t>Acknowledgements</w:t>
      </w:r>
      <w:bookmarkEnd w:id="33"/>
      <w:bookmarkEnd w:id="34"/>
    </w:p>
    <w:p w14:paraId="4DDF6D71" w14:textId="4195CD4C" w:rsidR="00E37574" w:rsidRDefault="00E37574" w:rsidP="00417F69">
      <w:pPr>
        <w:spacing w:after="240"/>
        <w:ind w:left="360"/>
      </w:pPr>
      <w:r>
        <w:t xml:space="preserve">Please </w:t>
      </w:r>
      <w:r w:rsidR="00EE6AA9">
        <w:t xml:space="preserve">check off </w:t>
      </w:r>
      <w:r>
        <w:t>the acknowledgements below certifying understanding of each item:</w:t>
      </w:r>
    </w:p>
    <w:p w14:paraId="4C093454" w14:textId="4068CAFD" w:rsidR="00E37574" w:rsidRDefault="0015697F" w:rsidP="00E37574">
      <w:pPr>
        <w:spacing w:after="240"/>
        <w:ind w:left="900" w:hanging="900"/>
      </w:pPr>
      <w:r w:rsidRPr="0015697F">
        <w:rPr>
          <w:highlight w:val="cyan"/>
        </w:rPr>
        <w:lastRenderedPageBreak/>
        <w:t>[Check here]</w:t>
      </w:r>
      <w:r w:rsidR="00E37574">
        <w:t xml:space="preserve"> By submitting this application, we acknowledge that we will continue to follow the specifications and criteria outlined in the original 21CSLA </w:t>
      </w:r>
      <w:r w:rsidR="003675A9">
        <w:t>RFA.</w:t>
      </w:r>
    </w:p>
    <w:p w14:paraId="18294885" w14:textId="2A6DEE80" w:rsidR="00E37574" w:rsidRDefault="0015697F" w:rsidP="00E37574">
      <w:pPr>
        <w:spacing w:after="240"/>
        <w:ind w:left="900" w:hanging="900"/>
      </w:pPr>
      <w:r w:rsidRPr="0015697F">
        <w:rPr>
          <w:highlight w:val="cyan"/>
        </w:rPr>
        <w:t>[Check here]</w:t>
      </w:r>
      <w:r w:rsidR="00E37574">
        <w:t xml:space="preserve"> Our program will continue to serve the </w:t>
      </w:r>
      <w:r w:rsidR="003675A9">
        <w:t>RAs</w:t>
      </w:r>
      <w:r w:rsidR="00E37574">
        <w:t xml:space="preserve"> and will work towards expanding services.</w:t>
      </w:r>
    </w:p>
    <w:p w14:paraId="02CFCD2B" w14:textId="42293ED2" w:rsidR="00E37574" w:rsidRDefault="0015697F" w:rsidP="00E37574">
      <w:pPr>
        <w:spacing w:after="240"/>
        <w:ind w:left="900" w:hanging="900"/>
      </w:pPr>
      <w:r w:rsidRPr="0015697F">
        <w:rPr>
          <w:highlight w:val="cyan"/>
        </w:rPr>
        <w:t>[Check here]</w:t>
      </w:r>
      <w:r w:rsidR="00E37574">
        <w:t xml:space="preserve"> We are aware that Year 1 of Cohort 2 will be </w:t>
      </w:r>
      <w:r w:rsidR="00A50A99">
        <w:t>2022 and 2023 FY</w:t>
      </w:r>
      <w:r w:rsidR="00E37574">
        <w:t xml:space="preserve"> and we will provide a plan and a budget that must be approved by the CDE, CCEE, and SBE describing how the Center will spend out the funds allocated to our program.</w:t>
      </w:r>
    </w:p>
    <w:p w14:paraId="78FE9C98" w14:textId="35319F27" w:rsidR="00E37574" w:rsidRDefault="0015697F" w:rsidP="00E37574">
      <w:pPr>
        <w:spacing w:after="240"/>
        <w:ind w:left="900" w:hanging="900"/>
        <w:rPr>
          <w:rFonts w:cs="Arial"/>
          <w:color w:val="000000"/>
        </w:rPr>
      </w:pPr>
      <w:r w:rsidRPr="0015697F">
        <w:rPr>
          <w:highlight w:val="cyan"/>
        </w:rPr>
        <w:t>[Check here]</w:t>
      </w:r>
      <w:r w:rsidR="004815F5">
        <w:t xml:space="preserve"> </w:t>
      </w:r>
      <w:r w:rsidR="00E37574">
        <w:t xml:space="preserve">We are aware that </w:t>
      </w:r>
      <w:r w:rsidR="00E37574">
        <w:rPr>
          <w:rFonts w:cs="Arial"/>
          <w:color w:val="000000"/>
        </w:rPr>
        <w:t>metrics included in this application will be utilized to evaluate the performance of the Center in Cohort 2.</w:t>
      </w:r>
    </w:p>
    <w:p w14:paraId="5ACA7957" w14:textId="3DF8C6C5" w:rsidR="00E37574" w:rsidRDefault="0015697F" w:rsidP="00E37574">
      <w:pPr>
        <w:spacing w:after="240"/>
        <w:ind w:left="900" w:hanging="900"/>
      </w:pPr>
      <w:r w:rsidRPr="0015697F">
        <w:rPr>
          <w:highlight w:val="cyan"/>
        </w:rPr>
        <w:t>[Check here]</w:t>
      </w:r>
      <w:r w:rsidR="004815F5">
        <w:t xml:space="preserve"> </w:t>
      </w:r>
      <w:r w:rsidR="00E37574">
        <w:t>We are aware that the Center may receive additional funds that were included in the 2021 state budget and will provide a plan and a budget that must be approved by the CDE, CCEE, and SBE describing how our RA will spend out the funds allocated to our program.</w:t>
      </w:r>
    </w:p>
    <w:p w14:paraId="2A56EF5F" w14:textId="42E1F9F8" w:rsidR="00E37574" w:rsidRPr="00E37574" w:rsidRDefault="00E37574" w:rsidP="00E37574">
      <w:pPr>
        <w:tabs>
          <w:tab w:val="left" w:pos="3740"/>
        </w:tabs>
        <w:sectPr w:rsidR="00E37574" w:rsidRPr="00E37574" w:rsidSect="001F7C78">
          <w:headerReference w:type="default" r:id="rId21"/>
          <w:footerReference w:type="default" r:id="rId22"/>
          <w:pgSz w:w="12240" w:h="15840"/>
          <w:pgMar w:top="1440" w:right="1440" w:bottom="1440" w:left="1440" w:header="720" w:footer="720" w:gutter="0"/>
          <w:pgNumType w:start="1"/>
          <w:cols w:space="720"/>
          <w:titlePg/>
          <w:docGrid w:linePitch="326"/>
        </w:sectPr>
      </w:pPr>
    </w:p>
    <w:p w14:paraId="056BBF7B" w14:textId="391D059A" w:rsidR="00543FFE" w:rsidRPr="00236F69" w:rsidRDefault="00543FFE" w:rsidP="00BA1226">
      <w:pPr>
        <w:pStyle w:val="Heading2"/>
      </w:pPr>
      <w:bookmarkStart w:id="35" w:name="_Toc104968451"/>
      <w:bookmarkStart w:id="36" w:name="_Toc105571282"/>
      <w:r>
        <w:lastRenderedPageBreak/>
        <w:t xml:space="preserve">Appendix A: </w:t>
      </w:r>
      <w:r w:rsidRPr="00236F69">
        <w:t>21</w:t>
      </w:r>
      <w:r w:rsidR="00D02705" w:rsidRPr="00D02705">
        <w:rPr>
          <w:vertAlign w:val="superscript"/>
        </w:rPr>
        <w:t>st</w:t>
      </w:r>
      <w:r w:rsidRPr="00236F69">
        <w:t xml:space="preserve"> Century California School Leadership Academy</w:t>
      </w:r>
      <w:r w:rsidRPr="00E37574">
        <w:t xml:space="preserve"> Scoring Rubric for Cohort</w:t>
      </w:r>
      <w:r w:rsidRPr="00EE6AA9">
        <w:t xml:space="preserve"> 2 </w:t>
      </w:r>
      <w:r w:rsidRPr="00E37574">
        <w:t>Renewal Application</w:t>
      </w:r>
      <w:r w:rsidRPr="00EE6AA9">
        <w:t>:</w:t>
      </w:r>
      <w:r>
        <w:t xml:space="preserve"> Regional Academies</w:t>
      </w:r>
      <w:bookmarkEnd w:id="35"/>
      <w:bookmarkEnd w:id="36"/>
    </w:p>
    <w:tbl>
      <w:tblPr>
        <w:tblStyle w:val="TableGrid2"/>
        <w:tblW w:w="14256" w:type="dxa"/>
        <w:tblInd w:w="-658" w:type="dxa"/>
        <w:tblCellMar>
          <w:top w:w="29" w:type="dxa"/>
          <w:left w:w="115" w:type="dxa"/>
          <w:bottom w:w="29" w:type="dxa"/>
          <w:right w:w="115" w:type="dxa"/>
        </w:tblCellMar>
        <w:tblLook w:val="01E0" w:firstRow="1" w:lastRow="1" w:firstColumn="1" w:lastColumn="1" w:noHBand="0" w:noVBand="0"/>
        <w:tblDescription w:val="This is a basic scoring rubric for Cohort 2 Metrics, for the Regional Academies application."/>
      </w:tblPr>
      <w:tblGrid>
        <w:gridCol w:w="3564"/>
        <w:gridCol w:w="3564"/>
        <w:gridCol w:w="3564"/>
        <w:gridCol w:w="3564"/>
      </w:tblGrid>
      <w:tr w:rsidR="00284BAA" w:rsidRPr="00570960" w14:paraId="7A4E60AB" w14:textId="77777777" w:rsidTr="00A95C83">
        <w:trPr>
          <w:cantSplit/>
          <w:trHeight w:val="235"/>
          <w:tblHeader/>
        </w:trPr>
        <w:tc>
          <w:tcPr>
            <w:tcW w:w="3564" w:type="dxa"/>
            <w:shd w:val="clear" w:color="auto" w:fill="D0CECE" w:themeFill="background2" w:themeFillShade="E6"/>
            <w:vAlign w:val="center"/>
          </w:tcPr>
          <w:p w14:paraId="660C25A8" w14:textId="3312D4C1" w:rsidR="00284BAA" w:rsidRPr="00570960" w:rsidRDefault="00284BAA" w:rsidP="00A95C83">
            <w:pPr>
              <w:jc w:val="center"/>
              <w:rPr>
                <w:rFonts w:cs="Arial"/>
                <w:b/>
                <w:bCs/>
              </w:rPr>
            </w:pPr>
            <w:r w:rsidRPr="00570960">
              <w:rPr>
                <w:rFonts w:cs="Arial"/>
                <w:b/>
                <w:bCs/>
              </w:rPr>
              <w:t>OUTSTANDING (8 points)</w:t>
            </w:r>
          </w:p>
        </w:tc>
        <w:tc>
          <w:tcPr>
            <w:tcW w:w="3564" w:type="dxa"/>
            <w:shd w:val="clear" w:color="auto" w:fill="D0CECE" w:themeFill="background2" w:themeFillShade="E6"/>
            <w:vAlign w:val="center"/>
          </w:tcPr>
          <w:p w14:paraId="7B0D97A3" w14:textId="77777777" w:rsidR="00284BAA" w:rsidRPr="00570960" w:rsidRDefault="00284BAA" w:rsidP="00A95C83">
            <w:pPr>
              <w:jc w:val="center"/>
              <w:rPr>
                <w:rFonts w:cs="Arial"/>
                <w:b/>
                <w:bCs/>
              </w:rPr>
            </w:pPr>
            <w:r w:rsidRPr="00570960">
              <w:rPr>
                <w:rFonts w:cs="Arial"/>
                <w:b/>
                <w:bCs/>
              </w:rPr>
              <w:t>STRONG (6 points)</w:t>
            </w:r>
          </w:p>
        </w:tc>
        <w:tc>
          <w:tcPr>
            <w:tcW w:w="3564" w:type="dxa"/>
            <w:shd w:val="clear" w:color="auto" w:fill="D0CECE" w:themeFill="background2" w:themeFillShade="E6"/>
            <w:vAlign w:val="center"/>
          </w:tcPr>
          <w:p w14:paraId="537F40D9" w14:textId="77777777" w:rsidR="00284BAA" w:rsidRPr="00570960" w:rsidRDefault="00284BAA" w:rsidP="00A95C83">
            <w:pPr>
              <w:jc w:val="center"/>
              <w:rPr>
                <w:rFonts w:cs="Arial"/>
                <w:b/>
                <w:bCs/>
              </w:rPr>
            </w:pPr>
            <w:r w:rsidRPr="00570960">
              <w:rPr>
                <w:rFonts w:cs="Arial"/>
                <w:b/>
                <w:bCs/>
              </w:rPr>
              <w:t>ADEQUATE (4 points)</w:t>
            </w:r>
          </w:p>
        </w:tc>
        <w:tc>
          <w:tcPr>
            <w:tcW w:w="3564" w:type="dxa"/>
            <w:shd w:val="clear" w:color="auto" w:fill="D0CECE" w:themeFill="background2" w:themeFillShade="E6"/>
            <w:vAlign w:val="center"/>
          </w:tcPr>
          <w:p w14:paraId="53E7AFC1" w14:textId="77777777" w:rsidR="00284BAA" w:rsidRPr="00570960" w:rsidRDefault="00284BAA" w:rsidP="00A95C83">
            <w:pPr>
              <w:jc w:val="center"/>
              <w:rPr>
                <w:rFonts w:cs="Arial"/>
                <w:b/>
                <w:bCs/>
              </w:rPr>
            </w:pPr>
            <w:r w:rsidRPr="00570960">
              <w:rPr>
                <w:rFonts w:cs="Arial"/>
                <w:b/>
                <w:bCs/>
              </w:rPr>
              <w:t>MINIMAL (2–0 points)</w:t>
            </w:r>
          </w:p>
        </w:tc>
      </w:tr>
      <w:tr w:rsidR="00284BAA" w:rsidRPr="00570960" w14:paraId="012B95B6" w14:textId="77777777" w:rsidTr="00421693">
        <w:trPr>
          <w:cantSplit/>
          <w:trHeight w:val="1160"/>
        </w:trPr>
        <w:tc>
          <w:tcPr>
            <w:tcW w:w="3564" w:type="dxa"/>
          </w:tcPr>
          <w:p w14:paraId="35652344" w14:textId="140AA866" w:rsidR="00284BAA" w:rsidRPr="00A378E5" w:rsidRDefault="00284BAA" w:rsidP="0025386B">
            <w:pPr>
              <w:rPr>
                <w:bCs/>
              </w:rPr>
            </w:pPr>
            <w:r w:rsidRPr="00844848">
              <w:rPr>
                <w:bCs/>
              </w:rPr>
              <w:t xml:space="preserve">The </w:t>
            </w:r>
            <w:r w:rsidR="001547C2" w:rsidRPr="00844848">
              <w:rPr>
                <w:bCs/>
              </w:rPr>
              <w:t>RA</w:t>
            </w:r>
            <w:r w:rsidRPr="00844848">
              <w:rPr>
                <w:bCs/>
              </w:rPr>
              <w:t xml:space="preserve"> completely and clearly explained the key lessons learned in </w:t>
            </w:r>
            <w:r w:rsidR="00E37574" w:rsidRPr="00844848">
              <w:rPr>
                <w:bCs/>
              </w:rPr>
              <w:t>providing Area 6, 7</w:t>
            </w:r>
            <w:r w:rsidR="00A378E5">
              <w:rPr>
                <w:bCs/>
              </w:rPr>
              <w:t>,</w:t>
            </w:r>
            <w:r w:rsidR="00E37574" w:rsidRPr="00844848">
              <w:rPr>
                <w:bCs/>
              </w:rPr>
              <w:t xml:space="preserve"> and 8 services to </w:t>
            </w:r>
            <w:r w:rsidR="00A378E5">
              <w:rPr>
                <w:bCs/>
              </w:rPr>
              <w:t xml:space="preserve">their </w:t>
            </w:r>
            <w:r w:rsidR="00E37574" w:rsidRPr="00844848">
              <w:rPr>
                <w:bCs/>
              </w:rPr>
              <w:t>region during Cohort 1</w:t>
            </w:r>
            <w:r w:rsidR="00A378E5">
              <w:rPr>
                <w:bCs/>
              </w:rPr>
              <w:t>,</w:t>
            </w:r>
            <w:r w:rsidR="00E37574" w:rsidRPr="00844848">
              <w:rPr>
                <w:bCs/>
              </w:rPr>
              <w:t xml:space="preserve"> including their experience with recruiting participants of diverse role types (teacher leaders, site leaders, district leaders), backgrounds (race/ethnicity, gender, etc.), and location within the Geo Region and </w:t>
            </w:r>
            <w:r w:rsidR="00A378E5" w:rsidRPr="00844848">
              <w:rPr>
                <w:bCs/>
              </w:rPr>
              <w:t xml:space="preserve">completely and clearly </w:t>
            </w:r>
            <w:r w:rsidR="00E37574" w:rsidRPr="00844848">
              <w:rPr>
                <w:bCs/>
              </w:rPr>
              <w:t>described both areas of achievement, and areas for future growth in Cohort 2.</w:t>
            </w:r>
          </w:p>
        </w:tc>
        <w:tc>
          <w:tcPr>
            <w:tcW w:w="3564" w:type="dxa"/>
          </w:tcPr>
          <w:p w14:paraId="11922ACD" w14:textId="67E1F7E8" w:rsidR="00284BAA" w:rsidRPr="00844848" w:rsidRDefault="00284BAA" w:rsidP="0025386B">
            <w:pPr>
              <w:rPr>
                <w:rFonts w:cs="Arial"/>
              </w:rPr>
            </w:pPr>
            <w:r w:rsidRPr="00844848">
              <w:rPr>
                <w:bCs/>
              </w:rPr>
              <w:t xml:space="preserve">The </w:t>
            </w:r>
            <w:r w:rsidR="001547C2" w:rsidRPr="00844848">
              <w:rPr>
                <w:bCs/>
              </w:rPr>
              <w:t>RA</w:t>
            </w:r>
            <w:r w:rsidR="007F1FD6" w:rsidRPr="00844848">
              <w:rPr>
                <w:bCs/>
              </w:rPr>
              <w:t xml:space="preserve"> </w:t>
            </w:r>
            <w:r w:rsidRPr="00844848">
              <w:rPr>
                <w:bCs/>
              </w:rPr>
              <w:t xml:space="preserve">provided a strong explanation of the key lessons learned in providing </w:t>
            </w:r>
            <w:r w:rsidR="00612C1B" w:rsidRPr="00421693">
              <w:rPr>
                <w:bCs/>
              </w:rPr>
              <w:t>Area 6, 7</w:t>
            </w:r>
            <w:r w:rsidR="00A378E5">
              <w:rPr>
                <w:bCs/>
              </w:rPr>
              <w:t>,</w:t>
            </w:r>
            <w:r w:rsidR="00612C1B" w:rsidRPr="00421693">
              <w:rPr>
                <w:bCs/>
              </w:rPr>
              <w:t xml:space="preserve"> and 8</w:t>
            </w:r>
            <w:r w:rsidR="00844848" w:rsidRPr="00421693">
              <w:rPr>
                <w:bCs/>
              </w:rPr>
              <w:t xml:space="preserve"> </w:t>
            </w:r>
            <w:r w:rsidR="00E37574" w:rsidRPr="00844848">
              <w:rPr>
                <w:bCs/>
              </w:rPr>
              <w:t xml:space="preserve">services to </w:t>
            </w:r>
            <w:r w:rsidR="00A378E5">
              <w:rPr>
                <w:bCs/>
              </w:rPr>
              <w:t>their</w:t>
            </w:r>
            <w:r w:rsidR="00E37574" w:rsidRPr="00844848">
              <w:rPr>
                <w:bCs/>
              </w:rPr>
              <w:t xml:space="preserve"> region during Cohort 1</w:t>
            </w:r>
            <w:r w:rsidR="00A378E5">
              <w:rPr>
                <w:bCs/>
              </w:rPr>
              <w:t>,</w:t>
            </w:r>
            <w:r w:rsidR="00E37574" w:rsidRPr="00844848">
              <w:rPr>
                <w:bCs/>
              </w:rPr>
              <w:t xml:space="preserve"> including their experience with recruiting participants of diverse role types (teacher leaders, site leaders, district leaders), backgrounds (race/ethnicity, gender, etc.), and location within the Geo Region and described both areas of achievement, and areas for future growth in Cohort </w:t>
            </w:r>
            <w:r w:rsidR="004D5A47" w:rsidRPr="00844848">
              <w:rPr>
                <w:bCs/>
              </w:rPr>
              <w:t>2.</w:t>
            </w:r>
          </w:p>
        </w:tc>
        <w:tc>
          <w:tcPr>
            <w:tcW w:w="3564" w:type="dxa"/>
          </w:tcPr>
          <w:p w14:paraId="787E1F59" w14:textId="7B8BDA2E" w:rsidR="00284BAA" w:rsidRPr="00A378E5" w:rsidRDefault="00284BAA" w:rsidP="0025386B">
            <w:pPr>
              <w:rPr>
                <w:bCs/>
              </w:rPr>
            </w:pPr>
            <w:r w:rsidRPr="00844848">
              <w:rPr>
                <w:bCs/>
              </w:rPr>
              <w:t xml:space="preserve">The </w:t>
            </w:r>
            <w:r w:rsidR="001547C2" w:rsidRPr="00844848">
              <w:rPr>
                <w:bCs/>
              </w:rPr>
              <w:t>RA</w:t>
            </w:r>
            <w:r w:rsidR="007F1FD6" w:rsidRPr="00844848">
              <w:rPr>
                <w:bCs/>
              </w:rPr>
              <w:t xml:space="preserve"> </w:t>
            </w:r>
            <w:r w:rsidRPr="00844848">
              <w:rPr>
                <w:bCs/>
              </w:rPr>
              <w:t xml:space="preserve">adequately explained the key lessons learned in providing </w:t>
            </w:r>
            <w:r w:rsidR="00612C1B" w:rsidRPr="00421693">
              <w:rPr>
                <w:bCs/>
              </w:rPr>
              <w:t>Area 6, 7</w:t>
            </w:r>
            <w:r w:rsidR="00A378E5">
              <w:rPr>
                <w:bCs/>
              </w:rPr>
              <w:t>,</w:t>
            </w:r>
            <w:r w:rsidR="00612C1B" w:rsidRPr="00421693">
              <w:rPr>
                <w:bCs/>
              </w:rPr>
              <w:t xml:space="preserve"> and 8</w:t>
            </w:r>
            <w:r w:rsidR="00844848" w:rsidRPr="00421693">
              <w:rPr>
                <w:bCs/>
              </w:rPr>
              <w:t xml:space="preserve"> </w:t>
            </w:r>
            <w:r w:rsidRPr="00844848">
              <w:rPr>
                <w:bCs/>
              </w:rPr>
              <w:t xml:space="preserve">services to </w:t>
            </w:r>
            <w:r w:rsidR="00A378E5">
              <w:rPr>
                <w:bCs/>
              </w:rPr>
              <w:t>their</w:t>
            </w:r>
            <w:r w:rsidRPr="00844848">
              <w:rPr>
                <w:bCs/>
              </w:rPr>
              <w:t xml:space="preserve"> region during Cohort 1</w:t>
            </w:r>
            <w:r w:rsidR="00A378E5">
              <w:rPr>
                <w:bCs/>
              </w:rPr>
              <w:t>,</w:t>
            </w:r>
            <w:r w:rsidRPr="00844848">
              <w:rPr>
                <w:bCs/>
              </w:rPr>
              <w:t xml:space="preserve"> including their experience with recruiting participants of diverse role types (teacher leaders, site leaders, district leaders), backgrounds (race/ethnicity, gender, etc.), and location within the Geo Region and </w:t>
            </w:r>
            <w:r w:rsidR="00A378E5" w:rsidRPr="00844848">
              <w:rPr>
                <w:bCs/>
              </w:rPr>
              <w:t xml:space="preserve">adequately </w:t>
            </w:r>
            <w:r w:rsidRPr="00844848">
              <w:rPr>
                <w:bCs/>
              </w:rPr>
              <w:t>described both areas of achievement, and areas for future growth in Cohort 2.</w:t>
            </w:r>
          </w:p>
        </w:tc>
        <w:tc>
          <w:tcPr>
            <w:tcW w:w="3564" w:type="dxa"/>
          </w:tcPr>
          <w:p w14:paraId="35A7CB36" w14:textId="237CECE4" w:rsidR="00284BAA" w:rsidRPr="00A378E5" w:rsidRDefault="00284BAA" w:rsidP="0025386B">
            <w:pPr>
              <w:rPr>
                <w:bCs/>
              </w:rPr>
            </w:pPr>
            <w:r w:rsidRPr="00844848">
              <w:rPr>
                <w:bCs/>
              </w:rPr>
              <w:t xml:space="preserve">The </w:t>
            </w:r>
            <w:r w:rsidR="001547C2" w:rsidRPr="00844848">
              <w:rPr>
                <w:bCs/>
              </w:rPr>
              <w:t>RA</w:t>
            </w:r>
            <w:r w:rsidR="007F1FD6" w:rsidRPr="00844848">
              <w:rPr>
                <w:bCs/>
              </w:rPr>
              <w:t xml:space="preserve"> </w:t>
            </w:r>
            <w:r w:rsidRPr="00844848">
              <w:rPr>
                <w:bCs/>
              </w:rPr>
              <w:t xml:space="preserve">minimally explained the key lessons learned in providing </w:t>
            </w:r>
            <w:r w:rsidR="00612C1B" w:rsidRPr="00421693">
              <w:rPr>
                <w:bCs/>
              </w:rPr>
              <w:t>Area 6, 7</w:t>
            </w:r>
            <w:r w:rsidR="00A378E5">
              <w:rPr>
                <w:bCs/>
              </w:rPr>
              <w:t>,</w:t>
            </w:r>
            <w:r w:rsidR="00612C1B" w:rsidRPr="00421693">
              <w:rPr>
                <w:bCs/>
              </w:rPr>
              <w:t xml:space="preserve"> and 8</w:t>
            </w:r>
            <w:r w:rsidR="00844848" w:rsidRPr="00421693">
              <w:rPr>
                <w:bCs/>
              </w:rPr>
              <w:t xml:space="preserve"> </w:t>
            </w:r>
            <w:r w:rsidRPr="00844848">
              <w:rPr>
                <w:bCs/>
              </w:rPr>
              <w:t xml:space="preserve">services to </w:t>
            </w:r>
            <w:r w:rsidR="00A378E5">
              <w:rPr>
                <w:bCs/>
              </w:rPr>
              <w:t>their</w:t>
            </w:r>
            <w:r w:rsidR="00A378E5" w:rsidRPr="00844848">
              <w:rPr>
                <w:bCs/>
              </w:rPr>
              <w:t xml:space="preserve"> </w:t>
            </w:r>
            <w:r w:rsidRPr="00844848">
              <w:rPr>
                <w:bCs/>
              </w:rPr>
              <w:t>region during Cohort 1</w:t>
            </w:r>
            <w:r w:rsidR="00A378E5">
              <w:rPr>
                <w:bCs/>
              </w:rPr>
              <w:t>,</w:t>
            </w:r>
            <w:r w:rsidRPr="00844848">
              <w:rPr>
                <w:bCs/>
              </w:rPr>
              <w:t xml:space="preserve"> including their experience with recruiting participants of diverse role types (teacher leaders, site leaders, district leaders), backgrounds (race/ethnicity, gender, etc.), and location within the Geo Region and </w:t>
            </w:r>
            <w:r w:rsidR="00A378E5" w:rsidRPr="00844848">
              <w:rPr>
                <w:bCs/>
              </w:rPr>
              <w:t xml:space="preserve">minimally </w:t>
            </w:r>
            <w:r w:rsidRPr="00844848">
              <w:rPr>
                <w:bCs/>
              </w:rPr>
              <w:t>described both areas of achievement, and areas for future growth in Cohort 2.</w:t>
            </w:r>
          </w:p>
        </w:tc>
      </w:tr>
      <w:tr w:rsidR="00284BAA" w:rsidRPr="00570960" w14:paraId="5283A0A9" w14:textId="77777777" w:rsidTr="00421693">
        <w:trPr>
          <w:cantSplit/>
          <w:trHeight w:val="1160"/>
        </w:trPr>
        <w:tc>
          <w:tcPr>
            <w:tcW w:w="3564" w:type="dxa"/>
          </w:tcPr>
          <w:p w14:paraId="001B1859" w14:textId="6C846429" w:rsidR="00284BAA" w:rsidRPr="00FB6BA5" w:rsidRDefault="00284BAA" w:rsidP="0025386B">
            <w:pPr>
              <w:rPr>
                <w:rFonts w:cs="Arial"/>
                <w:bCs/>
              </w:rPr>
            </w:pPr>
            <w:r>
              <w:rPr>
                <w:bCs/>
              </w:rPr>
              <w:t>The</w:t>
            </w:r>
            <w:r w:rsidRPr="00FB6BA5">
              <w:rPr>
                <w:bCs/>
              </w:rPr>
              <w:t xml:space="preserve"> </w:t>
            </w:r>
            <w:r w:rsidR="001547C2">
              <w:rPr>
                <w:bCs/>
              </w:rPr>
              <w:t>RA</w:t>
            </w:r>
            <w:r w:rsidR="007F1FD6">
              <w:rPr>
                <w:bCs/>
              </w:rPr>
              <w:t xml:space="preserve"> </w:t>
            </w:r>
            <w:r>
              <w:rPr>
                <w:bCs/>
              </w:rPr>
              <w:t xml:space="preserve">completely and clearly explained how their </w:t>
            </w:r>
            <w:r w:rsidRPr="00FB6BA5">
              <w:rPr>
                <w:bCs/>
              </w:rPr>
              <w:t xml:space="preserve">professional learning offerings benefited educators in </w:t>
            </w:r>
            <w:r w:rsidR="00A378E5">
              <w:rPr>
                <w:bCs/>
              </w:rPr>
              <w:t>their</w:t>
            </w:r>
            <w:r w:rsidRPr="00FB6BA5">
              <w:rPr>
                <w:bCs/>
              </w:rPr>
              <w:t xml:space="preserve"> region</w:t>
            </w:r>
            <w:r>
              <w:rPr>
                <w:bCs/>
              </w:rPr>
              <w:t xml:space="preserve"> and </w:t>
            </w:r>
            <w:r w:rsidRPr="00FB6BA5">
              <w:rPr>
                <w:bCs/>
              </w:rPr>
              <w:t>include</w:t>
            </w:r>
            <w:r>
              <w:rPr>
                <w:bCs/>
              </w:rPr>
              <w:t>d</w:t>
            </w:r>
            <w:r w:rsidRPr="00FB6BA5">
              <w:rPr>
                <w:bCs/>
              </w:rPr>
              <w:t xml:space="preserve"> data</w:t>
            </w:r>
            <w:r>
              <w:rPr>
                <w:bCs/>
              </w:rPr>
              <w:t xml:space="preserve"> and descriptions of how educators have used what they have learned from their academy</w:t>
            </w:r>
            <w:r w:rsidRPr="00FB6BA5">
              <w:rPr>
                <w:bCs/>
              </w:rPr>
              <w:t xml:space="preserve"> to supplement </w:t>
            </w:r>
            <w:r>
              <w:rPr>
                <w:bCs/>
              </w:rPr>
              <w:t>their</w:t>
            </w:r>
            <w:r w:rsidRPr="00FB6BA5">
              <w:rPr>
                <w:bCs/>
              </w:rPr>
              <w:t xml:space="preserve"> response, to the extent practicable. </w:t>
            </w:r>
          </w:p>
        </w:tc>
        <w:tc>
          <w:tcPr>
            <w:tcW w:w="3564" w:type="dxa"/>
          </w:tcPr>
          <w:p w14:paraId="2A81CEC6" w14:textId="3CC6048A" w:rsidR="00284BAA" w:rsidRPr="00570960" w:rsidRDefault="00284BAA" w:rsidP="0025386B">
            <w:pPr>
              <w:rPr>
                <w:rFonts w:cs="Arial"/>
              </w:rPr>
            </w:pPr>
            <w:r>
              <w:rPr>
                <w:bCs/>
              </w:rPr>
              <w:t>The</w:t>
            </w:r>
            <w:r w:rsidRPr="00FB6BA5">
              <w:rPr>
                <w:bCs/>
              </w:rPr>
              <w:t xml:space="preserve"> </w:t>
            </w:r>
            <w:r w:rsidR="001547C2">
              <w:rPr>
                <w:bCs/>
              </w:rPr>
              <w:t>RA</w:t>
            </w:r>
            <w:r w:rsidR="007F1FD6">
              <w:rPr>
                <w:bCs/>
              </w:rPr>
              <w:t xml:space="preserve"> </w:t>
            </w:r>
            <w:r>
              <w:rPr>
                <w:bCs/>
              </w:rPr>
              <w:t xml:space="preserve">provided a strong explanation of how their </w:t>
            </w:r>
            <w:r w:rsidRPr="00FB6BA5">
              <w:rPr>
                <w:bCs/>
              </w:rPr>
              <w:t xml:space="preserve">professional learning offerings benefited educators in </w:t>
            </w:r>
            <w:r w:rsidR="00A378E5">
              <w:rPr>
                <w:bCs/>
              </w:rPr>
              <w:t xml:space="preserve">their </w:t>
            </w:r>
            <w:r w:rsidRPr="00FB6BA5">
              <w:rPr>
                <w:bCs/>
              </w:rPr>
              <w:t>region</w:t>
            </w:r>
            <w:r>
              <w:rPr>
                <w:bCs/>
              </w:rPr>
              <w:t xml:space="preserve"> and </w:t>
            </w:r>
            <w:r w:rsidRPr="00FB6BA5">
              <w:rPr>
                <w:bCs/>
              </w:rPr>
              <w:t>include</w:t>
            </w:r>
            <w:r>
              <w:rPr>
                <w:bCs/>
              </w:rPr>
              <w:t>d</w:t>
            </w:r>
            <w:r w:rsidRPr="00FB6BA5">
              <w:rPr>
                <w:bCs/>
              </w:rPr>
              <w:t xml:space="preserve"> data</w:t>
            </w:r>
            <w:r>
              <w:rPr>
                <w:bCs/>
              </w:rPr>
              <w:t xml:space="preserve"> and descriptions of how educators have used what they have learned from their academy</w:t>
            </w:r>
            <w:r w:rsidRPr="00FB6BA5">
              <w:rPr>
                <w:bCs/>
              </w:rPr>
              <w:t xml:space="preserve"> to supplement </w:t>
            </w:r>
            <w:r>
              <w:rPr>
                <w:bCs/>
              </w:rPr>
              <w:t>their</w:t>
            </w:r>
            <w:r w:rsidRPr="00FB6BA5">
              <w:rPr>
                <w:bCs/>
              </w:rPr>
              <w:t xml:space="preserve"> response, to the extent practicable.</w:t>
            </w:r>
          </w:p>
        </w:tc>
        <w:tc>
          <w:tcPr>
            <w:tcW w:w="3564" w:type="dxa"/>
          </w:tcPr>
          <w:p w14:paraId="50E648FF" w14:textId="56636497" w:rsidR="00284BAA" w:rsidRPr="00570960" w:rsidRDefault="00284BAA" w:rsidP="0025386B">
            <w:pPr>
              <w:rPr>
                <w:rFonts w:cs="Arial"/>
              </w:rPr>
            </w:pPr>
            <w:r>
              <w:rPr>
                <w:bCs/>
              </w:rPr>
              <w:t>The</w:t>
            </w:r>
            <w:r w:rsidRPr="00FB6BA5">
              <w:rPr>
                <w:bCs/>
              </w:rPr>
              <w:t xml:space="preserve"> </w:t>
            </w:r>
            <w:r w:rsidR="001547C2">
              <w:rPr>
                <w:bCs/>
              </w:rPr>
              <w:t>RA</w:t>
            </w:r>
            <w:r w:rsidR="007F1FD6">
              <w:rPr>
                <w:bCs/>
              </w:rPr>
              <w:t xml:space="preserve"> </w:t>
            </w:r>
            <w:r>
              <w:rPr>
                <w:bCs/>
              </w:rPr>
              <w:t xml:space="preserve">adequately explained how their </w:t>
            </w:r>
            <w:r w:rsidRPr="00FB6BA5">
              <w:rPr>
                <w:bCs/>
              </w:rPr>
              <w:t xml:space="preserve">professional learning offerings benefited educators in </w:t>
            </w:r>
            <w:r w:rsidR="00A378E5">
              <w:rPr>
                <w:bCs/>
              </w:rPr>
              <w:t>their</w:t>
            </w:r>
            <w:r w:rsidRPr="00FB6BA5">
              <w:rPr>
                <w:bCs/>
              </w:rPr>
              <w:t xml:space="preserve"> region</w:t>
            </w:r>
            <w:r>
              <w:rPr>
                <w:bCs/>
              </w:rPr>
              <w:t xml:space="preserve"> and </w:t>
            </w:r>
            <w:r w:rsidRPr="00FB6BA5">
              <w:rPr>
                <w:bCs/>
              </w:rPr>
              <w:t>include</w:t>
            </w:r>
            <w:r>
              <w:rPr>
                <w:bCs/>
              </w:rPr>
              <w:t>d</w:t>
            </w:r>
            <w:r w:rsidRPr="00FB6BA5">
              <w:rPr>
                <w:bCs/>
              </w:rPr>
              <w:t xml:space="preserve"> </w:t>
            </w:r>
            <w:r w:rsidR="002A7F75">
              <w:rPr>
                <w:bCs/>
              </w:rPr>
              <w:t xml:space="preserve">some </w:t>
            </w:r>
            <w:r w:rsidRPr="00FB6BA5">
              <w:rPr>
                <w:bCs/>
              </w:rPr>
              <w:t>data</w:t>
            </w:r>
            <w:r>
              <w:rPr>
                <w:bCs/>
              </w:rPr>
              <w:t xml:space="preserve"> and descriptions of how educators have used what they have learned from their academy</w:t>
            </w:r>
            <w:r w:rsidRPr="00FB6BA5">
              <w:rPr>
                <w:bCs/>
              </w:rPr>
              <w:t xml:space="preserve"> to supplement </w:t>
            </w:r>
            <w:r>
              <w:rPr>
                <w:bCs/>
              </w:rPr>
              <w:t>their</w:t>
            </w:r>
            <w:r w:rsidRPr="00FB6BA5">
              <w:rPr>
                <w:bCs/>
              </w:rPr>
              <w:t xml:space="preserve"> response, to the extent practicable.</w:t>
            </w:r>
          </w:p>
        </w:tc>
        <w:tc>
          <w:tcPr>
            <w:tcW w:w="3564" w:type="dxa"/>
          </w:tcPr>
          <w:p w14:paraId="2D8B4285" w14:textId="0C23F2EB" w:rsidR="00284BAA" w:rsidRPr="00570960" w:rsidRDefault="00284BAA" w:rsidP="0025386B">
            <w:pPr>
              <w:rPr>
                <w:rFonts w:cs="Arial"/>
              </w:rPr>
            </w:pPr>
            <w:r>
              <w:rPr>
                <w:bCs/>
              </w:rPr>
              <w:t>The</w:t>
            </w:r>
            <w:r w:rsidRPr="00FB6BA5">
              <w:rPr>
                <w:bCs/>
              </w:rPr>
              <w:t xml:space="preserve"> </w:t>
            </w:r>
            <w:r w:rsidR="001547C2">
              <w:rPr>
                <w:bCs/>
              </w:rPr>
              <w:t>RA</w:t>
            </w:r>
            <w:r w:rsidR="007F1FD6">
              <w:rPr>
                <w:bCs/>
              </w:rPr>
              <w:t xml:space="preserve"> </w:t>
            </w:r>
            <w:r>
              <w:rPr>
                <w:bCs/>
              </w:rPr>
              <w:t xml:space="preserve">minimally explained how their </w:t>
            </w:r>
            <w:r w:rsidRPr="00FB6BA5">
              <w:rPr>
                <w:bCs/>
              </w:rPr>
              <w:t xml:space="preserve">professional learning offerings benefited educators in </w:t>
            </w:r>
            <w:r w:rsidR="00A378E5">
              <w:rPr>
                <w:bCs/>
              </w:rPr>
              <w:t>their</w:t>
            </w:r>
            <w:r w:rsidRPr="00FB6BA5">
              <w:rPr>
                <w:bCs/>
              </w:rPr>
              <w:t xml:space="preserve"> region</w:t>
            </w:r>
            <w:r>
              <w:rPr>
                <w:bCs/>
              </w:rPr>
              <w:t xml:space="preserve"> and </w:t>
            </w:r>
            <w:r w:rsidRPr="00FB6BA5">
              <w:rPr>
                <w:bCs/>
              </w:rPr>
              <w:t>include</w:t>
            </w:r>
            <w:r>
              <w:rPr>
                <w:bCs/>
              </w:rPr>
              <w:t>d</w:t>
            </w:r>
            <w:r w:rsidRPr="00FB6BA5">
              <w:rPr>
                <w:bCs/>
              </w:rPr>
              <w:t xml:space="preserve"> </w:t>
            </w:r>
            <w:r w:rsidR="002A7F75">
              <w:rPr>
                <w:bCs/>
              </w:rPr>
              <w:t xml:space="preserve">minimal or no </w:t>
            </w:r>
            <w:r w:rsidRPr="00FB6BA5">
              <w:rPr>
                <w:bCs/>
              </w:rPr>
              <w:t>data</w:t>
            </w:r>
            <w:r>
              <w:rPr>
                <w:bCs/>
              </w:rPr>
              <w:t xml:space="preserve"> and descriptions of how educators have used what they have learned from their academy</w:t>
            </w:r>
            <w:r w:rsidRPr="00FB6BA5">
              <w:rPr>
                <w:bCs/>
              </w:rPr>
              <w:t xml:space="preserve"> to supplement </w:t>
            </w:r>
            <w:r>
              <w:rPr>
                <w:bCs/>
              </w:rPr>
              <w:t>their</w:t>
            </w:r>
            <w:r w:rsidRPr="00FB6BA5">
              <w:rPr>
                <w:bCs/>
              </w:rPr>
              <w:t xml:space="preserve"> response, to the extent practicable.</w:t>
            </w:r>
          </w:p>
        </w:tc>
      </w:tr>
      <w:tr w:rsidR="00284BAA" w:rsidRPr="00570960" w14:paraId="3D101C9B" w14:textId="77777777" w:rsidTr="00421693">
        <w:trPr>
          <w:cantSplit/>
          <w:trHeight w:val="1160"/>
        </w:trPr>
        <w:tc>
          <w:tcPr>
            <w:tcW w:w="3564" w:type="dxa"/>
          </w:tcPr>
          <w:p w14:paraId="7C84A126" w14:textId="18EB2DA4" w:rsidR="00284BAA" w:rsidRPr="00A378E5" w:rsidRDefault="00284BAA" w:rsidP="0025386B">
            <w:pPr>
              <w:rPr>
                <w:bCs/>
              </w:rPr>
            </w:pPr>
            <w:r w:rsidRPr="00570960">
              <w:rPr>
                <w:rFonts w:cs="Arial"/>
              </w:rPr>
              <w:lastRenderedPageBreak/>
              <w:t xml:space="preserve">The </w:t>
            </w:r>
            <w:r w:rsidR="001547C2">
              <w:rPr>
                <w:bCs/>
              </w:rPr>
              <w:t>RA</w:t>
            </w:r>
            <w:r w:rsidR="007F1FD6">
              <w:rPr>
                <w:bCs/>
              </w:rPr>
              <w:t xml:space="preserve"> </w:t>
            </w:r>
            <w:r>
              <w:rPr>
                <w:bCs/>
              </w:rPr>
              <w:t>provided a complete and clear explanation about</w:t>
            </w:r>
            <w:r w:rsidRPr="00EC4C6E">
              <w:rPr>
                <w:bCs/>
              </w:rPr>
              <w:t xml:space="preserve"> what </w:t>
            </w:r>
            <w:r>
              <w:rPr>
                <w:bCs/>
              </w:rPr>
              <w:t>they</w:t>
            </w:r>
            <w:r w:rsidRPr="00EC4C6E">
              <w:rPr>
                <w:bCs/>
              </w:rPr>
              <w:t xml:space="preserve"> </w:t>
            </w:r>
            <w:r>
              <w:rPr>
                <w:bCs/>
              </w:rPr>
              <w:t xml:space="preserve">have </w:t>
            </w:r>
            <w:r w:rsidRPr="00EC4C6E">
              <w:rPr>
                <w:bCs/>
              </w:rPr>
              <w:t>learned about the budget and staffing requirements</w:t>
            </w:r>
            <w:r>
              <w:rPr>
                <w:bCs/>
              </w:rPr>
              <w:t xml:space="preserve"> during Cohort</w:t>
            </w:r>
            <w:r w:rsidR="002A7F75">
              <w:rPr>
                <w:bCs/>
              </w:rPr>
              <w:t xml:space="preserve"> 1</w:t>
            </w:r>
            <w:r w:rsidRPr="00EC4C6E">
              <w:rPr>
                <w:bCs/>
              </w:rPr>
              <w:t xml:space="preserve"> to operate a robust Regional Academy</w:t>
            </w:r>
            <w:r>
              <w:rPr>
                <w:bCs/>
              </w:rPr>
              <w:t xml:space="preserve"> and provided a complete and clear explanation about how they would modify their budget in Cohort 2.</w:t>
            </w:r>
          </w:p>
        </w:tc>
        <w:tc>
          <w:tcPr>
            <w:tcW w:w="3564" w:type="dxa"/>
          </w:tcPr>
          <w:p w14:paraId="072BDB7E" w14:textId="1142A142" w:rsidR="00284BAA" w:rsidRPr="00A378E5" w:rsidRDefault="00284BAA" w:rsidP="0025386B">
            <w:pPr>
              <w:rPr>
                <w:bCs/>
              </w:rPr>
            </w:pPr>
            <w:r>
              <w:rPr>
                <w:bCs/>
              </w:rPr>
              <w:t>The</w:t>
            </w:r>
            <w:r w:rsidRPr="00FB6BA5">
              <w:rPr>
                <w:bCs/>
              </w:rPr>
              <w:t xml:space="preserve"> </w:t>
            </w:r>
            <w:r w:rsidR="001547C2">
              <w:rPr>
                <w:bCs/>
              </w:rPr>
              <w:t>RA</w:t>
            </w:r>
            <w:r w:rsidR="007F1FD6">
              <w:rPr>
                <w:bCs/>
              </w:rPr>
              <w:t xml:space="preserve"> </w:t>
            </w:r>
            <w:r>
              <w:rPr>
                <w:bCs/>
              </w:rPr>
              <w:t>provided a strong explanation about</w:t>
            </w:r>
            <w:r w:rsidRPr="00EC4C6E">
              <w:rPr>
                <w:bCs/>
              </w:rPr>
              <w:t xml:space="preserve"> what </w:t>
            </w:r>
            <w:r>
              <w:rPr>
                <w:bCs/>
              </w:rPr>
              <w:t>they</w:t>
            </w:r>
            <w:r w:rsidRPr="00EC4C6E">
              <w:rPr>
                <w:bCs/>
              </w:rPr>
              <w:t xml:space="preserve"> </w:t>
            </w:r>
            <w:r>
              <w:rPr>
                <w:bCs/>
              </w:rPr>
              <w:t xml:space="preserve">have </w:t>
            </w:r>
            <w:r w:rsidRPr="00EC4C6E">
              <w:rPr>
                <w:bCs/>
              </w:rPr>
              <w:t>learned about the budget and staffing requirements</w:t>
            </w:r>
            <w:r>
              <w:rPr>
                <w:bCs/>
              </w:rPr>
              <w:t xml:space="preserve"> during Cohort</w:t>
            </w:r>
            <w:r w:rsidR="002A7F75">
              <w:rPr>
                <w:bCs/>
              </w:rPr>
              <w:t xml:space="preserve"> 1</w:t>
            </w:r>
            <w:r w:rsidRPr="00EC4C6E">
              <w:rPr>
                <w:bCs/>
              </w:rPr>
              <w:t xml:space="preserve"> to operate a robust Regional Academy</w:t>
            </w:r>
            <w:r>
              <w:rPr>
                <w:bCs/>
              </w:rPr>
              <w:t xml:space="preserve"> and provided a strong explanation about how they would modify their budget in Cohort 2.</w:t>
            </w:r>
          </w:p>
        </w:tc>
        <w:tc>
          <w:tcPr>
            <w:tcW w:w="3564" w:type="dxa"/>
          </w:tcPr>
          <w:p w14:paraId="0C446301" w14:textId="443108B0" w:rsidR="00284BAA" w:rsidRPr="00A378E5" w:rsidRDefault="00284BAA" w:rsidP="0025386B">
            <w:pPr>
              <w:rPr>
                <w:bCs/>
              </w:rPr>
            </w:pPr>
            <w:r w:rsidRPr="00570960">
              <w:rPr>
                <w:rFonts w:cs="Arial"/>
              </w:rPr>
              <w:t xml:space="preserve">The </w:t>
            </w:r>
            <w:r w:rsidR="001547C2">
              <w:rPr>
                <w:bCs/>
              </w:rPr>
              <w:t>RA</w:t>
            </w:r>
            <w:r w:rsidR="007F1FD6">
              <w:rPr>
                <w:bCs/>
              </w:rPr>
              <w:t xml:space="preserve"> </w:t>
            </w:r>
            <w:r>
              <w:rPr>
                <w:bCs/>
              </w:rPr>
              <w:t>provided an adequate explanation about</w:t>
            </w:r>
            <w:r w:rsidRPr="00EC4C6E">
              <w:rPr>
                <w:bCs/>
              </w:rPr>
              <w:t xml:space="preserve"> what </w:t>
            </w:r>
            <w:r>
              <w:rPr>
                <w:bCs/>
              </w:rPr>
              <w:t>they</w:t>
            </w:r>
            <w:r w:rsidRPr="00EC4C6E">
              <w:rPr>
                <w:bCs/>
              </w:rPr>
              <w:t xml:space="preserve"> </w:t>
            </w:r>
            <w:r>
              <w:rPr>
                <w:bCs/>
              </w:rPr>
              <w:t xml:space="preserve">have </w:t>
            </w:r>
            <w:r w:rsidRPr="00EC4C6E">
              <w:rPr>
                <w:bCs/>
              </w:rPr>
              <w:t>learned about the budget and staffing requirements</w:t>
            </w:r>
            <w:r>
              <w:rPr>
                <w:bCs/>
              </w:rPr>
              <w:t xml:space="preserve"> during Cohort</w:t>
            </w:r>
            <w:r w:rsidR="002A7F75">
              <w:rPr>
                <w:bCs/>
              </w:rPr>
              <w:t xml:space="preserve"> 1</w:t>
            </w:r>
            <w:r w:rsidRPr="00EC4C6E">
              <w:rPr>
                <w:bCs/>
              </w:rPr>
              <w:t xml:space="preserve"> to operate a robust Regional Academy</w:t>
            </w:r>
            <w:r>
              <w:rPr>
                <w:bCs/>
              </w:rPr>
              <w:t xml:space="preserve"> and provided an adequate explanation about how they would modify their budget in Cohort 2.</w:t>
            </w:r>
          </w:p>
        </w:tc>
        <w:tc>
          <w:tcPr>
            <w:tcW w:w="3564" w:type="dxa"/>
          </w:tcPr>
          <w:p w14:paraId="530D3752" w14:textId="28272C1E" w:rsidR="00284BAA" w:rsidRPr="00A378E5" w:rsidRDefault="00284BAA" w:rsidP="0025386B">
            <w:pPr>
              <w:rPr>
                <w:bCs/>
              </w:rPr>
            </w:pPr>
            <w:r w:rsidRPr="00570960">
              <w:rPr>
                <w:rFonts w:cs="Arial"/>
              </w:rPr>
              <w:t xml:space="preserve">The </w:t>
            </w:r>
            <w:r w:rsidR="001547C2">
              <w:rPr>
                <w:bCs/>
              </w:rPr>
              <w:t>RA</w:t>
            </w:r>
            <w:r w:rsidR="007F1FD6">
              <w:rPr>
                <w:bCs/>
              </w:rPr>
              <w:t xml:space="preserve"> </w:t>
            </w:r>
            <w:r>
              <w:rPr>
                <w:bCs/>
              </w:rPr>
              <w:t>minimally explained</w:t>
            </w:r>
            <w:r w:rsidRPr="00EC4C6E">
              <w:rPr>
                <w:bCs/>
              </w:rPr>
              <w:t xml:space="preserve"> what </w:t>
            </w:r>
            <w:r>
              <w:rPr>
                <w:bCs/>
              </w:rPr>
              <w:t>they</w:t>
            </w:r>
            <w:r w:rsidRPr="00EC4C6E">
              <w:rPr>
                <w:bCs/>
              </w:rPr>
              <w:t xml:space="preserve"> </w:t>
            </w:r>
            <w:r>
              <w:rPr>
                <w:bCs/>
              </w:rPr>
              <w:t xml:space="preserve">have </w:t>
            </w:r>
            <w:r w:rsidRPr="00EC4C6E">
              <w:rPr>
                <w:bCs/>
              </w:rPr>
              <w:t>learned about the budget and staffing requirements</w:t>
            </w:r>
            <w:r>
              <w:rPr>
                <w:bCs/>
              </w:rPr>
              <w:t xml:space="preserve"> during Cohort</w:t>
            </w:r>
            <w:r w:rsidR="002A7F75">
              <w:rPr>
                <w:bCs/>
              </w:rPr>
              <w:t xml:space="preserve"> 1</w:t>
            </w:r>
            <w:r w:rsidRPr="00EC4C6E">
              <w:rPr>
                <w:bCs/>
              </w:rPr>
              <w:t xml:space="preserve"> to operate a robust Regional Academy</w:t>
            </w:r>
            <w:r>
              <w:rPr>
                <w:bCs/>
              </w:rPr>
              <w:t xml:space="preserve"> and provided a minimal explanation about how they would modify their budget in Cohort 2.</w:t>
            </w:r>
          </w:p>
        </w:tc>
      </w:tr>
      <w:tr w:rsidR="00284BAA" w:rsidRPr="00570960" w14:paraId="53C45977" w14:textId="77777777" w:rsidTr="00421693">
        <w:trPr>
          <w:cantSplit/>
          <w:trHeight w:val="1160"/>
        </w:trPr>
        <w:tc>
          <w:tcPr>
            <w:tcW w:w="3564" w:type="dxa"/>
          </w:tcPr>
          <w:p w14:paraId="0BCB4B3D" w14:textId="0E96DAA8" w:rsidR="00284BAA" w:rsidRPr="00570960" w:rsidRDefault="00284BAA" w:rsidP="0025386B">
            <w:pPr>
              <w:rPr>
                <w:rFonts w:cs="Arial"/>
              </w:rPr>
            </w:pPr>
            <w:r w:rsidRPr="00570960">
              <w:rPr>
                <w:rFonts w:cs="Arial"/>
              </w:rPr>
              <w:t xml:space="preserve">The </w:t>
            </w:r>
            <w:r w:rsidR="001547C2">
              <w:rPr>
                <w:bCs/>
              </w:rPr>
              <w:t>RA</w:t>
            </w:r>
            <w:r w:rsidR="007F1FD6">
              <w:rPr>
                <w:bCs/>
              </w:rPr>
              <w:t xml:space="preserve"> </w:t>
            </w:r>
            <w:r>
              <w:rPr>
                <w:rFonts w:cs="Arial"/>
              </w:rPr>
              <w:t xml:space="preserve">provided a clear, complete, and reasonable plan to spend out </w:t>
            </w:r>
            <w:r w:rsidR="003C12C2">
              <w:t xml:space="preserve">2022 and 2023 FY </w:t>
            </w:r>
            <w:r>
              <w:rPr>
                <w:rFonts w:cs="Arial"/>
              </w:rPr>
              <w:t>funds that will be made available in Year 1 of Cohort 2.</w:t>
            </w:r>
          </w:p>
        </w:tc>
        <w:tc>
          <w:tcPr>
            <w:tcW w:w="3564" w:type="dxa"/>
          </w:tcPr>
          <w:p w14:paraId="11122746" w14:textId="4C4F1222" w:rsidR="00284BAA" w:rsidRPr="00570960" w:rsidRDefault="00284BAA" w:rsidP="0025386B">
            <w:pPr>
              <w:rPr>
                <w:rFonts w:cs="Arial"/>
              </w:rPr>
            </w:pPr>
            <w:r>
              <w:rPr>
                <w:bCs/>
              </w:rPr>
              <w:t>The</w:t>
            </w:r>
            <w:r w:rsidRPr="00FB6BA5">
              <w:rPr>
                <w:bCs/>
              </w:rPr>
              <w:t xml:space="preserve"> </w:t>
            </w:r>
            <w:r w:rsidR="001547C2">
              <w:rPr>
                <w:bCs/>
              </w:rPr>
              <w:t>RA</w:t>
            </w:r>
            <w:r w:rsidR="007F1FD6">
              <w:rPr>
                <w:bCs/>
              </w:rPr>
              <w:t xml:space="preserve"> </w:t>
            </w:r>
            <w:r>
              <w:rPr>
                <w:bCs/>
              </w:rPr>
              <w:t xml:space="preserve">provided a strong </w:t>
            </w:r>
            <w:r>
              <w:rPr>
                <w:rFonts w:cs="Arial"/>
              </w:rPr>
              <w:t xml:space="preserve">plan to spend out </w:t>
            </w:r>
            <w:r w:rsidR="003C12C2">
              <w:t xml:space="preserve">2022 and 2023 FY </w:t>
            </w:r>
            <w:r>
              <w:rPr>
                <w:rFonts w:cs="Arial"/>
              </w:rPr>
              <w:t>funds that will be made available in Year 1 of Cohort 2.</w:t>
            </w:r>
          </w:p>
          <w:p w14:paraId="0079602E" w14:textId="77777777" w:rsidR="00284BAA" w:rsidRPr="00570960" w:rsidRDefault="00284BAA" w:rsidP="0025386B">
            <w:pPr>
              <w:rPr>
                <w:rFonts w:cs="Arial"/>
              </w:rPr>
            </w:pPr>
          </w:p>
        </w:tc>
        <w:tc>
          <w:tcPr>
            <w:tcW w:w="3564" w:type="dxa"/>
          </w:tcPr>
          <w:p w14:paraId="4B6B7D95" w14:textId="1077778C" w:rsidR="00284BAA" w:rsidRPr="00570960" w:rsidRDefault="00284BAA" w:rsidP="0025386B">
            <w:pPr>
              <w:rPr>
                <w:rFonts w:cs="Arial"/>
              </w:rPr>
            </w:pPr>
            <w:r w:rsidRPr="00570960">
              <w:rPr>
                <w:rFonts w:cs="Arial"/>
              </w:rPr>
              <w:t xml:space="preserve">The </w:t>
            </w:r>
            <w:r w:rsidR="001547C2">
              <w:rPr>
                <w:bCs/>
              </w:rPr>
              <w:t>RA</w:t>
            </w:r>
            <w:r w:rsidR="007F1FD6">
              <w:rPr>
                <w:bCs/>
              </w:rPr>
              <w:t xml:space="preserve"> </w:t>
            </w:r>
            <w:r>
              <w:rPr>
                <w:rFonts w:cs="Arial"/>
              </w:rPr>
              <w:t xml:space="preserve">provided an adequate plan to spend out </w:t>
            </w:r>
            <w:r w:rsidR="003C12C2">
              <w:t xml:space="preserve">2022 and 2023 FY </w:t>
            </w:r>
            <w:r>
              <w:rPr>
                <w:rFonts w:cs="Arial"/>
              </w:rPr>
              <w:t>funds that will be made available in Year 1 of Cohort 2.</w:t>
            </w:r>
          </w:p>
          <w:p w14:paraId="75BD91CC" w14:textId="77777777" w:rsidR="00284BAA" w:rsidRPr="00570960" w:rsidRDefault="00284BAA" w:rsidP="0025386B">
            <w:pPr>
              <w:rPr>
                <w:rFonts w:cs="Arial"/>
              </w:rPr>
            </w:pPr>
          </w:p>
        </w:tc>
        <w:tc>
          <w:tcPr>
            <w:tcW w:w="3564" w:type="dxa"/>
          </w:tcPr>
          <w:p w14:paraId="048F2E28" w14:textId="5231FD7D" w:rsidR="00284BAA" w:rsidRPr="00570960" w:rsidRDefault="00284BAA" w:rsidP="0025386B">
            <w:pPr>
              <w:rPr>
                <w:rFonts w:cs="Arial"/>
              </w:rPr>
            </w:pPr>
            <w:r w:rsidRPr="00570960">
              <w:rPr>
                <w:rFonts w:cs="Arial"/>
              </w:rPr>
              <w:t xml:space="preserve">The </w:t>
            </w:r>
            <w:r w:rsidR="001547C2">
              <w:rPr>
                <w:bCs/>
              </w:rPr>
              <w:t>RA</w:t>
            </w:r>
            <w:r w:rsidR="007F1FD6">
              <w:rPr>
                <w:bCs/>
              </w:rPr>
              <w:t xml:space="preserve"> </w:t>
            </w:r>
            <w:r>
              <w:rPr>
                <w:rFonts w:cs="Arial"/>
              </w:rPr>
              <w:t xml:space="preserve">provided a minimal plan to spend out </w:t>
            </w:r>
            <w:r w:rsidR="003C12C2">
              <w:t xml:space="preserve">2022 and 2023 FY </w:t>
            </w:r>
            <w:r>
              <w:rPr>
                <w:rFonts w:cs="Arial"/>
              </w:rPr>
              <w:t>funds that will be made available in Year 1 of Cohort 2.</w:t>
            </w:r>
          </w:p>
          <w:p w14:paraId="03EA6F81" w14:textId="77777777" w:rsidR="00284BAA" w:rsidRPr="00570960" w:rsidRDefault="00284BAA" w:rsidP="0025386B">
            <w:pPr>
              <w:rPr>
                <w:rFonts w:cs="Arial"/>
              </w:rPr>
            </w:pPr>
          </w:p>
        </w:tc>
      </w:tr>
    </w:tbl>
    <w:p w14:paraId="2C7EB8AC" w14:textId="05BC77C7" w:rsidR="00E37574" w:rsidRDefault="00E37574" w:rsidP="00BA1226">
      <w:pPr>
        <w:pStyle w:val="Heading2"/>
      </w:pPr>
      <w:r>
        <w:br w:type="page"/>
      </w:r>
      <w:bookmarkStart w:id="37" w:name="_Toc104968452"/>
      <w:bookmarkStart w:id="38" w:name="_Toc105571283"/>
      <w:r>
        <w:lastRenderedPageBreak/>
        <w:t xml:space="preserve">Appendix B: </w:t>
      </w:r>
      <w:r w:rsidRPr="00236F69">
        <w:t>21</w:t>
      </w:r>
      <w:r w:rsidR="00D02705" w:rsidRPr="00D02705">
        <w:rPr>
          <w:vertAlign w:val="superscript"/>
        </w:rPr>
        <w:t>st</w:t>
      </w:r>
      <w:r w:rsidR="00D02705">
        <w:t xml:space="preserve"> </w:t>
      </w:r>
      <w:r w:rsidRPr="00236F69">
        <w:t>Century California School Leadership Academy</w:t>
      </w:r>
      <w:bookmarkEnd w:id="37"/>
      <w:r w:rsidR="0025386B">
        <w:t xml:space="preserve"> </w:t>
      </w:r>
      <w:bookmarkStart w:id="39" w:name="_Toc104968453"/>
      <w:r w:rsidRPr="00EE6AA9">
        <w:t>Scoring Rubric for</w:t>
      </w:r>
      <w:r w:rsidR="00543FFE">
        <w:t xml:space="preserve"> </w:t>
      </w:r>
      <w:r w:rsidRPr="00EE6AA9">
        <w:t>Cohort 2 Renewal Application:</w:t>
      </w:r>
      <w:bookmarkEnd w:id="39"/>
      <w:r w:rsidR="00543FFE">
        <w:t xml:space="preserve"> </w:t>
      </w:r>
      <w:bookmarkStart w:id="40" w:name="_Toc104968454"/>
      <w:r w:rsidRPr="00EE6AA9">
        <w:t>Center</w:t>
      </w:r>
      <w:bookmarkEnd w:id="38"/>
      <w:bookmarkEnd w:id="40"/>
    </w:p>
    <w:tbl>
      <w:tblPr>
        <w:tblStyle w:val="TableGrid2"/>
        <w:tblW w:w="14256" w:type="dxa"/>
        <w:tblInd w:w="-658" w:type="dxa"/>
        <w:tblCellMar>
          <w:top w:w="29" w:type="dxa"/>
          <w:left w:w="115" w:type="dxa"/>
          <w:bottom w:w="29" w:type="dxa"/>
          <w:right w:w="115" w:type="dxa"/>
        </w:tblCellMar>
        <w:tblLook w:val="01E0" w:firstRow="1" w:lastRow="1" w:firstColumn="1" w:lastColumn="1" w:noHBand="0" w:noVBand="0"/>
        <w:tblDescription w:val="This is a basic scoring rubric for Cohort 2 Metrics, for the Center application."/>
      </w:tblPr>
      <w:tblGrid>
        <w:gridCol w:w="3564"/>
        <w:gridCol w:w="3564"/>
        <w:gridCol w:w="3564"/>
        <w:gridCol w:w="3564"/>
      </w:tblGrid>
      <w:tr w:rsidR="00E37574" w:rsidRPr="00570960" w14:paraId="7A4B9042" w14:textId="77777777" w:rsidTr="00421693">
        <w:trPr>
          <w:cantSplit/>
          <w:trHeight w:val="235"/>
          <w:tblHeader/>
        </w:trPr>
        <w:tc>
          <w:tcPr>
            <w:tcW w:w="3564" w:type="dxa"/>
            <w:shd w:val="clear" w:color="auto" w:fill="D0CECE" w:themeFill="background2" w:themeFillShade="E6"/>
          </w:tcPr>
          <w:p w14:paraId="3D8B8D0E" w14:textId="77777777" w:rsidR="00E37574" w:rsidRPr="00570960" w:rsidRDefault="00E37574" w:rsidP="0025386B">
            <w:pPr>
              <w:jc w:val="center"/>
              <w:rPr>
                <w:rFonts w:cs="Arial"/>
                <w:b/>
                <w:bCs/>
              </w:rPr>
            </w:pPr>
            <w:r w:rsidRPr="00570960">
              <w:rPr>
                <w:rFonts w:cs="Arial"/>
                <w:b/>
                <w:bCs/>
              </w:rPr>
              <w:t>OUTSTANDING (8 points)</w:t>
            </w:r>
          </w:p>
        </w:tc>
        <w:tc>
          <w:tcPr>
            <w:tcW w:w="3564" w:type="dxa"/>
            <w:shd w:val="clear" w:color="auto" w:fill="D0CECE" w:themeFill="background2" w:themeFillShade="E6"/>
          </w:tcPr>
          <w:p w14:paraId="2DAF3238" w14:textId="77777777" w:rsidR="00E37574" w:rsidRPr="00570960" w:rsidRDefault="00E37574" w:rsidP="0025386B">
            <w:pPr>
              <w:jc w:val="center"/>
              <w:rPr>
                <w:rFonts w:cs="Arial"/>
                <w:b/>
                <w:bCs/>
              </w:rPr>
            </w:pPr>
            <w:r w:rsidRPr="00570960">
              <w:rPr>
                <w:rFonts w:cs="Arial"/>
                <w:b/>
                <w:bCs/>
              </w:rPr>
              <w:t>STRONG (6 points)</w:t>
            </w:r>
          </w:p>
        </w:tc>
        <w:tc>
          <w:tcPr>
            <w:tcW w:w="3564" w:type="dxa"/>
            <w:shd w:val="clear" w:color="auto" w:fill="D0CECE" w:themeFill="background2" w:themeFillShade="E6"/>
          </w:tcPr>
          <w:p w14:paraId="352669E8" w14:textId="77777777" w:rsidR="00E37574" w:rsidRPr="00570960" w:rsidRDefault="00E37574" w:rsidP="0025386B">
            <w:pPr>
              <w:jc w:val="center"/>
              <w:rPr>
                <w:rFonts w:cs="Arial"/>
                <w:b/>
                <w:bCs/>
              </w:rPr>
            </w:pPr>
            <w:r w:rsidRPr="00570960">
              <w:rPr>
                <w:rFonts w:cs="Arial"/>
                <w:b/>
                <w:bCs/>
              </w:rPr>
              <w:t>ADEQUATE (4 points)</w:t>
            </w:r>
          </w:p>
        </w:tc>
        <w:tc>
          <w:tcPr>
            <w:tcW w:w="3564" w:type="dxa"/>
            <w:shd w:val="clear" w:color="auto" w:fill="D0CECE" w:themeFill="background2" w:themeFillShade="E6"/>
          </w:tcPr>
          <w:p w14:paraId="1DB9C1C6" w14:textId="77777777" w:rsidR="00E37574" w:rsidRPr="00570960" w:rsidRDefault="00E37574" w:rsidP="0025386B">
            <w:pPr>
              <w:jc w:val="center"/>
              <w:rPr>
                <w:rFonts w:cs="Arial"/>
                <w:b/>
                <w:bCs/>
              </w:rPr>
            </w:pPr>
            <w:r w:rsidRPr="00570960">
              <w:rPr>
                <w:rFonts w:cs="Arial"/>
                <w:b/>
                <w:bCs/>
              </w:rPr>
              <w:t>MINIMAL (2–0 points)</w:t>
            </w:r>
          </w:p>
        </w:tc>
      </w:tr>
      <w:tr w:rsidR="00E37574" w:rsidRPr="00570960" w14:paraId="5D2C9441" w14:textId="77777777" w:rsidTr="00421693">
        <w:trPr>
          <w:cantSplit/>
          <w:trHeight w:val="1160"/>
        </w:trPr>
        <w:tc>
          <w:tcPr>
            <w:tcW w:w="3564" w:type="dxa"/>
          </w:tcPr>
          <w:p w14:paraId="166D9FA2" w14:textId="3193B8A2" w:rsidR="00E37574" w:rsidRPr="00A378E5" w:rsidRDefault="00E37574" w:rsidP="00E37574">
            <w:pPr>
              <w:rPr>
                <w:bCs/>
              </w:rPr>
            </w:pPr>
            <w:r>
              <w:rPr>
                <w:bCs/>
              </w:rPr>
              <w:t>The</w:t>
            </w:r>
            <w:r w:rsidRPr="00FB6BA5">
              <w:rPr>
                <w:bCs/>
              </w:rPr>
              <w:t xml:space="preserve"> </w:t>
            </w:r>
            <w:r>
              <w:rPr>
                <w:bCs/>
              </w:rPr>
              <w:t>Center completely and clearly explained the</w:t>
            </w:r>
            <w:r w:rsidRPr="00FB6BA5">
              <w:rPr>
                <w:bCs/>
              </w:rPr>
              <w:t xml:space="preserve"> key lessons learned in providing </w:t>
            </w:r>
            <w:r>
              <w:rPr>
                <w:bCs/>
              </w:rPr>
              <w:t xml:space="preserve">support to the </w:t>
            </w:r>
            <w:r w:rsidR="001547C2">
              <w:rPr>
                <w:bCs/>
              </w:rPr>
              <w:t>RAs</w:t>
            </w:r>
            <w:r w:rsidR="007F1FD6">
              <w:rPr>
                <w:bCs/>
              </w:rPr>
              <w:t xml:space="preserve"> </w:t>
            </w:r>
            <w:r>
              <w:rPr>
                <w:bCs/>
              </w:rPr>
              <w:t xml:space="preserve">and </w:t>
            </w:r>
            <w:r w:rsidR="00EA412C">
              <w:rPr>
                <w:bCs/>
              </w:rPr>
              <w:t xml:space="preserve">completely and clearly </w:t>
            </w:r>
            <w:r>
              <w:rPr>
                <w:bCs/>
              </w:rPr>
              <w:t xml:space="preserve">described </w:t>
            </w:r>
            <w:r w:rsidRPr="00FB6BA5">
              <w:rPr>
                <w:bCs/>
              </w:rPr>
              <w:t>both areas of achievement, and areas for future growth in Cohort 2.</w:t>
            </w:r>
          </w:p>
        </w:tc>
        <w:tc>
          <w:tcPr>
            <w:tcW w:w="3564" w:type="dxa"/>
          </w:tcPr>
          <w:p w14:paraId="22C81248" w14:textId="48EC1208" w:rsidR="00E37574" w:rsidRPr="00A378E5" w:rsidRDefault="00E37574" w:rsidP="0025386B">
            <w:pPr>
              <w:rPr>
                <w:bCs/>
              </w:rPr>
            </w:pPr>
            <w:r>
              <w:rPr>
                <w:bCs/>
              </w:rPr>
              <w:t>The</w:t>
            </w:r>
            <w:r w:rsidRPr="00FB6BA5">
              <w:rPr>
                <w:bCs/>
              </w:rPr>
              <w:t xml:space="preserve"> </w:t>
            </w:r>
            <w:r>
              <w:rPr>
                <w:bCs/>
              </w:rPr>
              <w:t>Center provided a strong explanation of the</w:t>
            </w:r>
            <w:r w:rsidRPr="00FB6BA5">
              <w:rPr>
                <w:bCs/>
              </w:rPr>
              <w:t xml:space="preserve"> key lessons learned in providing </w:t>
            </w:r>
            <w:r>
              <w:rPr>
                <w:bCs/>
              </w:rPr>
              <w:t xml:space="preserve">support to the </w:t>
            </w:r>
            <w:r w:rsidR="001547C2">
              <w:rPr>
                <w:bCs/>
              </w:rPr>
              <w:t>RAs</w:t>
            </w:r>
            <w:r w:rsidR="007F1FD6">
              <w:rPr>
                <w:bCs/>
              </w:rPr>
              <w:t xml:space="preserve"> </w:t>
            </w:r>
            <w:r>
              <w:rPr>
                <w:bCs/>
              </w:rPr>
              <w:t xml:space="preserve">and described </w:t>
            </w:r>
            <w:r w:rsidRPr="00FB6BA5">
              <w:rPr>
                <w:bCs/>
              </w:rPr>
              <w:t>both areas of achievement, and areas for future growth in Cohort 2.</w:t>
            </w:r>
          </w:p>
        </w:tc>
        <w:tc>
          <w:tcPr>
            <w:tcW w:w="3564" w:type="dxa"/>
          </w:tcPr>
          <w:p w14:paraId="636A6EB3" w14:textId="2E182D51" w:rsidR="00E37574" w:rsidRPr="00A378E5" w:rsidRDefault="00E37574" w:rsidP="0025386B">
            <w:pPr>
              <w:rPr>
                <w:bCs/>
              </w:rPr>
            </w:pPr>
            <w:r>
              <w:rPr>
                <w:bCs/>
              </w:rPr>
              <w:t>The</w:t>
            </w:r>
            <w:r w:rsidRPr="00FB6BA5">
              <w:rPr>
                <w:bCs/>
              </w:rPr>
              <w:t xml:space="preserve"> </w:t>
            </w:r>
            <w:r>
              <w:rPr>
                <w:bCs/>
              </w:rPr>
              <w:t>Center adequately explained the</w:t>
            </w:r>
            <w:r w:rsidRPr="00FB6BA5">
              <w:rPr>
                <w:bCs/>
              </w:rPr>
              <w:t xml:space="preserve"> key lessons learned in providing </w:t>
            </w:r>
            <w:r>
              <w:rPr>
                <w:bCs/>
              </w:rPr>
              <w:t xml:space="preserve">support to the </w:t>
            </w:r>
            <w:r w:rsidR="001547C2">
              <w:rPr>
                <w:bCs/>
              </w:rPr>
              <w:t>RAs</w:t>
            </w:r>
            <w:r w:rsidR="007F1FD6">
              <w:rPr>
                <w:bCs/>
              </w:rPr>
              <w:t xml:space="preserve"> </w:t>
            </w:r>
            <w:r>
              <w:rPr>
                <w:bCs/>
              </w:rPr>
              <w:t>and</w:t>
            </w:r>
            <w:r w:rsidR="00EA412C">
              <w:rPr>
                <w:bCs/>
              </w:rPr>
              <w:t xml:space="preserve"> adequately</w:t>
            </w:r>
            <w:r>
              <w:rPr>
                <w:bCs/>
              </w:rPr>
              <w:t xml:space="preserve"> described </w:t>
            </w:r>
            <w:r w:rsidRPr="00FB6BA5">
              <w:rPr>
                <w:bCs/>
              </w:rPr>
              <w:t>areas of achievement and</w:t>
            </w:r>
            <w:r w:rsidR="00EA412C">
              <w:rPr>
                <w:bCs/>
              </w:rPr>
              <w:t>/or</w:t>
            </w:r>
            <w:r w:rsidRPr="00FB6BA5">
              <w:rPr>
                <w:bCs/>
              </w:rPr>
              <w:t xml:space="preserve"> areas for future growth in Cohort 2.</w:t>
            </w:r>
          </w:p>
        </w:tc>
        <w:tc>
          <w:tcPr>
            <w:tcW w:w="3564" w:type="dxa"/>
          </w:tcPr>
          <w:p w14:paraId="13E54249" w14:textId="4AA8653D" w:rsidR="00E37574" w:rsidRPr="00A378E5" w:rsidRDefault="00E37574" w:rsidP="0025386B">
            <w:pPr>
              <w:rPr>
                <w:bCs/>
              </w:rPr>
            </w:pPr>
            <w:r>
              <w:rPr>
                <w:bCs/>
              </w:rPr>
              <w:t>The</w:t>
            </w:r>
            <w:r w:rsidRPr="00FB6BA5">
              <w:rPr>
                <w:bCs/>
              </w:rPr>
              <w:t xml:space="preserve"> </w:t>
            </w:r>
            <w:r>
              <w:rPr>
                <w:bCs/>
              </w:rPr>
              <w:t>Center minimally explained the</w:t>
            </w:r>
            <w:r w:rsidRPr="00FB6BA5">
              <w:rPr>
                <w:bCs/>
              </w:rPr>
              <w:t xml:space="preserve"> key lessons learned in providing </w:t>
            </w:r>
            <w:r>
              <w:rPr>
                <w:bCs/>
              </w:rPr>
              <w:t xml:space="preserve">support to the </w:t>
            </w:r>
            <w:r w:rsidR="001547C2">
              <w:rPr>
                <w:bCs/>
              </w:rPr>
              <w:t>RA</w:t>
            </w:r>
            <w:r w:rsidR="007F1FD6">
              <w:rPr>
                <w:bCs/>
              </w:rPr>
              <w:t xml:space="preserve"> </w:t>
            </w:r>
            <w:r>
              <w:rPr>
                <w:bCs/>
              </w:rPr>
              <w:t xml:space="preserve">and </w:t>
            </w:r>
            <w:r w:rsidR="00EA412C">
              <w:rPr>
                <w:bCs/>
              </w:rPr>
              <w:t xml:space="preserve">minimally </w:t>
            </w:r>
            <w:r>
              <w:rPr>
                <w:bCs/>
              </w:rPr>
              <w:t xml:space="preserve">described </w:t>
            </w:r>
            <w:r w:rsidRPr="00FB6BA5">
              <w:rPr>
                <w:bCs/>
              </w:rPr>
              <w:t>areas of achievement, and</w:t>
            </w:r>
            <w:r w:rsidR="00EA412C">
              <w:rPr>
                <w:bCs/>
              </w:rPr>
              <w:t>/or</w:t>
            </w:r>
            <w:r w:rsidRPr="00FB6BA5">
              <w:rPr>
                <w:bCs/>
              </w:rPr>
              <w:t xml:space="preserve"> areas for future growth in Cohort 2.</w:t>
            </w:r>
          </w:p>
        </w:tc>
      </w:tr>
      <w:tr w:rsidR="00E37574" w:rsidRPr="00570960" w14:paraId="4215843E" w14:textId="77777777" w:rsidTr="00421693">
        <w:trPr>
          <w:cantSplit/>
          <w:trHeight w:val="1160"/>
        </w:trPr>
        <w:tc>
          <w:tcPr>
            <w:tcW w:w="3564" w:type="dxa"/>
          </w:tcPr>
          <w:p w14:paraId="12406220" w14:textId="477FC0EE" w:rsidR="00E37574" w:rsidRPr="00A378E5" w:rsidRDefault="00E37574" w:rsidP="0025386B">
            <w:r>
              <w:rPr>
                <w:bCs/>
              </w:rPr>
              <w:t>The</w:t>
            </w:r>
            <w:r w:rsidRPr="00FB6BA5">
              <w:rPr>
                <w:bCs/>
              </w:rPr>
              <w:t xml:space="preserve"> </w:t>
            </w:r>
            <w:r>
              <w:rPr>
                <w:bCs/>
              </w:rPr>
              <w:t>Center</w:t>
            </w:r>
            <w:r w:rsidRPr="00FB6BA5">
              <w:rPr>
                <w:bCs/>
              </w:rPr>
              <w:t xml:space="preserve"> </w:t>
            </w:r>
            <w:r>
              <w:rPr>
                <w:bCs/>
              </w:rPr>
              <w:t>completely and clearly explained h</w:t>
            </w:r>
            <w:r w:rsidRPr="00284BAA">
              <w:t xml:space="preserve">ow </w:t>
            </w:r>
            <w:r>
              <w:t xml:space="preserve">the </w:t>
            </w:r>
            <w:r w:rsidR="001547C2">
              <w:rPr>
                <w:bCs/>
              </w:rPr>
              <w:t>RAs</w:t>
            </w:r>
            <w:r w:rsidR="007F1FD6">
              <w:rPr>
                <w:bCs/>
              </w:rPr>
              <w:t xml:space="preserve"> </w:t>
            </w:r>
            <w:r w:rsidRPr="00284BAA">
              <w:t xml:space="preserve">benefited </w:t>
            </w:r>
            <w:r>
              <w:t>from the Center’s guidance and support and</w:t>
            </w:r>
            <w:r w:rsidRPr="00284BAA">
              <w:t xml:space="preserve"> include</w:t>
            </w:r>
            <w:r>
              <w:t>d</w:t>
            </w:r>
            <w:r w:rsidRPr="00284BAA">
              <w:t xml:space="preserve"> data </w:t>
            </w:r>
            <w:r>
              <w:t xml:space="preserve">and </w:t>
            </w:r>
            <w:r w:rsidRPr="00284BAA">
              <w:t xml:space="preserve">examples of how </w:t>
            </w:r>
            <w:r>
              <w:t>the RAs have</w:t>
            </w:r>
            <w:r w:rsidRPr="00284BAA">
              <w:t xml:space="preserve"> used what they have learned </w:t>
            </w:r>
            <w:r>
              <w:t>from the Center</w:t>
            </w:r>
            <w:r w:rsidRPr="00284BAA">
              <w:t xml:space="preserve"> to improve their practice.</w:t>
            </w:r>
          </w:p>
        </w:tc>
        <w:tc>
          <w:tcPr>
            <w:tcW w:w="3564" w:type="dxa"/>
          </w:tcPr>
          <w:p w14:paraId="4B01174D" w14:textId="066824DE" w:rsidR="00E37574" w:rsidRPr="00570960" w:rsidRDefault="00E37574" w:rsidP="0025386B">
            <w:pPr>
              <w:rPr>
                <w:rFonts w:cs="Arial"/>
              </w:rPr>
            </w:pPr>
            <w:r>
              <w:rPr>
                <w:bCs/>
              </w:rPr>
              <w:t>The</w:t>
            </w:r>
            <w:r w:rsidRPr="00FB6BA5">
              <w:rPr>
                <w:bCs/>
              </w:rPr>
              <w:t xml:space="preserve"> </w:t>
            </w:r>
            <w:r>
              <w:rPr>
                <w:bCs/>
              </w:rPr>
              <w:t>Center provided a strong explanation of h</w:t>
            </w:r>
            <w:r w:rsidRPr="00284BAA">
              <w:t xml:space="preserve">ow </w:t>
            </w:r>
            <w:r>
              <w:t xml:space="preserve">the </w:t>
            </w:r>
            <w:r w:rsidR="001547C2">
              <w:rPr>
                <w:bCs/>
              </w:rPr>
              <w:t>RAs</w:t>
            </w:r>
            <w:r w:rsidR="007F1FD6">
              <w:rPr>
                <w:bCs/>
              </w:rPr>
              <w:t xml:space="preserve"> </w:t>
            </w:r>
            <w:r w:rsidRPr="00284BAA">
              <w:t xml:space="preserve">benefited </w:t>
            </w:r>
            <w:r>
              <w:t>from the Center’s guidance and support and</w:t>
            </w:r>
            <w:r w:rsidRPr="00284BAA">
              <w:t xml:space="preserve"> include</w:t>
            </w:r>
            <w:r>
              <w:t>d</w:t>
            </w:r>
            <w:r w:rsidRPr="00284BAA">
              <w:t xml:space="preserve"> data </w:t>
            </w:r>
            <w:r>
              <w:t xml:space="preserve">and </w:t>
            </w:r>
            <w:r w:rsidRPr="00284BAA">
              <w:t xml:space="preserve">examples of how </w:t>
            </w:r>
            <w:r>
              <w:t>the RAs have</w:t>
            </w:r>
            <w:r w:rsidRPr="00284BAA">
              <w:t xml:space="preserve"> used what they have learned </w:t>
            </w:r>
            <w:r>
              <w:t>from the Center</w:t>
            </w:r>
            <w:r w:rsidRPr="00284BAA">
              <w:t xml:space="preserve"> to improve their practice.</w:t>
            </w:r>
          </w:p>
        </w:tc>
        <w:tc>
          <w:tcPr>
            <w:tcW w:w="3564" w:type="dxa"/>
          </w:tcPr>
          <w:p w14:paraId="03E7CF3A" w14:textId="143D75AE" w:rsidR="00E37574" w:rsidRPr="00570960" w:rsidRDefault="00E37574" w:rsidP="0025386B">
            <w:pPr>
              <w:rPr>
                <w:rFonts w:cs="Arial"/>
              </w:rPr>
            </w:pPr>
            <w:r>
              <w:rPr>
                <w:bCs/>
              </w:rPr>
              <w:t>The</w:t>
            </w:r>
            <w:r w:rsidRPr="00FB6BA5">
              <w:rPr>
                <w:bCs/>
              </w:rPr>
              <w:t xml:space="preserve"> </w:t>
            </w:r>
            <w:r>
              <w:rPr>
                <w:bCs/>
              </w:rPr>
              <w:t>Center</w:t>
            </w:r>
            <w:r w:rsidRPr="00FB6BA5">
              <w:rPr>
                <w:bCs/>
              </w:rPr>
              <w:t xml:space="preserve"> </w:t>
            </w:r>
            <w:r>
              <w:rPr>
                <w:bCs/>
              </w:rPr>
              <w:t>adequately explained h</w:t>
            </w:r>
            <w:r w:rsidRPr="00284BAA">
              <w:t xml:space="preserve">ow </w:t>
            </w:r>
            <w:r>
              <w:t xml:space="preserve">the </w:t>
            </w:r>
            <w:r w:rsidR="001547C2">
              <w:rPr>
                <w:bCs/>
              </w:rPr>
              <w:t>RAs</w:t>
            </w:r>
            <w:r w:rsidR="007F1FD6">
              <w:rPr>
                <w:bCs/>
              </w:rPr>
              <w:t xml:space="preserve"> </w:t>
            </w:r>
            <w:r w:rsidRPr="00284BAA">
              <w:t xml:space="preserve">benefited </w:t>
            </w:r>
            <w:r>
              <w:t>from the Center’s guidance and support and</w:t>
            </w:r>
            <w:r w:rsidRPr="00284BAA">
              <w:t xml:space="preserve"> include</w:t>
            </w:r>
            <w:r>
              <w:t>d</w:t>
            </w:r>
            <w:r w:rsidRPr="00284BAA">
              <w:t xml:space="preserve"> data </w:t>
            </w:r>
            <w:r>
              <w:t xml:space="preserve">and </w:t>
            </w:r>
            <w:r w:rsidRPr="00284BAA">
              <w:t xml:space="preserve">examples of how </w:t>
            </w:r>
            <w:r>
              <w:t>the RAs have</w:t>
            </w:r>
            <w:r w:rsidRPr="00284BAA">
              <w:t xml:space="preserve"> used what they have learned </w:t>
            </w:r>
            <w:r>
              <w:t>from the Center</w:t>
            </w:r>
            <w:r w:rsidRPr="00284BAA">
              <w:t xml:space="preserve"> to improve their practice.</w:t>
            </w:r>
          </w:p>
        </w:tc>
        <w:tc>
          <w:tcPr>
            <w:tcW w:w="3564" w:type="dxa"/>
          </w:tcPr>
          <w:p w14:paraId="6F0586E9" w14:textId="48263DE7" w:rsidR="00E37574" w:rsidRPr="00570960" w:rsidRDefault="00E37574" w:rsidP="0025386B">
            <w:pPr>
              <w:rPr>
                <w:rFonts w:cs="Arial"/>
              </w:rPr>
            </w:pPr>
            <w:r>
              <w:rPr>
                <w:bCs/>
              </w:rPr>
              <w:t>The</w:t>
            </w:r>
            <w:r w:rsidRPr="00FB6BA5">
              <w:rPr>
                <w:bCs/>
              </w:rPr>
              <w:t xml:space="preserve"> </w:t>
            </w:r>
            <w:r>
              <w:rPr>
                <w:bCs/>
              </w:rPr>
              <w:t>Center</w:t>
            </w:r>
            <w:r w:rsidRPr="00FB6BA5">
              <w:rPr>
                <w:bCs/>
              </w:rPr>
              <w:t xml:space="preserve"> </w:t>
            </w:r>
            <w:r>
              <w:rPr>
                <w:bCs/>
              </w:rPr>
              <w:t>minimally explained h</w:t>
            </w:r>
            <w:r w:rsidRPr="00284BAA">
              <w:t xml:space="preserve">ow </w:t>
            </w:r>
            <w:r>
              <w:t xml:space="preserve">the </w:t>
            </w:r>
            <w:r w:rsidR="001547C2">
              <w:rPr>
                <w:bCs/>
              </w:rPr>
              <w:t>RAs</w:t>
            </w:r>
            <w:r w:rsidR="007F1FD6">
              <w:rPr>
                <w:bCs/>
              </w:rPr>
              <w:t xml:space="preserve"> </w:t>
            </w:r>
            <w:r w:rsidRPr="00284BAA">
              <w:t xml:space="preserve">benefited </w:t>
            </w:r>
            <w:r>
              <w:t>from the Center’s guidance and support and</w:t>
            </w:r>
            <w:r w:rsidRPr="00284BAA">
              <w:t xml:space="preserve"> include</w:t>
            </w:r>
            <w:r>
              <w:t>d</w:t>
            </w:r>
            <w:r w:rsidRPr="00284BAA">
              <w:t xml:space="preserve"> data </w:t>
            </w:r>
            <w:r>
              <w:t xml:space="preserve">and </w:t>
            </w:r>
            <w:r w:rsidRPr="00284BAA">
              <w:t xml:space="preserve">examples of how </w:t>
            </w:r>
            <w:r>
              <w:t>the RAs have</w:t>
            </w:r>
            <w:r w:rsidRPr="00284BAA">
              <w:t xml:space="preserve"> used what they have learned </w:t>
            </w:r>
            <w:r>
              <w:t>from the Center</w:t>
            </w:r>
            <w:r w:rsidRPr="00284BAA">
              <w:t xml:space="preserve"> to improve their practice.</w:t>
            </w:r>
          </w:p>
        </w:tc>
      </w:tr>
      <w:tr w:rsidR="00E37574" w:rsidRPr="00570960" w14:paraId="0DC76AE1" w14:textId="77777777" w:rsidTr="00421693">
        <w:trPr>
          <w:cantSplit/>
          <w:trHeight w:val="1160"/>
        </w:trPr>
        <w:tc>
          <w:tcPr>
            <w:tcW w:w="3564" w:type="dxa"/>
          </w:tcPr>
          <w:p w14:paraId="7BE50451" w14:textId="4EC0535C" w:rsidR="00E37574" w:rsidRPr="00A378E5" w:rsidRDefault="00E37574" w:rsidP="0025386B">
            <w:pPr>
              <w:rPr>
                <w:bCs/>
              </w:rPr>
            </w:pPr>
            <w:r w:rsidRPr="00570960">
              <w:rPr>
                <w:rFonts w:cs="Arial"/>
              </w:rPr>
              <w:t xml:space="preserve">The </w:t>
            </w:r>
            <w:r>
              <w:rPr>
                <w:rFonts w:cs="Arial"/>
              </w:rPr>
              <w:t xml:space="preserve">Center </w:t>
            </w:r>
            <w:r>
              <w:rPr>
                <w:bCs/>
              </w:rPr>
              <w:t xml:space="preserve">provided a complete and clear explanation about </w:t>
            </w:r>
            <w:r w:rsidRPr="00284BAA">
              <w:rPr>
                <w:bCs/>
              </w:rPr>
              <w:t xml:space="preserve">what </w:t>
            </w:r>
            <w:r>
              <w:rPr>
                <w:bCs/>
              </w:rPr>
              <w:t>they have</w:t>
            </w:r>
            <w:r w:rsidRPr="00284BAA">
              <w:rPr>
                <w:bCs/>
              </w:rPr>
              <w:t xml:space="preserve"> learned about the budget and staffing </w:t>
            </w:r>
            <w:r>
              <w:rPr>
                <w:bCs/>
              </w:rPr>
              <w:t xml:space="preserve">required to </w:t>
            </w:r>
            <w:r w:rsidRPr="00284BAA">
              <w:rPr>
                <w:bCs/>
              </w:rPr>
              <w:t xml:space="preserve">operate a robust </w:t>
            </w:r>
            <w:r>
              <w:rPr>
                <w:bCs/>
              </w:rPr>
              <w:t xml:space="preserve">Center and provided a complete and clear explanation about </w:t>
            </w:r>
            <w:r w:rsidRPr="00284BAA">
              <w:rPr>
                <w:bCs/>
              </w:rPr>
              <w:t xml:space="preserve">how </w:t>
            </w:r>
            <w:r>
              <w:rPr>
                <w:bCs/>
              </w:rPr>
              <w:t>they would</w:t>
            </w:r>
            <w:r w:rsidRPr="00284BAA">
              <w:rPr>
                <w:bCs/>
              </w:rPr>
              <w:t xml:space="preserve"> modify </w:t>
            </w:r>
            <w:r w:rsidR="00EA412C">
              <w:rPr>
                <w:bCs/>
              </w:rPr>
              <w:t>their</w:t>
            </w:r>
            <w:r w:rsidRPr="00284BAA">
              <w:rPr>
                <w:bCs/>
              </w:rPr>
              <w:t xml:space="preserve"> budget, if needed, to best support </w:t>
            </w:r>
            <w:r>
              <w:rPr>
                <w:bCs/>
              </w:rPr>
              <w:t>the Center’s</w:t>
            </w:r>
            <w:r w:rsidRPr="00284BAA">
              <w:rPr>
                <w:bCs/>
              </w:rPr>
              <w:t xml:space="preserve"> work in Cohort 2</w:t>
            </w:r>
            <w:r>
              <w:rPr>
                <w:bCs/>
              </w:rPr>
              <w:t>.</w:t>
            </w:r>
          </w:p>
        </w:tc>
        <w:tc>
          <w:tcPr>
            <w:tcW w:w="3564" w:type="dxa"/>
          </w:tcPr>
          <w:p w14:paraId="054E0C77" w14:textId="33ADC227" w:rsidR="00E37574" w:rsidRPr="00A378E5" w:rsidRDefault="00E37574" w:rsidP="0025386B">
            <w:pPr>
              <w:rPr>
                <w:bCs/>
              </w:rPr>
            </w:pPr>
            <w:r w:rsidRPr="00570960">
              <w:rPr>
                <w:rFonts w:cs="Arial"/>
              </w:rPr>
              <w:t xml:space="preserve">The </w:t>
            </w:r>
            <w:r>
              <w:rPr>
                <w:rFonts w:cs="Arial"/>
              </w:rPr>
              <w:t xml:space="preserve">Center </w:t>
            </w:r>
            <w:r>
              <w:rPr>
                <w:bCs/>
              </w:rPr>
              <w:t xml:space="preserve">provided a strong explanation about </w:t>
            </w:r>
            <w:r w:rsidRPr="00284BAA">
              <w:rPr>
                <w:bCs/>
              </w:rPr>
              <w:t xml:space="preserve">what </w:t>
            </w:r>
            <w:r>
              <w:rPr>
                <w:bCs/>
              </w:rPr>
              <w:t>they have</w:t>
            </w:r>
            <w:r w:rsidRPr="00284BAA">
              <w:rPr>
                <w:bCs/>
              </w:rPr>
              <w:t xml:space="preserve"> learned about the budget and staffing </w:t>
            </w:r>
            <w:r>
              <w:rPr>
                <w:bCs/>
              </w:rPr>
              <w:t xml:space="preserve">required to </w:t>
            </w:r>
            <w:r w:rsidRPr="00284BAA">
              <w:rPr>
                <w:bCs/>
              </w:rPr>
              <w:t xml:space="preserve">operate a robust </w:t>
            </w:r>
            <w:r>
              <w:rPr>
                <w:bCs/>
              </w:rPr>
              <w:t xml:space="preserve">Center and provided a </w:t>
            </w:r>
            <w:r w:rsidR="002A7F75">
              <w:rPr>
                <w:bCs/>
              </w:rPr>
              <w:t>strong</w:t>
            </w:r>
            <w:r>
              <w:rPr>
                <w:bCs/>
              </w:rPr>
              <w:t xml:space="preserve"> explanation about </w:t>
            </w:r>
            <w:r w:rsidRPr="00284BAA">
              <w:rPr>
                <w:bCs/>
              </w:rPr>
              <w:t xml:space="preserve">how </w:t>
            </w:r>
            <w:r>
              <w:rPr>
                <w:bCs/>
              </w:rPr>
              <w:t>they would</w:t>
            </w:r>
            <w:r w:rsidRPr="00284BAA">
              <w:rPr>
                <w:bCs/>
              </w:rPr>
              <w:t xml:space="preserve"> modify </w:t>
            </w:r>
            <w:r w:rsidR="00EA412C">
              <w:rPr>
                <w:bCs/>
              </w:rPr>
              <w:t>their</w:t>
            </w:r>
            <w:r w:rsidRPr="00284BAA">
              <w:rPr>
                <w:bCs/>
              </w:rPr>
              <w:t xml:space="preserve"> budget, if needed, to best support </w:t>
            </w:r>
            <w:r>
              <w:rPr>
                <w:bCs/>
              </w:rPr>
              <w:t>the Center’s</w:t>
            </w:r>
            <w:r w:rsidRPr="00284BAA">
              <w:rPr>
                <w:bCs/>
              </w:rPr>
              <w:t xml:space="preserve"> work in Cohort 2</w:t>
            </w:r>
            <w:r>
              <w:rPr>
                <w:bCs/>
              </w:rPr>
              <w:t>.</w:t>
            </w:r>
          </w:p>
        </w:tc>
        <w:tc>
          <w:tcPr>
            <w:tcW w:w="3564" w:type="dxa"/>
          </w:tcPr>
          <w:p w14:paraId="37D844DA" w14:textId="55AD1196" w:rsidR="00E37574" w:rsidRPr="00A378E5" w:rsidRDefault="00E37574" w:rsidP="0025386B">
            <w:pPr>
              <w:rPr>
                <w:bCs/>
              </w:rPr>
            </w:pPr>
            <w:r w:rsidRPr="00570960">
              <w:rPr>
                <w:rFonts w:cs="Arial"/>
              </w:rPr>
              <w:t xml:space="preserve">The </w:t>
            </w:r>
            <w:r>
              <w:rPr>
                <w:rFonts w:cs="Arial"/>
              </w:rPr>
              <w:t>Center</w:t>
            </w:r>
            <w:r w:rsidRPr="00570960">
              <w:rPr>
                <w:rFonts w:cs="Arial"/>
              </w:rPr>
              <w:t xml:space="preserve"> </w:t>
            </w:r>
            <w:r>
              <w:rPr>
                <w:bCs/>
              </w:rPr>
              <w:t>provided an adequate explanation about</w:t>
            </w:r>
            <w:r w:rsidRPr="00EC4C6E">
              <w:rPr>
                <w:bCs/>
              </w:rPr>
              <w:t xml:space="preserve"> </w:t>
            </w:r>
            <w:r w:rsidRPr="00284BAA">
              <w:rPr>
                <w:bCs/>
              </w:rPr>
              <w:t xml:space="preserve">what </w:t>
            </w:r>
            <w:r>
              <w:rPr>
                <w:bCs/>
              </w:rPr>
              <w:t>they have</w:t>
            </w:r>
            <w:r w:rsidRPr="00284BAA">
              <w:rPr>
                <w:bCs/>
              </w:rPr>
              <w:t xml:space="preserve"> learned about the budget and staffing </w:t>
            </w:r>
            <w:r>
              <w:rPr>
                <w:bCs/>
              </w:rPr>
              <w:t xml:space="preserve">required to </w:t>
            </w:r>
            <w:r w:rsidRPr="00284BAA">
              <w:rPr>
                <w:bCs/>
              </w:rPr>
              <w:t xml:space="preserve">operate a robust </w:t>
            </w:r>
            <w:r>
              <w:rPr>
                <w:bCs/>
              </w:rPr>
              <w:t xml:space="preserve">Center and provided </w:t>
            </w:r>
            <w:r w:rsidR="002A7F75">
              <w:rPr>
                <w:bCs/>
              </w:rPr>
              <w:t>an adequate explanation</w:t>
            </w:r>
            <w:r>
              <w:rPr>
                <w:bCs/>
              </w:rPr>
              <w:t xml:space="preserve"> about </w:t>
            </w:r>
            <w:r w:rsidRPr="00284BAA">
              <w:rPr>
                <w:bCs/>
              </w:rPr>
              <w:t xml:space="preserve">how </w:t>
            </w:r>
            <w:r>
              <w:rPr>
                <w:bCs/>
              </w:rPr>
              <w:t>they would</w:t>
            </w:r>
            <w:r w:rsidRPr="00284BAA">
              <w:rPr>
                <w:bCs/>
              </w:rPr>
              <w:t xml:space="preserve"> modify </w:t>
            </w:r>
            <w:r w:rsidR="00EA412C">
              <w:rPr>
                <w:bCs/>
              </w:rPr>
              <w:t>their</w:t>
            </w:r>
            <w:r w:rsidRPr="00284BAA">
              <w:rPr>
                <w:bCs/>
              </w:rPr>
              <w:t xml:space="preserve"> budget, if needed, to best support </w:t>
            </w:r>
            <w:r>
              <w:rPr>
                <w:bCs/>
              </w:rPr>
              <w:t>the Center’s</w:t>
            </w:r>
            <w:r w:rsidRPr="00284BAA">
              <w:rPr>
                <w:bCs/>
              </w:rPr>
              <w:t xml:space="preserve"> work in Cohort 2</w:t>
            </w:r>
            <w:r>
              <w:rPr>
                <w:bCs/>
              </w:rPr>
              <w:t>.</w:t>
            </w:r>
          </w:p>
        </w:tc>
        <w:tc>
          <w:tcPr>
            <w:tcW w:w="3564" w:type="dxa"/>
          </w:tcPr>
          <w:p w14:paraId="7BDDF9DC" w14:textId="25A33082" w:rsidR="00E37574" w:rsidRPr="00A378E5" w:rsidRDefault="00E37574" w:rsidP="0025386B">
            <w:pPr>
              <w:rPr>
                <w:bCs/>
              </w:rPr>
            </w:pPr>
            <w:r w:rsidRPr="00570960">
              <w:rPr>
                <w:rFonts w:cs="Arial"/>
              </w:rPr>
              <w:t xml:space="preserve">The </w:t>
            </w:r>
            <w:r>
              <w:rPr>
                <w:rFonts w:cs="Arial"/>
              </w:rPr>
              <w:t>Center</w:t>
            </w:r>
            <w:r w:rsidRPr="00570960">
              <w:rPr>
                <w:rFonts w:cs="Arial"/>
              </w:rPr>
              <w:t xml:space="preserve"> </w:t>
            </w:r>
            <w:r>
              <w:rPr>
                <w:bCs/>
              </w:rPr>
              <w:t>minimal</w:t>
            </w:r>
            <w:r w:rsidR="004D5A47">
              <w:rPr>
                <w:bCs/>
              </w:rPr>
              <w:t xml:space="preserve"> explanation</w:t>
            </w:r>
            <w:r>
              <w:rPr>
                <w:bCs/>
              </w:rPr>
              <w:t xml:space="preserve"> about </w:t>
            </w:r>
            <w:r w:rsidRPr="00284BAA">
              <w:rPr>
                <w:bCs/>
              </w:rPr>
              <w:t xml:space="preserve">what </w:t>
            </w:r>
            <w:r>
              <w:rPr>
                <w:bCs/>
              </w:rPr>
              <w:t>they have</w:t>
            </w:r>
            <w:r w:rsidRPr="00284BAA">
              <w:rPr>
                <w:bCs/>
              </w:rPr>
              <w:t xml:space="preserve"> learned about the budget and staffing </w:t>
            </w:r>
            <w:r>
              <w:rPr>
                <w:bCs/>
              </w:rPr>
              <w:t xml:space="preserve">required to </w:t>
            </w:r>
            <w:r w:rsidRPr="00284BAA">
              <w:rPr>
                <w:bCs/>
              </w:rPr>
              <w:t xml:space="preserve">operate a robust </w:t>
            </w:r>
            <w:r>
              <w:rPr>
                <w:bCs/>
              </w:rPr>
              <w:t xml:space="preserve">Center and provided a </w:t>
            </w:r>
            <w:r w:rsidR="002A7F75">
              <w:rPr>
                <w:bCs/>
              </w:rPr>
              <w:t>minimal</w:t>
            </w:r>
            <w:r>
              <w:rPr>
                <w:bCs/>
              </w:rPr>
              <w:t xml:space="preserve"> explanation about </w:t>
            </w:r>
            <w:r w:rsidRPr="00284BAA">
              <w:rPr>
                <w:bCs/>
              </w:rPr>
              <w:t xml:space="preserve">how </w:t>
            </w:r>
            <w:r>
              <w:rPr>
                <w:bCs/>
              </w:rPr>
              <w:t>they would</w:t>
            </w:r>
            <w:r w:rsidRPr="00284BAA">
              <w:rPr>
                <w:bCs/>
              </w:rPr>
              <w:t xml:space="preserve"> modify </w:t>
            </w:r>
            <w:r w:rsidR="00EA412C">
              <w:rPr>
                <w:bCs/>
              </w:rPr>
              <w:t>their</w:t>
            </w:r>
            <w:r w:rsidRPr="00284BAA">
              <w:rPr>
                <w:bCs/>
              </w:rPr>
              <w:t xml:space="preserve"> budget, if needed, to best support </w:t>
            </w:r>
            <w:r>
              <w:rPr>
                <w:bCs/>
              </w:rPr>
              <w:t>the Center’s</w:t>
            </w:r>
            <w:r w:rsidRPr="00284BAA">
              <w:rPr>
                <w:bCs/>
              </w:rPr>
              <w:t xml:space="preserve"> work in Cohort 2</w:t>
            </w:r>
            <w:r>
              <w:rPr>
                <w:bCs/>
              </w:rPr>
              <w:t>.</w:t>
            </w:r>
          </w:p>
        </w:tc>
      </w:tr>
      <w:tr w:rsidR="00E37574" w:rsidRPr="00570960" w14:paraId="5465444B" w14:textId="77777777" w:rsidTr="00421693">
        <w:trPr>
          <w:cantSplit/>
          <w:trHeight w:val="1160"/>
        </w:trPr>
        <w:tc>
          <w:tcPr>
            <w:tcW w:w="3564" w:type="dxa"/>
          </w:tcPr>
          <w:p w14:paraId="019C5227" w14:textId="62D69720" w:rsidR="00E37574" w:rsidRPr="00570960" w:rsidRDefault="00E37574" w:rsidP="0025386B">
            <w:pPr>
              <w:rPr>
                <w:rFonts w:cs="Arial"/>
              </w:rPr>
            </w:pPr>
            <w:r w:rsidRPr="00570960">
              <w:rPr>
                <w:rFonts w:cs="Arial"/>
              </w:rPr>
              <w:lastRenderedPageBreak/>
              <w:t xml:space="preserve">The </w:t>
            </w:r>
            <w:r>
              <w:rPr>
                <w:rFonts w:cs="Arial"/>
              </w:rPr>
              <w:t>Center</w:t>
            </w:r>
            <w:r w:rsidRPr="00570960">
              <w:rPr>
                <w:rFonts w:cs="Arial"/>
              </w:rPr>
              <w:t xml:space="preserve"> has </w:t>
            </w:r>
            <w:r>
              <w:rPr>
                <w:rFonts w:cs="Arial"/>
              </w:rPr>
              <w:t xml:space="preserve">provided a clear, complete, and reasonable plan to spend out </w:t>
            </w:r>
            <w:r w:rsidR="003C12C2">
              <w:t xml:space="preserve">2022 and 2023 FY </w:t>
            </w:r>
            <w:r>
              <w:rPr>
                <w:rFonts w:cs="Arial"/>
              </w:rPr>
              <w:t>funds that will be made available in Year 1 of Cohort 2.</w:t>
            </w:r>
          </w:p>
        </w:tc>
        <w:tc>
          <w:tcPr>
            <w:tcW w:w="3564" w:type="dxa"/>
          </w:tcPr>
          <w:p w14:paraId="0D7F58F6" w14:textId="5D7083FC" w:rsidR="00E37574" w:rsidRPr="00570960" w:rsidRDefault="00E37574" w:rsidP="0025386B">
            <w:pPr>
              <w:rPr>
                <w:rFonts w:cs="Arial"/>
              </w:rPr>
            </w:pPr>
            <w:r>
              <w:rPr>
                <w:bCs/>
              </w:rPr>
              <w:t>The</w:t>
            </w:r>
            <w:r w:rsidRPr="00FB6BA5">
              <w:rPr>
                <w:bCs/>
              </w:rPr>
              <w:t xml:space="preserve"> </w:t>
            </w:r>
            <w:r>
              <w:rPr>
                <w:bCs/>
              </w:rPr>
              <w:t xml:space="preserve">Center provided a strong </w:t>
            </w:r>
            <w:r>
              <w:rPr>
                <w:rFonts w:cs="Arial"/>
              </w:rPr>
              <w:t xml:space="preserve">plan to spend out </w:t>
            </w:r>
            <w:r w:rsidR="003C12C2">
              <w:t xml:space="preserve">2022 and 2023 FY </w:t>
            </w:r>
            <w:r>
              <w:rPr>
                <w:rFonts w:cs="Arial"/>
              </w:rPr>
              <w:t>funds that will be made available in Year 1 of Cohort 2.</w:t>
            </w:r>
          </w:p>
        </w:tc>
        <w:tc>
          <w:tcPr>
            <w:tcW w:w="3564" w:type="dxa"/>
          </w:tcPr>
          <w:p w14:paraId="1C463ADC" w14:textId="408440D3" w:rsidR="00E37574" w:rsidRPr="00570960" w:rsidRDefault="00E37574" w:rsidP="0025386B">
            <w:pPr>
              <w:rPr>
                <w:rFonts w:cs="Arial"/>
              </w:rPr>
            </w:pPr>
            <w:r w:rsidRPr="00570960">
              <w:rPr>
                <w:rFonts w:cs="Arial"/>
              </w:rPr>
              <w:t xml:space="preserve">The </w:t>
            </w:r>
            <w:r>
              <w:rPr>
                <w:rFonts w:cs="Arial"/>
              </w:rPr>
              <w:t>Center</w:t>
            </w:r>
            <w:r w:rsidRPr="00570960">
              <w:rPr>
                <w:rFonts w:cs="Arial"/>
              </w:rPr>
              <w:t xml:space="preserve"> has </w:t>
            </w:r>
            <w:r>
              <w:rPr>
                <w:rFonts w:cs="Arial"/>
              </w:rPr>
              <w:t xml:space="preserve">provided an adequate plan to spend out </w:t>
            </w:r>
            <w:r w:rsidR="003C12C2">
              <w:t xml:space="preserve">2022 and 2023 FY </w:t>
            </w:r>
            <w:r>
              <w:rPr>
                <w:rFonts w:cs="Arial"/>
              </w:rPr>
              <w:t>funds that will be made available in Year 1 of Cohort 2.</w:t>
            </w:r>
          </w:p>
        </w:tc>
        <w:tc>
          <w:tcPr>
            <w:tcW w:w="3564" w:type="dxa"/>
          </w:tcPr>
          <w:p w14:paraId="15721390" w14:textId="2CB7B62C" w:rsidR="00E37574" w:rsidRPr="00570960" w:rsidRDefault="00E37574" w:rsidP="0025386B">
            <w:pPr>
              <w:rPr>
                <w:rFonts w:cs="Arial"/>
              </w:rPr>
            </w:pPr>
            <w:r w:rsidRPr="00570960">
              <w:rPr>
                <w:rFonts w:cs="Arial"/>
              </w:rPr>
              <w:t xml:space="preserve">The </w:t>
            </w:r>
            <w:r>
              <w:rPr>
                <w:rFonts w:cs="Arial"/>
              </w:rPr>
              <w:t>Center</w:t>
            </w:r>
            <w:r w:rsidRPr="00570960">
              <w:rPr>
                <w:rFonts w:cs="Arial"/>
              </w:rPr>
              <w:t xml:space="preserve"> has </w:t>
            </w:r>
            <w:r>
              <w:rPr>
                <w:rFonts w:cs="Arial"/>
              </w:rPr>
              <w:t xml:space="preserve">provided a minimal plan to spend out </w:t>
            </w:r>
            <w:r w:rsidR="003C12C2">
              <w:t xml:space="preserve">2022 and 2023 FY </w:t>
            </w:r>
            <w:r>
              <w:rPr>
                <w:rFonts w:cs="Arial"/>
              </w:rPr>
              <w:t>funds that will be made available in Year 1 of Cohort 2.</w:t>
            </w:r>
          </w:p>
        </w:tc>
      </w:tr>
    </w:tbl>
    <w:p w14:paraId="14B66DF1" w14:textId="1B5BF0E1" w:rsidR="00284BAA" w:rsidRDefault="00E37574">
      <w:r>
        <w:br w:type="page"/>
      </w:r>
    </w:p>
    <w:p w14:paraId="5BF2FFAD" w14:textId="5D0E8434" w:rsidR="00236F69" w:rsidRPr="00E37574" w:rsidRDefault="00E37574" w:rsidP="00BA1226">
      <w:pPr>
        <w:pStyle w:val="Heading2"/>
      </w:pPr>
      <w:bookmarkStart w:id="41" w:name="_Toc30069842"/>
      <w:bookmarkStart w:id="42" w:name="_Toc104968455"/>
      <w:bookmarkStart w:id="43" w:name="_Toc105571284"/>
      <w:r>
        <w:lastRenderedPageBreak/>
        <w:t xml:space="preserve">Appendix C: </w:t>
      </w:r>
      <w:r w:rsidR="00236F69" w:rsidRPr="00236F69">
        <w:t>21</w:t>
      </w:r>
      <w:r w:rsidR="00DF14E9" w:rsidRPr="00DF14E9">
        <w:rPr>
          <w:vertAlign w:val="superscript"/>
        </w:rPr>
        <w:t>st</w:t>
      </w:r>
      <w:r w:rsidR="00236F69" w:rsidRPr="00236F69">
        <w:t xml:space="preserve"> Century California School Leadership Academy</w:t>
      </w:r>
      <w:bookmarkEnd w:id="41"/>
      <w:bookmarkEnd w:id="42"/>
      <w:r w:rsidR="0025386B">
        <w:t xml:space="preserve"> </w:t>
      </w:r>
      <w:bookmarkStart w:id="44" w:name="_Toc104968456"/>
      <w:r w:rsidR="00236F69" w:rsidRPr="00E37574">
        <w:t>Scoring Rubric for</w:t>
      </w:r>
      <w:r w:rsidR="00543FFE">
        <w:t xml:space="preserve"> </w:t>
      </w:r>
      <w:r w:rsidR="00236F69" w:rsidRPr="00E37574">
        <w:t>Cohort 2 Metrics</w:t>
      </w:r>
      <w:r w:rsidR="00C13E9B">
        <w:t>:</w:t>
      </w:r>
      <w:r w:rsidR="0025386B">
        <w:t xml:space="preserve"> </w:t>
      </w:r>
      <w:r w:rsidR="00236F69" w:rsidRPr="00E37574">
        <w:t>Regional Academies</w:t>
      </w:r>
      <w:bookmarkEnd w:id="43"/>
      <w:bookmarkEnd w:id="44"/>
    </w:p>
    <w:p w14:paraId="567F2414" w14:textId="3B81BBAF" w:rsidR="00284BAA" w:rsidRPr="00284BAA" w:rsidRDefault="00284BAA" w:rsidP="00035D1D">
      <w:pPr>
        <w:numPr>
          <w:ilvl w:val="1"/>
          <w:numId w:val="4"/>
        </w:numPr>
        <w:shd w:val="clear" w:color="auto" w:fill="FFFFFF"/>
        <w:spacing w:after="240"/>
        <w:rPr>
          <w:rFonts w:cs="Arial"/>
          <w:color w:val="201F1E"/>
          <w:lang w:val="en"/>
        </w:rPr>
      </w:pPr>
      <w:r>
        <w:rPr>
          <w:rFonts w:cs="Arial"/>
          <w:color w:val="201F1E"/>
          <w:shd w:val="clear" w:color="auto" w:fill="FFFFFF"/>
          <w:lang w:val="en"/>
        </w:rPr>
        <w:t xml:space="preserve">Employ at least one full time </w:t>
      </w:r>
      <w:r w:rsidR="004D5A47">
        <w:rPr>
          <w:rFonts w:cs="Arial"/>
          <w:color w:val="201F1E"/>
          <w:shd w:val="clear" w:color="auto" w:fill="FFFFFF"/>
          <w:lang w:val="en"/>
        </w:rPr>
        <w:t>project lead</w:t>
      </w:r>
      <w:r>
        <w:rPr>
          <w:rFonts w:cs="Arial"/>
          <w:color w:val="201F1E"/>
          <w:shd w:val="clear" w:color="auto" w:fill="FFFFFF"/>
          <w:lang w:val="en"/>
        </w:rPr>
        <w:t xml:space="preserve"> exclusively dedicated to the 21CSLA program and appropriate levels of staff, full-time equivalent, and/or contracted support </w:t>
      </w:r>
      <w:r w:rsidRPr="00BA2380">
        <w:rPr>
          <w:rFonts w:cs="Arial"/>
          <w:color w:val="201F1E"/>
          <w:shd w:val="clear" w:color="auto" w:fill="FFFFFF"/>
          <w:lang w:val="en"/>
        </w:rPr>
        <w:t xml:space="preserve">to ensure full participation in all 21CSLA program activities offered by the </w:t>
      </w:r>
      <w:r>
        <w:rPr>
          <w:rFonts w:cs="Arial"/>
          <w:color w:val="201F1E"/>
          <w:shd w:val="clear" w:color="auto" w:fill="FFFFFF"/>
          <w:lang w:val="en"/>
        </w:rPr>
        <w:t xml:space="preserve">21CSLA </w:t>
      </w:r>
      <w:r w:rsidRPr="00BA2380">
        <w:rPr>
          <w:rFonts w:cs="Arial"/>
          <w:color w:val="201F1E"/>
          <w:shd w:val="clear" w:color="auto" w:fill="FFFFFF"/>
          <w:lang w:val="en"/>
        </w:rPr>
        <w:t>Center</w:t>
      </w:r>
      <w:r w:rsidR="004D5A47">
        <w:rPr>
          <w:rFonts w:cs="Arial"/>
          <w:color w:val="201F1E"/>
          <w:shd w:val="clear" w:color="auto" w:fill="FFFFFF"/>
          <w:lang w:val="en"/>
        </w:rPr>
        <w:t>.</w:t>
      </w:r>
      <w:r w:rsidRPr="00BA2380">
        <w:rPr>
          <w:rFonts w:cs="Arial"/>
          <w:color w:val="201F1E"/>
          <w:shd w:val="clear" w:color="auto" w:fill="FFFFFF"/>
          <w:lang w:val="en"/>
        </w:rPr>
        <w:t xml:space="preserve"> </w:t>
      </w:r>
    </w:p>
    <w:p w14:paraId="6697F3EC" w14:textId="0088AC1E" w:rsidR="00284BAA" w:rsidRPr="00BA2380" w:rsidRDefault="00284BAA" w:rsidP="00284BAA">
      <w:pPr>
        <w:numPr>
          <w:ilvl w:val="1"/>
          <w:numId w:val="4"/>
        </w:numPr>
        <w:shd w:val="clear" w:color="auto" w:fill="FFFFFF"/>
        <w:spacing w:after="240"/>
        <w:rPr>
          <w:rFonts w:cs="Arial"/>
          <w:color w:val="201F1E"/>
          <w:lang w:val="en"/>
        </w:rPr>
      </w:pPr>
      <w:r>
        <w:rPr>
          <w:rFonts w:cs="Arial"/>
          <w:color w:val="201F1E"/>
          <w:shd w:val="clear" w:color="auto" w:fill="FFFFFF"/>
          <w:lang w:val="en"/>
        </w:rPr>
        <w:t>E</w:t>
      </w:r>
      <w:r w:rsidRPr="00BA2380">
        <w:rPr>
          <w:rFonts w:cs="Arial"/>
          <w:color w:val="201F1E"/>
          <w:shd w:val="clear" w:color="auto" w:fill="FFFFFF"/>
          <w:lang w:val="en"/>
        </w:rPr>
        <w:t xml:space="preserve">nsure full implementation of Cohort 2 deliverables </w:t>
      </w:r>
      <w:r w:rsidRPr="00BA2380">
        <w:rPr>
          <w:rFonts w:cs="Arial"/>
          <w:color w:val="000000"/>
          <w:shd w:val="clear" w:color="auto" w:fill="FFFFFF"/>
          <w:lang w:val="en"/>
        </w:rPr>
        <w:t>in</w:t>
      </w:r>
      <w:r w:rsidRPr="00BA2380">
        <w:rPr>
          <w:rFonts w:cs="Arial"/>
          <w:color w:val="201F1E"/>
          <w:shd w:val="clear" w:color="auto" w:fill="FFFFFF"/>
          <w:lang w:val="en"/>
        </w:rPr>
        <w:t>cluding Universal Transitional Kindergarten and others specified by the CDE, CCEE</w:t>
      </w:r>
      <w:r>
        <w:rPr>
          <w:rFonts w:cs="Arial"/>
          <w:color w:val="201F1E"/>
          <w:shd w:val="clear" w:color="auto" w:fill="FFFFFF"/>
          <w:lang w:val="en"/>
        </w:rPr>
        <w:t>, and SBE.</w:t>
      </w:r>
    </w:p>
    <w:p w14:paraId="6E758AB6" w14:textId="2AA269A8" w:rsidR="00284BAA" w:rsidRPr="00BA2380" w:rsidRDefault="00284BAA" w:rsidP="00284BAA">
      <w:pPr>
        <w:numPr>
          <w:ilvl w:val="1"/>
          <w:numId w:val="4"/>
        </w:numPr>
        <w:shd w:val="clear" w:color="auto" w:fill="FFFFFF"/>
        <w:spacing w:after="240"/>
        <w:rPr>
          <w:rFonts w:cs="Arial"/>
          <w:color w:val="201F1E"/>
          <w:lang w:val="en"/>
        </w:rPr>
      </w:pPr>
      <w:r w:rsidRPr="00BA2380">
        <w:rPr>
          <w:rFonts w:cs="Arial"/>
          <w:color w:val="201F1E"/>
          <w:shd w:val="clear" w:color="auto" w:fill="FFFFFF"/>
          <w:lang w:val="en"/>
        </w:rPr>
        <w:t xml:space="preserve">Ensure regular meeting contact </w:t>
      </w:r>
      <w:r w:rsidRPr="00284BAA">
        <w:rPr>
          <w:rFonts w:cs="Arial"/>
          <w:color w:val="201F1E"/>
          <w:shd w:val="clear" w:color="auto" w:fill="FFFFFF"/>
          <w:lang w:val="en"/>
        </w:rPr>
        <w:t>through a combination of virtual and in person connections</w:t>
      </w:r>
      <w:r>
        <w:rPr>
          <w:rFonts w:cs="Arial"/>
          <w:color w:val="201F1E"/>
          <w:shd w:val="clear" w:color="auto" w:fill="FFFFFF"/>
          <w:lang w:val="en"/>
        </w:rPr>
        <w:t xml:space="preserve"> </w:t>
      </w:r>
      <w:r w:rsidRPr="00BA2380">
        <w:rPr>
          <w:rFonts w:cs="Arial"/>
          <w:color w:val="201F1E"/>
          <w:shd w:val="clear" w:color="auto" w:fill="FFFFFF"/>
          <w:lang w:val="en"/>
        </w:rPr>
        <w:t>within the Geo Region to inform, improve, and expand program services a</w:t>
      </w:r>
      <w:r>
        <w:rPr>
          <w:rFonts w:cs="Arial"/>
          <w:color w:val="201F1E"/>
          <w:shd w:val="clear" w:color="auto" w:fill="FFFFFF"/>
          <w:lang w:val="en"/>
        </w:rPr>
        <w:t>cross</w:t>
      </w:r>
      <w:r w:rsidRPr="00BA2380">
        <w:rPr>
          <w:rFonts w:cs="Arial"/>
          <w:color w:val="201F1E"/>
          <w:shd w:val="clear" w:color="auto" w:fill="FFFFFF"/>
          <w:lang w:val="en"/>
        </w:rPr>
        <w:t xml:space="preserve"> the Geo Region, </w:t>
      </w:r>
      <w:r>
        <w:rPr>
          <w:rFonts w:cs="Arial"/>
          <w:color w:val="201F1E"/>
          <w:shd w:val="clear" w:color="auto" w:fill="FFFFFF"/>
          <w:lang w:val="en"/>
        </w:rPr>
        <w:t>c</w:t>
      </w:r>
      <w:r w:rsidRPr="00BA2380">
        <w:rPr>
          <w:rFonts w:cs="Arial"/>
          <w:color w:val="201F1E"/>
          <w:shd w:val="clear" w:color="auto" w:fill="FFFFFF"/>
          <w:lang w:val="en"/>
        </w:rPr>
        <w:t xml:space="preserve">ounty, </w:t>
      </w:r>
      <w:r>
        <w:rPr>
          <w:rFonts w:cs="Arial"/>
          <w:color w:val="201F1E"/>
          <w:shd w:val="clear" w:color="auto" w:fill="FFFFFF"/>
          <w:lang w:val="en"/>
        </w:rPr>
        <w:t>d</w:t>
      </w:r>
      <w:r w:rsidRPr="00BA2380">
        <w:rPr>
          <w:rFonts w:cs="Arial"/>
          <w:color w:val="201F1E"/>
          <w:shd w:val="clear" w:color="auto" w:fill="FFFFFF"/>
          <w:lang w:val="en"/>
        </w:rPr>
        <w:t>istrict, and school levels and</w:t>
      </w:r>
      <w:r w:rsidR="001B0997">
        <w:rPr>
          <w:rFonts w:cs="Arial"/>
          <w:color w:val="201F1E"/>
          <w:shd w:val="clear" w:color="auto" w:fill="FFFFFF"/>
          <w:lang w:val="en"/>
        </w:rPr>
        <w:t xml:space="preserve"> </w:t>
      </w:r>
      <w:r w:rsidRPr="00BA2380">
        <w:rPr>
          <w:rFonts w:cs="Arial"/>
          <w:color w:val="201F1E"/>
          <w:shd w:val="clear" w:color="auto" w:fill="FFFFFF"/>
          <w:lang w:val="en"/>
        </w:rPr>
        <w:t xml:space="preserve">fulfill data input/reporting of those contacts as requested by the CDE, CCEE, </w:t>
      </w:r>
      <w:r>
        <w:rPr>
          <w:rFonts w:cs="Arial"/>
          <w:color w:val="201F1E"/>
          <w:shd w:val="clear" w:color="auto" w:fill="FFFFFF"/>
          <w:lang w:val="en"/>
        </w:rPr>
        <w:t xml:space="preserve">SBE </w:t>
      </w:r>
      <w:r w:rsidRPr="00BA2380">
        <w:rPr>
          <w:rFonts w:cs="Arial"/>
          <w:color w:val="201F1E"/>
          <w:shd w:val="clear" w:color="auto" w:fill="FFFFFF"/>
          <w:lang w:val="en"/>
        </w:rPr>
        <w:t>and an external evaluator.</w:t>
      </w:r>
    </w:p>
    <w:p w14:paraId="2E574A20" w14:textId="52709844" w:rsidR="00284BAA" w:rsidRPr="00BA2380" w:rsidRDefault="00284BAA" w:rsidP="00284BAA">
      <w:pPr>
        <w:pStyle w:val="ListParagraph"/>
        <w:numPr>
          <w:ilvl w:val="1"/>
          <w:numId w:val="4"/>
        </w:numPr>
        <w:spacing w:after="240"/>
        <w:rPr>
          <w:rFonts w:cs="Arial"/>
          <w:color w:val="201F1E"/>
          <w:lang w:val="en"/>
        </w:rPr>
      </w:pPr>
      <w:r w:rsidRPr="00BA2380">
        <w:rPr>
          <w:rFonts w:cs="Arial"/>
          <w:color w:val="201F1E"/>
          <w:shd w:val="clear" w:color="auto" w:fill="FFFFFF"/>
          <w:lang w:val="en"/>
        </w:rPr>
        <w:t xml:space="preserve">Ensure that service is consistently </w:t>
      </w:r>
      <w:r>
        <w:rPr>
          <w:rFonts w:cs="Arial"/>
          <w:color w:val="201F1E"/>
          <w:shd w:val="clear" w:color="auto" w:fill="FFFFFF"/>
          <w:lang w:val="en"/>
        </w:rPr>
        <w:t xml:space="preserve">responding and </w:t>
      </w:r>
      <w:r w:rsidRPr="00BA2380">
        <w:rPr>
          <w:rFonts w:cs="Arial"/>
          <w:color w:val="201F1E"/>
          <w:shd w:val="clear" w:color="auto" w:fill="FFFFFF"/>
          <w:lang w:val="en"/>
        </w:rPr>
        <w:t>expanding in scope and depth beyond current offerings and practice in alignment with</w:t>
      </w:r>
      <w:r>
        <w:rPr>
          <w:rFonts w:cs="Arial"/>
          <w:color w:val="201F1E"/>
          <w:shd w:val="clear" w:color="auto" w:fill="FFFFFF"/>
          <w:lang w:val="en"/>
        </w:rPr>
        <w:t xml:space="preserve"> California’s evolving educational environment in response to</w:t>
      </w:r>
      <w:r w:rsidRPr="00BA2380">
        <w:rPr>
          <w:rFonts w:cs="Arial"/>
          <w:color w:val="201F1E"/>
          <w:shd w:val="clear" w:color="auto" w:fill="FFFFFF"/>
          <w:lang w:val="en"/>
        </w:rPr>
        <w:t xml:space="preserve"> CDE, CCEE, </w:t>
      </w:r>
      <w:r>
        <w:rPr>
          <w:rFonts w:cs="Arial"/>
          <w:color w:val="201F1E"/>
          <w:shd w:val="clear" w:color="auto" w:fill="FFFFFF"/>
          <w:lang w:val="en"/>
        </w:rPr>
        <w:t>SBE</w:t>
      </w:r>
      <w:r w:rsidR="004D5A47">
        <w:rPr>
          <w:rFonts w:cs="Arial"/>
          <w:color w:val="201F1E"/>
          <w:shd w:val="clear" w:color="auto" w:fill="FFFFFF"/>
          <w:lang w:val="en"/>
        </w:rPr>
        <w:t>,</w:t>
      </w:r>
      <w:r>
        <w:rPr>
          <w:rFonts w:cs="Arial"/>
          <w:color w:val="201F1E"/>
          <w:shd w:val="clear" w:color="auto" w:fill="FFFFFF"/>
          <w:lang w:val="en"/>
        </w:rPr>
        <w:t xml:space="preserve"> </w:t>
      </w:r>
      <w:r w:rsidRPr="00BA2380">
        <w:rPr>
          <w:rFonts w:cs="Arial"/>
          <w:color w:val="201F1E"/>
          <w:shd w:val="clear" w:color="auto" w:fill="FFFFFF"/>
          <w:lang w:val="en"/>
        </w:rPr>
        <w:t>and Center guidance</w:t>
      </w:r>
      <w:r>
        <w:rPr>
          <w:rFonts w:cs="Arial"/>
          <w:color w:val="201F1E"/>
          <w:shd w:val="clear" w:color="auto" w:fill="FFFFFF"/>
          <w:lang w:val="en"/>
        </w:rPr>
        <w:t>.</w:t>
      </w:r>
    </w:p>
    <w:p w14:paraId="65C37794" w14:textId="1F0C1226" w:rsidR="00284BAA" w:rsidRPr="008D59F4" w:rsidRDefault="00284BAA" w:rsidP="00284BAA">
      <w:pPr>
        <w:pStyle w:val="ListParagraph"/>
        <w:numPr>
          <w:ilvl w:val="1"/>
          <w:numId w:val="4"/>
        </w:numPr>
        <w:spacing w:after="240"/>
        <w:rPr>
          <w:rFonts w:ascii="Calibri" w:hAnsi="Calibri" w:cs="Calibri"/>
          <w:sz w:val="22"/>
          <w:szCs w:val="22"/>
          <w:lang w:val="en"/>
        </w:rPr>
      </w:pPr>
      <w:r>
        <w:rPr>
          <w:rFonts w:cs="Arial"/>
          <w:color w:val="201F1E"/>
          <w:shd w:val="clear" w:color="auto" w:fill="FFFFFF"/>
          <w:lang w:val="en"/>
        </w:rPr>
        <w:t>Demonstrate commitment</w:t>
      </w:r>
      <w:r w:rsidRPr="00AA4807">
        <w:rPr>
          <w:rFonts w:cs="Arial"/>
          <w:color w:val="201F1E"/>
          <w:shd w:val="clear" w:color="auto" w:fill="FFFFFF"/>
          <w:lang w:val="en"/>
        </w:rPr>
        <w:t xml:space="preserve"> to continuous improvement practices</w:t>
      </w:r>
      <w:r w:rsidRPr="008D59F4">
        <w:rPr>
          <w:rFonts w:cs="Arial"/>
          <w:color w:val="201F1E"/>
          <w:shd w:val="clear" w:color="auto" w:fill="FFFFFF"/>
          <w:lang w:val="en"/>
        </w:rPr>
        <w:t xml:space="preserve"> </w:t>
      </w:r>
      <w:r w:rsidRPr="00AA4807">
        <w:rPr>
          <w:rFonts w:cs="Arial"/>
          <w:color w:val="201F1E"/>
          <w:shd w:val="clear" w:color="auto" w:fill="FFFFFF"/>
          <w:lang w:val="en"/>
        </w:rPr>
        <w:t>utilizing</w:t>
      </w:r>
      <w:r>
        <w:rPr>
          <w:rFonts w:cs="Arial"/>
          <w:color w:val="201F1E"/>
          <w:shd w:val="clear" w:color="auto" w:fill="FFFFFF"/>
          <w:lang w:val="en"/>
        </w:rPr>
        <w:t xml:space="preserve"> evidence including </w:t>
      </w:r>
      <w:r w:rsidRPr="00AA4807">
        <w:rPr>
          <w:rFonts w:cs="Arial"/>
          <w:color w:val="201F1E"/>
          <w:shd w:val="clear" w:color="auto" w:fill="FFFFFF"/>
          <w:lang w:val="en"/>
        </w:rPr>
        <w:t xml:space="preserve">participant feedback to ensure high quality equity-centered coaching and professional learning </w:t>
      </w:r>
      <w:r w:rsidR="005C551E">
        <w:rPr>
          <w:rFonts w:cs="Arial"/>
          <w:color w:val="201F1E"/>
          <w:shd w:val="clear" w:color="auto" w:fill="FFFFFF"/>
          <w:lang w:val="en"/>
        </w:rPr>
        <w:t>through</w:t>
      </w:r>
      <w:r w:rsidRPr="008D59F4">
        <w:rPr>
          <w:rFonts w:cs="Arial"/>
          <w:color w:val="201F1E"/>
          <w:shd w:val="clear" w:color="auto" w:fill="FFFFFF"/>
          <w:lang w:val="en"/>
        </w:rPr>
        <w:t xml:space="preserve"> a combination of </w:t>
      </w:r>
      <w:r w:rsidRPr="00284BAA">
        <w:rPr>
          <w:rFonts w:cs="Arial"/>
          <w:color w:val="201F1E"/>
          <w:shd w:val="clear" w:color="auto" w:fill="FFFFFF"/>
          <w:lang w:val="en"/>
        </w:rPr>
        <w:t>virtual and in-person connections</w:t>
      </w:r>
      <w:r w:rsidRPr="00AA4807">
        <w:rPr>
          <w:rFonts w:cs="Arial"/>
          <w:color w:val="201F1E"/>
          <w:shd w:val="clear" w:color="auto" w:fill="FFFFFF"/>
          <w:lang w:val="en"/>
        </w:rPr>
        <w:t xml:space="preserve"> as public </w:t>
      </w:r>
      <w:r w:rsidRPr="008D59F4">
        <w:rPr>
          <w:rFonts w:cs="Arial"/>
          <w:color w:val="201F1E"/>
          <w:shd w:val="clear" w:color="auto" w:fill="FFFFFF"/>
          <w:lang w:val="en"/>
        </w:rPr>
        <w:t>health guidance allows for the reintegration of in-person activities post-pandemic</w:t>
      </w:r>
      <w:r w:rsidR="004D5A47">
        <w:rPr>
          <w:rFonts w:cs="Arial"/>
          <w:color w:val="201F1E"/>
          <w:shd w:val="clear" w:color="auto" w:fill="FFFFFF"/>
          <w:lang w:val="en"/>
        </w:rPr>
        <w:t>.</w:t>
      </w:r>
    </w:p>
    <w:tbl>
      <w:tblPr>
        <w:tblStyle w:val="TableGrid2"/>
        <w:tblW w:w="14256" w:type="dxa"/>
        <w:tblInd w:w="-658" w:type="dxa"/>
        <w:tblCellMar>
          <w:top w:w="29" w:type="dxa"/>
          <w:left w:w="115" w:type="dxa"/>
          <w:bottom w:w="29" w:type="dxa"/>
          <w:right w:w="115" w:type="dxa"/>
        </w:tblCellMar>
        <w:tblLook w:val="01E0" w:firstRow="1" w:lastRow="1" w:firstColumn="1" w:lastColumn="1" w:noHBand="0" w:noVBand="0"/>
        <w:tblDescription w:val="This is a basic scoring rubric for Cohort 2 Metrics, for the Regional Academies application."/>
      </w:tblPr>
      <w:tblGrid>
        <w:gridCol w:w="3564"/>
        <w:gridCol w:w="3564"/>
        <w:gridCol w:w="3564"/>
        <w:gridCol w:w="3564"/>
      </w:tblGrid>
      <w:tr w:rsidR="00236F69" w:rsidRPr="00570960" w14:paraId="2DD45DC4" w14:textId="77777777" w:rsidTr="00421693">
        <w:trPr>
          <w:cantSplit/>
          <w:trHeight w:val="235"/>
          <w:tblHeader/>
        </w:trPr>
        <w:tc>
          <w:tcPr>
            <w:tcW w:w="3564" w:type="dxa"/>
            <w:shd w:val="clear" w:color="auto" w:fill="D0CECE" w:themeFill="background2" w:themeFillShade="E6"/>
          </w:tcPr>
          <w:p w14:paraId="001065C5" w14:textId="77777777" w:rsidR="00236F69" w:rsidRPr="00570960" w:rsidRDefault="00236F69" w:rsidP="00236F69">
            <w:pPr>
              <w:jc w:val="center"/>
              <w:rPr>
                <w:rFonts w:cs="Arial"/>
                <w:b/>
                <w:bCs/>
              </w:rPr>
            </w:pPr>
            <w:r w:rsidRPr="00570960">
              <w:rPr>
                <w:rFonts w:cs="Arial"/>
                <w:b/>
                <w:bCs/>
              </w:rPr>
              <w:lastRenderedPageBreak/>
              <w:t>OUTSTANDING (8 points)</w:t>
            </w:r>
          </w:p>
        </w:tc>
        <w:tc>
          <w:tcPr>
            <w:tcW w:w="3564" w:type="dxa"/>
            <w:shd w:val="clear" w:color="auto" w:fill="D0CECE" w:themeFill="background2" w:themeFillShade="E6"/>
          </w:tcPr>
          <w:p w14:paraId="101CF8A8" w14:textId="77777777" w:rsidR="00236F69" w:rsidRPr="00570960" w:rsidRDefault="00236F69" w:rsidP="00236F69">
            <w:pPr>
              <w:jc w:val="center"/>
              <w:rPr>
                <w:rFonts w:cs="Arial"/>
                <w:b/>
                <w:bCs/>
              </w:rPr>
            </w:pPr>
            <w:r w:rsidRPr="00570960">
              <w:rPr>
                <w:rFonts w:cs="Arial"/>
                <w:b/>
                <w:bCs/>
              </w:rPr>
              <w:t>STRONG (6 points)</w:t>
            </w:r>
          </w:p>
        </w:tc>
        <w:tc>
          <w:tcPr>
            <w:tcW w:w="3564" w:type="dxa"/>
            <w:shd w:val="clear" w:color="auto" w:fill="D0CECE" w:themeFill="background2" w:themeFillShade="E6"/>
          </w:tcPr>
          <w:p w14:paraId="427C0073" w14:textId="77777777" w:rsidR="00236F69" w:rsidRPr="00570960" w:rsidRDefault="00236F69" w:rsidP="00236F69">
            <w:pPr>
              <w:jc w:val="center"/>
              <w:rPr>
                <w:rFonts w:cs="Arial"/>
                <w:b/>
                <w:bCs/>
              </w:rPr>
            </w:pPr>
            <w:r w:rsidRPr="00570960">
              <w:rPr>
                <w:rFonts w:cs="Arial"/>
                <w:b/>
                <w:bCs/>
              </w:rPr>
              <w:t>ADEQUATE (4 points)</w:t>
            </w:r>
          </w:p>
        </w:tc>
        <w:tc>
          <w:tcPr>
            <w:tcW w:w="3564" w:type="dxa"/>
            <w:shd w:val="clear" w:color="auto" w:fill="D0CECE" w:themeFill="background2" w:themeFillShade="E6"/>
          </w:tcPr>
          <w:p w14:paraId="2A2A24D9" w14:textId="77777777" w:rsidR="00236F69" w:rsidRPr="00570960" w:rsidRDefault="00236F69" w:rsidP="00236F69">
            <w:pPr>
              <w:jc w:val="center"/>
              <w:rPr>
                <w:rFonts w:cs="Arial"/>
                <w:b/>
                <w:bCs/>
              </w:rPr>
            </w:pPr>
            <w:r w:rsidRPr="00570960">
              <w:rPr>
                <w:rFonts w:cs="Arial"/>
                <w:b/>
                <w:bCs/>
              </w:rPr>
              <w:t>MINIMAL (2–0 points)</w:t>
            </w:r>
          </w:p>
        </w:tc>
      </w:tr>
      <w:tr w:rsidR="00236F69" w:rsidRPr="00570960" w14:paraId="58C89A05" w14:textId="77777777" w:rsidTr="00421693">
        <w:trPr>
          <w:cantSplit/>
          <w:trHeight w:val="21"/>
        </w:trPr>
        <w:tc>
          <w:tcPr>
            <w:tcW w:w="3564" w:type="dxa"/>
          </w:tcPr>
          <w:p w14:paraId="65E22A6C" w14:textId="2721A380" w:rsidR="00236F69" w:rsidRPr="00570960" w:rsidRDefault="00236F69" w:rsidP="00807E59">
            <w:pPr>
              <w:rPr>
                <w:rFonts w:cs="Arial"/>
              </w:rPr>
            </w:pPr>
            <w:r w:rsidRPr="00570960">
              <w:rPr>
                <w:rFonts w:cs="Arial"/>
              </w:rPr>
              <w:t xml:space="preserve">The </w:t>
            </w:r>
            <w:r w:rsidR="001547C2">
              <w:rPr>
                <w:bCs/>
              </w:rPr>
              <w:t>RA</w:t>
            </w:r>
            <w:r w:rsidR="007F1FD6">
              <w:rPr>
                <w:bCs/>
              </w:rPr>
              <w:t xml:space="preserve"> </w:t>
            </w:r>
            <w:r w:rsidR="004D5A47">
              <w:rPr>
                <w:rFonts w:cs="Arial"/>
              </w:rPr>
              <w:t xml:space="preserve">has </w:t>
            </w:r>
            <w:r w:rsidR="004D5A47">
              <w:rPr>
                <w:rFonts w:cs="Arial"/>
                <w:color w:val="201F1E"/>
                <w:shd w:val="clear" w:color="auto" w:fill="FFFFFF"/>
                <w:lang w:val="en"/>
              </w:rPr>
              <w:t xml:space="preserve">employed more than one full time project lead and support staff exclusively dedicated to the 21CSLA program and appropriate levels of staff, full-time equivalent, and/or contracted support </w:t>
            </w:r>
            <w:r w:rsidR="004D5A47" w:rsidRPr="00BA2380">
              <w:rPr>
                <w:rFonts w:cs="Arial"/>
                <w:color w:val="201F1E"/>
                <w:shd w:val="clear" w:color="auto" w:fill="FFFFFF"/>
                <w:lang w:val="en"/>
              </w:rPr>
              <w:t xml:space="preserve">to ensure full participation in all 21CSLA program activities offered by the </w:t>
            </w:r>
            <w:r w:rsidR="004D5A47">
              <w:rPr>
                <w:rFonts w:cs="Arial"/>
                <w:color w:val="201F1E"/>
                <w:shd w:val="clear" w:color="auto" w:fill="FFFFFF"/>
                <w:lang w:val="en"/>
              </w:rPr>
              <w:t xml:space="preserve">21CSLA </w:t>
            </w:r>
            <w:r w:rsidR="004D5A47" w:rsidRPr="00BA2380">
              <w:rPr>
                <w:rFonts w:cs="Arial"/>
                <w:color w:val="201F1E"/>
                <w:shd w:val="clear" w:color="auto" w:fill="FFFFFF"/>
                <w:lang w:val="en"/>
              </w:rPr>
              <w:t>Center</w:t>
            </w:r>
            <w:r w:rsidR="004D5A47">
              <w:rPr>
                <w:rFonts w:cs="Arial"/>
                <w:color w:val="201F1E"/>
                <w:shd w:val="clear" w:color="auto" w:fill="FFFFFF"/>
                <w:lang w:val="en"/>
              </w:rPr>
              <w:t>.</w:t>
            </w:r>
          </w:p>
        </w:tc>
        <w:tc>
          <w:tcPr>
            <w:tcW w:w="3564" w:type="dxa"/>
          </w:tcPr>
          <w:p w14:paraId="171E692C" w14:textId="508A2005" w:rsidR="00236F69" w:rsidRPr="00570960" w:rsidRDefault="00236F6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 xml:space="preserve">has </w:t>
            </w:r>
            <w:r w:rsidR="004D5A47">
              <w:rPr>
                <w:rFonts w:cs="Arial"/>
                <w:color w:val="201F1E"/>
                <w:shd w:val="clear" w:color="auto" w:fill="FFFFFF"/>
                <w:lang w:val="en"/>
              </w:rPr>
              <w:t xml:space="preserve">employed one full time project lead and other support staff exclusively dedicated to the 21CSLA program and appropriate levels of staff, full-time equivalent, and/or contracted support </w:t>
            </w:r>
            <w:r w:rsidR="004D5A47" w:rsidRPr="00BA2380">
              <w:rPr>
                <w:rFonts w:cs="Arial"/>
                <w:color w:val="201F1E"/>
                <w:shd w:val="clear" w:color="auto" w:fill="FFFFFF"/>
                <w:lang w:val="en"/>
              </w:rPr>
              <w:t xml:space="preserve">to ensure full participation in all 21CSLA program activities offered by the </w:t>
            </w:r>
            <w:r w:rsidR="004D5A47">
              <w:rPr>
                <w:rFonts w:cs="Arial"/>
                <w:color w:val="201F1E"/>
                <w:shd w:val="clear" w:color="auto" w:fill="FFFFFF"/>
                <w:lang w:val="en"/>
              </w:rPr>
              <w:t xml:space="preserve">21CSLA </w:t>
            </w:r>
            <w:r w:rsidR="004D5A47" w:rsidRPr="00BA2380">
              <w:rPr>
                <w:rFonts w:cs="Arial"/>
                <w:color w:val="201F1E"/>
                <w:shd w:val="clear" w:color="auto" w:fill="FFFFFF"/>
                <w:lang w:val="en"/>
              </w:rPr>
              <w:t>Center</w:t>
            </w:r>
            <w:r w:rsidR="004D5A47">
              <w:rPr>
                <w:rFonts w:cs="Arial"/>
                <w:color w:val="201F1E"/>
                <w:shd w:val="clear" w:color="auto" w:fill="FFFFFF"/>
                <w:lang w:val="en"/>
              </w:rPr>
              <w:t>.</w:t>
            </w:r>
          </w:p>
        </w:tc>
        <w:tc>
          <w:tcPr>
            <w:tcW w:w="3564" w:type="dxa"/>
          </w:tcPr>
          <w:p w14:paraId="427C8FF3" w14:textId="5DFB3456" w:rsidR="00236F69" w:rsidRPr="00570960" w:rsidRDefault="00236F6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 xml:space="preserve">has </w:t>
            </w:r>
            <w:r w:rsidR="004D5A47">
              <w:rPr>
                <w:rFonts w:cs="Arial"/>
                <w:color w:val="201F1E"/>
                <w:shd w:val="clear" w:color="auto" w:fill="FFFFFF"/>
                <w:lang w:val="en"/>
              </w:rPr>
              <w:t xml:space="preserve">employed at least one full time project lead and </w:t>
            </w:r>
            <w:r w:rsidR="001B0997">
              <w:rPr>
                <w:rFonts w:cs="Arial"/>
                <w:color w:val="201F1E"/>
                <w:shd w:val="clear" w:color="auto" w:fill="FFFFFF"/>
                <w:lang w:val="en"/>
              </w:rPr>
              <w:t xml:space="preserve">may have employed </w:t>
            </w:r>
            <w:r w:rsidR="004D5A47">
              <w:rPr>
                <w:rFonts w:cs="Arial"/>
                <w:color w:val="201F1E"/>
                <w:shd w:val="clear" w:color="auto" w:fill="FFFFFF"/>
                <w:lang w:val="en"/>
              </w:rPr>
              <w:t xml:space="preserve">other support staff exclusively dedicated to the 21CSLA program and appropriate levels of staff, full-time equivalent, and/or contracted support </w:t>
            </w:r>
            <w:r w:rsidR="004D5A47" w:rsidRPr="00BA2380">
              <w:rPr>
                <w:rFonts w:cs="Arial"/>
                <w:color w:val="201F1E"/>
                <w:shd w:val="clear" w:color="auto" w:fill="FFFFFF"/>
                <w:lang w:val="en"/>
              </w:rPr>
              <w:t xml:space="preserve">to ensure full participation in all 21CSLA program activities offered by the </w:t>
            </w:r>
            <w:r w:rsidR="004D5A47">
              <w:rPr>
                <w:rFonts w:cs="Arial"/>
                <w:color w:val="201F1E"/>
                <w:shd w:val="clear" w:color="auto" w:fill="FFFFFF"/>
                <w:lang w:val="en"/>
              </w:rPr>
              <w:t xml:space="preserve">21CSLA </w:t>
            </w:r>
            <w:r w:rsidR="004D5A47" w:rsidRPr="00BA2380">
              <w:rPr>
                <w:rFonts w:cs="Arial"/>
                <w:color w:val="201F1E"/>
                <w:shd w:val="clear" w:color="auto" w:fill="FFFFFF"/>
                <w:lang w:val="en"/>
              </w:rPr>
              <w:t>Center</w:t>
            </w:r>
            <w:r w:rsidR="004D5A47">
              <w:rPr>
                <w:rFonts w:cs="Arial"/>
                <w:color w:val="201F1E"/>
                <w:shd w:val="clear" w:color="auto" w:fill="FFFFFF"/>
                <w:lang w:val="en"/>
              </w:rPr>
              <w:t>.</w:t>
            </w:r>
          </w:p>
        </w:tc>
        <w:tc>
          <w:tcPr>
            <w:tcW w:w="3564" w:type="dxa"/>
          </w:tcPr>
          <w:p w14:paraId="25F59101" w14:textId="09139CE4" w:rsidR="00236F69" w:rsidRPr="00570960" w:rsidRDefault="00236F6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 xml:space="preserve">has </w:t>
            </w:r>
            <w:r w:rsidR="004D5A47">
              <w:rPr>
                <w:rFonts w:cs="Arial"/>
              </w:rPr>
              <w:t xml:space="preserve">not </w:t>
            </w:r>
            <w:r w:rsidR="004D5A47">
              <w:rPr>
                <w:rFonts w:cs="Arial"/>
                <w:color w:val="201F1E"/>
                <w:shd w:val="clear" w:color="auto" w:fill="FFFFFF"/>
                <w:lang w:val="en"/>
              </w:rPr>
              <w:t xml:space="preserve">employed one full time project lead exclusively dedicated to the 21CSLA program and appropriate levels of staff, full-time equivalent, and/or contracted support </w:t>
            </w:r>
            <w:r w:rsidR="004D5A47" w:rsidRPr="00BA2380">
              <w:rPr>
                <w:rFonts w:cs="Arial"/>
                <w:color w:val="201F1E"/>
                <w:shd w:val="clear" w:color="auto" w:fill="FFFFFF"/>
                <w:lang w:val="en"/>
              </w:rPr>
              <w:t xml:space="preserve">to ensure full participation in all 21CSLA program activities offered by the </w:t>
            </w:r>
            <w:r w:rsidR="004D5A47">
              <w:rPr>
                <w:rFonts w:cs="Arial"/>
                <w:color w:val="201F1E"/>
                <w:shd w:val="clear" w:color="auto" w:fill="FFFFFF"/>
                <w:lang w:val="en"/>
              </w:rPr>
              <w:t xml:space="preserve">21CSLA </w:t>
            </w:r>
            <w:r w:rsidR="004D5A47" w:rsidRPr="00BA2380">
              <w:rPr>
                <w:rFonts w:cs="Arial"/>
                <w:color w:val="201F1E"/>
                <w:shd w:val="clear" w:color="auto" w:fill="FFFFFF"/>
                <w:lang w:val="en"/>
              </w:rPr>
              <w:t>Center</w:t>
            </w:r>
            <w:r w:rsidR="004D5A47">
              <w:rPr>
                <w:rFonts w:cs="Arial"/>
                <w:color w:val="201F1E"/>
                <w:shd w:val="clear" w:color="auto" w:fill="FFFFFF"/>
                <w:lang w:val="en"/>
              </w:rPr>
              <w:t>.</w:t>
            </w:r>
          </w:p>
        </w:tc>
      </w:tr>
      <w:tr w:rsidR="00EE6AA9" w:rsidRPr="00570960" w14:paraId="40517466" w14:textId="77777777" w:rsidTr="00421693">
        <w:trPr>
          <w:cantSplit/>
          <w:trHeight w:val="21"/>
        </w:trPr>
        <w:tc>
          <w:tcPr>
            <w:tcW w:w="3564" w:type="dxa"/>
          </w:tcPr>
          <w:p w14:paraId="1AEA4727" w14:textId="23540B70" w:rsidR="00EE6AA9" w:rsidRPr="00570960" w:rsidRDefault="00EE6AA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has consistently ensured</w:t>
            </w:r>
            <w:r w:rsidRPr="00BA2380">
              <w:rPr>
                <w:rFonts w:cs="Arial"/>
                <w:color w:val="201F1E"/>
                <w:shd w:val="clear" w:color="auto" w:fill="FFFFFF"/>
                <w:lang w:val="en"/>
              </w:rPr>
              <w:t xml:space="preserve"> full implementation of Cohort 2 deliverables </w:t>
            </w:r>
            <w:r w:rsidRPr="00BA2380">
              <w:rPr>
                <w:rFonts w:cs="Arial"/>
                <w:color w:val="000000"/>
                <w:shd w:val="clear" w:color="auto" w:fill="FFFFFF"/>
                <w:lang w:val="en"/>
              </w:rPr>
              <w:t>in</w:t>
            </w:r>
            <w:r w:rsidRPr="00BA2380">
              <w:rPr>
                <w:rFonts w:cs="Arial"/>
                <w:color w:val="201F1E"/>
                <w:shd w:val="clear" w:color="auto" w:fill="FFFFFF"/>
                <w:lang w:val="en"/>
              </w:rPr>
              <w:t>cluding Universal Transitional Kindergarten and others specified by the CDE, CCEE</w:t>
            </w:r>
            <w:r>
              <w:rPr>
                <w:rFonts w:cs="Arial"/>
                <w:color w:val="201F1E"/>
                <w:shd w:val="clear" w:color="auto" w:fill="FFFFFF"/>
                <w:lang w:val="en"/>
              </w:rPr>
              <w:t>, and SBE.</w:t>
            </w:r>
          </w:p>
        </w:tc>
        <w:tc>
          <w:tcPr>
            <w:tcW w:w="3564" w:type="dxa"/>
          </w:tcPr>
          <w:p w14:paraId="28B85094" w14:textId="54EAC4CF" w:rsidR="00EE6AA9" w:rsidRPr="00570960" w:rsidRDefault="00EE6AA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has mostly ensured</w:t>
            </w:r>
            <w:r>
              <w:rPr>
                <w:rFonts w:cs="Arial"/>
              </w:rPr>
              <w:t xml:space="preserve"> </w:t>
            </w:r>
            <w:r w:rsidRPr="00BA2380">
              <w:rPr>
                <w:rFonts w:cs="Arial"/>
                <w:color w:val="201F1E"/>
                <w:shd w:val="clear" w:color="auto" w:fill="FFFFFF"/>
                <w:lang w:val="en"/>
              </w:rPr>
              <w:t xml:space="preserve">full implementation of Cohort 2 deliverables </w:t>
            </w:r>
            <w:r w:rsidRPr="00BA2380">
              <w:rPr>
                <w:rFonts w:cs="Arial"/>
                <w:color w:val="000000"/>
                <w:shd w:val="clear" w:color="auto" w:fill="FFFFFF"/>
                <w:lang w:val="en"/>
              </w:rPr>
              <w:t>in</w:t>
            </w:r>
            <w:r w:rsidRPr="00BA2380">
              <w:rPr>
                <w:rFonts w:cs="Arial"/>
                <w:color w:val="201F1E"/>
                <w:shd w:val="clear" w:color="auto" w:fill="FFFFFF"/>
                <w:lang w:val="en"/>
              </w:rPr>
              <w:t>cluding Universal Transitional Kindergarten and others specified by the CDE, CCEE</w:t>
            </w:r>
            <w:r w:rsidR="001B0997">
              <w:rPr>
                <w:rFonts w:cs="Arial"/>
                <w:color w:val="201F1E"/>
                <w:shd w:val="clear" w:color="auto" w:fill="FFFFFF"/>
                <w:lang w:val="en"/>
              </w:rPr>
              <w:t>, and SBE.</w:t>
            </w:r>
          </w:p>
        </w:tc>
        <w:tc>
          <w:tcPr>
            <w:tcW w:w="3564" w:type="dxa"/>
          </w:tcPr>
          <w:p w14:paraId="41F7F417" w14:textId="378D9EE7" w:rsidR="00EE6AA9" w:rsidRPr="00570960" w:rsidRDefault="00EE6AA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has partially ensured</w:t>
            </w:r>
            <w:r>
              <w:rPr>
                <w:rFonts w:cs="Arial"/>
              </w:rPr>
              <w:t xml:space="preserve"> </w:t>
            </w:r>
            <w:r w:rsidRPr="00BA2380">
              <w:rPr>
                <w:rFonts w:cs="Arial"/>
                <w:color w:val="201F1E"/>
                <w:shd w:val="clear" w:color="auto" w:fill="FFFFFF"/>
                <w:lang w:val="en"/>
              </w:rPr>
              <w:t xml:space="preserve">full implementation of Cohort 2 deliverables </w:t>
            </w:r>
            <w:r w:rsidRPr="00BA2380">
              <w:rPr>
                <w:rFonts w:cs="Arial"/>
                <w:color w:val="000000"/>
                <w:shd w:val="clear" w:color="auto" w:fill="FFFFFF"/>
                <w:lang w:val="en"/>
              </w:rPr>
              <w:t>in</w:t>
            </w:r>
            <w:r w:rsidRPr="00BA2380">
              <w:rPr>
                <w:rFonts w:cs="Arial"/>
                <w:color w:val="201F1E"/>
                <w:shd w:val="clear" w:color="auto" w:fill="FFFFFF"/>
                <w:lang w:val="en"/>
              </w:rPr>
              <w:t>cluding Universal Transitional Kindergarten and others specified by the CDE, CCEE</w:t>
            </w:r>
            <w:r w:rsidR="001B0997">
              <w:rPr>
                <w:rFonts w:cs="Arial"/>
                <w:color w:val="201F1E"/>
                <w:shd w:val="clear" w:color="auto" w:fill="FFFFFF"/>
                <w:lang w:val="en"/>
              </w:rPr>
              <w:t>, and SBE</w:t>
            </w:r>
          </w:p>
        </w:tc>
        <w:tc>
          <w:tcPr>
            <w:tcW w:w="3564" w:type="dxa"/>
          </w:tcPr>
          <w:p w14:paraId="605BE447" w14:textId="11D87075" w:rsidR="00EE6AA9" w:rsidRPr="001B0997" w:rsidRDefault="00EE6AA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has not ensured</w:t>
            </w:r>
            <w:r w:rsidRPr="00BA2380">
              <w:rPr>
                <w:rFonts w:cs="Arial"/>
                <w:color w:val="201F1E"/>
                <w:shd w:val="clear" w:color="auto" w:fill="FFFFFF"/>
                <w:lang w:val="en"/>
              </w:rPr>
              <w:t xml:space="preserve"> full implementation of Cohort 2 deliverables </w:t>
            </w:r>
            <w:r w:rsidRPr="00BA2380">
              <w:rPr>
                <w:rFonts w:cs="Arial"/>
                <w:color w:val="000000"/>
                <w:shd w:val="clear" w:color="auto" w:fill="FFFFFF"/>
                <w:lang w:val="en"/>
              </w:rPr>
              <w:t>in</w:t>
            </w:r>
            <w:r w:rsidRPr="00BA2380">
              <w:rPr>
                <w:rFonts w:cs="Arial"/>
                <w:color w:val="201F1E"/>
                <w:shd w:val="clear" w:color="auto" w:fill="FFFFFF"/>
                <w:lang w:val="en"/>
              </w:rPr>
              <w:t>cluding Universal Transitional Kindergarten and others specified by the CDE, CCEE</w:t>
            </w:r>
            <w:r w:rsidR="001B0997">
              <w:rPr>
                <w:rFonts w:cs="Arial"/>
                <w:color w:val="201F1E"/>
                <w:shd w:val="clear" w:color="auto" w:fill="FFFFFF"/>
                <w:lang w:val="en"/>
              </w:rPr>
              <w:t>, and SBE.</w:t>
            </w:r>
          </w:p>
        </w:tc>
      </w:tr>
      <w:tr w:rsidR="00236F69" w:rsidRPr="00570960" w14:paraId="2DA7B741" w14:textId="77777777" w:rsidTr="00421693">
        <w:trPr>
          <w:cantSplit/>
          <w:trHeight w:val="1160"/>
        </w:trPr>
        <w:tc>
          <w:tcPr>
            <w:tcW w:w="3564" w:type="dxa"/>
          </w:tcPr>
          <w:p w14:paraId="2AA60AB2" w14:textId="0E9EDF9C" w:rsidR="00236F69" w:rsidRPr="00570960" w:rsidRDefault="00236F6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 xml:space="preserve">has consistently ensured adequate and regular meeting contact within the Geo Region to inform, improve, and expand program services at the Geo Region, </w:t>
            </w:r>
            <w:r w:rsidR="001B0997">
              <w:rPr>
                <w:rFonts w:cs="Arial"/>
              </w:rPr>
              <w:t>c</w:t>
            </w:r>
            <w:r w:rsidR="001B0997" w:rsidRPr="00570960">
              <w:rPr>
                <w:rFonts w:cs="Arial"/>
              </w:rPr>
              <w:t>ounty</w:t>
            </w:r>
            <w:r w:rsidRPr="00570960">
              <w:rPr>
                <w:rFonts w:cs="Arial"/>
              </w:rPr>
              <w:t xml:space="preserve">, </w:t>
            </w:r>
            <w:r w:rsidR="001B0997">
              <w:rPr>
                <w:rFonts w:cs="Arial"/>
              </w:rPr>
              <w:t>d</w:t>
            </w:r>
            <w:r w:rsidR="001B0997" w:rsidRPr="00570960">
              <w:rPr>
                <w:rFonts w:cs="Arial"/>
              </w:rPr>
              <w:t>istrict</w:t>
            </w:r>
            <w:r w:rsidRPr="00570960">
              <w:rPr>
                <w:rFonts w:cs="Arial"/>
              </w:rPr>
              <w:t>, and school levels and</w:t>
            </w:r>
            <w:r w:rsidR="001B0997">
              <w:rPr>
                <w:rFonts w:cs="Arial"/>
              </w:rPr>
              <w:t xml:space="preserve"> </w:t>
            </w:r>
            <w:r w:rsidRPr="00570960">
              <w:rPr>
                <w:rFonts w:cs="Arial"/>
              </w:rPr>
              <w:t>fulfill data input/reporting of those contacts as requested by the CDE, SBE, CCEE, the 21CSLA Center</w:t>
            </w:r>
            <w:r w:rsidR="001B0997">
              <w:rPr>
                <w:rFonts w:cs="Arial"/>
              </w:rPr>
              <w:t>,</w:t>
            </w:r>
            <w:r w:rsidRPr="00570960">
              <w:rPr>
                <w:rFonts w:cs="Arial"/>
              </w:rPr>
              <w:t xml:space="preserve"> and an external evaluator.</w:t>
            </w:r>
          </w:p>
        </w:tc>
        <w:tc>
          <w:tcPr>
            <w:tcW w:w="3564" w:type="dxa"/>
          </w:tcPr>
          <w:p w14:paraId="598243B0" w14:textId="7FF5181E" w:rsidR="00236F69" w:rsidRPr="00570960" w:rsidRDefault="00236F6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 xml:space="preserve">has mostly ensured adequate and regular meeting contact within the Geo Region to inform, improve, and expand program services at the Geo Region, </w:t>
            </w:r>
            <w:r w:rsidR="001B0997">
              <w:rPr>
                <w:rFonts w:cs="Arial"/>
              </w:rPr>
              <w:t>c</w:t>
            </w:r>
            <w:r w:rsidR="001B0997" w:rsidRPr="00570960">
              <w:rPr>
                <w:rFonts w:cs="Arial"/>
              </w:rPr>
              <w:t>ounty</w:t>
            </w:r>
            <w:r w:rsidRPr="00570960">
              <w:rPr>
                <w:rFonts w:cs="Arial"/>
              </w:rPr>
              <w:t xml:space="preserve">, </w:t>
            </w:r>
            <w:r w:rsidR="001B0997">
              <w:rPr>
                <w:rFonts w:cs="Arial"/>
              </w:rPr>
              <w:t>d</w:t>
            </w:r>
            <w:r w:rsidR="001B0997" w:rsidRPr="00570960">
              <w:rPr>
                <w:rFonts w:cs="Arial"/>
              </w:rPr>
              <w:t>istrict</w:t>
            </w:r>
            <w:r w:rsidRPr="00570960">
              <w:rPr>
                <w:rFonts w:cs="Arial"/>
              </w:rPr>
              <w:t>, and school levels and</w:t>
            </w:r>
            <w:r w:rsidR="007F1FD6">
              <w:rPr>
                <w:rFonts w:cs="Arial"/>
              </w:rPr>
              <w:t xml:space="preserve"> </w:t>
            </w:r>
            <w:r w:rsidR="001B0997">
              <w:rPr>
                <w:rFonts w:cs="Arial"/>
              </w:rPr>
              <w:t>fulfill</w:t>
            </w:r>
            <w:r w:rsidRPr="00570960">
              <w:rPr>
                <w:rFonts w:cs="Arial"/>
              </w:rPr>
              <w:t xml:space="preserve"> data input/reporting of those contacts as requested by the CDE, SBE, CCEE, the 21CSLA Center</w:t>
            </w:r>
            <w:r w:rsidR="001B0997">
              <w:rPr>
                <w:rFonts w:cs="Arial"/>
              </w:rPr>
              <w:t>,</w:t>
            </w:r>
            <w:r w:rsidRPr="00570960">
              <w:rPr>
                <w:rFonts w:cs="Arial"/>
              </w:rPr>
              <w:t xml:space="preserve"> and an external evaluator.</w:t>
            </w:r>
          </w:p>
        </w:tc>
        <w:tc>
          <w:tcPr>
            <w:tcW w:w="3564" w:type="dxa"/>
          </w:tcPr>
          <w:p w14:paraId="3B6A0AC9" w14:textId="78AB3CCB" w:rsidR="00236F69" w:rsidRPr="00570960" w:rsidRDefault="00236F6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has partially ensured adequate and regular meeting contact within the Geo Region to inform, improve, and expand program services at the Geo Region, County, District, and school levels and</w:t>
            </w:r>
            <w:r w:rsidR="007F1FD6">
              <w:rPr>
                <w:rFonts w:cs="Arial"/>
              </w:rPr>
              <w:t xml:space="preserve"> </w:t>
            </w:r>
            <w:r w:rsidR="001B0997">
              <w:rPr>
                <w:rFonts w:cs="Arial"/>
              </w:rPr>
              <w:t xml:space="preserve">fulfill </w:t>
            </w:r>
            <w:r w:rsidRPr="00570960">
              <w:rPr>
                <w:rFonts w:cs="Arial"/>
              </w:rPr>
              <w:t>data input/reporting of those contacts as requested by the CDE, SBE, CCEE, the 21CSLA Center</w:t>
            </w:r>
            <w:r w:rsidR="001B0997">
              <w:rPr>
                <w:rFonts w:cs="Arial"/>
              </w:rPr>
              <w:t>;</w:t>
            </w:r>
            <w:r w:rsidRPr="00570960">
              <w:rPr>
                <w:rFonts w:cs="Arial"/>
              </w:rPr>
              <w:t xml:space="preserve"> and an external evaluator.</w:t>
            </w:r>
          </w:p>
        </w:tc>
        <w:tc>
          <w:tcPr>
            <w:tcW w:w="3564" w:type="dxa"/>
          </w:tcPr>
          <w:p w14:paraId="3C94A5C1" w14:textId="5C48285D" w:rsidR="00236F69" w:rsidRPr="00570960" w:rsidRDefault="00236F6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has not ensured adequate and regular meeting contact within the Geo Region to inform, improve, and expand program services at the Geo Region, County, District, and school levels and</w:t>
            </w:r>
            <w:r w:rsidR="001B0997">
              <w:rPr>
                <w:rFonts w:cs="Arial"/>
              </w:rPr>
              <w:t xml:space="preserve"> fulfill </w:t>
            </w:r>
            <w:r w:rsidRPr="00570960">
              <w:rPr>
                <w:rFonts w:cs="Arial"/>
              </w:rPr>
              <w:t>data input/reporting of those contacts as requested by the CDE, SBE, CCEE, the 21CSLA Center</w:t>
            </w:r>
            <w:r w:rsidR="001B0997">
              <w:rPr>
                <w:rFonts w:cs="Arial"/>
              </w:rPr>
              <w:t>,</w:t>
            </w:r>
            <w:r w:rsidRPr="00570960">
              <w:rPr>
                <w:rFonts w:cs="Arial"/>
              </w:rPr>
              <w:t xml:space="preserve"> and an external evaluator.</w:t>
            </w:r>
          </w:p>
        </w:tc>
      </w:tr>
      <w:tr w:rsidR="00236F69" w:rsidRPr="00570960" w14:paraId="4EF126B1" w14:textId="77777777" w:rsidTr="00421693">
        <w:trPr>
          <w:cantSplit/>
          <w:trHeight w:val="1160"/>
        </w:trPr>
        <w:tc>
          <w:tcPr>
            <w:tcW w:w="3564" w:type="dxa"/>
          </w:tcPr>
          <w:p w14:paraId="7DBAFE03" w14:textId="574151EC" w:rsidR="00236F69" w:rsidRPr="00570960" w:rsidRDefault="00236F69" w:rsidP="00807E59">
            <w:pPr>
              <w:rPr>
                <w:rFonts w:cs="Arial"/>
              </w:rPr>
            </w:pPr>
            <w:r w:rsidRPr="00570960">
              <w:rPr>
                <w:rFonts w:cs="Arial"/>
              </w:rPr>
              <w:lastRenderedPageBreak/>
              <w:t xml:space="preserve">The </w:t>
            </w:r>
            <w:r w:rsidR="001547C2">
              <w:rPr>
                <w:bCs/>
              </w:rPr>
              <w:t>RA</w:t>
            </w:r>
            <w:r w:rsidR="007F1FD6">
              <w:rPr>
                <w:bCs/>
              </w:rPr>
              <w:t xml:space="preserve"> </w:t>
            </w:r>
            <w:r w:rsidRPr="00570960">
              <w:rPr>
                <w:rFonts w:cs="Arial"/>
              </w:rPr>
              <w:t>has consistently ensured that service is consistently responding and expanding in scope and depth beyond current offerings and practice in alignment with California’s evolving educational environment in response to CDE, SBE, CCEE, and Center guidance.</w:t>
            </w:r>
          </w:p>
        </w:tc>
        <w:tc>
          <w:tcPr>
            <w:tcW w:w="3564" w:type="dxa"/>
          </w:tcPr>
          <w:p w14:paraId="09AFAF2E" w14:textId="7FF0B847" w:rsidR="00236F69" w:rsidRPr="00570960" w:rsidRDefault="00236F6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has mostly ensured that service is consistently responding and expanding in scope and depth beyond current offerings and practice in alignment with California’s evolving educational environment in response to CDE, SBE, CCEE</w:t>
            </w:r>
            <w:r w:rsidR="001B0997">
              <w:rPr>
                <w:rFonts w:cs="Arial"/>
              </w:rPr>
              <w:t>,</w:t>
            </w:r>
            <w:r w:rsidR="004D5A47">
              <w:rPr>
                <w:rFonts w:cs="Arial"/>
              </w:rPr>
              <w:t xml:space="preserve"> </w:t>
            </w:r>
            <w:r w:rsidR="004D5A47" w:rsidRPr="00570960">
              <w:rPr>
                <w:rFonts w:cs="Arial"/>
              </w:rPr>
              <w:t>and Center guidance.</w:t>
            </w:r>
          </w:p>
        </w:tc>
        <w:tc>
          <w:tcPr>
            <w:tcW w:w="3564" w:type="dxa"/>
          </w:tcPr>
          <w:p w14:paraId="33E03561" w14:textId="50DA6B10" w:rsidR="00236F69" w:rsidRPr="00570960" w:rsidRDefault="00236F6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has partially ensured that service is consistently responding and expanding in scope and depth beyond current offerings and practice in alignment with California’s evolving educational environment in response to CDE, SBE, CCEE</w:t>
            </w:r>
            <w:r w:rsidR="001B0997">
              <w:rPr>
                <w:rFonts w:cs="Arial"/>
              </w:rPr>
              <w:t>,</w:t>
            </w:r>
            <w:r w:rsidR="004D5A47" w:rsidRPr="00570960">
              <w:rPr>
                <w:rFonts w:cs="Arial"/>
              </w:rPr>
              <w:t xml:space="preserve"> and Center guidance.</w:t>
            </w:r>
          </w:p>
        </w:tc>
        <w:tc>
          <w:tcPr>
            <w:tcW w:w="3564" w:type="dxa"/>
          </w:tcPr>
          <w:p w14:paraId="3B6C9086" w14:textId="664A149C" w:rsidR="00236F69" w:rsidRPr="00570960" w:rsidRDefault="00236F69" w:rsidP="00807E59">
            <w:pPr>
              <w:rPr>
                <w:rFonts w:cs="Arial"/>
              </w:rPr>
            </w:pPr>
            <w:r w:rsidRPr="00570960">
              <w:rPr>
                <w:rFonts w:cs="Arial"/>
              </w:rPr>
              <w:t xml:space="preserve">The </w:t>
            </w:r>
            <w:r w:rsidR="001547C2">
              <w:rPr>
                <w:bCs/>
              </w:rPr>
              <w:t>RA</w:t>
            </w:r>
            <w:r w:rsidR="007F1FD6">
              <w:rPr>
                <w:bCs/>
              </w:rPr>
              <w:t xml:space="preserve"> </w:t>
            </w:r>
            <w:r w:rsidRPr="00570960">
              <w:rPr>
                <w:rFonts w:cs="Arial"/>
              </w:rPr>
              <w:t>has not ensured that service is consistently responding and expanding in scope and depth beyond current offerings and practice in alignment with California’s evolving educational environment in response to CDE, SBE, CCEE</w:t>
            </w:r>
            <w:r w:rsidR="001B0997">
              <w:rPr>
                <w:rFonts w:cs="Arial"/>
              </w:rPr>
              <w:t>,</w:t>
            </w:r>
            <w:r w:rsidR="004D5A47" w:rsidRPr="00570960">
              <w:rPr>
                <w:rFonts w:cs="Arial"/>
              </w:rPr>
              <w:t xml:space="preserve"> and Center guidance.</w:t>
            </w:r>
          </w:p>
        </w:tc>
      </w:tr>
      <w:tr w:rsidR="00236F69" w:rsidRPr="00570960" w14:paraId="0AC11E34" w14:textId="77777777" w:rsidTr="00421693">
        <w:trPr>
          <w:cantSplit/>
          <w:trHeight w:val="21"/>
        </w:trPr>
        <w:tc>
          <w:tcPr>
            <w:tcW w:w="3564" w:type="dxa"/>
          </w:tcPr>
          <w:p w14:paraId="2F2A4B12" w14:textId="17509E3C" w:rsidR="00236F69" w:rsidRPr="00570960" w:rsidRDefault="00236F69" w:rsidP="00421693">
            <w:pPr>
              <w:spacing w:after="240"/>
              <w:rPr>
                <w:rFonts w:cs="Arial"/>
              </w:rPr>
            </w:pPr>
            <w:r w:rsidRPr="004D5A47">
              <w:rPr>
                <w:rFonts w:cs="Arial"/>
              </w:rPr>
              <w:t xml:space="preserve">The </w:t>
            </w:r>
            <w:r w:rsidR="001547C2">
              <w:rPr>
                <w:bCs/>
              </w:rPr>
              <w:t>RA</w:t>
            </w:r>
            <w:r w:rsidR="007F1FD6">
              <w:rPr>
                <w:bCs/>
              </w:rPr>
              <w:t xml:space="preserve"> </w:t>
            </w:r>
            <w:r w:rsidRPr="004D5A47">
              <w:rPr>
                <w:rFonts w:cs="Arial"/>
              </w:rPr>
              <w:t xml:space="preserve">has consistently </w:t>
            </w:r>
            <w:r w:rsidR="004D5A47" w:rsidRPr="004D5A47">
              <w:rPr>
                <w:rFonts w:cs="Arial"/>
                <w:color w:val="201F1E"/>
                <w:shd w:val="clear" w:color="auto" w:fill="FFFFFF"/>
                <w:lang w:val="en"/>
              </w:rPr>
              <w:t>demonstrat</w:t>
            </w:r>
            <w:r w:rsidR="004D5A47">
              <w:rPr>
                <w:rFonts w:cs="Arial"/>
                <w:color w:val="201F1E"/>
                <w:shd w:val="clear" w:color="auto" w:fill="FFFFFF"/>
                <w:lang w:val="en"/>
              </w:rPr>
              <w:t>ed a</w:t>
            </w:r>
            <w:r w:rsidR="004D5A47" w:rsidRPr="004D5A47">
              <w:rPr>
                <w:rFonts w:cs="Arial"/>
                <w:color w:val="201F1E"/>
                <w:shd w:val="clear" w:color="auto" w:fill="FFFFFF"/>
                <w:lang w:val="en"/>
              </w:rPr>
              <w:t xml:space="preserve"> commitment to continuous improvement practices utilizing evidence including participant feedback to ensure high quality equity-centered coaching and professional learning </w:t>
            </w:r>
            <w:r w:rsidR="005C551E">
              <w:rPr>
                <w:rFonts w:cs="Arial"/>
                <w:color w:val="201F1E"/>
                <w:shd w:val="clear" w:color="auto" w:fill="FFFFFF"/>
                <w:lang w:val="en"/>
              </w:rPr>
              <w:t>through</w:t>
            </w:r>
            <w:r w:rsidR="004D5A47" w:rsidRPr="004D5A47">
              <w:rPr>
                <w:rFonts w:cs="Arial"/>
                <w:color w:val="201F1E"/>
                <w:shd w:val="clear" w:color="auto" w:fill="FFFFFF"/>
                <w:lang w:val="en"/>
              </w:rPr>
              <w:t xml:space="preserve"> a combination of virtual and in-person connections as public health guidance allows for the reintegration of in-person activities post-pandemic. </w:t>
            </w:r>
          </w:p>
        </w:tc>
        <w:tc>
          <w:tcPr>
            <w:tcW w:w="3564" w:type="dxa"/>
          </w:tcPr>
          <w:p w14:paraId="72C454F0" w14:textId="7595CE18" w:rsidR="00236F69" w:rsidRPr="00570960" w:rsidRDefault="00236F69" w:rsidP="00421693">
            <w:pPr>
              <w:spacing w:after="240"/>
              <w:rPr>
                <w:rFonts w:cs="Arial"/>
              </w:rPr>
            </w:pPr>
            <w:r w:rsidRPr="004D5A47">
              <w:rPr>
                <w:rFonts w:cs="Arial"/>
              </w:rPr>
              <w:t xml:space="preserve">The </w:t>
            </w:r>
            <w:r w:rsidR="001547C2">
              <w:rPr>
                <w:bCs/>
              </w:rPr>
              <w:t>RA</w:t>
            </w:r>
            <w:r w:rsidR="007F1FD6">
              <w:rPr>
                <w:bCs/>
              </w:rPr>
              <w:t xml:space="preserve"> </w:t>
            </w:r>
            <w:r w:rsidRPr="004D5A47">
              <w:rPr>
                <w:rFonts w:cs="Arial"/>
              </w:rPr>
              <w:t xml:space="preserve">has somewhat </w:t>
            </w:r>
            <w:r w:rsidR="004D5A47" w:rsidRPr="004D5A47">
              <w:rPr>
                <w:rFonts w:cs="Arial"/>
                <w:color w:val="201F1E"/>
                <w:shd w:val="clear" w:color="auto" w:fill="FFFFFF"/>
                <w:lang w:val="en"/>
              </w:rPr>
              <w:t>demonstrat</w:t>
            </w:r>
            <w:r w:rsidR="004D5A47">
              <w:rPr>
                <w:rFonts w:cs="Arial"/>
                <w:color w:val="201F1E"/>
                <w:shd w:val="clear" w:color="auto" w:fill="FFFFFF"/>
                <w:lang w:val="en"/>
              </w:rPr>
              <w:t xml:space="preserve">ed a </w:t>
            </w:r>
            <w:r w:rsidR="004D5A47" w:rsidRPr="004D5A47">
              <w:rPr>
                <w:rFonts w:cs="Arial"/>
                <w:color w:val="201F1E"/>
                <w:shd w:val="clear" w:color="auto" w:fill="FFFFFF"/>
                <w:lang w:val="en"/>
              </w:rPr>
              <w:t xml:space="preserve">commitment to continuous improvement practices utilizing evidence including participant feedback to ensure high quality equity-centered coaching and professional learning </w:t>
            </w:r>
            <w:r w:rsidR="005C551E">
              <w:rPr>
                <w:rFonts w:cs="Arial"/>
                <w:color w:val="201F1E"/>
                <w:shd w:val="clear" w:color="auto" w:fill="FFFFFF"/>
                <w:lang w:val="en"/>
              </w:rPr>
              <w:t>through</w:t>
            </w:r>
            <w:r w:rsidR="004D5A47" w:rsidRPr="004D5A47">
              <w:rPr>
                <w:rFonts w:cs="Arial"/>
                <w:color w:val="201F1E"/>
                <w:shd w:val="clear" w:color="auto" w:fill="FFFFFF"/>
                <w:lang w:val="en"/>
              </w:rPr>
              <w:t xml:space="preserve"> a combination of virtual and in-person connections as public health guidance allows for the reintegration of in-person activities post-pandemic. </w:t>
            </w:r>
          </w:p>
        </w:tc>
        <w:tc>
          <w:tcPr>
            <w:tcW w:w="3564" w:type="dxa"/>
          </w:tcPr>
          <w:p w14:paraId="7780821D" w14:textId="586D0795" w:rsidR="00236F69" w:rsidRPr="00570960" w:rsidRDefault="00236F69" w:rsidP="00421693">
            <w:pPr>
              <w:spacing w:after="240"/>
              <w:rPr>
                <w:rFonts w:cs="Arial"/>
              </w:rPr>
            </w:pPr>
            <w:r w:rsidRPr="004D5A47">
              <w:rPr>
                <w:rFonts w:cs="Arial"/>
              </w:rPr>
              <w:t xml:space="preserve">The </w:t>
            </w:r>
            <w:r w:rsidR="001547C2">
              <w:rPr>
                <w:bCs/>
              </w:rPr>
              <w:t>RA</w:t>
            </w:r>
            <w:r w:rsidR="007F1FD6">
              <w:rPr>
                <w:bCs/>
              </w:rPr>
              <w:t xml:space="preserve"> </w:t>
            </w:r>
            <w:r w:rsidRPr="004D5A47">
              <w:rPr>
                <w:rFonts w:cs="Arial"/>
              </w:rPr>
              <w:t xml:space="preserve">has partially </w:t>
            </w:r>
            <w:r w:rsidR="004D5A47" w:rsidRPr="004D5A47">
              <w:rPr>
                <w:rFonts w:cs="Arial"/>
                <w:color w:val="201F1E"/>
                <w:shd w:val="clear" w:color="auto" w:fill="FFFFFF"/>
                <w:lang w:val="en"/>
              </w:rPr>
              <w:t>demonstrat</w:t>
            </w:r>
            <w:r w:rsidR="004D5A47">
              <w:rPr>
                <w:rFonts w:cs="Arial"/>
                <w:color w:val="201F1E"/>
                <w:shd w:val="clear" w:color="auto" w:fill="FFFFFF"/>
                <w:lang w:val="en"/>
              </w:rPr>
              <w:t xml:space="preserve">ed a </w:t>
            </w:r>
            <w:r w:rsidR="004D5A47" w:rsidRPr="004D5A47">
              <w:rPr>
                <w:rFonts w:cs="Arial"/>
                <w:color w:val="201F1E"/>
                <w:shd w:val="clear" w:color="auto" w:fill="FFFFFF"/>
                <w:lang w:val="en"/>
              </w:rPr>
              <w:t xml:space="preserve">commitment to continuous improvement practices utilizing evidence including participant feedback to ensure high quality equity-centered coaching and professional learning </w:t>
            </w:r>
            <w:r w:rsidR="005C551E">
              <w:rPr>
                <w:rFonts w:cs="Arial"/>
                <w:color w:val="201F1E"/>
                <w:shd w:val="clear" w:color="auto" w:fill="FFFFFF"/>
                <w:lang w:val="en"/>
              </w:rPr>
              <w:t>through</w:t>
            </w:r>
            <w:r w:rsidR="004D5A47" w:rsidRPr="004D5A47">
              <w:rPr>
                <w:rFonts w:cs="Arial"/>
                <w:color w:val="201F1E"/>
                <w:shd w:val="clear" w:color="auto" w:fill="FFFFFF"/>
                <w:lang w:val="en"/>
              </w:rPr>
              <w:t xml:space="preserve"> a combination of virtual and in-person connections as public health guidance allows for the reintegration of in-person activities post-pandemic. </w:t>
            </w:r>
          </w:p>
        </w:tc>
        <w:tc>
          <w:tcPr>
            <w:tcW w:w="3564" w:type="dxa"/>
          </w:tcPr>
          <w:p w14:paraId="345DBA4E" w14:textId="34D5A043" w:rsidR="00236F69" w:rsidRPr="00570960" w:rsidRDefault="00236F69" w:rsidP="00421693">
            <w:pPr>
              <w:spacing w:after="240"/>
              <w:rPr>
                <w:rFonts w:cs="Arial"/>
              </w:rPr>
            </w:pPr>
            <w:r w:rsidRPr="004D5A47">
              <w:rPr>
                <w:rFonts w:cs="Arial"/>
              </w:rPr>
              <w:t xml:space="preserve">The </w:t>
            </w:r>
            <w:r w:rsidR="001547C2">
              <w:rPr>
                <w:bCs/>
              </w:rPr>
              <w:t>RA</w:t>
            </w:r>
            <w:r w:rsidR="007F1FD6">
              <w:rPr>
                <w:bCs/>
              </w:rPr>
              <w:t xml:space="preserve"> </w:t>
            </w:r>
            <w:r w:rsidRPr="004D5A47">
              <w:rPr>
                <w:rFonts w:cs="Arial"/>
              </w:rPr>
              <w:t xml:space="preserve">has not </w:t>
            </w:r>
            <w:r w:rsidR="004D5A47" w:rsidRPr="004D5A47">
              <w:rPr>
                <w:rFonts w:cs="Arial"/>
                <w:color w:val="201F1E"/>
                <w:shd w:val="clear" w:color="auto" w:fill="FFFFFF"/>
                <w:lang w:val="en"/>
              </w:rPr>
              <w:t>demonstrat</w:t>
            </w:r>
            <w:r w:rsidR="004D5A47">
              <w:rPr>
                <w:rFonts w:cs="Arial"/>
                <w:color w:val="201F1E"/>
                <w:shd w:val="clear" w:color="auto" w:fill="FFFFFF"/>
                <w:lang w:val="en"/>
              </w:rPr>
              <w:t>ed</w:t>
            </w:r>
            <w:r w:rsidR="004D5A47" w:rsidRPr="004D5A47">
              <w:rPr>
                <w:rFonts w:cs="Arial"/>
                <w:color w:val="201F1E"/>
                <w:shd w:val="clear" w:color="auto" w:fill="FFFFFF"/>
                <w:lang w:val="en"/>
              </w:rPr>
              <w:t xml:space="preserve"> </w:t>
            </w:r>
            <w:r w:rsidR="004D5A47">
              <w:rPr>
                <w:rFonts w:cs="Arial"/>
                <w:color w:val="201F1E"/>
                <w:shd w:val="clear" w:color="auto" w:fill="FFFFFF"/>
                <w:lang w:val="en"/>
              </w:rPr>
              <w:t xml:space="preserve">a </w:t>
            </w:r>
            <w:r w:rsidR="004D5A47" w:rsidRPr="004D5A47">
              <w:rPr>
                <w:rFonts w:cs="Arial"/>
                <w:color w:val="201F1E"/>
                <w:shd w:val="clear" w:color="auto" w:fill="FFFFFF"/>
                <w:lang w:val="en"/>
              </w:rPr>
              <w:t xml:space="preserve">commitment to continuous improvement practices utilizing evidence including participant feedback to ensure high quality equity-centered coaching and professional learning </w:t>
            </w:r>
            <w:r w:rsidR="005C551E">
              <w:rPr>
                <w:rFonts w:cs="Arial"/>
                <w:color w:val="201F1E"/>
                <w:shd w:val="clear" w:color="auto" w:fill="FFFFFF"/>
                <w:lang w:val="en"/>
              </w:rPr>
              <w:t>through</w:t>
            </w:r>
            <w:r w:rsidR="004D5A47" w:rsidRPr="004D5A47">
              <w:rPr>
                <w:rFonts w:cs="Arial"/>
                <w:color w:val="201F1E"/>
                <w:shd w:val="clear" w:color="auto" w:fill="FFFFFF"/>
                <w:lang w:val="en"/>
              </w:rPr>
              <w:t xml:space="preserve"> a combination of virtual and in-person connections as public health guidance allows for the reintegration of in-person activities post-pandemic</w:t>
            </w:r>
          </w:p>
        </w:tc>
      </w:tr>
    </w:tbl>
    <w:p w14:paraId="2DB05887" w14:textId="2E876AF8" w:rsidR="00A6025C" w:rsidRDefault="00A6025C" w:rsidP="00BA1226">
      <w:pPr>
        <w:pStyle w:val="Heading2"/>
      </w:pPr>
    </w:p>
    <w:p w14:paraId="1C1F833D" w14:textId="77777777" w:rsidR="00A6025C" w:rsidRDefault="00A6025C">
      <w:pPr>
        <w:rPr>
          <w:rFonts w:cs="Arial"/>
          <w:b/>
          <w:sz w:val="32"/>
          <w:szCs w:val="32"/>
        </w:rPr>
      </w:pPr>
      <w:r>
        <w:br w:type="page"/>
      </w:r>
    </w:p>
    <w:p w14:paraId="094E2B76" w14:textId="1F47CEE0" w:rsidR="00E37574" w:rsidRPr="00421693" w:rsidRDefault="00E37574" w:rsidP="00BA1226">
      <w:pPr>
        <w:pStyle w:val="Heading2"/>
      </w:pPr>
      <w:bookmarkStart w:id="45" w:name="_Toc104968457"/>
      <w:bookmarkStart w:id="46" w:name="_Toc105571285"/>
      <w:r w:rsidRPr="0025386B">
        <w:lastRenderedPageBreak/>
        <w:t>Appendix D: 21</w:t>
      </w:r>
      <w:r w:rsidR="009F62C2" w:rsidRPr="009F62C2">
        <w:rPr>
          <w:vertAlign w:val="superscript"/>
        </w:rPr>
        <w:t>st</w:t>
      </w:r>
      <w:r w:rsidRPr="0025386B">
        <w:t xml:space="preserve"> Century California School Leadership Academy</w:t>
      </w:r>
      <w:bookmarkEnd w:id="45"/>
      <w:r w:rsidR="00543FFE">
        <w:t xml:space="preserve"> </w:t>
      </w:r>
      <w:bookmarkStart w:id="47" w:name="_Toc104968458"/>
      <w:r w:rsidRPr="00421693">
        <w:t>Scoring Rubric for Cohort 2 Metrics:</w:t>
      </w:r>
      <w:r w:rsidR="00543FFE">
        <w:t xml:space="preserve"> </w:t>
      </w:r>
      <w:r w:rsidRPr="00421693">
        <w:t>Center</w:t>
      </w:r>
      <w:bookmarkEnd w:id="46"/>
      <w:bookmarkEnd w:id="47"/>
    </w:p>
    <w:p w14:paraId="2E23289C" w14:textId="09755503" w:rsidR="00E37574" w:rsidRPr="00284BAA" w:rsidRDefault="00E37574" w:rsidP="00035D1D">
      <w:pPr>
        <w:numPr>
          <w:ilvl w:val="1"/>
          <w:numId w:val="4"/>
        </w:numPr>
        <w:shd w:val="clear" w:color="auto" w:fill="FFFFFF"/>
        <w:spacing w:after="240"/>
        <w:rPr>
          <w:rFonts w:cs="Arial"/>
          <w:color w:val="201F1E"/>
          <w:lang w:val="en"/>
        </w:rPr>
      </w:pPr>
      <w:r>
        <w:rPr>
          <w:rFonts w:cs="Arial"/>
          <w:color w:val="201F1E"/>
          <w:shd w:val="clear" w:color="auto" w:fill="FFFFFF"/>
          <w:lang w:val="en"/>
        </w:rPr>
        <w:t>Employ at least one full time staff member exclusively dedicated to the 21CSLA program and appropriate levels of staff, full-time equivalent, and/or contracted</w:t>
      </w:r>
      <w:r w:rsidR="00F11070">
        <w:rPr>
          <w:rFonts w:cs="Arial"/>
          <w:color w:val="201F1E"/>
          <w:shd w:val="clear" w:color="auto" w:fill="FFFFFF"/>
          <w:lang w:val="en"/>
        </w:rPr>
        <w:t xml:space="preserve"> staff</w:t>
      </w:r>
      <w:r>
        <w:rPr>
          <w:rFonts w:cs="Arial"/>
          <w:color w:val="201F1E"/>
          <w:shd w:val="clear" w:color="auto" w:fill="FFFFFF"/>
          <w:lang w:val="en"/>
        </w:rPr>
        <w:t xml:space="preserve"> </w:t>
      </w:r>
      <w:r w:rsidRPr="00BA2380">
        <w:rPr>
          <w:rFonts w:cs="Arial"/>
          <w:color w:val="201F1E"/>
          <w:shd w:val="clear" w:color="auto" w:fill="FFFFFF"/>
          <w:lang w:val="en"/>
        </w:rPr>
        <w:t xml:space="preserve">to </w:t>
      </w:r>
      <w:r>
        <w:rPr>
          <w:rFonts w:cs="Arial"/>
          <w:color w:val="201F1E"/>
          <w:shd w:val="clear" w:color="auto" w:fill="FFFFFF"/>
          <w:lang w:val="en"/>
        </w:rPr>
        <w:t>support the RAs</w:t>
      </w:r>
      <w:r w:rsidRPr="00BA2380">
        <w:rPr>
          <w:rFonts w:cs="Arial"/>
          <w:color w:val="201F1E"/>
          <w:shd w:val="clear" w:color="auto" w:fill="FFFFFF"/>
          <w:lang w:val="en"/>
        </w:rPr>
        <w:t xml:space="preserve"> full participation in all 21CSLA program activities</w:t>
      </w:r>
      <w:r>
        <w:rPr>
          <w:rFonts w:cs="Arial"/>
          <w:color w:val="201F1E"/>
          <w:shd w:val="clear" w:color="auto" w:fill="FFFFFF"/>
          <w:lang w:val="en"/>
        </w:rPr>
        <w:t>.</w:t>
      </w:r>
      <w:r w:rsidRPr="00BA2380">
        <w:rPr>
          <w:rFonts w:cs="Arial"/>
          <w:color w:val="201F1E"/>
          <w:shd w:val="clear" w:color="auto" w:fill="FFFFFF"/>
          <w:lang w:val="en"/>
        </w:rPr>
        <w:t xml:space="preserve"> </w:t>
      </w:r>
    </w:p>
    <w:p w14:paraId="15D9BC5F" w14:textId="754B0E3B" w:rsidR="00E37574" w:rsidRPr="00BA2380" w:rsidRDefault="00E37574" w:rsidP="00E37574">
      <w:pPr>
        <w:numPr>
          <w:ilvl w:val="1"/>
          <w:numId w:val="4"/>
        </w:numPr>
        <w:shd w:val="clear" w:color="auto" w:fill="FFFFFF"/>
        <w:spacing w:after="240"/>
        <w:rPr>
          <w:rFonts w:cs="Arial"/>
          <w:color w:val="201F1E"/>
          <w:lang w:val="en"/>
        </w:rPr>
      </w:pPr>
      <w:r>
        <w:rPr>
          <w:rFonts w:cs="Arial"/>
          <w:color w:val="201F1E"/>
          <w:shd w:val="clear" w:color="auto" w:fill="FFFFFF"/>
          <w:lang w:val="en"/>
        </w:rPr>
        <w:t>Develop the</w:t>
      </w:r>
      <w:r w:rsidRPr="00BA2380">
        <w:rPr>
          <w:rFonts w:cs="Arial"/>
          <w:color w:val="201F1E"/>
          <w:shd w:val="clear" w:color="auto" w:fill="FFFFFF"/>
          <w:lang w:val="en"/>
        </w:rPr>
        <w:t xml:space="preserve"> Cohort 2 deliverables </w:t>
      </w:r>
      <w:r w:rsidRPr="00BA2380">
        <w:rPr>
          <w:rFonts w:cs="Arial"/>
          <w:color w:val="000000"/>
          <w:shd w:val="clear" w:color="auto" w:fill="FFFFFF"/>
          <w:lang w:val="en"/>
        </w:rPr>
        <w:t>in</w:t>
      </w:r>
      <w:r w:rsidRPr="00BA2380">
        <w:rPr>
          <w:rFonts w:cs="Arial"/>
          <w:color w:val="201F1E"/>
          <w:shd w:val="clear" w:color="auto" w:fill="FFFFFF"/>
          <w:lang w:val="en"/>
        </w:rPr>
        <w:t xml:space="preserve">cluding Universal Transitional Kindergarten and others </w:t>
      </w:r>
      <w:r>
        <w:rPr>
          <w:rFonts w:cs="Arial"/>
          <w:color w:val="201F1E"/>
          <w:shd w:val="clear" w:color="auto" w:fill="FFFFFF"/>
          <w:lang w:val="en"/>
        </w:rPr>
        <w:t>in conjunction with</w:t>
      </w:r>
      <w:r w:rsidRPr="00BA2380">
        <w:rPr>
          <w:rFonts w:cs="Arial"/>
          <w:color w:val="201F1E"/>
          <w:shd w:val="clear" w:color="auto" w:fill="FFFFFF"/>
          <w:lang w:val="en"/>
        </w:rPr>
        <w:t xml:space="preserve"> the CDE, CCEE</w:t>
      </w:r>
      <w:r>
        <w:rPr>
          <w:rFonts w:cs="Arial"/>
          <w:color w:val="201F1E"/>
          <w:shd w:val="clear" w:color="auto" w:fill="FFFFFF"/>
          <w:lang w:val="en"/>
        </w:rPr>
        <w:t xml:space="preserve">, </w:t>
      </w:r>
      <w:r w:rsidR="005C551E">
        <w:rPr>
          <w:rFonts w:cs="Arial"/>
          <w:color w:val="201F1E"/>
          <w:shd w:val="clear" w:color="auto" w:fill="FFFFFF"/>
          <w:lang w:val="en"/>
        </w:rPr>
        <w:t xml:space="preserve">and </w:t>
      </w:r>
      <w:r>
        <w:rPr>
          <w:rFonts w:cs="Arial"/>
          <w:color w:val="201F1E"/>
          <w:shd w:val="clear" w:color="auto" w:fill="FFFFFF"/>
          <w:lang w:val="en"/>
        </w:rPr>
        <w:t>SBE</w:t>
      </w:r>
      <w:r w:rsidR="005C551E">
        <w:rPr>
          <w:rFonts w:cs="Arial"/>
          <w:color w:val="201F1E"/>
          <w:shd w:val="clear" w:color="auto" w:fill="FFFFFF"/>
          <w:lang w:val="en"/>
        </w:rPr>
        <w:t>,</w:t>
      </w:r>
      <w:r>
        <w:rPr>
          <w:rFonts w:cs="Arial"/>
          <w:color w:val="201F1E"/>
          <w:shd w:val="clear" w:color="auto" w:fill="FFFFFF"/>
          <w:lang w:val="en"/>
        </w:rPr>
        <w:t xml:space="preserve"> and in consultation with the RAs.</w:t>
      </w:r>
    </w:p>
    <w:p w14:paraId="5D1C37DD" w14:textId="5B6DEBD6" w:rsidR="00E37574" w:rsidRPr="00BA2380" w:rsidRDefault="00E37574" w:rsidP="00E37574">
      <w:pPr>
        <w:numPr>
          <w:ilvl w:val="1"/>
          <w:numId w:val="4"/>
        </w:numPr>
        <w:shd w:val="clear" w:color="auto" w:fill="FFFFFF"/>
        <w:spacing w:after="240"/>
        <w:rPr>
          <w:rFonts w:cs="Arial"/>
          <w:color w:val="201F1E"/>
          <w:lang w:val="en"/>
        </w:rPr>
      </w:pPr>
      <w:r>
        <w:rPr>
          <w:rFonts w:cs="Arial"/>
          <w:color w:val="201F1E"/>
          <w:shd w:val="clear" w:color="auto" w:fill="FFFFFF"/>
          <w:lang w:val="en"/>
        </w:rPr>
        <w:t>Coordinate</w:t>
      </w:r>
      <w:r w:rsidRPr="00BA2380">
        <w:rPr>
          <w:rFonts w:cs="Arial"/>
          <w:color w:val="201F1E"/>
          <w:shd w:val="clear" w:color="auto" w:fill="FFFFFF"/>
          <w:lang w:val="en"/>
        </w:rPr>
        <w:t xml:space="preserve"> regular meeting contact </w:t>
      </w:r>
      <w:r w:rsidRPr="00284BAA">
        <w:rPr>
          <w:rFonts w:cs="Arial"/>
          <w:color w:val="201F1E"/>
          <w:shd w:val="clear" w:color="auto" w:fill="FFFFFF"/>
          <w:lang w:val="en"/>
        </w:rPr>
        <w:t>through a combination of virtual and in person connections</w:t>
      </w:r>
      <w:r>
        <w:rPr>
          <w:rFonts w:cs="Arial"/>
          <w:color w:val="201F1E"/>
          <w:shd w:val="clear" w:color="auto" w:fill="FFFFFF"/>
          <w:lang w:val="en"/>
        </w:rPr>
        <w:t xml:space="preserve"> with the RAs</w:t>
      </w:r>
      <w:r w:rsidRPr="00BA2380">
        <w:rPr>
          <w:rFonts w:cs="Arial"/>
          <w:color w:val="201F1E"/>
          <w:shd w:val="clear" w:color="auto" w:fill="FFFFFF"/>
          <w:lang w:val="en"/>
        </w:rPr>
        <w:t xml:space="preserve"> to inform, improve, and expand program services and</w:t>
      </w:r>
      <w:r w:rsidR="001547C2">
        <w:rPr>
          <w:rFonts w:cs="Arial"/>
          <w:color w:val="201F1E"/>
          <w:shd w:val="clear" w:color="auto" w:fill="FFFFFF"/>
          <w:lang w:val="en"/>
        </w:rPr>
        <w:t xml:space="preserve"> </w:t>
      </w:r>
      <w:r>
        <w:rPr>
          <w:rFonts w:cs="Arial"/>
          <w:color w:val="201F1E"/>
          <w:shd w:val="clear" w:color="auto" w:fill="FFFFFF"/>
          <w:lang w:val="en"/>
        </w:rPr>
        <w:t xml:space="preserve">create a 21CSLA database to provide data as requested </w:t>
      </w:r>
      <w:r w:rsidRPr="00BA2380">
        <w:rPr>
          <w:rFonts w:cs="Arial"/>
          <w:color w:val="201F1E"/>
          <w:shd w:val="clear" w:color="auto" w:fill="FFFFFF"/>
          <w:lang w:val="en"/>
        </w:rPr>
        <w:t xml:space="preserve">by the CDE, CCEE, </w:t>
      </w:r>
      <w:r>
        <w:rPr>
          <w:rFonts w:cs="Arial"/>
          <w:color w:val="201F1E"/>
          <w:shd w:val="clear" w:color="auto" w:fill="FFFFFF"/>
          <w:lang w:val="en"/>
        </w:rPr>
        <w:t xml:space="preserve">SBE </w:t>
      </w:r>
      <w:r w:rsidRPr="00BA2380">
        <w:rPr>
          <w:rFonts w:cs="Arial"/>
          <w:color w:val="201F1E"/>
          <w:shd w:val="clear" w:color="auto" w:fill="FFFFFF"/>
          <w:lang w:val="en"/>
        </w:rPr>
        <w:t>and an external evaluator.</w:t>
      </w:r>
    </w:p>
    <w:p w14:paraId="1E9811B3" w14:textId="6C9B6B59" w:rsidR="00E37574" w:rsidRPr="00BA2380" w:rsidRDefault="00E37574" w:rsidP="00E37574">
      <w:pPr>
        <w:pStyle w:val="ListParagraph"/>
        <w:numPr>
          <w:ilvl w:val="1"/>
          <w:numId w:val="4"/>
        </w:numPr>
        <w:spacing w:after="240"/>
        <w:rPr>
          <w:rFonts w:cs="Arial"/>
          <w:color w:val="201F1E"/>
          <w:lang w:val="en"/>
        </w:rPr>
      </w:pPr>
      <w:r>
        <w:rPr>
          <w:rFonts w:cs="Arial"/>
          <w:color w:val="201F1E"/>
          <w:shd w:val="clear" w:color="auto" w:fill="FFFFFF"/>
          <w:lang w:val="en"/>
        </w:rPr>
        <w:t xml:space="preserve">Build the capacity of 21CSLA partners to be responsive to the field in responding and </w:t>
      </w:r>
      <w:r w:rsidRPr="00BA2380">
        <w:rPr>
          <w:rFonts w:cs="Arial"/>
          <w:color w:val="201F1E"/>
          <w:shd w:val="clear" w:color="auto" w:fill="FFFFFF"/>
          <w:lang w:val="en"/>
        </w:rPr>
        <w:t>expanding in scope and depth beyond current offerings and practice in alignment with</w:t>
      </w:r>
      <w:r>
        <w:rPr>
          <w:rFonts w:cs="Arial"/>
          <w:color w:val="201F1E"/>
          <w:shd w:val="clear" w:color="auto" w:fill="FFFFFF"/>
          <w:lang w:val="en"/>
        </w:rPr>
        <w:t xml:space="preserve"> California’s evolving educational environment in response to</w:t>
      </w:r>
      <w:r w:rsidRPr="00BA2380">
        <w:rPr>
          <w:rFonts w:cs="Arial"/>
          <w:color w:val="201F1E"/>
          <w:shd w:val="clear" w:color="auto" w:fill="FFFFFF"/>
          <w:lang w:val="en"/>
        </w:rPr>
        <w:t xml:space="preserve"> CDE, CCEE, </w:t>
      </w:r>
      <w:r>
        <w:rPr>
          <w:rFonts w:cs="Arial"/>
          <w:color w:val="201F1E"/>
          <w:shd w:val="clear" w:color="auto" w:fill="FFFFFF"/>
          <w:lang w:val="en"/>
        </w:rPr>
        <w:t xml:space="preserve">and SBE </w:t>
      </w:r>
      <w:r w:rsidRPr="00BA2380">
        <w:rPr>
          <w:rFonts w:cs="Arial"/>
          <w:color w:val="201F1E"/>
          <w:shd w:val="clear" w:color="auto" w:fill="FFFFFF"/>
          <w:lang w:val="en"/>
        </w:rPr>
        <w:t>guidance</w:t>
      </w:r>
      <w:r>
        <w:rPr>
          <w:rFonts w:cs="Arial"/>
          <w:color w:val="201F1E"/>
          <w:shd w:val="clear" w:color="auto" w:fill="FFFFFF"/>
          <w:lang w:val="en"/>
        </w:rPr>
        <w:t>.</w:t>
      </w:r>
    </w:p>
    <w:p w14:paraId="4AEBAF88" w14:textId="21721CCF" w:rsidR="00E37574" w:rsidRPr="008D59F4" w:rsidRDefault="00E37574" w:rsidP="009C1F49">
      <w:pPr>
        <w:pStyle w:val="ListParagraph"/>
        <w:numPr>
          <w:ilvl w:val="1"/>
          <w:numId w:val="4"/>
        </w:numPr>
        <w:spacing w:after="240"/>
        <w:rPr>
          <w:rFonts w:ascii="Calibri" w:hAnsi="Calibri" w:cs="Calibri"/>
          <w:sz w:val="22"/>
          <w:szCs w:val="22"/>
          <w:lang w:val="en"/>
        </w:rPr>
      </w:pPr>
      <w:r>
        <w:rPr>
          <w:rFonts w:cs="Arial"/>
          <w:color w:val="201F1E"/>
          <w:shd w:val="clear" w:color="auto" w:fill="FFFFFF"/>
          <w:lang w:val="en"/>
        </w:rPr>
        <w:t xml:space="preserve">Support the RAs to engage in </w:t>
      </w:r>
      <w:r w:rsidRPr="00AA4807">
        <w:rPr>
          <w:rFonts w:cs="Arial"/>
          <w:color w:val="201F1E"/>
          <w:shd w:val="clear" w:color="auto" w:fill="FFFFFF"/>
          <w:lang w:val="en"/>
        </w:rPr>
        <w:t>continuous improvement practices</w:t>
      </w:r>
      <w:r w:rsidRPr="008D59F4">
        <w:rPr>
          <w:rFonts w:cs="Arial"/>
          <w:color w:val="201F1E"/>
          <w:shd w:val="clear" w:color="auto" w:fill="FFFFFF"/>
          <w:lang w:val="en"/>
        </w:rPr>
        <w:t xml:space="preserve"> </w:t>
      </w:r>
      <w:r w:rsidRPr="00AA4807">
        <w:rPr>
          <w:rFonts w:cs="Arial"/>
          <w:color w:val="201F1E"/>
          <w:shd w:val="clear" w:color="auto" w:fill="FFFFFF"/>
          <w:lang w:val="en"/>
        </w:rPr>
        <w:t xml:space="preserve">to ensure high quality equity-centered coaching and professional learning </w:t>
      </w:r>
      <w:r w:rsidR="005C551E">
        <w:rPr>
          <w:rFonts w:cs="Arial"/>
          <w:color w:val="201F1E"/>
          <w:shd w:val="clear" w:color="auto" w:fill="FFFFFF"/>
          <w:lang w:val="en"/>
        </w:rPr>
        <w:t>through</w:t>
      </w:r>
      <w:r w:rsidR="005C551E" w:rsidRPr="008D59F4">
        <w:rPr>
          <w:rFonts w:cs="Arial"/>
          <w:color w:val="201F1E"/>
          <w:shd w:val="clear" w:color="auto" w:fill="FFFFFF"/>
          <w:lang w:val="en"/>
        </w:rPr>
        <w:t xml:space="preserve"> </w:t>
      </w:r>
      <w:r w:rsidRPr="008D59F4">
        <w:rPr>
          <w:rFonts w:cs="Arial"/>
          <w:color w:val="201F1E"/>
          <w:shd w:val="clear" w:color="auto" w:fill="FFFFFF"/>
          <w:lang w:val="en"/>
        </w:rPr>
        <w:t xml:space="preserve">a combination of </w:t>
      </w:r>
      <w:r w:rsidRPr="00284BAA">
        <w:rPr>
          <w:rFonts w:cs="Arial"/>
          <w:color w:val="201F1E"/>
          <w:shd w:val="clear" w:color="auto" w:fill="FFFFFF"/>
          <w:lang w:val="en"/>
        </w:rPr>
        <w:t>virtual and in-person connections</w:t>
      </w:r>
      <w:r w:rsidRPr="00AA4807">
        <w:rPr>
          <w:rFonts w:cs="Arial"/>
          <w:color w:val="201F1E"/>
          <w:shd w:val="clear" w:color="auto" w:fill="FFFFFF"/>
          <w:lang w:val="en"/>
        </w:rPr>
        <w:t xml:space="preserve"> as public </w:t>
      </w:r>
      <w:r w:rsidRPr="008D59F4">
        <w:rPr>
          <w:rFonts w:cs="Arial"/>
          <w:color w:val="201F1E"/>
          <w:shd w:val="clear" w:color="auto" w:fill="FFFFFF"/>
          <w:lang w:val="en"/>
        </w:rPr>
        <w:t>health guidance allows for the reintegration of in-person activities post-pandemic</w:t>
      </w:r>
      <w:r>
        <w:rPr>
          <w:rFonts w:cs="Arial"/>
          <w:color w:val="201F1E"/>
          <w:shd w:val="clear" w:color="auto" w:fill="FFFFFF"/>
          <w:lang w:val="en"/>
        </w:rPr>
        <w:t>.</w:t>
      </w:r>
      <w:r w:rsidRPr="008D59F4">
        <w:rPr>
          <w:rFonts w:cs="Arial"/>
          <w:color w:val="201F1E"/>
          <w:shd w:val="clear" w:color="auto" w:fill="FFFFFF"/>
          <w:lang w:val="en"/>
        </w:rPr>
        <w:t xml:space="preserve"> </w:t>
      </w:r>
    </w:p>
    <w:tbl>
      <w:tblPr>
        <w:tblStyle w:val="TableGrid2"/>
        <w:tblW w:w="14256" w:type="dxa"/>
        <w:tblInd w:w="-658" w:type="dxa"/>
        <w:tblCellMar>
          <w:top w:w="29" w:type="dxa"/>
          <w:left w:w="115" w:type="dxa"/>
          <w:bottom w:w="29" w:type="dxa"/>
          <w:right w:w="115" w:type="dxa"/>
        </w:tblCellMar>
        <w:tblLook w:val="01E0" w:firstRow="1" w:lastRow="1" w:firstColumn="1" w:lastColumn="1" w:noHBand="0" w:noVBand="0"/>
        <w:tblDescription w:val="This is a basic scoring rubric for Cohort 2 Metrics, for the Center application."/>
      </w:tblPr>
      <w:tblGrid>
        <w:gridCol w:w="3564"/>
        <w:gridCol w:w="3564"/>
        <w:gridCol w:w="3564"/>
        <w:gridCol w:w="3564"/>
      </w:tblGrid>
      <w:tr w:rsidR="00E37574" w:rsidRPr="00570960" w14:paraId="14C25299" w14:textId="77777777" w:rsidTr="00421693">
        <w:trPr>
          <w:cantSplit/>
          <w:trHeight w:val="235"/>
          <w:tblHeader/>
        </w:trPr>
        <w:tc>
          <w:tcPr>
            <w:tcW w:w="3564" w:type="dxa"/>
            <w:shd w:val="clear" w:color="auto" w:fill="D0CECE" w:themeFill="background2" w:themeFillShade="E6"/>
          </w:tcPr>
          <w:p w14:paraId="2967C106" w14:textId="77777777" w:rsidR="00E37574" w:rsidRPr="00570960" w:rsidRDefault="00E37574" w:rsidP="0025386B">
            <w:pPr>
              <w:jc w:val="center"/>
              <w:rPr>
                <w:rFonts w:cs="Arial"/>
                <w:b/>
                <w:bCs/>
              </w:rPr>
            </w:pPr>
            <w:r w:rsidRPr="00570960">
              <w:rPr>
                <w:rFonts w:cs="Arial"/>
                <w:b/>
                <w:bCs/>
              </w:rPr>
              <w:t>OUTSTANDING (8 points)</w:t>
            </w:r>
          </w:p>
        </w:tc>
        <w:tc>
          <w:tcPr>
            <w:tcW w:w="3564" w:type="dxa"/>
            <w:shd w:val="clear" w:color="auto" w:fill="D0CECE" w:themeFill="background2" w:themeFillShade="E6"/>
          </w:tcPr>
          <w:p w14:paraId="0C64C498" w14:textId="77777777" w:rsidR="00E37574" w:rsidRPr="00570960" w:rsidRDefault="00E37574" w:rsidP="0025386B">
            <w:pPr>
              <w:jc w:val="center"/>
              <w:rPr>
                <w:rFonts w:cs="Arial"/>
                <w:b/>
                <w:bCs/>
              </w:rPr>
            </w:pPr>
            <w:r w:rsidRPr="00570960">
              <w:rPr>
                <w:rFonts w:cs="Arial"/>
                <w:b/>
                <w:bCs/>
              </w:rPr>
              <w:t>STRONG (6 points)</w:t>
            </w:r>
          </w:p>
        </w:tc>
        <w:tc>
          <w:tcPr>
            <w:tcW w:w="3564" w:type="dxa"/>
            <w:shd w:val="clear" w:color="auto" w:fill="D0CECE" w:themeFill="background2" w:themeFillShade="E6"/>
          </w:tcPr>
          <w:p w14:paraId="10D6C4A7" w14:textId="77777777" w:rsidR="00E37574" w:rsidRPr="00570960" w:rsidRDefault="00E37574" w:rsidP="0025386B">
            <w:pPr>
              <w:jc w:val="center"/>
              <w:rPr>
                <w:rFonts w:cs="Arial"/>
                <w:b/>
                <w:bCs/>
              </w:rPr>
            </w:pPr>
            <w:r w:rsidRPr="00570960">
              <w:rPr>
                <w:rFonts w:cs="Arial"/>
                <w:b/>
                <w:bCs/>
              </w:rPr>
              <w:t>ADEQUATE (4 points)</w:t>
            </w:r>
          </w:p>
        </w:tc>
        <w:tc>
          <w:tcPr>
            <w:tcW w:w="3564" w:type="dxa"/>
            <w:shd w:val="clear" w:color="auto" w:fill="D0CECE" w:themeFill="background2" w:themeFillShade="E6"/>
          </w:tcPr>
          <w:p w14:paraId="1A42EE72" w14:textId="77777777" w:rsidR="00E37574" w:rsidRPr="00570960" w:rsidRDefault="00E37574" w:rsidP="0025386B">
            <w:pPr>
              <w:jc w:val="center"/>
              <w:rPr>
                <w:rFonts w:cs="Arial"/>
                <w:b/>
                <w:bCs/>
              </w:rPr>
            </w:pPr>
            <w:r w:rsidRPr="00570960">
              <w:rPr>
                <w:rFonts w:cs="Arial"/>
                <w:b/>
                <w:bCs/>
              </w:rPr>
              <w:t>MINIMAL (2–0 points)</w:t>
            </w:r>
          </w:p>
        </w:tc>
      </w:tr>
      <w:tr w:rsidR="00E37574" w:rsidRPr="00570960" w14:paraId="61F8C6A4" w14:textId="77777777" w:rsidTr="00421693">
        <w:trPr>
          <w:cantSplit/>
          <w:trHeight w:val="21"/>
        </w:trPr>
        <w:tc>
          <w:tcPr>
            <w:tcW w:w="3564" w:type="dxa"/>
          </w:tcPr>
          <w:p w14:paraId="7DE7807C" w14:textId="0AF9BBD2" w:rsidR="00E37574" w:rsidRPr="00F0777A" w:rsidRDefault="00E37574" w:rsidP="00F0777A">
            <w:pPr>
              <w:shd w:val="clear" w:color="auto" w:fill="FFFFFF"/>
              <w:spacing w:after="240"/>
              <w:rPr>
                <w:rFonts w:cs="Arial"/>
                <w:color w:val="201F1E"/>
                <w:lang w:val="en"/>
              </w:rPr>
            </w:pPr>
            <w:r w:rsidRPr="00570960">
              <w:rPr>
                <w:rFonts w:cs="Arial"/>
              </w:rPr>
              <w:t xml:space="preserve">The </w:t>
            </w:r>
            <w:r>
              <w:rPr>
                <w:rFonts w:cs="Arial"/>
              </w:rPr>
              <w:t>Center</w:t>
            </w:r>
            <w:r w:rsidRPr="00570960">
              <w:rPr>
                <w:rFonts w:cs="Arial"/>
              </w:rPr>
              <w:t xml:space="preserve"> </w:t>
            </w:r>
            <w:r>
              <w:rPr>
                <w:rFonts w:cs="Arial"/>
              </w:rPr>
              <w:t xml:space="preserve">has </w:t>
            </w:r>
            <w:r w:rsidR="004D5A47">
              <w:t xml:space="preserve">employed </w:t>
            </w:r>
            <w:r>
              <w:t xml:space="preserve">more than one </w:t>
            </w:r>
            <w:r w:rsidR="004D5A47">
              <w:t>project lead and support staff</w:t>
            </w:r>
            <w:r>
              <w:t xml:space="preserve"> exclusively dedicated to the 21CSLA program, </w:t>
            </w:r>
            <w:r w:rsidR="004D5A47">
              <w:t>and</w:t>
            </w:r>
            <w:r>
              <w:t xml:space="preserve"> demonstrated that staffing will be adequate to fully </w:t>
            </w:r>
            <w:r>
              <w:rPr>
                <w:rFonts w:cs="Arial"/>
                <w:color w:val="201F1E"/>
                <w:shd w:val="clear" w:color="auto" w:fill="FFFFFF"/>
                <w:lang w:val="en"/>
              </w:rPr>
              <w:t>support the RAs</w:t>
            </w:r>
            <w:r w:rsidRPr="00BA2380">
              <w:rPr>
                <w:rFonts w:cs="Arial"/>
                <w:color w:val="201F1E"/>
                <w:shd w:val="clear" w:color="auto" w:fill="FFFFFF"/>
                <w:lang w:val="en"/>
              </w:rPr>
              <w:t xml:space="preserve"> full participation in all 21CSLA program activities</w:t>
            </w:r>
            <w:r>
              <w:rPr>
                <w:rFonts w:cs="Arial"/>
                <w:color w:val="201F1E"/>
                <w:shd w:val="clear" w:color="auto" w:fill="FFFFFF"/>
                <w:lang w:val="en"/>
              </w:rPr>
              <w:t>.</w:t>
            </w:r>
          </w:p>
        </w:tc>
        <w:tc>
          <w:tcPr>
            <w:tcW w:w="3564" w:type="dxa"/>
          </w:tcPr>
          <w:p w14:paraId="686CFB61" w14:textId="5F66AC9D" w:rsidR="00E37574" w:rsidRPr="00F0777A" w:rsidRDefault="00E37574" w:rsidP="00F0777A">
            <w:pPr>
              <w:shd w:val="clear" w:color="auto" w:fill="FFFFFF"/>
              <w:spacing w:after="240"/>
              <w:rPr>
                <w:rFonts w:cs="Arial"/>
                <w:color w:val="201F1E"/>
                <w:lang w:val="en"/>
              </w:rPr>
            </w:pPr>
            <w:r w:rsidRPr="00570960">
              <w:rPr>
                <w:rFonts w:cs="Arial"/>
              </w:rPr>
              <w:t xml:space="preserve">The </w:t>
            </w:r>
            <w:r>
              <w:rPr>
                <w:rFonts w:cs="Arial"/>
              </w:rPr>
              <w:t>Center</w:t>
            </w:r>
            <w:r w:rsidRPr="00570960">
              <w:rPr>
                <w:rFonts w:cs="Arial"/>
              </w:rPr>
              <w:t xml:space="preserve"> has </w:t>
            </w:r>
            <w:r w:rsidR="004D5A47">
              <w:t xml:space="preserve">employed </w:t>
            </w:r>
            <w:r>
              <w:t xml:space="preserve">at least one </w:t>
            </w:r>
            <w:r w:rsidR="004D5A47">
              <w:t>project lead</w:t>
            </w:r>
            <w:r>
              <w:t xml:space="preserve"> </w:t>
            </w:r>
            <w:r w:rsidR="004D5A47">
              <w:t>and other support staff exclusively dedicated to</w:t>
            </w:r>
            <w:r>
              <w:t xml:space="preserve"> the 21CSLA program, </w:t>
            </w:r>
            <w:r w:rsidR="004D5A47">
              <w:t>and</w:t>
            </w:r>
            <w:r>
              <w:t xml:space="preserve"> demonstrated that staffing will be adequate to fully </w:t>
            </w:r>
            <w:r>
              <w:rPr>
                <w:rFonts w:cs="Arial"/>
                <w:color w:val="201F1E"/>
                <w:shd w:val="clear" w:color="auto" w:fill="FFFFFF"/>
                <w:lang w:val="en"/>
              </w:rPr>
              <w:t>support the RAs</w:t>
            </w:r>
            <w:r w:rsidRPr="00BA2380">
              <w:rPr>
                <w:rFonts w:cs="Arial"/>
                <w:color w:val="201F1E"/>
                <w:shd w:val="clear" w:color="auto" w:fill="FFFFFF"/>
                <w:lang w:val="en"/>
              </w:rPr>
              <w:t xml:space="preserve"> full participation in all 21CSLA program activities</w:t>
            </w:r>
            <w:r>
              <w:rPr>
                <w:rFonts w:cs="Arial"/>
                <w:color w:val="201F1E"/>
                <w:shd w:val="clear" w:color="auto" w:fill="FFFFFF"/>
                <w:lang w:val="en"/>
              </w:rPr>
              <w:t>.</w:t>
            </w:r>
            <w:r w:rsidRPr="00BA2380">
              <w:rPr>
                <w:rFonts w:cs="Arial"/>
                <w:color w:val="201F1E"/>
                <w:shd w:val="clear" w:color="auto" w:fill="FFFFFF"/>
                <w:lang w:val="en"/>
              </w:rPr>
              <w:t xml:space="preserve"> </w:t>
            </w:r>
          </w:p>
        </w:tc>
        <w:tc>
          <w:tcPr>
            <w:tcW w:w="3564" w:type="dxa"/>
          </w:tcPr>
          <w:p w14:paraId="3F665A7A" w14:textId="68D9310B" w:rsidR="00E37574" w:rsidRPr="00F0777A" w:rsidRDefault="00E37574" w:rsidP="00F0777A">
            <w:pPr>
              <w:shd w:val="clear" w:color="auto" w:fill="FFFFFF"/>
              <w:spacing w:after="240"/>
              <w:rPr>
                <w:rFonts w:cs="Arial"/>
                <w:color w:val="201F1E"/>
                <w:lang w:val="en"/>
              </w:rPr>
            </w:pPr>
            <w:r w:rsidRPr="00570960">
              <w:rPr>
                <w:rFonts w:cs="Arial"/>
              </w:rPr>
              <w:t xml:space="preserve">The </w:t>
            </w:r>
            <w:r>
              <w:rPr>
                <w:rFonts w:cs="Arial"/>
              </w:rPr>
              <w:t>Center</w:t>
            </w:r>
            <w:r w:rsidRPr="00570960">
              <w:rPr>
                <w:rFonts w:cs="Arial"/>
              </w:rPr>
              <w:t xml:space="preserve"> has </w:t>
            </w:r>
            <w:r>
              <w:t xml:space="preserve">dedicated at least one </w:t>
            </w:r>
            <w:r w:rsidR="004D5A47">
              <w:t>project lead</w:t>
            </w:r>
            <w:r>
              <w:t xml:space="preserve"> for the 21CSLA program, </w:t>
            </w:r>
            <w:r w:rsidR="004D5A47">
              <w:t>and</w:t>
            </w:r>
            <w:r>
              <w:t xml:space="preserve"> demonstrated that staffing will be adequate to fully </w:t>
            </w:r>
            <w:r>
              <w:rPr>
                <w:rFonts w:cs="Arial"/>
                <w:color w:val="201F1E"/>
                <w:shd w:val="clear" w:color="auto" w:fill="FFFFFF"/>
                <w:lang w:val="en"/>
              </w:rPr>
              <w:t>support the RAs</w:t>
            </w:r>
            <w:r w:rsidRPr="00BA2380">
              <w:rPr>
                <w:rFonts w:cs="Arial"/>
                <w:color w:val="201F1E"/>
                <w:shd w:val="clear" w:color="auto" w:fill="FFFFFF"/>
                <w:lang w:val="en"/>
              </w:rPr>
              <w:t xml:space="preserve"> full participation in all 21CSLA program activities</w:t>
            </w:r>
            <w:r>
              <w:rPr>
                <w:rFonts w:cs="Arial"/>
                <w:color w:val="201F1E"/>
                <w:shd w:val="clear" w:color="auto" w:fill="FFFFFF"/>
                <w:lang w:val="en"/>
              </w:rPr>
              <w:t>.</w:t>
            </w:r>
          </w:p>
        </w:tc>
        <w:tc>
          <w:tcPr>
            <w:tcW w:w="3564" w:type="dxa"/>
          </w:tcPr>
          <w:p w14:paraId="126258E3" w14:textId="5161467B" w:rsidR="00E37574" w:rsidRPr="00F0777A" w:rsidRDefault="00E37574" w:rsidP="00F0777A">
            <w:pPr>
              <w:shd w:val="clear" w:color="auto" w:fill="FFFFFF"/>
              <w:spacing w:after="240"/>
              <w:rPr>
                <w:rFonts w:cs="Arial"/>
                <w:color w:val="201F1E"/>
                <w:lang w:val="en"/>
              </w:rPr>
            </w:pPr>
            <w:r w:rsidRPr="00570960">
              <w:rPr>
                <w:rFonts w:cs="Arial"/>
              </w:rPr>
              <w:t xml:space="preserve">The </w:t>
            </w:r>
            <w:r>
              <w:rPr>
                <w:rFonts w:cs="Arial"/>
              </w:rPr>
              <w:t>Center</w:t>
            </w:r>
            <w:r w:rsidRPr="00570960">
              <w:rPr>
                <w:rFonts w:cs="Arial"/>
              </w:rPr>
              <w:t xml:space="preserve"> has not </w:t>
            </w:r>
            <w:r>
              <w:t xml:space="preserve">dedicated at least one </w:t>
            </w:r>
            <w:r w:rsidR="004D5A47">
              <w:t>project lead</w:t>
            </w:r>
            <w:r>
              <w:t xml:space="preserve"> for the 21CSLA program, and has not demonstrated that staffing will be adequate to fully </w:t>
            </w:r>
            <w:r>
              <w:rPr>
                <w:rFonts w:cs="Arial"/>
                <w:color w:val="201F1E"/>
                <w:shd w:val="clear" w:color="auto" w:fill="FFFFFF"/>
                <w:lang w:val="en"/>
              </w:rPr>
              <w:t>support the RAs</w:t>
            </w:r>
            <w:r w:rsidRPr="00BA2380">
              <w:rPr>
                <w:rFonts w:cs="Arial"/>
                <w:color w:val="201F1E"/>
                <w:shd w:val="clear" w:color="auto" w:fill="FFFFFF"/>
                <w:lang w:val="en"/>
              </w:rPr>
              <w:t xml:space="preserve"> full participation in all 21CSLA program activities</w:t>
            </w:r>
            <w:r>
              <w:rPr>
                <w:rFonts w:cs="Arial"/>
                <w:color w:val="201F1E"/>
                <w:shd w:val="clear" w:color="auto" w:fill="FFFFFF"/>
                <w:lang w:val="en"/>
              </w:rPr>
              <w:t>.</w:t>
            </w:r>
          </w:p>
        </w:tc>
      </w:tr>
      <w:tr w:rsidR="00E37574" w:rsidRPr="00570960" w14:paraId="4AD8B820" w14:textId="77777777" w:rsidTr="00421693">
        <w:trPr>
          <w:cantSplit/>
          <w:trHeight w:val="21"/>
        </w:trPr>
        <w:tc>
          <w:tcPr>
            <w:tcW w:w="3564" w:type="dxa"/>
          </w:tcPr>
          <w:p w14:paraId="0AC828A1" w14:textId="768FFE92" w:rsidR="00E37574" w:rsidRPr="00570960" w:rsidRDefault="00E37574" w:rsidP="0025386B">
            <w:pPr>
              <w:rPr>
                <w:rFonts w:cs="Arial"/>
              </w:rPr>
            </w:pPr>
            <w:r>
              <w:rPr>
                <w:rFonts w:cs="Arial"/>
              </w:rPr>
              <w:lastRenderedPageBreak/>
              <w:t xml:space="preserve">The Center has consistently met deadlines and developed </w:t>
            </w:r>
            <w:r>
              <w:rPr>
                <w:rFonts w:cs="Arial"/>
                <w:color w:val="201F1E"/>
                <w:shd w:val="clear" w:color="auto" w:fill="FFFFFF"/>
                <w:lang w:val="en"/>
              </w:rPr>
              <w:t>the</w:t>
            </w:r>
            <w:r w:rsidRPr="00BA2380">
              <w:rPr>
                <w:rFonts w:cs="Arial"/>
                <w:color w:val="201F1E"/>
                <w:shd w:val="clear" w:color="auto" w:fill="FFFFFF"/>
                <w:lang w:val="en"/>
              </w:rPr>
              <w:t xml:space="preserve"> Cohort 2 deliverables </w:t>
            </w:r>
            <w:r w:rsidRPr="00BA2380">
              <w:rPr>
                <w:rFonts w:cs="Arial"/>
                <w:color w:val="000000"/>
                <w:shd w:val="clear" w:color="auto" w:fill="FFFFFF"/>
                <w:lang w:val="en"/>
              </w:rPr>
              <w:t>in</w:t>
            </w:r>
            <w:r w:rsidRPr="00BA2380">
              <w:rPr>
                <w:rFonts w:cs="Arial"/>
                <w:color w:val="201F1E"/>
                <w:shd w:val="clear" w:color="auto" w:fill="FFFFFF"/>
                <w:lang w:val="en"/>
              </w:rPr>
              <w:t xml:space="preserve">cluding Universal Transitional Kindergarten and others </w:t>
            </w:r>
            <w:r>
              <w:rPr>
                <w:rFonts w:cs="Arial"/>
                <w:color w:val="201F1E"/>
                <w:shd w:val="clear" w:color="auto" w:fill="FFFFFF"/>
                <w:lang w:val="en"/>
              </w:rPr>
              <w:t>in conjunction with</w:t>
            </w:r>
            <w:r w:rsidRPr="00BA2380">
              <w:rPr>
                <w:rFonts w:cs="Arial"/>
                <w:color w:val="201F1E"/>
                <w:shd w:val="clear" w:color="auto" w:fill="FFFFFF"/>
                <w:lang w:val="en"/>
              </w:rPr>
              <w:t xml:space="preserve"> the </w:t>
            </w:r>
            <w:r w:rsidR="000D0A6F" w:rsidRPr="00BA2380">
              <w:rPr>
                <w:rFonts w:cs="Arial"/>
                <w:color w:val="201F1E"/>
                <w:shd w:val="clear" w:color="auto" w:fill="FFFFFF"/>
                <w:lang w:val="en"/>
              </w:rPr>
              <w:t>CDE, CCEE</w:t>
            </w:r>
            <w:r>
              <w:rPr>
                <w:rFonts w:cs="Arial"/>
                <w:color w:val="201F1E"/>
                <w:shd w:val="clear" w:color="auto" w:fill="FFFFFF"/>
                <w:lang w:val="en"/>
              </w:rPr>
              <w:t xml:space="preserve">, </w:t>
            </w:r>
            <w:r w:rsidR="005C551E">
              <w:rPr>
                <w:rFonts w:cs="Arial"/>
                <w:color w:val="201F1E"/>
                <w:shd w:val="clear" w:color="auto" w:fill="FFFFFF"/>
                <w:lang w:val="en"/>
              </w:rPr>
              <w:t xml:space="preserve">and </w:t>
            </w:r>
            <w:r>
              <w:rPr>
                <w:rFonts w:cs="Arial"/>
                <w:color w:val="201F1E"/>
                <w:shd w:val="clear" w:color="auto" w:fill="FFFFFF"/>
                <w:lang w:val="en"/>
              </w:rPr>
              <w:t>SBE</w:t>
            </w:r>
            <w:r w:rsidR="005C551E">
              <w:rPr>
                <w:rFonts w:cs="Arial"/>
                <w:color w:val="201F1E"/>
                <w:shd w:val="clear" w:color="auto" w:fill="FFFFFF"/>
                <w:lang w:val="en"/>
              </w:rPr>
              <w:t>,</w:t>
            </w:r>
            <w:r>
              <w:rPr>
                <w:rFonts w:cs="Arial"/>
                <w:color w:val="201F1E"/>
                <w:shd w:val="clear" w:color="auto" w:fill="FFFFFF"/>
                <w:lang w:val="en"/>
              </w:rPr>
              <w:t xml:space="preserve"> and in consultation with the RAs</w:t>
            </w:r>
            <w:r w:rsidR="004D5A47">
              <w:rPr>
                <w:rFonts w:cs="Arial"/>
                <w:color w:val="201F1E"/>
                <w:shd w:val="clear" w:color="auto" w:fill="FFFFFF"/>
                <w:lang w:val="en"/>
              </w:rPr>
              <w:t>.</w:t>
            </w:r>
          </w:p>
        </w:tc>
        <w:tc>
          <w:tcPr>
            <w:tcW w:w="3564" w:type="dxa"/>
          </w:tcPr>
          <w:p w14:paraId="3BCB5944" w14:textId="41173F95" w:rsidR="00E37574" w:rsidRPr="00570960" w:rsidRDefault="00E37574" w:rsidP="0025386B">
            <w:pPr>
              <w:rPr>
                <w:rFonts w:cs="Arial"/>
              </w:rPr>
            </w:pPr>
            <w:r>
              <w:rPr>
                <w:rFonts w:cs="Arial"/>
              </w:rPr>
              <w:t xml:space="preserve">The Center has mostly met deadlines and developed </w:t>
            </w:r>
            <w:r>
              <w:rPr>
                <w:rFonts w:cs="Arial"/>
                <w:color w:val="201F1E"/>
                <w:shd w:val="clear" w:color="auto" w:fill="FFFFFF"/>
                <w:lang w:val="en"/>
              </w:rPr>
              <w:t>the</w:t>
            </w:r>
            <w:r w:rsidRPr="00BA2380">
              <w:rPr>
                <w:rFonts w:cs="Arial"/>
                <w:color w:val="201F1E"/>
                <w:shd w:val="clear" w:color="auto" w:fill="FFFFFF"/>
                <w:lang w:val="en"/>
              </w:rPr>
              <w:t xml:space="preserve"> Cohort 2 deliverables </w:t>
            </w:r>
            <w:r w:rsidRPr="00BA2380">
              <w:rPr>
                <w:rFonts w:cs="Arial"/>
                <w:color w:val="000000"/>
                <w:shd w:val="clear" w:color="auto" w:fill="FFFFFF"/>
                <w:lang w:val="en"/>
              </w:rPr>
              <w:t>in</w:t>
            </w:r>
            <w:r w:rsidRPr="00BA2380">
              <w:rPr>
                <w:rFonts w:cs="Arial"/>
                <w:color w:val="201F1E"/>
                <w:shd w:val="clear" w:color="auto" w:fill="FFFFFF"/>
                <w:lang w:val="en"/>
              </w:rPr>
              <w:t xml:space="preserve">cluding Universal Transitional Kindergarten and others </w:t>
            </w:r>
            <w:r>
              <w:rPr>
                <w:rFonts w:cs="Arial"/>
                <w:color w:val="201F1E"/>
                <w:shd w:val="clear" w:color="auto" w:fill="FFFFFF"/>
                <w:lang w:val="en"/>
              </w:rPr>
              <w:t>in conjunction with</w:t>
            </w:r>
            <w:r w:rsidRPr="00BA2380">
              <w:rPr>
                <w:rFonts w:cs="Arial"/>
                <w:color w:val="201F1E"/>
                <w:shd w:val="clear" w:color="auto" w:fill="FFFFFF"/>
                <w:lang w:val="en"/>
              </w:rPr>
              <w:t xml:space="preserve"> the </w:t>
            </w:r>
            <w:r w:rsidR="000D0A6F" w:rsidRPr="00BA2380">
              <w:rPr>
                <w:rFonts w:cs="Arial"/>
                <w:color w:val="201F1E"/>
                <w:shd w:val="clear" w:color="auto" w:fill="FFFFFF"/>
                <w:lang w:val="en"/>
              </w:rPr>
              <w:t>CDE, CCEE</w:t>
            </w:r>
            <w:r>
              <w:rPr>
                <w:rFonts w:cs="Arial"/>
                <w:color w:val="201F1E"/>
                <w:shd w:val="clear" w:color="auto" w:fill="FFFFFF"/>
                <w:lang w:val="en"/>
              </w:rPr>
              <w:t xml:space="preserve">, </w:t>
            </w:r>
            <w:r w:rsidR="005C551E">
              <w:rPr>
                <w:rFonts w:cs="Arial"/>
                <w:color w:val="201F1E"/>
                <w:shd w:val="clear" w:color="auto" w:fill="FFFFFF"/>
                <w:lang w:val="en"/>
              </w:rPr>
              <w:t xml:space="preserve">and </w:t>
            </w:r>
            <w:r>
              <w:rPr>
                <w:rFonts w:cs="Arial"/>
                <w:color w:val="201F1E"/>
                <w:shd w:val="clear" w:color="auto" w:fill="FFFFFF"/>
                <w:lang w:val="en"/>
              </w:rPr>
              <w:t>SBE</w:t>
            </w:r>
            <w:r w:rsidR="005C551E">
              <w:rPr>
                <w:rFonts w:cs="Arial"/>
                <w:color w:val="201F1E"/>
                <w:shd w:val="clear" w:color="auto" w:fill="FFFFFF"/>
                <w:lang w:val="en"/>
              </w:rPr>
              <w:t>,</w:t>
            </w:r>
            <w:r>
              <w:rPr>
                <w:rFonts w:cs="Arial"/>
                <w:color w:val="201F1E"/>
                <w:shd w:val="clear" w:color="auto" w:fill="FFFFFF"/>
                <w:lang w:val="en"/>
              </w:rPr>
              <w:t xml:space="preserve"> and in consultation with the RAs.</w:t>
            </w:r>
          </w:p>
        </w:tc>
        <w:tc>
          <w:tcPr>
            <w:tcW w:w="3564" w:type="dxa"/>
          </w:tcPr>
          <w:p w14:paraId="032C6910" w14:textId="04985741" w:rsidR="00E37574" w:rsidRPr="00570960" w:rsidRDefault="00E37574" w:rsidP="0025386B">
            <w:pPr>
              <w:rPr>
                <w:rFonts w:cs="Arial"/>
              </w:rPr>
            </w:pPr>
            <w:r>
              <w:rPr>
                <w:rFonts w:cs="Arial"/>
              </w:rPr>
              <w:t xml:space="preserve">The Center has partially met deadlines and developed </w:t>
            </w:r>
            <w:r>
              <w:rPr>
                <w:rFonts w:cs="Arial"/>
                <w:color w:val="201F1E"/>
                <w:shd w:val="clear" w:color="auto" w:fill="FFFFFF"/>
                <w:lang w:val="en"/>
              </w:rPr>
              <w:t>the</w:t>
            </w:r>
            <w:r w:rsidRPr="00BA2380">
              <w:rPr>
                <w:rFonts w:cs="Arial"/>
                <w:color w:val="201F1E"/>
                <w:shd w:val="clear" w:color="auto" w:fill="FFFFFF"/>
                <w:lang w:val="en"/>
              </w:rPr>
              <w:t xml:space="preserve"> Cohort 2 deliverables </w:t>
            </w:r>
            <w:r w:rsidRPr="00BA2380">
              <w:rPr>
                <w:rFonts w:cs="Arial"/>
                <w:color w:val="000000"/>
                <w:shd w:val="clear" w:color="auto" w:fill="FFFFFF"/>
                <w:lang w:val="en"/>
              </w:rPr>
              <w:t>in</w:t>
            </w:r>
            <w:r w:rsidRPr="00BA2380">
              <w:rPr>
                <w:rFonts w:cs="Arial"/>
                <w:color w:val="201F1E"/>
                <w:shd w:val="clear" w:color="auto" w:fill="FFFFFF"/>
                <w:lang w:val="en"/>
              </w:rPr>
              <w:t xml:space="preserve">cluding Universal Transitional Kindergarten and others </w:t>
            </w:r>
            <w:r>
              <w:rPr>
                <w:rFonts w:cs="Arial"/>
                <w:color w:val="201F1E"/>
                <w:shd w:val="clear" w:color="auto" w:fill="FFFFFF"/>
                <w:lang w:val="en"/>
              </w:rPr>
              <w:t>in conjunction with</w:t>
            </w:r>
            <w:r w:rsidRPr="00BA2380">
              <w:rPr>
                <w:rFonts w:cs="Arial"/>
                <w:color w:val="201F1E"/>
                <w:shd w:val="clear" w:color="auto" w:fill="FFFFFF"/>
                <w:lang w:val="en"/>
              </w:rPr>
              <w:t xml:space="preserve"> the </w:t>
            </w:r>
            <w:r w:rsidR="000D0A6F" w:rsidRPr="00BA2380">
              <w:rPr>
                <w:rFonts w:cs="Arial"/>
                <w:color w:val="201F1E"/>
                <w:shd w:val="clear" w:color="auto" w:fill="FFFFFF"/>
                <w:lang w:val="en"/>
              </w:rPr>
              <w:t>CDE, CCEE</w:t>
            </w:r>
            <w:r>
              <w:rPr>
                <w:rFonts w:cs="Arial"/>
                <w:color w:val="201F1E"/>
                <w:shd w:val="clear" w:color="auto" w:fill="FFFFFF"/>
                <w:lang w:val="en"/>
              </w:rPr>
              <w:t>,</w:t>
            </w:r>
            <w:r w:rsidR="005C551E">
              <w:rPr>
                <w:rFonts w:cs="Arial"/>
                <w:color w:val="201F1E"/>
                <w:shd w:val="clear" w:color="auto" w:fill="FFFFFF"/>
                <w:lang w:val="en"/>
              </w:rPr>
              <w:t xml:space="preserve"> and</w:t>
            </w:r>
            <w:r>
              <w:rPr>
                <w:rFonts w:cs="Arial"/>
                <w:color w:val="201F1E"/>
                <w:shd w:val="clear" w:color="auto" w:fill="FFFFFF"/>
                <w:lang w:val="en"/>
              </w:rPr>
              <w:t xml:space="preserve"> SBE</w:t>
            </w:r>
            <w:r w:rsidR="005C551E">
              <w:rPr>
                <w:rFonts w:cs="Arial"/>
                <w:color w:val="201F1E"/>
                <w:shd w:val="clear" w:color="auto" w:fill="FFFFFF"/>
                <w:lang w:val="en"/>
              </w:rPr>
              <w:t>,</w:t>
            </w:r>
            <w:r>
              <w:rPr>
                <w:rFonts w:cs="Arial"/>
                <w:color w:val="201F1E"/>
                <w:shd w:val="clear" w:color="auto" w:fill="FFFFFF"/>
                <w:lang w:val="en"/>
              </w:rPr>
              <w:t xml:space="preserve"> and in consultation with the RAs</w:t>
            </w:r>
            <w:r w:rsidR="004D5A47">
              <w:rPr>
                <w:rFonts w:cs="Arial"/>
                <w:color w:val="201F1E"/>
                <w:shd w:val="clear" w:color="auto" w:fill="FFFFFF"/>
                <w:lang w:val="en"/>
              </w:rPr>
              <w:t>.</w:t>
            </w:r>
          </w:p>
        </w:tc>
        <w:tc>
          <w:tcPr>
            <w:tcW w:w="3564" w:type="dxa"/>
          </w:tcPr>
          <w:p w14:paraId="59C738BE" w14:textId="4C3EF945" w:rsidR="00E37574" w:rsidRPr="00570960" w:rsidRDefault="00E37574" w:rsidP="0025386B">
            <w:pPr>
              <w:rPr>
                <w:rFonts w:cs="Arial"/>
              </w:rPr>
            </w:pPr>
            <w:r>
              <w:rPr>
                <w:rFonts w:cs="Arial"/>
              </w:rPr>
              <w:t xml:space="preserve">The Center has not developed deadlines and developed </w:t>
            </w:r>
            <w:r>
              <w:rPr>
                <w:rFonts w:cs="Arial"/>
                <w:color w:val="201F1E"/>
                <w:shd w:val="clear" w:color="auto" w:fill="FFFFFF"/>
                <w:lang w:val="en"/>
              </w:rPr>
              <w:t>the</w:t>
            </w:r>
            <w:r w:rsidRPr="00BA2380">
              <w:rPr>
                <w:rFonts w:cs="Arial"/>
                <w:color w:val="201F1E"/>
                <w:shd w:val="clear" w:color="auto" w:fill="FFFFFF"/>
                <w:lang w:val="en"/>
              </w:rPr>
              <w:t xml:space="preserve"> Cohort 2 deliverables </w:t>
            </w:r>
            <w:r w:rsidRPr="00BA2380">
              <w:rPr>
                <w:rFonts w:cs="Arial"/>
                <w:color w:val="000000"/>
                <w:shd w:val="clear" w:color="auto" w:fill="FFFFFF"/>
                <w:lang w:val="en"/>
              </w:rPr>
              <w:t>in</w:t>
            </w:r>
            <w:r w:rsidRPr="00BA2380">
              <w:rPr>
                <w:rFonts w:cs="Arial"/>
                <w:color w:val="201F1E"/>
                <w:shd w:val="clear" w:color="auto" w:fill="FFFFFF"/>
                <w:lang w:val="en"/>
              </w:rPr>
              <w:t xml:space="preserve">cluding Universal Transitional Kindergarten and others </w:t>
            </w:r>
            <w:r>
              <w:rPr>
                <w:rFonts w:cs="Arial"/>
                <w:color w:val="201F1E"/>
                <w:shd w:val="clear" w:color="auto" w:fill="FFFFFF"/>
                <w:lang w:val="en"/>
              </w:rPr>
              <w:t>in conjunction with</w:t>
            </w:r>
            <w:r w:rsidRPr="00BA2380">
              <w:rPr>
                <w:rFonts w:cs="Arial"/>
                <w:color w:val="201F1E"/>
                <w:shd w:val="clear" w:color="auto" w:fill="FFFFFF"/>
                <w:lang w:val="en"/>
              </w:rPr>
              <w:t xml:space="preserve"> the </w:t>
            </w:r>
            <w:r w:rsidR="000D0A6F" w:rsidRPr="00BA2380">
              <w:rPr>
                <w:rFonts w:cs="Arial"/>
                <w:color w:val="201F1E"/>
                <w:shd w:val="clear" w:color="auto" w:fill="FFFFFF"/>
                <w:lang w:val="en"/>
              </w:rPr>
              <w:t>CDE, CCEE</w:t>
            </w:r>
            <w:r>
              <w:rPr>
                <w:rFonts w:cs="Arial"/>
                <w:color w:val="201F1E"/>
                <w:shd w:val="clear" w:color="auto" w:fill="FFFFFF"/>
                <w:lang w:val="en"/>
              </w:rPr>
              <w:t>,</w:t>
            </w:r>
            <w:r w:rsidR="005C551E">
              <w:rPr>
                <w:rFonts w:cs="Arial"/>
                <w:color w:val="201F1E"/>
                <w:shd w:val="clear" w:color="auto" w:fill="FFFFFF"/>
                <w:lang w:val="en"/>
              </w:rPr>
              <w:t xml:space="preserve"> and</w:t>
            </w:r>
            <w:r>
              <w:rPr>
                <w:rFonts w:cs="Arial"/>
                <w:color w:val="201F1E"/>
                <w:shd w:val="clear" w:color="auto" w:fill="FFFFFF"/>
                <w:lang w:val="en"/>
              </w:rPr>
              <w:t xml:space="preserve"> SBE</w:t>
            </w:r>
            <w:r w:rsidR="005C551E">
              <w:rPr>
                <w:rFonts w:cs="Arial"/>
                <w:color w:val="201F1E"/>
                <w:shd w:val="clear" w:color="auto" w:fill="FFFFFF"/>
                <w:lang w:val="en"/>
              </w:rPr>
              <w:t>,</w:t>
            </w:r>
            <w:r>
              <w:rPr>
                <w:rFonts w:cs="Arial"/>
                <w:color w:val="201F1E"/>
                <w:shd w:val="clear" w:color="auto" w:fill="FFFFFF"/>
                <w:lang w:val="en"/>
              </w:rPr>
              <w:t xml:space="preserve"> and in consultation with the RAs</w:t>
            </w:r>
            <w:r w:rsidR="004D5A47">
              <w:rPr>
                <w:rFonts w:cs="Arial"/>
                <w:color w:val="201F1E"/>
                <w:shd w:val="clear" w:color="auto" w:fill="FFFFFF"/>
                <w:lang w:val="en"/>
              </w:rPr>
              <w:t>.</w:t>
            </w:r>
          </w:p>
        </w:tc>
      </w:tr>
      <w:tr w:rsidR="00E37574" w:rsidRPr="00570960" w14:paraId="4B483945" w14:textId="77777777" w:rsidTr="00F0777A">
        <w:trPr>
          <w:cantSplit/>
          <w:trHeight w:val="3102"/>
        </w:trPr>
        <w:tc>
          <w:tcPr>
            <w:tcW w:w="3564" w:type="dxa"/>
          </w:tcPr>
          <w:p w14:paraId="5B21F2F7" w14:textId="4D5BCA97" w:rsidR="00E37574" w:rsidRPr="00A378E5" w:rsidRDefault="00EE6AA9" w:rsidP="00A378E5">
            <w:pPr>
              <w:shd w:val="clear" w:color="auto" w:fill="FFFFFF"/>
              <w:spacing w:after="240"/>
              <w:rPr>
                <w:rFonts w:cs="Arial"/>
                <w:color w:val="201F1E"/>
                <w:lang w:val="en"/>
              </w:rPr>
            </w:pPr>
            <w:r>
              <w:rPr>
                <w:rFonts w:cs="Arial"/>
              </w:rPr>
              <w:t>T</w:t>
            </w:r>
            <w:r w:rsidR="00E37574" w:rsidRPr="00570960">
              <w:rPr>
                <w:rFonts w:cs="Arial"/>
              </w:rPr>
              <w:t xml:space="preserve">he </w:t>
            </w:r>
            <w:r w:rsidR="00E37574">
              <w:rPr>
                <w:rFonts w:cs="Arial"/>
              </w:rPr>
              <w:t>Center</w:t>
            </w:r>
            <w:r w:rsidR="00E37574" w:rsidRPr="00570960">
              <w:rPr>
                <w:rFonts w:cs="Arial"/>
              </w:rPr>
              <w:t xml:space="preserve"> has consistently ensured </w:t>
            </w:r>
            <w:r w:rsidRPr="00BA2380">
              <w:rPr>
                <w:rFonts w:cs="Arial"/>
                <w:color w:val="201F1E"/>
                <w:shd w:val="clear" w:color="auto" w:fill="FFFFFF"/>
                <w:lang w:val="en"/>
              </w:rPr>
              <w:t xml:space="preserve">regular meeting contact </w:t>
            </w:r>
            <w:r w:rsidRPr="00284BAA">
              <w:rPr>
                <w:rFonts w:cs="Arial"/>
                <w:color w:val="201F1E"/>
                <w:shd w:val="clear" w:color="auto" w:fill="FFFFFF"/>
                <w:lang w:val="en"/>
              </w:rPr>
              <w:t>through a combination of virtual and in person connections</w:t>
            </w:r>
            <w:r>
              <w:rPr>
                <w:rFonts w:cs="Arial"/>
                <w:color w:val="201F1E"/>
                <w:shd w:val="clear" w:color="auto" w:fill="FFFFFF"/>
                <w:lang w:val="en"/>
              </w:rPr>
              <w:t xml:space="preserve"> with the RAs</w:t>
            </w:r>
            <w:r w:rsidRPr="00BA2380">
              <w:rPr>
                <w:rFonts w:cs="Arial"/>
                <w:color w:val="201F1E"/>
                <w:shd w:val="clear" w:color="auto" w:fill="FFFFFF"/>
                <w:lang w:val="en"/>
              </w:rPr>
              <w:t xml:space="preserve"> to inform, improve, and expand program services and</w:t>
            </w:r>
            <w:r w:rsidR="005C551E">
              <w:rPr>
                <w:rFonts w:cs="Arial"/>
                <w:color w:val="201F1E"/>
                <w:shd w:val="clear" w:color="auto" w:fill="FFFFFF"/>
                <w:lang w:val="en"/>
              </w:rPr>
              <w:t xml:space="preserve"> </w:t>
            </w:r>
            <w:r>
              <w:rPr>
                <w:rFonts w:cs="Arial"/>
                <w:color w:val="201F1E"/>
                <w:shd w:val="clear" w:color="auto" w:fill="FFFFFF"/>
                <w:lang w:val="en"/>
              </w:rPr>
              <w:t xml:space="preserve">create a 21CSLA database to provide data as requested </w:t>
            </w:r>
            <w:r w:rsidRPr="00BA2380">
              <w:rPr>
                <w:rFonts w:cs="Arial"/>
                <w:color w:val="201F1E"/>
                <w:shd w:val="clear" w:color="auto" w:fill="FFFFFF"/>
                <w:lang w:val="en"/>
              </w:rPr>
              <w:t xml:space="preserve">by the CDE, CCEE, </w:t>
            </w:r>
            <w:r>
              <w:rPr>
                <w:rFonts w:cs="Arial"/>
                <w:color w:val="201F1E"/>
                <w:shd w:val="clear" w:color="auto" w:fill="FFFFFF"/>
                <w:lang w:val="en"/>
              </w:rPr>
              <w:t>SBE</w:t>
            </w:r>
            <w:r w:rsidR="005C551E">
              <w:rPr>
                <w:rFonts w:cs="Arial"/>
                <w:color w:val="201F1E"/>
                <w:shd w:val="clear" w:color="auto" w:fill="FFFFFF"/>
                <w:lang w:val="en"/>
              </w:rPr>
              <w:t>,</w:t>
            </w:r>
            <w:r>
              <w:rPr>
                <w:rFonts w:cs="Arial"/>
                <w:color w:val="201F1E"/>
                <w:shd w:val="clear" w:color="auto" w:fill="FFFFFF"/>
                <w:lang w:val="en"/>
              </w:rPr>
              <w:t xml:space="preserve"> </w:t>
            </w:r>
            <w:r w:rsidRPr="00BA2380">
              <w:rPr>
                <w:rFonts w:cs="Arial"/>
                <w:color w:val="201F1E"/>
                <w:shd w:val="clear" w:color="auto" w:fill="FFFFFF"/>
                <w:lang w:val="en"/>
              </w:rPr>
              <w:t>and an external evaluator.</w:t>
            </w:r>
          </w:p>
        </w:tc>
        <w:tc>
          <w:tcPr>
            <w:tcW w:w="3564" w:type="dxa"/>
          </w:tcPr>
          <w:p w14:paraId="1224D243" w14:textId="1B4551B2" w:rsidR="00E37574" w:rsidRPr="00A378E5" w:rsidRDefault="00E37574" w:rsidP="00A378E5">
            <w:pPr>
              <w:shd w:val="clear" w:color="auto" w:fill="FFFFFF"/>
              <w:spacing w:after="240"/>
              <w:rPr>
                <w:rFonts w:cs="Arial"/>
                <w:color w:val="201F1E"/>
                <w:lang w:val="en"/>
              </w:rPr>
            </w:pPr>
            <w:r w:rsidRPr="00570960">
              <w:rPr>
                <w:rFonts w:cs="Arial"/>
              </w:rPr>
              <w:t xml:space="preserve">The </w:t>
            </w:r>
            <w:r>
              <w:rPr>
                <w:rFonts w:cs="Arial"/>
              </w:rPr>
              <w:t>Center</w:t>
            </w:r>
            <w:r w:rsidRPr="00570960">
              <w:rPr>
                <w:rFonts w:cs="Arial"/>
              </w:rPr>
              <w:t xml:space="preserve"> has mostly ensured </w:t>
            </w:r>
            <w:r w:rsidR="00EE6AA9" w:rsidRPr="00BA2380">
              <w:rPr>
                <w:rFonts w:cs="Arial"/>
                <w:color w:val="201F1E"/>
                <w:shd w:val="clear" w:color="auto" w:fill="FFFFFF"/>
                <w:lang w:val="en"/>
              </w:rPr>
              <w:t xml:space="preserve">regular meeting contact </w:t>
            </w:r>
            <w:r w:rsidR="00EE6AA9" w:rsidRPr="00284BAA">
              <w:rPr>
                <w:rFonts w:cs="Arial"/>
                <w:color w:val="201F1E"/>
                <w:shd w:val="clear" w:color="auto" w:fill="FFFFFF"/>
                <w:lang w:val="en"/>
              </w:rPr>
              <w:t>through a combination of virtual and in person connections</w:t>
            </w:r>
            <w:r w:rsidR="00EE6AA9">
              <w:rPr>
                <w:rFonts w:cs="Arial"/>
                <w:color w:val="201F1E"/>
                <w:shd w:val="clear" w:color="auto" w:fill="FFFFFF"/>
                <w:lang w:val="en"/>
              </w:rPr>
              <w:t xml:space="preserve"> with the RAs</w:t>
            </w:r>
            <w:r w:rsidR="00EE6AA9" w:rsidRPr="00BA2380">
              <w:rPr>
                <w:rFonts w:cs="Arial"/>
                <w:color w:val="201F1E"/>
                <w:shd w:val="clear" w:color="auto" w:fill="FFFFFF"/>
                <w:lang w:val="en"/>
              </w:rPr>
              <w:t xml:space="preserve"> to inform, improve, and expand program services and</w:t>
            </w:r>
            <w:r w:rsidR="005C551E">
              <w:rPr>
                <w:rFonts w:cs="Arial"/>
                <w:color w:val="201F1E"/>
                <w:shd w:val="clear" w:color="auto" w:fill="FFFFFF"/>
                <w:lang w:val="en"/>
              </w:rPr>
              <w:t xml:space="preserve"> </w:t>
            </w:r>
            <w:r w:rsidR="00EE6AA9">
              <w:rPr>
                <w:rFonts w:cs="Arial"/>
                <w:color w:val="201F1E"/>
                <w:shd w:val="clear" w:color="auto" w:fill="FFFFFF"/>
                <w:lang w:val="en"/>
              </w:rPr>
              <w:t xml:space="preserve">create a 21CSLA database to provide data as requested </w:t>
            </w:r>
            <w:r w:rsidR="00EE6AA9" w:rsidRPr="00BA2380">
              <w:rPr>
                <w:rFonts w:cs="Arial"/>
                <w:color w:val="201F1E"/>
                <w:shd w:val="clear" w:color="auto" w:fill="FFFFFF"/>
                <w:lang w:val="en"/>
              </w:rPr>
              <w:t xml:space="preserve">by the CDE, CCEE, </w:t>
            </w:r>
            <w:r w:rsidR="00EE6AA9">
              <w:rPr>
                <w:rFonts w:cs="Arial"/>
                <w:color w:val="201F1E"/>
                <w:shd w:val="clear" w:color="auto" w:fill="FFFFFF"/>
                <w:lang w:val="en"/>
              </w:rPr>
              <w:t>SBE</w:t>
            </w:r>
            <w:r w:rsidR="005C551E">
              <w:rPr>
                <w:rFonts w:cs="Arial"/>
                <w:color w:val="201F1E"/>
                <w:shd w:val="clear" w:color="auto" w:fill="FFFFFF"/>
                <w:lang w:val="en"/>
              </w:rPr>
              <w:t>,</w:t>
            </w:r>
            <w:r w:rsidR="00EE6AA9">
              <w:rPr>
                <w:rFonts w:cs="Arial"/>
                <w:color w:val="201F1E"/>
                <w:shd w:val="clear" w:color="auto" w:fill="FFFFFF"/>
                <w:lang w:val="en"/>
              </w:rPr>
              <w:t xml:space="preserve"> </w:t>
            </w:r>
            <w:r w:rsidR="00EE6AA9" w:rsidRPr="00BA2380">
              <w:rPr>
                <w:rFonts w:cs="Arial"/>
                <w:color w:val="201F1E"/>
                <w:shd w:val="clear" w:color="auto" w:fill="FFFFFF"/>
                <w:lang w:val="en"/>
              </w:rPr>
              <w:t>and an external evaluator.</w:t>
            </w:r>
          </w:p>
        </w:tc>
        <w:tc>
          <w:tcPr>
            <w:tcW w:w="3564" w:type="dxa"/>
          </w:tcPr>
          <w:p w14:paraId="6DD47594" w14:textId="47657BA5" w:rsidR="00E37574" w:rsidRPr="00A378E5" w:rsidRDefault="00E37574" w:rsidP="00A378E5">
            <w:pPr>
              <w:shd w:val="clear" w:color="auto" w:fill="FFFFFF"/>
              <w:spacing w:after="240"/>
              <w:rPr>
                <w:rFonts w:cs="Arial"/>
                <w:color w:val="201F1E"/>
                <w:lang w:val="en"/>
              </w:rPr>
            </w:pPr>
            <w:r w:rsidRPr="00570960">
              <w:rPr>
                <w:rFonts w:cs="Arial"/>
              </w:rPr>
              <w:t xml:space="preserve">The </w:t>
            </w:r>
            <w:r>
              <w:rPr>
                <w:rFonts w:cs="Arial"/>
              </w:rPr>
              <w:t>Center</w:t>
            </w:r>
            <w:r w:rsidRPr="00570960">
              <w:rPr>
                <w:rFonts w:cs="Arial"/>
              </w:rPr>
              <w:t xml:space="preserve"> has partially ensured </w:t>
            </w:r>
            <w:r w:rsidR="00EE6AA9" w:rsidRPr="00BA2380">
              <w:rPr>
                <w:rFonts w:cs="Arial"/>
                <w:color w:val="201F1E"/>
                <w:shd w:val="clear" w:color="auto" w:fill="FFFFFF"/>
                <w:lang w:val="en"/>
              </w:rPr>
              <w:t xml:space="preserve">regular meeting contact </w:t>
            </w:r>
            <w:r w:rsidR="00EE6AA9" w:rsidRPr="00284BAA">
              <w:rPr>
                <w:rFonts w:cs="Arial"/>
                <w:color w:val="201F1E"/>
                <w:shd w:val="clear" w:color="auto" w:fill="FFFFFF"/>
                <w:lang w:val="en"/>
              </w:rPr>
              <w:t>through a combination of virtual and in person connections</w:t>
            </w:r>
            <w:r w:rsidR="00EE6AA9">
              <w:rPr>
                <w:rFonts w:cs="Arial"/>
                <w:color w:val="201F1E"/>
                <w:shd w:val="clear" w:color="auto" w:fill="FFFFFF"/>
                <w:lang w:val="en"/>
              </w:rPr>
              <w:t xml:space="preserve"> with the RAs</w:t>
            </w:r>
            <w:r w:rsidR="00EE6AA9" w:rsidRPr="00BA2380">
              <w:rPr>
                <w:rFonts w:cs="Arial"/>
                <w:color w:val="201F1E"/>
                <w:shd w:val="clear" w:color="auto" w:fill="FFFFFF"/>
                <w:lang w:val="en"/>
              </w:rPr>
              <w:t xml:space="preserve"> to inform, improve, and expand program services and</w:t>
            </w:r>
            <w:r w:rsidR="005C551E">
              <w:rPr>
                <w:rFonts w:cs="Arial"/>
                <w:color w:val="201F1E"/>
                <w:shd w:val="clear" w:color="auto" w:fill="FFFFFF"/>
                <w:lang w:val="en"/>
              </w:rPr>
              <w:t xml:space="preserve"> </w:t>
            </w:r>
            <w:r w:rsidR="00EE6AA9">
              <w:rPr>
                <w:rFonts w:cs="Arial"/>
                <w:color w:val="201F1E"/>
                <w:shd w:val="clear" w:color="auto" w:fill="FFFFFF"/>
                <w:lang w:val="en"/>
              </w:rPr>
              <w:t xml:space="preserve">create a 21CSLA database to provide data as requested </w:t>
            </w:r>
            <w:r w:rsidR="00EE6AA9" w:rsidRPr="00BA2380">
              <w:rPr>
                <w:rFonts w:cs="Arial"/>
                <w:color w:val="201F1E"/>
                <w:shd w:val="clear" w:color="auto" w:fill="FFFFFF"/>
                <w:lang w:val="en"/>
              </w:rPr>
              <w:t xml:space="preserve">by the CDE, CCEE, </w:t>
            </w:r>
            <w:r w:rsidR="00EE6AA9">
              <w:rPr>
                <w:rFonts w:cs="Arial"/>
                <w:color w:val="201F1E"/>
                <w:shd w:val="clear" w:color="auto" w:fill="FFFFFF"/>
                <w:lang w:val="en"/>
              </w:rPr>
              <w:t>SBE</w:t>
            </w:r>
            <w:r w:rsidR="005C551E">
              <w:rPr>
                <w:rFonts w:cs="Arial"/>
                <w:color w:val="201F1E"/>
                <w:shd w:val="clear" w:color="auto" w:fill="FFFFFF"/>
                <w:lang w:val="en"/>
              </w:rPr>
              <w:t>,</w:t>
            </w:r>
            <w:r w:rsidR="00EE6AA9">
              <w:rPr>
                <w:rFonts w:cs="Arial"/>
                <w:color w:val="201F1E"/>
                <w:shd w:val="clear" w:color="auto" w:fill="FFFFFF"/>
                <w:lang w:val="en"/>
              </w:rPr>
              <w:t xml:space="preserve"> </w:t>
            </w:r>
            <w:r w:rsidR="00EE6AA9" w:rsidRPr="00BA2380">
              <w:rPr>
                <w:rFonts w:cs="Arial"/>
                <w:color w:val="201F1E"/>
                <w:shd w:val="clear" w:color="auto" w:fill="FFFFFF"/>
                <w:lang w:val="en"/>
              </w:rPr>
              <w:t>and an external evaluator.</w:t>
            </w:r>
          </w:p>
        </w:tc>
        <w:tc>
          <w:tcPr>
            <w:tcW w:w="3564" w:type="dxa"/>
          </w:tcPr>
          <w:p w14:paraId="0FA1BFD0" w14:textId="43058FAB" w:rsidR="00E37574" w:rsidRPr="00A378E5" w:rsidRDefault="00E37574" w:rsidP="00A378E5">
            <w:pPr>
              <w:shd w:val="clear" w:color="auto" w:fill="FFFFFF"/>
              <w:spacing w:after="240"/>
              <w:rPr>
                <w:rFonts w:cs="Arial"/>
                <w:color w:val="201F1E"/>
                <w:lang w:val="en"/>
              </w:rPr>
            </w:pPr>
            <w:r w:rsidRPr="00570960">
              <w:rPr>
                <w:rFonts w:cs="Arial"/>
              </w:rPr>
              <w:t xml:space="preserve">The </w:t>
            </w:r>
            <w:r>
              <w:rPr>
                <w:rFonts w:cs="Arial"/>
              </w:rPr>
              <w:t>Center</w:t>
            </w:r>
            <w:r w:rsidRPr="00570960">
              <w:rPr>
                <w:rFonts w:cs="Arial"/>
              </w:rPr>
              <w:t xml:space="preserve"> has not ensured </w:t>
            </w:r>
            <w:r w:rsidR="00EE6AA9" w:rsidRPr="00BA2380">
              <w:rPr>
                <w:rFonts w:cs="Arial"/>
                <w:color w:val="201F1E"/>
                <w:shd w:val="clear" w:color="auto" w:fill="FFFFFF"/>
                <w:lang w:val="en"/>
              </w:rPr>
              <w:t xml:space="preserve">regular meeting contact </w:t>
            </w:r>
            <w:r w:rsidR="00EE6AA9" w:rsidRPr="00284BAA">
              <w:rPr>
                <w:rFonts w:cs="Arial"/>
                <w:color w:val="201F1E"/>
                <w:shd w:val="clear" w:color="auto" w:fill="FFFFFF"/>
                <w:lang w:val="en"/>
              </w:rPr>
              <w:t>through a combination of virtual and in person connections</w:t>
            </w:r>
            <w:r w:rsidR="00EE6AA9">
              <w:rPr>
                <w:rFonts w:cs="Arial"/>
                <w:color w:val="201F1E"/>
                <w:shd w:val="clear" w:color="auto" w:fill="FFFFFF"/>
                <w:lang w:val="en"/>
              </w:rPr>
              <w:t xml:space="preserve"> with the RAs</w:t>
            </w:r>
            <w:r w:rsidR="00EE6AA9" w:rsidRPr="00BA2380">
              <w:rPr>
                <w:rFonts w:cs="Arial"/>
                <w:color w:val="201F1E"/>
                <w:shd w:val="clear" w:color="auto" w:fill="FFFFFF"/>
                <w:lang w:val="en"/>
              </w:rPr>
              <w:t xml:space="preserve"> to inform, improve, and expand program services and</w:t>
            </w:r>
            <w:r w:rsidR="005C551E">
              <w:rPr>
                <w:rFonts w:cs="Arial"/>
                <w:color w:val="201F1E"/>
                <w:shd w:val="clear" w:color="auto" w:fill="FFFFFF"/>
                <w:lang w:val="en"/>
              </w:rPr>
              <w:t xml:space="preserve"> </w:t>
            </w:r>
            <w:r w:rsidR="00EE6AA9">
              <w:rPr>
                <w:rFonts w:cs="Arial"/>
                <w:color w:val="201F1E"/>
                <w:shd w:val="clear" w:color="auto" w:fill="FFFFFF"/>
                <w:lang w:val="en"/>
              </w:rPr>
              <w:t xml:space="preserve">create a 21CSLA database to provide data as requested </w:t>
            </w:r>
            <w:r w:rsidR="00EE6AA9" w:rsidRPr="00BA2380">
              <w:rPr>
                <w:rFonts w:cs="Arial"/>
                <w:color w:val="201F1E"/>
                <w:shd w:val="clear" w:color="auto" w:fill="FFFFFF"/>
                <w:lang w:val="en"/>
              </w:rPr>
              <w:t xml:space="preserve">by the CDE, CCEE, </w:t>
            </w:r>
            <w:r w:rsidR="00EE6AA9">
              <w:rPr>
                <w:rFonts w:cs="Arial"/>
                <w:color w:val="201F1E"/>
                <w:shd w:val="clear" w:color="auto" w:fill="FFFFFF"/>
                <w:lang w:val="en"/>
              </w:rPr>
              <w:t>SBE</w:t>
            </w:r>
            <w:r w:rsidR="005C551E">
              <w:rPr>
                <w:rFonts w:cs="Arial"/>
                <w:color w:val="201F1E"/>
                <w:shd w:val="clear" w:color="auto" w:fill="FFFFFF"/>
                <w:lang w:val="en"/>
              </w:rPr>
              <w:t>,</w:t>
            </w:r>
            <w:r w:rsidR="00EE6AA9">
              <w:rPr>
                <w:rFonts w:cs="Arial"/>
                <w:color w:val="201F1E"/>
                <w:shd w:val="clear" w:color="auto" w:fill="FFFFFF"/>
                <w:lang w:val="en"/>
              </w:rPr>
              <w:t xml:space="preserve"> </w:t>
            </w:r>
            <w:r w:rsidR="00EE6AA9" w:rsidRPr="00BA2380">
              <w:rPr>
                <w:rFonts w:cs="Arial"/>
                <w:color w:val="201F1E"/>
                <w:shd w:val="clear" w:color="auto" w:fill="FFFFFF"/>
                <w:lang w:val="en"/>
              </w:rPr>
              <w:t>and an external evaluator.</w:t>
            </w:r>
          </w:p>
        </w:tc>
      </w:tr>
      <w:tr w:rsidR="00E37574" w:rsidRPr="00570960" w14:paraId="423FC927" w14:textId="77777777" w:rsidTr="00421693">
        <w:trPr>
          <w:cantSplit/>
          <w:trHeight w:val="1160"/>
        </w:trPr>
        <w:tc>
          <w:tcPr>
            <w:tcW w:w="3564" w:type="dxa"/>
          </w:tcPr>
          <w:p w14:paraId="5B996384" w14:textId="4D678339" w:rsidR="00E37574" w:rsidRPr="00570960" w:rsidRDefault="00E37574" w:rsidP="0025386B">
            <w:pPr>
              <w:rPr>
                <w:rFonts w:cs="Arial"/>
              </w:rPr>
            </w:pPr>
            <w:r w:rsidRPr="00570960">
              <w:rPr>
                <w:rFonts w:cs="Arial"/>
              </w:rPr>
              <w:t xml:space="preserve">The </w:t>
            </w:r>
            <w:r>
              <w:rPr>
                <w:rFonts w:cs="Arial"/>
              </w:rPr>
              <w:t xml:space="preserve">Center </w:t>
            </w:r>
            <w:r w:rsidRPr="00570960">
              <w:rPr>
                <w:rFonts w:cs="Arial"/>
              </w:rPr>
              <w:t xml:space="preserve">has consistently </w:t>
            </w:r>
            <w:r w:rsidR="004D5A47">
              <w:rPr>
                <w:rFonts w:cs="Arial"/>
                <w:color w:val="201F1E"/>
                <w:shd w:val="clear" w:color="auto" w:fill="FFFFFF"/>
                <w:lang w:val="en"/>
              </w:rPr>
              <w:t>built</w:t>
            </w:r>
            <w:r w:rsidR="00EE6AA9">
              <w:rPr>
                <w:rFonts w:cs="Arial"/>
                <w:color w:val="201F1E"/>
                <w:shd w:val="clear" w:color="auto" w:fill="FFFFFF"/>
                <w:lang w:val="en"/>
              </w:rPr>
              <w:t xml:space="preserve"> the capacity of 21CSLA partners to be responsive to the field in responding and </w:t>
            </w:r>
            <w:r w:rsidR="00EE6AA9" w:rsidRPr="00BA2380">
              <w:rPr>
                <w:rFonts w:cs="Arial"/>
                <w:color w:val="201F1E"/>
                <w:shd w:val="clear" w:color="auto" w:fill="FFFFFF"/>
                <w:lang w:val="en"/>
              </w:rPr>
              <w:t>expanding in scope and depth beyond current offerings and practice in alignment with</w:t>
            </w:r>
            <w:r w:rsidR="00EE6AA9">
              <w:rPr>
                <w:rFonts w:cs="Arial"/>
                <w:color w:val="201F1E"/>
                <w:shd w:val="clear" w:color="auto" w:fill="FFFFFF"/>
                <w:lang w:val="en"/>
              </w:rPr>
              <w:t xml:space="preserve"> California’s evolving educational environment in response to</w:t>
            </w:r>
            <w:r w:rsidR="00EE6AA9" w:rsidRPr="00BA2380">
              <w:rPr>
                <w:rFonts w:cs="Arial"/>
                <w:color w:val="201F1E"/>
                <w:shd w:val="clear" w:color="auto" w:fill="FFFFFF"/>
                <w:lang w:val="en"/>
              </w:rPr>
              <w:t xml:space="preserve"> CDE, CCEE, </w:t>
            </w:r>
            <w:r w:rsidR="00EE6AA9">
              <w:rPr>
                <w:rFonts w:cs="Arial"/>
                <w:color w:val="201F1E"/>
                <w:shd w:val="clear" w:color="auto" w:fill="FFFFFF"/>
                <w:lang w:val="en"/>
              </w:rPr>
              <w:t xml:space="preserve">and SBE </w:t>
            </w:r>
            <w:r w:rsidR="00EE6AA9" w:rsidRPr="00BA2380">
              <w:rPr>
                <w:rFonts w:cs="Arial"/>
                <w:color w:val="201F1E"/>
                <w:shd w:val="clear" w:color="auto" w:fill="FFFFFF"/>
                <w:lang w:val="en"/>
              </w:rPr>
              <w:t>guidance</w:t>
            </w:r>
            <w:r w:rsidRPr="00570960">
              <w:rPr>
                <w:rFonts w:cs="Arial"/>
              </w:rPr>
              <w:t>.</w:t>
            </w:r>
          </w:p>
        </w:tc>
        <w:tc>
          <w:tcPr>
            <w:tcW w:w="3564" w:type="dxa"/>
          </w:tcPr>
          <w:p w14:paraId="268BAE13" w14:textId="07C79994" w:rsidR="00E37574" w:rsidRPr="00570960" w:rsidRDefault="00E37574" w:rsidP="0025386B">
            <w:pPr>
              <w:rPr>
                <w:rFonts w:cs="Arial"/>
              </w:rPr>
            </w:pPr>
            <w:r w:rsidRPr="00570960">
              <w:rPr>
                <w:rFonts w:cs="Arial"/>
              </w:rPr>
              <w:t xml:space="preserve">The </w:t>
            </w:r>
            <w:r>
              <w:rPr>
                <w:rFonts w:cs="Arial"/>
              </w:rPr>
              <w:t>Center</w:t>
            </w:r>
            <w:r w:rsidRPr="00570960">
              <w:rPr>
                <w:rFonts w:cs="Arial"/>
              </w:rPr>
              <w:t xml:space="preserve"> has mostly </w:t>
            </w:r>
            <w:r w:rsidR="004D5A47">
              <w:rPr>
                <w:rFonts w:cs="Arial"/>
                <w:color w:val="201F1E"/>
                <w:shd w:val="clear" w:color="auto" w:fill="FFFFFF"/>
                <w:lang w:val="en"/>
              </w:rPr>
              <w:t>built</w:t>
            </w:r>
            <w:r w:rsidR="00EE6AA9">
              <w:rPr>
                <w:rFonts w:cs="Arial"/>
                <w:color w:val="201F1E"/>
                <w:shd w:val="clear" w:color="auto" w:fill="FFFFFF"/>
                <w:lang w:val="en"/>
              </w:rPr>
              <w:t xml:space="preserve"> the capacity of 21CSLA partners to be responsive to the field in responding and </w:t>
            </w:r>
            <w:r w:rsidR="00EE6AA9" w:rsidRPr="00BA2380">
              <w:rPr>
                <w:rFonts w:cs="Arial"/>
                <w:color w:val="201F1E"/>
                <w:shd w:val="clear" w:color="auto" w:fill="FFFFFF"/>
                <w:lang w:val="en"/>
              </w:rPr>
              <w:t>expanding in scope and depth beyond current offerings and practice in alignment with</w:t>
            </w:r>
            <w:r w:rsidR="00EE6AA9">
              <w:rPr>
                <w:rFonts w:cs="Arial"/>
                <w:color w:val="201F1E"/>
                <w:shd w:val="clear" w:color="auto" w:fill="FFFFFF"/>
                <w:lang w:val="en"/>
              </w:rPr>
              <w:t xml:space="preserve"> California’s evolving educational environment in response to</w:t>
            </w:r>
            <w:r w:rsidR="00EE6AA9" w:rsidRPr="00BA2380">
              <w:rPr>
                <w:rFonts w:cs="Arial"/>
                <w:color w:val="201F1E"/>
                <w:shd w:val="clear" w:color="auto" w:fill="FFFFFF"/>
                <w:lang w:val="en"/>
              </w:rPr>
              <w:t xml:space="preserve"> CDE, CCEE, </w:t>
            </w:r>
            <w:r w:rsidR="00EE6AA9">
              <w:rPr>
                <w:rFonts w:cs="Arial"/>
                <w:color w:val="201F1E"/>
                <w:shd w:val="clear" w:color="auto" w:fill="FFFFFF"/>
                <w:lang w:val="en"/>
              </w:rPr>
              <w:t xml:space="preserve">and SBE </w:t>
            </w:r>
            <w:r w:rsidR="00EE6AA9" w:rsidRPr="00BA2380">
              <w:rPr>
                <w:rFonts w:cs="Arial"/>
                <w:color w:val="201F1E"/>
                <w:shd w:val="clear" w:color="auto" w:fill="FFFFFF"/>
                <w:lang w:val="en"/>
              </w:rPr>
              <w:t>guidance</w:t>
            </w:r>
            <w:r w:rsidR="00EE6AA9" w:rsidRPr="00570960">
              <w:rPr>
                <w:rFonts w:cs="Arial"/>
              </w:rPr>
              <w:t>.</w:t>
            </w:r>
          </w:p>
        </w:tc>
        <w:tc>
          <w:tcPr>
            <w:tcW w:w="3564" w:type="dxa"/>
          </w:tcPr>
          <w:p w14:paraId="57A1D0B0" w14:textId="0F5B82D5" w:rsidR="00E37574" w:rsidRPr="00570960" w:rsidRDefault="00E37574" w:rsidP="0025386B">
            <w:pPr>
              <w:rPr>
                <w:rFonts w:cs="Arial"/>
              </w:rPr>
            </w:pPr>
            <w:r w:rsidRPr="00570960">
              <w:rPr>
                <w:rFonts w:cs="Arial"/>
              </w:rPr>
              <w:t xml:space="preserve">The </w:t>
            </w:r>
            <w:r>
              <w:rPr>
                <w:rFonts w:cs="Arial"/>
              </w:rPr>
              <w:t>Center</w:t>
            </w:r>
            <w:r w:rsidRPr="00570960">
              <w:rPr>
                <w:rFonts w:cs="Arial"/>
              </w:rPr>
              <w:t xml:space="preserve"> has partially </w:t>
            </w:r>
            <w:r w:rsidR="004D5A47">
              <w:rPr>
                <w:rFonts w:cs="Arial"/>
                <w:color w:val="201F1E"/>
                <w:shd w:val="clear" w:color="auto" w:fill="FFFFFF"/>
                <w:lang w:val="en"/>
              </w:rPr>
              <w:t>built</w:t>
            </w:r>
            <w:r w:rsidR="00EE6AA9">
              <w:rPr>
                <w:rFonts w:cs="Arial"/>
                <w:color w:val="201F1E"/>
                <w:shd w:val="clear" w:color="auto" w:fill="FFFFFF"/>
                <w:lang w:val="en"/>
              </w:rPr>
              <w:t xml:space="preserve"> the capacity of 21CSLA partners to be responsive to the field in responding and </w:t>
            </w:r>
            <w:r w:rsidR="00EE6AA9" w:rsidRPr="00BA2380">
              <w:rPr>
                <w:rFonts w:cs="Arial"/>
                <w:color w:val="201F1E"/>
                <w:shd w:val="clear" w:color="auto" w:fill="FFFFFF"/>
                <w:lang w:val="en"/>
              </w:rPr>
              <w:t>expanding in scope and depth beyond current offerings and practice in alignment with</w:t>
            </w:r>
            <w:r w:rsidR="00EE6AA9">
              <w:rPr>
                <w:rFonts w:cs="Arial"/>
                <w:color w:val="201F1E"/>
                <w:shd w:val="clear" w:color="auto" w:fill="FFFFFF"/>
                <w:lang w:val="en"/>
              </w:rPr>
              <w:t xml:space="preserve"> California’s evolving educational environment in response to</w:t>
            </w:r>
            <w:r w:rsidR="00EE6AA9" w:rsidRPr="00BA2380">
              <w:rPr>
                <w:rFonts w:cs="Arial"/>
                <w:color w:val="201F1E"/>
                <w:shd w:val="clear" w:color="auto" w:fill="FFFFFF"/>
                <w:lang w:val="en"/>
              </w:rPr>
              <w:t xml:space="preserve"> CDE, CCEE, </w:t>
            </w:r>
            <w:r w:rsidR="00EE6AA9">
              <w:rPr>
                <w:rFonts w:cs="Arial"/>
                <w:color w:val="201F1E"/>
                <w:shd w:val="clear" w:color="auto" w:fill="FFFFFF"/>
                <w:lang w:val="en"/>
              </w:rPr>
              <w:t xml:space="preserve">and SBE </w:t>
            </w:r>
            <w:r w:rsidR="00EE6AA9" w:rsidRPr="00BA2380">
              <w:rPr>
                <w:rFonts w:cs="Arial"/>
                <w:color w:val="201F1E"/>
                <w:shd w:val="clear" w:color="auto" w:fill="FFFFFF"/>
                <w:lang w:val="en"/>
              </w:rPr>
              <w:t>guidance</w:t>
            </w:r>
            <w:r w:rsidR="00EE6AA9" w:rsidRPr="00570960">
              <w:rPr>
                <w:rFonts w:cs="Arial"/>
              </w:rPr>
              <w:t>.</w:t>
            </w:r>
          </w:p>
        </w:tc>
        <w:tc>
          <w:tcPr>
            <w:tcW w:w="3564" w:type="dxa"/>
          </w:tcPr>
          <w:p w14:paraId="75CFDC35" w14:textId="44B6E478" w:rsidR="00E37574" w:rsidRPr="00570960" w:rsidRDefault="00E37574" w:rsidP="0025386B">
            <w:pPr>
              <w:rPr>
                <w:rFonts w:cs="Arial"/>
              </w:rPr>
            </w:pPr>
            <w:r w:rsidRPr="00570960">
              <w:rPr>
                <w:rFonts w:cs="Arial"/>
              </w:rPr>
              <w:t xml:space="preserve">The </w:t>
            </w:r>
            <w:r>
              <w:rPr>
                <w:rFonts w:cs="Arial"/>
              </w:rPr>
              <w:t>Center</w:t>
            </w:r>
            <w:r w:rsidRPr="00570960">
              <w:rPr>
                <w:rFonts w:cs="Arial"/>
              </w:rPr>
              <w:t xml:space="preserve"> has not </w:t>
            </w:r>
            <w:r w:rsidR="004D5A47">
              <w:rPr>
                <w:rFonts w:cs="Arial"/>
                <w:color w:val="201F1E"/>
                <w:shd w:val="clear" w:color="auto" w:fill="FFFFFF"/>
                <w:lang w:val="en"/>
              </w:rPr>
              <w:t>built</w:t>
            </w:r>
            <w:r w:rsidR="00EE6AA9">
              <w:rPr>
                <w:rFonts w:cs="Arial"/>
                <w:color w:val="201F1E"/>
                <w:shd w:val="clear" w:color="auto" w:fill="FFFFFF"/>
                <w:lang w:val="en"/>
              </w:rPr>
              <w:t xml:space="preserve"> the capacity of 21CSLA partners to be responsive to the field in responding and </w:t>
            </w:r>
            <w:r w:rsidR="00EE6AA9" w:rsidRPr="00BA2380">
              <w:rPr>
                <w:rFonts w:cs="Arial"/>
                <w:color w:val="201F1E"/>
                <w:shd w:val="clear" w:color="auto" w:fill="FFFFFF"/>
                <w:lang w:val="en"/>
              </w:rPr>
              <w:t>expanding in scope and depth beyond current offerings and practice in alignment with</w:t>
            </w:r>
            <w:r w:rsidR="00EE6AA9">
              <w:rPr>
                <w:rFonts w:cs="Arial"/>
                <w:color w:val="201F1E"/>
                <w:shd w:val="clear" w:color="auto" w:fill="FFFFFF"/>
                <w:lang w:val="en"/>
              </w:rPr>
              <w:t xml:space="preserve"> California’s evolving educational environment in response to</w:t>
            </w:r>
            <w:r w:rsidR="00EE6AA9" w:rsidRPr="00BA2380">
              <w:rPr>
                <w:rFonts w:cs="Arial"/>
                <w:color w:val="201F1E"/>
                <w:shd w:val="clear" w:color="auto" w:fill="FFFFFF"/>
                <w:lang w:val="en"/>
              </w:rPr>
              <w:t xml:space="preserve"> CDE, CCEE, </w:t>
            </w:r>
            <w:r w:rsidR="00EE6AA9">
              <w:rPr>
                <w:rFonts w:cs="Arial"/>
                <w:color w:val="201F1E"/>
                <w:shd w:val="clear" w:color="auto" w:fill="FFFFFF"/>
                <w:lang w:val="en"/>
              </w:rPr>
              <w:t xml:space="preserve">and SBE </w:t>
            </w:r>
            <w:r w:rsidR="00EE6AA9" w:rsidRPr="00BA2380">
              <w:rPr>
                <w:rFonts w:cs="Arial"/>
                <w:color w:val="201F1E"/>
                <w:shd w:val="clear" w:color="auto" w:fill="FFFFFF"/>
                <w:lang w:val="en"/>
              </w:rPr>
              <w:t>guidance</w:t>
            </w:r>
            <w:r w:rsidR="00EE6AA9" w:rsidRPr="00570960">
              <w:rPr>
                <w:rFonts w:cs="Arial"/>
              </w:rPr>
              <w:t>.</w:t>
            </w:r>
          </w:p>
        </w:tc>
      </w:tr>
      <w:tr w:rsidR="00E37574" w:rsidRPr="00570960" w14:paraId="25E479F9" w14:textId="77777777" w:rsidTr="00421693">
        <w:trPr>
          <w:cantSplit/>
          <w:trHeight w:val="1160"/>
        </w:trPr>
        <w:tc>
          <w:tcPr>
            <w:tcW w:w="3564" w:type="dxa"/>
          </w:tcPr>
          <w:p w14:paraId="4739B65E" w14:textId="75DE21DB" w:rsidR="00E37574" w:rsidRPr="00570960" w:rsidRDefault="00E37574" w:rsidP="0025386B">
            <w:pPr>
              <w:rPr>
                <w:rFonts w:cs="Arial"/>
              </w:rPr>
            </w:pPr>
            <w:r w:rsidRPr="00570960">
              <w:rPr>
                <w:rFonts w:cs="Arial"/>
              </w:rPr>
              <w:lastRenderedPageBreak/>
              <w:t xml:space="preserve">The </w:t>
            </w:r>
            <w:r>
              <w:rPr>
                <w:rFonts w:cs="Arial"/>
              </w:rPr>
              <w:t>Center</w:t>
            </w:r>
            <w:r w:rsidRPr="00570960">
              <w:rPr>
                <w:rFonts w:cs="Arial"/>
              </w:rPr>
              <w:t xml:space="preserve"> has consistently </w:t>
            </w:r>
            <w:r w:rsidR="004D5A47">
              <w:rPr>
                <w:rFonts w:cs="Arial"/>
                <w:color w:val="201F1E"/>
                <w:shd w:val="clear" w:color="auto" w:fill="FFFFFF"/>
                <w:lang w:val="en"/>
              </w:rPr>
              <w:t>supported</w:t>
            </w:r>
            <w:r w:rsidR="00EE6AA9">
              <w:rPr>
                <w:rFonts w:cs="Arial"/>
                <w:color w:val="201F1E"/>
                <w:shd w:val="clear" w:color="auto" w:fill="FFFFFF"/>
                <w:lang w:val="en"/>
              </w:rPr>
              <w:t xml:space="preserve"> the RAs to engage in </w:t>
            </w:r>
            <w:r w:rsidR="00EE6AA9" w:rsidRPr="00AA4807">
              <w:rPr>
                <w:rFonts w:cs="Arial"/>
                <w:color w:val="201F1E"/>
                <w:shd w:val="clear" w:color="auto" w:fill="FFFFFF"/>
                <w:lang w:val="en"/>
              </w:rPr>
              <w:t>continuous improvement practices</w:t>
            </w:r>
            <w:r w:rsidR="00EE6AA9" w:rsidRPr="008D59F4">
              <w:rPr>
                <w:rFonts w:cs="Arial"/>
                <w:color w:val="201F1E"/>
                <w:shd w:val="clear" w:color="auto" w:fill="FFFFFF"/>
                <w:lang w:val="en"/>
              </w:rPr>
              <w:t xml:space="preserve"> </w:t>
            </w:r>
            <w:r w:rsidR="00EE6AA9" w:rsidRPr="00AA4807">
              <w:rPr>
                <w:rFonts w:cs="Arial"/>
                <w:color w:val="201F1E"/>
                <w:shd w:val="clear" w:color="auto" w:fill="FFFFFF"/>
                <w:lang w:val="en"/>
              </w:rPr>
              <w:t xml:space="preserve">to ensure high quality equity-centered coaching and professional learning </w:t>
            </w:r>
            <w:r w:rsidR="005C551E">
              <w:rPr>
                <w:rFonts w:cs="Arial"/>
                <w:color w:val="201F1E"/>
                <w:shd w:val="clear" w:color="auto" w:fill="FFFFFF"/>
                <w:lang w:val="en"/>
              </w:rPr>
              <w:t>through</w:t>
            </w:r>
            <w:r w:rsidR="005C551E" w:rsidRPr="008D59F4">
              <w:rPr>
                <w:rFonts w:cs="Arial"/>
                <w:color w:val="201F1E"/>
                <w:shd w:val="clear" w:color="auto" w:fill="FFFFFF"/>
                <w:lang w:val="en"/>
              </w:rPr>
              <w:t xml:space="preserve"> </w:t>
            </w:r>
            <w:r w:rsidR="00EE6AA9" w:rsidRPr="008D59F4">
              <w:rPr>
                <w:rFonts w:cs="Arial"/>
                <w:color w:val="201F1E"/>
                <w:shd w:val="clear" w:color="auto" w:fill="FFFFFF"/>
                <w:lang w:val="en"/>
              </w:rPr>
              <w:t xml:space="preserve">a combination of </w:t>
            </w:r>
            <w:r w:rsidR="00EE6AA9" w:rsidRPr="00284BAA">
              <w:rPr>
                <w:rFonts w:cs="Arial"/>
                <w:color w:val="201F1E"/>
                <w:shd w:val="clear" w:color="auto" w:fill="FFFFFF"/>
                <w:lang w:val="en"/>
              </w:rPr>
              <w:t>virtual and in-person connections</w:t>
            </w:r>
            <w:r w:rsidR="00EE6AA9" w:rsidRPr="00AA4807">
              <w:rPr>
                <w:rFonts w:cs="Arial"/>
                <w:color w:val="201F1E"/>
                <w:shd w:val="clear" w:color="auto" w:fill="FFFFFF"/>
                <w:lang w:val="en"/>
              </w:rPr>
              <w:t xml:space="preserve"> as public </w:t>
            </w:r>
            <w:r w:rsidR="00EE6AA9" w:rsidRPr="008D59F4">
              <w:rPr>
                <w:rFonts w:cs="Arial"/>
                <w:color w:val="201F1E"/>
                <w:shd w:val="clear" w:color="auto" w:fill="FFFFFF"/>
                <w:lang w:val="en"/>
              </w:rPr>
              <w:t>health guidance allows for the reintegration of in-person activities post-pandemic</w:t>
            </w:r>
            <w:r w:rsidR="00EE6AA9">
              <w:rPr>
                <w:rFonts w:cs="Arial"/>
                <w:color w:val="201F1E"/>
                <w:shd w:val="clear" w:color="auto" w:fill="FFFFFF"/>
                <w:lang w:val="en"/>
              </w:rPr>
              <w:t>.</w:t>
            </w:r>
          </w:p>
        </w:tc>
        <w:tc>
          <w:tcPr>
            <w:tcW w:w="3564" w:type="dxa"/>
          </w:tcPr>
          <w:p w14:paraId="456E3138" w14:textId="65C5B668" w:rsidR="00E37574" w:rsidRPr="00570960" w:rsidRDefault="00E37574" w:rsidP="0025386B">
            <w:pPr>
              <w:rPr>
                <w:rFonts w:cs="Arial"/>
              </w:rPr>
            </w:pPr>
            <w:r w:rsidRPr="00570960">
              <w:rPr>
                <w:rFonts w:cs="Arial"/>
              </w:rPr>
              <w:t xml:space="preserve">The </w:t>
            </w:r>
            <w:r>
              <w:rPr>
                <w:rFonts w:cs="Arial"/>
              </w:rPr>
              <w:t>Center</w:t>
            </w:r>
            <w:r w:rsidRPr="00570960">
              <w:rPr>
                <w:rFonts w:cs="Arial"/>
              </w:rPr>
              <w:t xml:space="preserve"> has somewhat </w:t>
            </w:r>
            <w:r w:rsidR="004D5A47">
              <w:rPr>
                <w:rFonts w:cs="Arial"/>
                <w:color w:val="201F1E"/>
                <w:shd w:val="clear" w:color="auto" w:fill="FFFFFF"/>
                <w:lang w:val="en"/>
              </w:rPr>
              <w:t>supported</w:t>
            </w:r>
            <w:r w:rsidR="00EE6AA9">
              <w:rPr>
                <w:rFonts w:cs="Arial"/>
                <w:color w:val="201F1E"/>
                <w:shd w:val="clear" w:color="auto" w:fill="FFFFFF"/>
                <w:lang w:val="en"/>
              </w:rPr>
              <w:t xml:space="preserve"> the RAs to engage in </w:t>
            </w:r>
            <w:r w:rsidR="00EE6AA9" w:rsidRPr="00AA4807">
              <w:rPr>
                <w:rFonts w:cs="Arial"/>
                <w:color w:val="201F1E"/>
                <w:shd w:val="clear" w:color="auto" w:fill="FFFFFF"/>
                <w:lang w:val="en"/>
              </w:rPr>
              <w:t>continuous improvement practices</w:t>
            </w:r>
            <w:r w:rsidR="00EE6AA9" w:rsidRPr="008D59F4">
              <w:rPr>
                <w:rFonts w:cs="Arial"/>
                <w:color w:val="201F1E"/>
                <w:shd w:val="clear" w:color="auto" w:fill="FFFFFF"/>
                <w:lang w:val="en"/>
              </w:rPr>
              <w:t xml:space="preserve"> </w:t>
            </w:r>
            <w:r w:rsidR="00EE6AA9" w:rsidRPr="00AA4807">
              <w:rPr>
                <w:rFonts w:cs="Arial"/>
                <w:color w:val="201F1E"/>
                <w:shd w:val="clear" w:color="auto" w:fill="FFFFFF"/>
                <w:lang w:val="en"/>
              </w:rPr>
              <w:t xml:space="preserve">to ensure high quality equity-centered coaching and professional learning </w:t>
            </w:r>
            <w:r w:rsidR="005C551E">
              <w:rPr>
                <w:rFonts w:cs="Arial"/>
                <w:color w:val="201F1E"/>
                <w:shd w:val="clear" w:color="auto" w:fill="FFFFFF"/>
                <w:lang w:val="en"/>
              </w:rPr>
              <w:t>through</w:t>
            </w:r>
            <w:r w:rsidR="00EE6AA9" w:rsidRPr="008D59F4">
              <w:rPr>
                <w:rFonts w:cs="Arial"/>
                <w:color w:val="201F1E"/>
                <w:shd w:val="clear" w:color="auto" w:fill="FFFFFF"/>
                <w:lang w:val="en"/>
              </w:rPr>
              <w:t xml:space="preserve"> a combination of </w:t>
            </w:r>
            <w:r w:rsidR="00EE6AA9" w:rsidRPr="00284BAA">
              <w:rPr>
                <w:rFonts w:cs="Arial"/>
                <w:color w:val="201F1E"/>
                <w:shd w:val="clear" w:color="auto" w:fill="FFFFFF"/>
                <w:lang w:val="en"/>
              </w:rPr>
              <w:t>virtual and in-person connections</w:t>
            </w:r>
            <w:r w:rsidR="00EE6AA9" w:rsidRPr="00AA4807">
              <w:rPr>
                <w:rFonts w:cs="Arial"/>
                <w:color w:val="201F1E"/>
                <w:shd w:val="clear" w:color="auto" w:fill="FFFFFF"/>
                <w:lang w:val="en"/>
              </w:rPr>
              <w:t xml:space="preserve"> as public </w:t>
            </w:r>
            <w:r w:rsidR="00EE6AA9" w:rsidRPr="008D59F4">
              <w:rPr>
                <w:rFonts w:cs="Arial"/>
                <w:color w:val="201F1E"/>
                <w:shd w:val="clear" w:color="auto" w:fill="FFFFFF"/>
                <w:lang w:val="en"/>
              </w:rPr>
              <w:t>health guidance allows for the reintegration of in-person activities post-pandemic</w:t>
            </w:r>
            <w:r w:rsidR="00EE6AA9">
              <w:rPr>
                <w:rFonts w:cs="Arial"/>
                <w:color w:val="201F1E"/>
                <w:shd w:val="clear" w:color="auto" w:fill="FFFFFF"/>
                <w:lang w:val="en"/>
              </w:rPr>
              <w:t>.</w:t>
            </w:r>
          </w:p>
        </w:tc>
        <w:tc>
          <w:tcPr>
            <w:tcW w:w="3564" w:type="dxa"/>
          </w:tcPr>
          <w:p w14:paraId="06D04ED1" w14:textId="6CF3AAB1" w:rsidR="00E37574" w:rsidRPr="00570960" w:rsidRDefault="00E37574" w:rsidP="0025386B">
            <w:pPr>
              <w:rPr>
                <w:rFonts w:cs="Arial"/>
              </w:rPr>
            </w:pPr>
            <w:r w:rsidRPr="00570960">
              <w:rPr>
                <w:rFonts w:cs="Arial"/>
              </w:rPr>
              <w:t xml:space="preserve">The </w:t>
            </w:r>
            <w:r>
              <w:rPr>
                <w:rFonts w:cs="Arial"/>
              </w:rPr>
              <w:t>Center</w:t>
            </w:r>
            <w:r w:rsidRPr="00570960">
              <w:rPr>
                <w:rFonts w:cs="Arial"/>
              </w:rPr>
              <w:t xml:space="preserve"> has partially </w:t>
            </w:r>
            <w:r w:rsidR="004D5A47">
              <w:rPr>
                <w:rFonts w:cs="Arial"/>
                <w:color w:val="201F1E"/>
                <w:shd w:val="clear" w:color="auto" w:fill="FFFFFF"/>
                <w:lang w:val="en"/>
              </w:rPr>
              <w:t>supported</w:t>
            </w:r>
            <w:r w:rsidR="00EE6AA9">
              <w:rPr>
                <w:rFonts w:cs="Arial"/>
                <w:color w:val="201F1E"/>
                <w:shd w:val="clear" w:color="auto" w:fill="FFFFFF"/>
                <w:lang w:val="en"/>
              </w:rPr>
              <w:t xml:space="preserve"> the RAs to engage in </w:t>
            </w:r>
            <w:r w:rsidR="00EE6AA9" w:rsidRPr="00AA4807">
              <w:rPr>
                <w:rFonts w:cs="Arial"/>
                <w:color w:val="201F1E"/>
                <w:shd w:val="clear" w:color="auto" w:fill="FFFFFF"/>
                <w:lang w:val="en"/>
              </w:rPr>
              <w:t>continuous improvement practices</w:t>
            </w:r>
            <w:r w:rsidR="00EE6AA9" w:rsidRPr="008D59F4">
              <w:rPr>
                <w:rFonts w:cs="Arial"/>
                <w:color w:val="201F1E"/>
                <w:shd w:val="clear" w:color="auto" w:fill="FFFFFF"/>
                <w:lang w:val="en"/>
              </w:rPr>
              <w:t xml:space="preserve"> </w:t>
            </w:r>
            <w:r w:rsidR="00EE6AA9" w:rsidRPr="00AA4807">
              <w:rPr>
                <w:rFonts w:cs="Arial"/>
                <w:color w:val="201F1E"/>
                <w:shd w:val="clear" w:color="auto" w:fill="FFFFFF"/>
                <w:lang w:val="en"/>
              </w:rPr>
              <w:t xml:space="preserve">to ensure high quality equity-centered coaching and professional learning </w:t>
            </w:r>
            <w:r w:rsidR="005C551E">
              <w:rPr>
                <w:rFonts w:cs="Arial"/>
                <w:color w:val="201F1E"/>
                <w:shd w:val="clear" w:color="auto" w:fill="FFFFFF"/>
                <w:lang w:val="en"/>
              </w:rPr>
              <w:t>through</w:t>
            </w:r>
            <w:r w:rsidR="00EE6AA9" w:rsidRPr="008D59F4">
              <w:rPr>
                <w:rFonts w:cs="Arial"/>
                <w:color w:val="201F1E"/>
                <w:shd w:val="clear" w:color="auto" w:fill="FFFFFF"/>
                <w:lang w:val="en"/>
              </w:rPr>
              <w:t xml:space="preserve"> a combination of </w:t>
            </w:r>
            <w:r w:rsidR="00EE6AA9" w:rsidRPr="00284BAA">
              <w:rPr>
                <w:rFonts w:cs="Arial"/>
                <w:color w:val="201F1E"/>
                <w:shd w:val="clear" w:color="auto" w:fill="FFFFFF"/>
                <w:lang w:val="en"/>
              </w:rPr>
              <w:t>virtual and in-person connections</w:t>
            </w:r>
            <w:r w:rsidR="00EE6AA9" w:rsidRPr="00AA4807">
              <w:rPr>
                <w:rFonts w:cs="Arial"/>
                <w:color w:val="201F1E"/>
                <w:shd w:val="clear" w:color="auto" w:fill="FFFFFF"/>
                <w:lang w:val="en"/>
              </w:rPr>
              <w:t xml:space="preserve"> as public </w:t>
            </w:r>
            <w:r w:rsidR="00EE6AA9" w:rsidRPr="008D59F4">
              <w:rPr>
                <w:rFonts w:cs="Arial"/>
                <w:color w:val="201F1E"/>
                <w:shd w:val="clear" w:color="auto" w:fill="FFFFFF"/>
                <w:lang w:val="en"/>
              </w:rPr>
              <w:t>health guidance allows for the reintegration of in-person activities post-pandemic</w:t>
            </w:r>
            <w:r w:rsidR="00EE6AA9">
              <w:rPr>
                <w:rFonts w:cs="Arial"/>
                <w:color w:val="201F1E"/>
                <w:shd w:val="clear" w:color="auto" w:fill="FFFFFF"/>
                <w:lang w:val="en"/>
              </w:rPr>
              <w:t>.</w:t>
            </w:r>
          </w:p>
        </w:tc>
        <w:tc>
          <w:tcPr>
            <w:tcW w:w="3564" w:type="dxa"/>
          </w:tcPr>
          <w:p w14:paraId="59657FCB" w14:textId="5AE82C41" w:rsidR="00E37574" w:rsidRPr="00570960" w:rsidRDefault="00E37574" w:rsidP="0025386B">
            <w:pPr>
              <w:rPr>
                <w:rFonts w:cs="Arial"/>
              </w:rPr>
            </w:pPr>
            <w:r w:rsidRPr="00570960">
              <w:rPr>
                <w:rFonts w:cs="Arial"/>
              </w:rPr>
              <w:t xml:space="preserve">The </w:t>
            </w:r>
            <w:r>
              <w:rPr>
                <w:rFonts w:cs="Arial"/>
              </w:rPr>
              <w:t>Center</w:t>
            </w:r>
            <w:r w:rsidRPr="00570960">
              <w:rPr>
                <w:rFonts w:cs="Arial"/>
              </w:rPr>
              <w:t xml:space="preserve"> has not </w:t>
            </w:r>
            <w:r w:rsidR="004D5A47">
              <w:rPr>
                <w:rFonts w:cs="Arial"/>
                <w:color w:val="201F1E"/>
                <w:shd w:val="clear" w:color="auto" w:fill="FFFFFF"/>
                <w:lang w:val="en"/>
              </w:rPr>
              <w:t>supported</w:t>
            </w:r>
            <w:r w:rsidR="00EE6AA9">
              <w:rPr>
                <w:rFonts w:cs="Arial"/>
                <w:color w:val="201F1E"/>
                <w:shd w:val="clear" w:color="auto" w:fill="FFFFFF"/>
                <w:lang w:val="en"/>
              </w:rPr>
              <w:t xml:space="preserve"> the RAs to engage in </w:t>
            </w:r>
            <w:r w:rsidR="00EE6AA9" w:rsidRPr="00AA4807">
              <w:rPr>
                <w:rFonts w:cs="Arial"/>
                <w:color w:val="201F1E"/>
                <w:shd w:val="clear" w:color="auto" w:fill="FFFFFF"/>
                <w:lang w:val="en"/>
              </w:rPr>
              <w:t>continuous improvement practices</w:t>
            </w:r>
            <w:r w:rsidR="00EE6AA9" w:rsidRPr="008D59F4">
              <w:rPr>
                <w:rFonts w:cs="Arial"/>
                <w:color w:val="201F1E"/>
                <w:shd w:val="clear" w:color="auto" w:fill="FFFFFF"/>
                <w:lang w:val="en"/>
              </w:rPr>
              <w:t xml:space="preserve"> </w:t>
            </w:r>
            <w:r w:rsidR="00EE6AA9" w:rsidRPr="00AA4807">
              <w:rPr>
                <w:rFonts w:cs="Arial"/>
                <w:color w:val="201F1E"/>
                <w:shd w:val="clear" w:color="auto" w:fill="FFFFFF"/>
                <w:lang w:val="en"/>
              </w:rPr>
              <w:t xml:space="preserve">to ensure high quality equity-centered coaching and professional learning </w:t>
            </w:r>
            <w:r w:rsidR="005C551E">
              <w:rPr>
                <w:rFonts w:cs="Arial"/>
                <w:color w:val="201F1E"/>
                <w:shd w:val="clear" w:color="auto" w:fill="FFFFFF"/>
                <w:lang w:val="en"/>
              </w:rPr>
              <w:t>through</w:t>
            </w:r>
            <w:r w:rsidR="00EE6AA9" w:rsidRPr="008D59F4">
              <w:rPr>
                <w:rFonts w:cs="Arial"/>
                <w:color w:val="201F1E"/>
                <w:shd w:val="clear" w:color="auto" w:fill="FFFFFF"/>
                <w:lang w:val="en"/>
              </w:rPr>
              <w:t xml:space="preserve"> a combination of </w:t>
            </w:r>
            <w:r w:rsidR="00EE6AA9" w:rsidRPr="00284BAA">
              <w:rPr>
                <w:rFonts w:cs="Arial"/>
                <w:color w:val="201F1E"/>
                <w:shd w:val="clear" w:color="auto" w:fill="FFFFFF"/>
                <w:lang w:val="en"/>
              </w:rPr>
              <w:t>virtual and in-person connections</w:t>
            </w:r>
            <w:r w:rsidR="00EE6AA9" w:rsidRPr="00AA4807">
              <w:rPr>
                <w:rFonts w:cs="Arial"/>
                <w:color w:val="201F1E"/>
                <w:shd w:val="clear" w:color="auto" w:fill="FFFFFF"/>
                <w:lang w:val="en"/>
              </w:rPr>
              <w:t xml:space="preserve"> as public </w:t>
            </w:r>
            <w:r w:rsidR="00EE6AA9" w:rsidRPr="008D59F4">
              <w:rPr>
                <w:rFonts w:cs="Arial"/>
                <w:color w:val="201F1E"/>
                <w:shd w:val="clear" w:color="auto" w:fill="FFFFFF"/>
                <w:lang w:val="en"/>
              </w:rPr>
              <w:t>health guidance allows for the reintegration of in-person activities post-pandemic</w:t>
            </w:r>
            <w:r w:rsidR="00EE6AA9">
              <w:rPr>
                <w:rFonts w:cs="Arial"/>
                <w:color w:val="201F1E"/>
                <w:shd w:val="clear" w:color="auto" w:fill="FFFFFF"/>
                <w:lang w:val="en"/>
              </w:rPr>
              <w:t>.</w:t>
            </w:r>
          </w:p>
        </w:tc>
      </w:tr>
    </w:tbl>
    <w:p w14:paraId="55549868" w14:textId="77B710E3" w:rsidR="00E37574" w:rsidRDefault="00E37574" w:rsidP="00596A2E"/>
    <w:p w14:paraId="5C489E9F" w14:textId="77777777" w:rsidR="00A6025C" w:rsidRDefault="00A6025C" w:rsidP="00596A2E">
      <w:r>
        <w:t>California Department of Education</w:t>
      </w:r>
    </w:p>
    <w:p w14:paraId="47B34F2D" w14:textId="1BE5DC7E" w:rsidR="00E37574" w:rsidRPr="00D73D23" w:rsidRDefault="00A6025C" w:rsidP="00596A2E">
      <w:r>
        <w:t>May 2022</w:t>
      </w:r>
    </w:p>
    <w:sectPr w:rsidR="00E37574" w:rsidRPr="00D73D23" w:rsidSect="00E37574">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CA46" w14:textId="77777777" w:rsidR="002063FE" w:rsidRDefault="002063FE">
      <w:r>
        <w:separator/>
      </w:r>
    </w:p>
  </w:endnote>
  <w:endnote w:type="continuationSeparator" w:id="0">
    <w:p w14:paraId="5B24F0E1" w14:textId="77777777" w:rsidR="002063FE" w:rsidRDefault="002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C1F3" w14:textId="349980C9" w:rsidR="00D67BF4" w:rsidRDefault="00D67BF4" w:rsidP="001F7C7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65D8" w14:textId="77777777" w:rsidR="002063FE" w:rsidRDefault="002063FE">
      <w:r>
        <w:separator/>
      </w:r>
    </w:p>
  </w:footnote>
  <w:footnote w:type="continuationSeparator" w:id="0">
    <w:p w14:paraId="15265DFC" w14:textId="77777777" w:rsidR="002063FE" w:rsidRDefault="002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724C" w14:textId="77777777" w:rsidR="00D67BF4" w:rsidRPr="00162B05" w:rsidRDefault="00D67BF4" w:rsidP="00AB3163">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12764"/>
    <w:multiLevelType w:val="hybridMultilevel"/>
    <w:tmpl w:val="0B948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4D9F"/>
    <w:multiLevelType w:val="hybridMultilevel"/>
    <w:tmpl w:val="1620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A2C8B"/>
    <w:multiLevelType w:val="hybridMultilevel"/>
    <w:tmpl w:val="14126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D724D"/>
    <w:multiLevelType w:val="hybridMultilevel"/>
    <w:tmpl w:val="AAB4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C343E"/>
    <w:multiLevelType w:val="hybridMultilevel"/>
    <w:tmpl w:val="DF1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74BEF"/>
    <w:multiLevelType w:val="multilevel"/>
    <w:tmpl w:val="2AD0C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E86A71"/>
    <w:multiLevelType w:val="hybridMultilevel"/>
    <w:tmpl w:val="C5C0E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66CD5"/>
    <w:multiLevelType w:val="hybridMultilevel"/>
    <w:tmpl w:val="233E78D2"/>
    <w:lvl w:ilvl="0" w:tplc="9B1039B6">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AF54125"/>
    <w:multiLevelType w:val="hybridMultilevel"/>
    <w:tmpl w:val="4EF2FC68"/>
    <w:lvl w:ilvl="0" w:tplc="AF1069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01937"/>
    <w:multiLevelType w:val="hybridMultilevel"/>
    <w:tmpl w:val="06E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81C57"/>
    <w:multiLevelType w:val="hybridMultilevel"/>
    <w:tmpl w:val="AFFA831E"/>
    <w:lvl w:ilvl="0" w:tplc="0CC89F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7546E"/>
    <w:multiLevelType w:val="hybridMultilevel"/>
    <w:tmpl w:val="9DD0D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53BF8"/>
    <w:multiLevelType w:val="hybridMultilevel"/>
    <w:tmpl w:val="E50EE42A"/>
    <w:lvl w:ilvl="0" w:tplc="C8588A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B359C"/>
    <w:multiLevelType w:val="hybridMultilevel"/>
    <w:tmpl w:val="2AB00766"/>
    <w:lvl w:ilvl="0" w:tplc="79CE6A3E">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F34DAD"/>
    <w:multiLevelType w:val="hybridMultilevel"/>
    <w:tmpl w:val="86BEA302"/>
    <w:lvl w:ilvl="0" w:tplc="0C2A0260">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B5314"/>
    <w:multiLevelType w:val="hybridMultilevel"/>
    <w:tmpl w:val="216C6CE4"/>
    <w:lvl w:ilvl="0" w:tplc="5518E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55E4F"/>
    <w:multiLevelType w:val="hybridMultilevel"/>
    <w:tmpl w:val="F2AC6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D354A"/>
    <w:multiLevelType w:val="hybridMultilevel"/>
    <w:tmpl w:val="252C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43CB6"/>
    <w:multiLevelType w:val="hybridMultilevel"/>
    <w:tmpl w:val="CBB222C2"/>
    <w:lvl w:ilvl="0" w:tplc="84FE8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07731"/>
    <w:multiLevelType w:val="hybridMultilevel"/>
    <w:tmpl w:val="2BD60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D170D"/>
    <w:multiLevelType w:val="hybridMultilevel"/>
    <w:tmpl w:val="E68879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4E820F8"/>
    <w:multiLevelType w:val="hybridMultilevel"/>
    <w:tmpl w:val="9D4AC9F8"/>
    <w:lvl w:ilvl="0" w:tplc="F0208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D3673"/>
    <w:multiLevelType w:val="hybridMultilevel"/>
    <w:tmpl w:val="CBD2E7B0"/>
    <w:lvl w:ilvl="0" w:tplc="32183A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42786"/>
    <w:multiLevelType w:val="hybridMultilevel"/>
    <w:tmpl w:val="CB2AA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40F25"/>
    <w:multiLevelType w:val="hybridMultilevel"/>
    <w:tmpl w:val="46708514"/>
    <w:lvl w:ilvl="0" w:tplc="9F9CB904">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D418C"/>
    <w:multiLevelType w:val="hybridMultilevel"/>
    <w:tmpl w:val="2C6EC622"/>
    <w:lvl w:ilvl="0" w:tplc="C756B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27D37"/>
    <w:multiLevelType w:val="hybridMultilevel"/>
    <w:tmpl w:val="302A0D3C"/>
    <w:lvl w:ilvl="0" w:tplc="FEDCDBBA">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28" w15:restartNumberingAfterBreak="0">
    <w:nsid w:val="589E711A"/>
    <w:multiLevelType w:val="hybridMultilevel"/>
    <w:tmpl w:val="971CA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E5B81"/>
    <w:multiLevelType w:val="hybridMultilevel"/>
    <w:tmpl w:val="56D0E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559AA"/>
    <w:multiLevelType w:val="hybridMultilevel"/>
    <w:tmpl w:val="4F4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247A1"/>
    <w:multiLevelType w:val="hybridMultilevel"/>
    <w:tmpl w:val="AB8214C8"/>
    <w:lvl w:ilvl="0" w:tplc="9A36B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6D6FB6"/>
    <w:multiLevelType w:val="hybridMultilevel"/>
    <w:tmpl w:val="AFDAC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A6FE9"/>
    <w:multiLevelType w:val="hybridMultilevel"/>
    <w:tmpl w:val="84149590"/>
    <w:lvl w:ilvl="0" w:tplc="9A08B1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392535">
    <w:abstractNumId w:val="27"/>
  </w:num>
  <w:num w:numId="2" w16cid:durableId="1703281903">
    <w:abstractNumId w:val="8"/>
  </w:num>
  <w:num w:numId="3" w16cid:durableId="29914315">
    <w:abstractNumId w:val="14"/>
  </w:num>
  <w:num w:numId="4" w16cid:durableId="1225332358">
    <w:abstractNumId w:val="6"/>
  </w:num>
  <w:num w:numId="5" w16cid:durableId="1291126957">
    <w:abstractNumId w:val="25"/>
  </w:num>
  <w:num w:numId="6" w16cid:durableId="698362696">
    <w:abstractNumId w:val="18"/>
  </w:num>
  <w:num w:numId="7" w16cid:durableId="1803032466">
    <w:abstractNumId w:val="8"/>
  </w:num>
  <w:num w:numId="8" w16cid:durableId="603924313">
    <w:abstractNumId w:val="2"/>
  </w:num>
  <w:num w:numId="9" w16cid:durableId="1462575358">
    <w:abstractNumId w:val="0"/>
  </w:num>
  <w:num w:numId="10" w16cid:durableId="2056659509">
    <w:abstractNumId w:val="5"/>
  </w:num>
  <w:num w:numId="11" w16cid:durableId="1851525444">
    <w:abstractNumId w:val="4"/>
  </w:num>
  <w:num w:numId="12" w16cid:durableId="397435039">
    <w:abstractNumId w:val="30"/>
  </w:num>
  <w:num w:numId="13" w16cid:durableId="1289120451">
    <w:abstractNumId w:val="10"/>
  </w:num>
  <w:num w:numId="14" w16cid:durableId="332535208">
    <w:abstractNumId w:val="8"/>
    <w:lvlOverride w:ilvl="0">
      <w:startOverride w:val="6"/>
    </w:lvlOverride>
  </w:num>
  <w:num w:numId="15" w16cid:durableId="1959490497">
    <w:abstractNumId w:val="15"/>
  </w:num>
  <w:num w:numId="16" w16cid:durableId="1477844927">
    <w:abstractNumId w:val="21"/>
  </w:num>
  <w:num w:numId="17" w16cid:durableId="997999937">
    <w:abstractNumId w:val="22"/>
  </w:num>
  <w:num w:numId="18" w16cid:durableId="1554346697">
    <w:abstractNumId w:val="33"/>
  </w:num>
  <w:num w:numId="19" w16cid:durableId="2110391965">
    <w:abstractNumId w:val="16"/>
  </w:num>
  <w:num w:numId="20" w16cid:durableId="2095854148">
    <w:abstractNumId w:val="13"/>
  </w:num>
  <w:num w:numId="21" w16cid:durableId="1664551998">
    <w:abstractNumId w:val="26"/>
  </w:num>
  <w:num w:numId="22" w16cid:durableId="1494637896">
    <w:abstractNumId w:val="11"/>
  </w:num>
  <w:num w:numId="23" w16cid:durableId="381826272">
    <w:abstractNumId w:val="19"/>
  </w:num>
  <w:num w:numId="24" w16cid:durableId="590697091">
    <w:abstractNumId w:val="31"/>
  </w:num>
  <w:num w:numId="25" w16cid:durableId="989214953">
    <w:abstractNumId w:val="3"/>
  </w:num>
  <w:num w:numId="26" w16cid:durableId="1841657193">
    <w:abstractNumId w:val="23"/>
  </w:num>
  <w:num w:numId="27" w16cid:durableId="535892466">
    <w:abstractNumId w:val="1"/>
  </w:num>
  <w:num w:numId="28" w16cid:durableId="1040284830">
    <w:abstractNumId w:val="9"/>
  </w:num>
  <w:num w:numId="29" w16cid:durableId="126316999">
    <w:abstractNumId w:val="28"/>
  </w:num>
  <w:num w:numId="30" w16cid:durableId="892042454">
    <w:abstractNumId w:val="12"/>
  </w:num>
  <w:num w:numId="31" w16cid:durableId="889343228">
    <w:abstractNumId w:val="20"/>
  </w:num>
  <w:num w:numId="32" w16cid:durableId="553397823">
    <w:abstractNumId w:val="17"/>
  </w:num>
  <w:num w:numId="33" w16cid:durableId="1520777941">
    <w:abstractNumId w:val="24"/>
  </w:num>
  <w:num w:numId="34" w16cid:durableId="2081631638">
    <w:abstractNumId w:val="32"/>
  </w:num>
  <w:num w:numId="35" w16cid:durableId="7143440">
    <w:abstractNumId w:val="29"/>
  </w:num>
  <w:num w:numId="36" w16cid:durableId="197979909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09"/>
    <w:rsid w:val="00003F4D"/>
    <w:rsid w:val="00004198"/>
    <w:rsid w:val="00012BD0"/>
    <w:rsid w:val="00022FB7"/>
    <w:rsid w:val="00023CC9"/>
    <w:rsid w:val="000262FB"/>
    <w:rsid w:val="00030DC8"/>
    <w:rsid w:val="000326B8"/>
    <w:rsid w:val="000351D6"/>
    <w:rsid w:val="00035D1D"/>
    <w:rsid w:val="00036F7C"/>
    <w:rsid w:val="000374FA"/>
    <w:rsid w:val="00042905"/>
    <w:rsid w:val="00042BED"/>
    <w:rsid w:val="000517B1"/>
    <w:rsid w:val="0005302C"/>
    <w:rsid w:val="00053707"/>
    <w:rsid w:val="00060BD6"/>
    <w:rsid w:val="00061C53"/>
    <w:rsid w:val="00062711"/>
    <w:rsid w:val="000641BC"/>
    <w:rsid w:val="00072EBF"/>
    <w:rsid w:val="0007371D"/>
    <w:rsid w:val="00074442"/>
    <w:rsid w:val="00082D41"/>
    <w:rsid w:val="000834D5"/>
    <w:rsid w:val="00084219"/>
    <w:rsid w:val="00085EDA"/>
    <w:rsid w:val="000900FB"/>
    <w:rsid w:val="00090B83"/>
    <w:rsid w:val="00096136"/>
    <w:rsid w:val="00096371"/>
    <w:rsid w:val="00096F13"/>
    <w:rsid w:val="00097108"/>
    <w:rsid w:val="000A122A"/>
    <w:rsid w:val="000A2DDB"/>
    <w:rsid w:val="000A64D2"/>
    <w:rsid w:val="000B1024"/>
    <w:rsid w:val="000B169A"/>
    <w:rsid w:val="000B19EF"/>
    <w:rsid w:val="000B2040"/>
    <w:rsid w:val="000B52B7"/>
    <w:rsid w:val="000B63B2"/>
    <w:rsid w:val="000B72DE"/>
    <w:rsid w:val="000C0FD5"/>
    <w:rsid w:val="000C565B"/>
    <w:rsid w:val="000D0A6F"/>
    <w:rsid w:val="000D3FAB"/>
    <w:rsid w:val="000D67D9"/>
    <w:rsid w:val="000E0C4E"/>
    <w:rsid w:val="000E15E9"/>
    <w:rsid w:val="000E7073"/>
    <w:rsid w:val="00101FC6"/>
    <w:rsid w:val="00106C18"/>
    <w:rsid w:val="001113B1"/>
    <w:rsid w:val="00122953"/>
    <w:rsid w:val="00124798"/>
    <w:rsid w:val="001257D1"/>
    <w:rsid w:val="00126C8B"/>
    <w:rsid w:val="00126F06"/>
    <w:rsid w:val="00131680"/>
    <w:rsid w:val="001329FF"/>
    <w:rsid w:val="00134884"/>
    <w:rsid w:val="00136AB0"/>
    <w:rsid w:val="00136CE0"/>
    <w:rsid w:val="0014217A"/>
    <w:rsid w:val="00143293"/>
    <w:rsid w:val="00152041"/>
    <w:rsid w:val="00152543"/>
    <w:rsid w:val="001547C2"/>
    <w:rsid w:val="0015524D"/>
    <w:rsid w:val="0015599A"/>
    <w:rsid w:val="0015627D"/>
    <w:rsid w:val="0015697F"/>
    <w:rsid w:val="00156BC5"/>
    <w:rsid w:val="00157AF0"/>
    <w:rsid w:val="00162293"/>
    <w:rsid w:val="00167E3B"/>
    <w:rsid w:val="00170F2E"/>
    <w:rsid w:val="00171C55"/>
    <w:rsid w:val="00180BFA"/>
    <w:rsid w:val="001812B6"/>
    <w:rsid w:val="00185446"/>
    <w:rsid w:val="00186377"/>
    <w:rsid w:val="00190FC5"/>
    <w:rsid w:val="001925FC"/>
    <w:rsid w:val="001932B2"/>
    <w:rsid w:val="0019643F"/>
    <w:rsid w:val="001A2054"/>
    <w:rsid w:val="001A29D6"/>
    <w:rsid w:val="001A4B2E"/>
    <w:rsid w:val="001B0997"/>
    <w:rsid w:val="001B166E"/>
    <w:rsid w:val="001B2524"/>
    <w:rsid w:val="001B395A"/>
    <w:rsid w:val="001B4693"/>
    <w:rsid w:val="001B4842"/>
    <w:rsid w:val="001C10DC"/>
    <w:rsid w:val="001C14C8"/>
    <w:rsid w:val="001C2216"/>
    <w:rsid w:val="001C3761"/>
    <w:rsid w:val="001C4AD1"/>
    <w:rsid w:val="001C56C7"/>
    <w:rsid w:val="001D59D2"/>
    <w:rsid w:val="001E1A26"/>
    <w:rsid w:val="001E1CFC"/>
    <w:rsid w:val="001E203F"/>
    <w:rsid w:val="001E2673"/>
    <w:rsid w:val="001E49C4"/>
    <w:rsid w:val="001E7C8D"/>
    <w:rsid w:val="001F043D"/>
    <w:rsid w:val="001F382E"/>
    <w:rsid w:val="001F501A"/>
    <w:rsid w:val="001F5352"/>
    <w:rsid w:val="001F7C78"/>
    <w:rsid w:val="0020336D"/>
    <w:rsid w:val="00203A19"/>
    <w:rsid w:val="00204E4D"/>
    <w:rsid w:val="002063FE"/>
    <w:rsid w:val="002067FD"/>
    <w:rsid w:val="002075B1"/>
    <w:rsid w:val="002114D9"/>
    <w:rsid w:val="00213944"/>
    <w:rsid w:val="0023146A"/>
    <w:rsid w:val="00231705"/>
    <w:rsid w:val="00232B01"/>
    <w:rsid w:val="00236F69"/>
    <w:rsid w:val="00237563"/>
    <w:rsid w:val="0024023F"/>
    <w:rsid w:val="00245447"/>
    <w:rsid w:val="002461CC"/>
    <w:rsid w:val="00252826"/>
    <w:rsid w:val="0025386B"/>
    <w:rsid w:val="002547C2"/>
    <w:rsid w:val="00254E0C"/>
    <w:rsid w:val="00254EEC"/>
    <w:rsid w:val="00256BD9"/>
    <w:rsid w:val="00256D46"/>
    <w:rsid w:val="002570B8"/>
    <w:rsid w:val="002602D7"/>
    <w:rsid w:val="00263D5B"/>
    <w:rsid w:val="00266CBA"/>
    <w:rsid w:val="002719D7"/>
    <w:rsid w:val="0027715E"/>
    <w:rsid w:val="00280760"/>
    <w:rsid w:val="00284B3D"/>
    <w:rsid w:val="00284BAA"/>
    <w:rsid w:val="00286DDA"/>
    <w:rsid w:val="00291480"/>
    <w:rsid w:val="00291D2B"/>
    <w:rsid w:val="00291E9F"/>
    <w:rsid w:val="002925F2"/>
    <w:rsid w:val="00293951"/>
    <w:rsid w:val="00294624"/>
    <w:rsid w:val="00294B9F"/>
    <w:rsid w:val="00295E47"/>
    <w:rsid w:val="002A1AFA"/>
    <w:rsid w:val="002A4B98"/>
    <w:rsid w:val="002A63ED"/>
    <w:rsid w:val="002A7716"/>
    <w:rsid w:val="002A7F75"/>
    <w:rsid w:val="002B4E6A"/>
    <w:rsid w:val="002C5988"/>
    <w:rsid w:val="002C64E8"/>
    <w:rsid w:val="002C6949"/>
    <w:rsid w:val="002C6AA7"/>
    <w:rsid w:val="002C712A"/>
    <w:rsid w:val="002C75A9"/>
    <w:rsid w:val="002E07FA"/>
    <w:rsid w:val="002E64AA"/>
    <w:rsid w:val="002E7B65"/>
    <w:rsid w:val="002F34F2"/>
    <w:rsid w:val="0030014E"/>
    <w:rsid w:val="003011EE"/>
    <w:rsid w:val="00302163"/>
    <w:rsid w:val="003061DD"/>
    <w:rsid w:val="00307FCF"/>
    <w:rsid w:val="00317314"/>
    <w:rsid w:val="003201F6"/>
    <w:rsid w:val="00320562"/>
    <w:rsid w:val="00323B05"/>
    <w:rsid w:val="00324EA9"/>
    <w:rsid w:val="003272E0"/>
    <w:rsid w:val="00332097"/>
    <w:rsid w:val="0033538A"/>
    <w:rsid w:val="00340820"/>
    <w:rsid w:val="00340A87"/>
    <w:rsid w:val="00341DDE"/>
    <w:rsid w:val="0035056F"/>
    <w:rsid w:val="00356A02"/>
    <w:rsid w:val="00357F3A"/>
    <w:rsid w:val="00362F7B"/>
    <w:rsid w:val="00363203"/>
    <w:rsid w:val="003675A9"/>
    <w:rsid w:val="003677DA"/>
    <w:rsid w:val="003707D0"/>
    <w:rsid w:val="0037157E"/>
    <w:rsid w:val="003808D9"/>
    <w:rsid w:val="00380F10"/>
    <w:rsid w:val="00381C33"/>
    <w:rsid w:val="00381D96"/>
    <w:rsid w:val="00384DD3"/>
    <w:rsid w:val="0038762C"/>
    <w:rsid w:val="00387A89"/>
    <w:rsid w:val="00391AE9"/>
    <w:rsid w:val="00392DF5"/>
    <w:rsid w:val="0039319A"/>
    <w:rsid w:val="003939D0"/>
    <w:rsid w:val="003A00C5"/>
    <w:rsid w:val="003A4019"/>
    <w:rsid w:val="003A5077"/>
    <w:rsid w:val="003A51E9"/>
    <w:rsid w:val="003A75E6"/>
    <w:rsid w:val="003C12C2"/>
    <w:rsid w:val="003C2C59"/>
    <w:rsid w:val="003C41DD"/>
    <w:rsid w:val="003C57D8"/>
    <w:rsid w:val="003D1535"/>
    <w:rsid w:val="003D155E"/>
    <w:rsid w:val="003D78FF"/>
    <w:rsid w:val="003E0458"/>
    <w:rsid w:val="003E1F35"/>
    <w:rsid w:val="003E68D9"/>
    <w:rsid w:val="003E7D0C"/>
    <w:rsid w:val="003F0A6D"/>
    <w:rsid w:val="003F680D"/>
    <w:rsid w:val="004046AC"/>
    <w:rsid w:val="004046CA"/>
    <w:rsid w:val="00405532"/>
    <w:rsid w:val="00407763"/>
    <w:rsid w:val="004110CD"/>
    <w:rsid w:val="00413446"/>
    <w:rsid w:val="00416886"/>
    <w:rsid w:val="00417A26"/>
    <w:rsid w:val="00417F69"/>
    <w:rsid w:val="00421693"/>
    <w:rsid w:val="0042197D"/>
    <w:rsid w:val="0042448B"/>
    <w:rsid w:val="00425D4D"/>
    <w:rsid w:val="0042622C"/>
    <w:rsid w:val="00426B6D"/>
    <w:rsid w:val="004307E8"/>
    <w:rsid w:val="00431014"/>
    <w:rsid w:val="0043116D"/>
    <w:rsid w:val="0043489E"/>
    <w:rsid w:val="00437BC0"/>
    <w:rsid w:val="004421DD"/>
    <w:rsid w:val="004426C5"/>
    <w:rsid w:val="00442975"/>
    <w:rsid w:val="0044633C"/>
    <w:rsid w:val="00446EA3"/>
    <w:rsid w:val="00450727"/>
    <w:rsid w:val="0045163D"/>
    <w:rsid w:val="004518C6"/>
    <w:rsid w:val="0045309F"/>
    <w:rsid w:val="00455162"/>
    <w:rsid w:val="004615EF"/>
    <w:rsid w:val="00461DE7"/>
    <w:rsid w:val="004620A1"/>
    <w:rsid w:val="00464468"/>
    <w:rsid w:val="0047292A"/>
    <w:rsid w:val="0047360A"/>
    <w:rsid w:val="00480F2C"/>
    <w:rsid w:val="004815F5"/>
    <w:rsid w:val="004823D1"/>
    <w:rsid w:val="00490350"/>
    <w:rsid w:val="00491292"/>
    <w:rsid w:val="004952B0"/>
    <w:rsid w:val="004975F2"/>
    <w:rsid w:val="00497F06"/>
    <w:rsid w:val="00497F61"/>
    <w:rsid w:val="004A194D"/>
    <w:rsid w:val="004A1AF3"/>
    <w:rsid w:val="004B4053"/>
    <w:rsid w:val="004B4281"/>
    <w:rsid w:val="004C02EA"/>
    <w:rsid w:val="004C15FE"/>
    <w:rsid w:val="004C2252"/>
    <w:rsid w:val="004C36BE"/>
    <w:rsid w:val="004C7AD6"/>
    <w:rsid w:val="004C7BCA"/>
    <w:rsid w:val="004D5116"/>
    <w:rsid w:val="004D5A47"/>
    <w:rsid w:val="004E550D"/>
    <w:rsid w:val="004E77BB"/>
    <w:rsid w:val="004F042F"/>
    <w:rsid w:val="004F0480"/>
    <w:rsid w:val="004F5826"/>
    <w:rsid w:val="004F7BD9"/>
    <w:rsid w:val="00501CAA"/>
    <w:rsid w:val="00505255"/>
    <w:rsid w:val="00514B8A"/>
    <w:rsid w:val="005178F3"/>
    <w:rsid w:val="005252E1"/>
    <w:rsid w:val="00526D68"/>
    <w:rsid w:val="00531A2B"/>
    <w:rsid w:val="005336BB"/>
    <w:rsid w:val="00534D66"/>
    <w:rsid w:val="005367A8"/>
    <w:rsid w:val="00536C6F"/>
    <w:rsid w:val="00536C82"/>
    <w:rsid w:val="005411A5"/>
    <w:rsid w:val="00542B5B"/>
    <w:rsid w:val="00543FFE"/>
    <w:rsid w:val="00545499"/>
    <w:rsid w:val="00545F3B"/>
    <w:rsid w:val="00546592"/>
    <w:rsid w:val="00547490"/>
    <w:rsid w:val="005514ED"/>
    <w:rsid w:val="00551793"/>
    <w:rsid w:val="005527F0"/>
    <w:rsid w:val="00552EC2"/>
    <w:rsid w:val="00552F40"/>
    <w:rsid w:val="00556918"/>
    <w:rsid w:val="00556CFF"/>
    <w:rsid w:val="00561173"/>
    <w:rsid w:val="00561CEE"/>
    <w:rsid w:val="00561EAB"/>
    <w:rsid w:val="00564B46"/>
    <w:rsid w:val="00566FC6"/>
    <w:rsid w:val="005721D7"/>
    <w:rsid w:val="00577128"/>
    <w:rsid w:val="00582307"/>
    <w:rsid w:val="00585AAA"/>
    <w:rsid w:val="00586C18"/>
    <w:rsid w:val="00591BAD"/>
    <w:rsid w:val="00592E6C"/>
    <w:rsid w:val="00595AB9"/>
    <w:rsid w:val="00596A2E"/>
    <w:rsid w:val="005A35FD"/>
    <w:rsid w:val="005B0E35"/>
    <w:rsid w:val="005B13AC"/>
    <w:rsid w:val="005B2248"/>
    <w:rsid w:val="005B54EB"/>
    <w:rsid w:val="005B5DCA"/>
    <w:rsid w:val="005C080E"/>
    <w:rsid w:val="005C093A"/>
    <w:rsid w:val="005C551E"/>
    <w:rsid w:val="005D0474"/>
    <w:rsid w:val="005D218E"/>
    <w:rsid w:val="005D5196"/>
    <w:rsid w:val="005E0A2F"/>
    <w:rsid w:val="005E0C6D"/>
    <w:rsid w:val="005F1CAA"/>
    <w:rsid w:val="005F2125"/>
    <w:rsid w:val="005F21B3"/>
    <w:rsid w:val="005F4547"/>
    <w:rsid w:val="005F4649"/>
    <w:rsid w:val="005F56F7"/>
    <w:rsid w:val="00604C33"/>
    <w:rsid w:val="006064C5"/>
    <w:rsid w:val="00607BA8"/>
    <w:rsid w:val="006106EE"/>
    <w:rsid w:val="00612C1B"/>
    <w:rsid w:val="00620BA6"/>
    <w:rsid w:val="0062204C"/>
    <w:rsid w:val="006270BF"/>
    <w:rsid w:val="00634461"/>
    <w:rsid w:val="006350DC"/>
    <w:rsid w:val="00641A9B"/>
    <w:rsid w:val="00643D6B"/>
    <w:rsid w:val="00650263"/>
    <w:rsid w:val="00651008"/>
    <w:rsid w:val="0065330B"/>
    <w:rsid w:val="00654771"/>
    <w:rsid w:val="00655E11"/>
    <w:rsid w:val="006601E0"/>
    <w:rsid w:val="0066307F"/>
    <w:rsid w:val="0066559A"/>
    <w:rsid w:val="00670C73"/>
    <w:rsid w:val="00670CAB"/>
    <w:rsid w:val="00671329"/>
    <w:rsid w:val="00676091"/>
    <w:rsid w:val="00676FC7"/>
    <w:rsid w:val="00677F13"/>
    <w:rsid w:val="00681D62"/>
    <w:rsid w:val="006829D5"/>
    <w:rsid w:val="00687122"/>
    <w:rsid w:val="00693FE2"/>
    <w:rsid w:val="00696471"/>
    <w:rsid w:val="006A037E"/>
    <w:rsid w:val="006A309C"/>
    <w:rsid w:val="006B541C"/>
    <w:rsid w:val="006B587E"/>
    <w:rsid w:val="006B70FB"/>
    <w:rsid w:val="006C1A82"/>
    <w:rsid w:val="006C1B9F"/>
    <w:rsid w:val="006C7B8E"/>
    <w:rsid w:val="006D0A0D"/>
    <w:rsid w:val="006D156A"/>
    <w:rsid w:val="006D19AD"/>
    <w:rsid w:val="006E475D"/>
    <w:rsid w:val="006E77BE"/>
    <w:rsid w:val="006F1BED"/>
    <w:rsid w:val="006F2BEE"/>
    <w:rsid w:val="006F59DF"/>
    <w:rsid w:val="006F7275"/>
    <w:rsid w:val="00702BDB"/>
    <w:rsid w:val="00703E28"/>
    <w:rsid w:val="00706F10"/>
    <w:rsid w:val="0071497A"/>
    <w:rsid w:val="0071601F"/>
    <w:rsid w:val="00720A24"/>
    <w:rsid w:val="00721197"/>
    <w:rsid w:val="00721EEB"/>
    <w:rsid w:val="00721FDB"/>
    <w:rsid w:val="00723909"/>
    <w:rsid w:val="0073226D"/>
    <w:rsid w:val="007362CE"/>
    <w:rsid w:val="007366BE"/>
    <w:rsid w:val="00736F56"/>
    <w:rsid w:val="00754D40"/>
    <w:rsid w:val="0076063B"/>
    <w:rsid w:val="00760801"/>
    <w:rsid w:val="00761C02"/>
    <w:rsid w:val="007628D1"/>
    <w:rsid w:val="007649EA"/>
    <w:rsid w:val="00767B56"/>
    <w:rsid w:val="00771095"/>
    <w:rsid w:val="00772D17"/>
    <w:rsid w:val="00777EA2"/>
    <w:rsid w:val="00783BBE"/>
    <w:rsid w:val="00785471"/>
    <w:rsid w:val="007935E5"/>
    <w:rsid w:val="00796E92"/>
    <w:rsid w:val="007A1014"/>
    <w:rsid w:val="007A2DD5"/>
    <w:rsid w:val="007A40DD"/>
    <w:rsid w:val="007A4116"/>
    <w:rsid w:val="007A49F9"/>
    <w:rsid w:val="007A7330"/>
    <w:rsid w:val="007A7737"/>
    <w:rsid w:val="007A78E8"/>
    <w:rsid w:val="007B0358"/>
    <w:rsid w:val="007B12BB"/>
    <w:rsid w:val="007B63D4"/>
    <w:rsid w:val="007B6C24"/>
    <w:rsid w:val="007C2FF9"/>
    <w:rsid w:val="007C7180"/>
    <w:rsid w:val="007D0B20"/>
    <w:rsid w:val="007D6B31"/>
    <w:rsid w:val="007E3DFF"/>
    <w:rsid w:val="007E4007"/>
    <w:rsid w:val="007E5996"/>
    <w:rsid w:val="007E7153"/>
    <w:rsid w:val="007F1D09"/>
    <w:rsid w:val="007F1FD6"/>
    <w:rsid w:val="007F3DD8"/>
    <w:rsid w:val="00801BA7"/>
    <w:rsid w:val="00802DC9"/>
    <w:rsid w:val="0080389B"/>
    <w:rsid w:val="00806336"/>
    <w:rsid w:val="00807E59"/>
    <w:rsid w:val="00812819"/>
    <w:rsid w:val="00813471"/>
    <w:rsid w:val="008151C4"/>
    <w:rsid w:val="008159CF"/>
    <w:rsid w:val="008169B5"/>
    <w:rsid w:val="00816E89"/>
    <w:rsid w:val="00825D63"/>
    <w:rsid w:val="00826127"/>
    <w:rsid w:val="00826D40"/>
    <w:rsid w:val="008276DA"/>
    <w:rsid w:val="00830F47"/>
    <w:rsid w:val="00833C83"/>
    <w:rsid w:val="00844848"/>
    <w:rsid w:val="00844F97"/>
    <w:rsid w:val="00845B7C"/>
    <w:rsid w:val="00846FA2"/>
    <w:rsid w:val="00856C92"/>
    <w:rsid w:val="00861982"/>
    <w:rsid w:val="00861E04"/>
    <w:rsid w:val="008626A8"/>
    <w:rsid w:val="00862CE1"/>
    <w:rsid w:val="00863189"/>
    <w:rsid w:val="0086496F"/>
    <w:rsid w:val="00865871"/>
    <w:rsid w:val="00866B5D"/>
    <w:rsid w:val="00875560"/>
    <w:rsid w:val="00876617"/>
    <w:rsid w:val="00877A6B"/>
    <w:rsid w:val="0088085B"/>
    <w:rsid w:val="008808D8"/>
    <w:rsid w:val="00881C36"/>
    <w:rsid w:val="008831DD"/>
    <w:rsid w:val="00884AAD"/>
    <w:rsid w:val="008916F4"/>
    <w:rsid w:val="008919D5"/>
    <w:rsid w:val="00891E18"/>
    <w:rsid w:val="0089601D"/>
    <w:rsid w:val="008A1121"/>
    <w:rsid w:val="008A29BB"/>
    <w:rsid w:val="008A5058"/>
    <w:rsid w:val="008A7193"/>
    <w:rsid w:val="008B4504"/>
    <w:rsid w:val="008B50BB"/>
    <w:rsid w:val="008B51CC"/>
    <w:rsid w:val="008B5889"/>
    <w:rsid w:val="008B5A6D"/>
    <w:rsid w:val="008C174D"/>
    <w:rsid w:val="008C4AF9"/>
    <w:rsid w:val="008C6207"/>
    <w:rsid w:val="008C6F9B"/>
    <w:rsid w:val="008D2491"/>
    <w:rsid w:val="008D3D63"/>
    <w:rsid w:val="008D59F4"/>
    <w:rsid w:val="008D5B1E"/>
    <w:rsid w:val="008E1DF1"/>
    <w:rsid w:val="008E79F5"/>
    <w:rsid w:val="008F0683"/>
    <w:rsid w:val="008F17EE"/>
    <w:rsid w:val="008F4998"/>
    <w:rsid w:val="008F5955"/>
    <w:rsid w:val="008F6253"/>
    <w:rsid w:val="008F7833"/>
    <w:rsid w:val="00912AE1"/>
    <w:rsid w:val="00913DB9"/>
    <w:rsid w:val="009164B3"/>
    <w:rsid w:val="00916762"/>
    <w:rsid w:val="00923FEE"/>
    <w:rsid w:val="00924C25"/>
    <w:rsid w:val="00926777"/>
    <w:rsid w:val="00926A5E"/>
    <w:rsid w:val="00931BA9"/>
    <w:rsid w:val="00933138"/>
    <w:rsid w:val="009340F9"/>
    <w:rsid w:val="00935B44"/>
    <w:rsid w:val="00936E4F"/>
    <w:rsid w:val="00941B24"/>
    <w:rsid w:val="00945D1D"/>
    <w:rsid w:val="0094656A"/>
    <w:rsid w:val="00954947"/>
    <w:rsid w:val="0095583A"/>
    <w:rsid w:val="00956B80"/>
    <w:rsid w:val="00956FB4"/>
    <w:rsid w:val="00961BC4"/>
    <w:rsid w:val="00963E23"/>
    <w:rsid w:val="0096431C"/>
    <w:rsid w:val="009645F0"/>
    <w:rsid w:val="00964685"/>
    <w:rsid w:val="00973A32"/>
    <w:rsid w:val="009764FA"/>
    <w:rsid w:val="00977F7D"/>
    <w:rsid w:val="00982670"/>
    <w:rsid w:val="0098290A"/>
    <w:rsid w:val="00987A97"/>
    <w:rsid w:val="009A292E"/>
    <w:rsid w:val="009A582F"/>
    <w:rsid w:val="009A6FCF"/>
    <w:rsid w:val="009A7F1A"/>
    <w:rsid w:val="009B2C06"/>
    <w:rsid w:val="009C136E"/>
    <w:rsid w:val="009C1F49"/>
    <w:rsid w:val="009C263B"/>
    <w:rsid w:val="009C3356"/>
    <w:rsid w:val="009C3789"/>
    <w:rsid w:val="009C4958"/>
    <w:rsid w:val="009C74C2"/>
    <w:rsid w:val="009C7599"/>
    <w:rsid w:val="009D1F95"/>
    <w:rsid w:val="009D22FF"/>
    <w:rsid w:val="009D356C"/>
    <w:rsid w:val="009D3642"/>
    <w:rsid w:val="009D5563"/>
    <w:rsid w:val="009D6517"/>
    <w:rsid w:val="009D7BCC"/>
    <w:rsid w:val="009E7277"/>
    <w:rsid w:val="009F32D3"/>
    <w:rsid w:val="009F62C2"/>
    <w:rsid w:val="009F7CEE"/>
    <w:rsid w:val="00A00B88"/>
    <w:rsid w:val="00A044DB"/>
    <w:rsid w:val="00A07C0F"/>
    <w:rsid w:val="00A13990"/>
    <w:rsid w:val="00A14271"/>
    <w:rsid w:val="00A20AEB"/>
    <w:rsid w:val="00A23F6F"/>
    <w:rsid w:val="00A24F41"/>
    <w:rsid w:val="00A25C27"/>
    <w:rsid w:val="00A30053"/>
    <w:rsid w:val="00A31BB6"/>
    <w:rsid w:val="00A31F19"/>
    <w:rsid w:val="00A37123"/>
    <w:rsid w:val="00A378E5"/>
    <w:rsid w:val="00A37D37"/>
    <w:rsid w:val="00A43F51"/>
    <w:rsid w:val="00A46BBD"/>
    <w:rsid w:val="00A50862"/>
    <w:rsid w:val="00A50A99"/>
    <w:rsid w:val="00A50AF4"/>
    <w:rsid w:val="00A53993"/>
    <w:rsid w:val="00A55311"/>
    <w:rsid w:val="00A57BB7"/>
    <w:rsid w:val="00A6025C"/>
    <w:rsid w:val="00A64AFC"/>
    <w:rsid w:val="00A7259D"/>
    <w:rsid w:val="00A7398B"/>
    <w:rsid w:val="00A73A92"/>
    <w:rsid w:val="00A74472"/>
    <w:rsid w:val="00A75B16"/>
    <w:rsid w:val="00A75F03"/>
    <w:rsid w:val="00A775B5"/>
    <w:rsid w:val="00A81B2B"/>
    <w:rsid w:val="00A8396E"/>
    <w:rsid w:val="00A90F30"/>
    <w:rsid w:val="00A951D2"/>
    <w:rsid w:val="00A95C83"/>
    <w:rsid w:val="00A96C76"/>
    <w:rsid w:val="00AA096F"/>
    <w:rsid w:val="00AA3E19"/>
    <w:rsid w:val="00AA4807"/>
    <w:rsid w:val="00AA4EDD"/>
    <w:rsid w:val="00AA75CE"/>
    <w:rsid w:val="00AB104E"/>
    <w:rsid w:val="00AB22B3"/>
    <w:rsid w:val="00AB3163"/>
    <w:rsid w:val="00AB3347"/>
    <w:rsid w:val="00AB6A49"/>
    <w:rsid w:val="00AC531E"/>
    <w:rsid w:val="00AC53A7"/>
    <w:rsid w:val="00AD1168"/>
    <w:rsid w:val="00AD4FBA"/>
    <w:rsid w:val="00AD797F"/>
    <w:rsid w:val="00AE0F75"/>
    <w:rsid w:val="00AF1D1D"/>
    <w:rsid w:val="00AF2DC8"/>
    <w:rsid w:val="00AF7220"/>
    <w:rsid w:val="00B0013F"/>
    <w:rsid w:val="00B02E77"/>
    <w:rsid w:val="00B0351D"/>
    <w:rsid w:val="00B05315"/>
    <w:rsid w:val="00B144D8"/>
    <w:rsid w:val="00B169B1"/>
    <w:rsid w:val="00B203CC"/>
    <w:rsid w:val="00B24906"/>
    <w:rsid w:val="00B26F4C"/>
    <w:rsid w:val="00B277FF"/>
    <w:rsid w:val="00B30B05"/>
    <w:rsid w:val="00B31B7B"/>
    <w:rsid w:val="00B343F9"/>
    <w:rsid w:val="00B34C52"/>
    <w:rsid w:val="00B36945"/>
    <w:rsid w:val="00B4463B"/>
    <w:rsid w:val="00B50661"/>
    <w:rsid w:val="00B50F7D"/>
    <w:rsid w:val="00B550A1"/>
    <w:rsid w:val="00B5792E"/>
    <w:rsid w:val="00B57CFF"/>
    <w:rsid w:val="00B65AC0"/>
    <w:rsid w:val="00B818CD"/>
    <w:rsid w:val="00B86AB9"/>
    <w:rsid w:val="00BA012F"/>
    <w:rsid w:val="00BA1226"/>
    <w:rsid w:val="00BA2380"/>
    <w:rsid w:val="00BA3FAE"/>
    <w:rsid w:val="00BB66C8"/>
    <w:rsid w:val="00BB694B"/>
    <w:rsid w:val="00BC1C07"/>
    <w:rsid w:val="00BC21F1"/>
    <w:rsid w:val="00BC4887"/>
    <w:rsid w:val="00BD1A10"/>
    <w:rsid w:val="00BD42ED"/>
    <w:rsid w:val="00BE0495"/>
    <w:rsid w:val="00BE2914"/>
    <w:rsid w:val="00BE6DB4"/>
    <w:rsid w:val="00BF2C97"/>
    <w:rsid w:val="00BF3A91"/>
    <w:rsid w:val="00C03A61"/>
    <w:rsid w:val="00C06A36"/>
    <w:rsid w:val="00C13E9B"/>
    <w:rsid w:val="00C1447B"/>
    <w:rsid w:val="00C20A90"/>
    <w:rsid w:val="00C211D0"/>
    <w:rsid w:val="00C24172"/>
    <w:rsid w:val="00C27ACD"/>
    <w:rsid w:val="00C3129A"/>
    <w:rsid w:val="00C3359F"/>
    <w:rsid w:val="00C358E5"/>
    <w:rsid w:val="00C35F05"/>
    <w:rsid w:val="00C4058D"/>
    <w:rsid w:val="00C41FF0"/>
    <w:rsid w:val="00C436DB"/>
    <w:rsid w:val="00C4780F"/>
    <w:rsid w:val="00C50D4D"/>
    <w:rsid w:val="00C53C00"/>
    <w:rsid w:val="00C55516"/>
    <w:rsid w:val="00C6396B"/>
    <w:rsid w:val="00C652E9"/>
    <w:rsid w:val="00C679D9"/>
    <w:rsid w:val="00C711C6"/>
    <w:rsid w:val="00C73E9D"/>
    <w:rsid w:val="00C769FE"/>
    <w:rsid w:val="00C85A11"/>
    <w:rsid w:val="00C85C3D"/>
    <w:rsid w:val="00C943CB"/>
    <w:rsid w:val="00C9659E"/>
    <w:rsid w:val="00CA1C2F"/>
    <w:rsid w:val="00CA35C7"/>
    <w:rsid w:val="00CA5172"/>
    <w:rsid w:val="00CB0506"/>
    <w:rsid w:val="00CB3600"/>
    <w:rsid w:val="00CB5BBF"/>
    <w:rsid w:val="00CB6837"/>
    <w:rsid w:val="00CC2F13"/>
    <w:rsid w:val="00CC3632"/>
    <w:rsid w:val="00CC50CC"/>
    <w:rsid w:val="00CC50FB"/>
    <w:rsid w:val="00CC5A7C"/>
    <w:rsid w:val="00CC7B00"/>
    <w:rsid w:val="00CD0F87"/>
    <w:rsid w:val="00CD3CD4"/>
    <w:rsid w:val="00CD64AB"/>
    <w:rsid w:val="00CD7046"/>
    <w:rsid w:val="00CD7902"/>
    <w:rsid w:val="00CE2D94"/>
    <w:rsid w:val="00CE3811"/>
    <w:rsid w:val="00CE5078"/>
    <w:rsid w:val="00CE7A3A"/>
    <w:rsid w:val="00CF76CB"/>
    <w:rsid w:val="00D02705"/>
    <w:rsid w:val="00D0725D"/>
    <w:rsid w:val="00D12B92"/>
    <w:rsid w:val="00D16C63"/>
    <w:rsid w:val="00D17933"/>
    <w:rsid w:val="00D203C5"/>
    <w:rsid w:val="00D2077B"/>
    <w:rsid w:val="00D24EFB"/>
    <w:rsid w:val="00D32659"/>
    <w:rsid w:val="00D355A3"/>
    <w:rsid w:val="00D36F18"/>
    <w:rsid w:val="00D50D49"/>
    <w:rsid w:val="00D538D9"/>
    <w:rsid w:val="00D55DB4"/>
    <w:rsid w:val="00D5692B"/>
    <w:rsid w:val="00D56D09"/>
    <w:rsid w:val="00D575C6"/>
    <w:rsid w:val="00D6115B"/>
    <w:rsid w:val="00D62EB2"/>
    <w:rsid w:val="00D6625F"/>
    <w:rsid w:val="00D67BF4"/>
    <w:rsid w:val="00D73D23"/>
    <w:rsid w:val="00D7626D"/>
    <w:rsid w:val="00D80061"/>
    <w:rsid w:val="00D80D7A"/>
    <w:rsid w:val="00D829B6"/>
    <w:rsid w:val="00D90754"/>
    <w:rsid w:val="00D944B9"/>
    <w:rsid w:val="00D94611"/>
    <w:rsid w:val="00D9712B"/>
    <w:rsid w:val="00DA09BD"/>
    <w:rsid w:val="00DA22B1"/>
    <w:rsid w:val="00DA5001"/>
    <w:rsid w:val="00DB0964"/>
    <w:rsid w:val="00DB1CAF"/>
    <w:rsid w:val="00DB553A"/>
    <w:rsid w:val="00DC0B72"/>
    <w:rsid w:val="00DC1065"/>
    <w:rsid w:val="00DC1370"/>
    <w:rsid w:val="00DC4B9C"/>
    <w:rsid w:val="00DC4D00"/>
    <w:rsid w:val="00DD2E10"/>
    <w:rsid w:val="00DD53E1"/>
    <w:rsid w:val="00DD7D6E"/>
    <w:rsid w:val="00DE2345"/>
    <w:rsid w:val="00DE260B"/>
    <w:rsid w:val="00DE51A6"/>
    <w:rsid w:val="00DE613E"/>
    <w:rsid w:val="00DE6786"/>
    <w:rsid w:val="00DF0274"/>
    <w:rsid w:val="00DF0DF9"/>
    <w:rsid w:val="00DF14E9"/>
    <w:rsid w:val="00DF5213"/>
    <w:rsid w:val="00DF5977"/>
    <w:rsid w:val="00DF5BFB"/>
    <w:rsid w:val="00E065FF"/>
    <w:rsid w:val="00E06613"/>
    <w:rsid w:val="00E12401"/>
    <w:rsid w:val="00E148E8"/>
    <w:rsid w:val="00E15AE2"/>
    <w:rsid w:val="00E17E35"/>
    <w:rsid w:val="00E239DD"/>
    <w:rsid w:val="00E25B69"/>
    <w:rsid w:val="00E268EF"/>
    <w:rsid w:val="00E3098E"/>
    <w:rsid w:val="00E32587"/>
    <w:rsid w:val="00E3368D"/>
    <w:rsid w:val="00E33EAD"/>
    <w:rsid w:val="00E36D14"/>
    <w:rsid w:val="00E36DC9"/>
    <w:rsid w:val="00E36E63"/>
    <w:rsid w:val="00E37574"/>
    <w:rsid w:val="00E41280"/>
    <w:rsid w:val="00E412FB"/>
    <w:rsid w:val="00E45893"/>
    <w:rsid w:val="00E45E61"/>
    <w:rsid w:val="00E4701F"/>
    <w:rsid w:val="00E4721A"/>
    <w:rsid w:val="00E53904"/>
    <w:rsid w:val="00E53DDD"/>
    <w:rsid w:val="00E54B1D"/>
    <w:rsid w:val="00E54CDC"/>
    <w:rsid w:val="00E57C3C"/>
    <w:rsid w:val="00E63D24"/>
    <w:rsid w:val="00E64606"/>
    <w:rsid w:val="00E67BB5"/>
    <w:rsid w:val="00E71671"/>
    <w:rsid w:val="00E71EBA"/>
    <w:rsid w:val="00E75A20"/>
    <w:rsid w:val="00E774F4"/>
    <w:rsid w:val="00E774F8"/>
    <w:rsid w:val="00E819F2"/>
    <w:rsid w:val="00E83045"/>
    <w:rsid w:val="00E869B9"/>
    <w:rsid w:val="00E90F31"/>
    <w:rsid w:val="00E96189"/>
    <w:rsid w:val="00EA18CB"/>
    <w:rsid w:val="00EA3265"/>
    <w:rsid w:val="00EA412C"/>
    <w:rsid w:val="00EA5875"/>
    <w:rsid w:val="00EA66ED"/>
    <w:rsid w:val="00EA711C"/>
    <w:rsid w:val="00EB6961"/>
    <w:rsid w:val="00EB72E8"/>
    <w:rsid w:val="00EC552E"/>
    <w:rsid w:val="00EC5BA8"/>
    <w:rsid w:val="00EC5D42"/>
    <w:rsid w:val="00EC6797"/>
    <w:rsid w:val="00EC7D29"/>
    <w:rsid w:val="00ED19A1"/>
    <w:rsid w:val="00ED23B2"/>
    <w:rsid w:val="00ED3106"/>
    <w:rsid w:val="00ED4446"/>
    <w:rsid w:val="00EE0DAF"/>
    <w:rsid w:val="00EE6AA9"/>
    <w:rsid w:val="00EE7F79"/>
    <w:rsid w:val="00EF026F"/>
    <w:rsid w:val="00EF6450"/>
    <w:rsid w:val="00EF7779"/>
    <w:rsid w:val="00F00D87"/>
    <w:rsid w:val="00F026BB"/>
    <w:rsid w:val="00F03809"/>
    <w:rsid w:val="00F04CA9"/>
    <w:rsid w:val="00F0777A"/>
    <w:rsid w:val="00F11070"/>
    <w:rsid w:val="00F13A17"/>
    <w:rsid w:val="00F15141"/>
    <w:rsid w:val="00F153FD"/>
    <w:rsid w:val="00F154B0"/>
    <w:rsid w:val="00F154E4"/>
    <w:rsid w:val="00F1739C"/>
    <w:rsid w:val="00F174FD"/>
    <w:rsid w:val="00F17D8E"/>
    <w:rsid w:val="00F24DF0"/>
    <w:rsid w:val="00F24E50"/>
    <w:rsid w:val="00F30A73"/>
    <w:rsid w:val="00F330E0"/>
    <w:rsid w:val="00F34E72"/>
    <w:rsid w:val="00F36D45"/>
    <w:rsid w:val="00F41C09"/>
    <w:rsid w:val="00F4377F"/>
    <w:rsid w:val="00F4469A"/>
    <w:rsid w:val="00F44847"/>
    <w:rsid w:val="00F44CE4"/>
    <w:rsid w:val="00F464E6"/>
    <w:rsid w:val="00F474AF"/>
    <w:rsid w:val="00F47983"/>
    <w:rsid w:val="00F50AA4"/>
    <w:rsid w:val="00F56B85"/>
    <w:rsid w:val="00F579B4"/>
    <w:rsid w:val="00F637FF"/>
    <w:rsid w:val="00F63898"/>
    <w:rsid w:val="00F65C1E"/>
    <w:rsid w:val="00F70D10"/>
    <w:rsid w:val="00F72F93"/>
    <w:rsid w:val="00F764A4"/>
    <w:rsid w:val="00F76B72"/>
    <w:rsid w:val="00F76E5E"/>
    <w:rsid w:val="00F8199D"/>
    <w:rsid w:val="00F823DA"/>
    <w:rsid w:val="00F910E8"/>
    <w:rsid w:val="00F91750"/>
    <w:rsid w:val="00FA14ED"/>
    <w:rsid w:val="00FA6598"/>
    <w:rsid w:val="00FB4D7E"/>
    <w:rsid w:val="00FB5341"/>
    <w:rsid w:val="00FC21C2"/>
    <w:rsid w:val="00FC645A"/>
    <w:rsid w:val="00FD12AA"/>
    <w:rsid w:val="00FD1D72"/>
    <w:rsid w:val="00FE06C8"/>
    <w:rsid w:val="00FE0AFA"/>
    <w:rsid w:val="00FE183C"/>
    <w:rsid w:val="00FE28BD"/>
    <w:rsid w:val="00FF3733"/>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848D8"/>
  <w15:docId w15:val="{3E441DDE-2001-4C76-8A62-24962165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Body Text Firs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8CB"/>
    <w:rPr>
      <w:rFonts w:ascii="Arial" w:hAnsi="Arial"/>
      <w:sz w:val="24"/>
      <w:szCs w:val="24"/>
    </w:rPr>
  </w:style>
  <w:style w:type="paragraph" w:styleId="Heading1">
    <w:name w:val="heading 1"/>
    <w:basedOn w:val="Normal"/>
    <w:next w:val="Normal"/>
    <w:link w:val="Heading1Char"/>
    <w:uiPriority w:val="9"/>
    <w:qFormat/>
    <w:rsid w:val="00816E89"/>
    <w:pPr>
      <w:keepNext/>
      <w:jc w:val="center"/>
      <w:outlineLvl w:val="0"/>
    </w:pPr>
    <w:rPr>
      <w:rFonts w:cs="Arial"/>
      <w:b/>
      <w:bCs/>
      <w:kern w:val="32"/>
      <w:sz w:val="32"/>
      <w:szCs w:val="32"/>
    </w:rPr>
  </w:style>
  <w:style w:type="paragraph" w:styleId="Heading2">
    <w:name w:val="heading 2"/>
    <w:basedOn w:val="Title"/>
    <w:next w:val="Normal"/>
    <w:link w:val="Heading2Char"/>
    <w:unhideWhenUsed/>
    <w:qFormat/>
    <w:rsid w:val="00BA1226"/>
    <w:pPr>
      <w:spacing w:after="240"/>
      <w:jc w:val="left"/>
      <w:outlineLvl w:val="1"/>
    </w:pPr>
    <w:rPr>
      <w:sz w:val="32"/>
      <w:szCs w:val="32"/>
    </w:rPr>
  </w:style>
  <w:style w:type="paragraph" w:styleId="Heading3">
    <w:name w:val="heading 3"/>
    <w:basedOn w:val="Heading2"/>
    <w:next w:val="Normal"/>
    <w:link w:val="Heading3Char"/>
    <w:qFormat/>
    <w:rsid w:val="00543FFE"/>
    <w:pPr>
      <w:spacing w:before="480"/>
      <w:outlineLvl w:val="2"/>
    </w:pPr>
    <w:rPr>
      <w:sz w:val="28"/>
      <w:szCs w:val="28"/>
    </w:rPr>
  </w:style>
  <w:style w:type="paragraph" w:styleId="Heading4">
    <w:name w:val="heading 4"/>
    <w:basedOn w:val="Normal"/>
    <w:next w:val="Normal"/>
    <w:link w:val="Heading4Char"/>
    <w:unhideWhenUsed/>
    <w:qFormat/>
    <w:rsid w:val="009C1F49"/>
    <w:pPr>
      <w:spacing w:after="240"/>
      <w:ind w:firstLine="360"/>
      <w:outlineLvl w:val="3"/>
    </w:pPr>
    <w:rPr>
      <w:b/>
    </w:rPr>
  </w:style>
  <w:style w:type="paragraph" w:styleId="Heading5">
    <w:name w:val="heading 5"/>
    <w:basedOn w:val="Normal"/>
    <w:next w:val="Normal"/>
    <w:link w:val="Heading5Char"/>
    <w:semiHidden/>
    <w:unhideWhenUsed/>
    <w:qFormat/>
    <w:rsid w:val="00236F6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4442"/>
    <w:pPr>
      <w:keepNext/>
      <w:keepLines/>
      <w:spacing w:before="200"/>
      <w:outlineLvl w:val="5"/>
    </w:pPr>
    <w:rPr>
      <w:rFonts w:ascii="Cambria" w:hAnsi="Cambria"/>
      <w:i/>
      <w:iCs/>
      <w:color w:val="243F60"/>
    </w:rPr>
  </w:style>
  <w:style w:type="paragraph" w:styleId="Heading9">
    <w:name w:val="heading 9"/>
    <w:basedOn w:val="Normal"/>
    <w:next w:val="Normal"/>
    <w:link w:val="Heading9Char"/>
    <w:unhideWhenUsed/>
    <w:qFormat/>
    <w:rsid w:val="0007444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rsid w:val="00E869B9"/>
    <w:pPr>
      <w:tabs>
        <w:tab w:val="center" w:pos="4320"/>
        <w:tab w:val="right" w:pos="8640"/>
      </w:tabs>
    </w:pPr>
  </w:style>
  <w:style w:type="table" w:styleId="TableGrid">
    <w:name w:val="Table Grid"/>
    <w:basedOn w:val="TableNormal"/>
    <w:uiPriority w:val="59"/>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24906"/>
    <w:rPr>
      <w:rFonts w:ascii="Calibri" w:eastAsia="Calibri" w:hAnsi="Calibri" w:cs="Calibri"/>
    </w:rPr>
  </w:style>
  <w:style w:type="paragraph" w:styleId="ListParagraph">
    <w:name w:val="List Paragraph"/>
    <w:basedOn w:val="Normal"/>
    <w:uiPriority w:val="1"/>
    <w:qFormat/>
    <w:rsid w:val="00B24906"/>
    <w:pPr>
      <w:ind w:left="720"/>
    </w:pPr>
  </w:style>
  <w:style w:type="paragraph" w:styleId="PlainText">
    <w:name w:val="Plain Text"/>
    <w:basedOn w:val="Normal"/>
    <w:link w:val="PlainTextChar"/>
    <w:rsid w:val="00B24906"/>
    <w:rPr>
      <w:rFonts w:ascii="Courier New" w:hAnsi="Courier New" w:cs="Courier New"/>
      <w:sz w:val="20"/>
      <w:szCs w:val="20"/>
    </w:rPr>
  </w:style>
  <w:style w:type="character" w:customStyle="1" w:styleId="PlainTextChar">
    <w:name w:val="Plain Text Char"/>
    <w:link w:val="PlainText"/>
    <w:rsid w:val="00B24906"/>
    <w:rPr>
      <w:rFonts w:ascii="Courier New" w:hAnsi="Courier New" w:cs="Courier New"/>
    </w:rPr>
  </w:style>
  <w:style w:type="character" w:styleId="Hyperlink">
    <w:name w:val="Hyperlink"/>
    <w:uiPriority w:val="99"/>
    <w:rsid w:val="009A292E"/>
    <w:rPr>
      <w:color w:val="0000FF"/>
      <w:u w:val="single"/>
    </w:rPr>
  </w:style>
  <w:style w:type="paragraph" w:customStyle="1" w:styleId="Default">
    <w:name w:val="Default"/>
    <w:uiPriority w:val="99"/>
    <w:rsid w:val="009A292E"/>
    <w:pPr>
      <w:autoSpaceDE w:val="0"/>
      <w:autoSpaceDN w:val="0"/>
      <w:adjustRightInd w:val="0"/>
    </w:pPr>
    <w:rPr>
      <w:color w:val="000000"/>
      <w:sz w:val="24"/>
      <w:szCs w:val="24"/>
    </w:rPr>
  </w:style>
  <w:style w:type="paragraph" w:styleId="Title">
    <w:name w:val="Title"/>
    <w:basedOn w:val="Normal"/>
    <w:link w:val="TitleChar"/>
    <w:qFormat/>
    <w:rsid w:val="00542B5B"/>
    <w:pPr>
      <w:jc w:val="center"/>
    </w:pPr>
    <w:rPr>
      <w:rFonts w:cs="Arial"/>
      <w:b/>
      <w:sz w:val="40"/>
      <w:szCs w:val="20"/>
    </w:rPr>
  </w:style>
  <w:style w:type="character" w:customStyle="1" w:styleId="TitleChar">
    <w:name w:val="Title Char"/>
    <w:link w:val="Title"/>
    <w:rsid w:val="00542B5B"/>
    <w:rPr>
      <w:rFonts w:ascii="Arial" w:hAnsi="Arial" w:cs="Arial"/>
      <w:b/>
      <w:sz w:val="40"/>
    </w:rPr>
  </w:style>
  <w:style w:type="paragraph" w:styleId="BodyText">
    <w:name w:val="Body Text"/>
    <w:basedOn w:val="Normal"/>
    <w:link w:val="BodyTextChar"/>
    <w:unhideWhenUsed/>
    <w:rsid w:val="00542B5B"/>
    <w:rPr>
      <w:rFonts w:cs="Arial"/>
      <w:color w:val="000000"/>
      <w:szCs w:val="18"/>
    </w:rPr>
  </w:style>
  <w:style w:type="character" w:customStyle="1" w:styleId="BodyTextChar">
    <w:name w:val="Body Text Char"/>
    <w:link w:val="BodyText"/>
    <w:rsid w:val="00542B5B"/>
    <w:rPr>
      <w:rFonts w:ascii="Arial" w:hAnsi="Arial" w:cs="Arial"/>
      <w:color w:val="000000"/>
      <w:sz w:val="24"/>
      <w:szCs w:val="18"/>
    </w:rPr>
  </w:style>
  <w:style w:type="paragraph" w:styleId="Subtitle">
    <w:name w:val="Subtitle"/>
    <w:basedOn w:val="Normal"/>
    <w:link w:val="SubtitleChar"/>
    <w:qFormat/>
    <w:rsid w:val="00542B5B"/>
    <w:pPr>
      <w:jc w:val="center"/>
    </w:pPr>
    <w:rPr>
      <w:rFonts w:ascii="Times New Roman" w:hAnsi="Times New Roman"/>
      <w:b/>
      <w:bCs/>
    </w:rPr>
  </w:style>
  <w:style w:type="character" w:customStyle="1" w:styleId="SubtitleChar">
    <w:name w:val="Subtitle Char"/>
    <w:link w:val="Subtitle"/>
    <w:rsid w:val="00542B5B"/>
    <w:rPr>
      <w:b/>
      <w:bCs/>
      <w:sz w:val="24"/>
      <w:szCs w:val="24"/>
    </w:rPr>
  </w:style>
  <w:style w:type="character" w:customStyle="1" w:styleId="Heading1Char">
    <w:name w:val="Heading 1 Char"/>
    <w:link w:val="Heading1"/>
    <w:uiPriority w:val="9"/>
    <w:rsid w:val="00816E89"/>
    <w:rPr>
      <w:rFonts w:ascii="Arial" w:hAnsi="Arial" w:cs="Arial"/>
      <w:b/>
      <w:bCs/>
      <w:kern w:val="32"/>
      <w:sz w:val="32"/>
      <w:szCs w:val="32"/>
    </w:rPr>
  </w:style>
  <w:style w:type="paragraph" w:styleId="TOC1">
    <w:name w:val="toc 1"/>
    <w:basedOn w:val="Normal"/>
    <w:next w:val="Normal"/>
    <w:autoRedefine/>
    <w:uiPriority w:val="39"/>
    <w:unhideWhenUsed/>
    <w:rsid w:val="00F56B85"/>
    <w:pPr>
      <w:tabs>
        <w:tab w:val="right" w:leader="dot" w:pos="9350"/>
      </w:tabs>
      <w:spacing w:before="120" w:after="120"/>
      <w:jc w:val="center"/>
    </w:pPr>
    <w:rPr>
      <w:rFonts w:eastAsia="Calibri" w:cs="Arial"/>
      <w:bCs/>
      <w:noProof/>
    </w:rPr>
  </w:style>
  <w:style w:type="paragraph" w:styleId="TOC2">
    <w:name w:val="toc 2"/>
    <w:basedOn w:val="Normal"/>
    <w:next w:val="Normal"/>
    <w:autoRedefine/>
    <w:uiPriority w:val="39"/>
    <w:unhideWhenUsed/>
    <w:rsid w:val="0098290A"/>
    <w:pPr>
      <w:tabs>
        <w:tab w:val="right" w:leader="dot" w:pos="9350"/>
      </w:tabs>
      <w:spacing w:after="100"/>
      <w:ind w:left="240"/>
    </w:pPr>
  </w:style>
  <w:style w:type="paragraph" w:styleId="TOC3">
    <w:name w:val="toc 3"/>
    <w:basedOn w:val="Normal"/>
    <w:next w:val="Normal"/>
    <w:autoRedefine/>
    <w:uiPriority w:val="39"/>
    <w:rsid w:val="00542B5B"/>
    <w:pPr>
      <w:spacing w:after="100"/>
      <w:ind w:left="480"/>
    </w:pPr>
  </w:style>
  <w:style w:type="character" w:customStyle="1" w:styleId="Heading2Char">
    <w:name w:val="Heading 2 Char"/>
    <w:link w:val="Heading2"/>
    <w:rsid w:val="00BA1226"/>
    <w:rPr>
      <w:rFonts w:ascii="Arial" w:hAnsi="Arial" w:cs="Arial"/>
      <w:b/>
      <w:sz w:val="32"/>
      <w:szCs w:val="32"/>
    </w:rPr>
  </w:style>
  <w:style w:type="character" w:customStyle="1" w:styleId="Heading4Char">
    <w:name w:val="Heading 4 Char"/>
    <w:link w:val="Heading4"/>
    <w:rsid w:val="009C1F49"/>
    <w:rPr>
      <w:rFonts w:ascii="Arial" w:hAnsi="Arial"/>
      <w:b/>
      <w:sz w:val="24"/>
      <w:szCs w:val="24"/>
    </w:rPr>
  </w:style>
  <w:style w:type="character" w:customStyle="1" w:styleId="Heading6Char">
    <w:name w:val="Heading 6 Char"/>
    <w:link w:val="Heading6"/>
    <w:uiPriority w:val="9"/>
    <w:semiHidden/>
    <w:rsid w:val="00074442"/>
    <w:rPr>
      <w:rFonts w:ascii="Cambria" w:hAnsi="Cambria"/>
      <w:i/>
      <w:iCs/>
      <w:color w:val="243F60"/>
      <w:sz w:val="24"/>
      <w:szCs w:val="24"/>
    </w:rPr>
  </w:style>
  <w:style w:type="character" w:customStyle="1" w:styleId="Heading9Char">
    <w:name w:val="Heading 9 Char"/>
    <w:link w:val="Heading9"/>
    <w:rsid w:val="00074442"/>
    <w:rPr>
      <w:rFonts w:ascii="Cambria" w:hAnsi="Cambria"/>
      <w:sz w:val="22"/>
      <w:szCs w:val="22"/>
    </w:rPr>
  </w:style>
  <w:style w:type="character" w:customStyle="1" w:styleId="HeaderChar">
    <w:name w:val="Header Char"/>
    <w:link w:val="Header"/>
    <w:uiPriority w:val="99"/>
    <w:rsid w:val="00074442"/>
    <w:rPr>
      <w:sz w:val="24"/>
    </w:rPr>
  </w:style>
  <w:style w:type="character" w:styleId="FollowedHyperlink">
    <w:name w:val="FollowedHyperlink"/>
    <w:uiPriority w:val="99"/>
    <w:rsid w:val="00074442"/>
    <w:rPr>
      <w:color w:val="800080"/>
      <w:u w:val="single"/>
    </w:rPr>
  </w:style>
  <w:style w:type="paragraph" w:styleId="FootnoteText">
    <w:name w:val="footnote text"/>
    <w:basedOn w:val="Normal"/>
    <w:link w:val="FootnoteTextChar"/>
    <w:uiPriority w:val="99"/>
    <w:rsid w:val="00074442"/>
    <w:pPr>
      <w:spacing w:after="200" w:line="276" w:lineRule="auto"/>
      <w:jc w:val="center"/>
    </w:pPr>
    <w:rPr>
      <w:rFonts w:eastAsia="Calibri"/>
      <w:sz w:val="20"/>
      <w:szCs w:val="20"/>
    </w:rPr>
  </w:style>
  <w:style w:type="character" w:customStyle="1" w:styleId="FootnoteTextChar">
    <w:name w:val="Footnote Text Char"/>
    <w:link w:val="FootnoteText"/>
    <w:uiPriority w:val="99"/>
    <w:rsid w:val="00074442"/>
    <w:rPr>
      <w:rFonts w:ascii="Arial" w:eastAsia="Calibri" w:hAnsi="Arial"/>
    </w:rPr>
  </w:style>
  <w:style w:type="character" w:styleId="FootnoteReference">
    <w:name w:val="footnote reference"/>
    <w:uiPriority w:val="99"/>
    <w:rsid w:val="00074442"/>
    <w:rPr>
      <w:rFonts w:cs="Times New Roman"/>
      <w:vertAlign w:val="superscript"/>
    </w:rPr>
  </w:style>
  <w:style w:type="paragraph" w:styleId="CommentText">
    <w:name w:val="annotation text"/>
    <w:basedOn w:val="Normal"/>
    <w:link w:val="CommentTextChar"/>
    <w:uiPriority w:val="99"/>
    <w:rsid w:val="00074442"/>
    <w:rPr>
      <w:sz w:val="20"/>
      <w:szCs w:val="20"/>
    </w:rPr>
  </w:style>
  <w:style w:type="character" w:customStyle="1" w:styleId="CommentTextChar">
    <w:name w:val="Comment Text Char"/>
    <w:link w:val="CommentText"/>
    <w:uiPriority w:val="99"/>
    <w:rsid w:val="00074442"/>
    <w:rPr>
      <w:rFonts w:ascii="Arial" w:hAnsi="Arial"/>
    </w:rPr>
  </w:style>
  <w:style w:type="paragraph" w:styleId="CommentSubject">
    <w:name w:val="annotation subject"/>
    <w:basedOn w:val="CommentText"/>
    <w:next w:val="CommentText"/>
    <w:link w:val="CommentSubjectChar"/>
    <w:unhideWhenUsed/>
    <w:rsid w:val="00074442"/>
    <w:pPr>
      <w:spacing w:after="200"/>
    </w:pPr>
    <w:rPr>
      <w:rFonts w:ascii="Calibri" w:eastAsia="Calibri" w:hAnsi="Calibri"/>
      <w:b/>
      <w:bCs/>
    </w:rPr>
  </w:style>
  <w:style w:type="character" w:customStyle="1" w:styleId="CommentSubjectChar">
    <w:name w:val="Comment Subject Char"/>
    <w:link w:val="CommentSubject"/>
    <w:rsid w:val="00074442"/>
    <w:rPr>
      <w:rFonts w:ascii="Calibri" w:eastAsia="Calibri" w:hAnsi="Calibri"/>
      <w:b/>
      <w:bCs/>
    </w:rPr>
  </w:style>
  <w:style w:type="numbering" w:customStyle="1" w:styleId="NoList1">
    <w:name w:val="No List1"/>
    <w:next w:val="NoList"/>
    <w:uiPriority w:val="99"/>
    <w:semiHidden/>
    <w:unhideWhenUsed/>
    <w:rsid w:val="00074442"/>
  </w:style>
  <w:style w:type="paragraph" w:styleId="NormalWeb">
    <w:name w:val="Normal (Web)"/>
    <w:basedOn w:val="Normal"/>
    <w:uiPriority w:val="99"/>
    <w:unhideWhenUsed/>
    <w:rsid w:val="00074442"/>
    <w:pPr>
      <w:spacing w:before="100" w:beforeAutospacing="1" w:after="100" w:afterAutospacing="1"/>
    </w:pPr>
    <w:rPr>
      <w:rFonts w:ascii="Times New Roman" w:hAnsi="Times New Roman"/>
    </w:rPr>
  </w:style>
  <w:style w:type="paragraph" w:styleId="BodyTextIndent3">
    <w:name w:val="Body Text Indent 3"/>
    <w:basedOn w:val="Normal"/>
    <w:link w:val="BodyTextIndent3Char"/>
    <w:uiPriority w:val="99"/>
    <w:unhideWhenUsed/>
    <w:rsid w:val="00074442"/>
    <w:pPr>
      <w:spacing w:after="120"/>
      <w:ind w:left="360"/>
    </w:pPr>
    <w:rPr>
      <w:sz w:val="16"/>
      <w:szCs w:val="16"/>
    </w:rPr>
  </w:style>
  <w:style w:type="character" w:customStyle="1" w:styleId="BodyTextIndent3Char">
    <w:name w:val="Body Text Indent 3 Char"/>
    <w:link w:val="BodyTextIndent3"/>
    <w:uiPriority w:val="99"/>
    <w:rsid w:val="00074442"/>
    <w:rPr>
      <w:rFonts w:ascii="Arial" w:hAnsi="Arial"/>
      <w:sz w:val="16"/>
      <w:szCs w:val="16"/>
    </w:rPr>
  </w:style>
  <w:style w:type="paragraph" w:styleId="TOCHeading">
    <w:name w:val="TOC Heading"/>
    <w:basedOn w:val="Heading1"/>
    <w:next w:val="Normal"/>
    <w:uiPriority w:val="39"/>
    <w:unhideWhenUsed/>
    <w:qFormat/>
    <w:rsid w:val="00074442"/>
    <w:pPr>
      <w:keepNext w:val="0"/>
      <w:keepLines/>
      <w:spacing w:before="480" w:line="276" w:lineRule="auto"/>
      <w:outlineLvl w:val="9"/>
    </w:pPr>
    <w:rPr>
      <w:bCs w:val="0"/>
      <w:color w:val="365F91"/>
      <w:kern w:val="0"/>
      <w:sz w:val="28"/>
      <w:szCs w:val="28"/>
      <w:lang w:eastAsia="ja-JP"/>
    </w:rPr>
  </w:style>
  <w:style w:type="paragraph" w:customStyle="1" w:styleId="ReturnAddress">
    <w:name w:val="Return Address"/>
    <w:basedOn w:val="Normal"/>
    <w:rsid w:val="00074442"/>
    <w:rPr>
      <w:rFonts w:cs="Arial"/>
      <w:szCs w:val="20"/>
    </w:rPr>
  </w:style>
  <w:style w:type="character" w:customStyle="1" w:styleId="FooterChar">
    <w:name w:val="Footer Char"/>
    <w:link w:val="Footer"/>
    <w:uiPriority w:val="99"/>
    <w:rsid w:val="00074442"/>
    <w:rPr>
      <w:rFonts w:ascii="Arial" w:hAnsi="Arial"/>
      <w:sz w:val="24"/>
      <w:szCs w:val="24"/>
    </w:rPr>
  </w:style>
  <w:style w:type="paragraph" w:customStyle="1" w:styleId="InsideAddress">
    <w:name w:val="Inside Address"/>
    <w:basedOn w:val="Normal"/>
    <w:rsid w:val="00074442"/>
    <w:rPr>
      <w:rFonts w:cs="Arial"/>
      <w:szCs w:val="20"/>
    </w:rPr>
  </w:style>
  <w:style w:type="paragraph" w:customStyle="1" w:styleId="ReferenceLine">
    <w:name w:val="Reference Line"/>
    <w:basedOn w:val="BodyText"/>
    <w:rsid w:val="00074442"/>
  </w:style>
  <w:style w:type="character" w:customStyle="1" w:styleId="A0">
    <w:name w:val="A0"/>
    <w:uiPriority w:val="99"/>
    <w:rsid w:val="00074442"/>
    <w:rPr>
      <w:color w:val="000000"/>
      <w:sz w:val="20"/>
      <w:szCs w:val="20"/>
    </w:rPr>
  </w:style>
  <w:style w:type="character" w:customStyle="1" w:styleId="BalloonTextChar">
    <w:name w:val="Balloon Text Char"/>
    <w:link w:val="BalloonText"/>
    <w:uiPriority w:val="99"/>
    <w:semiHidden/>
    <w:rsid w:val="00074442"/>
    <w:rPr>
      <w:rFonts w:ascii="Tahoma" w:hAnsi="Tahoma" w:cs="Tahoma"/>
      <w:sz w:val="16"/>
      <w:szCs w:val="16"/>
    </w:rPr>
  </w:style>
  <w:style w:type="table" w:customStyle="1" w:styleId="TableGrid1">
    <w:name w:val="Table Grid1"/>
    <w:basedOn w:val="TableNormal"/>
    <w:next w:val="TableGrid"/>
    <w:uiPriority w:val="59"/>
    <w:rsid w:val="00074442"/>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074442"/>
    <w:rPr>
      <w:rFonts w:ascii="Arial" w:eastAsia="Calibri" w:hAnsi="Arial"/>
      <w:sz w:val="24"/>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yleHeading2Before05line">
    <w:name w:val="Style Heading 2 + Before:  0.5 line"/>
    <w:basedOn w:val="Heading2"/>
    <w:rsid w:val="00074442"/>
    <w:pPr>
      <w:spacing w:before="60"/>
    </w:pPr>
    <w:rPr>
      <w:i/>
      <w:iCs/>
      <w:szCs w:val="20"/>
    </w:rPr>
  </w:style>
  <w:style w:type="character" w:customStyle="1" w:styleId="Heading3Char">
    <w:name w:val="Heading 3 Char"/>
    <w:link w:val="Heading3"/>
    <w:rsid w:val="00543FFE"/>
    <w:rPr>
      <w:rFonts w:ascii="Arial" w:hAnsi="Arial" w:cs="Arial"/>
      <w:b/>
      <w:sz w:val="28"/>
      <w:szCs w:val="28"/>
    </w:rPr>
  </w:style>
  <w:style w:type="character" w:styleId="Strong">
    <w:name w:val="Strong"/>
    <w:uiPriority w:val="22"/>
    <w:qFormat/>
    <w:rsid w:val="00074442"/>
    <w:rPr>
      <w:b/>
      <w:bCs/>
    </w:rPr>
  </w:style>
  <w:style w:type="character" w:styleId="PageNumber">
    <w:name w:val="page number"/>
    <w:rsid w:val="00074442"/>
    <w:rPr>
      <w:rFonts w:cs="Times New Roman"/>
    </w:rPr>
  </w:style>
  <w:style w:type="paragraph" w:customStyle="1" w:styleId="level1dots">
    <w:name w:val="level 1 dots"/>
    <w:basedOn w:val="BodyTextIndent"/>
    <w:rsid w:val="00074442"/>
    <w:pPr>
      <w:widowControl w:val="0"/>
      <w:tabs>
        <w:tab w:val="num" w:pos="720"/>
      </w:tabs>
      <w:adjustRightInd w:val="0"/>
      <w:spacing w:after="0"/>
      <w:ind w:left="720" w:hanging="360"/>
    </w:pPr>
    <w:rPr>
      <w:szCs w:val="20"/>
    </w:rPr>
  </w:style>
  <w:style w:type="paragraph" w:styleId="BodyTextIndent">
    <w:name w:val="Body Text Indent"/>
    <w:basedOn w:val="Normal"/>
    <w:link w:val="BodyTextIndentChar"/>
    <w:uiPriority w:val="99"/>
    <w:unhideWhenUsed/>
    <w:rsid w:val="00074442"/>
    <w:pPr>
      <w:spacing w:after="120"/>
      <w:ind w:left="360"/>
    </w:pPr>
  </w:style>
  <w:style w:type="character" w:customStyle="1" w:styleId="BodyTextIndentChar">
    <w:name w:val="Body Text Indent Char"/>
    <w:link w:val="BodyTextIndent"/>
    <w:uiPriority w:val="99"/>
    <w:rsid w:val="00074442"/>
    <w:rPr>
      <w:rFonts w:ascii="Arial" w:hAnsi="Arial"/>
      <w:sz w:val="24"/>
      <w:szCs w:val="24"/>
    </w:rPr>
  </w:style>
  <w:style w:type="paragraph" w:customStyle="1" w:styleId="Pa5">
    <w:name w:val="Pa5"/>
    <w:basedOn w:val="Normal"/>
    <w:next w:val="Normal"/>
    <w:uiPriority w:val="99"/>
    <w:rsid w:val="00074442"/>
    <w:pPr>
      <w:autoSpaceDE w:val="0"/>
      <w:autoSpaceDN w:val="0"/>
      <w:adjustRightInd w:val="0"/>
      <w:spacing w:line="201" w:lineRule="atLeast"/>
    </w:pPr>
    <w:rPr>
      <w:rFonts w:eastAsia="Calibri" w:cs="Arial"/>
    </w:rPr>
  </w:style>
  <w:style w:type="paragraph" w:customStyle="1" w:styleId="Pa16">
    <w:name w:val="Pa16"/>
    <w:basedOn w:val="Normal"/>
    <w:next w:val="Normal"/>
    <w:uiPriority w:val="99"/>
    <w:rsid w:val="00074442"/>
    <w:pPr>
      <w:autoSpaceDE w:val="0"/>
      <w:autoSpaceDN w:val="0"/>
      <w:adjustRightInd w:val="0"/>
      <w:spacing w:line="201" w:lineRule="atLeast"/>
    </w:pPr>
    <w:rPr>
      <w:rFonts w:eastAsia="Calibri" w:cs="Arial"/>
    </w:rPr>
  </w:style>
  <w:style w:type="paragraph" w:styleId="BodyTextFirstIndent2">
    <w:name w:val="Body Text First Indent 2"/>
    <w:basedOn w:val="BodyTextIndent"/>
    <w:link w:val="BodyTextFirstIndent2Char"/>
    <w:uiPriority w:val="99"/>
    <w:unhideWhenUsed/>
    <w:rsid w:val="00074442"/>
    <w:pPr>
      <w:spacing w:after="0"/>
      <w:ind w:firstLine="360"/>
    </w:pPr>
  </w:style>
  <w:style w:type="character" w:customStyle="1" w:styleId="BodyTextFirstIndent2Char">
    <w:name w:val="Body Text First Indent 2 Char"/>
    <w:basedOn w:val="BodyTextIndentChar"/>
    <w:link w:val="BodyTextFirstIndent2"/>
    <w:uiPriority w:val="99"/>
    <w:rsid w:val="00074442"/>
    <w:rPr>
      <w:rFonts w:ascii="Arial" w:hAnsi="Arial"/>
      <w:sz w:val="24"/>
      <w:szCs w:val="24"/>
    </w:rPr>
  </w:style>
  <w:style w:type="paragraph" w:styleId="Index1">
    <w:name w:val="index 1"/>
    <w:basedOn w:val="Normal"/>
    <w:next w:val="Normal"/>
    <w:autoRedefine/>
    <w:rsid w:val="00074442"/>
    <w:pPr>
      <w:ind w:left="240" w:hanging="240"/>
    </w:pPr>
  </w:style>
  <w:style w:type="character" w:styleId="CommentReference">
    <w:name w:val="annotation reference"/>
    <w:uiPriority w:val="99"/>
    <w:rsid w:val="00074442"/>
    <w:rPr>
      <w:sz w:val="16"/>
      <w:szCs w:val="16"/>
    </w:rPr>
  </w:style>
  <w:style w:type="character" w:styleId="Emphasis">
    <w:name w:val="Emphasis"/>
    <w:uiPriority w:val="20"/>
    <w:qFormat/>
    <w:rsid w:val="00D24EFB"/>
    <w:rPr>
      <w:i/>
      <w:iCs/>
    </w:rPr>
  </w:style>
  <w:style w:type="character" w:styleId="UnresolvedMention">
    <w:name w:val="Unresolved Mention"/>
    <w:uiPriority w:val="99"/>
    <w:semiHidden/>
    <w:unhideWhenUsed/>
    <w:rsid w:val="003F0A6D"/>
    <w:rPr>
      <w:color w:val="605E5C"/>
      <w:shd w:val="clear" w:color="auto" w:fill="E1DFDD"/>
    </w:rPr>
  </w:style>
  <w:style w:type="paragraph" w:customStyle="1" w:styleId="ColorfulList-Accent12">
    <w:name w:val="Colorful List - Accent 12"/>
    <w:basedOn w:val="Normal"/>
    <w:uiPriority w:val="1"/>
    <w:qFormat/>
    <w:rsid w:val="00C943CB"/>
    <w:pPr>
      <w:ind w:left="720"/>
    </w:pPr>
    <w:rPr>
      <w:snapToGrid w:val="0"/>
      <w:szCs w:val="20"/>
    </w:rPr>
  </w:style>
  <w:style w:type="paragraph" w:styleId="Revision">
    <w:name w:val="Revision"/>
    <w:hidden/>
    <w:uiPriority w:val="99"/>
    <w:semiHidden/>
    <w:rsid w:val="007F1D09"/>
    <w:rPr>
      <w:rFonts w:ascii="Arial" w:hAnsi="Arial"/>
      <w:sz w:val="24"/>
      <w:szCs w:val="24"/>
    </w:rPr>
  </w:style>
  <w:style w:type="character" w:customStyle="1" w:styleId="Heading5Char">
    <w:name w:val="Heading 5 Char"/>
    <w:basedOn w:val="DefaultParagraphFont"/>
    <w:link w:val="Heading5"/>
    <w:semiHidden/>
    <w:rsid w:val="00236F69"/>
    <w:rPr>
      <w:rFonts w:asciiTheme="majorHAnsi" w:eastAsiaTheme="majorEastAsia" w:hAnsiTheme="majorHAnsi" w:cstheme="majorBidi"/>
      <w:color w:val="2F5496" w:themeColor="accent1" w:themeShade="BF"/>
      <w:sz w:val="24"/>
      <w:szCs w:val="24"/>
    </w:rPr>
  </w:style>
  <w:style w:type="table" w:customStyle="1" w:styleId="TableGrid2">
    <w:name w:val="Table Grid2"/>
    <w:basedOn w:val="TableNormal"/>
    <w:next w:val="TableGrid"/>
    <w:rsid w:val="00236F69"/>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84BAA"/>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398">
      <w:bodyDiv w:val="1"/>
      <w:marLeft w:val="0"/>
      <w:marRight w:val="0"/>
      <w:marTop w:val="0"/>
      <w:marBottom w:val="0"/>
      <w:divBdr>
        <w:top w:val="none" w:sz="0" w:space="0" w:color="auto"/>
        <w:left w:val="none" w:sz="0" w:space="0" w:color="auto"/>
        <w:bottom w:val="none" w:sz="0" w:space="0" w:color="auto"/>
        <w:right w:val="none" w:sz="0" w:space="0" w:color="auto"/>
      </w:divBdr>
    </w:div>
    <w:div w:id="84614500">
      <w:bodyDiv w:val="1"/>
      <w:marLeft w:val="0"/>
      <w:marRight w:val="0"/>
      <w:marTop w:val="0"/>
      <w:marBottom w:val="0"/>
      <w:divBdr>
        <w:top w:val="none" w:sz="0" w:space="0" w:color="auto"/>
        <w:left w:val="none" w:sz="0" w:space="0" w:color="auto"/>
        <w:bottom w:val="none" w:sz="0" w:space="0" w:color="auto"/>
        <w:right w:val="none" w:sz="0" w:space="0" w:color="auto"/>
      </w:divBdr>
    </w:div>
    <w:div w:id="103887141">
      <w:bodyDiv w:val="1"/>
      <w:marLeft w:val="0"/>
      <w:marRight w:val="0"/>
      <w:marTop w:val="0"/>
      <w:marBottom w:val="0"/>
      <w:divBdr>
        <w:top w:val="none" w:sz="0" w:space="0" w:color="auto"/>
        <w:left w:val="none" w:sz="0" w:space="0" w:color="auto"/>
        <w:bottom w:val="none" w:sz="0" w:space="0" w:color="auto"/>
        <w:right w:val="none" w:sz="0" w:space="0" w:color="auto"/>
      </w:divBdr>
    </w:div>
    <w:div w:id="290866177">
      <w:bodyDiv w:val="1"/>
      <w:marLeft w:val="0"/>
      <w:marRight w:val="0"/>
      <w:marTop w:val="0"/>
      <w:marBottom w:val="0"/>
      <w:divBdr>
        <w:top w:val="none" w:sz="0" w:space="0" w:color="auto"/>
        <w:left w:val="none" w:sz="0" w:space="0" w:color="auto"/>
        <w:bottom w:val="none" w:sz="0" w:space="0" w:color="auto"/>
        <w:right w:val="none" w:sz="0" w:space="0" w:color="auto"/>
      </w:divBdr>
    </w:div>
    <w:div w:id="448089890">
      <w:bodyDiv w:val="1"/>
      <w:marLeft w:val="0"/>
      <w:marRight w:val="0"/>
      <w:marTop w:val="0"/>
      <w:marBottom w:val="0"/>
      <w:divBdr>
        <w:top w:val="none" w:sz="0" w:space="0" w:color="auto"/>
        <w:left w:val="none" w:sz="0" w:space="0" w:color="auto"/>
        <w:bottom w:val="none" w:sz="0" w:space="0" w:color="auto"/>
        <w:right w:val="none" w:sz="0" w:space="0" w:color="auto"/>
      </w:divBdr>
      <w:divsChild>
        <w:div w:id="1241868393">
          <w:marLeft w:val="0"/>
          <w:marRight w:val="0"/>
          <w:marTop w:val="0"/>
          <w:marBottom w:val="0"/>
          <w:divBdr>
            <w:top w:val="none" w:sz="0" w:space="0" w:color="auto"/>
            <w:left w:val="none" w:sz="0" w:space="0" w:color="auto"/>
            <w:bottom w:val="none" w:sz="0" w:space="0" w:color="auto"/>
            <w:right w:val="none" w:sz="0" w:space="0" w:color="auto"/>
          </w:divBdr>
          <w:divsChild>
            <w:div w:id="1612778879">
              <w:marLeft w:val="0"/>
              <w:marRight w:val="0"/>
              <w:marTop w:val="0"/>
              <w:marBottom w:val="0"/>
              <w:divBdr>
                <w:top w:val="none" w:sz="0" w:space="0" w:color="auto"/>
                <w:left w:val="none" w:sz="0" w:space="0" w:color="auto"/>
                <w:bottom w:val="none" w:sz="0" w:space="0" w:color="auto"/>
                <w:right w:val="none" w:sz="0" w:space="0" w:color="auto"/>
              </w:divBdr>
              <w:divsChild>
                <w:div w:id="641077428">
                  <w:marLeft w:val="0"/>
                  <w:marRight w:val="0"/>
                  <w:marTop w:val="0"/>
                  <w:marBottom w:val="0"/>
                  <w:divBdr>
                    <w:top w:val="none" w:sz="0" w:space="0" w:color="auto"/>
                    <w:left w:val="none" w:sz="0" w:space="0" w:color="auto"/>
                    <w:bottom w:val="none" w:sz="0" w:space="0" w:color="auto"/>
                    <w:right w:val="none" w:sz="0" w:space="0" w:color="auto"/>
                  </w:divBdr>
                  <w:divsChild>
                    <w:div w:id="1453861048">
                      <w:marLeft w:val="0"/>
                      <w:marRight w:val="0"/>
                      <w:marTop w:val="0"/>
                      <w:marBottom w:val="0"/>
                      <w:divBdr>
                        <w:top w:val="none" w:sz="0" w:space="0" w:color="auto"/>
                        <w:left w:val="none" w:sz="0" w:space="0" w:color="auto"/>
                        <w:bottom w:val="none" w:sz="0" w:space="0" w:color="auto"/>
                        <w:right w:val="none" w:sz="0" w:space="0" w:color="auto"/>
                      </w:divBdr>
                      <w:divsChild>
                        <w:div w:id="438188008">
                          <w:marLeft w:val="0"/>
                          <w:marRight w:val="0"/>
                          <w:marTop w:val="0"/>
                          <w:marBottom w:val="0"/>
                          <w:divBdr>
                            <w:top w:val="none" w:sz="0" w:space="0" w:color="auto"/>
                            <w:left w:val="none" w:sz="0" w:space="0" w:color="auto"/>
                            <w:bottom w:val="none" w:sz="0" w:space="0" w:color="auto"/>
                            <w:right w:val="none" w:sz="0" w:space="0" w:color="auto"/>
                          </w:divBdr>
                          <w:divsChild>
                            <w:div w:id="1203635157">
                              <w:marLeft w:val="0"/>
                              <w:marRight w:val="0"/>
                              <w:marTop w:val="0"/>
                              <w:marBottom w:val="0"/>
                              <w:divBdr>
                                <w:top w:val="none" w:sz="0" w:space="0" w:color="auto"/>
                                <w:left w:val="none" w:sz="0" w:space="0" w:color="auto"/>
                                <w:bottom w:val="none" w:sz="0" w:space="0" w:color="auto"/>
                                <w:right w:val="none" w:sz="0" w:space="0" w:color="auto"/>
                              </w:divBdr>
                              <w:divsChild>
                                <w:div w:id="1844280801">
                                  <w:marLeft w:val="0"/>
                                  <w:marRight w:val="0"/>
                                  <w:marTop w:val="0"/>
                                  <w:marBottom w:val="0"/>
                                  <w:divBdr>
                                    <w:top w:val="none" w:sz="0" w:space="0" w:color="auto"/>
                                    <w:left w:val="none" w:sz="0" w:space="0" w:color="auto"/>
                                    <w:bottom w:val="none" w:sz="0" w:space="0" w:color="auto"/>
                                    <w:right w:val="none" w:sz="0" w:space="0" w:color="auto"/>
                                  </w:divBdr>
                                  <w:divsChild>
                                    <w:div w:id="1093668090">
                                      <w:marLeft w:val="0"/>
                                      <w:marRight w:val="0"/>
                                      <w:marTop w:val="0"/>
                                      <w:marBottom w:val="0"/>
                                      <w:divBdr>
                                        <w:top w:val="none" w:sz="0" w:space="0" w:color="auto"/>
                                        <w:left w:val="none" w:sz="0" w:space="0" w:color="auto"/>
                                        <w:bottom w:val="none" w:sz="0" w:space="0" w:color="auto"/>
                                        <w:right w:val="none" w:sz="0" w:space="0" w:color="auto"/>
                                      </w:divBdr>
                                      <w:divsChild>
                                        <w:div w:id="416025189">
                                          <w:marLeft w:val="0"/>
                                          <w:marRight w:val="0"/>
                                          <w:marTop w:val="0"/>
                                          <w:marBottom w:val="0"/>
                                          <w:divBdr>
                                            <w:top w:val="none" w:sz="0" w:space="0" w:color="auto"/>
                                            <w:left w:val="none" w:sz="0" w:space="0" w:color="auto"/>
                                            <w:bottom w:val="none" w:sz="0" w:space="0" w:color="auto"/>
                                            <w:right w:val="none" w:sz="0" w:space="0" w:color="auto"/>
                                          </w:divBdr>
                                          <w:divsChild>
                                            <w:div w:id="1788811907">
                                              <w:marLeft w:val="0"/>
                                              <w:marRight w:val="0"/>
                                              <w:marTop w:val="0"/>
                                              <w:marBottom w:val="0"/>
                                              <w:divBdr>
                                                <w:top w:val="none" w:sz="0" w:space="0" w:color="auto"/>
                                                <w:left w:val="none" w:sz="0" w:space="0" w:color="auto"/>
                                                <w:bottom w:val="none" w:sz="0" w:space="0" w:color="auto"/>
                                                <w:right w:val="none" w:sz="0" w:space="0" w:color="auto"/>
                                              </w:divBdr>
                                              <w:divsChild>
                                                <w:div w:id="53817627">
                                                  <w:marLeft w:val="0"/>
                                                  <w:marRight w:val="0"/>
                                                  <w:marTop w:val="0"/>
                                                  <w:marBottom w:val="0"/>
                                                  <w:divBdr>
                                                    <w:top w:val="none" w:sz="0" w:space="0" w:color="auto"/>
                                                    <w:left w:val="none" w:sz="0" w:space="0" w:color="auto"/>
                                                    <w:bottom w:val="none" w:sz="0" w:space="0" w:color="auto"/>
                                                    <w:right w:val="none" w:sz="0" w:space="0" w:color="auto"/>
                                                  </w:divBdr>
                                                  <w:divsChild>
                                                    <w:div w:id="931661978">
                                                      <w:marLeft w:val="0"/>
                                                      <w:marRight w:val="0"/>
                                                      <w:marTop w:val="0"/>
                                                      <w:marBottom w:val="0"/>
                                                      <w:divBdr>
                                                        <w:top w:val="none" w:sz="0" w:space="0" w:color="auto"/>
                                                        <w:left w:val="none" w:sz="0" w:space="0" w:color="auto"/>
                                                        <w:bottom w:val="none" w:sz="0" w:space="0" w:color="auto"/>
                                                        <w:right w:val="none" w:sz="0" w:space="0" w:color="auto"/>
                                                      </w:divBdr>
                                                      <w:divsChild>
                                                        <w:div w:id="1000232320">
                                                          <w:marLeft w:val="0"/>
                                                          <w:marRight w:val="0"/>
                                                          <w:marTop w:val="0"/>
                                                          <w:marBottom w:val="0"/>
                                                          <w:divBdr>
                                                            <w:top w:val="none" w:sz="0" w:space="0" w:color="auto"/>
                                                            <w:left w:val="none" w:sz="0" w:space="0" w:color="auto"/>
                                                            <w:bottom w:val="none" w:sz="0" w:space="0" w:color="auto"/>
                                                            <w:right w:val="none" w:sz="0" w:space="0" w:color="auto"/>
                                                          </w:divBdr>
                                                          <w:divsChild>
                                                            <w:div w:id="768234610">
                                                              <w:marLeft w:val="0"/>
                                                              <w:marRight w:val="0"/>
                                                              <w:marTop w:val="0"/>
                                                              <w:marBottom w:val="0"/>
                                                              <w:divBdr>
                                                                <w:top w:val="none" w:sz="0" w:space="0" w:color="auto"/>
                                                                <w:left w:val="none" w:sz="0" w:space="0" w:color="auto"/>
                                                                <w:bottom w:val="none" w:sz="0" w:space="0" w:color="auto"/>
                                                                <w:right w:val="none" w:sz="0" w:space="0" w:color="auto"/>
                                                              </w:divBdr>
                                                              <w:divsChild>
                                                                <w:div w:id="708182945">
                                                                  <w:marLeft w:val="0"/>
                                                                  <w:marRight w:val="0"/>
                                                                  <w:marTop w:val="0"/>
                                                                  <w:marBottom w:val="0"/>
                                                                  <w:divBdr>
                                                                    <w:top w:val="none" w:sz="0" w:space="0" w:color="auto"/>
                                                                    <w:left w:val="none" w:sz="0" w:space="0" w:color="auto"/>
                                                                    <w:bottom w:val="none" w:sz="0" w:space="0" w:color="auto"/>
                                                                    <w:right w:val="none" w:sz="0" w:space="0" w:color="auto"/>
                                                                  </w:divBdr>
                                                                  <w:divsChild>
                                                                    <w:div w:id="129250822">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2088531930">
                                                                              <w:marLeft w:val="0"/>
                                                                              <w:marRight w:val="0"/>
                                                                              <w:marTop w:val="0"/>
                                                                              <w:marBottom w:val="0"/>
                                                                              <w:divBdr>
                                                                                <w:top w:val="none" w:sz="0" w:space="0" w:color="auto"/>
                                                                                <w:left w:val="none" w:sz="0" w:space="0" w:color="auto"/>
                                                                                <w:bottom w:val="none" w:sz="0" w:space="0" w:color="auto"/>
                                                                                <w:right w:val="none" w:sz="0" w:space="0" w:color="auto"/>
                                                                              </w:divBdr>
                                                                              <w:divsChild>
                                                                                <w:div w:id="1098212312">
                                                                                  <w:marLeft w:val="0"/>
                                                                                  <w:marRight w:val="0"/>
                                                                                  <w:marTop w:val="0"/>
                                                                                  <w:marBottom w:val="0"/>
                                                                                  <w:divBdr>
                                                                                    <w:top w:val="none" w:sz="0" w:space="0" w:color="auto"/>
                                                                                    <w:left w:val="none" w:sz="0" w:space="0" w:color="auto"/>
                                                                                    <w:bottom w:val="none" w:sz="0" w:space="0" w:color="auto"/>
                                                                                    <w:right w:val="none" w:sz="0" w:space="0" w:color="auto"/>
                                                                                  </w:divBdr>
                                                                                  <w:divsChild>
                                                                                    <w:div w:id="18479354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8245789">
                                                                                          <w:marLeft w:val="0"/>
                                                                                          <w:marRight w:val="0"/>
                                                                                          <w:marTop w:val="0"/>
                                                                                          <w:marBottom w:val="0"/>
                                                                                          <w:divBdr>
                                                                                            <w:top w:val="none" w:sz="0" w:space="0" w:color="auto"/>
                                                                                            <w:left w:val="none" w:sz="0" w:space="0" w:color="auto"/>
                                                                                            <w:bottom w:val="none" w:sz="0" w:space="0" w:color="auto"/>
                                                                                            <w:right w:val="none" w:sz="0" w:space="0" w:color="auto"/>
                                                                                          </w:divBdr>
                                                                                          <w:divsChild>
                                                                                            <w:div w:id="16546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7746">
      <w:bodyDiv w:val="1"/>
      <w:marLeft w:val="0"/>
      <w:marRight w:val="0"/>
      <w:marTop w:val="0"/>
      <w:marBottom w:val="0"/>
      <w:divBdr>
        <w:top w:val="none" w:sz="0" w:space="0" w:color="auto"/>
        <w:left w:val="none" w:sz="0" w:space="0" w:color="auto"/>
        <w:bottom w:val="none" w:sz="0" w:space="0" w:color="auto"/>
        <w:right w:val="none" w:sz="0" w:space="0" w:color="auto"/>
      </w:divBdr>
    </w:div>
    <w:div w:id="1450858357">
      <w:bodyDiv w:val="1"/>
      <w:marLeft w:val="0"/>
      <w:marRight w:val="0"/>
      <w:marTop w:val="0"/>
      <w:marBottom w:val="0"/>
      <w:divBdr>
        <w:top w:val="none" w:sz="0" w:space="0" w:color="auto"/>
        <w:left w:val="none" w:sz="0" w:space="0" w:color="auto"/>
        <w:bottom w:val="none" w:sz="0" w:space="0" w:color="auto"/>
        <w:right w:val="none" w:sz="0" w:space="0" w:color="auto"/>
      </w:divBdr>
    </w:div>
    <w:div w:id="1513300920">
      <w:bodyDiv w:val="1"/>
      <w:marLeft w:val="0"/>
      <w:marRight w:val="0"/>
      <w:marTop w:val="0"/>
      <w:marBottom w:val="0"/>
      <w:divBdr>
        <w:top w:val="none" w:sz="0" w:space="0" w:color="auto"/>
        <w:left w:val="none" w:sz="0" w:space="0" w:color="auto"/>
        <w:bottom w:val="none" w:sz="0" w:space="0" w:color="auto"/>
        <w:right w:val="none" w:sz="0" w:space="0" w:color="auto"/>
      </w:divBdr>
    </w:div>
    <w:div w:id="1721007737">
      <w:bodyDiv w:val="1"/>
      <w:marLeft w:val="0"/>
      <w:marRight w:val="0"/>
      <w:marTop w:val="0"/>
      <w:marBottom w:val="0"/>
      <w:divBdr>
        <w:top w:val="none" w:sz="0" w:space="0" w:color="auto"/>
        <w:left w:val="none" w:sz="0" w:space="0" w:color="auto"/>
        <w:bottom w:val="none" w:sz="0" w:space="0" w:color="auto"/>
        <w:right w:val="none" w:sz="0" w:space="0" w:color="auto"/>
      </w:divBdr>
    </w:div>
    <w:div w:id="1767992340">
      <w:bodyDiv w:val="1"/>
      <w:marLeft w:val="0"/>
      <w:marRight w:val="0"/>
      <w:marTop w:val="0"/>
      <w:marBottom w:val="0"/>
      <w:divBdr>
        <w:top w:val="none" w:sz="0" w:space="0" w:color="auto"/>
        <w:left w:val="none" w:sz="0" w:space="0" w:color="auto"/>
        <w:bottom w:val="none" w:sz="0" w:space="0" w:color="auto"/>
        <w:right w:val="none" w:sz="0" w:space="0" w:color="auto"/>
      </w:divBdr>
    </w:div>
    <w:div w:id="1857226724">
      <w:bodyDiv w:val="1"/>
      <w:marLeft w:val="0"/>
      <w:marRight w:val="0"/>
      <w:marTop w:val="0"/>
      <w:marBottom w:val="0"/>
      <w:divBdr>
        <w:top w:val="none" w:sz="0" w:space="0" w:color="auto"/>
        <w:left w:val="none" w:sz="0" w:space="0" w:color="auto"/>
        <w:bottom w:val="none" w:sz="0" w:space="0" w:color="auto"/>
        <w:right w:val="none" w:sz="0" w:space="0" w:color="auto"/>
      </w:divBdr>
      <w:divsChild>
        <w:div w:id="1032612421">
          <w:marLeft w:val="0"/>
          <w:marRight w:val="0"/>
          <w:marTop w:val="0"/>
          <w:marBottom w:val="0"/>
          <w:divBdr>
            <w:top w:val="none" w:sz="0" w:space="0" w:color="auto"/>
            <w:left w:val="none" w:sz="0" w:space="0" w:color="auto"/>
            <w:bottom w:val="none" w:sz="0" w:space="0" w:color="auto"/>
            <w:right w:val="none" w:sz="0" w:space="0" w:color="auto"/>
          </w:divBdr>
          <w:divsChild>
            <w:div w:id="1919627739">
              <w:marLeft w:val="0"/>
              <w:marRight w:val="0"/>
              <w:marTop w:val="0"/>
              <w:marBottom w:val="0"/>
              <w:divBdr>
                <w:top w:val="none" w:sz="0" w:space="0" w:color="auto"/>
                <w:left w:val="none" w:sz="0" w:space="0" w:color="auto"/>
                <w:bottom w:val="none" w:sz="0" w:space="0" w:color="auto"/>
                <w:right w:val="none" w:sz="0" w:space="0" w:color="auto"/>
              </w:divBdr>
              <w:divsChild>
                <w:div w:id="1087651080">
                  <w:marLeft w:val="0"/>
                  <w:marRight w:val="0"/>
                  <w:marTop w:val="0"/>
                  <w:marBottom w:val="0"/>
                  <w:divBdr>
                    <w:top w:val="none" w:sz="0" w:space="0" w:color="auto"/>
                    <w:left w:val="none" w:sz="0" w:space="0" w:color="auto"/>
                    <w:bottom w:val="none" w:sz="0" w:space="0" w:color="auto"/>
                    <w:right w:val="none" w:sz="0" w:space="0" w:color="auto"/>
                  </w:divBdr>
                  <w:divsChild>
                    <w:div w:id="1412384738">
                      <w:marLeft w:val="0"/>
                      <w:marRight w:val="0"/>
                      <w:marTop w:val="0"/>
                      <w:marBottom w:val="0"/>
                      <w:divBdr>
                        <w:top w:val="none" w:sz="0" w:space="0" w:color="auto"/>
                        <w:left w:val="none" w:sz="0" w:space="0" w:color="auto"/>
                        <w:bottom w:val="none" w:sz="0" w:space="0" w:color="auto"/>
                        <w:right w:val="none" w:sz="0" w:space="0" w:color="auto"/>
                      </w:divBdr>
                      <w:divsChild>
                        <w:div w:id="1775244812">
                          <w:marLeft w:val="0"/>
                          <w:marRight w:val="0"/>
                          <w:marTop w:val="0"/>
                          <w:marBottom w:val="0"/>
                          <w:divBdr>
                            <w:top w:val="none" w:sz="0" w:space="0" w:color="auto"/>
                            <w:left w:val="none" w:sz="0" w:space="0" w:color="auto"/>
                            <w:bottom w:val="none" w:sz="0" w:space="0" w:color="auto"/>
                            <w:right w:val="none" w:sz="0" w:space="0" w:color="auto"/>
                          </w:divBdr>
                          <w:divsChild>
                            <w:div w:id="77675457">
                              <w:marLeft w:val="0"/>
                              <w:marRight w:val="0"/>
                              <w:marTop w:val="0"/>
                              <w:marBottom w:val="0"/>
                              <w:divBdr>
                                <w:top w:val="none" w:sz="0" w:space="0" w:color="auto"/>
                                <w:left w:val="none" w:sz="0" w:space="0" w:color="auto"/>
                                <w:bottom w:val="none" w:sz="0" w:space="0" w:color="auto"/>
                                <w:right w:val="none" w:sz="0" w:space="0" w:color="auto"/>
                              </w:divBdr>
                              <w:divsChild>
                                <w:div w:id="211701202">
                                  <w:marLeft w:val="0"/>
                                  <w:marRight w:val="0"/>
                                  <w:marTop w:val="0"/>
                                  <w:marBottom w:val="0"/>
                                  <w:divBdr>
                                    <w:top w:val="none" w:sz="0" w:space="0" w:color="auto"/>
                                    <w:left w:val="none" w:sz="0" w:space="0" w:color="auto"/>
                                    <w:bottom w:val="none" w:sz="0" w:space="0" w:color="auto"/>
                                    <w:right w:val="none" w:sz="0" w:space="0" w:color="auto"/>
                                  </w:divBdr>
                                  <w:divsChild>
                                    <w:div w:id="2025206674">
                                      <w:marLeft w:val="0"/>
                                      <w:marRight w:val="0"/>
                                      <w:marTop w:val="0"/>
                                      <w:marBottom w:val="0"/>
                                      <w:divBdr>
                                        <w:top w:val="none" w:sz="0" w:space="0" w:color="auto"/>
                                        <w:left w:val="none" w:sz="0" w:space="0" w:color="auto"/>
                                        <w:bottom w:val="none" w:sz="0" w:space="0" w:color="auto"/>
                                        <w:right w:val="none" w:sz="0" w:space="0" w:color="auto"/>
                                      </w:divBdr>
                                      <w:divsChild>
                                        <w:div w:id="1597252970">
                                          <w:marLeft w:val="0"/>
                                          <w:marRight w:val="0"/>
                                          <w:marTop w:val="0"/>
                                          <w:marBottom w:val="0"/>
                                          <w:divBdr>
                                            <w:top w:val="none" w:sz="0" w:space="0" w:color="auto"/>
                                            <w:left w:val="none" w:sz="0" w:space="0" w:color="auto"/>
                                            <w:bottom w:val="none" w:sz="0" w:space="0" w:color="auto"/>
                                            <w:right w:val="none" w:sz="0" w:space="0" w:color="auto"/>
                                          </w:divBdr>
                                          <w:divsChild>
                                            <w:div w:id="1913157059">
                                              <w:marLeft w:val="0"/>
                                              <w:marRight w:val="0"/>
                                              <w:marTop w:val="0"/>
                                              <w:marBottom w:val="0"/>
                                              <w:divBdr>
                                                <w:top w:val="none" w:sz="0" w:space="0" w:color="auto"/>
                                                <w:left w:val="none" w:sz="0" w:space="0" w:color="auto"/>
                                                <w:bottom w:val="none" w:sz="0" w:space="0" w:color="auto"/>
                                                <w:right w:val="none" w:sz="0" w:space="0" w:color="auto"/>
                                              </w:divBdr>
                                              <w:divsChild>
                                                <w:div w:id="1042831382">
                                                  <w:marLeft w:val="0"/>
                                                  <w:marRight w:val="0"/>
                                                  <w:marTop w:val="0"/>
                                                  <w:marBottom w:val="0"/>
                                                  <w:divBdr>
                                                    <w:top w:val="none" w:sz="0" w:space="0" w:color="auto"/>
                                                    <w:left w:val="none" w:sz="0" w:space="0" w:color="auto"/>
                                                    <w:bottom w:val="none" w:sz="0" w:space="0" w:color="auto"/>
                                                    <w:right w:val="none" w:sz="0" w:space="0" w:color="auto"/>
                                                  </w:divBdr>
                                                  <w:divsChild>
                                                    <w:div w:id="1671368149">
                                                      <w:marLeft w:val="0"/>
                                                      <w:marRight w:val="0"/>
                                                      <w:marTop w:val="0"/>
                                                      <w:marBottom w:val="0"/>
                                                      <w:divBdr>
                                                        <w:top w:val="none" w:sz="0" w:space="0" w:color="auto"/>
                                                        <w:left w:val="none" w:sz="0" w:space="0" w:color="auto"/>
                                                        <w:bottom w:val="none" w:sz="0" w:space="0" w:color="auto"/>
                                                        <w:right w:val="none" w:sz="0" w:space="0" w:color="auto"/>
                                                      </w:divBdr>
                                                      <w:divsChild>
                                                        <w:div w:id="429744854">
                                                          <w:marLeft w:val="0"/>
                                                          <w:marRight w:val="0"/>
                                                          <w:marTop w:val="0"/>
                                                          <w:marBottom w:val="0"/>
                                                          <w:divBdr>
                                                            <w:top w:val="none" w:sz="0" w:space="0" w:color="auto"/>
                                                            <w:left w:val="none" w:sz="0" w:space="0" w:color="auto"/>
                                                            <w:bottom w:val="none" w:sz="0" w:space="0" w:color="auto"/>
                                                            <w:right w:val="none" w:sz="0" w:space="0" w:color="auto"/>
                                                          </w:divBdr>
                                                          <w:divsChild>
                                                            <w:div w:id="2004969436">
                                                              <w:marLeft w:val="0"/>
                                                              <w:marRight w:val="0"/>
                                                              <w:marTop w:val="0"/>
                                                              <w:marBottom w:val="0"/>
                                                              <w:divBdr>
                                                                <w:top w:val="none" w:sz="0" w:space="0" w:color="auto"/>
                                                                <w:left w:val="none" w:sz="0" w:space="0" w:color="auto"/>
                                                                <w:bottom w:val="none" w:sz="0" w:space="0" w:color="auto"/>
                                                                <w:right w:val="none" w:sz="0" w:space="0" w:color="auto"/>
                                                              </w:divBdr>
                                                              <w:divsChild>
                                                                <w:div w:id="872351380">
                                                                  <w:marLeft w:val="0"/>
                                                                  <w:marRight w:val="0"/>
                                                                  <w:marTop w:val="0"/>
                                                                  <w:marBottom w:val="0"/>
                                                                  <w:divBdr>
                                                                    <w:top w:val="none" w:sz="0" w:space="0" w:color="auto"/>
                                                                    <w:left w:val="none" w:sz="0" w:space="0" w:color="auto"/>
                                                                    <w:bottom w:val="none" w:sz="0" w:space="0" w:color="auto"/>
                                                                    <w:right w:val="none" w:sz="0" w:space="0" w:color="auto"/>
                                                                  </w:divBdr>
                                                                  <w:divsChild>
                                                                    <w:div w:id="574511969">
                                                                      <w:marLeft w:val="0"/>
                                                                      <w:marRight w:val="0"/>
                                                                      <w:marTop w:val="0"/>
                                                                      <w:marBottom w:val="0"/>
                                                                      <w:divBdr>
                                                                        <w:top w:val="none" w:sz="0" w:space="0" w:color="auto"/>
                                                                        <w:left w:val="none" w:sz="0" w:space="0" w:color="auto"/>
                                                                        <w:bottom w:val="none" w:sz="0" w:space="0" w:color="auto"/>
                                                                        <w:right w:val="none" w:sz="0" w:space="0" w:color="auto"/>
                                                                      </w:divBdr>
                                                                      <w:divsChild>
                                                                        <w:div w:id="930162171">
                                                                          <w:marLeft w:val="0"/>
                                                                          <w:marRight w:val="0"/>
                                                                          <w:marTop w:val="0"/>
                                                                          <w:marBottom w:val="0"/>
                                                                          <w:divBdr>
                                                                            <w:top w:val="none" w:sz="0" w:space="0" w:color="auto"/>
                                                                            <w:left w:val="none" w:sz="0" w:space="0" w:color="auto"/>
                                                                            <w:bottom w:val="none" w:sz="0" w:space="0" w:color="auto"/>
                                                                            <w:right w:val="none" w:sz="0" w:space="0" w:color="auto"/>
                                                                          </w:divBdr>
                                                                          <w:divsChild>
                                                                            <w:div w:id="317998173">
                                                                              <w:marLeft w:val="0"/>
                                                                              <w:marRight w:val="0"/>
                                                                              <w:marTop w:val="0"/>
                                                                              <w:marBottom w:val="0"/>
                                                                              <w:divBdr>
                                                                                <w:top w:val="none" w:sz="0" w:space="0" w:color="auto"/>
                                                                                <w:left w:val="none" w:sz="0" w:space="0" w:color="auto"/>
                                                                                <w:bottom w:val="none" w:sz="0" w:space="0" w:color="auto"/>
                                                                                <w:right w:val="none" w:sz="0" w:space="0" w:color="auto"/>
                                                                              </w:divBdr>
                                                                              <w:divsChild>
                                                                                <w:div w:id="183985830">
                                                                                  <w:marLeft w:val="0"/>
                                                                                  <w:marRight w:val="0"/>
                                                                                  <w:marTop w:val="0"/>
                                                                                  <w:marBottom w:val="0"/>
                                                                                  <w:divBdr>
                                                                                    <w:top w:val="none" w:sz="0" w:space="0" w:color="auto"/>
                                                                                    <w:left w:val="none" w:sz="0" w:space="0" w:color="auto"/>
                                                                                    <w:bottom w:val="none" w:sz="0" w:space="0" w:color="auto"/>
                                                                                    <w:right w:val="none" w:sz="0" w:space="0" w:color="auto"/>
                                                                                  </w:divBdr>
                                                                                  <w:divsChild>
                                                                                    <w:div w:id="1645769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8041309">
                                                                                          <w:marLeft w:val="0"/>
                                                                                          <w:marRight w:val="0"/>
                                                                                          <w:marTop w:val="0"/>
                                                                                          <w:marBottom w:val="0"/>
                                                                                          <w:divBdr>
                                                                                            <w:top w:val="none" w:sz="0" w:space="0" w:color="auto"/>
                                                                                            <w:left w:val="none" w:sz="0" w:space="0" w:color="auto"/>
                                                                                            <w:bottom w:val="none" w:sz="0" w:space="0" w:color="auto"/>
                                                                                            <w:right w:val="none" w:sz="0" w:space="0" w:color="auto"/>
                                                                                          </w:divBdr>
                                                                                          <w:divsChild>
                                                                                            <w:div w:id="1147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627875">
      <w:bodyDiv w:val="1"/>
      <w:marLeft w:val="0"/>
      <w:marRight w:val="0"/>
      <w:marTop w:val="0"/>
      <w:marBottom w:val="0"/>
      <w:divBdr>
        <w:top w:val="none" w:sz="0" w:space="0" w:color="auto"/>
        <w:left w:val="none" w:sz="0" w:space="0" w:color="auto"/>
        <w:bottom w:val="none" w:sz="0" w:space="0" w:color="auto"/>
        <w:right w:val="none" w:sz="0" w:space="0" w:color="auto"/>
      </w:divBdr>
      <w:divsChild>
        <w:div w:id="291248430">
          <w:marLeft w:val="0"/>
          <w:marRight w:val="0"/>
          <w:marTop w:val="0"/>
          <w:marBottom w:val="0"/>
          <w:divBdr>
            <w:top w:val="none" w:sz="0" w:space="0" w:color="auto"/>
            <w:left w:val="none" w:sz="0" w:space="0" w:color="auto"/>
            <w:bottom w:val="none" w:sz="0" w:space="0" w:color="auto"/>
            <w:right w:val="none" w:sz="0" w:space="0" w:color="auto"/>
          </w:divBdr>
          <w:divsChild>
            <w:div w:id="289746898">
              <w:marLeft w:val="0"/>
              <w:marRight w:val="0"/>
              <w:marTop w:val="0"/>
              <w:marBottom w:val="0"/>
              <w:divBdr>
                <w:top w:val="none" w:sz="0" w:space="0" w:color="auto"/>
                <w:left w:val="none" w:sz="0" w:space="0" w:color="auto"/>
                <w:bottom w:val="none" w:sz="0" w:space="0" w:color="auto"/>
                <w:right w:val="none" w:sz="0" w:space="0" w:color="auto"/>
              </w:divBdr>
              <w:divsChild>
                <w:div w:id="814377261">
                  <w:marLeft w:val="0"/>
                  <w:marRight w:val="0"/>
                  <w:marTop w:val="0"/>
                  <w:marBottom w:val="0"/>
                  <w:divBdr>
                    <w:top w:val="none" w:sz="0" w:space="0" w:color="auto"/>
                    <w:left w:val="none" w:sz="0" w:space="0" w:color="auto"/>
                    <w:bottom w:val="none" w:sz="0" w:space="0" w:color="auto"/>
                    <w:right w:val="none" w:sz="0" w:space="0" w:color="auto"/>
                  </w:divBdr>
                  <w:divsChild>
                    <w:div w:id="1626161264">
                      <w:marLeft w:val="0"/>
                      <w:marRight w:val="0"/>
                      <w:marTop w:val="0"/>
                      <w:marBottom w:val="0"/>
                      <w:divBdr>
                        <w:top w:val="none" w:sz="0" w:space="0" w:color="auto"/>
                        <w:left w:val="none" w:sz="0" w:space="0" w:color="auto"/>
                        <w:bottom w:val="none" w:sz="0" w:space="0" w:color="auto"/>
                        <w:right w:val="none" w:sz="0" w:space="0" w:color="auto"/>
                      </w:divBdr>
                      <w:divsChild>
                        <w:div w:id="199167747">
                          <w:marLeft w:val="0"/>
                          <w:marRight w:val="0"/>
                          <w:marTop w:val="0"/>
                          <w:marBottom w:val="0"/>
                          <w:divBdr>
                            <w:top w:val="none" w:sz="0" w:space="0" w:color="auto"/>
                            <w:left w:val="none" w:sz="0" w:space="0" w:color="auto"/>
                            <w:bottom w:val="none" w:sz="0" w:space="0" w:color="auto"/>
                            <w:right w:val="none" w:sz="0" w:space="0" w:color="auto"/>
                          </w:divBdr>
                          <w:divsChild>
                            <w:div w:id="1189175823">
                              <w:marLeft w:val="0"/>
                              <w:marRight w:val="0"/>
                              <w:marTop w:val="0"/>
                              <w:marBottom w:val="0"/>
                              <w:divBdr>
                                <w:top w:val="none" w:sz="0" w:space="0" w:color="auto"/>
                                <w:left w:val="none" w:sz="0" w:space="0" w:color="auto"/>
                                <w:bottom w:val="none" w:sz="0" w:space="0" w:color="auto"/>
                                <w:right w:val="none" w:sz="0" w:space="0" w:color="auto"/>
                              </w:divBdr>
                              <w:divsChild>
                                <w:div w:id="1513758874">
                                  <w:marLeft w:val="0"/>
                                  <w:marRight w:val="0"/>
                                  <w:marTop w:val="0"/>
                                  <w:marBottom w:val="0"/>
                                  <w:divBdr>
                                    <w:top w:val="none" w:sz="0" w:space="0" w:color="auto"/>
                                    <w:left w:val="none" w:sz="0" w:space="0" w:color="auto"/>
                                    <w:bottom w:val="none" w:sz="0" w:space="0" w:color="auto"/>
                                    <w:right w:val="none" w:sz="0" w:space="0" w:color="auto"/>
                                  </w:divBdr>
                                  <w:divsChild>
                                    <w:div w:id="1052001033">
                                      <w:marLeft w:val="0"/>
                                      <w:marRight w:val="0"/>
                                      <w:marTop w:val="0"/>
                                      <w:marBottom w:val="0"/>
                                      <w:divBdr>
                                        <w:top w:val="none" w:sz="0" w:space="0" w:color="auto"/>
                                        <w:left w:val="none" w:sz="0" w:space="0" w:color="auto"/>
                                        <w:bottom w:val="none" w:sz="0" w:space="0" w:color="auto"/>
                                        <w:right w:val="none" w:sz="0" w:space="0" w:color="auto"/>
                                      </w:divBdr>
                                      <w:divsChild>
                                        <w:div w:id="950282575">
                                          <w:marLeft w:val="0"/>
                                          <w:marRight w:val="0"/>
                                          <w:marTop w:val="0"/>
                                          <w:marBottom w:val="0"/>
                                          <w:divBdr>
                                            <w:top w:val="none" w:sz="0" w:space="0" w:color="auto"/>
                                            <w:left w:val="none" w:sz="0" w:space="0" w:color="auto"/>
                                            <w:bottom w:val="none" w:sz="0" w:space="0" w:color="auto"/>
                                            <w:right w:val="none" w:sz="0" w:space="0" w:color="auto"/>
                                          </w:divBdr>
                                          <w:divsChild>
                                            <w:div w:id="659385390">
                                              <w:marLeft w:val="0"/>
                                              <w:marRight w:val="0"/>
                                              <w:marTop w:val="0"/>
                                              <w:marBottom w:val="0"/>
                                              <w:divBdr>
                                                <w:top w:val="none" w:sz="0" w:space="0" w:color="auto"/>
                                                <w:left w:val="none" w:sz="0" w:space="0" w:color="auto"/>
                                                <w:bottom w:val="none" w:sz="0" w:space="0" w:color="auto"/>
                                                <w:right w:val="none" w:sz="0" w:space="0" w:color="auto"/>
                                              </w:divBdr>
                                              <w:divsChild>
                                                <w:div w:id="2033259779">
                                                  <w:marLeft w:val="0"/>
                                                  <w:marRight w:val="0"/>
                                                  <w:marTop w:val="0"/>
                                                  <w:marBottom w:val="0"/>
                                                  <w:divBdr>
                                                    <w:top w:val="none" w:sz="0" w:space="0" w:color="auto"/>
                                                    <w:left w:val="none" w:sz="0" w:space="0" w:color="auto"/>
                                                    <w:bottom w:val="none" w:sz="0" w:space="0" w:color="auto"/>
                                                    <w:right w:val="none" w:sz="0" w:space="0" w:color="auto"/>
                                                  </w:divBdr>
                                                  <w:divsChild>
                                                    <w:div w:id="1075007593">
                                                      <w:marLeft w:val="0"/>
                                                      <w:marRight w:val="0"/>
                                                      <w:marTop w:val="0"/>
                                                      <w:marBottom w:val="0"/>
                                                      <w:divBdr>
                                                        <w:top w:val="none" w:sz="0" w:space="0" w:color="auto"/>
                                                        <w:left w:val="none" w:sz="0" w:space="0" w:color="auto"/>
                                                        <w:bottom w:val="none" w:sz="0" w:space="0" w:color="auto"/>
                                                        <w:right w:val="none" w:sz="0" w:space="0" w:color="auto"/>
                                                      </w:divBdr>
                                                      <w:divsChild>
                                                        <w:div w:id="1048258157">
                                                          <w:marLeft w:val="0"/>
                                                          <w:marRight w:val="0"/>
                                                          <w:marTop w:val="0"/>
                                                          <w:marBottom w:val="0"/>
                                                          <w:divBdr>
                                                            <w:top w:val="none" w:sz="0" w:space="0" w:color="auto"/>
                                                            <w:left w:val="none" w:sz="0" w:space="0" w:color="auto"/>
                                                            <w:bottom w:val="none" w:sz="0" w:space="0" w:color="auto"/>
                                                            <w:right w:val="none" w:sz="0" w:space="0" w:color="auto"/>
                                                          </w:divBdr>
                                                          <w:divsChild>
                                                            <w:div w:id="1100683361">
                                                              <w:marLeft w:val="0"/>
                                                              <w:marRight w:val="0"/>
                                                              <w:marTop w:val="0"/>
                                                              <w:marBottom w:val="0"/>
                                                              <w:divBdr>
                                                                <w:top w:val="none" w:sz="0" w:space="0" w:color="auto"/>
                                                                <w:left w:val="none" w:sz="0" w:space="0" w:color="auto"/>
                                                                <w:bottom w:val="none" w:sz="0" w:space="0" w:color="auto"/>
                                                                <w:right w:val="none" w:sz="0" w:space="0" w:color="auto"/>
                                                              </w:divBdr>
                                                              <w:divsChild>
                                                                <w:div w:id="445463895">
                                                                  <w:marLeft w:val="0"/>
                                                                  <w:marRight w:val="0"/>
                                                                  <w:marTop w:val="0"/>
                                                                  <w:marBottom w:val="0"/>
                                                                  <w:divBdr>
                                                                    <w:top w:val="none" w:sz="0" w:space="0" w:color="auto"/>
                                                                    <w:left w:val="none" w:sz="0" w:space="0" w:color="auto"/>
                                                                    <w:bottom w:val="none" w:sz="0" w:space="0" w:color="auto"/>
                                                                    <w:right w:val="none" w:sz="0" w:space="0" w:color="auto"/>
                                                                  </w:divBdr>
                                                                  <w:divsChild>
                                                                    <w:div w:id="1858695880">
                                                                      <w:marLeft w:val="0"/>
                                                                      <w:marRight w:val="0"/>
                                                                      <w:marTop w:val="0"/>
                                                                      <w:marBottom w:val="0"/>
                                                                      <w:divBdr>
                                                                        <w:top w:val="none" w:sz="0" w:space="0" w:color="auto"/>
                                                                        <w:left w:val="none" w:sz="0" w:space="0" w:color="auto"/>
                                                                        <w:bottom w:val="none" w:sz="0" w:space="0" w:color="auto"/>
                                                                        <w:right w:val="none" w:sz="0" w:space="0" w:color="auto"/>
                                                                      </w:divBdr>
                                                                      <w:divsChild>
                                                                        <w:div w:id="615520968">
                                                                          <w:marLeft w:val="0"/>
                                                                          <w:marRight w:val="0"/>
                                                                          <w:marTop w:val="0"/>
                                                                          <w:marBottom w:val="0"/>
                                                                          <w:divBdr>
                                                                            <w:top w:val="none" w:sz="0" w:space="0" w:color="auto"/>
                                                                            <w:left w:val="none" w:sz="0" w:space="0" w:color="auto"/>
                                                                            <w:bottom w:val="none" w:sz="0" w:space="0" w:color="auto"/>
                                                                            <w:right w:val="none" w:sz="0" w:space="0" w:color="auto"/>
                                                                          </w:divBdr>
                                                                          <w:divsChild>
                                                                            <w:div w:id="1153910253">
                                                                              <w:marLeft w:val="0"/>
                                                                              <w:marRight w:val="0"/>
                                                                              <w:marTop w:val="0"/>
                                                                              <w:marBottom w:val="0"/>
                                                                              <w:divBdr>
                                                                                <w:top w:val="none" w:sz="0" w:space="0" w:color="auto"/>
                                                                                <w:left w:val="none" w:sz="0" w:space="0" w:color="auto"/>
                                                                                <w:bottom w:val="none" w:sz="0" w:space="0" w:color="auto"/>
                                                                                <w:right w:val="none" w:sz="0" w:space="0" w:color="auto"/>
                                                                              </w:divBdr>
                                                                              <w:divsChild>
                                                                                <w:div w:id="853301489">
                                                                                  <w:marLeft w:val="0"/>
                                                                                  <w:marRight w:val="0"/>
                                                                                  <w:marTop w:val="0"/>
                                                                                  <w:marBottom w:val="0"/>
                                                                                  <w:divBdr>
                                                                                    <w:top w:val="none" w:sz="0" w:space="0" w:color="auto"/>
                                                                                    <w:left w:val="none" w:sz="0" w:space="0" w:color="auto"/>
                                                                                    <w:bottom w:val="none" w:sz="0" w:space="0" w:color="auto"/>
                                                                                    <w:right w:val="none" w:sz="0" w:space="0" w:color="auto"/>
                                                                                  </w:divBdr>
                                                                                  <w:divsChild>
                                                                                    <w:div w:id="1059598788">
                                                                                      <w:marLeft w:val="0"/>
                                                                                      <w:marRight w:val="0"/>
                                                                                      <w:marTop w:val="0"/>
                                                                                      <w:marBottom w:val="0"/>
                                                                                      <w:divBdr>
                                                                                        <w:top w:val="none" w:sz="0" w:space="0" w:color="auto"/>
                                                                                        <w:left w:val="none" w:sz="0" w:space="0" w:color="auto"/>
                                                                                        <w:bottom w:val="none" w:sz="0" w:space="0" w:color="auto"/>
                                                                                        <w:right w:val="none" w:sz="0" w:space="0" w:color="auto"/>
                                                                                      </w:divBdr>
                                                                                      <w:divsChild>
                                                                                        <w:div w:id="1510363700">
                                                                                          <w:marLeft w:val="0"/>
                                                                                          <w:marRight w:val="0"/>
                                                                                          <w:marTop w:val="0"/>
                                                                                          <w:marBottom w:val="0"/>
                                                                                          <w:divBdr>
                                                                                            <w:top w:val="none" w:sz="0" w:space="0" w:color="auto"/>
                                                                                            <w:left w:val="none" w:sz="0" w:space="0" w:color="auto"/>
                                                                                            <w:bottom w:val="none" w:sz="0" w:space="0" w:color="auto"/>
                                                                                            <w:right w:val="none" w:sz="0" w:space="0" w:color="auto"/>
                                                                                          </w:divBdr>
                                                                                          <w:divsChild>
                                                                                            <w:div w:id="152525506">
                                                                                              <w:marLeft w:val="0"/>
                                                                                              <w:marRight w:val="0"/>
                                                                                              <w:marTop w:val="0"/>
                                                                                              <w:marBottom w:val="0"/>
                                                                                              <w:divBdr>
                                                                                                <w:top w:val="none" w:sz="0" w:space="0" w:color="auto"/>
                                                                                                <w:left w:val="none" w:sz="0" w:space="0" w:color="auto"/>
                                                                                                <w:bottom w:val="none" w:sz="0" w:space="0" w:color="auto"/>
                                                                                                <w:right w:val="none" w:sz="0" w:space="0" w:color="auto"/>
                                                                                              </w:divBdr>
                                                                                              <w:divsChild>
                                                                                                <w:div w:id="1877812063">
                                                                                                  <w:marLeft w:val="0"/>
                                                                                                  <w:marRight w:val="0"/>
                                                                                                  <w:marTop w:val="0"/>
                                                                                                  <w:marBottom w:val="0"/>
                                                                                                  <w:divBdr>
                                                                                                    <w:top w:val="none" w:sz="0" w:space="0" w:color="auto"/>
                                                                                                    <w:left w:val="none" w:sz="0" w:space="0" w:color="auto"/>
                                                                                                    <w:bottom w:val="none" w:sz="0" w:space="0" w:color="auto"/>
                                                                                                    <w:right w:val="none" w:sz="0" w:space="0" w:color="auto"/>
                                                                                                  </w:divBdr>
                                                                                                  <w:divsChild>
                                                                                                    <w:div w:id="1621493350">
                                                                                                      <w:marLeft w:val="0"/>
                                                                                                      <w:marRight w:val="0"/>
                                                                                                      <w:marTop w:val="0"/>
                                                                                                      <w:marBottom w:val="0"/>
                                                                                                      <w:divBdr>
                                                                                                        <w:top w:val="none" w:sz="0" w:space="0" w:color="auto"/>
                                                                                                        <w:left w:val="none" w:sz="0" w:space="0" w:color="auto"/>
                                                                                                        <w:bottom w:val="none" w:sz="0" w:space="0" w:color="auto"/>
                                                                                                        <w:right w:val="none" w:sz="0" w:space="0" w:color="auto"/>
                                                                                                      </w:divBdr>
                                                                                                      <w:divsChild>
                                                                                                        <w:div w:id="273096271">
                                                                                                          <w:marLeft w:val="0"/>
                                                                                                          <w:marRight w:val="0"/>
                                                                                                          <w:marTop w:val="0"/>
                                                                                                          <w:marBottom w:val="0"/>
                                                                                                          <w:divBdr>
                                                                                                            <w:top w:val="none" w:sz="0" w:space="0" w:color="auto"/>
                                                                                                            <w:left w:val="none" w:sz="0" w:space="0" w:color="auto"/>
                                                                                                            <w:bottom w:val="none" w:sz="0" w:space="0" w:color="auto"/>
                                                                                                            <w:right w:val="none" w:sz="0" w:space="0" w:color="auto"/>
                                                                                                          </w:divBdr>
                                                                                                          <w:divsChild>
                                                                                                            <w:div w:id="1225994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9238686">
                                                                                                                  <w:marLeft w:val="0"/>
                                                                                                                  <w:marRight w:val="0"/>
                                                                                                                  <w:marTop w:val="0"/>
                                                                                                                  <w:marBottom w:val="0"/>
                                                                                                                  <w:divBdr>
                                                                                                                    <w:top w:val="none" w:sz="0" w:space="0" w:color="auto"/>
                                                                                                                    <w:left w:val="none" w:sz="0" w:space="0" w:color="auto"/>
                                                                                                                    <w:bottom w:val="none" w:sz="0" w:space="0" w:color="auto"/>
                                                                                                                    <w:right w:val="none" w:sz="0" w:space="0" w:color="auto"/>
                                                                                                                  </w:divBdr>
                                                                                                                  <w:divsChild>
                                                                                                                    <w:div w:id="2620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134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pd/ai/ca21csla.asp" TargetMode="External"/><Relationship Id="rId18" Type="http://schemas.openxmlformats.org/officeDocument/2006/relationships/hyperlink" Target="https://www.cde.ca.gov/pd/ai/21cslagrantprocess.as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de.ca.gov/fg/fo/fm/generalassurances2021-22.asp" TargetMode="External"/><Relationship Id="rId2" Type="http://schemas.openxmlformats.org/officeDocument/2006/relationships/customXml" Target="../customXml/item2.xml"/><Relationship Id="rId16" Type="http://schemas.openxmlformats.org/officeDocument/2006/relationships/hyperlink" Target="mailto:21CSLA@cde.ca.gov" TargetMode="External"/><Relationship Id="rId20" Type="http://schemas.openxmlformats.org/officeDocument/2006/relationships/hyperlink" Target="https://www.cde.ca.gov/fg/fo/fm/generalassurances2021-22.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pd/ai/21cslagrantprocess.a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21CSLA@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pd/ai/21cslagrantprocess.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D573D-C66F-4AB1-9DD8-8522A07AD8A3}">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2.xml><?xml version="1.0" encoding="utf-8"?>
<ds:datastoreItem xmlns:ds="http://schemas.openxmlformats.org/officeDocument/2006/customXml" ds:itemID="{CA3E5322-C4DF-41FB-BC3D-C0BA67D51919}">
  <ds:schemaRefs>
    <ds:schemaRef ds:uri="http://schemas.microsoft.com/sharepoint/v3/contenttype/forms"/>
  </ds:schemaRefs>
</ds:datastoreItem>
</file>

<file path=customXml/itemProps3.xml><?xml version="1.0" encoding="utf-8"?>
<ds:datastoreItem xmlns:ds="http://schemas.openxmlformats.org/officeDocument/2006/customXml" ds:itemID="{ED0276EC-1363-4CE8-826C-83D318E61FB5}">
  <ds:schemaRefs>
    <ds:schemaRef ds:uri="http://schemas.openxmlformats.org/officeDocument/2006/bibliography"/>
  </ds:schemaRefs>
</ds:datastoreItem>
</file>

<file path=customXml/itemProps4.xml><?xml version="1.0" encoding="utf-8"?>
<ds:datastoreItem xmlns:ds="http://schemas.openxmlformats.org/officeDocument/2006/customXml" ds:itemID="{6A66B084-C1ED-4A00-ACAD-A3B22A11D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21</Pages>
  <Words>6396</Words>
  <Characters>36141</Characters>
  <Application>Microsoft Office Word</Application>
  <DocSecurity>0</DocSecurity>
  <Lines>1129</Lines>
  <Paragraphs>285</Paragraphs>
  <ScaleCrop>false</ScaleCrop>
  <HeadingPairs>
    <vt:vector size="2" baseType="variant">
      <vt:variant>
        <vt:lpstr>Title</vt:lpstr>
      </vt:variant>
      <vt:variant>
        <vt:i4>1</vt:i4>
      </vt:variant>
    </vt:vector>
  </HeadingPairs>
  <TitlesOfParts>
    <vt:vector size="1" baseType="lpstr">
      <vt:lpstr>RFA-16: School Improvement Grant  (CA Dept of Education)</vt:lpstr>
    </vt:vector>
  </TitlesOfParts>
  <Company>California Department of Education</Company>
  <LinksUpToDate>false</LinksUpToDate>
  <CharactersWithSpaces>42252</CharactersWithSpaces>
  <SharedDoc>false</SharedDoc>
  <HLinks>
    <vt:vector size="132" baseType="variant">
      <vt:variant>
        <vt:i4>6488106</vt:i4>
      </vt:variant>
      <vt:variant>
        <vt:i4>120</vt:i4>
      </vt:variant>
      <vt:variant>
        <vt:i4>0</vt:i4>
      </vt:variant>
      <vt:variant>
        <vt:i4>5</vt:i4>
      </vt:variant>
      <vt:variant>
        <vt:lpwstr>http://www.cde.ca.gov/fg/fo/fm/</vt:lpwstr>
      </vt:variant>
      <vt:variant>
        <vt:lpwstr/>
      </vt:variant>
      <vt:variant>
        <vt:i4>6488106</vt:i4>
      </vt:variant>
      <vt:variant>
        <vt:i4>117</vt:i4>
      </vt:variant>
      <vt:variant>
        <vt:i4>0</vt:i4>
      </vt:variant>
      <vt:variant>
        <vt:i4>5</vt:i4>
      </vt:variant>
      <vt:variant>
        <vt:lpwstr>http://www.cde.ca.gov/fg/fo/fm/</vt:lpwstr>
      </vt:variant>
      <vt:variant>
        <vt:lpwstr/>
      </vt:variant>
      <vt:variant>
        <vt:i4>2424909</vt:i4>
      </vt:variant>
      <vt:variant>
        <vt:i4>114</vt:i4>
      </vt:variant>
      <vt:variant>
        <vt:i4>0</vt:i4>
      </vt:variant>
      <vt:variant>
        <vt:i4>5</vt:i4>
      </vt:variant>
      <vt:variant>
        <vt:lpwstr>mailto:21CSLA@cde.ca.gov</vt:lpwstr>
      </vt:variant>
      <vt:variant>
        <vt:lpwstr/>
      </vt:variant>
      <vt:variant>
        <vt:i4>2424909</vt:i4>
      </vt:variant>
      <vt:variant>
        <vt:i4>111</vt:i4>
      </vt:variant>
      <vt:variant>
        <vt:i4>0</vt:i4>
      </vt:variant>
      <vt:variant>
        <vt:i4>5</vt:i4>
      </vt:variant>
      <vt:variant>
        <vt:lpwstr>mailto:21CSLA@cde.ca.gov</vt:lpwstr>
      </vt:variant>
      <vt:variant>
        <vt:lpwstr/>
      </vt:variant>
      <vt:variant>
        <vt:i4>1114163</vt:i4>
      </vt:variant>
      <vt:variant>
        <vt:i4>104</vt:i4>
      </vt:variant>
      <vt:variant>
        <vt:i4>0</vt:i4>
      </vt:variant>
      <vt:variant>
        <vt:i4>5</vt:i4>
      </vt:variant>
      <vt:variant>
        <vt:lpwstr/>
      </vt:variant>
      <vt:variant>
        <vt:lpwstr>_Toc446592853</vt:lpwstr>
      </vt:variant>
      <vt:variant>
        <vt:i4>1114163</vt:i4>
      </vt:variant>
      <vt:variant>
        <vt:i4>98</vt:i4>
      </vt:variant>
      <vt:variant>
        <vt:i4>0</vt:i4>
      </vt:variant>
      <vt:variant>
        <vt:i4>5</vt:i4>
      </vt:variant>
      <vt:variant>
        <vt:lpwstr/>
      </vt:variant>
      <vt:variant>
        <vt:lpwstr>_Toc446592852</vt:lpwstr>
      </vt:variant>
      <vt:variant>
        <vt:i4>1114163</vt:i4>
      </vt:variant>
      <vt:variant>
        <vt:i4>92</vt:i4>
      </vt:variant>
      <vt:variant>
        <vt:i4>0</vt:i4>
      </vt:variant>
      <vt:variant>
        <vt:i4>5</vt:i4>
      </vt:variant>
      <vt:variant>
        <vt:lpwstr/>
      </vt:variant>
      <vt:variant>
        <vt:lpwstr>_Toc446592851</vt:lpwstr>
      </vt:variant>
      <vt:variant>
        <vt:i4>1114163</vt:i4>
      </vt:variant>
      <vt:variant>
        <vt:i4>86</vt:i4>
      </vt:variant>
      <vt:variant>
        <vt:i4>0</vt:i4>
      </vt:variant>
      <vt:variant>
        <vt:i4>5</vt:i4>
      </vt:variant>
      <vt:variant>
        <vt:lpwstr/>
      </vt:variant>
      <vt:variant>
        <vt:lpwstr>_Toc446592850</vt:lpwstr>
      </vt:variant>
      <vt:variant>
        <vt:i4>1048627</vt:i4>
      </vt:variant>
      <vt:variant>
        <vt:i4>80</vt:i4>
      </vt:variant>
      <vt:variant>
        <vt:i4>0</vt:i4>
      </vt:variant>
      <vt:variant>
        <vt:i4>5</vt:i4>
      </vt:variant>
      <vt:variant>
        <vt:lpwstr/>
      </vt:variant>
      <vt:variant>
        <vt:lpwstr>_Toc446592849</vt:lpwstr>
      </vt:variant>
      <vt:variant>
        <vt:i4>1048627</vt:i4>
      </vt:variant>
      <vt:variant>
        <vt:i4>74</vt:i4>
      </vt:variant>
      <vt:variant>
        <vt:i4>0</vt:i4>
      </vt:variant>
      <vt:variant>
        <vt:i4>5</vt:i4>
      </vt:variant>
      <vt:variant>
        <vt:lpwstr/>
      </vt:variant>
      <vt:variant>
        <vt:lpwstr>_Toc446592848</vt:lpwstr>
      </vt:variant>
      <vt:variant>
        <vt:i4>1048627</vt:i4>
      </vt:variant>
      <vt:variant>
        <vt:i4>68</vt:i4>
      </vt:variant>
      <vt:variant>
        <vt:i4>0</vt:i4>
      </vt:variant>
      <vt:variant>
        <vt:i4>5</vt:i4>
      </vt:variant>
      <vt:variant>
        <vt:lpwstr/>
      </vt:variant>
      <vt:variant>
        <vt:lpwstr>_Toc446592847</vt:lpwstr>
      </vt:variant>
      <vt:variant>
        <vt:i4>1048627</vt:i4>
      </vt:variant>
      <vt:variant>
        <vt:i4>62</vt:i4>
      </vt:variant>
      <vt:variant>
        <vt:i4>0</vt:i4>
      </vt:variant>
      <vt:variant>
        <vt:i4>5</vt:i4>
      </vt:variant>
      <vt:variant>
        <vt:lpwstr/>
      </vt:variant>
      <vt:variant>
        <vt:lpwstr>_Toc446592846</vt:lpwstr>
      </vt:variant>
      <vt:variant>
        <vt:i4>1048627</vt:i4>
      </vt:variant>
      <vt:variant>
        <vt:i4>56</vt:i4>
      </vt:variant>
      <vt:variant>
        <vt:i4>0</vt:i4>
      </vt:variant>
      <vt:variant>
        <vt:i4>5</vt:i4>
      </vt:variant>
      <vt:variant>
        <vt:lpwstr/>
      </vt:variant>
      <vt:variant>
        <vt:lpwstr>_Toc446592845</vt:lpwstr>
      </vt:variant>
      <vt:variant>
        <vt:i4>1048627</vt:i4>
      </vt:variant>
      <vt:variant>
        <vt:i4>50</vt:i4>
      </vt:variant>
      <vt:variant>
        <vt:i4>0</vt:i4>
      </vt:variant>
      <vt:variant>
        <vt:i4>5</vt:i4>
      </vt:variant>
      <vt:variant>
        <vt:lpwstr/>
      </vt:variant>
      <vt:variant>
        <vt:lpwstr>_Toc446592844</vt:lpwstr>
      </vt:variant>
      <vt:variant>
        <vt:i4>1048627</vt:i4>
      </vt:variant>
      <vt:variant>
        <vt:i4>44</vt:i4>
      </vt:variant>
      <vt:variant>
        <vt:i4>0</vt:i4>
      </vt:variant>
      <vt:variant>
        <vt:i4>5</vt:i4>
      </vt:variant>
      <vt:variant>
        <vt:lpwstr/>
      </vt:variant>
      <vt:variant>
        <vt:lpwstr>_Toc446592843</vt:lpwstr>
      </vt:variant>
      <vt:variant>
        <vt:i4>1048627</vt:i4>
      </vt:variant>
      <vt:variant>
        <vt:i4>38</vt:i4>
      </vt:variant>
      <vt:variant>
        <vt:i4>0</vt:i4>
      </vt:variant>
      <vt:variant>
        <vt:i4>5</vt:i4>
      </vt:variant>
      <vt:variant>
        <vt:lpwstr/>
      </vt:variant>
      <vt:variant>
        <vt:lpwstr>_Toc446592842</vt:lpwstr>
      </vt:variant>
      <vt:variant>
        <vt:i4>1048627</vt:i4>
      </vt:variant>
      <vt:variant>
        <vt:i4>32</vt:i4>
      </vt:variant>
      <vt:variant>
        <vt:i4>0</vt:i4>
      </vt:variant>
      <vt:variant>
        <vt:i4>5</vt:i4>
      </vt:variant>
      <vt:variant>
        <vt:lpwstr/>
      </vt:variant>
      <vt:variant>
        <vt:lpwstr>_Toc446592841</vt:lpwstr>
      </vt:variant>
      <vt:variant>
        <vt:i4>1048627</vt:i4>
      </vt:variant>
      <vt:variant>
        <vt:i4>26</vt:i4>
      </vt:variant>
      <vt:variant>
        <vt:i4>0</vt:i4>
      </vt:variant>
      <vt:variant>
        <vt:i4>5</vt:i4>
      </vt:variant>
      <vt:variant>
        <vt:lpwstr/>
      </vt:variant>
      <vt:variant>
        <vt:lpwstr>_Toc446592840</vt:lpwstr>
      </vt:variant>
      <vt:variant>
        <vt:i4>1507379</vt:i4>
      </vt:variant>
      <vt:variant>
        <vt:i4>20</vt:i4>
      </vt:variant>
      <vt:variant>
        <vt:i4>0</vt:i4>
      </vt:variant>
      <vt:variant>
        <vt:i4>5</vt:i4>
      </vt:variant>
      <vt:variant>
        <vt:lpwstr/>
      </vt:variant>
      <vt:variant>
        <vt:lpwstr>_Toc446592839</vt:lpwstr>
      </vt:variant>
      <vt:variant>
        <vt:i4>1507379</vt:i4>
      </vt:variant>
      <vt:variant>
        <vt:i4>14</vt:i4>
      </vt:variant>
      <vt:variant>
        <vt:i4>0</vt:i4>
      </vt:variant>
      <vt:variant>
        <vt:i4>5</vt:i4>
      </vt:variant>
      <vt:variant>
        <vt:lpwstr/>
      </vt:variant>
      <vt:variant>
        <vt:lpwstr>_Toc446592838</vt:lpwstr>
      </vt:variant>
      <vt:variant>
        <vt:i4>1507379</vt:i4>
      </vt:variant>
      <vt:variant>
        <vt:i4>8</vt:i4>
      </vt:variant>
      <vt:variant>
        <vt:i4>0</vt:i4>
      </vt:variant>
      <vt:variant>
        <vt:i4>5</vt:i4>
      </vt:variant>
      <vt:variant>
        <vt:lpwstr/>
      </vt:variant>
      <vt:variant>
        <vt:lpwstr>_Toc446592837</vt:lpwstr>
      </vt:variant>
      <vt:variant>
        <vt:i4>1507379</vt:i4>
      </vt:variant>
      <vt:variant>
        <vt:i4>2</vt:i4>
      </vt:variant>
      <vt:variant>
        <vt:i4>0</vt:i4>
      </vt:variant>
      <vt:variant>
        <vt:i4>5</vt:i4>
      </vt:variant>
      <vt:variant>
        <vt:lpwstr/>
      </vt:variant>
      <vt:variant>
        <vt:lpwstr>_Toc446592836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RFA-16: School Improvement Grant  (CA Dept of Education)</dc:title>
  <dc:subject>School Improvement Grant: Renewal of Sub-grants Under Section 1003(g) for Year 3 of Cohort 3 Local Educational Agencies and Schools.</dc:subject>
  <dc:creator>School Turnaround Office</dc:creator>
  <cp:keywords/>
  <dc:description/>
  <cp:lastModifiedBy>Meuy Vue</cp:lastModifiedBy>
  <cp:revision>24</cp:revision>
  <cp:lastPrinted>2016-03-24T21:21:00Z</cp:lastPrinted>
  <dcterms:created xsi:type="dcterms:W3CDTF">2022-06-14T01:13:00Z</dcterms:created>
  <dcterms:modified xsi:type="dcterms:W3CDTF">2023-07-28T19:17:00Z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