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9A6F" w14:textId="21FB30C2" w:rsidR="00FF0A36" w:rsidRPr="001C5152" w:rsidRDefault="00FF0A36" w:rsidP="00FF0A36">
      <w:pPr>
        <w:pStyle w:val="Caption"/>
        <w:keepNext/>
        <w:spacing w:before="0" w:after="0"/>
      </w:pPr>
      <w:r w:rsidRPr="001C5152">
        <w:rPr>
          <w:rFonts w:cs="Arial"/>
          <w:noProof/>
          <w:sz w:val="24"/>
        </w:rPr>
        <w:drawing>
          <wp:inline distT="0" distB="0" distL="0" distR="0" wp14:anchorId="2B92F8CA" wp14:editId="67F3F632">
            <wp:extent cx="1666875" cy="1666875"/>
            <wp:effectExtent l="0" t="0" r="0" b="0"/>
            <wp:docPr id="1" name="Picture 4"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eal of the California Department of Education."/>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3CE254C3" w14:textId="77777777" w:rsidR="00FF0A36" w:rsidRPr="00FF0A36" w:rsidRDefault="00FF0A36" w:rsidP="00CD50EE">
      <w:pPr>
        <w:spacing w:before="960" w:after="1200"/>
        <w:jc w:val="center"/>
        <w:rPr>
          <w:b/>
          <w:sz w:val="36"/>
          <w:szCs w:val="36"/>
        </w:rPr>
      </w:pPr>
      <w:r w:rsidRPr="00FF0A36">
        <w:rPr>
          <w:b/>
          <w:sz w:val="36"/>
          <w:szCs w:val="36"/>
        </w:rPr>
        <w:t>California Department of Education</w:t>
      </w:r>
    </w:p>
    <w:p w14:paraId="51DA9EC5" w14:textId="76D1C2E4" w:rsidR="00FF0A36" w:rsidRDefault="00F225F1" w:rsidP="00CD50EE">
      <w:pPr>
        <w:pStyle w:val="Heading1"/>
        <w:spacing w:before="480" w:after="840"/>
        <w:rPr>
          <w:sz w:val="40"/>
          <w:szCs w:val="40"/>
        </w:rPr>
      </w:pPr>
      <w:bookmarkStart w:id="0" w:name="_Toc83884400"/>
      <w:bookmarkStart w:id="1" w:name="_Toc83900950"/>
      <w:bookmarkStart w:id="2" w:name="_Hlk84510153"/>
      <w:bookmarkStart w:id="3" w:name="_Toc86997783"/>
      <w:bookmarkStart w:id="4" w:name="_Toc23953097"/>
      <w:bookmarkStart w:id="5" w:name="_Toc33794094"/>
      <w:bookmarkStart w:id="6" w:name="_Toc33800026"/>
      <w:bookmarkStart w:id="7" w:name="_Toc34036259"/>
      <w:r w:rsidRPr="01A6F8F1">
        <w:rPr>
          <w:sz w:val="40"/>
          <w:szCs w:val="40"/>
        </w:rPr>
        <w:t>Scaling</w:t>
      </w:r>
      <w:r w:rsidR="004278D2" w:rsidRPr="01A6F8F1">
        <w:rPr>
          <w:sz w:val="40"/>
          <w:szCs w:val="40"/>
        </w:rPr>
        <w:t xml:space="preserve"> </w:t>
      </w:r>
      <w:r w:rsidRPr="01A6F8F1">
        <w:rPr>
          <w:sz w:val="40"/>
          <w:szCs w:val="40"/>
        </w:rPr>
        <w:t>Up Multi-</w:t>
      </w:r>
      <w:proofErr w:type="gramStart"/>
      <w:r w:rsidRPr="01A6F8F1">
        <w:rPr>
          <w:sz w:val="40"/>
          <w:szCs w:val="40"/>
        </w:rPr>
        <w:t>tiered</w:t>
      </w:r>
      <w:proofErr w:type="gramEnd"/>
      <w:r w:rsidRPr="01A6F8F1">
        <w:rPr>
          <w:sz w:val="40"/>
          <w:szCs w:val="40"/>
        </w:rPr>
        <w:t xml:space="preserve"> System of Support</w:t>
      </w:r>
      <w:r w:rsidR="00543104" w:rsidRPr="01A6F8F1">
        <w:rPr>
          <w:sz w:val="40"/>
          <w:szCs w:val="40"/>
        </w:rPr>
        <w:t xml:space="preserve"> Statewide</w:t>
      </w:r>
      <w:r w:rsidRPr="01A6F8F1">
        <w:rPr>
          <w:sz w:val="40"/>
          <w:szCs w:val="40"/>
        </w:rPr>
        <w:t xml:space="preserve">: </w:t>
      </w:r>
      <w:r w:rsidR="00F56B01" w:rsidRPr="01A6F8F1">
        <w:rPr>
          <w:sz w:val="40"/>
          <w:szCs w:val="40"/>
        </w:rPr>
        <w:t xml:space="preserve">Partner </w:t>
      </w:r>
      <w:bookmarkEnd w:id="0"/>
      <w:bookmarkEnd w:id="1"/>
      <w:r w:rsidR="002309D1" w:rsidRPr="01A6F8F1">
        <w:rPr>
          <w:sz w:val="40"/>
          <w:szCs w:val="40"/>
        </w:rPr>
        <w:t>Entity</w:t>
      </w:r>
      <w:bookmarkEnd w:id="2"/>
      <w:bookmarkEnd w:id="3"/>
      <w:r w:rsidRPr="01A6F8F1">
        <w:rPr>
          <w:sz w:val="40"/>
          <w:szCs w:val="40"/>
        </w:rPr>
        <w:t xml:space="preserve"> </w:t>
      </w:r>
      <w:bookmarkEnd w:id="4"/>
      <w:bookmarkEnd w:id="5"/>
      <w:bookmarkEnd w:id="6"/>
      <w:bookmarkEnd w:id="7"/>
    </w:p>
    <w:p w14:paraId="4B09D4EA" w14:textId="77777777" w:rsidR="00FF0A36" w:rsidRPr="002A7FD6" w:rsidRDefault="00FF0A36" w:rsidP="00CD50EE">
      <w:pPr>
        <w:spacing w:after="720"/>
        <w:jc w:val="center"/>
        <w:rPr>
          <w:b/>
          <w:sz w:val="36"/>
        </w:rPr>
      </w:pPr>
      <w:r w:rsidRPr="002A7FD6">
        <w:rPr>
          <w:b/>
          <w:sz w:val="36"/>
        </w:rPr>
        <w:t>REQUEST FOR APPLICATION</w:t>
      </w:r>
      <w:r>
        <w:rPr>
          <w:b/>
          <w:sz w:val="36"/>
        </w:rPr>
        <w:t>S</w:t>
      </w:r>
    </w:p>
    <w:p w14:paraId="5339FDAF" w14:textId="77777777" w:rsidR="00FF0A36" w:rsidRDefault="00FF0A36" w:rsidP="00565AE6">
      <w:pPr>
        <w:spacing w:before="600" w:after="0"/>
        <w:jc w:val="center"/>
        <w:rPr>
          <w:b/>
          <w:sz w:val="36"/>
        </w:rPr>
      </w:pPr>
      <w:r>
        <w:rPr>
          <w:b/>
          <w:sz w:val="36"/>
        </w:rPr>
        <w:t>Application Due Date:</w:t>
      </w:r>
    </w:p>
    <w:p w14:paraId="72C5F2E5" w14:textId="71B49E0B" w:rsidR="00FF0A36" w:rsidRPr="00D72198" w:rsidRDefault="006F0B02" w:rsidP="00FF0A36">
      <w:pPr>
        <w:spacing w:after="0"/>
        <w:ind w:hanging="3"/>
        <w:jc w:val="center"/>
        <w:rPr>
          <w:b/>
          <w:sz w:val="36"/>
        </w:rPr>
      </w:pPr>
      <w:bookmarkStart w:id="8" w:name="_Hlk84513289"/>
      <w:r w:rsidRPr="00D72198">
        <w:rPr>
          <w:b/>
          <w:sz w:val="36"/>
        </w:rPr>
        <w:t>December 1</w:t>
      </w:r>
      <w:r w:rsidR="00365F65" w:rsidRPr="00D72198">
        <w:rPr>
          <w:b/>
          <w:sz w:val="36"/>
        </w:rPr>
        <w:t>7</w:t>
      </w:r>
      <w:r w:rsidR="00FF0A36" w:rsidRPr="00D72198">
        <w:rPr>
          <w:b/>
          <w:sz w:val="36"/>
        </w:rPr>
        <w:t xml:space="preserve">, </w:t>
      </w:r>
      <w:r w:rsidRPr="00D72198">
        <w:rPr>
          <w:b/>
          <w:sz w:val="36"/>
        </w:rPr>
        <w:t>2021</w:t>
      </w:r>
      <w:r w:rsidR="00FF0A36" w:rsidRPr="00D72198">
        <w:rPr>
          <w:b/>
          <w:sz w:val="36"/>
        </w:rPr>
        <w:t>,</w:t>
      </w:r>
    </w:p>
    <w:p w14:paraId="2F04309B" w14:textId="77777777" w:rsidR="00FF0A36" w:rsidRPr="002A7FD6" w:rsidRDefault="00FF0A36" w:rsidP="00FF0A36">
      <w:pPr>
        <w:spacing w:after="480"/>
        <w:jc w:val="center"/>
        <w:rPr>
          <w:b/>
          <w:sz w:val="36"/>
        </w:rPr>
      </w:pPr>
      <w:r w:rsidRPr="00D72198">
        <w:rPr>
          <w:b/>
          <w:sz w:val="36"/>
        </w:rPr>
        <w:t>by 4:00</w:t>
      </w:r>
      <w:r w:rsidR="00F22109" w:rsidRPr="00D72198">
        <w:rPr>
          <w:b/>
          <w:sz w:val="36"/>
        </w:rPr>
        <w:t xml:space="preserve"> </w:t>
      </w:r>
      <w:r w:rsidRPr="00D72198">
        <w:rPr>
          <w:b/>
          <w:sz w:val="36"/>
        </w:rPr>
        <w:t>p</w:t>
      </w:r>
      <w:r w:rsidR="00F22109" w:rsidRPr="00D72198">
        <w:rPr>
          <w:b/>
          <w:sz w:val="36"/>
        </w:rPr>
        <w:t>.</w:t>
      </w:r>
      <w:r w:rsidRPr="00D72198">
        <w:rPr>
          <w:b/>
          <w:sz w:val="36"/>
        </w:rPr>
        <w:t>m</w:t>
      </w:r>
      <w:r w:rsidR="00F22109" w:rsidRPr="00D72198">
        <w:rPr>
          <w:b/>
          <w:sz w:val="36"/>
        </w:rPr>
        <w:t>.</w:t>
      </w:r>
    </w:p>
    <w:bookmarkEnd w:id="8"/>
    <w:p w14:paraId="4EC9760F" w14:textId="77777777" w:rsidR="00FF0A36" w:rsidRPr="001C5152" w:rsidRDefault="00FF0A36" w:rsidP="009E4E1F">
      <w:pPr>
        <w:autoSpaceDE w:val="0"/>
        <w:autoSpaceDN w:val="0"/>
        <w:adjustRightInd w:val="0"/>
        <w:spacing w:before="1200" w:after="0"/>
        <w:jc w:val="center"/>
        <w:rPr>
          <w:rFonts w:cs="Arial"/>
        </w:rPr>
      </w:pPr>
      <w:r w:rsidRPr="001C5152">
        <w:rPr>
          <w:rFonts w:cs="Arial"/>
        </w:rPr>
        <w:t>Administered by the</w:t>
      </w:r>
    </w:p>
    <w:p w14:paraId="21C30FCB" w14:textId="77777777" w:rsidR="00FF0A36" w:rsidRPr="001C5152" w:rsidRDefault="00FF0A36" w:rsidP="00FF0A36">
      <w:pPr>
        <w:autoSpaceDE w:val="0"/>
        <w:autoSpaceDN w:val="0"/>
        <w:adjustRightInd w:val="0"/>
        <w:spacing w:after="0"/>
        <w:jc w:val="center"/>
        <w:rPr>
          <w:rFonts w:cs="Arial"/>
        </w:rPr>
      </w:pPr>
      <w:r w:rsidRPr="001C5152">
        <w:rPr>
          <w:rFonts w:cs="Arial"/>
        </w:rPr>
        <w:t>Educator Excellence and Equity Division</w:t>
      </w:r>
    </w:p>
    <w:p w14:paraId="53419944" w14:textId="77777777" w:rsidR="00FF0A36" w:rsidRPr="001C5152" w:rsidRDefault="00FF0A36" w:rsidP="00FF0A36">
      <w:pPr>
        <w:autoSpaceDE w:val="0"/>
        <w:autoSpaceDN w:val="0"/>
        <w:adjustRightInd w:val="0"/>
        <w:spacing w:after="0"/>
        <w:jc w:val="center"/>
        <w:rPr>
          <w:rFonts w:cs="Arial"/>
        </w:rPr>
      </w:pPr>
      <w:r w:rsidRPr="001C5152">
        <w:rPr>
          <w:rFonts w:cs="Arial"/>
        </w:rPr>
        <w:t>California Department of Education</w:t>
      </w:r>
    </w:p>
    <w:p w14:paraId="16A19A3A" w14:textId="77777777" w:rsidR="00FF0A36" w:rsidRPr="001C5152" w:rsidRDefault="00FF0A36" w:rsidP="00FF0A36">
      <w:pPr>
        <w:autoSpaceDE w:val="0"/>
        <w:autoSpaceDN w:val="0"/>
        <w:adjustRightInd w:val="0"/>
        <w:spacing w:after="0"/>
        <w:jc w:val="center"/>
        <w:rPr>
          <w:rFonts w:cs="Arial"/>
        </w:rPr>
      </w:pPr>
      <w:r w:rsidRPr="001C5152">
        <w:rPr>
          <w:rFonts w:cs="Arial"/>
        </w:rPr>
        <w:t>1430 N Street, Suite 4309</w:t>
      </w:r>
    </w:p>
    <w:p w14:paraId="50A65259" w14:textId="77777777" w:rsidR="00FF0A36" w:rsidRDefault="00FF0A36" w:rsidP="00FF0A36">
      <w:pPr>
        <w:autoSpaceDE w:val="0"/>
        <w:autoSpaceDN w:val="0"/>
        <w:adjustRightInd w:val="0"/>
        <w:spacing w:after="0"/>
        <w:jc w:val="center"/>
        <w:rPr>
          <w:rFonts w:cs="Arial"/>
        </w:rPr>
      </w:pPr>
      <w:r w:rsidRPr="001C5152">
        <w:rPr>
          <w:rFonts w:cs="Arial"/>
        </w:rPr>
        <w:t>Sacramento, CA 95814-5901</w:t>
      </w:r>
    </w:p>
    <w:p w14:paraId="17B211C7" w14:textId="77777777" w:rsidR="00FF0A36" w:rsidRDefault="00FF0A36" w:rsidP="00FF0A36">
      <w:pPr>
        <w:autoSpaceDE w:val="0"/>
        <w:autoSpaceDN w:val="0"/>
        <w:adjustRightInd w:val="0"/>
        <w:spacing w:after="0" w:line="288" w:lineRule="atLeast"/>
        <w:jc w:val="center"/>
        <w:rPr>
          <w:rFonts w:cs="Arial"/>
          <w:color w:val="000000"/>
        </w:rPr>
      </w:pPr>
      <w:r w:rsidRPr="001C5152">
        <w:rPr>
          <w:rFonts w:cs="Arial"/>
        </w:rPr>
        <w:t xml:space="preserve">Phone: </w:t>
      </w:r>
      <w:r w:rsidR="0089266B">
        <w:rPr>
          <w:rFonts w:cs="Arial"/>
          <w:color w:val="000000"/>
        </w:rPr>
        <w:t>916-323-</w:t>
      </w:r>
      <w:r w:rsidR="00956A16">
        <w:rPr>
          <w:rFonts w:cs="Arial"/>
          <w:color w:val="000000"/>
        </w:rPr>
        <w:t>6269</w:t>
      </w:r>
    </w:p>
    <w:p w14:paraId="2560B2EC" w14:textId="055E9DCE" w:rsidR="00FF0A36" w:rsidRPr="001C5152" w:rsidRDefault="007C76D0" w:rsidP="00FF0A36">
      <w:pPr>
        <w:autoSpaceDE w:val="0"/>
        <w:autoSpaceDN w:val="0"/>
        <w:adjustRightInd w:val="0"/>
        <w:spacing w:after="0"/>
        <w:jc w:val="center"/>
        <w:rPr>
          <w:rFonts w:cs="Arial"/>
        </w:rPr>
      </w:pPr>
      <w:r>
        <w:rPr>
          <w:rStyle w:val="Hyperlink"/>
          <w:rFonts w:eastAsia="Times New Roman"/>
        </w:rPr>
        <w:t xml:space="preserve"> </w:t>
      </w:r>
    </w:p>
    <w:p w14:paraId="09BCC0FC" w14:textId="77777777" w:rsidR="00FF0A36" w:rsidRDefault="00FF0A36" w:rsidP="00FF0A36">
      <w:pPr>
        <w:autoSpaceDE w:val="0"/>
        <w:autoSpaceDN w:val="0"/>
        <w:adjustRightInd w:val="0"/>
        <w:spacing w:line="288" w:lineRule="atLeast"/>
        <w:jc w:val="center"/>
        <w:sectPr w:rsidR="00FF0A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0C6DDB68" w14:textId="77777777" w:rsidR="00A43238" w:rsidRDefault="002D516C" w:rsidP="00A43238">
      <w:pPr>
        <w:pStyle w:val="Heading2"/>
        <w:jc w:val="center"/>
        <w:rPr>
          <w:noProof/>
        </w:rPr>
      </w:pPr>
      <w:bookmarkStart w:id="9" w:name="_Toc23804178"/>
      <w:bookmarkStart w:id="10" w:name="_Toc23804575"/>
      <w:bookmarkStart w:id="11" w:name="_Toc23953098"/>
      <w:bookmarkStart w:id="12" w:name="_Toc33794095"/>
      <w:bookmarkStart w:id="13" w:name="_Toc33800027"/>
      <w:bookmarkStart w:id="14" w:name="_Toc34036260"/>
      <w:bookmarkStart w:id="15" w:name="_Toc83900951"/>
      <w:bookmarkStart w:id="16" w:name="_Toc86997784"/>
      <w:r>
        <w:lastRenderedPageBreak/>
        <w:t>Table of Contents</w:t>
      </w:r>
      <w:bookmarkEnd w:id="9"/>
      <w:bookmarkEnd w:id="10"/>
      <w:bookmarkEnd w:id="11"/>
      <w:bookmarkEnd w:id="12"/>
      <w:bookmarkEnd w:id="13"/>
      <w:bookmarkEnd w:id="14"/>
      <w:bookmarkEnd w:id="15"/>
      <w:bookmarkEnd w:id="16"/>
      <w:r w:rsidR="00D875D3" w:rsidRPr="00CA1435">
        <w:fldChar w:fldCharType="begin"/>
      </w:r>
      <w:r w:rsidR="002C745F" w:rsidRPr="00CA1435">
        <w:instrText xml:space="preserve"> TOC \o "1-3" \h \z \u </w:instrText>
      </w:r>
      <w:r w:rsidR="00D875D3" w:rsidRPr="00CA1435">
        <w:fldChar w:fldCharType="separate"/>
      </w:r>
    </w:p>
    <w:p w14:paraId="52936EB8" w14:textId="05933701" w:rsidR="00A43238" w:rsidRDefault="00000000">
      <w:pPr>
        <w:pStyle w:val="TOC2"/>
        <w:rPr>
          <w:rFonts w:asciiTheme="minorHAnsi" w:eastAsiaTheme="minorEastAsia" w:hAnsiTheme="minorHAnsi"/>
          <w:b w:val="0"/>
        </w:rPr>
      </w:pPr>
      <w:hyperlink w:anchor="_Toc86997785" w:history="1">
        <w:r w:rsidR="00A43238" w:rsidRPr="00782FBC">
          <w:rPr>
            <w:rStyle w:val="Hyperlink"/>
          </w:rPr>
          <w:t>1.</w:t>
        </w:r>
        <w:r w:rsidR="00A43238">
          <w:rPr>
            <w:rFonts w:asciiTheme="minorHAnsi" w:eastAsiaTheme="minorEastAsia" w:hAnsiTheme="minorHAnsi"/>
            <w:b w:val="0"/>
          </w:rPr>
          <w:tab/>
        </w:r>
        <w:r w:rsidR="00A43238" w:rsidRPr="00782FBC">
          <w:rPr>
            <w:rStyle w:val="Hyperlink"/>
          </w:rPr>
          <w:t>Overview</w:t>
        </w:r>
        <w:r w:rsidR="00A43238">
          <w:rPr>
            <w:webHidden/>
          </w:rPr>
          <w:tab/>
        </w:r>
        <w:r w:rsidR="00A43238">
          <w:rPr>
            <w:webHidden/>
          </w:rPr>
          <w:fldChar w:fldCharType="begin"/>
        </w:r>
        <w:r w:rsidR="00A43238">
          <w:rPr>
            <w:webHidden/>
          </w:rPr>
          <w:instrText xml:space="preserve"> PAGEREF _Toc86997785 \h </w:instrText>
        </w:r>
        <w:r w:rsidR="00A43238">
          <w:rPr>
            <w:webHidden/>
          </w:rPr>
        </w:r>
        <w:r w:rsidR="00A43238">
          <w:rPr>
            <w:webHidden/>
          </w:rPr>
          <w:fldChar w:fldCharType="separate"/>
        </w:r>
        <w:r w:rsidR="00A43238">
          <w:rPr>
            <w:webHidden/>
          </w:rPr>
          <w:t>1</w:t>
        </w:r>
        <w:r w:rsidR="00A43238">
          <w:rPr>
            <w:webHidden/>
          </w:rPr>
          <w:fldChar w:fldCharType="end"/>
        </w:r>
      </w:hyperlink>
    </w:p>
    <w:p w14:paraId="7D0B624E" w14:textId="4931432F" w:rsidR="00A43238" w:rsidRDefault="00000000">
      <w:pPr>
        <w:pStyle w:val="TOC3"/>
        <w:rPr>
          <w:rFonts w:asciiTheme="minorHAnsi" w:eastAsiaTheme="minorEastAsia" w:hAnsiTheme="minorHAnsi"/>
          <w:noProof/>
          <w:sz w:val="22"/>
        </w:rPr>
      </w:pPr>
      <w:hyperlink w:anchor="_Toc86997786" w:history="1">
        <w:r w:rsidR="00A43238" w:rsidRPr="00782FBC">
          <w:rPr>
            <w:rStyle w:val="Hyperlink"/>
            <w:noProof/>
          </w:rPr>
          <w:t>A.</w:t>
        </w:r>
        <w:r w:rsidR="00A43238">
          <w:rPr>
            <w:rFonts w:asciiTheme="minorHAnsi" w:eastAsiaTheme="minorEastAsia" w:hAnsiTheme="minorHAnsi"/>
            <w:noProof/>
            <w:sz w:val="22"/>
          </w:rPr>
          <w:tab/>
        </w:r>
        <w:r w:rsidR="00A43238" w:rsidRPr="00782FBC">
          <w:rPr>
            <w:rStyle w:val="Hyperlink"/>
            <w:noProof/>
          </w:rPr>
          <w:t>Introduction</w:t>
        </w:r>
        <w:r w:rsidR="00A43238">
          <w:rPr>
            <w:noProof/>
            <w:webHidden/>
          </w:rPr>
          <w:tab/>
        </w:r>
        <w:r w:rsidR="00A43238">
          <w:rPr>
            <w:noProof/>
            <w:webHidden/>
          </w:rPr>
          <w:fldChar w:fldCharType="begin"/>
        </w:r>
        <w:r w:rsidR="00A43238">
          <w:rPr>
            <w:noProof/>
            <w:webHidden/>
          </w:rPr>
          <w:instrText xml:space="preserve"> PAGEREF _Toc86997786 \h </w:instrText>
        </w:r>
        <w:r w:rsidR="00A43238">
          <w:rPr>
            <w:noProof/>
            <w:webHidden/>
          </w:rPr>
        </w:r>
        <w:r w:rsidR="00A43238">
          <w:rPr>
            <w:noProof/>
            <w:webHidden/>
          </w:rPr>
          <w:fldChar w:fldCharType="separate"/>
        </w:r>
        <w:r w:rsidR="00A43238">
          <w:rPr>
            <w:noProof/>
            <w:webHidden/>
          </w:rPr>
          <w:t>3</w:t>
        </w:r>
        <w:r w:rsidR="00A43238">
          <w:rPr>
            <w:noProof/>
            <w:webHidden/>
          </w:rPr>
          <w:fldChar w:fldCharType="end"/>
        </w:r>
      </w:hyperlink>
    </w:p>
    <w:p w14:paraId="38C745E5" w14:textId="425DE300" w:rsidR="00A43238" w:rsidRDefault="00000000">
      <w:pPr>
        <w:pStyle w:val="TOC3"/>
        <w:rPr>
          <w:rFonts w:asciiTheme="minorHAnsi" w:eastAsiaTheme="minorEastAsia" w:hAnsiTheme="minorHAnsi"/>
          <w:noProof/>
          <w:sz w:val="22"/>
        </w:rPr>
      </w:pPr>
      <w:hyperlink w:anchor="_Toc86997787" w:history="1">
        <w:r w:rsidR="00A43238" w:rsidRPr="00782FBC">
          <w:rPr>
            <w:rStyle w:val="Hyperlink"/>
            <w:noProof/>
          </w:rPr>
          <w:t>B.</w:t>
        </w:r>
        <w:r w:rsidR="00A43238">
          <w:rPr>
            <w:rFonts w:asciiTheme="minorHAnsi" w:eastAsiaTheme="minorEastAsia" w:hAnsiTheme="minorHAnsi"/>
            <w:noProof/>
            <w:sz w:val="22"/>
          </w:rPr>
          <w:tab/>
        </w:r>
        <w:r w:rsidR="00A43238" w:rsidRPr="00782FBC">
          <w:rPr>
            <w:rStyle w:val="Hyperlink"/>
            <w:noProof/>
          </w:rPr>
          <w:t>Background</w:t>
        </w:r>
        <w:r w:rsidR="00A43238">
          <w:rPr>
            <w:noProof/>
            <w:webHidden/>
          </w:rPr>
          <w:tab/>
        </w:r>
        <w:r w:rsidR="00A43238">
          <w:rPr>
            <w:noProof/>
            <w:webHidden/>
          </w:rPr>
          <w:fldChar w:fldCharType="begin"/>
        </w:r>
        <w:r w:rsidR="00A43238">
          <w:rPr>
            <w:noProof/>
            <w:webHidden/>
          </w:rPr>
          <w:instrText xml:space="preserve"> PAGEREF _Toc86997787 \h </w:instrText>
        </w:r>
        <w:r w:rsidR="00A43238">
          <w:rPr>
            <w:noProof/>
            <w:webHidden/>
          </w:rPr>
        </w:r>
        <w:r w:rsidR="00A43238">
          <w:rPr>
            <w:noProof/>
            <w:webHidden/>
          </w:rPr>
          <w:fldChar w:fldCharType="separate"/>
        </w:r>
        <w:r w:rsidR="00A43238">
          <w:rPr>
            <w:noProof/>
            <w:webHidden/>
          </w:rPr>
          <w:t>4</w:t>
        </w:r>
        <w:r w:rsidR="00A43238">
          <w:rPr>
            <w:noProof/>
            <w:webHidden/>
          </w:rPr>
          <w:fldChar w:fldCharType="end"/>
        </w:r>
      </w:hyperlink>
    </w:p>
    <w:p w14:paraId="4FD129E6" w14:textId="040D6E42" w:rsidR="00A43238" w:rsidRDefault="00000000">
      <w:pPr>
        <w:pStyle w:val="TOC3"/>
        <w:rPr>
          <w:rFonts w:asciiTheme="minorHAnsi" w:eastAsiaTheme="minorEastAsia" w:hAnsiTheme="minorHAnsi"/>
          <w:noProof/>
          <w:sz w:val="22"/>
        </w:rPr>
      </w:pPr>
      <w:hyperlink w:anchor="_Toc86997788" w:history="1">
        <w:r w:rsidR="00A43238" w:rsidRPr="00782FBC">
          <w:rPr>
            <w:rStyle w:val="Hyperlink"/>
            <w:noProof/>
          </w:rPr>
          <w:t>C.</w:t>
        </w:r>
        <w:r w:rsidR="00A43238">
          <w:rPr>
            <w:rFonts w:asciiTheme="minorHAnsi" w:eastAsiaTheme="minorEastAsia" w:hAnsiTheme="minorHAnsi"/>
            <w:noProof/>
            <w:sz w:val="22"/>
          </w:rPr>
          <w:tab/>
        </w:r>
        <w:r w:rsidR="00A43238" w:rsidRPr="00782FBC">
          <w:rPr>
            <w:rStyle w:val="Hyperlink"/>
            <w:noProof/>
          </w:rPr>
          <w:t>State Statute and Authority</w:t>
        </w:r>
        <w:r w:rsidR="00A43238">
          <w:rPr>
            <w:noProof/>
            <w:webHidden/>
          </w:rPr>
          <w:tab/>
        </w:r>
        <w:r w:rsidR="00A43238">
          <w:rPr>
            <w:noProof/>
            <w:webHidden/>
          </w:rPr>
          <w:fldChar w:fldCharType="begin"/>
        </w:r>
        <w:r w:rsidR="00A43238">
          <w:rPr>
            <w:noProof/>
            <w:webHidden/>
          </w:rPr>
          <w:instrText xml:space="preserve"> PAGEREF _Toc86997788 \h </w:instrText>
        </w:r>
        <w:r w:rsidR="00A43238">
          <w:rPr>
            <w:noProof/>
            <w:webHidden/>
          </w:rPr>
        </w:r>
        <w:r w:rsidR="00A43238">
          <w:rPr>
            <w:noProof/>
            <w:webHidden/>
          </w:rPr>
          <w:fldChar w:fldCharType="separate"/>
        </w:r>
        <w:r w:rsidR="00A43238">
          <w:rPr>
            <w:noProof/>
            <w:webHidden/>
          </w:rPr>
          <w:t>7</w:t>
        </w:r>
        <w:r w:rsidR="00A43238">
          <w:rPr>
            <w:noProof/>
            <w:webHidden/>
          </w:rPr>
          <w:fldChar w:fldCharType="end"/>
        </w:r>
      </w:hyperlink>
    </w:p>
    <w:p w14:paraId="26412FE0" w14:textId="0046F490" w:rsidR="00A43238" w:rsidRDefault="00000000">
      <w:pPr>
        <w:pStyle w:val="TOC2"/>
        <w:rPr>
          <w:rFonts w:asciiTheme="minorHAnsi" w:eastAsiaTheme="minorEastAsia" w:hAnsiTheme="minorHAnsi"/>
          <w:b w:val="0"/>
        </w:rPr>
      </w:pPr>
      <w:hyperlink w:anchor="_Toc86997789" w:history="1">
        <w:r w:rsidR="00A43238" w:rsidRPr="00782FBC">
          <w:rPr>
            <w:rStyle w:val="Hyperlink"/>
          </w:rPr>
          <w:t>2.</w:t>
        </w:r>
        <w:r w:rsidR="00A43238">
          <w:rPr>
            <w:rFonts w:asciiTheme="minorHAnsi" w:eastAsiaTheme="minorEastAsia" w:hAnsiTheme="minorHAnsi"/>
            <w:b w:val="0"/>
          </w:rPr>
          <w:tab/>
        </w:r>
        <w:r w:rsidR="00A43238" w:rsidRPr="00782FBC">
          <w:rPr>
            <w:rStyle w:val="Hyperlink"/>
          </w:rPr>
          <w:t>Program Description</w:t>
        </w:r>
        <w:r w:rsidR="00A43238">
          <w:rPr>
            <w:webHidden/>
          </w:rPr>
          <w:tab/>
        </w:r>
        <w:r w:rsidR="00A43238">
          <w:rPr>
            <w:webHidden/>
          </w:rPr>
          <w:fldChar w:fldCharType="begin"/>
        </w:r>
        <w:r w:rsidR="00A43238">
          <w:rPr>
            <w:webHidden/>
          </w:rPr>
          <w:instrText xml:space="preserve"> PAGEREF _Toc86997789 \h </w:instrText>
        </w:r>
        <w:r w:rsidR="00A43238">
          <w:rPr>
            <w:webHidden/>
          </w:rPr>
        </w:r>
        <w:r w:rsidR="00A43238">
          <w:rPr>
            <w:webHidden/>
          </w:rPr>
          <w:fldChar w:fldCharType="separate"/>
        </w:r>
        <w:r w:rsidR="00A43238">
          <w:rPr>
            <w:webHidden/>
          </w:rPr>
          <w:t>8</w:t>
        </w:r>
        <w:r w:rsidR="00A43238">
          <w:rPr>
            <w:webHidden/>
          </w:rPr>
          <w:fldChar w:fldCharType="end"/>
        </w:r>
      </w:hyperlink>
    </w:p>
    <w:p w14:paraId="2DD67D9E" w14:textId="6EA91AA8" w:rsidR="00A43238" w:rsidRDefault="00000000">
      <w:pPr>
        <w:pStyle w:val="TOC3"/>
        <w:rPr>
          <w:rFonts w:asciiTheme="minorHAnsi" w:eastAsiaTheme="minorEastAsia" w:hAnsiTheme="minorHAnsi"/>
          <w:noProof/>
          <w:sz w:val="22"/>
        </w:rPr>
      </w:pPr>
      <w:hyperlink w:anchor="_Toc86997790" w:history="1">
        <w:r w:rsidR="00A43238" w:rsidRPr="00782FBC">
          <w:rPr>
            <w:rStyle w:val="Hyperlink"/>
            <w:noProof/>
          </w:rPr>
          <w:t>A.</w:t>
        </w:r>
        <w:r w:rsidR="00A43238">
          <w:rPr>
            <w:rFonts w:asciiTheme="minorHAnsi" w:eastAsiaTheme="minorEastAsia" w:hAnsiTheme="minorHAnsi"/>
            <w:noProof/>
            <w:sz w:val="22"/>
          </w:rPr>
          <w:tab/>
        </w:r>
        <w:r w:rsidR="00A43238" w:rsidRPr="00782FBC">
          <w:rPr>
            <w:rStyle w:val="Hyperlink"/>
            <w:noProof/>
          </w:rPr>
          <w:t>Grant Information</w:t>
        </w:r>
        <w:r w:rsidR="00A43238">
          <w:rPr>
            <w:noProof/>
            <w:webHidden/>
          </w:rPr>
          <w:tab/>
        </w:r>
        <w:r w:rsidR="00A43238">
          <w:rPr>
            <w:noProof/>
            <w:webHidden/>
          </w:rPr>
          <w:fldChar w:fldCharType="begin"/>
        </w:r>
        <w:r w:rsidR="00A43238">
          <w:rPr>
            <w:noProof/>
            <w:webHidden/>
          </w:rPr>
          <w:instrText xml:space="preserve"> PAGEREF _Toc86997790 \h </w:instrText>
        </w:r>
        <w:r w:rsidR="00A43238">
          <w:rPr>
            <w:noProof/>
            <w:webHidden/>
          </w:rPr>
        </w:r>
        <w:r w:rsidR="00A43238">
          <w:rPr>
            <w:noProof/>
            <w:webHidden/>
          </w:rPr>
          <w:fldChar w:fldCharType="separate"/>
        </w:r>
        <w:r w:rsidR="00A43238">
          <w:rPr>
            <w:noProof/>
            <w:webHidden/>
          </w:rPr>
          <w:t>8</w:t>
        </w:r>
        <w:r w:rsidR="00A43238">
          <w:rPr>
            <w:noProof/>
            <w:webHidden/>
          </w:rPr>
          <w:fldChar w:fldCharType="end"/>
        </w:r>
      </w:hyperlink>
    </w:p>
    <w:p w14:paraId="189DD6B1" w14:textId="42198417" w:rsidR="00A43238" w:rsidRDefault="00000000">
      <w:pPr>
        <w:pStyle w:val="TOC3"/>
        <w:rPr>
          <w:rFonts w:asciiTheme="minorHAnsi" w:eastAsiaTheme="minorEastAsia" w:hAnsiTheme="minorHAnsi"/>
          <w:noProof/>
          <w:sz w:val="22"/>
        </w:rPr>
      </w:pPr>
      <w:hyperlink w:anchor="_Toc86997791" w:history="1">
        <w:r w:rsidR="00A43238" w:rsidRPr="00782FBC">
          <w:rPr>
            <w:rStyle w:val="Hyperlink"/>
            <w:noProof/>
          </w:rPr>
          <w:t>B.</w:t>
        </w:r>
        <w:r w:rsidR="00A43238">
          <w:rPr>
            <w:rFonts w:asciiTheme="minorHAnsi" w:eastAsiaTheme="minorEastAsia" w:hAnsiTheme="minorHAnsi"/>
            <w:noProof/>
            <w:sz w:val="22"/>
          </w:rPr>
          <w:tab/>
        </w:r>
        <w:r w:rsidR="00A43238" w:rsidRPr="00782FBC">
          <w:rPr>
            <w:rStyle w:val="Hyperlink"/>
            <w:noProof/>
          </w:rPr>
          <w:t>Eligibility Requirements</w:t>
        </w:r>
        <w:r w:rsidR="00A43238">
          <w:rPr>
            <w:noProof/>
            <w:webHidden/>
          </w:rPr>
          <w:tab/>
        </w:r>
        <w:r w:rsidR="00A43238">
          <w:rPr>
            <w:noProof/>
            <w:webHidden/>
          </w:rPr>
          <w:fldChar w:fldCharType="begin"/>
        </w:r>
        <w:r w:rsidR="00A43238">
          <w:rPr>
            <w:noProof/>
            <w:webHidden/>
          </w:rPr>
          <w:instrText xml:space="preserve"> PAGEREF _Toc86997791 \h </w:instrText>
        </w:r>
        <w:r w:rsidR="00A43238">
          <w:rPr>
            <w:noProof/>
            <w:webHidden/>
          </w:rPr>
        </w:r>
        <w:r w:rsidR="00A43238">
          <w:rPr>
            <w:noProof/>
            <w:webHidden/>
          </w:rPr>
          <w:fldChar w:fldCharType="separate"/>
        </w:r>
        <w:r w:rsidR="00A43238">
          <w:rPr>
            <w:noProof/>
            <w:webHidden/>
          </w:rPr>
          <w:t>8</w:t>
        </w:r>
        <w:r w:rsidR="00A43238">
          <w:rPr>
            <w:noProof/>
            <w:webHidden/>
          </w:rPr>
          <w:fldChar w:fldCharType="end"/>
        </w:r>
      </w:hyperlink>
    </w:p>
    <w:p w14:paraId="7A41F1EE" w14:textId="46AC47AE" w:rsidR="00A43238" w:rsidRDefault="00000000">
      <w:pPr>
        <w:pStyle w:val="TOC3"/>
        <w:rPr>
          <w:rFonts w:asciiTheme="minorHAnsi" w:eastAsiaTheme="minorEastAsia" w:hAnsiTheme="minorHAnsi"/>
          <w:noProof/>
          <w:sz w:val="22"/>
        </w:rPr>
      </w:pPr>
      <w:hyperlink w:anchor="_Toc86997792" w:history="1">
        <w:r w:rsidR="00A43238" w:rsidRPr="00782FBC">
          <w:rPr>
            <w:rStyle w:val="Hyperlink"/>
            <w:noProof/>
          </w:rPr>
          <w:t>C.</w:t>
        </w:r>
        <w:r w:rsidR="00A43238">
          <w:rPr>
            <w:rFonts w:asciiTheme="minorHAnsi" w:eastAsiaTheme="minorEastAsia" w:hAnsiTheme="minorHAnsi"/>
            <w:noProof/>
            <w:sz w:val="22"/>
          </w:rPr>
          <w:tab/>
        </w:r>
        <w:r w:rsidR="00A43238" w:rsidRPr="00782FBC">
          <w:rPr>
            <w:rStyle w:val="Hyperlink"/>
            <w:noProof/>
          </w:rPr>
          <w:t>Goals</w:t>
        </w:r>
        <w:r w:rsidR="00A43238">
          <w:rPr>
            <w:noProof/>
            <w:webHidden/>
          </w:rPr>
          <w:tab/>
        </w:r>
        <w:r w:rsidR="00A43238">
          <w:rPr>
            <w:noProof/>
            <w:webHidden/>
          </w:rPr>
          <w:fldChar w:fldCharType="begin"/>
        </w:r>
        <w:r w:rsidR="00A43238">
          <w:rPr>
            <w:noProof/>
            <w:webHidden/>
          </w:rPr>
          <w:instrText xml:space="preserve"> PAGEREF _Toc86997792 \h </w:instrText>
        </w:r>
        <w:r w:rsidR="00A43238">
          <w:rPr>
            <w:noProof/>
            <w:webHidden/>
          </w:rPr>
        </w:r>
        <w:r w:rsidR="00A43238">
          <w:rPr>
            <w:noProof/>
            <w:webHidden/>
          </w:rPr>
          <w:fldChar w:fldCharType="separate"/>
        </w:r>
        <w:r w:rsidR="00A43238">
          <w:rPr>
            <w:noProof/>
            <w:webHidden/>
          </w:rPr>
          <w:t>8</w:t>
        </w:r>
        <w:r w:rsidR="00A43238">
          <w:rPr>
            <w:noProof/>
            <w:webHidden/>
          </w:rPr>
          <w:fldChar w:fldCharType="end"/>
        </w:r>
      </w:hyperlink>
    </w:p>
    <w:p w14:paraId="2E92BFA6" w14:textId="037EFA7C" w:rsidR="00A43238" w:rsidRDefault="00000000">
      <w:pPr>
        <w:pStyle w:val="TOC3"/>
        <w:rPr>
          <w:rFonts w:asciiTheme="minorHAnsi" w:eastAsiaTheme="minorEastAsia" w:hAnsiTheme="minorHAnsi"/>
          <w:noProof/>
          <w:sz w:val="22"/>
        </w:rPr>
      </w:pPr>
      <w:hyperlink w:anchor="_Toc86997794" w:history="1">
        <w:r w:rsidR="00A43238" w:rsidRPr="00782FBC">
          <w:rPr>
            <w:rStyle w:val="Hyperlink"/>
            <w:noProof/>
          </w:rPr>
          <w:t>D.</w:t>
        </w:r>
        <w:r w:rsidR="00A43238">
          <w:rPr>
            <w:rFonts w:asciiTheme="minorHAnsi" w:eastAsiaTheme="minorEastAsia" w:hAnsiTheme="minorHAnsi"/>
            <w:noProof/>
            <w:sz w:val="22"/>
          </w:rPr>
          <w:tab/>
        </w:r>
        <w:r w:rsidR="00A43238" w:rsidRPr="00782FBC">
          <w:rPr>
            <w:rStyle w:val="Hyperlink"/>
            <w:noProof/>
          </w:rPr>
          <w:t>Responsibilities of Grantees</w:t>
        </w:r>
        <w:r w:rsidR="00A43238">
          <w:rPr>
            <w:noProof/>
            <w:webHidden/>
          </w:rPr>
          <w:tab/>
        </w:r>
        <w:r w:rsidR="00A43238">
          <w:rPr>
            <w:noProof/>
            <w:webHidden/>
          </w:rPr>
          <w:fldChar w:fldCharType="begin"/>
        </w:r>
        <w:r w:rsidR="00A43238">
          <w:rPr>
            <w:noProof/>
            <w:webHidden/>
          </w:rPr>
          <w:instrText xml:space="preserve"> PAGEREF _Toc86997794 \h </w:instrText>
        </w:r>
        <w:r w:rsidR="00A43238">
          <w:rPr>
            <w:noProof/>
            <w:webHidden/>
          </w:rPr>
        </w:r>
        <w:r w:rsidR="00A43238">
          <w:rPr>
            <w:noProof/>
            <w:webHidden/>
          </w:rPr>
          <w:fldChar w:fldCharType="separate"/>
        </w:r>
        <w:r w:rsidR="00A43238">
          <w:rPr>
            <w:noProof/>
            <w:webHidden/>
          </w:rPr>
          <w:t>14</w:t>
        </w:r>
        <w:r w:rsidR="00A43238">
          <w:rPr>
            <w:noProof/>
            <w:webHidden/>
          </w:rPr>
          <w:fldChar w:fldCharType="end"/>
        </w:r>
      </w:hyperlink>
    </w:p>
    <w:p w14:paraId="4ECF1AAC" w14:textId="5977CBBB" w:rsidR="00A43238" w:rsidRDefault="00000000">
      <w:pPr>
        <w:pStyle w:val="TOC3"/>
        <w:rPr>
          <w:rFonts w:asciiTheme="minorHAnsi" w:eastAsiaTheme="minorEastAsia" w:hAnsiTheme="minorHAnsi"/>
          <w:noProof/>
          <w:sz w:val="22"/>
        </w:rPr>
      </w:pPr>
      <w:hyperlink w:anchor="_Toc86997795" w:history="1">
        <w:r w:rsidR="00A43238" w:rsidRPr="00782FBC">
          <w:rPr>
            <w:rStyle w:val="Hyperlink"/>
            <w:noProof/>
          </w:rPr>
          <w:t>E.</w:t>
        </w:r>
        <w:r w:rsidR="00A43238">
          <w:rPr>
            <w:rFonts w:asciiTheme="minorHAnsi" w:eastAsiaTheme="minorEastAsia" w:hAnsiTheme="minorHAnsi"/>
            <w:noProof/>
            <w:sz w:val="22"/>
          </w:rPr>
          <w:tab/>
        </w:r>
        <w:r w:rsidR="00A43238" w:rsidRPr="00782FBC">
          <w:rPr>
            <w:rStyle w:val="Hyperlink"/>
            <w:noProof/>
          </w:rPr>
          <w:t>Allowable Activities and Costs</w:t>
        </w:r>
        <w:r w:rsidR="00A43238">
          <w:rPr>
            <w:noProof/>
            <w:webHidden/>
          </w:rPr>
          <w:tab/>
        </w:r>
        <w:r w:rsidR="00A43238">
          <w:rPr>
            <w:noProof/>
            <w:webHidden/>
          </w:rPr>
          <w:fldChar w:fldCharType="begin"/>
        </w:r>
        <w:r w:rsidR="00A43238">
          <w:rPr>
            <w:noProof/>
            <w:webHidden/>
          </w:rPr>
          <w:instrText xml:space="preserve"> PAGEREF _Toc86997795 \h </w:instrText>
        </w:r>
        <w:r w:rsidR="00A43238">
          <w:rPr>
            <w:noProof/>
            <w:webHidden/>
          </w:rPr>
        </w:r>
        <w:r w:rsidR="00A43238">
          <w:rPr>
            <w:noProof/>
            <w:webHidden/>
          </w:rPr>
          <w:fldChar w:fldCharType="separate"/>
        </w:r>
        <w:r w:rsidR="00A43238">
          <w:rPr>
            <w:noProof/>
            <w:webHidden/>
          </w:rPr>
          <w:t>14</w:t>
        </w:r>
        <w:r w:rsidR="00A43238">
          <w:rPr>
            <w:noProof/>
            <w:webHidden/>
          </w:rPr>
          <w:fldChar w:fldCharType="end"/>
        </w:r>
      </w:hyperlink>
    </w:p>
    <w:p w14:paraId="7A3F0A61" w14:textId="2EE15847" w:rsidR="00A43238" w:rsidRDefault="00000000">
      <w:pPr>
        <w:pStyle w:val="TOC3"/>
        <w:rPr>
          <w:rFonts w:asciiTheme="minorHAnsi" w:eastAsiaTheme="minorEastAsia" w:hAnsiTheme="minorHAnsi"/>
          <w:noProof/>
          <w:sz w:val="22"/>
        </w:rPr>
      </w:pPr>
      <w:hyperlink w:anchor="_Toc86997796" w:history="1">
        <w:r w:rsidR="00A43238" w:rsidRPr="00782FBC">
          <w:rPr>
            <w:rStyle w:val="Hyperlink"/>
            <w:noProof/>
          </w:rPr>
          <w:t>F.</w:t>
        </w:r>
        <w:r w:rsidR="00A43238">
          <w:rPr>
            <w:rFonts w:asciiTheme="minorHAnsi" w:eastAsiaTheme="minorEastAsia" w:hAnsiTheme="minorHAnsi"/>
            <w:noProof/>
            <w:sz w:val="22"/>
          </w:rPr>
          <w:tab/>
        </w:r>
        <w:r w:rsidR="00A43238" w:rsidRPr="00782FBC">
          <w:rPr>
            <w:rStyle w:val="Hyperlink"/>
            <w:noProof/>
          </w:rPr>
          <w:t>Non-Allowable Activities and Costs</w:t>
        </w:r>
        <w:r w:rsidR="00A43238">
          <w:rPr>
            <w:noProof/>
            <w:webHidden/>
          </w:rPr>
          <w:tab/>
        </w:r>
        <w:r w:rsidR="00A43238">
          <w:rPr>
            <w:noProof/>
            <w:webHidden/>
          </w:rPr>
          <w:fldChar w:fldCharType="begin"/>
        </w:r>
        <w:r w:rsidR="00A43238">
          <w:rPr>
            <w:noProof/>
            <w:webHidden/>
          </w:rPr>
          <w:instrText xml:space="preserve"> PAGEREF _Toc86997796 \h </w:instrText>
        </w:r>
        <w:r w:rsidR="00A43238">
          <w:rPr>
            <w:noProof/>
            <w:webHidden/>
          </w:rPr>
        </w:r>
        <w:r w:rsidR="00A43238">
          <w:rPr>
            <w:noProof/>
            <w:webHidden/>
          </w:rPr>
          <w:fldChar w:fldCharType="separate"/>
        </w:r>
        <w:r w:rsidR="00A43238">
          <w:rPr>
            <w:noProof/>
            <w:webHidden/>
          </w:rPr>
          <w:t>15</w:t>
        </w:r>
        <w:r w:rsidR="00A43238">
          <w:rPr>
            <w:noProof/>
            <w:webHidden/>
          </w:rPr>
          <w:fldChar w:fldCharType="end"/>
        </w:r>
      </w:hyperlink>
    </w:p>
    <w:p w14:paraId="5F7E1988" w14:textId="6FB1E9ED" w:rsidR="00A43238" w:rsidRDefault="00000000">
      <w:pPr>
        <w:pStyle w:val="TOC3"/>
        <w:rPr>
          <w:rFonts w:asciiTheme="minorHAnsi" w:eastAsiaTheme="minorEastAsia" w:hAnsiTheme="minorHAnsi"/>
          <w:noProof/>
          <w:sz w:val="22"/>
        </w:rPr>
      </w:pPr>
      <w:hyperlink w:anchor="_Toc86997797" w:history="1">
        <w:r w:rsidR="00A43238" w:rsidRPr="00782FBC">
          <w:rPr>
            <w:rStyle w:val="Hyperlink"/>
            <w:noProof/>
          </w:rPr>
          <w:t>G.</w:t>
        </w:r>
        <w:r w:rsidR="00A43238">
          <w:rPr>
            <w:rFonts w:asciiTheme="minorHAnsi" w:eastAsiaTheme="minorEastAsia" w:hAnsiTheme="minorHAnsi"/>
            <w:noProof/>
            <w:sz w:val="22"/>
          </w:rPr>
          <w:tab/>
        </w:r>
        <w:r w:rsidR="00A43238" w:rsidRPr="00782FBC">
          <w:rPr>
            <w:rStyle w:val="Hyperlink"/>
            <w:noProof/>
          </w:rPr>
          <w:t>Administrative Indirect Cost Rate</w:t>
        </w:r>
        <w:r w:rsidR="00A43238">
          <w:rPr>
            <w:noProof/>
            <w:webHidden/>
          </w:rPr>
          <w:tab/>
        </w:r>
        <w:r w:rsidR="00A43238">
          <w:rPr>
            <w:noProof/>
            <w:webHidden/>
          </w:rPr>
          <w:fldChar w:fldCharType="begin"/>
        </w:r>
        <w:r w:rsidR="00A43238">
          <w:rPr>
            <w:noProof/>
            <w:webHidden/>
          </w:rPr>
          <w:instrText xml:space="preserve"> PAGEREF _Toc86997797 \h </w:instrText>
        </w:r>
        <w:r w:rsidR="00A43238">
          <w:rPr>
            <w:noProof/>
            <w:webHidden/>
          </w:rPr>
        </w:r>
        <w:r w:rsidR="00A43238">
          <w:rPr>
            <w:noProof/>
            <w:webHidden/>
          </w:rPr>
          <w:fldChar w:fldCharType="separate"/>
        </w:r>
        <w:r w:rsidR="00A43238">
          <w:rPr>
            <w:noProof/>
            <w:webHidden/>
          </w:rPr>
          <w:t>15</w:t>
        </w:r>
        <w:r w:rsidR="00A43238">
          <w:rPr>
            <w:noProof/>
            <w:webHidden/>
          </w:rPr>
          <w:fldChar w:fldCharType="end"/>
        </w:r>
      </w:hyperlink>
    </w:p>
    <w:p w14:paraId="03A65EA3" w14:textId="41CA088E" w:rsidR="00A43238" w:rsidRDefault="00000000">
      <w:pPr>
        <w:pStyle w:val="TOC2"/>
        <w:rPr>
          <w:rFonts w:asciiTheme="minorHAnsi" w:eastAsiaTheme="minorEastAsia" w:hAnsiTheme="minorHAnsi"/>
          <w:b w:val="0"/>
        </w:rPr>
      </w:pPr>
      <w:hyperlink w:anchor="_Toc86997798" w:history="1">
        <w:r w:rsidR="00A43238" w:rsidRPr="00782FBC">
          <w:rPr>
            <w:rStyle w:val="Hyperlink"/>
          </w:rPr>
          <w:t>3.</w:t>
        </w:r>
        <w:r w:rsidR="00A43238">
          <w:rPr>
            <w:rFonts w:asciiTheme="minorHAnsi" w:eastAsiaTheme="minorEastAsia" w:hAnsiTheme="minorHAnsi"/>
            <w:b w:val="0"/>
          </w:rPr>
          <w:tab/>
        </w:r>
        <w:r w:rsidR="00A43238" w:rsidRPr="00782FBC">
          <w:rPr>
            <w:rStyle w:val="Hyperlink"/>
          </w:rPr>
          <w:t>Accountability</w:t>
        </w:r>
        <w:r w:rsidR="00A43238">
          <w:rPr>
            <w:webHidden/>
          </w:rPr>
          <w:tab/>
        </w:r>
        <w:r w:rsidR="00A43238">
          <w:rPr>
            <w:webHidden/>
          </w:rPr>
          <w:fldChar w:fldCharType="begin"/>
        </w:r>
        <w:r w:rsidR="00A43238">
          <w:rPr>
            <w:webHidden/>
          </w:rPr>
          <w:instrText xml:space="preserve"> PAGEREF _Toc86997798 \h </w:instrText>
        </w:r>
        <w:r w:rsidR="00A43238">
          <w:rPr>
            <w:webHidden/>
          </w:rPr>
        </w:r>
        <w:r w:rsidR="00A43238">
          <w:rPr>
            <w:webHidden/>
          </w:rPr>
          <w:fldChar w:fldCharType="separate"/>
        </w:r>
        <w:r w:rsidR="00A43238">
          <w:rPr>
            <w:webHidden/>
          </w:rPr>
          <w:t>16</w:t>
        </w:r>
        <w:r w:rsidR="00A43238">
          <w:rPr>
            <w:webHidden/>
          </w:rPr>
          <w:fldChar w:fldCharType="end"/>
        </w:r>
      </w:hyperlink>
    </w:p>
    <w:p w14:paraId="208939BB" w14:textId="1DB008C2" w:rsidR="00A43238" w:rsidRDefault="00000000">
      <w:pPr>
        <w:pStyle w:val="TOC3"/>
        <w:rPr>
          <w:rFonts w:asciiTheme="minorHAnsi" w:eastAsiaTheme="minorEastAsia" w:hAnsiTheme="minorHAnsi"/>
          <w:noProof/>
          <w:sz w:val="22"/>
        </w:rPr>
      </w:pPr>
      <w:hyperlink w:anchor="_Toc86997799" w:history="1">
        <w:r w:rsidR="00A43238" w:rsidRPr="00782FBC">
          <w:rPr>
            <w:rStyle w:val="Hyperlink"/>
            <w:noProof/>
          </w:rPr>
          <w:t>A.</w:t>
        </w:r>
        <w:r w:rsidR="00A43238">
          <w:rPr>
            <w:rFonts w:asciiTheme="minorHAnsi" w:eastAsiaTheme="minorEastAsia" w:hAnsiTheme="minorHAnsi"/>
            <w:noProof/>
            <w:sz w:val="22"/>
          </w:rPr>
          <w:tab/>
        </w:r>
        <w:r w:rsidR="00A43238" w:rsidRPr="00782FBC">
          <w:rPr>
            <w:rStyle w:val="Hyperlink"/>
            <w:noProof/>
          </w:rPr>
          <w:t>Reporting Requirements</w:t>
        </w:r>
        <w:r w:rsidR="00A43238">
          <w:rPr>
            <w:noProof/>
            <w:webHidden/>
          </w:rPr>
          <w:tab/>
        </w:r>
        <w:r w:rsidR="00A43238">
          <w:rPr>
            <w:noProof/>
            <w:webHidden/>
          </w:rPr>
          <w:fldChar w:fldCharType="begin"/>
        </w:r>
        <w:r w:rsidR="00A43238">
          <w:rPr>
            <w:noProof/>
            <w:webHidden/>
          </w:rPr>
          <w:instrText xml:space="preserve"> PAGEREF _Toc86997799 \h </w:instrText>
        </w:r>
        <w:r w:rsidR="00A43238">
          <w:rPr>
            <w:noProof/>
            <w:webHidden/>
          </w:rPr>
        </w:r>
        <w:r w:rsidR="00A43238">
          <w:rPr>
            <w:noProof/>
            <w:webHidden/>
          </w:rPr>
          <w:fldChar w:fldCharType="separate"/>
        </w:r>
        <w:r w:rsidR="00A43238">
          <w:rPr>
            <w:noProof/>
            <w:webHidden/>
          </w:rPr>
          <w:t>16</w:t>
        </w:r>
        <w:r w:rsidR="00A43238">
          <w:rPr>
            <w:noProof/>
            <w:webHidden/>
          </w:rPr>
          <w:fldChar w:fldCharType="end"/>
        </w:r>
      </w:hyperlink>
    </w:p>
    <w:p w14:paraId="4B787C58" w14:textId="63EAAF82" w:rsidR="00A43238" w:rsidRDefault="00000000">
      <w:pPr>
        <w:pStyle w:val="TOC3"/>
        <w:rPr>
          <w:rFonts w:asciiTheme="minorHAnsi" w:eastAsiaTheme="minorEastAsia" w:hAnsiTheme="minorHAnsi"/>
          <w:noProof/>
          <w:sz w:val="22"/>
        </w:rPr>
      </w:pPr>
      <w:hyperlink w:anchor="_Toc86997800" w:history="1">
        <w:r w:rsidR="00A43238" w:rsidRPr="00782FBC">
          <w:rPr>
            <w:rStyle w:val="Hyperlink"/>
            <w:noProof/>
          </w:rPr>
          <w:t>B.</w:t>
        </w:r>
        <w:r w:rsidR="00A43238">
          <w:rPr>
            <w:rFonts w:asciiTheme="minorHAnsi" w:eastAsiaTheme="minorEastAsia" w:hAnsiTheme="minorHAnsi"/>
            <w:noProof/>
            <w:sz w:val="22"/>
          </w:rPr>
          <w:tab/>
        </w:r>
        <w:r w:rsidR="00A43238" w:rsidRPr="00782FBC">
          <w:rPr>
            <w:rStyle w:val="Hyperlink"/>
            <w:noProof/>
          </w:rPr>
          <w:t>Program Deliverables</w:t>
        </w:r>
        <w:r w:rsidR="00A43238">
          <w:rPr>
            <w:noProof/>
            <w:webHidden/>
          </w:rPr>
          <w:tab/>
        </w:r>
        <w:r w:rsidR="00A43238">
          <w:rPr>
            <w:noProof/>
            <w:webHidden/>
          </w:rPr>
          <w:fldChar w:fldCharType="begin"/>
        </w:r>
        <w:r w:rsidR="00A43238">
          <w:rPr>
            <w:noProof/>
            <w:webHidden/>
          </w:rPr>
          <w:instrText xml:space="preserve"> PAGEREF _Toc86997800 \h </w:instrText>
        </w:r>
        <w:r w:rsidR="00A43238">
          <w:rPr>
            <w:noProof/>
            <w:webHidden/>
          </w:rPr>
        </w:r>
        <w:r w:rsidR="00A43238">
          <w:rPr>
            <w:noProof/>
            <w:webHidden/>
          </w:rPr>
          <w:fldChar w:fldCharType="separate"/>
        </w:r>
        <w:r w:rsidR="00A43238">
          <w:rPr>
            <w:noProof/>
            <w:webHidden/>
          </w:rPr>
          <w:t>17</w:t>
        </w:r>
        <w:r w:rsidR="00A43238">
          <w:rPr>
            <w:noProof/>
            <w:webHidden/>
          </w:rPr>
          <w:fldChar w:fldCharType="end"/>
        </w:r>
      </w:hyperlink>
    </w:p>
    <w:p w14:paraId="68472BC2" w14:textId="19D7FE47" w:rsidR="00A43238" w:rsidRDefault="00000000">
      <w:pPr>
        <w:pStyle w:val="TOC2"/>
        <w:rPr>
          <w:rFonts w:asciiTheme="minorHAnsi" w:eastAsiaTheme="minorEastAsia" w:hAnsiTheme="minorHAnsi"/>
          <w:b w:val="0"/>
        </w:rPr>
      </w:pPr>
      <w:hyperlink w:anchor="_Toc86997801" w:history="1">
        <w:r w:rsidR="00A43238" w:rsidRPr="00782FBC">
          <w:rPr>
            <w:rStyle w:val="Hyperlink"/>
          </w:rPr>
          <w:t>4.</w:t>
        </w:r>
        <w:r w:rsidR="00A43238">
          <w:rPr>
            <w:rFonts w:asciiTheme="minorHAnsi" w:eastAsiaTheme="minorEastAsia" w:hAnsiTheme="minorHAnsi"/>
            <w:b w:val="0"/>
          </w:rPr>
          <w:tab/>
        </w:r>
        <w:r w:rsidR="00A43238" w:rsidRPr="00782FBC">
          <w:rPr>
            <w:rStyle w:val="Hyperlink"/>
          </w:rPr>
          <w:t>Application Procedures and Processes</w:t>
        </w:r>
        <w:r w:rsidR="00A43238">
          <w:rPr>
            <w:webHidden/>
          </w:rPr>
          <w:tab/>
        </w:r>
        <w:r w:rsidR="00A43238">
          <w:rPr>
            <w:webHidden/>
          </w:rPr>
          <w:fldChar w:fldCharType="begin"/>
        </w:r>
        <w:r w:rsidR="00A43238">
          <w:rPr>
            <w:webHidden/>
          </w:rPr>
          <w:instrText xml:space="preserve"> PAGEREF _Toc86997801 \h </w:instrText>
        </w:r>
        <w:r w:rsidR="00A43238">
          <w:rPr>
            <w:webHidden/>
          </w:rPr>
        </w:r>
        <w:r w:rsidR="00A43238">
          <w:rPr>
            <w:webHidden/>
          </w:rPr>
          <w:fldChar w:fldCharType="separate"/>
        </w:r>
        <w:r w:rsidR="00A43238">
          <w:rPr>
            <w:webHidden/>
          </w:rPr>
          <w:t>17</w:t>
        </w:r>
        <w:r w:rsidR="00A43238">
          <w:rPr>
            <w:webHidden/>
          </w:rPr>
          <w:fldChar w:fldCharType="end"/>
        </w:r>
      </w:hyperlink>
    </w:p>
    <w:p w14:paraId="0D66B1FB" w14:textId="09D75BAE" w:rsidR="00A43238" w:rsidRDefault="00000000">
      <w:pPr>
        <w:pStyle w:val="TOC3"/>
        <w:rPr>
          <w:rFonts w:asciiTheme="minorHAnsi" w:eastAsiaTheme="minorEastAsia" w:hAnsiTheme="minorHAnsi"/>
          <w:noProof/>
          <w:sz w:val="22"/>
        </w:rPr>
      </w:pPr>
      <w:hyperlink w:anchor="_Toc86997802" w:history="1">
        <w:r w:rsidR="00A43238" w:rsidRPr="00782FBC">
          <w:rPr>
            <w:rStyle w:val="Hyperlink"/>
            <w:noProof/>
          </w:rPr>
          <w:t>A.</w:t>
        </w:r>
        <w:r w:rsidR="00A43238">
          <w:rPr>
            <w:rFonts w:asciiTheme="minorHAnsi" w:eastAsiaTheme="minorEastAsia" w:hAnsiTheme="minorHAnsi"/>
            <w:noProof/>
            <w:sz w:val="22"/>
          </w:rPr>
          <w:tab/>
        </w:r>
        <w:r w:rsidR="00A43238" w:rsidRPr="00782FBC">
          <w:rPr>
            <w:rStyle w:val="Hyperlink"/>
            <w:noProof/>
          </w:rPr>
          <w:t>Application Timeline</w:t>
        </w:r>
        <w:r w:rsidR="00A43238">
          <w:rPr>
            <w:noProof/>
            <w:webHidden/>
          </w:rPr>
          <w:tab/>
        </w:r>
        <w:r w:rsidR="00A43238">
          <w:rPr>
            <w:noProof/>
            <w:webHidden/>
          </w:rPr>
          <w:fldChar w:fldCharType="begin"/>
        </w:r>
        <w:r w:rsidR="00A43238">
          <w:rPr>
            <w:noProof/>
            <w:webHidden/>
          </w:rPr>
          <w:instrText xml:space="preserve"> PAGEREF _Toc86997802 \h </w:instrText>
        </w:r>
        <w:r w:rsidR="00A43238">
          <w:rPr>
            <w:noProof/>
            <w:webHidden/>
          </w:rPr>
        </w:r>
        <w:r w:rsidR="00A43238">
          <w:rPr>
            <w:noProof/>
            <w:webHidden/>
          </w:rPr>
          <w:fldChar w:fldCharType="separate"/>
        </w:r>
        <w:r w:rsidR="00A43238">
          <w:rPr>
            <w:noProof/>
            <w:webHidden/>
          </w:rPr>
          <w:t>17</w:t>
        </w:r>
        <w:r w:rsidR="00A43238">
          <w:rPr>
            <w:noProof/>
            <w:webHidden/>
          </w:rPr>
          <w:fldChar w:fldCharType="end"/>
        </w:r>
      </w:hyperlink>
    </w:p>
    <w:p w14:paraId="37C6B15E" w14:textId="54833967" w:rsidR="00A43238" w:rsidRDefault="00000000">
      <w:pPr>
        <w:pStyle w:val="TOC3"/>
        <w:rPr>
          <w:rFonts w:asciiTheme="minorHAnsi" w:eastAsiaTheme="minorEastAsia" w:hAnsiTheme="minorHAnsi"/>
          <w:noProof/>
          <w:sz w:val="22"/>
        </w:rPr>
      </w:pPr>
      <w:hyperlink w:anchor="_Toc86997803" w:history="1">
        <w:r w:rsidR="00A43238" w:rsidRPr="00782FBC">
          <w:rPr>
            <w:rStyle w:val="Hyperlink"/>
            <w:noProof/>
          </w:rPr>
          <w:t>B.</w:t>
        </w:r>
        <w:r w:rsidR="00A43238">
          <w:rPr>
            <w:rFonts w:asciiTheme="minorHAnsi" w:eastAsiaTheme="minorEastAsia" w:hAnsiTheme="minorHAnsi"/>
            <w:noProof/>
            <w:sz w:val="22"/>
          </w:rPr>
          <w:tab/>
        </w:r>
        <w:r w:rsidR="00A43238" w:rsidRPr="00782FBC">
          <w:rPr>
            <w:rStyle w:val="Hyperlink"/>
            <w:noProof/>
          </w:rPr>
          <w:t>Application Process</w:t>
        </w:r>
        <w:r w:rsidR="00A43238">
          <w:rPr>
            <w:noProof/>
            <w:webHidden/>
          </w:rPr>
          <w:tab/>
        </w:r>
        <w:r w:rsidR="00A43238">
          <w:rPr>
            <w:noProof/>
            <w:webHidden/>
          </w:rPr>
          <w:fldChar w:fldCharType="begin"/>
        </w:r>
        <w:r w:rsidR="00A43238">
          <w:rPr>
            <w:noProof/>
            <w:webHidden/>
          </w:rPr>
          <w:instrText xml:space="preserve"> PAGEREF _Toc86997803 \h </w:instrText>
        </w:r>
        <w:r w:rsidR="00A43238">
          <w:rPr>
            <w:noProof/>
            <w:webHidden/>
          </w:rPr>
        </w:r>
        <w:r w:rsidR="00A43238">
          <w:rPr>
            <w:noProof/>
            <w:webHidden/>
          </w:rPr>
          <w:fldChar w:fldCharType="separate"/>
        </w:r>
        <w:r w:rsidR="00A43238">
          <w:rPr>
            <w:noProof/>
            <w:webHidden/>
          </w:rPr>
          <w:t>18</w:t>
        </w:r>
        <w:r w:rsidR="00A43238">
          <w:rPr>
            <w:noProof/>
            <w:webHidden/>
          </w:rPr>
          <w:fldChar w:fldCharType="end"/>
        </w:r>
      </w:hyperlink>
    </w:p>
    <w:p w14:paraId="5C8F2C0D" w14:textId="516008B9" w:rsidR="00A43238" w:rsidRDefault="00000000">
      <w:pPr>
        <w:pStyle w:val="TOC3"/>
        <w:rPr>
          <w:rFonts w:asciiTheme="minorHAnsi" w:eastAsiaTheme="minorEastAsia" w:hAnsiTheme="minorHAnsi"/>
          <w:noProof/>
          <w:sz w:val="22"/>
        </w:rPr>
      </w:pPr>
      <w:hyperlink w:anchor="_Toc86997804" w:history="1">
        <w:r w:rsidR="00A43238" w:rsidRPr="00782FBC">
          <w:rPr>
            <w:rStyle w:val="Hyperlink"/>
            <w:noProof/>
          </w:rPr>
          <w:t>C.</w:t>
        </w:r>
        <w:r w:rsidR="00A43238">
          <w:rPr>
            <w:rFonts w:asciiTheme="minorHAnsi" w:eastAsiaTheme="minorEastAsia" w:hAnsiTheme="minorHAnsi"/>
            <w:noProof/>
            <w:sz w:val="22"/>
          </w:rPr>
          <w:tab/>
        </w:r>
        <w:r w:rsidR="00A43238" w:rsidRPr="00782FBC">
          <w:rPr>
            <w:rStyle w:val="Hyperlink"/>
            <w:noProof/>
          </w:rPr>
          <w:t>Application Review</w:t>
        </w:r>
        <w:r w:rsidR="00A43238">
          <w:rPr>
            <w:noProof/>
            <w:webHidden/>
          </w:rPr>
          <w:tab/>
        </w:r>
        <w:r w:rsidR="00A43238">
          <w:rPr>
            <w:noProof/>
            <w:webHidden/>
          </w:rPr>
          <w:fldChar w:fldCharType="begin"/>
        </w:r>
        <w:r w:rsidR="00A43238">
          <w:rPr>
            <w:noProof/>
            <w:webHidden/>
          </w:rPr>
          <w:instrText xml:space="preserve"> PAGEREF _Toc86997804 \h </w:instrText>
        </w:r>
        <w:r w:rsidR="00A43238">
          <w:rPr>
            <w:noProof/>
            <w:webHidden/>
          </w:rPr>
        </w:r>
        <w:r w:rsidR="00A43238">
          <w:rPr>
            <w:noProof/>
            <w:webHidden/>
          </w:rPr>
          <w:fldChar w:fldCharType="separate"/>
        </w:r>
        <w:r w:rsidR="00A43238">
          <w:rPr>
            <w:noProof/>
            <w:webHidden/>
          </w:rPr>
          <w:t>19</w:t>
        </w:r>
        <w:r w:rsidR="00A43238">
          <w:rPr>
            <w:noProof/>
            <w:webHidden/>
          </w:rPr>
          <w:fldChar w:fldCharType="end"/>
        </w:r>
      </w:hyperlink>
    </w:p>
    <w:p w14:paraId="7B99E4CE" w14:textId="2A154272" w:rsidR="00A43238" w:rsidRDefault="00000000">
      <w:pPr>
        <w:pStyle w:val="TOC3"/>
        <w:rPr>
          <w:rFonts w:asciiTheme="minorHAnsi" w:eastAsiaTheme="minorEastAsia" w:hAnsiTheme="minorHAnsi"/>
          <w:noProof/>
          <w:sz w:val="22"/>
        </w:rPr>
      </w:pPr>
      <w:hyperlink w:anchor="_Toc86997805" w:history="1">
        <w:r w:rsidR="00A43238" w:rsidRPr="00782FBC">
          <w:rPr>
            <w:rStyle w:val="Hyperlink"/>
            <w:noProof/>
          </w:rPr>
          <w:t>D.</w:t>
        </w:r>
        <w:r w:rsidR="00A43238">
          <w:rPr>
            <w:rFonts w:asciiTheme="minorHAnsi" w:eastAsiaTheme="minorEastAsia" w:hAnsiTheme="minorHAnsi"/>
            <w:noProof/>
            <w:sz w:val="22"/>
          </w:rPr>
          <w:tab/>
        </w:r>
        <w:r w:rsidR="00A43238" w:rsidRPr="00782FBC">
          <w:rPr>
            <w:rStyle w:val="Hyperlink"/>
            <w:noProof/>
          </w:rPr>
          <w:t>Technical Assistance</w:t>
        </w:r>
        <w:r w:rsidR="00A43238">
          <w:rPr>
            <w:noProof/>
            <w:webHidden/>
          </w:rPr>
          <w:tab/>
        </w:r>
        <w:r w:rsidR="00A43238">
          <w:rPr>
            <w:noProof/>
            <w:webHidden/>
          </w:rPr>
          <w:fldChar w:fldCharType="begin"/>
        </w:r>
        <w:r w:rsidR="00A43238">
          <w:rPr>
            <w:noProof/>
            <w:webHidden/>
          </w:rPr>
          <w:instrText xml:space="preserve"> PAGEREF _Toc86997805 \h </w:instrText>
        </w:r>
        <w:r w:rsidR="00A43238">
          <w:rPr>
            <w:noProof/>
            <w:webHidden/>
          </w:rPr>
        </w:r>
        <w:r w:rsidR="00A43238">
          <w:rPr>
            <w:noProof/>
            <w:webHidden/>
          </w:rPr>
          <w:fldChar w:fldCharType="separate"/>
        </w:r>
        <w:r w:rsidR="00A43238">
          <w:rPr>
            <w:noProof/>
            <w:webHidden/>
          </w:rPr>
          <w:t>19</w:t>
        </w:r>
        <w:r w:rsidR="00A43238">
          <w:rPr>
            <w:noProof/>
            <w:webHidden/>
          </w:rPr>
          <w:fldChar w:fldCharType="end"/>
        </w:r>
      </w:hyperlink>
    </w:p>
    <w:p w14:paraId="59EBBD3A" w14:textId="65ADB2E4" w:rsidR="00A43238" w:rsidRDefault="00000000">
      <w:pPr>
        <w:pStyle w:val="TOC3"/>
        <w:rPr>
          <w:rFonts w:asciiTheme="minorHAnsi" w:eastAsiaTheme="minorEastAsia" w:hAnsiTheme="minorHAnsi"/>
          <w:noProof/>
          <w:sz w:val="22"/>
        </w:rPr>
      </w:pPr>
      <w:hyperlink w:anchor="_Toc86997806" w:history="1">
        <w:r w:rsidR="00A43238" w:rsidRPr="00782FBC">
          <w:rPr>
            <w:rStyle w:val="Hyperlink"/>
            <w:noProof/>
          </w:rPr>
          <w:t>E.</w:t>
        </w:r>
        <w:r w:rsidR="00A43238">
          <w:rPr>
            <w:rFonts w:asciiTheme="minorHAnsi" w:eastAsiaTheme="minorEastAsia" w:hAnsiTheme="minorHAnsi"/>
            <w:noProof/>
            <w:sz w:val="22"/>
          </w:rPr>
          <w:tab/>
        </w:r>
        <w:r w:rsidR="00A43238" w:rsidRPr="00782FBC">
          <w:rPr>
            <w:rStyle w:val="Hyperlink"/>
            <w:noProof/>
          </w:rPr>
          <w:t>Appeals Process</w:t>
        </w:r>
        <w:r w:rsidR="00A43238">
          <w:rPr>
            <w:noProof/>
            <w:webHidden/>
          </w:rPr>
          <w:tab/>
        </w:r>
        <w:r w:rsidR="00A43238">
          <w:rPr>
            <w:noProof/>
            <w:webHidden/>
          </w:rPr>
          <w:fldChar w:fldCharType="begin"/>
        </w:r>
        <w:r w:rsidR="00A43238">
          <w:rPr>
            <w:noProof/>
            <w:webHidden/>
          </w:rPr>
          <w:instrText xml:space="preserve"> PAGEREF _Toc86997806 \h </w:instrText>
        </w:r>
        <w:r w:rsidR="00A43238">
          <w:rPr>
            <w:noProof/>
            <w:webHidden/>
          </w:rPr>
        </w:r>
        <w:r w:rsidR="00A43238">
          <w:rPr>
            <w:noProof/>
            <w:webHidden/>
          </w:rPr>
          <w:fldChar w:fldCharType="separate"/>
        </w:r>
        <w:r w:rsidR="00A43238">
          <w:rPr>
            <w:noProof/>
            <w:webHidden/>
          </w:rPr>
          <w:t>19</w:t>
        </w:r>
        <w:r w:rsidR="00A43238">
          <w:rPr>
            <w:noProof/>
            <w:webHidden/>
          </w:rPr>
          <w:fldChar w:fldCharType="end"/>
        </w:r>
      </w:hyperlink>
    </w:p>
    <w:p w14:paraId="43C746CB" w14:textId="65435128" w:rsidR="00A43238" w:rsidRDefault="00000000">
      <w:pPr>
        <w:pStyle w:val="TOC3"/>
        <w:rPr>
          <w:rFonts w:asciiTheme="minorHAnsi" w:eastAsiaTheme="minorEastAsia" w:hAnsiTheme="minorHAnsi"/>
          <w:noProof/>
          <w:sz w:val="22"/>
        </w:rPr>
      </w:pPr>
      <w:hyperlink w:anchor="_Toc86997807" w:history="1">
        <w:r w:rsidR="00A43238" w:rsidRPr="00782FBC">
          <w:rPr>
            <w:rStyle w:val="Hyperlink"/>
            <w:noProof/>
          </w:rPr>
          <w:t>F.</w:t>
        </w:r>
        <w:r w:rsidR="00A43238">
          <w:rPr>
            <w:rFonts w:asciiTheme="minorHAnsi" w:eastAsiaTheme="minorEastAsia" w:hAnsiTheme="minorHAnsi"/>
            <w:noProof/>
            <w:sz w:val="22"/>
          </w:rPr>
          <w:tab/>
        </w:r>
        <w:r w:rsidR="00A43238" w:rsidRPr="00782FBC">
          <w:rPr>
            <w:rStyle w:val="Hyperlink"/>
            <w:noProof/>
          </w:rPr>
          <w:t>Grant Award Notification</w:t>
        </w:r>
        <w:r w:rsidR="00A43238">
          <w:rPr>
            <w:noProof/>
            <w:webHidden/>
          </w:rPr>
          <w:tab/>
        </w:r>
        <w:r w:rsidR="00A43238">
          <w:rPr>
            <w:noProof/>
            <w:webHidden/>
          </w:rPr>
          <w:fldChar w:fldCharType="begin"/>
        </w:r>
        <w:r w:rsidR="00A43238">
          <w:rPr>
            <w:noProof/>
            <w:webHidden/>
          </w:rPr>
          <w:instrText xml:space="preserve"> PAGEREF _Toc86997807 \h </w:instrText>
        </w:r>
        <w:r w:rsidR="00A43238">
          <w:rPr>
            <w:noProof/>
            <w:webHidden/>
          </w:rPr>
        </w:r>
        <w:r w:rsidR="00A43238">
          <w:rPr>
            <w:noProof/>
            <w:webHidden/>
          </w:rPr>
          <w:fldChar w:fldCharType="separate"/>
        </w:r>
        <w:r w:rsidR="00A43238">
          <w:rPr>
            <w:noProof/>
            <w:webHidden/>
          </w:rPr>
          <w:t>20</w:t>
        </w:r>
        <w:r w:rsidR="00A43238">
          <w:rPr>
            <w:noProof/>
            <w:webHidden/>
          </w:rPr>
          <w:fldChar w:fldCharType="end"/>
        </w:r>
      </w:hyperlink>
    </w:p>
    <w:p w14:paraId="4EF3A2BA" w14:textId="14B22B00" w:rsidR="00A43238" w:rsidRDefault="00000000">
      <w:pPr>
        <w:pStyle w:val="TOC3"/>
        <w:rPr>
          <w:rFonts w:asciiTheme="minorHAnsi" w:eastAsiaTheme="minorEastAsia" w:hAnsiTheme="minorHAnsi"/>
          <w:noProof/>
          <w:sz w:val="22"/>
        </w:rPr>
      </w:pPr>
      <w:hyperlink w:anchor="_Toc86997808" w:history="1">
        <w:r w:rsidR="00A43238" w:rsidRPr="00782FBC">
          <w:rPr>
            <w:rStyle w:val="Hyperlink"/>
            <w:noProof/>
          </w:rPr>
          <w:t>G.</w:t>
        </w:r>
        <w:r w:rsidR="00A43238">
          <w:rPr>
            <w:rFonts w:asciiTheme="minorHAnsi" w:eastAsiaTheme="minorEastAsia" w:hAnsiTheme="minorHAnsi"/>
            <w:noProof/>
            <w:sz w:val="22"/>
          </w:rPr>
          <w:tab/>
        </w:r>
        <w:r w:rsidR="00A43238" w:rsidRPr="00782FBC">
          <w:rPr>
            <w:rStyle w:val="Hyperlink"/>
            <w:noProof/>
          </w:rPr>
          <w:t>Assurances, Certifications, Terms, and Conditions</w:t>
        </w:r>
        <w:r w:rsidR="00A43238">
          <w:rPr>
            <w:noProof/>
            <w:webHidden/>
          </w:rPr>
          <w:tab/>
        </w:r>
        <w:r w:rsidR="00A43238">
          <w:rPr>
            <w:noProof/>
            <w:webHidden/>
          </w:rPr>
          <w:fldChar w:fldCharType="begin"/>
        </w:r>
        <w:r w:rsidR="00A43238">
          <w:rPr>
            <w:noProof/>
            <w:webHidden/>
          </w:rPr>
          <w:instrText xml:space="preserve"> PAGEREF _Toc86997808 \h </w:instrText>
        </w:r>
        <w:r w:rsidR="00A43238">
          <w:rPr>
            <w:noProof/>
            <w:webHidden/>
          </w:rPr>
        </w:r>
        <w:r w:rsidR="00A43238">
          <w:rPr>
            <w:noProof/>
            <w:webHidden/>
          </w:rPr>
          <w:fldChar w:fldCharType="separate"/>
        </w:r>
        <w:r w:rsidR="00A43238">
          <w:rPr>
            <w:noProof/>
            <w:webHidden/>
          </w:rPr>
          <w:t>20</w:t>
        </w:r>
        <w:r w:rsidR="00A43238">
          <w:rPr>
            <w:noProof/>
            <w:webHidden/>
          </w:rPr>
          <w:fldChar w:fldCharType="end"/>
        </w:r>
      </w:hyperlink>
    </w:p>
    <w:p w14:paraId="73B69042" w14:textId="50E491EA" w:rsidR="00A43238" w:rsidRDefault="00000000">
      <w:pPr>
        <w:pStyle w:val="TOC2"/>
        <w:rPr>
          <w:rFonts w:asciiTheme="minorHAnsi" w:eastAsiaTheme="minorEastAsia" w:hAnsiTheme="minorHAnsi"/>
          <w:b w:val="0"/>
        </w:rPr>
      </w:pPr>
      <w:hyperlink w:anchor="_Toc86997809" w:history="1">
        <w:r w:rsidR="00A43238" w:rsidRPr="00782FBC">
          <w:rPr>
            <w:rStyle w:val="Hyperlink"/>
          </w:rPr>
          <w:t>5.</w:t>
        </w:r>
        <w:r w:rsidR="00A43238">
          <w:rPr>
            <w:rFonts w:asciiTheme="minorHAnsi" w:eastAsiaTheme="minorEastAsia" w:hAnsiTheme="minorHAnsi"/>
            <w:b w:val="0"/>
          </w:rPr>
          <w:tab/>
        </w:r>
        <w:r w:rsidR="00A43238" w:rsidRPr="00782FBC">
          <w:rPr>
            <w:rStyle w:val="Hyperlink"/>
          </w:rPr>
          <w:t>Program Application</w:t>
        </w:r>
        <w:r w:rsidR="00A43238">
          <w:rPr>
            <w:webHidden/>
          </w:rPr>
          <w:tab/>
        </w:r>
        <w:r w:rsidR="00A43238">
          <w:rPr>
            <w:webHidden/>
          </w:rPr>
          <w:fldChar w:fldCharType="begin"/>
        </w:r>
        <w:r w:rsidR="00A43238">
          <w:rPr>
            <w:webHidden/>
          </w:rPr>
          <w:instrText xml:space="preserve"> PAGEREF _Toc86997809 \h </w:instrText>
        </w:r>
        <w:r w:rsidR="00A43238">
          <w:rPr>
            <w:webHidden/>
          </w:rPr>
        </w:r>
        <w:r w:rsidR="00A43238">
          <w:rPr>
            <w:webHidden/>
          </w:rPr>
          <w:fldChar w:fldCharType="separate"/>
        </w:r>
        <w:r w:rsidR="00A43238">
          <w:rPr>
            <w:webHidden/>
          </w:rPr>
          <w:t>21</w:t>
        </w:r>
        <w:r w:rsidR="00A43238">
          <w:rPr>
            <w:webHidden/>
          </w:rPr>
          <w:fldChar w:fldCharType="end"/>
        </w:r>
      </w:hyperlink>
    </w:p>
    <w:p w14:paraId="3DC93A40" w14:textId="72BE928F" w:rsidR="00A43238" w:rsidRDefault="00000000">
      <w:pPr>
        <w:pStyle w:val="TOC3"/>
        <w:rPr>
          <w:rFonts w:asciiTheme="minorHAnsi" w:eastAsiaTheme="minorEastAsia" w:hAnsiTheme="minorHAnsi"/>
          <w:noProof/>
          <w:sz w:val="22"/>
        </w:rPr>
      </w:pPr>
      <w:hyperlink w:anchor="_Toc86997810" w:history="1">
        <w:r w:rsidR="00A43238" w:rsidRPr="00782FBC">
          <w:rPr>
            <w:rStyle w:val="Hyperlink"/>
            <w:noProof/>
          </w:rPr>
          <w:t>A.</w:t>
        </w:r>
        <w:r w:rsidR="00A43238">
          <w:rPr>
            <w:rFonts w:asciiTheme="minorHAnsi" w:eastAsiaTheme="minorEastAsia" w:hAnsiTheme="minorHAnsi"/>
            <w:noProof/>
            <w:sz w:val="22"/>
          </w:rPr>
          <w:tab/>
        </w:r>
        <w:r w:rsidR="00A43238" w:rsidRPr="00782FBC">
          <w:rPr>
            <w:rStyle w:val="Hyperlink"/>
            <w:noProof/>
          </w:rPr>
          <w:t>Application Narrative</w:t>
        </w:r>
        <w:r w:rsidR="00A43238">
          <w:rPr>
            <w:noProof/>
            <w:webHidden/>
          </w:rPr>
          <w:tab/>
        </w:r>
        <w:r w:rsidR="00A43238">
          <w:rPr>
            <w:noProof/>
            <w:webHidden/>
          </w:rPr>
          <w:fldChar w:fldCharType="begin"/>
        </w:r>
        <w:r w:rsidR="00A43238">
          <w:rPr>
            <w:noProof/>
            <w:webHidden/>
          </w:rPr>
          <w:instrText xml:space="preserve"> PAGEREF _Toc86997810 \h </w:instrText>
        </w:r>
        <w:r w:rsidR="00A43238">
          <w:rPr>
            <w:noProof/>
            <w:webHidden/>
          </w:rPr>
        </w:r>
        <w:r w:rsidR="00A43238">
          <w:rPr>
            <w:noProof/>
            <w:webHidden/>
          </w:rPr>
          <w:fldChar w:fldCharType="separate"/>
        </w:r>
        <w:r w:rsidR="00A43238">
          <w:rPr>
            <w:noProof/>
            <w:webHidden/>
          </w:rPr>
          <w:t>21</w:t>
        </w:r>
        <w:r w:rsidR="00A43238">
          <w:rPr>
            <w:noProof/>
            <w:webHidden/>
          </w:rPr>
          <w:fldChar w:fldCharType="end"/>
        </w:r>
      </w:hyperlink>
    </w:p>
    <w:p w14:paraId="6BCC6FE8" w14:textId="68FB7324" w:rsidR="00A43238" w:rsidRDefault="00000000">
      <w:pPr>
        <w:pStyle w:val="TOC3"/>
        <w:rPr>
          <w:rFonts w:asciiTheme="minorHAnsi" w:eastAsiaTheme="minorEastAsia" w:hAnsiTheme="minorHAnsi"/>
          <w:noProof/>
          <w:sz w:val="22"/>
        </w:rPr>
      </w:pPr>
      <w:hyperlink w:anchor="_Toc86997811" w:history="1">
        <w:r w:rsidR="00A43238" w:rsidRPr="00782FBC">
          <w:rPr>
            <w:rStyle w:val="Hyperlink"/>
            <w:noProof/>
          </w:rPr>
          <w:t>Part 1—Goals and Activities</w:t>
        </w:r>
        <w:r w:rsidR="00A43238">
          <w:rPr>
            <w:noProof/>
            <w:webHidden/>
          </w:rPr>
          <w:tab/>
        </w:r>
        <w:r w:rsidR="00A43238">
          <w:rPr>
            <w:noProof/>
            <w:webHidden/>
          </w:rPr>
          <w:fldChar w:fldCharType="begin"/>
        </w:r>
        <w:r w:rsidR="00A43238">
          <w:rPr>
            <w:noProof/>
            <w:webHidden/>
          </w:rPr>
          <w:instrText xml:space="preserve"> PAGEREF _Toc86997811 \h </w:instrText>
        </w:r>
        <w:r w:rsidR="00A43238">
          <w:rPr>
            <w:noProof/>
            <w:webHidden/>
          </w:rPr>
        </w:r>
        <w:r w:rsidR="00A43238">
          <w:rPr>
            <w:noProof/>
            <w:webHidden/>
          </w:rPr>
          <w:fldChar w:fldCharType="separate"/>
        </w:r>
        <w:r w:rsidR="00A43238">
          <w:rPr>
            <w:noProof/>
            <w:webHidden/>
          </w:rPr>
          <w:t>21</w:t>
        </w:r>
        <w:r w:rsidR="00A43238">
          <w:rPr>
            <w:noProof/>
            <w:webHidden/>
          </w:rPr>
          <w:fldChar w:fldCharType="end"/>
        </w:r>
      </w:hyperlink>
    </w:p>
    <w:p w14:paraId="1CEDFC23" w14:textId="2EB1A912" w:rsidR="00A43238" w:rsidRDefault="00000000">
      <w:pPr>
        <w:pStyle w:val="TOC3"/>
        <w:rPr>
          <w:rFonts w:asciiTheme="minorHAnsi" w:eastAsiaTheme="minorEastAsia" w:hAnsiTheme="minorHAnsi"/>
          <w:noProof/>
          <w:sz w:val="22"/>
        </w:rPr>
      </w:pPr>
      <w:hyperlink w:anchor="_Toc86997812" w:history="1">
        <w:r w:rsidR="00A43238" w:rsidRPr="00782FBC">
          <w:rPr>
            <w:rStyle w:val="Hyperlink"/>
            <w:noProof/>
          </w:rPr>
          <w:t>Part 2—Proposed Metrics</w:t>
        </w:r>
        <w:r w:rsidR="00A43238">
          <w:rPr>
            <w:noProof/>
            <w:webHidden/>
          </w:rPr>
          <w:tab/>
        </w:r>
        <w:r w:rsidR="00A43238">
          <w:rPr>
            <w:noProof/>
            <w:webHidden/>
          </w:rPr>
          <w:fldChar w:fldCharType="begin"/>
        </w:r>
        <w:r w:rsidR="00A43238">
          <w:rPr>
            <w:noProof/>
            <w:webHidden/>
          </w:rPr>
          <w:instrText xml:space="preserve"> PAGEREF _Toc86997812 \h </w:instrText>
        </w:r>
        <w:r w:rsidR="00A43238">
          <w:rPr>
            <w:noProof/>
            <w:webHidden/>
          </w:rPr>
        </w:r>
        <w:r w:rsidR="00A43238">
          <w:rPr>
            <w:noProof/>
            <w:webHidden/>
          </w:rPr>
          <w:fldChar w:fldCharType="separate"/>
        </w:r>
        <w:r w:rsidR="00A43238">
          <w:rPr>
            <w:noProof/>
            <w:webHidden/>
          </w:rPr>
          <w:t>24</w:t>
        </w:r>
        <w:r w:rsidR="00A43238">
          <w:rPr>
            <w:noProof/>
            <w:webHidden/>
          </w:rPr>
          <w:fldChar w:fldCharType="end"/>
        </w:r>
      </w:hyperlink>
    </w:p>
    <w:p w14:paraId="70EE9112" w14:textId="5F1C2847" w:rsidR="00A43238" w:rsidRDefault="00000000">
      <w:pPr>
        <w:pStyle w:val="TOC3"/>
        <w:rPr>
          <w:rFonts w:asciiTheme="minorHAnsi" w:eastAsiaTheme="minorEastAsia" w:hAnsiTheme="minorHAnsi"/>
          <w:noProof/>
          <w:sz w:val="22"/>
        </w:rPr>
      </w:pPr>
      <w:hyperlink w:anchor="_Toc86997813" w:history="1">
        <w:r w:rsidR="00A43238" w:rsidRPr="00782FBC">
          <w:rPr>
            <w:rStyle w:val="Hyperlink"/>
            <w:noProof/>
          </w:rPr>
          <w:t>B.</w:t>
        </w:r>
        <w:r w:rsidR="00A43238">
          <w:rPr>
            <w:rFonts w:asciiTheme="minorHAnsi" w:eastAsiaTheme="minorEastAsia" w:hAnsiTheme="minorHAnsi"/>
            <w:noProof/>
            <w:sz w:val="22"/>
          </w:rPr>
          <w:tab/>
        </w:r>
        <w:r w:rsidR="00A43238" w:rsidRPr="00782FBC">
          <w:rPr>
            <w:rStyle w:val="Hyperlink"/>
            <w:noProof/>
          </w:rPr>
          <w:t>Application Budget</w:t>
        </w:r>
        <w:r w:rsidR="00A43238">
          <w:rPr>
            <w:noProof/>
            <w:webHidden/>
          </w:rPr>
          <w:tab/>
        </w:r>
        <w:r w:rsidR="00A43238">
          <w:rPr>
            <w:noProof/>
            <w:webHidden/>
          </w:rPr>
          <w:fldChar w:fldCharType="begin"/>
        </w:r>
        <w:r w:rsidR="00A43238">
          <w:rPr>
            <w:noProof/>
            <w:webHidden/>
          </w:rPr>
          <w:instrText xml:space="preserve"> PAGEREF _Toc86997813 \h </w:instrText>
        </w:r>
        <w:r w:rsidR="00A43238">
          <w:rPr>
            <w:noProof/>
            <w:webHidden/>
          </w:rPr>
        </w:r>
        <w:r w:rsidR="00A43238">
          <w:rPr>
            <w:noProof/>
            <w:webHidden/>
          </w:rPr>
          <w:fldChar w:fldCharType="separate"/>
        </w:r>
        <w:r w:rsidR="00A43238">
          <w:rPr>
            <w:noProof/>
            <w:webHidden/>
          </w:rPr>
          <w:t>24</w:t>
        </w:r>
        <w:r w:rsidR="00A43238">
          <w:rPr>
            <w:noProof/>
            <w:webHidden/>
          </w:rPr>
          <w:fldChar w:fldCharType="end"/>
        </w:r>
      </w:hyperlink>
    </w:p>
    <w:p w14:paraId="0B404EE3" w14:textId="63B58D17" w:rsidR="00A43238" w:rsidRDefault="00000000">
      <w:pPr>
        <w:pStyle w:val="TOC2"/>
        <w:rPr>
          <w:rFonts w:asciiTheme="minorHAnsi" w:eastAsiaTheme="minorEastAsia" w:hAnsiTheme="minorHAnsi"/>
          <w:b w:val="0"/>
        </w:rPr>
      </w:pPr>
      <w:hyperlink w:anchor="_Toc86997814" w:history="1">
        <w:r w:rsidR="00A43238" w:rsidRPr="00782FBC">
          <w:rPr>
            <w:rStyle w:val="Hyperlink"/>
          </w:rPr>
          <w:t>Evaluation Rubric</w:t>
        </w:r>
        <w:r w:rsidR="00A43238">
          <w:rPr>
            <w:webHidden/>
          </w:rPr>
          <w:tab/>
        </w:r>
        <w:r w:rsidR="00A43238">
          <w:rPr>
            <w:webHidden/>
          </w:rPr>
          <w:fldChar w:fldCharType="begin"/>
        </w:r>
        <w:r w:rsidR="00A43238">
          <w:rPr>
            <w:webHidden/>
          </w:rPr>
          <w:instrText xml:space="preserve"> PAGEREF _Toc86997814 \h </w:instrText>
        </w:r>
        <w:r w:rsidR="00A43238">
          <w:rPr>
            <w:webHidden/>
          </w:rPr>
        </w:r>
        <w:r w:rsidR="00A43238">
          <w:rPr>
            <w:webHidden/>
          </w:rPr>
          <w:fldChar w:fldCharType="separate"/>
        </w:r>
        <w:r w:rsidR="00A43238">
          <w:rPr>
            <w:webHidden/>
          </w:rPr>
          <w:t>26</w:t>
        </w:r>
        <w:r w:rsidR="00A43238">
          <w:rPr>
            <w:webHidden/>
          </w:rPr>
          <w:fldChar w:fldCharType="end"/>
        </w:r>
      </w:hyperlink>
    </w:p>
    <w:p w14:paraId="3D1F0AF2" w14:textId="665AA623" w:rsidR="00A43238" w:rsidRDefault="00000000">
      <w:pPr>
        <w:pStyle w:val="TOC2"/>
        <w:rPr>
          <w:rFonts w:asciiTheme="minorHAnsi" w:eastAsiaTheme="minorEastAsia" w:hAnsiTheme="minorHAnsi"/>
          <w:b w:val="0"/>
        </w:rPr>
      </w:pPr>
      <w:hyperlink w:anchor="_Toc86997815" w:history="1">
        <w:r w:rsidR="00A43238" w:rsidRPr="00782FBC">
          <w:rPr>
            <w:rStyle w:val="Hyperlink"/>
            <w:rFonts w:cs="Arial"/>
          </w:rPr>
          <w:t>Part 1— Scaling Up Multi-tiered System of Support Statewide: Partner Entity Goals and Activities</w:t>
        </w:r>
        <w:r w:rsidR="00A43238">
          <w:rPr>
            <w:webHidden/>
          </w:rPr>
          <w:tab/>
        </w:r>
        <w:r w:rsidR="00A43238">
          <w:rPr>
            <w:webHidden/>
          </w:rPr>
          <w:fldChar w:fldCharType="begin"/>
        </w:r>
        <w:r w:rsidR="00A43238">
          <w:rPr>
            <w:webHidden/>
          </w:rPr>
          <w:instrText xml:space="preserve"> PAGEREF _Toc86997815 \h </w:instrText>
        </w:r>
        <w:r w:rsidR="00A43238">
          <w:rPr>
            <w:webHidden/>
          </w:rPr>
        </w:r>
        <w:r w:rsidR="00A43238">
          <w:rPr>
            <w:webHidden/>
          </w:rPr>
          <w:fldChar w:fldCharType="separate"/>
        </w:r>
        <w:r w:rsidR="00A43238">
          <w:rPr>
            <w:webHidden/>
          </w:rPr>
          <w:t>26</w:t>
        </w:r>
        <w:r w:rsidR="00A43238">
          <w:rPr>
            <w:webHidden/>
          </w:rPr>
          <w:fldChar w:fldCharType="end"/>
        </w:r>
      </w:hyperlink>
    </w:p>
    <w:p w14:paraId="6AF3AD65" w14:textId="72F5BDD6" w:rsidR="00A43238" w:rsidRDefault="00000000">
      <w:pPr>
        <w:pStyle w:val="TOC3"/>
        <w:rPr>
          <w:rFonts w:asciiTheme="minorHAnsi" w:eastAsiaTheme="minorEastAsia" w:hAnsiTheme="minorHAnsi"/>
          <w:noProof/>
          <w:sz w:val="22"/>
        </w:rPr>
      </w:pPr>
      <w:hyperlink w:anchor="_Toc86997816" w:history="1">
        <w:r w:rsidR="00A43238" w:rsidRPr="00782FBC">
          <w:rPr>
            <w:rStyle w:val="Hyperlink"/>
            <w:rFonts w:cs="Arial"/>
            <w:noProof/>
          </w:rPr>
          <w:t>Theory of Action</w:t>
        </w:r>
        <w:r w:rsidR="00A43238">
          <w:rPr>
            <w:noProof/>
            <w:webHidden/>
          </w:rPr>
          <w:tab/>
        </w:r>
        <w:r w:rsidR="00A43238">
          <w:rPr>
            <w:noProof/>
            <w:webHidden/>
          </w:rPr>
          <w:fldChar w:fldCharType="begin"/>
        </w:r>
        <w:r w:rsidR="00A43238">
          <w:rPr>
            <w:noProof/>
            <w:webHidden/>
          </w:rPr>
          <w:instrText xml:space="preserve"> PAGEREF _Toc86997816 \h </w:instrText>
        </w:r>
        <w:r w:rsidR="00A43238">
          <w:rPr>
            <w:noProof/>
            <w:webHidden/>
          </w:rPr>
        </w:r>
        <w:r w:rsidR="00A43238">
          <w:rPr>
            <w:noProof/>
            <w:webHidden/>
          </w:rPr>
          <w:fldChar w:fldCharType="separate"/>
        </w:r>
        <w:r w:rsidR="00A43238">
          <w:rPr>
            <w:noProof/>
            <w:webHidden/>
          </w:rPr>
          <w:t>26</w:t>
        </w:r>
        <w:r w:rsidR="00A43238">
          <w:rPr>
            <w:noProof/>
            <w:webHidden/>
          </w:rPr>
          <w:fldChar w:fldCharType="end"/>
        </w:r>
      </w:hyperlink>
    </w:p>
    <w:p w14:paraId="214FE079" w14:textId="2548045D" w:rsidR="00A43238" w:rsidRDefault="00000000">
      <w:pPr>
        <w:pStyle w:val="TOC3"/>
        <w:rPr>
          <w:rFonts w:asciiTheme="minorHAnsi" w:eastAsiaTheme="minorEastAsia" w:hAnsiTheme="minorHAnsi"/>
          <w:noProof/>
          <w:sz w:val="22"/>
        </w:rPr>
      </w:pPr>
      <w:hyperlink w:anchor="_Toc86997817" w:history="1">
        <w:r w:rsidR="00A43238" w:rsidRPr="00782FBC">
          <w:rPr>
            <w:rStyle w:val="Hyperlink"/>
            <w:rFonts w:cs="Arial"/>
            <w:noProof/>
          </w:rPr>
          <w:t>Proposed Activities</w:t>
        </w:r>
        <w:r w:rsidR="00A43238">
          <w:rPr>
            <w:noProof/>
            <w:webHidden/>
          </w:rPr>
          <w:tab/>
        </w:r>
        <w:r w:rsidR="00A43238">
          <w:rPr>
            <w:noProof/>
            <w:webHidden/>
          </w:rPr>
          <w:fldChar w:fldCharType="begin"/>
        </w:r>
        <w:r w:rsidR="00A43238">
          <w:rPr>
            <w:noProof/>
            <w:webHidden/>
          </w:rPr>
          <w:instrText xml:space="preserve"> PAGEREF _Toc86997817 \h </w:instrText>
        </w:r>
        <w:r w:rsidR="00A43238">
          <w:rPr>
            <w:noProof/>
            <w:webHidden/>
          </w:rPr>
        </w:r>
        <w:r w:rsidR="00A43238">
          <w:rPr>
            <w:noProof/>
            <w:webHidden/>
          </w:rPr>
          <w:fldChar w:fldCharType="separate"/>
        </w:r>
        <w:r w:rsidR="00A43238">
          <w:rPr>
            <w:noProof/>
            <w:webHidden/>
          </w:rPr>
          <w:t>27</w:t>
        </w:r>
        <w:r w:rsidR="00A43238">
          <w:rPr>
            <w:noProof/>
            <w:webHidden/>
          </w:rPr>
          <w:fldChar w:fldCharType="end"/>
        </w:r>
      </w:hyperlink>
    </w:p>
    <w:p w14:paraId="10634146" w14:textId="59A0B849" w:rsidR="00A43238" w:rsidRDefault="00000000">
      <w:pPr>
        <w:pStyle w:val="TOC3"/>
        <w:rPr>
          <w:rFonts w:asciiTheme="minorHAnsi" w:eastAsiaTheme="minorEastAsia" w:hAnsiTheme="minorHAnsi"/>
          <w:noProof/>
          <w:sz w:val="22"/>
        </w:rPr>
      </w:pPr>
      <w:hyperlink w:anchor="_Toc86997818" w:history="1">
        <w:r w:rsidR="00A43238" w:rsidRPr="00782FBC">
          <w:rPr>
            <w:rStyle w:val="Hyperlink"/>
            <w:rFonts w:cs="Arial"/>
            <w:noProof/>
          </w:rPr>
          <w:t>Project Participants</w:t>
        </w:r>
        <w:r w:rsidR="00A43238">
          <w:rPr>
            <w:noProof/>
            <w:webHidden/>
          </w:rPr>
          <w:tab/>
        </w:r>
        <w:r w:rsidR="00A43238">
          <w:rPr>
            <w:noProof/>
            <w:webHidden/>
          </w:rPr>
          <w:fldChar w:fldCharType="begin"/>
        </w:r>
        <w:r w:rsidR="00A43238">
          <w:rPr>
            <w:noProof/>
            <w:webHidden/>
          </w:rPr>
          <w:instrText xml:space="preserve"> PAGEREF _Toc86997818 \h </w:instrText>
        </w:r>
        <w:r w:rsidR="00A43238">
          <w:rPr>
            <w:noProof/>
            <w:webHidden/>
          </w:rPr>
        </w:r>
        <w:r w:rsidR="00A43238">
          <w:rPr>
            <w:noProof/>
            <w:webHidden/>
          </w:rPr>
          <w:fldChar w:fldCharType="separate"/>
        </w:r>
        <w:r w:rsidR="00A43238">
          <w:rPr>
            <w:noProof/>
            <w:webHidden/>
          </w:rPr>
          <w:t>31</w:t>
        </w:r>
        <w:r w:rsidR="00A43238">
          <w:rPr>
            <w:noProof/>
            <w:webHidden/>
          </w:rPr>
          <w:fldChar w:fldCharType="end"/>
        </w:r>
      </w:hyperlink>
    </w:p>
    <w:p w14:paraId="4ACBE090" w14:textId="2CA087CD" w:rsidR="00A43238" w:rsidRDefault="00000000">
      <w:pPr>
        <w:pStyle w:val="TOC3"/>
        <w:rPr>
          <w:rFonts w:asciiTheme="minorHAnsi" w:eastAsiaTheme="minorEastAsia" w:hAnsiTheme="minorHAnsi"/>
          <w:noProof/>
          <w:sz w:val="22"/>
        </w:rPr>
      </w:pPr>
      <w:hyperlink w:anchor="_Toc86997819" w:history="1">
        <w:r w:rsidR="00A43238" w:rsidRPr="00782FBC">
          <w:rPr>
            <w:rStyle w:val="Hyperlink"/>
            <w:rFonts w:cs="Arial"/>
            <w:noProof/>
          </w:rPr>
          <w:t>Alignment</w:t>
        </w:r>
        <w:r w:rsidR="00A43238">
          <w:rPr>
            <w:noProof/>
            <w:webHidden/>
          </w:rPr>
          <w:tab/>
        </w:r>
        <w:r w:rsidR="00A43238">
          <w:rPr>
            <w:noProof/>
            <w:webHidden/>
          </w:rPr>
          <w:fldChar w:fldCharType="begin"/>
        </w:r>
        <w:r w:rsidR="00A43238">
          <w:rPr>
            <w:noProof/>
            <w:webHidden/>
          </w:rPr>
          <w:instrText xml:space="preserve"> PAGEREF _Toc86997819 \h </w:instrText>
        </w:r>
        <w:r w:rsidR="00A43238">
          <w:rPr>
            <w:noProof/>
            <w:webHidden/>
          </w:rPr>
        </w:r>
        <w:r w:rsidR="00A43238">
          <w:rPr>
            <w:noProof/>
            <w:webHidden/>
          </w:rPr>
          <w:fldChar w:fldCharType="separate"/>
        </w:r>
        <w:r w:rsidR="00A43238">
          <w:rPr>
            <w:noProof/>
            <w:webHidden/>
          </w:rPr>
          <w:t>33</w:t>
        </w:r>
        <w:r w:rsidR="00A43238">
          <w:rPr>
            <w:noProof/>
            <w:webHidden/>
          </w:rPr>
          <w:fldChar w:fldCharType="end"/>
        </w:r>
      </w:hyperlink>
    </w:p>
    <w:p w14:paraId="0A72CEC1" w14:textId="5478771B" w:rsidR="00A43238" w:rsidRDefault="00000000">
      <w:pPr>
        <w:pStyle w:val="TOC3"/>
        <w:rPr>
          <w:rFonts w:asciiTheme="minorHAnsi" w:eastAsiaTheme="minorEastAsia" w:hAnsiTheme="minorHAnsi"/>
          <w:noProof/>
          <w:sz w:val="22"/>
        </w:rPr>
      </w:pPr>
      <w:hyperlink w:anchor="_Toc86997820" w:history="1">
        <w:r w:rsidR="00A43238" w:rsidRPr="00782FBC">
          <w:rPr>
            <w:rStyle w:val="Hyperlink"/>
            <w:rFonts w:cs="Arial"/>
            <w:noProof/>
          </w:rPr>
          <w:t>Expanding Capacity</w:t>
        </w:r>
        <w:r w:rsidR="00A43238">
          <w:rPr>
            <w:noProof/>
            <w:webHidden/>
          </w:rPr>
          <w:tab/>
        </w:r>
        <w:r w:rsidR="00A43238">
          <w:rPr>
            <w:noProof/>
            <w:webHidden/>
          </w:rPr>
          <w:fldChar w:fldCharType="begin"/>
        </w:r>
        <w:r w:rsidR="00A43238">
          <w:rPr>
            <w:noProof/>
            <w:webHidden/>
          </w:rPr>
          <w:instrText xml:space="preserve"> PAGEREF _Toc86997820 \h </w:instrText>
        </w:r>
        <w:r w:rsidR="00A43238">
          <w:rPr>
            <w:noProof/>
            <w:webHidden/>
          </w:rPr>
        </w:r>
        <w:r w:rsidR="00A43238">
          <w:rPr>
            <w:noProof/>
            <w:webHidden/>
          </w:rPr>
          <w:fldChar w:fldCharType="separate"/>
        </w:r>
        <w:r w:rsidR="00A43238">
          <w:rPr>
            <w:noProof/>
            <w:webHidden/>
          </w:rPr>
          <w:t>34</w:t>
        </w:r>
        <w:r w:rsidR="00A43238">
          <w:rPr>
            <w:noProof/>
            <w:webHidden/>
          </w:rPr>
          <w:fldChar w:fldCharType="end"/>
        </w:r>
      </w:hyperlink>
    </w:p>
    <w:p w14:paraId="71727ECD" w14:textId="4597945F" w:rsidR="00A43238" w:rsidRDefault="00000000">
      <w:pPr>
        <w:pStyle w:val="TOC2"/>
        <w:rPr>
          <w:rFonts w:asciiTheme="minorHAnsi" w:eastAsiaTheme="minorEastAsia" w:hAnsiTheme="minorHAnsi"/>
          <w:b w:val="0"/>
        </w:rPr>
      </w:pPr>
      <w:hyperlink w:anchor="_Toc86997821" w:history="1">
        <w:r w:rsidR="00A43238" w:rsidRPr="00782FBC">
          <w:rPr>
            <w:rStyle w:val="Hyperlink"/>
            <w:rFonts w:cs="Arial"/>
          </w:rPr>
          <w:t>Part 2—Proposed Metrics</w:t>
        </w:r>
        <w:r w:rsidR="00A43238">
          <w:rPr>
            <w:webHidden/>
          </w:rPr>
          <w:tab/>
        </w:r>
        <w:r w:rsidR="00A43238">
          <w:rPr>
            <w:webHidden/>
          </w:rPr>
          <w:fldChar w:fldCharType="begin"/>
        </w:r>
        <w:r w:rsidR="00A43238">
          <w:rPr>
            <w:webHidden/>
          </w:rPr>
          <w:instrText xml:space="preserve"> PAGEREF _Toc86997821 \h </w:instrText>
        </w:r>
        <w:r w:rsidR="00A43238">
          <w:rPr>
            <w:webHidden/>
          </w:rPr>
        </w:r>
        <w:r w:rsidR="00A43238">
          <w:rPr>
            <w:webHidden/>
          </w:rPr>
          <w:fldChar w:fldCharType="separate"/>
        </w:r>
        <w:r w:rsidR="00A43238">
          <w:rPr>
            <w:webHidden/>
          </w:rPr>
          <w:t>35</w:t>
        </w:r>
        <w:r w:rsidR="00A43238">
          <w:rPr>
            <w:webHidden/>
          </w:rPr>
          <w:fldChar w:fldCharType="end"/>
        </w:r>
      </w:hyperlink>
    </w:p>
    <w:p w14:paraId="5077839F" w14:textId="6ED84ECD" w:rsidR="00A43238" w:rsidRDefault="00000000">
      <w:pPr>
        <w:pStyle w:val="TOC2"/>
        <w:rPr>
          <w:rFonts w:asciiTheme="minorHAnsi" w:eastAsiaTheme="minorEastAsia" w:hAnsiTheme="minorHAnsi"/>
          <w:b w:val="0"/>
        </w:rPr>
      </w:pPr>
      <w:hyperlink w:anchor="_Toc86997822" w:history="1">
        <w:r w:rsidR="00A43238" w:rsidRPr="00782FBC">
          <w:rPr>
            <w:rStyle w:val="Hyperlink"/>
            <w:rFonts w:cs="Arial"/>
          </w:rPr>
          <w:t>Part 3—Budget and Cost Effectiveness</w:t>
        </w:r>
        <w:r w:rsidR="00A43238">
          <w:rPr>
            <w:webHidden/>
          </w:rPr>
          <w:tab/>
        </w:r>
        <w:r w:rsidR="00A43238">
          <w:rPr>
            <w:webHidden/>
          </w:rPr>
          <w:fldChar w:fldCharType="begin"/>
        </w:r>
        <w:r w:rsidR="00A43238">
          <w:rPr>
            <w:webHidden/>
          </w:rPr>
          <w:instrText xml:space="preserve"> PAGEREF _Toc86997822 \h </w:instrText>
        </w:r>
        <w:r w:rsidR="00A43238">
          <w:rPr>
            <w:webHidden/>
          </w:rPr>
        </w:r>
        <w:r w:rsidR="00A43238">
          <w:rPr>
            <w:webHidden/>
          </w:rPr>
          <w:fldChar w:fldCharType="separate"/>
        </w:r>
        <w:r w:rsidR="00A43238">
          <w:rPr>
            <w:webHidden/>
          </w:rPr>
          <w:t>36</w:t>
        </w:r>
        <w:r w:rsidR="00A43238">
          <w:rPr>
            <w:webHidden/>
          </w:rPr>
          <w:fldChar w:fldCharType="end"/>
        </w:r>
      </w:hyperlink>
    </w:p>
    <w:p w14:paraId="14013C10" w14:textId="16A2CFE3" w:rsidR="00A43238" w:rsidRDefault="00000000">
      <w:pPr>
        <w:pStyle w:val="TOC2"/>
        <w:rPr>
          <w:rFonts w:asciiTheme="minorHAnsi" w:eastAsiaTheme="minorEastAsia" w:hAnsiTheme="minorHAnsi"/>
          <w:b w:val="0"/>
        </w:rPr>
      </w:pPr>
      <w:hyperlink w:anchor="_Toc86997823" w:history="1">
        <w:r w:rsidR="00A43238" w:rsidRPr="00782FBC">
          <w:rPr>
            <w:rStyle w:val="Hyperlink"/>
          </w:rPr>
          <w:t>Appendices</w:t>
        </w:r>
        <w:r w:rsidR="00A43238">
          <w:rPr>
            <w:webHidden/>
          </w:rPr>
          <w:tab/>
        </w:r>
        <w:r w:rsidR="00A43238">
          <w:rPr>
            <w:webHidden/>
          </w:rPr>
          <w:fldChar w:fldCharType="begin"/>
        </w:r>
        <w:r w:rsidR="00A43238">
          <w:rPr>
            <w:webHidden/>
          </w:rPr>
          <w:instrText xml:space="preserve"> PAGEREF _Toc86997823 \h </w:instrText>
        </w:r>
        <w:r w:rsidR="00A43238">
          <w:rPr>
            <w:webHidden/>
          </w:rPr>
        </w:r>
        <w:r w:rsidR="00A43238">
          <w:rPr>
            <w:webHidden/>
          </w:rPr>
          <w:fldChar w:fldCharType="separate"/>
        </w:r>
        <w:r w:rsidR="00A43238">
          <w:rPr>
            <w:webHidden/>
          </w:rPr>
          <w:t>37</w:t>
        </w:r>
        <w:r w:rsidR="00A43238">
          <w:rPr>
            <w:webHidden/>
          </w:rPr>
          <w:fldChar w:fldCharType="end"/>
        </w:r>
      </w:hyperlink>
    </w:p>
    <w:p w14:paraId="0E69E85D" w14:textId="255D5F2C" w:rsidR="00A43238" w:rsidRDefault="00000000">
      <w:pPr>
        <w:pStyle w:val="TOC3"/>
        <w:rPr>
          <w:rFonts w:asciiTheme="minorHAnsi" w:eastAsiaTheme="minorEastAsia" w:hAnsiTheme="minorHAnsi"/>
          <w:noProof/>
          <w:sz w:val="22"/>
        </w:rPr>
      </w:pPr>
      <w:hyperlink w:anchor="_Toc86997824" w:history="1">
        <w:r w:rsidR="00A43238" w:rsidRPr="00782FBC">
          <w:rPr>
            <w:rStyle w:val="Hyperlink"/>
            <w:noProof/>
          </w:rPr>
          <w:t>Appendix A: Online Application Instructions</w:t>
        </w:r>
        <w:r w:rsidR="00A43238">
          <w:rPr>
            <w:noProof/>
            <w:webHidden/>
          </w:rPr>
          <w:tab/>
        </w:r>
        <w:r w:rsidR="00A43238">
          <w:rPr>
            <w:noProof/>
            <w:webHidden/>
          </w:rPr>
          <w:fldChar w:fldCharType="begin"/>
        </w:r>
        <w:r w:rsidR="00A43238">
          <w:rPr>
            <w:noProof/>
            <w:webHidden/>
          </w:rPr>
          <w:instrText xml:space="preserve"> PAGEREF _Toc86997824 \h </w:instrText>
        </w:r>
        <w:r w:rsidR="00A43238">
          <w:rPr>
            <w:noProof/>
            <w:webHidden/>
          </w:rPr>
        </w:r>
        <w:r w:rsidR="00A43238">
          <w:rPr>
            <w:noProof/>
            <w:webHidden/>
          </w:rPr>
          <w:fldChar w:fldCharType="separate"/>
        </w:r>
        <w:r w:rsidR="00A43238">
          <w:rPr>
            <w:noProof/>
            <w:webHidden/>
          </w:rPr>
          <w:t>38</w:t>
        </w:r>
        <w:r w:rsidR="00A43238">
          <w:rPr>
            <w:noProof/>
            <w:webHidden/>
          </w:rPr>
          <w:fldChar w:fldCharType="end"/>
        </w:r>
      </w:hyperlink>
    </w:p>
    <w:p w14:paraId="1003F441" w14:textId="0060EF23" w:rsidR="00A43238" w:rsidRDefault="00000000">
      <w:pPr>
        <w:pStyle w:val="TOC3"/>
        <w:rPr>
          <w:rFonts w:asciiTheme="minorHAnsi" w:eastAsiaTheme="minorEastAsia" w:hAnsiTheme="minorHAnsi"/>
          <w:noProof/>
          <w:sz w:val="22"/>
        </w:rPr>
      </w:pPr>
      <w:hyperlink w:anchor="_Toc86997825" w:history="1">
        <w:r w:rsidR="00A43238" w:rsidRPr="00782FBC">
          <w:rPr>
            <w:rStyle w:val="Hyperlink"/>
            <w:noProof/>
          </w:rPr>
          <w:t>Appendix B: Budget Categories</w:t>
        </w:r>
        <w:r w:rsidR="00A43238">
          <w:rPr>
            <w:noProof/>
            <w:webHidden/>
          </w:rPr>
          <w:tab/>
        </w:r>
        <w:r w:rsidR="00A43238">
          <w:rPr>
            <w:noProof/>
            <w:webHidden/>
          </w:rPr>
          <w:fldChar w:fldCharType="begin"/>
        </w:r>
        <w:r w:rsidR="00A43238">
          <w:rPr>
            <w:noProof/>
            <w:webHidden/>
          </w:rPr>
          <w:instrText xml:space="preserve"> PAGEREF _Toc86997825 \h </w:instrText>
        </w:r>
        <w:r w:rsidR="00A43238">
          <w:rPr>
            <w:noProof/>
            <w:webHidden/>
          </w:rPr>
        </w:r>
        <w:r w:rsidR="00A43238">
          <w:rPr>
            <w:noProof/>
            <w:webHidden/>
          </w:rPr>
          <w:fldChar w:fldCharType="separate"/>
        </w:r>
        <w:r w:rsidR="00A43238">
          <w:rPr>
            <w:noProof/>
            <w:webHidden/>
          </w:rPr>
          <w:t>44</w:t>
        </w:r>
        <w:r w:rsidR="00A43238">
          <w:rPr>
            <w:noProof/>
            <w:webHidden/>
          </w:rPr>
          <w:fldChar w:fldCharType="end"/>
        </w:r>
      </w:hyperlink>
    </w:p>
    <w:p w14:paraId="02BE2B7F" w14:textId="6F9533E3" w:rsidR="00A43238" w:rsidRDefault="00000000">
      <w:pPr>
        <w:pStyle w:val="TOC3"/>
        <w:rPr>
          <w:rFonts w:asciiTheme="minorHAnsi" w:eastAsiaTheme="minorEastAsia" w:hAnsiTheme="minorHAnsi"/>
          <w:noProof/>
          <w:sz w:val="22"/>
        </w:rPr>
      </w:pPr>
      <w:hyperlink w:anchor="_Toc86997826" w:history="1">
        <w:r w:rsidR="00A43238" w:rsidRPr="00782FBC">
          <w:rPr>
            <w:rStyle w:val="Hyperlink"/>
            <w:noProof/>
          </w:rPr>
          <w:t>Appendix C: Education Omnibus Trailer Bill (Assembly Bill 130)</w:t>
        </w:r>
        <w:r w:rsidR="00A43238">
          <w:rPr>
            <w:noProof/>
            <w:webHidden/>
          </w:rPr>
          <w:tab/>
        </w:r>
        <w:r w:rsidR="00A43238">
          <w:rPr>
            <w:noProof/>
            <w:webHidden/>
          </w:rPr>
          <w:fldChar w:fldCharType="begin"/>
        </w:r>
        <w:r w:rsidR="00A43238">
          <w:rPr>
            <w:noProof/>
            <w:webHidden/>
          </w:rPr>
          <w:instrText xml:space="preserve"> PAGEREF _Toc86997826 \h </w:instrText>
        </w:r>
        <w:r w:rsidR="00A43238">
          <w:rPr>
            <w:noProof/>
            <w:webHidden/>
          </w:rPr>
        </w:r>
        <w:r w:rsidR="00A43238">
          <w:rPr>
            <w:noProof/>
            <w:webHidden/>
          </w:rPr>
          <w:fldChar w:fldCharType="separate"/>
        </w:r>
        <w:r w:rsidR="00A43238">
          <w:rPr>
            <w:noProof/>
            <w:webHidden/>
          </w:rPr>
          <w:t>46</w:t>
        </w:r>
        <w:r w:rsidR="00A43238">
          <w:rPr>
            <w:noProof/>
            <w:webHidden/>
          </w:rPr>
          <w:fldChar w:fldCharType="end"/>
        </w:r>
      </w:hyperlink>
    </w:p>
    <w:p w14:paraId="54975E5C" w14:textId="55C262EE" w:rsidR="00A43238" w:rsidRDefault="00000000">
      <w:pPr>
        <w:pStyle w:val="TOC3"/>
        <w:rPr>
          <w:rFonts w:asciiTheme="minorHAnsi" w:eastAsiaTheme="minorEastAsia" w:hAnsiTheme="minorHAnsi"/>
          <w:noProof/>
          <w:sz w:val="22"/>
        </w:rPr>
      </w:pPr>
      <w:hyperlink w:anchor="_Toc86997827" w:history="1">
        <w:r w:rsidR="00A43238" w:rsidRPr="00782FBC">
          <w:rPr>
            <w:rStyle w:val="Hyperlink"/>
            <w:noProof/>
          </w:rPr>
          <w:t>Form A: Scaling Up Multi-tiered System of Support Statewide: Partner Entity</w:t>
        </w:r>
        <w:r w:rsidR="00A43238">
          <w:rPr>
            <w:noProof/>
            <w:webHidden/>
          </w:rPr>
          <w:tab/>
        </w:r>
        <w:r w:rsidR="00A43238">
          <w:rPr>
            <w:noProof/>
            <w:webHidden/>
          </w:rPr>
          <w:fldChar w:fldCharType="begin"/>
        </w:r>
        <w:r w:rsidR="00A43238">
          <w:rPr>
            <w:noProof/>
            <w:webHidden/>
          </w:rPr>
          <w:instrText xml:space="preserve"> PAGEREF _Toc86997827 \h </w:instrText>
        </w:r>
        <w:r w:rsidR="00A43238">
          <w:rPr>
            <w:noProof/>
            <w:webHidden/>
          </w:rPr>
        </w:r>
        <w:r w:rsidR="00A43238">
          <w:rPr>
            <w:noProof/>
            <w:webHidden/>
          </w:rPr>
          <w:fldChar w:fldCharType="separate"/>
        </w:r>
        <w:r w:rsidR="00A43238">
          <w:rPr>
            <w:noProof/>
            <w:webHidden/>
          </w:rPr>
          <w:t>50</w:t>
        </w:r>
        <w:r w:rsidR="00A43238">
          <w:rPr>
            <w:noProof/>
            <w:webHidden/>
          </w:rPr>
          <w:fldChar w:fldCharType="end"/>
        </w:r>
      </w:hyperlink>
    </w:p>
    <w:p w14:paraId="1DB7F911" w14:textId="77777777" w:rsidR="00454036" w:rsidRPr="00D22F61" w:rsidRDefault="00D875D3" w:rsidP="00460CFA">
      <w:pPr>
        <w:spacing w:after="120"/>
        <w:rPr>
          <w:rFonts w:cs="Arial"/>
          <w:szCs w:val="24"/>
        </w:rPr>
      </w:pPr>
      <w:r w:rsidRPr="00CA1435">
        <w:rPr>
          <w:rFonts w:cs="Arial"/>
          <w:szCs w:val="24"/>
        </w:rPr>
        <w:fldChar w:fldCharType="end"/>
      </w:r>
    </w:p>
    <w:p w14:paraId="35DACFC7" w14:textId="77777777" w:rsidR="008B29C3" w:rsidRPr="00454036" w:rsidRDefault="008B29C3" w:rsidP="00454036">
      <w:pPr>
        <w:sectPr w:rsidR="008B29C3" w:rsidRPr="00454036">
          <w:footerReference w:type="default" r:id="rId18"/>
          <w:pgSz w:w="12240" w:h="15840"/>
          <w:pgMar w:top="1440" w:right="1440" w:bottom="1440" w:left="1440" w:header="720" w:footer="720" w:gutter="0"/>
          <w:pgNumType w:fmt="lowerRoman" w:start="1"/>
          <w:cols w:space="720"/>
          <w:docGrid w:linePitch="360"/>
        </w:sectPr>
      </w:pPr>
    </w:p>
    <w:p w14:paraId="2661CD87" w14:textId="1F5DB982" w:rsidR="008B29C3" w:rsidRPr="00B324EB" w:rsidRDefault="00C8663C" w:rsidP="00F3214B">
      <w:pPr>
        <w:pStyle w:val="Heading2"/>
        <w:numPr>
          <w:ilvl w:val="0"/>
          <w:numId w:val="32"/>
        </w:numPr>
        <w:ind w:left="360"/>
      </w:pPr>
      <w:bookmarkStart w:id="17" w:name="_Toc86997785"/>
      <w:r>
        <w:lastRenderedPageBreak/>
        <w:t>O</w:t>
      </w:r>
      <w:r w:rsidR="001179FB">
        <w:t>verview</w:t>
      </w:r>
      <w:bookmarkEnd w:id="17"/>
    </w:p>
    <w:p w14:paraId="76B59947" w14:textId="14683287" w:rsidR="007C76D0" w:rsidRDefault="00C530CD" w:rsidP="007C76D0">
      <w:pPr>
        <w:ind w:left="360"/>
      </w:pPr>
      <w:r w:rsidRPr="00A50E59">
        <w:t>The California Department of Education (CDE) invite</w:t>
      </w:r>
      <w:r w:rsidR="00DD3CDA">
        <w:t>s</w:t>
      </w:r>
      <w:r w:rsidRPr="00A50E59">
        <w:t xml:space="preserve"> </w:t>
      </w:r>
      <w:r w:rsidR="007C76D0" w:rsidRPr="007C76D0">
        <w:t>local educational agenc</w:t>
      </w:r>
      <w:r w:rsidR="007C76D0">
        <w:t>ies (LEAs)</w:t>
      </w:r>
      <w:r w:rsidR="007C76D0" w:rsidRPr="007C76D0">
        <w:t>, a</w:t>
      </w:r>
      <w:r w:rsidR="007C76D0">
        <w:t>n LEA</w:t>
      </w:r>
      <w:r w:rsidR="007C76D0" w:rsidRPr="007C76D0">
        <w:t xml:space="preserve"> in partnership with an institution of higher education</w:t>
      </w:r>
      <w:r w:rsidR="00F027D9">
        <w:t xml:space="preserve"> (IHE)</w:t>
      </w:r>
      <w:r w:rsidR="007C76D0" w:rsidRPr="007C76D0">
        <w:t xml:space="preserve"> or nonprofit educational service provider, or a consortia, </w:t>
      </w:r>
      <w:bookmarkStart w:id="18" w:name="_Hlk16152608"/>
      <w:r w:rsidR="00C433C3" w:rsidRPr="00A50E59">
        <w:t>to apply for a grant</w:t>
      </w:r>
      <w:r w:rsidR="00C433C3">
        <w:t xml:space="preserve"> </w:t>
      </w:r>
      <w:r w:rsidR="007C76D0" w:rsidRPr="007C76D0">
        <w:t>to partner with the Orange County Department of Education</w:t>
      </w:r>
      <w:r w:rsidR="007C76D0">
        <w:t xml:space="preserve"> (OCDE)</w:t>
      </w:r>
      <w:r w:rsidR="007C76D0" w:rsidRPr="007C76D0">
        <w:t xml:space="preserve"> and the Butte County Office of Education </w:t>
      </w:r>
      <w:r w:rsidR="007C76D0">
        <w:t xml:space="preserve">(BCOE) </w:t>
      </w:r>
      <w:r w:rsidR="007C76D0" w:rsidRPr="007C76D0">
        <w:t xml:space="preserve">to expand the state’s capacity to support </w:t>
      </w:r>
      <w:r w:rsidR="007C76D0">
        <w:t>LEA</w:t>
      </w:r>
      <w:r w:rsidR="007C76D0" w:rsidRPr="007C76D0">
        <w:t>s’ implementation of social</w:t>
      </w:r>
      <w:r w:rsidR="007274F1">
        <w:t xml:space="preserve"> and </w:t>
      </w:r>
      <w:r w:rsidR="007C76D0" w:rsidRPr="007C76D0">
        <w:t>emotional learning</w:t>
      </w:r>
      <w:r w:rsidR="000C04E9">
        <w:t xml:space="preserve"> (SEL);</w:t>
      </w:r>
      <w:r w:rsidR="007C76D0" w:rsidRPr="007C76D0">
        <w:t xml:space="preserve"> trauma screening</w:t>
      </w:r>
      <w:r w:rsidR="000C04E9">
        <w:t>;</w:t>
      </w:r>
      <w:r w:rsidR="007C76D0" w:rsidRPr="007C76D0">
        <w:t xml:space="preserve"> trauma-informed practices</w:t>
      </w:r>
      <w:r w:rsidR="000C04E9">
        <w:t>;</w:t>
      </w:r>
      <w:r w:rsidR="007C76D0" w:rsidRPr="007C76D0">
        <w:t xml:space="preserve"> and culturally relevant, affirming, and sustaining practices. </w:t>
      </w:r>
      <w:bookmarkEnd w:id="18"/>
      <w:r w:rsidR="007C76D0" w:rsidRPr="007C76D0">
        <w:t xml:space="preserve">The partner entity shall support the </w:t>
      </w:r>
      <w:r w:rsidR="007C76D0">
        <w:t>OCDE</w:t>
      </w:r>
      <w:r w:rsidR="007C76D0" w:rsidRPr="007C76D0">
        <w:t xml:space="preserve"> and the B</w:t>
      </w:r>
      <w:r w:rsidR="007C76D0">
        <w:t xml:space="preserve">COE </w:t>
      </w:r>
      <w:r w:rsidR="007C76D0" w:rsidRPr="007C76D0">
        <w:t xml:space="preserve">in offering high quality professional learning to educators and school leaders by performing all of the following functions: </w:t>
      </w:r>
    </w:p>
    <w:p w14:paraId="09A95979" w14:textId="287C6FBA" w:rsidR="007C76D0" w:rsidRDefault="007C76D0" w:rsidP="00F3214B">
      <w:pPr>
        <w:pStyle w:val="ListParagraph"/>
        <w:numPr>
          <w:ilvl w:val="0"/>
          <w:numId w:val="28"/>
        </w:numPr>
      </w:pPr>
      <w:r w:rsidRPr="007C76D0">
        <w:t xml:space="preserve">Creating, collecting, and curating resources for educators on </w:t>
      </w:r>
      <w:r w:rsidR="004800E2">
        <w:t>SEL</w:t>
      </w:r>
      <w:r w:rsidRPr="007C76D0">
        <w:t xml:space="preserve">, trauma screening, trauma-informed practices, and culturally relevant, affirming, and sustaining practices. </w:t>
      </w:r>
    </w:p>
    <w:p w14:paraId="1994F605" w14:textId="77777777" w:rsidR="007C76D0" w:rsidRDefault="007C76D0" w:rsidP="00F3214B">
      <w:pPr>
        <w:pStyle w:val="ListParagraph"/>
        <w:numPr>
          <w:ilvl w:val="0"/>
          <w:numId w:val="28"/>
        </w:numPr>
      </w:pPr>
      <w:r w:rsidRPr="007C76D0">
        <w:t xml:space="preserve">Providing ongoing training and support in the use of trauma screening tools and mental health service referrals, school climate surveys, and the use of tool and survey data. </w:t>
      </w:r>
    </w:p>
    <w:p w14:paraId="29EC2B3C" w14:textId="48D70B6F" w:rsidR="007C76D0" w:rsidRDefault="007C76D0" w:rsidP="00F3214B">
      <w:pPr>
        <w:pStyle w:val="ListParagraph"/>
        <w:numPr>
          <w:ilvl w:val="0"/>
          <w:numId w:val="28"/>
        </w:numPr>
      </w:pPr>
      <w:r w:rsidRPr="007C76D0">
        <w:t xml:space="preserve">Providing grants to </w:t>
      </w:r>
      <w:r w:rsidR="004800E2">
        <w:t>LEAs</w:t>
      </w:r>
      <w:r w:rsidRPr="007C76D0">
        <w:t xml:space="preserve"> to support both of the followin</w:t>
      </w:r>
      <w:r>
        <w:t>g:</w:t>
      </w:r>
    </w:p>
    <w:p w14:paraId="1038DE12" w14:textId="77777777" w:rsidR="007C76D0" w:rsidRDefault="007C76D0" w:rsidP="00F3214B">
      <w:pPr>
        <w:pStyle w:val="ListParagraph"/>
        <w:numPr>
          <w:ilvl w:val="1"/>
          <w:numId w:val="28"/>
        </w:numPr>
      </w:pPr>
      <w:r>
        <w:t>Convening professional learning communities of educators and school leaders.</w:t>
      </w:r>
    </w:p>
    <w:p w14:paraId="7CE0F161" w14:textId="65EC780E" w:rsidR="007C76D0" w:rsidRPr="007C76D0" w:rsidRDefault="007C76D0" w:rsidP="00F3214B">
      <w:pPr>
        <w:pStyle w:val="ListParagraph"/>
        <w:numPr>
          <w:ilvl w:val="1"/>
          <w:numId w:val="28"/>
        </w:numPr>
      </w:pPr>
      <w:r>
        <w:t>Providing ongoing training and coaching to educators and school leaders.</w:t>
      </w:r>
      <w:r w:rsidRPr="007C76D0">
        <w:t xml:space="preserve"> </w:t>
      </w:r>
    </w:p>
    <w:p w14:paraId="2423A444" w14:textId="16785F07" w:rsidR="004830EA" w:rsidRDefault="004830EA" w:rsidP="004830EA">
      <w:pPr>
        <w:ind w:left="360"/>
      </w:pPr>
      <w:r>
        <w:t>For the purposes of this grant, the CDE has borrowed the following definitions of “SEL</w:t>
      </w:r>
      <w:r w:rsidR="00EC203A">
        <w:t>,</w:t>
      </w:r>
      <w:r>
        <w:t>”</w:t>
      </w:r>
      <w:r w:rsidR="001750F2">
        <w:t xml:space="preserve"> “trauma-informed practices,” </w:t>
      </w:r>
      <w:r>
        <w:t>and “</w:t>
      </w:r>
      <w:r w:rsidR="001750F2" w:rsidRPr="007C76D0">
        <w:t>culturally relevant, affirming, and sustaining practices</w:t>
      </w:r>
      <w:r>
        <w:t>” to support applicants in completing this application:</w:t>
      </w:r>
    </w:p>
    <w:p w14:paraId="1B111478" w14:textId="74D51565" w:rsidR="00EC203A" w:rsidRPr="00EC203A" w:rsidRDefault="004830EA" w:rsidP="00F3214B">
      <w:pPr>
        <w:pStyle w:val="ListParagraph"/>
        <w:numPr>
          <w:ilvl w:val="0"/>
          <w:numId w:val="24"/>
        </w:numPr>
        <w:rPr>
          <w:i/>
        </w:rPr>
      </w:pPr>
      <w:r w:rsidRPr="004830EA">
        <w:rPr>
          <w:b/>
        </w:rPr>
        <w:t>S</w:t>
      </w:r>
      <w:r w:rsidR="00EC203A">
        <w:rPr>
          <w:b/>
        </w:rPr>
        <w:t>ocial</w:t>
      </w:r>
      <w:r w:rsidR="00496296">
        <w:rPr>
          <w:b/>
        </w:rPr>
        <w:t>-</w:t>
      </w:r>
      <w:r w:rsidR="00EC203A">
        <w:rPr>
          <w:b/>
        </w:rPr>
        <w:t>Emotional Learning</w:t>
      </w:r>
    </w:p>
    <w:p w14:paraId="1CF099AA" w14:textId="5FED388A" w:rsidR="005753C1" w:rsidRPr="00025F31" w:rsidRDefault="005753C1" w:rsidP="01A6F8F1">
      <w:pPr>
        <w:pStyle w:val="ListParagraph"/>
        <w:numPr>
          <w:ilvl w:val="0"/>
          <w:numId w:val="0"/>
        </w:numPr>
        <w:ind w:left="1080"/>
        <w:rPr>
          <w:i/>
          <w:iCs/>
        </w:rPr>
      </w:pPr>
      <w:r w:rsidRPr="007274F1">
        <w:rPr>
          <w:i/>
        </w:rPr>
        <w:t>SEL is</w:t>
      </w:r>
      <w:r>
        <w:t xml:space="preserve"> </w:t>
      </w:r>
      <w:r w:rsidRPr="01A6F8F1">
        <w:rPr>
          <w:i/>
          <w:iCs/>
        </w:rPr>
        <w:t>an integral part of education and human development. SEL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6D1ABCFF" w14:textId="7CF98E7F" w:rsidR="009170BC" w:rsidRDefault="005753C1" w:rsidP="00025F31">
      <w:pPr>
        <w:pStyle w:val="ListParagraph"/>
        <w:numPr>
          <w:ilvl w:val="0"/>
          <w:numId w:val="0"/>
        </w:numPr>
        <w:ind w:left="1080"/>
        <w:rPr>
          <w:i/>
        </w:rPr>
      </w:pPr>
      <w:r w:rsidRPr="005753C1">
        <w:rPr>
          <w:i/>
        </w:rPr>
        <w:t xml:space="preserve">SEL advances educational equity and excellence through authentic school-family-community partnerships to establish learning environments and experiences that feature trusting and collaborative relationships, rigorous and meaningful curriculum and instruction, and ongoing evaluation. SEL can help address various forms of inequity and empower young people and adults to </w:t>
      </w:r>
      <w:r w:rsidRPr="005753C1">
        <w:rPr>
          <w:i/>
        </w:rPr>
        <w:lastRenderedPageBreak/>
        <w:t>co-create thriving schools and contribute to safe, healthy, and just communities</w:t>
      </w:r>
      <w:r w:rsidR="004830EA">
        <w:rPr>
          <w:i/>
        </w:rPr>
        <w:t>.</w:t>
      </w:r>
      <w:r w:rsidR="00284056">
        <w:rPr>
          <w:rStyle w:val="FootnoteReference"/>
          <w:i/>
        </w:rPr>
        <w:footnoteReference w:id="1"/>
      </w:r>
    </w:p>
    <w:p w14:paraId="442B2EB6" w14:textId="723028F9" w:rsidR="00496296" w:rsidRPr="00025F31" w:rsidRDefault="002704CA" w:rsidP="00F3214B">
      <w:pPr>
        <w:pStyle w:val="ListParagraph"/>
        <w:numPr>
          <w:ilvl w:val="0"/>
          <w:numId w:val="24"/>
        </w:numPr>
        <w:rPr>
          <w:i/>
        </w:rPr>
      </w:pPr>
      <w:r>
        <w:rPr>
          <w:b/>
        </w:rPr>
        <w:t>Trauma-Informed Practices</w:t>
      </w:r>
    </w:p>
    <w:p w14:paraId="6F453122" w14:textId="48F3A4F0" w:rsidR="00496296" w:rsidRPr="00025F31" w:rsidRDefault="002704CA" w:rsidP="00025F31">
      <w:pPr>
        <w:pStyle w:val="ListParagraph"/>
        <w:numPr>
          <w:ilvl w:val="0"/>
          <w:numId w:val="0"/>
        </w:numPr>
        <w:ind w:left="1080"/>
        <w:rPr>
          <w:i/>
        </w:rPr>
      </w:pPr>
      <w:r w:rsidRPr="002704CA">
        <w:rPr>
          <w:i/>
        </w:rPr>
        <w:t>A program, organization, or system that is trauma-informed realizes the widespread impact of trauma and understands potential paths for recovery; recognizes the signs and symptoms of trauma in clients, families, staff, and others involved with the system; and responds by fully integrating knowledge about trauma into policies, procedures, and practices, and seeks to actively resist re-traumatization.</w:t>
      </w:r>
      <w:r>
        <w:rPr>
          <w:rStyle w:val="FootnoteReference"/>
          <w:i/>
        </w:rPr>
        <w:footnoteReference w:id="2"/>
      </w:r>
    </w:p>
    <w:p w14:paraId="2710A12C" w14:textId="16888F71" w:rsidR="00114DAA" w:rsidRDefault="00020A9F" w:rsidP="00F3214B">
      <w:pPr>
        <w:pStyle w:val="ListParagraph"/>
        <w:numPr>
          <w:ilvl w:val="0"/>
          <w:numId w:val="24"/>
        </w:numPr>
        <w:rPr>
          <w:b/>
        </w:rPr>
      </w:pPr>
      <w:r w:rsidRPr="00025F31">
        <w:rPr>
          <w:b/>
        </w:rPr>
        <w:t xml:space="preserve">Culturally Relevant, Affirming, and Sustaining Practice </w:t>
      </w:r>
    </w:p>
    <w:p w14:paraId="13B3533D" w14:textId="77777777" w:rsidR="00020A9F" w:rsidRPr="00025F31" w:rsidRDefault="00020A9F" w:rsidP="00025F31">
      <w:pPr>
        <w:pStyle w:val="NormalWeb"/>
        <w:shd w:val="clear" w:color="auto" w:fill="FFFFFF"/>
        <w:spacing w:before="0" w:beforeAutospacing="0" w:after="240" w:afterAutospacing="0"/>
        <w:ind w:left="1080"/>
        <w:rPr>
          <w:rFonts w:ascii="Arial" w:hAnsi="Arial" w:cs="Arial"/>
          <w:i/>
          <w:color w:val="000000"/>
        </w:rPr>
      </w:pPr>
      <w:r w:rsidRPr="00025F31">
        <w:rPr>
          <w:rFonts w:ascii="Arial" w:hAnsi="Arial" w:cs="Arial"/>
          <w:i/>
          <w:color w:val="000000"/>
        </w:rPr>
        <w:t>Culturally Sustaining Pedagogy builds on decades of asset-based pedagogical research including Culturally Relevant Pedagogy (Ladson-Billings) and Culturally Responsive (Gay and Hammond) and Linguistic (Hollie) Pedagogy.</w:t>
      </w:r>
    </w:p>
    <w:p w14:paraId="618D030E" w14:textId="77777777" w:rsidR="00020A9F" w:rsidRPr="00025F31" w:rsidRDefault="00020A9F" w:rsidP="00025F31">
      <w:pPr>
        <w:pStyle w:val="NormalWeb"/>
        <w:shd w:val="clear" w:color="auto" w:fill="FFFFFF"/>
        <w:spacing w:before="0" w:beforeAutospacing="0" w:after="240" w:afterAutospacing="0"/>
        <w:ind w:left="1080"/>
        <w:rPr>
          <w:rFonts w:ascii="Arial" w:hAnsi="Arial" w:cs="Arial"/>
          <w:i/>
          <w:color w:val="000000"/>
        </w:rPr>
      </w:pPr>
      <w:r w:rsidRPr="00025F31">
        <w:rPr>
          <w:rFonts w:ascii="Arial" w:hAnsi="Arial" w:cs="Arial"/>
          <w:i/>
          <w:color w:val="000000"/>
        </w:rPr>
        <w:t>Culturally Sustaining Pedagogy affirms and respects the key components of the Asset-Based Pedagogies that preceded it, but also takes them to the next level. Instead of just accepting or affirming the backgrounds of students of color as seen in Culturally Relevant Pedagogy; or connecting to students’ cultural knowledge, prior experiences, and frames of reference as we see in Culturally Responsive Pedagogy; Culturally Sustaining Pedagogy views schools as places where the cultural ways of being in communities of color are sustained, rather than eradicated.</w:t>
      </w:r>
    </w:p>
    <w:p w14:paraId="79BB1D41" w14:textId="118AA6E1" w:rsidR="00020A9F" w:rsidRPr="00025F31" w:rsidRDefault="00020A9F" w:rsidP="00025F31">
      <w:pPr>
        <w:pStyle w:val="NormalWeb"/>
        <w:shd w:val="clear" w:color="auto" w:fill="FFFFFF"/>
        <w:spacing w:before="0" w:beforeAutospacing="0" w:after="240" w:afterAutospacing="0"/>
        <w:ind w:left="1080"/>
        <w:rPr>
          <w:rFonts w:ascii="Arial" w:hAnsi="Arial" w:cs="Arial"/>
          <w:i/>
          <w:color w:val="000000"/>
        </w:rPr>
      </w:pPr>
      <w:r w:rsidRPr="00025F31">
        <w:rPr>
          <w:rFonts w:ascii="Arial" w:hAnsi="Arial" w:cs="Arial"/>
          <w:i/>
          <w:color w:val="000000"/>
        </w:rPr>
        <w:t>Culturally Sustaining Pedagogy promotes equality across racial and ethnic communities and seeks to ensure access and opportunity. Culturally Sustaining Pedagogy also supports students to critique and question dominant power structures in societies.</w:t>
      </w:r>
      <w:r>
        <w:rPr>
          <w:rStyle w:val="FootnoteReference"/>
          <w:rFonts w:ascii="Arial" w:hAnsi="Arial" w:cs="Arial"/>
          <w:i/>
          <w:color w:val="000000"/>
        </w:rPr>
        <w:footnoteReference w:id="3"/>
      </w:r>
    </w:p>
    <w:p w14:paraId="0FF3A976" w14:textId="77777777" w:rsidR="00020A9F" w:rsidRPr="00025F31" w:rsidRDefault="00020A9F" w:rsidP="00025F31">
      <w:pPr>
        <w:pStyle w:val="ListParagraph"/>
        <w:numPr>
          <w:ilvl w:val="0"/>
          <w:numId w:val="0"/>
        </w:numPr>
        <w:ind w:left="1080"/>
      </w:pPr>
    </w:p>
    <w:p w14:paraId="794B0E44" w14:textId="3212CE7E" w:rsidR="00020A9F" w:rsidRPr="00025F31" w:rsidRDefault="00020A9F" w:rsidP="00025F31">
      <w:pPr>
        <w:rPr>
          <w:b/>
        </w:rPr>
        <w:sectPr w:rsidR="00020A9F" w:rsidRPr="00025F31">
          <w:footerReference w:type="default" r:id="rId19"/>
          <w:pgSz w:w="12240" w:h="15840"/>
          <w:pgMar w:top="1440" w:right="1440" w:bottom="1440" w:left="1440" w:header="720" w:footer="720" w:gutter="0"/>
          <w:pgNumType w:start="1"/>
          <w:cols w:space="720"/>
          <w:docGrid w:linePitch="360"/>
        </w:sectPr>
      </w:pPr>
    </w:p>
    <w:p w14:paraId="1FF72E40" w14:textId="77777777" w:rsidR="00C530CD" w:rsidRPr="00025F31" w:rsidRDefault="00C530CD" w:rsidP="002D59C5">
      <w:pPr>
        <w:pStyle w:val="Heading3"/>
        <w:spacing w:before="0" w:after="480"/>
      </w:pPr>
      <w:bookmarkStart w:id="19" w:name="_Toc33794097"/>
      <w:bookmarkStart w:id="20" w:name="_Toc86997786"/>
      <w:r w:rsidRPr="00025F31">
        <w:lastRenderedPageBreak/>
        <w:t>Introduction</w:t>
      </w:r>
      <w:bookmarkEnd w:id="19"/>
      <w:bookmarkEnd w:id="20"/>
    </w:p>
    <w:p w14:paraId="260F9BDF" w14:textId="0FA918FA" w:rsidR="0004135D" w:rsidRDefault="00B2661E" w:rsidP="00025F31">
      <w:pPr>
        <w:ind w:left="720"/>
        <w:rPr>
          <w:rFonts w:cs="Arial"/>
          <w:color w:val="000000"/>
          <w:shd w:val="clear" w:color="auto" w:fill="FFFFFF"/>
        </w:rPr>
      </w:pPr>
      <w:r w:rsidRPr="00F64497">
        <w:rPr>
          <w:rStyle w:val="Heading4Char"/>
        </w:rPr>
        <w:t>Previous State Funding</w:t>
      </w:r>
      <w:r>
        <w:rPr>
          <w:rFonts w:cs="Arial"/>
          <w:color w:val="000000"/>
          <w:shd w:val="clear" w:color="auto" w:fill="FFFFFF"/>
        </w:rPr>
        <w:t xml:space="preserve"> </w:t>
      </w:r>
      <w:r w:rsidRPr="01A6F8F1">
        <w:rPr>
          <w:rFonts w:cs="Arial"/>
          <w:b/>
          <w:bCs/>
          <w:color w:val="000000"/>
          <w:shd w:val="clear" w:color="auto" w:fill="FFFFFF"/>
        </w:rPr>
        <w:t>for the Scaling</w:t>
      </w:r>
      <w:r w:rsidR="21EECEBD" w:rsidRPr="01A6F8F1">
        <w:rPr>
          <w:rFonts w:cs="Arial"/>
          <w:b/>
          <w:bCs/>
          <w:color w:val="000000"/>
          <w:shd w:val="clear" w:color="auto" w:fill="FFFFFF"/>
        </w:rPr>
        <w:t xml:space="preserve"> </w:t>
      </w:r>
      <w:r w:rsidRPr="01A6F8F1">
        <w:rPr>
          <w:rFonts w:cs="Arial"/>
          <w:b/>
          <w:bCs/>
          <w:color w:val="000000" w:themeColor="text1"/>
        </w:rPr>
        <w:t>Up Multi-</w:t>
      </w:r>
      <w:proofErr w:type="gramStart"/>
      <w:r w:rsidRPr="01A6F8F1">
        <w:rPr>
          <w:rFonts w:cs="Arial"/>
          <w:b/>
          <w:bCs/>
          <w:color w:val="000000" w:themeColor="text1"/>
        </w:rPr>
        <w:t>tiered</w:t>
      </w:r>
      <w:proofErr w:type="gramEnd"/>
      <w:r w:rsidRPr="01A6F8F1">
        <w:rPr>
          <w:rFonts w:cs="Arial"/>
          <w:b/>
          <w:bCs/>
          <w:color w:val="000000" w:themeColor="text1"/>
        </w:rPr>
        <w:t xml:space="preserve"> System of Support Statewide</w:t>
      </w:r>
      <w:r w:rsidR="00D464CD" w:rsidRPr="01A6F8F1">
        <w:rPr>
          <w:rFonts w:cs="Arial"/>
          <w:b/>
          <w:bCs/>
          <w:color w:val="000000"/>
          <w:shd w:val="clear" w:color="auto" w:fill="FFFFFF"/>
        </w:rPr>
        <w:t xml:space="preserve"> Grant Program</w:t>
      </w:r>
    </w:p>
    <w:p w14:paraId="2442969B" w14:textId="21F55804" w:rsidR="00D71848" w:rsidRDefault="00D71848" w:rsidP="00025F31">
      <w:pPr>
        <w:ind w:left="720"/>
        <w:rPr>
          <w:rFonts w:cs="Arial"/>
          <w:color w:val="000000"/>
          <w:shd w:val="clear" w:color="auto" w:fill="FFFFFF"/>
        </w:rPr>
      </w:pPr>
      <w:r w:rsidRPr="00D71848">
        <w:rPr>
          <w:rFonts w:cs="Arial"/>
          <w:color w:val="000000"/>
          <w:shd w:val="clear" w:color="auto" w:fill="FFFFFF"/>
        </w:rPr>
        <w:t>In 2015, Assembly Bill 104, Chapter 13, Statutes of 2015, appropriated $10</w:t>
      </w:r>
      <w:r w:rsidR="002D59C5">
        <w:rPr>
          <w:rFonts w:cs="Arial"/>
          <w:color w:val="000000"/>
          <w:shd w:val="clear" w:color="auto" w:fill="FFFFFF"/>
        </w:rPr>
        <w:t xml:space="preserve"> million</w:t>
      </w:r>
      <w:r w:rsidRPr="00D71848">
        <w:rPr>
          <w:rFonts w:cs="Arial"/>
          <w:color w:val="000000"/>
          <w:shd w:val="clear" w:color="auto" w:fill="FFFFFF"/>
        </w:rPr>
        <w:t xml:space="preserve"> for </w:t>
      </w:r>
      <w:r w:rsidR="0087467E" w:rsidRPr="00025F31">
        <w:rPr>
          <w:rFonts w:cs="Arial"/>
          <w:color w:val="000000"/>
          <w:shd w:val="clear" w:color="auto" w:fill="FFFFFF"/>
        </w:rPr>
        <w:t>Developing, Aligning, and Improving Systems of Academic and Behavioral Supports</w:t>
      </w:r>
      <w:r w:rsidRPr="00D71848">
        <w:rPr>
          <w:rFonts w:cs="Arial"/>
          <w:color w:val="000000"/>
          <w:shd w:val="clear" w:color="auto" w:fill="FFFFFF"/>
        </w:rPr>
        <w:t> (ISABS). The CDE conducted a competitive grant process and awarded the funds to the OCDE for their</w:t>
      </w:r>
      <w:r w:rsidR="007C0E73">
        <w:rPr>
          <w:rFonts w:cs="Arial"/>
          <w:color w:val="000000"/>
          <w:shd w:val="clear" w:color="auto" w:fill="FFFFFF"/>
        </w:rPr>
        <w:t xml:space="preserve"> Scaling</w:t>
      </w:r>
      <w:r w:rsidR="56654199">
        <w:rPr>
          <w:rFonts w:cs="Arial"/>
          <w:color w:val="000000"/>
          <w:shd w:val="clear" w:color="auto" w:fill="FFFFFF"/>
        </w:rPr>
        <w:t xml:space="preserve"> </w:t>
      </w:r>
      <w:r w:rsidR="007C0E73">
        <w:rPr>
          <w:rFonts w:cs="Arial"/>
          <w:color w:val="000000"/>
          <w:shd w:val="clear" w:color="auto" w:fill="FFFFFF"/>
        </w:rPr>
        <w:t>Up Multi-</w:t>
      </w:r>
      <w:proofErr w:type="gramStart"/>
      <w:r w:rsidR="007C0E73">
        <w:rPr>
          <w:rFonts w:cs="Arial"/>
          <w:color w:val="000000"/>
          <w:shd w:val="clear" w:color="auto" w:fill="FFFFFF"/>
        </w:rPr>
        <w:t>tiered</w:t>
      </w:r>
      <w:proofErr w:type="gramEnd"/>
      <w:r w:rsidR="007C0E73">
        <w:rPr>
          <w:rFonts w:cs="Arial"/>
          <w:color w:val="000000"/>
          <w:shd w:val="clear" w:color="auto" w:fill="FFFFFF"/>
        </w:rPr>
        <w:t xml:space="preserve"> System of Support </w:t>
      </w:r>
      <w:r w:rsidR="004867BF">
        <w:rPr>
          <w:rFonts w:cs="Arial"/>
          <w:color w:val="000000"/>
          <w:shd w:val="clear" w:color="auto" w:fill="FFFFFF"/>
        </w:rPr>
        <w:t xml:space="preserve">(MTSS) </w:t>
      </w:r>
      <w:r w:rsidR="007C0E73">
        <w:rPr>
          <w:rFonts w:cs="Arial"/>
          <w:color w:val="000000"/>
          <w:shd w:val="clear" w:color="auto" w:fill="FFFFFF"/>
        </w:rPr>
        <w:t>Statewide</w:t>
      </w:r>
      <w:r w:rsidRPr="00D71848">
        <w:rPr>
          <w:rFonts w:cs="Arial"/>
          <w:color w:val="000000"/>
          <w:shd w:val="clear" w:color="auto" w:fill="FFFFFF"/>
        </w:rPr>
        <w:t xml:space="preserve"> </w:t>
      </w:r>
      <w:r w:rsidR="007C0E73">
        <w:rPr>
          <w:rFonts w:cs="Arial"/>
          <w:color w:val="000000"/>
          <w:shd w:val="clear" w:color="auto" w:fill="FFFFFF"/>
        </w:rPr>
        <w:t>(</w:t>
      </w:r>
      <w:r w:rsidRPr="00D71848">
        <w:rPr>
          <w:rFonts w:cs="Arial"/>
          <w:color w:val="000000"/>
          <w:shd w:val="clear" w:color="auto" w:fill="FFFFFF"/>
        </w:rPr>
        <w:t>SUMS</w:t>
      </w:r>
      <w:r w:rsidR="007C0E73">
        <w:rPr>
          <w:rFonts w:cs="Arial"/>
          <w:color w:val="000000"/>
          <w:shd w:val="clear" w:color="auto" w:fill="FFFFFF"/>
        </w:rPr>
        <w:t>)</w:t>
      </w:r>
      <w:r w:rsidRPr="00D71848">
        <w:rPr>
          <w:rFonts w:cs="Arial"/>
          <w:color w:val="000000"/>
          <w:shd w:val="clear" w:color="auto" w:fill="FFFFFF"/>
        </w:rPr>
        <w:t xml:space="preserve"> proposal. In 2016, an additional $20</w:t>
      </w:r>
      <w:r w:rsidR="002D59C5">
        <w:rPr>
          <w:rFonts w:cs="Arial"/>
          <w:color w:val="000000"/>
          <w:shd w:val="clear" w:color="auto" w:fill="FFFFFF"/>
        </w:rPr>
        <w:t xml:space="preserve"> million</w:t>
      </w:r>
      <w:r w:rsidRPr="00D71848">
        <w:rPr>
          <w:rFonts w:cs="Arial"/>
          <w:color w:val="000000"/>
          <w:shd w:val="clear" w:color="auto" w:fill="FFFFFF"/>
        </w:rPr>
        <w:t>, appropriated by Senate Bill 828, Chapter 29, Statutes 2016, augmented the original grant award. The Budget Act of 2018 authorized an additional $15</w:t>
      </w:r>
      <w:r w:rsidR="002D59C5">
        <w:rPr>
          <w:rFonts w:cs="Arial"/>
          <w:color w:val="000000"/>
          <w:shd w:val="clear" w:color="auto" w:fill="FFFFFF"/>
        </w:rPr>
        <w:t xml:space="preserve"> million</w:t>
      </w:r>
      <w:r w:rsidRPr="00D71848">
        <w:rPr>
          <w:rFonts w:cs="Arial"/>
          <w:color w:val="000000"/>
          <w:shd w:val="clear" w:color="auto" w:fill="FFFFFF"/>
        </w:rPr>
        <w:t xml:space="preserve">, appropriated by AB 1808, Chapter 32, Statues of 2018 and SB 840, Chapter 29, Statutes of 2018. This phase of the grant </w:t>
      </w:r>
      <w:r w:rsidR="004800E2" w:rsidRPr="00D71848">
        <w:rPr>
          <w:rFonts w:cs="Arial"/>
          <w:color w:val="000000"/>
          <w:shd w:val="clear" w:color="auto" w:fill="FFFFFF"/>
        </w:rPr>
        <w:t>focuse</w:t>
      </w:r>
      <w:r w:rsidR="004800E2">
        <w:rPr>
          <w:rFonts w:cs="Arial"/>
          <w:color w:val="000000"/>
          <w:shd w:val="clear" w:color="auto" w:fill="FFFFFF"/>
        </w:rPr>
        <w:t>d</w:t>
      </w:r>
      <w:r w:rsidR="004800E2" w:rsidRPr="00D71848">
        <w:rPr>
          <w:rFonts w:cs="Arial"/>
          <w:color w:val="000000"/>
          <w:shd w:val="clear" w:color="auto" w:fill="FFFFFF"/>
        </w:rPr>
        <w:t xml:space="preserve"> </w:t>
      </w:r>
      <w:r w:rsidRPr="00D71848">
        <w:rPr>
          <w:rFonts w:cs="Arial"/>
          <w:color w:val="000000"/>
          <w:shd w:val="clear" w:color="auto" w:fill="FFFFFF"/>
        </w:rPr>
        <w:t>on improving school climate statewide. The purpose of the full $45</w:t>
      </w:r>
      <w:r w:rsidR="002D59C5">
        <w:rPr>
          <w:rFonts w:cs="Arial"/>
          <w:color w:val="000000"/>
          <w:shd w:val="clear" w:color="auto" w:fill="FFFFFF"/>
        </w:rPr>
        <w:t xml:space="preserve"> million</w:t>
      </w:r>
      <w:r w:rsidRPr="00D71848">
        <w:rPr>
          <w:rFonts w:cs="Arial"/>
          <w:color w:val="000000"/>
          <w:shd w:val="clear" w:color="auto" w:fill="FFFFFF"/>
        </w:rPr>
        <w:t xml:space="preserve"> </w:t>
      </w:r>
      <w:r w:rsidR="004800E2">
        <w:rPr>
          <w:rFonts w:cs="Arial"/>
          <w:color w:val="000000"/>
          <w:shd w:val="clear" w:color="auto" w:fill="FFFFFF"/>
        </w:rPr>
        <w:t>wa</w:t>
      </w:r>
      <w:r w:rsidRPr="00D71848">
        <w:rPr>
          <w:rFonts w:cs="Arial"/>
          <w:color w:val="000000"/>
          <w:shd w:val="clear" w:color="auto" w:fill="FFFFFF"/>
        </w:rPr>
        <w:t>s to encourage LEAs to establish and align schoolwide, data-driven systems of academic and behavioral supports to more effectively meet the needs of California’s diverse learners in the most inclusive environment. The SUMS initiative enables the OCDE to develop and disseminate statewide resources and technical assistance for this purpose.</w:t>
      </w:r>
    </w:p>
    <w:p w14:paraId="7BD6ACD2" w14:textId="0CE0EEB2" w:rsidR="00D71848" w:rsidRPr="00025F31" w:rsidRDefault="00D71848" w:rsidP="00D71848">
      <w:pPr>
        <w:ind w:left="720"/>
      </w:pPr>
      <w:r w:rsidRPr="00025F31">
        <w:t xml:space="preserve">For the first two funding phases of the SUMS grant, the OCDE subcontracted with the Schoolwide Integrated Framework for Transformation (SWIFT) Technical Assistance Center at the University of Kansas and the </w:t>
      </w:r>
      <w:r>
        <w:t>B</w:t>
      </w:r>
      <w:r w:rsidRPr="00025F31">
        <w:t xml:space="preserve">COE to partner with the SUMS effort. The </w:t>
      </w:r>
      <w:r w:rsidR="002D59C5">
        <w:t>B</w:t>
      </w:r>
      <w:r w:rsidRPr="00025F31">
        <w:t>COE shares SUMS professional learning resources through My Digital Chalkboard, and engages rural areas of the state to support their unique needs. SWIFT is a technical assistance center that builds school capacity to support all students both academically and behaviorally. The SWIFT staff supports the SUMS grant by providing technical assistance and professional learning opportunities to participating LEAs.</w:t>
      </w:r>
    </w:p>
    <w:p w14:paraId="75B0ECEC" w14:textId="681B192D" w:rsidR="00D71848" w:rsidRPr="00025F31" w:rsidRDefault="007D328F" w:rsidP="00D71848">
      <w:pPr>
        <w:ind w:left="720"/>
      </w:pPr>
      <w:r>
        <w:t>Beginning with t</w:t>
      </w:r>
      <w:r w:rsidR="00D71848" w:rsidRPr="00025F31">
        <w:t>he</w:t>
      </w:r>
      <w:r>
        <w:t xml:space="preserve"> initial grant awards, the</w:t>
      </w:r>
      <w:r w:rsidR="00D71848" w:rsidRPr="00025F31">
        <w:t xml:space="preserve"> OCDE </w:t>
      </w:r>
      <w:r>
        <w:t>and partners developed the California MTSS Framework and</w:t>
      </w:r>
      <w:r w:rsidR="00D71848" w:rsidRPr="00025F31">
        <w:t xml:space="preserve"> provided subgrants to LEAs to engage them in a process to assess their strengths, coordinate supports to their Local Control and Accountability Plans and align their MTSS efforts with the eight state priorities. T</w:t>
      </w:r>
      <w:r>
        <w:t>o date, t</w:t>
      </w:r>
      <w:r w:rsidR="00D71848" w:rsidRPr="00025F31">
        <w:t>he OCDE has distributed the grant funding into three separate cohorts with up to $6</w:t>
      </w:r>
      <w:r w:rsidR="002D59C5">
        <w:t xml:space="preserve"> million</w:t>
      </w:r>
      <w:r w:rsidR="00D71848" w:rsidRPr="00025F31">
        <w:t xml:space="preserve"> awarded in each round of applications.</w:t>
      </w:r>
    </w:p>
    <w:p w14:paraId="408582AA" w14:textId="69A03CF7" w:rsidR="00D71848" w:rsidRDefault="007D328F" w:rsidP="002D59C5">
      <w:pPr>
        <w:spacing w:after="480"/>
        <w:ind w:left="720"/>
      </w:pPr>
      <w:r>
        <w:t>T</w:t>
      </w:r>
      <w:r w:rsidR="00B2661E">
        <w:t>he $</w:t>
      </w:r>
      <w:r w:rsidR="00AE11DA">
        <w:t>15</w:t>
      </w:r>
      <w:r w:rsidR="002D59C5">
        <w:t xml:space="preserve"> million</w:t>
      </w:r>
      <w:r w:rsidR="00B2661E">
        <w:t xml:space="preserve"> appropriated in the </w:t>
      </w:r>
      <w:r w:rsidR="00B2661E" w:rsidRPr="00D71848">
        <w:rPr>
          <w:rFonts w:cs="Arial"/>
          <w:color w:val="000000"/>
          <w:shd w:val="clear" w:color="auto" w:fill="FFFFFF"/>
        </w:rPr>
        <w:t>Budget Act of 2018</w:t>
      </w:r>
      <w:r>
        <w:t xml:space="preserve"> initiated a partnership between the OCDE, the BCOE, and</w:t>
      </w:r>
      <w:r w:rsidR="00D71848" w:rsidRPr="00025F31">
        <w:t xml:space="preserve"> the University of California, Los Angeles</w:t>
      </w:r>
      <w:r w:rsidR="00124611">
        <w:t>,</w:t>
      </w:r>
      <w:r w:rsidR="00D71848" w:rsidRPr="00025F31">
        <w:t xml:space="preserve"> Center for the Transformation of Schools to expand the state's MTSS framework. Through this collaborative effort, they </w:t>
      </w:r>
      <w:r w:rsidR="00AE11DA" w:rsidRPr="00025F31">
        <w:t>develop</w:t>
      </w:r>
      <w:r w:rsidR="00AE11DA">
        <w:t>ed</w:t>
      </w:r>
      <w:r w:rsidR="00AE11DA" w:rsidRPr="00025F31">
        <w:t xml:space="preserve"> </w:t>
      </w:r>
      <w:r w:rsidR="00D71848" w:rsidRPr="00025F31">
        <w:t>evidence-based tools and training for educators and school systems. Th</w:t>
      </w:r>
      <w:r>
        <w:t>is</w:t>
      </w:r>
      <w:r w:rsidR="00D71848" w:rsidRPr="00025F31">
        <w:t xml:space="preserve"> work expand</w:t>
      </w:r>
      <w:r w:rsidR="00D71848">
        <w:t>s</w:t>
      </w:r>
      <w:r w:rsidR="00D71848" w:rsidRPr="00025F31">
        <w:t xml:space="preserve"> restorative justice, bullying prevention</w:t>
      </w:r>
      <w:r w:rsidR="00D71848">
        <w:t>,</w:t>
      </w:r>
      <w:r w:rsidR="00D71848" w:rsidRPr="00025F31">
        <w:t xml:space="preserve"> and positive </w:t>
      </w:r>
      <w:r w:rsidR="002D59C5" w:rsidRPr="00025F31">
        <w:t>behavior</w:t>
      </w:r>
      <w:r w:rsidR="002D59C5">
        <w:t>al</w:t>
      </w:r>
      <w:r w:rsidR="00D71848" w:rsidRPr="00025F31">
        <w:t xml:space="preserve"> interventions </w:t>
      </w:r>
      <w:r w:rsidR="00AE11DA">
        <w:t>to</w:t>
      </w:r>
      <w:r w:rsidR="00AE11DA" w:rsidRPr="00025F31">
        <w:t xml:space="preserve"> </w:t>
      </w:r>
      <w:r w:rsidR="00D71848" w:rsidRPr="00025F31">
        <w:t>minimize the use of emergency interventions.</w:t>
      </w:r>
      <w:r w:rsidR="009D5E4E">
        <w:t xml:space="preserve"> </w:t>
      </w:r>
      <w:r w:rsidR="00D71848" w:rsidRPr="00025F31">
        <w:t>Their joint effort</w:t>
      </w:r>
      <w:r w:rsidR="00D71848">
        <w:t>s</w:t>
      </w:r>
      <w:r w:rsidR="00D71848" w:rsidRPr="00025F31">
        <w:t xml:space="preserve"> also establish</w:t>
      </w:r>
      <w:r w:rsidR="00D71848">
        <w:t>ed</w:t>
      </w:r>
      <w:r w:rsidR="00D71848" w:rsidRPr="00025F31">
        <w:t xml:space="preserve"> a pilot program to help LEAs to promote positive school climates by improving </w:t>
      </w:r>
      <w:r w:rsidR="00D71848" w:rsidRPr="00025F31">
        <w:lastRenderedPageBreak/>
        <w:t>student-teacher relationships, increasing student engagement, and promoting alternative discipline practices.</w:t>
      </w:r>
    </w:p>
    <w:p w14:paraId="75EA9560" w14:textId="11D230A6" w:rsidR="00B2661E" w:rsidRDefault="00B2661E" w:rsidP="00025F31">
      <w:pPr>
        <w:ind w:left="720"/>
      </w:pPr>
      <w:r w:rsidRPr="00B2661E">
        <w:rPr>
          <w:rStyle w:val="Heading4Char"/>
        </w:rPr>
        <w:t>Current State Funding</w:t>
      </w:r>
      <w:r>
        <w:rPr>
          <w:rFonts w:cs="Arial"/>
          <w:color w:val="000000"/>
          <w:shd w:val="clear" w:color="auto" w:fill="FFFFFF"/>
        </w:rPr>
        <w:t xml:space="preserve"> </w:t>
      </w:r>
      <w:r w:rsidRPr="01A6F8F1">
        <w:rPr>
          <w:rFonts w:cs="Arial"/>
          <w:b/>
          <w:bCs/>
          <w:color w:val="000000"/>
          <w:shd w:val="clear" w:color="auto" w:fill="FFFFFF"/>
        </w:rPr>
        <w:t>for the Scaling</w:t>
      </w:r>
      <w:r w:rsidR="26428AE7" w:rsidRPr="01A6F8F1">
        <w:rPr>
          <w:rFonts w:cs="Arial"/>
          <w:b/>
          <w:bCs/>
          <w:color w:val="000000"/>
          <w:shd w:val="clear" w:color="auto" w:fill="FFFFFF"/>
        </w:rPr>
        <w:t xml:space="preserve"> </w:t>
      </w:r>
      <w:r w:rsidRPr="01A6F8F1">
        <w:rPr>
          <w:rFonts w:cs="Arial"/>
          <w:b/>
          <w:bCs/>
          <w:color w:val="000000"/>
          <w:shd w:val="clear" w:color="auto" w:fill="FFFFFF"/>
        </w:rPr>
        <w:t>Up Multi-</w:t>
      </w:r>
      <w:proofErr w:type="gramStart"/>
      <w:r w:rsidRPr="01A6F8F1">
        <w:rPr>
          <w:rFonts w:cs="Arial"/>
          <w:b/>
          <w:bCs/>
          <w:color w:val="000000"/>
          <w:shd w:val="clear" w:color="auto" w:fill="FFFFFF"/>
        </w:rPr>
        <w:t>tiered</w:t>
      </w:r>
      <w:proofErr w:type="gramEnd"/>
      <w:r w:rsidRPr="01A6F8F1">
        <w:rPr>
          <w:rFonts w:cs="Arial"/>
          <w:b/>
          <w:bCs/>
          <w:color w:val="000000"/>
          <w:shd w:val="clear" w:color="auto" w:fill="FFFFFF"/>
        </w:rPr>
        <w:t xml:space="preserve"> System of Support Statewide</w:t>
      </w:r>
    </w:p>
    <w:p w14:paraId="500C17EF" w14:textId="6275A67D" w:rsidR="00D71848" w:rsidRPr="00025F31" w:rsidRDefault="005B2B9A" w:rsidP="002D59C5">
      <w:pPr>
        <w:spacing w:after="480"/>
        <w:ind w:left="720"/>
      </w:pPr>
      <w:r>
        <w:t>In an effort</w:t>
      </w:r>
      <w:r w:rsidR="0087467E" w:rsidRPr="0087467E">
        <w:t xml:space="preserve"> to expand the state’s capacity to support </w:t>
      </w:r>
      <w:r w:rsidR="0087467E">
        <w:t>LEAs</w:t>
      </w:r>
      <w:r w:rsidR="0087467E" w:rsidRPr="0087467E">
        <w:t xml:space="preserve">’ implementation of </w:t>
      </w:r>
      <w:r w:rsidR="0087467E">
        <w:t>SE</w:t>
      </w:r>
      <w:r w:rsidR="003553FF">
        <w:t>L;</w:t>
      </w:r>
      <w:r w:rsidR="0087467E" w:rsidRPr="0087467E">
        <w:t xml:space="preserve"> trauma-informed practices</w:t>
      </w:r>
      <w:r w:rsidR="003553FF">
        <w:t>;</w:t>
      </w:r>
      <w:r w:rsidR="0087467E" w:rsidRPr="0087467E">
        <w:t xml:space="preserve"> and culturally relevant, affirming, and sustaining practices, </w:t>
      </w:r>
      <w:r w:rsidR="0087467E">
        <w:t>as part of an MTSS</w:t>
      </w:r>
      <w:r>
        <w:t xml:space="preserve">, the </w:t>
      </w:r>
      <w:r w:rsidR="00CB3B1F">
        <w:t>CDE</w:t>
      </w:r>
      <w:r w:rsidR="009D5E4E">
        <w:t xml:space="preserve"> seeks a SUMS Partner Entity that </w:t>
      </w:r>
      <w:r w:rsidR="00AE11DA">
        <w:t xml:space="preserve">will </w:t>
      </w:r>
      <w:r w:rsidR="009D5E4E">
        <w:t xml:space="preserve">support the OCDE and the BCOE </w:t>
      </w:r>
      <w:r w:rsidR="00AE11DA">
        <w:t>to</w:t>
      </w:r>
      <w:r w:rsidR="009D5E4E" w:rsidRPr="00E2685D">
        <w:rPr>
          <w:rFonts w:cs="Arial"/>
          <w:szCs w:val="24"/>
        </w:rPr>
        <w:t xml:space="preserve"> ensure systems alignment </w:t>
      </w:r>
      <w:r w:rsidR="009D5E4E">
        <w:rPr>
          <w:rFonts w:cs="Arial"/>
          <w:szCs w:val="24"/>
        </w:rPr>
        <w:t xml:space="preserve">to work previously accomplished through the SUMS initiative </w:t>
      </w:r>
      <w:r w:rsidR="009D5E4E" w:rsidRPr="00E2685D">
        <w:rPr>
          <w:rFonts w:cs="Arial"/>
          <w:szCs w:val="24"/>
        </w:rPr>
        <w:t>and directly impact classroom instruction/practitioner</w:t>
      </w:r>
      <w:r w:rsidR="009D5E4E">
        <w:rPr>
          <w:rFonts w:cs="Arial"/>
          <w:szCs w:val="24"/>
        </w:rPr>
        <w:t xml:space="preserve"> through high</w:t>
      </w:r>
      <w:r w:rsidR="007D328F">
        <w:rPr>
          <w:rFonts w:cs="Arial"/>
          <w:szCs w:val="24"/>
        </w:rPr>
        <w:t xml:space="preserve"> </w:t>
      </w:r>
      <w:r w:rsidR="009D5E4E">
        <w:rPr>
          <w:rFonts w:cs="Arial"/>
          <w:szCs w:val="24"/>
        </w:rPr>
        <w:t xml:space="preserve">quality professional learning. </w:t>
      </w:r>
      <w:r w:rsidR="00AE11DA">
        <w:rPr>
          <w:rFonts w:cs="Arial"/>
          <w:szCs w:val="24"/>
        </w:rPr>
        <w:t xml:space="preserve">Up to </w:t>
      </w:r>
      <w:r w:rsidR="00AE11DA" w:rsidRPr="006C0E5D">
        <w:rPr>
          <w:rFonts w:cs="Arial"/>
          <w:szCs w:val="24"/>
        </w:rPr>
        <w:t>$</w:t>
      </w:r>
      <w:r w:rsidR="006C0E5D" w:rsidRPr="006C0E5D">
        <w:rPr>
          <w:rFonts w:cs="Arial"/>
          <w:szCs w:val="24"/>
        </w:rPr>
        <w:t>12.5</w:t>
      </w:r>
      <w:r w:rsidR="002D59C5" w:rsidRPr="006C0E5D">
        <w:rPr>
          <w:rFonts w:cs="Arial"/>
          <w:szCs w:val="24"/>
        </w:rPr>
        <w:t xml:space="preserve"> million</w:t>
      </w:r>
      <w:r w:rsidR="00AE11DA">
        <w:rPr>
          <w:rFonts w:cs="Arial"/>
          <w:szCs w:val="24"/>
        </w:rPr>
        <w:t xml:space="preserve"> will be appropriated for this purpose.</w:t>
      </w:r>
      <w:r w:rsidR="00CB3B1F">
        <w:t xml:space="preserve"> </w:t>
      </w:r>
    </w:p>
    <w:p w14:paraId="39FAEC6A" w14:textId="77777777" w:rsidR="00580D60" w:rsidRDefault="00580D60" w:rsidP="00BD3742">
      <w:pPr>
        <w:pStyle w:val="Heading3"/>
      </w:pPr>
      <w:bookmarkStart w:id="21" w:name="_Toc86997787"/>
      <w:r>
        <w:t>Background</w:t>
      </w:r>
      <w:bookmarkEnd w:id="21"/>
    </w:p>
    <w:p w14:paraId="6A4C6B88" w14:textId="77777777" w:rsidR="00DE016C" w:rsidRPr="00F21740" w:rsidRDefault="007743BF" w:rsidP="0014679F">
      <w:pPr>
        <w:ind w:left="720"/>
        <w:rPr>
          <w:rFonts w:cs="Arial"/>
          <w:color w:val="000000"/>
        </w:rPr>
      </w:pPr>
      <w:r w:rsidRPr="00F21740">
        <w:rPr>
          <w:rFonts w:cs="Arial"/>
          <w:color w:val="000000"/>
        </w:rPr>
        <w:t>In the last decade, educators in California have shifted their focus</w:t>
      </w:r>
      <w:r w:rsidR="00C94990">
        <w:rPr>
          <w:rFonts w:cs="Arial"/>
          <w:color w:val="000000"/>
        </w:rPr>
        <w:t xml:space="preserve"> from one primarily</w:t>
      </w:r>
      <w:r w:rsidRPr="00F21740">
        <w:rPr>
          <w:rFonts w:cs="Arial"/>
          <w:color w:val="000000"/>
        </w:rPr>
        <w:t xml:space="preserve"> on </w:t>
      </w:r>
      <w:r w:rsidR="000C5DAE" w:rsidRPr="00F21740">
        <w:rPr>
          <w:rFonts w:cs="Arial"/>
          <w:color w:val="000000"/>
        </w:rPr>
        <w:t>“</w:t>
      </w:r>
      <w:r w:rsidRPr="00F21740">
        <w:rPr>
          <w:rFonts w:cs="Arial"/>
          <w:color w:val="000000"/>
        </w:rPr>
        <w:t>academics only</w:t>
      </w:r>
      <w:r w:rsidR="000C5DAE" w:rsidRPr="00F21740">
        <w:rPr>
          <w:rFonts w:cs="Arial"/>
          <w:color w:val="000000"/>
        </w:rPr>
        <w:t>”</w:t>
      </w:r>
      <w:r w:rsidRPr="00F21740">
        <w:rPr>
          <w:rFonts w:cs="Arial"/>
          <w:color w:val="000000"/>
        </w:rPr>
        <w:t xml:space="preserve"> to </w:t>
      </w:r>
      <w:r w:rsidR="00184A0E">
        <w:rPr>
          <w:rFonts w:cs="Arial"/>
          <w:color w:val="000000"/>
        </w:rPr>
        <w:t>a</w:t>
      </w:r>
      <w:r w:rsidRPr="00F21740">
        <w:rPr>
          <w:rFonts w:cs="Arial"/>
          <w:color w:val="000000"/>
        </w:rPr>
        <w:t xml:space="preserve"> whole child</w:t>
      </w:r>
      <w:r w:rsidR="00184A0E">
        <w:rPr>
          <w:rFonts w:cs="Arial"/>
          <w:color w:val="000000"/>
        </w:rPr>
        <w:t xml:space="preserve"> approach</w:t>
      </w:r>
      <w:r w:rsidRPr="00F21740">
        <w:rPr>
          <w:rFonts w:cs="Arial"/>
          <w:color w:val="000000"/>
        </w:rPr>
        <w:t>.</w:t>
      </w:r>
      <w:r w:rsidR="0096090A">
        <w:rPr>
          <w:rStyle w:val="FootnoteReference"/>
          <w:rFonts w:cs="Arial"/>
          <w:color w:val="000000"/>
        </w:rPr>
        <w:footnoteReference w:id="4"/>
      </w:r>
      <w:r w:rsidRPr="00F21740">
        <w:rPr>
          <w:rFonts w:cs="Arial"/>
          <w:color w:val="000000"/>
        </w:rPr>
        <w:t xml:space="preserve"> </w:t>
      </w:r>
      <w:r w:rsidR="00254B34" w:rsidRPr="00F21740">
        <w:rPr>
          <w:rFonts w:cs="Arial"/>
          <w:color w:val="000000"/>
        </w:rPr>
        <w:t>A growing body of research shows that school climate strongly influences students' motivation to learn and</w:t>
      </w:r>
      <w:r w:rsidR="00E87D50" w:rsidRPr="00F21740">
        <w:rPr>
          <w:rFonts w:cs="Arial"/>
          <w:color w:val="000000"/>
        </w:rPr>
        <w:t xml:space="preserve"> a positive school climate can</w:t>
      </w:r>
      <w:r w:rsidR="00254B34" w:rsidRPr="00F21740">
        <w:rPr>
          <w:rFonts w:cs="Arial"/>
          <w:color w:val="000000"/>
        </w:rPr>
        <w:t xml:space="preserve"> improve academic achievement. When school members feel safe, valued, cared for, respected, and engaged, learning increases. Schools that provide students with support to meet these basic needs allow them to grow socially and emotionally and avoid problems ranging from emotional distress to drug use to violence—in addition to helping them achieve academically.</w:t>
      </w:r>
      <w:r w:rsidR="00EE7876" w:rsidRPr="00EE7876">
        <w:rPr>
          <w:rStyle w:val="FootnoteReference"/>
          <w:rFonts w:cs="Arial"/>
          <w:color w:val="000000"/>
        </w:rPr>
        <w:t xml:space="preserve"> </w:t>
      </w:r>
      <w:r w:rsidR="00EE7876">
        <w:rPr>
          <w:rStyle w:val="FootnoteReference"/>
          <w:rFonts w:cs="Arial"/>
          <w:color w:val="000000"/>
        </w:rPr>
        <w:footnoteReference w:id="5"/>
      </w:r>
      <w:r w:rsidR="00872AF7" w:rsidRPr="00F21740">
        <w:rPr>
          <w:rFonts w:cs="Arial"/>
          <w:color w:val="000000"/>
        </w:rPr>
        <w:t xml:space="preserve"> </w:t>
      </w:r>
    </w:p>
    <w:p w14:paraId="061AD40E" w14:textId="26BB8F64" w:rsidR="00DE0DCA" w:rsidRPr="00025F31" w:rsidRDefault="00374AC1" w:rsidP="00F21740">
      <w:pPr>
        <w:ind w:left="720"/>
        <w:rPr>
          <w:rFonts w:cs="Arial"/>
          <w:strike/>
          <w:color w:val="000000"/>
          <w:szCs w:val="24"/>
        </w:rPr>
      </w:pPr>
      <w:r w:rsidRPr="00025F31">
        <w:rPr>
          <w:rFonts w:cs="Arial"/>
          <w:color w:val="000000"/>
          <w:szCs w:val="24"/>
        </w:rPr>
        <w:t>As part of that shift, t</w:t>
      </w:r>
      <w:r w:rsidR="006514A8" w:rsidRPr="00025F31">
        <w:rPr>
          <w:rFonts w:cs="Arial"/>
          <w:color w:val="000000"/>
          <w:szCs w:val="24"/>
        </w:rPr>
        <w:t xml:space="preserve">he </w:t>
      </w:r>
      <w:r w:rsidR="00C73F41" w:rsidRPr="00025F31">
        <w:rPr>
          <w:rFonts w:cs="Arial"/>
          <w:color w:val="000000"/>
          <w:szCs w:val="24"/>
        </w:rPr>
        <w:t>CDE</w:t>
      </w:r>
      <w:r w:rsidR="00B90E31" w:rsidRPr="00025F31">
        <w:rPr>
          <w:rFonts w:cs="Arial"/>
          <w:color w:val="000000"/>
          <w:szCs w:val="24"/>
        </w:rPr>
        <w:t xml:space="preserve"> </w:t>
      </w:r>
      <w:r w:rsidR="0083148B" w:rsidRPr="00025F31">
        <w:rPr>
          <w:rFonts w:cs="Arial"/>
          <w:color w:val="000000"/>
          <w:szCs w:val="24"/>
        </w:rPr>
        <w:t>has provided resources to support the field with implementing a whole child approach through SEL</w:t>
      </w:r>
      <w:r w:rsidR="00F417FB">
        <w:rPr>
          <w:rFonts w:cs="Arial"/>
          <w:color w:val="000000"/>
          <w:szCs w:val="24"/>
        </w:rPr>
        <w:t>;</w:t>
      </w:r>
      <w:r w:rsidR="0083148B" w:rsidRPr="00025F31">
        <w:rPr>
          <w:rFonts w:cs="Arial"/>
          <w:color w:val="000000"/>
          <w:szCs w:val="24"/>
        </w:rPr>
        <w:t xml:space="preserve"> trauma-informed practices</w:t>
      </w:r>
      <w:r w:rsidR="00F417FB">
        <w:rPr>
          <w:rFonts w:cs="Arial"/>
          <w:color w:val="000000"/>
          <w:szCs w:val="24"/>
        </w:rPr>
        <w:t>;</w:t>
      </w:r>
      <w:r w:rsidR="0083148B" w:rsidRPr="00025F31">
        <w:rPr>
          <w:rFonts w:cs="Arial"/>
          <w:color w:val="000000"/>
          <w:szCs w:val="24"/>
        </w:rPr>
        <w:t xml:space="preserve"> and culturally relevant, affirming, and sustaining practices</w:t>
      </w:r>
      <w:r w:rsidR="00B063E6">
        <w:rPr>
          <w:rFonts w:cs="Arial"/>
          <w:color w:val="000000"/>
          <w:szCs w:val="24"/>
        </w:rPr>
        <w:t>;</w:t>
      </w:r>
      <w:r w:rsidR="00E021C5">
        <w:rPr>
          <w:rFonts w:cs="Arial"/>
          <w:color w:val="000000"/>
          <w:szCs w:val="24"/>
        </w:rPr>
        <w:t xml:space="preserve"> with a focus on equity</w:t>
      </w:r>
      <w:r w:rsidRPr="00025F31">
        <w:rPr>
          <w:rFonts w:cs="Arial"/>
          <w:color w:val="000000"/>
          <w:szCs w:val="24"/>
        </w:rPr>
        <w:t>.</w:t>
      </w:r>
      <w:r w:rsidR="00DE0DCA" w:rsidRPr="00025F31" w:rsidDel="001C5441">
        <w:rPr>
          <w:rFonts w:cs="Arial"/>
          <w:strike/>
          <w:color w:val="000000"/>
          <w:szCs w:val="24"/>
        </w:rPr>
        <w:t xml:space="preserve"> </w:t>
      </w:r>
    </w:p>
    <w:p w14:paraId="490BE881" w14:textId="08388BBF" w:rsidR="00D96253" w:rsidRDefault="00D96253" w:rsidP="009F6D10">
      <w:pPr>
        <w:ind w:left="720"/>
      </w:pPr>
      <w:r w:rsidRPr="00025F31">
        <w:rPr>
          <w:rFonts w:cs="Arial"/>
          <w:szCs w:val="24"/>
        </w:rPr>
        <w:t>In 2017, the CDE</w:t>
      </w:r>
      <w:r w:rsidR="00B063E6">
        <w:rPr>
          <w:rFonts w:cs="Arial"/>
          <w:szCs w:val="24"/>
        </w:rPr>
        <w:t xml:space="preserve"> facilitated the California</w:t>
      </w:r>
      <w:r w:rsidRPr="00025F31">
        <w:rPr>
          <w:rFonts w:cs="Arial"/>
          <w:szCs w:val="24"/>
        </w:rPr>
        <w:t xml:space="preserve"> SEL </w:t>
      </w:r>
      <w:r w:rsidR="00B063E6">
        <w:rPr>
          <w:rFonts w:cs="Arial"/>
          <w:szCs w:val="24"/>
        </w:rPr>
        <w:t xml:space="preserve">State </w:t>
      </w:r>
      <w:r w:rsidRPr="00025F31">
        <w:rPr>
          <w:rFonts w:cs="Arial"/>
          <w:szCs w:val="24"/>
        </w:rPr>
        <w:t>Team (a work group of practitioners, scholars, and leaders from</w:t>
      </w:r>
      <w:r w:rsidRPr="00D96253">
        <w:t xml:space="preserve"> across the state) </w:t>
      </w:r>
      <w:r w:rsidR="00B063E6">
        <w:t xml:space="preserve">and </w:t>
      </w:r>
      <w:r w:rsidRPr="00D96253">
        <w:t>developed the </w:t>
      </w:r>
      <w:r w:rsidR="00DE0DCA" w:rsidRPr="00025F31">
        <w:rPr>
          <w:i/>
        </w:rPr>
        <w:t>California SEL Guiding Principles</w:t>
      </w:r>
      <w:r w:rsidRPr="00D96253">
        <w:t xml:space="preserve">, which affirmed SEL as “an essential part of a well-rounded, quality education in all youth-serving settings.” In addition to creating the Guiding Principles, the SEL </w:t>
      </w:r>
      <w:r w:rsidR="00B063E6">
        <w:t xml:space="preserve">State </w:t>
      </w:r>
      <w:r w:rsidRPr="00D96253">
        <w:t xml:space="preserve">Team generated a suite of recommendations that called for the development of voluntary practice guidelines </w:t>
      </w:r>
      <w:r w:rsidRPr="00D96253">
        <w:lastRenderedPageBreak/>
        <w:t>that spoke explicitly to California’s diverse regional, cultural, racial, linguistic, and socioeconomic contexts.</w:t>
      </w:r>
    </w:p>
    <w:p w14:paraId="55884917" w14:textId="4C0A38E5" w:rsidR="00D96253" w:rsidRPr="00D96253" w:rsidRDefault="00D96253" w:rsidP="01A6F8F1">
      <w:pPr>
        <w:ind w:left="720"/>
        <w:rPr>
          <w:rFonts w:eastAsia="Calibri" w:cs="Arial"/>
        </w:rPr>
      </w:pPr>
      <w:r w:rsidRPr="01A6F8F1">
        <w:rPr>
          <w:rFonts w:eastAsia="Calibri" w:cs="Arial"/>
        </w:rPr>
        <w:t xml:space="preserve">In early 2020, State Superintendent of Public Instruction (SSPI) Tony Thurmond, First Partner Jennifer Siebel Newsom, and State Board of Education </w:t>
      </w:r>
      <w:r w:rsidR="00083C72">
        <w:rPr>
          <w:rFonts w:eastAsia="Calibri" w:cs="Arial"/>
        </w:rPr>
        <w:t xml:space="preserve">(SBE) </w:t>
      </w:r>
      <w:r w:rsidRPr="01A6F8F1">
        <w:rPr>
          <w:rFonts w:eastAsia="Calibri" w:cs="Arial"/>
        </w:rPr>
        <w:t>President Linda Darling-Hammond launched the Advance SEL in California Campaign. The initiative engaged diverse California education stakeholders to gather perspectives on SEL practices, needs, and goals. The project culminated with a </w:t>
      </w:r>
      <w:r w:rsidR="007302AB" w:rsidRPr="01A6F8F1">
        <w:rPr>
          <w:rFonts w:eastAsia="Calibri" w:cs="Arial"/>
        </w:rPr>
        <w:t>report</w:t>
      </w:r>
      <w:r w:rsidRPr="01A6F8F1">
        <w:rPr>
          <w:rFonts w:eastAsia="Calibri" w:cs="Arial"/>
        </w:rPr>
        <w:t xml:space="preserve"> (informed by the participation of nearly 2,000 educators, students, parents, and community members) on the status of SEL in California, with recommendations for how teachers, school leaders, and families across the state can address the social and emotional needs of students. </w:t>
      </w:r>
      <w:r w:rsidR="001329A0" w:rsidRPr="01A6F8F1">
        <w:rPr>
          <w:rFonts w:eastAsia="Calibri" w:cs="Arial"/>
        </w:rPr>
        <w:t xml:space="preserve">The report </w:t>
      </w:r>
      <w:r w:rsidR="00E021C5" w:rsidRPr="01A6F8F1">
        <w:rPr>
          <w:rFonts w:eastAsia="Calibri" w:cs="Arial"/>
        </w:rPr>
        <w:t>is available</w:t>
      </w:r>
      <w:r w:rsidR="007302AB" w:rsidRPr="01A6F8F1">
        <w:rPr>
          <w:rFonts w:eastAsia="Calibri" w:cs="Arial"/>
        </w:rPr>
        <w:t xml:space="preserve"> on Education First’s website at </w:t>
      </w:r>
      <w:hyperlink r:id="rId20" w:tooltip="Advance SEL in California Campaign FInal Report and Recommendations">
        <w:r w:rsidR="007302AB" w:rsidRPr="01A6F8F1">
          <w:rPr>
            <w:rStyle w:val="Hyperlink"/>
            <w:rFonts w:eastAsia="Calibri" w:cs="Arial"/>
          </w:rPr>
          <w:t>https://education-first.com/library/publication/advance-sel-in-california-final-report-and-recommendations/</w:t>
        </w:r>
      </w:hyperlink>
      <w:r w:rsidR="007302AB" w:rsidRPr="01A6F8F1">
        <w:rPr>
          <w:rFonts w:eastAsia="Calibri" w:cs="Arial"/>
        </w:rPr>
        <w:t>.</w:t>
      </w:r>
    </w:p>
    <w:p w14:paraId="1D4E98FB" w14:textId="49F987CF" w:rsidR="00D96253" w:rsidRPr="00D96253" w:rsidRDefault="00D96253" w:rsidP="00025F31">
      <w:pPr>
        <w:ind w:left="720"/>
        <w:rPr>
          <w:rFonts w:eastAsia="Calibri" w:cs="Arial"/>
          <w:szCs w:val="24"/>
        </w:rPr>
      </w:pPr>
      <w:r w:rsidRPr="00D96253">
        <w:rPr>
          <w:rFonts w:eastAsia="Calibri" w:cs="Arial"/>
          <w:szCs w:val="24"/>
        </w:rPr>
        <w:t xml:space="preserve">To implement the recommendations made by the first </w:t>
      </w:r>
      <w:r w:rsidR="00B063E6">
        <w:rPr>
          <w:rFonts w:eastAsia="Calibri" w:cs="Arial"/>
          <w:szCs w:val="24"/>
        </w:rPr>
        <w:t>California</w:t>
      </w:r>
      <w:r w:rsidRPr="00D96253">
        <w:rPr>
          <w:rFonts w:eastAsia="Calibri" w:cs="Arial"/>
          <w:szCs w:val="24"/>
        </w:rPr>
        <w:t xml:space="preserve"> SEL State Team and those contained in the Advance SEL report, the CDE convened a new </w:t>
      </w:r>
      <w:r w:rsidR="00A61B63" w:rsidRPr="00025F31">
        <w:rPr>
          <w:rFonts w:eastAsia="Calibri" w:cs="Arial"/>
          <w:szCs w:val="24"/>
        </w:rPr>
        <w:t xml:space="preserve">SEL </w:t>
      </w:r>
      <w:r w:rsidR="00083C72">
        <w:rPr>
          <w:rFonts w:eastAsia="Calibri" w:cs="Arial"/>
          <w:szCs w:val="24"/>
        </w:rPr>
        <w:t>w</w:t>
      </w:r>
      <w:r w:rsidR="00A61B63" w:rsidRPr="00025F31">
        <w:rPr>
          <w:rFonts w:eastAsia="Calibri" w:cs="Arial"/>
          <w:szCs w:val="24"/>
        </w:rPr>
        <w:t xml:space="preserve">ork </w:t>
      </w:r>
      <w:r w:rsidR="00083C72">
        <w:rPr>
          <w:rFonts w:eastAsia="Calibri" w:cs="Arial"/>
          <w:szCs w:val="24"/>
        </w:rPr>
        <w:t>g</w:t>
      </w:r>
      <w:r w:rsidR="00A61B63" w:rsidRPr="00025F31">
        <w:rPr>
          <w:rFonts w:eastAsia="Calibri" w:cs="Arial"/>
          <w:szCs w:val="24"/>
        </w:rPr>
        <w:t>roup</w:t>
      </w:r>
      <w:r w:rsidRPr="00D96253">
        <w:rPr>
          <w:rFonts w:eastAsia="Calibri" w:cs="Arial"/>
          <w:szCs w:val="24"/>
        </w:rPr>
        <w:t> in 2020.</w:t>
      </w:r>
      <w:r w:rsidR="00A61B63">
        <w:rPr>
          <w:rFonts w:eastAsia="Calibri" w:cs="Arial"/>
          <w:szCs w:val="24"/>
        </w:rPr>
        <w:t xml:space="preserve"> </w:t>
      </w:r>
      <w:r w:rsidRPr="00D96253">
        <w:rPr>
          <w:rFonts w:eastAsia="Calibri" w:cs="Arial"/>
          <w:szCs w:val="24"/>
        </w:rPr>
        <w:t>Over the course of more than a year, the 2020 CDE SEL Work Group developed three core products</w:t>
      </w:r>
      <w:r w:rsidR="00A61B63">
        <w:rPr>
          <w:rFonts w:eastAsia="Calibri" w:cs="Arial"/>
          <w:szCs w:val="24"/>
        </w:rPr>
        <w:t xml:space="preserve"> (</w:t>
      </w:r>
      <w:r w:rsidR="00E021C5">
        <w:rPr>
          <w:rFonts w:eastAsia="Calibri" w:cs="Arial"/>
          <w:szCs w:val="24"/>
        </w:rPr>
        <w:t>available</w:t>
      </w:r>
      <w:r w:rsidR="00A61B63">
        <w:rPr>
          <w:rFonts w:eastAsia="Calibri" w:cs="Arial"/>
          <w:szCs w:val="24"/>
        </w:rPr>
        <w:t xml:space="preserve"> on the CDE Transformative SEL Competencies and Conditions for Thriving web page at </w:t>
      </w:r>
      <w:hyperlink r:id="rId21" w:tooltip="Transformative SEL Competencies and Conditions for Thriving" w:history="1">
        <w:r w:rsidR="00A61B63" w:rsidRPr="00885CD7">
          <w:rPr>
            <w:rStyle w:val="Hyperlink"/>
            <w:rFonts w:eastAsia="Calibri" w:cs="Arial"/>
            <w:szCs w:val="24"/>
          </w:rPr>
          <w:t>https://www.cde.ca.gov/ci/se/tsel.asp</w:t>
        </w:r>
      </w:hyperlink>
      <w:r w:rsidR="00A61B63">
        <w:rPr>
          <w:rFonts w:eastAsia="Calibri" w:cs="Arial"/>
          <w:szCs w:val="24"/>
        </w:rPr>
        <w:t>)</w:t>
      </w:r>
      <w:r w:rsidRPr="00D96253">
        <w:rPr>
          <w:rFonts w:eastAsia="Calibri" w:cs="Arial"/>
          <w:szCs w:val="24"/>
        </w:rPr>
        <w:t>:</w:t>
      </w:r>
    </w:p>
    <w:p w14:paraId="6B4F879C" w14:textId="534B6F1F" w:rsidR="00D96253" w:rsidRPr="00D96253" w:rsidRDefault="00A61B63" w:rsidP="00F3214B">
      <w:pPr>
        <w:numPr>
          <w:ilvl w:val="0"/>
          <w:numId w:val="30"/>
        </w:numPr>
        <w:tabs>
          <w:tab w:val="num" w:pos="720"/>
        </w:tabs>
        <w:spacing w:after="0"/>
        <w:ind w:firstLine="90"/>
        <w:rPr>
          <w:rFonts w:eastAsia="Calibri" w:cs="Arial"/>
          <w:szCs w:val="24"/>
        </w:rPr>
      </w:pPr>
      <w:r w:rsidRPr="00025F31">
        <w:rPr>
          <w:rFonts w:eastAsia="Calibri" w:cs="Arial"/>
          <w:szCs w:val="24"/>
        </w:rPr>
        <w:t>Kindergarten–Adult Transformative SEL Competencies</w:t>
      </w:r>
      <w:r>
        <w:rPr>
          <w:rFonts w:eastAsia="Calibri" w:cs="Arial"/>
          <w:szCs w:val="24"/>
        </w:rPr>
        <w:t xml:space="preserve"> </w:t>
      </w:r>
    </w:p>
    <w:p w14:paraId="65124EE0" w14:textId="77CDB75E" w:rsidR="00D96253" w:rsidRPr="00D96253" w:rsidRDefault="00A61B63" w:rsidP="00F3214B">
      <w:pPr>
        <w:numPr>
          <w:ilvl w:val="0"/>
          <w:numId w:val="30"/>
        </w:numPr>
        <w:tabs>
          <w:tab w:val="num" w:pos="720"/>
        </w:tabs>
        <w:spacing w:after="0"/>
        <w:ind w:firstLine="90"/>
        <w:rPr>
          <w:rFonts w:eastAsia="Calibri" w:cs="Arial"/>
          <w:szCs w:val="24"/>
        </w:rPr>
      </w:pPr>
      <w:r w:rsidRPr="00025F31">
        <w:rPr>
          <w:rFonts w:eastAsia="Calibri" w:cs="Arial"/>
          <w:szCs w:val="24"/>
        </w:rPr>
        <w:t>Transformative SEL Conditions for Thriving</w:t>
      </w:r>
      <w:r>
        <w:rPr>
          <w:rFonts w:eastAsia="Calibri" w:cs="Arial"/>
          <w:szCs w:val="24"/>
        </w:rPr>
        <w:t xml:space="preserve"> </w:t>
      </w:r>
    </w:p>
    <w:p w14:paraId="0A68D419" w14:textId="3747B660" w:rsidR="00D96253" w:rsidRPr="00D96253" w:rsidRDefault="00D96253" w:rsidP="00F3214B">
      <w:pPr>
        <w:numPr>
          <w:ilvl w:val="0"/>
          <w:numId w:val="30"/>
        </w:numPr>
        <w:tabs>
          <w:tab w:val="num" w:pos="720"/>
        </w:tabs>
        <w:ind w:firstLine="86"/>
        <w:rPr>
          <w:rFonts w:eastAsia="Calibri" w:cs="Arial"/>
          <w:szCs w:val="24"/>
        </w:rPr>
      </w:pPr>
      <w:r w:rsidRPr="00D96253">
        <w:rPr>
          <w:rFonts w:eastAsia="Calibri" w:cs="Arial"/>
          <w:szCs w:val="24"/>
        </w:rPr>
        <w:t>Collections of resources to support implementation</w:t>
      </w:r>
    </w:p>
    <w:p w14:paraId="2195ABC7" w14:textId="7EA70C86" w:rsidR="009F6D10" w:rsidRDefault="00D96253" w:rsidP="00D96253">
      <w:pPr>
        <w:ind w:left="720"/>
        <w:rPr>
          <w:rFonts w:eastAsia="Calibri" w:cs="Arial"/>
          <w:szCs w:val="24"/>
        </w:rPr>
      </w:pPr>
      <w:r w:rsidRPr="00D96253">
        <w:rPr>
          <w:rFonts w:eastAsia="Calibri" w:cs="Arial"/>
          <w:szCs w:val="24"/>
        </w:rPr>
        <w:t xml:space="preserve">These guidance tools, developed for voluntary use, aim to build on and respond to the call from California’s diverse </w:t>
      </w:r>
      <w:r w:rsidR="00A61B63">
        <w:rPr>
          <w:rFonts w:eastAsia="Calibri" w:cs="Arial"/>
          <w:szCs w:val="24"/>
        </w:rPr>
        <w:t>interested parties</w:t>
      </w:r>
      <w:r w:rsidRPr="00D96253">
        <w:rPr>
          <w:rFonts w:eastAsia="Calibri" w:cs="Arial"/>
          <w:szCs w:val="24"/>
        </w:rPr>
        <w:t xml:space="preserve"> to embed equity-focused </w:t>
      </w:r>
      <w:r w:rsidR="00E10BC4" w:rsidRPr="00E10BC4">
        <w:rPr>
          <w:rFonts w:cs="Arial"/>
          <w:szCs w:val="24"/>
          <w:lang w:val="en"/>
        </w:rPr>
        <w:t>Transformative Social and Emotional Learning (T-SEL)</w:t>
      </w:r>
      <w:r w:rsidRPr="00E10BC4">
        <w:rPr>
          <w:rFonts w:eastAsia="Calibri" w:cs="Arial"/>
          <w:szCs w:val="24"/>
        </w:rPr>
        <w:t xml:space="preserve"> </w:t>
      </w:r>
      <w:r w:rsidRPr="00D96253">
        <w:rPr>
          <w:rFonts w:eastAsia="Calibri" w:cs="Arial"/>
          <w:szCs w:val="24"/>
        </w:rPr>
        <w:t>in every learning and teaching context across the education system.</w:t>
      </w:r>
      <w:r w:rsidR="009F6D10" w:rsidRPr="004220E7">
        <w:rPr>
          <w:rFonts w:eastAsia="Calibri" w:cs="Arial"/>
          <w:szCs w:val="24"/>
        </w:rPr>
        <w:t xml:space="preserve"> </w:t>
      </w:r>
    </w:p>
    <w:p w14:paraId="4F283D65" w14:textId="431849DF" w:rsidR="003D59AC" w:rsidRPr="00052B3E" w:rsidRDefault="00052B3E" w:rsidP="00025F31">
      <w:pPr>
        <w:ind w:left="720"/>
      </w:pPr>
      <w:r w:rsidRPr="00052B3E">
        <w:t>In a</w:t>
      </w:r>
      <w:r>
        <w:t xml:space="preserve">ddition to the </w:t>
      </w:r>
      <w:r w:rsidR="00077C65">
        <w:t>focused work on initiative</w:t>
      </w:r>
      <w:r w:rsidR="00E84C70">
        <w:t>s</w:t>
      </w:r>
      <w:r w:rsidR="00077C65">
        <w:t xml:space="preserve"> affecting school climate</w:t>
      </w:r>
      <w:r w:rsidR="00466FF9">
        <w:t xml:space="preserve"> referenced above</w:t>
      </w:r>
      <w:r w:rsidR="00077C65">
        <w:t xml:space="preserve">, the </w:t>
      </w:r>
      <w:r w:rsidR="00EA19B3">
        <w:t>CDE</w:t>
      </w:r>
      <w:r w:rsidR="00077C65">
        <w:t xml:space="preserve"> has </w:t>
      </w:r>
      <w:r w:rsidR="0060397D">
        <w:t xml:space="preserve">worked </w:t>
      </w:r>
      <w:r w:rsidR="00077C65">
        <w:t xml:space="preserve">to embed </w:t>
      </w:r>
      <w:r w:rsidR="00E40B03">
        <w:t>practices</w:t>
      </w:r>
      <w:r w:rsidR="00466FF9">
        <w:t xml:space="preserve"> </w:t>
      </w:r>
      <w:r w:rsidR="00E021C5">
        <w:t xml:space="preserve">that </w:t>
      </w:r>
      <w:r w:rsidR="001C5441">
        <w:t>align SEL competencies</w:t>
      </w:r>
      <w:r w:rsidR="00077C65">
        <w:t xml:space="preserve"> into </w:t>
      </w:r>
      <w:r w:rsidR="00295995">
        <w:t xml:space="preserve">the </w:t>
      </w:r>
      <w:r w:rsidR="00077C65">
        <w:t>standards and frameworks</w:t>
      </w:r>
      <w:r w:rsidR="00E40B03">
        <w:t xml:space="preserve"> </w:t>
      </w:r>
      <w:r w:rsidR="00B063E6">
        <w:t>across content</w:t>
      </w:r>
      <w:r w:rsidR="00295995">
        <w:t xml:space="preserve"> areas</w:t>
      </w:r>
      <w:r w:rsidR="00077C65">
        <w:t>.</w:t>
      </w:r>
      <w:r w:rsidR="00633922">
        <w:t xml:space="preserve"> For example, the</w:t>
      </w:r>
      <w:r w:rsidR="00EA19B3">
        <w:t xml:space="preserve"> California</w:t>
      </w:r>
      <w:r w:rsidR="00633922">
        <w:t xml:space="preserve"> Mathematics Standards </w:t>
      </w:r>
      <w:r w:rsidR="00A30400">
        <w:t>recognize the importance of a student’s ability to “m</w:t>
      </w:r>
      <w:r w:rsidR="00A30400" w:rsidRPr="00A30400">
        <w:t>ake sense of problems and persevere in solving them</w:t>
      </w:r>
      <w:r w:rsidR="00A30400">
        <w:t>” and “c</w:t>
      </w:r>
      <w:r w:rsidR="00A30400" w:rsidRPr="00A30400">
        <w:t>onstruct viable arguments and critique the reasoning of others</w:t>
      </w:r>
      <w:r w:rsidR="00A30400">
        <w:t>.</w:t>
      </w:r>
      <w:r w:rsidR="00567FDA">
        <w:t>”</w:t>
      </w:r>
      <w:r w:rsidR="00A30400">
        <w:rPr>
          <w:rStyle w:val="FootnoteReference"/>
        </w:rPr>
        <w:footnoteReference w:id="6"/>
      </w:r>
      <w:r w:rsidR="00A30400">
        <w:t xml:space="preserve"> </w:t>
      </w:r>
      <w:r w:rsidR="005F2C66">
        <w:t xml:space="preserve">Another example of how the CDE threads students’ </w:t>
      </w:r>
      <w:r w:rsidR="00B55E5E">
        <w:t>SEL</w:t>
      </w:r>
      <w:r w:rsidR="005F2C66">
        <w:t xml:space="preserve"> throughout </w:t>
      </w:r>
      <w:r w:rsidR="005F2C66" w:rsidRPr="00C30FB5">
        <w:t>subject areas</w:t>
      </w:r>
      <w:r w:rsidR="005F2C66">
        <w:t xml:space="preserve"> can be seen in the </w:t>
      </w:r>
      <w:r w:rsidR="005F2C66">
        <w:rPr>
          <w:i/>
        </w:rPr>
        <w:t>Standards for Career Ready Practice</w:t>
      </w:r>
      <w:r w:rsidR="005F2C66">
        <w:t>, which serve as an accompaniment to the</w:t>
      </w:r>
      <w:r w:rsidR="00B55E5E">
        <w:t xml:space="preserve"> California</w:t>
      </w:r>
      <w:r w:rsidR="005F2C66">
        <w:t xml:space="preserve"> </w:t>
      </w:r>
      <w:r w:rsidR="005F2C66" w:rsidRPr="005F2C66">
        <w:t>Career Technical Education Model Curriculum standards</w:t>
      </w:r>
      <w:r w:rsidR="005F2C66">
        <w:t xml:space="preserve">. This </w:t>
      </w:r>
      <w:r w:rsidR="005F2C66">
        <w:lastRenderedPageBreak/>
        <w:t>document emphasizes the importance of communication skills and perseverance</w:t>
      </w:r>
      <w:r w:rsidR="00806D6D">
        <w:t xml:space="preserve"> </w:t>
      </w:r>
      <w:r w:rsidR="00806D6D" w:rsidRPr="00806D6D">
        <w:t>to prepare</w:t>
      </w:r>
      <w:r w:rsidR="00806D6D">
        <w:t xml:space="preserve"> students</w:t>
      </w:r>
      <w:r w:rsidR="00806D6D" w:rsidRPr="00806D6D">
        <w:t xml:space="preserve"> for transition to postsecondary education, career training, or the workforce</w:t>
      </w:r>
      <w:r w:rsidR="005F2C66">
        <w:t xml:space="preserve">. </w:t>
      </w:r>
      <w:r w:rsidR="00EA7DE3">
        <w:t>This is indicative of the belief that supporting students’ social and emotional development is the responsibility of all educators in our school systems.</w:t>
      </w:r>
      <w:r w:rsidR="00466FF9">
        <w:t xml:space="preserve"> </w:t>
      </w:r>
      <w:r w:rsidR="00255B37">
        <w:t xml:space="preserve">To examine an overview of how </w:t>
      </w:r>
      <w:r w:rsidR="00A54A04">
        <w:t>SEL</w:t>
      </w:r>
      <w:r w:rsidR="00255B37">
        <w:t xml:space="preserve"> is threaded into the California standards and frameworks, see the document entitled </w:t>
      </w:r>
      <w:r w:rsidR="00255B37" w:rsidRPr="00255B37">
        <w:rPr>
          <w:i/>
        </w:rPr>
        <w:t>Social and Emotional Learning Embedded in Core Education Documents</w:t>
      </w:r>
      <w:r w:rsidR="00255B37">
        <w:t xml:space="preserve">, on the </w:t>
      </w:r>
      <w:r w:rsidR="000F41F5">
        <w:t>OCDE SEL</w:t>
      </w:r>
      <w:r w:rsidR="00255B37">
        <w:t xml:space="preserve"> web</w:t>
      </w:r>
      <w:r w:rsidR="00B606DE">
        <w:t xml:space="preserve"> </w:t>
      </w:r>
      <w:r w:rsidR="00255B37">
        <w:t xml:space="preserve">page at </w:t>
      </w:r>
      <w:hyperlink r:id="rId22" w:tooltip="Orange County Office of Education SEL and Academics" w:history="1">
        <w:r w:rsidR="000400B3" w:rsidRPr="00455497">
          <w:rPr>
            <w:rStyle w:val="Hyperlink"/>
          </w:rPr>
          <w:t>https://ocde.us/EducationalServices/SLACI/SEL/Pages/default.aspx</w:t>
        </w:r>
      </w:hyperlink>
      <w:r w:rsidR="00255B37">
        <w:t>.</w:t>
      </w:r>
      <w:r w:rsidR="000400B3">
        <w:t xml:space="preserve"> </w:t>
      </w:r>
      <w:r w:rsidR="00255B37">
        <w:t xml:space="preserve"> </w:t>
      </w:r>
      <w:r w:rsidR="00E84C70">
        <w:t xml:space="preserve"> </w:t>
      </w:r>
    </w:p>
    <w:p w14:paraId="7B0E4D1E" w14:textId="21B5880D" w:rsidR="005E403D" w:rsidRPr="00025F31" w:rsidRDefault="00B55465" w:rsidP="005E403D">
      <w:pPr>
        <w:ind w:left="720"/>
      </w:pPr>
      <w:r w:rsidRPr="00025F31">
        <w:t>With so many initiatives to support whole child development, t</w:t>
      </w:r>
      <w:r w:rsidR="005E403D" w:rsidRPr="00025F31">
        <w:t xml:space="preserve">he CDE recognizes the need to have systems in place </w:t>
      </w:r>
      <w:r w:rsidR="00BA128D">
        <w:t xml:space="preserve">that </w:t>
      </w:r>
      <w:r w:rsidR="005E403D" w:rsidRPr="00025F31">
        <w:t>align</w:t>
      </w:r>
      <w:r w:rsidRPr="00025F31">
        <w:t xml:space="preserve"> these efforts</w:t>
      </w:r>
      <w:r w:rsidR="005E403D" w:rsidRPr="00025F31">
        <w:t xml:space="preserve"> and support</w:t>
      </w:r>
      <w:r>
        <w:t xml:space="preserve"> implementation of</w:t>
      </w:r>
      <w:r w:rsidR="005E403D" w:rsidRPr="00025F31">
        <w:t xml:space="preserve"> these strategies. Too often, fragmented solutions are implemented, are marginalized in the school, and improvements are short-lived. Trauma-informed practices and SEL, for example, are often thought of as two separate initiatives. However, trauma-informed practices and SEL strengthen each other, as trauma-informed practices help children feel safe and supported to be able to receive SEL skill development, and SEL addresses social and emotional competencies that promote skill development and regulation that helps all children.</w:t>
      </w:r>
      <w:r w:rsidR="005E403D">
        <w:rPr>
          <w:rStyle w:val="FootnoteReference"/>
        </w:rPr>
        <w:footnoteReference w:id="7"/>
      </w:r>
      <w:r w:rsidR="005E403D" w:rsidRPr="00025F31">
        <w:t xml:space="preserve"> The goal should be to integrate and implement them together and as part of a MTSS. Furthermore, SEL is most likely to be successful when priorities are aligned.</w:t>
      </w:r>
      <w:r w:rsidR="005E403D">
        <w:rPr>
          <w:rStyle w:val="FootnoteReference"/>
        </w:rPr>
        <w:footnoteReference w:id="8"/>
      </w:r>
      <w:r w:rsidR="005E403D" w:rsidRPr="00025F31">
        <w:t xml:space="preserve"> </w:t>
      </w:r>
    </w:p>
    <w:p w14:paraId="6EB1613F" w14:textId="7E422705" w:rsidR="005E403D" w:rsidRPr="00025F31" w:rsidRDefault="005E403D" w:rsidP="00025F31">
      <w:pPr>
        <w:ind w:left="1440"/>
        <w:rPr>
          <w:i/>
        </w:rPr>
      </w:pPr>
      <w:r w:rsidRPr="00025F31">
        <w:rPr>
          <w:i/>
        </w:rPr>
        <w:t>Both SEL and MTSS elevate individualized support while also fostering broader conditions for teaching and learning, emphasize building the capacity of the adults who support students, prioritize supportive (not punitive) approaches to improving student behavior, and require coordination and collaboration with families and communities. Together, when they intentionally attend to cultural competence and youth and family empowerment, SEL and MTSS help to promote the schoolwide conditions, individual competencies, and equitable learning environments that help students be successful.</w:t>
      </w:r>
      <w:r>
        <w:rPr>
          <w:rStyle w:val="FootnoteReference"/>
          <w:i/>
        </w:rPr>
        <w:footnoteReference w:id="9"/>
      </w:r>
    </w:p>
    <w:p w14:paraId="141ABF27" w14:textId="4DEF93A2" w:rsidR="00661519" w:rsidRPr="00025F31" w:rsidRDefault="005E403D" w:rsidP="00AE24FA">
      <w:pPr>
        <w:spacing w:after="480"/>
        <w:ind w:left="720"/>
      </w:pPr>
      <w:r w:rsidRPr="00025F31">
        <w:t xml:space="preserve">In order to achieve meaningful and sustainable improvements, schools must have a clear sense of their vision and goals. Schools need to understand and </w:t>
      </w:r>
      <w:r w:rsidRPr="00025F31">
        <w:lastRenderedPageBreak/>
        <w:t>address the barriers to learning that their students experience beyond the school so students can achieve and thrive.</w:t>
      </w:r>
    </w:p>
    <w:p w14:paraId="05E5C344" w14:textId="21F13779" w:rsidR="0070560C" w:rsidRPr="00025F31" w:rsidRDefault="00661519" w:rsidP="00025F31">
      <w:pPr>
        <w:pStyle w:val="Heading3"/>
      </w:pPr>
      <w:bookmarkStart w:id="22" w:name="_Toc86997788"/>
      <w:r w:rsidRPr="00025F31">
        <w:t>State Statute and Authority</w:t>
      </w:r>
      <w:bookmarkEnd w:id="22"/>
    </w:p>
    <w:p w14:paraId="2EFB4853" w14:textId="1FA74867" w:rsidR="00CD5D22" w:rsidRPr="00025F31" w:rsidRDefault="00CD5D22" w:rsidP="0070560C">
      <w:pPr>
        <w:ind w:left="720"/>
        <w:rPr>
          <w:highlight w:val="yellow"/>
        </w:rPr>
      </w:pPr>
      <w:bookmarkStart w:id="23" w:name="_Hlk84512929"/>
      <w:bookmarkStart w:id="24" w:name="_Hlk84510309"/>
      <w:r>
        <w:t xml:space="preserve">Chapter 44, Statutes of 2021, </w:t>
      </w:r>
      <w:r w:rsidR="0070560C" w:rsidRPr="01A6F8F1">
        <w:rPr>
          <w:sz w:val="23"/>
          <w:szCs w:val="23"/>
        </w:rPr>
        <w:t>Education Omnibus Trailer Bill (AB 130)</w:t>
      </w:r>
      <w:r w:rsidR="00433B02">
        <w:t xml:space="preserve"> </w:t>
      </w:r>
      <w:bookmarkStart w:id="25" w:name="_Hlk18397803"/>
      <w:bookmarkStart w:id="26" w:name="_Hlk84512954"/>
      <w:bookmarkEnd w:id="23"/>
      <w:r w:rsidR="0070560C">
        <w:t>appropriated $50</w:t>
      </w:r>
      <w:r w:rsidR="00AE24FA">
        <w:t xml:space="preserve"> million</w:t>
      </w:r>
      <w:r w:rsidR="0070560C">
        <w:t xml:space="preserve"> from the General Fund to the Superintendent to apportion to the OCDE to award no less than $30</w:t>
      </w:r>
      <w:r w:rsidR="00AE24FA">
        <w:t xml:space="preserve"> million</w:t>
      </w:r>
      <w:r w:rsidR="0070560C">
        <w:t xml:space="preserve"> as grants to </w:t>
      </w:r>
      <w:r w:rsidR="00E021C5">
        <w:t>LEAs</w:t>
      </w:r>
      <w:r w:rsidR="0070560C">
        <w:t xml:space="preserve"> for the purpose of funding schoolwide and districtwide implementation of services or practices aligned to the </w:t>
      </w:r>
      <w:r>
        <w:t>MTSS</w:t>
      </w:r>
      <w:r w:rsidR="0070560C">
        <w:t xml:space="preserve"> framework. </w:t>
      </w:r>
      <w:r w:rsidR="00C8223A">
        <w:t xml:space="preserve">The </w:t>
      </w:r>
      <w:r w:rsidR="007C41F0">
        <w:t>OCDE</w:t>
      </w:r>
      <w:r w:rsidR="00C8223A">
        <w:t xml:space="preserve"> may expend up to $1</w:t>
      </w:r>
      <w:r w:rsidR="00A96E32">
        <w:t xml:space="preserve"> million</w:t>
      </w:r>
      <w:r w:rsidR="00C8223A">
        <w:t xml:space="preserve"> of the amount appropriated pursuant to subdivision (a) to support the administration of grants and provide support to the grantees</w:t>
      </w:r>
      <w:r w:rsidR="00DC62E3">
        <w:t>.</w:t>
      </w:r>
      <w:r w:rsidR="00C8223A">
        <w:t xml:space="preserve"> </w:t>
      </w:r>
      <w:r w:rsidR="0070560C">
        <w:t xml:space="preserve">The Superintendent </w:t>
      </w:r>
      <w:r>
        <w:t xml:space="preserve">is required </w:t>
      </w:r>
      <w:r w:rsidR="0070560C">
        <w:t xml:space="preserve">to establish a process, in consultation with and subject to the approval of the executive director of the </w:t>
      </w:r>
      <w:r w:rsidR="00A96E32">
        <w:t>SBE</w:t>
      </w:r>
      <w:r w:rsidR="0070560C">
        <w:t xml:space="preserve">, to select a </w:t>
      </w:r>
      <w:r w:rsidR="00E021C5">
        <w:t>LEA</w:t>
      </w:r>
      <w:r w:rsidR="0070560C">
        <w:t xml:space="preserve">, a </w:t>
      </w:r>
      <w:r w:rsidR="00CB3B1F">
        <w:t>LEA</w:t>
      </w:r>
      <w:r w:rsidR="0070560C">
        <w:t xml:space="preserve"> in partnership with an </w:t>
      </w:r>
      <w:r w:rsidR="00F027D9">
        <w:t>IHE</w:t>
      </w:r>
      <w:r w:rsidR="0070560C">
        <w:t xml:space="preserve"> or nonprofit educational service provider, or a consortia, to partner with the </w:t>
      </w:r>
      <w:r>
        <w:t>OCDE</w:t>
      </w:r>
      <w:r w:rsidR="0070560C">
        <w:t xml:space="preserve"> and the </w:t>
      </w:r>
      <w:r>
        <w:t>BCOE</w:t>
      </w:r>
      <w:r w:rsidR="0070560C">
        <w:t xml:space="preserve"> to expand the state’s capacity to support </w:t>
      </w:r>
      <w:r>
        <w:t>LEAs</w:t>
      </w:r>
      <w:r w:rsidR="0070560C">
        <w:t xml:space="preserve">’ implementation of </w:t>
      </w:r>
      <w:r w:rsidR="00E021C5">
        <w:t>SEL</w:t>
      </w:r>
      <w:r w:rsidR="0070560C">
        <w:t>, trauma-informed practices, and culturally relevant, affirming, and sustaining practices, and require</w:t>
      </w:r>
      <w:r>
        <w:t>s</w:t>
      </w:r>
      <w:r w:rsidR="0070560C">
        <w:t xml:space="preserve"> no more than $20</w:t>
      </w:r>
      <w:r w:rsidR="00A96E32">
        <w:t xml:space="preserve"> million</w:t>
      </w:r>
      <w:r w:rsidR="0070560C">
        <w:t xml:space="preserve"> of the $50</w:t>
      </w:r>
      <w:r w:rsidR="00A96E32">
        <w:t xml:space="preserve"> million</w:t>
      </w:r>
      <w:r w:rsidR="0070560C">
        <w:t xml:space="preserve"> appropriation to be available for these purposes. </w:t>
      </w:r>
      <w:bookmarkEnd w:id="25"/>
    </w:p>
    <w:bookmarkEnd w:id="26"/>
    <w:p w14:paraId="498FA469" w14:textId="61FC3C5F" w:rsidR="00666F34" w:rsidRPr="00025F31" w:rsidRDefault="00CD5D22" w:rsidP="00025F31">
      <w:pPr>
        <w:ind w:left="720"/>
      </w:pPr>
      <w:r>
        <w:t>The partner entity shall have demonstrated expertise in developing and delivering high</w:t>
      </w:r>
      <w:r w:rsidR="00EE40CB">
        <w:t xml:space="preserve"> </w:t>
      </w:r>
      <w:r>
        <w:t xml:space="preserve">quality professional learning to educators in </w:t>
      </w:r>
      <w:r w:rsidR="00E021C5">
        <w:t>SEL</w:t>
      </w:r>
      <w:r>
        <w:t>, trauma-informed practices, and culturally relevant, affirming, and sustaining practices in a manner that aligns with local MTSS. The partner entity shall support the OCDE and the BCOE in offering high</w:t>
      </w:r>
      <w:r w:rsidR="00EE40CB">
        <w:t xml:space="preserve"> </w:t>
      </w:r>
      <w:r>
        <w:t>quality professional learning to educators and school leaders by performing all of the following functions</w:t>
      </w:r>
      <w:r w:rsidR="00666F34" w:rsidRPr="00025F31">
        <w:t>:</w:t>
      </w:r>
    </w:p>
    <w:p w14:paraId="13DE47AD" w14:textId="1B269DC3" w:rsidR="006D5AE2" w:rsidRDefault="006D5AE2" w:rsidP="00F3214B">
      <w:pPr>
        <w:pStyle w:val="ListParagraph"/>
        <w:numPr>
          <w:ilvl w:val="0"/>
          <w:numId w:val="28"/>
        </w:numPr>
        <w:ind w:left="1440"/>
      </w:pPr>
      <w:r w:rsidRPr="007C76D0">
        <w:t xml:space="preserve">Creating, collecting, and curating resources for educators on </w:t>
      </w:r>
      <w:r w:rsidR="00E021C5">
        <w:t>SEL</w:t>
      </w:r>
      <w:r w:rsidRPr="007C76D0">
        <w:t xml:space="preserve">, trauma screening, trauma-informed practices, and culturally relevant, affirming, and sustaining practices. </w:t>
      </w:r>
    </w:p>
    <w:p w14:paraId="30FDD183" w14:textId="77777777" w:rsidR="006D5AE2" w:rsidRDefault="006D5AE2" w:rsidP="00F3214B">
      <w:pPr>
        <w:pStyle w:val="ListParagraph"/>
        <w:numPr>
          <w:ilvl w:val="0"/>
          <w:numId w:val="28"/>
        </w:numPr>
        <w:ind w:left="1440"/>
      </w:pPr>
      <w:r w:rsidRPr="007C76D0">
        <w:t xml:space="preserve">Providing ongoing training and support in the use of trauma screening tools and mental health service referrals, school climate surveys, and the use of tool and survey data. </w:t>
      </w:r>
    </w:p>
    <w:p w14:paraId="47315D37" w14:textId="337EF2B2" w:rsidR="006D5AE2" w:rsidRDefault="006D5AE2" w:rsidP="00F3214B">
      <w:pPr>
        <w:pStyle w:val="ListParagraph"/>
        <w:numPr>
          <w:ilvl w:val="0"/>
          <w:numId w:val="28"/>
        </w:numPr>
        <w:ind w:left="1440"/>
      </w:pPr>
      <w:r w:rsidRPr="007C76D0">
        <w:t xml:space="preserve">Providing grants to </w:t>
      </w:r>
      <w:r w:rsidR="00E021C5">
        <w:t>LEAs</w:t>
      </w:r>
      <w:r w:rsidRPr="007C76D0">
        <w:t xml:space="preserve"> to support both of the followin</w:t>
      </w:r>
      <w:r>
        <w:t>g:</w:t>
      </w:r>
    </w:p>
    <w:p w14:paraId="4BD1ED68" w14:textId="77777777" w:rsidR="006D5AE2" w:rsidRDefault="006D5AE2" w:rsidP="00F3214B">
      <w:pPr>
        <w:pStyle w:val="ListParagraph"/>
        <w:numPr>
          <w:ilvl w:val="1"/>
          <w:numId w:val="28"/>
        </w:numPr>
        <w:ind w:left="2160"/>
      </w:pPr>
      <w:r>
        <w:t>Convening professional learning communities of educators and school leaders.</w:t>
      </w:r>
    </w:p>
    <w:p w14:paraId="4F8D943C" w14:textId="77777777" w:rsidR="006D5AE2" w:rsidRPr="007C76D0" w:rsidRDefault="006D5AE2" w:rsidP="00F3214B">
      <w:pPr>
        <w:pStyle w:val="ListParagraph"/>
        <w:numPr>
          <w:ilvl w:val="1"/>
          <w:numId w:val="28"/>
        </w:numPr>
        <w:ind w:left="2160"/>
      </w:pPr>
      <w:r>
        <w:t>Providing ongoing training and coaching to educators and school leaders.</w:t>
      </w:r>
      <w:r w:rsidRPr="007C76D0">
        <w:t xml:space="preserve"> </w:t>
      </w:r>
    </w:p>
    <w:p w14:paraId="07A7DD31" w14:textId="6358F0AB" w:rsidR="004C4B3B" w:rsidRPr="006026ED" w:rsidRDefault="00C353C1" w:rsidP="00345305">
      <w:pPr>
        <w:spacing w:after="480"/>
        <w:ind w:left="720"/>
      </w:pPr>
      <w:r>
        <w:t xml:space="preserve">The </w:t>
      </w:r>
      <w:r w:rsidR="00294AA4">
        <w:t>CDE and SBE shall select the partner</w:t>
      </w:r>
      <w:r>
        <w:t xml:space="preserve"> entity on or before February 15, 2022</w:t>
      </w:r>
      <w:r w:rsidR="00294AA4">
        <w:t xml:space="preserve">, and funds must be encumbered or expended on or before </w:t>
      </w:r>
      <w:r w:rsidR="1EF56500">
        <w:t>February 15</w:t>
      </w:r>
      <w:r w:rsidR="00294AA4">
        <w:t>, 2026.</w:t>
      </w:r>
      <w:r w:rsidR="00DC62E3">
        <w:t xml:space="preserve"> The partner entity may apply for up to </w:t>
      </w:r>
      <w:r w:rsidR="00DC62E3" w:rsidRPr="006C0E5D">
        <w:t>$</w:t>
      </w:r>
      <w:r w:rsidR="006C0E5D" w:rsidRPr="006C0E5D">
        <w:t>12.5</w:t>
      </w:r>
      <w:r w:rsidR="00345305" w:rsidRPr="006C0E5D">
        <w:t xml:space="preserve"> million</w:t>
      </w:r>
      <w:r w:rsidR="00DC62E3">
        <w:t xml:space="preserve"> for the purposes outlined in this SUMS: Partner Entity RFA.</w:t>
      </w:r>
      <w:bookmarkEnd w:id="24"/>
      <w:r w:rsidR="00294AA4">
        <w:t xml:space="preserve"> </w:t>
      </w:r>
      <w:r w:rsidR="004C4B3B">
        <w:t xml:space="preserve"> </w:t>
      </w:r>
    </w:p>
    <w:p w14:paraId="4DDD5939" w14:textId="4C48333E" w:rsidR="0056734A" w:rsidRDefault="001179FB" w:rsidP="00F3214B">
      <w:pPr>
        <w:pStyle w:val="Heading2"/>
        <w:numPr>
          <w:ilvl w:val="0"/>
          <w:numId w:val="32"/>
        </w:numPr>
        <w:spacing w:before="0" w:after="480"/>
        <w:ind w:left="360"/>
      </w:pPr>
      <w:bookmarkStart w:id="27" w:name="_Toc86997789"/>
      <w:r>
        <w:lastRenderedPageBreak/>
        <w:t>Program Description</w:t>
      </w:r>
      <w:bookmarkEnd w:id="27"/>
    </w:p>
    <w:p w14:paraId="3FB4B0EE" w14:textId="77777777" w:rsidR="006B7B31" w:rsidRDefault="006B7B31" w:rsidP="00F3214B">
      <w:pPr>
        <w:pStyle w:val="Heading3"/>
        <w:numPr>
          <w:ilvl w:val="0"/>
          <w:numId w:val="25"/>
        </w:numPr>
      </w:pPr>
      <w:bookmarkStart w:id="28" w:name="_Toc86997790"/>
      <w:r w:rsidRPr="006557A2">
        <w:t>Grant</w:t>
      </w:r>
      <w:r>
        <w:t xml:space="preserve"> Information</w:t>
      </w:r>
      <w:bookmarkEnd w:id="28"/>
    </w:p>
    <w:p w14:paraId="11F47068" w14:textId="00BF1758" w:rsidR="00FC0BEB" w:rsidRDefault="007D30A2" w:rsidP="00141065">
      <w:pPr>
        <w:ind w:left="720"/>
      </w:pPr>
      <w:r>
        <w:t xml:space="preserve">This application covers the grant period beginning </w:t>
      </w:r>
      <w:r w:rsidR="00141A56">
        <w:t>February 15, 2022</w:t>
      </w:r>
      <w:r>
        <w:t xml:space="preserve">, and ending </w:t>
      </w:r>
      <w:r w:rsidR="59B3F12D">
        <w:t>February 15</w:t>
      </w:r>
      <w:r>
        <w:t>, 202</w:t>
      </w:r>
      <w:r w:rsidR="00141A56">
        <w:t>6</w:t>
      </w:r>
      <w:r>
        <w:t xml:space="preserve">. Funds are available based on the application and proposed budget. The total grant </w:t>
      </w:r>
      <w:r w:rsidR="00FE118B">
        <w:t>budget for this RFA is</w:t>
      </w:r>
      <w:r w:rsidR="7E96CEF5">
        <w:t xml:space="preserve"> up to</w:t>
      </w:r>
      <w:r w:rsidR="00FE118B">
        <w:t xml:space="preserve"> </w:t>
      </w:r>
      <w:r w:rsidR="00FE118B" w:rsidRPr="006C0E5D">
        <w:t>$</w:t>
      </w:r>
      <w:r w:rsidR="000A05FD" w:rsidRPr="006C0E5D">
        <w:t>1</w:t>
      </w:r>
      <w:r w:rsidR="006C0E5D" w:rsidRPr="006C0E5D">
        <w:t>2.5</w:t>
      </w:r>
      <w:r w:rsidR="00345305" w:rsidRPr="006C0E5D">
        <w:t xml:space="preserve"> million</w:t>
      </w:r>
      <w:r w:rsidR="000A05FD">
        <w:t>.</w:t>
      </w:r>
      <w:r w:rsidR="00FE118B">
        <w:t xml:space="preserve"> </w:t>
      </w:r>
    </w:p>
    <w:p w14:paraId="6989065E" w14:textId="01EB4A83" w:rsidR="00F40A75" w:rsidRDefault="007D30A2" w:rsidP="00F40A75">
      <w:pPr>
        <w:ind w:left="720"/>
      </w:pPr>
      <w:r w:rsidRPr="00025F31">
        <w:t xml:space="preserve">The selected applicant must </w:t>
      </w:r>
      <w:r w:rsidR="00CD0A88" w:rsidRPr="00025F31">
        <w:t>ensure alignment, communication, and collaboration</w:t>
      </w:r>
      <w:r w:rsidRPr="00025F31">
        <w:t xml:space="preserve"> with </w:t>
      </w:r>
      <w:r w:rsidR="000A05FD" w:rsidRPr="00025F31">
        <w:t>LEAs and the OCDE and BCOE</w:t>
      </w:r>
      <w:r w:rsidRPr="00025F31">
        <w:t>, and ensure that the</w:t>
      </w:r>
      <w:r>
        <w:t xml:space="preserve"> development and delivery of professional learning </w:t>
      </w:r>
      <w:r w:rsidRPr="005740F3">
        <w:t xml:space="preserve">opportunities </w:t>
      </w:r>
      <w:r w:rsidR="000C5DAE" w:rsidRPr="005740F3">
        <w:t>are</w:t>
      </w:r>
      <w:r w:rsidRPr="005740F3">
        <w:t xml:space="preserve"> aligned</w:t>
      </w:r>
      <w:r w:rsidR="00F40A75" w:rsidRPr="005740F3">
        <w:t xml:space="preserve"> </w:t>
      </w:r>
      <w:r w:rsidRPr="005740F3">
        <w:t>with</w:t>
      </w:r>
      <w:r w:rsidR="00F40A75" w:rsidRPr="005740F3">
        <w:t>:</w:t>
      </w:r>
      <w:r w:rsidR="00F40A75">
        <w:t xml:space="preserve"> </w:t>
      </w:r>
    </w:p>
    <w:p w14:paraId="3519B3AD" w14:textId="36D0E4BA" w:rsidR="00BC5EF4" w:rsidRPr="00BC5EF4" w:rsidRDefault="00CD35BF" w:rsidP="00F3214B">
      <w:pPr>
        <w:pStyle w:val="ListParagraph"/>
        <w:numPr>
          <w:ilvl w:val="0"/>
          <w:numId w:val="20"/>
        </w:numPr>
        <w:ind w:left="1440"/>
      </w:pPr>
      <w:r>
        <w:t>Current research on SEL</w:t>
      </w:r>
      <w:r w:rsidR="00BC5EF4">
        <w:t xml:space="preserve">, </w:t>
      </w:r>
      <w:r w:rsidR="00BC5EF4" w:rsidRPr="00BC5EF4">
        <w:t>trauma screening, trauma-informed practices, and culturally relevant, affirming, and sustaining practices</w:t>
      </w:r>
      <w:r w:rsidR="00BC5EF4">
        <w:t>;</w:t>
      </w:r>
      <w:r w:rsidR="00BC5EF4" w:rsidRPr="00BC5EF4">
        <w:t xml:space="preserve"> </w:t>
      </w:r>
    </w:p>
    <w:p w14:paraId="765EA8D9" w14:textId="5356D43E" w:rsidR="00294358" w:rsidRDefault="00294358" w:rsidP="00F3214B">
      <w:pPr>
        <w:pStyle w:val="ListParagraph"/>
        <w:numPr>
          <w:ilvl w:val="0"/>
          <w:numId w:val="20"/>
        </w:numPr>
        <w:ind w:left="1440"/>
      </w:pPr>
      <w:r>
        <w:t>CDE’s T</w:t>
      </w:r>
      <w:r w:rsidR="008A15DB">
        <w:t>-</w:t>
      </w:r>
      <w:r>
        <w:t>SEL Competencies and Conditions;</w:t>
      </w:r>
    </w:p>
    <w:p w14:paraId="76C65E8F" w14:textId="48EE4F9C" w:rsidR="00F40A75" w:rsidRDefault="00BC5EF4" w:rsidP="00F3214B">
      <w:pPr>
        <w:pStyle w:val="ListParagraph"/>
        <w:numPr>
          <w:ilvl w:val="0"/>
          <w:numId w:val="20"/>
        </w:numPr>
        <w:ind w:left="1440"/>
      </w:pPr>
      <w:r>
        <w:t>The SUMs initiative;</w:t>
      </w:r>
      <w:r w:rsidR="00133C83">
        <w:t xml:space="preserve"> and </w:t>
      </w:r>
    </w:p>
    <w:p w14:paraId="66B20A8C" w14:textId="7970F11B" w:rsidR="002F7BFD" w:rsidRDefault="003250A7" w:rsidP="00F3214B">
      <w:pPr>
        <w:pStyle w:val="ListParagraph"/>
        <w:numPr>
          <w:ilvl w:val="0"/>
          <w:numId w:val="20"/>
        </w:numPr>
        <w:spacing w:after="480"/>
        <w:ind w:left="1440"/>
      </w:pPr>
      <w:r>
        <w:t>The Q</w:t>
      </w:r>
      <w:r w:rsidR="00521021">
        <w:t xml:space="preserve">uality </w:t>
      </w:r>
      <w:r>
        <w:t>P</w:t>
      </w:r>
      <w:r w:rsidR="00521021">
        <w:t xml:space="preserve">rofessional </w:t>
      </w:r>
      <w:r>
        <w:t>L</w:t>
      </w:r>
      <w:r w:rsidR="00521021">
        <w:t xml:space="preserve">earning </w:t>
      </w:r>
      <w:r>
        <w:t>S</w:t>
      </w:r>
      <w:r w:rsidR="00521021">
        <w:t>tandards (QPLS) (see Section 2</w:t>
      </w:r>
      <w:r w:rsidR="008B5A9A">
        <w:t>.</w:t>
      </w:r>
      <w:r w:rsidR="00521021">
        <w:t>C for more information)</w:t>
      </w:r>
      <w:r w:rsidR="00133C83">
        <w:t>.</w:t>
      </w:r>
    </w:p>
    <w:p w14:paraId="339324EC" w14:textId="77777777" w:rsidR="005E10B9" w:rsidRDefault="005E10B9" w:rsidP="00BD3742">
      <w:pPr>
        <w:pStyle w:val="Heading3"/>
      </w:pPr>
      <w:bookmarkStart w:id="29" w:name="_Toc86997791"/>
      <w:r w:rsidRPr="00587DCE">
        <w:t>Eligibility</w:t>
      </w:r>
      <w:r>
        <w:t xml:space="preserve"> Requirements</w:t>
      </w:r>
      <w:bookmarkEnd w:id="29"/>
    </w:p>
    <w:p w14:paraId="2EFC4402" w14:textId="7487CB89" w:rsidR="005E10B9" w:rsidRPr="00A50E59" w:rsidRDefault="005E10B9" w:rsidP="00CA43E5">
      <w:pPr>
        <w:spacing w:after="480"/>
        <w:ind w:left="720"/>
      </w:pPr>
      <w:r w:rsidRPr="00A50E59">
        <w:t xml:space="preserve">Lead applicants must be </w:t>
      </w:r>
      <w:r w:rsidR="0088388A">
        <w:t>an</w:t>
      </w:r>
      <w:r w:rsidR="0088388A" w:rsidRPr="0088388A">
        <w:t xml:space="preserve"> </w:t>
      </w:r>
      <w:r w:rsidR="0088388A">
        <w:t>LEA</w:t>
      </w:r>
      <w:r w:rsidR="0088388A" w:rsidRPr="0088388A">
        <w:t>, a</w:t>
      </w:r>
      <w:r w:rsidR="0088388A">
        <w:t>n</w:t>
      </w:r>
      <w:r w:rsidR="0088388A" w:rsidRPr="0088388A">
        <w:t xml:space="preserve"> </w:t>
      </w:r>
      <w:r w:rsidR="0088388A">
        <w:t>LEA</w:t>
      </w:r>
      <w:r w:rsidR="0088388A" w:rsidRPr="0088388A">
        <w:t xml:space="preserve"> in partnership with an </w:t>
      </w:r>
      <w:r w:rsidR="00F027D9">
        <w:t>IHE</w:t>
      </w:r>
      <w:r w:rsidR="0088388A" w:rsidRPr="0088388A">
        <w:t xml:space="preserve"> or nonprofit educational service provider, or a </w:t>
      </w:r>
      <w:proofErr w:type="gramStart"/>
      <w:r w:rsidR="0088388A" w:rsidRPr="0088388A">
        <w:t>consortia</w:t>
      </w:r>
      <w:proofErr w:type="gramEnd"/>
      <w:r w:rsidR="0088388A" w:rsidRPr="0088388A">
        <w:t xml:space="preserve">, </w:t>
      </w:r>
      <w:r w:rsidRPr="00A50E59">
        <w:t xml:space="preserve">with demonstrated expertise </w:t>
      </w:r>
      <w:r w:rsidR="0088388A" w:rsidRPr="0088388A">
        <w:t xml:space="preserve">in developing and delivering high quality professional learning to educators in </w:t>
      </w:r>
      <w:r w:rsidR="0088388A">
        <w:t>SEL;</w:t>
      </w:r>
      <w:r w:rsidR="0088388A" w:rsidRPr="0088388A">
        <w:t xml:space="preserve"> trauma-informed practices</w:t>
      </w:r>
      <w:r w:rsidR="0088388A">
        <w:t>;</w:t>
      </w:r>
      <w:r w:rsidR="0088388A" w:rsidRPr="0088388A">
        <w:t xml:space="preserve"> and culturally relevant, affirming, and sustaining practices in a manner that aligns with local </w:t>
      </w:r>
      <w:r w:rsidR="0088388A">
        <w:t>MTSS</w:t>
      </w:r>
      <w:r w:rsidRPr="00A50E59">
        <w:t>.</w:t>
      </w:r>
      <w:bookmarkStart w:id="30" w:name="_Hlk22894325"/>
      <w:r w:rsidRPr="00A50E59">
        <w:t xml:space="preserve"> </w:t>
      </w:r>
      <w:bookmarkEnd w:id="30"/>
      <w:r w:rsidRPr="00A50E59">
        <w:t xml:space="preserve">Applicants must be able to demonstrate knowledge </w:t>
      </w:r>
      <w:r w:rsidR="008C3A7F">
        <w:t xml:space="preserve">of </w:t>
      </w:r>
      <w:r w:rsidRPr="00A50E59">
        <w:t xml:space="preserve">and capacity to implement </w:t>
      </w:r>
      <w:r w:rsidR="005E788A">
        <w:t xml:space="preserve">practices that support </w:t>
      </w:r>
      <w:r w:rsidR="0088388A">
        <w:t>implementation</w:t>
      </w:r>
      <w:r w:rsidRPr="00A50E59">
        <w:t xml:space="preserve"> in a manner that aligns with the </w:t>
      </w:r>
      <w:r w:rsidR="005E788A">
        <w:t xml:space="preserve">work referenced in Section </w:t>
      </w:r>
      <w:r w:rsidR="007B3955">
        <w:t>2.</w:t>
      </w:r>
      <w:r w:rsidR="006C23AC">
        <w:t>A</w:t>
      </w:r>
      <w:r w:rsidR="005E788A">
        <w:t xml:space="preserve"> of this RFA</w:t>
      </w:r>
      <w:r w:rsidRPr="00A50E59">
        <w:t xml:space="preserve">. If multiple </w:t>
      </w:r>
      <w:r w:rsidR="0088388A">
        <w:t>LEAs</w:t>
      </w:r>
      <w:r w:rsidRPr="00A50E59">
        <w:t xml:space="preserve"> </w:t>
      </w:r>
      <w:r w:rsidR="0088388A">
        <w:t xml:space="preserve">apply as a </w:t>
      </w:r>
      <w:proofErr w:type="gramStart"/>
      <w:r w:rsidR="0088388A">
        <w:t>consortia</w:t>
      </w:r>
      <w:proofErr w:type="gramEnd"/>
      <w:r w:rsidRPr="00A50E59">
        <w:t>, a lead applicant must be identified.</w:t>
      </w:r>
    </w:p>
    <w:p w14:paraId="1EC9C523" w14:textId="77777777" w:rsidR="005E10B9" w:rsidRPr="00663691" w:rsidRDefault="00587DCE" w:rsidP="00BD3742">
      <w:pPr>
        <w:pStyle w:val="Heading3"/>
      </w:pPr>
      <w:bookmarkStart w:id="31" w:name="_Toc86997792"/>
      <w:r w:rsidRPr="00663691">
        <w:t>Goals</w:t>
      </w:r>
      <w:bookmarkEnd w:id="31"/>
    </w:p>
    <w:p w14:paraId="3D9CA356" w14:textId="6C96FCF6" w:rsidR="00587DCE" w:rsidRPr="00A50E59" w:rsidRDefault="00AD2785" w:rsidP="00DA3575">
      <w:pPr>
        <w:ind w:left="720"/>
      </w:pPr>
      <w:r>
        <w:t>The</w:t>
      </w:r>
      <w:r w:rsidR="00587DCE" w:rsidRPr="00A50E59">
        <w:t xml:space="preserve"> grantee</w:t>
      </w:r>
      <w:r w:rsidR="002B704E">
        <w:t>s</w:t>
      </w:r>
      <w:r w:rsidR="00587DCE" w:rsidRPr="00A50E59">
        <w:t xml:space="preserve"> will collaboratively work with the </w:t>
      </w:r>
      <w:r w:rsidR="00983EA0">
        <w:t>OCDE and BCOE</w:t>
      </w:r>
      <w:r w:rsidR="00587DCE" w:rsidRPr="00A50E59">
        <w:t xml:space="preserve"> to bui</w:t>
      </w:r>
      <w:r w:rsidR="005A759A">
        <w:t>ld the capacity of LEAs</w:t>
      </w:r>
      <w:r w:rsidR="004C6CCD">
        <w:t xml:space="preserve"> </w:t>
      </w:r>
      <w:r w:rsidR="005A759A">
        <w:t>across the state</w:t>
      </w:r>
      <w:r w:rsidR="002A6A37">
        <w:t xml:space="preserve"> </w:t>
      </w:r>
      <w:r w:rsidR="00587DCE" w:rsidRPr="00A50E59">
        <w:t xml:space="preserve">through professional learning </w:t>
      </w:r>
      <w:r w:rsidR="00587DCE">
        <w:t xml:space="preserve">opportunities </w:t>
      </w:r>
      <w:r w:rsidR="000F0350">
        <w:t>focused on SEL;</w:t>
      </w:r>
      <w:r w:rsidR="000F0350" w:rsidRPr="007C76D0">
        <w:t xml:space="preserve"> trauma screening</w:t>
      </w:r>
      <w:r w:rsidR="000F0350">
        <w:t>;</w:t>
      </w:r>
      <w:r w:rsidR="000F0350" w:rsidRPr="007C76D0">
        <w:t xml:space="preserve"> trauma-informed practices</w:t>
      </w:r>
      <w:r w:rsidR="000F0350">
        <w:t>;</w:t>
      </w:r>
      <w:r w:rsidR="000F0350" w:rsidRPr="007C76D0">
        <w:t xml:space="preserve"> and culturally relevant, affirming, and sustaining practices</w:t>
      </w:r>
      <w:r w:rsidR="000F0350">
        <w:t xml:space="preserve"> </w:t>
      </w:r>
      <w:r w:rsidR="00587DCE">
        <w:t xml:space="preserve">for </w:t>
      </w:r>
      <w:r w:rsidR="000F0350">
        <w:t>educators and school leaders</w:t>
      </w:r>
      <w:r w:rsidR="007617E4">
        <w:t xml:space="preserve">, </w:t>
      </w:r>
      <w:r w:rsidR="00CB673C">
        <w:t>t</w:t>
      </w:r>
      <w:r w:rsidR="000F0350">
        <w:t>he content for which the LEA provides training must be aligned to local MTSS and be aligned to the QPLS</w:t>
      </w:r>
      <w:r w:rsidR="00587DCE">
        <w:t>.</w:t>
      </w:r>
      <w:r w:rsidR="00F30CC6">
        <w:t xml:space="preserve"> </w:t>
      </w:r>
      <w:r w:rsidR="005B12FC" w:rsidRPr="005B12FC">
        <w:t xml:space="preserve">The intent of the funding is to ensure that SEL integration is both proximal and distal. In other words, professional learning should support alignment to systems, such as MTSS and other relevant whole </w:t>
      </w:r>
      <w:r w:rsidR="005B12FC" w:rsidRPr="005B12FC">
        <w:lastRenderedPageBreak/>
        <w:t xml:space="preserve">child work, but also ensure change in classroom practice. </w:t>
      </w:r>
      <w:r w:rsidR="005B12FC">
        <w:t>The</w:t>
      </w:r>
      <w:r w:rsidR="00F30CC6">
        <w:t xml:space="preserve"> successful </w:t>
      </w:r>
      <w:r w:rsidR="003E1FC5">
        <w:t>SUMS Partner Entity</w:t>
      </w:r>
      <w:r w:rsidR="00F30CC6">
        <w:t xml:space="preserve"> </w:t>
      </w:r>
      <w:r w:rsidR="00363881">
        <w:t>will</w:t>
      </w:r>
      <w:r w:rsidR="00F30CC6">
        <w:t xml:space="preserve">: </w:t>
      </w:r>
    </w:p>
    <w:p w14:paraId="3D32E8FE" w14:textId="1DB97470" w:rsidR="00215069" w:rsidRDefault="00587DCE" w:rsidP="00F3214B">
      <w:pPr>
        <w:pStyle w:val="ListParagraph"/>
        <w:numPr>
          <w:ilvl w:val="0"/>
          <w:numId w:val="2"/>
        </w:numPr>
      </w:pPr>
      <w:r>
        <w:t>Structure collective learning around an evidence-based cycle of continuous learning and improvement, maintaining a consistent focus on shared goals</w:t>
      </w:r>
      <w:r w:rsidR="00905A1A">
        <w:t>, for the purpose of implementation of strategies in the classroom and schoolwide</w:t>
      </w:r>
      <w:r w:rsidR="00F30CC6">
        <w:t>;</w:t>
      </w:r>
    </w:p>
    <w:p w14:paraId="4562CA9F" w14:textId="7A960AC6" w:rsidR="00663691" w:rsidRDefault="00663691" w:rsidP="00F3214B">
      <w:pPr>
        <w:pStyle w:val="NormalWeb"/>
        <w:numPr>
          <w:ilvl w:val="0"/>
          <w:numId w:val="2"/>
        </w:numPr>
        <w:spacing w:before="0" w:beforeAutospacing="0" w:after="240" w:afterAutospacing="0"/>
        <w:rPr>
          <w:rFonts w:ascii="Arial" w:hAnsi="Arial" w:cs="Arial"/>
        </w:rPr>
      </w:pPr>
      <w:r>
        <w:rPr>
          <w:rFonts w:ascii="Arial" w:hAnsi="Arial" w:cs="Arial"/>
        </w:rPr>
        <w:t>Creat</w:t>
      </w:r>
      <w:r w:rsidR="00235C67">
        <w:rPr>
          <w:rFonts w:ascii="Arial" w:hAnsi="Arial" w:cs="Arial"/>
        </w:rPr>
        <w:t>e</w:t>
      </w:r>
      <w:r>
        <w:rPr>
          <w:rFonts w:ascii="Arial" w:hAnsi="Arial" w:cs="Arial"/>
        </w:rPr>
        <w:t>, collect, and curat</w:t>
      </w:r>
      <w:r w:rsidR="00235C67">
        <w:rPr>
          <w:rFonts w:ascii="Arial" w:hAnsi="Arial" w:cs="Arial"/>
        </w:rPr>
        <w:t>e</w:t>
      </w:r>
      <w:r>
        <w:rPr>
          <w:rFonts w:ascii="Arial" w:hAnsi="Arial" w:cs="Arial"/>
        </w:rPr>
        <w:t xml:space="preserve"> resources for educators</w:t>
      </w:r>
      <w:r w:rsidR="00235C67">
        <w:rPr>
          <w:rFonts w:ascii="Arial" w:hAnsi="Arial" w:cs="Arial"/>
        </w:rPr>
        <w:t xml:space="preserve"> and school leaders</w:t>
      </w:r>
      <w:r>
        <w:rPr>
          <w:rFonts w:ascii="Arial" w:hAnsi="Arial" w:cs="Arial"/>
        </w:rPr>
        <w:t xml:space="preserve"> on </w:t>
      </w:r>
      <w:r w:rsidR="00235C67">
        <w:rPr>
          <w:rFonts w:ascii="Arial" w:hAnsi="Arial" w:cs="Arial"/>
        </w:rPr>
        <w:t>SEL;</w:t>
      </w:r>
      <w:r>
        <w:rPr>
          <w:rFonts w:ascii="Arial" w:hAnsi="Arial" w:cs="Arial"/>
        </w:rPr>
        <w:t xml:space="preserve"> trauma screening</w:t>
      </w:r>
      <w:r w:rsidR="00235C67">
        <w:rPr>
          <w:rFonts w:ascii="Arial" w:hAnsi="Arial" w:cs="Arial"/>
        </w:rPr>
        <w:t>;</w:t>
      </w:r>
      <w:r>
        <w:rPr>
          <w:rFonts w:ascii="Arial" w:hAnsi="Arial" w:cs="Arial"/>
        </w:rPr>
        <w:t xml:space="preserve"> trauma-informed practices</w:t>
      </w:r>
      <w:r w:rsidR="00235C67">
        <w:rPr>
          <w:rFonts w:ascii="Arial" w:hAnsi="Arial" w:cs="Arial"/>
        </w:rPr>
        <w:t>;</w:t>
      </w:r>
      <w:r>
        <w:rPr>
          <w:rFonts w:ascii="Arial" w:hAnsi="Arial" w:cs="Arial"/>
        </w:rPr>
        <w:t xml:space="preserve"> and culturally relevant, affirming, and sustaining practices</w:t>
      </w:r>
      <w:r w:rsidR="00235C67">
        <w:rPr>
          <w:rFonts w:ascii="Arial" w:hAnsi="Arial" w:cs="Arial"/>
        </w:rPr>
        <w:t>,</w:t>
      </w:r>
      <w:r w:rsidR="00235C67" w:rsidRPr="00235C67">
        <w:rPr>
          <w:rFonts w:ascii="Arial" w:eastAsiaTheme="minorHAnsi" w:hAnsi="Arial" w:cstheme="minorBidi"/>
          <w:szCs w:val="22"/>
        </w:rPr>
        <w:t xml:space="preserve"> </w:t>
      </w:r>
      <w:r w:rsidR="00235C67" w:rsidRPr="00235C67">
        <w:rPr>
          <w:rFonts w:ascii="Arial" w:hAnsi="Arial" w:cs="Arial"/>
        </w:rPr>
        <w:t>that are responsive to student diversity, encourage student-directed learning, are evidence-based, and promote collaboration among staff, students and community</w:t>
      </w:r>
      <w:r w:rsidR="00235C67">
        <w:rPr>
          <w:rFonts w:ascii="Arial" w:hAnsi="Arial" w:cs="Arial"/>
        </w:rPr>
        <w:t>;</w:t>
      </w:r>
    </w:p>
    <w:p w14:paraId="6EB4AA33" w14:textId="4AB83692" w:rsidR="00663691" w:rsidRPr="00663691" w:rsidRDefault="00235C67" w:rsidP="00F3214B">
      <w:pPr>
        <w:pStyle w:val="NormalWeb"/>
        <w:numPr>
          <w:ilvl w:val="0"/>
          <w:numId w:val="2"/>
        </w:numPr>
        <w:spacing w:before="0" w:beforeAutospacing="0" w:after="240" w:afterAutospacing="0"/>
        <w:rPr>
          <w:rFonts w:ascii="Arial" w:hAnsi="Arial" w:cs="Arial"/>
        </w:rPr>
      </w:pPr>
      <w:r>
        <w:rPr>
          <w:rFonts w:ascii="Arial" w:hAnsi="Arial" w:cs="Arial"/>
        </w:rPr>
        <w:t>P</w:t>
      </w:r>
      <w:r w:rsidR="00663691">
        <w:rPr>
          <w:rFonts w:ascii="Arial" w:hAnsi="Arial" w:cs="Arial"/>
        </w:rPr>
        <w:t>rovid</w:t>
      </w:r>
      <w:r>
        <w:rPr>
          <w:rFonts w:ascii="Arial" w:hAnsi="Arial" w:cs="Arial"/>
        </w:rPr>
        <w:t>e</w:t>
      </w:r>
      <w:r w:rsidR="00663691">
        <w:rPr>
          <w:rFonts w:ascii="Arial" w:hAnsi="Arial" w:cs="Arial"/>
        </w:rPr>
        <w:t xml:space="preserve"> ongoing training and support in the use of trauma screening tools and mental health service referrals, school climate surveys, and the use of tool and survey data</w:t>
      </w:r>
      <w:r>
        <w:rPr>
          <w:rFonts w:ascii="Arial" w:hAnsi="Arial" w:cs="Arial"/>
        </w:rPr>
        <w:t>; and</w:t>
      </w:r>
    </w:p>
    <w:p w14:paraId="3390B88A" w14:textId="6A446B8A" w:rsidR="00133C83" w:rsidRDefault="00D3715C" w:rsidP="00F3214B">
      <w:pPr>
        <w:pStyle w:val="ListParagraph"/>
        <w:numPr>
          <w:ilvl w:val="0"/>
          <w:numId w:val="2"/>
        </w:numPr>
      </w:pPr>
      <w:r>
        <w:rPr>
          <w:rFonts w:cs="Arial"/>
        </w:rPr>
        <w:t>Provid</w:t>
      </w:r>
      <w:r w:rsidR="004774F2">
        <w:rPr>
          <w:rFonts w:cs="Arial"/>
        </w:rPr>
        <w:t>e</w:t>
      </w:r>
      <w:r>
        <w:rPr>
          <w:rFonts w:cs="Arial"/>
        </w:rPr>
        <w:t xml:space="preserve"> ongoing training and coaching to educators and school leaders which f</w:t>
      </w:r>
      <w:r w:rsidR="00587DCE" w:rsidRPr="000F0350">
        <w:t>acilitate</w:t>
      </w:r>
      <w:r>
        <w:t>s</w:t>
      </w:r>
      <w:r w:rsidR="00587DCE" w:rsidRPr="000F0350">
        <w:t xml:space="preserve"> cycles of feedback and reflection that are spaced over time through opportunities for </w:t>
      </w:r>
      <w:r w:rsidR="00663691">
        <w:t>educators</w:t>
      </w:r>
      <w:r w:rsidR="00587DCE" w:rsidRPr="000F0350">
        <w:t xml:space="preserve"> to solicit and receive feedback and input to change instructional practice</w:t>
      </w:r>
      <w:r w:rsidR="00F30CC6" w:rsidRPr="000F0350">
        <w:t>.</w:t>
      </w:r>
    </w:p>
    <w:p w14:paraId="180D0A01" w14:textId="2593D64B" w:rsidR="002231C6" w:rsidRDefault="00587DCE" w:rsidP="00BA2E0C">
      <w:pPr>
        <w:ind w:left="360" w:firstLine="360"/>
      </w:pPr>
      <w:r w:rsidRPr="00A50E59">
        <w:t>The professional learning opportunities may include, but are not limited to:</w:t>
      </w:r>
    </w:p>
    <w:p w14:paraId="1B9E8C64" w14:textId="753779BD" w:rsidR="0024569E" w:rsidRDefault="00695617" w:rsidP="00F3214B">
      <w:pPr>
        <w:pStyle w:val="ListParagraph"/>
        <w:numPr>
          <w:ilvl w:val="0"/>
          <w:numId w:val="3"/>
        </w:numPr>
      </w:pPr>
      <w:r>
        <w:t xml:space="preserve">Convening </w:t>
      </w:r>
      <w:r w:rsidRPr="00695617">
        <w:t>communit</w:t>
      </w:r>
      <w:r>
        <w:t>ies</w:t>
      </w:r>
      <w:r w:rsidRPr="00695617">
        <w:t xml:space="preserve"> of practice</w:t>
      </w:r>
      <w:r>
        <w:t>, where</w:t>
      </w:r>
      <w:r w:rsidRPr="00695617">
        <w:t xml:space="preserve"> group</w:t>
      </w:r>
      <w:r>
        <w:t>s</w:t>
      </w:r>
      <w:r w:rsidRPr="00695617">
        <w:t xml:space="preserve"> of </w:t>
      </w:r>
      <w:r>
        <w:t>educators and school leaders</w:t>
      </w:r>
      <w:r w:rsidRPr="00695617">
        <w:t xml:space="preserve"> come together to fulfill both individual and group goals</w:t>
      </w:r>
      <w:r>
        <w:t xml:space="preserve"> related to </w:t>
      </w:r>
      <w:r>
        <w:rPr>
          <w:rFonts w:cs="Arial"/>
        </w:rPr>
        <w:t>SEL; trauma screening; trauma-informed practices; and culturally relevant, affirming, and sustaining practices;</w:t>
      </w:r>
    </w:p>
    <w:p w14:paraId="247532DE" w14:textId="77777777" w:rsidR="006D3992" w:rsidRDefault="006D3992" w:rsidP="00F3214B">
      <w:pPr>
        <w:pStyle w:val="ListParagraph"/>
        <w:numPr>
          <w:ilvl w:val="0"/>
          <w:numId w:val="3"/>
        </w:numPr>
      </w:pPr>
      <w:r>
        <w:t>Providing coaching and coaching support focused on educator and school leader needs;</w:t>
      </w:r>
    </w:p>
    <w:p w14:paraId="4CB61245" w14:textId="4C681494" w:rsidR="006D3992" w:rsidRPr="0024569E" w:rsidRDefault="006D3992" w:rsidP="00F3214B">
      <w:pPr>
        <w:pStyle w:val="ListParagraph"/>
        <w:numPr>
          <w:ilvl w:val="0"/>
          <w:numId w:val="3"/>
        </w:numPr>
      </w:pPr>
      <w:r>
        <w:t xml:space="preserve">Identifying and sharing models of effective practice to provide exemplars of how to integrate </w:t>
      </w:r>
      <w:r>
        <w:rPr>
          <w:rFonts w:cs="Arial"/>
        </w:rPr>
        <w:t>SEL; trauma screening; trauma-informed practices; and culturally relevant, affirming, and sustaining practices,</w:t>
      </w:r>
      <w:r w:rsidRPr="00235C67">
        <w:t xml:space="preserve"> </w:t>
      </w:r>
      <w:r>
        <w:t>into classroom and school culture and practices;</w:t>
      </w:r>
      <w:r w:rsidRPr="0024569E">
        <w:rPr>
          <w:rFonts w:cs="Arial"/>
        </w:rPr>
        <w:t xml:space="preserve"> </w:t>
      </w:r>
    </w:p>
    <w:p w14:paraId="6F07D76F" w14:textId="288913D9" w:rsidR="00BA2E0C" w:rsidRPr="00AA0CA7" w:rsidRDefault="006608E6" w:rsidP="00F3214B">
      <w:pPr>
        <w:pStyle w:val="ListParagraph"/>
        <w:numPr>
          <w:ilvl w:val="0"/>
          <w:numId w:val="3"/>
        </w:numPr>
      </w:pPr>
      <w:r w:rsidRPr="00A50E59">
        <w:t xml:space="preserve">Creating professional learning materials to inform </w:t>
      </w:r>
      <w:r w:rsidR="001E2ED3">
        <w:rPr>
          <w:rFonts w:cs="Arial"/>
        </w:rPr>
        <w:t>educators and school leaders in practices to implement</w:t>
      </w:r>
      <w:r w:rsidRPr="00A50E59">
        <w:t xml:space="preserve"> </w:t>
      </w:r>
      <w:r w:rsidR="001E2ED3">
        <w:rPr>
          <w:rFonts w:cs="Arial"/>
        </w:rPr>
        <w:t>SEL; trauma screening; trauma-informed practices; and culturally relevant, affirming, and sustaining practices</w:t>
      </w:r>
      <w:r w:rsidR="00CC3604">
        <w:t>.</w:t>
      </w:r>
    </w:p>
    <w:p w14:paraId="3A3150C2" w14:textId="3983FBC2" w:rsidR="008B5A9A" w:rsidRDefault="003C7EA5" w:rsidP="008B5A9A">
      <w:pPr>
        <w:ind w:left="720"/>
      </w:pPr>
      <w:r>
        <w:t>Professional learning resulting from this funding should be aligned to the QPLS.</w:t>
      </w:r>
      <w:r w:rsidR="00ED2383" w:rsidRPr="00491625">
        <w:t xml:space="preserve"> The </w:t>
      </w:r>
      <w:r w:rsidR="00ED2383" w:rsidRPr="00025F31">
        <w:t xml:space="preserve">QPLS serve as a foundation for the content, processes, and conditions essential to all educator professional learning over time, which leads to improved educator knowledge, skills, and dispositions. Seven interdependent standards support professional learning that is rooted in student and educator needs </w:t>
      </w:r>
      <w:r w:rsidR="00ED2383" w:rsidRPr="00025F31">
        <w:lastRenderedPageBreak/>
        <w:t xml:space="preserve">demonstrated through data; focused on content and pedagogy; designed to ensure equitable outcomes; designed and structured to be ongoing, intensive, and embedded in practice; collaborative with an emphasis on shared accountability; supported by adequate resources; and coherent and aligned with other standards, policies, and programs. More information about the QPLS is available at </w:t>
      </w:r>
      <w:hyperlink r:id="rId23" w:tooltip="CDE Quality Professional Learning Standards web page" w:history="1">
        <w:r w:rsidR="00556585">
          <w:rPr>
            <w:rStyle w:val="Hyperlink"/>
          </w:rPr>
          <w:t>https://www.cde.ca.gov/ci/pl/qpls.asp</w:t>
        </w:r>
      </w:hyperlink>
      <w:r w:rsidR="00ED2383" w:rsidRPr="00025F31">
        <w:rPr>
          <w:rStyle w:val="Hyperlink"/>
          <w:color w:val="auto"/>
          <w:u w:val="none"/>
        </w:rPr>
        <w:t>.</w:t>
      </w:r>
      <w:r w:rsidR="008B5A9A" w:rsidRPr="008B5A9A">
        <w:t xml:space="preserve"> </w:t>
      </w:r>
    </w:p>
    <w:p w14:paraId="7EF2CD8E" w14:textId="6BEE90AE" w:rsidR="008B5A9A" w:rsidRDefault="008B5A9A" w:rsidP="008B5A9A">
      <w:pPr>
        <w:ind w:left="720"/>
      </w:pPr>
      <w:r>
        <w:t>Professional learning opportunities must conform to the best evidence regarding effective learning for educators. This includes, but is not limited to, the QPLS and sample indicators described in Table 1.</w:t>
      </w:r>
    </w:p>
    <w:p w14:paraId="1A01E18B" w14:textId="77777777" w:rsidR="00540C78" w:rsidRDefault="00956496" w:rsidP="00BD670D">
      <w:pPr>
        <w:pStyle w:val="Heading3"/>
        <w:numPr>
          <w:ilvl w:val="0"/>
          <w:numId w:val="0"/>
        </w:numPr>
        <w:ind w:left="720" w:hanging="360"/>
      </w:pPr>
      <w:bookmarkStart w:id="32" w:name="_Toc86997793"/>
      <w:r>
        <w:t xml:space="preserve">Table 1. </w:t>
      </w:r>
      <w:r w:rsidR="002C69E7">
        <w:t>Quality Professional Learning Standards</w:t>
      </w:r>
      <w:r>
        <w:t xml:space="preserve"> and Sample Indicators</w:t>
      </w:r>
      <w:bookmarkEnd w:id="32"/>
    </w:p>
    <w:tbl>
      <w:tblPr>
        <w:tblStyle w:val="GridTable41"/>
        <w:tblW w:w="9512" w:type="dxa"/>
        <w:tblLayout w:type="fixed"/>
        <w:tblLook w:val="0620" w:firstRow="1" w:lastRow="0" w:firstColumn="0" w:lastColumn="0" w:noHBand="1" w:noVBand="1"/>
        <w:tblDescription w:val="Standard and Sample Indicators Table."/>
      </w:tblPr>
      <w:tblGrid>
        <w:gridCol w:w="2942"/>
        <w:gridCol w:w="6570"/>
      </w:tblGrid>
      <w:tr w:rsidR="00956496" w:rsidRPr="0024310B" w14:paraId="7F39E9E6" w14:textId="77777777" w:rsidTr="00000038">
        <w:trPr>
          <w:cnfStyle w:val="100000000000" w:firstRow="1" w:lastRow="0" w:firstColumn="0" w:lastColumn="0" w:oddVBand="0" w:evenVBand="0" w:oddHBand="0" w:evenHBand="0" w:firstRowFirstColumn="0" w:firstRowLastColumn="0" w:lastRowFirstColumn="0" w:lastRowLastColumn="0"/>
          <w:cantSplit/>
          <w:tblHeader/>
        </w:trPr>
        <w:tc>
          <w:tcPr>
            <w:tcW w:w="2942" w:type="dxa"/>
            <w:shd w:val="clear" w:color="auto" w:fill="D9D9D9" w:themeFill="background1" w:themeFillShade="D9"/>
          </w:tcPr>
          <w:p w14:paraId="5536566E" w14:textId="77777777" w:rsidR="00956496" w:rsidRPr="00A05C89" w:rsidRDefault="0094302D" w:rsidP="00A05C89">
            <w:pPr>
              <w:spacing w:before="120" w:after="120"/>
              <w:jc w:val="center"/>
              <w:rPr>
                <w:b w:val="0"/>
              </w:rPr>
            </w:pPr>
            <w:r w:rsidRPr="00000038">
              <w:rPr>
                <w:color w:val="auto"/>
              </w:rPr>
              <w:t>Standard</w:t>
            </w:r>
          </w:p>
        </w:tc>
        <w:tc>
          <w:tcPr>
            <w:tcW w:w="6570" w:type="dxa"/>
            <w:shd w:val="clear" w:color="auto" w:fill="D9D9D9" w:themeFill="background1" w:themeFillShade="D9"/>
          </w:tcPr>
          <w:p w14:paraId="209E9800" w14:textId="77777777" w:rsidR="00956496" w:rsidRPr="00A05C89" w:rsidRDefault="0094302D" w:rsidP="00A05C89">
            <w:pPr>
              <w:spacing w:before="120" w:after="120"/>
              <w:jc w:val="center"/>
              <w:rPr>
                <w:b w:val="0"/>
              </w:rPr>
            </w:pPr>
            <w:r w:rsidRPr="00000038">
              <w:rPr>
                <w:color w:val="auto"/>
              </w:rPr>
              <w:t>Sample Indicators</w:t>
            </w:r>
          </w:p>
        </w:tc>
      </w:tr>
      <w:tr w:rsidR="00956496" w:rsidRPr="0024310B" w14:paraId="3703CA02" w14:textId="77777777" w:rsidTr="00000038">
        <w:trPr>
          <w:cantSplit/>
        </w:trPr>
        <w:tc>
          <w:tcPr>
            <w:tcW w:w="2942" w:type="dxa"/>
          </w:tcPr>
          <w:p w14:paraId="6BCF1BB5" w14:textId="77777777" w:rsidR="00956496" w:rsidRPr="0094302D" w:rsidRDefault="0094302D" w:rsidP="00A05C89">
            <w:pPr>
              <w:spacing w:before="120" w:after="120"/>
            </w:pPr>
            <w:r>
              <w:rPr>
                <w:b/>
              </w:rPr>
              <w:t>Data</w:t>
            </w:r>
            <w:r w:rsidRPr="002C69E7">
              <w:rPr>
                <w:b/>
              </w:rPr>
              <w:t>:</w:t>
            </w:r>
            <w:r>
              <w:t xml:space="preserve"> Uses varied sources and kinds of information to guide priorities, design, and assessment</w:t>
            </w:r>
          </w:p>
        </w:tc>
        <w:tc>
          <w:tcPr>
            <w:tcW w:w="6570" w:type="dxa"/>
          </w:tcPr>
          <w:p w14:paraId="0366D20A" w14:textId="77777777" w:rsidR="00956496" w:rsidRDefault="0094302D" w:rsidP="00F3214B">
            <w:pPr>
              <w:pStyle w:val="ListParagraph"/>
              <w:numPr>
                <w:ilvl w:val="0"/>
                <w:numId w:val="4"/>
              </w:numPr>
              <w:spacing w:before="120"/>
              <w:ind w:left="360"/>
            </w:pPr>
            <w:r>
              <w:t>Uses formative and summative student achievement data, disaggregated by race, gender, English language learner status, special needs, foster youth, and/or socio-economic status, to identify critical student needs that require improved instruction, support</w:t>
            </w:r>
            <w:r w:rsidR="002C69E7">
              <w:t>,</w:t>
            </w:r>
            <w:r>
              <w:t xml:space="preserve"> and leadership</w:t>
            </w:r>
          </w:p>
          <w:p w14:paraId="1A9470AC" w14:textId="77777777" w:rsidR="0094302D" w:rsidRDefault="0094302D" w:rsidP="00F3214B">
            <w:pPr>
              <w:pStyle w:val="ListParagraph"/>
              <w:numPr>
                <w:ilvl w:val="0"/>
                <w:numId w:val="4"/>
              </w:numPr>
              <w:spacing w:before="120"/>
              <w:ind w:left="360"/>
            </w:pPr>
            <w:r>
              <w:t>Develops educators’ ability to meet students’ academic, cultural, social, physical, and emotional needs</w:t>
            </w:r>
          </w:p>
          <w:p w14:paraId="4BB34250" w14:textId="77777777" w:rsidR="0094302D" w:rsidRPr="0094302D" w:rsidRDefault="00425714" w:rsidP="00F3214B">
            <w:pPr>
              <w:pStyle w:val="ListParagraph"/>
              <w:numPr>
                <w:ilvl w:val="0"/>
                <w:numId w:val="4"/>
              </w:numPr>
              <w:spacing w:before="120" w:after="120"/>
              <w:ind w:left="360"/>
            </w:pPr>
            <w:r>
              <w:t>Collects and reviews evidence of changes and/or improvements in collective practice</w:t>
            </w:r>
          </w:p>
        </w:tc>
      </w:tr>
      <w:tr w:rsidR="00956496" w:rsidRPr="0024310B" w14:paraId="17A0784E" w14:textId="77777777" w:rsidTr="00000038">
        <w:trPr>
          <w:cantSplit/>
        </w:trPr>
        <w:tc>
          <w:tcPr>
            <w:tcW w:w="2942" w:type="dxa"/>
          </w:tcPr>
          <w:p w14:paraId="27698B7D" w14:textId="77777777" w:rsidR="00956496" w:rsidRPr="00A05C89" w:rsidRDefault="00447257" w:rsidP="00A05C89">
            <w:pPr>
              <w:spacing w:before="120" w:after="120"/>
            </w:pPr>
            <w:r w:rsidRPr="007B2D33">
              <w:rPr>
                <w:b/>
              </w:rPr>
              <w:lastRenderedPageBreak/>
              <w:t>Content and Pedagogy</w:t>
            </w:r>
            <w:r w:rsidRPr="002C69E7">
              <w:rPr>
                <w:b/>
              </w:rPr>
              <w:t>:</w:t>
            </w:r>
            <w:r w:rsidRPr="00A05C89">
              <w:t xml:space="preserve"> Enhances educators’ expertise to increase students’ capacity to learn and thrive</w:t>
            </w:r>
          </w:p>
        </w:tc>
        <w:tc>
          <w:tcPr>
            <w:tcW w:w="6570" w:type="dxa"/>
          </w:tcPr>
          <w:p w14:paraId="17190F4F" w14:textId="77777777" w:rsidR="00447257" w:rsidRPr="00A05C89" w:rsidRDefault="00447257" w:rsidP="00F3214B">
            <w:pPr>
              <w:pStyle w:val="ListParagraph"/>
              <w:numPr>
                <w:ilvl w:val="0"/>
                <w:numId w:val="4"/>
              </w:numPr>
              <w:spacing w:before="120"/>
              <w:ind w:left="360"/>
            </w:pPr>
            <w:r w:rsidRPr="00A05C89">
              <w:t>Focuses on specific teaching strategies associated with discipline-specific curriculum content that supports teacher learning within the teachers’ classroom contexts</w:t>
            </w:r>
          </w:p>
          <w:p w14:paraId="376CF575" w14:textId="77777777" w:rsidR="00447257" w:rsidRPr="00A05C89" w:rsidRDefault="00447257" w:rsidP="00F3214B">
            <w:pPr>
              <w:pStyle w:val="ListParagraph"/>
              <w:numPr>
                <w:ilvl w:val="0"/>
                <w:numId w:val="4"/>
              </w:numPr>
              <w:spacing w:before="120"/>
              <w:ind w:left="360"/>
            </w:pPr>
            <w:r w:rsidRPr="00A05C89">
              <w:t>Deepens and extends subject-matter knowledge within educators’ own discipline and across other disciplines</w:t>
            </w:r>
          </w:p>
          <w:p w14:paraId="6A116656" w14:textId="77777777" w:rsidR="00447257" w:rsidRPr="00A05C89" w:rsidRDefault="00447257" w:rsidP="00F3214B">
            <w:pPr>
              <w:pStyle w:val="ListParagraph"/>
              <w:numPr>
                <w:ilvl w:val="0"/>
                <w:numId w:val="4"/>
              </w:numPr>
              <w:spacing w:before="120"/>
              <w:ind w:left="360"/>
            </w:pPr>
            <w:r w:rsidRPr="00A05C89">
              <w:t>Increases educators’ use of linguistically and culturally responsive materials</w:t>
            </w:r>
          </w:p>
          <w:p w14:paraId="388FF378" w14:textId="77777777" w:rsidR="00447257" w:rsidRPr="00A05C89" w:rsidRDefault="00447257" w:rsidP="00F3214B">
            <w:pPr>
              <w:pStyle w:val="ListParagraph"/>
              <w:numPr>
                <w:ilvl w:val="0"/>
                <w:numId w:val="4"/>
              </w:numPr>
              <w:spacing w:before="120"/>
              <w:ind w:left="360"/>
            </w:pPr>
            <w:r w:rsidRPr="00A05C89">
              <w:t>Creates multiple opportunities, in different settings, including built-in time for educators to practice, to receive feedback, and to revise their practice by the facilitation of reflection and solicitation of feedback</w:t>
            </w:r>
          </w:p>
          <w:p w14:paraId="057C1099" w14:textId="77777777" w:rsidR="00447257" w:rsidRPr="00A05C89" w:rsidRDefault="00447257" w:rsidP="00F3214B">
            <w:pPr>
              <w:pStyle w:val="ListParagraph"/>
              <w:numPr>
                <w:ilvl w:val="0"/>
                <w:numId w:val="4"/>
              </w:numPr>
              <w:spacing w:before="120"/>
              <w:ind w:left="360"/>
            </w:pPr>
            <w:r w:rsidRPr="00A05C89">
              <w:t>Uses instructional techniques and strategies, such as using authentic artifacts and interactive activities, that educators then use with students</w:t>
            </w:r>
          </w:p>
          <w:p w14:paraId="0395746F" w14:textId="77777777" w:rsidR="00956496" w:rsidRPr="00A05C89" w:rsidRDefault="00447257" w:rsidP="00F3214B">
            <w:pPr>
              <w:pStyle w:val="ListParagraph"/>
              <w:numPr>
                <w:ilvl w:val="0"/>
                <w:numId w:val="4"/>
              </w:numPr>
              <w:spacing w:before="120" w:after="120"/>
              <w:ind w:left="360"/>
            </w:pPr>
            <w:r w:rsidRPr="00A05C89">
              <w:t>Develops knowledge of, and skills for, how to address students’ academic, cultural, social, physical, and emotional well-being</w:t>
            </w:r>
          </w:p>
        </w:tc>
      </w:tr>
      <w:tr w:rsidR="00956496" w:rsidRPr="0024310B" w14:paraId="482A81F5" w14:textId="77777777" w:rsidTr="00000038">
        <w:trPr>
          <w:cantSplit/>
        </w:trPr>
        <w:tc>
          <w:tcPr>
            <w:tcW w:w="2942" w:type="dxa"/>
          </w:tcPr>
          <w:p w14:paraId="023401BC" w14:textId="77777777" w:rsidR="00956496" w:rsidRPr="00A05C89" w:rsidRDefault="006A636A" w:rsidP="00A05C89">
            <w:pPr>
              <w:spacing w:before="120" w:after="120"/>
            </w:pPr>
            <w:r w:rsidRPr="007B2D33">
              <w:rPr>
                <w:b/>
              </w:rPr>
              <w:t>Equity</w:t>
            </w:r>
            <w:r w:rsidRPr="002C69E7">
              <w:rPr>
                <w:b/>
              </w:rPr>
              <w:t>:</w:t>
            </w:r>
            <w:r w:rsidRPr="00A05C89">
              <w:t xml:space="preserve"> </w:t>
            </w:r>
            <w:r>
              <w:t>Focuses on equitable access, opportunities, and outcomes for all students, with an emphasis on addressing achievement and opportunity disparities between student groups</w:t>
            </w:r>
          </w:p>
        </w:tc>
        <w:tc>
          <w:tcPr>
            <w:tcW w:w="6570" w:type="dxa"/>
          </w:tcPr>
          <w:p w14:paraId="20334205" w14:textId="77777777" w:rsidR="006A636A" w:rsidRPr="00165A86" w:rsidRDefault="006A636A" w:rsidP="00F3214B">
            <w:pPr>
              <w:pStyle w:val="ListParagraph"/>
              <w:numPr>
                <w:ilvl w:val="0"/>
                <w:numId w:val="4"/>
              </w:numPr>
              <w:spacing w:before="120" w:after="120"/>
              <w:ind w:left="360"/>
            </w:pPr>
            <w:r w:rsidRPr="00165A86">
              <w:t>Helps educators develop and understand that building on students’ abilities, perspectives, and potential contributes to increased student learning</w:t>
            </w:r>
          </w:p>
          <w:p w14:paraId="6978808D" w14:textId="77777777" w:rsidR="006A636A" w:rsidRPr="00165A86" w:rsidRDefault="006A636A" w:rsidP="00F3214B">
            <w:pPr>
              <w:pStyle w:val="ListParagraph"/>
              <w:numPr>
                <w:ilvl w:val="0"/>
                <w:numId w:val="4"/>
              </w:numPr>
              <w:spacing w:before="120"/>
              <w:ind w:left="360"/>
            </w:pPr>
            <w:r w:rsidRPr="00165A86">
              <w:t>Ensures that all educators have equitable access to effective professional learning and support</w:t>
            </w:r>
          </w:p>
          <w:p w14:paraId="4EE87DAF" w14:textId="77777777" w:rsidR="00956496" w:rsidRPr="0024310B" w:rsidRDefault="006A636A" w:rsidP="00F3214B">
            <w:pPr>
              <w:pStyle w:val="ListParagraph"/>
              <w:numPr>
                <w:ilvl w:val="0"/>
                <w:numId w:val="4"/>
              </w:numPr>
              <w:spacing w:before="120" w:after="120"/>
              <w:ind w:left="360"/>
            </w:pPr>
            <w:r w:rsidRPr="00165A86">
              <w:t>Supports educators to build trusting relationships with students, their families, communities, and one another; provide messages of high expectations; and create opportunities for meaningful participation</w:t>
            </w:r>
          </w:p>
        </w:tc>
      </w:tr>
      <w:tr w:rsidR="00956496" w:rsidRPr="0024310B" w14:paraId="47AA5237" w14:textId="77777777" w:rsidTr="00000038">
        <w:trPr>
          <w:cantSplit/>
        </w:trPr>
        <w:tc>
          <w:tcPr>
            <w:tcW w:w="2942" w:type="dxa"/>
          </w:tcPr>
          <w:p w14:paraId="21C8769D" w14:textId="77777777" w:rsidR="00956496" w:rsidRPr="00A05C89" w:rsidRDefault="006A636A" w:rsidP="006F61BF">
            <w:pPr>
              <w:spacing w:before="120" w:after="120"/>
            </w:pPr>
            <w:r w:rsidRPr="00825DA4">
              <w:rPr>
                <w:b/>
              </w:rPr>
              <w:lastRenderedPageBreak/>
              <w:t>Design and Structure</w:t>
            </w:r>
            <w:r w:rsidRPr="002C69E7">
              <w:rPr>
                <w:b/>
              </w:rPr>
              <w:t>:</w:t>
            </w:r>
            <w:r w:rsidRPr="00A05C89">
              <w:t xml:space="preserve"> </w:t>
            </w:r>
            <w:r>
              <w:t>Reflects evidence-based approaches, recognizing that focused, sustained learning enables educators to acquire, implement, and assess improved practices</w:t>
            </w:r>
          </w:p>
        </w:tc>
        <w:tc>
          <w:tcPr>
            <w:tcW w:w="6570" w:type="dxa"/>
          </w:tcPr>
          <w:p w14:paraId="227B1A03" w14:textId="77777777" w:rsidR="006A636A" w:rsidRPr="00165A86" w:rsidRDefault="006A636A" w:rsidP="00F3214B">
            <w:pPr>
              <w:pStyle w:val="ListParagraph"/>
              <w:numPr>
                <w:ilvl w:val="0"/>
                <w:numId w:val="4"/>
              </w:numPr>
              <w:spacing w:before="120"/>
              <w:ind w:left="360"/>
            </w:pPr>
            <w:r w:rsidRPr="00165A86">
              <w:t>Provides educators with dedicated time within the school schedule and leverages extended-time opportunities to learn, practice, implement, assess, and reflect upon new strategies that facilitate changes in their practice</w:t>
            </w:r>
          </w:p>
          <w:p w14:paraId="67A1A8AC" w14:textId="77777777" w:rsidR="006A636A" w:rsidRPr="00165A86" w:rsidRDefault="006A636A" w:rsidP="00F3214B">
            <w:pPr>
              <w:pStyle w:val="ListParagraph"/>
              <w:numPr>
                <w:ilvl w:val="0"/>
                <w:numId w:val="4"/>
              </w:numPr>
              <w:spacing w:before="120"/>
              <w:ind w:left="360"/>
            </w:pPr>
            <w:r w:rsidRPr="00165A86">
              <w:t>Uses curriculum models, such as lesson plans; unit plans; sample student work; observations of peer teachers; and video or written cases of teaching, that provides teachers with a clear vision of effective practices</w:t>
            </w:r>
          </w:p>
          <w:p w14:paraId="3FD0C88B" w14:textId="77777777" w:rsidR="00956496" w:rsidRPr="0024310B" w:rsidRDefault="006A636A" w:rsidP="00F3214B">
            <w:pPr>
              <w:pStyle w:val="ListParagraph"/>
              <w:numPr>
                <w:ilvl w:val="0"/>
                <w:numId w:val="4"/>
              </w:numPr>
              <w:spacing w:before="120" w:after="120"/>
              <w:ind w:left="360"/>
            </w:pPr>
            <w:r w:rsidRPr="00165A86">
              <w:t>Actively engages educators in inquiry centered on authentic problems and instructional practices designed to be job-embedded and situated in as realistic as possible work setting of the learner so that theoretical learning and its practical applications are directly linked</w:t>
            </w:r>
          </w:p>
        </w:tc>
      </w:tr>
      <w:tr w:rsidR="00956496" w:rsidRPr="0024310B" w14:paraId="2971546E" w14:textId="77777777" w:rsidTr="00000038">
        <w:trPr>
          <w:cantSplit/>
        </w:trPr>
        <w:tc>
          <w:tcPr>
            <w:tcW w:w="2942" w:type="dxa"/>
          </w:tcPr>
          <w:p w14:paraId="6C20DA06" w14:textId="77777777" w:rsidR="00956496" w:rsidRPr="00A05C89" w:rsidRDefault="006A636A" w:rsidP="002C69E7">
            <w:pPr>
              <w:spacing w:before="120" w:after="120"/>
            </w:pPr>
            <w:r w:rsidRPr="00825DA4">
              <w:rPr>
                <w:b/>
              </w:rPr>
              <w:t>Collaboration and Shared Accountability</w:t>
            </w:r>
            <w:r w:rsidRPr="002C69E7">
              <w:rPr>
                <w:b/>
              </w:rPr>
              <w:t xml:space="preserve">: </w:t>
            </w:r>
            <w:r>
              <w:t>Facilitates the development of a shared purpose for student learning and collective responsibility for achieving it</w:t>
            </w:r>
          </w:p>
        </w:tc>
        <w:tc>
          <w:tcPr>
            <w:tcW w:w="6570" w:type="dxa"/>
          </w:tcPr>
          <w:p w14:paraId="43591469" w14:textId="77777777" w:rsidR="006A636A" w:rsidRPr="00165A86" w:rsidRDefault="006A636A" w:rsidP="00F3214B">
            <w:pPr>
              <w:pStyle w:val="ListParagraph"/>
              <w:numPr>
                <w:ilvl w:val="0"/>
                <w:numId w:val="4"/>
              </w:numPr>
              <w:spacing w:before="120"/>
              <w:ind w:left="360"/>
            </w:pPr>
            <w:r w:rsidRPr="00165A86">
              <w:t>Ensures that educators interact with content and are provided space to share ideas and collaborate in the learning, often job-embedded contexts, to create communities that positively change the culture and instruction of their entire grade level, department, school, and/or district</w:t>
            </w:r>
          </w:p>
          <w:p w14:paraId="4B70E047" w14:textId="77777777" w:rsidR="006A636A" w:rsidRPr="00165A86" w:rsidRDefault="006A636A" w:rsidP="00F3214B">
            <w:pPr>
              <w:pStyle w:val="ListParagraph"/>
              <w:numPr>
                <w:ilvl w:val="0"/>
                <w:numId w:val="4"/>
              </w:numPr>
              <w:spacing w:before="120"/>
              <w:ind w:left="360"/>
            </w:pPr>
            <w:r w:rsidRPr="00165A86">
              <w:t>Sets clear purposes, goals, and working agreements that support the sharing of practices and results within a safe and supportive environment</w:t>
            </w:r>
          </w:p>
          <w:p w14:paraId="4458DF5B" w14:textId="77777777" w:rsidR="006A636A" w:rsidRPr="00165A86" w:rsidRDefault="006A636A" w:rsidP="00F3214B">
            <w:pPr>
              <w:pStyle w:val="ListParagraph"/>
              <w:numPr>
                <w:ilvl w:val="0"/>
                <w:numId w:val="4"/>
              </w:numPr>
              <w:spacing w:before="120"/>
              <w:ind w:left="360"/>
            </w:pPr>
            <w:r w:rsidRPr="00165A86">
              <w:t>Structures collective learning around an evidence-based cycle of continuous learning and improvement, maintaining a consistent focus on shared goals</w:t>
            </w:r>
          </w:p>
          <w:p w14:paraId="207D7E8D" w14:textId="77777777" w:rsidR="006A636A" w:rsidRPr="00165A86" w:rsidRDefault="006A636A" w:rsidP="00F3214B">
            <w:pPr>
              <w:pStyle w:val="ListParagraph"/>
              <w:numPr>
                <w:ilvl w:val="0"/>
                <w:numId w:val="4"/>
              </w:numPr>
              <w:spacing w:before="120"/>
              <w:ind w:left="360"/>
            </w:pPr>
            <w:r w:rsidRPr="00165A86">
              <w:t>Capitalizes on relationships with networks that have specialized expertise or resources, in order to extend educators’ access to resources not available locally</w:t>
            </w:r>
          </w:p>
          <w:p w14:paraId="096CAE8F" w14:textId="77777777" w:rsidR="00956496" w:rsidRPr="0024310B" w:rsidRDefault="006A636A" w:rsidP="00F3214B">
            <w:pPr>
              <w:pStyle w:val="ListParagraph"/>
              <w:numPr>
                <w:ilvl w:val="0"/>
                <w:numId w:val="4"/>
              </w:numPr>
              <w:spacing w:before="120" w:after="120"/>
              <w:ind w:left="360"/>
            </w:pPr>
            <w:r w:rsidRPr="00165A86">
              <w:t>Uses technology to support cross-community communication and extend educators’ access to learning and resources</w:t>
            </w:r>
          </w:p>
        </w:tc>
      </w:tr>
      <w:tr w:rsidR="00956496" w:rsidRPr="0024310B" w14:paraId="31DE12F8" w14:textId="77777777" w:rsidTr="00000038">
        <w:trPr>
          <w:cantSplit/>
        </w:trPr>
        <w:tc>
          <w:tcPr>
            <w:tcW w:w="2942" w:type="dxa"/>
          </w:tcPr>
          <w:p w14:paraId="7BC0C770" w14:textId="77777777" w:rsidR="00956496" w:rsidRPr="00A05C89" w:rsidRDefault="006A636A" w:rsidP="002C69E7">
            <w:pPr>
              <w:spacing w:before="120" w:after="120"/>
            </w:pPr>
            <w:r w:rsidRPr="00825DA4">
              <w:rPr>
                <w:b/>
              </w:rPr>
              <w:lastRenderedPageBreak/>
              <w:t>Resources</w:t>
            </w:r>
            <w:r w:rsidRPr="002C69E7">
              <w:rPr>
                <w:b/>
              </w:rPr>
              <w:t>:</w:t>
            </w:r>
            <w:r w:rsidRPr="00A05C89">
              <w:t xml:space="preserve"> </w:t>
            </w:r>
            <w:r>
              <w:t>Dedicates resources that are adequate, accessible, and allocated appropriately toward established priorities and outcomes</w:t>
            </w:r>
          </w:p>
        </w:tc>
        <w:tc>
          <w:tcPr>
            <w:tcW w:w="6570" w:type="dxa"/>
          </w:tcPr>
          <w:p w14:paraId="2DB01ED5" w14:textId="77777777" w:rsidR="006A636A" w:rsidRPr="00165A86" w:rsidRDefault="006A636A" w:rsidP="00F3214B">
            <w:pPr>
              <w:pStyle w:val="ListParagraph"/>
              <w:numPr>
                <w:ilvl w:val="0"/>
                <w:numId w:val="4"/>
              </w:numPr>
              <w:spacing w:before="120"/>
              <w:ind w:left="360"/>
            </w:pPr>
            <w:r w:rsidRPr="00165A86">
              <w:t>Recognizes the leadership capacity of internal staff to present, facilitate, or coach targeted professional learning</w:t>
            </w:r>
          </w:p>
          <w:p w14:paraId="589B90B1" w14:textId="77777777" w:rsidR="006A636A" w:rsidRPr="00165A86" w:rsidRDefault="006A636A" w:rsidP="00F3214B">
            <w:pPr>
              <w:pStyle w:val="ListParagraph"/>
              <w:numPr>
                <w:ilvl w:val="0"/>
                <w:numId w:val="4"/>
              </w:numPr>
              <w:spacing w:before="120"/>
              <w:ind w:left="360"/>
            </w:pPr>
            <w:r w:rsidRPr="00165A86">
              <w:t>Capitalizes on flexible staffing arrangements that allow for peer-to-peer learning</w:t>
            </w:r>
          </w:p>
          <w:p w14:paraId="630AC2CC" w14:textId="77777777" w:rsidR="006A636A" w:rsidRPr="00165A86" w:rsidRDefault="006A636A" w:rsidP="00F3214B">
            <w:pPr>
              <w:pStyle w:val="ListParagraph"/>
              <w:numPr>
                <w:ilvl w:val="0"/>
                <w:numId w:val="4"/>
              </w:numPr>
              <w:spacing w:before="120"/>
              <w:ind w:left="360"/>
            </w:pPr>
            <w:r w:rsidRPr="00165A86">
              <w:t>Requires time for collaboration and learning is made available in an ongoing and systematic way</w:t>
            </w:r>
          </w:p>
          <w:p w14:paraId="2EDFE68D" w14:textId="77777777" w:rsidR="006A636A" w:rsidRPr="00165A86" w:rsidRDefault="006A636A" w:rsidP="00F3214B">
            <w:pPr>
              <w:pStyle w:val="ListParagraph"/>
              <w:numPr>
                <w:ilvl w:val="0"/>
                <w:numId w:val="4"/>
              </w:numPr>
              <w:spacing w:before="120"/>
              <w:ind w:left="360"/>
            </w:pPr>
            <w:r w:rsidRPr="00165A86">
              <w:t>Develops a cycle of activities, including theory, demonstration, practice, feedback, reflection, and coaching, that are spaced over time</w:t>
            </w:r>
          </w:p>
          <w:p w14:paraId="5E9C6BEA" w14:textId="77777777" w:rsidR="006A636A" w:rsidRPr="00165A86" w:rsidRDefault="006A636A" w:rsidP="00F3214B">
            <w:pPr>
              <w:pStyle w:val="ListParagraph"/>
              <w:numPr>
                <w:ilvl w:val="0"/>
                <w:numId w:val="4"/>
              </w:numPr>
              <w:spacing w:before="120"/>
              <w:ind w:left="360"/>
            </w:pPr>
            <w:r w:rsidRPr="00165A86">
              <w:t>Uses time within the school day for practice-embedded learning, but also provides release time when needed</w:t>
            </w:r>
          </w:p>
          <w:p w14:paraId="31E4CECB" w14:textId="77777777" w:rsidR="00956496" w:rsidRPr="0024310B" w:rsidRDefault="006A636A" w:rsidP="00F3214B">
            <w:pPr>
              <w:pStyle w:val="ListParagraph"/>
              <w:numPr>
                <w:ilvl w:val="0"/>
                <w:numId w:val="4"/>
              </w:numPr>
              <w:spacing w:before="120" w:after="120"/>
              <w:ind w:left="360"/>
            </w:pPr>
            <w:r w:rsidRPr="00165A86">
              <w:t>Provides technology (hardware, software, and web-based) to enable educator learning, practice, and use of equipment and materials</w:t>
            </w:r>
          </w:p>
        </w:tc>
      </w:tr>
      <w:tr w:rsidR="006A636A" w:rsidRPr="0024310B" w14:paraId="17ED5CD6" w14:textId="77777777" w:rsidTr="00000038">
        <w:trPr>
          <w:cantSplit/>
        </w:trPr>
        <w:tc>
          <w:tcPr>
            <w:tcW w:w="2942" w:type="dxa"/>
          </w:tcPr>
          <w:p w14:paraId="2F8A8A0A" w14:textId="77777777" w:rsidR="006A636A" w:rsidRPr="00A05C89" w:rsidRDefault="006A636A" w:rsidP="006176A9">
            <w:pPr>
              <w:spacing w:before="120" w:after="120"/>
            </w:pPr>
            <w:r w:rsidRPr="00825DA4">
              <w:rPr>
                <w:b/>
              </w:rPr>
              <w:t>Alignment and Coherence</w:t>
            </w:r>
            <w:r w:rsidRPr="002C69E7">
              <w:rPr>
                <w:b/>
              </w:rPr>
              <w:t>:</w:t>
            </w:r>
            <w:r w:rsidRPr="00A05C89">
              <w:t xml:space="preserve"> </w:t>
            </w:r>
            <w:r>
              <w:t>Contributes to a coherent system of educator learning and support that connects district and school priorities and needs with state and federal requirements and resources</w:t>
            </w:r>
          </w:p>
        </w:tc>
        <w:tc>
          <w:tcPr>
            <w:tcW w:w="6570" w:type="dxa"/>
          </w:tcPr>
          <w:p w14:paraId="70DE6238" w14:textId="77777777" w:rsidR="006A636A" w:rsidRPr="00165A86" w:rsidRDefault="006A636A" w:rsidP="00F3214B">
            <w:pPr>
              <w:pStyle w:val="ListParagraph"/>
              <w:numPr>
                <w:ilvl w:val="0"/>
                <w:numId w:val="4"/>
              </w:numPr>
              <w:spacing w:before="120"/>
              <w:ind w:left="360"/>
            </w:pPr>
            <w:r w:rsidRPr="00165A86">
              <w:t>Offers learning and practice activities that are directed toward meeting educators’ professional and performance standards</w:t>
            </w:r>
          </w:p>
          <w:p w14:paraId="1E6AEE37" w14:textId="77777777" w:rsidR="006A636A" w:rsidRPr="00165A86" w:rsidRDefault="006A636A" w:rsidP="00F3214B">
            <w:pPr>
              <w:pStyle w:val="ListParagraph"/>
              <w:numPr>
                <w:ilvl w:val="0"/>
                <w:numId w:val="4"/>
              </w:numPr>
              <w:spacing w:before="120"/>
              <w:ind w:left="360"/>
            </w:pPr>
            <w:r w:rsidRPr="00165A86">
              <w:t>Reflects classroom, school, and district goals for students and educator growth, to which policies, structures, and practices are aligned</w:t>
            </w:r>
          </w:p>
          <w:p w14:paraId="07416ECE" w14:textId="77777777" w:rsidR="006A636A" w:rsidRPr="00165A86" w:rsidRDefault="006A636A" w:rsidP="00F3214B">
            <w:pPr>
              <w:pStyle w:val="ListParagraph"/>
              <w:numPr>
                <w:ilvl w:val="0"/>
                <w:numId w:val="4"/>
              </w:numPr>
              <w:spacing w:before="120"/>
              <w:ind w:left="360"/>
            </w:pPr>
            <w:r w:rsidRPr="00165A86">
              <w:t>Supports novice educators’ induction and their ability to apply theoretical learning to real-world assignments and reflect upon results and next steps</w:t>
            </w:r>
          </w:p>
          <w:p w14:paraId="74447880" w14:textId="77777777" w:rsidR="006A636A" w:rsidRPr="00165A86" w:rsidRDefault="006A636A" w:rsidP="00F3214B">
            <w:pPr>
              <w:pStyle w:val="ListParagraph"/>
              <w:numPr>
                <w:ilvl w:val="0"/>
                <w:numId w:val="4"/>
              </w:numPr>
              <w:spacing w:before="120" w:after="120"/>
              <w:ind w:left="360"/>
            </w:pPr>
            <w:r w:rsidRPr="00165A86">
              <w:t>Continuously extends experienced educators’ capacity to meet professional expectations and to meet the needs of all students through a coordinated system</w:t>
            </w:r>
          </w:p>
          <w:p w14:paraId="01CFB207" w14:textId="77777777" w:rsidR="006A636A" w:rsidRPr="00A05C89" w:rsidRDefault="006A636A" w:rsidP="00F3214B">
            <w:pPr>
              <w:pStyle w:val="ListParagraph"/>
              <w:numPr>
                <w:ilvl w:val="0"/>
                <w:numId w:val="4"/>
              </w:numPr>
              <w:spacing w:before="120" w:after="120"/>
              <w:ind w:left="360"/>
            </w:pPr>
            <w:r w:rsidRPr="00165A86">
              <w:t>Enables skilled veteran educators to assist novice educators and peers and to lead schoolwide and districtwide initiatives</w:t>
            </w:r>
          </w:p>
        </w:tc>
      </w:tr>
    </w:tbl>
    <w:p w14:paraId="080F2A41" w14:textId="77777777" w:rsidR="00956496" w:rsidRPr="00200A9D" w:rsidRDefault="00956496" w:rsidP="006176A9">
      <w:pPr>
        <w:spacing w:after="480"/>
      </w:pPr>
      <w:r>
        <w:rPr>
          <w:b/>
        </w:rPr>
        <w:t>Source</w:t>
      </w:r>
      <w:r w:rsidRPr="006176A9">
        <w:rPr>
          <w:b/>
        </w:rPr>
        <w:t>:</w:t>
      </w:r>
      <w:r>
        <w:t xml:space="preserve"> </w:t>
      </w:r>
      <w:r w:rsidR="006176A9">
        <w:t>California Department of Education</w:t>
      </w:r>
      <w:r w:rsidR="00200A9D">
        <w:t>.</w:t>
      </w:r>
      <w:r>
        <w:t xml:space="preserve"> 2015</w:t>
      </w:r>
      <w:r w:rsidR="00200A9D">
        <w:t xml:space="preserve">. Adapted from the </w:t>
      </w:r>
      <w:r w:rsidR="00200A9D">
        <w:rPr>
          <w:i/>
        </w:rPr>
        <w:t>Quality Professional Learning Standards</w:t>
      </w:r>
      <w:r w:rsidR="00C01F3F">
        <w:rPr>
          <w:i/>
        </w:rPr>
        <w:t>.</w:t>
      </w:r>
    </w:p>
    <w:p w14:paraId="48D4C60C" w14:textId="086FE40B" w:rsidR="0079586F" w:rsidRDefault="0079586F" w:rsidP="00BD3742">
      <w:pPr>
        <w:pStyle w:val="Heading3"/>
      </w:pPr>
      <w:bookmarkStart w:id="33" w:name="_Toc86997794"/>
      <w:r>
        <w:lastRenderedPageBreak/>
        <w:t>Responsibilities of Grantee</w:t>
      </w:r>
      <w:r w:rsidR="00E76AE5">
        <w:t>s</w:t>
      </w:r>
      <w:bookmarkEnd w:id="33"/>
    </w:p>
    <w:p w14:paraId="05C07161" w14:textId="5DB28C70" w:rsidR="006F7C41" w:rsidRPr="006F7C41" w:rsidRDefault="00CE0EB2" w:rsidP="00025F31">
      <w:pPr>
        <w:ind w:left="720"/>
      </w:pPr>
      <w:r w:rsidRPr="00A50E59">
        <w:t xml:space="preserve">The </w:t>
      </w:r>
      <w:r w:rsidR="00B06BB8">
        <w:t>SUMS Partner Entity</w:t>
      </w:r>
      <w:r w:rsidRPr="00A50E59">
        <w:t xml:space="preserve"> will focus directly on building capacity to support LEAs with </w:t>
      </w:r>
      <w:r w:rsidRPr="00CE0EB2">
        <w:t xml:space="preserve">professional learning opportunities for </w:t>
      </w:r>
      <w:r w:rsidR="00B06BB8">
        <w:t>educators and school leaders</w:t>
      </w:r>
      <w:r w:rsidR="0027076A" w:rsidRPr="00CE0EB2">
        <w:t xml:space="preserve"> </w:t>
      </w:r>
      <w:r w:rsidRPr="00CE0EB2">
        <w:t>designed to provide high</w:t>
      </w:r>
      <w:r w:rsidR="00FF2741">
        <w:t xml:space="preserve"> </w:t>
      </w:r>
      <w:r w:rsidRPr="00CE0EB2">
        <w:t xml:space="preserve">quality instruction and learning experiences that </w:t>
      </w:r>
      <w:r w:rsidR="009D6C87">
        <w:t xml:space="preserve">support </w:t>
      </w:r>
      <w:r w:rsidR="00FF5042">
        <w:t>SEL</w:t>
      </w:r>
      <w:r w:rsidR="00FB1545">
        <w:t>;</w:t>
      </w:r>
      <w:r w:rsidR="00FF5042" w:rsidRPr="007C76D0">
        <w:t xml:space="preserve"> trauma screening</w:t>
      </w:r>
      <w:r w:rsidR="00FB1545">
        <w:t>;</w:t>
      </w:r>
      <w:r w:rsidR="00FF5042" w:rsidRPr="007C76D0">
        <w:t xml:space="preserve"> trauma-informed practices</w:t>
      </w:r>
      <w:r w:rsidR="00FB1545">
        <w:t>;</w:t>
      </w:r>
      <w:r w:rsidR="00FF5042" w:rsidRPr="007C76D0">
        <w:t xml:space="preserve"> and culturally relevant, affirming, and sustaining practices</w:t>
      </w:r>
      <w:r w:rsidR="009D6C87">
        <w:t>,</w:t>
      </w:r>
      <w:r w:rsidR="009D6C87" w:rsidRPr="00A50E59">
        <w:t xml:space="preserve"> </w:t>
      </w:r>
      <w:r w:rsidRPr="00CE0EB2">
        <w:t xml:space="preserve">and are conducted in a manner that aligns with </w:t>
      </w:r>
      <w:r w:rsidR="007142CC">
        <w:t xml:space="preserve">the </w:t>
      </w:r>
      <w:bookmarkStart w:id="34" w:name="_Hlk16162775"/>
      <w:r w:rsidR="0021234A">
        <w:t xml:space="preserve">work referenced in Section </w:t>
      </w:r>
      <w:r w:rsidR="007B3955">
        <w:t>2.</w:t>
      </w:r>
      <w:r w:rsidR="006C23AC">
        <w:t>A</w:t>
      </w:r>
      <w:r w:rsidR="0021234A">
        <w:t xml:space="preserve"> of this RFA</w:t>
      </w:r>
      <w:r w:rsidRPr="00CE0EB2">
        <w:t>.</w:t>
      </w:r>
      <w:bookmarkEnd w:id="34"/>
      <w:r w:rsidRPr="00CE0EB2">
        <w:t xml:space="preserve"> The selected </w:t>
      </w:r>
      <w:r w:rsidR="00F027D9">
        <w:t>grantee</w:t>
      </w:r>
      <w:r w:rsidR="007142CC" w:rsidRPr="00CE0EB2">
        <w:t xml:space="preserve"> </w:t>
      </w:r>
      <w:r w:rsidRPr="00CE0EB2">
        <w:t xml:space="preserve">must be able to </w:t>
      </w:r>
      <w:r w:rsidR="00C60C42" w:rsidRPr="00C60C42">
        <w:t xml:space="preserve">support the </w:t>
      </w:r>
      <w:r w:rsidR="00C60C42">
        <w:t>OCDE</w:t>
      </w:r>
      <w:r w:rsidR="00C60C42" w:rsidRPr="00C60C42">
        <w:t xml:space="preserve"> and the </w:t>
      </w:r>
      <w:r w:rsidR="00C60C42">
        <w:t>BCOE</w:t>
      </w:r>
      <w:r w:rsidR="00C60C42" w:rsidRPr="00C60C42">
        <w:t xml:space="preserve"> in offering high</w:t>
      </w:r>
      <w:r w:rsidR="00F027D9">
        <w:t xml:space="preserve"> </w:t>
      </w:r>
      <w:r w:rsidR="00C60C42" w:rsidRPr="00C60C42">
        <w:t>quality professional learning to educators and school leaders</w:t>
      </w:r>
      <w:r w:rsidR="00C60C42">
        <w:t xml:space="preserve"> by completing</w:t>
      </w:r>
      <w:r w:rsidRPr="00CE0EB2">
        <w:t xml:space="preserve"> the following:</w:t>
      </w:r>
    </w:p>
    <w:p w14:paraId="10448EFA" w14:textId="42830FFC" w:rsidR="00A06E5D" w:rsidRDefault="006F7C41" w:rsidP="00F3214B">
      <w:pPr>
        <w:pStyle w:val="ListParagraph"/>
        <w:numPr>
          <w:ilvl w:val="0"/>
          <w:numId w:val="5"/>
        </w:numPr>
      </w:pPr>
      <w:r w:rsidRPr="006F7C41">
        <w:t>Creat</w:t>
      </w:r>
      <w:r>
        <w:t>e</w:t>
      </w:r>
      <w:r w:rsidRPr="006F7C41">
        <w:t>, collect, and</w:t>
      </w:r>
      <w:r>
        <w:t>/or</w:t>
      </w:r>
      <w:r w:rsidRPr="006F7C41">
        <w:t xml:space="preserve"> curat</w:t>
      </w:r>
      <w:r>
        <w:t>e</w:t>
      </w:r>
      <w:r w:rsidRPr="006F7C41">
        <w:t xml:space="preserve"> resources for educators on </w:t>
      </w:r>
      <w:r>
        <w:t>SEL</w:t>
      </w:r>
      <w:r w:rsidR="00F517FA">
        <w:t>;</w:t>
      </w:r>
      <w:r w:rsidRPr="006F7C41">
        <w:t xml:space="preserve"> trauma screening</w:t>
      </w:r>
      <w:r w:rsidR="00F517FA">
        <w:t>;</w:t>
      </w:r>
      <w:r w:rsidRPr="006F7C41">
        <w:t xml:space="preserve"> trauma-informed practices</w:t>
      </w:r>
      <w:r w:rsidR="00F517FA">
        <w:t>;</w:t>
      </w:r>
      <w:r w:rsidRPr="006F7C41">
        <w:t xml:space="preserve"> and culturally relevant, affirming, and sustaining practices</w:t>
      </w:r>
      <w:r>
        <w:t xml:space="preserve">, and make them available to </w:t>
      </w:r>
      <w:r w:rsidR="00F517FA" w:rsidRPr="00F517FA">
        <w:t>the public</w:t>
      </w:r>
      <w:r w:rsidR="00FB1545">
        <w:t>;</w:t>
      </w:r>
      <w:r w:rsidRPr="006F7C41">
        <w:t xml:space="preserve"> </w:t>
      </w:r>
    </w:p>
    <w:p w14:paraId="1074E6C1" w14:textId="7584B0CC" w:rsidR="00143614" w:rsidRDefault="00A06E5D" w:rsidP="00F3214B">
      <w:pPr>
        <w:pStyle w:val="ListParagraph"/>
        <w:numPr>
          <w:ilvl w:val="0"/>
          <w:numId w:val="5"/>
        </w:numPr>
      </w:pPr>
      <w:r>
        <w:t xml:space="preserve">Provide ongoing training and support in the use of trauma screening tools and mental health service referrals, school climate surveys, and the use of tool and survey data. </w:t>
      </w:r>
    </w:p>
    <w:p w14:paraId="6FC53EAC" w14:textId="7C2A0F38" w:rsidR="00143614" w:rsidRDefault="00143614" w:rsidP="00F3214B">
      <w:pPr>
        <w:pStyle w:val="ListParagraph"/>
        <w:numPr>
          <w:ilvl w:val="0"/>
          <w:numId w:val="5"/>
        </w:numPr>
      </w:pPr>
      <w:r>
        <w:t>Provid</w:t>
      </w:r>
      <w:r w:rsidR="00F457F9">
        <w:t>e</w:t>
      </w:r>
      <w:r>
        <w:t xml:space="preserve"> grants to </w:t>
      </w:r>
      <w:r w:rsidR="00F457F9">
        <w:t>LEAs</w:t>
      </w:r>
      <w:r>
        <w:t xml:space="preserve"> to support both of the following</w:t>
      </w:r>
      <w:r w:rsidR="00F457F9">
        <w:t>:</w:t>
      </w:r>
      <w:r>
        <w:t xml:space="preserve"> </w:t>
      </w:r>
    </w:p>
    <w:p w14:paraId="7E4679A1" w14:textId="45CDCDC8" w:rsidR="006F7C41" w:rsidRDefault="00F457F9" w:rsidP="00F3214B">
      <w:pPr>
        <w:pStyle w:val="ListParagraph"/>
        <w:numPr>
          <w:ilvl w:val="1"/>
          <w:numId w:val="5"/>
        </w:numPr>
      </w:pPr>
      <w:r w:rsidRPr="00F457F9">
        <w:t>Convening professional learning communities of educators and school leaders</w:t>
      </w:r>
      <w:r>
        <w:t xml:space="preserve">, and </w:t>
      </w:r>
    </w:p>
    <w:p w14:paraId="4576DDDC" w14:textId="39091FAC" w:rsidR="00F457F9" w:rsidRDefault="00F457F9" w:rsidP="00F3214B">
      <w:pPr>
        <w:pStyle w:val="ListParagraph"/>
        <w:numPr>
          <w:ilvl w:val="1"/>
          <w:numId w:val="5"/>
        </w:numPr>
      </w:pPr>
      <w:r w:rsidRPr="00F457F9">
        <w:t>Providing ongoing training and coaching to educators and school leaders</w:t>
      </w:r>
      <w:r w:rsidR="00FB1545">
        <w:t>;</w:t>
      </w:r>
    </w:p>
    <w:p w14:paraId="1AC58330" w14:textId="43D39E51" w:rsidR="0007720F" w:rsidRPr="00A50E59" w:rsidRDefault="0007720F" w:rsidP="00F3214B">
      <w:pPr>
        <w:pStyle w:val="ListParagraph"/>
        <w:numPr>
          <w:ilvl w:val="0"/>
          <w:numId w:val="5"/>
        </w:numPr>
      </w:pPr>
      <w:r>
        <w:t xml:space="preserve">Be adaptive, responsive, and work with </w:t>
      </w:r>
      <w:r w:rsidR="003E5608">
        <w:t>the OCDE and the BCOE</w:t>
      </w:r>
      <w:r w:rsidR="00ED1805">
        <w:t xml:space="preserve"> to ensure coherence with existing systems of support and professional learning within the state</w:t>
      </w:r>
      <w:r w:rsidR="003E5608">
        <w:t xml:space="preserve">, which may include </w:t>
      </w:r>
      <w:r w:rsidR="00BE336C">
        <w:t xml:space="preserve">attendance at </w:t>
      </w:r>
      <w:r w:rsidR="003E5608">
        <w:t>regularly scheduled meetings</w:t>
      </w:r>
      <w:r w:rsidR="00D97696">
        <w:t xml:space="preserve">, </w:t>
      </w:r>
      <w:r w:rsidR="00F94D38">
        <w:t xml:space="preserve">and </w:t>
      </w:r>
      <w:r w:rsidR="00D97696">
        <w:t>allow</w:t>
      </w:r>
      <w:r w:rsidR="00F94D38">
        <w:t xml:space="preserve"> for</w:t>
      </w:r>
      <w:r w:rsidR="00D97696">
        <w:t xml:space="preserve"> OCDE and BCOE representation at professional learning events</w:t>
      </w:r>
      <w:r w:rsidR="00BE336C">
        <w:t xml:space="preserve"> hosted by the SUMS Partner Entity</w:t>
      </w:r>
      <w:r w:rsidR="00D97696">
        <w:t>, etc.</w:t>
      </w:r>
      <w:r w:rsidR="00120A0F">
        <w:t>;</w:t>
      </w:r>
      <w:r>
        <w:t xml:space="preserve"> and</w:t>
      </w:r>
    </w:p>
    <w:p w14:paraId="26468AD3" w14:textId="57BF2A5C" w:rsidR="00CE0EB2" w:rsidRPr="00A50E59" w:rsidRDefault="00CD318C" w:rsidP="00F3214B">
      <w:pPr>
        <w:pStyle w:val="ListParagraph"/>
        <w:numPr>
          <w:ilvl w:val="0"/>
          <w:numId w:val="5"/>
        </w:numPr>
        <w:spacing w:after="480"/>
      </w:pPr>
      <w:r>
        <w:t>P</w:t>
      </w:r>
      <w:r w:rsidR="00CE0EB2" w:rsidRPr="00A50E59">
        <w:t>rovide written report</w:t>
      </w:r>
      <w:r w:rsidR="000C275E">
        <w:t>s</w:t>
      </w:r>
      <w:r w:rsidR="00CE0EB2" w:rsidRPr="00A50E59">
        <w:t xml:space="preserve"> </w:t>
      </w:r>
      <w:r w:rsidR="00D97696">
        <w:t>to the OCDE</w:t>
      </w:r>
      <w:r w:rsidR="00504040">
        <w:t xml:space="preserve"> and the CDE</w:t>
      </w:r>
      <w:r w:rsidR="00D97696">
        <w:t xml:space="preserve">, </w:t>
      </w:r>
      <w:r w:rsidR="00C3785E">
        <w:t>as requested</w:t>
      </w:r>
      <w:r w:rsidR="00D97696">
        <w:t xml:space="preserve"> but at least annually,</w:t>
      </w:r>
      <w:r w:rsidR="00C3785E">
        <w:t xml:space="preserve"> </w:t>
      </w:r>
      <w:r w:rsidR="00CE0EB2" w:rsidRPr="00A50E59">
        <w:t>summarizing the</w:t>
      </w:r>
      <w:r w:rsidR="00AA146D">
        <w:t xml:space="preserve"> challenges,</w:t>
      </w:r>
      <w:r w:rsidR="00CE0EB2" w:rsidRPr="00A50E59">
        <w:t xml:space="preserve"> activities accomplished</w:t>
      </w:r>
      <w:r w:rsidR="00064036">
        <w:t>,</w:t>
      </w:r>
      <w:r w:rsidR="003866EE">
        <w:t xml:space="preserve"> and</w:t>
      </w:r>
      <w:r w:rsidR="00CE0EB2" w:rsidRPr="00A50E59">
        <w:t xml:space="preserve"> the impact of these activities</w:t>
      </w:r>
      <w:r w:rsidR="00120A0F">
        <w:t>,</w:t>
      </w:r>
      <w:r w:rsidR="003866EE">
        <w:t xml:space="preserve"> including the number of students, disaggregated by student groups; and the</w:t>
      </w:r>
      <w:r w:rsidR="00CE0EB2" w:rsidRPr="00A50E59">
        <w:t xml:space="preserve"> number </w:t>
      </w:r>
      <w:r w:rsidR="00F94D38">
        <w:t>educators</w:t>
      </w:r>
      <w:r w:rsidR="00CE0EB2" w:rsidRPr="00A50E59">
        <w:t xml:space="preserve">, LEAs, </w:t>
      </w:r>
      <w:r w:rsidR="003E5608">
        <w:t xml:space="preserve">and </w:t>
      </w:r>
      <w:r w:rsidR="00CE0EB2" w:rsidRPr="00A50E59">
        <w:t>counties</w:t>
      </w:r>
      <w:r w:rsidR="003E5608">
        <w:t xml:space="preserve"> </w:t>
      </w:r>
      <w:r w:rsidR="00CE0EB2" w:rsidRPr="00A50E59">
        <w:t>impacted by these activities</w:t>
      </w:r>
      <w:r w:rsidR="00F94D38">
        <w:t>, and any other data requested by the OCDE</w:t>
      </w:r>
      <w:r w:rsidR="00CE0EB2" w:rsidRPr="00A50E59">
        <w:t>.</w:t>
      </w:r>
    </w:p>
    <w:p w14:paraId="2AF9E9D8" w14:textId="77777777" w:rsidR="0079586F" w:rsidRDefault="00CE76F8" w:rsidP="00BD3742">
      <w:pPr>
        <w:pStyle w:val="Heading3"/>
      </w:pPr>
      <w:bookmarkStart w:id="35" w:name="_Toc86997795"/>
      <w:r>
        <w:t>Allowable Activities and Costs</w:t>
      </w:r>
      <w:bookmarkEnd w:id="35"/>
    </w:p>
    <w:p w14:paraId="508CCF85" w14:textId="58854D01" w:rsidR="00CE76F8" w:rsidRPr="00CE76F8" w:rsidRDefault="00CE76F8" w:rsidP="00DA3575">
      <w:pPr>
        <w:ind w:left="720"/>
      </w:pPr>
      <w:r w:rsidRPr="00CE76F8">
        <w:t>Applicant budgets for the use of grant funds will be reviewed and any items</w:t>
      </w:r>
      <w:r w:rsidR="00BA128D">
        <w:t xml:space="preserve"> in the budget</w:t>
      </w:r>
      <w:r w:rsidRPr="00CE76F8">
        <w:t xml:space="preserve"> that are deemed non-allowable, excessive, or inappropriate will be eliminated. Generally, all expenditures must contribute to the goals and objectives outlined in Section </w:t>
      </w:r>
      <w:r w:rsidR="00C22D8D">
        <w:t>1</w:t>
      </w:r>
      <w:r w:rsidRPr="00CE76F8">
        <w:t>.</w:t>
      </w:r>
    </w:p>
    <w:p w14:paraId="4502092B" w14:textId="1335FC70" w:rsidR="00CE76F8" w:rsidRDefault="00CE76F8" w:rsidP="00DA3575">
      <w:pPr>
        <w:ind w:left="720"/>
      </w:pPr>
      <w:r w:rsidRPr="00CE76F8">
        <w:lastRenderedPageBreak/>
        <w:t xml:space="preserve">The </w:t>
      </w:r>
      <w:r w:rsidR="005647E6">
        <w:t>partner entity</w:t>
      </w:r>
      <w:r w:rsidR="005647E6" w:rsidRPr="00CE76F8">
        <w:t xml:space="preserve"> </w:t>
      </w:r>
      <w:r w:rsidRPr="00CE76F8">
        <w:t>may enter into subcontracts with one or more LEA</w:t>
      </w:r>
      <w:r w:rsidR="005647E6">
        <w:t>s</w:t>
      </w:r>
      <w:r w:rsidRPr="00CE76F8">
        <w:t xml:space="preserve">, </w:t>
      </w:r>
      <w:r w:rsidR="006176A9">
        <w:t>IHE</w:t>
      </w:r>
      <w:r w:rsidRPr="00CE76F8">
        <w:t xml:space="preserve">, or </w:t>
      </w:r>
      <w:r w:rsidR="002A3023">
        <w:t>non</w:t>
      </w:r>
      <w:r w:rsidRPr="00CE76F8">
        <w:t>profit educational service provider to assist in fulfilling the respon</w:t>
      </w:r>
      <w:r w:rsidR="00C22D8D">
        <w:t>sibilities outlined in Section 1</w:t>
      </w:r>
      <w:r w:rsidRPr="00CE76F8">
        <w:t>.</w:t>
      </w:r>
    </w:p>
    <w:p w14:paraId="7A268704" w14:textId="77777777" w:rsidR="0007720F" w:rsidRPr="00CE76F8" w:rsidRDefault="0007720F" w:rsidP="006176A9">
      <w:pPr>
        <w:spacing w:after="480"/>
        <w:ind w:left="720"/>
      </w:pPr>
      <w:r w:rsidRPr="00025F31">
        <w:t>Funds may not be used for rental of a venue to provide professional learning unless the expense is determined by the CDE to be a necessary and reasonable expense.</w:t>
      </w:r>
    </w:p>
    <w:p w14:paraId="3316A0D6" w14:textId="77777777" w:rsidR="00CE76F8" w:rsidRDefault="00CE76F8" w:rsidP="00BD3742">
      <w:pPr>
        <w:pStyle w:val="Heading3"/>
      </w:pPr>
      <w:bookmarkStart w:id="36" w:name="_Toc86997796"/>
      <w:r>
        <w:t>Non-Allowable Activities and Costs</w:t>
      </w:r>
      <w:bookmarkEnd w:id="36"/>
    </w:p>
    <w:p w14:paraId="0624F94D" w14:textId="77777777" w:rsidR="00CE76F8" w:rsidRDefault="00CE76F8" w:rsidP="00DA3575">
      <w:pPr>
        <w:ind w:firstLine="720"/>
      </w:pPr>
      <w:r w:rsidRPr="00A50E59">
        <w:t>Funds provided under this grant may not be used for the following purposes</w:t>
      </w:r>
      <w:r w:rsidR="006176A9">
        <w:t>:</w:t>
      </w:r>
    </w:p>
    <w:p w14:paraId="537CC45B" w14:textId="77777777" w:rsidR="00CE76F8" w:rsidRPr="00A50E59" w:rsidRDefault="00CE76F8" w:rsidP="00F3214B">
      <w:pPr>
        <w:pStyle w:val="ListParagraph"/>
        <w:numPr>
          <w:ilvl w:val="0"/>
          <w:numId w:val="6"/>
        </w:numPr>
      </w:pPr>
      <w:r w:rsidRPr="00A50E59">
        <w:t>Supplanting of existing funding and efforts</w:t>
      </w:r>
      <w:r>
        <w:t>;</w:t>
      </w:r>
      <w:r w:rsidRPr="00A50E59">
        <w:t xml:space="preserve"> </w:t>
      </w:r>
    </w:p>
    <w:p w14:paraId="7485B88A" w14:textId="77777777" w:rsidR="00CE76F8" w:rsidRPr="00A50E59" w:rsidRDefault="00CE76F8" w:rsidP="00F3214B">
      <w:pPr>
        <w:pStyle w:val="ListParagraph"/>
        <w:numPr>
          <w:ilvl w:val="0"/>
          <w:numId w:val="6"/>
        </w:numPr>
      </w:pPr>
      <w:r w:rsidRPr="00A50E59">
        <w:t>Acquisition of equipment for administrative or personal</w:t>
      </w:r>
      <w:r w:rsidRPr="00CE76F8">
        <w:rPr>
          <w:spacing w:val="-9"/>
        </w:rPr>
        <w:t xml:space="preserve"> </w:t>
      </w:r>
      <w:r w:rsidRPr="00A50E59">
        <w:t>use</w:t>
      </w:r>
      <w:r>
        <w:t>;</w:t>
      </w:r>
    </w:p>
    <w:p w14:paraId="49056C09" w14:textId="77777777" w:rsidR="00CE76F8" w:rsidRPr="00A50E59" w:rsidRDefault="00CE76F8" w:rsidP="00F3214B">
      <w:pPr>
        <w:pStyle w:val="ListParagraph"/>
        <w:numPr>
          <w:ilvl w:val="0"/>
          <w:numId w:val="6"/>
        </w:numPr>
      </w:pPr>
      <w:r w:rsidRPr="00A50E59">
        <w:t>Acquisition of furniture (e.g., bookcases, chairs, desks, file cabinets, tables), unless an integral part of an equipment workstation or to provide reasonable accommodations to students with disabilities</w:t>
      </w:r>
      <w:r>
        <w:t>;</w:t>
      </w:r>
    </w:p>
    <w:p w14:paraId="700E704E" w14:textId="77777777" w:rsidR="00CE76F8" w:rsidRPr="00A50E59" w:rsidRDefault="00CE76F8" w:rsidP="00F3214B">
      <w:pPr>
        <w:pStyle w:val="ListParagraph"/>
        <w:numPr>
          <w:ilvl w:val="0"/>
          <w:numId w:val="6"/>
        </w:numPr>
      </w:pPr>
      <w:r w:rsidRPr="00A50E59">
        <w:t>Food services, refreshments, banquets,</w:t>
      </w:r>
      <w:r w:rsidRPr="00CE76F8">
        <w:rPr>
          <w:spacing w:val="-1"/>
        </w:rPr>
        <w:t xml:space="preserve"> </w:t>
      </w:r>
      <w:r w:rsidR="00120A0F">
        <w:rPr>
          <w:spacing w:val="-1"/>
        </w:rPr>
        <w:t xml:space="preserve">and </w:t>
      </w:r>
      <w:r w:rsidRPr="00A50E59">
        <w:t>meals</w:t>
      </w:r>
      <w:r>
        <w:t>;</w:t>
      </w:r>
    </w:p>
    <w:p w14:paraId="74F754C6" w14:textId="77777777" w:rsidR="00CE76F8" w:rsidRPr="00A50E59" w:rsidRDefault="00CE76F8" w:rsidP="00F3214B">
      <w:pPr>
        <w:pStyle w:val="ListParagraph"/>
        <w:numPr>
          <w:ilvl w:val="0"/>
          <w:numId w:val="6"/>
        </w:numPr>
      </w:pPr>
      <w:r w:rsidRPr="00A50E59">
        <w:t>Purchase of space</w:t>
      </w:r>
      <w:r>
        <w:t>;</w:t>
      </w:r>
    </w:p>
    <w:p w14:paraId="4F7C1442" w14:textId="77777777" w:rsidR="00CE76F8" w:rsidRPr="00A50E59" w:rsidRDefault="00CE76F8" w:rsidP="00F3214B">
      <w:pPr>
        <w:pStyle w:val="ListParagraph"/>
        <w:numPr>
          <w:ilvl w:val="0"/>
          <w:numId w:val="6"/>
        </w:numPr>
      </w:pPr>
      <w:r w:rsidRPr="00A50E59">
        <w:t>Payment for memberships in professional</w:t>
      </w:r>
      <w:r w:rsidRPr="00CE76F8">
        <w:rPr>
          <w:spacing w:val="-11"/>
        </w:rPr>
        <w:t xml:space="preserve"> </w:t>
      </w:r>
      <w:r w:rsidRPr="00A50E59">
        <w:t>organizations</w:t>
      </w:r>
      <w:r>
        <w:t>;</w:t>
      </w:r>
    </w:p>
    <w:p w14:paraId="66220A35" w14:textId="77777777" w:rsidR="00CE76F8" w:rsidRPr="00A50E59" w:rsidRDefault="00CE76F8" w:rsidP="00F3214B">
      <w:pPr>
        <w:pStyle w:val="ListParagraph"/>
        <w:numPr>
          <w:ilvl w:val="0"/>
          <w:numId w:val="6"/>
        </w:numPr>
      </w:pPr>
      <w:r w:rsidRPr="00A50E59">
        <w:t>Purchase of promotional favors, such as bumper stickers, pencils, pens, or T- shirts</w:t>
      </w:r>
      <w:r>
        <w:t>;</w:t>
      </w:r>
    </w:p>
    <w:p w14:paraId="42EE721D" w14:textId="77777777" w:rsidR="00CE76F8" w:rsidRPr="00A50E59" w:rsidRDefault="00CE76F8" w:rsidP="00F3214B">
      <w:pPr>
        <w:pStyle w:val="ListParagraph"/>
        <w:numPr>
          <w:ilvl w:val="0"/>
          <w:numId w:val="6"/>
        </w:numPr>
      </w:pPr>
      <w:r w:rsidRPr="00A50E59">
        <w:t>Subscriptions to journals or</w:t>
      </w:r>
      <w:r w:rsidRPr="00CE76F8">
        <w:rPr>
          <w:spacing w:val="-3"/>
        </w:rPr>
        <w:t xml:space="preserve"> </w:t>
      </w:r>
      <w:r w:rsidRPr="00A50E59">
        <w:t>magazines</w:t>
      </w:r>
      <w:r>
        <w:t>;</w:t>
      </w:r>
    </w:p>
    <w:p w14:paraId="509C9ABA" w14:textId="77777777" w:rsidR="006F61BF" w:rsidRDefault="00CE76F8" w:rsidP="00F3214B">
      <w:pPr>
        <w:pStyle w:val="ListParagraph"/>
        <w:numPr>
          <w:ilvl w:val="0"/>
          <w:numId w:val="6"/>
        </w:numPr>
      </w:pPr>
      <w:r w:rsidRPr="00A50E59">
        <w:t>Travel outside the United</w:t>
      </w:r>
      <w:r w:rsidRPr="00CE76F8">
        <w:rPr>
          <w:spacing w:val="1"/>
        </w:rPr>
        <w:t xml:space="preserve"> </w:t>
      </w:r>
      <w:r w:rsidRPr="00A50E59">
        <w:t>States</w:t>
      </w:r>
      <w:r w:rsidR="006F61BF">
        <w:t>, or</w:t>
      </w:r>
    </w:p>
    <w:p w14:paraId="22E8A365" w14:textId="77777777" w:rsidR="00CE76F8" w:rsidRPr="00A50E59" w:rsidRDefault="006F61BF" w:rsidP="00F3214B">
      <w:pPr>
        <w:pStyle w:val="ListParagraph"/>
        <w:numPr>
          <w:ilvl w:val="0"/>
          <w:numId w:val="6"/>
        </w:numPr>
        <w:spacing w:after="480"/>
      </w:pPr>
      <w:r>
        <w:t xml:space="preserve">Travel to states included in Assembly Bill 1887’s travel prohibition list found at </w:t>
      </w:r>
      <w:hyperlink r:id="rId24" w:tooltip="Travel Prohibition State Travel List" w:history="1">
        <w:r w:rsidR="00120A0F" w:rsidRPr="00AC5EA6">
          <w:rPr>
            <w:rStyle w:val="Hyperlink"/>
          </w:rPr>
          <w:t>https://oag.ca.gov/ab1887</w:t>
        </w:r>
      </w:hyperlink>
      <w:r>
        <w:t>.</w:t>
      </w:r>
      <w:r w:rsidR="00120A0F">
        <w:t xml:space="preserve"> </w:t>
      </w:r>
    </w:p>
    <w:p w14:paraId="51D11AA7" w14:textId="77777777" w:rsidR="00CE76F8" w:rsidRDefault="00CE76F8" w:rsidP="00BD3742">
      <w:pPr>
        <w:pStyle w:val="Heading3"/>
      </w:pPr>
      <w:bookmarkStart w:id="37" w:name="_Toc86997797"/>
      <w:bookmarkStart w:id="38" w:name="_Hlk84500877"/>
      <w:r>
        <w:t>Administrative Indirect Cost Rate</w:t>
      </w:r>
      <w:bookmarkEnd w:id="37"/>
    </w:p>
    <w:p w14:paraId="25E13EA2" w14:textId="76560D30" w:rsidR="00F674CD" w:rsidRDefault="009F1B16" w:rsidP="00025F31">
      <w:pPr>
        <w:ind w:left="720"/>
      </w:pPr>
      <w:r w:rsidRPr="00025F31">
        <w:rPr>
          <w:rFonts w:cs="Arial"/>
          <w:color w:val="000000"/>
          <w:shd w:val="clear" w:color="auto" w:fill="FFFFFF"/>
        </w:rPr>
        <w:t>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w:t>
      </w:r>
      <w:r>
        <w:rPr>
          <w:rFonts w:ascii="Helvetica" w:hAnsi="Helvetica" w:cs="Helvetica"/>
          <w:color w:val="000000"/>
          <w:shd w:val="clear" w:color="auto" w:fill="FFFFFF"/>
        </w:rPr>
        <w:t xml:space="preserve"> </w:t>
      </w:r>
      <w:r w:rsidR="00CE76F8" w:rsidRPr="00A50E59">
        <w:t>The grantee</w:t>
      </w:r>
      <w:r w:rsidR="002B704E">
        <w:t>s</w:t>
      </w:r>
      <w:r w:rsidR="00CE76F8" w:rsidRPr="00A50E59">
        <w:t xml:space="preserve"> must limit administrative indirect costs to</w:t>
      </w:r>
      <w:r>
        <w:t xml:space="preserve"> </w:t>
      </w:r>
      <w:r w:rsidRPr="00025F31">
        <w:rPr>
          <w:rFonts w:cs="Arial"/>
        </w:rPr>
        <w:t xml:space="preserve">CDE’s </w:t>
      </w:r>
      <w:r w:rsidRPr="00025F31">
        <w:rPr>
          <w:rFonts w:cs="Arial"/>
          <w:color w:val="000000"/>
          <w:shd w:val="clear" w:color="auto" w:fill="FFFFFF"/>
        </w:rPr>
        <w:t>approve</w:t>
      </w:r>
      <w:r>
        <w:rPr>
          <w:rFonts w:cs="Arial"/>
          <w:color w:val="000000"/>
          <w:shd w:val="clear" w:color="auto" w:fill="FFFFFF"/>
        </w:rPr>
        <w:t>d</w:t>
      </w:r>
      <w:r w:rsidRPr="00025F31">
        <w:rPr>
          <w:rFonts w:cs="Arial"/>
          <w:color w:val="000000"/>
          <w:shd w:val="clear" w:color="auto" w:fill="FFFFFF"/>
        </w:rPr>
        <w:t xml:space="preserve"> indirect cost rates</w:t>
      </w:r>
      <w:r>
        <w:rPr>
          <w:rFonts w:cs="Arial"/>
          <w:color w:val="000000"/>
          <w:shd w:val="clear" w:color="auto" w:fill="FFFFFF"/>
        </w:rPr>
        <w:t xml:space="preserve">, which may be found on the CDE’s </w:t>
      </w:r>
      <w:bookmarkStart w:id="39" w:name="_Hlk86841697"/>
      <w:r>
        <w:rPr>
          <w:rFonts w:cs="Arial"/>
          <w:color w:val="000000"/>
          <w:shd w:val="clear" w:color="auto" w:fill="FFFFFF"/>
        </w:rPr>
        <w:t xml:space="preserve">Indirect Costs </w:t>
      </w:r>
      <w:bookmarkEnd w:id="39"/>
      <w:r>
        <w:rPr>
          <w:rFonts w:cs="Arial"/>
          <w:color w:val="000000"/>
          <w:shd w:val="clear" w:color="auto" w:fill="FFFFFF"/>
        </w:rPr>
        <w:t>web page at</w:t>
      </w:r>
      <w:r w:rsidR="00CE76F8" w:rsidRPr="00A50E59">
        <w:t xml:space="preserve"> </w:t>
      </w:r>
      <w:hyperlink r:id="rId25" w:tooltip="Indirect Costs" w:history="1">
        <w:r w:rsidRPr="00885CD7">
          <w:rPr>
            <w:rStyle w:val="Hyperlink"/>
          </w:rPr>
          <w:t>https://www.cde.ca.gov/fg/ac/ic/index.asp</w:t>
        </w:r>
      </w:hyperlink>
      <w:r>
        <w:t>.</w:t>
      </w:r>
      <w:r w:rsidR="00CE76F8" w:rsidRPr="00A50E59">
        <w:t xml:space="preserve"> </w:t>
      </w:r>
    </w:p>
    <w:p w14:paraId="4D2CA2F2" w14:textId="77777777" w:rsidR="00F674CD" w:rsidRPr="003F03DC" w:rsidRDefault="00F674CD" w:rsidP="00025F31">
      <w:pPr>
        <w:ind w:left="720"/>
        <w:rPr>
          <w:rFonts w:cs="Arial"/>
          <w:szCs w:val="24"/>
          <w:lang w:val="en"/>
        </w:rPr>
      </w:pPr>
      <w:r w:rsidRPr="003F03DC">
        <w:rPr>
          <w:rFonts w:cs="Arial"/>
          <w:szCs w:val="24"/>
          <w:lang w:val="en"/>
        </w:rPr>
        <w:lastRenderedPageBreak/>
        <w:t>Certain types of costs (activities) require relatively minimal administrative support compared to the amount of dollars spent. These costs would distort the indirect cost process and are excluded from the calculation of the indirect cost rate. Following are the most common costs excluded from the calculation:</w:t>
      </w:r>
    </w:p>
    <w:p w14:paraId="4473EC70" w14:textId="16C74A62" w:rsidR="00F674CD" w:rsidRDefault="00F674CD" w:rsidP="00F3214B">
      <w:pPr>
        <w:numPr>
          <w:ilvl w:val="0"/>
          <w:numId w:val="29"/>
        </w:numPr>
        <w:shd w:val="clear" w:color="auto" w:fill="FFFFFF"/>
        <w:tabs>
          <w:tab w:val="clear" w:pos="2434"/>
          <w:tab w:val="left" w:pos="1350"/>
        </w:tabs>
        <w:ind w:left="1350" w:right="390" w:hanging="270"/>
        <w:rPr>
          <w:rFonts w:cs="Arial"/>
          <w:szCs w:val="24"/>
          <w:lang w:val="en"/>
        </w:rPr>
      </w:pPr>
      <w:proofErr w:type="spellStart"/>
      <w:r>
        <w:rPr>
          <w:rFonts w:cs="Arial"/>
          <w:szCs w:val="24"/>
          <w:lang w:val="en"/>
        </w:rPr>
        <w:t>Subagreements</w:t>
      </w:r>
      <w:proofErr w:type="spellEnd"/>
      <w:r>
        <w:rPr>
          <w:rFonts w:cs="Arial"/>
          <w:szCs w:val="24"/>
          <w:lang w:val="en"/>
        </w:rPr>
        <w:t xml:space="preserve"> for Services (O</w:t>
      </w:r>
      <w:r w:rsidRPr="003F03DC">
        <w:rPr>
          <w:rFonts w:cs="Arial"/>
          <w:szCs w:val="24"/>
          <w:lang w:val="en"/>
        </w:rPr>
        <w:t xml:space="preserve">bject </w:t>
      </w:r>
      <w:r>
        <w:rPr>
          <w:rFonts w:cs="Arial"/>
          <w:szCs w:val="24"/>
          <w:lang w:val="en"/>
        </w:rPr>
        <w:t xml:space="preserve">Code </w:t>
      </w:r>
      <w:r w:rsidRPr="003F03DC">
        <w:rPr>
          <w:rFonts w:cs="Arial"/>
          <w:szCs w:val="24"/>
          <w:lang w:val="en"/>
        </w:rPr>
        <w:t xml:space="preserve">5100), which include expenditures for </w:t>
      </w:r>
      <w:proofErr w:type="spellStart"/>
      <w:r w:rsidRPr="003F03DC">
        <w:rPr>
          <w:rFonts w:cs="Arial"/>
          <w:szCs w:val="24"/>
          <w:lang w:val="en"/>
        </w:rPr>
        <w:t>subagreements</w:t>
      </w:r>
      <w:proofErr w:type="spellEnd"/>
      <w:r w:rsidRPr="003F03DC">
        <w:rPr>
          <w:rFonts w:cs="Arial"/>
          <w:szCs w:val="24"/>
          <w:lang w:val="en"/>
        </w:rPr>
        <w:t xml:space="preserve"> and subawards pursuant to certain contracts, subcontracts, and subgrants. </w:t>
      </w:r>
    </w:p>
    <w:p w14:paraId="7F6738B0" w14:textId="77777777" w:rsidR="00F02607" w:rsidRPr="00025F31" w:rsidRDefault="00F02607" w:rsidP="00025F31">
      <w:pPr>
        <w:spacing w:after="480"/>
        <w:ind w:left="720"/>
        <w:rPr>
          <w:rFonts w:cs="Arial"/>
          <w:szCs w:val="24"/>
        </w:rPr>
      </w:pPr>
      <w:r w:rsidRPr="00025F31">
        <w:rPr>
          <w:rFonts w:cs="Arial"/>
          <w:szCs w:val="24"/>
        </w:rPr>
        <w:t xml:space="preserve">Unlike other costs in Object Codes 5000–5999, Object Code 5100 costs are excluded from the calculation of the indirect cost rate and from eligible program expenditures on which indirect costs are charged (see Procedure 915). However, in recognition that some general administration is necessary to process a </w:t>
      </w:r>
      <w:proofErr w:type="spellStart"/>
      <w:r w:rsidRPr="00025F31">
        <w:rPr>
          <w:rFonts w:cs="Arial"/>
          <w:szCs w:val="24"/>
        </w:rPr>
        <w:t>subagreement</w:t>
      </w:r>
      <w:proofErr w:type="spellEnd"/>
      <w:r w:rsidRPr="00025F31">
        <w:rPr>
          <w:rFonts w:cs="Arial"/>
          <w:szCs w:val="24"/>
        </w:rPr>
        <w:t xml:space="preserve">, indirect cost guidelines allow that up to $25,000 of each individual </w:t>
      </w:r>
      <w:proofErr w:type="spellStart"/>
      <w:r w:rsidRPr="00025F31">
        <w:rPr>
          <w:rFonts w:cs="Arial"/>
          <w:szCs w:val="24"/>
        </w:rPr>
        <w:t>subagreement</w:t>
      </w:r>
      <w:proofErr w:type="spellEnd"/>
      <w:r w:rsidRPr="00025F31">
        <w:rPr>
          <w:rFonts w:cs="Arial"/>
          <w:szCs w:val="24"/>
        </w:rPr>
        <w:t xml:space="preserve"> may be coded to Object Code 5800, Professional/Consulting Services and Operating Expenditures, with the remainder charged to Object Code 5100. The amount charged to Object Code 5800 is included in the calculation of the indirect cost rate and in eligible program expenditures on which indirect costs are charged. The $25,000 limit per </w:t>
      </w:r>
      <w:proofErr w:type="spellStart"/>
      <w:r w:rsidRPr="00025F31">
        <w:rPr>
          <w:rFonts w:cs="Arial"/>
          <w:szCs w:val="24"/>
        </w:rPr>
        <w:t>subagreement</w:t>
      </w:r>
      <w:proofErr w:type="spellEnd"/>
      <w:r w:rsidRPr="00025F31">
        <w:rPr>
          <w:rFonts w:cs="Arial"/>
          <w:szCs w:val="24"/>
        </w:rPr>
        <w:t xml:space="preserve"> applies each year throughout the duration of the </w:t>
      </w:r>
      <w:proofErr w:type="spellStart"/>
      <w:r w:rsidRPr="00025F31">
        <w:rPr>
          <w:rFonts w:cs="Arial"/>
          <w:szCs w:val="24"/>
        </w:rPr>
        <w:t>subagreement</w:t>
      </w:r>
      <w:proofErr w:type="spellEnd"/>
      <w:r w:rsidRPr="00025F31">
        <w:rPr>
          <w:rFonts w:cs="Arial"/>
          <w:szCs w:val="24"/>
        </w:rPr>
        <w:t>.</w:t>
      </w:r>
      <w:bookmarkEnd w:id="38"/>
    </w:p>
    <w:p w14:paraId="1D4816F5" w14:textId="77777777" w:rsidR="00CE76F8" w:rsidRDefault="00090C08" w:rsidP="00F3214B">
      <w:pPr>
        <w:pStyle w:val="Heading2"/>
        <w:numPr>
          <w:ilvl w:val="0"/>
          <w:numId w:val="26"/>
        </w:numPr>
        <w:spacing w:before="0" w:after="480"/>
        <w:ind w:left="360"/>
      </w:pPr>
      <w:bookmarkStart w:id="40" w:name="_Toc86997798"/>
      <w:r>
        <w:t>A</w:t>
      </w:r>
      <w:r w:rsidR="001179FB">
        <w:t>ccountability</w:t>
      </w:r>
      <w:bookmarkEnd w:id="40"/>
    </w:p>
    <w:p w14:paraId="71A579EF" w14:textId="77777777" w:rsidR="00090C08" w:rsidRDefault="00090C08" w:rsidP="00F3214B">
      <w:pPr>
        <w:pStyle w:val="Heading3"/>
        <w:numPr>
          <w:ilvl w:val="0"/>
          <w:numId w:val="7"/>
        </w:numPr>
      </w:pPr>
      <w:bookmarkStart w:id="41" w:name="_Toc86997799"/>
      <w:r>
        <w:t>Reporting Requirements</w:t>
      </w:r>
      <w:bookmarkEnd w:id="41"/>
    </w:p>
    <w:p w14:paraId="7443CA38" w14:textId="7B5427F7" w:rsidR="00090C08" w:rsidRDefault="00090C08" w:rsidP="00DA3575">
      <w:pPr>
        <w:ind w:left="720"/>
      </w:pPr>
      <w:r w:rsidRPr="00090C08">
        <w:t xml:space="preserve">An integral part of the reporting requirements is ongoing communication with the </w:t>
      </w:r>
      <w:r w:rsidR="00550429">
        <w:t xml:space="preserve">OCDE, BCOE, and the </w:t>
      </w:r>
      <w:r w:rsidRPr="00090C08">
        <w:t xml:space="preserve">CDE. The </w:t>
      </w:r>
      <w:r w:rsidR="00550429">
        <w:t>partner entity</w:t>
      </w:r>
      <w:r w:rsidR="00550429" w:rsidRPr="00090C08">
        <w:t xml:space="preserve"> </w:t>
      </w:r>
      <w:r w:rsidRPr="00090C08">
        <w:t>will participate regular</w:t>
      </w:r>
      <w:r w:rsidR="008C7901">
        <w:t>ly in</w:t>
      </w:r>
      <w:r w:rsidRPr="00090C08">
        <w:t xml:space="preserve"> meetings to be convened by the </w:t>
      </w:r>
      <w:r w:rsidR="00550429">
        <w:t xml:space="preserve">OCDE, BCOE, and/or the </w:t>
      </w:r>
      <w:r w:rsidRPr="00090C08">
        <w:t>CDE</w:t>
      </w:r>
      <w:r w:rsidR="008C7901">
        <w:t xml:space="preserve"> as requested</w:t>
      </w:r>
      <w:r w:rsidRPr="00090C08">
        <w:t>. Additionally, the following regular reporting will be completed and submitted</w:t>
      </w:r>
      <w:r w:rsidR="00120A0F">
        <w:t xml:space="preserve"> by the grantee</w:t>
      </w:r>
      <w:r w:rsidR="002B704E">
        <w:t>s</w:t>
      </w:r>
      <w:r w:rsidRPr="00090C08">
        <w:t>:</w:t>
      </w:r>
    </w:p>
    <w:p w14:paraId="67B1C50C" w14:textId="20BA2913" w:rsidR="00090C08" w:rsidRPr="008C7901" w:rsidRDefault="008C7901" w:rsidP="00F3214B">
      <w:pPr>
        <w:pStyle w:val="ListParagraph"/>
        <w:numPr>
          <w:ilvl w:val="0"/>
          <w:numId w:val="8"/>
        </w:numPr>
      </w:pPr>
      <w:r w:rsidRPr="008C7901">
        <w:t xml:space="preserve">A </w:t>
      </w:r>
      <w:r w:rsidR="00090C08" w:rsidRPr="008C7901">
        <w:t>fiscal activity report</w:t>
      </w:r>
      <w:r w:rsidRPr="008C7901">
        <w:t xml:space="preserve"> submitted at least annually, but at a maximum of quarterly (to be determined </w:t>
      </w:r>
      <w:r>
        <w:t xml:space="preserve">by the OCDE, BCOE, and CDE </w:t>
      </w:r>
      <w:r w:rsidRPr="008C7901">
        <w:t>after the SUMS Partner Entity is selected)</w:t>
      </w:r>
      <w:r w:rsidR="00090C08" w:rsidRPr="008C7901">
        <w:t>;</w:t>
      </w:r>
    </w:p>
    <w:p w14:paraId="29E13D32" w14:textId="33C17F91" w:rsidR="00090C08" w:rsidRPr="008C7901" w:rsidRDefault="00090C08" w:rsidP="00F3214B">
      <w:pPr>
        <w:pStyle w:val="ListParagraph"/>
        <w:numPr>
          <w:ilvl w:val="0"/>
          <w:numId w:val="8"/>
        </w:numPr>
      </w:pPr>
      <w:r w:rsidRPr="008C7901">
        <w:t xml:space="preserve">A narrative report of identified resources, activities, and effective practices developed by </w:t>
      </w:r>
      <w:r w:rsidR="00120A0F" w:rsidRPr="008C7901">
        <w:t>the</w:t>
      </w:r>
      <w:r w:rsidR="008C7901" w:rsidRPr="008C7901">
        <w:t xml:space="preserve"> SUMS Partner Entity submitted at least annually, but at a maximum of quarterly (to be determined</w:t>
      </w:r>
      <w:r w:rsidR="00B1357B" w:rsidRPr="00B1357B">
        <w:t xml:space="preserve"> </w:t>
      </w:r>
      <w:r w:rsidR="00B1357B">
        <w:t>by the OCDE, BCOE, and CDE</w:t>
      </w:r>
      <w:r w:rsidR="008C7901" w:rsidRPr="008C7901">
        <w:t xml:space="preserve"> after the SUMS Partner Entity is selected)</w:t>
      </w:r>
      <w:r w:rsidRPr="008C7901">
        <w:t>; and</w:t>
      </w:r>
    </w:p>
    <w:p w14:paraId="40F566DA" w14:textId="03B21BA5" w:rsidR="00090C08" w:rsidRPr="008C7901" w:rsidRDefault="00090C08" w:rsidP="00F3214B">
      <w:pPr>
        <w:pStyle w:val="ListParagraph"/>
        <w:numPr>
          <w:ilvl w:val="0"/>
          <w:numId w:val="8"/>
        </w:numPr>
        <w:rPr>
          <w:szCs w:val="24"/>
        </w:rPr>
      </w:pPr>
      <w:r w:rsidRPr="008C7901">
        <w:t>A program report identifying the number of schools and educators served</w:t>
      </w:r>
      <w:r w:rsidR="00764DC7" w:rsidRPr="008C7901">
        <w:t xml:space="preserve"> and any </w:t>
      </w:r>
      <w:r w:rsidR="00141733" w:rsidRPr="008C7901">
        <w:t xml:space="preserve">changes to </w:t>
      </w:r>
      <w:r w:rsidR="00764DC7" w:rsidRPr="008C7901">
        <w:t>external measures, such as suspension rate, etc</w:t>
      </w:r>
      <w:r w:rsidRPr="008C7901">
        <w:t>.</w:t>
      </w:r>
      <w:r w:rsidR="00712591">
        <w:t>,</w:t>
      </w:r>
      <w:r w:rsidR="008C7901">
        <w:t xml:space="preserve"> </w:t>
      </w:r>
      <w:r w:rsidR="008C7901" w:rsidRPr="008C7901">
        <w:t>submitted at least annually, but at a maximum of quarterly (to be determined</w:t>
      </w:r>
      <w:r w:rsidR="00B1357B" w:rsidRPr="00B1357B">
        <w:t xml:space="preserve"> </w:t>
      </w:r>
      <w:r w:rsidR="00B1357B">
        <w:t>by the OCDE, BCOE, and CDE</w:t>
      </w:r>
      <w:r w:rsidR="008C7901" w:rsidRPr="008C7901">
        <w:t xml:space="preserve"> after the SUMS Partner Entity is selected)</w:t>
      </w:r>
      <w:r w:rsidR="008C7901">
        <w:t>.</w:t>
      </w:r>
    </w:p>
    <w:p w14:paraId="2177A22C" w14:textId="3AE09DEC" w:rsidR="00090C08" w:rsidRPr="00A50E59" w:rsidRDefault="00090C08" w:rsidP="006176A9">
      <w:pPr>
        <w:spacing w:after="480"/>
        <w:ind w:left="720"/>
      </w:pPr>
      <w:r w:rsidRPr="00A50E59">
        <w:lastRenderedPageBreak/>
        <w:t xml:space="preserve">If the </w:t>
      </w:r>
      <w:r w:rsidR="00407FD5">
        <w:t xml:space="preserve">OCDE and/or the </w:t>
      </w:r>
      <w:r w:rsidRPr="00A50E59">
        <w:t>CDE do</w:t>
      </w:r>
      <w:r w:rsidR="00407FD5">
        <w:t>es</w:t>
      </w:r>
      <w:r w:rsidRPr="00A50E59">
        <w:t xml:space="preserve"> not receive the required reports, program activities are not completed, there is a lack of participation in meetings, or there is a negative trend in the dissemination of </w:t>
      </w:r>
      <w:r w:rsidR="00931223">
        <w:t>professional learning</w:t>
      </w:r>
      <w:r w:rsidRPr="00A50E59">
        <w:t>, funding may be halted.</w:t>
      </w:r>
    </w:p>
    <w:p w14:paraId="059537D2" w14:textId="77777777" w:rsidR="00090C08" w:rsidRPr="00381AE3" w:rsidRDefault="00EF5C1E" w:rsidP="00BD3742">
      <w:pPr>
        <w:pStyle w:val="Heading3"/>
      </w:pPr>
      <w:bookmarkStart w:id="42" w:name="_Toc86997800"/>
      <w:r w:rsidRPr="00381AE3">
        <w:t>Program Deliverables</w:t>
      </w:r>
      <w:bookmarkEnd w:id="42"/>
    </w:p>
    <w:p w14:paraId="488B31DB" w14:textId="1806D36B" w:rsidR="00D07616" w:rsidRPr="00A50E59" w:rsidRDefault="00D07616" w:rsidP="00DA3575">
      <w:pPr>
        <w:ind w:left="720"/>
      </w:pPr>
      <w:r w:rsidRPr="00A50E59">
        <w:t>The grantee</w:t>
      </w:r>
      <w:r w:rsidR="002B704E">
        <w:t>s</w:t>
      </w:r>
      <w:r w:rsidRPr="00A50E59">
        <w:t xml:space="preserve"> must provide a summary of activities in the report identifying both individual and collective contributions including, but not limited to:</w:t>
      </w:r>
    </w:p>
    <w:p w14:paraId="1F046BBD" w14:textId="77777777" w:rsidR="00D07616" w:rsidRPr="00025F31" w:rsidRDefault="00D07616" w:rsidP="00F3214B">
      <w:pPr>
        <w:pStyle w:val="ListParagraph"/>
        <w:numPr>
          <w:ilvl w:val="0"/>
          <w:numId w:val="9"/>
        </w:numPr>
      </w:pPr>
      <w:r w:rsidRPr="00025F31">
        <w:t>Proposed multiple measures to evaluate progress towards the program goals that evaluate the increased capacity of the grantee</w:t>
      </w:r>
      <w:r w:rsidR="002B704E" w:rsidRPr="00025F31">
        <w:t>s</w:t>
      </w:r>
      <w:r w:rsidRPr="00025F31">
        <w:t xml:space="preserve"> and partner(s) to provide quality assistance and expertise to LEAs;</w:t>
      </w:r>
    </w:p>
    <w:p w14:paraId="07A5E896" w14:textId="456729CC" w:rsidR="00D07616" w:rsidRPr="00025F31" w:rsidRDefault="00AA3BDC" w:rsidP="00F3214B">
      <w:pPr>
        <w:pStyle w:val="ListParagraph"/>
        <w:numPr>
          <w:ilvl w:val="0"/>
          <w:numId w:val="9"/>
        </w:numPr>
      </w:pPr>
      <w:r w:rsidRPr="00025F31">
        <w:t>R</w:t>
      </w:r>
      <w:r w:rsidR="00D07616" w:rsidRPr="00025F31">
        <w:t>esources</w:t>
      </w:r>
      <w:r w:rsidR="00A85301" w:rsidRPr="00025F31">
        <w:t xml:space="preserve"> (including training materials, videos, briefs, etc.)</w:t>
      </w:r>
      <w:r w:rsidRPr="00025F31">
        <w:t xml:space="preserve"> to support </w:t>
      </w:r>
      <w:r w:rsidR="00E66D73" w:rsidRPr="00025F31">
        <w:t xml:space="preserve">educators to implement </w:t>
      </w:r>
      <w:r w:rsidR="00E92CB0">
        <w:t>SEL;</w:t>
      </w:r>
      <w:r w:rsidR="00E92CB0" w:rsidRPr="006F7C41">
        <w:t xml:space="preserve"> trauma screening</w:t>
      </w:r>
      <w:r w:rsidR="00E92CB0">
        <w:t>;</w:t>
      </w:r>
      <w:r w:rsidR="00E92CB0" w:rsidRPr="006F7C41">
        <w:t xml:space="preserve"> trauma-informed practices</w:t>
      </w:r>
      <w:r w:rsidR="00E92CB0">
        <w:t>;</w:t>
      </w:r>
      <w:r w:rsidR="00E92CB0" w:rsidRPr="006F7C41">
        <w:t xml:space="preserve"> and culturally relevant, affirming, and sustaining practices</w:t>
      </w:r>
      <w:r w:rsidR="00E92CB0">
        <w:t>;</w:t>
      </w:r>
    </w:p>
    <w:p w14:paraId="02D87B71" w14:textId="38F01233" w:rsidR="00D07616" w:rsidRPr="00025F31" w:rsidRDefault="00D07616" w:rsidP="00F3214B">
      <w:pPr>
        <w:pStyle w:val="ListParagraph"/>
        <w:numPr>
          <w:ilvl w:val="0"/>
          <w:numId w:val="9"/>
        </w:numPr>
      </w:pPr>
      <w:r w:rsidRPr="00025F31">
        <w:t xml:space="preserve">Technical assistance and professional learning opportunities provided to </w:t>
      </w:r>
      <w:r w:rsidR="004B6B11">
        <w:t>educators and school leaders</w:t>
      </w:r>
      <w:r w:rsidRPr="00025F31">
        <w:t xml:space="preserve"> related to </w:t>
      </w:r>
      <w:r w:rsidR="004B6B11">
        <w:t>SEL;</w:t>
      </w:r>
      <w:r w:rsidR="004B6B11" w:rsidRPr="006F7C41">
        <w:t xml:space="preserve"> trauma screening</w:t>
      </w:r>
      <w:r w:rsidR="004B6B11">
        <w:t>;</w:t>
      </w:r>
      <w:r w:rsidR="004B6B11" w:rsidRPr="006F7C41">
        <w:t xml:space="preserve"> trauma-informed practices</w:t>
      </w:r>
      <w:r w:rsidR="004B6B11">
        <w:t>;</w:t>
      </w:r>
      <w:r w:rsidR="004B6B11" w:rsidRPr="006F7C41">
        <w:t xml:space="preserve"> and culturally relevant, affirming, and sustaining practices</w:t>
      </w:r>
      <w:r w:rsidRPr="00025F31">
        <w:t>;</w:t>
      </w:r>
    </w:p>
    <w:p w14:paraId="46045353" w14:textId="4E53593D" w:rsidR="00D07616" w:rsidRPr="00025F31" w:rsidRDefault="00D07616" w:rsidP="00F3214B">
      <w:pPr>
        <w:pStyle w:val="ListParagraph"/>
        <w:numPr>
          <w:ilvl w:val="0"/>
          <w:numId w:val="9"/>
        </w:numPr>
      </w:pPr>
      <w:r w:rsidRPr="00025F31">
        <w:t xml:space="preserve">Evidence of coordination and collaboration with other agencies, including but not limited to </w:t>
      </w:r>
      <w:r w:rsidR="00A30FB6">
        <w:t>LEA</w:t>
      </w:r>
      <w:r w:rsidRPr="00025F31">
        <w:t>s,</w:t>
      </w:r>
      <w:r w:rsidR="00A30FB6">
        <w:t xml:space="preserve"> OCDE, BCOE,</w:t>
      </w:r>
      <w:r w:rsidRPr="00025F31">
        <w:t xml:space="preserve"> CDE, </w:t>
      </w:r>
      <w:r w:rsidR="00A30FB6">
        <w:t xml:space="preserve">and any applicable </w:t>
      </w:r>
      <w:r w:rsidR="00F027D9">
        <w:t>IHEs</w:t>
      </w:r>
      <w:r w:rsidR="00A30FB6">
        <w:t xml:space="preserve">, and/or </w:t>
      </w:r>
      <w:r w:rsidR="00A30FB6">
        <w:rPr>
          <w:rFonts w:cs="Arial"/>
        </w:rPr>
        <w:t>nonprofit educational service providers</w:t>
      </w:r>
      <w:r w:rsidRPr="00025F31">
        <w:t>; and</w:t>
      </w:r>
    </w:p>
    <w:p w14:paraId="2EFD769D" w14:textId="50910EB8" w:rsidR="00D07616" w:rsidRPr="00025F31" w:rsidRDefault="00D07616" w:rsidP="00F3214B">
      <w:pPr>
        <w:pStyle w:val="ListParagraph"/>
        <w:numPr>
          <w:ilvl w:val="0"/>
          <w:numId w:val="9"/>
        </w:numPr>
        <w:spacing w:after="480"/>
      </w:pPr>
      <w:r w:rsidRPr="00025F31">
        <w:t xml:space="preserve">Number of participating educators, disaggregated by role, classrooms, schools, LEAs, </w:t>
      </w:r>
      <w:r w:rsidR="004826CC">
        <w:t xml:space="preserve">and </w:t>
      </w:r>
      <w:r w:rsidRPr="00025F31">
        <w:t>counties served</w:t>
      </w:r>
      <w:r w:rsidR="004826CC">
        <w:t xml:space="preserve"> (and any other data requested by the OCDE)</w:t>
      </w:r>
      <w:r w:rsidRPr="00025F31">
        <w:t>.</w:t>
      </w:r>
    </w:p>
    <w:p w14:paraId="4CBC3F40" w14:textId="77777777" w:rsidR="00EF5C1E" w:rsidRDefault="00D27DB3" w:rsidP="00F3214B">
      <w:pPr>
        <w:pStyle w:val="Heading2"/>
        <w:numPr>
          <w:ilvl w:val="0"/>
          <w:numId w:val="26"/>
        </w:numPr>
        <w:spacing w:before="0" w:after="480"/>
        <w:ind w:left="360"/>
      </w:pPr>
      <w:bookmarkStart w:id="43" w:name="_Toc86997801"/>
      <w:r>
        <w:t>A</w:t>
      </w:r>
      <w:r w:rsidR="00C8663C">
        <w:t>pplication Procedures and Processes</w:t>
      </w:r>
      <w:bookmarkEnd w:id="43"/>
    </w:p>
    <w:p w14:paraId="6CD34866" w14:textId="77777777" w:rsidR="00D27DB3" w:rsidRDefault="00D27DB3" w:rsidP="00F3214B">
      <w:pPr>
        <w:pStyle w:val="Heading3"/>
        <w:numPr>
          <w:ilvl w:val="0"/>
          <w:numId w:val="10"/>
        </w:numPr>
      </w:pPr>
      <w:bookmarkStart w:id="44" w:name="_Toc86997802"/>
      <w:r w:rsidRPr="00506F33">
        <w:t>Application</w:t>
      </w:r>
      <w:r>
        <w:t xml:space="preserve"> Timeline</w:t>
      </w:r>
      <w:bookmarkEnd w:id="44"/>
      <w:r w:rsidR="00252440">
        <w:t xml:space="preserve"> </w:t>
      </w:r>
    </w:p>
    <w:tbl>
      <w:tblPr>
        <w:tblStyle w:val="TableGrid"/>
        <w:tblW w:w="8370" w:type="dxa"/>
        <w:tblInd w:w="715" w:type="dxa"/>
        <w:tblLook w:val="04A0" w:firstRow="1" w:lastRow="0" w:firstColumn="1" w:lastColumn="0" w:noHBand="0" w:noVBand="1"/>
        <w:tblDescription w:val="Timeline Activity and Date"/>
      </w:tblPr>
      <w:tblGrid>
        <w:gridCol w:w="5130"/>
        <w:gridCol w:w="3240"/>
      </w:tblGrid>
      <w:tr w:rsidR="00EF52ED" w14:paraId="7079B828" w14:textId="77777777" w:rsidTr="009E1265">
        <w:trPr>
          <w:tblHeader/>
        </w:trPr>
        <w:tc>
          <w:tcPr>
            <w:tcW w:w="5130" w:type="dxa"/>
            <w:shd w:val="clear" w:color="auto" w:fill="D0CECE" w:themeFill="background2" w:themeFillShade="E6"/>
            <w:vAlign w:val="center"/>
          </w:tcPr>
          <w:p w14:paraId="008D5C35" w14:textId="77777777" w:rsidR="00EF52ED" w:rsidRPr="006E78CA" w:rsidRDefault="00EF52ED" w:rsidP="006E78CA">
            <w:pPr>
              <w:tabs>
                <w:tab w:val="left" w:pos="6120"/>
              </w:tabs>
              <w:spacing w:before="120" w:after="120"/>
              <w:rPr>
                <w:b/>
                <w:sz w:val="28"/>
              </w:rPr>
            </w:pPr>
            <w:bookmarkStart w:id="45" w:name="_Hlk84512656"/>
            <w:r w:rsidRPr="006E78CA">
              <w:rPr>
                <w:b/>
                <w:sz w:val="28"/>
              </w:rPr>
              <w:t>Activity</w:t>
            </w:r>
          </w:p>
        </w:tc>
        <w:tc>
          <w:tcPr>
            <w:tcW w:w="3240" w:type="dxa"/>
            <w:shd w:val="clear" w:color="auto" w:fill="D0CECE" w:themeFill="background2" w:themeFillShade="E6"/>
            <w:vAlign w:val="center"/>
          </w:tcPr>
          <w:p w14:paraId="4A170723" w14:textId="77777777" w:rsidR="00EF52ED" w:rsidRPr="006E78CA" w:rsidRDefault="00EF52ED" w:rsidP="006E78CA">
            <w:pPr>
              <w:tabs>
                <w:tab w:val="left" w:pos="6120"/>
              </w:tabs>
              <w:spacing w:before="120" w:after="120"/>
              <w:rPr>
                <w:b/>
                <w:sz w:val="28"/>
              </w:rPr>
            </w:pPr>
            <w:r w:rsidRPr="006E78CA">
              <w:rPr>
                <w:b/>
                <w:sz w:val="28"/>
              </w:rPr>
              <w:t>Date</w:t>
            </w:r>
          </w:p>
        </w:tc>
      </w:tr>
      <w:tr w:rsidR="00EF52ED" w14:paraId="79738E25" w14:textId="77777777" w:rsidTr="009E1265">
        <w:tc>
          <w:tcPr>
            <w:tcW w:w="5130" w:type="dxa"/>
          </w:tcPr>
          <w:p w14:paraId="089AD829" w14:textId="77777777" w:rsidR="00EF52ED" w:rsidRDefault="00EF52ED" w:rsidP="00F22109">
            <w:pPr>
              <w:tabs>
                <w:tab w:val="left" w:pos="6120"/>
              </w:tabs>
              <w:rPr>
                <w:b/>
              </w:rPr>
            </w:pPr>
            <w:r w:rsidRPr="000F34E6">
              <w:t>RFA Release</w:t>
            </w:r>
          </w:p>
        </w:tc>
        <w:tc>
          <w:tcPr>
            <w:tcW w:w="3240" w:type="dxa"/>
          </w:tcPr>
          <w:p w14:paraId="376359AA" w14:textId="2CD873C1" w:rsidR="00EF52ED" w:rsidRPr="00D72198" w:rsidRDefault="009E1265" w:rsidP="00F22109">
            <w:pPr>
              <w:tabs>
                <w:tab w:val="left" w:pos="6120"/>
              </w:tabs>
              <w:rPr>
                <w:b/>
              </w:rPr>
            </w:pPr>
            <w:r w:rsidRPr="00D72198">
              <w:t>Week of November 1,</w:t>
            </w:r>
            <w:r w:rsidR="00EF52ED" w:rsidRPr="00D72198">
              <w:t xml:space="preserve"> 202</w:t>
            </w:r>
            <w:r w:rsidR="00A80BF3" w:rsidRPr="00D72198">
              <w:t>1</w:t>
            </w:r>
          </w:p>
        </w:tc>
      </w:tr>
      <w:tr w:rsidR="00EF52ED" w14:paraId="270A56E2" w14:textId="77777777" w:rsidTr="009E1265">
        <w:tc>
          <w:tcPr>
            <w:tcW w:w="5130" w:type="dxa"/>
          </w:tcPr>
          <w:p w14:paraId="612114E7" w14:textId="77777777" w:rsidR="00EF52ED" w:rsidRDefault="00EF52ED" w:rsidP="00F22109">
            <w:pPr>
              <w:tabs>
                <w:tab w:val="left" w:pos="6120"/>
              </w:tabs>
              <w:rPr>
                <w:b/>
              </w:rPr>
            </w:pPr>
            <w:r w:rsidRPr="000F34E6">
              <w:t>Application Workshop Webinar</w:t>
            </w:r>
          </w:p>
        </w:tc>
        <w:tc>
          <w:tcPr>
            <w:tcW w:w="3240" w:type="dxa"/>
          </w:tcPr>
          <w:p w14:paraId="4D2BDEAC" w14:textId="44DBFB0A" w:rsidR="00EF52ED" w:rsidRPr="00D72198" w:rsidRDefault="00A80BF3" w:rsidP="00F22109">
            <w:pPr>
              <w:tabs>
                <w:tab w:val="left" w:pos="6120"/>
              </w:tabs>
              <w:rPr>
                <w:b/>
              </w:rPr>
            </w:pPr>
            <w:bookmarkStart w:id="46" w:name="_Hlk84510728"/>
            <w:r w:rsidRPr="00D72198">
              <w:t xml:space="preserve">November </w:t>
            </w:r>
            <w:r w:rsidR="00EF52ED" w:rsidRPr="00D72198">
              <w:t>1</w:t>
            </w:r>
            <w:r w:rsidR="009E1265" w:rsidRPr="00D72198">
              <w:t>5</w:t>
            </w:r>
            <w:r w:rsidR="00EF52ED" w:rsidRPr="00D72198">
              <w:t xml:space="preserve">, </w:t>
            </w:r>
            <w:r w:rsidRPr="00D72198">
              <w:t>2021</w:t>
            </w:r>
            <w:bookmarkEnd w:id="46"/>
          </w:p>
        </w:tc>
      </w:tr>
      <w:tr w:rsidR="00EF52ED" w14:paraId="539BB008" w14:textId="77777777" w:rsidTr="009E1265">
        <w:tc>
          <w:tcPr>
            <w:tcW w:w="5130" w:type="dxa"/>
          </w:tcPr>
          <w:p w14:paraId="52B3F33E" w14:textId="77777777" w:rsidR="00EF52ED" w:rsidRDefault="00EF52ED" w:rsidP="00F22109">
            <w:pPr>
              <w:tabs>
                <w:tab w:val="left" w:pos="6120"/>
              </w:tabs>
              <w:rPr>
                <w:b/>
              </w:rPr>
            </w:pPr>
            <w:r w:rsidRPr="000F34E6">
              <w:t>Application due to the CDE</w:t>
            </w:r>
          </w:p>
        </w:tc>
        <w:tc>
          <w:tcPr>
            <w:tcW w:w="3240" w:type="dxa"/>
          </w:tcPr>
          <w:p w14:paraId="5C8774E0" w14:textId="4BEEDA05" w:rsidR="00EF52ED" w:rsidRPr="00D72198" w:rsidRDefault="00A80BF3" w:rsidP="00F22109">
            <w:pPr>
              <w:tabs>
                <w:tab w:val="left" w:pos="6120"/>
              </w:tabs>
              <w:rPr>
                <w:b/>
              </w:rPr>
            </w:pPr>
            <w:r w:rsidRPr="00D72198">
              <w:t>December 1</w:t>
            </w:r>
            <w:r w:rsidR="009E1265" w:rsidRPr="00D72198">
              <w:t>7</w:t>
            </w:r>
            <w:r w:rsidR="00EF52ED" w:rsidRPr="00D72198">
              <w:t xml:space="preserve">, </w:t>
            </w:r>
            <w:r w:rsidRPr="00D72198">
              <w:t>2021</w:t>
            </w:r>
            <w:r w:rsidR="00EF52ED" w:rsidRPr="00D72198">
              <w:t>, by 4 p.m.</w:t>
            </w:r>
          </w:p>
        </w:tc>
      </w:tr>
      <w:tr w:rsidR="00EF52ED" w14:paraId="4300387C" w14:textId="77777777" w:rsidTr="009E1265">
        <w:tc>
          <w:tcPr>
            <w:tcW w:w="5130" w:type="dxa"/>
          </w:tcPr>
          <w:p w14:paraId="16BD0A03" w14:textId="77777777" w:rsidR="00EF52ED" w:rsidRDefault="00EF52ED" w:rsidP="00F22109">
            <w:pPr>
              <w:tabs>
                <w:tab w:val="left" w:pos="6120"/>
              </w:tabs>
              <w:rPr>
                <w:b/>
              </w:rPr>
            </w:pPr>
            <w:r w:rsidRPr="000F34E6">
              <w:lastRenderedPageBreak/>
              <w:t>Intent to Award posted</w:t>
            </w:r>
          </w:p>
        </w:tc>
        <w:tc>
          <w:tcPr>
            <w:tcW w:w="3240" w:type="dxa"/>
          </w:tcPr>
          <w:p w14:paraId="6D35C62A" w14:textId="1100B4C6" w:rsidR="00EF52ED" w:rsidRPr="00D72198" w:rsidRDefault="00A80BF3">
            <w:pPr>
              <w:tabs>
                <w:tab w:val="left" w:pos="6120"/>
              </w:tabs>
              <w:rPr>
                <w:b/>
              </w:rPr>
            </w:pPr>
            <w:r w:rsidRPr="00D72198">
              <w:t xml:space="preserve">January </w:t>
            </w:r>
            <w:r w:rsidR="009E1265" w:rsidRPr="00D72198">
              <w:t>14</w:t>
            </w:r>
            <w:r w:rsidR="00EF52ED" w:rsidRPr="00D72198">
              <w:t>, 202</w:t>
            </w:r>
            <w:r w:rsidRPr="00D72198">
              <w:t>2</w:t>
            </w:r>
          </w:p>
        </w:tc>
      </w:tr>
      <w:tr w:rsidR="00EF52ED" w14:paraId="68014C33" w14:textId="77777777" w:rsidTr="009E1265">
        <w:tc>
          <w:tcPr>
            <w:tcW w:w="5130" w:type="dxa"/>
          </w:tcPr>
          <w:p w14:paraId="7A83D75E" w14:textId="77777777" w:rsidR="00EF52ED" w:rsidRDefault="00EF52ED" w:rsidP="00F22109">
            <w:pPr>
              <w:tabs>
                <w:tab w:val="left" w:pos="6120"/>
              </w:tabs>
              <w:rPr>
                <w:b/>
              </w:rPr>
            </w:pPr>
            <w:r w:rsidRPr="00416695">
              <w:t>Last day for Appeals to be received by the CDE</w:t>
            </w:r>
          </w:p>
        </w:tc>
        <w:tc>
          <w:tcPr>
            <w:tcW w:w="3240" w:type="dxa"/>
          </w:tcPr>
          <w:p w14:paraId="2EEA27B0" w14:textId="37CABE1C" w:rsidR="00EF52ED" w:rsidRPr="00D72198" w:rsidRDefault="00A80BF3" w:rsidP="00F22109">
            <w:pPr>
              <w:tabs>
                <w:tab w:val="left" w:pos="6120"/>
              </w:tabs>
              <w:rPr>
                <w:b/>
              </w:rPr>
            </w:pPr>
            <w:r w:rsidRPr="00D72198">
              <w:t xml:space="preserve">January </w:t>
            </w:r>
            <w:r w:rsidR="009E1265" w:rsidRPr="00D72198">
              <w:t>21</w:t>
            </w:r>
            <w:r w:rsidR="00EF52ED" w:rsidRPr="00D72198">
              <w:t>, 202</w:t>
            </w:r>
            <w:r w:rsidR="00AA3FF3" w:rsidRPr="00D72198">
              <w:t>2</w:t>
            </w:r>
            <w:r w:rsidR="00EF52ED" w:rsidRPr="00D72198">
              <w:t>, by 4 p.m.</w:t>
            </w:r>
          </w:p>
        </w:tc>
      </w:tr>
      <w:tr w:rsidR="00EF52ED" w14:paraId="1F2DE8FB" w14:textId="77777777" w:rsidTr="009E1265">
        <w:tc>
          <w:tcPr>
            <w:tcW w:w="5130" w:type="dxa"/>
          </w:tcPr>
          <w:p w14:paraId="14D52263" w14:textId="77777777" w:rsidR="00EF52ED" w:rsidRDefault="00EF52ED" w:rsidP="00F22109">
            <w:pPr>
              <w:tabs>
                <w:tab w:val="left" w:pos="6120"/>
              </w:tabs>
              <w:rPr>
                <w:b/>
              </w:rPr>
            </w:pPr>
            <w:r w:rsidRPr="00416695">
              <w:t>Final Awards posted</w:t>
            </w:r>
          </w:p>
        </w:tc>
        <w:tc>
          <w:tcPr>
            <w:tcW w:w="3240" w:type="dxa"/>
          </w:tcPr>
          <w:p w14:paraId="4F94EBFB" w14:textId="4B6761B7" w:rsidR="00EF52ED" w:rsidRPr="00D72198" w:rsidRDefault="00A80BF3">
            <w:pPr>
              <w:tabs>
                <w:tab w:val="left" w:pos="6120"/>
              </w:tabs>
              <w:rPr>
                <w:b/>
              </w:rPr>
            </w:pPr>
            <w:r w:rsidRPr="00D72198">
              <w:t xml:space="preserve">January </w:t>
            </w:r>
            <w:r w:rsidR="009E1265" w:rsidRPr="00D72198">
              <w:t>31</w:t>
            </w:r>
            <w:r w:rsidR="00EF52ED" w:rsidRPr="00D72198">
              <w:t xml:space="preserve">, </w:t>
            </w:r>
            <w:r w:rsidRPr="00D72198">
              <w:t>2022</w:t>
            </w:r>
          </w:p>
        </w:tc>
      </w:tr>
      <w:tr w:rsidR="00844AA7" w14:paraId="32A45D05" w14:textId="77777777" w:rsidTr="009E1265">
        <w:tc>
          <w:tcPr>
            <w:tcW w:w="5130" w:type="dxa"/>
          </w:tcPr>
          <w:p w14:paraId="3F4FB522" w14:textId="77777777" w:rsidR="00844AA7" w:rsidRPr="00416695" w:rsidRDefault="00844AA7" w:rsidP="00F22109">
            <w:pPr>
              <w:tabs>
                <w:tab w:val="left" w:pos="6120"/>
              </w:tabs>
            </w:pPr>
            <w:r>
              <w:t>Program Start Date</w:t>
            </w:r>
          </w:p>
        </w:tc>
        <w:tc>
          <w:tcPr>
            <w:tcW w:w="3240" w:type="dxa"/>
          </w:tcPr>
          <w:p w14:paraId="6FE4ABEC" w14:textId="187F57B1" w:rsidR="00844AA7" w:rsidRPr="00416695" w:rsidRDefault="00E22FB2">
            <w:pPr>
              <w:tabs>
                <w:tab w:val="left" w:pos="6120"/>
              </w:tabs>
            </w:pPr>
            <w:r>
              <w:t>February 15</w:t>
            </w:r>
            <w:r w:rsidR="00844AA7">
              <w:t xml:space="preserve">, </w:t>
            </w:r>
            <w:r>
              <w:t>2022</w:t>
            </w:r>
          </w:p>
        </w:tc>
      </w:tr>
    </w:tbl>
    <w:p w14:paraId="3888CBB9" w14:textId="77777777" w:rsidR="00E26A06" w:rsidRPr="00252440" w:rsidRDefault="00F16152" w:rsidP="00E76AE5">
      <w:pPr>
        <w:pStyle w:val="Heading3"/>
        <w:spacing w:before="360"/>
      </w:pPr>
      <w:bookmarkStart w:id="47" w:name="_Toc86997803"/>
      <w:bookmarkEnd w:id="45"/>
      <w:r w:rsidRPr="00252440">
        <w:t>Application Process</w:t>
      </w:r>
      <w:bookmarkEnd w:id="47"/>
    </w:p>
    <w:p w14:paraId="72FC4049" w14:textId="77777777" w:rsidR="00780C5E" w:rsidRDefault="00780C5E" w:rsidP="00F3214B">
      <w:pPr>
        <w:pStyle w:val="ListParagraph"/>
        <w:numPr>
          <w:ilvl w:val="0"/>
          <w:numId w:val="11"/>
        </w:numPr>
      </w:pPr>
      <w:r>
        <w:t xml:space="preserve">In completing the application narrative, applicants should address the prompts in each section of the narrative description and refer to the evaluation rubric in Appendix A. </w:t>
      </w:r>
    </w:p>
    <w:p w14:paraId="523B3451" w14:textId="77777777" w:rsidR="00780C5E" w:rsidRPr="00153FA6" w:rsidRDefault="00780C5E" w:rsidP="00F3214B">
      <w:pPr>
        <w:pStyle w:val="ListParagraph"/>
        <w:numPr>
          <w:ilvl w:val="0"/>
          <w:numId w:val="11"/>
        </w:numPr>
        <w:rPr>
          <w:sz w:val="20"/>
        </w:rPr>
      </w:pPr>
      <w:r>
        <w:t>Each applicant will receive a single score. Reading members will be instructed to take a holistic approach in the application review process to rank and evaluate the application. The readers will make every effort to allow any part of the narrative to satisfy the evaluation points in the</w:t>
      </w:r>
      <w:r w:rsidRPr="00153FA6">
        <w:rPr>
          <w:spacing w:val="-4"/>
        </w:rPr>
        <w:t xml:space="preserve"> </w:t>
      </w:r>
      <w:r>
        <w:t>rubric.</w:t>
      </w:r>
    </w:p>
    <w:p w14:paraId="4452F4BF" w14:textId="25F8F85F" w:rsidR="00780C5E" w:rsidRPr="00153FA6" w:rsidRDefault="00780C5E" w:rsidP="00F3214B">
      <w:pPr>
        <w:pStyle w:val="ListParagraph"/>
        <w:numPr>
          <w:ilvl w:val="0"/>
          <w:numId w:val="11"/>
        </w:numPr>
      </w:pPr>
      <w:r w:rsidRPr="00153FA6">
        <w:t xml:space="preserve">The application will consist of four general types of information: </w:t>
      </w:r>
      <w:r w:rsidR="00996526">
        <w:br/>
      </w:r>
      <w:r w:rsidRPr="00153FA6">
        <w:t>(1) Applicant Information, (2) Applicant Narrative, (3) Budget Information, and (4) Letters of Commitment. To prepare the application, follow th</w:t>
      </w:r>
      <w:r w:rsidR="00C22D8D">
        <w:t>e guidance provided in Section 5</w:t>
      </w:r>
      <w:r w:rsidRPr="00153FA6">
        <w:t>.</w:t>
      </w:r>
    </w:p>
    <w:p w14:paraId="3D841DC0" w14:textId="5C9B61A2" w:rsidR="00780C5E" w:rsidRPr="00153FA6" w:rsidRDefault="00780C5E" w:rsidP="00F3214B">
      <w:pPr>
        <w:pStyle w:val="ListParagraph"/>
        <w:numPr>
          <w:ilvl w:val="0"/>
          <w:numId w:val="11"/>
        </w:numPr>
      </w:pPr>
      <w:r w:rsidRPr="00795C0B">
        <w:rPr>
          <w:b/>
        </w:rPr>
        <w:t xml:space="preserve">Applicants must submit the application by 4 p.m. on </w:t>
      </w:r>
      <w:r w:rsidR="00244FD0" w:rsidRPr="00C40AEE">
        <w:rPr>
          <w:b/>
        </w:rPr>
        <w:t>December 1</w:t>
      </w:r>
      <w:r w:rsidR="006F5897" w:rsidRPr="00C40AEE">
        <w:rPr>
          <w:b/>
        </w:rPr>
        <w:t>7</w:t>
      </w:r>
      <w:r w:rsidRPr="00C40AEE">
        <w:rPr>
          <w:b/>
        </w:rPr>
        <w:t>, 202</w:t>
      </w:r>
      <w:r w:rsidR="00FF4E67" w:rsidRPr="00C40AEE">
        <w:rPr>
          <w:b/>
        </w:rPr>
        <w:t>1</w:t>
      </w:r>
      <w:r w:rsidR="002B0AD3" w:rsidRPr="00795C0B">
        <w:rPr>
          <w:b/>
        </w:rPr>
        <w:t>, through the online application system.</w:t>
      </w:r>
      <w:r w:rsidR="002B0AD3">
        <w:t xml:space="preserve"> </w:t>
      </w:r>
      <w:r w:rsidR="002B0AD3" w:rsidRPr="00563F83">
        <w:rPr>
          <w:b/>
        </w:rPr>
        <w:t>Note:</w:t>
      </w:r>
    </w:p>
    <w:p w14:paraId="10762AD7" w14:textId="77777777" w:rsidR="00780C5E" w:rsidRDefault="00780C5E" w:rsidP="00F3214B">
      <w:pPr>
        <w:pStyle w:val="ListParagraph"/>
        <w:numPr>
          <w:ilvl w:val="0"/>
          <w:numId w:val="12"/>
        </w:numPr>
      </w:pPr>
      <w:r>
        <w:t>The applicant will receive email confirmation of the information submitted. If changes need to be made, resubmit the entire application prior to the submission deadline.</w:t>
      </w:r>
    </w:p>
    <w:p w14:paraId="205636A6" w14:textId="77777777" w:rsidR="00780C5E" w:rsidRDefault="00780C5E" w:rsidP="00F3214B">
      <w:pPr>
        <w:pStyle w:val="ListParagraph"/>
        <w:numPr>
          <w:ilvl w:val="0"/>
          <w:numId w:val="12"/>
        </w:numPr>
      </w:pPr>
      <w:r>
        <w:t>The last submitted application will be the one considered for</w:t>
      </w:r>
      <w:r w:rsidRPr="00153FA6">
        <w:rPr>
          <w:spacing w:val="-11"/>
        </w:rPr>
        <w:t xml:space="preserve"> </w:t>
      </w:r>
      <w:r>
        <w:t>review.</w:t>
      </w:r>
    </w:p>
    <w:p w14:paraId="267B4F27" w14:textId="78B5185C" w:rsidR="00153FA6" w:rsidRDefault="00780C5E" w:rsidP="00F3214B">
      <w:pPr>
        <w:pStyle w:val="ListParagraph"/>
        <w:numPr>
          <w:ilvl w:val="0"/>
          <w:numId w:val="12"/>
        </w:numPr>
      </w:pPr>
      <w:r>
        <w:t xml:space="preserve">The CDE </w:t>
      </w:r>
      <w:r w:rsidR="00E76AE5">
        <w:t>is</w:t>
      </w:r>
      <w:r>
        <w:t xml:space="preserve"> not able to modify application information after it is</w:t>
      </w:r>
      <w:r w:rsidRPr="00153FA6">
        <w:rPr>
          <w:spacing w:val="-1"/>
        </w:rPr>
        <w:t xml:space="preserve"> </w:t>
      </w:r>
      <w:r>
        <w:t>submitted.</w:t>
      </w:r>
    </w:p>
    <w:p w14:paraId="639864A1" w14:textId="77777777" w:rsidR="00780C5E" w:rsidRPr="003A2DE1" w:rsidRDefault="00780C5E" w:rsidP="00F3214B">
      <w:pPr>
        <w:pStyle w:val="ListParagraph"/>
        <w:numPr>
          <w:ilvl w:val="0"/>
          <w:numId w:val="12"/>
        </w:numPr>
        <w:spacing w:after="480"/>
      </w:pPr>
      <w:r>
        <w:t>Incomplete or late applications will not be</w:t>
      </w:r>
      <w:r w:rsidRPr="00153FA6">
        <w:rPr>
          <w:spacing w:val="-5"/>
        </w:rPr>
        <w:t xml:space="preserve"> </w:t>
      </w:r>
      <w:r>
        <w:t>considered</w:t>
      </w:r>
      <w:r w:rsidR="00A04ECD">
        <w:t>.</w:t>
      </w:r>
      <w:r w:rsidRPr="00153FA6">
        <w:rPr>
          <w:rFonts w:ascii="Times New Roman" w:hAnsi="Times New Roman" w:cs="Times New Roman"/>
          <w:szCs w:val="24"/>
        </w:rPr>
        <w:t xml:space="preserve"> </w:t>
      </w:r>
    </w:p>
    <w:p w14:paraId="6859700B" w14:textId="77777777" w:rsidR="003A2DE1" w:rsidRDefault="00ED6DB2" w:rsidP="00BD3742">
      <w:pPr>
        <w:pStyle w:val="Heading3"/>
      </w:pPr>
      <w:bookmarkStart w:id="48" w:name="_Toc86997804"/>
      <w:r>
        <w:lastRenderedPageBreak/>
        <w:t>Application Review</w:t>
      </w:r>
      <w:bookmarkEnd w:id="48"/>
    </w:p>
    <w:p w14:paraId="4A2C43FE" w14:textId="4C345714" w:rsidR="00A5062A" w:rsidRDefault="00ED6DB2" w:rsidP="00674334">
      <w:pPr>
        <w:ind w:left="720"/>
      </w:pPr>
      <w:r>
        <w:t xml:space="preserve">Complete applications will be reviewed and </w:t>
      </w:r>
      <w:r w:rsidR="00D17775">
        <w:t>scored</w:t>
      </w:r>
      <w:r>
        <w:t xml:space="preserve"> by the reading panel and evaluated using the Evaluation Rubric (Appendix A). </w:t>
      </w:r>
      <w:r w:rsidR="00E76AE5">
        <w:t>R</w:t>
      </w:r>
      <w:r>
        <w:t>eviewers</w:t>
      </w:r>
      <w:r w:rsidR="00E76AE5">
        <w:t xml:space="preserve"> will certify that they</w:t>
      </w:r>
      <w:r>
        <w:t xml:space="preserve"> have no conflicts</w:t>
      </w:r>
      <w:r w:rsidR="005723D3">
        <w:t xml:space="preserve"> of interest</w:t>
      </w:r>
      <w:r>
        <w:t xml:space="preserve"> with the applicants. </w:t>
      </w:r>
    </w:p>
    <w:p w14:paraId="1F3933A1" w14:textId="3E894306" w:rsidR="00A5062A" w:rsidRDefault="00A5062A" w:rsidP="00563F83">
      <w:pPr>
        <w:spacing w:after="480"/>
        <w:ind w:left="720"/>
      </w:pPr>
      <w:r w:rsidRPr="00A50E59">
        <w:t xml:space="preserve">Although scores from the review of the applications are important, they are not the sole determiners for funding. The selected applicant is subject to approval by the </w:t>
      </w:r>
      <w:r w:rsidR="00E76AE5">
        <w:t>e</w:t>
      </w:r>
      <w:r w:rsidRPr="00A50E59">
        <w:t xml:space="preserve">xecutive </w:t>
      </w:r>
      <w:r w:rsidR="00E76AE5">
        <w:t>d</w:t>
      </w:r>
      <w:r w:rsidRPr="00A50E59">
        <w:t xml:space="preserve">irector of the </w:t>
      </w:r>
      <w:r>
        <w:t>SBE</w:t>
      </w:r>
      <w:r w:rsidRPr="00A50E59">
        <w:t>.</w:t>
      </w:r>
      <w:r>
        <w:t xml:space="preserve"> The CDE may reject an application that is not responsive, does not meet the technical standards, or is not from a designated applicant, or may choose to reject all applications.</w:t>
      </w:r>
    </w:p>
    <w:p w14:paraId="707E5E7C" w14:textId="77777777" w:rsidR="00ED6DB2" w:rsidRDefault="00ED6DB2" w:rsidP="00BD3742">
      <w:pPr>
        <w:pStyle w:val="Heading3"/>
      </w:pPr>
      <w:bookmarkStart w:id="49" w:name="_Toc86997805"/>
      <w:r>
        <w:t>Technical Assi</w:t>
      </w:r>
      <w:r w:rsidR="00CB7251">
        <w:t>s</w:t>
      </w:r>
      <w:r>
        <w:t>tance</w:t>
      </w:r>
      <w:bookmarkEnd w:id="49"/>
    </w:p>
    <w:p w14:paraId="20A122D5" w14:textId="6F1CC2BA" w:rsidR="003C1057" w:rsidRDefault="00ED6DB2" w:rsidP="00DA3575">
      <w:pPr>
        <w:ind w:left="720"/>
      </w:pPr>
      <w:r>
        <w:t xml:space="preserve">In order to impact students in a variety of learning contexts throughout California, the CDE will attempt to fund a </w:t>
      </w:r>
      <w:r w:rsidR="004615C2">
        <w:t>SUMS: Partner Entity</w:t>
      </w:r>
      <w:r w:rsidRPr="007C1A1C">
        <w:t xml:space="preserve"> </w:t>
      </w:r>
      <w:r w:rsidR="00BC3992">
        <w:t xml:space="preserve">applicant </w:t>
      </w:r>
      <w:r>
        <w:t xml:space="preserve">that </w:t>
      </w:r>
      <w:r w:rsidRPr="00945242">
        <w:t xml:space="preserve">partners with multiple entities and </w:t>
      </w:r>
      <w:r w:rsidR="00945242" w:rsidRPr="00945242">
        <w:t xml:space="preserve">has </w:t>
      </w:r>
      <w:r w:rsidR="006E13C5" w:rsidRPr="006E13C5">
        <w:t>demonstrated expertise in developing and delivering high</w:t>
      </w:r>
      <w:r w:rsidR="00E76AE5">
        <w:t xml:space="preserve"> </w:t>
      </w:r>
      <w:r w:rsidR="006E13C5" w:rsidRPr="006E13C5">
        <w:t xml:space="preserve">quality professional learning to educators in </w:t>
      </w:r>
      <w:r w:rsidR="003C1057">
        <w:t>SEL</w:t>
      </w:r>
      <w:r w:rsidR="006E13C5" w:rsidRPr="006E13C5">
        <w:t xml:space="preserve">, trauma-informed practices, and culturally relevant, affirming, and sustaining practices in a manner that aligns with local </w:t>
      </w:r>
      <w:r w:rsidR="003C1057">
        <w:t>MTSS</w:t>
      </w:r>
      <w:r w:rsidRPr="00945242">
        <w:t>.</w:t>
      </w:r>
      <w:r>
        <w:t xml:space="preserve"> </w:t>
      </w:r>
    </w:p>
    <w:p w14:paraId="6B2BDEA0" w14:textId="121795ED" w:rsidR="00461D0B" w:rsidRDefault="00ED6DB2" w:rsidP="00461D0B">
      <w:pPr>
        <w:ind w:left="720"/>
      </w:pPr>
      <w:r>
        <w:t xml:space="preserve">CDE staff will conduct one application information session to provide an overview of the RFA and offer potential applicants an opportunity to ask clarifying questions. The date and time of the </w:t>
      </w:r>
      <w:r w:rsidR="00751A49">
        <w:t xml:space="preserve">SUMS: Partner Entity </w:t>
      </w:r>
      <w:r>
        <w:t>Application information session is listed below:</w:t>
      </w:r>
    </w:p>
    <w:p w14:paraId="1F642FD9" w14:textId="7B3C9980" w:rsidR="00461D0B" w:rsidRPr="00C40AEE" w:rsidRDefault="00400D49" w:rsidP="00F3214B">
      <w:pPr>
        <w:pStyle w:val="ListParagraph"/>
        <w:numPr>
          <w:ilvl w:val="0"/>
          <w:numId w:val="31"/>
        </w:numPr>
        <w:spacing w:after="480"/>
        <w:ind w:left="1440"/>
        <w:rPr>
          <w:rFonts w:eastAsia="Arial"/>
        </w:rPr>
      </w:pPr>
      <w:r w:rsidRPr="00C40AEE">
        <w:t xml:space="preserve">Application Webinar, </w:t>
      </w:r>
      <w:r w:rsidR="00602CFC" w:rsidRPr="00C40AEE">
        <w:t>November 1</w:t>
      </w:r>
      <w:r w:rsidR="006F5897" w:rsidRPr="00C40AEE">
        <w:t>5</w:t>
      </w:r>
      <w:r w:rsidR="00602CFC" w:rsidRPr="00C40AEE">
        <w:t>, 2021</w:t>
      </w:r>
      <w:r w:rsidR="00BC3992" w:rsidRPr="00C40AEE">
        <w:t xml:space="preserve">, </w:t>
      </w:r>
      <w:r w:rsidR="007F1770" w:rsidRPr="00C40AEE">
        <w:t>9</w:t>
      </w:r>
      <w:r w:rsidR="00BC3992" w:rsidRPr="00C40AEE">
        <w:t>:</w:t>
      </w:r>
      <w:r w:rsidR="007F1770" w:rsidRPr="00C40AEE">
        <w:t>3</w:t>
      </w:r>
      <w:r w:rsidR="00BC3992" w:rsidRPr="00C40AEE">
        <w:t>0–</w:t>
      </w:r>
      <w:r w:rsidR="007F1770" w:rsidRPr="00C40AEE">
        <w:t>11</w:t>
      </w:r>
      <w:r w:rsidRPr="00C40AEE">
        <w:t>:</w:t>
      </w:r>
      <w:r w:rsidR="00263768" w:rsidRPr="00C40AEE">
        <w:t>0</w:t>
      </w:r>
      <w:r w:rsidRPr="00C40AEE">
        <w:t>0</w:t>
      </w:r>
      <w:r w:rsidRPr="00C40AEE">
        <w:rPr>
          <w:spacing w:val="-26"/>
        </w:rPr>
        <w:t xml:space="preserve"> </w:t>
      </w:r>
      <w:r w:rsidR="007F1770" w:rsidRPr="00C40AEE">
        <w:t>a</w:t>
      </w:r>
      <w:r w:rsidRPr="00C40AEE">
        <w:t>.m.</w:t>
      </w:r>
      <w:r w:rsidR="002750AA" w:rsidRPr="00C40AEE">
        <w:t xml:space="preserve"> via</w:t>
      </w:r>
      <w:r w:rsidR="00461D0B" w:rsidRPr="00C40AEE">
        <w:t xml:space="preserve"> </w:t>
      </w:r>
      <w:r w:rsidR="000400B3" w:rsidRPr="000400B3">
        <w:rPr>
          <w:strike/>
          <w:u w:color="0000FF"/>
        </w:rPr>
        <w:t>https://us02web.zoom.us/webinar/register/WN_ogQWLs6gRQuWA1iO-qPNqw</w:t>
      </w:r>
      <w:r w:rsidR="000400B3">
        <w:rPr>
          <w:u w:color="0000FF"/>
        </w:rPr>
        <w:t xml:space="preserve"> [link no longer available].</w:t>
      </w:r>
    </w:p>
    <w:p w14:paraId="685093D3" w14:textId="77777777" w:rsidR="00ED6DB2" w:rsidRDefault="00522055" w:rsidP="00BD3742">
      <w:pPr>
        <w:pStyle w:val="Heading3"/>
      </w:pPr>
      <w:bookmarkStart w:id="50" w:name="_Toc86997806"/>
      <w:r>
        <w:t>Appeals Process</w:t>
      </w:r>
      <w:bookmarkEnd w:id="50"/>
    </w:p>
    <w:p w14:paraId="7643E795" w14:textId="77777777" w:rsidR="003113E2" w:rsidRPr="00C40D1A" w:rsidRDefault="00226248" w:rsidP="003113E2">
      <w:pPr>
        <w:spacing w:after="0"/>
        <w:ind w:left="720"/>
        <w:rPr>
          <w:b/>
        </w:rPr>
      </w:pPr>
      <w:r>
        <w:t xml:space="preserve">The CDE must receive the request for appeal, no later than </w:t>
      </w:r>
      <w:r w:rsidRPr="00C40D1A">
        <w:rPr>
          <w:b/>
        </w:rPr>
        <w:t xml:space="preserve">4 p.m. on </w:t>
      </w:r>
    </w:p>
    <w:p w14:paraId="2618287B" w14:textId="1FCE85AD" w:rsidR="00226248" w:rsidRDefault="001C1F70" w:rsidP="00FE366E">
      <w:pPr>
        <w:ind w:left="720"/>
      </w:pPr>
      <w:r w:rsidRPr="00C40AEE">
        <w:rPr>
          <w:b/>
        </w:rPr>
        <w:t xml:space="preserve">January </w:t>
      </w:r>
      <w:r w:rsidR="006F5897" w:rsidRPr="00C40AEE">
        <w:rPr>
          <w:b/>
        </w:rPr>
        <w:t>21</w:t>
      </w:r>
      <w:r w:rsidRPr="00C40AEE">
        <w:rPr>
          <w:b/>
        </w:rPr>
        <w:t>, 2022</w:t>
      </w:r>
      <w:r w:rsidR="00226248" w:rsidRPr="003113E2">
        <w:rPr>
          <w:b/>
        </w:rPr>
        <w:t>.</w:t>
      </w:r>
      <w:r w:rsidR="00226248">
        <w:t xml:space="preserve"> Only the </w:t>
      </w:r>
      <w:r w:rsidR="006738E4">
        <w:t>project director</w:t>
      </w:r>
      <w:r w:rsidR="00226248">
        <w:t xml:space="preserve"> may electronically submit an appeal via the link on the </w:t>
      </w:r>
      <w:r w:rsidR="0099391A">
        <w:t xml:space="preserve">SUMS: Partner Entity </w:t>
      </w:r>
      <w:r w:rsidR="00F3214B">
        <w:t>RFA</w:t>
      </w:r>
      <w:r w:rsidR="0099391A">
        <w:t xml:space="preserve"> </w:t>
      </w:r>
      <w:r w:rsidR="00226248">
        <w:t xml:space="preserve">web page. Appeals submitted via means other than the electronic link will </w:t>
      </w:r>
      <w:r w:rsidR="00226248">
        <w:rPr>
          <w:b/>
        </w:rPr>
        <w:t>not</w:t>
      </w:r>
      <w:r w:rsidR="00226248">
        <w:t xml:space="preserve"> be accepted.</w:t>
      </w:r>
    </w:p>
    <w:p w14:paraId="07D5B926" w14:textId="77777777" w:rsidR="00226248" w:rsidRDefault="00226248" w:rsidP="003113E2">
      <w:pPr>
        <w:spacing w:after="480"/>
        <w:ind w:left="720"/>
      </w:pPr>
      <w:r>
        <w:t xml:space="preserve">Appeals shall be limited to the grounds that the CDE failed to </w:t>
      </w:r>
      <w:r>
        <w:rPr>
          <w:b/>
        </w:rPr>
        <w:t xml:space="preserve">correctly apply the standards for reviewing the application </w:t>
      </w:r>
      <w:r>
        <w:t xml:space="preserve">as specified in this RFA. The appellant must file a full and complete written appeal, include the issue(s) in dispute, the legal authority or other basis for the appeal position, and the remedy sought. The CDE will not consider incomplete or late appeals. The appellant may not supply any new information that was not contained in the original application. A final decision will be provided in writing within </w:t>
      </w:r>
      <w:r w:rsidRPr="002007A9">
        <w:t>10 business days</w:t>
      </w:r>
      <w:r>
        <w:t xml:space="preserve"> from the date that appeals are due to the CDE for this specific RFA.</w:t>
      </w:r>
    </w:p>
    <w:p w14:paraId="2D2C9EB4" w14:textId="77777777" w:rsidR="00226248" w:rsidRDefault="00226248" w:rsidP="00BD3742">
      <w:pPr>
        <w:pStyle w:val="Heading3"/>
      </w:pPr>
      <w:bookmarkStart w:id="51" w:name="_Toc86997807"/>
      <w:r>
        <w:lastRenderedPageBreak/>
        <w:t>Grant Award Notification</w:t>
      </w:r>
      <w:bookmarkEnd w:id="51"/>
    </w:p>
    <w:p w14:paraId="23D12633" w14:textId="6DBB9BEA" w:rsidR="00226248" w:rsidRDefault="005B5379" w:rsidP="00F3214B">
      <w:pPr>
        <w:spacing w:after="480"/>
        <w:ind w:left="720"/>
      </w:pPr>
      <w:r w:rsidRPr="00287011">
        <w:rPr>
          <w:rFonts w:cs="Arial"/>
          <w:szCs w:val="24"/>
        </w:rPr>
        <w:t>Following final program and budget negotiations,</w:t>
      </w:r>
      <w:r w:rsidRPr="00287011">
        <w:t xml:space="preserve"> </w:t>
      </w:r>
      <w:r w:rsidR="009C34D3" w:rsidRPr="00287011">
        <w:t>the CDE will release the funds to the OCDE</w:t>
      </w:r>
      <w:r w:rsidR="00E76AE5">
        <w:t xml:space="preserve"> and t</w:t>
      </w:r>
      <w:r w:rsidR="009C34D3" w:rsidRPr="00287011">
        <w:t xml:space="preserve">he OCDE will </w:t>
      </w:r>
      <w:r w:rsidR="00287011">
        <w:t xml:space="preserve">provide </w:t>
      </w:r>
      <w:r w:rsidRPr="00287011">
        <w:t>the</w:t>
      </w:r>
      <w:r w:rsidR="00E76AE5">
        <w:t xml:space="preserve"> funds to the</w:t>
      </w:r>
      <w:r w:rsidRPr="00287011">
        <w:t xml:space="preserve"> </w:t>
      </w:r>
      <w:r w:rsidR="00287011">
        <w:t xml:space="preserve">SUMS Partner Entity. </w:t>
      </w:r>
      <w:r w:rsidR="00226248" w:rsidRPr="00287011">
        <w:t>The grantee</w:t>
      </w:r>
      <w:r w:rsidR="002B704E" w:rsidRPr="00287011">
        <w:t>s</w:t>
      </w:r>
      <w:r w:rsidR="00226248" w:rsidRPr="00287011">
        <w:t xml:space="preserve"> must sign and return </w:t>
      </w:r>
      <w:r w:rsidR="00287011">
        <w:t>any required documentation requested by the OCDE</w:t>
      </w:r>
      <w:r w:rsidR="00226248" w:rsidRPr="00287011">
        <w:t xml:space="preserve"> before project work may begin and disbursement of funds can be made.</w:t>
      </w:r>
    </w:p>
    <w:p w14:paraId="29B33EF5" w14:textId="77777777" w:rsidR="00226248" w:rsidRDefault="00226248" w:rsidP="00BD3742">
      <w:pPr>
        <w:pStyle w:val="Heading3"/>
      </w:pPr>
      <w:bookmarkStart w:id="52" w:name="_Toc86997808"/>
      <w:r>
        <w:t xml:space="preserve">Assurances, Certifications, Terms, and </w:t>
      </w:r>
      <w:r w:rsidRPr="00506F33">
        <w:t>Conditions</w:t>
      </w:r>
      <w:bookmarkEnd w:id="52"/>
    </w:p>
    <w:p w14:paraId="5C82FAF8" w14:textId="77777777" w:rsidR="00226248" w:rsidRDefault="00226248" w:rsidP="00F3214B">
      <w:pPr>
        <w:spacing w:after="480"/>
        <w:ind w:left="720"/>
      </w:pPr>
      <w:r>
        <w:t>Assurances, certifications, terms, and conditions are requirements of applicants and the grantee</w:t>
      </w:r>
      <w:r w:rsidR="002B704E">
        <w:t>s</w:t>
      </w:r>
      <w:r>
        <w:t xml:space="preserve"> as a condition of receiving funds. </w:t>
      </w:r>
      <w:r w:rsidRPr="008943E6">
        <w:t>The signed grant application submitted to the CDE is a commitment to comply with the assurances, certifications, terms, and conditions associated with the grant.</w:t>
      </w:r>
    </w:p>
    <w:p w14:paraId="27E2DE40" w14:textId="77777777" w:rsidR="00226248" w:rsidRDefault="00226248" w:rsidP="00FE366E">
      <w:pPr>
        <w:pStyle w:val="Heading4"/>
        <w:ind w:firstLine="720"/>
      </w:pPr>
      <w:r w:rsidRPr="00226248">
        <w:t>Assurances and Certifications</w:t>
      </w:r>
    </w:p>
    <w:p w14:paraId="45751524" w14:textId="06E7DAB3" w:rsidR="00226248" w:rsidRDefault="00226248" w:rsidP="00FE366E">
      <w:pPr>
        <w:ind w:left="720"/>
      </w:pPr>
      <w:r w:rsidRPr="00F347D6">
        <w:t xml:space="preserve">The </w:t>
      </w:r>
      <w:r w:rsidR="00F347D6" w:rsidRPr="00F347D6">
        <w:t>Superintendent of the LEA</w:t>
      </w:r>
      <w:r w:rsidRPr="00F347D6">
        <w:t xml:space="preserve">, acting as the fiscal agent, must agree to Form </w:t>
      </w:r>
      <w:r w:rsidR="00D44019" w:rsidRPr="00F347D6">
        <w:t>A</w:t>
      </w:r>
      <w:r w:rsidRPr="00F347D6">
        <w:t xml:space="preserve">, Project </w:t>
      </w:r>
      <w:r w:rsidR="004925D2" w:rsidRPr="00F347D6">
        <w:t xml:space="preserve">Statement of </w:t>
      </w:r>
      <w:r w:rsidRPr="00F347D6">
        <w:t>Assurances.</w:t>
      </w:r>
    </w:p>
    <w:p w14:paraId="4AD1E7C6" w14:textId="7AFF8F68" w:rsidR="00226248" w:rsidRDefault="00226248" w:rsidP="00F3214B">
      <w:pPr>
        <w:spacing w:after="480"/>
        <w:ind w:left="720"/>
      </w:pPr>
      <w:r>
        <w:t>Applicants do not need to sign and return the general assurances and certifications with the application. Instead, applicants must download assurances and certifications and keep</w:t>
      </w:r>
      <w:r w:rsidR="00B10E7C">
        <w:t xml:space="preserve"> them</w:t>
      </w:r>
      <w:r>
        <w:t xml:space="preserve"> on file and available for compliance reviews, complaint investigations, or audits.</w:t>
      </w:r>
      <w:r w:rsidR="00E534CF">
        <w:t xml:space="preserve"> </w:t>
      </w:r>
      <w:r w:rsidR="00B10E7C">
        <w:t>The g</w:t>
      </w:r>
      <w:r>
        <w:t xml:space="preserve">eneral assurances and certifications are available on the CDE Funding Forms </w:t>
      </w:r>
      <w:r w:rsidR="00803C99">
        <w:t>w</w:t>
      </w:r>
      <w:r>
        <w:t xml:space="preserve">eb page at </w:t>
      </w:r>
      <w:hyperlink r:id="rId26" w:tooltip="General Assurances and Certifications on the CDE website" w:history="1">
        <w:r>
          <w:rPr>
            <w:rStyle w:val="Hyperlink"/>
          </w:rPr>
          <w:t>https://www.cde.ca.gov/fg/fo/fm/ff.asp</w:t>
        </w:r>
      </w:hyperlink>
      <w:r>
        <w:t>.</w:t>
      </w:r>
    </w:p>
    <w:p w14:paraId="71B581C6" w14:textId="77777777" w:rsidR="00A548C0" w:rsidRDefault="00A548C0" w:rsidP="00FE366E">
      <w:pPr>
        <w:pStyle w:val="Heading4"/>
        <w:ind w:firstLine="720"/>
      </w:pPr>
      <w:r w:rsidRPr="00A548C0">
        <w:t>Terms and Conditions</w:t>
      </w:r>
    </w:p>
    <w:p w14:paraId="5A3C470D" w14:textId="77777777" w:rsidR="009F59CA" w:rsidRDefault="009F59CA" w:rsidP="009F59CA">
      <w:pPr>
        <w:ind w:left="720"/>
      </w:pPr>
      <w:bookmarkStart w:id="53" w:name="_Hlk84574320"/>
      <w:r>
        <w:t xml:space="preserve">The grant award will be processed by the OCDE. Acceptance of these funds must be approved by the authorized agent and returned to the OCDE by the specified number of days (to be determined by the OCDE). All funds must be expended or legally obligated by the end of each fiscal year, beginning with the 2021–22 fiscal year, and for not more than the maximum amount indicated. </w:t>
      </w:r>
    </w:p>
    <w:p w14:paraId="4205AB59" w14:textId="505D6489" w:rsidR="00A548C0" w:rsidRPr="00F64497" w:rsidRDefault="009F59CA">
      <w:pPr>
        <w:spacing w:after="480"/>
        <w:ind w:left="720"/>
      </w:pPr>
      <w:r>
        <w:t xml:space="preserve">Encumbrances may be made at any time after the beginning date of the grant stated on the OCDE agreement. No extensions of this grant will be allowed. The Partner Entity must work with the OCDE to determine whether a budget revision is required if expenditures exceed the total in the approved budget. The budgets should display annual implementation showing how the grant will be used to provide professional learning opportunities to educators and school leaders in public schools in a manner that aligns with the SUMS initiative. Proposed expenditures must demonstrate appropriate use of state funds. </w:t>
      </w:r>
    </w:p>
    <w:p w14:paraId="6E8B55E9" w14:textId="02C193F5" w:rsidR="007F720E" w:rsidRDefault="007F720E" w:rsidP="00F3214B">
      <w:pPr>
        <w:pStyle w:val="Heading2"/>
        <w:numPr>
          <w:ilvl w:val="0"/>
          <w:numId w:val="11"/>
        </w:numPr>
        <w:ind w:left="360"/>
      </w:pPr>
      <w:bookmarkStart w:id="54" w:name="_Toc86997809"/>
      <w:bookmarkEnd w:id="53"/>
      <w:r>
        <w:lastRenderedPageBreak/>
        <w:t>Program Application</w:t>
      </w:r>
      <w:bookmarkEnd w:id="54"/>
    </w:p>
    <w:p w14:paraId="726BD104" w14:textId="44066F3E" w:rsidR="007F720E" w:rsidRDefault="007F720E" w:rsidP="00F3214B">
      <w:pPr>
        <w:spacing w:after="480"/>
        <w:ind w:left="360"/>
      </w:pPr>
      <w:r>
        <w:t>A complete application is submitted electronicall</w:t>
      </w:r>
      <w:r w:rsidR="00C22D8D">
        <w:t xml:space="preserve">y </w:t>
      </w:r>
      <w:r w:rsidR="003B5956">
        <w:t xml:space="preserve">through the </w:t>
      </w:r>
      <w:r w:rsidR="00AF5CBE">
        <w:t xml:space="preserve">SUMS: Partner Entity </w:t>
      </w:r>
      <w:r w:rsidR="003B5956">
        <w:t xml:space="preserve">Application, a link to which will be available on the RFA web page at </w:t>
      </w:r>
      <w:hyperlink r:id="rId27" w:tooltip="SUMS Partner RFA Information" w:history="1">
        <w:r w:rsidR="00A43238">
          <w:rPr>
            <w:rStyle w:val="Hyperlink"/>
            <w:rFonts w:eastAsia="Arial"/>
          </w:rPr>
          <w:t>https://www.cde.ca.gov/ci/cr/ri/sumspartner.asp</w:t>
        </w:r>
      </w:hyperlink>
      <w:r w:rsidR="003B5956">
        <w:t>, shortly after the RFA is released</w:t>
      </w:r>
      <w:r w:rsidR="00C22D8D">
        <w:t xml:space="preserve">. See </w:t>
      </w:r>
      <w:r w:rsidR="002A6A37">
        <w:t>Appendix B</w:t>
      </w:r>
      <w:r>
        <w:t xml:space="preserve"> for instructions.</w:t>
      </w:r>
      <w:r w:rsidR="002E7D52">
        <w:t xml:space="preserve"> Through the online application,</w:t>
      </w:r>
      <w:r>
        <w:t xml:space="preserve"> </w:t>
      </w:r>
      <w:r w:rsidR="002E7D52">
        <w:t>a</w:t>
      </w:r>
      <w:r>
        <w:t xml:space="preserve">pplicants must attach supporting evidence, </w:t>
      </w:r>
      <w:r w:rsidR="002E7D52">
        <w:t>including the proposed</w:t>
      </w:r>
      <w:r>
        <w:t xml:space="preserve"> budget and letters of commitment.</w:t>
      </w:r>
    </w:p>
    <w:p w14:paraId="2D3E6C95" w14:textId="77777777" w:rsidR="007F720E" w:rsidRPr="00025F31" w:rsidRDefault="007F720E" w:rsidP="00F3214B">
      <w:pPr>
        <w:pStyle w:val="Heading3"/>
        <w:numPr>
          <w:ilvl w:val="0"/>
          <w:numId w:val="13"/>
        </w:numPr>
      </w:pPr>
      <w:bookmarkStart w:id="55" w:name="_Toc86997810"/>
      <w:r w:rsidRPr="00025F31">
        <w:t>Application Narrative</w:t>
      </w:r>
      <w:bookmarkEnd w:id="55"/>
    </w:p>
    <w:p w14:paraId="4ED859C8" w14:textId="5792A768" w:rsidR="004A61FF" w:rsidRDefault="004A61FF" w:rsidP="00FE366E">
      <w:pPr>
        <w:ind w:left="720"/>
      </w:pPr>
      <w:r w:rsidRPr="00025F31">
        <w:t xml:space="preserve">The applicant should </w:t>
      </w:r>
      <w:r w:rsidR="00C229F7" w:rsidRPr="00025F31">
        <w:t xml:space="preserve">provide </w:t>
      </w:r>
      <w:r w:rsidR="002109F9" w:rsidRPr="00025F31">
        <w:t>detail</w:t>
      </w:r>
      <w:r w:rsidR="00C229F7" w:rsidRPr="00025F31">
        <w:t xml:space="preserve">s </w:t>
      </w:r>
      <w:r w:rsidR="003C7DD5">
        <w:t>about</w:t>
      </w:r>
      <w:r w:rsidR="00C229F7" w:rsidRPr="00025F31">
        <w:t xml:space="preserve"> how it has</w:t>
      </w:r>
      <w:r w:rsidR="002109F9" w:rsidRPr="00025F31">
        <w:t xml:space="preserve"> </w:t>
      </w:r>
      <w:r w:rsidR="0032120C" w:rsidRPr="00025F31">
        <w:t>demonstrated expertise in developing and delivering high</w:t>
      </w:r>
      <w:r w:rsidR="003C7DD5">
        <w:t xml:space="preserve"> </w:t>
      </w:r>
      <w:r w:rsidR="0032120C" w:rsidRPr="00025F31">
        <w:t xml:space="preserve">quality professional learning to educators </w:t>
      </w:r>
      <w:r w:rsidR="00B46B57" w:rsidRPr="00025F31">
        <w:t>and</w:t>
      </w:r>
      <w:r w:rsidR="00DD134F" w:rsidRPr="00025F31">
        <w:t xml:space="preserve"> school leaders </w:t>
      </w:r>
      <w:r w:rsidR="0032120C" w:rsidRPr="00025F31">
        <w:t xml:space="preserve">in </w:t>
      </w:r>
      <w:r w:rsidR="00721619" w:rsidRPr="00025F31">
        <w:t>SEL;</w:t>
      </w:r>
      <w:r w:rsidR="0032120C" w:rsidRPr="00025F31">
        <w:t xml:space="preserve"> trauma-informed practices</w:t>
      </w:r>
      <w:r w:rsidR="00721619" w:rsidRPr="00025F31">
        <w:t>;</w:t>
      </w:r>
      <w:r w:rsidR="0032120C" w:rsidRPr="00025F31">
        <w:t xml:space="preserve"> and culturally relevant, affirming, and sustaining practices</w:t>
      </w:r>
      <w:r w:rsidR="002109F9" w:rsidRPr="00025F31">
        <w:t>,</w:t>
      </w:r>
      <w:r w:rsidR="0032120C" w:rsidRPr="00025F31">
        <w:t xml:space="preserve"> in a manner that aligns with local </w:t>
      </w:r>
      <w:r w:rsidR="00721619" w:rsidRPr="00025F31">
        <w:t>MTSS</w:t>
      </w:r>
      <w:r w:rsidR="00C229F7" w:rsidRPr="00025F31">
        <w:t xml:space="preserve">. </w:t>
      </w:r>
    </w:p>
    <w:p w14:paraId="5CF93CB3" w14:textId="77777777" w:rsidR="004A61FF" w:rsidRDefault="004A61FF" w:rsidP="00FE366E">
      <w:pPr>
        <w:ind w:firstLine="720"/>
      </w:pPr>
      <w:r>
        <w:t>To complete the narrative:</w:t>
      </w:r>
    </w:p>
    <w:p w14:paraId="609A8035" w14:textId="77777777" w:rsidR="002C37B0" w:rsidRDefault="002C37B0" w:rsidP="00F3214B">
      <w:pPr>
        <w:pStyle w:val="ListParagraph"/>
        <w:numPr>
          <w:ilvl w:val="0"/>
          <w:numId w:val="14"/>
        </w:numPr>
      </w:pPr>
      <w:r>
        <w:t>Address the prompts for the sections</w:t>
      </w:r>
      <w:r w:rsidRPr="002C37B0">
        <w:rPr>
          <w:spacing w:val="-7"/>
        </w:rPr>
        <w:t xml:space="preserve"> </w:t>
      </w:r>
      <w:r>
        <w:t>below</w:t>
      </w:r>
      <w:r w:rsidR="0002161B">
        <w:t>;</w:t>
      </w:r>
    </w:p>
    <w:p w14:paraId="223561A6" w14:textId="77777777" w:rsidR="002C37B0" w:rsidRDefault="002C37B0" w:rsidP="00F3214B">
      <w:pPr>
        <w:pStyle w:val="ListParagraph"/>
        <w:numPr>
          <w:ilvl w:val="0"/>
          <w:numId w:val="14"/>
        </w:numPr>
      </w:pPr>
      <w:r>
        <w:t>Refer to the scoring rubric in Appendix A to understand how responses will be evaluated by the reading</w:t>
      </w:r>
      <w:r w:rsidRPr="002C37B0">
        <w:rPr>
          <w:spacing w:val="-4"/>
        </w:rPr>
        <w:t xml:space="preserve"> </w:t>
      </w:r>
      <w:r>
        <w:t>panel</w:t>
      </w:r>
      <w:r w:rsidR="0002161B">
        <w:t>;</w:t>
      </w:r>
      <w:r>
        <w:t xml:space="preserve"> and </w:t>
      </w:r>
    </w:p>
    <w:p w14:paraId="74EFE276" w14:textId="77777777" w:rsidR="002C37B0" w:rsidRDefault="002C37B0" w:rsidP="00EC5693">
      <w:pPr>
        <w:pStyle w:val="ListParagraph"/>
        <w:numPr>
          <w:ilvl w:val="0"/>
          <w:numId w:val="14"/>
        </w:numPr>
        <w:spacing w:after="480"/>
      </w:pPr>
      <w:r>
        <w:t>Follow all application directions in Section</w:t>
      </w:r>
      <w:r w:rsidRPr="002C37B0">
        <w:rPr>
          <w:spacing w:val="-25"/>
        </w:rPr>
        <w:t xml:space="preserve"> </w:t>
      </w:r>
      <w:r w:rsidR="00C22D8D">
        <w:t>4</w:t>
      </w:r>
      <w:r>
        <w:t>.B.</w:t>
      </w:r>
    </w:p>
    <w:p w14:paraId="31CFBBCF" w14:textId="77777777" w:rsidR="008B191E" w:rsidRPr="004470EC" w:rsidRDefault="008B191E" w:rsidP="007F0D76">
      <w:pPr>
        <w:pStyle w:val="Heading3"/>
        <w:numPr>
          <w:ilvl w:val="0"/>
          <w:numId w:val="0"/>
        </w:numPr>
        <w:ind w:left="720"/>
      </w:pPr>
      <w:bookmarkStart w:id="56" w:name="_Toc86997811"/>
      <w:r w:rsidRPr="004470EC">
        <w:t>Part 1—Goals and Activities</w:t>
      </w:r>
      <w:bookmarkEnd w:id="56"/>
    </w:p>
    <w:p w14:paraId="0964C041" w14:textId="47935CE8" w:rsidR="008B191E" w:rsidRPr="004470EC" w:rsidRDefault="008B191E" w:rsidP="00C91FA7">
      <w:pPr>
        <w:spacing w:after="480"/>
        <w:ind w:left="720"/>
      </w:pPr>
      <w:r w:rsidRPr="004470EC">
        <w:t xml:space="preserve">Applicants must demonstrate current subject matter expertise and qualifications to provide professional learning opportunities to </w:t>
      </w:r>
      <w:r w:rsidR="00721619">
        <w:t>educators and school leaders</w:t>
      </w:r>
      <w:r w:rsidRPr="004470EC" w:rsidDel="00B1017E">
        <w:t xml:space="preserve"> </w:t>
      </w:r>
      <w:r w:rsidRPr="004470EC">
        <w:t xml:space="preserve">in public schools in a manner that aligns with </w:t>
      </w:r>
      <w:r w:rsidR="00721619">
        <w:t>the</w:t>
      </w:r>
      <w:r w:rsidRPr="004470EC">
        <w:t xml:space="preserve"> work referenced in Section 2.</w:t>
      </w:r>
      <w:r w:rsidR="006C23AC">
        <w:t>A</w:t>
      </w:r>
      <w:r w:rsidRPr="004470EC">
        <w:t xml:space="preserve"> of this RFA.</w:t>
      </w:r>
    </w:p>
    <w:p w14:paraId="79303F19" w14:textId="77777777" w:rsidR="008B191E" w:rsidRPr="004470EC" w:rsidRDefault="008B191E" w:rsidP="008B191E">
      <w:pPr>
        <w:ind w:firstLine="720"/>
        <w:rPr>
          <w:b/>
          <w:szCs w:val="24"/>
        </w:rPr>
      </w:pPr>
      <w:r w:rsidRPr="004470EC">
        <w:rPr>
          <w:b/>
          <w:szCs w:val="24"/>
        </w:rPr>
        <w:t>Theory of Action</w:t>
      </w:r>
    </w:p>
    <w:p w14:paraId="4AF198D8" w14:textId="77777777" w:rsidR="008B191E" w:rsidRPr="004470EC" w:rsidRDefault="008B191E" w:rsidP="00FA6C29">
      <w:pPr>
        <w:spacing w:after="480"/>
        <w:ind w:left="720"/>
        <w:rPr>
          <w:szCs w:val="24"/>
        </w:rPr>
      </w:pPr>
      <w:r w:rsidRPr="004470EC">
        <w:rPr>
          <w:szCs w:val="24"/>
        </w:rPr>
        <w:t>Articulate a theory of action which will lead to the improvement of</w:t>
      </w:r>
      <w:r w:rsidR="00900BAB">
        <w:rPr>
          <w:szCs w:val="24"/>
        </w:rPr>
        <w:t xml:space="preserve"> classroom and</w:t>
      </w:r>
      <w:r w:rsidRPr="004470EC">
        <w:rPr>
          <w:szCs w:val="24"/>
        </w:rPr>
        <w:t xml:space="preserve"> school climate. The U.S. Department of Education defines a theory of action as “a well-specified conceptual framework that identifies key components of the proposed process, product, strategy, or practice (i.e., the active “ingredients” that are hypothesized to be critical to achieving the relevant outcomes) and describes </w:t>
      </w:r>
      <w:r w:rsidRPr="004470EC">
        <w:rPr>
          <w:szCs w:val="24"/>
        </w:rPr>
        <w:lastRenderedPageBreak/>
        <w:t>the relationships among the key components and outcomes, theoretically and operationally.”</w:t>
      </w:r>
      <w:r w:rsidRPr="004470EC">
        <w:rPr>
          <w:rStyle w:val="FootnoteReference"/>
          <w:szCs w:val="24"/>
        </w:rPr>
        <w:footnoteReference w:id="10"/>
      </w:r>
    </w:p>
    <w:p w14:paraId="31816C90" w14:textId="77777777" w:rsidR="008B191E" w:rsidRPr="004470EC" w:rsidRDefault="008B191E" w:rsidP="008B191E">
      <w:pPr>
        <w:spacing w:before="240"/>
        <w:ind w:firstLine="720"/>
        <w:rPr>
          <w:b/>
          <w:szCs w:val="24"/>
        </w:rPr>
      </w:pPr>
      <w:r w:rsidRPr="004470EC">
        <w:rPr>
          <w:b/>
          <w:szCs w:val="24"/>
        </w:rPr>
        <w:t>Proposed Activities</w:t>
      </w:r>
    </w:p>
    <w:p w14:paraId="493435C9" w14:textId="77777777" w:rsidR="000374C4" w:rsidRPr="000374C4" w:rsidRDefault="000374C4" w:rsidP="00F3214B">
      <w:pPr>
        <w:pStyle w:val="ListParagraph"/>
        <w:numPr>
          <w:ilvl w:val="0"/>
          <w:numId w:val="16"/>
        </w:numPr>
        <w:rPr>
          <w:szCs w:val="24"/>
        </w:rPr>
      </w:pPr>
      <w:r w:rsidRPr="000374C4">
        <w:rPr>
          <w:szCs w:val="24"/>
        </w:rPr>
        <w:t xml:space="preserve">Describe the applicant’s previous experience and/or expertise in developing and delivering high quality professional learning to educators in SEL; trauma-informed practices; and culturally relevant, affirming, and sustaining practices in a manner that aligns with local MTSS. </w:t>
      </w:r>
    </w:p>
    <w:p w14:paraId="73004086" w14:textId="77777777" w:rsidR="000374C4" w:rsidRPr="000374C4" w:rsidRDefault="000374C4" w:rsidP="00F3214B">
      <w:pPr>
        <w:pStyle w:val="ListParagraph"/>
        <w:numPr>
          <w:ilvl w:val="0"/>
          <w:numId w:val="16"/>
        </w:numPr>
        <w:rPr>
          <w:szCs w:val="24"/>
        </w:rPr>
      </w:pPr>
      <w:r w:rsidRPr="000374C4">
        <w:rPr>
          <w:szCs w:val="24"/>
        </w:rPr>
        <w:t>Describe how the applicant will create, collect, and/or curate resources for educators on SEL; trauma screening; trauma-informed practices; and culturally relevant, affirming, and sustaining practices. Describe how the applicant will ensure resources are differentiated based on the communities in which the educators serve.</w:t>
      </w:r>
    </w:p>
    <w:p w14:paraId="6BB85315" w14:textId="77777777" w:rsidR="000374C4" w:rsidRPr="000374C4" w:rsidRDefault="000374C4" w:rsidP="00F3214B">
      <w:pPr>
        <w:pStyle w:val="ListParagraph"/>
        <w:numPr>
          <w:ilvl w:val="0"/>
          <w:numId w:val="16"/>
        </w:numPr>
        <w:rPr>
          <w:szCs w:val="24"/>
        </w:rPr>
      </w:pPr>
      <w:r w:rsidRPr="000374C4">
        <w:rPr>
          <w:szCs w:val="24"/>
        </w:rPr>
        <w:t>Describe how the applicant will provide ongoing training and support in the use of trauma screening tools and mental health service referrals, school climate surveys, and the use of tool and survey data.</w:t>
      </w:r>
    </w:p>
    <w:p w14:paraId="6840FEE3" w14:textId="1D626CCD" w:rsidR="000374C4" w:rsidRPr="00192176" w:rsidRDefault="000374C4" w:rsidP="00F3214B">
      <w:pPr>
        <w:pStyle w:val="ListParagraph"/>
        <w:numPr>
          <w:ilvl w:val="0"/>
          <w:numId w:val="16"/>
        </w:numPr>
        <w:rPr>
          <w:szCs w:val="24"/>
        </w:rPr>
      </w:pPr>
      <w:r w:rsidRPr="000374C4">
        <w:rPr>
          <w:szCs w:val="24"/>
        </w:rPr>
        <w:t>Describe how the applicant will provide grants to LEAs to support the convening of professional learning communities of educators and school leaders. (Selection and recruitment will be covered in the following section.)</w:t>
      </w:r>
    </w:p>
    <w:p w14:paraId="207F38E9" w14:textId="3ECD0511" w:rsidR="000374C4" w:rsidRPr="000374C4" w:rsidRDefault="000374C4" w:rsidP="00F3214B">
      <w:pPr>
        <w:pStyle w:val="ListParagraph"/>
        <w:numPr>
          <w:ilvl w:val="0"/>
          <w:numId w:val="16"/>
        </w:numPr>
        <w:rPr>
          <w:szCs w:val="24"/>
        </w:rPr>
      </w:pPr>
      <w:r w:rsidRPr="000374C4">
        <w:rPr>
          <w:szCs w:val="24"/>
        </w:rPr>
        <w:t>Describe how the applicant will provide ongoing training and coaching to educators and school leaders.</w:t>
      </w:r>
    </w:p>
    <w:p w14:paraId="4BB71271" w14:textId="580E868B" w:rsidR="000374C4" w:rsidRPr="000374C4" w:rsidRDefault="000374C4" w:rsidP="00F3214B">
      <w:pPr>
        <w:pStyle w:val="ListParagraph"/>
        <w:numPr>
          <w:ilvl w:val="0"/>
          <w:numId w:val="16"/>
        </w:numPr>
        <w:rPr>
          <w:szCs w:val="24"/>
        </w:rPr>
      </w:pPr>
      <w:r w:rsidRPr="000374C4">
        <w:rPr>
          <w:szCs w:val="24"/>
        </w:rPr>
        <w:t>Describe how the proposed professional learning will support implementation of SEL; trauma screening; trauma-informed practices; and culturally relevant, affirming, and sustaining practices in both distal and proximal settings.</w:t>
      </w:r>
    </w:p>
    <w:p w14:paraId="494B640C" w14:textId="77777777" w:rsidR="000374C4" w:rsidRPr="000374C4" w:rsidRDefault="000374C4" w:rsidP="00F3214B">
      <w:pPr>
        <w:pStyle w:val="ListParagraph"/>
        <w:numPr>
          <w:ilvl w:val="0"/>
          <w:numId w:val="16"/>
        </w:numPr>
        <w:rPr>
          <w:szCs w:val="24"/>
        </w:rPr>
      </w:pPr>
      <w:r w:rsidRPr="000374C4">
        <w:rPr>
          <w:szCs w:val="24"/>
        </w:rPr>
        <w:t>Describe how the applicant will leverage current research and work related to how educators and school leaders can best address the social-emotional needs of pupils, and consult with experts in the field on matters related to trauma screening and trauma-informed practices.</w:t>
      </w:r>
    </w:p>
    <w:p w14:paraId="56438CBE" w14:textId="45418F09" w:rsidR="000200CF" w:rsidRPr="00025F31" w:rsidRDefault="000374C4" w:rsidP="00F3214B">
      <w:pPr>
        <w:pStyle w:val="ListParagraph"/>
        <w:numPr>
          <w:ilvl w:val="0"/>
          <w:numId w:val="16"/>
        </w:numPr>
        <w:spacing w:after="480"/>
        <w:rPr>
          <w:szCs w:val="24"/>
        </w:rPr>
      </w:pPr>
      <w:r w:rsidRPr="000374C4">
        <w:rPr>
          <w:szCs w:val="24"/>
        </w:rPr>
        <w:t>Provide a timeline for implementation of proposed activities.</w:t>
      </w:r>
    </w:p>
    <w:p w14:paraId="2C28918E" w14:textId="77777777" w:rsidR="004348CF" w:rsidRPr="004470EC" w:rsidRDefault="004348CF" w:rsidP="004348CF">
      <w:pPr>
        <w:ind w:firstLine="720"/>
        <w:rPr>
          <w:b/>
          <w:szCs w:val="24"/>
        </w:rPr>
      </w:pPr>
      <w:r w:rsidRPr="004470EC">
        <w:rPr>
          <w:b/>
          <w:szCs w:val="24"/>
        </w:rPr>
        <w:lastRenderedPageBreak/>
        <w:t>Project Participants</w:t>
      </w:r>
    </w:p>
    <w:p w14:paraId="35A09F24" w14:textId="77777777" w:rsidR="004348CF" w:rsidRPr="004348CF" w:rsidRDefault="004348CF" w:rsidP="00F3214B">
      <w:pPr>
        <w:numPr>
          <w:ilvl w:val="0"/>
          <w:numId w:val="17"/>
        </w:numPr>
        <w:textAlignment w:val="center"/>
        <w:rPr>
          <w:rFonts w:ascii="Calibri" w:eastAsia="Times New Roman" w:hAnsi="Calibri" w:cs="Calibri"/>
          <w:sz w:val="22"/>
        </w:rPr>
      </w:pPr>
      <w:r w:rsidRPr="004348CF">
        <w:rPr>
          <w:rFonts w:eastAsia="Times New Roman" w:cs="Arial"/>
          <w:color w:val="000000"/>
          <w:szCs w:val="24"/>
        </w:rPr>
        <w:t xml:space="preserve">Describe target participants, including the type and number of educators and school leaders who will be served and their locations. </w:t>
      </w:r>
      <w:r w:rsidRPr="004348CF">
        <w:rPr>
          <w:rFonts w:eastAsia="Times New Roman" w:cs="Arial"/>
          <w:color w:val="000000"/>
          <w:szCs w:val="24"/>
          <w:shd w:val="clear" w:color="auto" w:fill="FFFFFF"/>
        </w:rPr>
        <w:t>Describe how the proposed activities will ensure the professional learning to urban, suburban, and rural settings throughout the state and differentiated to meet the unique local needs.</w:t>
      </w:r>
    </w:p>
    <w:p w14:paraId="6E05F2C7" w14:textId="77777777" w:rsidR="004348CF" w:rsidRPr="004348CF" w:rsidRDefault="004348CF" w:rsidP="00F3214B">
      <w:pPr>
        <w:numPr>
          <w:ilvl w:val="0"/>
          <w:numId w:val="17"/>
        </w:numPr>
        <w:textAlignment w:val="center"/>
        <w:rPr>
          <w:rFonts w:ascii="Calibri" w:eastAsia="Times New Roman" w:hAnsi="Calibri" w:cs="Calibri"/>
          <w:sz w:val="22"/>
        </w:rPr>
      </w:pPr>
      <w:r w:rsidRPr="004348CF">
        <w:rPr>
          <w:rFonts w:eastAsia="Times New Roman" w:cs="Arial"/>
          <w:szCs w:val="24"/>
        </w:rPr>
        <w:t>Describe how the applicant will recruit, select, engage, retain, and replace, if necessary, project participants in multi-year professional learning opportunities.</w:t>
      </w:r>
    </w:p>
    <w:p w14:paraId="753FC02A" w14:textId="3EF55649" w:rsidR="004348CF" w:rsidRPr="004348CF" w:rsidRDefault="004348CF" w:rsidP="00F3214B">
      <w:pPr>
        <w:numPr>
          <w:ilvl w:val="0"/>
          <w:numId w:val="17"/>
        </w:numPr>
        <w:textAlignment w:val="center"/>
        <w:rPr>
          <w:rFonts w:ascii="Calibri" w:eastAsia="Times New Roman" w:hAnsi="Calibri" w:cs="Calibri"/>
          <w:sz w:val="22"/>
        </w:rPr>
      </w:pPr>
      <w:r w:rsidRPr="004348CF">
        <w:rPr>
          <w:rFonts w:eastAsia="Times New Roman" w:cs="Arial"/>
          <w:szCs w:val="24"/>
        </w:rPr>
        <w:t xml:space="preserve">Describe how the applicant will collaborate with and support the OCDE and BCOE on relevant work and work being conducted in tandem with the implementation of the SUMS initiative. And if applicable, describe how the applicant will work together to implement proposed activities with its consortia of LEAs, </w:t>
      </w:r>
      <w:r w:rsidR="00F027D9">
        <w:rPr>
          <w:rFonts w:eastAsia="Times New Roman" w:cs="Arial"/>
          <w:szCs w:val="24"/>
        </w:rPr>
        <w:t>IHE</w:t>
      </w:r>
      <w:r w:rsidRPr="004348CF">
        <w:rPr>
          <w:rFonts w:eastAsia="Times New Roman" w:cs="Arial"/>
          <w:szCs w:val="24"/>
        </w:rPr>
        <w:t xml:space="preserve">, and/or nonprofit educational service provider. </w:t>
      </w:r>
    </w:p>
    <w:p w14:paraId="6AFED778" w14:textId="343305ED" w:rsidR="004348CF" w:rsidRPr="00025F31" w:rsidRDefault="004348CF" w:rsidP="00FA6C29">
      <w:pPr>
        <w:numPr>
          <w:ilvl w:val="0"/>
          <w:numId w:val="17"/>
        </w:numPr>
        <w:spacing w:after="480"/>
        <w:textAlignment w:val="center"/>
        <w:rPr>
          <w:rFonts w:ascii="Calibri" w:eastAsia="Times New Roman" w:hAnsi="Calibri" w:cs="Calibri"/>
          <w:sz w:val="22"/>
        </w:rPr>
      </w:pPr>
      <w:r w:rsidRPr="004348CF">
        <w:rPr>
          <w:rFonts w:eastAsia="Times New Roman" w:cs="Arial"/>
          <w:szCs w:val="24"/>
        </w:rPr>
        <w:t xml:space="preserve">Provide Letters of Commitment addressed to the </w:t>
      </w:r>
      <w:r w:rsidR="00AA3F9C">
        <w:rPr>
          <w:rFonts w:eastAsia="Times New Roman" w:cs="Arial"/>
          <w:szCs w:val="24"/>
        </w:rPr>
        <w:t>l</w:t>
      </w:r>
      <w:r w:rsidRPr="004348CF">
        <w:rPr>
          <w:rFonts w:eastAsia="Times New Roman" w:cs="Arial"/>
          <w:szCs w:val="24"/>
        </w:rPr>
        <w:t xml:space="preserve">ead </w:t>
      </w:r>
      <w:r w:rsidR="00AA3F9C">
        <w:rPr>
          <w:rFonts w:eastAsia="Times New Roman" w:cs="Arial"/>
          <w:szCs w:val="24"/>
        </w:rPr>
        <w:t>a</w:t>
      </w:r>
      <w:r w:rsidRPr="004348CF">
        <w:rPr>
          <w:rFonts w:eastAsia="Times New Roman" w:cs="Arial"/>
          <w:szCs w:val="24"/>
        </w:rPr>
        <w:t xml:space="preserve">pplicant and signed by the LEA </w:t>
      </w:r>
      <w:r w:rsidR="00AA3F9C">
        <w:rPr>
          <w:rFonts w:eastAsia="Times New Roman" w:cs="Arial"/>
          <w:szCs w:val="24"/>
        </w:rPr>
        <w:t>s</w:t>
      </w:r>
      <w:r w:rsidRPr="004348CF">
        <w:rPr>
          <w:rFonts w:eastAsia="Times New Roman" w:cs="Arial"/>
          <w:szCs w:val="24"/>
        </w:rPr>
        <w:t xml:space="preserve">uperintendent in each participating LEA, the </w:t>
      </w:r>
      <w:r w:rsidR="00AA3F9C">
        <w:rPr>
          <w:rFonts w:eastAsia="Times New Roman" w:cs="Arial"/>
          <w:szCs w:val="24"/>
        </w:rPr>
        <w:t>d</w:t>
      </w:r>
      <w:r w:rsidRPr="004348CF">
        <w:rPr>
          <w:rFonts w:eastAsia="Times New Roman" w:cs="Arial"/>
          <w:szCs w:val="24"/>
        </w:rPr>
        <w:t xml:space="preserve">ean of the specific department within an IHE, and/or the </w:t>
      </w:r>
      <w:r w:rsidR="00AA3F9C">
        <w:rPr>
          <w:rFonts w:eastAsia="Times New Roman" w:cs="Arial"/>
          <w:szCs w:val="24"/>
        </w:rPr>
        <w:t>c</w:t>
      </w:r>
      <w:r w:rsidRPr="004348CF">
        <w:rPr>
          <w:rFonts w:eastAsia="Times New Roman" w:cs="Arial"/>
          <w:szCs w:val="24"/>
        </w:rPr>
        <w:t xml:space="preserve">hief </w:t>
      </w:r>
      <w:r w:rsidR="00AA3F9C">
        <w:rPr>
          <w:rFonts w:eastAsia="Times New Roman" w:cs="Arial"/>
          <w:szCs w:val="24"/>
        </w:rPr>
        <w:t>e</w:t>
      </w:r>
      <w:r w:rsidRPr="004348CF">
        <w:rPr>
          <w:rFonts w:eastAsia="Times New Roman" w:cs="Arial"/>
          <w:szCs w:val="24"/>
        </w:rPr>
        <w:t xml:space="preserve">xecutive </w:t>
      </w:r>
      <w:r w:rsidR="00AA3F9C">
        <w:rPr>
          <w:rFonts w:eastAsia="Times New Roman" w:cs="Arial"/>
          <w:szCs w:val="24"/>
        </w:rPr>
        <w:t>o</w:t>
      </w:r>
      <w:r w:rsidRPr="004348CF">
        <w:rPr>
          <w:rFonts w:eastAsia="Times New Roman" w:cs="Arial"/>
          <w:szCs w:val="24"/>
        </w:rPr>
        <w:t>fficer of the nonprofit educational service provider, as applicable.</w:t>
      </w:r>
    </w:p>
    <w:p w14:paraId="16CA1552" w14:textId="77777777" w:rsidR="008B191E" w:rsidRPr="004470EC" w:rsidRDefault="008B191E" w:rsidP="008B191E">
      <w:pPr>
        <w:spacing w:before="240"/>
        <w:ind w:firstLine="720"/>
        <w:rPr>
          <w:b/>
          <w:szCs w:val="24"/>
        </w:rPr>
      </w:pPr>
      <w:r w:rsidRPr="004470EC">
        <w:rPr>
          <w:b/>
          <w:szCs w:val="24"/>
        </w:rPr>
        <w:t xml:space="preserve">Alignment </w:t>
      </w:r>
    </w:p>
    <w:p w14:paraId="278DC3E6" w14:textId="77777777" w:rsidR="00B84F7D" w:rsidRPr="00B84F7D" w:rsidRDefault="00B84F7D" w:rsidP="00F3214B">
      <w:pPr>
        <w:numPr>
          <w:ilvl w:val="0"/>
          <w:numId w:val="15"/>
        </w:numPr>
        <w:textAlignment w:val="center"/>
        <w:rPr>
          <w:rFonts w:ascii="Calibri" w:eastAsia="Times New Roman" w:hAnsi="Calibri" w:cs="Calibri"/>
          <w:sz w:val="22"/>
        </w:rPr>
      </w:pPr>
      <w:r w:rsidRPr="00B84F7D">
        <w:rPr>
          <w:rFonts w:eastAsia="Times New Roman" w:cs="Arial"/>
          <w:szCs w:val="24"/>
        </w:rPr>
        <w:t xml:space="preserve">Describe how the proposed activities utilize current research on SEL; trauma screening; trauma-informed practices; and culturally relevant, affirming, and sustaining practices; </w:t>
      </w:r>
    </w:p>
    <w:p w14:paraId="04A11C8F" w14:textId="0D0BA63B" w:rsidR="00B84F7D" w:rsidRPr="00B84F7D" w:rsidRDefault="00B84F7D" w:rsidP="00F3214B">
      <w:pPr>
        <w:numPr>
          <w:ilvl w:val="0"/>
          <w:numId w:val="15"/>
        </w:numPr>
        <w:textAlignment w:val="center"/>
        <w:rPr>
          <w:rFonts w:ascii="Calibri" w:eastAsia="Times New Roman" w:hAnsi="Calibri" w:cs="Calibri"/>
          <w:sz w:val="22"/>
        </w:rPr>
      </w:pPr>
      <w:r w:rsidRPr="00B84F7D">
        <w:rPr>
          <w:rFonts w:eastAsia="Times New Roman" w:cs="Arial"/>
          <w:szCs w:val="24"/>
        </w:rPr>
        <w:t>Describe how the proposed activities will align to the CDE’s T</w:t>
      </w:r>
      <w:r w:rsidR="00F01F16">
        <w:rPr>
          <w:rFonts w:eastAsia="Times New Roman" w:cs="Arial"/>
          <w:szCs w:val="24"/>
        </w:rPr>
        <w:t>-</w:t>
      </w:r>
      <w:r w:rsidRPr="00B84F7D">
        <w:rPr>
          <w:rFonts w:eastAsia="Times New Roman" w:cs="Arial"/>
          <w:szCs w:val="24"/>
        </w:rPr>
        <w:t>SEL Competencies and Conditions.</w:t>
      </w:r>
    </w:p>
    <w:p w14:paraId="33D150CC" w14:textId="5E930695" w:rsidR="00B84F7D" w:rsidRPr="00B84F7D" w:rsidRDefault="00B84F7D" w:rsidP="00F3214B">
      <w:pPr>
        <w:numPr>
          <w:ilvl w:val="0"/>
          <w:numId w:val="15"/>
        </w:numPr>
        <w:textAlignment w:val="center"/>
        <w:rPr>
          <w:rFonts w:ascii="Calibri" w:eastAsia="Times New Roman" w:hAnsi="Calibri" w:cs="Calibri"/>
          <w:sz w:val="22"/>
        </w:rPr>
      </w:pPr>
      <w:r w:rsidRPr="00B84F7D">
        <w:rPr>
          <w:rFonts w:eastAsia="Times New Roman" w:cs="Arial"/>
          <w:szCs w:val="24"/>
        </w:rPr>
        <w:t xml:space="preserve">Describe how the proposed activities will align to the </w:t>
      </w:r>
      <w:r w:rsidR="00166898">
        <w:rPr>
          <w:rFonts w:eastAsia="Times New Roman" w:cs="Arial"/>
          <w:szCs w:val="24"/>
        </w:rPr>
        <w:t>MTSS</w:t>
      </w:r>
      <w:r w:rsidRPr="00B84F7D">
        <w:rPr>
          <w:rFonts w:eastAsia="Times New Roman" w:cs="Arial"/>
          <w:szCs w:val="24"/>
        </w:rPr>
        <w:t xml:space="preserve"> framework developed under the “SUMS</w:t>
      </w:r>
      <w:r w:rsidR="00166898">
        <w:rPr>
          <w:rFonts w:eastAsia="Times New Roman" w:cs="Arial"/>
          <w:szCs w:val="24"/>
        </w:rPr>
        <w:t>”</w:t>
      </w:r>
      <w:r w:rsidRPr="00B84F7D">
        <w:rPr>
          <w:rFonts w:eastAsia="Times New Roman" w:cs="Arial"/>
          <w:szCs w:val="24"/>
        </w:rPr>
        <w:t xml:space="preserve"> project.</w:t>
      </w:r>
    </w:p>
    <w:p w14:paraId="59237204" w14:textId="54BB9B55" w:rsidR="00F91196" w:rsidRPr="00025F31" w:rsidRDefault="00B84F7D" w:rsidP="00166898">
      <w:pPr>
        <w:numPr>
          <w:ilvl w:val="0"/>
          <w:numId w:val="15"/>
        </w:numPr>
        <w:spacing w:after="480"/>
        <w:textAlignment w:val="center"/>
        <w:rPr>
          <w:rFonts w:ascii="Calibri" w:eastAsia="Times New Roman" w:hAnsi="Calibri" w:cs="Calibri"/>
          <w:sz w:val="22"/>
        </w:rPr>
      </w:pPr>
      <w:r w:rsidRPr="00B84F7D">
        <w:rPr>
          <w:rFonts w:eastAsia="Times New Roman" w:cs="Arial"/>
          <w:szCs w:val="24"/>
        </w:rPr>
        <w:t>Describe how the proposed activities will align to the QPLS: data, content and pedagogy, equity, design and structure, collaboration and shared accountability, resources, and alignment and coherence.</w:t>
      </w:r>
    </w:p>
    <w:p w14:paraId="33020818" w14:textId="77777777" w:rsidR="008B191E" w:rsidRPr="004470EC" w:rsidRDefault="008B191E" w:rsidP="008B191E">
      <w:pPr>
        <w:spacing w:before="240"/>
        <w:ind w:firstLine="720"/>
        <w:rPr>
          <w:b/>
          <w:szCs w:val="24"/>
        </w:rPr>
      </w:pPr>
      <w:r w:rsidRPr="004470EC">
        <w:rPr>
          <w:b/>
          <w:szCs w:val="24"/>
        </w:rPr>
        <w:t xml:space="preserve">Expanding Capacity </w:t>
      </w:r>
    </w:p>
    <w:p w14:paraId="6FFD3E75" w14:textId="58E7D589" w:rsidR="008B191E" w:rsidRPr="004470EC" w:rsidRDefault="00770932" w:rsidP="00F3214B">
      <w:pPr>
        <w:pStyle w:val="NormalWeb"/>
        <w:numPr>
          <w:ilvl w:val="0"/>
          <w:numId w:val="27"/>
        </w:numPr>
        <w:shd w:val="clear" w:color="auto" w:fill="FFFFFF"/>
        <w:spacing w:before="0" w:beforeAutospacing="0" w:after="480" w:afterAutospacing="0"/>
        <w:ind w:left="1440"/>
        <w:rPr>
          <w:rFonts w:ascii="Arial" w:hAnsi="Arial"/>
          <w:color w:val="000000"/>
        </w:rPr>
      </w:pPr>
      <w:r>
        <w:rPr>
          <w:rFonts w:ascii="Arial" w:hAnsi="Arial" w:cs="Arial"/>
          <w:shd w:val="clear" w:color="auto" w:fill="FFFFFF"/>
        </w:rPr>
        <w:t>Describe how the proposed activities will build the capacity, readiness, and strategies of educators and school leaders to address the goals of the grant. Describe the iterative process(es) and measures that will be used to determine increased capacity. </w:t>
      </w:r>
      <w:r w:rsidR="008B191E" w:rsidRPr="004470EC">
        <w:rPr>
          <w:rFonts w:ascii="Arial" w:hAnsi="Arial"/>
          <w:color w:val="000000"/>
        </w:rPr>
        <w:t> </w:t>
      </w:r>
    </w:p>
    <w:p w14:paraId="29E11AC5" w14:textId="77777777" w:rsidR="008B191E" w:rsidRPr="004470EC" w:rsidRDefault="008B191E" w:rsidP="007F0D76">
      <w:pPr>
        <w:pStyle w:val="Heading3"/>
        <w:numPr>
          <w:ilvl w:val="0"/>
          <w:numId w:val="0"/>
        </w:numPr>
        <w:ind w:left="720"/>
      </w:pPr>
      <w:bookmarkStart w:id="57" w:name="_Toc86997812"/>
      <w:r w:rsidRPr="004470EC">
        <w:lastRenderedPageBreak/>
        <w:t>Part 2—Proposed Metrics</w:t>
      </w:r>
      <w:bookmarkEnd w:id="57"/>
    </w:p>
    <w:p w14:paraId="11A559F8" w14:textId="4DAF76B7" w:rsidR="00B64BB1" w:rsidRPr="00B64BB1" w:rsidRDefault="00B64BB1" w:rsidP="00B64BB1">
      <w:pPr>
        <w:ind w:left="720"/>
      </w:pPr>
      <w:r>
        <w:t>On or before September 30 of each fiscal year the OCDE is required to submit an annual report to the Superintendent summarizing how it used the funds in the prior fiscal year. Any LEA that receives high quality professional learning as part of this grant, shall, as a condition of receiving high quality professional learning, provide to the OCDE, the BCOE, and the CDE any available outcome data, resulting from the practices implemented, and participate in overall program evaluation. The SUMS Partner Entity will be required to support this data collection as needed by the OCDE. The SUMS Partner Entity will be meet with the OCDE after being selected to determine the data the SUMS Partner Entity will provide to the OCDE. It is, therefore, critical that the SUMS Partner Entity provide timely reporting to the OCDE, the BCOE, and the CDE. The Partner Entity must agree to the timeline requested by the OCDE and agree to be adaptive, be responsive, and work with the various agencies to ensure coherence with existing reporting systems.</w:t>
      </w:r>
    </w:p>
    <w:p w14:paraId="595858B5" w14:textId="395F2D99" w:rsidR="00B64BB1" w:rsidRPr="004470EC" w:rsidRDefault="00B64BB1" w:rsidP="00166898">
      <w:pPr>
        <w:spacing w:after="480"/>
        <w:ind w:left="720"/>
        <w:rPr>
          <w:szCs w:val="24"/>
        </w:rPr>
      </w:pPr>
      <w:r w:rsidRPr="00B64BB1">
        <w:rPr>
          <w:szCs w:val="24"/>
        </w:rPr>
        <w:t xml:space="preserve">Additionally, the SUMS Partner Entity shall collect, analyze, reflect upon, and report various sources of data for evidence of changes and/or improvements in collective practice to anchor decisions about planning, implementing, or assessing quality professional learning. </w:t>
      </w:r>
    </w:p>
    <w:p w14:paraId="3AF6F3E4" w14:textId="77777777" w:rsidR="00836959" w:rsidRDefault="00BD089E" w:rsidP="00BD3742">
      <w:pPr>
        <w:pStyle w:val="Heading3"/>
      </w:pPr>
      <w:bookmarkStart w:id="58" w:name="_Toc86997813"/>
      <w:r>
        <w:t>Application Budget</w:t>
      </w:r>
      <w:bookmarkEnd w:id="58"/>
    </w:p>
    <w:p w14:paraId="2EF745AD" w14:textId="72CEDF2E" w:rsidR="00C46722" w:rsidRPr="00553BE0" w:rsidRDefault="00C46722" w:rsidP="00FE366E">
      <w:pPr>
        <w:ind w:left="720"/>
      </w:pPr>
      <w:r>
        <w:t xml:space="preserve">The applicant must provide a thorough and detailed justification for each identified cost associated with implementing the proposed goals and activities, including why the costs are reasonable and necessary to support the proposal’s goals and activities. A projected budget for </w:t>
      </w:r>
      <w:r w:rsidR="00072A96">
        <w:t>the entire grant period (</w:t>
      </w:r>
      <w:r w:rsidR="003E42D1">
        <w:t>February 15</w:t>
      </w:r>
      <w:r>
        <w:t xml:space="preserve">, </w:t>
      </w:r>
      <w:r w:rsidR="003E42D1">
        <w:t>2022</w:t>
      </w:r>
      <w:r>
        <w:t>–</w:t>
      </w:r>
      <w:r w:rsidR="24D4E25B">
        <w:t>February 15</w:t>
      </w:r>
      <w:r>
        <w:t xml:space="preserve">, </w:t>
      </w:r>
      <w:r w:rsidR="003E42D1">
        <w:t>2026</w:t>
      </w:r>
      <w:r>
        <w:t>) is required for the application. The budget will be reviewed and scored. Provide expenditure amounts for the following areas:</w:t>
      </w:r>
    </w:p>
    <w:p w14:paraId="5F38BB23" w14:textId="77777777" w:rsidR="00C46722" w:rsidRPr="00BD3742" w:rsidRDefault="00C46722" w:rsidP="00BD3742">
      <w:pPr>
        <w:pStyle w:val="ListParagraph"/>
      </w:pPr>
      <w:r w:rsidRPr="00BD3742">
        <w:t>Internal staff compensation;</w:t>
      </w:r>
    </w:p>
    <w:p w14:paraId="227B984E" w14:textId="342366E8" w:rsidR="002B4840" w:rsidRDefault="002B4840" w:rsidP="00BD3742">
      <w:pPr>
        <w:pStyle w:val="ListParagraph"/>
      </w:pPr>
      <w:r>
        <w:t>Compensation for educators’ or substitute costs associated with participation at professional learning events;</w:t>
      </w:r>
    </w:p>
    <w:p w14:paraId="1E701DE3" w14:textId="5F7CEB51" w:rsidR="00C46722" w:rsidRPr="00BD3742" w:rsidRDefault="00C46722" w:rsidP="00BD3742">
      <w:pPr>
        <w:pStyle w:val="ListParagraph"/>
      </w:pPr>
      <w:r w:rsidRPr="00BD3742">
        <w:t>Supplies required to support LEAs and grant participants;</w:t>
      </w:r>
    </w:p>
    <w:p w14:paraId="4E373DB8" w14:textId="77777777" w:rsidR="00C46722" w:rsidRPr="00BD3742" w:rsidRDefault="00C46722" w:rsidP="00BD3742">
      <w:pPr>
        <w:pStyle w:val="ListParagraph"/>
      </w:pPr>
      <w:r w:rsidRPr="00BD3742">
        <w:t>Services provided by the applicant and external entities;</w:t>
      </w:r>
    </w:p>
    <w:p w14:paraId="384794C9" w14:textId="3570F325" w:rsidR="00C46722" w:rsidRPr="00BD3742" w:rsidRDefault="002B4840" w:rsidP="00BD3742">
      <w:pPr>
        <w:pStyle w:val="ListParagraph"/>
      </w:pPr>
      <w:r>
        <w:t>Any t</w:t>
      </w:r>
      <w:r w:rsidR="00C46722" w:rsidRPr="00BD3742">
        <w:t>ravel and</w:t>
      </w:r>
      <w:r>
        <w:t>/or</w:t>
      </w:r>
      <w:r w:rsidR="00C46722" w:rsidRPr="00BD3742">
        <w:t xml:space="preserve"> communication expense</w:t>
      </w:r>
      <w:r>
        <w:t>s</w:t>
      </w:r>
      <w:r w:rsidR="00C46722" w:rsidRPr="00BD3742">
        <w:t>; and</w:t>
      </w:r>
    </w:p>
    <w:p w14:paraId="2D23ADCD" w14:textId="311C4D37" w:rsidR="00C46722" w:rsidRPr="00025F31" w:rsidRDefault="00C46722" w:rsidP="00BD3742">
      <w:pPr>
        <w:pStyle w:val="ListParagraph"/>
      </w:pPr>
      <w:r w:rsidRPr="00025F31">
        <w:t>Indirect charges.</w:t>
      </w:r>
    </w:p>
    <w:p w14:paraId="4CCF4F96" w14:textId="60103ED9" w:rsidR="00C46722" w:rsidRPr="00C46722" w:rsidRDefault="00C46722" w:rsidP="00A66657">
      <w:pPr>
        <w:ind w:left="720"/>
      </w:pPr>
      <w:r w:rsidRPr="00C46722">
        <w:t xml:space="preserve">Applicants must use the </w:t>
      </w:r>
      <w:bookmarkStart w:id="59" w:name="_Hlk86841773"/>
      <w:r w:rsidR="002B4840">
        <w:t>Partner Entity</w:t>
      </w:r>
      <w:r w:rsidRPr="00C46722">
        <w:t xml:space="preserve"> Proposed Budget Template </w:t>
      </w:r>
      <w:bookmarkEnd w:id="59"/>
      <w:r w:rsidRPr="00C46722">
        <w:t xml:space="preserve">available on the RFA web page at </w:t>
      </w:r>
      <w:hyperlink r:id="rId28" w:tooltip="SUMS Partner RFA Information" w:history="1">
        <w:r w:rsidR="00A43238">
          <w:rPr>
            <w:rStyle w:val="Hyperlink"/>
            <w:rFonts w:eastAsia="Arial"/>
          </w:rPr>
          <w:t>https://www.cde.ca.gov/ci/cr/ri/sumspartner.asp</w:t>
        </w:r>
      </w:hyperlink>
      <w:r w:rsidR="00281263" w:rsidRPr="00A66657">
        <w:rPr>
          <w:rFonts w:cs="Arial"/>
          <w:color w:val="1F497D"/>
          <w:szCs w:val="24"/>
        </w:rPr>
        <w:t>.</w:t>
      </w:r>
      <w:r w:rsidRPr="00C46722">
        <w:t xml:space="preserve"> The Proposed Budget Detail must include a detailed budget narrative (description) for </w:t>
      </w:r>
      <w:r w:rsidRPr="00C46722">
        <w:lastRenderedPageBreak/>
        <w:t xml:space="preserve">each line-item included in the grant period. The narrative should include how the proposed costs are necessary and reasonable in terms of grant activities, benefits to participants, and grant outcomes. Provide sufficient detail and a breakdown/calculation that justifies each line item. Group line items by the </w:t>
      </w:r>
      <w:r w:rsidR="00DD0C65">
        <w:t>O</w:t>
      </w:r>
      <w:r w:rsidRPr="00C46722">
        <w:t xml:space="preserve">bject </w:t>
      </w:r>
      <w:r w:rsidR="00DD0C65">
        <w:t>C</w:t>
      </w:r>
      <w:r w:rsidRPr="00C46722">
        <w:t xml:space="preserve">ode series and provide lines for </w:t>
      </w:r>
      <w:r w:rsidR="00DD0C65">
        <w:t>O</w:t>
      </w:r>
      <w:r w:rsidRPr="00C46722">
        <w:t xml:space="preserve">bject </w:t>
      </w:r>
      <w:r w:rsidR="00DD0C65">
        <w:t>C</w:t>
      </w:r>
      <w:r w:rsidRPr="00C46722">
        <w:t xml:space="preserve">ode totals. The Proposed Budget Summary should provide totals for each </w:t>
      </w:r>
      <w:r w:rsidR="00DD0C65">
        <w:t>Object C</w:t>
      </w:r>
      <w:r w:rsidRPr="00C46722">
        <w:t>ode and should align with the Proposed Budget Detail.</w:t>
      </w:r>
      <w:r w:rsidR="005B5379">
        <w:t xml:space="preserve"> </w:t>
      </w:r>
    </w:p>
    <w:p w14:paraId="482D1D96" w14:textId="252D535C" w:rsidR="002871F4" w:rsidRDefault="00C46722" w:rsidP="00FE366E">
      <w:pPr>
        <w:ind w:left="720"/>
        <w:sectPr w:rsidR="002871F4" w:rsidSect="00BF2748">
          <w:pgSz w:w="12240" w:h="15840"/>
          <w:pgMar w:top="1440" w:right="1440" w:bottom="1440" w:left="1440" w:header="720" w:footer="720" w:gutter="0"/>
          <w:cols w:space="720"/>
          <w:docGrid w:linePitch="360"/>
        </w:sectPr>
      </w:pPr>
      <w:r w:rsidRPr="00C46722">
        <w:t xml:space="preserve">The </w:t>
      </w:r>
      <w:r w:rsidR="008419EF">
        <w:t>SUMS: Partner Entity</w:t>
      </w:r>
      <w:r w:rsidRPr="00C46722">
        <w:t xml:space="preserve"> Proposed Budget must be submitted as an Excel file through the online application. Please see the </w:t>
      </w:r>
      <w:r w:rsidR="00DD0C65">
        <w:t>a</w:t>
      </w:r>
      <w:r w:rsidRPr="00C46722">
        <w:t xml:space="preserve">ttachment </w:t>
      </w:r>
      <w:r w:rsidR="00DD0C65">
        <w:t>i</w:t>
      </w:r>
      <w:r w:rsidRPr="00C46722">
        <w:t xml:space="preserve">nstructions in Appendix </w:t>
      </w:r>
      <w:r w:rsidR="007F0D76">
        <w:t>A</w:t>
      </w:r>
      <w:r w:rsidRPr="00C46722">
        <w:t>: Online Application Instructions</w:t>
      </w:r>
      <w:r w:rsidR="0002161B">
        <w:t>.</w:t>
      </w:r>
    </w:p>
    <w:p w14:paraId="05D4D325" w14:textId="77777777" w:rsidR="00011CE5" w:rsidRPr="00284C3B" w:rsidRDefault="00011CE5" w:rsidP="00176707">
      <w:pPr>
        <w:pStyle w:val="Heading2"/>
        <w:jc w:val="center"/>
      </w:pPr>
      <w:bookmarkStart w:id="60" w:name="_Toc86997814"/>
      <w:r w:rsidRPr="00284C3B">
        <w:lastRenderedPageBreak/>
        <w:t>Evaluation Rubric</w:t>
      </w:r>
      <w:bookmarkEnd w:id="60"/>
    </w:p>
    <w:p w14:paraId="50B4E923" w14:textId="2BAAAFB9" w:rsidR="00011CE5" w:rsidRPr="00284C3B" w:rsidRDefault="00011CE5" w:rsidP="00011CE5">
      <w:pPr>
        <w:pStyle w:val="Heading2"/>
        <w:rPr>
          <w:rFonts w:cs="Arial"/>
          <w:sz w:val="24"/>
          <w:szCs w:val="24"/>
        </w:rPr>
      </w:pPr>
      <w:bookmarkStart w:id="61" w:name="_Toc86997815"/>
      <w:r w:rsidRPr="01A6F8F1">
        <w:rPr>
          <w:rFonts w:cs="Arial"/>
          <w:sz w:val="24"/>
          <w:szCs w:val="24"/>
        </w:rPr>
        <w:t xml:space="preserve">Part 1— </w:t>
      </w:r>
      <w:r w:rsidR="00FC4BAB" w:rsidRPr="01A6F8F1">
        <w:rPr>
          <w:rFonts w:cs="Arial"/>
          <w:sz w:val="24"/>
          <w:szCs w:val="24"/>
        </w:rPr>
        <w:t>Scaling</w:t>
      </w:r>
      <w:r w:rsidR="00611A38" w:rsidRPr="01A6F8F1">
        <w:rPr>
          <w:rFonts w:cs="Arial"/>
          <w:sz w:val="24"/>
          <w:szCs w:val="24"/>
        </w:rPr>
        <w:t xml:space="preserve"> </w:t>
      </w:r>
      <w:r w:rsidR="00FC4BAB" w:rsidRPr="01A6F8F1">
        <w:rPr>
          <w:rFonts w:cs="Arial"/>
          <w:sz w:val="24"/>
          <w:szCs w:val="24"/>
        </w:rPr>
        <w:t>Up Multi-</w:t>
      </w:r>
      <w:proofErr w:type="gramStart"/>
      <w:r w:rsidR="2D3685ED" w:rsidRPr="01A6F8F1">
        <w:rPr>
          <w:rFonts w:cs="Arial"/>
          <w:sz w:val="24"/>
          <w:szCs w:val="24"/>
        </w:rPr>
        <w:t>t</w:t>
      </w:r>
      <w:r w:rsidR="00FC4BAB" w:rsidRPr="01A6F8F1">
        <w:rPr>
          <w:rFonts w:cs="Arial"/>
          <w:sz w:val="24"/>
          <w:szCs w:val="24"/>
        </w:rPr>
        <w:t>iered</w:t>
      </w:r>
      <w:proofErr w:type="gramEnd"/>
      <w:r w:rsidR="00FC4BAB" w:rsidRPr="01A6F8F1">
        <w:rPr>
          <w:rFonts w:cs="Arial"/>
          <w:sz w:val="24"/>
          <w:szCs w:val="24"/>
        </w:rPr>
        <w:t xml:space="preserve"> System of Support</w:t>
      </w:r>
      <w:r w:rsidR="00105BF9" w:rsidRPr="01A6F8F1">
        <w:rPr>
          <w:rFonts w:cs="Arial"/>
          <w:sz w:val="24"/>
          <w:szCs w:val="24"/>
        </w:rPr>
        <w:t xml:space="preserve"> Statewide</w:t>
      </w:r>
      <w:r w:rsidR="00FC4BAB" w:rsidRPr="01A6F8F1">
        <w:rPr>
          <w:rFonts w:cs="Arial"/>
          <w:sz w:val="24"/>
          <w:szCs w:val="24"/>
        </w:rPr>
        <w:t>: Partner Entity</w:t>
      </w:r>
      <w:r w:rsidRPr="01A6F8F1">
        <w:rPr>
          <w:rFonts w:cs="Arial"/>
          <w:sz w:val="24"/>
          <w:szCs w:val="24"/>
        </w:rPr>
        <w:t xml:space="preserve"> Goals and Activities</w:t>
      </w:r>
      <w:bookmarkEnd w:id="61"/>
    </w:p>
    <w:p w14:paraId="4760D47B" w14:textId="77777777" w:rsidR="00011CE5" w:rsidRPr="00284C3B" w:rsidRDefault="00011CE5" w:rsidP="00011CE5">
      <w:pPr>
        <w:pStyle w:val="Heading3"/>
        <w:numPr>
          <w:ilvl w:val="0"/>
          <w:numId w:val="0"/>
        </w:numPr>
        <w:rPr>
          <w:rFonts w:cs="Arial"/>
          <w:sz w:val="24"/>
        </w:rPr>
      </w:pPr>
      <w:bookmarkStart w:id="62" w:name="_Toc86997816"/>
      <w:r w:rsidRPr="00284C3B">
        <w:rPr>
          <w:rFonts w:cs="Arial"/>
          <w:sz w:val="24"/>
        </w:rPr>
        <w:t>Theory of Action</w:t>
      </w:r>
      <w:bookmarkEnd w:id="62"/>
    </w:p>
    <w:tbl>
      <w:tblPr>
        <w:tblStyle w:val="GridTable41"/>
        <w:tblW w:w="12950" w:type="dxa"/>
        <w:tblLayout w:type="fixed"/>
        <w:tblLook w:val="0620" w:firstRow="1" w:lastRow="0" w:firstColumn="0" w:lastColumn="0" w:noHBand="1" w:noVBand="1"/>
        <w:tblDescription w:val="Part 1 Goals and Activities Theory of Action Points"/>
      </w:tblPr>
      <w:tblGrid>
        <w:gridCol w:w="3237"/>
        <w:gridCol w:w="3238"/>
        <w:gridCol w:w="3237"/>
        <w:gridCol w:w="3238"/>
      </w:tblGrid>
      <w:tr w:rsidR="007F5040" w:rsidRPr="00284C3B" w14:paraId="6BDFB2D6" w14:textId="77777777" w:rsidTr="003F3975">
        <w:trPr>
          <w:cnfStyle w:val="100000000000" w:firstRow="1" w:lastRow="0" w:firstColumn="0" w:lastColumn="0" w:oddVBand="0" w:evenVBand="0" w:oddHBand="0" w:evenHBand="0" w:firstRowFirstColumn="0" w:firstRowLastColumn="0" w:lastRowFirstColumn="0" w:lastRowLastColumn="0"/>
          <w:cantSplit/>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45AAF" w14:textId="7634ECA2" w:rsidR="007F5040" w:rsidRPr="00000038" w:rsidRDefault="007F5040" w:rsidP="007F5040">
            <w:pPr>
              <w:spacing w:before="80" w:after="80"/>
              <w:jc w:val="center"/>
              <w:rPr>
                <w:rFonts w:cs="Arial"/>
                <w:b w:val="0"/>
                <w:color w:val="auto"/>
                <w:szCs w:val="24"/>
              </w:rPr>
            </w:pPr>
            <w:r w:rsidRPr="00000038">
              <w:rPr>
                <w:rFonts w:cs="Arial"/>
                <w:color w:val="auto"/>
                <w:szCs w:val="24"/>
              </w:rPr>
              <w:t>Outstanding (12–10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7C9E9" w14:textId="6766FFAE" w:rsidR="007F5040" w:rsidRPr="00000038" w:rsidRDefault="007F5040" w:rsidP="007F5040">
            <w:pPr>
              <w:spacing w:before="80" w:after="80"/>
              <w:jc w:val="center"/>
              <w:rPr>
                <w:rFonts w:cs="Arial"/>
                <w:b w:val="0"/>
                <w:color w:val="auto"/>
                <w:szCs w:val="24"/>
              </w:rPr>
            </w:pPr>
            <w:r w:rsidRPr="00000038">
              <w:rPr>
                <w:rFonts w:cs="Arial"/>
                <w:color w:val="auto"/>
                <w:szCs w:val="24"/>
              </w:rPr>
              <w:t>Strong (9–7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9BD6C" w14:textId="756BA7B9" w:rsidR="007F5040" w:rsidRPr="00000038" w:rsidRDefault="007F5040" w:rsidP="007F5040">
            <w:pPr>
              <w:spacing w:before="80" w:after="80"/>
              <w:jc w:val="center"/>
              <w:rPr>
                <w:rFonts w:cs="Arial"/>
                <w:b w:val="0"/>
                <w:color w:val="auto"/>
                <w:szCs w:val="24"/>
              </w:rPr>
            </w:pPr>
            <w:r w:rsidRPr="00000038">
              <w:rPr>
                <w:rFonts w:cs="Arial"/>
                <w:color w:val="auto"/>
                <w:szCs w:val="24"/>
              </w:rPr>
              <w:t>Adequate (6–4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4A08B" w14:textId="3E0E6B87" w:rsidR="007F5040" w:rsidRPr="00000038" w:rsidRDefault="007F5040" w:rsidP="007F5040">
            <w:pPr>
              <w:spacing w:before="80" w:after="80"/>
              <w:jc w:val="center"/>
              <w:rPr>
                <w:rFonts w:cs="Arial"/>
                <w:b w:val="0"/>
                <w:color w:val="auto"/>
                <w:szCs w:val="24"/>
              </w:rPr>
            </w:pPr>
            <w:r w:rsidRPr="00000038">
              <w:rPr>
                <w:rFonts w:cs="Arial"/>
                <w:color w:val="auto"/>
                <w:szCs w:val="24"/>
              </w:rPr>
              <w:t>Minimal (3–0 points)</w:t>
            </w:r>
          </w:p>
        </w:tc>
      </w:tr>
      <w:tr w:rsidR="00011CE5" w:rsidRPr="00284C3B" w14:paraId="5281F20D" w14:textId="77777777" w:rsidTr="003F3975">
        <w:trPr>
          <w:cantSplit/>
          <w:trHeight w:val="2411"/>
        </w:trPr>
        <w:tc>
          <w:tcPr>
            <w:tcW w:w="3237" w:type="dxa"/>
            <w:tcBorders>
              <w:top w:val="single" w:sz="4" w:space="0" w:color="auto"/>
            </w:tcBorders>
          </w:tcPr>
          <w:p w14:paraId="7FDC9A60" w14:textId="77777777" w:rsidR="00011CE5" w:rsidRPr="00284C3B" w:rsidRDefault="00011CE5" w:rsidP="003F3975">
            <w:pPr>
              <w:spacing w:before="80"/>
              <w:rPr>
                <w:rFonts w:eastAsia="Calibri" w:cs="Arial"/>
                <w:szCs w:val="24"/>
              </w:rPr>
            </w:pPr>
            <w:r w:rsidRPr="00284C3B">
              <w:rPr>
                <w:rFonts w:cs="Arial"/>
                <w:szCs w:val="24"/>
              </w:rPr>
              <w:t>Thoroughly and convincingly articulates a theory of action that identifies key components of the proposed process, product, strategy, or practice; and describes the relationships among the key components and outcomes, theoretically and operationally for implementation.</w:t>
            </w:r>
          </w:p>
        </w:tc>
        <w:tc>
          <w:tcPr>
            <w:tcW w:w="3238" w:type="dxa"/>
            <w:tcBorders>
              <w:top w:val="single" w:sz="4" w:space="0" w:color="auto"/>
            </w:tcBorders>
          </w:tcPr>
          <w:p w14:paraId="4D1B3E99" w14:textId="77777777" w:rsidR="00011CE5" w:rsidRPr="00284C3B" w:rsidRDefault="00011CE5" w:rsidP="00EE6368">
            <w:pPr>
              <w:spacing w:before="80" w:after="80"/>
              <w:rPr>
                <w:rFonts w:eastAsia="Calibri" w:cs="Arial"/>
                <w:szCs w:val="24"/>
              </w:rPr>
            </w:pPr>
            <w:r w:rsidRPr="00284C3B">
              <w:rPr>
                <w:rFonts w:cs="Arial"/>
                <w:szCs w:val="24"/>
              </w:rPr>
              <w:t>Clearly articulates a theory of action that identifies key components of the proposed process, product, strategy, or practice; and describes the relationships among the key components and outcomes, theoretically and operationally for implementation.</w:t>
            </w:r>
          </w:p>
        </w:tc>
        <w:tc>
          <w:tcPr>
            <w:tcW w:w="3237" w:type="dxa"/>
            <w:tcBorders>
              <w:top w:val="single" w:sz="4" w:space="0" w:color="auto"/>
            </w:tcBorders>
          </w:tcPr>
          <w:p w14:paraId="293D58D0" w14:textId="77777777" w:rsidR="00011CE5" w:rsidRPr="00284C3B" w:rsidRDefault="00011CE5" w:rsidP="00EE6368">
            <w:pPr>
              <w:spacing w:before="80" w:after="80"/>
              <w:rPr>
                <w:rFonts w:eastAsia="Calibri" w:cs="Arial"/>
                <w:szCs w:val="24"/>
              </w:rPr>
            </w:pPr>
            <w:r w:rsidRPr="00284C3B">
              <w:rPr>
                <w:rFonts w:cs="Arial"/>
                <w:szCs w:val="24"/>
              </w:rPr>
              <w:t>Adequately articulates a theory of action that identifies key components of the proposed process, product, strategy, or practice; and describes the relationships among the key components and outcomes, theoretically and operationally for implementation.</w:t>
            </w:r>
          </w:p>
        </w:tc>
        <w:tc>
          <w:tcPr>
            <w:tcW w:w="3238" w:type="dxa"/>
            <w:tcBorders>
              <w:top w:val="single" w:sz="4" w:space="0" w:color="auto"/>
            </w:tcBorders>
          </w:tcPr>
          <w:p w14:paraId="3184E640" w14:textId="77777777" w:rsidR="00011CE5" w:rsidRPr="00284C3B" w:rsidRDefault="00011CE5" w:rsidP="00EE6368">
            <w:pPr>
              <w:spacing w:before="80" w:after="80"/>
              <w:rPr>
                <w:rFonts w:eastAsia="Calibri" w:cs="Arial"/>
                <w:szCs w:val="24"/>
              </w:rPr>
            </w:pPr>
            <w:r w:rsidRPr="00284C3B">
              <w:rPr>
                <w:rFonts w:cs="Arial"/>
                <w:szCs w:val="24"/>
              </w:rPr>
              <w:t>Minimally articulates a theory of action that identifies key components of the proposed process, product, strategy, or practice; and describes the relationships among the key components and outcomes, theoretically and operationally for implementation.</w:t>
            </w:r>
          </w:p>
        </w:tc>
      </w:tr>
    </w:tbl>
    <w:p w14:paraId="6886D7F4" w14:textId="77777777" w:rsidR="00011CE5" w:rsidRPr="00284C3B" w:rsidRDefault="00011CE5" w:rsidP="00011CE5">
      <w:pPr>
        <w:pStyle w:val="Heading3"/>
        <w:numPr>
          <w:ilvl w:val="0"/>
          <w:numId w:val="0"/>
        </w:numPr>
        <w:spacing w:before="360"/>
        <w:rPr>
          <w:rFonts w:cs="Arial"/>
          <w:sz w:val="24"/>
        </w:rPr>
      </w:pPr>
      <w:bookmarkStart w:id="63" w:name="_Toc86997817"/>
      <w:r w:rsidRPr="00284C3B">
        <w:rPr>
          <w:rFonts w:cs="Arial"/>
          <w:sz w:val="24"/>
        </w:rPr>
        <w:lastRenderedPageBreak/>
        <w:t>Proposed Activities</w:t>
      </w:r>
      <w:bookmarkEnd w:id="63"/>
    </w:p>
    <w:tbl>
      <w:tblPr>
        <w:tblStyle w:val="GridTable41"/>
        <w:tblW w:w="13315" w:type="dxa"/>
        <w:tblLayout w:type="fixed"/>
        <w:tblLook w:val="0620" w:firstRow="1" w:lastRow="0" w:firstColumn="0" w:lastColumn="0" w:noHBand="1" w:noVBand="1"/>
        <w:tblDescription w:val="Point Values for Proposed Activities"/>
      </w:tblPr>
      <w:tblGrid>
        <w:gridCol w:w="3325"/>
        <w:gridCol w:w="3150"/>
        <w:gridCol w:w="3330"/>
        <w:gridCol w:w="3510"/>
      </w:tblGrid>
      <w:tr w:rsidR="00724853" w:rsidRPr="00284C3B" w14:paraId="722AAAAB" w14:textId="77777777" w:rsidTr="003F3975">
        <w:trPr>
          <w:cnfStyle w:val="100000000000" w:firstRow="1" w:lastRow="0" w:firstColumn="0" w:lastColumn="0" w:oddVBand="0" w:evenVBand="0" w:oddHBand="0" w:evenHBand="0" w:firstRowFirstColumn="0" w:firstRowLastColumn="0" w:lastRowFirstColumn="0" w:lastRowLastColumn="0"/>
          <w:cantSplit/>
          <w:tblHeader/>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7ABC5" w14:textId="4A3FF5AE" w:rsidR="00724853" w:rsidRPr="00000038" w:rsidRDefault="00724853" w:rsidP="00724853">
            <w:pPr>
              <w:spacing w:before="80" w:after="80"/>
              <w:jc w:val="center"/>
              <w:rPr>
                <w:rFonts w:cs="Arial"/>
                <w:b w:val="0"/>
                <w:color w:val="auto"/>
                <w:szCs w:val="24"/>
              </w:rPr>
            </w:pPr>
            <w:r w:rsidRPr="00000038">
              <w:rPr>
                <w:rFonts w:cs="Arial"/>
                <w:color w:val="auto"/>
                <w:szCs w:val="24"/>
              </w:rPr>
              <w:t>Outstanding (8–7 points)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56F45" w14:textId="12C0F3AC" w:rsidR="00724853" w:rsidRPr="00000038" w:rsidRDefault="00724853" w:rsidP="00724853">
            <w:pPr>
              <w:spacing w:before="80" w:after="80"/>
              <w:jc w:val="center"/>
              <w:rPr>
                <w:rFonts w:cs="Arial"/>
                <w:b w:val="0"/>
                <w:color w:val="auto"/>
                <w:szCs w:val="24"/>
              </w:rPr>
            </w:pPr>
            <w:r w:rsidRPr="00000038">
              <w:rPr>
                <w:rFonts w:cs="Arial"/>
                <w:color w:val="auto"/>
                <w:szCs w:val="24"/>
              </w:rPr>
              <w:t>Strong (6–5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8794" w14:textId="0F50D0B3" w:rsidR="00724853" w:rsidRPr="00000038" w:rsidRDefault="00724853" w:rsidP="00724853">
            <w:pPr>
              <w:spacing w:before="80" w:after="80"/>
              <w:jc w:val="center"/>
              <w:rPr>
                <w:rFonts w:cs="Arial"/>
                <w:b w:val="0"/>
                <w:color w:val="auto"/>
                <w:szCs w:val="24"/>
              </w:rPr>
            </w:pPr>
            <w:r w:rsidRPr="00000038">
              <w:rPr>
                <w:rFonts w:cs="Arial"/>
                <w:color w:val="auto"/>
                <w:szCs w:val="24"/>
              </w:rPr>
              <w:t>Adequate (4–3 points)</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0069F" w14:textId="2A6313E2" w:rsidR="00724853" w:rsidRPr="00000038" w:rsidRDefault="00724853" w:rsidP="00724853">
            <w:pPr>
              <w:spacing w:before="80" w:after="80"/>
              <w:jc w:val="center"/>
              <w:rPr>
                <w:rFonts w:cs="Arial"/>
                <w:b w:val="0"/>
                <w:color w:val="auto"/>
                <w:szCs w:val="24"/>
              </w:rPr>
            </w:pPr>
            <w:r w:rsidRPr="00000038">
              <w:rPr>
                <w:rFonts w:cs="Arial"/>
                <w:color w:val="auto"/>
                <w:szCs w:val="24"/>
              </w:rPr>
              <w:t>Minimal (2–0 points)</w:t>
            </w:r>
          </w:p>
        </w:tc>
      </w:tr>
      <w:tr w:rsidR="00011CE5" w:rsidRPr="00284C3B" w14:paraId="137E0B19" w14:textId="77777777" w:rsidTr="003F3975">
        <w:trPr>
          <w:cantSplit/>
        </w:trPr>
        <w:tc>
          <w:tcPr>
            <w:tcW w:w="3325" w:type="dxa"/>
            <w:tcBorders>
              <w:top w:val="single" w:sz="4" w:space="0" w:color="auto"/>
            </w:tcBorders>
          </w:tcPr>
          <w:p w14:paraId="3B6E00DF" w14:textId="31429A11" w:rsidR="00011CE5" w:rsidRPr="00284C3B" w:rsidRDefault="00011CE5" w:rsidP="00025F31">
            <w:pPr>
              <w:spacing w:before="80"/>
              <w:rPr>
                <w:rFonts w:cs="Arial"/>
                <w:szCs w:val="24"/>
              </w:rPr>
            </w:pPr>
            <w:r w:rsidRPr="00284C3B">
              <w:rPr>
                <w:rFonts w:cs="Arial"/>
                <w:szCs w:val="24"/>
              </w:rPr>
              <w:t xml:space="preserve">Thoroughly and convincingly describes </w:t>
            </w:r>
            <w:r w:rsidR="00AC1BFC">
              <w:rPr>
                <w:rFonts w:cs="Arial"/>
                <w:color w:val="000000"/>
              </w:rPr>
              <w:t>the applicant’s previous experience and/or expertise in developing and delivering high quality professional learning to educators in SEL; trauma-informed practices; and culturally relevant, affirming, and sustaining practices in a manner that aligns with local MTSS.</w:t>
            </w:r>
          </w:p>
        </w:tc>
        <w:tc>
          <w:tcPr>
            <w:tcW w:w="3150" w:type="dxa"/>
            <w:tcBorders>
              <w:top w:val="single" w:sz="4" w:space="0" w:color="auto"/>
            </w:tcBorders>
          </w:tcPr>
          <w:p w14:paraId="727D67C9" w14:textId="2DCAB084" w:rsidR="00011CE5" w:rsidRPr="00284C3B" w:rsidRDefault="00011CE5" w:rsidP="00025F31">
            <w:pPr>
              <w:spacing w:before="80"/>
              <w:rPr>
                <w:rFonts w:cs="Arial"/>
                <w:szCs w:val="24"/>
              </w:rPr>
            </w:pPr>
            <w:r w:rsidRPr="00284C3B">
              <w:rPr>
                <w:rFonts w:cs="Arial"/>
                <w:szCs w:val="24"/>
              </w:rPr>
              <w:t xml:space="preserve">Clearly describes </w:t>
            </w:r>
            <w:r w:rsidR="00AC1BFC">
              <w:rPr>
                <w:rFonts w:cs="Arial"/>
                <w:szCs w:val="24"/>
              </w:rPr>
              <w:t xml:space="preserve">the </w:t>
            </w:r>
            <w:r w:rsidR="00AC1BFC">
              <w:rPr>
                <w:rFonts w:cs="Arial"/>
                <w:color w:val="000000"/>
              </w:rPr>
              <w:t>applicant’s previous experience and/or expertise in developing and delivering high quality professional learning to educators in SEL; trauma-informed practices; and culturally relevant, affirming, and sustaining practices in a manner that aligns with local MTSS</w:t>
            </w:r>
            <w:r w:rsidR="008A359B">
              <w:rPr>
                <w:rFonts w:cs="Arial"/>
                <w:color w:val="000000"/>
              </w:rPr>
              <w:t>.</w:t>
            </w:r>
            <w:r w:rsidR="00AC1BFC" w:rsidRPr="00284C3B" w:rsidDel="00AC1BFC">
              <w:rPr>
                <w:rFonts w:cs="Arial"/>
                <w:szCs w:val="24"/>
              </w:rPr>
              <w:t xml:space="preserve"> </w:t>
            </w:r>
          </w:p>
        </w:tc>
        <w:tc>
          <w:tcPr>
            <w:tcW w:w="3330" w:type="dxa"/>
            <w:tcBorders>
              <w:top w:val="single" w:sz="4" w:space="0" w:color="auto"/>
            </w:tcBorders>
          </w:tcPr>
          <w:p w14:paraId="32960D97" w14:textId="37D09EA5" w:rsidR="00011CE5" w:rsidRPr="00284C3B" w:rsidRDefault="00011CE5" w:rsidP="00025F31">
            <w:pPr>
              <w:spacing w:before="80"/>
              <w:rPr>
                <w:rFonts w:cs="Arial"/>
                <w:szCs w:val="24"/>
              </w:rPr>
            </w:pPr>
            <w:r w:rsidRPr="00284C3B">
              <w:rPr>
                <w:rFonts w:cs="Arial"/>
                <w:szCs w:val="24"/>
              </w:rPr>
              <w:t xml:space="preserve">Adequately describes the </w:t>
            </w:r>
            <w:r w:rsidR="008A359B">
              <w:rPr>
                <w:rFonts w:cs="Arial"/>
                <w:color w:val="000000"/>
              </w:rPr>
              <w:t>applicant’s previous experience and/or expertise in developing and delivering high quality professional learning to educators in SEL; trauma-informed practices; and culturally relevant, affirming, and sustaining practices in a manner that aligns with local MTSS.</w:t>
            </w:r>
            <w:r w:rsidR="008A359B" w:rsidRPr="00284C3B" w:rsidDel="008A359B">
              <w:rPr>
                <w:rFonts w:cs="Arial"/>
                <w:szCs w:val="24"/>
              </w:rPr>
              <w:t xml:space="preserve"> </w:t>
            </w:r>
          </w:p>
        </w:tc>
        <w:tc>
          <w:tcPr>
            <w:tcW w:w="3510" w:type="dxa"/>
            <w:tcBorders>
              <w:top w:val="single" w:sz="4" w:space="0" w:color="auto"/>
            </w:tcBorders>
          </w:tcPr>
          <w:p w14:paraId="47E41172" w14:textId="487EE222" w:rsidR="00011CE5" w:rsidRPr="00284C3B" w:rsidRDefault="00011CE5" w:rsidP="00025F31">
            <w:pPr>
              <w:spacing w:before="80"/>
              <w:rPr>
                <w:rFonts w:cs="Arial"/>
                <w:szCs w:val="24"/>
              </w:rPr>
            </w:pPr>
            <w:r w:rsidRPr="00284C3B">
              <w:rPr>
                <w:rFonts w:cs="Arial"/>
                <w:szCs w:val="24"/>
              </w:rPr>
              <w:t>Minimally describes the</w:t>
            </w:r>
            <w:r w:rsidR="008A359B">
              <w:rPr>
                <w:rFonts w:cs="Arial"/>
                <w:color w:val="000000"/>
              </w:rPr>
              <w:t xml:space="preserve"> applicant’s previous experience and/or expertise in developing and delivering high quality professional learning to educators in SEL; trauma-informed practices; and culturally relevant, affirming, and sustaining practices in a manner that aligns with local MTSS.</w:t>
            </w:r>
          </w:p>
        </w:tc>
      </w:tr>
      <w:tr w:rsidR="00011CE5" w:rsidRPr="00284C3B" w14:paraId="3B390673" w14:textId="77777777" w:rsidTr="003F3975">
        <w:trPr>
          <w:cantSplit/>
        </w:trPr>
        <w:tc>
          <w:tcPr>
            <w:tcW w:w="3325" w:type="dxa"/>
          </w:tcPr>
          <w:p w14:paraId="5894211D" w14:textId="666AF1EB" w:rsidR="00011CE5" w:rsidRPr="00284C3B" w:rsidRDefault="00011CE5" w:rsidP="00EE6368">
            <w:pPr>
              <w:spacing w:before="80" w:after="120"/>
              <w:rPr>
                <w:rFonts w:cs="Arial"/>
                <w:szCs w:val="24"/>
              </w:rPr>
            </w:pPr>
            <w:r w:rsidRPr="00284C3B">
              <w:rPr>
                <w:rFonts w:cs="Arial"/>
                <w:szCs w:val="24"/>
              </w:rPr>
              <w:t>Thoroughly and convincingly describes</w:t>
            </w:r>
            <w:r w:rsidR="008A359B">
              <w:rPr>
                <w:rFonts w:cs="Arial"/>
                <w:szCs w:val="24"/>
              </w:rPr>
              <w:t xml:space="preserve"> how</w:t>
            </w:r>
            <w:r w:rsidRPr="00284C3B">
              <w:rPr>
                <w:rFonts w:cs="Arial"/>
                <w:szCs w:val="24"/>
              </w:rPr>
              <w:t xml:space="preserve"> </w:t>
            </w:r>
            <w:r w:rsidR="008A359B">
              <w:rPr>
                <w:rFonts w:cs="Arial"/>
                <w:color w:val="000000"/>
              </w:rPr>
              <w:t xml:space="preserve">the applicant will create, collect, and/or curate resources </w:t>
            </w:r>
            <w:r w:rsidR="00605C7D">
              <w:rPr>
                <w:rFonts w:cs="Arial"/>
                <w:color w:val="000000"/>
              </w:rPr>
              <w:t xml:space="preserve">(and differentiate as needed) </w:t>
            </w:r>
            <w:r w:rsidR="008A359B">
              <w:rPr>
                <w:rFonts w:cs="Arial"/>
                <w:color w:val="000000"/>
              </w:rPr>
              <w:t>for educators on SEL; trauma screening; trauma-informed practices; and culturally relevant, affirming, and sustaining practices.</w:t>
            </w:r>
            <w:r w:rsidR="008A359B" w:rsidRPr="00284C3B" w:rsidDel="008A359B">
              <w:rPr>
                <w:rFonts w:cs="Arial"/>
                <w:color w:val="000000"/>
                <w:szCs w:val="24"/>
              </w:rPr>
              <w:t xml:space="preserve"> </w:t>
            </w:r>
          </w:p>
        </w:tc>
        <w:tc>
          <w:tcPr>
            <w:tcW w:w="3150" w:type="dxa"/>
          </w:tcPr>
          <w:p w14:paraId="45C72EA0" w14:textId="17BDB1A8" w:rsidR="00011CE5" w:rsidRPr="00284C3B" w:rsidRDefault="00011CE5" w:rsidP="00EE6368">
            <w:pPr>
              <w:spacing w:before="80" w:after="80"/>
              <w:rPr>
                <w:rFonts w:cs="Arial"/>
                <w:szCs w:val="24"/>
              </w:rPr>
            </w:pPr>
            <w:r w:rsidRPr="00284C3B">
              <w:rPr>
                <w:rFonts w:cs="Arial"/>
                <w:szCs w:val="24"/>
              </w:rPr>
              <w:t>Clearly describes</w:t>
            </w:r>
            <w:r w:rsidR="008A359B">
              <w:rPr>
                <w:rFonts w:cs="Arial"/>
                <w:szCs w:val="24"/>
              </w:rPr>
              <w:t xml:space="preserve"> </w:t>
            </w:r>
            <w:r w:rsidR="008A359B">
              <w:rPr>
                <w:rFonts w:cs="Arial"/>
                <w:color w:val="000000"/>
              </w:rPr>
              <w:t xml:space="preserve">how the applicant will create, collect, and/or curate resources </w:t>
            </w:r>
            <w:r w:rsidR="00605C7D">
              <w:rPr>
                <w:rFonts w:cs="Arial"/>
                <w:color w:val="000000"/>
              </w:rPr>
              <w:t xml:space="preserve">(and differentiate as needed) </w:t>
            </w:r>
            <w:r w:rsidR="008A359B">
              <w:rPr>
                <w:rFonts w:cs="Arial"/>
                <w:color w:val="000000"/>
              </w:rPr>
              <w:t xml:space="preserve">for educators on SEL; trauma screening; trauma-informed practices; and culturally relevant, affirming, and sustaining practices. </w:t>
            </w:r>
          </w:p>
        </w:tc>
        <w:tc>
          <w:tcPr>
            <w:tcW w:w="3330" w:type="dxa"/>
          </w:tcPr>
          <w:p w14:paraId="055488D8" w14:textId="7EBA5A62" w:rsidR="00011CE5" w:rsidRPr="00284C3B" w:rsidRDefault="00011CE5" w:rsidP="003F3975">
            <w:pPr>
              <w:spacing w:before="80" w:after="0"/>
              <w:rPr>
                <w:rFonts w:cs="Arial"/>
                <w:szCs w:val="24"/>
              </w:rPr>
            </w:pPr>
            <w:r w:rsidRPr="00284C3B">
              <w:rPr>
                <w:rFonts w:cs="Arial"/>
                <w:szCs w:val="24"/>
              </w:rPr>
              <w:t>Adequately describes</w:t>
            </w:r>
            <w:r w:rsidR="008A359B">
              <w:rPr>
                <w:rFonts w:cs="Arial"/>
                <w:szCs w:val="24"/>
              </w:rPr>
              <w:t xml:space="preserve"> </w:t>
            </w:r>
            <w:r w:rsidR="008A359B">
              <w:rPr>
                <w:rFonts w:cs="Arial"/>
                <w:color w:val="000000"/>
              </w:rPr>
              <w:t>how the applicant will create, collect, and/or curate resources</w:t>
            </w:r>
            <w:r w:rsidR="00605C7D">
              <w:rPr>
                <w:rFonts w:cs="Arial"/>
                <w:color w:val="000000"/>
              </w:rPr>
              <w:t xml:space="preserve"> (and differentiate as needed) </w:t>
            </w:r>
            <w:r w:rsidR="008A359B">
              <w:rPr>
                <w:rFonts w:cs="Arial"/>
                <w:color w:val="000000"/>
              </w:rPr>
              <w:t xml:space="preserve">for educators on SEL; trauma screening; trauma-informed practices; and culturally relevant, affirming, and sustaining practices. </w:t>
            </w:r>
          </w:p>
        </w:tc>
        <w:tc>
          <w:tcPr>
            <w:tcW w:w="3510" w:type="dxa"/>
          </w:tcPr>
          <w:p w14:paraId="17127C58" w14:textId="4EB6105B" w:rsidR="00011CE5" w:rsidRPr="00284C3B" w:rsidRDefault="00011CE5" w:rsidP="00EE6368">
            <w:pPr>
              <w:spacing w:before="80" w:after="80"/>
              <w:rPr>
                <w:rFonts w:cs="Arial"/>
                <w:szCs w:val="24"/>
              </w:rPr>
            </w:pPr>
            <w:r w:rsidRPr="00284C3B">
              <w:rPr>
                <w:rFonts w:cs="Arial"/>
                <w:szCs w:val="24"/>
              </w:rPr>
              <w:t xml:space="preserve">Minimally describes </w:t>
            </w:r>
            <w:r w:rsidR="008A359B">
              <w:rPr>
                <w:rFonts w:cs="Arial"/>
                <w:color w:val="000000"/>
              </w:rPr>
              <w:t xml:space="preserve">how the applicant will create, collect, and/or curate resources </w:t>
            </w:r>
            <w:r w:rsidR="00605C7D">
              <w:rPr>
                <w:rFonts w:cs="Arial"/>
                <w:color w:val="000000"/>
              </w:rPr>
              <w:t xml:space="preserve">(and differentiate as needed) </w:t>
            </w:r>
            <w:r w:rsidR="008A359B">
              <w:rPr>
                <w:rFonts w:cs="Arial"/>
                <w:color w:val="000000"/>
              </w:rPr>
              <w:t xml:space="preserve">for educators on SEL; trauma screening; trauma-informed practices; and culturally relevant, affirming, and sustaining practices. </w:t>
            </w:r>
          </w:p>
        </w:tc>
      </w:tr>
      <w:tr w:rsidR="00011CE5" w:rsidRPr="00284C3B" w14:paraId="599F33A2" w14:textId="77777777" w:rsidTr="003F3975">
        <w:trPr>
          <w:cantSplit/>
        </w:trPr>
        <w:tc>
          <w:tcPr>
            <w:tcW w:w="3325" w:type="dxa"/>
          </w:tcPr>
          <w:p w14:paraId="7D51E3AF" w14:textId="50CE8185" w:rsidR="00011CE5" w:rsidRPr="00284C3B" w:rsidRDefault="00011CE5" w:rsidP="00EE6368">
            <w:pPr>
              <w:spacing w:before="80" w:after="80"/>
              <w:rPr>
                <w:rFonts w:cs="Arial"/>
                <w:szCs w:val="24"/>
              </w:rPr>
            </w:pPr>
            <w:r w:rsidRPr="00284C3B">
              <w:rPr>
                <w:rFonts w:cs="Arial"/>
                <w:szCs w:val="24"/>
              </w:rPr>
              <w:lastRenderedPageBreak/>
              <w:t>Thoroughly and convincingly describes</w:t>
            </w:r>
            <w:r w:rsidR="004D3D74" w:rsidRPr="004470EC">
              <w:rPr>
                <w:szCs w:val="24"/>
              </w:rPr>
              <w:t xml:space="preserve"> how </w:t>
            </w:r>
            <w:r w:rsidR="008A359B">
              <w:rPr>
                <w:rFonts w:cs="Arial"/>
                <w:color w:val="000000"/>
              </w:rPr>
              <w:t>the applicant will provide ongoing training and support in the use of trauma screening tools and mental health service referrals, school climate surveys, and the use of tool and survey data.</w:t>
            </w:r>
            <w:r w:rsidR="008A359B" w:rsidRPr="004470EC" w:rsidDel="008A359B">
              <w:rPr>
                <w:szCs w:val="24"/>
              </w:rPr>
              <w:t xml:space="preserve"> </w:t>
            </w:r>
          </w:p>
        </w:tc>
        <w:tc>
          <w:tcPr>
            <w:tcW w:w="3150" w:type="dxa"/>
          </w:tcPr>
          <w:p w14:paraId="4998AF5A" w14:textId="6D3610DB" w:rsidR="00011CE5" w:rsidRPr="00284C3B" w:rsidRDefault="00011CE5" w:rsidP="00EE6368">
            <w:pPr>
              <w:spacing w:before="80" w:after="80"/>
              <w:rPr>
                <w:rFonts w:cs="Arial"/>
                <w:szCs w:val="24"/>
              </w:rPr>
            </w:pPr>
            <w:r w:rsidRPr="00284C3B">
              <w:rPr>
                <w:rFonts w:cs="Arial"/>
                <w:szCs w:val="24"/>
              </w:rPr>
              <w:t xml:space="preserve">Clearly </w:t>
            </w:r>
            <w:r w:rsidR="004D3D74" w:rsidRPr="00284C3B">
              <w:rPr>
                <w:rFonts w:cs="Arial"/>
                <w:szCs w:val="24"/>
              </w:rPr>
              <w:t>describes</w:t>
            </w:r>
            <w:r w:rsidR="004D3D74" w:rsidRPr="004470EC">
              <w:rPr>
                <w:szCs w:val="24"/>
              </w:rPr>
              <w:t xml:space="preserve"> </w:t>
            </w:r>
            <w:r w:rsidR="008A359B">
              <w:rPr>
                <w:rFonts w:cs="Arial"/>
                <w:color w:val="000000"/>
              </w:rPr>
              <w:t>how the applicant will provide ongoing training and support in the use of trauma screening tools and mental health service referrals, school climate surveys, and the use of tool and survey data.</w:t>
            </w:r>
            <w:r w:rsidR="008A359B" w:rsidRPr="004470EC" w:rsidDel="008A359B">
              <w:rPr>
                <w:szCs w:val="24"/>
              </w:rPr>
              <w:t xml:space="preserve"> </w:t>
            </w:r>
          </w:p>
        </w:tc>
        <w:tc>
          <w:tcPr>
            <w:tcW w:w="3330" w:type="dxa"/>
          </w:tcPr>
          <w:p w14:paraId="018BF66D" w14:textId="55948F2C" w:rsidR="00011CE5" w:rsidRPr="00284C3B" w:rsidRDefault="00011CE5" w:rsidP="00EE6368">
            <w:pPr>
              <w:spacing w:before="80" w:after="80"/>
              <w:rPr>
                <w:rFonts w:cs="Arial"/>
                <w:szCs w:val="24"/>
              </w:rPr>
            </w:pPr>
            <w:r w:rsidRPr="00284C3B">
              <w:rPr>
                <w:rFonts w:cs="Arial"/>
                <w:szCs w:val="24"/>
              </w:rPr>
              <w:t xml:space="preserve">Adequately </w:t>
            </w:r>
            <w:r w:rsidR="004D3D74" w:rsidRPr="00284C3B">
              <w:rPr>
                <w:rFonts w:cs="Arial"/>
                <w:szCs w:val="24"/>
              </w:rPr>
              <w:t>describes</w:t>
            </w:r>
            <w:r w:rsidR="004D3D74" w:rsidRPr="004470EC">
              <w:rPr>
                <w:szCs w:val="24"/>
              </w:rPr>
              <w:t xml:space="preserve"> </w:t>
            </w:r>
            <w:r w:rsidR="008A359B">
              <w:rPr>
                <w:rFonts w:cs="Arial"/>
                <w:color w:val="000000"/>
              </w:rPr>
              <w:t>how the applicant will provide ongoing training and support in the use of trauma screening tools and mental health service referrals, school climate surveys, and the use of tool and survey data.</w:t>
            </w:r>
            <w:r w:rsidR="008A359B" w:rsidRPr="004470EC" w:rsidDel="008A359B">
              <w:rPr>
                <w:szCs w:val="24"/>
              </w:rPr>
              <w:t xml:space="preserve"> </w:t>
            </w:r>
          </w:p>
        </w:tc>
        <w:tc>
          <w:tcPr>
            <w:tcW w:w="3510" w:type="dxa"/>
          </w:tcPr>
          <w:p w14:paraId="71796832" w14:textId="517AA00C" w:rsidR="00011CE5" w:rsidRPr="00284C3B" w:rsidRDefault="00011CE5" w:rsidP="00EE6368">
            <w:pPr>
              <w:spacing w:before="80" w:after="80"/>
              <w:rPr>
                <w:rFonts w:cs="Arial"/>
                <w:szCs w:val="24"/>
              </w:rPr>
            </w:pPr>
            <w:r w:rsidRPr="00284C3B">
              <w:rPr>
                <w:rFonts w:cs="Arial"/>
                <w:szCs w:val="24"/>
              </w:rPr>
              <w:t xml:space="preserve">Minimally </w:t>
            </w:r>
            <w:r w:rsidR="004D3D74" w:rsidRPr="00284C3B">
              <w:rPr>
                <w:rFonts w:cs="Arial"/>
                <w:szCs w:val="24"/>
              </w:rPr>
              <w:t>describes</w:t>
            </w:r>
            <w:r w:rsidR="004D3D74" w:rsidRPr="004470EC">
              <w:rPr>
                <w:szCs w:val="24"/>
              </w:rPr>
              <w:t xml:space="preserve"> </w:t>
            </w:r>
            <w:r w:rsidR="008A359B">
              <w:rPr>
                <w:rFonts w:cs="Arial"/>
                <w:color w:val="000000"/>
              </w:rPr>
              <w:t>how the applicant will provide ongoing training and support in the use of trauma screening tools and mental health service referrals, school climate surveys, and the use of tool and survey data.</w:t>
            </w:r>
            <w:r w:rsidR="008A359B" w:rsidRPr="004470EC" w:rsidDel="008A359B">
              <w:rPr>
                <w:szCs w:val="24"/>
              </w:rPr>
              <w:t xml:space="preserve"> </w:t>
            </w:r>
          </w:p>
        </w:tc>
      </w:tr>
      <w:tr w:rsidR="00011CE5" w:rsidRPr="00284C3B" w14:paraId="048A80A7" w14:textId="77777777" w:rsidTr="003F3975">
        <w:trPr>
          <w:cantSplit/>
        </w:trPr>
        <w:tc>
          <w:tcPr>
            <w:tcW w:w="3325" w:type="dxa"/>
          </w:tcPr>
          <w:p w14:paraId="418C2860" w14:textId="2A61C129" w:rsidR="00011CE5" w:rsidRPr="00284C3B" w:rsidRDefault="00011CE5" w:rsidP="00EE6368">
            <w:pPr>
              <w:spacing w:before="80" w:after="80"/>
              <w:rPr>
                <w:rFonts w:cs="Arial"/>
                <w:szCs w:val="24"/>
              </w:rPr>
            </w:pPr>
            <w:r w:rsidRPr="00284C3B">
              <w:rPr>
                <w:rFonts w:cs="Arial"/>
                <w:szCs w:val="24"/>
              </w:rPr>
              <w:t xml:space="preserve">Thoroughly and convincingly describes </w:t>
            </w:r>
            <w:r w:rsidR="008A359B">
              <w:rPr>
                <w:rFonts w:cs="Arial"/>
                <w:color w:val="000000"/>
              </w:rPr>
              <w:t>how the applicant will provide grants to LEAs to support the convening of professional learning communities of educators and school leaders.</w:t>
            </w:r>
          </w:p>
        </w:tc>
        <w:tc>
          <w:tcPr>
            <w:tcW w:w="3150" w:type="dxa"/>
          </w:tcPr>
          <w:p w14:paraId="38F5C6BD" w14:textId="033C0AA7" w:rsidR="00011CE5" w:rsidRPr="00284C3B" w:rsidRDefault="00011CE5" w:rsidP="00EE6368">
            <w:pPr>
              <w:spacing w:before="80" w:after="80"/>
              <w:rPr>
                <w:rFonts w:cs="Arial"/>
                <w:szCs w:val="24"/>
              </w:rPr>
            </w:pPr>
            <w:r w:rsidRPr="00284C3B">
              <w:rPr>
                <w:rFonts w:cs="Arial"/>
                <w:szCs w:val="24"/>
              </w:rPr>
              <w:t xml:space="preserve">Clearly describes </w:t>
            </w:r>
            <w:r w:rsidR="008A359B">
              <w:rPr>
                <w:rFonts w:cs="Arial"/>
                <w:color w:val="000000"/>
              </w:rPr>
              <w:t>how the applicant will provide grants to LEAs to support the convening of professional learning communities of educators and school leaders.</w:t>
            </w:r>
          </w:p>
        </w:tc>
        <w:tc>
          <w:tcPr>
            <w:tcW w:w="3330" w:type="dxa"/>
          </w:tcPr>
          <w:p w14:paraId="47D60EA9" w14:textId="670DD06A" w:rsidR="00011CE5" w:rsidRPr="00284C3B" w:rsidRDefault="00011CE5" w:rsidP="00EE6368">
            <w:pPr>
              <w:spacing w:before="80" w:after="80"/>
              <w:rPr>
                <w:rFonts w:cs="Arial"/>
                <w:szCs w:val="24"/>
              </w:rPr>
            </w:pPr>
            <w:r w:rsidRPr="00284C3B">
              <w:rPr>
                <w:rFonts w:cs="Arial"/>
                <w:szCs w:val="24"/>
              </w:rPr>
              <w:t xml:space="preserve">Adequately describes </w:t>
            </w:r>
            <w:r w:rsidR="008A359B">
              <w:rPr>
                <w:rFonts w:cs="Arial"/>
                <w:color w:val="000000"/>
              </w:rPr>
              <w:t>how the applicant will provide grants to LEAs to support the convening of professional learning communities of educators and school leaders.</w:t>
            </w:r>
          </w:p>
        </w:tc>
        <w:tc>
          <w:tcPr>
            <w:tcW w:w="3510" w:type="dxa"/>
          </w:tcPr>
          <w:p w14:paraId="79FD469A" w14:textId="05423F5A" w:rsidR="00011CE5" w:rsidRPr="00284C3B" w:rsidRDefault="00011CE5" w:rsidP="00EE6368">
            <w:pPr>
              <w:spacing w:before="80" w:after="80"/>
              <w:rPr>
                <w:rFonts w:cs="Arial"/>
                <w:szCs w:val="24"/>
              </w:rPr>
            </w:pPr>
            <w:r w:rsidRPr="00284C3B">
              <w:rPr>
                <w:rFonts w:cs="Arial"/>
                <w:szCs w:val="24"/>
              </w:rPr>
              <w:t xml:space="preserve">Minimally describes </w:t>
            </w:r>
            <w:r w:rsidR="008A359B">
              <w:rPr>
                <w:rFonts w:cs="Arial"/>
                <w:color w:val="000000"/>
              </w:rPr>
              <w:t>how the applicant will provide grants to LEAs to support the convening of professional learning communities of educators and school leaders.</w:t>
            </w:r>
          </w:p>
        </w:tc>
      </w:tr>
      <w:tr w:rsidR="009562EB" w:rsidRPr="00284C3B" w14:paraId="36F558D7" w14:textId="77777777" w:rsidTr="003F3975">
        <w:trPr>
          <w:cantSplit/>
        </w:trPr>
        <w:tc>
          <w:tcPr>
            <w:tcW w:w="3325" w:type="dxa"/>
            <w:tcBorders>
              <w:bottom w:val="single" w:sz="4" w:space="0" w:color="auto"/>
            </w:tcBorders>
          </w:tcPr>
          <w:p w14:paraId="2200265B" w14:textId="50D22DF6" w:rsidR="009562EB" w:rsidRPr="00284C3B" w:rsidRDefault="009562EB" w:rsidP="009562EB">
            <w:pPr>
              <w:spacing w:before="80" w:after="80"/>
              <w:rPr>
                <w:rFonts w:cs="Arial"/>
                <w:szCs w:val="24"/>
              </w:rPr>
            </w:pPr>
            <w:r w:rsidRPr="00284C3B">
              <w:rPr>
                <w:rFonts w:cs="Arial"/>
                <w:szCs w:val="24"/>
              </w:rPr>
              <w:t xml:space="preserve">Thoroughly and convincingly describes </w:t>
            </w:r>
            <w:r>
              <w:rPr>
                <w:rFonts w:cs="Arial"/>
                <w:color w:val="000000"/>
              </w:rPr>
              <w:t>how the applicant will provide ongoing training and coaching to educators and school leaders.</w:t>
            </w:r>
          </w:p>
        </w:tc>
        <w:tc>
          <w:tcPr>
            <w:tcW w:w="3150" w:type="dxa"/>
            <w:tcBorders>
              <w:bottom w:val="single" w:sz="4" w:space="0" w:color="auto"/>
            </w:tcBorders>
          </w:tcPr>
          <w:p w14:paraId="7ACC2FEC" w14:textId="0F44E1AC" w:rsidR="009562EB" w:rsidRPr="00284C3B" w:rsidRDefault="009562EB" w:rsidP="009562EB">
            <w:pPr>
              <w:spacing w:before="80" w:after="80"/>
              <w:rPr>
                <w:rFonts w:cs="Arial"/>
                <w:szCs w:val="24"/>
              </w:rPr>
            </w:pPr>
            <w:r w:rsidRPr="00284C3B">
              <w:rPr>
                <w:rFonts w:cs="Arial"/>
                <w:szCs w:val="24"/>
              </w:rPr>
              <w:t xml:space="preserve">Clearly describes </w:t>
            </w:r>
            <w:r>
              <w:rPr>
                <w:rFonts w:cs="Arial"/>
                <w:color w:val="000000"/>
              </w:rPr>
              <w:t>how the applicant will provide ongoing training and coaching to educators and school leaders.</w:t>
            </w:r>
          </w:p>
        </w:tc>
        <w:tc>
          <w:tcPr>
            <w:tcW w:w="3330" w:type="dxa"/>
            <w:tcBorders>
              <w:bottom w:val="single" w:sz="4" w:space="0" w:color="auto"/>
            </w:tcBorders>
          </w:tcPr>
          <w:p w14:paraId="065759CA" w14:textId="65AC3D85" w:rsidR="009562EB" w:rsidRPr="00284C3B" w:rsidRDefault="009562EB" w:rsidP="009562EB">
            <w:pPr>
              <w:spacing w:before="80" w:after="80"/>
              <w:rPr>
                <w:rFonts w:cs="Arial"/>
                <w:szCs w:val="24"/>
              </w:rPr>
            </w:pPr>
            <w:r w:rsidRPr="00284C3B">
              <w:rPr>
                <w:rFonts w:cs="Arial"/>
                <w:szCs w:val="24"/>
              </w:rPr>
              <w:t xml:space="preserve">Adequately describes </w:t>
            </w:r>
            <w:r>
              <w:rPr>
                <w:rFonts w:cs="Arial"/>
                <w:color w:val="000000"/>
              </w:rPr>
              <w:t>how the applicant will provide ongoing training and coaching to educators and school leaders.</w:t>
            </w:r>
          </w:p>
        </w:tc>
        <w:tc>
          <w:tcPr>
            <w:tcW w:w="3510" w:type="dxa"/>
            <w:tcBorders>
              <w:bottom w:val="single" w:sz="4" w:space="0" w:color="auto"/>
            </w:tcBorders>
          </w:tcPr>
          <w:p w14:paraId="601C40F8" w14:textId="548016BC" w:rsidR="009562EB" w:rsidRPr="00284C3B" w:rsidRDefault="009562EB" w:rsidP="009562EB">
            <w:pPr>
              <w:spacing w:before="80" w:after="80"/>
              <w:rPr>
                <w:rFonts w:cs="Arial"/>
                <w:szCs w:val="24"/>
              </w:rPr>
            </w:pPr>
            <w:r w:rsidRPr="00284C3B">
              <w:rPr>
                <w:rFonts w:cs="Arial"/>
                <w:szCs w:val="24"/>
              </w:rPr>
              <w:t xml:space="preserve">Minimally describes </w:t>
            </w:r>
            <w:r>
              <w:rPr>
                <w:rFonts w:cs="Arial"/>
                <w:color w:val="000000"/>
              </w:rPr>
              <w:t>how the applicant will provide ongoing training and coaching to educators and school leaders.</w:t>
            </w:r>
          </w:p>
        </w:tc>
      </w:tr>
      <w:tr w:rsidR="00836638" w:rsidRPr="00284C3B" w14:paraId="04B28790" w14:textId="77777777" w:rsidTr="003F3975">
        <w:trPr>
          <w:cantSplit/>
        </w:trPr>
        <w:tc>
          <w:tcPr>
            <w:tcW w:w="3325" w:type="dxa"/>
          </w:tcPr>
          <w:p w14:paraId="3AF9B5EC" w14:textId="6638DB85" w:rsidR="00836638" w:rsidRPr="00284C3B" w:rsidRDefault="00836638" w:rsidP="00025F31">
            <w:pPr>
              <w:spacing w:before="80" w:after="80"/>
              <w:rPr>
                <w:rFonts w:cs="Arial"/>
                <w:szCs w:val="24"/>
              </w:rPr>
            </w:pPr>
            <w:r w:rsidRPr="00284C3B">
              <w:rPr>
                <w:rFonts w:cs="Arial"/>
                <w:szCs w:val="24"/>
              </w:rPr>
              <w:lastRenderedPageBreak/>
              <w:t xml:space="preserve">Thoroughly and convincingly describes </w:t>
            </w:r>
            <w:r>
              <w:rPr>
                <w:rFonts w:cs="Arial"/>
                <w:color w:val="000000"/>
              </w:rPr>
              <w:t>how the proposed professional learning will support implementation of SEL; trauma screening; trauma-informed practices; and culturally relevant, affirming, and sustaining practices in both distal and proximal settings.</w:t>
            </w:r>
          </w:p>
        </w:tc>
        <w:tc>
          <w:tcPr>
            <w:tcW w:w="3150" w:type="dxa"/>
          </w:tcPr>
          <w:p w14:paraId="18C4F01C" w14:textId="753DA85B" w:rsidR="00836638" w:rsidRPr="00284C3B" w:rsidRDefault="00836638" w:rsidP="00025F31">
            <w:pPr>
              <w:spacing w:before="80" w:after="80"/>
              <w:rPr>
                <w:rFonts w:cs="Arial"/>
                <w:szCs w:val="24"/>
              </w:rPr>
            </w:pPr>
            <w:r w:rsidRPr="00284C3B">
              <w:rPr>
                <w:rFonts w:cs="Arial"/>
                <w:szCs w:val="24"/>
              </w:rPr>
              <w:t xml:space="preserve">Clearly describes </w:t>
            </w:r>
            <w:r>
              <w:rPr>
                <w:rFonts w:cs="Arial"/>
                <w:color w:val="000000"/>
              </w:rPr>
              <w:t>how the proposed professional learning will support implementation of SEL; trauma screening; trauma-informed practices; and culturally relevant, affirming, and sustaining practices in both distal and proximal settings.</w:t>
            </w:r>
          </w:p>
        </w:tc>
        <w:tc>
          <w:tcPr>
            <w:tcW w:w="3330" w:type="dxa"/>
          </w:tcPr>
          <w:p w14:paraId="563C1FB0" w14:textId="5506F272" w:rsidR="00836638" w:rsidRPr="00284C3B" w:rsidRDefault="00836638" w:rsidP="00025F31">
            <w:pPr>
              <w:spacing w:before="80" w:after="80"/>
              <w:rPr>
                <w:rFonts w:cs="Arial"/>
                <w:szCs w:val="24"/>
              </w:rPr>
            </w:pPr>
            <w:r w:rsidRPr="00284C3B">
              <w:rPr>
                <w:rFonts w:cs="Arial"/>
                <w:szCs w:val="24"/>
              </w:rPr>
              <w:t xml:space="preserve">Adequately describes </w:t>
            </w:r>
            <w:r>
              <w:rPr>
                <w:rFonts w:cs="Arial"/>
                <w:color w:val="000000"/>
              </w:rPr>
              <w:t>how the proposed professional learning will support implementation of SEL; trauma screening; trauma-informed practices; and culturally relevant, affirming, and sustaining practices in both distal and proximal settings. </w:t>
            </w:r>
          </w:p>
        </w:tc>
        <w:tc>
          <w:tcPr>
            <w:tcW w:w="3510" w:type="dxa"/>
          </w:tcPr>
          <w:p w14:paraId="5B9881A5" w14:textId="3B02792F" w:rsidR="00836638" w:rsidRPr="00284C3B" w:rsidRDefault="00836638" w:rsidP="00025F31">
            <w:pPr>
              <w:spacing w:before="80" w:after="80"/>
              <w:rPr>
                <w:rFonts w:cs="Arial"/>
                <w:szCs w:val="24"/>
              </w:rPr>
            </w:pPr>
            <w:r w:rsidRPr="00284C3B">
              <w:rPr>
                <w:rFonts w:cs="Arial"/>
                <w:szCs w:val="24"/>
              </w:rPr>
              <w:t xml:space="preserve">Minimally </w:t>
            </w:r>
            <w:r w:rsidR="00AB09F6">
              <w:rPr>
                <w:rFonts w:cs="Arial"/>
                <w:szCs w:val="24"/>
              </w:rPr>
              <w:t xml:space="preserve">describes </w:t>
            </w:r>
            <w:r>
              <w:rPr>
                <w:rFonts w:cs="Arial"/>
                <w:color w:val="000000"/>
              </w:rPr>
              <w:t>how the proposed professional learning will support implementation of SEL; trauma screening; trauma-informed practices; and culturally relevant, affirming, and sustaining practices in both distal and proximal settings.</w:t>
            </w:r>
          </w:p>
        </w:tc>
      </w:tr>
      <w:tr w:rsidR="00836638" w:rsidRPr="00284C3B" w14:paraId="77D0F6DB" w14:textId="77777777" w:rsidTr="003F3975">
        <w:trPr>
          <w:cantSplit/>
        </w:trPr>
        <w:tc>
          <w:tcPr>
            <w:tcW w:w="3325" w:type="dxa"/>
          </w:tcPr>
          <w:p w14:paraId="2AC0B1B8" w14:textId="503F13EB" w:rsidR="00836638" w:rsidRPr="00284C3B" w:rsidRDefault="00836638" w:rsidP="003F3975">
            <w:pPr>
              <w:spacing w:before="80"/>
              <w:rPr>
                <w:rFonts w:cs="Arial"/>
                <w:szCs w:val="24"/>
              </w:rPr>
            </w:pPr>
            <w:r w:rsidRPr="00284C3B">
              <w:rPr>
                <w:rFonts w:cs="Arial"/>
                <w:szCs w:val="24"/>
              </w:rPr>
              <w:t xml:space="preserve">Thoroughly and convincingly describes </w:t>
            </w:r>
            <w:r>
              <w:rPr>
                <w:rFonts w:cs="Arial"/>
                <w:color w:val="000000"/>
              </w:rPr>
              <w:t>how the applicant will leverage current research and work related to how educators and school leaders can best address the social-emotional needs of pupils, and consult with experts in the field on matters related to trauma screening and trauma-informed practices.</w:t>
            </w:r>
          </w:p>
        </w:tc>
        <w:tc>
          <w:tcPr>
            <w:tcW w:w="3150" w:type="dxa"/>
          </w:tcPr>
          <w:p w14:paraId="3D6EBABB" w14:textId="5C702EDE" w:rsidR="00836638" w:rsidRPr="00284C3B" w:rsidRDefault="00836638" w:rsidP="00836638">
            <w:pPr>
              <w:spacing w:before="80" w:after="80"/>
              <w:rPr>
                <w:rFonts w:cs="Arial"/>
                <w:szCs w:val="24"/>
              </w:rPr>
            </w:pPr>
            <w:r w:rsidRPr="00284C3B">
              <w:rPr>
                <w:rFonts w:cs="Arial"/>
                <w:szCs w:val="24"/>
              </w:rPr>
              <w:t xml:space="preserve">Clearly describes </w:t>
            </w:r>
            <w:r>
              <w:rPr>
                <w:rFonts w:cs="Arial"/>
                <w:color w:val="000000"/>
              </w:rPr>
              <w:t>how the applicant will leverage current research and work related to how educators and school leaders can best address the social-emotional needs of pupils, and consult with experts in the field on matters related to trauma screening and trauma-informed practices.</w:t>
            </w:r>
          </w:p>
        </w:tc>
        <w:tc>
          <w:tcPr>
            <w:tcW w:w="3330" w:type="dxa"/>
          </w:tcPr>
          <w:p w14:paraId="5BFE7E6F" w14:textId="5DA4A543" w:rsidR="00836638" w:rsidRPr="00284C3B" w:rsidRDefault="00836638" w:rsidP="00836638">
            <w:pPr>
              <w:spacing w:before="80" w:after="80"/>
              <w:rPr>
                <w:rFonts w:cs="Arial"/>
                <w:szCs w:val="24"/>
              </w:rPr>
            </w:pPr>
            <w:r w:rsidRPr="00284C3B">
              <w:rPr>
                <w:rFonts w:cs="Arial"/>
                <w:szCs w:val="24"/>
              </w:rPr>
              <w:t xml:space="preserve">Adequately describes </w:t>
            </w:r>
            <w:r>
              <w:rPr>
                <w:rFonts w:cs="Arial"/>
                <w:color w:val="000000"/>
              </w:rPr>
              <w:t>how the applicant will leverage current research and work related to how educators and school leaders can best address the social-emotional needs of pupils, and consult with experts in the field on matters related to trauma screening and trauma-informed practices. </w:t>
            </w:r>
          </w:p>
        </w:tc>
        <w:tc>
          <w:tcPr>
            <w:tcW w:w="3510" w:type="dxa"/>
          </w:tcPr>
          <w:p w14:paraId="4D4554BF" w14:textId="09781EAF" w:rsidR="00836638" w:rsidRPr="00284C3B" w:rsidRDefault="00836638" w:rsidP="00836638">
            <w:pPr>
              <w:spacing w:before="80" w:after="80"/>
              <w:rPr>
                <w:rFonts w:cs="Arial"/>
                <w:szCs w:val="24"/>
              </w:rPr>
            </w:pPr>
            <w:r w:rsidRPr="00284C3B">
              <w:rPr>
                <w:rFonts w:cs="Arial"/>
                <w:szCs w:val="24"/>
              </w:rPr>
              <w:t xml:space="preserve">Minimally describes </w:t>
            </w:r>
            <w:r>
              <w:rPr>
                <w:rFonts w:cs="Arial"/>
                <w:color w:val="000000"/>
              </w:rPr>
              <w:t>how the applicant will leverage current research and work related to how educators and school leaders can best address the social-emotional needs of pupils, and consult with experts in the field on matters related to trauma screening and trauma-informed practices. </w:t>
            </w:r>
          </w:p>
        </w:tc>
      </w:tr>
      <w:tr w:rsidR="00836638" w:rsidRPr="00284C3B" w14:paraId="43A1F76D" w14:textId="77777777" w:rsidTr="003F3975">
        <w:trPr>
          <w:cantSplit/>
        </w:trPr>
        <w:tc>
          <w:tcPr>
            <w:tcW w:w="3325" w:type="dxa"/>
            <w:shd w:val="clear" w:color="auto" w:fill="FFFFFF" w:themeFill="background1"/>
          </w:tcPr>
          <w:p w14:paraId="50764023" w14:textId="36204B70" w:rsidR="00836638" w:rsidRPr="00284C3B" w:rsidRDefault="00836638" w:rsidP="00AA3F9C">
            <w:pPr>
              <w:spacing w:before="80" w:after="80"/>
              <w:rPr>
                <w:rFonts w:cs="Arial"/>
                <w:b/>
                <w:szCs w:val="24"/>
              </w:rPr>
            </w:pPr>
            <w:r w:rsidRPr="00284C3B">
              <w:rPr>
                <w:rFonts w:cs="Arial"/>
                <w:szCs w:val="24"/>
              </w:rPr>
              <w:lastRenderedPageBreak/>
              <w:t>Provides a timeline (as an attachment) that</w:t>
            </w:r>
            <w:r w:rsidRPr="00284C3B">
              <w:rPr>
                <w:rFonts w:cs="Arial"/>
                <w:color w:val="000000"/>
                <w:szCs w:val="24"/>
              </w:rPr>
              <w:t xml:space="preserve"> thoroughly and convincingly</w:t>
            </w:r>
            <w:r w:rsidRPr="00284C3B">
              <w:rPr>
                <w:rFonts w:cs="Arial"/>
                <w:szCs w:val="24"/>
              </w:rPr>
              <w:t xml:space="preserve"> illustrates the sequence of events and activities of the project that includes the person or organization responsible for each activity, the expected goal of the activity, and how the effectiveness of the activity will be measured.  </w:t>
            </w:r>
          </w:p>
        </w:tc>
        <w:tc>
          <w:tcPr>
            <w:tcW w:w="3150" w:type="dxa"/>
            <w:shd w:val="clear" w:color="auto" w:fill="FFFFFF" w:themeFill="background1"/>
          </w:tcPr>
          <w:p w14:paraId="638764C4" w14:textId="64BAA4A7" w:rsidR="00FF1D98" w:rsidRPr="003F3975" w:rsidRDefault="00836638" w:rsidP="00AA3F9C">
            <w:pPr>
              <w:spacing w:before="80" w:after="80"/>
              <w:rPr>
                <w:rFonts w:cs="Arial"/>
                <w:szCs w:val="24"/>
              </w:rPr>
            </w:pPr>
            <w:r w:rsidRPr="00284C3B">
              <w:rPr>
                <w:rFonts w:cs="Arial"/>
                <w:szCs w:val="24"/>
              </w:rPr>
              <w:t>Provides a timeline (as an attachment) that</w:t>
            </w:r>
            <w:r w:rsidRPr="00284C3B">
              <w:rPr>
                <w:rFonts w:cs="Arial"/>
                <w:color w:val="000000"/>
                <w:szCs w:val="24"/>
              </w:rPr>
              <w:t xml:space="preserve"> provides a strong description of</w:t>
            </w:r>
            <w:r w:rsidRPr="00284C3B">
              <w:rPr>
                <w:rFonts w:cs="Arial"/>
                <w:szCs w:val="24"/>
              </w:rPr>
              <w:t xml:space="preserve"> the sequence of events and activities of the project that includes the person or organization responsible for each activity, the expected goal of the activity, and how the effectiveness of the activity will be measured.  </w:t>
            </w:r>
          </w:p>
        </w:tc>
        <w:tc>
          <w:tcPr>
            <w:tcW w:w="3330" w:type="dxa"/>
            <w:shd w:val="clear" w:color="auto" w:fill="FFFFFF" w:themeFill="background1"/>
          </w:tcPr>
          <w:p w14:paraId="5C319C2D" w14:textId="2803BA33" w:rsidR="00836638" w:rsidRPr="00284C3B" w:rsidRDefault="00836638" w:rsidP="00AA3F9C">
            <w:pPr>
              <w:spacing w:before="80" w:after="80"/>
              <w:rPr>
                <w:rFonts w:cs="Arial"/>
                <w:b/>
                <w:szCs w:val="24"/>
              </w:rPr>
            </w:pPr>
            <w:r w:rsidRPr="00284C3B">
              <w:rPr>
                <w:rFonts w:cs="Arial"/>
                <w:szCs w:val="24"/>
              </w:rPr>
              <w:t>Provides a timeline (as an attachment) that</w:t>
            </w:r>
            <w:r w:rsidRPr="00284C3B">
              <w:rPr>
                <w:rFonts w:cs="Arial"/>
                <w:color w:val="000000"/>
                <w:szCs w:val="24"/>
              </w:rPr>
              <w:t xml:space="preserve"> adequately </w:t>
            </w:r>
            <w:r w:rsidRPr="00284C3B">
              <w:rPr>
                <w:rFonts w:cs="Arial"/>
                <w:szCs w:val="24"/>
              </w:rPr>
              <w:t xml:space="preserve">describes the sequence of events and activities of the project that includes the person or organization responsible for each activity, the expected goal of the activity, and how the effectiveness of the activity will be measured.  </w:t>
            </w:r>
          </w:p>
        </w:tc>
        <w:tc>
          <w:tcPr>
            <w:tcW w:w="3510" w:type="dxa"/>
            <w:shd w:val="clear" w:color="auto" w:fill="FFFFFF" w:themeFill="background1"/>
          </w:tcPr>
          <w:p w14:paraId="7641568B" w14:textId="320AEDC0" w:rsidR="00836638" w:rsidRPr="00284C3B" w:rsidRDefault="00836638" w:rsidP="00AA3F9C">
            <w:pPr>
              <w:spacing w:before="80" w:after="80"/>
              <w:rPr>
                <w:rFonts w:cs="Arial"/>
                <w:b/>
                <w:szCs w:val="24"/>
              </w:rPr>
            </w:pPr>
            <w:r w:rsidRPr="00284C3B">
              <w:rPr>
                <w:rFonts w:cs="Arial"/>
                <w:szCs w:val="24"/>
              </w:rPr>
              <w:t>Provides a timeline (as an attachment) that</w:t>
            </w:r>
            <w:r w:rsidRPr="00284C3B">
              <w:rPr>
                <w:rFonts w:cs="Arial"/>
                <w:color w:val="000000"/>
                <w:szCs w:val="24"/>
              </w:rPr>
              <w:t xml:space="preserve"> minimally describes </w:t>
            </w:r>
            <w:r w:rsidRPr="00284C3B">
              <w:rPr>
                <w:rFonts w:cs="Arial"/>
                <w:szCs w:val="24"/>
              </w:rPr>
              <w:t xml:space="preserve">the sequence of events and activities of the project that includes the person or organization responsible for each activity, the expected goal of the activity, and how the effectiveness of the activity will be measured.  </w:t>
            </w:r>
          </w:p>
        </w:tc>
      </w:tr>
    </w:tbl>
    <w:p w14:paraId="302C7A9C" w14:textId="77777777" w:rsidR="00636385" w:rsidRPr="00284C3B" w:rsidRDefault="00636385" w:rsidP="00636385">
      <w:pPr>
        <w:pStyle w:val="Heading3"/>
        <w:numPr>
          <w:ilvl w:val="0"/>
          <w:numId w:val="0"/>
        </w:numPr>
        <w:spacing w:before="360"/>
        <w:rPr>
          <w:rFonts w:cs="Arial"/>
          <w:sz w:val="24"/>
        </w:rPr>
      </w:pPr>
      <w:bookmarkStart w:id="64" w:name="_Toc86997818"/>
      <w:r w:rsidRPr="00284C3B">
        <w:rPr>
          <w:rFonts w:cs="Arial"/>
          <w:sz w:val="24"/>
        </w:rPr>
        <w:lastRenderedPageBreak/>
        <w:t>Project Participants</w:t>
      </w:r>
      <w:bookmarkEnd w:id="64"/>
    </w:p>
    <w:tbl>
      <w:tblPr>
        <w:tblStyle w:val="GridTable41"/>
        <w:tblW w:w="12950" w:type="dxa"/>
        <w:tblLayout w:type="fixed"/>
        <w:tblLook w:val="0620" w:firstRow="1" w:lastRow="0" w:firstColumn="0" w:lastColumn="0" w:noHBand="1" w:noVBand="1"/>
        <w:tblDescription w:val="Point Values for Project Participants"/>
      </w:tblPr>
      <w:tblGrid>
        <w:gridCol w:w="3237"/>
        <w:gridCol w:w="3238"/>
        <w:gridCol w:w="3237"/>
        <w:gridCol w:w="3238"/>
      </w:tblGrid>
      <w:tr w:rsidR="00636385" w:rsidRPr="00284C3B" w14:paraId="2B802C51" w14:textId="77777777" w:rsidTr="003F3975">
        <w:trPr>
          <w:cnfStyle w:val="100000000000" w:firstRow="1" w:lastRow="0" w:firstColumn="0" w:lastColumn="0" w:oddVBand="0" w:evenVBand="0" w:oddHBand="0" w:evenHBand="0" w:firstRowFirstColumn="0" w:firstRowLastColumn="0" w:lastRowFirstColumn="0" w:lastRowLastColumn="0"/>
          <w:cantSplit/>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8A6A" w14:textId="77777777" w:rsidR="00636385" w:rsidRPr="00000038" w:rsidRDefault="00636385" w:rsidP="00BD2A2E">
            <w:pPr>
              <w:spacing w:before="80" w:after="80"/>
              <w:jc w:val="center"/>
              <w:rPr>
                <w:rFonts w:cs="Arial"/>
                <w:b w:val="0"/>
                <w:color w:val="auto"/>
                <w:szCs w:val="24"/>
              </w:rPr>
            </w:pPr>
            <w:r w:rsidRPr="00000038">
              <w:rPr>
                <w:rFonts w:cs="Arial"/>
                <w:color w:val="auto"/>
                <w:szCs w:val="24"/>
              </w:rPr>
              <w:t>Outstanding (4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2D2E3" w14:textId="77777777" w:rsidR="00636385" w:rsidRPr="00000038" w:rsidRDefault="00636385" w:rsidP="00BD2A2E">
            <w:pPr>
              <w:spacing w:before="80" w:after="80"/>
              <w:jc w:val="center"/>
              <w:rPr>
                <w:rFonts w:cs="Arial"/>
                <w:b w:val="0"/>
                <w:color w:val="auto"/>
                <w:szCs w:val="24"/>
              </w:rPr>
            </w:pPr>
            <w:r w:rsidRPr="00000038">
              <w:rPr>
                <w:rFonts w:cs="Arial"/>
                <w:color w:val="auto"/>
                <w:szCs w:val="24"/>
              </w:rPr>
              <w:t>Strong (3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101CA" w14:textId="77777777" w:rsidR="00636385" w:rsidRPr="00000038" w:rsidRDefault="00636385" w:rsidP="00BD2A2E">
            <w:pPr>
              <w:spacing w:before="80" w:after="80"/>
              <w:jc w:val="center"/>
              <w:rPr>
                <w:rFonts w:cs="Arial"/>
                <w:b w:val="0"/>
                <w:color w:val="auto"/>
                <w:szCs w:val="24"/>
              </w:rPr>
            </w:pPr>
            <w:r w:rsidRPr="00000038">
              <w:rPr>
                <w:rFonts w:cs="Arial"/>
                <w:color w:val="auto"/>
                <w:szCs w:val="24"/>
              </w:rPr>
              <w:t>Adequate (2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E8C7C" w14:textId="77777777" w:rsidR="00636385" w:rsidRPr="00000038" w:rsidRDefault="00636385" w:rsidP="00BD2A2E">
            <w:pPr>
              <w:spacing w:before="80" w:after="80"/>
              <w:jc w:val="center"/>
              <w:rPr>
                <w:rFonts w:cs="Arial"/>
                <w:b w:val="0"/>
                <w:color w:val="auto"/>
                <w:szCs w:val="24"/>
              </w:rPr>
            </w:pPr>
            <w:r w:rsidRPr="00000038">
              <w:rPr>
                <w:rFonts w:cs="Arial"/>
                <w:color w:val="auto"/>
                <w:szCs w:val="24"/>
              </w:rPr>
              <w:t>Minimal (1–0 point)</w:t>
            </w:r>
          </w:p>
        </w:tc>
      </w:tr>
      <w:tr w:rsidR="00B007B9" w:rsidRPr="00284C3B" w14:paraId="6EB5C538" w14:textId="77777777" w:rsidTr="003F3975">
        <w:trPr>
          <w:cantSplit/>
        </w:trPr>
        <w:tc>
          <w:tcPr>
            <w:tcW w:w="3237" w:type="dxa"/>
            <w:tcBorders>
              <w:top w:val="single" w:sz="4" w:space="0" w:color="auto"/>
            </w:tcBorders>
          </w:tcPr>
          <w:p w14:paraId="6F30ECE6" w14:textId="509EF358" w:rsidR="00B007B9" w:rsidRPr="00284C3B" w:rsidRDefault="00B007B9" w:rsidP="00B007B9">
            <w:pPr>
              <w:spacing w:before="80" w:after="120"/>
              <w:rPr>
                <w:rFonts w:cs="Arial"/>
                <w:szCs w:val="24"/>
              </w:rPr>
            </w:pPr>
            <w:r w:rsidRPr="00284C3B">
              <w:rPr>
                <w:rFonts w:cs="Arial"/>
                <w:szCs w:val="24"/>
              </w:rPr>
              <w:t xml:space="preserve">Thoroughly and convincingly describes </w:t>
            </w:r>
            <w:r>
              <w:rPr>
                <w:rFonts w:cs="Arial"/>
                <w:color w:val="000000"/>
              </w:rPr>
              <w:t>target participants, including the type and number of educators and school leaders who will be served and their locations</w:t>
            </w:r>
            <w:r w:rsidR="00AA3F9C">
              <w:rPr>
                <w:rFonts w:cs="Arial"/>
                <w:color w:val="000000"/>
              </w:rPr>
              <w:t xml:space="preserve"> and</w:t>
            </w:r>
            <w:r>
              <w:rPr>
                <w:rFonts w:cs="Arial"/>
                <w:color w:val="000000"/>
              </w:rPr>
              <w:t xml:space="preserve"> </w:t>
            </w:r>
            <w:r w:rsidR="00AA3F9C">
              <w:rPr>
                <w:rFonts w:cs="Arial"/>
                <w:color w:val="000000"/>
                <w:shd w:val="clear" w:color="auto" w:fill="FFFFFF"/>
              </w:rPr>
              <w:t>d</w:t>
            </w:r>
            <w:r>
              <w:rPr>
                <w:rFonts w:cs="Arial"/>
                <w:color w:val="000000"/>
                <w:shd w:val="clear" w:color="auto" w:fill="FFFFFF"/>
              </w:rPr>
              <w:t>escribe</w:t>
            </w:r>
            <w:r w:rsidR="00AA3F9C">
              <w:rPr>
                <w:rFonts w:cs="Arial"/>
                <w:color w:val="000000"/>
                <w:shd w:val="clear" w:color="auto" w:fill="FFFFFF"/>
              </w:rPr>
              <w:t>s</w:t>
            </w:r>
            <w:r>
              <w:rPr>
                <w:rFonts w:cs="Arial"/>
                <w:color w:val="000000"/>
                <w:shd w:val="clear" w:color="auto" w:fill="FFFFFF"/>
              </w:rPr>
              <w:t xml:space="preserve"> how the proposed activities will ensure the professional learning to urban, suburban, and rural settings throughout the state and differentiated to meet the unique local needs.</w:t>
            </w:r>
          </w:p>
        </w:tc>
        <w:tc>
          <w:tcPr>
            <w:tcW w:w="3238" w:type="dxa"/>
            <w:tcBorders>
              <w:top w:val="single" w:sz="4" w:space="0" w:color="auto"/>
            </w:tcBorders>
          </w:tcPr>
          <w:p w14:paraId="42FD2CB7" w14:textId="6FB8ADCF" w:rsidR="00B007B9" w:rsidRPr="00284C3B" w:rsidRDefault="00B007B9" w:rsidP="00B007B9">
            <w:pPr>
              <w:spacing w:before="80" w:after="80"/>
              <w:rPr>
                <w:rFonts w:cs="Arial"/>
                <w:szCs w:val="24"/>
              </w:rPr>
            </w:pPr>
            <w:r w:rsidRPr="00284C3B">
              <w:rPr>
                <w:rFonts w:cs="Arial"/>
                <w:szCs w:val="24"/>
              </w:rPr>
              <w:t xml:space="preserve">Clearly describes </w:t>
            </w:r>
            <w:r>
              <w:rPr>
                <w:rFonts w:cs="Arial"/>
                <w:color w:val="000000"/>
              </w:rPr>
              <w:t>target participants, including the type and number of educators and school leaders who will be served and their locations</w:t>
            </w:r>
            <w:r w:rsidR="00AA3F9C">
              <w:rPr>
                <w:rFonts w:cs="Arial"/>
                <w:color w:val="000000"/>
              </w:rPr>
              <w:t xml:space="preserve"> and</w:t>
            </w:r>
            <w:r>
              <w:rPr>
                <w:rFonts w:cs="Arial"/>
                <w:color w:val="000000"/>
              </w:rPr>
              <w:t xml:space="preserve"> </w:t>
            </w:r>
            <w:r w:rsidR="00AA3F9C">
              <w:rPr>
                <w:rFonts w:cs="Arial"/>
                <w:color w:val="000000"/>
                <w:shd w:val="clear" w:color="auto" w:fill="FFFFFF"/>
              </w:rPr>
              <w:t>d</w:t>
            </w:r>
            <w:r>
              <w:rPr>
                <w:rFonts w:cs="Arial"/>
                <w:color w:val="000000"/>
                <w:shd w:val="clear" w:color="auto" w:fill="FFFFFF"/>
              </w:rPr>
              <w:t>escribe</w:t>
            </w:r>
            <w:r w:rsidR="00AA3F9C">
              <w:rPr>
                <w:rFonts w:cs="Arial"/>
                <w:color w:val="000000"/>
                <w:shd w:val="clear" w:color="auto" w:fill="FFFFFF"/>
              </w:rPr>
              <w:t>s</w:t>
            </w:r>
            <w:r>
              <w:rPr>
                <w:rFonts w:cs="Arial"/>
                <w:color w:val="000000"/>
                <w:shd w:val="clear" w:color="auto" w:fill="FFFFFF"/>
              </w:rPr>
              <w:t xml:space="preserve"> how the proposed activities will ensure the professional learning to urban, suburban, and rural settings throughout the state and differentiated to meet the unique local needs.</w:t>
            </w:r>
          </w:p>
        </w:tc>
        <w:tc>
          <w:tcPr>
            <w:tcW w:w="3237" w:type="dxa"/>
            <w:tcBorders>
              <w:top w:val="single" w:sz="4" w:space="0" w:color="auto"/>
            </w:tcBorders>
          </w:tcPr>
          <w:p w14:paraId="05A93762" w14:textId="43012672" w:rsidR="00B007B9" w:rsidRPr="00284C3B" w:rsidRDefault="00B007B9" w:rsidP="00B007B9">
            <w:pPr>
              <w:spacing w:before="80" w:after="80"/>
              <w:rPr>
                <w:rFonts w:cs="Arial"/>
                <w:szCs w:val="24"/>
              </w:rPr>
            </w:pPr>
            <w:r w:rsidRPr="00284C3B">
              <w:rPr>
                <w:rFonts w:cs="Arial"/>
                <w:szCs w:val="24"/>
              </w:rPr>
              <w:t xml:space="preserve">Adequately describes </w:t>
            </w:r>
            <w:r>
              <w:rPr>
                <w:rFonts w:cs="Arial"/>
                <w:color w:val="000000"/>
              </w:rPr>
              <w:t>target participants, including the type and number of educators and school leaders who will be served and their locations</w:t>
            </w:r>
            <w:r w:rsidR="00AA3F9C">
              <w:rPr>
                <w:rFonts w:cs="Arial"/>
                <w:color w:val="000000"/>
              </w:rPr>
              <w:t xml:space="preserve"> and</w:t>
            </w:r>
            <w:r>
              <w:rPr>
                <w:rFonts w:cs="Arial"/>
                <w:color w:val="000000"/>
              </w:rPr>
              <w:t xml:space="preserve"> </w:t>
            </w:r>
            <w:r w:rsidR="00AA3F9C">
              <w:rPr>
                <w:rFonts w:cs="Arial"/>
                <w:color w:val="000000"/>
                <w:shd w:val="clear" w:color="auto" w:fill="FFFFFF"/>
              </w:rPr>
              <w:t>d</w:t>
            </w:r>
            <w:r>
              <w:rPr>
                <w:rFonts w:cs="Arial"/>
                <w:color w:val="000000"/>
                <w:shd w:val="clear" w:color="auto" w:fill="FFFFFF"/>
              </w:rPr>
              <w:t>escribe</w:t>
            </w:r>
            <w:r w:rsidR="00AA3F9C">
              <w:rPr>
                <w:rFonts w:cs="Arial"/>
                <w:color w:val="000000"/>
                <w:shd w:val="clear" w:color="auto" w:fill="FFFFFF"/>
              </w:rPr>
              <w:t>s</w:t>
            </w:r>
            <w:r>
              <w:rPr>
                <w:rFonts w:cs="Arial"/>
                <w:color w:val="000000"/>
                <w:shd w:val="clear" w:color="auto" w:fill="FFFFFF"/>
              </w:rPr>
              <w:t xml:space="preserve"> how the proposed activities will ensure the professional learning to urban, suburban, and rural settings throughout the state and differentiated to meet the unique local needs.</w:t>
            </w:r>
          </w:p>
        </w:tc>
        <w:tc>
          <w:tcPr>
            <w:tcW w:w="3238" w:type="dxa"/>
            <w:tcBorders>
              <w:top w:val="single" w:sz="4" w:space="0" w:color="auto"/>
            </w:tcBorders>
          </w:tcPr>
          <w:p w14:paraId="47BE6858" w14:textId="4859DDE3" w:rsidR="00B007B9" w:rsidRPr="00284C3B" w:rsidRDefault="00B007B9" w:rsidP="00B007B9">
            <w:pPr>
              <w:spacing w:before="80" w:after="80"/>
              <w:rPr>
                <w:rFonts w:cs="Arial"/>
                <w:szCs w:val="24"/>
              </w:rPr>
            </w:pPr>
            <w:r w:rsidRPr="00284C3B">
              <w:rPr>
                <w:rFonts w:cs="Arial"/>
                <w:szCs w:val="24"/>
              </w:rPr>
              <w:t xml:space="preserve">Minimally describes </w:t>
            </w:r>
            <w:r>
              <w:rPr>
                <w:rFonts w:cs="Arial"/>
                <w:color w:val="000000"/>
              </w:rPr>
              <w:t>target participants, including the type and number of educators and school leaders who will be served and their locations</w:t>
            </w:r>
            <w:r w:rsidR="00AA3F9C">
              <w:rPr>
                <w:rFonts w:cs="Arial"/>
                <w:color w:val="000000"/>
              </w:rPr>
              <w:t xml:space="preserve"> and</w:t>
            </w:r>
            <w:r>
              <w:rPr>
                <w:rFonts w:cs="Arial"/>
                <w:color w:val="000000"/>
              </w:rPr>
              <w:t xml:space="preserve"> </w:t>
            </w:r>
            <w:r w:rsidR="00AA3F9C">
              <w:rPr>
                <w:rFonts w:cs="Arial"/>
                <w:color w:val="000000"/>
                <w:shd w:val="clear" w:color="auto" w:fill="FFFFFF"/>
              </w:rPr>
              <w:t>d</w:t>
            </w:r>
            <w:r>
              <w:rPr>
                <w:rFonts w:cs="Arial"/>
                <w:color w:val="000000"/>
                <w:shd w:val="clear" w:color="auto" w:fill="FFFFFF"/>
              </w:rPr>
              <w:t>escribe</w:t>
            </w:r>
            <w:r w:rsidR="00AA3F9C">
              <w:rPr>
                <w:rFonts w:cs="Arial"/>
                <w:color w:val="000000"/>
                <w:shd w:val="clear" w:color="auto" w:fill="FFFFFF"/>
              </w:rPr>
              <w:t>s</w:t>
            </w:r>
            <w:r>
              <w:rPr>
                <w:rFonts w:cs="Arial"/>
                <w:color w:val="000000"/>
                <w:shd w:val="clear" w:color="auto" w:fill="FFFFFF"/>
              </w:rPr>
              <w:t xml:space="preserve"> how the proposed activities will ensure the professional learning to urban, suburban, and rural settings throughout the state and differentiated to meet the unique local needs.</w:t>
            </w:r>
          </w:p>
        </w:tc>
      </w:tr>
      <w:tr w:rsidR="00636385" w:rsidRPr="00284C3B" w14:paraId="3F78C859" w14:textId="77777777" w:rsidTr="003F3975">
        <w:trPr>
          <w:cantSplit/>
        </w:trPr>
        <w:tc>
          <w:tcPr>
            <w:tcW w:w="3237" w:type="dxa"/>
          </w:tcPr>
          <w:p w14:paraId="723B6140" w14:textId="355C66C8" w:rsidR="00636385" w:rsidRPr="00284C3B" w:rsidRDefault="00636385" w:rsidP="00BD2A2E">
            <w:pPr>
              <w:spacing w:before="80" w:after="120"/>
              <w:rPr>
                <w:rFonts w:cs="Arial"/>
                <w:szCs w:val="24"/>
              </w:rPr>
            </w:pPr>
            <w:r w:rsidRPr="00284C3B">
              <w:rPr>
                <w:rFonts w:cs="Arial"/>
                <w:szCs w:val="24"/>
              </w:rPr>
              <w:t xml:space="preserve">Thoroughly and convincingly describes </w:t>
            </w:r>
            <w:r w:rsidR="002A2220">
              <w:rPr>
                <w:rFonts w:cs="Arial"/>
              </w:rPr>
              <w:t>how the applicant will recruit, select, engage, retain, and replace, if necessary, project participants in multi-year professional learning opportunities.</w:t>
            </w:r>
          </w:p>
        </w:tc>
        <w:tc>
          <w:tcPr>
            <w:tcW w:w="3238" w:type="dxa"/>
          </w:tcPr>
          <w:p w14:paraId="6B0EC76A" w14:textId="0A75282B" w:rsidR="00636385" w:rsidRPr="00284C3B" w:rsidRDefault="00636385" w:rsidP="00BD2A2E">
            <w:pPr>
              <w:spacing w:before="80" w:after="80"/>
              <w:rPr>
                <w:rFonts w:cs="Arial"/>
                <w:szCs w:val="24"/>
              </w:rPr>
            </w:pPr>
            <w:r w:rsidRPr="00284C3B">
              <w:rPr>
                <w:rFonts w:cs="Arial"/>
                <w:szCs w:val="24"/>
              </w:rPr>
              <w:t xml:space="preserve">Clearly describes </w:t>
            </w:r>
            <w:r w:rsidR="002A2220">
              <w:rPr>
                <w:rFonts w:cs="Arial"/>
              </w:rPr>
              <w:t>how the applicant will recruit, select, engage, retain, and replace, if necessary, project participants in multi-year professional learning opportunities.</w:t>
            </w:r>
            <w:r w:rsidRPr="00284C3B">
              <w:rPr>
                <w:rFonts w:cs="Arial"/>
                <w:szCs w:val="24"/>
              </w:rPr>
              <w:t xml:space="preserve"> </w:t>
            </w:r>
          </w:p>
        </w:tc>
        <w:tc>
          <w:tcPr>
            <w:tcW w:w="3237" w:type="dxa"/>
          </w:tcPr>
          <w:p w14:paraId="31050E64" w14:textId="54860F93" w:rsidR="00636385" w:rsidRPr="00284C3B" w:rsidRDefault="00636385" w:rsidP="00BD2A2E">
            <w:pPr>
              <w:spacing w:before="80" w:after="80"/>
              <w:rPr>
                <w:rFonts w:cs="Arial"/>
                <w:szCs w:val="24"/>
              </w:rPr>
            </w:pPr>
            <w:r w:rsidRPr="00284C3B">
              <w:rPr>
                <w:rFonts w:cs="Arial"/>
                <w:szCs w:val="24"/>
              </w:rPr>
              <w:t xml:space="preserve">Adequately describes </w:t>
            </w:r>
            <w:r w:rsidR="002A2220">
              <w:rPr>
                <w:rFonts w:cs="Arial"/>
              </w:rPr>
              <w:t>how the applicant will recruit, select, engage, retain, and replace, if necessary, project participants in multi-year professional learning opportunities.</w:t>
            </w:r>
          </w:p>
        </w:tc>
        <w:tc>
          <w:tcPr>
            <w:tcW w:w="3238" w:type="dxa"/>
          </w:tcPr>
          <w:p w14:paraId="2A05E6ED" w14:textId="36104D6C" w:rsidR="00636385" w:rsidRPr="00284C3B" w:rsidRDefault="00636385" w:rsidP="00BD2A2E">
            <w:pPr>
              <w:spacing w:before="80" w:after="80"/>
              <w:rPr>
                <w:rFonts w:cs="Arial"/>
                <w:szCs w:val="24"/>
              </w:rPr>
            </w:pPr>
            <w:r w:rsidRPr="00284C3B">
              <w:rPr>
                <w:rFonts w:cs="Arial"/>
                <w:szCs w:val="24"/>
              </w:rPr>
              <w:t xml:space="preserve">Minimally describes </w:t>
            </w:r>
            <w:r w:rsidR="002A2220">
              <w:rPr>
                <w:rFonts w:cs="Arial"/>
              </w:rPr>
              <w:t>how the applicant will recruit, select, engage, retain, and replace, if necessary, project participants in multi-year professional learning opportunities.</w:t>
            </w:r>
          </w:p>
        </w:tc>
      </w:tr>
      <w:tr w:rsidR="003F3975" w:rsidRPr="00284C3B" w14:paraId="1CBA5B2E" w14:textId="77777777" w:rsidTr="003F397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230"/>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tcPr>
          <w:p w14:paraId="080DBAF7" w14:textId="77777777" w:rsidR="003F3975" w:rsidRPr="003F3975" w:rsidRDefault="003F3975" w:rsidP="00176707">
            <w:pPr>
              <w:spacing w:before="80" w:after="120"/>
              <w:rPr>
                <w:rFonts w:cs="Arial"/>
                <w:b w:val="0"/>
                <w:szCs w:val="24"/>
              </w:rPr>
            </w:pPr>
            <w:r w:rsidRPr="003F3975">
              <w:rPr>
                <w:rFonts w:cs="Arial"/>
                <w:b w:val="0"/>
                <w:szCs w:val="24"/>
              </w:rPr>
              <w:lastRenderedPageBreak/>
              <w:t xml:space="preserve">Thoroughly and convincingly describes </w:t>
            </w:r>
            <w:r w:rsidRPr="003F3975">
              <w:rPr>
                <w:rFonts w:cs="Arial"/>
                <w:b w:val="0"/>
              </w:rPr>
              <w:t>how the applicant will collaborate with and support the OCDE and BCOE on relevant work and work being conducted in tandem with the implementation of the SUMS initiative. And if applicable, describes how the applicant will work together to implement proposed activities with its consortia of LEAs, IHE, and/or nonprofit educational service provider.</w:t>
            </w:r>
          </w:p>
        </w:tc>
        <w:tc>
          <w:tcPr>
            <w:tcW w:w="3238" w:type="dxa"/>
            <w:shd w:val="clear" w:color="auto" w:fill="auto"/>
          </w:tcPr>
          <w:p w14:paraId="11CA42B1" w14:textId="77777777" w:rsidR="003F3975" w:rsidRPr="00284C3B" w:rsidRDefault="003F3975" w:rsidP="00176707">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r w:rsidRPr="00284C3B">
              <w:rPr>
                <w:rFonts w:cs="Arial"/>
                <w:szCs w:val="24"/>
              </w:rPr>
              <w:t xml:space="preserve">Clearly describes </w:t>
            </w:r>
            <w:r>
              <w:rPr>
                <w:rFonts w:cs="Arial"/>
              </w:rPr>
              <w:t>how the applicant will collaborate with and support the OCDE and BCOE on relevant work and work being conducted in tandem with the implementation of the SUMS initiative. And if applicable, describes how the applicant will work together to implement proposed activities with its consortia of LEAs, IHE, and/or nonprofit educational service provider.</w:t>
            </w:r>
          </w:p>
        </w:tc>
        <w:tc>
          <w:tcPr>
            <w:tcW w:w="3237" w:type="dxa"/>
            <w:shd w:val="clear" w:color="auto" w:fill="auto"/>
          </w:tcPr>
          <w:p w14:paraId="176D4A2C" w14:textId="77777777" w:rsidR="003F3975" w:rsidRPr="00284C3B" w:rsidRDefault="003F3975" w:rsidP="00176707">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r w:rsidRPr="00284C3B">
              <w:rPr>
                <w:rFonts w:cs="Arial"/>
                <w:szCs w:val="24"/>
              </w:rPr>
              <w:t xml:space="preserve">Adequately describes </w:t>
            </w:r>
            <w:r>
              <w:rPr>
                <w:rFonts w:cs="Arial"/>
              </w:rPr>
              <w:t>how the applicant will collaborate with and support the OCDE and BCOE on relevant work and work being conducted in tandem with the implementation of the SUMS initiative. And if applicable, describes how the applicant will work together to implement proposed activities with its consortia of LEAs, IHE, and/or nonprofit educational service provider.</w:t>
            </w:r>
          </w:p>
        </w:tc>
        <w:tc>
          <w:tcPr>
            <w:tcW w:w="3238" w:type="dxa"/>
            <w:shd w:val="clear" w:color="auto" w:fill="auto"/>
          </w:tcPr>
          <w:p w14:paraId="56C34852" w14:textId="77777777" w:rsidR="003F3975" w:rsidRPr="00284C3B" w:rsidRDefault="003F3975" w:rsidP="00176707">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r w:rsidRPr="00284C3B">
              <w:rPr>
                <w:rFonts w:cs="Arial"/>
                <w:szCs w:val="24"/>
              </w:rPr>
              <w:t xml:space="preserve">Minimally describes </w:t>
            </w:r>
            <w:r>
              <w:rPr>
                <w:rFonts w:cs="Arial"/>
              </w:rPr>
              <w:t>how the applicant will collaborate with and support the OCDE and BCOE on relevant work and work being conducted in tandem with the implementation of the SUMS initiative. And if applicable, describes how the applicant will work together to implement proposed activities with its consortia of LEAs, IHE, and/or nonprofit educational service provider.</w:t>
            </w:r>
          </w:p>
        </w:tc>
      </w:tr>
      <w:tr w:rsidR="003F3975" w:rsidRPr="00284C3B" w14:paraId="59E0F0CA" w14:textId="77777777" w:rsidTr="003F397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237" w:type="dxa"/>
          </w:tcPr>
          <w:p w14:paraId="55A3FC57" w14:textId="77777777" w:rsidR="003F3975" w:rsidRPr="003F3975" w:rsidRDefault="003F3975" w:rsidP="00176707">
            <w:pPr>
              <w:spacing w:before="80" w:after="80"/>
              <w:rPr>
                <w:rFonts w:cs="Arial"/>
                <w:b w:val="0"/>
                <w:szCs w:val="24"/>
              </w:rPr>
            </w:pPr>
            <w:r w:rsidRPr="003F3975">
              <w:rPr>
                <w:rFonts w:cs="Arial"/>
                <w:b w:val="0"/>
                <w:szCs w:val="24"/>
              </w:rPr>
              <w:t xml:space="preserve">Provides </w:t>
            </w:r>
            <w:r w:rsidRPr="003F3975">
              <w:rPr>
                <w:rFonts w:cs="Arial"/>
                <w:b w:val="0"/>
              </w:rPr>
              <w:t>Letters of Commitment addressed to the lead applicant and signed by the LEA superintendent in each participating LEA, the dean of the specific department within an IHE, and/or the chief executive officer of the nonprofit educational service provider, as applicable.</w:t>
            </w:r>
          </w:p>
        </w:tc>
        <w:tc>
          <w:tcPr>
            <w:tcW w:w="3238" w:type="dxa"/>
          </w:tcPr>
          <w:p w14:paraId="0F148421" w14:textId="77777777" w:rsidR="003F3975" w:rsidRPr="00284C3B" w:rsidRDefault="003F3975" w:rsidP="00176707">
            <w:pPr>
              <w:spacing w:before="80" w:after="80"/>
              <w:cnfStyle w:val="000000000000" w:firstRow="0" w:lastRow="0" w:firstColumn="0" w:lastColumn="0" w:oddVBand="0" w:evenVBand="0" w:oddHBand="0" w:evenHBand="0" w:firstRowFirstColumn="0" w:firstRowLastColumn="0" w:lastRowFirstColumn="0" w:lastRowLastColumn="0"/>
              <w:rPr>
                <w:rFonts w:cs="Arial"/>
                <w:szCs w:val="24"/>
              </w:rPr>
            </w:pPr>
            <w:r w:rsidRPr="00284C3B">
              <w:rPr>
                <w:rFonts w:cs="Arial"/>
                <w:szCs w:val="24"/>
              </w:rPr>
              <w:t>Not applicable</w:t>
            </w:r>
          </w:p>
        </w:tc>
        <w:tc>
          <w:tcPr>
            <w:tcW w:w="3237" w:type="dxa"/>
          </w:tcPr>
          <w:p w14:paraId="211D9665" w14:textId="77777777" w:rsidR="003F3975" w:rsidRPr="00284C3B" w:rsidRDefault="003F3975" w:rsidP="00176707">
            <w:pPr>
              <w:spacing w:before="80" w:after="80"/>
              <w:cnfStyle w:val="000000000000" w:firstRow="0" w:lastRow="0" w:firstColumn="0" w:lastColumn="0" w:oddVBand="0" w:evenVBand="0" w:oddHBand="0" w:evenHBand="0" w:firstRowFirstColumn="0" w:firstRowLastColumn="0" w:lastRowFirstColumn="0" w:lastRowLastColumn="0"/>
              <w:rPr>
                <w:rFonts w:cs="Arial"/>
                <w:szCs w:val="24"/>
              </w:rPr>
            </w:pPr>
            <w:r w:rsidRPr="00284C3B">
              <w:rPr>
                <w:rFonts w:cs="Arial"/>
                <w:szCs w:val="24"/>
              </w:rPr>
              <w:t>Not applicable</w:t>
            </w:r>
          </w:p>
        </w:tc>
        <w:tc>
          <w:tcPr>
            <w:tcW w:w="3238" w:type="dxa"/>
          </w:tcPr>
          <w:p w14:paraId="071F6135" w14:textId="77777777" w:rsidR="003F3975" w:rsidRPr="00284C3B" w:rsidRDefault="003F3975" w:rsidP="00176707">
            <w:pPr>
              <w:spacing w:before="80" w:after="80"/>
              <w:cnfStyle w:val="000000000000" w:firstRow="0" w:lastRow="0" w:firstColumn="0" w:lastColumn="0" w:oddVBand="0" w:evenVBand="0" w:oddHBand="0" w:evenHBand="0" w:firstRowFirstColumn="0" w:firstRowLastColumn="0" w:lastRowFirstColumn="0" w:lastRowLastColumn="0"/>
              <w:rPr>
                <w:rFonts w:cs="Arial"/>
                <w:szCs w:val="24"/>
              </w:rPr>
            </w:pPr>
            <w:r w:rsidRPr="00284C3B">
              <w:rPr>
                <w:rFonts w:cs="Arial"/>
                <w:szCs w:val="24"/>
              </w:rPr>
              <w:t xml:space="preserve">Does not provide </w:t>
            </w:r>
            <w:r>
              <w:rPr>
                <w:rFonts w:cs="Arial"/>
                <w:szCs w:val="24"/>
              </w:rPr>
              <w:t>L</w:t>
            </w:r>
            <w:r>
              <w:rPr>
                <w:rFonts w:cs="Arial"/>
              </w:rPr>
              <w:t>etters of Commitment addressed to the lead applicant and signed by the LEA superintendent in each participating LEA, the dean of the specific department within an IHE, and/or the chief executive officer of the nonprofit educational service provider, as applicable.</w:t>
            </w:r>
          </w:p>
        </w:tc>
      </w:tr>
    </w:tbl>
    <w:p w14:paraId="2F4BD33C" w14:textId="528DBB26" w:rsidR="00011CE5" w:rsidRPr="00284C3B" w:rsidRDefault="00011CE5" w:rsidP="00011CE5">
      <w:pPr>
        <w:pStyle w:val="Heading3"/>
        <w:numPr>
          <w:ilvl w:val="0"/>
          <w:numId w:val="0"/>
        </w:numPr>
        <w:spacing w:before="360"/>
        <w:rPr>
          <w:rFonts w:cs="Arial"/>
          <w:sz w:val="24"/>
        </w:rPr>
      </w:pPr>
      <w:bookmarkStart w:id="65" w:name="_Toc86997819"/>
      <w:r w:rsidRPr="00284C3B">
        <w:rPr>
          <w:rFonts w:cs="Arial"/>
          <w:sz w:val="24"/>
        </w:rPr>
        <w:lastRenderedPageBreak/>
        <w:t>Alignment</w:t>
      </w:r>
      <w:bookmarkEnd w:id="65"/>
    </w:p>
    <w:tbl>
      <w:tblPr>
        <w:tblStyle w:val="GridTable41"/>
        <w:tblW w:w="12950" w:type="dxa"/>
        <w:tblLayout w:type="fixed"/>
        <w:tblLook w:val="0620" w:firstRow="1" w:lastRow="0" w:firstColumn="0" w:lastColumn="0" w:noHBand="1" w:noVBand="1"/>
        <w:tblDescription w:val="Point Values for Alignment of Activities"/>
      </w:tblPr>
      <w:tblGrid>
        <w:gridCol w:w="3237"/>
        <w:gridCol w:w="3238"/>
        <w:gridCol w:w="3237"/>
        <w:gridCol w:w="3238"/>
      </w:tblGrid>
      <w:tr w:rsidR="00011CE5" w:rsidRPr="00284C3B" w14:paraId="1385A83D" w14:textId="77777777" w:rsidTr="003F3975">
        <w:trPr>
          <w:cnfStyle w:val="100000000000" w:firstRow="1" w:lastRow="0" w:firstColumn="0" w:lastColumn="0" w:oddVBand="0" w:evenVBand="0" w:oddHBand="0" w:evenHBand="0" w:firstRowFirstColumn="0" w:firstRowLastColumn="0" w:lastRowFirstColumn="0" w:lastRowLastColumn="0"/>
          <w:cantSplit/>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37D84" w14:textId="77777777" w:rsidR="00011CE5" w:rsidRPr="00000038" w:rsidRDefault="00011CE5" w:rsidP="00EE6368">
            <w:pPr>
              <w:spacing w:before="80" w:after="80"/>
              <w:jc w:val="center"/>
              <w:rPr>
                <w:rFonts w:cs="Arial"/>
                <w:b w:val="0"/>
                <w:color w:val="auto"/>
                <w:szCs w:val="24"/>
              </w:rPr>
            </w:pPr>
            <w:r w:rsidRPr="00000038">
              <w:rPr>
                <w:rFonts w:cs="Arial"/>
                <w:color w:val="auto"/>
                <w:szCs w:val="24"/>
              </w:rPr>
              <w:t>Outstanding (8–7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2E6D4" w14:textId="77777777" w:rsidR="00011CE5" w:rsidRPr="00000038" w:rsidRDefault="00011CE5" w:rsidP="00EE6368">
            <w:pPr>
              <w:spacing w:before="80" w:after="80"/>
              <w:jc w:val="center"/>
              <w:rPr>
                <w:rFonts w:cs="Arial"/>
                <w:b w:val="0"/>
                <w:color w:val="auto"/>
                <w:szCs w:val="24"/>
              </w:rPr>
            </w:pPr>
            <w:r w:rsidRPr="00000038">
              <w:rPr>
                <w:rFonts w:cs="Arial"/>
                <w:color w:val="auto"/>
                <w:szCs w:val="24"/>
              </w:rPr>
              <w:t>Strong (6–5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E1D7E" w14:textId="77777777" w:rsidR="00011CE5" w:rsidRPr="00000038" w:rsidRDefault="00011CE5" w:rsidP="00EE6368">
            <w:pPr>
              <w:spacing w:before="80" w:after="80"/>
              <w:jc w:val="center"/>
              <w:rPr>
                <w:rFonts w:cs="Arial"/>
                <w:b w:val="0"/>
                <w:color w:val="auto"/>
                <w:szCs w:val="24"/>
              </w:rPr>
            </w:pPr>
            <w:r w:rsidRPr="00000038">
              <w:rPr>
                <w:rFonts w:cs="Arial"/>
                <w:color w:val="auto"/>
                <w:szCs w:val="24"/>
              </w:rPr>
              <w:t>Adequate (4–3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E59BF" w14:textId="77777777" w:rsidR="00011CE5" w:rsidRPr="00000038" w:rsidRDefault="00011CE5" w:rsidP="00EE6368">
            <w:pPr>
              <w:spacing w:before="80" w:after="80"/>
              <w:jc w:val="center"/>
              <w:rPr>
                <w:rFonts w:cs="Arial"/>
                <w:b w:val="0"/>
                <w:color w:val="auto"/>
                <w:szCs w:val="24"/>
              </w:rPr>
            </w:pPr>
            <w:r w:rsidRPr="00000038">
              <w:rPr>
                <w:rFonts w:cs="Arial"/>
                <w:color w:val="auto"/>
                <w:szCs w:val="24"/>
              </w:rPr>
              <w:t>Minimal (2–0 points)</w:t>
            </w:r>
          </w:p>
        </w:tc>
      </w:tr>
      <w:tr w:rsidR="00011CE5" w:rsidRPr="00284C3B" w14:paraId="3693F723" w14:textId="77777777" w:rsidTr="003F3975">
        <w:trPr>
          <w:cantSplit/>
          <w:trHeight w:val="467"/>
        </w:trPr>
        <w:tc>
          <w:tcPr>
            <w:tcW w:w="3237" w:type="dxa"/>
            <w:tcBorders>
              <w:top w:val="single" w:sz="4" w:space="0" w:color="auto"/>
            </w:tcBorders>
          </w:tcPr>
          <w:p w14:paraId="0993FA50" w14:textId="2570E7E4" w:rsidR="00011CE5" w:rsidRPr="00284C3B" w:rsidRDefault="00011CE5" w:rsidP="003F3975">
            <w:pPr>
              <w:spacing w:before="80"/>
              <w:rPr>
                <w:rFonts w:cs="Arial"/>
                <w:szCs w:val="24"/>
              </w:rPr>
            </w:pPr>
            <w:r w:rsidRPr="00284C3B">
              <w:rPr>
                <w:rFonts w:cs="Arial"/>
                <w:szCs w:val="24"/>
              </w:rPr>
              <w:t xml:space="preserve">Thoroughly and convincingly describes </w:t>
            </w:r>
            <w:r w:rsidR="0040417D">
              <w:rPr>
                <w:rFonts w:cs="Arial"/>
              </w:rPr>
              <w:t>how the proposed activities utilize current research on SEL; trauma screening; trauma-informed practices; and culturally relevant, affirming, and sustaining practices.</w:t>
            </w:r>
          </w:p>
        </w:tc>
        <w:tc>
          <w:tcPr>
            <w:tcW w:w="3238" w:type="dxa"/>
            <w:tcBorders>
              <w:top w:val="single" w:sz="4" w:space="0" w:color="auto"/>
            </w:tcBorders>
          </w:tcPr>
          <w:p w14:paraId="0CF693DA" w14:textId="0D93555A" w:rsidR="00011CE5" w:rsidRPr="00284C3B" w:rsidRDefault="00011CE5" w:rsidP="00EE6368">
            <w:pPr>
              <w:spacing w:before="80" w:after="80"/>
              <w:rPr>
                <w:rFonts w:cs="Arial"/>
                <w:szCs w:val="24"/>
              </w:rPr>
            </w:pPr>
            <w:r w:rsidRPr="00284C3B">
              <w:rPr>
                <w:rFonts w:cs="Arial"/>
                <w:szCs w:val="24"/>
              </w:rPr>
              <w:t xml:space="preserve">Clearly describes </w:t>
            </w:r>
            <w:r w:rsidR="0040417D">
              <w:rPr>
                <w:rFonts w:cs="Arial"/>
              </w:rPr>
              <w:t>how the proposed activities utilize current research on SEL; trauma screening; trauma-informed practices; and culturally relevant, affirming, and sustaining practices.</w:t>
            </w:r>
          </w:p>
        </w:tc>
        <w:tc>
          <w:tcPr>
            <w:tcW w:w="3237" w:type="dxa"/>
            <w:tcBorders>
              <w:top w:val="single" w:sz="4" w:space="0" w:color="auto"/>
            </w:tcBorders>
          </w:tcPr>
          <w:p w14:paraId="6A92BBEE" w14:textId="2EAA27BB" w:rsidR="00011CE5" w:rsidRPr="00284C3B" w:rsidRDefault="00011CE5" w:rsidP="00EE6368">
            <w:pPr>
              <w:spacing w:before="80" w:after="80"/>
              <w:rPr>
                <w:rFonts w:cs="Arial"/>
                <w:szCs w:val="24"/>
              </w:rPr>
            </w:pPr>
            <w:r w:rsidRPr="00284C3B">
              <w:rPr>
                <w:rFonts w:cs="Arial"/>
                <w:szCs w:val="24"/>
              </w:rPr>
              <w:t xml:space="preserve">Adequately describes </w:t>
            </w:r>
            <w:r w:rsidR="0040417D">
              <w:rPr>
                <w:rFonts w:cs="Arial"/>
              </w:rPr>
              <w:t>how the proposed activities utilize current research on SEL; trauma screening; trauma-informed practices; and culturally relevant, affirming, and sustaining practices.</w:t>
            </w:r>
          </w:p>
        </w:tc>
        <w:tc>
          <w:tcPr>
            <w:tcW w:w="3238" w:type="dxa"/>
            <w:tcBorders>
              <w:top w:val="single" w:sz="4" w:space="0" w:color="auto"/>
            </w:tcBorders>
          </w:tcPr>
          <w:p w14:paraId="1A4079F9" w14:textId="1042BCCA" w:rsidR="00011CE5" w:rsidRPr="00284C3B" w:rsidRDefault="00011CE5" w:rsidP="00EE6368">
            <w:pPr>
              <w:spacing w:before="80" w:after="80"/>
              <w:rPr>
                <w:rFonts w:cs="Arial"/>
                <w:szCs w:val="24"/>
              </w:rPr>
            </w:pPr>
            <w:r w:rsidRPr="00284C3B">
              <w:rPr>
                <w:rFonts w:cs="Arial"/>
                <w:szCs w:val="24"/>
              </w:rPr>
              <w:t xml:space="preserve">Minimally </w:t>
            </w:r>
            <w:r w:rsidR="00AA3F9C">
              <w:rPr>
                <w:rFonts w:cs="Arial"/>
                <w:szCs w:val="24"/>
              </w:rPr>
              <w:t xml:space="preserve">describes </w:t>
            </w:r>
            <w:r w:rsidR="0040417D">
              <w:rPr>
                <w:rFonts w:cs="Arial"/>
              </w:rPr>
              <w:t>how the proposed activities utilize current research on SEL; trauma screening; trauma-informed practices; and culturally relevant, affirming, and sustaining practices.</w:t>
            </w:r>
          </w:p>
        </w:tc>
      </w:tr>
      <w:tr w:rsidR="00011CE5" w:rsidRPr="00284C3B" w14:paraId="2EB6E9B8" w14:textId="77777777" w:rsidTr="003F3975">
        <w:trPr>
          <w:cantSplit/>
        </w:trPr>
        <w:tc>
          <w:tcPr>
            <w:tcW w:w="3237" w:type="dxa"/>
          </w:tcPr>
          <w:p w14:paraId="78C183E0" w14:textId="1A8C70CE" w:rsidR="00011CE5" w:rsidRPr="00284C3B" w:rsidRDefault="00011CE5" w:rsidP="00753756">
            <w:pPr>
              <w:spacing w:before="80"/>
              <w:rPr>
                <w:rFonts w:cs="Arial"/>
                <w:szCs w:val="24"/>
              </w:rPr>
            </w:pPr>
            <w:r w:rsidRPr="00284C3B">
              <w:rPr>
                <w:rFonts w:cs="Arial"/>
                <w:szCs w:val="24"/>
              </w:rPr>
              <w:t xml:space="preserve">Thoroughly and convincingly describes </w:t>
            </w:r>
            <w:r w:rsidR="0040417D">
              <w:rPr>
                <w:rFonts w:cs="Arial"/>
              </w:rPr>
              <w:t>how the proposed activities will align to the CDE’s T</w:t>
            </w:r>
            <w:r w:rsidR="008D78DE">
              <w:rPr>
                <w:rFonts w:cs="Arial"/>
              </w:rPr>
              <w:t>-</w:t>
            </w:r>
            <w:r w:rsidR="0040417D">
              <w:rPr>
                <w:rFonts w:cs="Arial"/>
              </w:rPr>
              <w:t>SEL Competencies and Conditions.</w:t>
            </w:r>
          </w:p>
        </w:tc>
        <w:tc>
          <w:tcPr>
            <w:tcW w:w="3238" w:type="dxa"/>
          </w:tcPr>
          <w:p w14:paraId="32ED23DC" w14:textId="30E1111E" w:rsidR="00011CE5" w:rsidRPr="00284C3B" w:rsidRDefault="00011CE5" w:rsidP="00EE6368">
            <w:pPr>
              <w:spacing w:before="80" w:after="80"/>
              <w:rPr>
                <w:rFonts w:cs="Arial"/>
                <w:szCs w:val="24"/>
              </w:rPr>
            </w:pPr>
            <w:r w:rsidRPr="00284C3B">
              <w:rPr>
                <w:rFonts w:cs="Arial"/>
                <w:szCs w:val="24"/>
              </w:rPr>
              <w:t xml:space="preserve">Clearly describes </w:t>
            </w:r>
            <w:r w:rsidR="0040417D">
              <w:rPr>
                <w:rFonts w:cs="Arial"/>
              </w:rPr>
              <w:t>how the proposed activities will align to the CDE’s T</w:t>
            </w:r>
            <w:r w:rsidR="008D78DE">
              <w:rPr>
                <w:rFonts w:cs="Arial"/>
              </w:rPr>
              <w:t>-</w:t>
            </w:r>
            <w:r w:rsidR="0040417D">
              <w:rPr>
                <w:rFonts w:cs="Arial"/>
              </w:rPr>
              <w:t>SEL Competencies and Conditions.</w:t>
            </w:r>
          </w:p>
        </w:tc>
        <w:tc>
          <w:tcPr>
            <w:tcW w:w="3237" w:type="dxa"/>
          </w:tcPr>
          <w:p w14:paraId="4E856F96" w14:textId="36E43E1C" w:rsidR="00011CE5" w:rsidRPr="00284C3B" w:rsidRDefault="00011CE5" w:rsidP="00EE6368">
            <w:pPr>
              <w:spacing w:before="80" w:after="80"/>
              <w:rPr>
                <w:rFonts w:cs="Arial"/>
                <w:szCs w:val="24"/>
              </w:rPr>
            </w:pPr>
            <w:r w:rsidRPr="00284C3B">
              <w:rPr>
                <w:rFonts w:cs="Arial"/>
                <w:szCs w:val="24"/>
              </w:rPr>
              <w:t xml:space="preserve">Adequately describes </w:t>
            </w:r>
            <w:r w:rsidR="0040417D">
              <w:rPr>
                <w:rFonts w:cs="Arial"/>
              </w:rPr>
              <w:t>how the proposed activities will align to the CDE’s T</w:t>
            </w:r>
            <w:r w:rsidR="008D78DE">
              <w:rPr>
                <w:rFonts w:cs="Arial"/>
              </w:rPr>
              <w:t>-</w:t>
            </w:r>
            <w:r w:rsidR="0040417D">
              <w:rPr>
                <w:rFonts w:cs="Arial"/>
              </w:rPr>
              <w:t>SEL Competencies and Conditions.</w:t>
            </w:r>
          </w:p>
        </w:tc>
        <w:tc>
          <w:tcPr>
            <w:tcW w:w="3238" w:type="dxa"/>
          </w:tcPr>
          <w:p w14:paraId="70169DF6" w14:textId="6CD551E9" w:rsidR="00011CE5" w:rsidRPr="00284C3B" w:rsidRDefault="00011CE5" w:rsidP="00EE6368">
            <w:pPr>
              <w:spacing w:before="80" w:after="80"/>
              <w:rPr>
                <w:rFonts w:cs="Arial"/>
                <w:szCs w:val="24"/>
              </w:rPr>
            </w:pPr>
            <w:r w:rsidRPr="00284C3B">
              <w:rPr>
                <w:rFonts w:cs="Arial"/>
                <w:szCs w:val="24"/>
              </w:rPr>
              <w:t xml:space="preserve">Minimally describes </w:t>
            </w:r>
            <w:r w:rsidR="0040417D">
              <w:rPr>
                <w:rFonts w:cs="Arial"/>
              </w:rPr>
              <w:t>how the proposed activities will align to the CDE’s T</w:t>
            </w:r>
            <w:r w:rsidR="008D78DE">
              <w:rPr>
                <w:rFonts w:cs="Arial"/>
              </w:rPr>
              <w:t>-</w:t>
            </w:r>
            <w:r w:rsidR="0040417D">
              <w:rPr>
                <w:rFonts w:cs="Arial"/>
              </w:rPr>
              <w:t>SEL Competencies and Conditions.</w:t>
            </w:r>
          </w:p>
        </w:tc>
      </w:tr>
      <w:tr w:rsidR="00011CE5" w:rsidRPr="00284C3B" w14:paraId="7892A906" w14:textId="77777777" w:rsidTr="003F3975">
        <w:trPr>
          <w:cantSplit/>
        </w:trPr>
        <w:tc>
          <w:tcPr>
            <w:tcW w:w="3237" w:type="dxa"/>
          </w:tcPr>
          <w:p w14:paraId="72B3B5A3" w14:textId="75E34127" w:rsidR="00011CE5" w:rsidRPr="00284C3B" w:rsidRDefault="00011CE5" w:rsidP="003F3975">
            <w:pPr>
              <w:spacing w:before="80"/>
              <w:rPr>
                <w:rFonts w:cs="Arial"/>
                <w:szCs w:val="24"/>
              </w:rPr>
            </w:pPr>
            <w:r w:rsidRPr="00284C3B">
              <w:rPr>
                <w:rFonts w:cs="Arial"/>
                <w:szCs w:val="24"/>
              </w:rPr>
              <w:t xml:space="preserve">Thoroughly and convincingly describes </w:t>
            </w:r>
            <w:r w:rsidR="0040417D">
              <w:rPr>
                <w:rFonts w:cs="Arial"/>
              </w:rPr>
              <w:t xml:space="preserve">how the proposed activities will align to the </w:t>
            </w:r>
            <w:r w:rsidR="00AA3F9C">
              <w:rPr>
                <w:rFonts w:cs="Arial"/>
              </w:rPr>
              <w:t>MTSS</w:t>
            </w:r>
            <w:r w:rsidR="0040417D">
              <w:rPr>
                <w:rFonts w:cs="Arial"/>
              </w:rPr>
              <w:t xml:space="preserve"> framework developed under the “SUMS</w:t>
            </w:r>
            <w:r w:rsidR="000B4CCE">
              <w:rPr>
                <w:rFonts w:cs="Arial"/>
              </w:rPr>
              <w:t>”</w:t>
            </w:r>
            <w:r w:rsidR="0040417D">
              <w:rPr>
                <w:rFonts w:cs="Arial"/>
              </w:rPr>
              <w:t xml:space="preserve"> project.</w:t>
            </w:r>
          </w:p>
        </w:tc>
        <w:tc>
          <w:tcPr>
            <w:tcW w:w="3238" w:type="dxa"/>
          </w:tcPr>
          <w:p w14:paraId="734C1816" w14:textId="2AAF13A8" w:rsidR="00011CE5" w:rsidRPr="00284C3B" w:rsidRDefault="00011CE5" w:rsidP="00EE6368">
            <w:pPr>
              <w:spacing w:before="80" w:after="80"/>
              <w:rPr>
                <w:rFonts w:cs="Arial"/>
                <w:szCs w:val="24"/>
              </w:rPr>
            </w:pPr>
            <w:r w:rsidRPr="00284C3B">
              <w:rPr>
                <w:rFonts w:cs="Arial"/>
                <w:szCs w:val="24"/>
              </w:rPr>
              <w:t xml:space="preserve">Clearly describes </w:t>
            </w:r>
            <w:r w:rsidR="0040417D">
              <w:rPr>
                <w:rFonts w:cs="Arial"/>
              </w:rPr>
              <w:t xml:space="preserve">how the proposed activities will align to the </w:t>
            </w:r>
            <w:r w:rsidR="00AA3F9C">
              <w:rPr>
                <w:rFonts w:cs="Arial"/>
              </w:rPr>
              <w:t>MTSS</w:t>
            </w:r>
            <w:r w:rsidR="0040417D">
              <w:rPr>
                <w:rFonts w:cs="Arial"/>
              </w:rPr>
              <w:t xml:space="preserve"> framework developed under the “SUMS</w:t>
            </w:r>
            <w:r w:rsidR="000B4CCE">
              <w:rPr>
                <w:rFonts w:cs="Arial"/>
              </w:rPr>
              <w:t>”</w:t>
            </w:r>
            <w:r w:rsidR="0040417D">
              <w:rPr>
                <w:rFonts w:cs="Arial"/>
              </w:rPr>
              <w:t xml:space="preserve"> project.</w:t>
            </w:r>
          </w:p>
        </w:tc>
        <w:tc>
          <w:tcPr>
            <w:tcW w:w="3237" w:type="dxa"/>
          </w:tcPr>
          <w:p w14:paraId="4944F728" w14:textId="4C9F1CB4" w:rsidR="00011CE5" w:rsidRPr="00284C3B" w:rsidRDefault="00011CE5" w:rsidP="00EE6368">
            <w:pPr>
              <w:spacing w:before="80" w:after="80"/>
              <w:rPr>
                <w:rFonts w:cs="Arial"/>
                <w:szCs w:val="24"/>
              </w:rPr>
            </w:pPr>
            <w:r w:rsidRPr="00284C3B">
              <w:rPr>
                <w:rFonts w:cs="Arial"/>
                <w:szCs w:val="24"/>
              </w:rPr>
              <w:t xml:space="preserve">Adequately describes </w:t>
            </w:r>
            <w:r w:rsidR="0040417D">
              <w:rPr>
                <w:rFonts w:cs="Arial"/>
              </w:rPr>
              <w:t xml:space="preserve">how the proposed activities will align to the </w:t>
            </w:r>
            <w:r w:rsidR="00AA3F9C">
              <w:rPr>
                <w:rFonts w:cs="Arial"/>
              </w:rPr>
              <w:t>MTSS</w:t>
            </w:r>
            <w:r w:rsidR="0040417D">
              <w:rPr>
                <w:rFonts w:cs="Arial"/>
              </w:rPr>
              <w:t xml:space="preserve"> framework developed under the “SUMS</w:t>
            </w:r>
            <w:r w:rsidR="000B4CCE">
              <w:rPr>
                <w:rFonts w:cs="Arial"/>
              </w:rPr>
              <w:t>”</w:t>
            </w:r>
            <w:r w:rsidR="0040417D">
              <w:rPr>
                <w:rFonts w:cs="Arial"/>
              </w:rPr>
              <w:t xml:space="preserve"> project.</w:t>
            </w:r>
          </w:p>
        </w:tc>
        <w:tc>
          <w:tcPr>
            <w:tcW w:w="3238" w:type="dxa"/>
          </w:tcPr>
          <w:p w14:paraId="75CA9A69" w14:textId="3574F312" w:rsidR="00011CE5" w:rsidRPr="00284C3B" w:rsidRDefault="00011CE5" w:rsidP="00EE6368">
            <w:pPr>
              <w:spacing w:before="80" w:after="80"/>
              <w:rPr>
                <w:rFonts w:cs="Arial"/>
                <w:szCs w:val="24"/>
              </w:rPr>
            </w:pPr>
            <w:r w:rsidRPr="00284C3B">
              <w:rPr>
                <w:rFonts w:cs="Arial"/>
                <w:szCs w:val="24"/>
              </w:rPr>
              <w:t xml:space="preserve">Minimally describes </w:t>
            </w:r>
            <w:r w:rsidR="0040417D">
              <w:rPr>
                <w:rFonts w:cs="Arial"/>
              </w:rPr>
              <w:t xml:space="preserve">how the proposed activities will align to the </w:t>
            </w:r>
            <w:r w:rsidR="00AA3F9C">
              <w:rPr>
                <w:rFonts w:cs="Arial"/>
              </w:rPr>
              <w:t>MTSS</w:t>
            </w:r>
            <w:r w:rsidR="0040417D">
              <w:rPr>
                <w:rFonts w:cs="Arial"/>
              </w:rPr>
              <w:t xml:space="preserve"> framework developed under the “SUMS</w:t>
            </w:r>
            <w:r w:rsidR="000B4CCE">
              <w:rPr>
                <w:rFonts w:cs="Arial"/>
              </w:rPr>
              <w:t>”</w:t>
            </w:r>
            <w:r w:rsidR="0040417D">
              <w:rPr>
                <w:rFonts w:cs="Arial"/>
              </w:rPr>
              <w:t xml:space="preserve"> project.</w:t>
            </w:r>
          </w:p>
        </w:tc>
      </w:tr>
      <w:tr w:rsidR="0040417D" w:rsidRPr="00284C3B" w14:paraId="3EAA1C86" w14:textId="77777777" w:rsidTr="003F3975">
        <w:trPr>
          <w:cantSplit/>
        </w:trPr>
        <w:tc>
          <w:tcPr>
            <w:tcW w:w="3237" w:type="dxa"/>
          </w:tcPr>
          <w:p w14:paraId="708F85E7" w14:textId="6C46321F" w:rsidR="0040417D" w:rsidRPr="00284C3B" w:rsidRDefault="0040417D" w:rsidP="0040417D">
            <w:pPr>
              <w:spacing w:before="80" w:after="80"/>
              <w:rPr>
                <w:rFonts w:cs="Arial"/>
                <w:szCs w:val="24"/>
              </w:rPr>
            </w:pPr>
            <w:r w:rsidRPr="00284C3B">
              <w:rPr>
                <w:rFonts w:cs="Arial"/>
                <w:szCs w:val="24"/>
              </w:rPr>
              <w:lastRenderedPageBreak/>
              <w:t xml:space="preserve">Thoroughly and convincingly describes </w:t>
            </w:r>
            <w:r>
              <w:rPr>
                <w:rFonts w:cs="Arial"/>
              </w:rPr>
              <w:t>how the proposed activities will align to the QPLS: data, content and pedagogy, equity, design and structure, collaboration and shared accountability, resources, and alignment and coherence.</w:t>
            </w:r>
          </w:p>
        </w:tc>
        <w:tc>
          <w:tcPr>
            <w:tcW w:w="3238" w:type="dxa"/>
          </w:tcPr>
          <w:p w14:paraId="4D10EA79" w14:textId="112417C1" w:rsidR="0040417D" w:rsidRPr="00284C3B" w:rsidRDefault="0040417D" w:rsidP="0040417D">
            <w:pPr>
              <w:spacing w:before="80" w:after="80"/>
              <w:rPr>
                <w:rFonts w:cs="Arial"/>
                <w:szCs w:val="24"/>
              </w:rPr>
            </w:pPr>
            <w:r w:rsidRPr="00284C3B">
              <w:rPr>
                <w:rFonts w:cs="Arial"/>
                <w:szCs w:val="24"/>
              </w:rPr>
              <w:t xml:space="preserve">Clearly describes </w:t>
            </w:r>
            <w:r>
              <w:rPr>
                <w:rFonts w:cs="Arial"/>
              </w:rPr>
              <w:t>how the proposed activities will align to the QPLS: data, content and pedagogy, equity, design and structure, collaboration and shared accountability, resources, and alignment and coherence.</w:t>
            </w:r>
          </w:p>
        </w:tc>
        <w:tc>
          <w:tcPr>
            <w:tcW w:w="3237" w:type="dxa"/>
          </w:tcPr>
          <w:p w14:paraId="1D001207" w14:textId="3E958326" w:rsidR="0040417D" w:rsidRPr="00284C3B" w:rsidRDefault="0040417D" w:rsidP="0040417D">
            <w:pPr>
              <w:spacing w:before="80" w:after="80"/>
              <w:rPr>
                <w:rFonts w:cs="Arial"/>
                <w:szCs w:val="24"/>
              </w:rPr>
            </w:pPr>
            <w:r w:rsidRPr="00284C3B">
              <w:rPr>
                <w:rFonts w:cs="Arial"/>
                <w:szCs w:val="24"/>
              </w:rPr>
              <w:t xml:space="preserve">Adequately describes </w:t>
            </w:r>
            <w:r>
              <w:rPr>
                <w:rFonts w:cs="Arial"/>
              </w:rPr>
              <w:t>how the proposed activities will align to the QPLS: data, content and pedagogy, equity, design and structure, collaboration and shared accountability, resources, and alignment and coherence.</w:t>
            </w:r>
          </w:p>
        </w:tc>
        <w:tc>
          <w:tcPr>
            <w:tcW w:w="3238" w:type="dxa"/>
          </w:tcPr>
          <w:p w14:paraId="26C069DD" w14:textId="1F51BC9D" w:rsidR="0040417D" w:rsidRPr="00284C3B" w:rsidRDefault="0040417D" w:rsidP="0040417D">
            <w:pPr>
              <w:spacing w:before="80" w:after="80"/>
              <w:rPr>
                <w:rFonts w:cs="Arial"/>
                <w:szCs w:val="24"/>
              </w:rPr>
            </w:pPr>
            <w:r w:rsidRPr="00284C3B">
              <w:rPr>
                <w:rFonts w:cs="Arial"/>
                <w:szCs w:val="24"/>
              </w:rPr>
              <w:t xml:space="preserve">Minimally describes </w:t>
            </w:r>
            <w:r>
              <w:rPr>
                <w:rFonts w:cs="Arial"/>
              </w:rPr>
              <w:t>how the proposed activities will align to the QPLS: data, content and pedagogy, equity, design and structure, collaboration and shared accountability, resources, and alignment and coherence.</w:t>
            </w:r>
          </w:p>
        </w:tc>
      </w:tr>
    </w:tbl>
    <w:p w14:paraId="0796C798" w14:textId="77777777" w:rsidR="00011CE5" w:rsidRPr="00284C3B" w:rsidRDefault="00011CE5" w:rsidP="00011CE5">
      <w:pPr>
        <w:pStyle w:val="Heading3"/>
        <w:numPr>
          <w:ilvl w:val="0"/>
          <w:numId w:val="0"/>
        </w:numPr>
        <w:spacing w:before="360"/>
        <w:rPr>
          <w:rFonts w:cs="Arial"/>
          <w:sz w:val="24"/>
        </w:rPr>
      </w:pPr>
      <w:bookmarkStart w:id="66" w:name="_Toc86997820"/>
      <w:r w:rsidRPr="00284C3B">
        <w:rPr>
          <w:rFonts w:cs="Arial"/>
          <w:sz w:val="24"/>
        </w:rPr>
        <w:t>Expanding Capacity</w:t>
      </w:r>
      <w:bookmarkEnd w:id="66"/>
    </w:p>
    <w:tbl>
      <w:tblPr>
        <w:tblStyle w:val="GridTable41"/>
        <w:tblW w:w="12950" w:type="dxa"/>
        <w:tblLayout w:type="fixed"/>
        <w:tblLook w:val="0620" w:firstRow="1" w:lastRow="0" w:firstColumn="0" w:lastColumn="0" w:noHBand="1" w:noVBand="1"/>
        <w:tblDescription w:val="Point Values for Expanding Capacity"/>
      </w:tblPr>
      <w:tblGrid>
        <w:gridCol w:w="3237"/>
        <w:gridCol w:w="3238"/>
        <w:gridCol w:w="3237"/>
        <w:gridCol w:w="3238"/>
      </w:tblGrid>
      <w:tr w:rsidR="00FF1D98" w:rsidRPr="00284C3B" w14:paraId="66533F12" w14:textId="77777777" w:rsidTr="00000038">
        <w:trPr>
          <w:cnfStyle w:val="100000000000" w:firstRow="1" w:lastRow="0" w:firstColumn="0" w:lastColumn="0" w:oddVBand="0" w:evenVBand="0" w:oddHBand="0" w:evenHBand="0" w:firstRowFirstColumn="0" w:firstRowLastColumn="0" w:lastRowFirstColumn="0" w:lastRowLastColumn="0"/>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3CCD0" w14:textId="7DE6B310" w:rsidR="00FF1D98" w:rsidRPr="00000038" w:rsidRDefault="00FF1D98" w:rsidP="00FF1D98">
            <w:pPr>
              <w:spacing w:before="80" w:after="80"/>
              <w:jc w:val="center"/>
              <w:rPr>
                <w:rFonts w:cs="Arial"/>
                <w:b w:val="0"/>
                <w:color w:val="auto"/>
                <w:szCs w:val="24"/>
              </w:rPr>
            </w:pPr>
            <w:r w:rsidRPr="00000038">
              <w:rPr>
                <w:rFonts w:cs="Arial"/>
                <w:color w:val="auto"/>
                <w:szCs w:val="24"/>
              </w:rPr>
              <w:t>Outstanding (8–7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5230C" w14:textId="16706A05" w:rsidR="00FF1D98" w:rsidRPr="00000038" w:rsidRDefault="00FF1D98" w:rsidP="00FF1D98">
            <w:pPr>
              <w:spacing w:before="80" w:after="80"/>
              <w:jc w:val="center"/>
              <w:rPr>
                <w:rFonts w:cs="Arial"/>
                <w:b w:val="0"/>
                <w:color w:val="auto"/>
                <w:szCs w:val="24"/>
              </w:rPr>
            </w:pPr>
            <w:r w:rsidRPr="00000038">
              <w:rPr>
                <w:rFonts w:cs="Arial"/>
                <w:color w:val="auto"/>
                <w:szCs w:val="24"/>
              </w:rPr>
              <w:t>Strong (6–5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E7B3F" w14:textId="71A0095F" w:rsidR="00FF1D98" w:rsidRPr="00000038" w:rsidRDefault="00FF1D98" w:rsidP="00FF1D98">
            <w:pPr>
              <w:spacing w:before="80" w:after="80"/>
              <w:jc w:val="center"/>
              <w:rPr>
                <w:rFonts w:cs="Arial"/>
                <w:b w:val="0"/>
                <w:color w:val="auto"/>
                <w:szCs w:val="24"/>
              </w:rPr>
            </w:pPr>
            <w:r w:rsidRPr="00000038">
              <w:rPr>
                <w:rFonts w:cs="Arial"/>
                <w:color w:val="auto"/>
                <w:szCs w:val="24"/>
              </w:rPr>
              <w:t>Adequate (4–3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AEB58" w14:textId="23946D43" w:rsidR="00FF1D98" w:rsidRPr="00000038" w:rsidRDefault="00FF1D98" w:rsidP="00FF1D98">
            <w:pPr>
              <w:spacing w:before="80" w:after="80"/>
              <w:jc w:val="center"/>
              <w:rPr>
                <w:rFonts w:cs="Arial"/>
                <w:b w:val="0"/>
                <w:color w:val="auto"/>
                <w:szCs w:val="24"/>
              </w:rPr>
            </w:pPr>
            <w:r w:rsidRPr="00000038">
              <w:rPr>
                <w:rFonts w:cs="Arial"/>
                <w:color w:val="auto"/>
                <w:szCs w:val="24"/>
              </w:rPr>
              <w:t>Minimal (2–0 points)</w:t>
            </w:r>
          </w:p>
        </w:tc>
      </w:tr>
      <w:tr w:rsidR="00011CE5" w:rsidRPr="00284C3B" w14:paraId="1EBE6DC2" w14:textId="77777777" w:rsidTr="00000038">
        <w:tc>
          <w:tcPr>
            <w:tcW w:w="3237" w:type="dxa"/>
            <w:tcBorders>
              <w:top w:val="single" w:sz="4" w:space="0" w:color="auto"/>
            </w:tcBorders>
          </w:tcPr>
          <w:p w14:paraId="22A786E8" w14:textId="3172E19A" w:rsidR="00011CE5" w:rsidRPr="00284C3B" w:rsidRDefault="00011CE5" w:rsidP="00EE6368">
            <w:pPr>
              <w:spacing w:before="80" w:after="80"/>
              <w:rPr>
                <w:rFonts w:cs="Arial"/>
                <w:szCs w:val="24"/>
              </w:rPr>
            </w:pPr>
            <w:r w:rsidRPr="00284C3B">
              <w:rPr>
                <w:rFonts w:cs="Arial"/>
                <w:szCs w:val="24"/>
              </w:rPr>
              <w:t xml:space="preserve">Thoroughly and convincingly describes </w:t>
            </w:r>
            <w:r w:rsidR="00E86244">
              <w:rPr>
                <w:rFonts w:cs="Arial"/>
                <w:shd w:val="clear" w:color="auto" w:fill="FFFFFF"/>
              </w:rPr>
              <w:t>how the proposed activities will build the capacity, readiness, and strategies of educators and school leaders to address the goals of the grant</w:t>
            </w:r>
            <w:r w:rsidR="00A06C08">
              <w:rPr>
                <w:rFonts w:cs="Arial"/>
                <w:shd w:val="clear" w:color="auto" w:fill="FFFFFF"/>
              </w:rPr>
              <w:t xml:space="preserve"> and d</w:t>
            </w:r>
            <w:r w:rsidR="00E86244">
              <w:rPr>
                <w:rFonts w:cs="Arial"/>
                <w:shd w:val="clear" w:color="auto" w:fill="FFFFFF"/>
              </w:rPr>
              <w:t>escribe</w:t>
            </w:r>
            <w:r w:rsidR="00A06C08">
              <w:rPr>
                <w:rFonts w:cs="Arial"/>
                <w:shd w:val="clear" w:color="auto" w:fill="FFFFFF"/>
              </w:rPr>
              <w:t>s</w:t>
            </w:r>
            <w:r w:rsidR="00E86244">
              <w:rPr>
                <w:rFonts w:cs="Arial"/>
                <w:shd w:val="clear" w:color="auto" w:fill="FFFFFF"/>
              </w:rPr>
              <w:t xml:space="preserve"> the iterative process(es) and measures that will be used to determine increased capacity.</w:t>
            </w:r>
          </w:p>
        </w:tc>
        <w:tc>
          <w:tcPr>
            <w:tcW w:w="3238" w:type="dxa"/>
            <w:tcBorders>
              <w:top w:val="single" w:sz="4" w:space="0" w:color="auto"/>
            </w:tcBorders>
          </w:tcPr>
          <w:p w14:paraId="0FEF454E" w14:textId="07DAB455" w:rsidR="00011CE5" w:rsidRPr="00284C3B" w:rsidRDefault="00011CE5" w:rsidP="00EE6368">
            <w:pPr>
              <w:spacing w:before="80" w:after="80"/>
              <w:rPr>
                <w:rFonts w:cs="Arial"/>
                <w:szCs w:val="24"/>
              </w:rPr>
            </w:pPr>
            <w:r w:rsidRPr="00284C3B">
              <w:rPr>
                <w:rFonts w:cs="Arial"/>
                <w:szCs w:val="24"/>
              </w:rPr>
              <w:t xml:space="preserve">Clearly describes </w:t>
            </w:r>
            <w:r w:rsidR="00E86244">
              <w:rPr>
                <w:rFonts w:cs="Arial"/>
                <w:shd w:val="clear" w:color="auto" w:fill="FFFFFF"/>
              </w:rPr>
              <w:t>how the proposed activities will build the capacity, readiness, and strategies of educators and school leaders to address the goals of the grant</w:t>
            </w:r>
            <w:r w:rsidR="00A06C08">
              <w:rPr>
                <w:rFonts w:cs="Arial"/>
                <w:shd w:val="clear" w:color="auto" w:fill="FFFFFF"/>
              </w:rPr>
              <w:t xml:space="preserve"> and d</w:t>
            </w:r>
            <w:r w:rsidR="00E86244">
              <w:rPr>
                <w:rFonts w:cs="Arial"/>
                <w:shd w:val="clear" w:color="auto" w:fill="FFFFFF"/>
              </w:rPr>
              <w:t>escribe</w:t>
            </w:r>
            <w:r w:rsidR="00A06C08">
              <w:rPr>
                <w:rFonts w:cs="Arial"/>
                <w:shd w:val="clear" w:color="auto" w:fill="FFFFFF"/>
              </w:rPr>
              <w:t>s</w:t>
            </w:r>
            <w:r w:rsidR="00E86244">
              <w:rPr>
                <w:rFonts w:cs="Arial"/>
                <w:shd w:val="clear" w:color="auto" w:fill="FFFFFF"/>
              </w:rPr>
              <w:t xml:space="preserve"> the iterative process(es) and measures that will be used to determine increased capacity.</w:t>
            </w:r>
          </w:p>
        </w:tc>
        <w:tc>
          <w:tcPr>
            <w:tcW w:w="3237" w:type="dxa"/>
            <w:tcBorders>
              <w:top w:val="single" w:sz="4" w:space="0" w:color="auto"/>
            </w:tcBorders>
          </w:tcPr>
          <w:p w14:paraId="69427EB3" w14:textId="03B3925F" w:rsidR="00011CE5" w:rsidRPr="00284C3B" w:rsidRDefault="00011CE5" w:rsidP="00EE6368">
            <w:pPr>
              <w:spacing w:before="80" w:after="80"/>
              <w:rPr>
                <w:rFonts w:cs="Arial"/>
                <w:szCs w:val="24"/>
              </w:rPr>
            </w:pPr>
            <w:r w:rsidRPr="00284C3B">
              <w:rPr>
                <w:rFonts w:cs="Arial"/>
                <w:szCs w:val="24"/>
              </w:rPr>
              <w:t xml:space="preserve">Adequately describes </w:t>
            </w:r>
            <w:r w:rsidR="00E86244">
              <w:rPr>
                <w:rFonts w:cs="Arial"/>
                <w:shd w:val="clear" w:color="auto" w:fill="FFFFFF"/>
              </w:rPr>
              <w:t>how the proposed activities will build the capacity, readiness, and strategies of educators and school leaders to address the goals of the grant</w:t>
            </w:r>
            <w:r w:rsidR="00A06C08">
              <w:rPr>
                <w:rFonts w:cs="Arial"/>
                <w:shd w:val="clear" w:color="auto" w:fill="FFFFFF"/>
              </w:rPr>
              <w:t xml:space="preserve"> and d</w:t>
            </w:r>
            <w:r w:rsidR="00E86244">
              <w:rPr>
                <w:rFonts w:cs="Arial"/>
                <w:shd w:val="clear" w:color="auto" w:fill="FFFFFF"/>
              </w:rPr>
              <w:t>escribe</w:t>
            </w:r>
            <w:r w:rsidR="00A06C08">
              <w:rPr>
                <w:rFonts w:cs="Arial"/>
                <w:shd w:val="clear" w:color="auto" w:fill="FFFFFF"/>
              </w:rPr>
              <w:t>s</w:t>
            </w:r>
            <w:r w:rsidR="00E86244">
              <w:rPr>
                <w:rFonts w:cs="Arial"/>
                <w:shd w:val="clear" w:color="auto" w:fill="FFFFFF"/>
              </w:rPr>
              <w:t xml:space="preserve"> the iterative process(es) and measures that will be used to determine increased capacity.</w:t>
            </w:r>
          </w:p>
        </w:tc>
        <w:tc>
          <w:tcPr>
            <w:tcW w:w="3238" w:type="dxa"/>
            <w:tcBorders>
              <w:top w:val="single" w:sz="4" w:space="0" w:color="auto"/>
            </w:tcBorders>
          </w:tcPr>
          <w:p w14:paraId="3703902A" w14:textId="4A762139" w:rsidR="00011CE5" w:rsidRPr="00284C3B" w:rsidRDefault="00011CE5" w:rsidP="00EE6368">
            <w:pPr>
              <w:spacing w:before="80" w:after="80"/>
              <w:rPr>
                <w:rFonts w:cs="Arial"/>
                <w:szCs w:val="24"/>
              </w:rPr>
            </w:pPr>
            <w:r w:rsidRPr="00284C3B">
              <w:rPr>
                <w:rFonts w:cs="Arial"/>
                <w:szCs w:val="24"/>
              </w:rPr>
              <w:t xml:space="preserve">Minimally describes </w:t>
            </w:r>
            <w:r w:rsidR="00E86244">
              <w:rPr>
                <w:rFonts w:cs="Arial"/>
                <w:shd w:val="clear" w:color="auto" w:fill="FFFFFF"/>
              </w:rPr>
              <w:t>how the proposed activities will build the capacity, readiness, and strategies of educators and school leaders to address the goals of the grant</w:t>
            </w:r>
            <w:r w:rsidR="00A06C08">
              <w:rPr>
                <w:rFonts w:cs="Arial"/>
                <w:shd w:val="clear" w:color="auto" w:fill="FFFFFF"/>
              </w:rPr>
              <w:t xml:space="preserve"> and d</w:t>
            </w:r>
            <w:r w:rsidR="00E86244">
              <w:rPr>
                <w:rFonts w:cs="Arial"/>
                <w:shd w:val="clear" w:color="auto" w:fill="FFFFFF"/>
              </w:rPr>
              <w:t>escribe</w:t>
            </w:r>
            <w:r w:rsidR="00A06C08">
              <w:rPr>
                <w:rFonts w:cs="Arial"/>
                <w:shd w:val="clear" w:color="auto" w:fill="FFFFFF"/>
              </w:rPr>
              <w:t>s</w:t>
            </w:r>
            <w:r w:rsidR="00E86244">
              <w:rPr>
                <w:rFonts w:cs="Arial"/>
                <w:shd w:val="clear" w:color="auto" w:fill="FFFFFF"/>
              </w:rPr>
              <w:t xml:space="preserve"> the iterative process(es) and measures that will be used to determine increased capacity.</w:t>
            </w:r>
          </w:p>
        </w:tc>
      </w:tr>
    </w:tbl>
    <w:p w14:paraId="59502C48" w14:textId="77777777" w:rsidR="00011CE5" w:rsidRPr="00284C3B" w:rsidRDefault="00011CE5" w:rsidP="00011CE5">
      <w:pPr>
        <w:pStyle w:val="Heading2"/>
        <w:rPr>
          <w:rFonts w:cs="Arial"/>
          <w:sz w:val="24"/>
          <w:szCs w:val="24"/>
        </w:rPr>
      </w:pPr>
      <w:bookmarkStart w:id="67" w:name="_Toc86997821"/>
      <w:r w:rsidRPr="00284C3B">
        <w:rPr>
          <w:rFonts w:cs="Arial"/>
          <w:sz w:val="24"/>
          <w:szCs w:val="24"/>
        </w:rPr>
        <w:lastRenderedPageBreak/>
        <w:t>Part 2—Proposed Metrics</w:t>
      </w:r>
      <w:bookmarkEnd w:id="67"/>
    </w:p>
    <w:tbl>
      <w:tblPr>
        <w:tblStyle w:val="GridTable41"/>
        <w:tblW w:w="12950" w:type="dxa"/>
        <w:tblLayout w:type="fixed"/>
        <w:tblLook w:val="0620" w:firstRow="1" w:lastRow="0" w:firstColumn="0" w:lastColumn="0" w:noHBand="1" w:noVBand="1"/>
        <w:tblDescription w:val="Part 2 Proposed Metrics Table Point Values for Proposed Metrics"/>
      </w:tblPr>
      <w:tblGrid>
        <w:gridCol w:w="3237"/>
        <w:gridCol w:w="3238"/>
        <w:gridCol w:w="3237"/>
        <w:gridCol w:w="3238"/>
      </w:tblGrid>
      <w:tr w:rsidR="00FB2246" w:rsidRPr="00284C3B" w14:paraId="465E8420" w14:textId="77777777" w:rsidTr="00000038">
        <w:trPr>
          <w:cnfStyle w:val="100000000000" w:firstRow="1" w:lastRow="0" w:firstColumn="0" w:lastColumn="0" w:oddVBand="0" w:evenVBand="0" w:oddHBand="0" w:evenHBand="0" w:firstRowFirstColumn="0" w:firstRowLastColumn="0" w:lastRowFirstColumn="0" w:lastRowLastColumn="0"/>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FB905" w14:textId="0D9E1BE6" w:rsidR="00FB2246" w:rsidRPr="00000038" w:rsidRDefault="00FB2246" w:rsidP="00FB2246">
            <w:pPr>
              <w:spacing w:before="80" w:after="80"/>
              <w:jc w:val="center"/>
              <w:rPr>
                <w:rFonts w:cs="Arial"/>
                <w:b w:val="0"/>
                <w:color w:val="auto"/>
                <w:szCs w:val="24"/>
              </w:rPr>
            </w:pPr>
            <w:r w:rsidRPr="00000038">
              <w:rPr>
                <w:rFonts w:cs="Arial"/>
                <w:color w:val="auto"/>
                <w:szCs w:val="24"/>
              </w:rPr>
              <w:t>Outstanding (8–7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9E01E" w14:textId="05A10473" w:rsidR="00FB2246" w:rsidRPr="00000038" w:rsidRDefault="00FB2246" w:rsidP="00FB2246">
            <w:pPr>
              <w:spacing w:before="80" w:after="80"/>
              <w:jc w:val="center"/>
              <w:rPr>
                <w:rFonts w:cs="Arial"/>
                <w:b w:val="0"/>
                <w:color w:val="auto"/>
                <w:szCs w:val="24"/>
              </w:rPr>
            </w:pPr>
            <w:r w:rsidRPr="00000038">
              <w:rPr>
                <w:rFonts w:cs="Arial"/>
                <w:color w:val="auto"/>
                <w:szCs w:val="24"/>
              </w:rPr>
              <w:t>Strong (6–5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79691" w14:textId="0D34649B" w:rsidR="00FB2246" w:rsidRPr="00000038" w:rsidRDefault="00FB2246" w:rsidP="00FB2246">
            <w:pPr>
              <w:spacing w:before="80" w:after="80"/>
              <w:jc w:val="center"/>
              <w:rPr>
                <w:rFonts w:cs="Arial"/>
                <w:b w:val="0"/>
                <w:color w:val="auto"/>
                <w:szCs w:val="24"/>
              </w:rPr>
            </w:pPr>
            <w:r w:rsidRPr="00000038">
              <w:rPr>
                <w:rFonts w:cs="Arial"/>
                <w:color w:val="auto"/>
                <w:szCs w:val="24"/>
              </w:rPr>
              <w:t>Adequate (4–3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8374D" w14:textId="2E0443F5" w:rsidR="00FB2246" w:rsidRPr="00000038" w:rsidRDefault="00FB2246" w:rsidP="00FB2246">
            <w:pPr>
              <w:spacing w:before="80" w:after="80"/>
              <w:jc w:val="center"/>
              <w:rPr>
                <w:rFonts w:cs="Arial"/>
                <w:b w:val="0"/>
                <w:color w:val="auto"/>
                <w:szCs w:val="24"/>
              </w:rPr>
            </w:pPr>
            <w:r w:rsidRPr="00000038">
              <w:rPr>
                <w:rFonts w:cs="Arial"/>
                <w:color w:val="auto"/>
                <w:szCs w:val="24"/>
              </w:rPr>
              <w:t>Minimal (2–0 points)</w:t>
            </w:r>
          </w:p>
        </w:tc>
      </w:tr>
      <w:tr w:rsidR="00011CE5" w:rsidRPr="00284C3B" w14:paraId="6F497A57" w14:textId="77777777" w:rsidTr="00000038">
        <w:tc>
          <w:tcPr>
            <w:tcW w:w="3237" w:type="dxa"/>
            <w:tcBorders>
              <w:top w:val="single" w:sz="4" w:space="0" w:color="auto"/>
            </w:tcBorders>
          </w:tcPr>
          <w:p w14:paraId="32FFA2E8" w14:textId="1EB755CA" w:rsidR="00011CE5" w:rsidRPr="00284C3B" w:rsidRDefault="00011CE5" w:rsidP="00EE6368">
            <w:pPr>
              <w:spacing w:before="80" w:after="80"/>
              <w:rPr>
                <w:rFonts w:cs="Arial"/>
                <w:szCs w:val="24"/>
              </w:rPr>
            </w:pPr>
            <w:r w:rsidRPr="00284C3B">
              <w:rPr>
                <w:rFonts w:cs="Arial"/>
                <w:szCs w:val="24"/>
              </w:rPr>
              <w:t xml:space="preserve">Thoroughly and convincingly describes </w:t>
            </w:r>
            <w:r w:rsidR="00B718FB">
              <w:rPr>
                <w:rFonts w:cs="Arial"/>
                <w:szCs w:val="24"/>
              </w:rPr>
              <w:t>which</w:t>
            </w:r>
            <w:r w:rsidR="00B718FB" w:rsidRPr="00284C3B">
              <w:rPr>
                <w:rFonts w:cs="Arial"/>
                <w:szCs w:val="24"/>
              </w:rPr>
              <w:t xml:space="preserve"> </w:t>
            </w:r>
            <w:r w:rsidRPr="00284C3B">
              <w:rPr>
                <w:rFonts w:cs="Arial"/>
                <w:szCs w:val="24"/>
              </w:rPr>
              <w:t xml:space="preserve">specific quantitative and qualitative metrics </w:t>
            </w:r>
            <w:r w:rsidR="00B718FB">
              <w:rPr>
                <w:rFonts w:cs="Arial"/>
                <w:szCs w:val="24"/>
              </w:rPr>
              <w:t>will</w:t>
            </w:r>
            <w:r w:rsidR="00B718FB" w:rsidRPr="00284C3B">
              <w:rPr>
                <w:rFonts w:cs="Arial"/>
                <w:szCs w:val="24"/>
              </w:rPr>
              <w:t xml:space="preserve"> </w:t>
            </w:r>
            <w:r w:rsidRPr="00284C3B">
              <w:rPr>
                <w:rFonts w:cs="Arial"/>
                <w:szCs w:val="24"/>
              </w:rPr>
              <w:t>be used to assess the impact of proposed grant activities in achieving the goals of the grant</w:t>
            </w:r>
            <w:r w:rsidR="00B718FB">
              <w:rPr>
                <w:rFonts w:cs="Arial"/>
                <w:szCs w:val="24"/>
              </w:rPr>
              <w:t>, and how that information will be used for continuous improvement throughout the life of the grant</w:t>
            </w:r>
            <w:r w:rsidRPr="00284C3B">
              <w:rPr>
                <w:rFonts w:cs="Arial"/>
                <w:szCs w:val="24"/>
              </w:rPr>
              <w:t xml:space="preserve">. </w:t>
            </w:r>
          </w:p>
        </w:tc>
        <w:tc>
          <w:tcPr>
            <w:tcW w:w="3238" w:type="dxa"/>
            <w:tcBorders>
              <w:top w:val="single" w:sz="4" w:space="0" w:color="auto"/>
            </w:tcBorders>
          </w:tcPr>
          <w:p w14:paraId="14196B9C" w14:textId="42DFDF73" w:rsidR="00011CE5" w:rsidRPr="00284C3B" w:rsidRDefault="00011CE5" w:rsidP="00EE6368">
            <w:pPr>
              <w:spacing w:before="80" w:after="80"/>
              <w:rPr>
                <w:rFonts w:cs="Arial"/>
                <w:szCs w:val="24"/>
              </w:rPr>
            </w:pPr>
            <w:r w:rsidRPr="00284C3B">
              <w:rPr>
                <w:rFonts w:cs="Arial"/>
                <w:szCs w:val="24"/>
              </w:rPr>
              <w:t xml:space="preserve">Clearly describes </w:t>
            </w:r>
            <w:r w:rsidR="00B718FB">
              <w:rPr>
                <w:rFonts w:cs="Arial"/>
                <w:szCs w:val="24"/>
              </w:rPr>
              <w:t>which</w:t>
            </w:r>
            <w:r w:rsidR="00B718FB" w:rsidRPr="00284C3B">
              <w:rPr>
                <w:rFonts w:cs="Arial"/>
                <w:szCs w:val="24"/>
              </w:rPr>
              <w:t xml:space="preserve"> specific quantitative and qualitative metrics </w:t>
            </w:r>
            <w:r w:rsidR="00B718FB">
              <w:rPr>
                <w:rFonts w:cs="Arial"/>
                <w:szCs w:val="24"/>
              </w:rPr>
              <w:t>will</w:t>
            </w:r>
            <w:r w:rsidR="00B718FB" w:rsidRPr="00284C3B">
              <w:rPr>
                <w:rFonts w:cs="Arial"/>
                <w:szCs w:val="24"/>
              </w:rPr>
              <w:t xml:space="preserve"> be used to assess the impact of proposed grant activities in achieving the goals of the grant</w:t>
            </w:r>
            <w:r w:rsidR="00B718FB">
              <w:rPr>
                <w:rFonts w:cs="Arial"/>
                <w:szCs w:val="24"/>
              </w:rPr>
              <w:t>, and how that information will be used for continuous improvement throughout the life of the grant</w:t>
            </w:r>
            <w:r w:rsidR="00B718FB" w:rsidRPr="00284C3B">
              <w:rPr>
                <w:rFonts w:cs="Arial"/>
                <w:szCs w:val="24"/>
              </w:rPr>
              <w:t>.</w:t>
            </w:r>
          </w:p>
        </w:tc>
        <w:tc>
          <w:tcPr>
            <w:tcW w:w="3237" w:type="dxa"/>
            <w:tcBorders>
              <w:top w:val="single" w:sz="4" w:space="0" w:color="auto"/>
            </w:tcBorders>
          </w:tcPr>
          <w:p w14:paraId="2E420488" w14:textId="50CFC0D9" w:rsidR="00011CE5" w:rsidRPr="00284C3B" w:rsidRDefault="00011CE5" w:rsidP="00EE6368">
            <w:pPr>
              <w:spacing w:before="80" w:after="80"/>
              <w:rPr>
                <w:rFonts w:cs="Arial"/>
                <w:szCs w:val="24"/>
              </w:rPr>
            </w:pPr>
            <w:r w:rsidRPr="00284C3B">
              <w:rPr>
                <w:rFonts w:cs="Arial"/>
                <w:szCs w:val="24"/>
              </w:rPr>
              <w:t xml:space="preserve">Adequately describes </w:t>
            </w:r>
            <w:r w:rsidR="00B718FB">
              <w:rPr>
                <w:rFonts w:cs="Arial"/>
                <w:szCs w:val="24"/>
              </w:rPr>
              <w:t>which</w:t>
            </w:r>
            <w:r w:rsidR="00B718FB" w:rsidRPr="00284C3B">
              <w:rPr>
                <w:rFonts w:cs="Arial"/>
                <w:szCs w:val="24"/>
              </w:rPr>
              <w:t xml:space="preserve"> specific quantitative and qualitative metrics </w:t>
            </w:r>
            <w:r w:rsidR="00B718FB">
              <w:rPr>
                <w:rFonts w:cs="Arial"/>
                <w:szCs w:val="24"/>
              </w:rPr>
              <w:t>will</w:t>
            </w:r>
            <w:r w:rsidR="00B718FB" w:rsidRPr="00284C3B">
              <w:rPr>
                <w:rFonts w:cs="Arial"/>
                <w:szCs w:val="24"/>
              </w:rPr>
              <w:t xml:space="preserve"> be used to assess the impact of proposed grant activities in achieving the goals of the grant</w:t>
            </w:r>
            <w:r w:rsidR="00B718FB">
              <w:rPr>
                <w:rFonts w:cs="Arial"/>
                <w:szCs w:val="24"/>
              </w:rPr>
              <w:t>, and how that information will be used for continuous improvement throughout the life of the grant</w:t>
            </w:r>
            <w:r w:rsidR="00B718FB" w:rsidRPr="00284C3B">
              <w:rPr>
                <w:rFonts w:cs="Arial"/>
                <w:szCs w:val="24"/>
              </w:rPr>
              <w:t>.</w:t>
            </w:r>
          </w:p>
        </w:tc>
        <w:tc>
          <w:tcPr>
            <w:tcW w:w="3238" w:type="dxa"/>
            <w:tcBorders>
              <w:top w:val="single" w:sz="4" w:space="0" w:color="auto"/>
            </w:tcBorders>
          </w:tcPr>
          <w:p w14:paraId="35B4AC79" w14:textId="338049EB" w:rsidR="00011CE5" w:rsidRPr="00284C3B" w:rsidRDefault="00011CE5" w:rsidP="00EE6368">
            <w:pPr>
              <w:spacing w:before="80" w:after="80"/>
              <w:rPr>
                <w:rFonts w:cs="Arial"/>
                <w:szCs w:val="24"/>
              </w:rPr>
            </w:pPr>
            <w:r w:rsidRPr="00284C3B">
              <w:rPr>
                <w:rFonts w:cs="Arial"/>
                <w:szCs w:val="24"/>
              </w:rPr>
              <w:t xml:space="preserve">Minimally describes </w:t>
            </w:r>
            <w:r w:rsidR="00B718FB">
              <w:rPr>
                <w:rFonts w:cs="Arial"/>
                <w:szCs w:val="24"/>
              </w:rPr>
              <w:t>which</w:t>
            </w:r>
            <w:r w:rsidR="00B718FB" w:rsidRPr="00284C3B">
              <w:rPr>
                <w:rFonts w:cs="Arial"/>
                <w:szCs w:val="24"/>
              </w:rPr>
              <w:t xml:space="preserve"> specific quantitative and qualitative metrics </w:t>
            </w:r>
            <w:r w:rsidR="00B718FB">
              <w:rPr>
                <w:rFonts w:cs="Arial"/>
                <w:szCs w:val="24"/>
              </w:rPr>
              <w:t>will</w:t>
            </w:r>
            <w:r w:rsidR="00B718FB" w:rsidRPr="00284C3B">
              <w:rPr>
                <w:rFonts w:cs="Arial"/>
                <w:szCs w:val="24"/>
              </w:rPr>
              <w:t xml:space="preserve"> be used to assess the impact of proposed grant activities in achieving the goals of the grant</w:t>
            </w:r>
            <w:r w:rsidR="00B718FB">
              <w:rPr>
                <w:rFonts w:cs="Arial"/>
                <w:szCs w:val="24"/>
              </w:rPr>
              <w:t>, and how that information will be used for continuous improvement throughout the life of the grant</w:t>
            </w:r>
            <w:r w:rsidR="00B718FB" w:rsidRPr="00284C3B">
              <w:rPr>
                <w:rFonts w:cs="Arial"/>
                <w:szCs w:val="24"/>
              </w:rPr>
              <w:t>.</w:t>
            </w:r>
          </w:p>
        </w:tc>
      </w:tr>
    </w:tbl>
    <w:p w14:paraId="257A998E" w14:textId="77777777" w:rsidR="00011CE5" w:rsidRPr="00284C3B" w:rsidRDefault="00011CE5" w:rsidP="00011CE5">
      <w:pPr>
        <w:pStyle w:val="Heading2"/>
        <w:rPr>
          <w:rFonts w:cs="Arial"/>
          <w:sz w:val="24"/>
          <w:szCs w:val="24"/>
        </w:rPr>
      </w:pPr>
      <w:bookmarkStart w:id="68" w:name="_Toc86997822"/>
      <w:r w:rsidRPr="00284C3B">
        <w:rPr>
          <w:rFonts w:cs="Arial"/>
          <w:sz w:val="24"/>
          <w:szCs w:val="24"/>
        </w:rPr>
        <w:lastRenderedPageBreak/>
        <w:t>Part 3—Budget and Cost Effectiveness</w:t>
      </w:r>
      <w:bookmarkEnd w:id="68"/>
    </w:p>
    <w:tbl>
      <w:tblPr>
        <w:tblStyle w:val="TableGrid"/>
        <w:tblW w:w="13369" w:type="dxa"/>
        <w:tblLayout w:type="fixed"/>
        <w:tblLook w:val="04A0" w:firstRow="1" w:lastRow="0" w:firstColumn="1" w:lastColumn="0" w:noHBand="0" w:noVBand="1"/>
        <w:tblDescription w:val="Part 3 Budget and Cost Effectiveness Table Point Values for Budget and Cost Effectiveness"/>
      </w:tblPr>
      <w:tblGrid>
        <w:gridCol w:w="2785"/>
        <w:gridCol w:w="3528"/>
        <w:gridCol w:w="3645"/>
        <w:gridCol w:w="3411"/>
      </w:tblGrid>
      <w:tr w:rsidR="00011CE5" w:rsidRPr="00284C3B" w14:paraId="2A29AEE8" w14:textId="77777777" w:rsidTr="003F3975">
        <w:trPr>
          <w:cantSplit/>
          <w:tblHeader/>
        </w:trPr>
        <w:tc>
          <w:tcPr>
            <w:tcW w:w="2785" w:type="dxa"/>
            <w:shd w:val="clear" w:color="auto" w:fill="D9D9D9" w:themeFill="background1" w:themeFillShade="D9"/>
          </w:tcPr>
          <w:p w14:paraId="6B61AABC" w14:textId="77777777" w:rsidR="00011CE5" w:rsidRPr="00284C3B" w:rsidRDefault="00011CE5" w:rsidP="00EE6368">
            <w:pPr>
              <w:spacing w:before="80" w:after="80"/>
              <w:jc w:val="center"/>
              <w:rPr>
                <w:rFonts w:cs="Arial"/>
                <w:b/>
                <w:szCs w:val="24"/>
              </w:rPr>
            </w:pPr>
            <w:r w:rsidRPr="00284C3B">
              <w:rPr>
                <w:rFonts w:cs="Arial"/>
                <w:b/>
                <w:szCs w:val="24"/>
              </w:rPr>
              <w:t>Outstanding (4 points)</w:t>
            </w:r>
          </w:p>
        </w:tc>
        <w:tc>
          <w:tcPr>
            <w:tcW w:w="3528" w:type="dxa"/>
            <w:shd w:val="clear" w:color="auto" w:fill="D9D9D9" w:themeFill="background1" w:themeFillShade="D9"/>
          </w:tcPr>
          <w:p w14:paraId="1CDFD972" w14:textId="77777777" w:rsidR="00011CE5" w:rsidRPr="00284C3B" w:rsidRDefault="00011CE5" w:rsidP="00EE6368">
            <w:pPr>
              <w:spacing w:before="80" w:after="80"/>
              <w:jc w:val="center"/>
              <w:rPr>
                <w:rFonts w:cs="Arial"/>
                <w:b/>
                <w:szCs w:val="24"/>
              </w:rPr>
            </w:pPr>
            <w:r w:rsidRPr="00284C3B">
              <w:rPr>
                <w:rFonts w:cs="Arial"/>
                <w:b/>
                <w:szCs w:val="24"/>
              </w:rPr>
              <w:t>Strong (3 points)</w:t>
            </w:r>
          </w:p>
        </w:tc>
        <w:tc>
          <w:tcPr>
            <w:tcW w:w="3645" w:type="dxa"/>
            <w:shd w:val="clear" w:color="auto" w:fill="D9D9D9" w:themeFill="background1" w:themeFillShade="D9"/>
          </w:tcPr>
          <w:p w14:paraId="52A5BAA9" w14:textId="77777777" w:rsidR="00011CE5" w:rsidRPr="00284C3B" w:rsidRDefault="00011CE5" w:rsidP="00EE6368">
            <w:pPr>
              <w:spacing w:before="80" w:after="80"/>
              <w:jc w:val="center"/>
              <w:rPr>
                <w:rFonts w:cs="Arial"/>
                <w:b/>
                <w:szCs w:val="24"/>
              </w:rPr>
            </w:pPr>
            <w:r w:rsidRPr="00284C3B">
              <w:rPr>
                <w:rFonts w:cs="Arial"/>
                <w:b/>
                <w:szCs w:val="24"/>
              </w:rPr>
              <w:t>Adequate (2 points)</w:t>
            </w:r>
          </w:p>
        </w:tc>
        <w:tc>
          <w:tcPr>
            <w:tcW w:w="3411" w:type="dxa"/>
            <w:shd w:val="clear" w:color="auto" w:fill="D9D9D9" w:themeFill="background1" w:themeFillShade="D9"/>
          </w:tcPr>
          <w:p w14:paraId="3AF6D3D7" w14:textId="77777777" w:rsidR="00011CE5" w:rsidRPr="00284C3B" w:rsidRDefault="00011CE5" w:rsidP="00EE6368">
            <w:pPr>
              <w:spacing w:before="80" w:after="80"/>
              <w:jc w:val="center"/>
              <w:rPr>
                <w:rFonts w:cs="Arial"/>
                <w:b/>
                <w:szCs w:val="24"/>
              </w:rPr>
            </w:pPr>
            <w:r w:rsidRPr="00284C3B">
              <w:rPr>
                <w:rFonts w:cs="Arial"/>
                <w:b/>
                <w:szCs w:val="24"/>
              </w:rPr>
              <w:t>Minimal (1–0 point)</w:t>
            </w:r>
          </w:p>
        </w:tc>
      </w:tr>
      <w:tr w:rsidR="00011CE5" w:rsidRPr="00284C3B" w14:paraId="4AC2DF95" w14:textId="77777777" w:rsidTr="003F3975">
        <w:tblPrEx>
          <w:jc w:val="center"/>
          <w:tblLook w:val="01E0" w:firstRow="1" w:lastRow="1" w:firstColumn="1" w:lastColumn="1" w:noHBand="0" w:noVBand="0"/>
        </w:tblPrEx>
        <w:trPr>
          <w:cantSplit/>
          <w:trHeight w:val="2420"/>
          <w:jc w:val="center"/>
        </w:trPr>
        <w:tc>
          <w:tcPr>
            <w:tcW w:w="2785" w:type="dxa"/>
          </w:tcPr>
          <w:p w14:paraId="1C27BEEB" w14:textId="1CFAC1C8" w:rsidR="00011CE5" w:rsidRPr="00284C3B" w:rsidRDefault="00011CE5" w:rsidP="00EE6368">
            <w:pPr>
              <w:ind w:right="-14"/>
              <w:rPr>
                <w:rFonts w:cs="Arial"/>
                <w:color w:val="000000"/>
                <w:szCs w:val="24"/>
              </w:rPr>
            </w:pPr>
            <w:r w:rsidRPr="00284C3B">
              <w:rPr>
                <w:rFonts w:cs="Arial"/>
                <w:color w:val="000000"/>
                <w:szCs w:val="24"/>
              </w:rPr>
              <w:t>Provides thorough and convincing identification of the allowable and appropriate project expenses to support the activities of the grant</w:t>
            </w:r>
            <w:r w:rsidRPr="00284C3B">
              <w:rPr>
                <w:rFonts w:cs="Arial"/>
                <w:szCs w:val="24"/>
              </w:rPr>
              <w:t xml:space="preserve"> </w:t>
            </w:r>
            <w:r w:rsidRPr="00284C3B">
              <w:rPr>
                <w:rFonts w:cs="Arial"/>
                <w:bCs/>
                <w:szCs w:val="24"/>
              </w:rPr>
              <w:t>for the project’s performance period</w:t>
            </w:r>
            <w:r w:rsidRPr="00284C3B">
              <w:rPr>
                <w:rFonts w:cs="Arial"/>
                <w:iCs/>
                <w:szCs w:val="24"/>
              </w:rPr>
              <w:t>.</w:t>
            </w:r>
            <w:r w:rsidR="00E72B27">
              <w:rPr>
                <w:rFonts w:cs="Arial"/>
                <w:iCs/>
                <w:szCs w:val="24"/>
              </w:rPr>
              <w:t xml:space="preserve"> The budget is not overly heavy in administrative costs and </w:t>
            </w:r>
            <w:r w:rsidR="0038643D">
              <w:rPr>
                <w:rFonts w:cs="Arial"/>
                <w:iCs/>
                <w:szCs w:val="24"/>
              </w:rPr>
              <w:t>takes into consideration the costs of educators’ time to attend professional learning.</w:t>
            </w:r>
            <w:r w:rsidR="00E72B27">
              <w:rPr>
                <w:rFonts w:cs="Arial"/>
                <w:iCs/>
                <w:szCs w:val="24"/>
              </w:rPr>
              <w:t xml:space="preserve"> </w:t>
            </w:r>
          </w:p>
        </w:tc>
        <w:tc>
          <w:tcPr>
            <w:tcW w:w="3528" w:type="dxa"/>
          </w:tcPr>
          <w:p w14:paraId="3BD3FF89" w14:textId="07FAA9C6" w:rsidR="00011CE5" w:rsidRPr="00284C3B" w:rsidRDefault="00011CE5" w:rsidP="00EE6368">
            <w:pPr>
              <w:ind w:right="-14"/>
              <w:rPr>
                <w:rFonts w:cs="Arial"/>
                <w:color w:val="000000"/>
                <w:szCs w:val="24"/>
              </w:rPr>
            </w:pPr>
            <w:r w:rsidRPr="00284C3B">
              <w:rPr>
                <w:rFonts w:cs="Arial"/>
                <w:color w:val="000000"/>
                <w:szCs w:val="24"/>
              </w:rPr>
              <w:t>Clearly identifies the allowable and appropriate project expenses to support the activities of the grant</w:t>
            </w:r>
            <w:r w:rsidRPr="00284C3B">
              <w:rPr>
                <w:rFonts w:cs="Arial"/>
                <w:szCs w:val="24"/>
              </w:rPr>
              <w:t xml:space="preserve"> </w:t>
            </w:r>
            <w:r w:rsidRPr="00284C3B">
              <w:rPr>
                <w:rFonts w:cs="Arial"/>
                <w:bCs/>
                <w:szCs w:val="24"/>
              </w:rPr>
              <w:t>for the project’s performance period</w:t>
            </w:r>
            <w:r w:rsidRPr="00284C3B">
              <w:rPr>
                <w:rFonts w:cs="Arial"/>
                <w:iCs/>
                <w:szCs w:val="24"/>
              </w:rPr>
              <w:t>.</w:t>
            </w:r>
            <w:r w:rsidR="0038643D">
              <w:rPr>
                <w:rFonts w:cs="Arial"/>
                <w:iCs/>
                <w:szCs w:val="24"/>
              </w:rPr>
              <w:t xml:space="preserve"> The budget is not overly heavy in administrative costs and takes into consideration the costs of educators’ time to attend professional learning.</w:t>
            </w:r>
          </w:p>
        </w:tc>
        <w:tc>
          <w:tcPr>
            <w:tcW w:w="3645" w:type="dxa"/>
          </w:tcPr>
          <w:p w14:paraId="4EFEED28" w14:textId="4233F4C8" w:rsidR="00011CE5" w:rsidRPr="00284C3B" w:rsidRDefault="00011CE5" w:rsidP="00EE6368">
            <w:pPr>
              <w:ind w:right="-14"/>
              <w:rPr>
                <w:rFonts w:cs="Arial"/>
                <w:color w:val="000000"/>
                <w:szCs w:val="24"/>
              </w:rPr>
            </w:pPr>
            <w:r w:rsidRPr="00284C3B">
              <w:rPr>
                <w:rFonts w:cs="Arial"/>
                <w:color w:val="000000"/>
                <w:szCs w:val="24"/>
              </w:rPr>
              <w:t>Adequately identifies the allowable and appropriate project expenses to support the activities of the grant</w:t>
            </w:r>
            <w:r w:rsidRPr="00284C3B">
              <w:rPr>
                <w:rFonts w:cs="Arial"/>
                <w:szCs w:val="24"/>
              </w:rPr>
              <w:t xml:space="preserve"> </w:t>
            </w:r>
            <w:r w:rsidRPr="00284C3B">
              <w:rPr>
                <w:rFonts w:cs="Arial"/>
                <w:bCs/>
                <w:szCs w:val="24"/>
              </w:rPr>
              <w:t>for the project’s performance period</w:t>
            </w:r>
            <w:r w:rsidRPr="00284C3B">
              <w:rPr>
                <w:rFonts w:cs="Arial"/>
                <w:iCs/>
                <w:szCs w:val="24"/>
              </w:rPr>
              <w:t>.</w:t>
            </w:r>
            <w:r w:rsidR="0038643D">
              <w:rPr>
                <w:rFonts w:cs="Arial"/>
                <w:iCs/>
                <w:szCs w:val="24"/>
              </w:rPr>
              <w:t xml:space="preserve"> The budget covers mostly administrative costs, with a small percentage going to ensure educators are able to attend. </w:t>
            </w:r>
          </w:p>
        </w:tc>
        <w:tc>
          <w:tcPr>
            <w:tcW w:w="3411" w:type="dxa"/>
          </w:tcPr>
          <w:p w14:paraId="24DCEED3" w14:textId="16767D95" w:rsidR="00011CE5" w:rsidRPr="00284C3B" w:rsidRDefault="00011CE5" w:rsidP="00EE6368">
            <w:pPr>
              <w:ind w:right="-14"/>
              <w:rPr>
                <w:rFonts w:cs="Arial"/>
                <w:color w:val="000000"/>
                <w:szCs w:val="24"/>
              </w:rPr>
            </w:pPr>
            <w:r w:rsidRPr="00284C3B">
              <w:rPr>
                <w:rFonts w:cs="Arial"/>
                <w:color w:val="000000"/>
                <w:szCs w:val="24"/>
              </w:rPr>
              <w:t>Minimally identifies the allowable and appropriate project expenses to support the activities of the grant</w:t>
            </w:r>
            <w:r w:rsidRPr="00284C3B">
              <w:rPr>
                <w:rFonts w:cs="Arial"/>
                <w:szCs w:val="24"/>
              </w:rPr>
              <w:t xml:space="preserve"> </w:t>
            </w:r>
            <w:r w:rsidRPr="00284C3B">
              <w:rPr>
                <w:rFonts w:cs="Arial"/>
                <w:bCs/>
                <w:szCs w:val="24"/>
              </w:rPr>
              <w:t>for the project’s performance period</w:t>
            </w:r>
            <w:r w:rsidRPr="00284C3B">
              <w:rPr>
                <w:rFonts w:cs="Arial"/>
                <w:iCs/>
                <w:szCs w:val="24"/>
              </w:rPr>
              <w:t>.</w:t>
            </w:r>
            <w:r w:rsidR="0038643D">
              <w:rPr>
                <w:rFonts w:cs="Arial"/>
                <w:iCs/>
                <w:szCs w:val="24"/>
              </w:rPr>
              <w:t xml:space="preserve"> The vast majority of the budget goes towards administrative costs. </w:t>
            </w:r>
          </w:p>
        </w:tc>
      </w:tr>
      <w:tr w:rsidR="00011CE5" w:rsidRPr="00284C3B" w14:paraId="3124F030" w14:textId="77777777" w:rsidTr="003F3975">
        <w:tblPrEx>
          <w:jc w:val="center"/>
          <w:tblLook w:val="01E0" w:firstRow="1" w:lastRow="1" w:firstColumn="1" w:lastColumn="1" w:noHBand="0" w:noVBand="0"/>
        </w:tblPrEx>
        <w:trPr>
          <w:cantSplit/>
          <w:trHeight w:val="321"/>
          <w:jc w:val="center"/>
        </w:trPr>
        <w:tc>
          <w:tcPr>
            <w:tcW w:w="2785" w:type="dxa"/>
          </w:tcPr>
          <w:p w14:paraId="7CF753CF" w14:textId="5ACEACE7" w:rsidR="00011CE5" w:rsidRPr="00284C3B" w:rsidRDefault="00011CE5" w:rsidP="00EE6368">
            <w:pPr>
              <w:rPr>
                <w:rFonts w:cs="Arial"/>
                <w:b/>
                <w:color w:val="000000"/>
                <w:szCs w:val="24"/>
              </w:rPr>
            </w:pPr>
            <w:r w:rsidRPr="00284C3B">
              <w:rPr>
                <w:rFonts w:cs="Arial"/>
                <w:color w:val="000000"/>
                <w:szCs w:val="24"/>
              </w:rPr>
              <w:t xml:space="preserve">Provides </w:t>
            </w:r>
            <w:r w:rsidR="000B4CCE">
              <w:rPr>
                <w:rFonts w:cs="Arial"/>
                <w:color w:val="000000"/>
                <w:szCs w:val="24"/>
              </w:rPr>
              <w:t xml:space="preserve">a </w:t>
            </w:r>
            <w:r w:rsidRPr="00284C3B">
              <w:rPr>
                <w:rFonts w:cs="Arial"/>
                <w:color w:val="000000"/>
                <w:szCs w:val="24"/>
              </w:rPr>
              <w:t>thorough and clear budget narrative describing each line item and how each pr</w:t>
            </w:r>
            <w:r w:rsidRPr="00284C3B">
              <w:rPr>
                <w:rFonts w:cs="Arial"/>
                <w:iCs/>
                <w:szCs w:val="24"/>
              </w:rPr>
              <w:t>oposed cost is necessary and reasonable in terms of project activities, benefits to participants, and project outcomes.</w:t>
            </w:r>
          </w:p>
        </w:tc>
        <w:tc>
          <w:tcPr>
            <w:tcW w:w="3528" w:type="dxa"/>
          </w:tcPr>
          <w:p w14:paraId="3757340C" w14:textId="77777777" w:rsidR="00011CE5" w:rsidRPr="00284C3B" w:rsidRDefault="00011CE5" w:rsidP="00EE6368">
            <w:pPr>
              <w:ind w:right="-14"/>
              <w:rPr>
                <w:rFonts w:cs="Arial"/>
                <w:color w:val="000000"/>
                <w:szCs w:val="24"/>
              </w:rPr>
            </w:pPr>
            <w:r w:rsidRPr="00284C3B">
              <w:rPr>
                <w:rFonts w:cs="Arial"/>
                <w:color w:val="000000"/>
                <w:szCs w:val="24"/>
              </w:rPr>
              <w:t>Provides a clear budget narrative describing each line item and how each pr</w:t>
            </w:r>
            <w:r w:rsidRPr="00284C3B">
              <w:rPr>
                <w:rFonts w:cs="Arial"/>
                <w:iCs/>
                <w:szCs w:val="24"/>
              </w:rPr>
              <w:t>oposed cost is necessary and reasonable in terms of project activities, benefits to participants, and project outcomes.</w:t>
            </w:r>
          </w:p>
        </w:tc>
        <w:tc>
          <w:tcPr>
            <w:tcW w:w="3645" w:type="dxa"/>
          </w:tcPr>
          <w:p w14:paraId="27746FFA" w14:textId="77777777" w:rsidR="00011CE5" w:rsidRPr="00284C3B" w:rsidRDefault="00011CE5" w:rsidP="00EE6368">
            <w:pPr>
              <w:ind w:right="-14"/>
              <w:rPr>
                <w:rFonts w:cs="Arial"/>
                <w:color w:val="000000"/>
                <w:szCs w:val="24"/>
              </w:rPr>
            </w:pPr>
            <w:r w:rsidRPr="00284C3B">
              <w:rPr>
                <w:rFonts w:cs="Arial"/>
                <w:color w:val="000000"/>
                <w:szCs w:val="24"/>
              </w:rPr>
              <w:t>Provides an adequate budget narrative describing each line item and how each pr</w:t>
            </w:r>
            <w:r w:rsidRPr="00284C3B">
              <w:rPr>
                <w:rFonts w:cs="Arial"/>
                <w:iCs/>
                <w:szCs w:val="24"/>
              </w:rPr>
              <w:t>oposed cost is necessary and reasonable in terms of project activities, benefits to participants, and project outcomes.</w:t>
            </w:r>
          </w:p>
        </w:tc>
        <w:tc>
          <w:tcPr>
            <w:tcW w:w="3411" w:type="dxa"/>
          </w:tcPr>
          <w:p w14:paraId="38F88577" w14:textId="77777777" w:rsidR="00011CE5" w:rsidRPr="00284C3B" w:rsidRDefault="00011CE5" w:rsidP="00EE6368">
            <w:pPr>
              <w:ind w:right="-14"/>
              <w:rPr>
                <w:rFonts w:cs="Arial"/>
                <w:color w:val="000000"/>
                <w:szCs w:val="24"/>
              </w:rPr>
            </w:pPr>
            <w:r w:rsidRPr="00284C3B">
              <w:rPr>
                <w:rFonts w:cs="Arial"/>
                <w:color w:val="000000"/>
                <w:szCs w:val="24"/>
              </w:rPr>
              <w:t>Provides a marginal budget narrative describing each line item and how each pr</w:t>
            </w:r>
            <w:r w:rsidRPr="00284C3B">
              <w:rPr>
                <w:rFonts w:cs="Arial"/>
                <w:iCs/>
                <w:szCs w:val="24"/>
              </w:rPr>
              <w:t>oposed cost is necessary and reasonable in terms of project activities, benefits to participants, and project outcomes.</w:t>
            </w:r>
          </w:p>
        </w:tc>
      </w:tr>
    </w:tbl>
    <w:p w14:paraId="711F1FA0" w14:textId="77777777" w:rsidR="0062770F" w:rsidRDefault="0062770F" w:rsidP="00BD3742"/>
    <w:p w14:paraId="520D342F" w14:textId="77777777" w:rsidR="00BA2F4D" w:rsidRDefault="00BA2F4D" w:rsidP="00BD3742">
      <w:pPr>
        <w:sectPr w:rsidR="00BA2F4D">
          <w:footerReference w:type="default" r:id="rId29"/>
          <w:pgSz w:w="15840" w:h="12240" w:orient="landscape"/>
          <w:pgMar w:top="1440" w:right="1440" w:bottom="1440" w:left="1440" w:header="720" w:footer="720" w:gutter="0"/>
          <w:cols w:space="720"/>
          <w:docGrid w:linePitch="360"/>
        </w:sectPr>
      </w:pPr>
    </w:p>
    <w:p w14:paraId="5F97E10A" w14:textId="77777777" w:rsidR="0062770F" w:rsidRPr="00176707" w:rsidRDefault="00BA2F4D" w:rsidP="00176707">
      <w:pPr>
        <w:pStyle w:val="Heading2"/>
        <w:spacing w:before="2520"/>
        <w:jc w:val="center"/>
        <w:rPr>
          <w:sz w:val="96"/>
        </w:rPr>
      </w:pPr>
      <w:bookmarkStart w:id="69" w:name="_Toc86997823"/>
      <w:r w:rsidRPr="00176707">
        <w:rPr>
          <w:sz w:val="96"/>
        </w:rPr>
        <w:lastRenderedPageBreak/>
        <w:t>Appendices</w:t>
      </w:r>
      <w:bookmarkEnd w:id="69"/>
    </w:p>
    <w:p w14:paraId="60A12109" w14:textId="77777777" w:rsidR="00BA2F4D" w:rsidRDefault="00BA2F4D" w:rsidP="00BA2F4D">
      <w:pPr>
        <w:spacing w:before="1920"/>
      </w:pPr>
    </w:p>
    <w:p w14:paraId="207D3F65" w14:textId="77777777" w:rsidR="00BA2F4D" w:rsidRDefault="00BA2F4D" w:rsidP="00BA2F4D">
      <w:pPr>
        <w:spacing w:before="1920"/>
        <w:sectPr w:rsidR="00BA2F4D">
          <w:pgSz w:w="12240" w:h="15840"/>
          <w:pgMar w:top="1440" w:right="1440" w:bottom="1440" w:left="1440" w:header="720" w:footer="720" w:gutter="0"/>
          <w:cols w:space="720"/>
          <w:docGrid w:linePitch="360"/>
        </w:sectPr>
      </w:pPr>
    </w:p>
    <w:p w14:paraId="7FF5D975" w14:textId="77777777" w:rsidR="009E3B7F" w:rsidRPr="00AF2839" w:rsidRDefault="006D6E05" w:rsidP="00176707">
      <w:pPr>
        <w:pStyle w:val="Heading3"/>
        <w:numPr>
          <w:ilvl w:val="0"/>
          <w:numId w:val="0"/>
        </w:numPr>
        <w:jc w:val="center"/>
      </w:pPr>
      <w:bookmarkStart w:id="70" w:name="_Toc86997824"/>
      <w:r>
        <w:lastRenderedPageBreak/>
        <w:t>A</w:t>
      </w:r>
      <w:r w:rsidR="0077188A">
        <w:t>ppendix</w:t>
      </w:r>
      <w:r>
        <w:t xml:space="preserve"> A</w:t>
      </w:r>
      <w:r w:rsidR="009E3B7F" w:rsidRPr="00AF2839">
        <w:t>: Online Application Instructions</w:t>
      </w:r>
      <w:bookmarkEnd w:id="70"/>
    </w:p>
    <w:p w14:paraId="15A4608E" w14:textId="234D2E35" w:rsidR="009E3B7F" w:rsidRPr="00AF2839" w:rsidRDefault="009E3B7F" w:rsidP="009E3B7F">
      <w:r w:rsidRPr="00AF2839">
        <w:t xml:space="preserve">Applicants should use the instructions below for filling out the </w:t>
      </w:r>
      <w:r w:rsidR="0086599F">
        <w:rPr>
          <w:rFonts w:cs="Arial"/>
          <w:color w:val="000000"/>
          <w:shd w:val="clear" w:color="auto" w:fill="FFFFFF"/>
        </w:rPr>
        <w:t xml:space="preserve">Scaling Up Multi-tiered System of Support </w:t>
      </w:r>
      <w:r w:rsidR="004867BF">
        <w:rPr>
          <w:rFonts w:cs="Arial"/>
          <w:color w:val="000000"/>
          <w:shd w:val="clear" w:color="auto" w:fill="FFFFFF"/>
        </w:rPr>
        <w:t xml:space="preserve">(MTSS) </w:t>
      </w:r>
      <w:r w:rsidR="0086599F">
        <w:rPr>
          <w:rFonts w:cs="Arial"/>
          <w:color w:val="000000"/>
          <w:shd w:val="clear" w:color="auto" w:fill="FFFFFF"/>
        </w:rPr>
        <w:t>Statewide</w:t>
      </w:r>
      <w:r w:rsidR="0086599F" w:rsidRPr="00D71848">
        <w:rPr>
          <w:rFonts w:cs="Arial"/>
          <w:color w:val="000000"/>
          <w:shd w:val="clear" w:color="auto" w:fill="FFFFFF"/>
        </w:rPr>
        <w:t xml:space="preserve"> </w:t>
      </w:r>
      <w:r w:rsidR="0086599F">
        <w:rPr>
          <w:rFonts w:cs="Arial"/>
          <w:color w:val="000000"/>
          <w:shd w:val="clear" w:color="auto" w:fill="FFFFFF"/>
        </w:rPr>
        <w:t>(</w:t>
      </w:r>
      <w:r w:rsidR="0086599F" w:rsidRPr="00D71848">
        <w:rPr>
          <w:rFonts w:cs="Arial"/>
          <w:color w:val="000000"/>
          <w:shd w:val="clear" w:color="auto" w:fill="FFFFFF"/>
        </w:rPr>
        <w:t>SUMS</w:t>
      </w:r>
      <w:r w:rsidR="0086599F">
        <w:rPr>
          <w:rFonts w:cs="Arial"/>
          <w:color w:val="000000"/>
          <w:shd w:val="clear" w:color="auto" w:fill="FFFFFF"/>
        </w:rPr>
        <w:t>)</w:t>
      </w:r>
      <w:r w:rsidR="005245A2">
        <w:rPr>
          <w:szCs w:val="24"/>
        </w:rPr>
        <w:t>: Partner Entity</w:t>
      </w:r>
      <w:r w:rsidRPr="00AF2839">
        <w:t xml:space="preserve"> online application</w:t>
      </w:r>
      <w:r w:rsidR="00A37604">
        <w:t>, a link to which will be</w:t>
      </w:r>
      <w:r w:rsidRPr="00AF2839">
        <w:t xml:space="preserve"> available </w:t>
      </w:r>
      <w:r w:rsidR="00A37604">
        <w:t xml:space="preserve">on the </w:t>
      </w:r>
      <w:r w:rsidR="0086599F">
        <w:t>Request for Applications (</w:t>
      </w:r>
      <w:r w:rsidR="00A37604">
        <w:t>RFA</w:t>
      </w:r>
      <w:r w:rsidR="0086599F">
        <w:t>)</w:t>
      </w:r>
      <w:r w:rsidR="00A37604">
        <w:t xml:space="preserve"> web page </w:t>
      </w:r>
      <w:r w:rsidRPr="00AF2839">
        <w:t xml:space="preserve">at </w:t>
      </w:r>
      <w:hyperlink r:id="rId30" w:history="1">
        <w:r w:rsidR="00A43238" w:rsidRPr="00730219">
          <w:rPr>
            <w:rStyle w:val="Hyperlink"/>
            <w:rFonts w:eastAsia="Arial"/>
          </w:rPr>
          <w:t>https://www.cde.ca.gov/ci/cr/ri/sumspartner.asp</w:t>
        </w:r>
      </w:hyperlink>
      <w:r w:rsidR="00461D0B" w:rsidRPr="00C40AEE">
        <w:rPr>
          <w:rFonts w:eastAsia="Arial"/>
        </w:rPr>
        <w:t>.</w:t>
      </w:r>
      <w:r w:rsidR="006D6E05">
        <w:rPr>
          <w:rFonts w:ascii="Calibri" w:hAnsi="Calibri" w:cs="Calibri"/>
          <w:color w:val="1F497D"/>
          <w:sz w:val="22"/>
        </w:rPr>
        <w:t xml:space="preserve"> </w:t>
      </w:r>
      <w:r w:rsidR="00A37604">
        <w:t>shortly after the RFA is released</w:t>
      </w:r>
      <w:r w:rsidRPr="00AF2839">
        <w:t xml:space="preserve">. Complete all required fields in the application, upload attachments, and provide the appropriate digital signature. The </w:t>
      </w:r>
      <w:r w:rsidR="00841802">
        <w:t>California Department of Education (</w:t>
      </w:r>
      <w:r w:rsidRPr="00AF2839">
        <w:t>CDE</w:t>
      </w:r>
      <w:r w:rsidR="004D2BAB">
        <w:t>)</w:t>
      </w:r>
      <w:r w:rsidRPr="00AF2839">
        <w:t xml:space="preserve"> must receive your online submission no later than 4 p.m. on </w:t>
      </w:r>
      <w:r w:rsidR="00A06C08" w:rsidRPr="00C40AEE">
        <w:t>December 1</w:t>
      </w:r>
      <w:r w:rsidR="00233F10" w:rsidRPr="00C40AEE">
        <w:t>7</w:t>
      </w:r>
      <w:r w:rsidRPr="00C40AEE">
        <w:t>, 202</w:t>
      </w:r>
      <w:r w:rsidR="00A06C08" w:rsidRPr="00C40AEE">
        <w:t>1</w:t>
      </w:r>
      <w:r w:rsidRPr="00AF2839">
        <w:t>.</w:t>
      </w:r>
    </w:p>
    <w:p w14:paraId="5E18F596" w14:textId="77777777" w:rsidR="009E3B7F" w:rsidRPr="00AF2839" w:rsidRDefault="009E3B7F" w:rsidP="00921531">
      <w:pPr>
        <w:spacing w:after="480"/>
      </w:pPr>
      <w:r w:rsidRPr="00AF2839">
        <w:t>You must adhere to character limits for each of the fields. Responses that exceed the character limits will not be captured by the system and will not be reviewed.</w:t>
      </w:r>
    </w:p>
    <w:p w14:paraId="7E9258B3" w14:textId="77777777" w:rsidR="009E3B7F" w:rsidRPr="0099432D" w:rsidRDefault="009E3B7F" w:rsidP="00176707">
      <w:pPr>
        <w:pStyle w:val="Heading4"/>
      </w:pPr>
      <w:r w:rsidRPr="0099432D">
        <w:t>Saving Responses</w:t>
      </w:r>
    </w:p>
    <w:p w14:paraId="4F61C9BB" w14:textId="77777777" w:rsidR="009E3B7F" w:rsidRPr="00AF2839" w:rsidRDefault="009E3B7F" w:rsidP="00921531">
      <w:pPr>
        <w:spacing w:after="480"/>
      </w:pPr>
      <w:r w:rsidRPr="00AF2839">
        <w:t>You must select the Save Responses button on the first page of the online application if you do not intend to complete the application in one session. Once you select the Save Responses button, a page will appear that asks for your email address. You will receive an email with a unique URL (web address) for entrance back in to the application. It is recommended that you copy the URL on the application page and save it in case you do not receive the confirmation email. This address will allow you to return to your application.</w:t>
      </w:r>
    </w:p>
    <w:p w14:paraId="7584EAC4" w14:textId="77777777" w:rsidR="009E3B7F" w:rsidRPr="0099432D" w:rsidRDefault="009E3B7F" w:rsidP="00176707">
      <w:pPr>
        <w:pStyle w:val="Heading4"/>
      </w:pPr>
      <w:r w:rsidRPr="0099432D">
        <w:t>Applicant Information</w:t>
      </w:r>
    </w:p>
    <w:tbl>
      <w:tblPr>
        <w:tblStyle w:val="GridTable41"/>
        <w:tblW w:w="9512" w:type="dxa"/>
        <w:tblLayout w:type="fixed"/>
        <w:tblLook w:val="0620" w:firstRow="1" w:lastRow="0" w:firstColumn="0" w:lastColumn="0" w:noHBand="1" w:noVBand="1"/>
        <w:tblDescription w:val="Applicant Information Table"/>
      </w:tblPr>
      <w:tblGrid>
        <w:gridCol w:w="2942"/>
        <w:gridCol w:w="6570"/>
      </w:tblGrid>
      <w:tr w:rsidR="009E3B7F" w:rsidRPr="00AF2839" w14:paraId="5391336E" w14:textId="77777777" w:rsidTr="00DD2E9A">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F4742" w14:textId="77777777" w:rsidR="009E3B7F" w:rsidRPr="00000038" w:rsidRDefault="009E3B7F" w:rsidP="00DD2E9A">
            <w:pPr>
              <w:spacing w:after="120"/>
              <w:jc w:val="center"/>
              <w:rPr>
                <w:b w:val="0"/>
                <w:color w:val="auto"/>
              </w:rPr>
            </w:pPr>
            <w:r w:rsidRPr="00000038">
              <w:rPr>
                <w:color w:val="auto"/>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D71BD" w14:textId="77777777" w:rsidR="009E3B7F" w:rsidRPr="00000038" w:rsidRDefault="009E3B7F" w:rsidP="00DD2E9A">
            <w:pPr>
              <w:spacing w:after="120"/>
              <w:jc w:val="center"/>
              <w:rPr>
                <w:b w:val="0"/>
                <w:color w:val="auto"/>
              </w:rPr>
            </w:pPr>
            <w:r w:rsidRPr="00000038">
              <w:rPr>
                <w:color w:val="auto"/>
              </w:rPr>
              <w:t>Instructions</w:t>
            </w:r>
          </w:p>
        </w:tc>
      </w:tr>
      <w:tr w:rsidR="00A2163F" w:rsidRPr="00730AF6" w14:paraId="4649FAAD" w14:textId="77777777" w:rsidTr="00DD2E9A">
        <w:trPr>
          <w:cantSplit/>
          <w:trHeight w:val="840"/>
        </w:trPr>
        <w:tc>
          <w:tcPr>
            <w:tcW w:w="2942" w:type="dxa"/>
            <w:tcBorders>
              <w:top w:val="single" w:sz="4" w:space="0" w:color="auto"/>
              <w:bottom w:val="single" w:sz="4" w:space="0" w:color="auto"/>
            </w:tcBorders>
            <w:shd w:val="clear" w:color="auto" w:fill="auto"/>
          </w:tcPr>
          <w:p w14:paraId="046EDFA7" w14:textId="77777777" w:rsidR="00A2163F" w:rsidRPr="00532905" w:rsidRDefault="00A2163F" w:rsidP="00DD2E9A">
            <w:pPr>
              <w:spacing w:after="120"/>
              <w:rPr>
                <w:rFonts w:cs="Arial"/>
                <w:b/>
                <w:szCs w:val="24"/>
              </w:rPr>
            </w:pPr>
            <w:r w:rsidRPr="00730AF6">
              <w:rPr>
                <w:rFonts w:cs="Arial"/>
                <w:szCs w:val="24"/>
              </w:rPr>
              <w:t>Project Director Information</w:t>
            </w:r>
          </w:p>
        </w:tc>
        <w:tc>
          <w:tcPr>
            <w:tcW w:w="6570" w:type="dxa"/>
            <w:tcBorders>
              <w:top w:val="single" w:sz="4" w:space="0" w:color="auto"/>
              <w:bottom w:val="single" w:sz="4" w:space="0" w:color="auto"/>
            </w:tcBorders>
            <w:shd w:val="clear" w:color="auto" w:fill="auto"/>
          </w:tcPr>
          <w:p w14:paraId="2C86B13B" w14:textId="77777777" w:rsidR="00A2163F" w:rsidRPr="00730AF6" w:rsidRDefault="00A2163F" w:rsidP="00DD2E9A">
            <w:pPr>
              <w:spacing w:after="120"/>
              <w:rPr>
                <w:rFonts w:cs="Arial"/>
                <w:szCs w:val="24"/>
              </w:rPr>
            </w:pPr>
            <w:r w:rsidRPr="00730AF6">
              <w:rPr>
                <w:rFonts w:cs="Arial"/>
                <w:szCs w:val="24"/>
              </w:rPr>
              <w:t xml:space="preserve">Please list the name of the person who will serve as the Project Director of the grant. This person will be the main point of contact between the CDE and the grantee. </w:t>
            </w:r>
          </w:p>
        </w:tc>
      </w:tr>
      <w:tr w:rsidR="00532905" w:rsidRPr="00730AF6" w14:paraId="41A8D93C" w14:textId="77777777" w:rsidTr="00DD2E9A">
        <w:trPr>
          <w:cantSplit/>
          <w:trHeight w:val="530"/>
        </w:trPr>
        <w:tc>
          <w:tcPr>
            <w:tcW w:w="2942" w:type="dxa"/>
            <w:tcBorders>
              <w:bottom w:val="single" w:sz="4" w:space="0" w:color="auto"/>
            </w:tcBorders>
            <w:shd w:val="clear" w:color="auto" w:fill="auto"/>
          </w:tcPr>
          <w:p w14:paraId="1F229B50" w14:textId="77777777" w:rsidR="00532905" w:rsidRPr="00532905" w:rsidRDefault="00532905" w:rsidP="00DD2E9A">
            <w:pPr>
              <w:pStyle w:val="ListParagraph"/>
              <w:numPr>
                <w:ilvl w:val="0"/>
                <w:numId w:val="21"/>
              </w:numPr>
              <w:spacing w:after="120"/>
              <w:ind w:left="690"/>
              <w:rPr>
                <w:rFonts w:cs="Arial"/>
                <w:szCs w:val="24"/>
              </w:rPr>
            </w:pPr>
            <w:r>
              <w:rPr>
                <w:rFonts w:cs="Arial"/>
                <w:szCs w:val="24"/>
              </w:rPr>
              <w:t xml:space="preserve">First </w:t>
            </w:r>
            <w:r w:rsidRPr="00730AF6">
              <w:rPr>
                <w:rFonts w:cs="Arial"/>
                <w:szCs w:val="24"/>
              </w:rPr>
              <w:t>Name</w:t>
            </w:r>
          </w:p>
        </w:tc>
        <w:tc>
          <w:tcPr>
            <w:tcW w:w="6570" w:type="dxa"/>
            <w:tcBorders>
              <w:bottom w:val="single" w:sz="4" w:space="0" w:color="auto"/>
            </w:tcBorders>
            <w:shd w:val="clear" w:color="auto" w:fill="auto"/>
          </w:tcPr>
          <w:p w14:paraId="0DAD0516" w14:textId="77777777" w:rsidR="00532905" w:rsidRPr="00730AF6" w:rsidRDefault="00532905" w:rsidP="00DD2E9A">
            <w:pPr>
              <w:spacing w:after="120"/>
              <w:rPr>
                <w:rFonts w:cs="Arial"/>
                <w:szCs w:val="24"/>
              </w:rPr>
            </w:pPr>
            <w:r>
              <w:rPr>
                <w:rFonts w:cs="Arial"/>
                <w:szCs w:val="24"/>
              </w:rPr>
              <w:t>Please provide the first name of the Project Director.</w:t>
            </w:r>
          </w:p>
        </w:tc>
      </w:tr>
      <w:tr w:rsidR="00532905" w:rsidRPr="00730AF6" w14:paraId="761FB5AA" w14:textId="77777777" w:rsidTr="00DD2E9A">
        <w:trPr>
          <w:cantSplit/>
          <w:trHeight w:val="79"/>
        </w:trPr>
        <w:tc>
          <w:tcPr>
            <w:tcW w:w="2942" w:type="dxa"/>
            <w:tcBorders>
              <w:bottom w:val="single" w:sz="4" w:space="0" w:color="auto"/>
            </w:tcBorders>
            <w:shd w:val="clear" w:color="auto" w:fill="auto"/>
          </w:tcPr>
          <w:p w14:paraId="05A2AE23" w14:textId="77777777" w:rsidR="00532905" w:rsidRDefault="00532905" w:rsidP="00DD2E9A">
            <w:pPr>
              <w:pStyle w:val="ListParagraph"/>
              <w:numPr>
                <w:ilvl w:val="0"/>
                <w:numId w:val="21"/>
              </w:numPr>
              <w:spacing w:after="120"/>
              <w:ind w:left="690"/>
              <w:rPr>
                <w:rFonts w:cs="Arial"/>
                <w:szCs w:val="24"/>
              </w:rPr>
            </w:pPr>
            <w:r>
              <w:rPr>
                <w:rFonts w:cs="Arial"/>
                <w:szCs w:val="24"/>
              </w:rPr>
              <w:t>Last Name</w:t>
            </w:r>
          </w:p>
        </w:tc>
        <w:tc>
          <w:tcPr>
            <w:tcW w:w="6570" w:type="dxa"/>
            <w:tcBorders>
              <w:bottom w:val="single" w:sz="4" w:space="0" w:color="auto"/>
            </w:tcBorders>
            <w:shd w:val="clear" w:color="auto" w:fill="auto"/>
          </w:tcPr>
          <w:p w14:paraId="4CFF384D" w14:textId="77777777" w:rsidR="00532905" w:rsidRDefault="00532905" w:rsidP="00DD2E9A">
            <w:pPr>
              <w:spacing w:after="120"/>
              <w:rPr>
                <w:rFonts w:cs="Arial"/>
                <w:szCs w:val="24"/>
              </w:rPr>
            </w:pPr>
            <w:r>
              <w:rPr>
                <w:rFonts w:cs="Arial"/>
                <w:szCs w:val="24"/>
              </w:rPr>
              <w:t>Please provide the last name of the Project Director</w:t>
            </w:r>
          </w:p>
        </w:tc>
      </w:tr>
      <w:tr w:rsidR="00532905" w:rsidRPr="00730AF6" w14:paraId="6D84B609" w14:textId="77777777" w:rsidTr="00DD2E9A">
        <w:trPr>
          <w:cantSplit/>
          <w:trHeight w:val="79"/>
        </w:trPr>
        <w:tc>
          <w:tcPr>
            <w:tcW w:w="2942" w:type="dxa"/>
            <w:tcBorders>
              <w:bottom w:val="single" w:sz="4" w:space="0" w:color="auto"/>
            </w:tcBorders>
            <w:shd w:val="clear" w:color="auto" w:fill="auto"/>
          </w:tcPr>
          <w:p w14:paraId="398936D7" w14:textId="77777777" w:rsidR="00532905" w:rsidRDefault="00532905" w:rsidP="00DD2E9A">
            <w:pPr>
              <w:pStyle w:val="ListParagraph"/>
              <w:numPr>
                <w:ilvl w:val="0"/>
                <w:numId w:val="21"/>
              </w:numPr>
              <w:spacing w:after="120"/>
              <w:ind w:left="690"/>
              <w:rPr>
                <w:rFonts w:cs="Arial"/>
                <w:szCs w:val="24"/>
              </w:rPr>
            </w:pPr>
            <w:r>
              <w:rPr>
                <w:rFonts w:cs="Arial"/>
                <w:szCs w:val="24"/>
              </w:rPr>
              <w:t>Title</w:t>
            </w:r>
          </w:p>
        </w:tc>
        <w:tc>
          <w:tcPr>
            <w:tcW w:w="6570" w:type="dxa"/>
            <w:tcBorders>
              <w:bottom w:val="single" w:sz="4" w:space="0" w:color="auto"/>
            </w:tcBorders>
            <w:shd w:val="clear" w:color="auto" w:fill="auto"/>
          </w:tcPr>
          <w:p w14:paraId="6009A826" w14:textId="77777777" w:rsidR="00532905" w:rsidRPr="00532905" w:rsidRDefault="00532905" w:rsidP="00DD2E9A">
            <w:pPr>
              <w:spacing w:after="120"/>
              <w:rPr>
                <w:rFonts w:cs="Arial"/>
                <w:szCs w:val="24"/>
              </w:rPr>
            </w:pPr>
            <w:r>
              <w:rPr>
                <w:rFonts w:cs="Arial"/>
                <w:szCs w:val="24"/>
              </w:rPr>
              <w:t>Please provide the title of the Project Director</w:t>
            </w:r>
          </w:p>
        </w:tc>
      </w:tr>
      <w:tr w:rsidR="003F3975" w:rsidRPr="00B966C8" w14:paraId="30F5EE77"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B5C0CB1" w14:textId="77777777" w:rsidR="003F3975" w:rsidRPr="00DD2E9A" w:rsidRDefault="003F3975" w:rsidP="00DD2E9A">
            <w:pPr>
              <w:pStyle w:val="ListParagraph"/>
              <w:numPr>
                <w:ilvl w:val="0"/>
                <w:numId w:val="21"/>
              </w:numPr>
              <w:spacing w:after="120"/>
              <w:ind w:left="700"/>
              <w:rPr>
                <w:rFonts w:cs="Arial"/>
                <w:b w:val="0"/>
                <w:szCs w:val="24"/>
              </w:rPr>
            </w:pPr>
            <w:r w:rsidRPr="00DD2E9A">
              <w:rPr>
                <w:rFonts w:cs="Arial"/>
                <w:b w:val="0"/>
                <w:szCs w:val="24"/>
              </w:rPr>
              <w:t>Office</w:t>
            </w:r>
          </w:p>
        </w:tc>
        <w:tc>
          <w:tcPr>
            <w:tcW w:w="6570" w:type="dxa"/>
            <w:shd w:val="clear" w:color="auto" w:fill="auto"/>
          </w:tcPr>
          <w:p w14:paraId="355FA2D1" w14:textId="77777777" w:rsidR="003F3975" w:rsidRPr="00B966C8" w:rsidRDefault="003F3975"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B966C8">
              <w:rPr>
                <w:rFonts w:cs="Arial"/>
                <w:szCs w:val="24"/>
              </w:rPr>
              <w:t>Please provide the name of</w:t>
            </w:r>
            <w:r>
              <w:rPr>
                <w:rFonts w:cs="Arial"/>
                <w:szCs w:val="24"/>
              </w:rPr>
              <w:t xml:space="preserve"> the Project Director’s office.</w:t>
            </w:r>
          </w:p>
        </w:tc>
      </w:tr>
      <w:tr w:rsidR="003F3975" w:rsidRPr="00B966C8" w14:paraId="6E53095E" w14:textId="77777777" w:rsidTr="00DD2E9A">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5CA0A18" w14:textId="77777777" w:rsidR="003F3975" w:rsidRPr="00DD2E9A" w:rsidRDefault="003F3975" w:rsidP="00DD2E9A">
            <w:pPr>
              <w:pStyle w:val="ListParagraph"/>
              <w:numPr>
                <w:ilvl w:val="0"/>
                <w:numId w:val="21"/>
              </w:numPr>
              <w:spacing w:after="120"/>
              <w:rPr>
                <w:rFonts w:cs="Arial"/>
                <w:b w:val="0"/>
                <w:szCs w:val="24"/>
              </w:rPr>
            </w:pPr>
            <w:r w:rsidRPr="00DD2E9A">
              <w:rPr>
                <w:rFonts w:cs="Arial"/>
                <w:b w:val="0"/>
                <w:szCs w:val="24"/>
              </w:rPr>
              <w:t>Telephone</w:t>
            </w:r>
          </w:p>
        </w:tc>
        <w:tc>
          <w:tcPr>
            <w:tcW w:w="6570" w:type="dxa"/>
            <w:shd w:val="clear" w:color="auto" w:fill="auto"/>
          </w:tcPr>
          <w:p w14:paraId="12F223C5" w14:textId="77777777" w:rsidR="003F3975" w:rsidRPr="00B966C8" w:rsidRDefault="003F3975"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sidRPr="00D250BC">
              <w:rPr>
                <w:rFonts w:cs="Arial"/>
                <w:szCs w:val="24"/>
              </w:rPr>
              <w:t>Please provide the Project Director’s telephone number. This number will be used to contact t</w:t>
            </w:r>
            <w:r>
              <w:rPr>
                <w:rFonts w:cs="Arial"/>
                <w:szCs w:val="24"/>
              </w:rPr>
              <w:t>he Project Director, if needed.</w:t>
            </w:r>
          </w:p>
        </w:tc>
      </w:tr>
      <w:tr w:rsidR="003F3975" w:rsidRPr="00B966C8" w14:paraId="0127685B"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29B3BF6" w14:textId="77777777" w:rsidR="003F3975" w:rsidRPr="00DD2E9A" w:rsidRDefault="003F3975" w:rsidP="00DD2E9A">
            <w:pPr>
              <w:pStyle w:val="ListParagraph"/>
              <w:numPr>
                <w:ilvl w:val="0"/>
                <w:numId w:val="21"/>
              </w:numPr>
              <w:spacing w:after="120"/>
              <w:rPr>
                <w:rFonts w:cs="Arial"/>
                <w:b w:val="0"/>
                <w:szCs w:val="24"/>
              </w:rPr>
            </w:pPr>
            <w:r w:rsidRPr="00DD2E9A">
              <w:rPr>
                <w:rFonts w:cs="Arial"/>
                <w:b w:val="0"/>
                <w:szCs w:val="24"/>
              </w:rPr>
              <w:t>Telephone Extension</w:t>
            </w:r>
          </w:p>
        </w:tc>
        <w:tc>
          <w:tcPr>
            <w:tcW w:w="6570" w:type="dxa"/>
            <w:shd w:val="clear" w:color="auto" w:fill="auto"/>
          </w:tcPr>
          <w:p w14:paraId="1857F38F" w14:textId="77777777" w:rsidR="003F3975" w:rsidRPr="00B966C8" w:rsidRDefault="003F3975"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D250BC">
              <w:rPr>
                <w:rFonts w:cs="Arial"/>
                <w:szCs w:val="24"/>
              </w:rPr>
              <w:t xml:space="preserve">Please provide the Project Director’s telephone </w:t>
            </w:r>
            <w:r>
              <w:rPr>
                <w:rFonts w:cs="Arial"/>
                <w:szCs w:val="24"/>
              </w:rPr>
              <w:t>extension number, if necessary.</w:t>
            </w:r>
          </w:p>
        </w:tc>
      </w:tr>
      <w:tr w:rsidR="003F3975" w:rsidRPr="00B966C8" w14:paraId="0E83256D" w14:textId="77777777" w:rsidTr="00DD2E9A">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FDB2666" w14:textId="77777777" w:rsidR="003F3975" w:rsidRPr="00DD2E9A" w:rsidRDefault="003F3975" w:rsidP="00DD2E9A">
            <w:pPr>
              <w:pStyle w:val="ListParagraph"/>
              <w:numPr>
                <w:ilvl w:val="0"/>
                <w:numId w:val="21"/>
              </w:numPr>
              <w:spacing w:after="120"/>
              <w:rPr>
                <w:rFonts w:cs="Arial"/>
                <w:b w:val="0"/>
                <w:szCs w:val="24"/>
              </w:rPr>
            </w:pPr>
            <w:r w:rsidRPr="00DD2E9A">
              <w:rPr>
                <w:rFonts w:cs="Arial"/>
                <w:b w:val="0"/>
                <w:szCs w:val="24"/>
              </w:rPr>
              <w:lastRenderedPageBreak/>
              <w:t>Email Address</w:t>
            </w:r>
          </w:p>
        </w:tc>
        <w:tc>
          <w:tcPr>
            <w:tcW w:w="6570" w:type="dxa"/>
            <w:shd w:val="clear" w:color="auto" w:fill="auto"/>
          </w:tcPr>
          <w:p w14:paraId="755D11DC" w14:textId="77777777" w:rsidR="003F3975" w:rsidRPr="00B966C8" w:rsidRDefault="003F3975"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sidRPr="00D250BC">
              <w:rPr>
                <w:rFonts w:cs="Arial"/>
                <w:szCs w:val="24"/>
              </w:rPr>
              <w:t>Please provide the Project Director’s email address. Most communication with the grantee will be through email, so please ensure the email address is correctly inputted.</w:t>
            </w:r>
          </w:p>
        </w:tc>
      </w:tr>
      <w:tr w:rsidR="003F3975" w:rsidRPr="00AF2839" w14:paraId="28959FEE"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83F8DDA" w14:textId="77777777" w:rsidR="003F3975" w:rsidRPr="00DD2E9A" w:rsidRDefault="003F3975" w:rsidP="00DD2E9A">
            <w:pPr>
              <w:spacing w:after="120"/>
              <w:rPr>
                <w:b w:val="0"/>
              </w:rPr>
            </w:pPr>
            <w:r w:rsidRPr="00DD2E9A">
              <w:rPr>
                <w:b w:val="0"/>
                <w:szCs w:val="24"/>
              </w:rPr>
              <w:t>Name of Entity Applying</w:t>
            </w:r>
          </w:p>
        </w:tc>
        <w:tc>
          <w:tcPr>
            <w:tcW w:w="6570" w:type="dxa"/>
            <w:shd w:val="clear" w:color="auto" w:fill="auto"/>
          </w:tcPr>
          <w:p w14:paraId="1931DA6F" w14:textId="77777777" w:rsidR="003F3975" w:rsidRPr="00AF2839" w:rsidRDefault="003F3975" w:rsidP="00DD2E9A">
            <w:pPr>
              <w:spacing w:after="120"/>
              <w:cnfStyle w:val="000000100000" w:firstRow="0" w:lastRow="0" w:firstColumn="0" w:lastColumn="0" w:oddVBand="0" w:evenVBand="0" w:oddHBand="1" w:evenHBand="0" w:firstRowFirstColumn="0" w:firstRowLastColumn="0" w:lastRowFirstColumn="0" w:lastRowLastColumn="0"/>
            </w:pPr>
            <w:r w:rsidRPr="00AF2839">
              <w:rPr>
                <w:szCs w:val="24"/>
              </w:rPr>
              <w:t>Please provide the name of the</w:t>
            </w:r>
            <w:r>
              <w:rPr>
                <w:szCs w:val="24"/>
              </w:rPr>
              <w:t xml:space="preserve"> local educational agency (LEA)</w:t>
            </w:r>
            <w:r w:rsidRPr="00AF2839">
              <w:rPr>
                <w:szCs w:val="24"/>
              </w:rPr>
              <w:t xml:space="preserve"> applying for the grant.</w:t>
            </w:r>
          </w:p>
        </w:tc>
      </w:tr>
      <w:tr w:rsidR="003F3975" w:rsidRPr="00730AF6" w14:paraId="2324EBE6" w14:textId="77777777" w:rsidTr="00DD2E9A">
        <w:tblPrEx>
          <w:tblLook w:val="04A0" w:firstRow="1" w:lastRow="0" w:firstColumn="1" w:lastColumn="0" w:noHBand="0" w:noVBand="1"/>
        </w:tblPrEx>
        <w:trPr>
          <w:cantSplit/>
          <w:trHeight w:val="39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F252B81" w14:textId="77777777" w:rsidR="003F3975" w:rsidRPr="00DD2E9A" w:rsidRDefault="003F3975" w:rsidP="00DD2E9A">
            <w:pPr>
              <w:spacing w:after="120"/>
              <w:rPr>
                <w:rFonts w:cs="Arial"/>
                <w:b w:val="0"/>
                <w:szCs w:val="24"/>
              </w:rPr>
            </w:pPr>
            <w:r w:rsidRPr="00DD2E9A">
              <w:rPr>
                <w:rFonts w:cs="Arial"/>
                <w:b w:val="0"/>
                <w:szCs w:val="24"/>
              </w:rPr>
              <w:t>Applicant Address</w:t>
            </w:r>
          </w:p>
        </w:tc>
        <w:tc>
          <w:tcPr>
            <w:tcW w:w="6570" w:type="dxa"/>
            <w:shd w:val="clear" w:color="auto" w:fill="auto"/>
          </w:tcPr>
          <w:p w14:paraId="2002B6A0" w14:textId="494C42B5" w:rsidR="003F3975" w:rsidRPr="00730AF6" w:rsidRDefault="00DD2E9A"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Type in the applicant address. </w:t>
            </w:r>
          </w:p>
        </w:tc>
      </w:tr>
      <w:tr w:rsidR="003F3975" w14:paraId="5A5E8D00"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953"/>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A7A8CE0" w14:textId="77777777" w:rsidR="003F3975" w:rsidRPr="00DD2E9A" w:rsidRDefault="003F3975" w:rsidP="00DD2E9A">
            <w:pPr>
              <w:pStyle w:val="ListParagraph"/>
              <w:numPr>
                <w:ilvl w:val="0"/>
                <w:numId w:val="22"/>
              </w:numPr>
              <w:spacing w:after="120"/>
              <w:ind w:left="690"/>
              <w:rPr>
                <w:rFonts w:cs="Arial"/>
                <w:b w:val="0"/>
                <w:szCs w:val="24"/>
              </w:rPr>
            </w:pPr>
            <w:r w:rsidRPr="00DD2E9A">
              <w:rPr>
                <w:rFonts w:cs="Arial"/>
                <w:b w:val="0"/>
                <w:szCs w:val="24"/>
              </w:rPr>
              <w:t>Street Address</w:t>
            </w:r>
            <w:r w:rsidRPr="00DD2E9A">
              <w:rPr>
                <w:rFonts w:cs="Arial"/>
                <w:b w:val="0"/>
                <w:szCs w:val="24"/>
              </w:rPr>
              <w:br/>
              <w:t>(Ex: 1430 N Street)</w:t>
            </w:r>
          </w:p>
        </w:tc>
        <w:tc>
          <w:tcPr>
            <w:tcW w:w="6570" w:type="dxa"/>
            <w:shd w:val="clear" w:color="auto" w:fill="auto"/>
          </w:tcPr>
          <w:p w14:paraId="2A7B61AA" w14:textId="77777777" w:rsidR="003F3975" w:rsidRDefault="003F3975"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730AF6">
              <w:rPr>
                <w:rFonts w:cs="Arial"/>
                <w:szCs w:val="24"/>
              </w:rPr>
              <w:t>Please provide the street address o</w:t>
            </w:r>
            <w:r>
              <w:rPr>
                <w:rFonts w:cs="Arial"/>
                <w:szCs w:val="24"/>
              </w:rPr>
              <w:t>f the applying entity.</w:t>
            </w:r>
          </w:p>
        </w:tc>
      </w:tr>
      <w:tr w:rsidR="003F3975" w:rsidRPr="00730AF6" w14:paraId="36C98CEE" w14:textId="77777777" w:rsidTr="00DD2E9A">
        <w:tblPrEx>
          <w:tblLook w:val="04A0" w:firstRow="1" w:lastRow="0" w:firstColumn="1" w:lastColumn="0" w:noHBand="0" w:noVBand="1"/>
        </w:tblPrEx>
        <w:trPr>
          <w:cantSplit/>
          <w:trHeight w:val="48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8541575" w14:textId="77777777" w:rsidR="003F3975" w:rsidRPr="00DD2E9A" w:rsidRDefault="003F3975" w:rsidP="00DD2E9A">
            <w:pPr>
              <w:pStyle w:val="ListParagraph"/>
              <w:numPr>
                <w:ilvl w:val="0"/>
                <w:numId w:val="22"/>
              </w:numPr>
              <w:spacing w:after="120"/>
              <w:ind w:left="690"/>
              <w:rPr>
                <w:rFonts w:cs="Arial"/>
                <w:b w:val="0"/>
                <w:szCs w:val="24"/>
              </w:rPr>
            </w:pPr>
            <w:r w:rsidRPr="00DD2E9A">
              <w:rPr>
                <w:rFonts w:cs="Arial"/>
                <w:b w:val="0"/>
                <w:szCs w:val="24"/>
              </w:rPr>
              <w:t>City</w:t>
            </w:r>
          </w:p>
        </w:tc>
        <w:tc>
          <w:tcPr>
            <w:tcW w:w="6570" w:type="dxa"/>
            <w:shd w:val="clear" w:color="auto" w:fill="auto"/>
          </w:tcPr>
          <w:p w14:paraId="4CC82F40" w14:textId="77777777" w:rsidR="003F3975" w:rsidRPr="00730AF6" w:rsidRDefault="003F3975"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sidRPr="00730AF6">
              <w:rPr>
                <w:rFonts w:cs="Arial"/>
                <w:szCs w:val="24"/>
              </w:rPr>
              <w:t>Please provide the city where the applying entity is located.</w:t>
            </w:r>
          </w:p>
        </w:tc>
      </w:tr>
      <w:tr w:rsidR="003F3975" w:rsidRPr="00730AF6" w14:paraId="4F70C00D"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61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D3068C4" w14:textId="77777777" w:rsidR="003F3975" w:rsidRPr="00DD2E9A" w:rsidRDefault="003F3975" w:rsidP="00DD2E9A">
            <w:pPr>
              <w:pStyle w:val="ListParagraph"/>
              <w:numPr>
                <w:ilvl w:val="0"/>
                <w:numId w:val="22"/>
              </w:numPr>
              <w:spacing w:after="120"/>
              <w:ind w:left="690"/>
              <w:rPr>
                <w:rFonts w:cs="Arial"/>
                <w:b w:val="0"/>
                <w:szCs w:val="24"/>
              </w:rPr>
            </w:pPr>
            <w:r w:rsidRPr="00DD2E9A">
              <w:rPr>
                <w:rFonts w:cs="Arial"/>
                <w:b w:val="0"/>
                <w:szCs w:val="24"/>
              </w:rPr>
              <w:t>State</w:t>
            </w:r>
            <w:r w:rsidRPr="00DD2E9A">
              <w:rPr>
                <w:rFonts w:cs="Arial"/>
                <w:b w:val="0"/>
                <w:szCs w:val="24"/>
              </w:rPr>
              <w:br/>
              <w:t>(Ex: CA)</w:t>
            </w:r>
          </w:p>
        </w:tc>
        <w:tc>
          <w:tcPr>
            <w:tcW w:w="6570" w:type="dxa"/>
            <w:shd w:val="clear" w:color="auto" w:fill="auto"/>
          </w:tcPr>
          <w:p w14:paraId="75300D07" w14:textId="77777777" w:rsidR="003F3975" w:rsidRPr="00730AF6" w:rsidRDefault="003F3975"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730AF6">
              <w:rPr>
                <w:rFonts w:cs="Arial"/>
                <w:szCs w:val="24"/>
              </w:rPr>
              <w:t>Please provide the state where the applying entity is located.</w:t>
            </w:r>
          </w:p>
        </w:tc>
      </w:tr>
      <w:tr w:rsidR="003F3975" w:rsidRPr="00730AF6" w14:paraId="61E9EACF" w14:textId="77777777" w:rsidTr="00DD2E9A">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3848BF7" w14:textId="77777777" w:rsidR="003F3975" w:rsidRPr="00DD2E9A" w:rsidRDefault="003F3975" w:rsidP="00DD2E9A">
            <w:pPr>
              <w:pStyle w:val="ListParagraph"/>
              <w:numPr>
                <w:ilvl w:val="0"/>
                <w:numId w:val="22"/>
              </w:numPr>
              <w:spacing w:after="120"/>
              <w:ind w:left="690"/>
              <w:rPr>
                <w:rFonts w:cs="Arial"/>
                <w:b w:val="0"/>
                <w:szCs w:val="24"/>
              </w:rPr>
            </w:pPr>
            <w:r w:rsidRPr="00DD2E9A">
              <w:rPr>
                <w:rFonts w:cs="Arial"/>
                <w:b w:val="0"/>
                <w:szCs w:val="24"/>
              </w:rPr>
              <w:t>Zip Code</w:t>
            </w:r>
            <w:r w:rsidRPr="00DD2E9A">
              <w:rPr>
                <w:rFonts w:cs="Arial"/>
                <w:b w:val="0"/>
                <w:szCs w:val="24"/>
              </w:rPr>
              <w:br/>
              <w:t>(5-digit: 00000)</w:t>
            </w:r>
          </w:p>
        </w:tc>
        <w:tc>
          <w:tcPr>
            <w:tcW w:w="6570" w:type="dxa"/>
            <w:shd w:val="clear" w:color="auto" w:fill="auto"/>
          </w:tcPr>
          <w:p w14:paraId="7EFA4304" w14:textId="77777777" w:rsidR="003F3975" w:rsidRPr="00730AF6" w:rsidRDefault="003F3975"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sidRPr="00730AF6">
              <w:rPr>
                <w:rFonts w:cs="Arial"/>
                <w:szCs w:val="24"/>
              </w:rPr>
              <w:t>Please provide the zip code where the applying entity is located.</w:t>
            </w:r>
          </w:p>
        </w:tc>
      </w:tr>
      <w:tr w:rsidR="00DD2E9A" w:rsidRPr="00730AF6" w14:paraId="09075090"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142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D7EDE0E" w14:textId="77777777" w:rsidR="00DD2E9A" w:rsidRPr="00DD2E9A" w:rsidRDefault="00DD2E9A" w:rsidP="00DD2E9A">
            <w:pPr>
              <w:spacing w:after="120"/>
              <w:rPr>
                <w:rFonts w:cs="Arial"/>
                <w:b w:val="0"/>
                <w:szCs w:val="24"/>
              </w:rPr>
            </w:pPr>
            <w:r w:rsidRPr="00DD2E9A">
              <w:rPr>
                <w:rFonts w:cs="Arial"/>
                <w:b w:val="0"/>
                <w:szCs w:val="24"/>
              </w:rPr>
              <w:t>Fiscal Agent Information (optional)</w:t>
            </w:r>
          </w:p>
        </w:tc>
        <w:tc>
          <w:tcPr>
            <w:tcW w:w="6570" w:type="dxa"/>
            <w:shd w:val="clear" w:color="auto" w:fill="auto"/>
          </w:tcPr>
          <w:p w14:paraId="571984C5" w14:textId="77777777" w:rsidR="00DD2E9A" w:rsidRPr="00730AF6" w:rsidRDefault="00DD2E9A"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730AF6">
              <w:rPr>
                <w:rFonts w:cs="Arial"/>
                <w:szCs w:val="24"/>
              </w:rPr>
              <w:t xml:space="preserve">Please list the name of the person who will serve as the Fiscal Agent of the grant if this person is different from the Project Director. This person will be included on communications regarding budget and accounting for the grant. </w:t>
            </w:r>
          </w:p>
        </w:tc>
      </w:tr>
      <w:tr w:rsidR="00DD2E9A" w:rsidRPr="00730AF6" w14:paraId="5DDF3500" w14:textId="77777777" w:rsidTr="00DD2E9A">
        <w:tblPrEx>
          <w:tblLook w:val="04A0" w:firstRow="1" w:lastRow="0" w:firstColumn="1" w:lastColumn="0" w:noHBand="0" w:noVBand="1"/>
        </w:tblPrEx>
        <w:trPr>
          <w:cantSplit/>
          <w:trHeight w:val="45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8AA535D" w14:textId="77777777" w:rsidR="00DD2E9A" w:rsidRPr="00DD2E9A" w:rsidRDefault="00DD2E9A" w:rsidP="00DD2E9A">
            <w:pPr>
              <w:pStyle w:val="ListParagraph"/>
              <w:numPr>
                <w:ilvl w:val="0"/>
                <w:numId w:val="23"/>
              </w:numPr>
              <w:spacing w:after="120"/>
              <w:ind w:left="690"/>
              <w:rPr>
                <w:rFonts w:cs="Arial"/>
                <w:b w:val="0"/>
                <w:szCs w:val="24"/>
              </w:rPr>
            </w:pPr>
            <w:r w:rsidRPr="00DD2E9A">
              <w:rPr>
                <w:rFonts w:cs="Arial"/>
                <w:b w:val="0"/>
                <w:szCs w:val="24"/>
              </w:rPr>
              <w:t>First Name</w:t>
            </w:r>
          </w:p>
        </w:tc>
        <w:tc>
          <w:tcPr>
            <w:tcW w:w="6570" w:type="dxa"/>
            <w:shd w:val="clear" w:color="auto" w:fill="auto"/>
          </w:tcPr>
          <w:p w14:paraId="394D19B0" w14:textId="77777777" w:rsidR="00DD2E9A" w:rsidRPr="00730AF6" w:rsidRDefault="00DD2E9A"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Please provide the first name of the Fiscal Agent.</w:t>
            </w:r>
          </w:p>
        </w:tc>
      </w:tr>
      <w:tr w:rsidR="00DD2E9A" w:rsidRPr="00730AF6" w14:paraId="748E77BB"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9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7012674" w14:textId="77777777" w:rsidR="00DD2E9A" w:rsidRPr="00DD2E9A" w:rsidRDefault="00DD2E9A" w:rsidP="00DD2E9A">
            <w:pPr>
              <w:pStyle w:val="ListParagraph"/>
              <w:numPr>
                <w:ilvl w:val="0"/>
                <w:numId w:val="23"/>
              </w:numPr>
              <w:spacing w:after="120"/>
              <w:ind w:left="690"/>
              <w:rPr>
                <w:rFonts w:cs="Arial"/>
                <w:b w:val="0"/>
                <w:szCs w:val="24"/>
              </w:rPr>
            </w:pPr>
            <w:r w:rsidRPr="00DD2E9A">
              <w:rPr>
                <w:rFonts w:cs="Arial"/>
                <w:b w:val="0"/>
                <w:szCs w:val="24"/>
              </w:rPr>
              <w:t>Last Name</w:t>
            </w:r>
          </w:p>
        </w:tc>
        <w:tc>
          <w:tcPr>
            <w:tcW w:w="6570" w:type="dxa"/>
            <w:shd w:val="clear" w:color="auto" w:fill="auto"/>
          </w:tcPr>
          <w:p w14:paraId="622D07BB" w14:textId="77777777" w:rsidR="00DD2E9A" w:rsidRDefault="00DD2E9A"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Please provide the last name of the Fiscal Agent.</w:t>
            </w:r>
          </w:p>
        </w:tc>
      </w:tr>
      <w:tr w:rsidR="00DD2E9A" w:rsidRPr="00730AF6" w14:paraId="6427146A" w14:textId="77777777" w:rsidTr="00DD2E9A">
        <w:tblPrEx>
          <w:tblLook w:val="04A0" w:firstRow="1" w:lastRow="0" w:firstColumn="1" w:lastColumn="0" w:noHBand="0" w:noVBand="1"/>
        </w:tblPrEx>
        <w:trPr>
          <w:cantSplit/>
          <w:trHeight w:val="36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894493B" w14:textId="77777777" w:rsidR="00DD2E9A" w:rsidRPr="00DD2E9A" w:rsidRDefault="00DD2E9A" w:rsidP="00DD2E9A">
            <w:pPr>
              <w:pStyle w:val="ListParagraph"/>
              <w:numPr>
                <w:ilvl w:val="0"/>
                <w:numId w:val="23"/>
              </w:numPr>
              <w:spacing w:after="120"/>
              <w:ind w:left="690"/>
              <w:rPr>
                <w:rFonts w:cs="Arial"/>
                <w:b w:val="0"/>
                <w:szCs w:val="24"/>
              </w:rPr>
            </w:pPr>
            <w:r w:rsidRPr="00DD2E9A">
              <w:rPr>
                <w:rFonts w:cs="Arial"/>
                <w:b w:val="0"/>
                <w:szCs w:val="24"/>
              </w:rPr>
              <w:t>Title</w:t>
            </w:r>
          </w:p>
        </w:tc>
        <w:tc>
          <w:tcPr>
            <w:tcW w:w="6570" w:type="dxa"/>
            <w:shd w:val="clear" w:color="auto" w:fill="auto"/>
          </w:tcPr>
          <w:p w14:paraId="0BCA1F7F" w14:textId="77777777" w:rsidR="00DD2E9A" w:rsidRDefault="00DD2E9A"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Please provide the title of the Fiscal Agent.</w:t>
            </w:r>
          </w:p>
        </w:tc>
      </w:tr>
      <w:tr w:rsidR="00DD2E9A" w:rsidRPr="00730AF6" w14:paraId="390107AC"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63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A471913" w14:textId="77777777" w:rsidR="00DD2E9A" w:rsidRPr="00DD2E9A" w:rsidRDefault="00DD2E9A" w:rsidP="00DD2E9A">
            <w:pPr>
              <w:pStyle w:val="ListParagraph"/>
              <w:numPr>
                <w:ilvl w:val="0"/>
                <w:numId w:val="23"/>
              </w:numPr>
              <w:spacing w:after="120"/>
              <w:ind w:left="690"/>
              <w:rPr>
                <w:rFonts w:cs="Arial"/>
                <w:b w:val="0"/>
                <w:szCs w:val="24"/>
              </w:rPr>
            </w:pPr>
            <w:r w:rsidRPr="00DD2E9A">
              <w:rPr>
                <w:rFonts w:cs="Arial"/>
                <w:b w:val="0"/>
                <w:szCs w:val="24"/>
              </w:rPr>
              <w:t>Telephone Number</w:t>
            </w:r>
          </w:p>
        </w:tc>
        <w:tc>
          <w:tcPr>
            <w:tcW w:w="6570" w:type="dxa"/>
            <w:shd w:val="clear" w:color="auto" w:fill="auto"/>
          </w:tcPr>
          <w:p w14:paraId="2499BD54" w14:textId="77777777" w:rsidR="00DD2E9A" w:rsidRPr="00730AF6" w:rsidRDefault="00DD2E9A"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730AF6">
              <w:rPr>
                <w:rFonts w:cs="Arial"/>
                <w:szCs w:val="24"/>
              </w:rPr>
              <w:t>Please provide the Fiscal Agent’s telephone number.</w:t>
            </w:r>
          </w:p>
        </w:tc>
      </w:tr>
      <w:tr w:rsidR="00DD2E9A" w:rsidRPr="00730AF6" w14:paraId="6EA8E299" w14:textId="77777777" w:rsidTr="00DD2E9A">
        <w:tblPrEx>
          <w:tblLook w:val="04A0" w:firstRow="1" w:lastRow="0" w:firstColumn="1" w:lastColumn="0" w:noHBand="0" w:noVBand="1"/>
        </w:tblPrEx>
        <w:trPr>
          <w:cantSplit/>
          <w:trHeight w:val="55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7902840" w14:textId="77777777" w:rsidR="00DD2E9A" w:rsidRPr="00DD2E9A" w:rsidRDefault="00DD2E9A" w:rsidP="00DD2E9A">
            <w:pPr>
              <w:pStyle w:val="ListParagraph"/>
              <w:numPr>
                <w:ilvl w:val="0"/>
                <w:numId w:val="23"/>
              </w:numPr>
              <w:spacing w:after="120"/>
              <w:ind w:left="690"/>
              <w:rPr>
                <w:rFonts w:cs="Arial"/>
                <w:b w:val="0"/>
                <w:szCs w:val="24"/>
              </w:rPr>
            </w:pPr>
            <w:r w:rsidRPr="00DD2E9A">
              <w:rPr>
                <w:rFonts w:cs="Arial"/>
                <w:b w:val="0"/>
                <w:szCs w:val="24"/>
              </w:rPr>
              <w:t>Telephone Extension</w:t>
            </w:r>
          </w:p>
        </w:tc>
        <w:tc>
          <w:tcPr>
            <w:tcW w:w="6570" w:type="dxa"/>
            <w:shd w:val="clear" w:color="auto" w:fill="auto"/>
          </w:tcPr>
          <w:p w14:paraId="70650620" w14:textId="77777777" w:rsidR="00DD2E9A" w:rsidRPr="00730AF6" w:rsidRDefault="00DD2E9A" w:rsidP="00DD2E9A">
            <w:pPr>
              <w:spacing w:after="120"/>
              <w:cnfStyle w:val="000000000000" w:firstRow="0" w:lastRow="0" w:firstColumn="0" w:lastColumn="0" w:oddVBand="0" w:evenVBand="0" w:oddHBand="0" w:evenHBand="0" w:firstRowFirstColumn="0" w:firstRowLastColumn="0" w:lastRowFirstColumn="0" w:lastRowLastColumn="0"/>
              <w:rPr>
                <w:rFonts w:cs="Arial"/>
                <w:szCs w:val="24"/>
              </w:rPr>
            </w:pPr>
            <w:r w:rsidRPr="00730AF6">
              <w:rPr>
                <w:rFonts w:cs="Arial"/>
                <w:szCs w:val="24"/>
              </w:rPr>
              <w:t>Please provide the Fiscal Agent’s telephone extension number, if needed.</w:t>
            </w:r>
          </w:p>
        </w:tc>
      </w:tr>
      <w:tr w:rsidR="00DD2E9A" w:rsidRPr="00730AF6" w14:paraId="4C43E7A5"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009F3DA" w14:textId="77777777" w:rsidR="00DD2E9A" w:rsidRPr="00DD2E9A" w:rsidRDefault="00DD2E9A" w:rsidP="00DD2E9A">
            <w:pPr>
              <w:pStyle w:val="ListParagraph"/>
              <w:numPr>
                <w:ilvl w:val="0"/>
                <w:numId w:val="23"/>
              </w:numPr>
              <w:spacing w:after="120"/>
              <w:ind w:left="690"/>
              <w:rPr>
                <w:rFonts w:cs="Arial"/>
                <w:b w:val="0"/>
                <w:szCs w:val="24"/>
              </w:rPr>
            </w:pPr>
            <w:r w:rsidRPr="00DD2E9A">
              <w:rPr>
                <w:rFonts w:cs="Arial"/>
                <w:b w:val="0"/>
                <w:szCs w:val="24"/>
              </w:rPr>
              <w:t>Email Address</w:t>
            </w:r>
          </w:p>
        </w:tc>
        <w:tc>
          <w:tcPr>
            <w:tcW w:w="6570" w:type="dxa"/>
            <w:shd w:val="clear" w:color="auto" w:fill="auto"/>
          </w:tcPr>
          <w:p w14:paraId="78DCDE2A" w14:textId="77777777" w:rsidR="00DD2E9A" w:rsidRPr="00730AF6" w:rsidRDefault="00DD2E9A" w:rsidP="00DD2E9A">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730AF6">
              <w:rPr>
                <w:rFonts w:cs="Arial"/>
                <w:szCs w:val="24"/>
              </w:rPr>
              <w:t>Please provide the Fiscal Agent’s email address.</w:t>
            </w:r>
          </w:p>
        </w:tc>
      </w:tr>
      <w:tr w:rsidR="00DD2E9A" w:rsidRPr="00AF2839" w14:paraId="445A1858"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41A7E7B" w14:textId="77777777" w:rsidR="00DD2E9A" w:rsidRPr="00DD2E9A" w:rsidRDefault="00DD2E9A" w:rsidP="00DD2E9A">
            <w:pPr>
              <w:spacing w:after="120"/>
              <w:rPr>
                <w:b w:val="0"/>
                <w:szCs w:val="24"/>
              </w:rPr>
            </w:pPr>
            <w:r w:rsidRPr="00DD2E9A">
              <w:rPr>
                <w:b w:val="0"/>
                <w:szCs w:val="24"/>
              </w:rPr>
              <w:t>Institute of Higher Education (IHE) or Nonprofit Organization Partners</w:t>
            </w:r>
          </w:p>
        </w:tc>
        <w:tc>
          <w:tcPr>
            <w:tcW w:w="6570" w:type="dxa"/>
            <w:shd w:val="clear" w:color="auto" w:fill="auto"/>
          </w:tcPr>
          <w:p w14:paraId="677310D8" w14:textId="77777777" w:rsidR="00DD2E9A" w:rsidRPr="00AF2839" w:rsidRDefault="00DD2E9A" w:rsidP="00DD2E9A">
            <w:pPr>
              <w:spacing w:after="120"/>
              <w:cnfStyle w:val="000000000000" w:firstRow="0" w:lastRow="0" w:firstColumn="0" w:lastColumn="0" w:oddVBand="0" w:evenVBand="0" w:oddHBand="0" w:evenHBand="0" w:firstRowFirstColumn="0" w:firstRowLastColumn="0" w:lastRowFirstColumn="0" w:lastRowLastColumn="0"/>
              <w:rPr>
                <w:szCs w:val="24"/>
              </w:rPr>
            </w:pPr>
            <w:r w:rsidRPr="00AF2839">
              <w:rPr>
                <w:szCs w:val="24"/>
              </w:rPr>
              <w:t xml:space="preserve">Please list any IHE or </w:t>
            </w:r>
            <w:r>
              <w:rPr>
                <w:szCs w:val="24"/>
              </w:rPr>
              <w:t>Nonprofit Organization</w:t>
            </w:r>
            <w:r w:rsidRPr="00AF2839">
              <w:rPr>
                <w:szCs w:val="24"/>
              </w:rPr>
              <w:t xml:space="preserve"> partners for this grant. </w:t>
            </w:r>
          </w:p>
        </w:tc>
      </w:tr>
      <w:tr w:rsidR="00DD2E9A" w:rsidRPr="00AF2839" w14:paraId="51552889"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F64B4B2" w14:textId="77777777" w:rsidR="00DD2E9A" w:rsidRPr="00DD2E9A" w:rsidRDefault="00DD2E9A" w:rsidP="00DD2E9A">
            <w:pPr>
              <w:spacing w:after="120"/>
              <w:rPr>
                <w:b w:val="0"/>
                <w:szCs w:val="24"/>
              </w:rPr>
            </w:pPr>
            <w:r w:rsidRPr="00DD2E9A">
              <w:rPr>
                <w:b w:val="0"/>
                <w:szCs w:val="24"/>
              </w:rPr>
              <w:t>Local Educational Agency Partners</w:t>
            </w:r>
          </w:p>
        </w:tc>
        <w:tc>
          <w:tcPr>
            <w:tcW w:w="6570" w:type="dxa"/>
            <w:shd w:val="clear" w:color="auto" w:fill="auto"/>
          </w:tcPr>
          <w:p w14:paraId="6574EA80" w14:textId="77777777" w:rsidR="00DD2E9A" w:rsidRPr="00AF2839" w:rsidRDefault="00DD2E9A" w:rsidP="00DD2E9A">
            <w:pPr>
              <w:spacing w:after="120"/>
              <w:cnfStyle w:val="000000100000" w:firstRow="0" w:lastRow="0" w:firstColumn="0" w:lastColumn="0" w:oddVBand="0" w:evenVBand="0" w:oddHBand="1" w:evenHBand="0" w:firstRowFirstColumn="0" w:firstRowLastColumn="0" w:lastRowFirstColumn="0" w:lastRowLastColumn="0"/>
              <w:rPr>
                <w:szCs w:val="24"/>
              </w:rPr>
            </w:pPr>
            <w:r w:rsidRPr="00AF2839">
              <w:rPr>
                <w:szCs w:val="24"/>
              </w:rPr>
              <w:t xml:space="preserve">Please list any </w:t>
            </w:r>
            <w:r>
              <w:rPr>
                <w:szCs w:val="24"/>
              </w:rPr>
              <w:t>LEA</w:t>
            </w:r>
            <w:r w:rsidRPr="00AF2839">
              <w:rPr>
                <w:szCs w:val="24"/>
              </w:rPr>
              <w:t xml:space="preserve"> partners for this grant. </w:t>
            </w:r>
          </w:p>
        </w:tc>
      </w:tr>
    </w:tbl>
    <w:p w14:paraId="74E4F003" w14:textId="77777777" w:rsidR="009E3B7F" w:rsidRPr="002E126B" w:rsidRDefault="0099432D" w:rsidP="00176707">
      <w:pPr>
        <w:pStyle w:val="Heading4"/>
      </w:pPr>
      <w:r>
        <w:lastRenderedPageBreak/>
        <w:t>Application Narrative</w:t>
      </w:r>
    </w:p>
    <w:tbl>
      <w:tblPr>
        <w:tblStyle w:val="GridTable41"/>
        <w:tblW w:w="9512" w:type="dxa"/>
        <w:tblLayout w:type="fixed"/>
        <w:tblLook w:val="0620" w:firstRow="1" w:lastRow="0" w:firstColumn="0" w:lastColumn="0" w:noHBand="1" w:noVBand="1"/>
        <w:tblDescription w:val="Application Narrative"/>
      </w:tblPr>
      <w:tblGrid>
        <w:gridCol w:w="2942"/>
        <w:gridCol w:w="6570"/>
      </w:tblGrid>
      <w:tr w:rsidR="009E3B7F" w:rsidRPr="00AF2839" w14:paraId="2CF001B0" w14:textId="77777777" w:rsidTr="00DD2E9A">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892D0" w14:textId="77777777" w:rsidR="009E3B7F" w:rsidRPr="00000038" w:rsidRDefault="009E3B7F" w:rsidP="00DD2E9A">
            <w:pPr>
              <w:spacing w:before="120" w:after="120"/>
              <w:jc w:val="center"/>
              <w:rPr>
                <w:b w:val="0"/>
                <w:color w:val="auto"/>
              </w:rPr>
            </w:pPr>
            <w:r w:rsidRPr="00000038">
              <w:rPr>
                <w:color w:val="auto"/>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E272" w14:textId="77777777" w:rsidR="009E3B7F" w:rsidRPr="00000038" w:rsidRDefault="009E3B7F" w:rsidP="00DD2E9A">
            <w:pPr>
              <w:spacing w:before="120" w:after="120"/>
              <w:jc w:val="center"/>
              <w:rPr>
                <w:b w:val="0"/>
                <w:color w:val="auto"/>
              </w:rPr>
            </w:pPr>
            <w:r w:rsidRPr="00000038">
              <w:rPr>
                <w:color w:val="auto"/>
              </w:rPr>
              <w:t>Instructions</w:t>
            </w:r>
          </w:p>
        </w:tc>
      </w:tr>
      <w:tr w:rsidR="009E3B7F" w:rsidRPr="00AF2839" w14:paraId="7938BC7F" w14:textId="77777777" w:rsidTr="00DD2E9A">
        <w:trPr>
          <w:cantSplit/>
        </w:trPr>
        <w:tc>
          <w:tcPr>
            <w:tcW w:w="2942" w:type="dxa"/>
            <w:tcBorders>
              <w:top w:val="single" w:sz="4" w:space="0" w:color="auto"/>
            </w:tcBorders>
          </w:tcPr>
          <w:p w14:paraId="0E7D815A" w14:textId="77777777" w:rsidR="009E3B7F" w:rsidRPr="00AF2839" w:rsidRDefault="00820B1C" w:rsidP="00DD2E9A">
            <w:pPr>
              <w:spacing w:before="120" w:after="120"/>
              <w:rPr>
                <w:b/>
                <w:szCs w:val="24"/>
              </w:rPr>
            </w:pPr>
            <w:r>
              <w:rPr>
                <w:b/>
                <w:szCs w:val="24"/>
              </w:rPr>
              <w:t>Theory of Action</w:t>
            </w:r>
          </w:p>
          <w:p w14:paraId="7FD806F3" w14:textId="77777777" w:rsidR="009E3B7F" w:rsidRPr="00AF2839" w:rsidRDefault="009E3B7F" w:rsidP="00DD2E9A">
            <w:pPr>
              <w:spacing w:before="120" w:after="120"/>
            </w:pPr>
            <w:r w:rsidRPr="00AF2839">
              <w:rPr>
                <w:szCs w:val="24"/>
              </w:rPr>
              <w:t>(</w:t>
            </w:r>
            <w:proofErr w:type="gramStart"/>
            <w:r w:rsidRPr="00AF2839">
              <w:rPr>
                <w:szCs w:val="24"/>
              </w:rPr>
              <w:t>5,000 character</w:t>
            </w:r>
            <w:proofErr w:type="gramEnd"/>
            <w:r w:rsidRPr="00AF2839">
              <w:rPr>
                <w:szCs w:val="24"/>
              </w:rPr>
              <w:t xml:space="preserve"> max)</w:t>
            </w:r>
          </w:p>
        </w:tc>
        <w:tc>
          <w:tcPr>
            <w:tcW w:w="6570" w:type="dxa"/>
            <w:tcBorders>
              <w:top w:val="single" w:sz="4" w:space="0" w:color="auto"/>
            </w:tcBorders>
          </w:tcPr>
          <w:p w14:paraId="27300B93" w14:textId="0F723295" w:rsidR="009E3B7F" w:rsidRPr="00DD2E9A" w:rsidRDefault="00831DFA" w:rsidP="00DD2E9A">
            <w:pPr>
              <w:spacing w:before="120" w:after="120"/>
              <w:rPr>
                <w:szCs w:val="24"/>
              </w:rPr>
            </w:pPr>
            <w:r w:rsidRPr="004470EC">
              <w:rPr>
                <w:szCs w:val="24"/>
              </w:rPr>
              <w:t xml:space="preserve">Articulate a theory of action which will lead to the improvement of </w:t>
            </w:r>
            <w:r w:rsidR="00277D16">
              <w:rPr>
                <w:rFonts w:cs="Arial"/>
                <w:szCs w:val="24"/>
              </w:rPr>
              <w:t>classroom and</w:t>
            </w:r>
            <w:r w:rsidR="00277D16" w:rsidRPr="004470EC">
              <w:rPr>
                <w:szCs w:val="24"/>
              </w:rPr>
              <w:t xml:space="preserve"> </w:t>
            </w:r>
            <w:r w:rsidRPr="004470EC">
              <w:rPr>
                <w:szCs w:val="24"/>
              </w:rPr>
              <w:t>school climate.</w:t>
            </w:r>
            <w:r w:rsidR="00820B1C" w:rsidRPr="00820B1C">
              <w:rPr>
                <w:szCs w:val="24"/>
              </w:rPr>
              <w:t xml:space="preserve"> </w:t>
            </w:r>
          </w:p>
        </w:tc>
      </w:tr>
      <w:tr w:rsidR="009E3B7F" w:rsidRPr="00AF2839" w14:paraId="358EAE02" w14:textId="77777777" w:rsidTr="00DD2E9A">
        <w:trPr>
          <w:cantSplit/>
        </w:trPr>
        <w:tc>
          <w:tcPr>
            <w:tcW w:w="2942" w:type="dxa"/>
          </w:tcPr>
          <w:p w14:paraId="10A459E3" w14:textId="77777777" w:rsidR="009E3B7F" w:rsidRPr="00AF2839" w:rsidRDefault="009048A2" w:rsidP="00DD2E9A">
            <w:pPr>
              <w:spacing w:before="120" w:after="120"/>
              <w:rPr>
                <w:b/>
                <w:szCs w:val="24"/>
              </w:rPr>
            </w:pPr>
            <w:r>
              <w:rPr>
                <w:b/>
                <w:szCs w:val="24"/>
              </w:rPr>
              <w:t>Proposed Activities</w:t>
            </w:r>
          </w:p>
          <w:p w14:paraId="0C1915C9" w14:textId="7015D9B7" w:rsidR="009E3B7F" w:rsidRPr="00AF2839" w:rsidRDefault="009E3B7F" w:rsidP="00DD2E9A">
            <w:pPr>
              <w:spacing w:before="120" w:after="120"/>
              <w:rPr>
                <w:b/>
                <w:szCs w:val="24"/>
              </w:rPr>
            </w:pPr>
            <w:r>
              <w:rPr>
                <w:szCs w:val="24"/>
              </w:rPr>
              <w:t>(</w:t>
            </w:r>
            <w:proofErr w:type="gramStart"/>
            <w:r w:rsidR="001A4B53">
              <w:rPr>
                <w:szCs w:val="24"/>
              </w:rPr>
              <w:t>2</w:t>
            </w:r>
            <w:r>
              <w:rPr>
                <w:szCs w:val="24"/>
              </w:rPr>
              <w:t>,5</w:t>
            </w:r>
            <w:r w:rsidRPr="00AF2839">
              <w:rPr>
                <w:szCs w:val="24"/>
              </w:rPr>
              <w:t>00 character</w:t>
            </w:r>
            <w:proofErr w:type="gramEnd"/>
            <w:r w:rsidRPr="00AF2839">
              <w:rPr>
                <w:szCs w:val="24"/>
              </w:rPr>
              <w:t xml:space="preserve"> max)</w:t>
            </w:r>
          </w:p>
        </w:tc>
        <w:tc>
          <w:tcPr>
            <w:tcW w:w="6570" w:type="dxa"/>
          </w:tcPr>
          <w:p w14:paraId="51FEC314" w14:textId="69F59620" w:rsidR="009E3B7F" w:rsidRPr="009048A2" w:rsidRDefault="001A4B53" w:rsidP="00DD2E9A">
            <w:pPr>
              <w:spacing w:after="120"/>
            </w:pPr>
            <w:r w:rsidRPr="001A4B53">
              <w:rPr>
                <w:rFonts w:cs="Arial"/>
                <w:color w:val="000000"/>
              </w:rPr>
              <w:t xml:space="preserve">Describe the applicant’s previous experience and/or expertise in developing and delivering high quality professional learning to educators in </w:t>
            </w:r>
            <w:r w:rsidR="004D2BAB">
              <w:rPr>
                <w:rFonts w:cs="Arial"/>
                <w:color w:val="000000"/>
              </w:rPr>
              <w:t>social and emotional learning (</w:t>
            </w:r>
            <w:r w:rsidRPr="001A4B53">
              <w:rPr>
                <w:rFonts w:cs="Arial"/>
                <w:color w:val="000000"/>
              </w:rPr>
              <w:t>SEL</w:t>
            </w:r>
            <w:r w:rsidR="004D2BAB">
              <w:rPr>
                <w:rFonts w:cs="Arial"/>
                <w:color w:val="000000"/>
              </w:rPr>
              <w:t>)</w:t>
            </w:r>
            <w:r w:rsidRPr="001A4B53">
              <w:rPr>
                <w:rFonts w:cs="Arial"/>
                <w:color w:val="000000"/>
              </w:rPr>
              <w:t>; trauma-informed practices; and culturally relevant, affirming, and sustaining practices in a manner that aligns with local MTSS.</w:t>
            </w:r>
          </w:p>
        </w:tc>
      </w:tr>
      <w:tr w:rsidR="009048A2" w:rsidRPr="00AF2839" w14:paraId="55982B11" w14:textId="77777777" w:rsidTr="00DD2E9A">
        <w:trPr>
          <w:cantSplit/>
        </w:trPr>
        <w:tc>
          <w:tcPr>
            <w:tcW w:w="2942" w:type="dxa"/>
          </w:tcPr>
          <w:p w14:paraId="5DF3809E" w14:textId="77777777" w:rsidR="009048A2" w:rsidRPr="00AF2839" w:rsidRDefault="009048A2" w:rsidP="00DD2E9A">
            <w:pPr>
              <w:spacing w:before="120" w:after="120"/>
              <w:rPr>
                <w:b/>
                <w:szCs w:val="24"/>
              </w:rPr>
            </w:pPr>
            <w:r>
              <w:rPr>
                <w:b/>
                <w:szCs w:val="24"/>
              </w:rPr>
              <w:t>Proposed Activities</w:t>
            </w:r>
          </w:p>
          <w:p w14:paraId="619A268E" w14:textId="77777777" w:rsidR="009048A2" w:rsidRPr="00AF2839" w:rsidRDefault="009048A2" w:rsidP="00DD2E9A">
            <w:pPr>
              <w:spacing w:before="120" w:after="120"/>
              <w:rPr>
                <w:b/>
                <w:szCs w:val="24"/>
              </w:rPr>
            </w:pPr>
            <w:r>
              <w:rPr>
                <w:szCs w:val="24"/>
              </w:rPr>
              <w:t>(</w:t>
            </w:r>
            <w:proofErr w:type="gramStart"/>
            <w:r>
              <w:rPr>
                <w:szCs w:val="24"/>
              </w:rPr>
              <w:t>2,5</w:t>
            </w:r>
            <w:r w:rsidRPr="00AF2839">
              <w:rPr>
                <w:szCs w:val="24"/>
              </w:rPr>
              <w:t>00 character</w:t>
            </w:r>
            <w:proofErr w:type="gramEnd"/>
            <w:r w:rsidRPr="00AF2839">
              <w:rPr>
                <w:szCs w:val="24"/>
              </w:rPr>
              <w:t xml:space="preserve"> max)</w:t>
            </w:r>
          </w:p>
        </w:tc>
        <w:tc>
          <w:tcPr>
            <w:tcW w:w="6570" w:type="dxa"/>
          </w:tcPr>
          <w:p w14:paraId="71C60AC5" w14:textId="6B77CF94" w:rsidR="009048A2" w:rsidRPr="00BF38DB" w:rsidRDefault="001A4B53" w:rsidP="00DD2E9A">
            <w:pPr>
              <w:spacing w:after="120"/>
              <w:rPr>
                <w:szCs w:val="24"/>
              </w:rPr>
            </w:pPr>
            <w:r>
              <w:rPr>
                <w:rFonts w:cs="Arial"/>
                <w:color w:val="000000"/>
              </w:rPr>
              <w:t xml:space="preserve">Describe how the applicant will create, collect, and/or curate resources for educators on SEL; trauma screening; trauma-informed practices; and culturally relevant, affirming, and sustaining practices. </w:t>
            </w:r>
            <w:r>
              <w:rPr>
                <w:rFonts w:cs="Arial"/>
                <w:color w:val="000000"/>
                <w:shd w:val="clear" w:color="auto" w:fill="FFFFFF"/>
              </w:rPr>
              <w:t>Describe how the applicant will ensure resources are differentiated based on the communities in which the educators serve.</w:t>
            </w:r>
          </w:p>
        </w:tc>
      </w:tr>
      <w:tr w:rsidR="009048A2" w:rsidRPr="00AF2839" w14:paraId="339E5DF8" w14:textId="77777777" w:rsidTr="00DD2E9A">
        <w:trPr>
          <w:cantSplit/>
        </w:trPr>
        <w:tc>
          <w:tcPr>
            <w:tcW w:w="2942" w:type="dxa"/>
          </w:tcPr>
          <w:p w14:paraId="49B8FC9F" w14:textId="77777777" w:rsidR="00BF38DB" w:rsidRPr="00AF2839" w:rsidRDefault="00BF38DB" w:rsidP="00DD2E9A">
            <w:pPr>
              <w:spacing w:before="120" w:after="120"/>
              <w:rPr>
                <w:b/>
                <w:szCs w:val="24"/>
              </w:rPr>
            </w:pPr>
            <w:r>
              <w:rPr>
                <w:b/>
                <w:szCs w:val="24"/>
              </w:rPr>
              <w:t>Proposed Activities</w:t>
            </w:r>
          </w:p>
          <w:p w14:paraId="58C04A9C" w14:textId="77777777" w:rsidR="009048A2" w:rsidRDefault="00BF38DB" w:rsidP="00DD2E9A">
            <w:pPr>
              <w:spacing w:before="120" w:after="120"/>
              <w:rPr>
                <w:b/>
                <w:szCs w:val="24"/>
              </w:rPr>
            </w:pPr>
            <w:r>
              <w:rPr>
                <w:szCs w:val="24"/>
              </w:rPr>
              <w:t>(</w:t>
            </w:r>
            <w:proofErr w:type="gramStart"/>
            <w:r>
              <w:rPr>
                <w:szCs w:val="24"/>
              </w:rPr>
              <w:t>2,5</w:t>
            </w:r>
            <w:r w:rsidRPr="00AF2839">
              <w:rPr>
                <w:szCs w:val="24"/>
              </w:rPr>
              <w:t>00 character</w:t>
            </w:r>
            <w:proofErr w:type="gramEnd"/>
            <w:r w:rsidRPr="00AF2839">
              <w:rPr>
                <w:szCs w:val="24"/>
              </w:rPr>
              <w:t xml:space="preserve"> max)</w:t>
            </w:r>
          </w:p>
        </w:tc>
        <w:tc>
          <w:tcPr>
            <w:tcW w:w="6570" w:type="dxa"/>
          </w:tcPr>
          <w:p w14:paraId="63FB1D42" w14:textId="4B92891A" w:rsidR="009048A2" w:rsidRPr="009048A2" w:rsidRDefault="001A4B53" w:rsidP="00DD2E9A">
            <w:pPr>
              <w:spacing w:after="120"/>
              <w:rPr>
                <w:color w:val="000000"/>
                <w:szCs w:val="24"/>
              </w:rPr>
            </w:pPr>
            <w:r>
              <w:rPr>
                <w:rFonts w:cs="Arial"/>
                <w:color w:val="000000"/>
              </w:rPr>
              <w:t>Describe how the applicant will provide ongoing training and support in the use of trauma screening tools and mental health service referrals, school climate surveys, and the use of tool and survey data.</w:t>
            </w:r>
          </w:p>
        </w:tc>
      </w:tr>
      <w:tr w:rsidR="00BF38DB" w:rsidRPr="00AF2839" w14:paraId="4DCE2B59" w14:textId="77777777" w:rsidTr="00DD2E9A">
        <w:trPr>
          <w:cantSplit/>
        </w:trPr>
        <w:tc>
          <w:tcPr>
            <w:tcW w:w="2942" w:type="dxa"/>
          </w:tcPr>
          <w:p w14:paraId="5D87C9A2" w14:textId="77777777" w:rsidR="00BF38DB" w:rsidRPr="00AF2839" w:rsidRDefault="00BF38DB" w:rsidP="00DD2E9A">
            <w:pPr>
              <w:spacing w:before="120" w:after="120"/>
              <w:rPr>
                <w:b/>
                <w:szCs w:val="24"/>
              </w:rPr>
            </w:pPr>
            <w:r>
              <w:rPr>
                <w:b/>
                <w:szCs w:val="24"/>
              </w:rPr>
              <w:t>Proposed Activities</w:t>
            </w:r>
          </w:p>
          <w:p w14:paraId="3D4F4430" w14:textId="77777777" w:rsidR="00BF38DB" w:rsidRDefault="00BF38DB" w:rsidP="00DD2E9A">
            <w:pPr>
              <w:spacing w:before="120" w:after="120"/>
              <w:rPr>
                <w:b/>
                <w:szCs w:val="24"/>
              </w:rPr>
            </w:pPr>
            <w:r>
              <w:rPr>
                <w:szCs w:val="24"/>
              </w:rPr>
              <w:t>(</w:t>
            </w:r>
            <w:proofErr w:type="gramStart"/>
            <w:r>
              <w:rPr>
                <w:szCs w:val="24"/>
              </w:rPr>
              <w:t>2,5</w:t>
            </w:r>
            <w:r w:rsidRPr="00AF2839">
              <w:rPr>
                <w:szCs w:val="24"/>
              </w:rPr>
              <w:t>00 character</w:t>
            </w:r>
            <w:proofErr w:type="gramEnd"/>
            <w:r w:rsidRPr="00AF2839">
              <w:rPr>
                <w:szCs w:val="24"/>
              </w:rPr>
              <w:t xml:space="preserve"> max)</w:t>
            </w:r>
          </w:p>
        </w:tc>
        <w:tc>
          <w:tcPr>
            <w:tcW w:w="6570" w:type="dxa"/>
          </w:tcPr>
          <w:p w14:paraId="24F7B457" w14:textId="0C486325" w:rsidR="00BF38DB" w:rsidRPr="004470EC" w:rsidRDefault="001A4B53" w:rsidP="00DD2E9A">
            <w:pPr>
              <w:spacing w:after="120"/>
              <w:rPr>
                <w:szCs w:val="24"/>
              </w:rPr>
            </w:pPr>
            <w:r>
              <w:rPr>
                <w:rFonts w:cs="Arial"/>
                <w:color w:val="000000"/>
              </w:rPr>
              <w:t>Describe how the applicant will provide grants to LEAs to support the convening of professional learning communities of educators and school leaders. (Selection and recruitment will be covered in the following section.)</w:t>
            </w:r>
          </w:p>
        </w:tc>
      </w:tr>
      <w:tr w:rsidR="009E3B7F" w:rsidRPr="00AF2839" w14:paraId="4625C523" w14:textId="77777777" w:rsidTr="00DD2E9A">
        <w:trPr>
          <w:cantSplit/>
        </w:trPr>
        <w:tc>
          <w:tcPr>
            <w:tcW w:w="2942" w:type="dxa"/>
          </w:tcPr>
          <w:p w14:paraId="7961C294" w14:textId="185BF514" w:rsidR="009E3B7F" w:rsidRPr="00AF2839" w:rsidRDefault="001A4B53" w:rsidP="00DD2E9A">
            <w:pPr>
              <w:spacing w:before="120" w:after="120"/>
              <w:rPr>
                <w:b/>
                <w:szCs w:val="24"/>
              </w:rPr>
            </w:pPr>
            <w:r>
              <w:rPr>
                <w:b/>
                <w:szCs w:val="24"/>
              </w:rPr>
              <w:t>Proposed Activities</w:t>
            </w:r>
          </w:p>
          <w:p w14:paraId="3672B262" w14:textId="77777777" w:rsidR="009E3B7F" w:rsidRPr="00AF2839" w:rsidRDefault="009E3B7F" w:rsidP="00DD2E9A">
            <w:pPr>
              <w:spacing w:before="120" w:after="120"/>
            </w:pPr>
            <w:r w:rsidRPr="00AF2839">
              <w:rPr>
                <w:szCs w:val="24"/>
              </w:rPr>
              <w:t>(</w:t>
            </w:r>
            <w:proofErr w:type="gramStart"/>
            <w:r w:rsidRPr="00AF2839">
              <w:rPr>
                <w:szCs w:val="24"/>
              </w:rPr>
              <w:t>2,500 character</w:t>
            </w:r>
            <w:proofErr w:type="gramEnd"/>
            <w:r w:rsidRPr="00AF2839">
              <w:rPr>
                <w:szCs w:val="24"/>
              </w:rPr>
              <w:t xml:space="preserve"> max)</w:t>
            </w:r>
          </w:p>
        </w:tc>
        <w:tc>
          <w:tcPr>
            <w:tcW w:w="6570" w:type="dxa"/>
          </w:tcPr>
          <w:p w14:paraId="693234F0" w14:textId="62684EEB" w:rsidR="009E3B7F" w:rsidRPr="00AF2839" w:rsidRDefault="001A4B53" w:rsidP="00DD2E9A">
            <w:pPr>
              <w:tabs>
                <w:tab w:val="left" w:pos="9990"/>
                <w:tab w:val="left" w:pos="10080"/>
              </w:tabs>
              <w:spacing w:before="120" w:after="120"/>
              <w:ind w:right="134"/>
              <w:rPr>
                <w:rFonts w:eastAsia="Arial" w:cs="Arial"/>
                <w:szCs w:val="24"/>
                <w:lang w:bidi="en-US"/>
              </w:rPr>
            </w:pPr>
            <w:r>
              <w:rPr>
                <w:rFonts w:cs="Arial"/>
                <w:color w:val="000000"/>
              </w:rPr>
              <w:t>Describe how the applicant will provide ongoing training and coaching to educators and school leaders.</w:t>
            </w:r>
          </w:p>
        </w:tc>
      </w:tr>
      <w:tr w:rsidR="004D13E1" w:rsidRPr="00AF2839" w14:paraId="6E67CABF" w14:textId="77777777" w:rsidTr="00DD2E9A">
        <w:trPr>
          <w:cantSplit/>
        </w:trPr>
        <w:tc>
          <w:tcPr>
            <w:tcW w:w="2942" w:type="dxa"/>
          </w:tcPr>
          <w:p w14:paraId="3208A369" w14:textId="12605D14" w:rsidR="004D13E1" w:rsidRPr="00AF2839" w:rsidRDefault="001A4B53" w:rsidP="00DD2E9A">
            <w:pPr>
              <w:spacing w:before="120" w:after="120"/>
              <w:rPr>
                <w:b/>
                <w:szCs w:val="24"/>
              </w:rPr>
            </w:pPr>
            <w:r>
              <w:rPr>
                <w:b/>
                <w:szCs w:val="24"/>
              </w:rPr>
              <w:t>Proposed Activities</w:t>
            </w:r>
          </w:p>
          <w:p w14:paraId="1071C8DE" w14:textId="77777777" w:rsidR="004D13E1" w:rsidRDefault="004D13E1" w:rsidP="00DD2E9A">
            <w:pPr>
              <w:spacing w:before="120" w:after="120"/>
              <w:rPr>
                <w:b/>
              </w:rPr>
            </w:pPr>
            <w:r w:rsidRPr="00AF2839">
              <w:rPr>
                <w:szCs w:val="24"/>
              </w:rPr>
              <w:t>(</w:t>
            </w:r>
            <w:proofErr w:type="gramStart"/>
            <w:r w:rsidRPr="00AF2839">
              <w:rPr>
                <w:szCs w:val="24"/>
              </w:rPr>
              <w:t>2,500 character</w:t>
            </w:r>
            <w:proofErr w:type="gramEnd"/>
            <w:r w:rsidRPr="00AF2839">
              <w:rPr>
                <w:szCs w:val="24"/>
              </w:rPr>
              <w:t xml:space="preserve"> max)</w:t>
            </w:r>
          </w:p>
        </w:tc>
        <w:tc>
          <w:tcPr>
            <w:tcW w:w="6570" w:type="dxa"/>
          </w:tcPr>
          <w:p w14:paraId="78339854" w14:textId="54EC5941" w:rsidR="004D13E1" w:rsidRPr="004470EC" w:rsidRDefault="001A4B53" w:rsidP="00DD2E9A">
            <w:pPr>
              <w:tabs>
                <w:tab w:val="left" w:pos="9990"/>
                <w:tab w:val="left" w:pos="10080"/>
              </w:tabs>
              <w:spacing w:before="120" w:after="120"/>
              <w:ind w:right="134"/>
              <w:rPr>
                <w:szCs w:val="24"/>
              </w:rPr>
            </w:pPr>
            <w:r>
              <w:rPr>
                <w:rFonts w:cs="Arial"/>
                <w:color w:val="000000"/>
              </w:rPr>
              <w:t>Describe how the proposed professional learning will support implementation of SEL; trauma screening; trauma-informed practices; and culturally relevant, affirming, and sustaining practices in both distal and proximal settings.</w:t>
            </w:r>
          </w:p>
        </w:tc>
      </w:tr>
      <w:tr w:rsidR="00DD2E9A" w:rsidRPr="00AF2839" w14:paraId="5BFB5483"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tcPr>
          <w:p w14:paraId="79E1183B" w14:textId="77777777" w:rsidR="00DD2E9A" w:rsidRPr="00000038" w:rsidRDefault="00DD2E9A" w:rsidP="00DD2E9A">
            <w:pPr>
              <w:spacing w:before="120" w:after="120"/>
              <w:rPr>
                <w:b w:val="0"/>
                <w:szCs w:val="24"/>
              </w:rPr>
            </w:pPr>
            <w:r w:rsidRPr="00000038">
              <w:rPr>
                <w:szCs w:val="24"/>
              </w:rPr>
              <w:t>Proposed Activities</w:t>
            </w:r>
          </w:p>
          <w:p w14:paraId="4B6B8778" w14:textId="77777777" w:rsidR="00DD2E9A" w:rsidRDefault="00DD2E9A" w:rsidP="00DD2E9A">
            <w:pPr>
              <w:spacing w:before="120" w:after="120"/>
              <w:rPr>
                <w:b w:val="0"/>
              </w:rPr>
            </w:pPr>
            <w:r w:rsidRPr="00000038">
              <w:rPr>
                <w:szCs w:val="24"/>
              </w:rPr>
              <w:t>(</w:t>
            </w:r>
            <w:proofErr w:type="gramStart"/>
            <w:r w:rsidRPr="00000038">
              <w:rPr>
                <w:szCs w:val="24"/>
              </w:rPr>
              <w:t>2,500 character</w:t>
            </w:r>
            <w:proofErr w:type="gramEnd"/>
            <w:r w:rsidRPr="00000038">
              <w:rPr>
                <w:szCs w:val="24"/>
              </w:rPr>
              <w:t xml:space="preserve"> max)</w:t>
            </w:r>
          </w:p>
        </w:tc>
        <w:tc>
          <w:tcPr>
            <w:tcW w:w="6570" w:type="dxa"/>
          </w:tcPr>
          <w:p w14:paraId="7738E021" w14:textId="77777777" w:rsidR="00DD2E9A" w:rsidRPr="004470EC" w:rsidRDefault="00DD2E9A" w:rsidP="00DD2E9A">
            <w:pPr>
              <w:tabs>
                <w:tab w:val="left" w:pos="9990"/>
                <w:tab w:val="left" w:pos="10080"/>
              </w:tabs>
              <w:spacing w:before="120" w:after="120"/>
              <w:ind w:right="134"/>
              <w:cnfStyle w:val="000000000000" w:firstRow="0" w:lastRow="0" w:firstColumn="0" w:lastColumn="0" w:oddVBand="0" w:evenVBand="0" w:oddHBand="0" w:evenHBand="0" w:firstRowFirstColumn="0" w:firstRowLastColumn="0" w:lastRowFirstColumn="0" w:lastRowLastColumn="0"/>
              <w:rPr>
                <w:szCs w:val="24"/>
              </w:rPr>
            </w:pPr>
            <w:r>
              <w:rPr>
                <w:rFonts w:cs="Arial"/>
                <w:color w:val="000000"/>
              </w:rPr>
              <w:t>Describe how the applicant will leverage current research and work related to how educators and school leaders can best address the social-emotional needs of pupils, and consult with experts in the field on matters related to trauma screening and trauma-informed practices.</w:t>
            </w:r>
          </w:p>
        </w:tc>
      </w:tr>
      <w:tr w:rsidR="00DD2E9A" w:rsidRPr="00AF2839" w14:paraId="2146D48C"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3E60F9D" w14:textId="77777777" w:rsidR="00DD2E9A" w:rsidRPr="00DD2E9A" w:rsidRDefault="00DD2E9A" w:rsidP="00DD2E9A">
            <w:pPr>
              <w:spacing w:before="120" w:after="120"/>
              <w:rPr>
                <w:szCs w:val="24"/>
              </w:rPr>
            </w:pPr>
            <w:r w:rsidRPr="00DD2E9A">
              <w:lastRenderedPageBreak/>
              <w:t>Project Participants</w:t>
            </w:r>
          </w:p>
          <w:p w14:paraId="3BF1D4B3"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4779A8A0" w14:textId="77777777" w:rsidR="00DD2E9A" w:rsidRPr="00AF2839" w:rsidRDefault="00DD2E9A" w:rsidP="00DD2E9A">
            <w:pPr>
              <w:tabs>
                <w:tab w:val="left" w:pos="9990"/>
                <w:tab w:val="left" w:pos="10080"/>
              </w:tabs>
              <w:spacing w:before="120" w:after="120"/>
              <w:ind w:right="134"/>
              <w:cnfStyle w:val="000000100000" w:firstRow="0" w:lastRow="0" w:firstColumn="0" w:lastColumn="0" w:oddVBand="0" w:evenVBand="0" w:oddHBand="1" w:evenHBand="0" w:firstRowFirstColumn="0" w:firstRowLastColumn="0" w:lastRowFirstColumn="0" w:lastRowLastColumn="0"/>
              <w:rPr>
                <w:rFonts w:eastAsia="Arial" w:cs="Arial"/>
                <w:szCs w:val="24"/>
                <w:lang w:bidi="en-US"/>
              </w:rPr>
            </w:pPr>
            <w:r>
              <w:rPr>
                <w:rFonts w:cs="Arial"/>
              </w:rPr>
              <w:t>Describe how the applicant will recruit, select, engage, retain, and replace, if necessary, project participants in multi-year professional learning opportunities.</w:t>
            </w:r>
          </w:p>
        </w:tc>
      </w:tr>
      <w:tr w:rsidR="00DD2E9A" w:rsidRPr="00AF2839" w14:paraId="5FDAFAD1"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554D135" w14:textId="77777777" w:rsidR="00DD2E9A" w:rsidRPr="00DD2E9A" w:rsidRDefault="00DD2E9A" w:rsidP="00DD2E9A">
            <w:pPr>
              <w:spacing w:before="120" w:after="120"/>
              <w:rPr>
                <w:szCs w:val="24"/>
              </w:rPr>
            </w:pPr>
            <w:r w:rsidRPr="00DD2E9A">
              <w:t>Project Participants</w:t>
            </w:r>
          </w:p>
          <w:p w14:paraId="11EAA9A3" w14:textId="77777777" w:rsidR="00DD2E9A" w:rsidRPr="00DD2E9A" w:rsidRDefault="00DD2E9A" w:rsidP="00DD2E9A">
            <w:pPr>
              <w:spacing w:before="120" w:after="120"/>
              <w:rPr>
                <w:b w:val="0"/>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727A7B59" w14:textId="77777777" w:rsidR="00DD2E9A" w:rsidRPr="00AF2839" w:rsidRDefault="00DD2E9A" w:rsidP="00DD2E9A">
            <w:pPr>
              <w:tabs>
                <w:tab w:val="left" w:pos="9990"/>
                <w:tab w:val="left" w:pos="10080"/>
              </w:tabs>
              <w:spacing w:before="120" w:after="120"/>
              <w:ind w:right="134"/>
              <w:cnfStyle w:val="000000000000" w:firstRow="0" w:lastRow="0" w:firstColumn="0" w:lastColumn="0" w:oddVBand="0" w:evenVBand="0" w:oddHBand="0" w:evenHBand="0" w:firstRowFirstColumn="0" w:firstRowLastColumn="0" w:lastRowFirstColumn="0" w:lastRowLastColumn="0"/>
              <w:rPr>
                <w:rFonts w:eastAsia="Arial" w:cs="Arial"/>
                <w:szCs w:val="24"/>
                <w:lang w:bidi="en-US"/>
              </w:rPr>
            </w:pPr>
            <w:r>
              <w:rPr>
                <w:rFonts w:cs="Arial"/>
              </w:rPr>
              <w:t>Describe how the applicant will collaborate with and support the Orange County Department of Education (OCDE) and Butte County Office of Education (BCOE) on relevant work and work being conducted in tandem with the implementation of the SUMS initiative. And if applicable, describe how the applicant will work together to implement proposed activities with its consortia of LEAs, IHE, and/or nonprofit educational service provider.</w:t>
            </w:r>
          </w:p>
        </w:tc>
      </w:tr>
      <w:tr w:rsidR="00DD2E9A" w:rsidRPr="00AF2839" w14:paraId="1B2B6486"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ED51CEF" w14:textId="77777777" w:rsidR="00DD2E9A" w:rsidRPr="00DD2E9A" w:rsidRDefault="00DD2E9A" w:rsidP="00DD2E9A">
            <w:pPr>
              <w:spacing w:before="120" w:after="120"/>
              <w:rPr>
                <w:szCs w:val="24"/>
              </w:rPr>
            </w:pPr>
            <w:r w:rsidRPr="00DD2E9A">
              <w:t>Project Participants</w:t>
            </w:r>
          </w:p>
          <w:p w14:paraId="00C3E414" w14:textId="77777777" w:rsidR="00DD2E9A" w:rsidRPr="00DD2E9A" w:rsidRDefault="00DD2E9A" w:rsidP="00DD2E9A">
            <w:pPr>
              <w:spacing w:before="120" w:after="120"/>
              <w:rPr>
                <w:b w:val="0"/>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7611926D" w14:textId="77777777" w:rsidR="00DD2E9A" w:rsidRDefault="00DD2E9A" w:rsidP="00DD2E9A">
            <w:pPr>
              <w:tabs>
                <w:tab w:val="left" w:pos="9990"/>
                <w:tab w:val="left" w:pos="10080"/>
              </w:tabs>
              <w:spacing w:before="120" w:after="120"/>
              <w:ind w:right="134"/>
              <w:cnfStyle w:val="000000100000" w:firstRow="0" w:lastRow="0" w:firstColumn="0" w:lastColumn="0" w:oddVBand="0" w:evenVBand="0" w:oddHBand="1" w:evenHBand="0" w:firstRowFirstColumn="0" w:firstRowLastColumn="0" w:lastRowFirstColumn="0" w:lastRowLastColumn="0"/>
              <w:rPr>
                <w:rFonts w:cs="Arial"/>
              </w:rPr>
            </w:pPr>
            <w:r>
              <w:rPr>
                <w:rFonts w:cs="Arial"/>
              </w:rPr>
              <w:t>Describe how the applicant will collaborate with and support the OCDE and BCOE on relevant work and work being conducted in tandem with the implementation of the SUMS initiative. And if applicable, describe how the applicant will work together to implement proposed activities with its consortia of LEAs, IHE, and/or nonprofit educational service provider.</w:t>
            </w:r>
          </w:p>
        </w:tc>
      </w:tr>
      <w:tr w:rsidR="00DD2E9A" w:rsidRPr="00AF2839" w14:paraId="77E63F88" w14:textId="77777777" w:rsidTr="00DD2E9A">
        <w:tblPrEx>
          <w:tblLook w:val="04A0" w:firstRow="1" w:lastRow="0" w:firstColumn="1" w:lastColumn="0" w:noHBand="0" w:noVBand="1"/>
        </w:tblPrEx>
        <w:trPr>
          <w:cantSplit/>
          <w:trHeight w:val="244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ABC3089" w14:textId="77777777" w:rsidR="00DD2E9A" w:rsidRPr="00DD2E9A" w:rsidRDefault="00DD2E9A" w:rsidP="00DD2E9A">
            <w:pPr>
              <w:spacing w:before="120" w:after="120"/>
              <w:rPr>
                <w:szCs w:val="24"/>
              </w:rPr>
            </w:pPr>
            <w:r w:rsidRPr="00DD2E9A">
              <w:rPr>
                <w:szCs w:val="24"/>
              </w:rPr>
              <w:t>Project Participants</w:t>
            </w:r>
          </w:p>
          <w:p w14:paraId="509ED907"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78F8B28A" w14:textId="77777777" w:rsidR="00DD2E9A" w:rsidRPr="00AF2839" w:rsidRDefault="00DD2E9A" w:rsidP="00DD2E9A">
            <w:pPr>
              <w:spacing w:before="120" w:after="120"/>
              <w:cnfStyle w:val="000000000000" w:firstRow="0" w:lastRow="0" w:firstColumn="0" w:lastColumn="0" w:oddVBand="0" w:evenVBand="0" w:oddHBand="0" w:evenHBand="0" w:firstRowFirstColumn="0" w:firstRowLastColumn="0" w:lastRowFirstColumn="0" w:lastRowLastColumn="0"/>
              <w:rPr>
                <w:szCs w:val="24"/>
              </w:rPr>
            </w:pPr>
            <w:r w:rsidRPr="00AF2839">
              <w:rPr>
                <w:szCs w:val="24"/>
              </w:rPr>
              <w:t>Describe how the applicant will recruit, select, engage, retain, and replace, if necessary, project participants in multi-year prof</w:t>
            </w:r>
            <w:r>
              <w:rPr>
                <w:szCs w:val="24"/>
              </w:rPr>
              <w:t>essional learning opportunities and t</w:t>
            </w:r>
            <w:r>
              <w:t>o the extent possible, how the grantee will establish or utilize existing criteria to determine the readiness of professional learning recipients to incorporate new strategies into the school/classroom, as well as prioritize team participation in professional learning events.</w:t>
            </w:r>
          </w:p>
        </w:tc>
      </w:tr>
      <w:tr w:rsidR="00DD2E9A" w:rsidRPr="00AF2839" w14:paraId="4E02B2CB"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324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72037B8" w14:textId="77777777" w:rsidR="00DD2E9A" w:rsidRPr="00DD2E9A" w:rsidRDefault="00DD2E9A" w:rsidP="00DD2E9A">
            <w:pPr>
              <w:spacing w:before="120" w:after="120"/>
              <w:rPr>
                <w:szCs w:val="24"/>
              </w:rPr>
            </w:pPr>
            <w:r w:rsidRPr="00DD2E9A">
              <w:rPr>
                <w:szCs w:val="24"/>
              </w:rPr>
              <w:t>Project Participants</w:t>
            </w:r>
          </w:p>
          <w:p w14:paraId="0A067CAB"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35E95209" w14:textId="77777777" w:rsidR="00DD2E9A" w:rsidRDefault="00DD2E9A" w:rsidP="00DD2E9A">
            <w:pPr>
              <w:spacing w:before="120" w:after="120"/>
              <w:cnfStyle w:val="000000100000" w:firstRow="0" w:lastRow="0" w:firstColumn="0" w:lastColumn="0" w:oddVBand="0" w:evenVBand="0" w:oddHBand="1" w:evenHBand="0" w:firstRowFirstColumn="0" w:firstRowLastColumn="0" w:lastRowFirstColumn="0" w:lastRowLastColumn="0"/>
              <w:rPr>
                <w:szCs w:val="24"/>
              </w:rPr>
            </w:pPr>
            <w:r w:rsidRPr="00AF2839">
              <w:rPr>
                <w:szCs w:val="24"/>
              </w:rPr>
              <w:t>Describe how the applicant will</w:t>
            </w:r>
            <w:r>
              <w:rPr>
                <w:szCs w:val="24"/>
              </w:rPr>
              <w:t xml:space="preserve"> e</w:t>
            </w:r>
            <w:r w:rsidRPr="00791AAD">
              <w:rPr>
                <w:szCs w:val="24"/>
              </w:rPr>
              <w:t>nsure that quality professional learning is provided to urban, suburban, and rural settings throughout the state and differentiated to meet the unique local needs.</w:t>
            </w:r>
          </w:p>
          <w:p w14:paraId="52FCF9A9" w14:textId="77777777" w:rsidR="00DD2E9A" w:rsidRPr="00AF2839" w:rsidRDefault="00DD2E9A" w:rsidP="00DD2E9A">
            <w:pPr>
              <w:spacing w:before="120" w:after="120"/>
              <w:cnfStyle w:val="000000100000" w:firstRow="0" w:lastRow="0" w:firstColumn="0" w:lastColumn="0" w:oddVBand="0" w:evenVBand="0" w:oddHBand="1" w:evenHBand="0" w:firstRowFirstColumn="0" w:firstRowLastColumn="0" w:lastRowFirstColumn="0" w:lastRowLastColumn="0"/>
              <w:rPr>
                <w:szCs w:val="24"/>
              </w:rPr>
            </w:pPr>
            <w:r>
              <w:rPr>
                <w:szCs w:val="24"/>
              </w:rPr>
              <w:t>Provide Letters of Commitment addressed to the lead applicant and signed by the dean of the specific department within the IHE who will oversee the grant and/or the chief executive officer of the Nonprofit Organization, and the COE superintendent in each participating county office of education (COE) partner, if applicable. (Please see Attachment Instructions)</w:t>
            </w:r>
          </w:p>
        </w:tc>
      </w:tr>
      <w:tr w:rsidR="00DD2E9A" w:rsidRPr="00AF2839" w14:paraId="0602D8C0"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891ECE3" w14:textId="77777777" w:rsidR="00DD2E9A" w:rsidRPr="00DD2E9A" w:rsidRDefault="00DD2E9A" w:rsidP="00DD2E9A">
            <w:pPr>
              <w:spacing w:before="120" w:after="120"/>
              <w:rPr>
                <w:szCs w:val="24"/>
              </w:rPr>
            </w:pPr>
            <w:r w:rsidRPr="00DD2E9A">
              <w:rPr>
                <w:szCs w:val="24"/>
              </w:rPr>
              <w:lastRenderedPageBreak/>
              <w:t>Project Participants</w:t>
            </w:r>
          </w:p>
          <w:p w14:paraId="7139A3D1"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1E1AD24F" w14:textId="2204064B" w:rsidR="00DD2E9A" w:rsidRPr="005E6F8B" w:rsidRDefault="00DD2E9A" w:rsidP="00DD2E9A">
            <w:pPr>
              <w:spacing w:after="120"/>
              <w:cnfStyle w:val="000000000000" w:firstRow="0" w:lastRow="0" w:firstColumn="0" w:lastColumn="0" w:oddVBand="0" w:evenVBand="0" w:oddHBand="0" w:evenHBand="0" w:firstRowFirstColumn="0" w:firstRowLastColumn="0" w:lastRowFirstColumn="0" w:lastRowLastColumn="0"/>
            </w:pPr>
            <w:r>
              <w:t xml:space="preserve">Describe how the grantee will establish or utilize existing criteria to determine the readiness of professional learning recipients to incorporate new strategies into the school/classroom, as well as prioritize team participation in professional learning events.  </w:t>
            </w:r>
          </w:p>
        </w:tc>
      </w:tr>
      <w:tr w:rsidR="00DD2E9A" w:rsidRPr="00AF2839" w14:paraId="65BF5FF5"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641EC22" w14:textId="77777777" w:rsidR="00DD2E9A" w:rsidRPr="00DD2E9A" w:rsidRDefault="00DD2E9A" w:rsidP="00DD2E9A">
            <w:pPr>
              <w:spacing w:before="120" w:after="120"/>
              <w:rPr>
                <w:szCs w:val="24"/>
              </w:rPr>
            </w:pPr>
            <w:r w:rsidRPr="00DD2E9A">
              <w:rPr>
                <w:szCs w:val="24"/>
              </w:rPr>
              <w:t>Alignment</w:t>
            </w:r>
          </w:p>
          <w:p w14:paraId="1A0C988A"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1474F3F3" w14:textId="4545CE31" w:rsidR="00DD2E9A" w:rsidRDefault="00DD2E9A" w:rsidP="00DD2E9A">
            <w:pPr>
              <w:spacing w:after="120"/>
              <w:cnfStyle w:val="000000100000" w:firstRow="0" w:lastRow="0" w:firstColumn="0" w:lastColumn="0" w:oddVBand="0" w:evenVBand="0" w:oddHBand="1" w:evenHBand="0" w:firstRowFirstColumn="0" w:firstRowLastColumn="0" w:lastRowFirstColumn="0" w:lastRowLastColumn="0"/>
            </w:pPr>
            <w:r>
              <w:rPr>
                <w:rFonts w:cs="Arial"/>
              </w:rPr>
              <w:t>Describe how the proposed activities utilize current research on SEL; trauma screening; trauma-informed practices; and culturally relevant, affirming, and sustaining practices.</w:t>
            </w:r>
          </w:p>
        </w:tc>
      </w:tr>
      <w:tr w:rsidR="00DD2E9A" w:rsidRPr="00AF2839" w14:paraId="6E6DA78E"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9D11A0F" w14:textId="77777777" w:rsidR="00DD2E9A" w:rsidRPr="00DD2E9A" w:rsidRDefault="00DD2E9A" w:rsidP="00DD2E9A">
            <w:pPr>
              <w:spacing w:before="120" w:after="120"/>
              <w:rPr>
                <w:szCs w:val="24"/>
              </w:rPr>
            </w:pPr>
            <w:r w:rsidRPr="00DD2E9A">
              <w:rPr>
                <w:szCs w:val="24"/>
              </w:rPr>
              <w:t>Alignment</w:t>
            </w:r>
          </w:p>
          <w:p w14:paraId="65E1AC68"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1B8C3F86" w14:textId="04763116" w:rsidR="00DD2E9A" w:rsidRDefault="00DD2E9A" w:rsidP="00DD2E9A">
            <w:pPr>
              <w:spacing w:after="120"/>
              <w:cnfStyle w:val="000000000000" w:firstRow="0" w:lastRow="0" w:firstColumn="0" w:lastColumn="0" w:oddVBand="0" w:evenVBand="0" w:oddHBand="0" w:evenHBand="0" w:firstRowFirstColumn="0" w:firstRowLastColumn="0" w:lastRowFirstColumn="0" w:lastRowLastColumn="0"/>
            </w:pPr>
            <w:r w:rsidRPr="00E428B0">
              <w:t>Describe how the proposed activities will align to the CDE’s Transformative SEL Competencies and Conditions.</w:t>
            </w:r>
          </w:p>
        </w:tc>
      </w:tr>
      <w:tr w:rsidR="00DD2E9A" w:rsidRPr="00AF2839" w14:paraId="017747FA"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FC1F568" w14:textId="77777777" w:rsidR="00DD2E9A" w:rsidRPr="00DD2E9A" w:rsidRDefault="00DD2E9A" w:rsidP="00DD2E9A">
            <w:pPr>
              <w:spacing w:before="120" w:after="120"/>
              <w:rPr>
                <w:szCs w:val="24"/>
              </w:rPr>
            </w:pPr>
            <w:r w:rsidRPr="00DD2E9A">
              <w:rPr>
                <w:szCs w:val="24"/>
              </w:rPr>
              <w:t>Alignment</w:t>
            </w:r>
          </w:p>
          <w:p w14:paraId="4EF09CAD"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3F21744B" w14:textId="3B3F3F8F" w:rsidR="00DD2E9A" w:rsidRDefault="00DD2E9A" w:rsidP="00DD2E9A">
            <w:pPr>
              <w:spacing w:after="120"/>
              <w:cnfStyle w:val="000000100000" w:firstRow="0" w:lastRow="0" w:firstColumn="0" w:lastColumn="0" w:oddVBand="0" w:evenVBand="0" w:oddHBand="1" w:evenHBand="0" w:firstRowFirstColumn="0" w:firstRowLastColumn="0" w:lastRowFirstColumn="0" w:lastRowLastColumn="0"/>
            </w:pPr>
            <w:r>
              <w:rPr>
                <w:rFonts w:cs="Arial"/>
              </w:rPr>
              <w:t>Describe how the proposed activities will align to the MTSS framework developed under the “SUMS” project.</w:t>
            </w:r>
          </w:p>
        </w:tc>
      </w:tr>
      <w:tr w:rsidR="00DD2E9A" w:rsidRPr="00AF2839" w14:paraId="13E00D8E"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810F66B" w14:textId="77777777" w:rsidR="00DD2E9A" w:rsidRPr="00DD2E9A" w:rsidRDefault="00DD2E9A" w:rsidP="00DD2E9A">
            <w:pPr>
              <w:spacing w:before="120" w:after="120"/>
              <w:rPr>
                <w:szCs w:val="24"/>
              </w:rPr>
            </w:pPr>
            <w:r w:rsidRPr="00DD2E9A">
              <w:rPr>
                <w:szCs w:val="24"/>
              </w:rPr>
              <w:t>Alignment</w:t>
            </w:r>
          </w:p>
          <w:p w14:paraId="1DCA5458"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3EF9E557" w14:textId="6361D542" w:rsidR="00DD2E9A" w:rsidRDefault="00DD2E9A" w:rsidP="00DD2E9A">
            <w:pPr>
              <w:spacing w:after="120"/>
              <w:cnfStyle w:val="000000000000" w:firstRow="0" w:lastRow="0" w:firstColumn="0" w:lastColumn="0" w:oddVBand="0" w:evenVBand="0" w:oddHBand="0" w:evenHBand="0" w:firstRowFirstColumn="0" w:firstRowLastColumn="0" w:lastRowFirstColumn="0" w:lastRowLastColumn="0"/>
            </w:pPr>
            <w:r w:rsidRPr="00E428B0">
              <w:t xml:space="preserve">Describe how the proposed activities will align to the </w:t>
            </w:r>
            <w:r>
              <w:t>Quality Professional Learning Standards (</w:t>
            </w:r>
            <w:r w:rsidRPr="00E428B0">
              <w:t>QPLS</w:t>
            </w:r>
            <w:r>
              <w:t>)</w:t>
            </w:r>
            <w:r w:rsidRPr="00E428B0">
              <w:t>: data, content and pedagogy, equity, design and structure, collaboration and shared accountability, resources, and alignment and coherence.</w:t>
            </w:r>
          </w:p>
        </w:tc>
      </w:tr>
      <w:tr w:rsidR="00DD2E9A" w:rsidRPr="00AF2839" w14:paraId="22FEE3D6" w14:textId="77777777" w:rsidTr="00DD2E9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574B6FD" w14:textId="77777777" w:rsidR="00DD2E9A" w:rsidRPr="00DD2E9A" w:rsidRDefault="00DD2E9A" w:rsidP="00DD2E9A">
            <w:pPr>
              <w:spacing w:before="120" w:after="120"/>
              <w:rPr>
                <w:szCs w:val="24"/>
              </w:rPr>
            </w:pPr>
            <w:r w:rsidRPr="00DD2E9A">
              <w:rPr>
                <w:szCs w:val="24"/>
              </w:rPr>
              <w:t>Expanding Capacity</w:t>
            </w:r>
          </w:p>
          <w:p w14:paraId="399CB671"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shd w:val="clear" w:color="auto" w:fill="auto"/>
          </w:tcPr>
          <w:p w14:paraId="17F177D3" w14:textId="7182BECE" w:rsidR="00DD2E9A" w:rsidRDefault="00DD2E9A" w:rsidP="00DD2E9A">
            <w:pPr>
              <w:spacing w:after="120"/>
              <w:cnfStyle w:val="000000100000" w:firstRow="0" w:lastRow="0" w:firstColumn="0" w:lastColumn="0" w:oddVBand="0" w:evenVBand="0" w:oddHBand="1" w:evenHBand="0" w:firstRowFirstColumn="0" w:firstRowLastColumn="0" w:lastRowFirstColumn="0" w:lastRowLastColumn="0"/>
              <w:rPr>
                <w:rFonts w:cs="Arial"/>
                <w:shd w:val="clear" w:color="auto" w:fill="FFFFFF"/>
              </w:rPr>
            </w:pPr>
            <w:r>
              <w:rPr>
                <w:rFonts w:cs="Arial"/>
                <w:shd w:val="clear" w:color="auto" w:fill="FFFFFF"/>
              </w:rPr>
              <w:t xml:space="preserve">Describe how the proposed activities will build the capacity, readiness, and strategies of educators and school leaders to address the goals of the grant. </w:t>
            </w:r>
          </w:p>
          <w:p w14:paraId="6916992B" w14:textId="3FDEDA19" w:rsidR="00DD2E9A" w:rsidRPr="00E428B0" w:rsidRDefault="00DD2E9A" w:rsidP="00DD2E9A">
            <w:pPr>
              <w:spacing w:after="120"/>
              <w:cnfStyle w:val="000000100000" w:firstRow="0" w:lastRow="0" w:firstColumn="0" w:lastColumn="0" w:oddVBand="0" w:evenVBand="0" w:oddHBand="1" w:evenHBand="0" w:firstRowFirstColumn="0" w:firstRowLastColumn="0" w:lastRowFirstColumn="0" w:lastRowLastColumn="0"/>
            </w:pPr>
            <w:r>
              <w:rPr>
                <w:rFonts w:cs="Arial"/>
                <w:shd w:val="clear" w:color="auto" w:fill="FFFFFF"/>
              </w:rPr>
              <w:t>Describe the iterative process(es) and measures that will be used to determine increased capacity.</w:t>
            </w:r>
          </w:p>
        </w:tc>
      </w:tr>
      <w:tr w:rsidR="00DD2E9A" w:rsidRPr="00AF2839" w14:paraId="0F4D8073" w14:textId="77777777" w:rsidTr="00DD2E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tcPr>
          <w:p w14:paraId="30E3A7AF" w14:textId="77777777" w:rsidR="00DD2E9A" w:rsidRPr="00AF2839" w:rsidRDefault="00DD2E9A" w:rsidP="00DD2E9A">
            <w:pPr>
              <w:spacing w:before="120" w:after="120"/>
              <w:rPr>
                <w:b w:val="0"/>
                <w:szCs w:val="24"/>
              </w:rPr>
            </w:pPr>
            <w:r>
              <w:rPr>
                <w:szCs w:val="24"/>
              </w:rPr>
              <w:t>Proposed Metrics</w:t>
            </w:r>
          </w:p>
          <w:p w14:paraId="28A4C323" w14:textId="77777777" w:rsidR="00DD2E9A" w:rsidRPr="00DD2E9A" w:rsidRDefault="00DD2E9A" w:rsidP="00DD2E9A">
            <w:pPr>
              <w:spacing w:before="120" w:after="120"/>
              <w:rPr>
                <w:b w:val="0"/>
                <w:szCs w:val="24"/>
              </w:rPr>
            </w:pPr>
            <w:r w:rsidRPr="00DD2E9A">
              <w:rPr>
                <w:b w:val="0"/>
                <w:szCs w:val="24"/>
              </w:rPr>
              <w:t>(</w:t>
            </w:r>
            <w:proofErr w:type="gramStart"/>
            <w:r w:rsidRPr="00DD2E9A">
              <w:rPr>
                <w:b w:val="0"/>
                <w:szCs w:val="24"/>
              </w:rPr>
              <w:t>2,500 character</w:t>
            </w:r>
            <w:proofErr w:type="gramEnd"/>
            <w:r w:rsidRPr="00DD2E9A">
              <w:rPr>
                <w:b w:val="0"/>
                <w:szCs w:val="24"/>
              </w:rPr>
              <w:t xml:space="preserve"> max)</w:t>
            </w:r>
          </w:p>
        </w:tc>
        <w:tc>
          <w:tcPr>
            <w:tcW w:w="6570" w:type="dxa"/>
          </w:tcPr>
          <w:p w14:paraId="262C5F37" w14:textId="733C75DE" w:rsidR="00DD2E9A" w:rsidRPr="00E428B0" w:rsidRDefault="00DD2E9A" w:rsidP="00DD2E9A">
            <w:pPr>
              <w:spacing w:after="120"/>
              <w:cnfStyle w:val="000000000000" w:firstRow="0" w:lastRow="0" w:firstColumn="0" w:lastColumn="0" w:oddVBand="0" w:evenVBand="0" w:oddHBand="0" w:evenHBand="0" w:firstRowFirstColumn="0" w:firstRowLastColumn="0" w:lastRowFirstColumn="0" w:lastRowLastColumn="0"/>
            </w:pPr>
            <w:r w:rsidRPr="00E428B0">
              <w:t>Describe</w:t>
            </w:r>
            <w:r>
              <w:t xml:space="preserve"> how</w:t>
            </w:r>
            <w:r w:rsidRPr="00E428B0">
              <w:t xml:space="preserve"> </w:t>
            </w:r>
            <w:r>
              <w:rPr>
                <w:rFonts w:cs="Arial"/>
              </w:rPr>
              <w:t>the SUMS Partner Entity shall collect, analyze, reflect upon, and report various sources of data for evidence of changes and/or improvements in collective practice to anchor decisions about planning, implementing, or assessing quality professional learning.</w:t>
            </w:r>
          </w:p>
        </w:tc>
      </w:tr>
    </w:tbl>
    <w:p w14:paraId="119B429B" w14:textId="77777777" w:rsidR="009E3B7F" w:rsidRPr="002E126B" w:rsidRDefault="009E3B7F" w:rsidP="00176707">
      <w:pPr>
        <w:pStyle w:val="Heading4"/>
      </w:pPr>
      <w:r w:rsidRPr="002E126B">
        <w:t>Electronic Signature</w:t>
      </w:r>
    </w:p>
    <w:tbl>
      <w:tblPr>
        <w:tblStyle w:val="GridTable41"/>
        <w:tblW w:w="9512" w:type="dxa"/>
        <w:tblLayout w:type="fixed"/>
        <w:tblLook w:val="0620" w:firstRow="1" w:lastRow="0" w:firstColumn="0" w:lastColumn="0" w:noHBand="1" w:noVBand="1"/>
        <w:tblDescription w:val="Instructions on Electronic Signature Requirement"/>
      </w:tblPr>
      <w:tblGrid>
        <w:gridCol w:w="2942"/>
        <w:gridCol w:w="6570"/>
      </w:tblGrid>
      <w:tr w:rsidR="009E3B7F" w:rsidRPr="00AF2839" w14:paraId="1544F48C" w14:textId="77777777" w:rsidTr="00000038">
        <w:trPr>
          <w:cnfStyle w:val="100000000000" w:firstRow="1" w:lastRow="0" w:firstColumn="0" w:lastColumn="0" w:oddVBand="0" w:evenVBand="0" w:oddHBand="0" w:evenHBand="0" w:firstRowFirstColumn="0" w:firstRowLastColumn="0" w:lastRowFirstColumn="0" w:lastRowLastColumn="0"/>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6DCEC" w14:textId="77777777" w:rsidR="009E3B7F" w:rsidRPr="00000038" w:rsidRDefault="009E3B7F" w:rsidP="003F529F">
            <w:pPr>
              <w:spacing w:before="120" w:after="120"/>
              <w:jc w:val="center"/>
              <w:rPr>
                <w:b w:val="0"/>
                <w:color w:val="auto"/>
              </w:rPr>
            </w:pPr>
            <w:r w:rsidRPr="00000038">
              <w:rPr>
                <w:color w:val="auto"/>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60E71" w14:textId="77777777" w:rsidR="009E3B7F" w:rsidRPr="00000038" w:rsidRDefault="009E3B7F" w:rsidP="003F529F">
            <w:pPr>
              <w:spacing w:before="120" w:after="120"/>
              <w:jc w:val="center"/>
              <w:rPr>
                <w:b w:val="0"/>
                <w:color w:val="auto"/>
              </w:rPr>
            </w:pPr>
            <w:r w:rsidRPr="00000038">
              <w:rPr>
                <w:color w:val="auto"/>
              </w:rPr>
              <w:t>Instructions</w:t>
            </w:r>
          </w:p>
        </w:tc>
      </w:tr>
      <w:tr w:rsidR="009E3B7F" w:rsidRPr="00AF2839" w14:paraId="5D4F247A" w14:textId="77777777" w:rsidTr="00000038">
        <w:tc>
          <w:tcPr>
            <w:tcW w:w="2942" w:type="dxa"/>
            <w:tcBorders>
              <w:top w:val="single" w:sz="4" w:space="0" w:color="auto"/>
            </w:tcBorders>
          </w:tcPr>
          <w:p w14:paraId="11665D21" w14:textId="77777777" w:rsidR="009E3B7F" w:rsidRPr="00F41649" w:rsidRDefault="009E3B7F" w:rsidP="003F529F">
            <w:pPr>
              <w:spacing w:before="120" w:after="120"/>
              <w:rPr>
                <w:b/>
              </w:rPr>
            </w:pPr>
            <w:r w:rsidRPr="00F41649">
              <w:rPr>
                <w:b/>
                <w:szCs w:val="24"/>
              </w:rPr>
              <w:t>Project Statement of Assurances</w:t>
            </w:r>
          </w:p>
        </w:tc>
        <w:tc>
          <w:tcPr>
            <w:tcW w:w="6570" w:type="dxa"/>
            <w:tcBorders>
              <w:top w:val="single" w:sz="4" w:space="0" w:color="auto"/>
            </w:tcBorders>
          </w:tcPr>
          <w:p w14:paraId="1F0F6C4B" w14:textId="77777777" w:rsidR="009E3B7F" w:rsidRPr="00AF2839" w:rsidRDefault="009E3B7F" w:rsidP="00F41649">
            <w:pPr>
              <w:spacing w:before="120"/>
              <w:rPr>
                <w:szCs w:val="24"/>
              </w:rPr>
            </w:pPr>
            <w:r w:rsidRPr="00AF2839">
              <w:rPr>
                <w:szCs w:val="24"/>
              </w:rPr>
              <w:t>Please select the checkbox to declare:</w:t>
            </w:r>
          </w:p>
          <w:p w14:paraId="2DBA40A7" w14:textId="3D4A0059" w:rsidR="009E3B7F" w:rsidRPr="00AF2839" w:rsidRDefault="009E3B7F" w:rsidP="00F41649">
            <w:pPr>
              <w:spacing w:before="120" w:after="120"/>
            </w:pPr>
            <w:r w:rsidRPr="00AF2839">
              <w:rPr>
                <w:szCs w:val="24"/>
              </w:rPr>
              <w:t xml:space="preserve">I have reviewed the </w:t>
            </w:r>
            <w:r w:rsidR="00BD2A2E">
              <w:rPr>
                <w:szCs w:val="24"/>
              </w:rPr>
              <w:t>SUMS: Partner Entity</w:t>
            </w:r>
            <w:r w:rsidRPr="00AF2839">
              <w:rPr>
                <w:szCs w:val="24"/>
              </w:rPr>
              <w:t xml:space="preserve"> Statement of Assurances and hereby certify that each of the requirements contained therein will be met.</w:t>
            </w:r>
          </w:p>
        </w:tc>
      </w:tr>
      <w:tr w:rsidR="009E3B7F" w:rsidRPr="00AF2839" w14:paraId="048EBD64" w14:textId="77777777" w:rsidTr="00000038">
        <w:tc>
          <w:tcPr>
            <w:tcW w:w="2942" w:type="dxa"/>
          </w:tcPr>
          <w:p w14:paraId="4037460B" w14:textId="77777777" w:rsidR="009E3B7F" w:rsidRPr="00F41649" w:rsidRDefault="009E3B7F" w:rsidP="003F529F">
            <w:pPr>
              <w:spacing w:before="120" w:after="120"/>
              <w:rPr>
                <w:b/>
                <w:szCs w:val="24"/>
              </w:rPr>
            </w:pPr>
            <w:r w:rsidRPr="00F41649">
              <w:rPr>
                <w:b/>
                <w:szCs w:val="24"/>
              </w:rPr>
              <w:lastRenderedPageBreak/>
              <w:t>Signature by Authorizing Official</w:t>
            </w:r>
          </w:p>
        </w:tc>
        <w:tc>
          <w:tcPr>
            <w:tcW w:w="6570" w:type="dxa"/>
          </w:tcPr>
          <w:p w14:paraId="2386F927" w14:textId="77777777" w:rsidR="009E3B7F" w:rsidRPr="00AF2839" w:rsidRDefault="009E3B7F" w:rsidP="00F41649">
            <w:pPr>
              <w:spacing w:before="120"/>
              <w:rPr>
                <w:szCs w:val="24"/>
              </w:rPr>
            </w:pPr>
            <w:r w:rsidRPr="00AF2839">
              <w:rPr>
                <w:szCs w:val="24"/>
              </w:rPr>
              <w:t xml:space="preserve">The authorizing official should type their name in the field which will serve as a signature that certifies agreement with the statement below. </w:t>
            </w:r>
          </w:p>
          <w:p w14:paraId="0C1108E4" w14:textId="77777777" w:rsidR="009E3B7F" w:rsidRPr="00AF2839" w:rsidRDefault="009E3B7F" w:rsidP="003F529F">
            <w:pPr>
              <w:spacing w:before="120" w:after="120"/>
              <w:rPr>
                <w:szCs w:val="24"/>
              </w:rPr>
            </w:pPr>
            <w:r w:rsidRPr="00AF2839">
              <w:rPr>
                <w:szCs w:val="24"/>
              </w:rPr>
              <w:t>I hereby certify that, to the best of my knowledge, the information in this application is correct and complete. I support the proposed project and commit my organization to completing all of the tasks and activities that are described in the application.</w:t>
            </w:r>
          </w:p>
        </w:tc>
      </w:tr>
    </w:tbl>
    <w:p w14:paraId="73045F65" w14:textId="77777777" w:rsidR="009E3B7F" w:rsidRPr="002E126B" w:rsidRDefault="009E3B7F" w:rsidP="00176707">
      <w:pPr>
        <w:pStyle w:val="Heading4"/>
      </w:pPr>
      <w:r w:rsidRPr="002E126B">
        <w:t>Attachment Instructions</w:t>
      </w:r>
    </w:p>
    <w:p w14:paraId="09CC9D21" w14:textId="5AFC2228" w:rsidR="009E3B7F" w:rsidRPr="00E634EC" w:rsidRDefault="00161782" w:rsidP="009E3B7F">
      <w:r>
        <w:rPr>
          <w:rFonts w:ascii="Helvetica" w:hAnsi="Helvetica" w:cs="Helvetica"/>
          <w:color w:val="000000"/>
        </w:rPr>
        <w:t xml:space="preserve">Required attachments will be requested at the end of the online application. Applicants are required to upload the </w:t>
      </w:r>
      <w:r w:rsidR="00CB2A0A">
        <w:rPr>
          <w:szCs w:val="24"/>
        </w:rPr>
        <w:t>SUMS: Partner Entity</w:t>
      </w:r>
      <w:r w:rsidR="00CB2A0A" w:rsidRPr="00AF2839">
        <w:rPr>
          <w:szCs w:val="24"/>
        </w:rPr>
        <w:t xml:space="preserve"> </w:t>
      </w:r>
      <w:r>
        <w:rPr>
          <w:rFonts w:ascii="Helvetica" w:hAnsi="Helvetica" w:cs="Helvetica"/>
          <w:color w:val="000000"/>
        </w:rPr>
        <w:t>Proposed Budget</w:t>
      </w:r>
      <w:r w:rsidR="00BF38DB">
        <w:rPr>
          <w:rFonts w:ascii="Helvetica" w:hAnsi="Helvetica" w:cs="Helvetica"/>
          <w:color w:val="000000"/>
        </w:rPr>
        <w:t>,</w:t>
      </w:r>
      <w:r>
        <w:rPr>
          <w:rFonts w:ascii="Helvetica" w:hAnsi="Helvetica" w:cs="Helvetica"/>
          <w:color w:val="000000"/>
        </w:rPr>
        <w:t xml:space="preserve"> Letters of Commitment</w:t>
      </w:r>
      <w:r w:rsidR="00BF38DB">
        <w:rPr>
          <w:rFonts w:ascii="Helvetica" w:hAnsi="Helvetica" w:cs="Helvetica"/>
          <w:color w:val="000000"/>
        </w:rPr>
        <w:t>, and project timeline</w:t>
      </w:r>
      <w:r>
        <w:rPr>
          <w:rFonts w:ascii="Helvetica" w:hAnsi="Helvetica" w:cs="Helvetica"/>
          <w:color w:val="000000"/>
        </w:rPr>
        <w:t xml:space="preserve"> into the online application system. These files should be saved into a single zip file for uploading into the system as only one file can be uploaded per applicant. No additional information included in the zip file will be reviewed. The zip file size limit is 20MB.</w:t>
      </w:r>
    </w:p>
    <w:p w14:paraId="09B4C326" w14:textId="77777777" w:rsidR="009E3B7F" w:rsidRDefault="009E3B7F" w:rsidP="003541CD">
      <w:pPr>
        <w:pStyle w:val="Heading3"/>
        <w:numPr>
          <w:ilvl w:val="0"/>
          <w:numId w:val="0"/>
        </w:numPr>
        <w:ind w:left="360" w:hanging="360"/>
        <w:sectPr w:rsidR="009E3B7F" w:rsidSect="00025480">
          <w:footerReference w:type="default" r:id="rId31"/>
          <w:pgSz w:w="12240" w:h="15840"/>
          <w:pgMar w:top="1440" w:right="1440" w:bottom="1440" w:left="1440" w:header="720" w:footer="720" w:gutter="0"/>
          <w:cols w:space="720"/>
          <w:docGrid w:linePitch="360"/>
        </w:sectPr>
      </w:pPr>
    </w:p>
    <w:p w14:paraId="76AF3935" w14:textId="77777777" w:rsidR="00DB29FD" w:rsidRDefault="00BA62CD" w:rsidP="00176707">
      <w:pPr>
        <w:pStyle w:val="Heading3"/>
        <w:numPr>
          <w:ilvl w:val="0"/>
          <w:numId w:val="0"/>
        </w:numPr>
        <w:jc w:val="center"/>
      </w:pPr>
      <w:bookmarkStart w:id="71" w:name="_Toc86997825"/>
      <w:r>
        <w:lastRenderedPageBreak/>
        <w:t>Appendix</w:t>
      </w:r>
      <w:r w:rsidR="00DB29FD">
        <w:t xml:space="preserve"> </w:t>
      </w:r>
      <w:r w:rsidR="00CB1313">
        <w:t>B</w:t>
      </w:r>
      <w:r w:rsidR="00DB29FD">
        <w:t>: Budget Categories</w:t>
      </w:r>
      <w:bookmarkEnd w:id="71"/>
    </w:p>
    <w:p w14:paraId="3B328D22" w14:textId="77777777" w:rsidR="000C3722" w:rsidRDefault="00DB29FD" w:rsidP="00DB29FD">
      <w:r>
        <w:t>Each budget category is described below.</w:t>
      </w:r>
    </w:p>
    <w:tbl>
      <w:tblPr>
        <w:tblStyle w:val="GridTable41"/>
        <w:tblW w:w="9512" w:type="dxa"/>
        <w:tblLayout w:type="fixed"/>
        <w:tblLook w:val="0620" w:firstRow="1" w:lastRow="0" w:firstColumn="0" w:lastColumn="0" w:noHBand="1" w:noVBand="1"/>
        <w:tblDescription w:val="Description of Object Codes"/>
      </w:tblPr>
      <w:tblGrid>
        <w:gridCol w:w="1255"/>
        <w:gridCol w:w="8257"/>
      </w:tblGrid>
      <w:tr w:rsidR="00DB29FD" w:rsidRPr="00A05C89" w14:paraId="5229693D" w14:textId="77777777" w:rsidTr="006B161E">
        <w:trPr>
          <w:cnfStyle w:val="100000000000" w:firstRow="1" w:lastRow="0" w:firstColumn="0" w:lastColumn="0" w:oddVBand="0" w:evenVBand="0" w:oddHBand="0" w:evenHBand="0" w:firstRowFirstColumn="0" w:firstRowLastColumn="0" w:lastRowFirstColumn="0" w:lastRowLastColumn="0"/>
          <w:cantSplit/>
          <w:tblHeader/>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D13F7" w14:textId="77777777" w:rsidR="00DB29FD" w:rsidRPr="00000038" w:rsidRDefault="00DB29FD" w:rsidP="000A3CD1">
            <w:pPr>
              <w:spacing w:before="80" w:after="80"/>
              <w:jc w:val="center"/>
              <w:rPr>
                <w:b w:val="0"/>
                <w:color w:val="auto"/>
              </w:rPr>
            </w:pPr>
            <w:r w:rsidRPr="00000038">
              <w:rPr>
                <w:color w:val="auto"/>
              </w:rPr>
              <w:t>Object Code</w:t>
            </w:r>
          </w:p>
        </w:tc>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3B091" w14:textId="77777777" w:rsidR="00DB29FD" w:rsidRPr="00000038" w:rsidRDefault="00DB29FD" w:rsidP="000A3CD1">
            <w:pPr>
              <w:spacing w:before="80" w:after="80"/>
              <w:jc w:val="center"/>
              <w:rPr>
                <w:b w:val="0"/>
                <w:color w:val="auto"/>
              </w:rPr>
            </w:pPr>
            <w:r w:rsidRPr="00000038">
              <w:rPr>
                <w:color w:val="auto"/>
              </w:rPr>
              <w:t>Description</w:t>
            </w:r>
          </w:p>
        </w:tc>
      </w:tr>
      <w:tr w:rsidR="00DB29FD" w:rsidRPr="0094302D" w14:paraId="0F6D7144" w14:textId="77777777" w:rsidTr="006B161E">
        <w:trPr>
          <w:cantSplit/>
        </w:trPr>
        <w:tc>
          <w:tcPr>
            <w:tcW w:w="1255" w:type="dxa"/>
            <w:tcBorders>
              <w:top w:val="single" w:sz="4" w:space="0" w:color="auto"/>
            </w:tcBorders>
          </w:tcPr>
          <w:p w14:paraId="19B73CB4" w14:textId="77777777" w:rsidR="00DB29FD" w:rsidRPr="0094302D" w:rsidRDefault="00DB29FD" w:rsidP="000A3CD1">
            <w:pPr>
              <w:spacing w:before="80" w:after="80"/>
            </w:pPr>
            <w:r w:rsidRPr="00A50E59">
              <w:rPr>
                <w:b/>
              </w:rPr>
              <w:t>1000</w:t>
            </w:r>
          </w:p>
        </w:tc>
        <w:tc>
          <w:tcPr>
            <w:tcW w:w="8257" w:type="dxa"/>
            <w:tcBorders>
              <w:top w:val="single" w:sz="4" w:space="0" w:color="auto"/>
            </w:tcBorders>
          </w:tcPr>
          <w:p w14:paraId="25A07C51" w14:textId="77777777" w:rsidR="00DB29FD" w:rsidRPr="00A50E59" w:rsidRDefault="00DB29FD" w:rsidP="00C24600">
            <w:pPr>
              <w:pStyle w:val="TableParagraph"/>
              <w:tabs>
                <w:tab w:val="left" w:pos="9990"/>
                <w:tab w:val="left" w:pos="10080"/>
              </w:tabs>
              <w:spacing w:before="80" w:after="240" w:line="240" w:lineRule="auto"/>
              <w:ind w:left="0" w:right="0"/>
              <w:rPr>
                <w:b/>
                <w:sz w:val="24"/>
              </w:rPr>
            </w:pPr>
            <w:r w:rsidRPr="00A50E59">
              <w:rPr>
                <w:b/>
                <w:sz w:val="24"/>
              </w:rPr>
              <w:t>Certificated Salaries</w:t>
            </w:r>
          </w:p>
          <w:p w14:paraId="18CDE860" w14:textId="77777777" w:rsidR="00A1439E" w:rsidRDefault="00DB29FD" w:rsidP="00A1439E">
            <w:pPr>
              <w:spacing w:before="80"/>
            </w:pPr>
            <w:r w:rsidRPr="00A50E59">
              <w:t xml:space="preserve">Certificated salaries are salaries that require a credential or permit issued by the </w:t>
            </w:r>
            <w:r w:rsidR="00A1439E">
              <w:t xml:space="preserve">California </w:t>
            </w:r>
            <w:r w:rsidRPr="00A50E59">
              <w:t>Commission on Teacher Credentialing</w:t>
            </w:r>
            <w:r w:rsidR="00A1439E">
              <w:t xml:space="preserve"> (CTC)</w:t>
            </w:r>
            <w:r w:rsidRPr="00A50E59">
              <w:t>. List all certificated project employees, including percentage or fraction of full</w:t>
            </w:r>
            <w:r w:rsidR="00C24600">
              <w:t>-</w:t>
            </w:r>
            <w:r w:rsidRPr="00A50E59">
              <w:t xml:space="preserve">time equivalent (FTE) and rate of pay per day, month, and/or annual salary. </w:t>
            </w:r>
          </w:p>
          <w:p w14:paraId="2E586027" w14:textId="77777777" w:rsidR="00DB29FD" w:rsidRPr="0094302D" w:rsidRDefault="00DB29FD" w:rsidP="00C24600">
            <w:pPr>
              <w:spacing w:before="80" w:after="80"/>
            </w:pPr>
            <w:r w:rsidRPr="00C24600">
              <w:rPr>
                <w:b/>
              </w:rPr>
              <w:t>Note:</w:t>
            </w:r>
            <w:r w:rsidRPr="00A50E59">
              <w:t xml:space="preserve"> Funds in this category are not intended to supplant current fixed costs.</w:t>
            </w:r>
          </w:p>
        </w:tc>
      </w:tr>
      <w:tr w:rsidR="00DB29FD" w:rsidRPr="0094302D" w14:paraId="45D162BE" w14:textId="77777777" w:rsidTr="006B161E">
        <w:trPr>
          <w:cantSplit/>
        </w:trPr>
        <w:tc>
          <w:tcPr>
            <w:tcW w:w="1255" w:type="dxa"/>
          </w:tcPr>
          <w:p w14:paraId="749F00E9" w14:textId="77777777" w:rsidR="00DB29FD" w:rsidRPr="00A50E59" w:rsidRDefault="00DB29FD" w:rsidP="000A3CD1">
            <w:pPr>
              <w:spacing w:before="80" w:after="80"/>
              <w:rPr>
                <w:b/>
              </w:rPr>
            </w:pPr>
            <w:r w:rsidRPr="00A50E59">
              <w:rPr>
                <w:b/>
              </w:rPr>
              <w:t>2000</w:t>
            </w:r>
          </w:p>
        </w:tc>
        <w:tc>
          <w:tcPr>
            <w:tcW w:w="8257" w:type="dxa"/>
          </w:tcPr>
          <w:p w14:paraId="12F2E83A" w14:textId="77777777" w:rsidR="00DB29FD" w:rsidRPr="00A50E59" w:rsidRDefault="00DB29FD" w:rsidP="00C24600">
            <w:pPr>
              <w:pStyle w:val="TableParagraph"/>
              <w:tabs>
                <w:tab w:val="left" w:pos="9990"/>
                <w:tab w:val="left" w:pos="10080"/>
              </w:tabs>
              <w:spacing w:before="80" w:after="240" w:line="240" w:lineRule="auto"/>
              <w:ind w:left="0" w:right="0"/>
              <w:rPr>
                <w:b/>
                <w:sz w:val="24"/>
              </w:rPr>
            </w:pPr>
            <w:r w:rsidRPr="00A50E59">
              <w:rPr>
                <w:b/>
                <w:sz w:val="24"/>
              </w:rPr>
              <w:t>Classified Salaries</w:t>
            </w:r>
          </w:p>
          <w:p w14:paraId="0BC3BD09" w14:textId="77777777" w:rsidR="00A1439E" w:rsidRDefault="00DB29FD" w:rsidP="00A1439E">
            <w:pPr>
              <w:pStyle w:val="TableParagraph"/>
              <w:tabs>
                <w:tab w:val="left" w:pos="9990"/>
                <w:tab w:val="left" w:pos="10080"/>
              </w:tabs>
              <w:spacing w:before="80" w:after="240" w:line="240" w:lineRule="auto"/>
              <w:ind w:left="0" w:right="0"/>
              <w:rPr>
                <w:sz w:val="24"/>
              </w:rPr>
            </w:pPr>
            <w:r w:rsidRPr="00A50E59">
              <w:rPr>
                <w:sz w:val="24"/>
              </w:rPr>
              <w:t xml:space="preserve">Classified salaries are salaries for services that do not require a credential or permit issued by the </w:t>
            </w:r>
            <w:r w:rsidR="00C24600">
              <w:rPr>
                <w:sz w:val="24"/>
              </w:rPr>
              <w:t>CTC</w:t>
            </w:r>
            <w:r w:rsidRPr="00A50E59">
              <w:rPr>
                <w:sz w:val="24"/>
              </w:rPr>
              <w:t xml:space="preserve">. List all classified project employees, including percentage of FTE, and rate of pay per day, month, and/or year. </w:t>
            </w:r>
          </w:p>
          <w:p w14:paraId="6F37AC14" w14:textId="77777777" w:rsidR="00DB29FD" w:rsidRPr="00A50E59" w:rsidRDefault="00DB29FD" w:rsidP="00C24600">
            <w:pPr>
              <w:pStyle w:val="TableParagraph"/>
              <w:tabs>
                <w:tab w:val="left" w:pos="9990"/>
                <w:tab w:val="left" w:pos="10080"/>
              </w:tabs>
              <w:spacing w:before="80" w:after="80" w:line="240" w:lineRule="auto"/>
              <w:ind w:left="0" w:right="0"/>
              <w:rPr>
                <w:b/>
                <w:sz w:val="24"/>
              </w:rPr>
            </w:pPr>
            <w:r w:rsidRPr="00C24600">
              <w:rPr>
                <w:b/>
                <w:sz w:val="24"/>
              </w:rPr>
              <w:t>Note:</w:t>
            </w:r>
            <w:r w:rsidRPr="00A50E59">
              <w:rPr>
                <w:sz w:val="24"/>
              </w:rPr>
              <w:t xml:space="preserve"> Funds in this category are not intended to supplant current fixed costs.</w:t>
            </w:r>
          </w:p>
        </w:tc>
      </w:tr>
      <w:tr w:rsidR="00DB29FD" w:rsidRPr="0094302D" w14:paraId="4BFE141A" w14:textId="77777777" w:rsidTr="006B161E">
        <w:trPr>
          <w:cantSplit/>
        </w:trPr>
        <w:tc>
          <w:tcPr>
            <w:tcW w:w="1255" w:type="dxa"/>
          </w:tcPr>
          <w:p w14:paraId="0CC5E706" w14:textId="77777777" w:rsidR="00DB29FD" w:rsidRPr="00A50E59" w:rsidRDefault="00DB29FD" w:rsidP="000A3CD1">
            <w:pPr>
              <w:spacing w:before="80" w:after="80"/>
              <w:rPr>
                <w:b/>
              </w:rPr>
            </w:pPr>
            <w:r w:rsidRPr="00A50E59">
              <w:rPr>
                <w:b/>
              </w:rPr>
              <w:t>3000</w:t>
            </w:r>
          </w:p>
        </w:tc>
        <w:tc>
          <w:tcPr>
            <w:tcW w:w="8257" w:type="dxa"/>
          </w:tcPr>
          <w:p w14:paraId="1F3C760C" w14:textId="77777777" w:rsidR="00DB29FD" w:rsidRPr="00A50E59" w:rsidRDefault="00DB29FD" w:rsidP="00BB48A1">
            <w:pPr>
              <w:pStyle w:val="TableParagraph"/>
              <w:tabs>
                <w:tab w:val="left" w:pos="9990"/>
                <w:tab w:val="left" w:pos="10080"/>
              </w:tabs>
              <w:spacing w:before="80" w:after="240" w:line="240" w:lineRule="auto"/>
              <w:ind w:left="0" w:right="0"/>
              <w:rPr>
                <w:b/>
                <w:sz w:val="24"/>
              </w:rPr>
            </w:pPr>
            <w:r w:rsidRPr="00A50E59">
              <w:rPr>
                <w:b/>
                <w:sz w:val="24"/>
              </w:rPr>
              <w:t>Employee Benefits</w:t>
            </w:r>
          </w:p>
          <w:p w14:paraId="6D896BEB" w14:textId="77777777" w:rsidR="00DB29FD" w:rsidRPr="00A50E59" w:rsidRDefault="00DB29FD" w:rsidP="000A3CD1">
            <w:pPr>
              <w:pStyle w:val="TableParagraph"/>
              <w:tabs>
                <w:tab w:val="left" w:pos="9990"/>
                <w:tab w:val="left" w:pos="10080"/>
              </w:tabs>
              <w:spacing w:before="80" w:after="80" w:line="240" w:lineRule="auto"/>
              <w:ind w:left="0" w:right="0"/>
              <w:rPr>
                <w:b/>
                <w:sz w:val="24"/>
              </w:rPr>
            </w:pPr>
            <w:r w:rsidRPr="00A50E59">
              <w:rPr>
                <w:sz w:val="24"/>
              </w:rPr>
              <w:t>Record employer’s contributions to retirement plans and health and welfare benefits. List and include the percentage and dollar amount for each employee benefit being claimed.</w:t>
            </w:r>
          </w:p>
        </w:tc>
      </w:tr>
      <w:tr w:rsidR="00DB29FD" w:rsidRPr="0094302D" w14:paraId="759C7EAD" w14:textId="77777777" w:rsidTr="006B161E">
        <w:trPr>
          <w:cantSplit/>
        </w:trPr>
        <w:tc>
          <w:tcPr>
            <w:tcW w:w="1255" w:type="dxa"/>
          </w:tcPr>
          <w:p w14:paraId="6D55FB7D" w14:textId="77777777" w:rsidR="00DB29FD" w:rsidRPr="00A50E59" w:rsidRDefault="00DB29FD" w:rsidP="000A3CD1">
            <w:pPr>
              <w:spacing w:before="80" w:after="80"/>
              <w:rPr>
                <w:b/>
              </w:rPr>
            </w:pPr>
            <w:r w:rsidRPr="00A50E59">
              <w:rPr>
                <w:b/>
              </w:rPr>
              <w:t>4000</w:t>
            </w:r>
          </w:p>
        </w:tc>
        <w:tc>
          <w:tcPr>
            <w:tcW w:w="8257" w:type="dxa"/>
          </w:tcPr>
          <w:p w14:paraId="169DE6A5" w14:textId="77777777" w:rsidR="00DB29FD" w:rsidRPr="00A50E59" w:rsidRDefault="00DB29FD" w:rsidP="00C24600">
            <w:pPr>
              <w:pStyle w:val="TableParagraph"/>
              <w:tabs>
                <w:tab w:val="left" w:pos="9990"/>
                <w:tab w:val="left" w:pos="10080"/>
              </w:tabs>
              <w:spacing w:before="80" w:after="240" w:line="240" w:lineRule="auto"/>
              <w:ind w:left="0" w:right="0"/>
              <w:rPr>
                <w:b/>
                <w:sz w:val="24"/>
              </w:rPr>
            </w:pPr>
            <w:r w:rsidRPr="00A50E59">
              <w:rPr>
                <w:b/>
                <w:sz w:val="24"/>
              </w:rPr>
              <w:t>Books and Supplies</w:t>
            </w:r>
          </w:p>
          <w:p w14:paraId="42A601B6" w14:textId="63E8F8EC" w:rsidR="00DB29FD" w:rsidRPr="00A50E59" w:rsidRDefault="00DB29FD" w:rsidP="000A3CD1">
            <w:pPr>
              <w:pStyle w:val="TableParagraph"/>
              <w:tabs>
                <w:tab w:val="left" w:pos="9990"/>
                <w:tab w:val="left" w:pos="10080"/>
              </w:tabs>
              <w:spacing w:before="80" w:after="80" w:line="240" w:lineRule="auto"/>
              <w:ind w:left="0" w:right="0"/>
              <w:rPr>
                <w:b/>
                <w:sz w:val="24"/>
              </w:rPr>
            </w:pPr>
            <w:r w:rsidRPr="00A50E59">
              <w:rPr>
                <w:sz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3267A8">
              <w:rPr>
                <w:sz w:val="24"/>
              </w:rPr>
              <w:t>local educational agency (</w:t>
            </w:r>
            <w:r w:rsidRPr="00A50E59">
              <w:rPr>
                <w:sz w:val="24"/>
              </w:rPr>
              <w:t>LEA</w:t>
            </w:r>
            <w:r w:rsidR="003267A8">
              <w:rPr>
                <w:sz w:val="24"/>
              </w:rPr>
              <w:t>)</w:t>
            </w:r>
            <w:r w:rsidRPr="00A50E59">
              <w:rPr>
                <w:sz w:val="24"/>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6B161E" w:rsidRPr="0094302D" w14:paraId="1B214034" w14:textId="77777777" w:rsidTr="006B16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482722F" w14:textId="77777777" w:rsidR="006B161E" w:rsidRPr="00A50E59" w:rsidRDefault="006B161E" w:rsidP="006B161E">
            <w:pPr>
              <w:spacing w:before="80" w:after="80"/>
              <w:rPr>
                <w:b w:val="0"/>
              </w:rPr>
            </w:pPr>
            <w:r w:rsidRPr="00A50E59">
              <w:lastRenderedPageBreak/>
              <w:t>5000</w:t>
            </w:r>
          </w:p>
        </w:tc>
        <w:tc>
          <w:tcPr>
            <w:tcW w:w="8257" w:type="dxa"/>
            <w:shd w:val="clear" w:color="auto" w:fill="auto"/>
          </w:tcPr>
          <w:p w14:paraId="4B637520" w14:textId="77777777" w:rsidR="006B161E" w:rsidRPr="00000038" w:rsidRDefault="006B161E" w:rsidP="006B161E">
            <w:pPr>
              <w:pStyle w:val="TableParagraph"/>
              <w:tabs>
                <w:tab w:val="left" w:pos="9990"/>
                <w:tab w:val="left" w:pos="10080"/>
              </w:tabs>
              <w:spacing w:before="80" w:after="240" w:line="240" w:lineRule="auto"/>
              <w:ind w:left="0" w:right="0"/>
              <w:cnfStyle w:val="000000100000" w:firstRow="0" w:lastRow="0" w:firstColumn="0" w:lastColumn="0" w:oddVBand="0" w:evenVBand="0" w:oddHBand="1" w:evenHBand="0" w:firstRowFirstColumn="0" w:firstRowLastColumn="0" w:lastRowFirstColumn="0" w:lastRowLastColumn="0"/>
              <w:rPr>
                <w:b/>
                <w:sz w:val="24"/>
              </w:rPr>
            </w:pPr>
            <w:r w:rsidRPr="00000038">
              <w:rPr>
                <w:b/>
                <w:sz w:val="24"/>
              </w:rPr>
              <w:t>Services and Other Operating Expenditures</w:t>
            </w:r>
          </w:p>
          <w:p w14:paraId="419136CC" w14:textId="77777777" w:rsidR="006B161E" w:rsidRPr="00000038" w:rsidRDefault="006B161E" w:rsidP="006B161E">
            <w:pPr>
              <w:pStyle w:val="TableParagraph"/>
              <w:tabs>
                <w:tab w:val="left" w:pos="9990"/>
                <w:tab w:val="left" w:pos="10080"/>
              </w:tabs>
              <w:spacing w:before="80" w:after="240" w:line="240" w:lineRule="auto"/>
              <w:ind w:left="0" w:right="101"/>
              <w:cnfStyle w:val="000000100000" w:firstRow="0" w:lastRow="0" w:firstColumn="0" w:lastColumn="0" w:oddVBand="0" w:evenVBand="0" w:oddHBand="1" w:evenHBand="0" w:firstRowFirstColumn="0" w:firstRowLastColumn="0" w:lastRowFirstColumn="0" w:lastRowLastColumn="0"/>
              <w:rPr>
                <w:sz w:val="24"/>
              </w:rPr>
            </w:pPr>
            <w:r w:rsidRPr="00000038">
              <w:rPr>
                <w:sz w:val="24"/>
              </w:rPr>
              <w:t>Record expenditures for services, rentals, leases, maintenance contracts, dues, travel, insurance, utilities, legal, and other operating expenditures.</w:t>
            </w:r>
          </w:p>
          <w:p w14:paraId="7AF018B5" w14:textId="77777777" w:rsidR="006B161E" w:rsidRPr="00000038" w:rsidRDefault="006B161E" w:rsidP="006B161E">
            <w:pPr>
              <w:pStyle w:val="TableParagraph"/>
              <w:tabs>
                <w:tab w:val="left" w:pos="9990"/>
                <w:tab w:val="left" w:pos="10080"/>
              </w:tabs>
              <w:spacing w:before="80" w:after="240" w:line="240" w:lineRule="auto"/>
              <w:ind w:left="0" w:right="101"/>
              <w:cnfStyle w:val="000000100000" w:firstRow="0" w:lastRow="0" w:firstColumn="0" w:lastColumn="0" w:oddVBand="0" w:evenVBand="0" w:oddHBand="1" w:evenHBand="0" w:firstRowFirstColumn="0" w:firstRowLastColumn="0" w:lastRowFirstColumn="0" w:lastRowLastColumn="0"/>
              <w:rPr>
                <w:sz w:val="24"/>
              </w:rPr>
            </w:pPr>
            <w:r w:rsidRPr="00000038">
              <w:rPr>
                <w:b/>
                <w:sz w:val="24"/>
              </w:rPr>
              <w:t>Travel and Conference:</w:t>
            </w:r>
            <w:r w:rsidRPr="00000038">
              <w:rPr>
                <w:sz w:val="24"/>
              </w:rPr>
              <w:t xml:space="preserve"> 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to be kept on file by your agency for audit purposes. Bus transportation for students should be listed here.</w:t>
            </w:r>
          </w:p>
          <w:p w14:paraId="67F0C778" w14:textId="77777777" w:rsidR="006B161E" w:rsidRPr="00000038" w:rsidRDefault="006B161E" w:rsidP="006B161E">
            <w:pPr>
              <w:pStyle w:val="TableParagraph"/>
              <w:tabs>
                <w:tab w:val="left" w:pos="9990"/>
                <w:tab w:val="left" w:pos="10080"/>
              </w:tabs>
              <w:spacing w:before="80" w:after="80" w:line="240" w:lineRule="auto"/>
              <w:ind w:left="0" w:right="0"/>
              <w:cnfStyle w:val="000000100000" w:firstRow="0" w:lastRow="0" w:firstColumn="0" w:lastColumn="0" w:oddVBand="0" w:evenVBand="0" w:oddHBand="1" w:evenHBand="0" w:firstRowFirstColumn="0" w:firstRowLastColumn="0" w:lastRowFirstColumn="0" w:lastRowLastColumn="0"/>
              <w:rPr>
                <w:b/>
                <w:sz w:val="24"/>
              </w:rPr>
            </w:pPr>
            <w:r w:rsidRPr="00000038">
              <w:rPr>
                <w:b/>
                <w:sz w:val="24"/>
              </w:rPr>
              <w:t>Contracting Services:</w:t>
            </w:r>
            <w:r w:rsidRPr="00000038">
              <w:rPr>
                <w:sz w:val="24"/>
              </w:rPr>
              <w:t xml:space="preserve"> Services provided to the school by outside contractors appear under this category. Identify what, when, and where the services(s) will be provided. Appropriate activities include conducting workshops, trainings, and technical assistance activities.</w:t>
            </w:r>
          </w:p>
        </w:tc>
      </w:tr>
      <w:tr w:rsidR="006B161E" w:rsidRPr="0094302D" w14:paraId="423126C6" w14:textId="77777777" w:rsidTr="006B161E">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55" w:type="dxa"/>
          </w:tcPr>
          <w:p w14:paraId="65A8DD29" w14:textId="77777777" w:rsidR="006B161E" w:rsidRPr="00A50E59" w:rsidRDefault="006B161E" w:rsidP="006B161E">
            <w:pPr>
              <w:spacing w:before="80" w:after="80"/>
              <w:rPr>
                <w:b w:val="0"/>
              </w:rPr>
            </w:pPr>
            <w:r w:rsidRPr="00A50E59">
              <w:t>6000</w:t>
            </w:r>
          </w:p>
        </w:tc>
        <w:tc>
          <w:tcPr>
            <w:tcW w:w="8257" w:type="dxa"/>
          </w:tcPr>
          <w:p w14:paraId="1A3958AC" w14:textId="77777777" w:rsidR="006B161E" w:rsidRPr="00A50E59" w:rsidRDefault="006B161E" w:rsidP="006B161E">
            <w:pPr>
              <w:pStyle w:val="TableParagraph"/>
              <w:tabs>
                <w:tab w:val="left" w:pos="9990"/>
                <w:tab w:val="left" w:pos="10080"/>
              </w:tabs>
              <w:spacing w:before="80" w:after="240" w:line="240" w:lineRule="auto"/>
              <w:ind w:left="0" w:right="0"/>
              <w:cnfStyle w:val="000000000000" w:firstRow="0" w:lastRow="0" w:firstColumn="0" w:lastColumn="0" w:oddVBand="0" w:evenVBand="0" w:oddHBand="0" w:evenHBand="0" w:firstRowFirstColumn="0" w:firstRowLastColumn="0" w:lastRowFirstColumn="0" w:lastRowLastColumn="0"/>
              <w:rPr>
                <w:b/>
                <w:sz w:val="24"/>
              </w:rPr>
            </w:pPr>
            <w:r w:rsidRPr="00A50E59">
              <w:rPr>
                <w:b/>
                <w:sz w:val="24"/>
              </w:rPr>
              <w:t>Capital Outlay</w:t>
            </w:r>
          </w:p>
          <w:p w14:paraId="250B6BBE" w14:textId="77777777" w:rsidR="006B161E" w:rsidRPr="00A50E59" w:rsidRDefault="006B161E" w:rsidP="006B161E">
            <w:pPr>
              <w:pStyle w:val="TableParagraph"/>
              <w:tabs>
                <w:tab w:val="left" w:pos="9990"/>
                <w:tab w:val="left" w:pos="10080"/>
              </w:tabs>
              <w:spacing w:before="80" w:after="80" w:line="240" w:lineRule="auto"/>
              <w:ind w:left="0" w:right="0"/>
              <w:cnfStyle w:val="000000000000" w:firstRow="0" w:lastRow="0" w:firstColumn="0" w:lastColumn="0" w:oddVBand="0" w:evenVBand="0" w:oddHBand="0" w:evenHBand="0" w:firstRowFirstColumn="0" w:firstRowLastColumn="0" w:lastRowFirstColumn="0" w:lastRowLastColumn="0"/>
              <w:rPr>
                <w:b/>
                <w:sz w:val="24"/>
              </w:rPr>
            </w:pPr>
            <w:r w:rsidRPr="00A50E59">
              <w:rPr>
                <w:sz w:val="24"/>
              </w:rPr>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w:t>
            </w:r>
            <w:r w:rsidRPr="00A50E59">
              <w:rPr>
                <w:spacing w:val="-1"/>
                <w:sz w:val="24"/>
              </w:rPr>
              <w:t xml:space="preserve"> </w:t>
            </w:r>
            <w:r w:rsidRPr="00A50E59">
              <w:rPr>
                <w:sz w:val="24"/>
              </w:rPr>
              <w:t>buildings.</w:t>
            </w:r>
          </w:p>
        </w:tc>
      </w:tr>
      <w:tr w:rsidR="006B161E" w:rsidRPr="0094302D" w14:paraId="02B44C63" w14:textId="77777777" w:rsidTr="006B16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2A95018" w14:textId="77777777" w:rsidR="006B161E" w:rsidRPr="00A50E59" w:rsidRDefault="006B161E" w:rsidP="006B161E">
            <w:pPr>
              <w:spacing w:before="80" w:after="80"/>
              <w:rPr>
                <w:b w:val="0"/>
              </w:rPr>
            </w:pPr>
            <w:r w:rsidRPr="00A50E59">
              <w:t>7000</w:t>
            </w:r>
          </w:p>
        </w:tc>
        <w:tc>
          <w:tcPr>
            <w:tcW w:w="8257" w:type="dxa"/>
            <w:shd w:val="clear" w:color="auto" w:fill="auto"/>
          </w:tcPr>
          <w:p w14:paraId="6472A493" w14:textId="77777777" w:rsidR="006B161E" w:rsidRDefault="006B161E" w:rsidP="006B161E">
            <w:pPr>
              <w:pStyle w:val="TableParagraph"/>
              <w:tabs>
                <w:tab w:val="left" w:pos="9990"/>
                <w:tab w:val="left" w:pos="10080"/>
              </w:tabs>
              <w:spacing w:before="80" w:after="80" w:line="240" w:lineRule="auto"/>
              <w:ind w:left="0" w:right="0"/>
              <w:cnfStyle w:val="000000100000" w:firstRow="0" w:lastRow="0" w:firstColumn="0" w:lastColumn="0" w:oddVBand="0" w:evenVBand="0" w:oddHBand="1" w:evenHBand="0" w:firstRowFirstColumn="0" w:firstRowLastColumn="0" w:lastRowFirstColumn="0" w:lastRowLastColumn="0"/>
              <w:rPr>
                <w:sz w:val="24"/>
              </w:rPr>
            </w:pPr>
            <w:r w:rsidRPr="00A50E59">
              <w:rPr>
                <w:b/>
                <w:sz w:val="24"/>
              </w:rPr>
              <w:t xml:space="preserve">Indirect </w:t>
            </w:r>
            <w:r w:rsidRPr="00A50E59">
              <w:rPr>
                <w:sz w:val="24"/>
              </w:rPr>
              <w:t>if applicable (n</w:t>
            </w:r>
            <w:r>
              <w:rPr>
                <w:sz w:val="24"/>
              </w:rPr>
              <w:t>ot to exceed CDE-approved rate)</w:t>
            </w:r>
            <w:r w:rsidRPr="00A50E59">
              <w:rPr>
                <w:sz w:val="24"/>
              </w:rPr>
              <w:t xml:space="preserve"> </w:t>
            </w:r>
          </w:p>
          <w:p w14:paraId="1D207EFC" w14:textId="77777777" w:rsidR="006B161E" w:rsidRPr="00A50E59" w:rsidRDefault="006B161E" w:rsidP="006B161E">
            <w:pPr>
              <w:pStyle w:val="TableParagraph"/>
              <w:tabs>
                <w:tab w:val="left" w:pos="9990"/>
                <w:tab w:val="left" w:pos="10080"/>
              </w:tabs>
              <w:spacing w:before="80" w:after="80" w:line="240" w:lineRule="auto"/>
              <w:ind w:left="0" w:right="0"/>
              <w:cnfStyle w:val="000000100000" w:firstRow="0" w:lastRow="0" w:firstColumn="0" w:lastColumn="0" w:oddVBand="0" w:evenVBand="0" w:oddHBand="1" w:evenHBand="0" w:firstRowFirstColumn="0" w:firstRowLastColumn="0" w:lastRowFirstColumn="0" w:lastRowLastColumn="0"/>
              <w:rPr>
                <w:b/>
                <w:sz w:val="24"/>
              </w:rPr>
            </w:pPr>
            <w:r w:rsidRPr="00A50E59">
              <w:rPr>
                <w:sz w:val="24"/>
              </w:rPr>
              <w:t xml:space="preserve">Indirect costs are not assessed on expenditures for capital outlay. For a listing of indirect cost rates visit the CDE Indirect Cost Rates </w:t>
            </w:r>
            <w:r>
              <w:rPr>
                <w:sz w:val="24"/>
              </w:rPr>
              <w:t>w</w:t>
            </w:r>
            <w:r w:rsidRPr="00A50E59">
              <w:rPr>
                <w:sz w:val="24"/>
              </w:rPr>
              <w:t xml:space="preserve">eb page at </w:t>
            </w:r>
            <w:hyperlink r:id="rId32" w:tooltip="CDE Indirect Cost Rates Web page">
              <w:r w:rsidRPr="00A50E59">
                <w:rPr>
                  <w:color w:val="0000FF"/>
                  <w:sz w:val="24"/>
                  <w:u w:val="single" w:color="0000FF"/>
                </w:rPr>
                <w:t>https://www.cde.ca.gov/fg/ac/ic/</w:t>
              </w:r>
            </w:hyperlink>
            <w:r w:rsidRPr="00A50E59">
              <w:rPr>
                <w:sz w:val="24"/>
              </w:rPr>
              <w:t>.</w:t>
            </w:r>
          </w:p>
        </w:tc>
      </w:tr>
    </w:tbl>
    <w:p w14:paraId="08ADC960" w14:textId="77777777" w:rsidR="006B161E" w:rsidRDefault="006B161E" w:rsidP="00DB29FD"/>
    <w:p w14:paraId="33EBD6C7" w14:textId="3B7EC08E" w:rsidR="006B161E" w:rsidRDefault="006B161E" w:rsidP="00DB29FD">
      <w:pPr>
        <w:sectPr w:rsidR="006B161E">
          <w:headerReference w:type="default" r:id="rId33"/>
          <w:footerReference w:type="default" r:id="rId34"/>
          <w:pgSz w:w="12240" w:h="15840"/>
          <w:pgMar w:top="1440" w:right="1440" w:bottom="1440" w:left="1440" w:header="720" w:footer="720" w:gutter="0"/>
          <w:cols w:space="720"/>
          <w:docGrid w:linePitch="360"/>
        </w:sectPr>
      </w:pPr>
    </w:p>
    <w:p w14:paraId="799B5992" w14:textId="79106389" w:rsidR="00B44BDA" w:rsidRDefault="00B44BDA" w:rsidP="00176707">
      <w:pPr>
        <w:pStyle w:val="Heading3"/>
        <w:numPr>
          <w:ilvl w:val="0"/>
          <w:numId w:val="0"/>
        </w:numPr>
        <w:jc w:val="center"/>
      </w:pPr>
      <w:bookmarkStart w:id="72" w:name="_Toc86997826"/>
      <w:r>
        <w:lastRenderedPageBreak/>
        <w:t>A</w:t>
      </w:r>
      <w:r w:rsidR="006D7973">
        <w:t>ppendix</w:t>
      </w:r>
      <w:r>
        <w:t xml:space="preserve"> </w:t>
      </w:r>
      <w:r w:rsidR="005F6D46">
        <w:t>C</w:t>
      </w:r>
      <w:r w:rsidR="00493350">
        <w:t>:</w:t>
      </w:r>
      <w:r>
        <w:t xml:space="preserve"> </w:t>
      </w:r>
      <w:r w:rsidR="005062E2" w:rsidRPr="005062E2">
        <w:t>Education Omnibus Trailer Bill (</w:t>
      </w:r>
      <w:r w:rsidR="003267A8">
        <w:t>Assembly Bill</w:t>
      </w:r>
      <w:r w:rsidR="005062E2" w:rsidRPr="005062E2">
        <w:t xml:space="preserve"> 130)</w:t>
      </w:r>
      <w:bookmarkEnd w:id="72"/>
    </w:p>
    <w:p w14:paraId="57C8289A" w14:textId="75C7DB25" w:rsidR="00DB29FD" w:rsidRDefault="005062E2" w:rsidP="00176707">
      <w:pPr>
        <w:pStyle w:val="Heading4"/>
      </w:pPr>
      <w:bookmarkStart w:id="73" w:name="_Toc83900998"/>
      <w:r>
        <w:t>Summary</w:t>
      </w:r>
      <w:bookmarkEnd w:id="73"/>
    </w:p>
    <w:p w14:paraId="36F9F0A6" w14:textId="0F04A038" w:rsidR="005062E2" w:rsidRPr="005E6F8B" w:rsidRDefault="005062E2" w:rsidP="00025F31">
      <w:pPr>
        <w:rPr>
          <w:i/>
        </w:rPr>
      </w:pPr>
      <w:r w:rsidRPr="005E6F8B">
        <w:rPr>
          <w:i/>
        </w:rPr>
        <w:t xml:space="preserve">(12) This bill would appropriate $50,000,000 from the General Fund to the Superintendent to apportion to the Orange County Department of Education to award no less than $30,000,000 as grants to local educational agencies for the purpose of funding schoolwide and districtwide implementation of services or practices aligned to the Multi-tiered Systems of Support framework. The bill would require the Superintendent to establish a process, in consultation with and subject to the approval of the executive director of the state board, to select a local educational agency, a local educational agency in partnership with an </w:t>
      </w:r>
      <w:r w:rsidR="00F027D9" w:rsidRPr="005E6F8B">
        <w:rPr>
          <w:i/>
        </w:rPr>
        <w:t>IHE</w:t>
      </w:r>
      <w:r w:rsidRPr="005E6F8B">
        <w:rPr>
          <w:i/>
        </w:rPr>
        <w:t xml:space="preserve"> or nonprofit educational service provider, or a consortia, to partner with the Orange County Department of Education and the Butte County Office of Education to expand the state’s capacity to support local educational agencies’ implementation of social-emotional learning, trauma-informed practices, and culturally relevant, affirming, and sustaining practices, and would require no more than $20,000,000 of the $50,000,000 appropriation to be available for these purposes. To the extent the bill would impose additional duties on certain county offices of education, the bill would impose a state-mandated local program.</w:t>
      </w:r>
    </w:p>
    <w:p w14:paraId="2BABCD02" w14:textId="23ED76EB" w:rsidR="005062E2" w:rsidRPr="005062E2" w:rsidRDefault="005062E2" w:rsidP="00176707">
      <w:pPr>
        <w:pStyle w:val="Heading4"/>
      </w:pPr>
      <w:bookmarkStart w:id="74" w:name="_Toc83900999"/>
      <w:r>
        <w:t>Detail</w:t>
      </w:r>
      <w:bookmarkEnd w:id="74"/>
    </w:p>
    <w:p w14:paraId="637AF0A2" w14:textId="6BE816B2" w:rsidR="005062E2" w:rsidRPr="00025F31" w:rsidRDefault="005062E2" w:rsidP="005062E2">
      <w:pPr>
        <w:pStyle w:val="Default"/>
      </w:pPr>
      <w:r w:rsidRPr="00025F31">
        <w:rPr>
          <w:bCs/>
        </w:rPr>
        <w:t xml:space="preserve">Article 2. </w:t>
      </w:r>
      <w:r w:rsidRPr="00025F31">
        <w:t xml:space="preserve">41490. </w:t>
      </w:r>
    </w:p>
    <w:p w14:paraId="7E6E6B36" w14:textId="08D7BDC4" w:rsidR="005062E2" w:rsidRPr="005E6F8B" w:rsidRDefault="005062E2" w:rsidP="00176707">
      <w:pPr>
        <w:pStyle w:val="Default"/>
        <w:spacing w:after="240"/>
        <w:rPr>
          <w:i/>
        </w:rPr>
      </w:pPr>
      <w:r w:rsidRPr="005E6F8B">
        <w:rPr>
          <w:i/>
        </w:rPr>
        <w:t xml:space="preserve">(a) For the 2021–22 fiscal year, the sum of fifty million dollars ($50,000,000) is hereby appropriated from the General Fund to the Superintendent to apportion to the Orange County Department of Education in the manner, and for the purposes, set forth in this section. The Orange County Department of Education shall encumber or expend the funds apportioned pursuant to this subdivision on or before June 30, 2026. </w:t>
      </w:r>
    </w:p>
    <w:p w14:paraId="6201048A" w14:textId="1414F132" w:rsidR="000C13BC" w:rsidRPr="005E6F8B" w:rsidRDefault="005062E2" w:rsidP="00025F31">
      <w:pPr>
        <w:rPr>
          <w:i/>
          <w:szCs w:val="24"/>
        </w:rPr>
      </w:pPr>
      <w:r w:rsidRPr="005E6F8B">
        <w:rPr>
          <w:i/>
          <w:szCs w:val="24"/>
        </w:rPr>
        <w:t xml:space="preserve">(b) The Orange County Department of Education, in consultation with the Superintendent and the executive director of the state board, shall award no less than thirty million dollars ($30,000,000) of the amount appropriated in subdivision (a) as grants to local educational agencies for the purpose of funding schoolwide and districtwide implementation of services or practices aligned to the Multi-Tiered Systems of Support framework developed under the “Scale Up MTSS Statewide” (SUMS) project. The grants shall be awarded to local educational agencies on or before December 15, 2021. </w:t>
      </w:r>
      <w:r w:rsidR="000C13BC" w:rsidRPr="005E6F8B">
        <w:rPr>
          <w:i/>
          <w:szCs w:val="24"/>
        </w:rPr>
        <w:tab/>
      </w:r>
    </w:p>
    <w:p w14:paraId="039D013D" w14:textId="77777777" w:rsidR="005062E2" w:rsidRPr="005E6F8B" w:rsidRDefault="005062E2" w:rsidP="00025F31">
      <w:pPr>
        <w:ind w:left="720"/>
        <w:rPr>
          <w:i/>
          <w:szCs w:val="24"/>
        </w:rPr>
      </w:pPr>
      <w:r w:rsidRPr="005E6F8B">
        <w:rPr>
          <w:i/>
          <w:szCs w:val="24"/>
        </w:rPr>
        <w:t>(1) Grant funds awarded to local educational agencies shall be used to support the implementation of high quality integrated academic, behavioral, and social-emotional learning practices in an integrated multitiered system of support at the schoolwide level, including, but not limited to, all of the following:</w:t>
      </w:r>
    </w:p>
    <w:p w14:paraId="3945377C" w14:textId="77777777" w:rsidR="005062E2" w:rsidRPr="005E6F8B" w:rsidRDefault="005062E2" w:rsidP="00025F31">
      <w:pPr>
        <w:ind w:left="1440"/>
        <w:rPr>
          <w:i/>
          <w:szCs w:val="24"/>
        </w:rPr>
      </w:pPr>
      <w:r w:rsidRPr="005E6F8B">
        <w:rPr>
          <w:i/>
          <w:szCs w:val="24"/>
        </w:rPr>
        <w:t>(A) Educator and leader training on the foundations of the California Multi-Tiered System of Support framework and practices, as developed by the SUMS project.</w:t>
      </w:r>
    </w:p>
    <w:p w14:paraId="5FEA36C1" w14:textId="77777777" w:rsidR="000A12F0" w:rsidRDefault="005062E2" w:rsidP="00025F31">
      <w:pPr>
        <w:ind w:left="1440"/>
        <w:rPr>
          <w:i/>
          <w:szCs w:val="24"/>
        </w:rPr>
        <w:sectPr w:rsidR="000A12F0" w:rsidSect="000A12F0">
          <w:headerReference w:type="default" r:id="rId35"/>
          <w:footerReference w:type="default" r:id="rId36"/>
          <w:pgSz w:w="12240" w:h="15840" w:code="1"/>
          <w:pgMar w:top="1440" w:right="1440" w:bottom="720" w:left="1440" w:header="720" w:footer="576" w:gutter="0"/>
          <w:cols w:space="720"/>
          <w:docGrid w:linePitch="360"/>
        </w:sectPr>
      </w:pPr>
      <w:r w:rsidRPr="005E6F8B">
        <w:rPr>
          <w:i/>
          <w:szCs w:val="24"/>
        </w:rPr>
        <w:t xml:space="preserve">(B) Ongoing training and coaching support to </w:t>
      </w:r>
      <w:proofErr w:type="spellStart"/>
      <w:r w:rsidRPr="005E6F8B">
        <w:rPr>
          <w:i/>
          <w:szCs w:val="24"/>
        </w:rPr>
        <w:t>schoolsite</w:t>
      </w:r>
      <w:proofErr w:type="spellEnd"/>
      <w:r w:rsidRPr="005E6F8B">
        <w:rPr>
          <w:i/>
          <w:szCs w:val="24"/>
        </w:rPr>
        <w:t xml:space="preserve"> educators and leaders in deepening the implementation of high leverage practices for </w:t>
      </w:r>
    </w:p>
    <w:p w14:paraId="2F6E5DF9" w14:textId="47BAAF77" w:rsidR="005062E2" w:rsidRPr="005E6F8B" w:rsidRDefault="005062E2" w:rsidP="00025F31">
      <w:pPr>
        <w:ind w:left="1440"/>
        <w:rPr>
          <w:i/>
          <w:szCs w:val="24"/>
        </w:rPr>
      </w:pPr>
      <w:r w:rsidRPr="005E6F8B">
        <w:rPr>
          <w:i/>
          <w:szCs w:val="24"/>
        </w:rPr>
        <w:lastRenderedPageBreak/>
        <w:t>integrated academic, behavioral, and social-emotional learning across tiers throughout the school community.</w:t>
      </w:r>
    </w:p>
    <w:p w14:paraId="541BC07C" w14:textId="3817EFB3" w:rsidR="005062E2" w:rsidRPr="005E6F8B" w:rsidRDefault="005062E2" w:rsidP="00025F31">
      <w:pPr>
        <w:ind w:left="1440"/>
        <w:rPr>
          <w:i/>
          <w:szCs w:val="24"/>
        </w:rPr>
      </w:pPr>
      <w:r w:rsidRPr="005E6F8B">
        <w:rPr>
          <w:i/>
          <w:szCs w:val="24"/>
        </w:rPr>
        <w:t>(C) Ongoing training and support to school and local educational agency leaders in aligning practices, policies, and structures to create and sustain a schoolwide and agencywide integrated multitiered system of support.</w:t>
      </w:r>
    </w:p>
    <w:p w14:paraId="4B9B0120" w14:textId="77777777" w:rsidR="005062E2" w:rsidRPr="005E6F8B" w:rsidRDefault="005062E2" w:rsidP="00025F31">
      <w:pPr>
        <w:ind w:left="1440"/>
        <w:rPr>
          <w:i/>
        </w:rPr>
      </w:pPr>
      <w:r w:rsidRPr="005E6F8B">
        <w:rPr>
          <w:i/>
        </w:rPr>
        <w:t>(D) Establishing school- and local educational agency-level multitiered system of support teams to support implementation efforts.</w:t>
      </w:r>
    </w:p>
    <w:p w14:paraId="1486F534" w14:textId="77777777" w:rsidR="005062E2" w:rsidRPr="005E6F8B" w:rsidRDefault="005062E2" w:rsidP="00025F31">
      <w:pPr>
        <w:ind w:left="720"/>
        <w:rPr>
          <w:i/>
        </w:rPr>
      </w:pPr>
      <w:r w:rsidRPr="005E6F8B">
        <w:rPr>
          <w:i/>
        </w:rPr>
        <w:t>(2) Grants shall be awarded with priority to local educational agencies serving a high number of unduplicated pupils, as defined in Section 42238.02, that have participated in local educational agency-level training to implement an integrated multitiered system of support.</w:t>
      </w:r>
    </w:p>
    <w:p w14:paraId="187997CC" w14:textId="77777777" w:rsidR="005062E2" w:rsidRPr="005E6F8B" w:rsidRDefault="005062E2" w:rsidP="00025F31">
      <w:pPr>
        <w:ind w:left="720"/>
        <w:rPr>
          <w:i/>
        </w:rPr>
      </w:pPr>
      <w:r w:rsidRPr="005E6F8B">
        <w:rPr>
          <w:i/>
        </w:rPr>
        <w:t>(3) Local educational agencies receiving funds shall measure and report on implementation fidelity at least annually using the tools and resources developed by the SUMS project. Data shall be reported to the Orange County Department of Education in a form available to the public.</w:t>
      </w:r>
    </w:p>
    <w:p w14:paraId="0BC120AA" w14:textId="77777777" w:rsidR="005062E2" w:rsidRPr="005E6F8B" w:rsidRDefault="005062E2" w:rsidP="00025F31">
      <w:pPr>
        <w:ind w:firstLine="720"/>
        <w:rPr>
          <w:i/>
        </w:rPr>
      </w:pPr>
      <w:r w:rsidRPr="005E6F8B">
        <w:rPr>
          <w:i/>
        </w:rPr>
        <w:t>(4)</w:t>
      </w:r>
    </w:p>
    <w:p w14:paraId="0B0ECC0A" w14:textId="77777777" w:rsidR="005062E2" w:rsidRPr="005E6F8B" w:rsidRDefault="005062E2" w:rsidP="00025F31">
      <w:pPr>
        <w:ind w:left="1440"/>
        <w:rPr>
          <w:i/>
        </w:rPr>
      </w:pPr>
      <w:r w:rsidRPr="005E6F8B">
        <w:rPr>
          <w:i/>
        </w:rPr>
        <w:t>(A) On or before September 30 of each fiscal year until the Orange County Department of Education has fully expended the funds allocated pursuant to this subdivision, the Orange County Department of Education shall submit an annual report to the Superintendent summarizing how it used the funds in the prior fiscal year. The Superintendent shall provide copies of these reports to the appropriate fiscal and policy committees of the Legislature, the Department of Finance, the state board, and the Legislative Analyst’s Office.</w:t>
      </w:r>
    </w:p>
    <w:p w14:paraId="38887D45" w14:textId="56BE45C2" w:rsidR="000C13BC" w:rsidRPr="005E6F8B" w:rsidRDefault="005062E2" w:rsidP="00025F31">
      <w:pPr>
        <w:pStyle w:val="ListParagraph"/>
        <w:numPr>
          <w:ilvl w:val="0"/>
          <w:numId w:val="0"/>
        </w:numPr>
        <w:ind w:left="1440"/>
        <w:rPr>
          <w:i/>
        </w:rPr>
      </w:pPr>
      <w:r w:rsidRPr="005E6F8B">
        <w:rPr>
          <w:i/>
        </w:rPr>
        <w:t>(B) A report to be submitted pursuant to subparagraph (A) shall be submitted in compliance with Section 9795 of the Government Code.</w:t>
      </w:r>
    </w:p>
    <w:p w14:paraId="7B2302F1" w14:textId="77777777" w:rsidR="005062E2" w:rsidRPr="005E6F8B" w:rsidRDefault="005062E2" w:rsidP="00025F31">
      <w:pPr>
        <w:pStyle w:val="ListParagraph"/>
        <w:numPr>
          <w:ilvl w:val="0"/>
          <w:numId w:val="0"/>
        </w:numPr>
        <w:ind w:left="1440" w:hanging="1440"/>
        <w:rPr>
          <w:i/>
        </w:rPr>
      </w:pPr>
      <w:r w:rsidRPr="005E6F8B">
        <w:rPr>
          <w:i/>
        </w:rPr>
        <w:t>(c)</w:t>
      </w:r>
    </w:p>
    <w:p w14:paraId="4582BCB2" w14:textId="77777777" w:rsidR="000A12F0" w:rsidRDefault="005062E2" w:rsidP="00025F31">
      <w:pPr>
        <w:pStyle w:val="ListParagraph"/>
        <w:numPr>
          <w:ilvl w:val="0"/>
          <w:numId w:val="0"/>
        </w:numPr>
        <w:ind w:left="720"/>
        <w:rPr>
          <w:i/>
        </w:rPr>
        <w:sectPr w:rsidR="000A12F0" w:rsidSect="000A12F0">
          <w:headerReference w:type="default" r:id="rId37"/>
          <w:footerReference w:type="default" r:id="rId38"/>
          <w:pgSz w:w="12240" w:h="15840" w:code="1"/>
          <w:pgMar w:top="1440" w:right="1440" w:bottom="720" w:left="1440" w:header="720" w:footer="720" w:gutter="0"/>
          <w:cols w:space="720"/>
          <w:docGrid w:linePitch="360"/>
        </w:sectPr>
      </w:pPr>
      <w:r w:rsidRPr="005E6F8B">
        <w:rPr>
          <w:i/>
        </w:rPr>
        <w:t xml:space="preserve">(1) The Superintendent shall establish a process, in consultation with and subject to the approval of the executive director of the state board, to select a local educational agency, a local educational agency in partnership with an </w:t>
      </w:r>
      <w:r w:rsidR="00F027D9" w:rsidRPr="005E6F8B">
        <w:rPr>
          <w:i/>
        </w:rPr>
        <w:t>IHE</w:t>
      </w:r>
      <w:r w:rsidRPr="005E6F8B">
        <w:rPr>
          <w:i/>
        </w:rPr>
        <w:t xml:space="preserve"> or nonprofit educational service provider, or a consortia, to partner with the Orange County Department of Education and the Butte County Office of Education to expand the state’s capacity to support local educational agencies’ implementation of social-emotional learning, trauma screening, trauma-informed practices, and culturally relevant, affirming, and sustaining practices. The selected entity, known as a partner entity, shall be selected on or before February 15, 2022. No more than twenty million dollars ($20,000,000) of the amount appropriated in subdivision (a) is available for purposes of this subdivision.</w:t>
      </w:r>
    </w:p>
    <w:p w14:paraId="7DF6C1D3" w14:textId="77777777" w:rsidR="005062E2" w:rsidRPr="005E6F8B" w:rsidRDefault="005062E2" w:rsidP="00025F31">
      <w:pPr>
        <w:ind w:left="720"/>
        <w:rPr>
          <w:i/>
        </w:rPr>
      </w:pPr>
      <w:r w:rsidRPr="005E6F8B">
        <w:rPr>
          <w:i/>
        </w:rPr>
        <w:lastRenderedPageBreak/>
        <w:t>(2) The partner entity shall have demonstrated expertise in developing and delivering high quality professional learning to educators in social-emotional learning, trauma-informed practices, and culturally relevant, affirming, and sustaining practices in a manner that aligns with local multitiered systems of support. The partner entity shall support the Orange County Department of Education and the Butte County Office of Education in offering high quality professional learning to educators and school leaders by performing all of the following functions:</w:t>
      </w:r>
    </w:p>
    <w:p w14:paraId="7E76B1E3" w14:textId="77777777" w:rsidR="005062E2" w:rsidRPr="005E6F8B" w:rsidRDefault="005062E2" w:rsidP="00025F31">
      <w:pPr>
        <w:pStyle w:val="ListParagraph"/>
        <w:numPr>
          <w:ilvl w:val="0"/>
          <w:numId w:val="0"/>
        </w:numPr>
        <w:ind w:left="1440"/>
        <w:rPr>
          <w:i/>
        </w:rPr>
      </w:pPr>
      <w:r w:rsidRPr="005E6F8B">
        <w:rPr>
          <w:i/>
        </w:rPr>
        <w:t>(A) Creating, collecting, and curating resources for educators on social-emotional learning, trauma screening, trauma-informed practices, and culturally relevant, affirming, and sustaining practices.</w:t>
      </w:r>
    </w:p>
    <w:p w14:paraId="2A934395" w14:textId="77777777" w:rsidR="005062E2" w:rsidRPr="005E6F8B" w:rsidRDefault="005062E2" w:rsidP="00025F31">
      <w:pPr>
        <w:pStyle w:val="ListParagraph"/>
        <w:numPr>
          <w:ilvl w:val="0"/>
          <w:numId w:val="0"/>
        </w:numPr>
        <w:ind w:left="1440"/>
        <w:rPr>
          <w:i/>
        </w:rPr>
      </w:pPr>
      <w:r w:rsidRPr="005E6F8B">
        <w:rPr>
          <w:i/>
        </w:rPr>
        <w:t>(B) Providing ongoing training and support in the use of trauma screening tools and mental health service referrals, school climate surveys, and the use of tool and survey data.</w:t>
      </w:r>
    </w:p>
    <w:p w14:paraId="004D23E5" w14:textId="770B2BF6" w:rsidR="000C13BC" w:rsidRPr="005E6F8B" w:rsidRDefault="005062E2" w:rsidP="00025F31">
      <w:pPr>
        <w:pStyle w:val="ListParagraph"/>
        <w:numPr>
          <w:ilvl w:val="0"/>
          <w:numId w:val="0"/>
        </w:numPr>
        <w:ind w:left="1440"/>
        <w:rPr>
          <w:i/>
        </w:rPr>
      </w:pPr>
      <w:r w:rsidRPr="005E6F8B">
        <w:rPr>
          <w:i/>
        </w:rPr>
        <w:t>(C) Providing grants to local educational agencies to support both of the following:</w:t>
      </w:r>
    </w:p>
    <w:p w14:paraId="73931A5F" w14:textId="77777777" w:rsidR="005062E2" w:rsidRPr="005E6F8B" w:rsidRDefault="005062E2" w:rsidP="00025F31">
      <w:pPr>
        <w:pStyle w:val="ListParagraph"/>
        <w:numPr>
          <w:ilvl w:val="0"/>
          <w:numId w:val="0"/>
        </w:numPr>
        <w:ind w:left="2160"/>
        <w:rPr>
          <w:i/>
        </w:rPr>
      </w:pPr>
      <w:r w:rsidRPr="005E6F8B">
        <w:rPr>
          <w:i/>
        </w:rPr>
        <w:t>(i) Convening professional learning communities of educators and school leaders.</w:t>
      </w:r>
    </w:p>
    <w:p w14:paraId="6D67A412" w14:textId="6FD71AFB" w:rsidR="005062E2" w:rsidRPr="005E6F8B" w:rsidRDefault="005062E2" w:rsidP="00025F31">
      <w:pPr>
        <w:pStyle w:val="ListParagraph"/>
        <w:numPr>
          <w:ilvl w:val="0"/>
          <w:numId w:val="0"/>
        </w:numPr>
        <w:ind w:left="2160"/>
        <w:rPr>
          <w:i/>
        </w:rPr>
      </w:pPr>
      <w:r w:rsidRPr="005E6F8B">
        <w:rPr>
          <w:i/>
        </w:rPr>
        <w:t>(ii) Providing ongoing training and coaching to educators and school leaders.</w:t>
      </w:r>
    </w:p>
    <w:p w14:paraId="3C0E4698" w14:textId="350C5105" w:rsidR="005062E2" w:rsidRPr="005E6F8B" w:rsidRDefault="005062E2" w:rsidP="00025F31">
      <w:pPr>
        <w:ind w:left="720"/>
        <w:rPr>
          <w:i/>
        </w:rPr>
      </w:pPr>
      <w:r w:rsidRPr="005E6F8B">
        <w:rPr>
          <w:i/>
        </w:rPr>
        <w:t>(3) In performing the work described in this subdivision, the partner entity, i</w:t>
      </w:r>
      <w:r w:rsidR="00935EEB" w:rsidRPr="005E6F8B">
        <w:rPr>
          <w:i/>
        </w:rPr>
        <w:t xml:space="preserve">n </w:t>
      </w:r>
      <w:r w:rsidRPr="005E6F8B">
        <w:rPr>
          <w:i/>
        </w:rPr>
        <w:t>partnership with the Orange County Department Education and the Butte County Office of Education, shall, to the extent practicable, leverage current research and work related to how educators and school leaders can best address the social-emotional needs of pupils, and consult with experts in the field on matters related to trauma screening and trauma-informed practices.</w:t>
      </w:r>
    </w:p>
    <w:p w14:paraId="0AB6F908" w14:textId="77777777" w:rsidR="005062E2" w:rsidRPr="005E6F8B" w:rsidRDefault="005062E2" w:rsidP="00025F31">
      <w:pPr>
        <w:ind w:left="720"/>
        <w:rPr>
          <w:i/>
        </w:rPr>
      </w:pPr>
      <w:r w:rsidRPr="005E6F8B">
        <w:rPr>
          <w:i/>
        </w:rPr>
        <w:t>(4) For purposes of this subdivision, “high quality professional learning” shall include, but not be limited to, professional learning that is content-focused, incorporates active learning using adult learning theory, supports collaboration in job-embedded contexts, uses models and modeling of effective practices, provides coaching and expert support, and offers opportunities for feedback.</w:t>
      </w:r>
    </w:p>
    <w:p w14:paraId="15653850" w14:textId="672E253C" w:rsidR="000A12F0" w:rsidRDefault="005062E2" w:rsidP="00025F31">
      <w:pPr>
        <w:rPr>
          <w:i/>
        </w:rPr>
      </w:pPr>
      <w:r w:rsidRPr="005E6F8B">
        <w:rPr>
          <w:i/>
        </w:rPr>
        <w:t>(d) A local educational agency that receives a grant pursuant to subdivision (b), or high quality professional learning pursuant to subdivision (c), shall, as a condition of receiving the grant or high quality professional learning, provide to the Orange County Department of Education, the Butte County Office of Education, and the department any available outcome data resulting from the practices implemented, and participate in overall program evaluation.</w:t>
      </w:r>
    </w:p>
    <w:p w14:paraId="51B61F8D" w14:textId="5927C000" w:rsidR="005062E2" w:rsidRPr="005E6F8B" w:rsidRDefault="005062E2" w:rsidP="00025F31">
      <w:pPr>
        <w:rPr>
          <w:i/>
        </w:rPr>
      </w:pPr>
      <w:r w:rsidRPr="005E6F8B">
        <w:rPr>
          <w:i/>
        </w:rPr>
        <w:t xml:space="preserve">(e) The Orange County Department of Education may expend up to one million dollars ($1,000,000) of the amount appropriated pursuant to subdivision (a) to support the administration of grants and provide support to the grantees pursuant to Department of </w:t>
      </w:r>
      <w:r w:rsidRPr="005E6F8B">
        <w:rPr>
          <w:i/>
        </w:rPr>
        <w:lastRenderedPageBreak/>
        <w:t>Finance approval of an expenditure plan. The Orange County Department of Education shall not expend moneys pursuant to this subdivision sooner than 30 days after the Department of Finance provides written notification of the approval of the expenditure plan to the Joint Legislative Budget Committee.</w:t>
      </w:r>
    </w:p>
    <w:p w14:paraId="52E533A5" w14:textId="77777777" w:rsidR="005062E2" w:rsidRPr="005E6F8B" w:rsidRDefault="005062E2" w:rsidP="00025F31">
      <w:pPr>
        <w:rPr>
          <w:i/>
        </w:rPr>
      </w:pPr>
      <w:r w:rsidRPr="005E6F8B">
        <w:rPr>
          <w:i/>
        </w:rPr>
        <w:t>(f) For purposes of this section, “local educational agency” means a school district, county office of education, or charter school.</w:t>
      </w:r>
    </w:p>
    <w:p w14:paraId="12AFD9B7" w14:textId="3DFB2F76" w:rsidR="005062E2" w:rsidRPr="005E6F8B" w:rsidRDefault="005062E2" w:rsidP="00025F31">
      <w:pPr>
        <w:rPr>
          <w:i/>
        </w:rPr>
      </w:pPr>
      <w:r w:rsidRPr="005E6F8B">
        <w:rPr>
          <w:i/>
        </w:rPr>
        <w:t>(g) For purposes of making the computations required by Section 8 of Article XVI of the California Constitution, the appropriation made by subdivision (a) shall be deemed to be “General Fund revenues appropriated for school districts,” as defined in subdivision (c) of Section 41202, for the 2020–21 fiscal year, and included within the “total allocations to school districts and community college districts from General Fund proceeds of taxes appropriated pursuant to Article XIIIB,” as defined in subdivision (e) of Section 41202, for the 2020–21 fiscal year.</w:t>
      </w:r>
    </w:p>
    <w:p w14:paraId="539CFACD" w14:textId="46CF82B5" w:rsidR="00BB3C56" w:rsidRPr="005E6F8B" w:rsidRDefault="00BB3C56" w:rsidP="00025F31">
      <w:pPr>
        <w:rPr>
          <w:i/>
        </w:rPr>
      </w:pPr>
    </w:p>
    <w:p w14:paraId="5966F173" w14:textId="77777777" w:rsidR="00AC26F6" w:rsidRDefault="00AC26F6" w:rsidP="00AC26F6">
      <w:pPr>
        <w:sectPr w:rsidR="00AC26F6" w:rsidSect="00025480">
          <w:headerReference w:type="default" r:id="rId39"/>
          <w:footerReference w:type="default" r:id="rId40"/>
          <w:pgSz w:w="12240" w:h="15840" w:code="1"/>
          <w:pgMar w:top="1440" w:right="1440" w:bottom="720" w:left="1440" w:header="720" w:footer="576" w:gutter="0"/>
          <w:cols w:space="720"/>
          <w:docGrid w:linePitch="360"/>
        </w:sectPr>
      </w:pPr>
    </w:p>
    <w:p w14:paraId="5D49A90F" w14:textId="2715A990" w:rsidR="009769B5" w:rsidRDefault="009769B5" w:rsidP="00176707">
      <w:pPr>
        <w:pStyle w:val="Heading3"/>
        <w:numPr>
          <w:ilvl w:val="0"/>
          <w:numId w:val="0"/>
        </w:numPr>
        <w:jc w:val="center"/>
      </w:pPr>
      <w:bookmarkStart w:id="75" w:name="_Toc86997827"/>
      <w:r>
        <w:lastRenderedPageBreak/>
        <w:t xml:space="preserve">Form A: </w:t>
      </w:r>
      <w:r w:rsidR="002D476A">
        <w:t>Scaling</w:t>
      </w:r>
      <w:r w:rsidR="5C47A5DB">
        <w:t xml:space="preserve"> </w:t>
      </w:r>
      <w:r w:rsidR="002D476A">
        <w:t>Up Multi-</w:t>
      </w:r>
      <w:proofErr w:type="gramStart"/>
      <w:r w:rsidR="002D476A">
        <w:t>tiered</w:t>
      </w:r>
      <w:proofErr w:type="gramEnd"/>
      <w:r w:rsidR="002D476A">
        <w:t xml:space="preserve"> System of Support Statewide</w:t>
      </w:r>
      <w:r>
        <w:t xml:space="preserve">: </w:t>
      </w:r>
      <w:r>
        <w:br/>
      </w:r>
      <w:r w:rsidR="004A7B29">
        <w:t>P</w:t>
      </w:r>
      <w:r w:rsidR="002D476A">
        <w:t>artner Entity</w:t>
      </w:r>
      <w:bookmarkEnd w:id="75"/>
    </w:p>
    <w:p w14:paraId="6DE78DF2" w14:textId="77777777" w:rsidR="00AC26F6" w:rsidRDefault="00EE338B" w:rsidP="00176707">
      <w:pPr>
        <w:pStyle w:val="Heading4"/>
        <w:jc w:val="center"/>
      </w:pPr>
      <w:bookmarkStart w:id="76" w:name="_Toc83901001"/>
      <w:r>
        <w:t>Project Statement of Assurances</w:t>
      </w:r>
      <w:bookmarkEnd w:id="76"/>
    </w:p>
    <w:p w14:paraId="673D7386" w14:textId="6745D751" w:rsidR="00D86CC9" w:rsidRPr="00A50E59" w:rsidRDefault="00D86CC9" w:rsidP="00D86CC9">
      <w:r>
        <w:t xml:space="preserve">I support the proposed project and commit my organization to completing all of the tasks and activities that are described in the application. I also certify that each of the following requirements of the </w:t>
      </w:r>
      <w:r w:rsidR="009607D6">
        <w:t>Scaling</w:t>
      </w:r>
      <w:r w:rsidR="1F8835FF">
        <w:t xml:space="preserve"> </w:t>
      </w:r>
      <w:r w:rsidR="009607D6">
        <w:t>Up Multi-</w:t>
      </w:r>
      <w:proofErr w:type="gramStart"/>
      <w:r w:rsidR="009607D6">
        <w:t>tiered</w:t>
      </w:r>
      <w:proofErr w:type="gramEnd"/>
      <w:r w:rsidR="009607D6">
        <w:t xml:space="preserve"> System of Support Statewide (SUMS): Partner Entity</w:t>
      </w:r>
      <w:r>
        <w:t xml:space="preserve"> </w:t>
      </w:r>
      <w:r w:rsidR="003F529F">
        <w:t>A</w:t>
      </w:r>
      <w:r>
        <w:t xml:space="preserve">pplication </w:t>
      </w:r>
      <w:r w:rsidR="00E07C18">
        <w:t>will be</w:t>
      </w:r>
      <w:r>
        <w:t xml:space="preserve"> met:</w:t>
      </w:r>
    </w:p>
    <w:p w14:paraId="3B85CA33" w14:textId="2BE65B1A" w:rsidR="00FE290C" w:rsidRPr="00A50E59" w:rsidRDefault="00FE290C" w:rsidP="00F3214B">
      <w:pPr>
        <w:pStyle w:val="ListParagraph"/>
        <w:numPr>
          <w:ilvl w:val="0"/>
          <w:numId w:val="19"/>
        </w:numPr>
      </w:pPr>
      <w:r w:rsidRPr="00A50E59">
        <w:t xml:space="preserve">If </w:t>
      </w:r>
      <w:r w:rsidR="00A2163F">
        <w:t xml:space="preserve">the </w:t>
      </w:r>
      <w:r w:rsidRPr="00A50E59">
        <w:t>Grantee</w:t>
      </w:r>
      <w:r w:rsidR="002B704E">
        <w:t>s</w:t>
      </w:r>
      <w:r w:rsidRPr="00A50E59">
        <w:t xml:space="preserve"> seek to make a significant change in the work plan and/or budget, a project amendment must be requested and </w:t>
      </w:r>
      <w:r w:rsidRPr="009607D6">
        <w:t xml:space="preserve">approved by the </w:t>
      </w:r>
      <w:r w:rsidR="009607D6" w:rsidRPr="009607D6">
        <w:t>Orange County Department of Education (OCDE</w:t>
      </w:r>
      <w:r w:rsidR="009607D6">
        <w:t>)</w:t>
      </w:r>
      <w:r w:rsidRPr="00A50E59">
        <w:t xml:space="preserve"> and the respective </w:t>
      </w:r>
      <w:r w:rsidR="003267A8">
        <w:t>California Department of Education (</w:t>
      </w:r>
      <w:r w:rsidRPr="00A50E59">
        <w:t>CDE</w:t>
      </w:r>
      <w:r w:rsidR="003267A8">
        <w:t>)</w:t>
      </w:r>
      <w:r w:rsidRPr="00A50E59">
        <w:t xml:space="preserve"> Office prior to making any changes in the activities or expenditures of the project.</w:t>
      </w:r>
    </w:p>
    <w:p w14:paraId="16AADD4C" w14:textId="77777777" w:rsidR="00FE290C" w:rsidRPr="00A50E59" w:rsidRDefault="00FE290C" w:rsidP="00F3214B">
      <w:pPr>
        <w:pStyle w:val="ListParagraph"/>
        <w:numPr>
          <w:ilvl w:val="0"/>
          <w:numId w:val="19"/>
        </w:numPr>
      </w:pPr>
      <w:r w:rsidRPr="00A50E59">
        <w:t>All of the parties entering into this grant agree to be subject to the examination and audit of the State Auditor for a period of five years after final payment under the grant. Grantee</w:t>
      </w:r>
      <w:r w:rsidR="002B704E">
        <w:t>s</w:t>
      </w:r>
      <w:r w:rsidRPr="00A50E59">
        <w:t xml:space="preserve"> agree to obtain a timely audit where required in accordance with applicable audit guidelines</w:t>
      </w:r>
      <w:r>
        <w:t>.</w:t>
      </w:r>
    </w:p>
    <w:p w14:paraId="5C7F2729" w14:textId="1ED4C001" w:rsidR="00FE290C" w:rsidRPr="00A50E59" w:rsidRDefault="00FE290C" w:rsidP="00F3214B">
      <w:pPr>
        <w:pStyle w:val="ListParagraph"/>
        <w:numPr>
          <w:ilvl w:val="0"/>
          <w:numId w:val="19"/>
        </w:numPr>
      </w:pPr>
      <w:r w:rsidRPr="001362E3">
        <w:t>All subcontracts or subgrants pursuant to this grant must be approved by the</w:t>
      </w:r>
      <w:r w:rsidR="001362E3" w:rsidRPr="001362E3">
        <w:t xml:space="preserve"> OCDE and the</w:t>
      </w:r>
      <w:r w:rsidRPr="001362E3">
        <w:t xml:space="preserve"> CDE prior to execution of the agreement</w:t>
      </w:r>
      <w:r w:rsidRPr="00A50E59">
        <w:t xml:space="preserve"> and shall be subject to the examination and audit by the State Auditor for a period of five years after the final payment under the grant. Grantee</w:t>
      </w:r>
      <w:r w:rsidR="002B704E">
        <w:t>s</w:t>
      </w:r>
      <w:r w:rsidRPr="00A50E59">
        <w:t xml:space="preserve"> must submit a formal request to the </w:t>
      </w:r>
      <w:r w:rsidR="001362E3">
        <w:t xml:space="preserve">OCDE and the </w:t>
      </w:r>
      <w:r w:rsidRPr="00A50E59">
        <w:t>CDE Project Monitor for review.</w:t>
      </w:r>
    </w:p>
    <w:p w14:paraId="150E3520" w14:textId="11BBA601" w:rsidR="009C3BB3" w:rsidRPr="00A50E59" w:rsidRDefault="009C3BB3" w:rsidP="00F3214B">
      <w:pPr>
        <w:pStyle w:val="ListParagraph"/>
        <w:numPr>
          <w:ilvl w:val="0"/>
          <w:numId w:val="19"/>
        </w:numPr>
      </w:pPr>
      <w:r>
        <w:t>Grantee</w:t>
      </w:r>
      <w:r w:rsidR="002B704E">
        <w:t>s</w:t>
      </w:r>
      <w:r>
        <w:t xml:space="preserve"> </w:t>
      </w:r>
      <w:r w:rsidR="002C7524">
        <w:t>will</w:t>
      </w:r>
      <w:r>
        <w:t xml:space="preserve"> be adaptive, be responsive, and work </w:t>
      </w:r>
      <w:r w:rsidR="00ED1805">
        <w:t>to ensure coherence with existing systems of support and professional learning within the state</w:t>
      </w:r>
      <w:r>
        <w:t>.</w:t>
      </w:r>
    </w:p>
    <w:p w14:paraId="5D18CF4F" w14:textId="4A9FE605" w:rsidR="00FE290C" w:rsidRDefault="00FE290C" w:rsidP="00F3214B">
      <w:pPr>
        <w:pStyle w:val="ListParagraph"/>
        <w:numPr>
          <w:ilvl w:val="0"/>
          <w:numId w:val="19"/>
        </w:numPr>
      </w:pPr>
      <w:r w:rsidRPr="00A50E59">
        <w:t>Grantee</w:t>
      </w:r>
      <w:r w:rsidR="002B704E">
        <w:t>s</w:t>
      </w:r>
      <w:r w:rsidRPr="00A50E59">
        <w:t xml:space="preserve"> will work collaboratively with the </w:t>
      </w:r>
      <w:r w:rsidR="005A4BCC">
        <w:t xml:space="preserve">OCDE and the </w:t>
      </w:r>
      <w:r w:rsidR="003267A8">
        <w:t>Butte County Office of Education (</w:t>
      </w:r>
      <w:r w:rsidR="005A4BCC">
        <w:t>BCOE</w:t>
      </w:r>
      <w:r w:rsidR="003267A8">
        <w:t>)</w:t>
      </w:r>
      <w:r w:rsidRPr="00A50E59">
        <w:t xml:space="preserve"> to build the capacity of </w:t>
      </w:r>
      <w:r w:rsidR="00C01129">
        <w:t>local educational agencie</w:t>
      </w:r>
      <w:r w:rsidRPr="00A50E59">
        <w:t xml:space="preserve">s </w:t>
      </w:r>
      <w:r w:rsidR="00B70938">
        <w:t xml:space="preserve">(LEAs) </w:t>
      </w:r>
      <w:r w:rsidRPr="00A50E59">
        <w:t xml:space="preserve">statewide through professional learning aligned to the </w:t>
      </w:r>
      <w:r w:rsidR="00A1439E">
        <w:t>Quality Professional Learning Standards</w:t>
      </w:r>
      <w:r w:rsidRPr="00A50E59">
        <w:t>.</w:t>
      </w:r>
    </w:p>
    <w:p w14:paraId="7B528B17" w14:textId="64FDB184" w:rsidR="005F6D46" w:rsidRDefault="00FE290C" w:rsidP="00F3214B">
      <w:pPr>
        <w:pStyle w:val="ListParagraph"/>
        <w:numPr>
          <w:ilvl w:val="0"/>
          <w:numId w:val="19"/>
        </w:numPr>
      </w:pPr>
      <w:r w:rsidRPr="00A50E59">
        <w:t>Grantee</w:t>
      </w:r>
      <w:r w:rsidR="002B704E">
        <w:t>s</w:t>
      </w:r>
      <w:r w:rsidRPr="00A50E59">
        <w:t xml:space="preserve"> </w:t>
      </w:r>
      <w:r w:rsidR="00E07C18">
        <w:t>will</w:t>
      </w:r>
      <w:r w:rsidRPr="00A50E59">
        <w:t xml:space="preserve"> provid</w:t>
      </w:r>
      <w:r w:rsidR="00E07C18">
        <w:t>e</w:t>
      </w:r>
      <w:r w:rsidRPr="00A50E59">
        <w:t xml:space="preserve"> </w:t>
      </w:r>
      <w:r>
        <w:t xml:space="preserve">information and </w:t>
      </w:r>
      <w:r w:rsidRPr="00A50E59">
        <w:t>all reports according to the predetermined reporting schedule.</w:t>
      </w:r>
      <w:r w:rsidR="001362E3">
        <w:t xml:space="preserve"> Reports shall include at a minimum,</w:t>
      </w:r>
      <w:r w:rsidRPr="00A50E59">
        <w:t xml:space="preserve"> </w:t>
      </w:r>
      <w:r w:rsidRPr="00F91E02">
        <w:t>activities</w:t>
      </w:r>
      <w:r w:rsidRPr="00E476CB">
        <w:t xml:space="preserve"> accomplished</w:t>
      </w:r>
      <w:r w:rsidR="00703431">
        <w:t>,</w:t>
      </w:r>
      <w:r w:rsidRPr="00E476CB">
        <w:t xml:space="preserve"> the impact of these activities</w:t>
      </w:r>
      <w:r w:rsidR="00703431">
        <w:t>,</w:t>
      </w:r>
      <w:r w:rsidRPr="00E476CB">
        <w:t xml:space="preserve"> and the number of </w:t>
      </w:r>
      <w:r w:rsidR="001362E3">
        <w:t>educators and school leaders</w:t>
      </w:r>
      <w:r w:rsidRPr="00E476CB">
        <w:t xml:space="preserve">, LEAs, </w:t>
      </w:r>
      <w:r w:rsidR="00FB11B4" w:rsidRPr="00E476CB">
        <w:t xml:space="preserve">and </w:t>
      </w:r>
      <w:r w:rsidRPr="00E476CB">
        <w:t>counties impacted by these activities</w:t>
      </w:r>
      <w:r w:rsidR="001362E3">
        <w:t>, and any other data requested by the OCDE</w:t>
      </w:r>
      <w:r>
        <w:t>.</w:t>
      </w:r>
    </w:p>
    <w:p w14:paraId="589E61E7" w14:textId="77777777" w:rsidR="00FE290C" w:rsidRPr="00A50E59" w:rsidRDefault="00FE290C" w:rsidP="00F3214B">
      <w:pPr>
        <w:pStyle w:val="ListParagraph"/>
        <w:numPr>
          <w:ilvl w:val="0"/>
          <w:numId w:val="19"/>
        </w:numPr>
      </w:pPr>
      <w:r w:rsidRPr="00A50E59">
        <w:t>Ownership of any copyrights, patents, or other proprietary interests that may result from grant activities shall be governed by applicable state regulations.</w:t>
      </w:r>
    </w:p>
    <w:p w14:paraId="4F1ED2F4" w14:textId="77777777" w:rsidR="00FE290C" w:rsidRPr="00A50E59" w:rsidRDefault="00FE290C" w:rsidP="00F3214B">
      <w:pPr>
        <w:pStyle w:val="ListParagraph"/>
        <w:numPr>
          <w:ilvl w:val="0"/>
          <w:numId w:val="19"/>
        </w:numPr>
      </w:pPr>
      <w:r w:rsidRPr="00A50E59">
        <w:lastRenderedPageBreak/>
        <w:t>Grantee</w:t>
      </w:r>
      <w:r w:rsidR="002B704E">
        <w:t>s</w:t>
      </w:r>
      <w:r w:rsidRPr="00A50E59">
        <w:t xml:space="preserve"> shall ensure that any new professional learning or course materials, including curriculum, developed as a result of this grant are available as open educational resources.</w:t>
      </w:r>
    </w:p>
    <w:p w14:paraId="6C8FB407" w14:textId="77777777" w:rsidR="00FE290C" w:rsidRPr="00A50E59" w:rsidRDefault="00FE290C" w:rsidP="00F3214B">
      <w:pPr>
        <w:pStyle w:val="ListParagraph"/>
        <w:numPr>
          <w:ilvl w:val="0"/>
          <w:numId w:val="19"/>
        </w:numPr>
      </w:pPr>
      <w:r w:rsidRPr="00A50E59">
        <w:t>Grantee</w:t>
      </w:r>
      <w:r w:rsidR="002B704E">
        <w:t>s</w:t>
      </w:r>
      <w:r w:rsidRPr="00A50E59">
        <w:t xml:space="preserve"> commit</w:t>
      </w:r>
      <w:r>
        <w:t>s</w:t>
      </w:r>
      <w:r w:rsidRPr="00A50E59">
        <w:t xml:space="preserve"> to reviewing the Family Educational Rights and Privacy Act (FERPA) in relation to the proposed project. Information </w:t>
      </w:r>
      <w:r w:rsidRPr="00657A5F">
        <w:t>on FERPA is</w:t>
      </w:r>
      <w:r w:rsidRPr="00A50E59">
        <w:t xml:space="preserve"> available </w:t>
      </w:r>
      <w:r w:rsidR="00A66657">
        <w:t>on</w:t>
      </w:r>
      <w:r w:rsidRPr="00A50E59">
        <w:t xml:space="preserve"> the U.S.</w:t>
      </w:r>
      <w:r w:rsidR="003A529D">
        <w:t xml:space="preserve"> Department of Education FERPA w</w:t>
      </w:r>
      <w:r w:rsidRPr="00A50E59">
        <w:t xml:space="preserve">eb page at </w:t>
      </w:r>
      <w:hyperlink r:id="rId41" w:tooltip="ED Family Educational Rights and Privacy Act Web page" w:history="1">
        <w:r w:rsidRPr="00FE290C">
          <w:rPr>
            <w:rStyle w:val="Hyperlink"/>
            <w:szCs w:val="24"/>
          </w:rPr>
          <w:t>https://www2.ed.gov/policy/gen/guid/fpco/ferpa/index.html</w:t>
        </w:r>
      </w:hyperlink>
      <w:r w:rsidRPr="00A50E59">
        <w:t>.</w:t>
      </w:r>
    </w:p>
    <w:p w14:paraId="2406951B" w14:textId="0F7A0E52" w:rsidR="00D86CC9" w:rsidRPr="00D86CC9" w:rsidRDefault="00FE290C" w:rsidP="00F3214B">
      <w:pPr>
        <w:pStyle w:val="ListParagraph"/>
        <w:numPr>
          <w:ilvl w:val="0"/>
          <w:numId w:val="19"/>
        </w:numPr>
      </w:pPr>
      <w:r w:rsidRPr="00A50E59">
        <w:t xml:space="preserve">The Project Director </w:t>
      </w:r>
      <w:r w:rsidR="00E07C18">
        <w:t>will gather</w:t>
      </w:r>
      <w:r w:rsidRPr="00A50E59">
        <w:t xml:space="preserve"> educator and student release forms for videos, interviews (which may include focus groups), and observations, if applicable. The Project Director must gather agendas and minutes for meetings of the partnership, professional learning activities, and follow-up professional learning.</w:t>
      </w:r>
    </w:p>
    <w:sectPr w:rsidR="00D86CC9" w:rsidRPr="00D86CC9" w:rsidSect="00056CF4">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C6D39" w14:textId="77777777" w:rsidR="00635237" w:rsidRDefault="00635237" w:rsidP="00BD3742">
      <w:r>
        <w:separator/>
      </w:r>
    </w:p>
  </w:endnote>
  <w:endnote w:type="continuationSeparator" w:id="0">
    <w:p w14:paraId="661DD8E0" w14:textId="77777777" w:rsidR="00635237" w:rsidRDefault="00635237" w:rsidP="00BD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B69" w14:textId="77777777" w:rsidR="00585A84" w:rsidRDefault="00585A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41597"/>
      <w:docPartObj>
        <w:docPartGallery w:val="Page Numbers (Bottom of Page)"/>
        <w:docPartUnique/>
      </w:docPartObj>
    </w:sdtPr>
    <w:sdtEndPr>
      <w:rPr>
        <w:noProof/>
      </w:rPr>
    </w:sdtEndPr>
    <w:sdtContent>
      <w:p w14:paraId="4C6A4D0A" w14:textId="4F3FDCDB" w:rsidR="00176707" w:rsidRDefault="00176707">
        <w:pPr>
          <w:pStyle w:val="Footer"/>
          <w:jc w:val="center"/>
        </w:pPr>
        <w:r>
          <w:t>47</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552695"/>
      <w:docPartObj>
        <w:docPartGallery w:val="Page Numbers (Bottom of Page)"/>
        <w:docPartUnique/>
      </w:docPartObj>
    </w:sdtPr>
    <w:sdtEndPr>
      <w:rPr>
        <w:noProof/>
      </w:rPr>
    </w:sdtEndPr>
    <w:sdtContent>
      <w:p w14:paraId="1BEB6355" w14:textId="2EF0963E" w:rsidR="00176707" w:rsidRDefault="001767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01261"/>
      <w:docPartObj>
        <w:docPartGallery w:val="Page Numbers (Bottom of Page)"/>
        <w:docPartUnique/>
      </w:docPartObj>
    </w:sdtPr>
    <w:sdtEndPr>
      <w:rPr>
        <w:noProof/>
      </w:rPr>
    </w:sdtEndPr>
    <w:sdtContent>
      <w:p w14:paraId="7B747CC6" w14:textId="36FA9DE5" w:rsidR="00176707" w:rsidRDefault="001767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3768" w14:textId="77777777" w:rsidR="00585A84" w:rsidRDefault="00585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3AFE" w14:textId="77777777" w:rsidR="00585A84" w:rsidRDefault="00585A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670438"/>
      <w:docPartObj>
        <w:docPartGallery w:val="Page Numbers (Bottom of Page)"/>
        <w:docPartUnique/>
      </w:docPartObj>
    </w:sdtPr>
    <w:sdtEndPr>
      <w:rPr>
        <w:b/>
        <w:noProof/>
      </w:rPr>
    </w:sdtEndPr>
    <w:sdtContent>
      <w:p w14:paraId="584CF638" w14:textId="508A4188" w:rsidR="00176707" w:rsidRPr="00DD2E9A" w:rsidRDefault="00176707" w:rsidP="00DD2E9A">
        <w:pPr>
          <w:pStyle w:val="Footer"/>
          <w:jc w:val="center"/>
          <w:rPr>
            <w:noProof/>
          </w:rPr>
        </w:pPr>
        <w:r>
          <w:fldChar w:fldCharType="begin"/>
        </w:r>
        <w:r>
          <w:instrText xml:space="preserve"> PAGE   \* MERGEFORMAT </w:instrText>
        </w:r>
        <w:r>
          <w:fldChar w:fldCharType="separate"/>
        </w:r>
        <w:r>
          <w:rPr>
            <w:noProof/>
          </w:rPr>
          <w:t>ii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055176"/>
      <w:docPartObj>
        <w:docPartGallery w:val="Page Numbers (Bottom of Page)"/>
        <w:docPartUnique/>
      </w:docPartObj>
    </w:sdtPr>
    <w:sdtEndPr>
      <w:rPr>
        <w:b/>
        <w:noProof/>
      </w:rPr>
    </w:sdtEndPr>
    <w:sdtContent>
      <w:p w14:paraId="4C21052E" w14:textId="77777777" w:rsidR="00176707" w:rsidRPr="00454036" w:rsidRDefault="00176707" w:rsidP="0024067C">
        <w:pPr>
          <w:pStyle w:val="Footer"/>
          <w:jc w:val="center"/>
          <w:rPr>
            <w:b/>
          </w:rPr>
        </w:pPr>
        <w:r>
          <w:fldChar w:fldCharType="begin"/>
        </w:r>
        <w:r>
          <w:instrText xml:space="preserve"> PAGE   \* MERGEFORMAT </w:instrText>
        </w:r>
        <w:r>
          <w:fldChar w:fldCharType="separate"/>
        </w:r>
        <w:r>
          <w:rPr>
            <w:noProof/>
          </w:rPr>
          <w:t>18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2847" w14:textId="77777777" w:rsidR="00176707" w:rsidRDefault="00176707" w:rsidP="00EE6368">
    <w:pPr>
      <w:pStyle w:val="Footer"/>
      <w:jc w:val="center"/>
    </w:pPr>
    <w:r>
      <w:fldChar w:fldCharType="begin"/>
    </w:r>
    <w:r>
      <w:instrText xml:space="preserve"> PAGE   \* MERGEFORMAT </w:instrText>
    </w:r>
    <w:r>
      <w:fldChar w:fldCharType="separate"/>
    </w:r>
    <w:r>
      <w:rPr>
        <w:noProof/>
      </w:rPr>
      <w:t>36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917196"/>
      <w:docPartObj>
        <w:docPartGallery w:val="Page Numbers (Bottom of Page)"/>
        <w:docPartUnique/>
      </w:docPartObj>
    </w:sdtPr>
    <w:sdtEndPr>
      <w:rPr>
        <w:noProof/>
      </w:rPr>
    </w:sdtEndPr>
    <w:sdtContent>
      <w:p w14:paraId="093AC125" w14:textId="76E9FC84" w:rsidR="00176707" w:rsidRDefault="001767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61034"/>
      <w:docPartObj>
        <w:docPartGallery w:val="Page Numbers (Bottom of Page)"/>
        <w:docPartUnique/>
      </w:docPartObj>
    </w:sdtPr>
    <w:sdtEndPr>
      <w:rPr>
        <w:noProof/>
      </w:rPr>
    </w:sdtEndPr>
    <w:sdtContent>
      <w:p w14:paraId="6E03D68A" w14:textId="64E73608" w:rsidR="00176707" w:rsidRDefault="001767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499590"/>
      <w:docPartObj>
        <w:docPartGallery w:val="Page Numbers (Bottom of Page)"/>
        <w:docPartUnique/>
      </w:docPartObj>
    </w:sdtPr>
    <w:sdtEndPr>
      <w:rPr>
        <w:noProof/>
      </w:rPr>
    </w:sdtEndPr>
    <w:sdtContent>
      <w:p w14:paraId="2797543D" w14:textId="4645EF77" w:rsidR="00176707" w:rsidRDefault="00176707">
        <w:pPr>
          <w:pStyle w:val="Footer"/>
          <w:jc w:val="center"/>
        </w:pPr>
        <w:r>
          <w:t>46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37A5B" w14:textId="77777777" w:rsidR="00635237" w:rsidRDefault="00635237" w:rsidP="00BD3742">
      <w:r>
        <w:separator/>
      </w:r>
    </w:p>
  </w:footnote>
  <w:footnote w:type="continuationSeparator" w:id="0">
    <w:p w14:paraId="24CDE645" w14:textId="77777777" w:rsidR="00635237" w:rsidRDefault="00635237" w:rsidP="00BD3742">
      <w:r>
        <w:continuationSeparator/>
      </w:r>
    </w:p>
  </w:footnote>
  <w:footnote w:id="1">
    <w:p w14:paraId="68AB0D02" w14:textId="266797F9" w:rsidR="00176707" w:rsidRPr="00EC203A" w:rsidRDefault="00176707" w:rsidP="003E0F44">
      <w:pPr>
        <w:pStyle w:val="FootnoteText"/>
        <w:spacing w:after="240"/>
        <w:rPr>
          <w:sz w:val="24"/>
          <w:szCs w:val="24"/>
        </w:rPr>
      </w:pPr>
      <w:r w:rsidRPr="00EC203A">
        <w:rPr>
          <w:rStyle w:val="FootnoteReference"/>
          <w:sz w:val="24"/>
          <w:szCs w:val="24"/>
        </w:rPr>
        <w:footnoteRef/>
      </w:r>
      <w:r w:rsidRPr="00EC203A">
        <w:rPr>
          <w:sz w:val="24"/>
          <w:szCs w:val="24"/>
        </w:rPr>
        <w:t xml:space="preserve"> </w:t>
      </w:r>
      <w:r w:rsidRPr="00EC203A">
        <w:rPr>
          <w:bCs/>
          <w:sz w:val="24"/>
          <w:szCs w:val="24"/>
        </w:rPr>
        <w:t>Collaborative for Academic, Social, and Emotional Learning (CASEL)</w:t>
      </w:r>
      <w:r>
        <w:rPr>
          <w:bCs/>
          <w:sz w:val="24"/>
          <w:szCs w:val="24"/>
        </w:rPr>
        <w:t>.</w:t>
      </w:r>
      <w:r w:rsidRPr="00EC203A">
        <w:rPr>
          <w:bCs/>
          <w:sz w:val="24"/>
          <w:szCs w:val="24"/>
        </w:rPr>
        <w:t xml:space="preserve"> </w:t>
      </w:r>
      <w:r w:rsidRPr="00E02258">
        <w:rPr>
          <w:sz w:val="24"/>
          <w:szCs w:val="24"/>
        </w:rPr>
        <w:t>What is SEL?</w:t>
      </w:r>
      <w:r w:rsidRPr="00EC203A">
        <w:rPr>
          <w:bCs/>
          <w:sz w:val="24"/>
          <w:szCs w:val="24"/>
        </w:rPr>
        <w:t xml:space="preserve"> </w:t>
      </w:r>
      <w:hyperlink r:id="rId1" w:tooltip="Collaborative for Academic, Social, and Emotional Learning " w:history="1">
        <w:r w:rsidRPr="00885CD7">
          <w:rPr>
            <w:rStyle w:val="Hyperlink"/>
            <w:bCs/>
            <w:szCs w:val="24"/>
          </w:rPr>
          <w:t>https://casel.org/fundamentals-of-sel/</w:t>
        </w:r>
      </w:hyperlink>
      <w:r>
        <w:rPr>
          <w:bCs/>
          <w:sz w:val="24"/>
          <w:szCs w:val="24"/>
        </w:rPr>
        <w:t xml:space="preserve"> </w:t>
      </w:r>
      <w:r w:rsidRPr="00E02258">
        <w:rPr>
          <w:bCs/>
          <w:sz w:val="24"/>
          <w:szCs w:val="24"/>
        </w:rPr>
        <w:t xml:space="preserve">(accessed </w:t>
      </w:r>
      <w:r>
        <w:rPr>
          <w:bCs/>
          <w:sz w:val="24"/>
          <w:szCs w:val="24"/>
        </w:rPr>
        <w:t>September 21, 2021</w:t>
      </w:r>
      <w:r w:rsidRPr="00E02258">
        <w:rPr>
          <w:bCs/>
          <w:sz w:val="24"/>
          <w:szCs w:val="24"/>
        </w:rPr>
        <w:t>).</w:t>
      </w:r>
    </w:p>
  </w:footnote>
  <w:footnote w:id="2">
    <w:p w14:paraId="2C34BA0E" w14:textId="7DD27F01" w:rsidR="00176707" w:rsidRPr="00025F31" w:rsidRDefault="00176707" w:rsidP="00BD670D">
      <w:pPr>
        <w:pStyle w:val="FootnoteText"/>
        <w:spacing w:after="240"/>
        <w:rPr>
          <w:sz w:val="24"/>
          <w:szCs w:val="24"/>
        </w:rPr>
      </w:pPr>
      <w:r w:rsidRPr="00025F31">
        <w:rPr>
          <w:rStyle w:val="FootnoteReference"/>
          <w:sz w:val="24"/>
          <w:szCs w:val="24"/>
        </w:rPr>
        <w:footnoteRef/>
      </w:r>
      <w:r w:rsidRPr="00025F31">
        <w:rPr>
          <w:sz w:val="24"/>
          <w:szCs w:val="24"/>
        </w:rPr>
        <w:t xml:space="preserve"> Substance Abuse and Mental Health Services Administration. 2014. </w:t>
      </w:r>
      <w:r w:rsidRPr="00A05CE0">
        <w:rPr>
          <w:sz w:val="24"/>
          <w:szCs w:val="24"/>
        </w:rPr>
        <w:t>Concept of Trauma and Guidance for a Trauma-Informed Approach</w:t>
      </w:r>
      <w:r w:rsidRPr="00025F31">
        <w:rPr>
          <w:sz w:val="24"/>
          <w:szCs w:val="24"/>
        </w:rPr>
        <w:t xml:space="preserve">. </w:t>
      </w:r>
      <w:hyperlink r:id="rId2" w:tooltip="Substance Abuse and Mental Health Services Administration" w:history="1">
        <w:r w:rsidRPr="00025F31">
          <w:rPr>
            <w:rStyle w:val="Hyperlink"/>
            <w:szCs w:val="24"/>
          </w:rPr>
          <w:t>https://store.samhsa.gov/sites/default/files/d7/priv/sma14-4884.pdf</w:t>
        </w:r>
      </w:hyperlink>
      <w:r w:rsidRPr="00025F31">
        <w:rPr>
          <w:sz w:val="24"/>
          <w:szCs w:val="24"/>
        </w:rPr>
        <w:t xml:space="preserve"> </w:t>
      </w:r>
      <w:r w:rsidRPr="00E02258">
        <w:rPr>
          <w:bCs/>
          <w:sz w:val="24"/>
          <w:szCs w:val="24"/>
        </w:rPr>
        <w:t xml:space="preserve">(accessed </w:t>
      </w:r>
      <w:r>
        <w:rPr>
          <w:bCs/>
          <w:sz w:val="24"/>
          <w:szCs w:val="24"/>
        </w:rPr>
        <w:t>September 21, 2021</w:t>
      </w:r>
      <w:r w:rsidRPr="00E02258">
        <w:rPr>
          <w:bCs/>
          <w:sz w:val="24"/>
          <w:szCs w:val="24"/>
        </w:rPr>
        <w:t>).</w:t>
      </w:r>
    </w:p>
  </w:footnote>
  <w:footnote w:id="3">
    <w:p w14:paraId="0F30AD4E" w14:textId="7E467DB4" w:rsidR="00176707" w:rsidRPr="00025F31" w:rsidRDefault="00176707">
      <w:pPr>
        <w:pStyle w:val="FootnoteText"/>
        <w:rPr>
          <w:sz w:val="24"/>
          <w:szCs w:val="24"/>
        </w:rPr>
      </w:pPr>
      <w:r w:rsidRPr="00025F31">
        <w:rPr>
          <w:rStyle w:val="FootnoteReference"/>
          <w:sz w:val="24"/>
          <w:szCs w:val="24"/>
        </w:rPr>
        <w:footnoteRef/>
      </w:r>
      <w:r w:rsidRPr="00025F31">
        <w:rPr>
          <w:sz w:val="24"/>
          <w:szCs w:val="24"/>
        </w:rPr>
        <w:t xml:space="preserve"> California Department of Education</w:t>
      </w:r>
      <w:r>
        <w:rPr>
          <w:sz w:val="24"/>
          <w:szCs w:val="24"/>
        </w:rPr>
        <w:t xml:space="preserve">. 2021. </w:t>
      </w:r>
      <w:r w:rsidRPr="00025F31">
        <w:rPr>
          <w:sz w:val="24"/>
          <w:szCs w:val="24"/>
        </w:rPr>
        <w:t xml:space="preserve">Culturally Sustaining Pedagogy. </w:t>
      </w:r>
      <w:hyperlink r:id="rId3" w:tooltip="Culturally Sustaining Pedagogy" w:history="1">
        <w:r w:rsidRPr="00025F31">
          <w:rPr>
            <w:rStyle w:val="Hyperlink"/>
            <w:szCs w:val="24"/>
          </w:rPr>
          <w:t>https://www.cde.ca.gov/pd/ee/culturallysustainingped.asp</w:t>
        </w:r>
      </w:hyperlink>
      <w:r w:rsidRPr="00025F31">
        <w:rPr>
          <w:sz w:val="24"/>
          <w:szCs w:val="24"/>
        </w:rPr>
        <w:t xml:space="preserve"> </w:t>
      </w:r>
      <w:r w:rsidRPr="00E02258">
        <w:rPr>
          <w:bCs/>
          <w:sz w:val="24"/>
          <w:szCs w:val="24"/>
        </w:rPr>
        <w:t xml:space="preserve">(accessed </w:t>
      </w:r>
      <w:r>
        <w:rPr>
          <w:bCs/>
          <w:sz w:val="24"/>
          <w:szCs w:val="24"/>
        </w:rPr>
        <w:t>September 23, 2021</w:t>
      </w:r>
      <w:r w:rsidRPr="00E02258">
        <w:rPr>
          <w:bCs/>
          <w:sz w:val="24"/>
          <w:szCs w:val="24"/>
        </w:rPr>
        <w:t>).</w:t>
      </w:r>
      <w:r w:rsidRPr="00025F31">
        <w:rPr>
          <w:sz w:val="24"/>
          <w:szCs w:val="24"/>
        </w:rPr>
        <w:t xml:space="preserve"> </w:t>
      </w:r>
    </w:p>
  </w:footnote>
  <w:footnote w:id="4">
    <w:p w14:paraId="1056229B" w14:textId="32FA27A6" w:rsidR="00176707" w:rsidRPr="00EC203A" w:rsidRDefault="00176707" w:rsidP="00BD670D">
      <w:pPr>
        <w:pStyle w:val="NormalWeb"/>
        <w:spacing w:before="0" w:beforeAutospacing="0" w:after="240" w:afterAutospacing="0"/>
        <w:rPr>
          <w:rFonts w:ascii="Arial" w:hAnsi="Arial" w:cs="Arial"/>
        </w:rPr>
      </w:pPr>
      <w:r w:rsidRPr="00EC203A">
        <w:rPr>
          <w:rStyle w:val="FootnoteReference"/>
          <w:rFonts w:ascii="Arial" w:hAnsi="Arial" w:cs="Arial"/>
        </w:rPr>
        <w:footnoteRef/>
      </w:r>
      <w:r w:rsidRPr="00EC203A">
        <w:rPr>
          <w:rFonts w:ascii="Arial" w:hAnsi="Arial" w:cs="Arial"/>
        </w:rPr>
        <w:t xml:space="preserve"> </w:t>
      </w:r>
      <w:r w:rsidRPr="00EC203A">
        <w:rPr>
          <w:rFonts w:ascii="Arial" w:hAnsi="Arial" w:cs="Arial"/>
          <w:color w:val="000000"/>
        </w:rPr>
        <w:t>Darling-Hammond, L., &amp; Cook-Harvey, C. M. (2018). </w:t>
      </w:r>
      <w:r w:rsidRPr="00EC203A">
        <w:rPr>
          <w:rFonts w:ascii="Arial" w:hAnsi="Arial" w:cs="Arial"/>
          <w:i/>
          <w:iCs/>
          <w:color w:val="000000"/>
        </w:rPr>
        <w:t>Educating the whole child: Improving school climate to support student success</w:t>
      </w:r>
      <w:r w:rsidRPr="00EC203A">
        <w:rPr>
          <w:rFonts w:ascii="Arial" w:hAnsi="Arial" w:cs="Arial"/>
          <w:b/>
          <w:bCs/>
          <w:i/>
          <w:iCs/>
          <w:color w:val="000000"/>
        </w:rPr>
        <w:t> </w:t>
      </w:r>
      <w:r w:rsidRPr="00EC203A">
        <w:rPr>
          <w:rFonts w:ascii="Arial" w:hAnsi="Arial" w:cs="Arial"/>
          <w:color w:val="000000"/>
        </w:rPr>
        <w:t>(research brief).</w:t>
      </w:r>
      <w:r w:rsidRPr="00EC203A">
        <w:rPr>
          <w:rFonts w:ascii="Arial" w:hAnsi="Arial" w:cs="Arial"/>
          <w:i/>
          <w:iCs/>
          <w:color w:val="000000"/>
        </w:rPr>
        <w:t> </w:t>
      </w:r>
      <w:r w:rsidRPr="00EC203A">
        <w:rPr>
          <w:rFonts w:ascii="Arial" w:hAnsi="Arial" w:cs="Arial"/>
          <w:color w:val="000000"/>
        </w:rPr>
        <w:t>Palo Alto, CA: Learning Policy Institute</w:t>
      </w:r>
      <w:r>
        <w:rPr>
          <w:rFonts w:ascii="Arial" w:hAnsi="Arial" w:cs="Arial"/>
          <w:color w:val="000000"/>
        </w:rPr>
        <w:t>.</w:t>
      </w:r>
    </w:p>
  </w:footnote>
  <w:footnote w:id="5">
    <w:p w14:paraId="14184798" w14:textId="68B62B05" w:rsidR="00176707" w:rsidRPr="00BD670D" w:rsidRDefault="00176707" w:rsidP="00BD670D">
      <w:pPr>
        <w:pStyle w:val="NormalWeb"/>
        <w:spacing w:before="0" w:beforeAutospacing="0" w:after="0" w:afterAutospacing="0"/>
        <w:rPr>
          <w:rFonts w:ascii="Arial" w:hAnsi="Arial" w:cs="Arial"/>
        </w:rPr>
      </w:pPr>
      <w:r w:rsidRPr="00EC203A">
        <w:rPr>
          <w:rStyle w:val="FootnoteReference"/>
          <w:rFonts w:ascii="Arial" w:hAnsi="Arial" w:cs="Arial"/>
        </w:rPr>
        <w:footnoteRef/>
      </w:r>
      <w:r w:rsidRPr="00EC203A">
        <w:rPr>
          <w:rFonts w:ascii="Arial" w:hAnsi="Arial" w:cs="Arial"/>
        </w:rPr>
        <w:t xml:space="preserve"> </w:t>
      </w:r>
      <w:r w:rsidRPr="00EC203A">
        <w:rPr>
          <w:rFonts w:ascii="Arial" w:hAnsi="Arial" w:cs="Arial"/>
          <w:i/>
          <w:iCs/>
          <w:color w:val="000000"/>
        </w:rPr>
        <w:t xml:space="preserve">From a Nation at Risk to a Nation at Hope. </w:t>
      </w:r>
      <w:r w:rsidRPr="00EC203A">
        <w:rPr>
          <w:rFonts w:ascii="Arial" w:hAnsi="Arial" w:cs="Arial"/>
          <w:color w:val="000000"/>
        </w:rPr>
        <w:t>Recommendations from the Aspen Institute National Commission on Social, Emotional, &amp; Academic Development. 2019.</w:t>
      </w:r>
      <w:r w:rsidR="00B50E8B">
        <w:rPr>
          <w:rFonts w:ascii="Arial" w:hAnsi="Arial" w:cs="Arial"/>
          <w:color w:val="000000"/>
        </w:rPr>
        <w:t xml:space="preserve"> [Link no longer available]</w:t>
      </w:r>
    </w:p>
  </w:footnote>
  <w:footnote w:id="6">
    <w:p w14:paraId="412611B3" w14:textId="78F0A94F" w:rsidR="00176707" w:rsidRPr="00013C35" w:rsidRDefault="00176707">
      <w:pPr>
        <w:pStyle w:val="FootnoteText"/>
        <w:rPr>
          <w:sz w:val="24"/>
          <w:szCs w:val="24"/>
        </w:rPr>
      </w:pPr>
      <w:r w:rsidRPr="00013C35">
        <w:rPr>
          <w:rStyle w:val="FootnoteReference"/>
          <w:sz w:val="24"/>
          <w:szCs w:val="24"/>
        </w:rPr>
        <w:footnoteRef/>
      </w:r>
      <w:r w:rsidRPr="00013C35">
        <w:rPr>
          <w:sz w:val="24"/>
          <w:szCs w:val="24"/>
        </w:rPr>
        <w:t xml:space="preserve"> California Common Core State Standards: Mathematics. Page 6. Adopted by the California State Board of Education August 2010 and modified January 2013. Accessed on </w:t>
      </w:r>
      <w:r>
        <w:rPr>
          <w:sz w:val="24"/>
          <w:szCs w:val="24"/>
        </w:rPr>
        <w:t>September</w:t>
      </w:r>
      <w:r w:rsidRPr="00013C35">
        <w:rPr>
          <w:sz w:val="24"/>
          <w:szCs w:val="24"/>
        </w:rPr>
        <w:t xml:space="preserve"> 27, 202</w:t>
      </w:r>
      <w:r>
        <w:rPr>
          <w:sz w:val="24"/>
          <w:szCs w:val="24"/>
        </w:rPr>
        <w:t>1</w:t>
      </w:r>
      <w:r w:rsidRPr="00013C35">
        <w:rPr>
          <w:sz w:val="24"/>
          <w:szCs w:val="24"/>
        </w:rPr>
        <w:t xml:space="preserve">. </w:t>
      </w:r>
      <w:hyperlink r:id="rId4" w:tooltip="California Common Core State Standards: Mathematics" w:history="1">
        <w:r w:rsidRPr="00013C35">
          <w:rPr>
            <w:rStyle w:val="Hyperlink"/>
            <w:szCs w:val="24"/>
          </w:rPr>
          <w:t>https://www.cde.ca.gov/be/st/ss/documents/ccssmathstandardaug2013.pdf</w:t>
        </w:r>
      </w:hyperlink>
      <w:r w:rsidRPr="00013C35">
        <w:rPr>
          <w:sz w:val="24"/>
          <w:szCs w:val="24"/>
        </w:rPr>
        <w:t xml:space="preserve">  </w:t>
      </w:r>
    </w:p>
  </w:footnote>
  <w:footnote w:id="7">
    <w:p w14:paraId="65AAB029" w14:textId="3FC0B6A2" w:rsidR="00176707" w:rsidRPr="00025F31" w:rsidRDefault="00176707" w:rsidP="00BD670D">
      <w:pPr>
        <w:pStyle w:val="FootnoteText"/>
        <w:spacing w:after="240"/>
        <w:rPr>
          <w:sz w:val="24"/>
          <w:szCs w:val="24"/>
        </w:rPr>
      </w:pPr>
      <w:r w:rsidRPr="00025F31">
        <w:rPr>
          <w:rStyle w:val="FootnoteReference"/>
          <w:sz w:val="24"/>
          <w:szCs w:val="24"/>
        </w:rPr>
        <w:footnoteRef/>
      </w:r>
      <w:r w:rsidRPr="00025F31">
        <w:rPr>
          <w:sz w:val="24"/>
          <w:szCs w:val="24"/>
        </w:rPr>
        <w:t xml:space="preserve"> </w:t>
      </w:r>
      <w:r w:rsidRPr="00F417FB">
        <w:rPr>
          <w:sz w:val="24"/>
          <w:szCs w:val="24"/>
        </w:rPr>
        <w:t xml:space="preserve">Manian, N. (2021). </w:t>
      </w:r>
      <w:r w:rsidRPr="00F417FB">
        <w:rPr>
          <w:i/>
          <w:sz w:val="24"/>
          <w:szCs w:val="24"/>
        </w:rPr>
        <w:t>Becoming Trauma Informed – Taking the First Step to Becoming a Trauma-Informed School.</w:t>
      </w:r>
      <w:r w:rsidRPr="00F417FB">
        <w:rPr>
          <w:sz w:val="24"/>
          <w:szCs w:val="24"/>
        </w:rPr>
        <w:t xml:space="preserve"> Rockville, MD: National Comprehensive Center at Westat.</w:t>
      </w:r>
      <w:r>
        <w:rPr>
          <w:sz w:val="24"/>
          <w:szCs w:val="24"/>
        </w:rPr>
        <w:t xml:space="preserve"> </w:t>
      </w:r>
    </w:p>
  </w:footnote>
  <w:footnote w:id="8">
    <w:p w14:paraId="79BA56A6" w14:textId="5F2B2AAF" w:rsidR="00176707" w:rsidRPr="00025F31" w:rsidRDefault="00176707" w:rsidP="00BD670D">
      <w:pPr>
        <w:pStyle w:val="FootnoteText"/>
        <w:spacing w:after="240"/>
        <w:rPr>
          <w:sz w:val="24"/>
          <w:szCs w:val="24"/>
        </w:rPr>
      </w:pPr>
      <w:r w:rsidRPr="00025F31">
        <w:rPr>
          <w:rStyle w:val="FootnoteReference"/>
          <w:sz w:val="24"/>
          <w:szCs w:val="24"/>
        </w:rPr>
        <w:footnoteRef/>
      </w:r>
      <w:r w:rsidRPr="00025F31">
        <w:rPr>
          <w:sz w:val="24"/>
          <w:szCs w:val="24"/>
        </w:rPr>
        <w:t xml:space="preserve"> Joseph L. Mahoney, et. al. 2020. American Psychologist. </w:t>
      </w:r>
      <w:r w:rsidRPr="00025F31">
        <w:rPr>
          <w:i/>
          <w:sz w:val="24"/>
          <w:szCs w:val="24"/>
        </w:rPr>
        <w:t>Systemic Social and Emotional Learning: Promoting Educational Success for All. Preschool to High School Students</w:t>
      </w:r>
      <w:r w:rsidRPr="00025F31">
        <w:rPr>
          <w:sz w:val="24"/>
          <w:szCs w:val="24"/>
        </w:rPr>
        <w:t>.</w:t>
      </w:r>
    </w:p>
  </w:footnote>
  <w:footnote w:id="9">
    <w:p w14:paraId="4ADFE34D" w14:textId="16116081" w:rsidR="00176707" w:rsidRDefault="00176707">
      <w:pPr>
        <w:pStyle w:val="FootnoteText"/>
      </w:pPr>
      <w:r>
        <w:rPr>
          <w:rStyle w:val="FootnoteReference"/>
        </w:rPr>
        <w:footnoteRef/>
      </w:r>
      <w:r>
        <w:t xml:space="preserve"> </w:t>
      </w:r>
      <w:r w:rsidRPr="00977028">
        <w:rPr>
          <w:sz w:val="24"/>
          <w:szCs w:val="24"/>
        </w:rPr>
        <w:t>Council of Chief State School Officers, the Collaborative for Academic, Social, and Emotional Learning, and the American Institutes for Research®</w:t>
      </w:r>
      <w:r>
        <w:rPr>
          <w:sz w:val="24"/>
          <w:szCs w:val="24"/>
        </w:rPr>
        <w:t xml:space="preserve">. 2021. </w:t>
      </w:r>
      <w:r w:rsidRPr="00977028">
        <w:rPr>
          <w:i/>
          <w:sz w:val="24"/>
          <w:szCs w:val="24"/>
        </w:rPr>
        <w:t>Integrating</w:t>
      </w:r>
      <w:r w:rsidRPr="00025F31">
        <w:rPr>
          <w:i/>
          <w:sz w:val="24"/>
          <w:szCs w:val="24"/>
        </w:rPr>
        <w:t xml:space="preserve"> Social and Emotional Learning Within a Multi-Tiered System of Supports </w:t>
      </w:r>
      <w:r>
        <w:rPr>
          <w:i/>
          <w:sz w:val="24"/>
          <w:szCs w:val="24"/>
        </w:rPr>
        <w:t>t</w:t>
      </w:r>
      <w:r w:rsidRPr="00025F31">
        <w:rPr>
          <w:i/>
          <w:sz w:val="24"/>
          <w:szCs w:val="24"/>
        </w:rPr>
        <w:t xml:space="preserve">o Advance Equity: SEL MTSS Toolkit </w:t>
      </w:r>
      <w:r>
        <w:rPr>
          <w:i/>
          <w:sz w:val="24"/>
          <w:szCs w:val="24"/>
        </w:rPr>
        <w:t>f</w:t>
      </w:r>
      <w:r w:rsidRPr="00025F31">
        <w:rPr>
          <w:i/>
          <w:sz w:val="24"/>
          <w:szCs w:val="24"/>
        </w:rPr>
        <w:t>or State and District Leaders</w:t>
      </w:r>
      <w:r w:rsidRPr="00247F8F">
        <w:rPr>
          <w:sz w:val="24"/>
          <w:szCs w:val="24"/>
        </w:rPr>
        <w:t>:</w:t>
      </w:r>
      <w:r>
        <w:rPr>
          <w:sz w:val="24"/>
          <w:szCs w:val="24"/>
        </w:rPr>
        <w:t xml:space="preserve"> 7.</w:t>
      </w:r>
      <w:r>
        <w:rPr>
          <w:i/>
          <w:sz w:val="24"/>
          <w:szCs w:val="24"/>
        </w:rPr>
        <w:t xml:space="preserve"> </w:t>
      </w:r>
    </w:p>
  </w:footnote>
  <w:footnote w:id="10">
    <w:p w14:paraId="19861AC3" w14:textId="77777777" w:rsidR="00176707" w:rsidRPr="00011DC5" w:rsidRDefault="00176707" w:rsidP="008B191E">
      <w:pPr>
        <w:pStyle w:val="FootnoteText"/>
        <w:rPr>
          <w:rFonts w:cs="Arial"/>
          <w:sz w:val="24"/>
          <w:szCs w:val="24"/>
        </w:rPr>
      </w:pPr>
      <w:r w:rsidRPr="00011DC5">
        <w:rPr>
          <w:rStyle w:val="FootnoteReference"/>
          <w:rFonts w:cs="Arial"/>
          <w:sz w:val="24"/>
          <w:szCs w:val="24"/>
        </w:rPr>
        <w:footnoteRef/>
      </w:r>
      <w:r w:rsidRPr="00011DC5">
        <w:rPr>
          <w:rFonts w:cs="Arial"/>
          <w:sz w:val="24"/>
          <w:szCs w:val="24"/>
        </w:rPr>
        <w:t xml:space="preserve"> </w:t>
      </w:r>
      <w:r w:rsidRPr="00011DC5">
        <w:rPr>
          <w:rFonts w:cs="Arial"/>
          <w:i/>
          <w:sz w:val="24"/>
          <w:szCs w:val="24"/>
        </w:rPr>
        <w:t xml:space="preserve">Non-regulatory Guidance: Using </w:t>
      </w:r>
      <w:r>
        <w:rPr>
          <w:rFonts w:cs="Arial"/>
          <w:i/>
          <w:sz w:val="24"/>
          <w:szCs w:val="24"/>
        </w:rPr>
        <w:t>Evidence</w:t>
      </w:r>
      <w:r w:rsidRPr="00011DC5">
        <w:rPr>
          <w:rFonts w:cs="Arial"/>
          <w:i/>
          <w:sz w:val="24"/>
          <w:szCs w:val="24"/>
        </w:rPr>
        <w:t xml:space="preserve"> to Strengthen Education Investments. </w:t>
      </w:r>
      <w:r w:rsidRPr="00011DC5">
        <w:rPr>
          <w:rFonts w:cs="Arial"/>
          <w:color w:val="000000"/>
          <w:sz w:val="24"/>
          <w:szCs w:val="24"/>
        </w:rPr>
        <w:t>U.S. Department of Education web document</w:t>
      </w:r>
      <w:r>
        <w:rPr>
          <w:rFonts w:cs="Arial"/>
          <w:color w:val="000000"/>
          <w:sz w:val="24"/>
          <w:szCs w:val="24"/>
        </w:rPr>
        <w:t xml:space="preserve"> at</w:t>
      </w:r>
      <w:r w:rsidRPr="00011DC5">
        <w:rPr>
          <w:rFonts w:cs="Arial"/>
          <w:color w:val="000000"/>
          <w:sz w:val="24"/>
          <w:szCs w:val="24"/>
        </w:rPr>
        <w:t xml:space="preserve"> </w:t>
      </w:r>
      <w:hyperlink r:id="rId5" w:tooltip="Non-Regulatory Guidance Web Page" w:history="1">
        <w:r w:rsidRPr="00011DC5">
          <w:rPr>
            <w:rStyle w:val="Hyperlink"/>
            <w:rFonts w:cs="Arial"/>
            <w:szCs w:val="24"/>
          </w:rPr>
          <w:t>https://www2.ed.gov/policy/elsec/leg/essa/guidanceuseseinvestment.pdf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AF8F" w14:textId="77777777" w:rsidR="00585A84" w:rsidRDefault="00585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1DCF" w14:textId="77777777" w:rsidR="00585A84" w:rsidRDefault="00585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075D" w14:textId="77777777" w:rsidR="00585A84" w:rsidRDefault="00585A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F302" w14:textId="77777777" w:rsidR="00176707" w:rsidRDefault="00176707" w:rsidP="007E2D75">
    <w:pPr>
      <w:pStyle w:val="Header"/>
      <w:jc w:val="right"/>
    </w:pPr>
    <w:r>
      <w:t>Appendix B</w:t>
    </w:r>
  </w:p>
  <w:p w14:paraId="3740640D" w14:textId="77777777" w:rsidR="00176707" w:rsidRDefault="00176707" w:rsidP="007E2D75">
    <w:pPr>
      <w:pStyle w:val="Header"/>
      <w:spacing w:after="480"/>
      <w:jc w:val="right"/>
    </w:pPr>
    <w:r>
      <w:t xml:space="preserve">Page 2 </w:t>
    </w:r>
    <w:r>
      <w:rPr>
        <w:noProof/>
      </w:rPr>
      <w:t>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4136" w14:textId="77777777" w:rsidR="00176707" w:rsidRDefault="00176707" w:rsidP="007E2D75">
    <w:pPr>
      <w:pStyle w:val="Header"/>
      <w:jc w:val="right"/>
    </w:pPr>
    <w:r>
      <w:t>Appendix C</w:t>
    </w:r>
  </w:p>
  <w:p w14:paraId="334AAF20" w14:textId="68151954" w:rsidR="00176707" w:rsidRDefault="00176707" w:rsidP="00A1439E">
    <w:pPr>
      <w:pStyle w:val="Header"/>
      <w:spacing w:after="360"/>
      <w:jc w:val="right"/>
    </w:pPr>
    <w:r>
      <w:t xml:space="preserve">Page 1 </w:t>
    </w:r>
    <w:r>
      <w:rPr>
        <w:noProof/>
      </w:rPr>
      <w:t>of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EC2C" w14:textId="77777777" w:rsidR="00176707" w:rsidRDefault="00176707" w:rsidP="007E2D75">
    <w:pPr>
      <w:pStyle w:val="Header"/>
      <w:jc w:val="right"/>
    </w:pPr>
    <w:r>
      <w:t>Appendix C</w:t>
    </w:r>
  </w:p>
  <w:p w14:paraId="63732295" w14:textId="264342F2" w:rsidR="00176707" w:rsidRDefault="00176707" w:rsidP="00A1439E">
    <w:pPr>
      <w:pStyle w:val="Header"/>
      <w:spacing w:after="360"/>
      <w:jc w:val="right"/>
    </w:pPr>
    <w:r>
      <w:t xml:space="preserve">Page 2 </w:t>
    </w:r>
    <w:r>
      <w:rPr>
        <w:noProof/>
      </w:rPr>
      <w:t>of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F537" w14:textId="77777777" w:rsidR="00176707" w:rsidRDefault="00176707" w:rsidP="007E2D75">
    <w:pPr>
      <w:pStyle w:val="Header"/>
      <w:jc w:val="right"/>
    </w:pPr>
    <w:r>
      <w:t>Appendix C</w:t>
    </w:r>
  </w:p>
  <w:p w14:paraId="05AE37EB" w14:textId="36B27C20" w:rsidR="00176707" w:rsidRDefault="00176707" w:rsidP="00A1439E">
    <w:pPr>
      <w:pStyle w:val="Header"/>
      <w:spacing w:after="360"/>
      <w:jc w:val="right"/>
    </w:pPr>
    <w:r>
      <w:t xml:space="preserve">Page 4 </w:t>
    </w:r>
    <w:r>
      <w:rPr>
        <w:noProof/>
      </w:rPr>
      <w:t>of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54AB" w14:textId="77777777" w:rsidR="00176707" w:rsidRDefault="00176707" w:rsidP="005F6D46">
    <w:pPr>
      <w:pStyle w:val="Header"/>
      <w:jc w:val="right"/>
    </w:pPr>
    <w:r>
      <w:t>Form A</w:t>
    </w:r>
  </w:p>
  <w:p w14:paraId="51D0CB62" w14:textId="77777777" w:rsidR="00176707" w:rsidRPr="005F6D46" w:rsidRDefault="00176707" w:rsidP="005F6D46">
    <w:pPr>
      <w:pStyle w:val="Header"/>
      <w:spacing w:after="480"/>
      <w:jc w:val="right"/>
    </w:pPr>
    <w:r>
      <w:t>Page 2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881"/>
    <w:multiLevelType w:val="hybridMultilevel"/>
    <w:tmpl w:val="E3D40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363F0"/>
    <w:multiLevelType w:val="hybridMultilevel"/>
    <w:tmpl w:val="519E898C"/>
    <w:lvl w:ilvl="0" w:tplc="D7AC8E7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85CE2"/>
    <w:multiLevelType w:val="hybridMultilevel"/>
    <w:tmpl w:val="48AE9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0675A"/>
    <w:multiLevelType w:val="hybridMultilevel"/>
    <w:tmpl w:val="821C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4A03"/>
    <w:multiLevelType w:val="hybridMultilevel"/>
    <w:tmpl w:val="26CE1D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2840DA"/>
    <w:multiLevelType w:val="hybridMultilevel"/>
    <w:tmpl w:val="4E5E0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3C343E"/>
    <w:multiLevelType w:val="hybridMultilevel"/>
    <w:tmpl w:val="DF1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73588"/>
    <w:multiLevelType w:val="hybridMultilevel"/>
    <w:tmpl w:val="AD4812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724FA3"/>
    <w:multiLevelType w:val="hybridMultilevel"/>
    <w:tmpl w:val="C8B8BA18"/>
    <w:lvl w:ilvl="0" w:tplc="72CEE3E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01937"/>
    <w:multiLevelType w:val="hybridMultilevel"/>
    <w:tmpl w:val="06E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56153"/>
    <w:multiLevelType w:val="hybridMultilevel"/>
    <w:tmpl w:val="114E4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C0630D"/>
    <w:multiLevelType w:val="hybridMultilevel"/>
    <w:tmpl w:val="A4061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3630F6"/>
    <w:multiLevelType w:val="hybridMultilevel"/>
    <w:tmpl w:val="2EE0CD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137090"/>
    <w:multiLevelType w:val="hybridMultilevel"/>
    <w:tmpl w:val="15FC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50E3F"/>
    <w:multiLevelType w:val="hybridMultilevel"/>
    <w:tmpl w:val="57386B2C"/>
    <w:lvl w:ilvl="0" w:tplc="8618B8F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6A3463"/>
    <w:multiLevelType w:val="hybridMultilevel"/>
    <w:tmpl w:val="D9EC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A75489"/>
    <w:multiLevelType w:val="hybridMultilevel"/>
    <w:tmpl w:val="6DE8B8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642B9A"/>
    <w:multiLevelType w:val="multilevel"/>
    <w:tmpl w:val="1B3880FE"/>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color w:val="auto"/>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DC4863"/>
    <w:multiLevelType w:val="hybridMultilevel"/>
    <w:tmpl w:val="64489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AD256D"/>
    <w:multiLevelType w:val="hybridMultilevel"/>
    <w:tmpl w:val="E71A7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D94498"/>
    <w:multiLevelType w:val="hybridMultilevel"/>
    <w:tmpl w:val="9C3AC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4559AA"/>
    <w:multiLevelType w:val="hybridMultilevel"/>
    <w:tmpl w:val="4F4E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05992"/>
    <w:multiLevelType w:val="hybridMultilevel"/>
    <w:tmpl w:val="D8FCE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FE1F6B"/>
    <w:multiLevelType w:val="hybridMultilevel"/>
    <w:tmpl w:val="ED5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1901"/>
    <w:multiLevelType w:val="multilevel"/>
    <w:tmpl w:val="E49E1CE6"/>
    <w:lvl w:ilvl="0">
      <w:start w:val="1"/>
      <w:numFmt w:val="bullet"/>
      <w:lvlText w:val=""/>
      <w:lvlJc w:val="left"/>
      <w:pPr>
        <w:tabs>
          <w:tab w:val="num" w:pos="2434"/>
        </w:tabs>
        <w:ind w:left="2434" w:hanging="360"/>
      </w:pPr>
      <w:rPr>
        <w:rFonts w:ascii="Symbol" w:hAnsi="Symbol" w:hint="default"/>
        <w:sz w:val="20"/>
      </w:rPr>
    </w:lvl>
    <w:lvl w:ilvl="1">
      <w:start w:val="1"/>
      <w:numFmt w:val="bullet"/>
      <w:lvlText w:val="o"/>
      <w:lvlJc w:val="left"/>
      <w:pPr>
        <w:tabs>
          <w:tab w:val="num" w:pos="3154"/>
        </w:tabs>
        <w:ind w:left="3154" w:hanging="360"/>
      </w:pPr>
      <w:rPr>
        <w:rFonts w:ascii="Courier New" w:hAnsi="Courier New" w:cs="Times New Roman" w:hint="default"/>
        <w:sz w:val="20"/>
      </w:rPr>
    </w:lvl>
    <w:lvl w:ilvl="2">
      <w:start w:val="1"/>
      <w:numFmt w:val="bullet"/>
      <w:lvlText w:val=""/>
      <w:lvlJc w:val="left"/>
      <w:pPr>
        <w:tabs>
          <w:tab w:val="num" w:pos="3874"/>
        </w:tabs>
        <w:ind w:left="3874" w:hanging="360"/>
      </w:pPr>
      <w:rPr>
        <w:rFonts w:ascii="Wingdings" w:hAnsi="Wingdings" w:hint="default"/>
        <w:sz w:val="20"/>
      </w:rPr>
    </w:lvl>
    <w:lvl w:ilvl="3">
      <w:start w:val="1"/>
      <w:numFmt w:val="bullet"/>
      <w:lvlText w:val=""/>
      <w:lvlJc w:val="left"/>
      <w:pPr>
        <w:tabs>
          <w:tab w:val="num" w:pos="4594"/>
        </w:tabs>
        <w:ind w:left="4594" w:hanging="360"/>
      </w:pPr>
      <w:rPr>
        <w:rFonts w:ascii="Wingdings" w:hAnsi="Wingdings" w:hint="default"/>
        <w:sz w:val="20"/>
      </w:rPr>
    </w:lvl>
    <w:lvl w:ilvl="4">
      <w:start w:val="1"/>
      <w:numFmt w:val="bullet"/>
      <w:lvlText w:val=""/>
      <w:lvlJc w:val="left"/>
      <w:pPr>
        <w:tabs>
          <w:tab w:val="num" w:pos="5314"/>
        </w:tabs>
        <w:ind w:left="5314" w:hanging="360"/>
      </w:pPr>
      <w:rPr>
        <w:rFonts w:ascii="Wingdings" w:hAnsi="Wingdings" w:hint="default"/>
        <w:sz w:val="20"/>
      </w:rPr>
    </w:lvl>
    <w:lvl w:ilvl="5">
      <w:start w:val="1"/>
      <w:numFmt w:val="bullet"/>
      <w:lvlText w:val=""/>
      <w:lvlJc w:val="left"/>
      <w:pPr>
        <w:tabs>
          <w:tab w:val="num" w:pos="6034"/>
        </w:tabs>
        <w:ind w:left="6034" w:hanging="360"/>
      </w:pPr>
      <w:rPr>
        <w:rFonts w:ascii="Wingdings" w:hAnsi="Wingdings" w:hint="default"/>
        <w:sz w:val="20"/>
      </w:rPr>
    </w:lvl>
    <w:lvl w:ilvl="6">
      <w:start w:val="1"/>
      <w:numFmt w:val="bullet"/>
      <w:lvlText w:val=""/>
      <w:lvlJc w:val="left"/>
      <w:pPr>
        <w:tabs>
          <w:tab w:val="num" w:pos="6754"/>
        </w:tabs>
        <w:ind w:left="6754" w:hanging="360"/>
      </w:pPr>
      <w:rPr>
        <w:rFonts w:ascii="Wingdings" w:hAnsi="Wingdings" w:hint="default"/>
        <w:sz w:val="20"/>
      </w:rPr>
    </w:lvl>
    <w:lvl w:ilvl="7">
      <w:start w:val="1"/>
      <w:numFmt w:val="bullet"/>
      <w:lvlText w:val=""/>
      <w:lvlJc w:val="left"/>
      <w:pPr>
        <w:tabs>
          <w:tab w:val="num" w:pos="7474"/>
        </w:tabs>
        <w:ind w:left="7474" w:hanging="360"/>
      </w:pPr>
      <w:rPr>
        <w:rFonts w:ascii="Wingdings" w:hAnsi="Wingdings" w:hint="default"/>
        <w:sz w:val="20"/>
      </w:rPr>
    </w:lvl>
    <w:lvl w:ilvl="8">
      <w:start w:val="1"/>
      <w:numFmt w:val="bullet"/>
      <w:lvlText w:val=""/>
      <w:lvlJc w:val="left"/>
      <w:pPr>
        <w:tabs>
          <w:tab w:val="num" w:pos="8194"/>
        </w:tabs>
        <w:ind w:left="8194" w:hanging="360"/>
      </w:pPr>
      <w:rPr>
        <w:rFonts w:ascii="Wingdings" w:hAnsi="Wingdings" w:hint="default"/>
        <w:sz w:val="20"/>
      </w:rPr>
    </w:lvl>
  </w:abstractNum>
  <w:abstractNum w:abstractNumId="25" w15:restartNumberingAfterBreak="0">
    <w:nsid w:val="76980111"/>
    <w:multiLevelType w:val="hybridMultilevel"/>
    <w:tmpl w:val="30F0E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E1335"/>
    <w:multiLevelType w:val="hybridMultilevel"/>
    <w:tmpl w:val="9B3CC0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F07E43"/>
    <w:multiLevelType w:val="hybridMultilevel"/>
    <w:tmpl w:val="77EE6B6E"/>
    <w:lvl w:ilvl="0" w:tplc="847E41A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9293482">
    <w:abstractNumId w:val="8"/>
  </w:num>
  <w:num w:numId="2" w16cid:durableId="1195728001">
    <w:abstractNumId w:val="11"/>
  </w:num>
  <w:num w:numId="3" w16cid:durableId="90011116">
    <w:abstractNumId w:val="15"/>
  </w:num>
  <w:num w:numId="4" w16cid:durableId="1202672751">
    <w:abstractNumId w:val="3"/>
  </w:num>
  <w:num w:numId="5" w16cid:durableId="453670439">
    <w:abstractNumId w:val="7"/>
  </w:num>
  <w:num w:numId="6" w16cid:durableId="465584186">
    <w:abstractNumId w:val="25"/>
  </w:num>
  <w:num w:numId="7" w16cid:durableId="738793464">
    <w:abstractNumId w:val="8"/>
    <w:lvlOverride w:ilvl="0">
      <w:startOverride w:val="1"/>
    </w:lvlOverride>
  </w:num>
  <w:num w:numId="8" w16cid:durableId="172034007">
    <w:abstractNumId w:val="19"/>
  </w:num>
  <w:num w:numId="9" w16cid:durableId="935359206">
    <w:abstractNumId w:val="20"/>
  </w:num>
  <w:num w:numId="10" w16cid:durableId="1714964421">
    <w:abstractNumId w:val="8"/>
    <w:lvlOverride w:ilvl="0">
      <w:startOverride w:val="1"/>
    </w:lvlOverride>
  </w:num>
  <w:num w:numId="11" w16cid:durableId="544026927">
    <w:abstractNumId w:val="27"/>
  </w:num>
  <w:num w:numId="12" w16cid:durableId="2123262198">
    <w:abstractNumId w:val="0"/>
  </w:num>
  <w:num w:numId="13" w16cid:durableId="286662723">
    <w:abstractNumId w:val="8"/>
    <w:lvlOverride w:ilvl="0">
      <w:startOverride w:val="1"/>
    </w:lvlOverride>
  </w:num>
  <w:num w:numId="14" w16cid:durableId="1211772874">
    <w:abstractNumId w:val="5"/>
  </w:num>
  <w:num w:numId="15" w16cid:durableId="941184308">
    <w:abstractNumId w:val="18"/>
  </w:num>
  <w:num w:numId="16" w16cid:durableId="1980110576">
    <w:abstractNumId w:val="12"/>
  </w:num>
  <w:num w:numId="17" w16cid:durableId="1870098719">
    <w:abstractNumId w:val="22"/>
  </w:num>
  <w:num w:numId="18" w16cid:durableId="922882404">
    <w:abstractNumId w:val="14"/>
  </w:num>
  <w:num w:numId="19" w16cid:durableId="704909804">
    <w:abstractNumId w:val="23"/>
  </w:num>
  <w:num w:numId="20" w16cid:durableId="779111318">
    <w:abstractNumId w:val="26"/>
  </w:num>
  <w:num w:numId="21" w16cid:durableId="976953039">
    <w:abstractNumId w:val="6"/>
  </w:num>
  <w:num w:numId="22" w16cid:durableId="2104951720">
    <w:abstractNumId w:val="9"/>
  </w:num>
  <w:num w:numId="23" w16cid:durableId="1037707293">
    <w:abstractNumId w:val="21"/>
  </w:num>
  <w:num w:numId="24" w16cid:durableId="1749303655">
    <w:abstractNumId w:val="16"/>
  </w:num>
  <w:num w:numId="25" w16cid:durableId="1115444966">
    <w:abstractNumId w:val="8"/>
    <w:lvlOverride w:ilvl="0">
      <w:startOverride w:val="1"/>
    </w:lvlOverride>
  </w:num>
  <w:num w:numId="26" w16cid:durableId="442844753">
    <w:abstractNumId w:val="1"/>
  </w:num>
  <w:num w:numId="27" w16cid:durableId="262762758">
    <w:abstractNumId w:val="4"/>
  </w:num>
  <w:num w:numId="28" w16cid:durableId="1667593794">
    <w:abstractNumId w:val="10"/>
  </w:num>
  <w:num w:numId="29" w16cid:durableId="1784417032">
    <w:abstractNumId w:val="24"/>
  </w:num>
  <w:num w:numId="30" w16cid:durableId="685327178">
    <w:abstractNumId w:val="17"/>
  </w:num>
  <w:num w:numId="31" w16cid:durableId="1173766254">
    <w:abstractNumId w:val="2"/>
  </w:num>
  <w:num w:numId="32" w16cid:durableId="149757133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21"/>
    <w:rsid w:val="00000038"/>
    <w:rsid w:val="0000233D"/>
    <w:rsid w:val="00003C3B"/>
    <w:rsid w:val="000042C7"/>
    <w:rsid w:val="0000587C"/>
    <w:rsid w:val="00005CB3"/>
    <w:rsid w:val="00011CE5"/>
    <w:rsid w:val="00011DC5"/>
    <w:rsid w:val="00013C35"/>
    <w:rsid w:val="00014E12"/>
    <w:rsid w:val="000162D0"/>
    <w:rsid w:val="000200CF"/>
    <w:rsid w:val="00020A9F"/>
    <w:rsid w:val="00020D22"/>
    <w:rsid w:val="0002114F"/>
    <w:rsid w:val="0002161B"/>
    <w:rsid w:val="0002182F"/>
    <w:rsid w:val="00024D0E"/>
    <w:rsid w:val="00025480"/>
    <w:rsid w:val="00025B29"/>
    <w:rsid w:val="00025EA4"/>
    <w:rsid w:val="00025F31"/>
    <w:rsid w:val="00031F42"/>
    <w:rsid w:val="000371E3"/>
    <w:rsid w:val="000374C4"/>
    <w:rsid w:val="000400B3"/>
    <w:rsid w:val="0004135D"/>
    <w:rsid w:val="0004404A"/>
    <w:rsid w:val="00044DD0"/>
    <w:rsid w:val="00046801"/>
    <w:rsid w:val="0004785D"/>
    <w:rsid w:val="00052B3E"/>
    <w:rsid w:val="00053E28"/>
    <w:rsid w:val="00054954"/>
    <w:rsid w:val="00055B8E"/>
    <w:rsid w:val="00056375"/>
    <w:rsid w:val="00056CF4"/>
    <w:rsid w:val="00057087"/>
    <w:rsid w:val="00061B9A"/>
    <w:rsid w:val="00064036"/>
    <w:rsid w:val="00066D13"/>
    <w:rsid w:val="0006731E"/>
    <w:rsid w:val="00072A96"/>
    <w:rsid w:val="00075C86"/>
    <w:rsid w:val="0007720F"/>
    <w:rsid w:val="00077638"/>
    <w:rsid w:val="00077C65"/>
    <w:rsid w:val="000828F7"/>
    <w:rsid w:val="00083C72"/>
    <w:rsid w:val="00084B3A"/>
    <w:rsid w:val="00087B93"/>
    <w:rsid w:val="000905CD"/>
    <w:rsid w:val="00090759"/>
    <w:rsid w:val="00090B91"/>
    <w:rsid w:val="00090C08"/>
    <w:rsid w:val="00091809"/>
    <w:rsid w:val="00091FCF"/>
    <w:rsid w:val="0009213F"/>
    <w:rsid w:val="000959C9"/>
    <w:rsid w:val="00095D2A"/>
    <w:rsid w:val="00097D48"/>
    <w:rsid w:val="000A05FD"/>
    <w:rsid w:val="000A0773"/>
    <w:rsid w:val="000A12F0"/>
    <w:rsid w:val="000A1F24"/>
    <w:rsid w:val="000A3CD1"/>
    <w:rsid w:val="000A4EE9"/>
    <w:rsid w:val="000A5498"/>
    <w:rsid w:val="000B1F7A"/>
    <w:rsid w:val="000B4CCE"/>
    <w:rsid w:val="000B7313"/>
    <w:rsid w:val="000C04E9"/>
    <w:rsid w:val="000C13BC"/>
    <w:rsid w:val="000C275E"/>
    <w:rsid w:val="000C3437"/>
    <w:rsid w:val="000C3722"/>
    <w:rsid w:val="000C4B17"/>
    <w:rsid w:val="000C5DAE"/>
    <w:rsid w:val="000C6100"/>
    <w:rsid w:val="000C7C4D"/>
    <w:rsid w:val="000D08C0"/>
    <w:rsid w:val="000D0B78"/>
    <w:rsid w:val="000D16D2"/>
    <w:rsid w:val="000D2139"/>
    <w:rsid w:val="000D4ECB"/>
    <w:rsid w:val="000D5D76"/>
    <w:rsid w:val="000D7E5C"/>
    <w:rsid w:val="000E0AEE"/>
    <w:rsid w:val="000E6267"/>
    <w:rsid w:val="000E6549"/>
    <w:rsid w:val="000F0350"/>
    <w:rsid w:val="000F1719"/>
    <w:rsid w:val="000F3230"/>
    <w:rsid w:val="000F34E6"/>
    <w:rsid w:val="000F41F5"/>
    <w:rsid w:val="000F4C89"/>
    <w:rsid w:val="000F573A"/>
    <w:rsid w:val="0010033D"/>
    <w:rsid w:val="0010130B"/>
    <w:rsid w:val="00102795"/>
    <w:rsid w:val="00102E40"/>
    <w:rsid w:val="00103459"/>
    <w:rsid w:val="00103BF1"/>
    <w:rsid w:val="001041A6"/>
    <w:rsid w:val="00105BF9"/>
    <w:rsid w:val="00107BB4"/>
    <w:rsid w:val="0011073C"/>
    <w:rsid w:val="00111DA1"/>
    <w:rsid w:val="001131DA"/>
    <w:rsid w:val="00113F48"/>
    <w:rsid w:val="00114DAA"/>
    <w:rsid w:val="00114E8C"/>
    <w:rsid w:val="00115796"/>
    <w:rsid w:val="00116F54"/>
    <w:rsid w:val="001179FB"/>
    <w:rsid w:val="00120A0F"/>
    <w:rsid w:val="001214CD"/>
    <w:rsid w:val="00121FCD"/>
    <w:rsid w:val="00123445"/>
    <w:rsid w:val="00124611"/>
    <w:rsid w:val="001329A0"/>
    <w:rsid w:val="00133C83"/>
    <w:rsid w:val="00135638"/>
    <w:rsid w:val="001362E3"/>
    <w:rsid w:val="00137CF3"/>
    <w:rsid w:val="00141065"/>
    <w:rsid w:val="00141679"/>
    <w:rsid w:val="00141733"/>
    <w:rsid w:val="00141A56"/>
    <w:rsid w:val="00141C54"/>
    <w:rsid w:val="00143614"/>
    <w:rsid w:val="0014593E"/>
    <w:rsid w:val="00145BFE"/>
    <w:rsid w:val="0014679F"/>
    <w:rsid w:val="00151683"/>
    <w:rsid w:val="00152E86"/>
    <w:rsid w:val="00153FA6"/>
    <w:rsid w:val="0016019C"/>
    <w:rsid w:val="00161782"/>
    <w:rsid w:val="00162190"/>
    <w:rsid w:val="00165A86"/>
    <w:rsid w:val="00165C8F"/>
    <w:rsid w:val="00166898"/>
    <w:rsid w:val="00166A69"/>
    <w:rsid w:val="00170F24"/>
    <w:rsid w:val="001750F2"/>
    <w:rsid w:val="00175C9A"/>
    <w:rsid w:val="00176707"/>
    <w:rsid w:val="001771C3"/>
    <w:rsid w:val="001808B2"/>
    <w:rsid w:val="001827C7"/>
    <w:rsid w:val="00182A72"/>
    <w:rsid w:val="00184A0E"/>
    <w:rsid w:val="0018524B"/>
    <w:rsid w:val="00187150"/>
    <w:rsid w:val="00190FAD"/>
    <w:rsid w:val="00192176"/>
    <w:rsid w:val="00192EB3"/>
    <w:rsid w:val="001A0CA5"/>
    <w:rsid w:val="001A1D44"/>
    <w:rsid w:val="001A4B53"/>
    <w:rsid w:val="001A60AD"/>
    <w:rsid w:val="001B00E7"/>
    <w:rsid w:val="001B254E"/>
    <w:rsid w:val="001C18AD"/>
    <w:rsid w:val="001C1F70"/>
    <w:rsid w:val="001C5441"/>
    <w:rsid w:val="001D3314"/>
    <w:rsid w:val="001D33A3"/>
    <w:rsid w:val="001D51AB"/>
    <w:rsid w:val="001D5872"/>
    <w:rsid w:val="001E2ED3"/>
    <w:rsid w:val="001E3436"/>
    <w:rsid w:val="001E425A"/>
    <w:rsid w:val="001E7274"/>
    <w:rsid w:val="001F11B3"/>
    <w:rsid w:val="001F11BF"/>
    <w:rsid w:val="001F269A"/>
    <w:rsid w:val="001F7341"/>
    <w:rsid w:val="001F7792"/>
    <w:rsid w:val="002001DE"/>
    <w:rsid w:val="002007A9"/>
    <w:rsid w:val="00200A9D"/>
    <w:rsid w:val="00200DF7"/>
    <w:rsid w:val="00201F97"/>
    <w:rsid w:val="002039EA"/>
    <w:rsid w:val="0020677D"/>
    <w:rsid w:val="00206CAB"/>
    <w:rsid w:val="00207F09"/>
    <w:rsid w:val="002109F9"/>
    <w:rsid w:val="0021234A"/>
    <w:rsid w:val="00215069"/>
    <w:rsid w:val="00215A50"/>
    <w:rsid w:val="00216D7E"/>
    <w:rsid w:val="002178E1"/>
    <w:rsid w:val="002231C6"/>
    <w:rsid w:val="00223D6A"/>
    <w:rsid w:val="002261CE"/>
    <w:rsid w:val="00226248"/>
    <w:rsid w:val="002271C6"/>
    <w:rsid w:val="002309D1"/>
    <w:rsid w:val="00230B5C"/>
    <w:rsid w:val="00231E4C"/>
    <w:rsid w:val="002326E5"/>
    <w:rsid w:val="00233F10"/>
    <w:rsid w:val="0023409D"/>
    <w:rsid w:val="002353EE"/>
    <w:rsid w:val="00235C67"/>
    <w:rsid w:val="0024067C"/>
    <w:rsid w:val="00241551"/>
    <w:rsid w:val="00244FD0"/>
    <w:rsid w:val="0024569E"/>
    <w:rsid w:val="00247DC3"/>
    <w:rsid w:val="00247F8F"/>
    <w:rsid w:val="002503B9"/>
    <w:rsid w:val="00252440"/>
    <w:rsid w:val="0025375F"/>
    <w:rsid w:val="002538D2"/>
    <w:rsid w:val="002541C0"/>
    <w:rsid w:val="0025486E"/>
    <w:rsid w:val="00254B34"/>
    <w:rsid w:val="00255B37"/>
    <w:rsid w:val="00255D90"/>
    <w:rsid w:val="00257459"/>
    <w:rsid w:val="00257C13"/>
    <w:rsid w:val="00262E02"/>
    <w:rsid w:val="00263768"/>
    <w:rsid w:val="00264CB0"/>
    <w:rsid w:val="002704CA"/>
    <w:rsid w:val="0027076A"/>
    <w:rsid w:val="002732C7"/>
    <w:rsid w:val="002750AA"/>
    <w:rsid w:val="00277D16"/>
    <w:rsid w:val="002800D1"/>
    <w:rsid w:val="00281263"/>
    <w:rsid w:val="00284056"/>
    <w:rsid w:val="0028477A"/>
    <w:rsid w:val="00285D9E"/>
    <w:rsid w:val="00287011"/>
    <w:rsid w:val="002871F4"/>
    <w:rsid w:val="00294358"/>
    <w:rsid w:val="00294AA4"/>
    <w:rsid w:val="00295995"/>
    <w:rsid w:val="002A2220"/>
    <w:rsid w:val="002A2452"/>
    <w:rsid w:val="002A3023"/>
    <w:rsid w:val="002A4279"/>
    <w:rsid w:val="002A6A37"/>
    <w:rsid w:val="002A73C3"/>
    <w:rsid w:val="002B0AD3"/>
    <w:rsid w:val="002B2FDB"/>
    <w:rsid w:val="002B4840"/>
    <w:rsid w:val="002B4FA8"/>
    <w:rsid w:val="002B54AF"/>
    <w:rsid w:val="002B5EB5"/>
    <w:rsid w:val="002B6CA2"/>
    <w:rsid w:val="002B704E"/>
    <w:rsid w:val="002C1148"/>
    <w:rsid w:val="002C17EC"/>
    <w:rsid w:val="002C2316"/>
    <w:rsid w:val="002C241D"/>
    <w:rsid w:val="002C2C8C"/>
    <w:rsid w:val="002C37B0"/>
    <w:rsid w:val="002C69E7"/>
    <w:rsid w:val="002C745F"/>
    <w:rsid w:val="002C7524"/>
    <w:rsid w:val="002D476A"/>
    <w:rsid w:val="002D516C"/>
    <w:rsid w:val="002D59C5"/>
    <w:rsid w:val="002D5C40"/>
    <w:rsid w:val="002E126B"/>
    <w:rsid w:val="002E3175"/>
    <w:rsid w:val="002E35AB"/>
    <w:rsid w:val="002E4633"/>
    <w:rsid w:val="002E4CB5"/>
    <w:rsid w:val="002E53A9"/>
    <w:rsid w:val="002E6544"/>
    <w:rsid w:val="002E7D52"/>
    <w:rsid w:val="002F10C0"/>
    <w:rsid w:val="002F7BFD"/>
    <w:rsid w:val="00301474"/>
    <w:rsid w:val="00305B7B"/>
    <w:rsid w:val="00306EB2"/>
    <w:rsid w:val="00307613"/>
    <w:rsid w:val="003113E2"/>
    <w:rsid w:val="003136FE"/>
    <w:rsid w:val="00314780"/>
    <w:rsid w:val="00315B68"/>
    <w:rsid w:val="00316626"/>
    <w:rsid w:val="003208A4"/>
    <w:rsid w:val="003209E6"/>
    <w:rsid w:val="0032120C"/>
    <w:rsid w:val="00321A78"/>
    <w:rsid w:val="003232FE"/>
    <w:rsid w:val="00323B3C"/>
    <w:rsid w:val="003250A7"/>
    <w:rsid w:val="003267A8"/>
    <w:rsid w:val="003278FE"/>
    <w:rsid w:val="003306A2"/>
    <w:rsid w:val="0033235F"/>
    <w:rsid w:val="00332D6A"/>
    <w:rsid w:val="00332F98"/>
    <w:rsid w:val="00336AE8"/>
    <w:rsid w:val="00340B7E"/>
    <w:rsid w:val="00341428"/>
    <w:rsid w:val="0034276F"/>
    <w:rsid w:val="00342D40"/>
    <w:rsid w:val="003436F3"/>
    <w:rsid w:val="00343FE0"/>
    <w:rsid w:val="00344C52"/>
    <w:rsid w:val="00345305"/>
    <w:rsid w:val="0034576C"/>
    <w:rsid w:val="00345A85"/>
    <w:rsid w:val="00345AB3"/>
    <w:rsid w:val="00350A39"/>
    <w:rsid w:val="00350BAB"/>
    <w:rsid w:val="003534CD"/>
    <w:rsid w:val="00353C59"/>
    <w:rsid w:val="003541CD"/>
    <w:rsid w:val="003553FF"/>
    <w:rsid w:val="00356FF4"/>
    <w:rsid w:val="003607F5"/>
    <w:rsid w:val="00363881"/>
    <w:rsid w:val="0036524B"/>
    <w:rsid w:val="00365F65"/>
    <w:rsid w:val="00374AC1"/>
    <w:rsid w:val="00375428"/>
    <w:rsid w:val="00380AC2"/>
    <w:rsid w:val="00381AE3"/>
    <w:rsid w:val="00381E23"/>
    <w:rsid w:val="00384976"/>
    <w:rsid w:val="0038643D"/>
    <w:rsid w:val="003866EE"/>
    <w:rsid w:val="00393038"/>
    <w:rsid w:val="00397C6C"/>
    <w:rsid w:val="003A2021"/>
    <w:rsid w:val="003A20BC"/>
    <w:rsid w:val="003A2DE1"/>
    <w:rsid w:val="003A3198"/>
    <w:rsid w:val="003A3D31"/>
    <w:rsid w:val="003A529D"/>
    <w:rsid w:val="003A650B"/>
    <w:rsid w:val="003A65F0"/>
    <w:rsid w:val="003A66A6"/>
    <w:rsid w:val="003B0429"/>
    <w:rsid w:val="003B209D"/>
    <w:rsid w:val="003B2D1F"/>
    <w:rsid w:val="003B38DF"/>
    <w:rsid w:val="003B4D7F"/>
    <w:rsid w:val="003B5956"/>
    <w:rsid w:val="003B7076"/>
    <w:rsid w:val="003C1057"/>
    <w:rsid w:val="003C3AC0"/>
    <w:rsid w:val="003C73D9"/>
    <w:rsid w:val="003C7DD5"/>
    <w:rsid w:val="003C7E0C"/>
    <w:rsid w:val="003C7EA5"/>
    <w:rsid w:val="003D0CD8"/>
    <w:rsid w:val="003D59AC"/>
    <w:rsid w:val="003E0F44"/>
    <w:rsid w:val="003E14DF"/>
    <w:rsid w:val="003E1FC5"/>
    <w:rsid w:val="003E275C"/>
    <w:rsid w:val="003E3996"/>
    <w:rsid w:val="003E3D89"/>
    <w:rsid w:val="003E42D1"/>
    <w:rsid w:val="003E4C3A"/>
    <w:rsid w:val="003E5608"/>
    <w:rsid w:val="003F100E"/>
    <w:rsid w:val="003F3975"/>
    <w:rsid w:val="003F4569"/>
    <w:rsid w:val="003F529F"/>
    <w:rsid w:val="00400D49"/>
    <w:rsid w:val="00401899"/>
    <w:rsid w:val="0040417D"/>
    <w:rsid w:val="004065BF"/>
    <w:rsid w:val="004072A7"/>
    <w:rsid w:val="00407FD5"/>
    <w:rsid w:val="00412E9D"/>
    <w:rsid w:val="00413BCA"/>
    <w:rsid w:val="00414ED2"/>
    <w:rsid w:val="00416695"/>
    <w:rsid w:val="0042080E"/>
    <w:rsid w:val="0042117B"/>
    <w:rsid w:val="00422C1D"/>
    <w:rsid w:val="00423E14"/>
    <w:rsid w:val="004246E8"/>
    <w:rsid w:val="00424E81"/>
    <w:rsid w:val="00425714"/>
    <w:rsid w:val="0042607A"/>
    <w:rsid w:val="00426C0B"/>
    <w:rsid w:val="004278D2"/>
    <w:rsid w:val="0043027F"/>
    <w:rsid w:val="00433B02"/>
    <w:rsid w:val="004348CF"/>
    <w:rsid w:val="00435878"/>
    <w:rsid w:val="00437DC8"/>
    <w:rsid w:val="00444169"/>
    <w:rsid w:val="004470EC"/>
    <w:rsid w:val="00447257"/>
    <w:rsid w:val="00447D2E"/>
    <w:rsid w:val="0045147F"/>
    <w:rsid w:val="00451FDB"/>
    <w:rsid w:val="00454036"/>
    <w:rsid w:val="0045441B"/>
    <w:rsid w:val="00454D59"/>
    <w:rsid w:val="00460CFA"/>
    <w:rsid w:val="004615C2"/>
    <w:rsid w:val="00461D0B"/>
    <w:rsid w:val="00461ECC"/>
    <w:rsid w:val="00465582"/>
    <w:rsid w:val="00465B2A"/>
    <w:rsid w:val="0046604F"/>
    <w:rsid w:val="0046622A"/>
    <w:rsid w:val="00466FF9"/>
    <w:rsid w:val="004673B4"/>
    <w:rsid w:val="00471726"/>
    <w:rsid w:val="00472D19"/>
    <w:rsid w:val="00473C30"/>
    <w:rsid w:val="00473F14"/>
    <w:rsid w:val="00474250"/>
    <w:rsid w:val="00476FEF"/>
    <w:rsid w:val="004774F2"/>
    <w:rsid w:val="004800E2"/>
    <w:rsid w:val="00480BF7"/>
    <w:rsid w:val="0048139F"/>
    <w:rsid w:val="004826CC"/>
    <w:rsid w:val="004830EA"/>
    <w:rsid w:val="004867BF"/>
    <w:rsid w:val="00487DFA"/>
    <w:rsid w:val="004913F6"/>
    <w:rsid w:val="00491625"/>
    <w:rsid w:val="004925D2"/>
    <w:rsid w:val="00493350"/>
    <w:rsid w:val="004938BD"/>
    <w:rsid w:val="00496296"/>
    <w:rsid w:val="004A112C"/>
    <w:rsid w:val="004A6034"/>
    <w:rsid w:val="004A61FF"/>
    <w:rsid w:val="004A6A8E"/>
    <w:rsid w:val="004A6C62"/>
    <w:rsid w:val="004A7B29"/>
    <w:rsid w:val="004B0DE3"/>
    <w:rsid w:val="004B626D"/>
    <w:rsid w:val="004B6B11"/>
    <w:rsid w:val="004B6C3C"/>
    <w:rsid w:val="004C4B3B"/>
    <w:rsid w:val="004C5ABE"/>
    <w:rsid w:val="004C6CCD"/>
    <w:rsid w:val="004C7312"/>
    <w:rsid w:val="004D0870"/>
    <w:rsid w:val="004D0B92"/>
    <w:rsid w:val="004D1054"/>
    <w:rsid w:val="004D1375"/>
    <w:rsid w:val="004D13E1"/>
    <w:rsid w:val="004D1DD6"/>
    <w:rsid w:val="004D2BAB"/>
    <w:rsid w:val="004D374D"/>
    <w:rsid w:val="004D3C47"/>
    <w:rsid w:val="004D3D74"/>
    <w:rsid w:val="004D5328"/>
    <w:rsid w:val="004D6D27"/>
    <w:rsid w:val="004E30C8"/>
    <w:rsid w:val="004E3F55"/>
    <w:rsid w:val="004E56D0"/>
    <w:rsid w:val="004E64C5"/>
    <w:rsid w:val="004E74AC"/>
    <w:rsid w:val="004F4306"/>
    <w:rsid w:val="004F541D"/>
    <w:rsid w:val="004F6308"/>
    <w:rsid w:val="00500079"/>
    <w:rsid w:val="00501024"/>
    <w:rsid w:val="0050135B"/>
    <w:rsid w:val="005039E8"/>
    <w:rsid w:val="00503AA7"/>
    <w:rsid w:val="00504040"/>
    <w:rsid w:val="00504960"/>
    <w:rsid w:val="005062E2"/>
    <w:rsid w:val="00506F33"/>
    <w:rsid w:val="00510AAD"/>
    <w:rsid w:val="0051110F"/>
    <w:rsid w:val="00511950"/>
    <w:rsid w:val="00512A3D"/>
    <w:rsid w:val="005149EA"/>
    <w:rsid w:val="00516E98"/>
    <w:rsid w:val="00521021"/>
    <w:rsid w:val="00522055"/>
    <w:rsid w:val="005238E8"/>
    <w:rsid w:val="005243B1"/>
    <w:rsid w:val="005245A2"/>
    <w:rsid w:val="00530C76"/>
    <w:rsid w:val="00532905"/>
    <w:rsid w:val="00533BE2"/>
    <w:rsid w:val="005355E0"/>
    <w:rsid w:val="005356A7"/>
    <w:rsid w:val="00536A08"/>
    <w:rsid w:val="00540C78"/>
    <w:rsid w:val="00542095"/>
    <w:rsid w:val="00543104"/>
    <w:rsid w:val="005436A0"/>
    <w:rsid w:val="00544D71"/>
    <w:rsid w:val="005464B5"/>
    <w:rsid w:val="00550429"/>
    <w:rsid w:val="00551BEB"/>
    <w:rsid w:val="005524A8"/>
    <w:rsid w:val="005555C5"/>
    <w:rsid w:val="0055565A"/>
    <w:rsid w:val="00556585"/>
    <w:rsid w:val="005601F2"/>
    <w:rsid w:val="0056047C"/>
    <w:rsid w:val="0056104B"/>
    <w:rsid w:val="00562862"/>
    <w:rsid w:val="005631D7"/>
    <w:rsid w:val="00563F83"/>
    <w:rsid w:val="005647E6"/>
    <w:rsid w:val="00565AE6"/>
    <w:rsid w:val="0056734A"/>
    <w:rsid w:val="00567FDA"/>
    <w:rsid w:val="00570410"/>
    <w:rsid w:val="00570B36"/>
    <w:rsid w:val="00571A17"/>
    <w:rsid w:val="005723D3"/>
    <w:rsid w:val="00572747"/>
    <w:rsid w:val="00573535"/>
    <w:rsid w:val="00573EEA"/>
    <w:rsid w:val="005740F3"/>
    <w:rsid w:val="005744A2"/>
    <w:rsid w:val="005750BA"/>
    <w:rsid w:val="005750EB"/>
    <w:rsid w:val="005753C1"/>
    <w:rsid w:val="00580D60"/>
    <w:rsid w:val="00581B12"/>
    <w:rsid w:val="005832EE"/>
    <w:rsid w:val="005850B0"/>
    <w:rsid w:val="00585A84"/>
    <w:rsid w:val="00585CDD"/>
    <w:rsid w:val="00587DCE"/>
    <w:rsid w:val="005900D3"/>
    <w:rsid w:val="0059520F"/>
    <w:rsid w:val="00595EE8"/>
    <w:rsid w:val="005A1081"/>
    <w:rsid w:val="005A4243"/>
    <w:rsid w:val="005A463D"/>
    <w:rsid w:val="005A4BCC"/>
    <w:rsid w:val="005A635C"/>
    <w:rsid w:val="005A759A"/>
    <w:rsid w:val="005A7EAC"/>
    <w:rsid w:val="005B12FC"/>
    <w:rsid w:val="005B2B9A"/>
    <w:rsid w:val="005B39D8"/>
    <w:rsid w:val="005B5379"/>
    <w:rsid w:val="005B6FBD"/>
    <w:rsid w:val="005C4457"/>
    <w:rsid w:val="005C5236"/>
    <w:rsid w:val="005C6DCD"/>
    <w:rsid w:val="005C74D1"/>
    <w:rsid w:val="005D30B8"/>
    <w:rsid w:val="005D44C7"/>
    <w:rsid w:val="005D4967"/>
    <w:rsid w:val="005D7C0E"/>
    <w:rsid w:val="005E0E3B"/>
    <w:rsid w:val="005E10B9"/>
    <w:rsid w:val="005E3330"/>
    <w:rsid w:val="005E403D"/>
    <w:rsid w:val="005E6F8B"/>
    <w:rsid w:val="005E788A"/>
    <w:rsid w:val="005E7AB1"/>
    <w:rsid w:val="005F13E9"/>
    <w:rsid w:val="005F2C66"/>
    <w:rsid w:val="005F3D6F"/>
    <w:rsid w:val="005F6D46"/>
    <w:rsid w:val="006020C7"/>
    <w:rsid w:val="006026ED"/>
    <w:rsid w:val="00602CFC"/>
    <w:rsid w:val="0060397D"/>
    <w:rsid w:val="00603C57"/>
    <w:rsid w:val="00605ACF"/>
    <w:rsid w:val="00605C7D"/>
    <w:rsid w:val="00611A38"/>
    <w:rsid w:val="006176A9"/>
    <w:rsid w:val="00622D7E"/>
    <w:rsid w:val="006232F2"/>
    <w:rsid w:val="0062468F"/>
    <w:rsid w:val="006263EF"/>
    <w:rsid w:val="00626F14"/>
    <w:rsid w:val="0062770F"/>
    <w:rsid w:val="00627C10"/>
    <w:rsid w:val="0063172B"/>
    <w:rsid w:val="00632288"/>
    <w:rsid w:val="006330FF"/>
    <w:rsid w:val="00633922"/>
    <w:rsid w:val="006341DE"/>
    <w:rsid w:val="00635237"/>
    <w:rsid w:val="00636385"/>
    <w:rsid w:val="00636CCF"/>
    <w:rsid w:val="0064059D"/>
    <w:rsid w:val="00640672"/>
    <w:rsid w:val="00643053"/>
    <w:rsid w:val="0064460B"/>
    <w:rsid w:val="00647DC9"/>
    <w:rsid w:val="00650FC4"/>
    <w:rsid w:val="006514A8"/>
    <w:rsid w:val="006528CF"/>
    <w:rsid w:val="0065495C"/>
    <w:rsid w:val="006549C9"/>
    <w:rsid w:val="006557A2"/>
    <w:rsid w:val="00657A5F"/>
    <w:rsid w:val="00657B3A"/>
    <w:rsid w:val="00660688"/>
    <w:rsid w:val="006608E6"/>
    <w:rsid w:val="00660DA7"/>
    <w:rsid w:val="00661519"/>
    <w:rsid w:val="00661596"/>
    <w:rsid w:val="00662ABD"/>
    <w:rsid w:val="00662D30"/>
    <w:rsid w:val="006632DD"/>
    <w:rsid w:val="00663691"/>
    <w:rsid w:val="006660F6"/>
    <w:rsid w:val="00666F34"/>
    <w:rsid w:val="00671D10"/>
    <w:rsid w:val="006736A6"/>
    <w:rsid w:val="006738E4"/>
    <w:rsid w:val="00674334"/>
    <w:rsid w:val="006766AE"/>
    <w:rsid w:val="006828E6"/>
    <w:rsid w:val="00683A3A"/>
    <w:rsid w:val="00686555"/>
    <w:rsid w:val="00690558"/>
    <w:rsid w:val="00692A4C"/>
    <w:rsid w:val="0069493D"/>
    <w:rsid w:val="00695617"/>
    <w:rsid w:val="006A037A"/>
    <w:rsid w:val="006A2CF7"/>
    <w:rsid w:val="006A5BEB"/>
    <w:rsid w:val="006A636A"/>
    <w:rsid w:val="006A72FA"/>
    <w:rsid w:val="006A7FB2"/>
    <w:rsid w:val="006B0067"/>
    <w:rsid w:val="006B0354"/>
    <w:rsid w:val="006B161E"/>
    <w:rsid w:val="006B22A3"/>
    <w:rsid w:val="006B3353"/>
    <w:rsid w:val="006B4187"/>
    <w:rsid w:val="006B6E0A"/>
    <w:rsid w:val="006B7063"/>
    <w:rsid w:val="006B7B31"/>
    <w:rsid w:val="006C02BC"/>
    <w:rsid w:val="006C0E5D"/>
    <w:rsid w:val="006C1C12"/>
    <w:rsid w:val="006C23AC"/>
    <w:rsid w:val="006C2A21"/>
    <w:rsid w:val="006C2E79"/>
    <w:rsid w:val="006C4429"/>
    <w:rsid w:val="006D0429"/>
    <w:rsid w:val="006D0821"/>
    <w:rsid w:val="006D14F0"/>
    <w:rsid w:val="006D3532"/>
    <w:rsid w:val="006D3992"/>
    <w:rsid w:val="006D590B"/>
    <w:rsid w:val="006D5AE2"/>
    <w:rsid w:val="006D5CCC"/>
    <w:rsid w:val="006D6E05"/>
    <w:rsid w:val="006D7169"/>
    <w:rsid w:val="006D7973"/>
    <w:rsid w:val="006D79EE"/>
    <w:rsid w:val="006E11DC"/>
    <w:rsid w:val="006E13C5"/>
    <w:rsid w:val="006E3EFB"/>
    <w:rsid w:val="006E4C08"/>
    <w:rsid w:val="006E65E9"/>
    <w:rsid w:val="006E78CA"/>
    <w:rsid w:val="006F09C7"/>
    <w:rsid w:val="006F0B02"/>
    <w:rsid w:val="006F1789"/>
    <w:rsid w:val="006F51B4"/>
    <w:rsid w:val="006F5897"/>
    <w:rsid w:val="006F61BF"/>
    <w:rsid w:val="006F7C41"/>
    <w:rsid w:val="00700CE7"/>
    <w:rsid w:val="00702F6E"/>
    <w:rsid w:val="00703431"/>
    <w:rsid w:val="0070398F"/>
    <w:rsid w:val="00703EF6"/>
    <w:rsid w:val="007052F3"/>
    <w:rsid w:val="0070560C"/>
    <w:rsid w:val="00712345"/>
    <w:rsid w:val="007123FF"/>
    <w:rsid w:val="00712591"/>
    <w:rsid w:val="0071385E"/>
    <w:rsid w:val="00713CAA"/>
    <w:rsid w:val="00713F56"/>
    <w:rsid w:val="007142CC"/>
    <w:rsid w:val="00714E5D"/>
    <w:rsid w:val="00715AE8"/>
    <w:rsid w:val="0071710B"/>
    <w:rsid w:val="00721245"/>
    <w:rsid w:val="00721619"/>
    <w:rsid w:val="0072353F"/>
    <w:rsid w:val="00724853"/>
    <w:rsid w:val="0072485A"/>
    <w:rsid w:val="007274F1"/>
    <w:rsid w:val="007302AB"/>
    <w:rsid w:val="00730439"/>
    <w:rsid w:val="007327B4"/>
    <w:rsid w:val="00733347"/>
    <w:rsid w:val="00734BC6"/>
    <w:rsid w:val="0073794E"/>
    <w:rsid w:val="007414CD"/>
    <w:rsid w:val="00741CCE"/>
    <w:rsid w:val="007428B8"/>
    <w:rsid w:val="0074455B"/>
    <w:rsid w:val="00744EC3"/>
    <w:rsid w:val="007454D8"/>
    <w:rsid w:val="00746D12"/>
    <w:rsid w:val="00751A49"/>
    <w:rsid w:val="007532CC"/>
    <w:rsid w:val="007533F3"/>
    <w:rsid w:val="00753756"/>
    <w:rsid w:val="00753CFD"/>
    <w:rsid w:val="0075417A"/>
    <w:rsid w:val="00754F18"/>
    <w:rsid w:val="00760B5E"/>
    <w:rsid w:val="007617E4"/>
    <w:rsid w:val="007618F5"/>
    <w:rsid w:val="00762708"/>
    <w:rsid w:val="00762A4B"/>
    <w:rsid w:val="00763FA5"/>
    <w:rsid w:val="00764DC7"/>
    <w:rsid w:val="00764EF8"/>
    <w:rsid w:val="0076556B"/>
    <w:rsid w:val="00765B7A"/>
    <w:rsid w:val="00766E66"/>
    <w:rsid w:val="00770932"/>
    <w:rsid w:val="0077188A"/>
    <w:rsid w:val="007743BF"/>
    <w:rsid w:val="00774729"/>
    <w:rsid w:val="00774764"/>
    <w:rsid w:val="00780C5E"/>
    <w:rsid w:val="0078140E"/>
    <w:rsid w:val="00785A67"/>
    <w:rsid w:val="00786E8F"/>
    <w:rsid w:val="0079135F"/>
    <w:rsid w:val="00791AAD"/>
    <w:rsid w:val="0079269B"/>
    <w:rsid w:val="0079586F"/>
    <w:rsid w:val="00795C0B"/>
    <w:rsid w:val="00796A8B"/>
    <w:rsid w:val="007A1172"/>
    <w:rsid w:val="007A14D4"/>
    <w:rsid w:val="007A1826"/>
    <w:rsid w:val="007A5121"/>
    <w:rsid w:val="007B2D33"/>
    <w:rsid w:val="007B3955"/>
    <w:rsid w:val="007B5A9C"/>
    <w:rsid w:val="007B617C"/>
    <w:rsid w:val="007B74AF"/>
    <w:rsid w:val="007C0E73"/>
    <w:rsid w:val="007C1A1C"/>
    <w:rsid w:val="007C20F0"/>
    <w:rsid w:val="007C366E"/>
    <w:rsid w:val="007C41F0"/>
    <w:rsid w:val="007C4287"/>
    <w:rsid w:val="007C5564"/>
    <w:rsid w:val="007C585B"/>
    <w:rsid w:val="007C6849"/>
    <w:rsid w:val="007C76D0"/>
    <w:rsid w:val="007D19E8"/>
    <w:rsid w:val="007D2424"/>
    <w:rsid w:val="007D30A2"/>
    <w:rsid w:val="007D328F"/>
    <w:rsid w:val="007D4055"/>
    <w:rsid w:val="007E2D75"/>
    <w:rsid w:val="007E2E2E"/>
    <w:rsid w:val="007E3D7B"/>
    <w:rsid w:val="007E607D"/>
    <w:rsid w:val="007E7FDE"/>
    <w:rsid w:val="007F0316"/>
    <w:rsid w:val="007F0968"/>
    <w:rsid w:val="007F0B49"/>
    <w:rsid w:val="007F0D76"/>
    <w:rsid w:val="007F0F49"/>
    <w:rsid w:val="007F1770"/>
    <w:rsid w:val="007F26C4"/>
    <w:rsid w:val="007F5040"/>
    <w:rsid w:val="007F556A"/>
    <w:rsid w:val="007F6C5E"/>
    <w:rsid w:val="007F720E"/>
    <w:rsid w:val="008005FF"/>
    <w:rsid w:val="0080274D"/>
    <w:rsid w:val="00803C99"/>
    <w:rsid w:val="00803DA0"/>
    <w:rsid w:val="008043A9"/>
    <w:rsid w:val="00805A47"/>
    <w:rsid w:val="00806D6D"/>
    <w:rsid w:val="00811AAA"/>
    <w:rsid w:val="00811C3F"/>
    <w:rsid w:val="00812BD0"/>
    <w:rsid w:val="008139E1"/>
    <w:rsid w:val="008145EF"/>
    <w:rsid w:val="00815851"/>
    <w:rsid w:val="00820B1C"/>
    <w:rsid w:val="008222F1"/>
    <w:rsid w:val="00823309"/>
    <w:rsid w:val="008234FF"/>
    <w:rsid w:val="00824A3D"/>
    <w:rsid w:val="00825143"/>
    <w:rsid w:val="00825DA4"/>
    <w:rsid w:val="00827B28"/>
    <w:rsid w:val="0083148B"/>
    <w:rsid w:val="00831A42"/>
    <w:rsid w:val="00831DFA"/>
    <w:rsid w:val="008325A5"/>
    <w:rsid w:val="00833317"/>
    <w:rsid w:val="008345B4"/>
    <w:rsid w:val="008351F2"/>
    <w:rsid w:val="00836125"/>
    <w:rsid w:val="00836638"/>
    <w:rsid w:val="00836959"/>
    <w:rsid w:val="00841802"/>
    <w:rsid w:val="008419EF"/>
    <w:rsid w:val="008423DB"/>
    <w:rsid w:val="00843DD0"/>
    <w:rsid w:val="008442A1"/>
    <w:rsid w:val="00844AA7"/>
    <w:rsid w:val="00845D96"/>
    <w:rsid w:val="008520B9"/>
    <w:rsid w:val="00855E27"/>
    <w:rsid w:val="0085607F"/>
    <w:rsid w:val="0085766A"/>
    <w:rsid w:val="008577EE"/>
    <w:rsid w:val="00861037"/>
    <w:rsid w:val="00861906"/>
    <w:rsid w:val="0086204B"/>
    <w:rsid w:val="008635A5"/>
    <w:rsid w:val="00865371"/>
    <w:rsid w:val="0086599F"/>
    <w:rsid w:val="00870B6E"/>
    <w:rsid w:val="00872AF7"/>
    <w:rsid w:val="0087350D"/>
    <w:rsid w:val="0087467E"/>
    <w:rsid w:val="008834FC"/>
    <w:rsid w:val="0088388A"/>
    <w:rsid w:val="00884E8D"/>
    <w:rsid w:val="0089076B"/>
    <w:rsid w:val="0089266B"/>
    <w:rsid w:val="008943E6"/>
    <w:rsid w:val="00894AB2"/>
    <w:rsid w:val="00895960"/>
    <w:rsid w:val="008A15DB"/>
    <w:rsid w:val="008A359B"/>
    <w:rsid w:val="008A40F9"/>
    <w:rsid w:val="008A71D1"/>
    <w:rsid w:val="008A7C58"/>
    <w:rsid w:val="008B191E"/>
    <w:rsid w:val="008B29C3"/>
    <w:rsid w:val="008B3260"/>
    <w:rsid w:val="008B56DF"/>
    <w:rsid w:val="008B5A9A"/>
    <w:rsid w:val="008B62B6"/>
    <w:rsid w:val="008C2BDF"/>
    <w:rsid w:val="008C3A7F"/>
    <w:rsid w:val="008C400C"/>
    <w:rsid w:val="008C4808"/>
    <w:rsid w:val="008C5CE6"/>
    <w:rsid w:val="008C7901"/>
    <w:rsid w:val="008D019E"/>
    <w:rsid w:val="008D1CA9"/>
    <w:rsid w:val="008D2CC9"/>
    <w:rsid w:val="008D419B"/>
    <w:rsid w:val="008D59B9"/>
    <w:rsid w:val="008D5EE5"/>
    <w:rsid w:val="008D76BB"/>
    <w:rsid w:val="008D78DE"/>
    <w:rsid w:val="008E00A4"/>
    <w:rsid w:val="008E0C35"/>
    <w:rsid w:val="008E3B36"/>
    <w:rsid w:val="008E4B37"/>
    <w:rsid w:val="008E5905"/>
    <w:rsid w:val="008E6600"/>
    <w:rsid w:val="008E75B8"/>
    <w:rsid w:val="008F0EA8"/>
    <w:rsid w:val="008F18F1"/>
    <w:rsid w:val="008F2296"/>
    <w:rsid w:val="008F36DB"/>
    <w:rsid w:val="008F466B"/>
    <w:rsid w:val="00900BAB"/>
    <w:rsid w:val="00901B78"/>
    <w:rsid w:val="00903CF8"/>
    <w:rsid w:val="009048A2"/>
    <w:rsid w:val="00904A92"/>
    <w:rsid w:val="00905A1A"/>
    <w:rsid w:val="00906538"/>
    <w:rsid w:val="00906728"/>
    <w:rsid w:val="00906AAE"/>
    <w:rsid w:val="00907292"/>
    <w:rsid w:val="00910854"/>
    <w:rsid w:val="00910A53"/>
    <w:rsid w:val="00910FA0"/>
    <w:rsid w:val="0091339B"/>
    <w:rsid w:val="0091483A"/>
    <w:rsid w:val="00915205"/>
    <w:rsid w:val="009155EE"/>
    <w:rsid w:val="00916AFA"/>
    <w:rsid w:val="00916B75"/>
    <w:rsid w:val="009170BC"/>
    <w:rsid w:val="00921531"/>
    <w:rsid w:val="009258E5"/>
    <w:rsid w:val="00931223"/>
    <w:rsid w:val="00933B64"/>
    <w:rsid w:val="0093400C"/>
    <w:rsid w:val="00935EEB"/>
    <w:rsid w:val="0093606F"/>
    <w:rsid w:val="00936933"/>
    <w:rsid w:val="009376CD"/>
    <w:rsid w:val="0094125A"/>
    <w:rsid w:val="0094302D"/>
    <w:rsid w:val="00945242"/>
    <w:rsid w:val="009472E6"/>
    <w:rsid w:val="0095308D"/>
    <w:rsid w:val="00953ED1"/>
    <w:rsid w:val="00955DC3"/>
    <w:rsid w:val="009562EB"/>
    <w:rsid w:val="00956496"/>
    <w:rsid w:val="00956A16"/>
    <w:rsid w:val="009607D6"/>
    <w:rsid w:val="0096090A"/>
    <w:rsid w:val="00961D7F"/>
    <w:rsid w:val="00962CF1"/>
    <w:rsid w:val="00964C95"/>
    <w:rsid w:val="00965719"/>
    <w:rsid w:val="00971830"/>
    <w:rsid w:val="00973BE7"/>
    <w:rsid w:val="00973CB3"/>
    <w:rsid w:val="0097516C"/>
    <w:rsid w:val="009755B6"/>
    <w:rsid w:val="009769B5"/>
    <w:rsid w:val="00977028"/>
    <w:rsid w:val="00981688"/>
    <w:rsid w:val="0098240A"/>
    <w:rsid w:val="0098259F"/>
    <w:rsid w:val="0098358E"/>
    <w:rsid w:val="00983EA0"/>
    <w:rsid w:val="009905DC"/>
    <w:rsid w:val="009907E1"/>
    <w:rsid w:val="00990C3C"/>
    <w:rsid w:val="00991F79"/>
    <w:rsid w:val="0099391A"/>
    <w:rsid w:val="0099432D"/>
    <w:rsid w:val="0099572D"/>
    <w:rsid w:val="00996526"/>
    <w:rsid w:val="009A0313"/>
    <w:rsid w:val="009A07BE"/>
    <w:rsid w:val="009A2DD1"/>
    <w:rsid w:val="009A48A6"/>
    <w:rsid w:val="009A6BE8"/>
    <w:rsid w:val="009B29D2"/>
    <w:rsid w:val="009B4D3F"/>
    <w:rsid w:val="009B50C4"/>
    <w:rsid w:val="009C11A2"/>
    <w:rsid w:val="009C34D3"/>
    <w:rsid w:val="009C3787"/>
    <w:rsid w:val="009C3BB3"/>
    <w:rsid w:val="009C4676"/>
    <w:rsid w:val="009C55B3"/>
    <w:rsid w:val="009C7418"/>
    <w:rsid w:val="009D17CF"/>
    <w:rsid w:val="009D211E"/>
    <w:rsid w:val="009D27A3"/>
    <w:rsid w:val="009D4080"/>
    <w:rsid w:val="009D4C69"/>
    <w:rsid w:val="009D5CEC"/>
    <w:rsid w:val="009D5E4E"/>
    <w:rsid w:val="009D6C87"/>
    <w:rsid w:val="009E113E"/>
    <w:rsid w:val="009E1265"/>
    <w:rsid w:val="009E2417"/>
    <w:rsid w:val="009E2C50"/>
    <w:rsid w:val="009E3B7F"/>
    <w:rsid w:val="009E457F"/>
    <w:rsid w:val="009E4E1F"/>
    <w:rsid w:val="009F009E"/>
    <w:rsid w:val="009F01D5"/>
    <w:rsid w:val="009F1B16"/>
    <w:rsid w:val="009F201B"/>
    <w:rsid w:val="009F47A6"/>
    <w:rsid w:val="009F4CCC"/>
    <w:rsid w:val="009F59CA"/>
    <w:rsid w:val="009F6D10"/>
    <w:rsid w:val="00A004A4"/>
    <w:rsid w:val="00A03A7B"/>
    <w:rsid w:val="00A03B12"/>
    <w:rsid w:val="00A042EE"/>
    <w:rsid w:val="00A04ECD"/>
    <w:rsid w:val="00A05C89"/>
    <w:rsid w:val="00A05CE0"/>
    <w:rsid w:val="00A05D0C"/>
    <w:rsid w:val="00A05D77"/>
    <w:rsid w:val="00A06C08"/>
    <w:rsid w:val="00A06E5D"/>
    <w:rsid w:val="00A072C5"/>
    <w:rsid w:val="00A07617"/>
    <w:rsid w:val="00A133D7"/>
    <w:rsid w:val="00A1439E"/>
    <w:rsid w:val="00A155B6"/>
    <w:rsid w:val="00A15CB9"/>
    <w:rsid w:val="00A20217"/>
    <w:rsid w:val="00A204D0"/>
    <w:rsid w:val="00A20F2A"/>
    <w:rsid w:val="00A2163F"/>
    <w:rsid w:val="00A23581"/>
    <w:rsid w:val="00A2380B"/>
    <w:rsid w:val="00A25AD6"/>
    <w:rsid w:val="00A26628"/>
    <w:rsid w:val="00A27D05"/>
    <w:rsid w:val="00A30400"/>
    <w:rsid w:val="00A30FB6"/>
    <w:rsid w:val="00A31427"/>
    <w:rsid w:val="00A31444"/>
    <w:rsid w:val="00A3194A"/>
    <w:rsid w:val="00A325F5"/>
    <w:rsid w:val="00A33FC9"/>
    <w:rsid w:val="00A34A00"/>
    <w:rsid w:val="00A36494"/>
    <w:rsid w:val="00A37604"/>
    <w:rsid w:val="00A37D78"/>
    <w:rsid w:val="00A4097A"/>
    <w:rsid w:val="00A40E72"/>
    <w:rsid w:val="00A40FB1"/>
    <w:rsid w:val="00A43238"/>
    <w:rsid w:val="00A50317"/>
    <w:rsid w:val="00A5062A"/>
    <w:rsid w:val="00A523B8"/>
    <w:rsid w:val="00A548C0"/>
    <w:rsid w:val="00A54A04"/>
    <w:rsid w:val="00A57CC6"/>
    <w:rsid w:val="00A61B63"/>
    <w:rsid w:val="00A659FD"/>
    <w:rsid w:val="00A66657"/>
    <w:rsid w:val="00A701A3"/>
    <w:rsid w:val="00A70746"/>
    <w:rsid w:val="00A71EC4"/>
    <w:rsid w:val="00A76AAD"/>
    <w:rsid w:val="00A77C44"/>
    <w:rsid w:val="00A80BF3"/>
    <w:rsid w:val="00A821F4"/>
    <w:rsid w:val="00A8292C"/>
    <w:rsid w:val="00A8304F"/>
    <w:rsid w:val="00A84D05"/>
    <w:rsid w:val="00A85301"/>
    <w:rsid w:val="00A871AC"/>
    <w:rsid w:val="00A934EF"/>
    <w:rsid w:val="00A950BA"/>
    <w:rsid w:val="00A96E32"/>
    <w:rsid w:val="00AA08A2"/>
    <w:rsid w:val="00AA0B0F"/>
    <w:rsid w:val="00AA146D"/>
    <w:rsid w:val="00AA3BDC"/>
    <w:rsid w:val="00AA3F9C"/>
    <w:rsid w:val="00AA3FF3"/>
    <w:rsid w:val="00AA5261"/>
    <w:rsid w:val="00AA5746"/>
    <w:rsid w:val="00AA690B"/>
    <w:rsid w:val="00AA71EF"/>
    <w:rsid w:val="00AA762E"/>
    <w:rsid w:val="00AA7E58"/>
    <w:rsid w:val="00AB09F6"/>
    <w:rsid w:val="00AB2204"/>
    <w:rsid w:val="00AB240C"/>
    <w:rsid w:val="00AB3C70"/>
    <w:rsid w:val="00AB4D06"/>
    <w:rsid w:val="00AB675C"/>
    <w:rsid w:val="00AC0308"/>
    <w:rsid w:val="00AC06C8"/>
    <w:rsid w:val="00AC0B9C"/>
    <w:rsid w:val="00AC177A"/>
    <w:rsid w:val="00AC1BFC"/>
    <w:rsid w:val="00AC26F6"/>
    <w:rsid w:val="00AC6726"/>
    <w:rsid w:val="00AD002C"/>
    <w:rsid w:val="00AD2785"/>
    <w:rsid w:val="00AD2F91"/>
    <w:rsid w:val="00AD3866"/>
    <w:rsid w:val="00AD430A"/>
    <w:rsid w:val="00AE0A5F"/>
    <w:rsid w:val="00AE11DA"/>
    <w:rsid w:val="00AE24FA"/>
    <w:rsid w:val="00AE451C"/>
    <w:rsid w:val="00AE61DC"/>
    <w:rsid w:val="00AE71EC"/>
    <w:rsid w:val="00AE7DAC"/>
    <w:rsid w:val="00AF55CE"/>
    <w:rsid w:val="00AF5CBE"/>
    <w:rsid w:val="00AF60FF"/>
    <w:rsid w:val="00AF687D"/>
    <w:rsid w:val="00B007B9"/>
    <w:rsid w:val="00B02104"/>
    <w:rsid w:val="00B063E6"/>
    <w:rsid w:val="00B06955"/>
    <w:rsid w:val="00B06BB8"/>
    <w:rsid w:val="00B1017E"/>
    <w:rsid w:val="00B10E7C"/>
    <w:rsid w:val="00B115DD"/>
    <w:rsid w:val="00B1357B"/>
    <w:rsid w:val="00B14F2A"/>
    <w:rsid w:val="00B1655A"/>
    <w:rsid w:val="00B20095"/>
    <w:rsid w:val="00B20A85"/>
    <w:rsid w:val="00B21206"/>
    <w:rsid w:val="00B22765"/>
    <w:rsid w:val="00B2661E"/>
    <w:rsid w:val="00B26CE2"/>
    <w:rsid w:val="00B31458"/>
    <w:rsid w:val="00B324EB"/>
    <w:rsid w:val="00B339DB"/>
    <w:rsid w:val="00B3434C"/>
    <w:rsid w:val="00B36A1C"/>
    <w:rsid w:val="00B37D6E"/>
    <w:rsid w:val="00B425E2"/>
    <w:rsid w:val="00B44BDA"/>
    <w:rsid w:val="00B46B57"/>
    <w:rsid w:val="00B50E8B"/>
    <w:rsid w:val="00B55465"/>
    <w:rsid w:val="00B55E5E"/>
    <w:rsid w:val="00B562DB"/>
    <w:rsid w:val="00B606DE"/>
    <w:rsid w:val="00B64BB1"/>
    <w:rsid w:val="00B65007"/>
    <w:rsid w:val="00B65F28"/>
    <w:rsid w:val="00B66F9E"/>
    <w:rsid w:val="00B67CA6"/>
    <w:rsid w:val="00B70938"/>
    <w:rsid w:val="00B718FB"/>
    <w:rsid w:val="00B73A3E"/>
    <w:rsid w:val="00B73D6F"/>
    <w:rsid w:val="00B73DF1"/>
    <w:rsid w:val="00B74DE0"/>
    <w:rsid w:val="00B804A6"/>
    <w:rsid w:val="00B81C21"/>
    <w:rsid w:val="00B81C94"/>
    <w:rsid w:val="00B8295D"/>
    <w:rsid w:val="00B83E76"/>
    <w:rsid w:val="00B846F9"/>
    <w:rsid w:val="00B84F7D"/>
    <w:rsid w:val="00B86860"/>
    <w:rsid w:val="00B86C26"/>
    <w:rsid w:val="00B8712B"/>
    <w:rsid w:val="00B8786B"/>
    <w:rsid w:val="00B87B98"/>
    <w:rsid w:val="00B90BE4"/>
    <w:rsid w:val="00B90E31"/>
    <w:rsid w:val="00B913DF"/>
    <w:rsid w:val="00B91795"/>
    <w:rsid w:val="00B918C8"/>
    <w:rsid w:val="00B92D24"/>
    <w:rsid w:val="00B92FD2"/>
    <w:rsid w:val="00B936C8"/>
    <w:rsid w:val="00B94429"/>
    <w:rsid w:val="00B94D0F"/>
    <w:rsid w:val="00B96302"/>
    <w:rsid w:val="00B966C8"/>
    <w:rsid w:val="00B96CF9"/>
    <w:rsid w:val="00BA128D"/>
    <w:rsid w:val="00BA1F06"/>
    <w:rsid w:val="00BA1FCA"/>
    <w:rsid w:val="00BA2E0C"/>
    <w:rsid w:val="00BA2F4D"/>
    <w:rsid w:val="00BA4442"/>
    <w:rsid w:val="00BA4E80"/>
    <w:rsid w:val="00BA51E5"/>
    <w:rsid w:val="00BA57E9"/>
    <w:rsid w:val="00BA5D44"/>
    <w:rsid w:val="00BA62CD"/>
    <w:rsid w:val="00BB15AD"/>
    <w:rsid w:val="00BB1734"/>
    <w:rsid w:val="00BB2E4D"/>
    <w:rsid w:val="00BB37CF"/>
    <w:rsid w:val="00BB3C56"/>
    <w:rsid w:val="00BB48A1"/>
    <w:rsid w:val="00BB4A0D"/>
    <w:rsid w:val="00BB539F"/>
    <w:rsid w:val="00BB64E2"/>
    <w:rsid w:val="00BB75C6"/>
    <w:rsid w:val="00BB7C5F"/>
    <w:rsid w:val="00BC1E00"/>
    <w:rsid w:val="00BC28F3"/>
    <w:rsid w:val="00BC3992"/>
    <w:rsid w:val="00BC4B8C"/>
    <w:rsid w:val="00BC4CC6"/>
    <w:rsid w:val="00BC5EF4"/>
    <w:rsid w:val="00BC67B6"/>
    <w:rsid w:val="00BC7D48"/>
    <w:rsid w:val="00BD089E"/>
    <w:rsid w:val="00BD19C5"/>
    <w:rsid w:val="00BD2A2E"/>
    <w:rsid w:val="00BD2AFB"/>
    <w:rsid w:val="00BD2F73"/>
    <w:rsid w:val="00BD3742"/>
    <w:rsid w:val="00BD51E3"/>
    <w:rsid w:val="00BD64B9"/>
    <w:rsid w:val="00BD6651"/>
    <w:rsid w:val="00BD670D"/>
    <w:rsid w:val="00BD7793"/>
    <w:rsid w:val="00BE0DDB"/>
    <w:rsid w:val="00BE12B3"/>
    <w:rsid w:val="00BE336C"/>
    <w:rsid w:val="00BF2748"/>
    <w:rsid w:val="00BF38DB"/>
    <w:rsid w:val="00BF7554"/>
    <w:rsid w:val="00C00355"/>
    <w:rsid w:val="00C01129"/>
    <w:rsid w:val="00C01F3F"/>
    <w:rsid w:val="00C02096"/>
    <w:rsid w:val="00C0486E"/>
    <w:rsid w:val="00C05AAD"/>
    <w:rsid w:val="00C06F71"/>
    <w:rsid w:val="00C10155"/>
    <w:rsid w:val="00C12A84"/>
    <w:rsid w:val="00C12EF4"/>
    <w:rsid w:val="00C160A8"/>
    <w:rsid w:val="00C1619D"/>
    <w:rsid w:val="00C21E98"/>
    <w:rsid w:val="00C224BB"/>
    <w:rsid w:val="00C229F7"/>
    <w:rsid w:val="00C22D8D"/>
    <w:rsid w:val="00C230E7"/>
    <w:rsid w:val="00C24600"/>
    <w:rsid w:val="00C2688B"/>
    <w:rsid w:val="00C3052E"/>
    <w:rsid w:val="00C30FB5"/>
    <w:rsid w:val="00C3255E"/>
    <w:rsid w:val="00C353C1"/>
    <w:rsid w:val="00C3585B"/>
    <w:rsid w:val="00C3785E"/>
    <w:rsid w:val="00C40AEE"/>
    <w:rsid w:val="00C40D1A"/>
    <w:rsid w:val="00C41A06"/>
    <w:rsid w:val="00C42A7B"/>
    <w:rsid w:val="00C433C3"/>
    <w:rsid w:val="00C43CE2"/>
    <w:rsid w:val="00C43E5D"/>
    <w:rsid w:val="00C45EA3"/>
    <w:rsid w:val="00C462F2"/>
    <w:rsid w:val="00C46722"/>
    <w:rsid w:val="00C46FAE"/>
    <w:rsid w:val="00C530CD"/>
    <w:rsid w:val="00C563E4"/>
    <w:rsid w:val="00C604CB"/>
    <w:rsid w:val="00C60C42"/>
    <w:rsid w:val="00C6376B"/>
    <w:rsid w:val="00C65503"/>
    <w:rsid w:val="00C70C24"/>
    <w:rsid w:val="00C73F41"/>
    <w:rsid w:val="00C74C43"/>
    <w:rsid w:val="00C74EEE"/>
    <w:rsid w:val="00C814B2"/>
    <w:rsid w:val="00C81CD0"/>
    <w:rsid w:val="00C8223A"/>
    <w:rsid w:val="00C827E5"/>
    <w:rsid w:val="00C8663C"/>
    <w:rsid w:val="00C871C6"/>
    <w:rsid w:val="00C87935"/>
    <w:rsid w:val="00C905DF"/>
    <w:rsid w:val="00C91FA7"/>
    <w:rsid w:val="00C92676"/>
    <w:rsid w:val="00C933CE"/>
    <w:rsid w:val="00C93BFA"/>
    <w:rsid w:val="00C94990"/>
    <w:rsid w:val="00CA08FB"/>
    <w:rsid w:val="00CA1435"/>
    <w:rsid w:val="00CA326C"/>
    <w:rsid w:val="00CA3487"/>
    <w:rsid w:val="00CA43E5"/>
    <w:rsid w:val="00CA5B39"/>
    <w:rsid w:val="00CB07D9"/>
    <w:rsid w:val="00CB1056"/>
    <w:rsid w:val="00CB1313"/>
    <w:rsid w:val="00CB2A0A"/>
    <w:rsid w:val="00CB3B1F"/>
    <w:rsid w:val="00CB5E69"/>
    <w:rsid w:val="00CB673C"/>
    <w:rsid w:val="00CB7251"/>
    <w:rsid w:val="00CB7A54"/>
    <w:rsid w:val="00CC2240"/>
    <w:rsid w:val="00CC3604"/>
    <w:rsid w:val="00CC5251"/>
    <w:rsid w:val="00CD0A88"/>
    <w:rsid w:val="00CD318C"/>
    <w:rsid w:val="00CD35BF"/>
    <w:rsid w:val="00CD4144"/>
    <w:rsid w:val="00CD4242"/>
    <w:rsid w:val="00CD4A66"/>
    <w:rsid w:val="00CD50EE"/>
    <w:rsid w:val="00CD5D22"/>
    <w:rsid w:val="00CD7F07"/>
    <w:rsid w:val="00CE0EB2"/>
    <w:rsid w:val="00CE276C"/>
    <w:rsid w:val="00CE3A4F"/>
    <w:rsid w:val="00CE6320"/>
    <w:rsid w:val="00CE751D"/>
    <w:rsid w:val="00CE76F8"/>
    <w:rsid w:val="00CE78D6"/>
    <w:rsid w:val="00CF0A34"/>
    <w:rsid w:val="00CF0ECC"/>
    <w:rsid w:val="00CF3E9A"/>
    <w:rsid w:val="00CF59FC"/>
    <w:rsid w:val="00CF6B64"/>
    <w:rsid w:val="00D01686"/>
    <w:rsid w:val="00D03D01"/>
    <w:rsid w:val="00D050A6"/>
    <w:rsid w:val="00D07616"/>
    <w:rsid w:val="00D112F6"/>
    <w:rsid w:val="00D1420F"/>
    <w:rsid w:val="00D14DFA"/>
    <w:rsid w:val="00D14F5A"/>
    <w:rsid w:val="00D16CC5"/>
    <w:rsid w:val="00D17775"/>
    <w:rsid w:val="00D22F61"/>
    <w:rsid w:val="00D233BF"/>
    <w:rsid w:val="00D24C59"/>
    <w:rsid w:val="00D250BC"/>
    <w:rsid w:val="00D27DB3"/>
    <w:rsid w:val="00D3235F"/>
    <w:rsid w:val="00D34CFB"/>
    <w:rsid w:val="00D35072"/>
    <w:rsid w:val="00D35C72"/>
    <w:rsid w:val="00D36C60"/>
    <w:rsid w:val="00D3715C"/>
    <w:rsid w:val="00D37BC8"/>
    <w:rsid w:val="00D37DCF"/>
    <w:rsid w:val="00D401A7"/>
    <w:rsid w:val="00D41929"/>
    <w:rsid w:val="00D42BE3"/>
    <w:rsid w:val="00D44019"/>
    <w:rsid w:val="00D46267"/>
    <w:rsid w:val="00D464CD"/>
    <w:rsid w:val="00D46B55"/>
    <w:rsid w:val="00D47DAB"/>
    <w:rsid w:val="00D5013C"/>
    <w:rsid w:val="00D51BA6"/>
    <w:rsid w:val="00D52E9D"/>
    <w:rsid w:val="00D53196"/>
    <w:rsid w:val="00D539C0"/>
    <w:rsid w:val="00D563A7"/>
    <w:rsid w:val="00D612D3"/>
    <w:rsid w:val="00D62942"/>
    <w:rsid w:val="00D62F57"/>
    <w:rsid w:val="00D653CE"/>
    <w:rsid w:val="00D67EFD"/>
    <w:rsid w:val="00D7051C"/>
    <w:rsid w:val="00D713A7"/>
    <w:rsid w:val="00D7149F"/>
    <w:rsid w:val="00D71848"/>
    <w:rsid w:val="00D72198"/>
    <w:rsid w:val="00D73907"/>
    <w:rsid w:val="00D74E26"/>
    <w:rsid w:val="00D75190"/>
    <w:rsid w:val="00D76410"/>
    <w:rsid w:val="00D766EC"/>
    <w:rsid w:val="00D77150"/>
    <w:rsid w:val="00D777A1"/>
    <w:rsid w:val="00D7798C"/>
    <w:rsid w:val="00D77D3F"/>
    <w:rsid w:val="00D82953"/>
    <w:rsid w:val="00D8534B"/>
    <w:rsid w:val="00D86CC9"/>
    <w:rsid w:val="00D86FCA"/>
    <w:rsid w:val="00D875D3"/>
    <w:rsid w:val="00D909DB"/>
    <w:rsid w:val="00D913AD"/>
    <w:rsid w:val="00D916C8"/>
    <w:rsid w:val="00D93024"/>
    <w:rsid w:val="00D93503"/>
    <w:rsid w:val="00D93AC0"/>
    <w:rsid w:val="00D95614"/>
    <w:rsid w:val="00D96253"/>
    <w:rsid w:val="00D97696"/>
    <w:rsid w:val="00DA102F"/>
    <w:rsid w:val="00DA3575"/>
    <w:rsid w:val="00DA5A2B"/>
    <w:rsid w:val="00DA75A7"/>
    <w:rsid w:val="00DB17F7"/>
    <w:rsid w:val="00DB29FD"/>
    <w:rsid w:val="00DB67AC"/>
    <w:rsid w:val="00DC02F9"/>
    <w:rsid w:val="00DC250E"/>
    <w:rsid w:val="00DC4DAE"/>
    <w:rsid w:val="00DC62E3"/>
    <w:rsid w:val="00DD0C65"/>
    <w:rsid w:val="00DD134F"/>
    <w:rsid w:val="00DD2E9A"/>
    <w:rsid w:val="00DD3CDA"/>
    <w:rsid w:val="00DD4ABB"/>
    <w:rsid w:val="00DD54F6"/>
    <w:rsid w:val="00DD5A85"/>
    <w:rsid w:val="00DD5E67"/>
    <w:rsid w:val="00DE016C"/>
    <w:rsid w:val="00DE0DCA"/>
    <w:rsid w:val="00DE0E1A"/>
    <w:rsid w:val="00DE3D6D"/>
    <w:rsid w:val="00DE47F6"/>
    <w:rsid w:val="00DE4922"/>
    <w:rsid w:val="00DE57DA"/>
    <w:rsid w:val="00DE59D6"/>
    <w:rsid w:val="00DE6AF2"/>
    <w:rsid w:val="00DE7E32"/>
    <w:rsid w:val="00DF1806"/>
    <w:rsid w:val="00DF5AA9"/>
    <w:rsid w:val="00DF611E"/>
    <w:rsid w:val="00E00C54"/>
    <w:rsid w:val="00E01CE2"/>
    <w:rsid w:val="00E021C5"/>
    <w:rsid w:val="00E02258"/>
    <w:rsid w:val="00E07C18"/>
    <w:rsid w:val="00E10BC4"/>
    <w:rsid w:val="00E14009"/>
    <w:rsid w:val="00E15A78"/>
    <w:rsid w:val="00E16AB3"/>
    <w:rsid w:val="00E17D40"/>
    <w:rsid w:val="00E207F1"/>
    <w:rsid w:val="00E229E6"/>
    <w:rsid w:val="00E22FB2"/>
    <w:rsid w:val="00E254EC"/>
    <w:rsid w:val="00E263EA"/>
    <w:rsid w:val="00E26A06"/>
    <w:rsid w:val="00E270E1"/>
    <w:rsid w:val="00E278E3"/>
    <w:rsid w:val="00E30CE5"/>
    <w:rsid w:val="00E31680"/>
    <w:rsid w:val="00E32310"/>
    <w:rsid w:val="00E35494"/>
    <w:rsid w:val="00E404EF"/>
    <w:rsid w:val="00E40B03"/>
    <w:rsid w:val="00E41EA6"/>
    <w:rsid w:val="00E428B0"/>
    <w:rsid w:val="00E432F1"/>
    <w:rsid w:val="00E4335E"/>
    <w:rsid w:val="00E45516"/>
    <w:rsid w:val="00E46C43"/>
    <w:rsid w:val="00E473EA"/>
    <w:rsid w:val="00E51FC5"/>
    <w:rsid w:val="00E52BCD"/>
    <w:rsid w:val="00E534CF"/>
    <w:rsid w:val="00E54BC5"/>
    <w:rsid w:val="00E61B38"/>
    <w:rsid w:val="00E61B6A"/>
    <w:rsid w:val="00E62E5D"/>
    <w:rsid w:val="00E63F15"/>
    <w:rsid w:val="00E66A72"/>
    <w:rsid w:val="00E66D73"/>
    <w:rsid w:val="00E72B27"/>
    <w:rsid w:val="00E76AE5"/>
    <w:rsid w:val="00E77C98"/>
    <w:rsid w:val="00E80B65"/>
    <w:rsid w:val="00E81678"/>
    <w:rsid w:val="00E825CC"/>
    <w:rsid w:val="00E84C70"/>
    <w:rsid w:val="00E8568A"/>
    <w:rsid w:val="00E86244"/>
    <w:rsid w:val="00E8754A"/>
    <w:rsid w:val="00E87D50"/>
    <w:rsid w:val="00E9191D"/>
    <w:rsid w:val="00E92CB0"/>
    <w:rsid w:val="00E92DCA"/>
    <w:rsid w:val="00E93BA6"/>
    <w:rsid w:val="00E96475"/>
    <w:rsid w:val="00EA0C9B"/>
    <w:rsid w:val="00EA120B"/>
    <w:rsid w:val="00EA19B3"/>
    <w:rsid w:val="00EA2011"/>
    <w:rsid w:val="00EA21DF"/>
    <w:rsid w:val="00EA642B"/>
    <w:rsid w:val="00EA66A3"/>
    <w:rsid w:val="00EA6B4B"/>
    <w:rsid w:val="00EA7DE3"/>
    <w:rsid w:val="00EB0980"/>
    <w:rsid w:val="00EB4272"/>
    <w:rsid w:val="00EB4DF2"/>
    <w:rsid w:val="00EB5AAC"/>
    <w:rsid w:val="00EB7FF1"/>
    <w:rsid w:val="00EC0409"/>
    <w:rsid w:val="00EC203A"/>
    <w:rsid w:val="00EC5693"/>
    <w:rsid w:val="00EC5B69"/>
    <w:rsid w:val="00ED1805"/>
    <w:rsid w:val="00ED2383"/>
    <w:rsid w:val="00ED499B"/>
    <w:rsid w:val="00ED6DB2"/>
    <w:rsid w:val="00EE0823"/>
    <w:rsid w:val="00EE134C"/>
    <w:rsid w:val="00EE2776"/>
    <w:rsid w:val="00EE338B"/>
    <w:rsid w:val="00EE40CB"/>
    <w:rsid w:val="00EE6368"/>
    <w:rsid w:val="00EE7876"/>
    <w:rsid w:val="00EE7CE0"/>
    <w:rsid w:val="00EF0D96"/>
    <w:rsid w:val="00EF1984"/>
    <w:rsid w:val="00EF52ED"/>
    <w:rsid w:val="00EF5C1E"/>
    <w:rsid w:val="00EF6118"/>
    <w:rsid w:val="00F00011"/>
    <w:rsid w:val="00F01C68"/>
    <w:rsid w:val="00F01F16"/>
    <w:rsid w:val="00F02607"/>
    <w:rsid w:val="00F027D9"/>
    <w:rsid w:val="00F0349D"/>
    <w:rsid w:val="00F06873"/>
    <w:rsid w:val="00F11660"/>
    <w:rsid w:val="00F1347D"/>
    <w:rsid w:val="00F14D7F"/>
    <w:rsid w:val="00F16152"/>
    <w:rsid w:val="00F21740"/>
    <w:rsid w:val="00F22109"/>
    <w:rsid w:val="00F225F1"/>
    <w:rsid w:val="00F22ACD"/>
    <w:rsid w:val="00F30CC6"/>
    <w:rsid w:val="00F30D81"/>
    <w:rsid w:val="00F3214B"/>
    <w:rsid w:val="00F3252A"/>
    <w:rsid w:val="00F347D6"/>
    <w:rsid w:val="00F35099"/>
    <w:rsid w:val="00F40A75"/>
    <w:rsid w:val="00F40B1A"/>
    <w:rsid w:val="00F40FB9"/>
    <w:rsid w:val="00F41649"/>
    <w:rsid w:val="00F417FB"/>
    <w:rsid w:val="00F4326D"/>
    <w:rsid w:val="00F43D94"/>
    <w:rsid w:val="00F457F9"/>
    <w:rsid w:val="00F46EBE"/>
    <w:rsid w:val="00F47E24"/>
    <w:rsid w:val="00F517FA"/>
    <w:rsid w:val="00F5398E"/>
    <w:rsid w:val="00F54FC8"/>
    <w:rsid w:val="00F55661"/>
    <w:rsid w:val="00F56B01"/>
    <w:rsid w:val="00F614EB"/>
    <w:rsid w:val="00F6160A"/>
    <w:rsid w:val="00F62798"/>
    <w:rsid w:val="00F64497"/>
    <w:rsid w:val="00F6673E"/>
    <w:rsid w:val="00F67147"/>
    <w:rsid w:val="00F674CD"/>
    <w:rsid w:val="00F723C9"/>
    <w:rsid w:val="00F72CAE"/>
    <w:rsid w:val="00F72CD1"/>
    <w:rsid w:val="00F734E4"/>
    <w:rsid w:val="00F76775"/>
    <w:rsid w:val="00F768F1"/>
    <w:rsid w:val="00F77498"/>
    <w:rsid w:val="00F82B08"/>
    <w:rsid w:val="00F82E79"/>
    <w:rsid w:val="00F83C5D"/>
    <w:rsid w:val="00F83D0A"/>
    <w:rsid w:val="00F8714C"/>
    <w:rsid w:val="00F87A01"/>
    <w:rsid w:val="00F91196"/>
    <w:rsid w:val="00F926DA"/>
    <w:rsid w:val="00F93F85"/>
    <w:rsid w:val="00F9434F"/>
    <w:rsid w:val="00F94D38"/>
    <w:rsid w:val="00FA03F2"/>
    <w:rsid w:val="00FA34E8"/>
    <w:rsid w:val="00FA5C10"/>
    <w:rsid w:val="00FA6C29"/>
    <w:rsid w:val="00FA7A3B"/>
    <w:rsid w:val="00FB0888"/>
    <w:rsid w:val="00FB11B4"/>
    <w:rsid w:val="00FB1545"/>
    <w:rsid w:val="00FB2246"/>
    <w:rsid w:val="00FB293B"/>
    <w:rsid w:val="00FB3A84"/>
    <w:rsid w:val="00FB5F92"/>
    <w:rsid w:val="00FB6BF6"/>
    <w:rsid w:val="00FC0A13"/>
    <w:rsid w:val="00FC0BEB"/>
    <w:rsid w:val="00FC4A92"/>
    <w:rsid w:val="00FC4BAB"/>
    <w:rsid w:val="00FD3A2A"/>
    <w:rsid w:val="00FD3E9A"/>
    <w:rsid w:val="00FD7598"/>
    <w:rsid w:val="00FD75B7"/>
    <w:rsid w:val="00FE118B"/>
    <w:rsid w:val="00FE290C"/>
    <w:rsid w:val="00FE3007"/>
    <w:rsid w:val="00FE366E"/>
    <w:rsid w:val="00FE4DD3"/>
    <w:rsid w:val="00FE58F0"/>
    <w:rsid w:val="00FF03A1"/>
    <w:rsid w:val="00FF0A36"/>
    <w:rsid w:val="00FF1D98"/>
    <w:rsid w:val="00FF2410"/>
    <w:rsid w:val="00FF2741"/>
    <w:rsid w:val="00FF3A32"/>
    <w:rsid w:val="00FF4E67"/>
    <w:rsid w:val="00FF5042"/>
    <w:rsid w:val="01A6F8F1"/>
    <w:rsid w:val="04A078BE"/>
    <w:rsid w:val="0D1ED327"/>
    <w:rsid w:val="14638442"/>
    <w:rsid w:val="14C31C9A"/>
    <w:rsid w:val="155281D8"/>
    <w:rsid w:val="1EF56500"/>
    <w:rsid w:val="1F8835FF"/>
    <w:rsid w:val="21EECEBD"/>
    <w:rsid w:val="236C263F"/>
    <w:rsid w:val="24D4E25B"/>
    <w:rsid w:val="26428AE7"/>
    <w:rsid w:val="2BAEB2E2"/>
    <w:rsid w:val="2D0A5F5F"/>
    <w:rsid w:val="2D3685ED"/>
    <w:rsid w:val="347D1E6E"/>
    <w:rsid w:val="3A409A16"/>
    <w:rsid w:val="4652BBB0"/>
    <w:rsid w:val="46E342A5"/>
    <w:rsid w:val="56654199"/>
    <w:rsid w:val="59B3F12D"/>
    <w:rsid w:val="5C47A5DB"/>
    <w:rsid w:val="5E46A720"/>
    <w:rsid w:val="67BD0CC2"/>
    <w:rsid w:val="6D314379"/>
    <w:rsid w:val="7CF6E9C0"/>
    <w:rsid w:val="7E96CE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14D6"/>
  <w15:docId w15:val="{F18050EB-5A37-4029-B888-E5393767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42"/>
    <w:pPr>
      <w:spacing w:after="240" w:line="240" w:lineRule="auto"/>
    </w:pPr>
    <w:rPr>
      <w:rFonts w:ascii="Arial" w:hAnsi="Arial"/>
      <w:sz w:val="24"/>
    </w:rPr>
  </w:style>
  <w:style w:type="paragraph" w:styleId="Heading1">
    <w:name w:val="heading 1"/>
    <w:basedOn w:val="Normal"/>
    <w:next w:val="Normal"/>
    <w:link w:val="Heading1Char"/>
    <w:uiPriority w:val="9"/>
    <w:qFormat/>
    <w:rsid w:val="008B29C3"/>
    <w:pPr>
      <w:keepNext/>
      <w:keepLines/>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56CF4"/>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56CF4"/>
    <w:pPr>
      <w:keepNext/>
      <w:keepLines/>
      <w:numPr>
        <w:numId w:val="1"/>
      </w:numPr>
      <w:spacing w:before="16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506F33"/>
    <w:pPr>
      <w:keepNext/>
      <w:keepLines/>
      <w:spacing w:before="160"/>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9C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56CF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56CF4"/>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506F33"/>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2D516C"/>
    <w:pPr>
      <w:tabs>
        <w:tab w:val="center" w:pos="4680"/>
        <w:tab w:val="right" w:pos="9360"/>
      </w:tabs>
      <w:spacing w:after="0"/>
    </w:pPr>
  </w:style>
  <w:style w:type="character" w:customStyle="1" w:styleId="HeaderChar">
    <w:name w:val="Header Char"/>
    <w:basedOn w:val="DefaultParagraphFont"/>
    <w:link w:val="Header"/>
    <w:uiPriority w:val="99"/>
    <w:rsid w:val="002D516C"/>
    <w:rPr>
      <w:rFonts w:ascii="Arial" w:hAnsi="Arial"/>
      <w:sz w:val="24"/>
    </w:rPr>
  </w:style>
  <w:style w:type="paragraph" w:styleId="Footer">
    <w:name w:val="footer"/>
    <w:basedOn w:val="Normal"/>
    <w:link w:val="FooterChar"/>
    <w:uiPriority w:val="99"/>
    <w:unhideWhenUsed/>
    <w:rsid w:val="002D516C"/>
    <w:pPr>
      <w:tabs>
        <w:tab w:val="center" w:pos="4680"/>
        <w:tab w:val="right" w:pos="9360"/>
      </w:tabs>
      <w:spacing w:after="0"/>
    </w:pPr>
  </w:style>
  <w:style w:type="character" w:customStyle="1" w:styleId="FooterChar">
    <w:name w:val="Footer Char"/>
    <w:basedOn w:val="DefaultParagraphFont"/>
    <w:link w:val="Footer"/>
    <w:uiPriority w:val="99"/>
    <w:rsid w:val="002D516C"/>
    <w:rPr>
      <w:rFonts w:ascii="Arial" w:hAnsi="Arial"/>
      <w:sz w:val="24"/>
    </w:rPr>
  </w:style>
  <w:style w:type="paragraph" w:styleId="BodyText">
    <w:name w:val="Body Text"/>
    <w:basedOn w:val="Normal"/>
    <w:link w:val="BodyTextChar"/>
    <w:uiPriority w:val="1"/>
    <w:qFormat/>
    <w:rsid w:val="00C530CD"/>
    <w:pPr>
      <w:widowControl w:val="0"/>
      <w:autoSpaceDE w:val="0"/>
      <w:autoSpaceDN w:val="0"/>
      <w:spacing w:after="0"/>
    </w:pPr>
    <w:rPr>
      <w:rFonts w:eastAsia="Arial" w:cs="Arial"/>
      <w:szCs w:val="24"/>
      <w:lang w:bidi="en-US"/>
    </w:rPr>
  </w:style>
  <w:style w:type="character" w:customStyle="1" w:styleId="BodyTextChar">
    <w:name w:val="Body Text Char"/>
    <w:basedOn w:val="DefaultParagraphFont"/>
    <w:link w:val="BodyText"/>
    <w:uiPriority w:val="1"/>
    <w:rsid w:val="00C530CD"/>
    <w:rPr>
      <w:rFonts w:ascii="Arial" w:eastAsia="Arial" w:hAnsi="Arial" w:cs="Arial"/>
      <w:sz w:val="24"/>
      <w:szCs w:val="24"/>
      <w:lang w:bidi="en-US"/>
    </w:rPr>
  </w:style>
  <w:style w:type="character" w:styleId="Hyperlink">
    <w:name w:val="Hyperlink"/>
    <w:uiPriority w:val="99"/>
    <w:unhideWhenUsed/>
    <w:rsid w:val="00BD670D"/>
    <w:rPr>
      <w:color w:val="0000FF"/>
      <w:sz w:val="24"/>
      <w:u w:val="single" w:color="0000FF"/>
    </w:rPr>
  </w:style>
  <w:style w:type="paragraph" w:styleId="ListParagraph">
    <w:name w:val="List Paragraph"/>
    <w:basedOn w:val="Normal"/>
    <w:uiPriority w:val="1"/>
    <w:qFormat/>
    <w:rsid w:val="00BD3742"/>
    <w:pPr>
      <w:numPr>
        <w:numId w:val="18"/>
      </w:numPr>
    </w:pPr>
  </w:style>
  <w:style w:type="character" w:styleId="CommentReference">
    <w:name w:val="annotation reference"/>
    <w:basedOn w:val="DefaultParagraphFont"/>
    <w:uiPriority w:val="99"/>
    <w:semiHidden/>
    <w:unhideWhenUsed/>
    <w:rsid w:val="00580D60"/>
    <w:rPr>
      <w:sz w:val="16"/>
      <w:szCs w:val="16"/>
    </w:rPr>
  </w:style>
  <w:style w:type="paragraph" w:styleId="CommentText">
    <w:name w:val="annotation text"/>
    <w:basedOn w:val="Normal"/>
    <w:link w:val="CommentTextChar"/>
    <w:uiPriority w:val="99"/>
    <w:unhideWhenUsed/>
    <w:rsid w:val="004C4B3B"/>
    <w:pPr>
      <w:widowControl w:val="0"/>
      <w:autoSpaceDE w:val="0"/>
      <w:autoSpaceDN w:val="0"/>
      <w:spacing w:after="0"/>
    </w:pPr>
    <w:rPr>
      <w:rFonts w:eastAsia="Arial" w:cs="Arial"/>
      <w:sz w:val="20"/>
      <w:szCs w:val="20"/>
      <w:lang w:bidi="en-US"/>
    </w:rPr>
  </w:style>
  <w:style w:type="character" w:customStyle="1" w:styleId="CommentTextChar">
    <w:name w:val="Comment Text Char"/>
    <w:basedOn w:val="DefaultParagraphFont"/>
    <w:link w:val="CommentText"/>
    <w:uiPriority w:val="99"/>
    <w:rsid w:val="004C4B3B"/>
    <w:rPr>
      <w:rFonts w:ascii="Arial" w:eastAsia="Arial" w:hAnsi="Arial" w:cs="Arial"/>
      <w:sz w:val="20"/>
      <w:szCs w:val="20"/>
      <w:lang w:bidi="en-US"/>
    </w:rPr>
  </w:style>
  <w:style w:type="paragraph" w:styleId="BalloonText">
    <w:name w:val="Balloon Text"/>
    <w:basedOn w:val="Normal"/>
    <w:link w:val="BalloonTextChar"/>
    <w:uiPriority w:val="99"/>
    <w:semiHidden/>
    <w:unhideWhenUsed/>
    <w:rsid w:val="004C4B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3B"/>
    <w:rPr>
      <w:rFonts w:ascii="Segoe UI" w:hAnsi="Segoe UI" w:cs="Segoe UI"/>
      <w:sz w:val="18"/>
      <w:szCs w:val="18"/>
    </w:rPr>
  </w:style>
  <w:style w:type="table" w:customStyle="1" w:styleId="GridTable4-Accent61">
    <w:name w:val="Grid Table 4 - Accent 61"/>
    <w:basedOn w:val="TableNormal"/>
    <w:uiPriority w:val="49"/>
    <w:rsid w:val="0095649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533B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533B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A636A"/>
    <w:pPr>
      <w:spacing w:before="100" w:beforeAutospacing="1" w:after="100" w:afterAutospacing="1"/>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07720F"/>
    <w:pPr>
      <w:widowControl/>
      <w:autoSpaceDE/>
      <w:autoSpaceDN/>
      <w:spacing w:after="160"/>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07720F"/>
    <w:rPr>
      <w:rFonts w:ascii="Arial" w:eastAsia="Arial" w:hAnsi="Arial" w:cs="Arial"/>
      <w:b/>
      <w:bCs/>
      <w:sz w:val="20"/>
      <w:szCs w:val="20"/>
      <w:lang w:bidi="en-US"/>
    </w:rPr>
  </w:style>
  <w:style w:type="paragraph" w:customStyle="1" w:styleId="TableParagraph">
    <w:name w:val="Table Paragraph"/>
    <w:basedOn w:val="Normal"/>
    <w:uiPriority w:val="1"/>
    <w:qFormat/>
    <w:rsid w:val="00DB29FD"/>
    <w:pPr>
      <w:widowControl w:val="0"/>
      <w:autoSpaceDE w:val="0"/>
      <w:autoSpaceDN w:val="0"/>
      <w:spacing w:after="0" w:line="271" w:lineRule="exact"/>
      <w:ind w:left="107" w:right="240"/>
    </w:pPr>
    <w:rPr>
      <w:rFonts w:eastAsia="Arial" w:cs="Arial"/>
      <w:sz w:val="22"/>
      <w:lang w:bidi="en-US"/>
    </w:rPr>
  </w:style>
  <w:style w:type="paragraph" w:styleId="TOC2">
    <w:name w:val="toc 2"/>
    <w:basedOn w:val="Normal"/>
    <w:next w:val="Normal"/>
    <w:autoRedefine/>
    <w:uiPriority w:val="39"/>
    <w:unhideWhenUsed/>
    <w:rsid w:val="00D22F61"/>
    <w:pPr>
      <w:tabs>
        <w:tab w:val="left" w:pos="360"/>
        <w:tab w:val="right" w:leader="dot" w:pos="9350"/>
      </w:tabs>
      <w:spacing w:after="120"/>
    </w:pPr>
    <w:rPr>
      <w:b/>
      <w:noProof/>
      <w:sz w:val="22"/>
    </w:rPr>
  </w:style>
  <w:style w:type="paragraph" w:styleId="TOC1">
    <w:name w:val="toc 1"/>
    <w:basedOn w:val="Normal"/>
    <w:next w:val="Normal"/>
    <w:autoRedefine/>
    <w:uiPriority w:val="39"/>
    <w:unhideWhenUsed/>
    <w:rsid w:val="00EA6B4B"/>
    <w:pPr>
      <w:tabs>
        <w:tab w:val="right" w:leader="dot" w:pos="9350"/>
      </w:tabs>
      <w:spacing w:after="100"/>
    </w:pPr>
  </w:style>
  <w:style w:type="paragraph" w:styleId="TOC3">
    <w:name w:val="toc 3"/>
    <w:basedOn w:val="Normal"/>
    <w:next w:val="Normal"/>
    <w:autoRedefine/>
    <w:uiPriority w:val="39"/>
    <w:unhideWhenUsed/>
    <w:rsid w:val="00D22F61"/>
    <w:pPr>
      <w:tabs>
        <w:tab w:val="left" w:pos="1100"/>
        <w:tab w:val="right" w:leader="dot" w:pos="9350"/>
      </w:tabs>
      <w:spacing w:after="100"/>
      <w:ind w:left="907" w:hanging="547"/>
    </w:pPr>
  </w:style>
  <w:style w:type="paragraph" w:styleId="Caption">
    <w:name w:val="caption"/>
    <w:basedOn w:val="Normal"/>
    <w:next w:val="Normal"/>
    <w:qFormat/>
    <w:rsid w:val="00FF0A36"/>
    <w:pPr>
      <w:spacing w:before="120" w:after="120"/>
      <w:jc w:val="center"/>
    </w:pPr>
    <w:rPr>
      <w:rFonts w:eastAsia="Times New Roman" w:cs="Times New Roman"/>
      <w:b/>
      <w:bCs/>
      <w:sz w:val="22"/>
      <w:szCs w:val="24"/>
    </w:rPr>
  </w:style>
  <w:style w:type="character" w:styleId="FollowedHyperlink">
    <w:name w:val="FollowedHyperlink"/>
    <w:basedOn w:val="DefaultParagraphFont"/>
    <w:uiPriority w:val="99"/>
    <w:semiHidden/>
    <w:unhideWhenUsed/>
    <w:rsid w:val="00956A16"/>
    <w:rPr>
      <w:color w:val="954F72" w:themeColor="followedHyperlink"/>
      <w:u w:val="single"/>
    </w:rPr>
  </w:style>
  <w:style w:type="paragraph" w:styleId="FootnoteText">
    <w:name w:val="footnote text"/>
    <w:basedOn w:val="Normal"/>
    <w:link w:val="FootnoteTextChar"/>
    <w:uiPriority w:val="99"/>
    <w:semiHidden/>
    <w:unhideWhenUsed/>
    <w:rsid w:val="003C73D9"/>
    <w:pPr>
      <w:spacing w:after="0"/>
    </w:pPr>
    <w:rPr>
      <w:sz w:val="20"/>
      <w:szCs w:val="20"/>
    </w:rPr>
  </w:style>
  <w:style w:type="character" w:customStyle="1" w:styleId="FootnoteTextChar">
    <w:name w:val="Footnote Text Char"/>
    <w:basedOn w:val="DefaultParagraphFont"/>
    <w:link w:val="FootnoteText"/>
    <w:uiPriority w:val="99"/>
    <w:semiHidden/>
    <w:rsid w:val="003C73D9"/>
    <w:rPr>
      <w:rFonts w:ascii="Arial" w:hAnsi="Arial"/>
      <w:sz w:val="20"/>
      <w:szCs w:val="20"/>
    </w:rPr>
  </w:style>
  <w:style w:type="character" w:styleId="FootnoteReference">
    <w:name w:val="footnote reference"/>
    <w:basedOn w:val="DefaultParagraphFont"/>
    <w:uiPriority w:val="99"/>
    <w:semiHidden/>
    <w:unhideWhenUsed/>
    <w:rsid w:val="003C73D9"/>
    <w:rPr>
      <w:vertAlign w:val="superscript"/>
    </w:rPr>
  </w:style>
  <w:style w:type="table" w:styleId="TableGrid">
    <w:name w:val="Table Grid"/>
    <w:basedOn w:val="TableNormal"/>
    <w:uiPriority w:val="39"/>
    <w:rsid w:val="00EF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3C3"/>
    <w:pPr>
      <w:spacing w:after="0" w:line="240" w:lineRule="auto"/>
    </w:pPr>
    <w:rPr>
      <w:rFonts w:ascii="Arial" w:hAnsi="Arial"/>
      <w:sz w:val="24"/>
    </w:rPr>
  </w:style>
  <w:style w:type="table" w:customStyle="1" w:styleId="PlainTable21">
    <w:name w:val="Plain Table 21"/>
    <w:basedOn w:val="TableNormal"/>
    <w:uiPriority w:val="99"/>
    <w:rsid w:val="00D250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753C1"/>
    <w:rPr>
      <w:color w:val="605E5C"/>
      <w:shd w:val="clear" w:color="auto" w:fill="E1DFDD"/>
    </w:rPr>
  </w:style>
  <w:style w:type="paragraph" w:customStyle="1" w:styleId="Default">
    <w:name w:val="Default"/>
    <w:rsid w:val="007056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604">
      <w:bodyDiv w:val="1"/>
      <w:marLeft w:val="0"/>
      <w:marRight w:val="0"/>
      <w:marTop w:val="0"/>
      <w:marBottom w:val="0"/>
      <w:divBdr>
        <w:top w:val="none" w:sz="0" w:space="0" w:color="auto"/>
        <w:left w:val="none" w:sz="0" w:space="0" w:color="auto"/>
        <w:bottom w:val="none" w:sz="0" w:space="0" w:color="auto"/>
        <w:right w:val="none" w:sz="0" w:space="0" w:color="auto"/>
      </w:divBdr>
    </w:div>
    <w:div w:id="16279051">
      <w:bodyDiv w:val="1"/>
      <w:marLeft w:val="0"/>
      <w:marRight w:val="0"/>
      <w:marTop w:val="0"/>
      <w:marBottom w:val="0"/>
      <w:divBdr>
        <w:top w:val="none" w:sz="0" w:space="0" w:color="auto"/>
        <w:left w:val="none" w:sz="0" w:space="0" w:color="auto"/>
        <w:bottom w:val="none" w:sz="0" w:space="0" w:color="auto"/>
        <w:right w:val="none" w:sz="0" w:space="0" w:color="auto"/>
      </w:divBdr>
    </w:div>
    <w:div w:id="31729594">
      <w:bodyDiv w:val="1"/>
      <w:marLeft w:val="0"/>
      <w:marRight w:val="0"/>
      <w:marTop w:val="0"/>
      <w:marBottom w:val="0"/>
      <w:divBdr>
        <w:top w:val="none" w:sz="0" w:space="0" w:color="auto"/>
        <w:left w:val="none" w:sz="0" w:space="0" w:color="auto"/>
        <w:bottom w:val="none" w:sz="0" w:space="0" w:color="auto"/>
        <w:right w:val="none" w:sz="0" w:space="0" w:color="auto"/>
      </w:divBdr>
    </w:div>
    <w:div w:id="104276996">
      <w:bodyDiv w:val="1"/>
      <w:marLeft w:val="0"/>
      <w:marRight w:val="0"/>
      <w:marTop w:val="0"/>
      <w:marBottom w:val="0"/>
      <w:divBdr>
        <w:top w:val="none" w:sz="0" w:space="0" w:color="auto"/>
        <w:left w:val="none" w:sz="0" w:space="0" w:color="auto"/>
        <w:bottom w:val="none" w:sz="0" w:space="0" w:color="auto"/>
        <w:right w:val="none" w:sz="0" w:space="0" w:color="auto"/>
      </w:divBdr>
    </w:div>
    <w:div w:id="183717791">
      <w:bodyDiv w:val="1"/>
      <w:marLeft w:val="0"/>
      <w:marRight w:val="0"/>
      <w:marTop w:val="0"/>
      <w:marBottom w:val="0"/>
      <w:divBdr>
        <w:top w:val="none" w:sz="0" w:space="0" w:color="auto"/>
        <w:left w:val="none" w:sz="0" w:space="0" w:color="auto"/>
        <w:bottom w:val="none" w:sz="0" w:space="0" w:color="auto"/>
        <w:right w:val="none" w:sz="0" w:space="0" w:color="auto"/>
      </w:divBdr>
    </w:div>
    <w:div w:id="213666086">
      <w:bodyDiv w:val="1"/>
      <w:marLeft w:val="0"/>
      <w:marRight w:val="0"/>
      <w:marTop w:val="0"/>
      <w:marBottom w:val="0"/>
      <w:divBdr>
        <w:top w:val="none" w:sz="0" w:space="0" w:color="auto"/>
        <w:left w:val="none" w:sz="0" w:space="0" w:color="auto"/>
        <w:bottom w:val="none" w:sz="0" w:space="0" w:color="auto"/>
        <w:right w:val="none" w:sz="0" w:space="0" w:color="auto"/>
      </w:divBdr>
    </w:div>
    <w:div w:id="360784535">
      <w:bodyDiv w:val="1"/>
      <w:marLeft w:val="0"/>
      <w:marRight w:val="0"/>
      <w:marTop w:val="0"/>
      <w:marBottom w:val="0"/>
      <w:divBdr>
        <w:top w:val="none" w:sz="0" w:space="0" w:color="auto"/>
        <w:left w:val="none" w:sz="0" w:space="0" w:color="auto"/>
        <w:bottom w:val="none" w:sz="0" w:space="0" w:color="auto"/>
        <w:right w:val="none" w:sz="0" w:space="0" w:color="auto"/>
      </w:divBdr>
    </w:div>
    <w:div w:id="385763951">
      <w:bodyDiv w:val="1"/>
      <w:marLeft w:val="0"/>
      <w:marRight w:val="0"/>
      <w:marTop w:val="0"/>
      <w:marBottom w:val="0"/>
      <w:divBdr>
        <w:top w:val="none" w:sz="0" w:space="0" w:color="auto"/>
        <w:left w:val="none" w:sz="0" w:space="0" w:color="auto"/>
        <w:bottom w:val="none" w:sz="0" w:space="0" w:color="auto"/>
        <w:right w:val="none" w:sz="0" w:space="0" w:color="auto"/>
      </w:divBdr>
    </w:div>
    <w:div w:id="391000059">
      <w:bodyDiv w:val="1"/>
      <w:marLeft w:val="0"/>
      <w:marRight w:val="0"/>
      <w:marTop w:val="0"/>
      <w:marBottom w:val="0"/>
      <w:divBdr>
        <w:top w:val="none" w:sz="0" w:space="0" w:color="auto"/>
        <w:left w:val="none" w:sz="0" w:space="0" w:color="auto"/>
        <w:bottom w:val="none" w:sz="0" w:space="0" w:color="auto"/>
        <w:right w:val="none" w:sz="0" w:space="0" w:color="auto"/>
      </w:divBdr>
    </w:div>
    <w:div w:id="453255737">
      <w:bodyDiv w:val="1"/>
      <w:marLeft w:val="0"/>
      <w:marRight w:val="0"/>
      <w:marTop w:val="0"/>
      <w:marBottom w:val="0"/>
      <w:divBdr>
        <w:top w:val="none" w:sz="0" w:space="0" w:color="auto"/>
        <w:left w:val="none" w:sz="0" w:space="0" w:color="auto"/>
        <w:bottom w:val="none" w:sz="0" w:space="0" w:color="auto"/>
        <w:right w:val="none" w:sz="0" w:space="0" w:color="auto"/>
      </w:divBdr>
    </w:div>
    <w:div w:id="463929627">
      <w:bodyDiv w:val="1"/>
      <w:marLeft w:val="0"/>
      <w:marRight w:val="0"/>
      <w:marTop w:val="0"/>
      <w:marBottom w:val="0"/>
      <w:divBdr>
        <w:top w:val="none" w:sz="0" w:space="0" w:color="auto"/>
        <w:left w:val="none" w:sz="0" w:space="0" w:color="auto"/>
        <w:bottom w:val="none" w:sz="0" w:space="0" w:color="auto"/>
        <w:right w:val="none" w:sz="0" w:space="0" w:color="auto"/>
      </w:divBdr>
    </w:div>
    <w:div w:id="488520371">
      <w:bodyDiv w:val="1"/>
      <w:marLeft w:val="0"/>
      <w:marRight w:val="0"/>
      <w:marTop w:val="0"/>
      <w:marBottom w:val="0"/>
      <w:divBdr>
        <w:top w:val="none" w:sz="0" w:space="0" w:color="auto"/>
        <w:left w:val="none" w:sz="0" w:space="0" w:color="auto"/>
        <w:bottom w:val="none" w:sz="0" w:space="0" w:color="auto"/>
        <w:right w:val="none" w:sz="0" w:space="0" w:color="auto"/>
      </w:divBdr>
    </w:div>
    <w:div w:id="492453198">
      <w:bodyDiv w:val="1"/>
      <w:marLeft w:val="0"/>
      <w:marRight w:val="0"/>
      <w:marTop w:val="0"/>
      <w:marBottom w:val="0"/>
      <w:divBdr>
        <w:top w:val="none" w:sz="0" w:space="0" w:color="auto"/>
        <w:left w:val="none" w:sz="0" w:space="0" w:color="auto"/>
        <w:bottom w:val="none" w:sz="0" w:space="0" w:color="auto"/>
        <w:right w:val="none" w:sz="0" w:space="0" w:color="auto"/>
      </w:divBdr>
    </w:div>
    <w:div w:id="530076893">
      <w:bodyDiv w:val="1"/>
      <w:marLeft w:val="0"/>
      <w:marRight w:val="0"/>
      <w:marTop w:val="0"/>
      <w:marBottom w:val="0"/>
      <w:divBdr>
        <w:top w:val="none" w:sz="0" w:space="0" w:color="auto"/>
        <w:left w:val="none" w:sz="0" w:space="0" w:color="auto"/>
        <w:bottom w:val="none" w:sz="0" w:space="0" w:color="auto"/>
        <w:right w:val="none" w:sz="0" w:space="0" w:color="auto"/>
      </w:divBdr>
    </w:div>
    <w:div w:id="614680965">
      <w:bodyDiv w:val="1"/>
      <w:marLeft w:val="0"/>
      <w:marRight w:val="0"/>
      <w:marTop w:val="0"/>
      <w:marBottom w:val="0"/>
      <w:divBdr>
        <w:top w:val="none" w:sz="0" w:space="0" w:color="auto"/>
        <w:left w:val="none" w:sz="0" w:space="0" w:color="auto"/>
        <w:bottom w:val="none" w:sz="0" w:space="0" w:color="auto"/>
        <w:right w:val="none" w:sz="0" w:space="0" w:color="auto"/>
      </w:divBdr>
    </w:div>
    <w:div w:id="631251363">
      <w:bodyDiv w:val="1"/>
      <w:marLeft w:val="0"/>
      <w:marRight w:val="0"/>
      <w:marTop w:val="0"/>
      <w:marBottom w:val="0"/>
      <w:divBdr>
        <w:top w:val="none" w:sz="0" w:space="0" w:color="auto"/>
        <w:left w:val="none" w:sz="0" w:space="0" w:color="auto"/>
        <w:bottom w:val="none" w:sz="0" w:space="0" w:color="auto"/>
        <w:right w:val="none" w:sz="0" w:space="0" w:color="auto"/>
      </w:divBdr>
    </w:div>
    <w:div w:id="633222501">
      <w:bodyDiv w:val="1"/>
      <w:marLeft w:val="0"/>
      <w:marRight w:val="0"/>
      <w:marTop w:val="0"/>
      <w:marBottom w:val="0"/>
      <w:divBdr>
        <w:top w:val="none" w:sz="0" w:space="0" w:color="auto"/>
        <w:left w:val="none" w:sz="0" w:space="0" w:color="auto"/>
        <w:bottom w:val="none" w:sz="0" w:space="0" w:color="auto"/>
        <w:right w:val="none" w:sz="0" w:space="0" w:color="auto"/>
      </w:divBdr>
    </w:div>
    <w:div w:id="641735504">
      <w:bodyDiv w:val="1"/>
      <w:marLeft w:val="0"/>
      <w:marRight w:val="0"/>
      <w:marTop w:val="0"/>
      <w:marBottom w:val="0"/>
      <w:divBdr>
        <w:top w:val="none" w:sz="0" w:space="0" w:color="auto"/>
        <w:left w:val="none" w:sz="0" w:space="0" w:color="auto"/>
        <w:bottom w:val="none" w:sz="0" w:space="0" w:color="auto"/>
        <w:right w:val="none" w:sz="0" w:space="0" w:color="auto"/>
      </w:divBdr>
    </w:div>
    <w:div w:id="651830966">
      <w:bodyDiv w:val="1"/>
      <w:marLeft w:val="0"/>
      <w:marRight w:val="0"/>
      <w:marTop w:val="0"/>
      <w:marBottom w:val="0"/>
      <w:divBdr>
        <w:top w:val="none" w:sz="0" w:space="0" w:color="auto"/>
        <w:left w:val="none" w:sz="0" w:space="0" w:color="auto"/>
        <w:bottom w:val="none" w:sz="0" w:space="0" w:color="auto"/>
        <w:right w:val="none" w:sz="0" w:space="0" w:color="auto"/>
      </w:divBdr>
    </w:div>
    <w:div w:id="658075380">
      <w:bodyDiv w:val="1"/>
      <w:marLeft w:val="0"/>
      <w:marRight w:val="0"/>
      <w:marTop w:val="0"/>
      <w:marBottom w:val="0"/>
      <w:divBdr>
        <w:top w:val="none" w:sz="0" w:space="0" w:color="auto"/>
        <w:left w:val="none" w:sz="0" w:space="0" w:color="auto"/>
        <w:bottom w:val="none" w:sz="0" w:space="0" w:color="auto"/>
        <w:right w:val="none" w:sz="0" w:space="0" w:color="auto"/>
      </w:divBdr>
    </w:div>
    <w:div w:id="722027628">
      <w:bodyDiv w:val="1"/>
      <w:marLeft w:val="0"/>
      <w:marRight w:val="0"/>
      <w:marTop w:val="0"/>
      <w:marBottom w:val="0"/>
      <w:divBdr>
        <w:top w:val="none" w:sz="0" w:space="0" w:color="auto"/>
        <w:left w:val="none" w:sz="0" w:space="0" w:color="auto"/>
        <w:bottom w:val="none" w:sz="0" w:space="0" w:color="auto"/>
        <w:right w:val="none" w:sz="0" w:space="0" w:color="auto"/>
      </w:divBdr>
    </w:div>
    <w:div w:id="743063406">
      <w:bodyDiv w:val="1"/>
      <w:marLeft w:val="0"/>
      <w:marRight w:val="0"/>
      <w:marTop w:val="0"/>
      <w:marBottom w:val="0"/>
      <w:divBdr>
        <w:top w:val="none" w:sz="0" w:space="0" w:color="auto"/>
        <w:left w:val="none" w:sz="0" w:space="0" w:color="auto"/>
        <w:bottom w:val="none" w:sz="0" w:space="0" w:color="auto"/>
        <w:right w:val="none" w:sz="0" w:space="0" w:color="auto"/>
      </w:divBdr>
    </w:div>
    <w:div w:id="758408618">
      <w:bodyDiv w:val="1"/>
      <w:marLeft w:val="0"/>
      <w:marRight w:val="0"/>
      <w:marTop w:val="0"/>
      <w:marBottom w:val="0"/>
      <w:divBdr>
        <w:top w:val="none" w:sz="0" w:space="0" w:color="auto"/>
        <w:left w:val="none" w:sz="0" w:space="0" w:color="auto"/>
        <w:bottom w:val="none" w:sz="0" w:space="0" w:color="auto"/>
        <w:right w:val="none" w:sz="0" w:space="0" w:color="auto"/>
      </w:divBdr>
    </w:div>
    <w:div w:id="844132046">
      <w:bodyDiv w:val="1"/>
      <w:marLeft w:val="0"/>
      <w:marRight w:val="0"/>
      <w:marTop w:val="0"/>
      <w:marBottom w:val="0"/>
      <w:divBdr>
        <w:top w:val="none" w:sz="0" w:space="0" w:color="auto"/>
        <w:left w:val="none" w:sz="0" w:space="0" w:color="auto"/>
        <w:bottom w:val="none" w:sz="0" w:space="0" w:color="auto"/>
        <w:right w:val="none" w:sz="0" w:space="0" w:color="auto"/>
      </w:divBdr>
    </w:div>
    <w:div w:id="886918244">
      <w:bodyDiv w:val="1"/>
      <w:marLeft w:val="0"/>
      <w:marRight w:val="0"/>
      <w:marTop w:val="0"/>
      <w:marBottom w:val="0"/>
      <w:divBdr>
        <w:top w:val="none" w:sz="0" w:space="0" w:color="auto"/>
        <w:left w:val="none" w:sz="0" w:space="0" w:color="auto"/>
        <w:bottom w:val="none" w:sz="0" w:space="0" w:color="auto"/>
        <w:right w:val="none" w:sz="0" w:space="0" w:color="auto"/>
      </w:divBdr>
    </w:div>
    <w:div w:id="1092899754">
      <w:bodyDiv w:val="1"/>
      <w:marLeft w:val="0"/>
      <w:marRight w:val="0"/>
      <w:marTop w:val="0"/>
      <w:marBottom w:val="0"/>
      <w:divBdr>
        <w:top w:val="none" w:sz="0" w:space="0" w:color="auto"/>
        <w:left w:val="none" w:sz="0" w:space="0" w:color="auto"/>
        <w:bottom w:val="none" w:sz="0" w:space="0" w:color="auto"/>
        <w:right w:val="none" w:sz="0" w:space="0" w:color="auto"/>
      </w:divBdr>
    </w:div>
    <w:div w:id="1097823873">
      <w:bodyDiv w:val="1"/>
      <w:marLeft w:val="0"/>
      <w:marRight w:val="0"/>
      <w:marTop w:val="0"/>
      <w:marBottom w:val="0"/>
      <w:divBdr>
        <w:top w:val="none" w:sz="0" w:space="0" w:color="auto"/>
        <w:left w:val="none" w:sz="0" w:space="0" w:color="auto"/>
        <w:bottom w:val="none" w:sz="0" w:space="0" w:color="auto"/>
        <w:right w:val="none" w:sz="0" w:space="0" w:color="auto"/>
      </w:divBdr>
    </w:div>
    <w:div w:id="1296178216">
      <w:bodyDiv w:val="1"/>
      <w:marLeft w:val="0"/>
      <w:marRight w:val="0"/>
      <w:marTop w:val="0"/>
      <w:marBottom w:val="0"/>
      <w:divBdr>
        <w:top w:val="none" w:sz="0" w:space="0" w:color="auto"/>
        <w:left w:val="none" w:sz="0" w:space="0" w:color="auto"/>
        <w:bottom w:val="none" w:sz="0" w:space="0" w:color="auto"/>
        <w:right w:val="none" w:sz="0" w:space="0" w:color="auto"/>
      </w:divBdr>
    </w:div>
    <w:div w:id="1349523541">
      <w:bodyDiv w:val="1"/>
      <w:marLeft w:val="0"/>
      <w:marRight w:val="0"/>
      <w:marTop w:val="0"/>
      <w:marBottom w:val="0"/>
      <w:divBdr>
        <w:top w:val="none" w:sz="0" w:space="0" w:color="auto"/>
        <w:left w:val="none" w:sz="0" w:space="0" w:color="auto"/>
        <w:bottom w:val="none" w:sz="0" w:space="0" w:color="auto"/>
        <w:right w:val="none" w:sz="0" w:space="0" w:color="auto"/>
      </w:divBdr>
    </w:div>
    <w:div w:id="1365520557">
      <w:bodyDiv w:val="1"/>
      <w:marLeft w:val="0"/>
      <w:marRight w:val="0"/>
      <w:marTop w:val="0"/>
      <w:marBottom w:val="0"/>
      <w:divBdr>
        <w:top w:val="none" w:sz="0" w:space="0" w:color="auto"/>
        <w:left w:val="none" w:sz="0" w:space="0" w:color="auto"/>
        <w:bottom w:val="none" w:sz="0" w:space="0" w:color="auto"/>
        <w:right w:val="none" w:sz="0" w:space="0" w:color="auto"/>
      </w:divBdr>
    </w:div>
    <w:div w:id="1376612484">
      <w:bodyDiv w:val="1"/>
      <w:marLeft w:val="0"/>
      <w:marRight w:val="0"/>
      <w:marTop w:val="0"/>
      <w:marBottom w:val="0"/>
      <w:divBdr>
        <w:top w:val="none" w:sz="0" w:space="0" w:color="auto"/>
        <w:left w:val="none" w:sz="0" w:space="0" w:color="auto"/>
        <w:bottom w:val="none" w:sz="0" w:space="0" w:color="auto"/>
        <w:right w:val="none" w:sz="0" w:space="0" w:color="auto"/>
      </w:divBdr>
    </w:div>
    <w:div w:id="1383481867">
      <w:bodyDiv w:val="1"/>
      <w:marLeft w:val="0"/>
      <w:marRight w:val="0"/>
      <w:marTop w:val="0"/>
      <w:marBottom w:val="0"/>
      <w:divBdr>
        <w:top w:val="none" w:sz="0" w:space="0" w:color="auto"/>
        <w:left w:val="none" w:sz="0" w:space="0" w:color="auto"/>
        <w:bottom w:val="none" w:sz="0" w:space="0" w:color="auto"/>
        <w:right w:val="none" w:sz="0" w:space="0" w:color="auto"/>
      </w:divBdr>
    </w:div>
    <w:div w:id="1460876617">
      <w:bodyDiv w:val="1"/>
      <w:marLeft w:val="0"/>
      <w:marRight w:val="0"/>
      <w:marTop w:val="0"/>
      <w:marBottom w:val="0"/>
      <w:divBdr>
        <w:top w:val="none" w:sz="0" w:space="0" w:color="auto"/>
        <w:left w:val="none" w:sz="0" w:space="0" w:color="auto"/>
        <w:bottom w:val="none" w:sz="0" w:space="0" w:color="auto"/>
        <w:right w:val="none" w:sz="0" w:space="0" w:color="auto"/>
      </w:divBdr>
    </w:div>
    <w:div w:id="1464887431">
      <w:bodyDiv w:val="1"/>
      <w:marLeft w:val="0"/>
      <w:marRight w:val="0"/>
      <w:marTop w:val="0"/>
      <w:marBottom w:val="0"/>
      <w:divBdr>
        <w:top w:val="none" w:sz="0" w:space="0" w:color="auto"/>
        <w:left w:val="none" w:sz="0" w:space="0" w:color="auto"/>
        <w:bottom w:val="none" w:sz="0" w:space="0" w:color="auto"/>
        <w:right w:val="none" w:sz="0" w:space="0" w:color="auto"/>
      </w:divBdr>
    </w:div>
    <w:div w:id="1465469496">
      <w:bodyDiv w:val="1"/>
      <w:marLeft w:val="0"/>
      <w:marRight w:val="0"/>
      <w:marTop w:val="0"/>
      <w:marBottom w:val="0"/>
      <w:divBdr>
        <w:top w:val="none" w:sz="0" w:space="0" w:color="auto"/>
        <w:left w:val="none" w:sz="0" w:space="0" w:color="auto"/>
        <w:bottom w:val="none" w:sz="0" w:space="0" w:color="auto"/>
        <w:right w:val="none" w:sz="0" w:space="0" w:color="auto"/>
      </w:divBdr>
    </w:div>
    <w:div w:id="1499419937">
      <w:bodyDiv w:val="1"/>
      <w:marLeft w:val="0"/>
      <w:marRight w:val="0"/>
      <w:marTop w:val="0"/>
      <w:marBottom w:val="0"/>
      <w:divBdr>
        <w:top w:val="none" w:sz="0" w:space="0" w:color="auto"/>
        <w:left w:val="none" w:sz="0" w:space="0" w:color="auto"/>
        <w:bottom w:val="none" w:sz="0" w:space="0" w:color="auto"/>
        <w:right w:val="none" w:sz="0" w:space="0" w:color="auto"/>
      </w:divBdr>
    </w:div>
    <w:div w:id="1522818229">
      <w:bodyDiv w:val="1"/>
      <w:marLeft w:val="0"/>
      <w:marRight w:val="0"/>
      <w:marTop w:val="0"/>
      <w:marBottom w:val="0"/>
      <w:divBdr>
        <w:top w:val="none" w:sz="0" w:space="0" w:color="auto"/>
        <w:left w:val="none" w:sz="0" w:space="0" w:color="auto"/>
        <w:bottom w:val="none" w:sz="0" w:space="0" w:color="auto"/>
        <w:right w:val="none" w:sz="0" w:space="0" w:color="auto"/>
      </w:divBdr>
    </w:div>
    <w:div w:id="1527449396">
      <w:bodyDiv w:val="1"/>
      <w:marLeft w:val="0"/>
      <w:marRight w:val="0"/>
      <w:marTop w:val="0"/>
      <w:marBottom w:val="0"/>
      <w:divBdr>
        <w:top w:val="none" w:sz="0" w:space="0" w:color="auto"/>
        <w:left w:val="none" w:sz="0" w:space="0" w:color="auto"/>
        <w:bottom w:val="none" w:sz="0" w:space="0" w:color="auto"/>
        <w:right w:val="none" w:sz="0" w:space="0" w:color="auto"/>
      </w:divBdr>
    </w:div>
    <w:div w:id="1588883428">
      <w:bodyDiv w:val="1"/>
      <w:marLeft w:val="0"/>
      <w:marRight w:val="0"/>
      <w:marTop w:val="0"/>
      <w:marBottom w:val="0"/>
      <w:divBdr>
        <w:top w:val="none" w:sz="0" w:space="0" w:color="auto"/>
        <w:left w:val="none" w:sz="0" w:space="0" w:color="auto"/>
        <w:bottom w:val="none" w:sz="0" w:space="0" w:color="auto"/>
        <w:right w:val="none" w:sz="0" w:space="0" w:color="auto"/>
      </w:divBdr>
    </w:div>
    <w:div w:id="1649358079">
      <w:bodyDiv w:val="1"/>
      <w:marLeft w:val="0"/>
      <w:marRight w:val="0"/>
      <w:marTop w:val="0"/>
      <w:marBottom w:val="0"/>
      <w:divBdr>
        <w:top w:val="none" w:sz="0" w:space="0" w:color="auto"/>
        <w:left w:val="none" w:sz="0" w:space="0" w:color="auto"/>
        <w:bottom w:val="none" w:sz="0" w:space="0" w:color="auto"/>
        <w:right w:val="none" w:sz="0" w:space="0" w:color="auto"/>
      </w:divBdr>
    </w:div>
    <w:div w:id="1734310360">
      <w:bodyDiv w:val="1"/>
      <w:marLeft w:val="0"/>
      <w:marRight w:val="0"/>
      <w:marTop w:val="0"/>
      <w:marBottom w:val="0"/>
      <w:divBdr>
        <w:top w:val="none" w:sz="0" w:space="0" w:color="auto"/>
        <w:left w:val="none" w:sz="0" w:space="0" w:color="auto"/>
        <w:bottom w:val="none" w:sz="0" w:space="0" w:color="auto"/>
        <w:right w:val="none" w:sz="0" w:space="0" w:color="auto"/>
      </w:divBdr>
    </w:div>
    <w:div w:id="1816990646">
      <w:bodyDiv w:val="1"/>
      <w:marLeft w:val="0"/>
      <w:marRight w:val="0"/>
      <w:marTop w:val="0"/>
      <w:marBottom w:val="0"/>
      <w:divBdr>
        <w:top w:val="none" w:sz="0" w:space="0" w:color="auto"/>
        <w:left w:val="none" w:sz="0" w:space="0" w:color="auto"/>
        <w:bottom w:val="none" w:sz="0" w:space="0" w:color="auto"/>
        <w:right w:val="none" w:sz="0" w:space="0" w:color="auto"/>
      </w:divBdr>
    </w:div>
    <w:div w:id="1824353318">
      <w:bodyDiv w:val="1"/>
      <w:marLeft w:val="0"/>
      <w:marRight w:val="0"/>
      <w:marTop w:val="0"/>
      <w:marBottom w:val="0"/>
      <w:divBdr>
        <w:top w:val="none" w:sz="0" w:space="0" w:color="auto"/>
        <w:left w:val="none" w:sz="0" w:space="0" w:color="auto"/>
        <w:bottom w:val="none" w:sz="0" w:space="0" w:color="auto"/>
        <w:right w:val="none" w:sz="0" w:space="0" w:color="auto"/>
      </w:divBdr>
    </w:div>
    <w:div w:id="1911845845">
      <w:bodyDiv w:val="1"/>
      <w:marLeft w:val="0"/>
      <w:marRight w:val="0"/>
      <w:marTop w:val="0"/>
      <w:marBottom w:val="0"/>
      <w:divBdr>
        <w:top w:val="none" w:sz="0" w:space="0" w:color="auto"/>
        <w:left w:val="none" w:sz="0" w:space="0" w:color="auto"/>
        <w:bottom w:val="none" w:sz="0" w:space="0" w:color="auto"/>
        <w:right w:val="none" w:sz="0" w:space="0" w:color="auto"/>
      </w:divBdr>
    </w:div>
    <w:div w:id="1930846820">
      <w:bodyDiv w:val="1"/>
      <w:marLeft w:val="0"/>
      <w:marRight w:val="0"/>
      <w:marTop w:val="0"/>
      <w:marBottom w:val="0"/>
      <w:divBdr>
        <w:top w:val="none" w:sz="0" w:space="0" w:color="auto"/>
        <w:left w:val="none" w:sz="0" w:space="0" w:color="auto"/>
        <w:bottom w:val="none" w:sz="0" w:space="0" w:color="auto"/>
        <w:right w:val="none" w:sz="0" w:space="0" w:color="auto"/>
      </w:divBdr>
    </w:div>
    <w:div w:id="1935900058">
      <w:bodyDiv w:val="1"/>
      <w:marLeft w:val="0"/>
      <w:marRight w:val="0"/>
      <w:marTop w:val="0"/>
      <w:marBottom w:val="0"/>
      <w:divBdr>
        <w:top w:val="none" w:sz="0" w:space="0" w:color="auto"/>
        <w:left w:val="none" w:sz="0" w:space="0" w:color="auto"/>
        <w:bottom w:val="none" w:sz="0" w:space="0" w:color="auto"/>
        <w:right w:val="none" w:sz="0" w:space="0" w:color="auto"/>
      </w:divBdr>
    </w:div>
    <w:div w:id="1998260025">
      <w:bodyDiv w:val="1"/>
      <w:marLeft w:val="0"/>
      <w:marRight w:val="0"/>
      <w:marTop w:val="0"/>
      <w:marBottom w:val="0"/>
      <w:divBdr>
        <w:top w:val="none" w:sz="0" w:space="0" w:color="auto"/>
        <w:left w:val="none" w:sz="0" w:space="0" w:color="auto"/>
        <w:bottom w:val="none" w:sz="0" w:space="0" w:color="auto"/>
        <w:right w:val="none" w:sz="0" w:space="0" w:color="auto"/>
      </w:divBdr>
    </w:div>
    <w:div w:id="199899689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806"/>
          <w:marRight w:val="0"/>
          <w:marTop w:val="200"/>
          <w:marBottom w:val="0"/>
          <w:divBdr>
            <w:top w:val="none" w:sz="0" w:space="0" w:color="auto"/>
            <w:left w:val="none" w:sz="0" w:space="0" w:color="auto"/>
            <w:bottom w:val="none" w:sz="0" w:space="0" w:color="auto"/>
            <w:right w:val="none" w:sz="0" w:space="0" w:color="auto"/>
          </w:divBdr>
        </w:div>
        <w:div w:id="769130678">
          <w:marLeft w:val="806"/>
          <w:marRight w:val="0"/>
          <w:marTop w:val="200"/>
          <w:marBottom w:val="0"/>
          <w:divBdr>
            <w:top w:val="none" w:sz="0" w:space="0" w:color="auto"/>
            <w:left w:val="none" w:sz="0" w:space="0" w:color="auto"/>
            <w:bottom w:val="none" w:sz="0" w:space="0" w:color="auto"/>
            <w:right w:val="none" w:sz="0" w:space="0" w:color="auto"/>
          </w:divBdr>
        </w:div>
        <w:div w:id="1635718018">
          <w:marLeft w:val="806"/>
          <w:marRight w:val="0"/>
          <w:marTop w:val="200"/>
          <w:marBottom w:val="0"/>
          <w:divBdr>
            <w:top w:val="none" w:sz="0" w:space="0" w:color="auto"/>
            <w:left w:val="none" w:sz="0" w:space="0" w:color="auto"/>
            <w:bottom w:val="none" w:sz="0" w:space="0" w:color="auto"/>
            <w:right w:val="none" w:sz="0" w:space="0" w:color="auto"/>
          </w:divBdr>
        </w:div>
        <w:div w:id="1095637301">
          <w:marLeft w:val="806"/>
          <w:marRight w:val="0"/>
          <w:marTop w:val="200"/>
          <w:marBottom w:val="0"/>
          <w:divBdr>
            <w:top w:val="none" w:sz="0" w:space="0" w:color="auto"/>
            <w:left w:val="none" w:sz="0" w:space="0" w:color="auto"/>
            <w:bottom w:val="none" w:sz="0" w:space="0" w:color="auto"/>
            <w:right w:val="none" w:sz="0" w:space="0" w:color="auto"/>
          </w:divBdr>
        </w:div>
        <w:div w:id="140270785">
          <w:marLeft w:val="806"/>
          <w:marRight w:val="0"/>
          <w:marTop w:val="200"/>
          <w:marBottom w:val="0"/>
          <w:divBdr>
            <w:top w:val="none" w:sz="0" w:space="0" w:color="auto"/>
            <w:left w:val="none" w:sz="0" w:space="0" w:color="auto"/>
            <w:bottom w:val="none" w:sz="0" w:space="0" w:color="auto"/>
            <w:right w:val="none" w:sz="0" w:space="0" w:color="auto"/>
          </w:divBdr>
        </w:div>
      </w:divsChild>
    </w:div>
    <w:div w:id="1999993732">
      <w:bodyDiv w:val="1"/>
      <w:marLeft w:val="0"/>
      <w:marRight w:val="0"/>
      <w:marTop w:val="0"/>
      <w:marBottom w:val="0"/>
      <w:divBdr>
        <w:top w:val="none" w:sz="0" w:space="0" w:color="auto"/>
        <w:left w:val="none" w:sz="0" w:space="0" w:color="auto"/>
        <w:bottom w:val="none" w:sz="0" w:space="0" w:color="auto"/>
        <w:right w:val="none" w:sz="0" w:space="0" w:color="auto"/>
      </w:divBdr>
    </w:div>
    <w:div w:id="2005425915">
      <w:bodyDiv w:val="1"/>
      <w:marLeft w:val="0"/>
      <w:marRight w:val="0"/>
      <w:marTop w:val="0"/>
      <w:marBottom w:val="0"/>
      <w:divBdr>
        <w:top w:val="none" w:sz="0" w:space="0" w:color="auto"/>
        <w:left w:val="none" w:sz="0" w:space="0" w:color="auto"/>
        <w:bottom w:val="none" w:sz="0" w:space="0" w:color="auto"/>
        <w:right w:val="none" w:sz="0" w:space="0" w:color="auto"/>
      </w:divBdr>
    </w:div>
    <w:div w:id="2005433371">
      <w:bodyDiv w:val="1"/>
      <w:marLeft w:val="0"/>
      <w:marRight w:val="0"/>
      <w:marTop w:val="0"/>
      <w:marBottom w:val="0"/>
      <w:divBdr>
        <w:top w:val="none" w:sz="0" w:space="0" w:color="auto"/>
        <w:left w:val="none" w:sz="0" w:space="0" w:color="auto"/>
        <w:bottom w:val="none" w:sz="0" w:space="0" w:color="auto"/>
        <w:right w:val="none" w:sz="0" w:space="0" w:color="auto"/>
      </w:divBdr>
    </w:div>
    <w:div w:id="20992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cde.ca.gov/fg/fo/fm/ff.asp"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cde.ca.gov/ci/se/tsel.asp" TargetMode="External"/><Relationship Id="rId34" Type="http://schemas.openxmlformats.org/officeDocument/2006/relationships/footer" Target="footer8.xml"/><Relationship Id="rId42"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de.ca.gov/fg/ac/ic/index.asp" TargetMode="External"/><Relationship Id="rId33" Type="http://schemas.openxmlformats.org/officeDocument/2006/relationships/header" Target="header4.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ucation-first.com/library/publication/advance-sel-in-california-final-report-and-recommendations/" TargetMode="External"/><Relationship Id="rId29" Type="http://schemas.openxmlformats.org/officeDocument/2006/relationships/footer" Target="footer6.xml"/><Relationship Id="rId41" Type="http://schemas.openxmlformats.org/officeDocument/2006/relationships/hyperlink" Target="https://www2.ed.gov/policy/gen/guid/fpco/ferpa/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ag.ca.gov/ab1887" TargetMode="External"/><Relationship Id="rId32" Type="http://schemas.openxmlformats.org/officeDocument/2006/relationships/hyperlink" Target="https://www.cde.ca.gov/fg/ac/ic/" TargetMode="External"/><Relationship Id="rId37" Type="http://schemas.openxmlformats.org/officeDocument/2006/relationships/header" Target="header6.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e.ca.gov/ci/pl/qpls.asp" TargetMode="External"/><Relationship Id="rId28" Type="http://schemas.openxmlformats.org/officeDocument/2006/relationships/hyperlink" Target="https://www.cde.ca.gov/ci/cr/ri/sumspartner.asp"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cde.us/EducationalServices/SLACI/SEL/Pages/default.aspx" TargetMode="External"/><Relationship Id="rId27" Type="http://schemas.openxmlformats.org/officeDocument/2006/relationships/hyperlink" Target="https://www.cde.ca.gov/ci/cr/ri/sumspartner.asp" TargetMode="External"/><Relationship Id="rId30" Type="http://schemas.openxmlformats.org/officeDocument/2006/relationships/hyperlink" Target="https://www.cde.ca.gov/ci/cr/ri/sumspartner.asp" TargetMode="External"/><Relationship Id="rId35" Type="http://schemas.openxmlformats.org/officeDocument/2006/relationships/header" Target="header5.xml"/><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pd/ee/culturallysustainingped.asp" TargetMode="External"/><Relationship Id="rId2" Type="http://schemas.openxmlformats.org/officeDocument/2006/relationships/hyperlink" Target="https://store.samhsa.gov/sites/default/files/d7/priv/sma14-4884.pdf" TargetMode="External"/><Relationship Id="rId1" Type="http://schemas.openxmlformats.org/officeDocument/2006/relationships/hyperlink" Target="https://casel.org/fundamentals-of-sel/" TargetMode="External"/><Relationship Id="rId5" Type="http://schemas.openxmlformats.org/officeDocument/2006/relationships/hyperlink" Target="https://www2.ed.gov/policy/elsec/leg/essa/guidanceuseseinvestment.pdf" TargetMode="External"/><Relationship Id="rId4" Type="http://schemas.openxmlformats.org/officeDocument/2006/relationships/hyperlink" Target="https://www.cde.ca.gov/be/st/ss/documents/ccssmathstandardaug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2" ma:contentTypeDescription="Create a new document." ma:contentTypeScope="" ma:versionID="3cd3092c8d9117bc80c950364b810eb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58958329054f5bdf652207adf6c1a27"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Props1.xml><?xml version="1.0" encoding="utf-8"?>
<ds:datastoreItem xmlns:ds="http://schemas.openxmlformats.org/officeDocument/2006/customXml" ds:itemID="{E6343030-FDDC-4AB4-84ED-129AF2282E66}">
  <ds:schemaRefs>
    <ds:schemaRef ds:uri="http://schemas.openxmlformats.org/officeDocument/2006/bibliography"/>
  </ds:schemaRefs>
</ds:datastoreItem>
</file>

<file path=customXml/itemProps2.xml><?xml version="1.0" encoding="utf-8"?>
<ds:datastoreItem xmlns:ds="http://schemas.openxmlformats.org/officeDocument/2006/customXml" ds:itemID="{C856DF0C-11EA-420E-AF29-B9768124E74E}">
  <ds:schemaRefs>
    <ds:schemaRef ds:uri="http://schemas.microsoft.com/sharepoint/v3/contenttype/forms"/>
  </ds:schemaRefs>
</ds:datastoreItem>
</file>

<file path=customXml/itemProps3.xml><?xml version="1.0" encoding="utf-8"?>
<ds:datastoreItem xmlns:ds="http://schemas.openxmlformats.org/officeDocument/2006/customXml" ds:itemID="{05D3FF91-CE0F-40AD-960D-ECD7E40BF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8F2F1-6B07-4004-AF95-59AA385341D7}">
  <ds:schemaRefs>
    <ds:schemaRef ds:uri="http://schemas.microsoft.com/office/2006/metadata/properties"/>
    <ds:schemaRef ds:uri="http://schemas.microsoft.com/office/infopath/2007/PartnerControls"/>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54</Pages>
  <Words>15272</Words>
  <Characters>87056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RFA-21: SUMS Partner Entity (CA Dept of Education)</vt:lpstr>
    </vt:vector>
  </TitlesOfParts>
  <Company/>
  <LinksUpToDate>false</LinksUpToDate>
  <CharactersWithSpaces>102124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SUMS Partner Entity (CA Dept of Education)</dc:title>
  <dc:subject>Request for applications for the Scaling Up Multi-tiered System of Support Statewide (SUMS) Partner Entity for fiscal year 2021-22. Funding supports professional learning.</dc:subject>
  <dc:creator/>
  <cp:keywords/>
  <dc:description/>
  <cp:lastModifiedBy>Kathryn Slaven</cp:lastModifiedBy>
  <cp:revision>10</cp:revision>
  <cp:lastPrinted>2020-03-04T21:31:00Z</cp:lastPrinted>
  <dcterms:created xsi:type="dcterms:W3CDTF">2021-11-03T21:54:00Z</dcterms:created>
  <dcterms:modified xsi:type="dcterms:W3CDTF">2024-08-06T18:11:00Z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c60fd115b8389b60035083cf464ef2f6477f6591b922032ea5ad016404efcb39</vt:lpwstr>
  </property>
</Properties>
</file>