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7DFFA" w14:textId="77777777" w:rsidR="00B22457" w:rsidRPr="00E94E4A" w:rsidRDefault="00B22457" w:rsidP="00E94E4A">
      <w:pPr>
        <w:pStyle w:val="Heading1"/>
      </w:pPr>
      <w:bookmarkStart w:id="0" w:name="_Toc110500223"/>
      <w:bookmarkStart w:id="1" w:name="_Toc111021112"/>
      <w:bookmarkStart w:id="2" w:name="_Toc195865062"/>
      <w:bookmarkStart w:id="3" w:name="_Toc200606694"/>
      <w:r w:rsidRPr="00E94E4A">
        <w:t>Career Technical Education Incentive Grant</w:t>
      </w:r>
      <w:bookmarkEnd w:id="0"/>
      <w:bookmarkEnd w:id="1"/>
      <w:bookmarkEnd w:id="2"/>
      <w:bookmarkEnd w:id="3"/>
    </w:p>
    <w:p w14:paraId="176835B1" w14:textId="77777777" w:rsidR="00B22457" w:rsidRPr="00567BF3" w:rsidRDefault="00B22457" w:rsidP="00567BF3">
      <w:pPr>
        <w:spacing w:after="840" w:line="276" w:lineRule="auto"/>
        <w:ind w:left="1440" w:right="1440"/>
        <w:jc w:val="center"/>
        <w:rPr>
          <w:bCs/>
        </w:rPr>
      </w:pPr>
      <w:r w:rsidRPr="00567BF3">
        <w:rPr>
          <w:bCs/>
          <w:noProof/>
        </w:rPr>
        <w:drawing>
          <wp:inline distT="0" distB="0" distL="0" distR="0" wp14:anchorId="1F863257" wp14:editId="7A45FC0F">
            <wp:extent cx="2028825" cy="2038350"/>
            <wp:effectExtent l="0" t="0" r="0" b="0"/>
            <wp:docPr id="13" name="image3.png" descr="California Department of Education Seal"/>
            <wp:cNvGraphicFramePr/>
            <a:graphic xmlns:a="http://schemas.openxmlformats.org/drawingml/2006/main">
              <a:graphicData uri="http://schemas.openxmlformats.org/drawingml/2006/picture">
                <pic:pic xmlns:pic="http://schemas.openxmlformats.org/drawingml/2006/picture">
                  <pic:nvPicPr>
                    <pic:cNvPr id="0" name="image3.png" descr="California Department of Education Seal"/>
                    <pic:cNvPicPr preferRelativeResize="0"/>
                  </pic:nvPicPr>
                  <pic:blipFill>
                    <a:blip r:embed="rId8"/>
                    <a:srcRect/>
                    <a:stretch>
                      <a:fillRect/>
                    </a:stretch>
                  </pic:blipFill>
                  <pic:spPr>
                    <a:xfrm>
                      <a:off x="0" y="0"/>
                      <a:ext cx="2028825" cy="2038350"/>
                    </a:xfrm>
                    <a:prstGeom prst="rect">
                      <a:avLst/>
                    </a:prstGeom>
                    <a:ln/>
                  </pic:spPr>
                </pic:pic>
              </a:graphicData>
            </a:graphic>
          </wp:inline>
        </w:drawing>
      </w:r>
    </w:p>
    <w:p w14:paraId="13E07FCD" w14:textId="77777777" w:rsidR="00B22457" w:rsidRPr="00567BF3" w:rsidRDefault="00B22457" w:rsidP="00567BF3">
      <w:pPr>
        <w:spacing w:line="276" w:lineRule="auto"/>
        <w:ind w:left="1440" w:right="1440"/>
        <w:jc w:val="center"/>
        <w:rPr>
          <w:bCs/>
          <w:sz w:val="36"/>
          <w:szCs w:val="36"/>
        </w:rPr>
      </w:pPr>
      <w:r w:rsidRPr="00567BF3">
        <w:rPr>
          <w:bCs/>
          <w:sz w:val="36"/>
          <w:szCs w:val="36"/>
        </w:rPr>
        <w:t>California Department of Education</w:t>
      </w:r>
    </w:p>
    <w:p w14:paraId="26938D4D" w14:textId="77777777" w:rsidR="00B22457" w:rsidRPr="00567BF3" w:rsidRDefault="00B22457" w:rsidP="00567BF3">
      <w:pPr>
        <w:pBdr>
          <w:top w:val="nil"/>
          <w:left w:val="nil"/>
          <w:bottom w:val="nil"/>
          <w:right w:val="nil"/>
          <w:between w:val="nil"/>
        </w:pBdr>
        <w:spacing w:line="276" w:lineRule="auto"/>
        <w:jc w:val="center"/>
        <w:rPr>
          <w:bCs/>
          <w:color w:val="000000"/>
          <w:sz w:val="36"/>
          <w:szCs w:val="36"/>
        </w:rPr>
      </w:pPr>
      <w:r w:rsidRPr="00567BF3">
        <w:rPr>
          <w:bCs/>
          <w:color w:val="000000"/>
          <w:sz w:val="36"/>
          <w:szCs w:val="36"/>
        </w:rPr>
        <w:t>Request for Applications</w:t>
      </w:r>
    </w:p>
    <w:p w14:paraId="05A094CC" w14:textId="09472FFE" w:rsidR="00B22457" w:rsidRPr="00567BF3" w:rsidRDefault="00B22457" w:rsidP="00567BF3">
      <w:pPr>
        <w:spacing w:after="960" w:line="276" w:lineRule="auto"/>
        <w:ind w:left="1440" w:right="1440"/>
        <w:jc w:val="center"/>
        <w:rPr>
          <w:bCs/>
          <w:sz w:val="36"/>
          <w:szCs w:val="36"/>
        </w:rPr>
      </w:pPr>
      <w:r w:rsidRPr="00567BF3">
        <w:rPr>
          <w:bCs/>
          <w:sz w:val="36"/>
          <w:szCs w:val="36"/>
        </w:rPr>
        <w:t>2026–27</w:t>
      </w:r>
    </w:p>
    <w:p w14:paraId="4C76F9E3" w14:textId="77777777" w:rsidR="00B22457" w:rsidRPr="00567BF3" w:rsidRDefault="00B22457" w:rsidP="00567BF3">
      <w:pPr>
        <w:widowControl w:val="0"/>
        <w:spacing w:before="0" w:after="0" w:line="276" w:lineRule="auto"/>
        <w:jc w:val="center"/>
        <w:rPr>
          <w:bCs/>
        </w:rPr>
      </w:pPr>
      <w:r w:rsidRPr="00567BF3">
        <w:rPr>
          <w:bCs/>
        </w:rPr>
        <w:t>Administered by the</w:t>
      </w:r>
    </w:p>
    <w:p w14:paraId="0B5D461F" w14:textId="77777777" w:rsidR="00B22457" w:rsidRPr="00567BF3" w:rsidRDefault="00B22457" w:rsidP="00567BF3">
      <w:pPr>
        <w:widowControl w:val="0"/>
        <w:spacing w:before="0" w:after="0" w:line="276" w:lineRule="auto"/>
        <w:jc w:val="center"/>
        <w:rPr>
          <w:bCs/>
        </w:rPr>
      </w:pPr>
      <w:r w:rsidRPr="00567BF3">
        <w:rPr>
          <w:bCs/>
        </w:rPr>
        <w:t>California Department of Education</w:t>
      </w:r>
    </w:p>
    <w:p w14:paraId="1457BFC6" w14:textId="77777777" w:rsidR="00B22457" w:rsidRPr="00567BF3" w:rsidRDefault="00B22457" w:rsidP="00567BF3">
      <w:pPr>
        <w:widowControl w:val="0"/>
        <w:spacing w:before="0" w:after="0" w:line="276" w:lineRule="auto"/>
        <w:jc w:val="center"/>
        <w:rPr>
          <w:bCs/>
        </w:rPr>
      </w:pPr>
      <w:r w:rsidRPr="00567BF3">
        <w:rPr>
          <w:bCs/>
        </w:rPr>
        <w:t>Career and College Transition Division</w:t>
      </w:r>
    </w:p>
    <w:p w14:paraId="0564BE5D" w14:textId="77777777" w:rsidR="00B22457" w:rsidRPr="00567BF3" w:rsidRDefault="00B22457" w:rsidP="00567BF3">
      <w:pPr>
        <w:widowControl w:val="0"/>
        <w:spacing w:before="0" w:after="0" w:line="276" w:lineRule="auto"/>
        <w:jc w:val="center"/>
        <w:rPr>
          <w:bCs/>
        </w:rPr>
      </w:pPr>
      <w:r w:rsidRPr="00567BF3">
        <w:rPr>
          <w:bCs/>
        </w:rPr>
        <w:t>Career Technical Education Leadership Office</w:t>
      </w:r>
    </w:p>
    <w:p w14:paraId="04E7A871" w14:textId="77777777" w:rsidR="00B22457" w:rsidRPr="00567BF3" w:rsidRDefault="00B22457" w:rsidP="00567BF3">
      <w:pPr>
        <w:widowControl w:val="0"/>
        <w:spacing w:before="0" w:after="0" w:line="276" w:lineRule="auto"/>
        <w:jc w:val="center"/>
        <w:rPr>
          <w:bCs/>
        </w:rPr>
      </w:pPr>
      <w:r w:rsidRPr="00567BF3">
        <w:rPr>
          <w:bCs/>
        </w:rPr>
        <w:t>1430 N Street, Suite 4202</w:t>
      </w:r>
    </w:p>
    <w:p w14:paraId="4635A26F" w14:textId="77777777" w:rsidR="00B22457" w:rsidRPr="00567BF3" w:rsidRDefault="00B22457" w:rsidP="00567BF3">
      <w:pPr>
        <w:widowControl w:val="0"/>
        <w:spacing w:before="0" w:after="0" w:line="276" w:lineRule="auto"/>
        <w:jc w:val="center"/>
        <w:rPr>
          <w:bCs/>
        </w:rPr>
      </w:pPr>
      <w:r w:rsidRPr="00567BF3">
        <w:rPr>
          <w:bCs/>
        </w:rPr>
        <w:t>Sacramento, CA 95814–5901</w:t>
      </w:r>
    </w:p>
    <w:p w14:paraId="12A55CAF" w14:textId="2FC3789D" w:rsidR="00B22457" w:rsidRPr="00567BF3" w:rsidRDefault="000B71BA" w:rsidP="00567BF3">
      <w:pPr>
        <w:widowControl w:val="0"/>
        <w:spacing w:line="276" w:lineRule="auto"/>
        <w:jc w:val="center"/>
        <w:rPr>
          <w:bCs/>
        </w:rPr>
      </w:pPr>
      <w:r w:rsidRPr="00095950">
        <w:rPr>
          <w:bCs/>
        </w:rPr>
        <w:t>May</w:t>
      </w:r>
      <w:r w:rsidR="00B22457" w:rsidRPr="00567BF3">
        <w:rPr>
          <w:bCs/>
        </w:rPr>
        <w:t xml:space="preserve"> 2026</w:t>
      </w:r>
    </w:p>
    <w:p w14:paraId="4EC15DD1" w14:textId="77777777" w:rsidR="00F161E2" w:rsidRPr="00567BF3" w:rsidRDefault="00F161E2" w:rsidP="00567BF3">
      <w:pPr>
        <w:rPr>
          <w:bCs/>
        </w:rPr>
        <w:sectPr w:rsidR="00F161E2" w:rsidRPr="00567BF3" w:rsidSect="00F161E2">
          <w:footerReference w:type="default" r:id="rId9"/>
          <w:pgSz w:w="12240" w:h="15840"/>
          <w:pgMar w:top="1440" w:right="1502" w:bottom="1440" w:left="1501" w:header="720" w:footer="720" w:gutter="0"/>
          <w:pgNumType w:start="1"/>
          <w:cols w:space="720"/>
          <w:docGrid w:linePitch="360"/>
        </w:sectPr>
      </w:pPr>
    </w:p>
    <w:sdt>
      <w:sdtPr>
        <w:rPr>
          <w:rFonts w:eastAsiaTheme="minorHAnsi"/>
          <w:b/>
          <w:kern w:val="2"/>
          <w:sz w:val="24"/>
          <w:szCs w:val="24"/>
          <w14:ligatures w14:val="standardContextual"/>
        </w:rPr>
        <w:id w:val="-1518379086"/>
        <w:docPartObj>
          <w:docPartGallery w:val="Table of Contents"/>
          <w:docPartUnique/>
        </w:docPartObj>
      </w:sdtPr>
      <w:sdtEndPr>
        <w:rPr>
          <w:b w:val="0"/>
          <w:bCs/>
          <w:noProof/>
        </w:rPr>
      </w:sdtEndPr>
      <w:sdtContent>
        <w:p w14:paraId="10CBA09F" w14:textId="65679B5D" w:rsidR="00494D5F" w:rsidRPr="00567BF3" w:rsidRDefault="00494D5F" w:rsidP="00B40C59">
          <w:pPr>
            <w:pStyle w:val="TOCHeading"/>
            <w:spacing w:before="0"/>
          </w:pPr>
          <w:r w:rsidRPr="00567BF3">
            <w:t>Contents</w:t>
          </w:r>
        </w:p>
        <w:p w14:paraId="03F85781" w14:textId="7AF9768B" w:rsidR="00BE4089" w:rsidRDefault="00494D5F" w:rsidP="00D909EE">
          <w:pPr>
            <w:pStyle w:val="TOC2"/>
            <w:rPr>
              <w:rFonts w:asciiTheme="minorHAnsi" w:eastAsiaTheme="minorEastAsia" w:hAnsiTheme="minorHAnsi" w:cstheme="minorBidi"/>
              <w:noProof/>
            </w:rPr>
          </w:pPr>
          <w:r w:rsidRPr="00567BF3">
            <w:fldChar w:fldCharType="begin"/>
          </w:r>
          <w:r w:rsidRPr="00567BF3">
            <w:instrText xml:space="preserve"> TOC \o "1-3" \h \z \u </w:instrText>
          </w:r>
          <w:r w:rsidRPr="00567BF3">
            <w:fldChar w:fldCharType="separate"/>
          </w:r>
          <w:hyperlink w:anchor="_Toc228885199" w:history="1">
            <w:r w:rsidR="00BE4089" w:rsidRPr="007C16A7">
              <w:rPr>
                <w:rStyle w:val="Hyperlink"/>
                <w:noProof/>
              </w:rPr>
              <w:t>INTRODUCTION</w:t>
            </w:r>
            <w:r w:rsidR="00BE4089">
              <w:rPr>
                <w:noProof/>
                <w:webHidden/>
              </w:rPr>
              <w:tab/>
            </w:r>
            <w:r w:rsidR="00BE4089">
              <w:rPr>
                <w:noProof/>
                <w:webHidden/>
              </w:rPr>
              <w:fldChar w:fldCharType="begin"/>
            </w:r>
            <w:r w:rsidR="00BE4089">
              <w:rPr>
                <w:noProof/>
                <w:webHidden/>
              </w:rPr>
              <w:instrText xml:space="preserve"> PAGEREF _Toc228885199 \h </w:instrText>
            </w:r>
            <w:r w:rsidR="00BE4089">
              <w:rPr>
                <w:noProof/>
                <w:webHidden/>
              </w:rPr>
            </w:r>
            <w:r w:rsidR="00BE4089">
              <w:rPr>
                <w:noProof/>
                <w:webHidden/>
              </w:rPr>
              <w:fldChar w:fldCharType="separate"/>
            </w:r>
            <w:r w:rsidR="00D909EE">
              <w:rPr>
                <w:noProof/>
                <w:webHidden/>
              </w:rPr>
              <w:t>1</w:t>
            </w:r>
            <w:r w:rsidR="00BE4089">
              <w:rPr>
                <w:noProof/>
                <w:webHidden/>
              </w:rPr>
              <w:fldChar w:fldCharType="end"/>
            </w:r>
          </w:hyperlink>
        </w:p>
        <w:p w14:paraId="69419BEB" w14:textId="300321A7" w:rsidR="00BE4089" w:rsidRDefault="00BE4089" w:rsidP="00D909EE">
          <w:pPr>
            <w:pStyle w:val="TOC2"/>
            <w:rPr>
              <w:rFonts w:asciiTheme="minorHAnsi" w:eastAsiaTheme="minorEastAsia" w:hAnsiTheme="minorHAnsi" w:cstheme="minorBidi"/>
              <w:noProof/>
            </w:rPr>
          </w:pPr>
          <w:hyperlink w:anchor="_Toc228885200" w:history="1">
            <w:r w:rsidRPr="007C16A7">
              <w:rPr>
                <w:rStyle w:val="Hyperlink"/>
                <w:noProof/>
              </w:rPr>
              <w:t>STATUTORY REFERENCES</w:t>
            </w:r>
            <w:r>
              <w:rPr>
                <w:noProof/>
                <w:webHidden/>
              </w:rPr>
              <w:tab/>
            </w:r>
            <w:r>
              <w:rPr>
                <w:noProof/>
                <w:webHidden/>
              </w:rPr>
              <w:fldChar w:fldCharType="begin"/>
            </w:r>
            <w:r>
              <w:rPr>
                <w:noProof/>
                <w:webHidden/>
              </w:rPr>
              <w:instrText xml:space="preserve"> PAGEREF _Toc228885200 \h </w:instrText>
            </w:r>
            <w:r>
              <w:rPr>
                <w:noProof/>
                <w:webHidden/>
              </w:rPr>
            </w:r>
            <w:r>
              <w:rPr>
                <w:noProof/>
                <w:webHidden/>
              </w:rPr>
              <w:fldChar w:fldCharType="separate"/>
            </w:r>
            <w:r w:rsidR="00D909EE">
              <w:rPr>
                <w:noProof/>
                <w:webHidden/>
              </w:rPr>
              <w:t>1</w:t>
            </w:r>
            <w:r>
              <w:rPr>
                <w:noProof/>
                <w:webHidden/>
              </w:rPr>
              <w:fldChar w:fldCharType="end"/>
            </w:r>
          </w:hyperlink>
        </w:p>
        <w:p w14:paraId="15077F15" w14:textId="3961811F" w:rsidR="00BE4089" w:rsidRDefault="00BE4089" w:rsidP="00D909EE">
          <w:pPr>
            <w:pStyle w:val="TOC2"/>
            <w:rPr>
              <w:rFonts w:asciiTheme="minorHAnsi" w:eastAsiaTheme="minorEastAsia" w:hAnsiTheme="minorHAnsi" w:cstheme="minorBidi"/>
              <w:noProof/>
            </w:rPr>
          </w:pPr>
          <w:hyperlink w:anchor="_Toc228885201" w:history="1">
            <w:r w:rsidRPr="007C16A7">
              <w:rPr>
                <w:rStyle w:val="Hyperlink"/>
                <w:noProof/>
              </w:rPr>
              <w:t>GRANT AP</w:t>
            </w:r>
            <w:r w:rsidR="00D909EE">
              <w:rPr>
                <w:rStyle w:val="Hyperlink"/>
                <w:noProof/>
              </w:rPr>
              <w:t>P</w:t>
            </w:r>
            <w:r w:rsidRPr="007C16A7">
              <w:rPr>
                <w:rStyle w:val="Hyperlink"/>
                <w:noProof/>
              </w:rPr>
              <w:t>LICATION TIMELINE</w:t>
            </w:r>
            <w:r>
              <w:rPr>
                <w:noProof/>
                <w:webHidden/>
              </w:rPr>
              <w:tab/>
            </w:r>
            <w:r>
              <w:rPr>
                <w:noProof/>
                <w:webHidden/>
              </w:rPr>
              <w:fldChar w:fldCharType="begin"/>
            </w:r>
            <w:r>
              <w:rPr>
                <w:noProof/>
                <w:webHidden/>
              </w:rPr>
              <w:instrText xml:space="preserve"> PAGEREF _Toc228885201 \h </w:instrText>
            </w:r>
            <w:r>
              <w:rPr>
                <w:noProof/>
                <w:webHidden/>
              </w:rPr>
            </w:r>
            <w:r>
              <w:rPr>
                <w:noProof/>
                <w:webHidden/>
              </w:rPr>
              <w:fldChar w:fldCharType="separate"/>
            </w:r>
            <w:r w:rsidR="00D909EE">
              <w:rPr>
                <w:noProof/>
                <w:webHidden/>
              </w:rPr>
              <w:t>1</w:t>
            </w:r>
            <w:r>
              <w:rPr>
                <w:noProof/>
                <w:webHidden/>
              </w:rPr>
              <w:fldChar w:fldCharType="end"/>
            </w:r>
          </w:hyperlink>
        </w:p>
        <w:p w14:paraId="5BA31401" w14:textId="3EFB286D" w:rsidR="00BE4089" w:rsidRDefault="00BE4089" w:rsidP="00D909EE">
          <w:pPr>
            <w:pStyle w:val="TOC2"/>
            <w:rPr>
              <w:rFonts w:asciiTheme="minorHAnsi" w:eastAsiaTheme="minorEastAsia" w:hAnsiTheme="minorHAnsi" w:cstheme="minorBidi"/>
              <w:noProof/>
            </w:rPr>
          </w:pPr>
          <w:hyperlink w:anchor="_Toc228885202" w:history="1">
            <w:r w:rsidRPr="007C16A7">
              <w:rPr>
                <w:rStyle w:val="Hyperlink"/>
                <w:noProof/>
              </w:rPr>
              <w:t>FUNDING DISTRIBUTION</w:t>
            </w:r>
            <w:r>
              <w:rPr>
                <w:noProof/>
                <w:webHidden/>
              </w:rPr>
              <w:tab/>
            </w:r>
            <w:r>
              <w:rPr>
                <w:noProof/>
                <w:webHidden/>
              </w:rPr>
              <w:fldChar w:fldCharType="begin"/>
            </w:r>
            <w:r>
              <w:rPr>
                <w:noProof/>
                <w:webHidden/>
              </w:rPr>
              <w:instrText xml:space="preserve"> PAGEREF _Toc228885202 \h </w:instrText>
            </w:r>
            <w:r>
              <w:rPr>
                <w:noProof/>
                <w:webHidden/>
              </w:rPr>
            </w:r>
            <w:r>
              <w:rPr>
                <w:noProof/>
                <w:webHidden/>
              </w:rPr>
              <w:fldChar w:fldCharType="separate"/>
            </w:r>
            <w:r w:rsidR="00D909EE">
              <w:rPr>
                <w:noProof/>
                <w:webHidden/>
              </w:rPr>
              <w:t>1</w:t>
            </w:r>
            <w:r>
              <w:rPr>
                <w:noProof/>
                <w:webHidden/>
              </w:rPr>
              <w:fldChar w:fldCharType="end"/>
            </w:r>
          </w:hyperlink>
        </w:p>
        <w:p w14:paraId="1A43603A" w14:textId="1BD1CA57" w:rsidR="00BE4089" w:rsidRDefault="00BE4089" w:rsidP="00D909EE">
          <w:pPr>
            <w:pStyle w:val="TOC2"/>
            <w:rPr>
              <w:rFonts w:asciiTheme="minorHAnsi" w:eastAsiaTheme="minorEastAsia" w:hAnsiTheme="minorHAnsi" w:cstheme="minorBidi"/>
              <w:noProof/>
            </w:rPr>
          </w:pPr>
          <w:hyperlink w:anchor="_Toc228885203" w:history="1">
            <w:r w:rsidRPr="007C16A7">
              <w:rPr>
                <w:rStyle w:val="Hyperlink"/>
                <w:noProof/>
              </w:rPr>
              <w:t>APPLICANT ELIGIBILITY</w:t>
            </w:r>
            <w:r>
              <w:rPr>
                <w:noProof/>
                <w:webHidden/>
              </w:rPr>
              <w:tab/>
            </w:r>
            <w:r>
              <w:rPr>
                <w:noProof/>
                <w:webHidden/>
              </w:rPr>
              <w:fldChar w:fldCharType="begin"/>
            </w:r>
            <w:r>
              <w:rPr>
                <w:noProof/>
                <w:webHidden/>
              </w:rPr>
              <w:instrText xml:space="preserve"> PAGEREF _Toc228885203 \h </w:instrText>
            </w:r>
            <w:r>
              <w:rPr>
                <w:noProof/>
                <w:webHidden/>
              </w:rPr>
            </w:r>
            <w:r>
              <w:rPr>
                <w:noProof/>
                <w:webHidden/>
              </w:rPr>
              <w:fldChar w:fldCharType="separate"/>
            </w:r>
            <w:r w:rsidR="00D909EE">
              <w:rPr>
                <w:noProof/>
                <w:webHidden/>
              </w:rPr>
              <w:t>2</w:t>
            </w:r>
            <w:r>
              <w:rPr>
                <w:noProof/>
                <w:webHidden/>
              </w:rPr>
              <w:fldChar w:fldCharType="end"/>
            </w:r>
          </w:hyperlink>
        </w:p>
        <w:p w14:paraId="25CF6032" w14:textId="1434645C" w:rsidR="00BE4089" w:rsidRDefault="00BE4089">
          <w:pPr>
            <w:pStyle w:val="TOC3"/>
            <w:rPr>
              <w:rFonts w:asciiTheme="minorHAnsi" w:eastAsiaTheme="minorEastAsia" w:hAnsiTheme="minorHAnsi" w:cstheme="minorBidi"/>
              <w:noProof/>
            </w:rPr>
          </w:pPr>
          <w:hyperlink w:anchor="_Toc228885204" w:history="1">
            <w:r w:rsidRPr="007C16A7">
              <w:rPr>
                <w:rStyle w:val="Hyperlink"/>
                <w:noProof/>
              </w:rPr>
              <w:t>Eligible Applicants</w:t>
            </w:r>
            <w:r>
              <w:rPr>
                <w:noProof/>
                <w:webHidden/>
              </w:rPr>
              <w:tab/>
            </w:r>
            <w:r>
              <w:rPr>
                <w:noProof/>
                <w:webHidden/>
              </w:rPr>
              <w:fldChar w:fldCharType="begin"/>
            </w:r>
            <w:r>
              <w:rPr>
                <w:noProof/>
                <w:webHidden/>
              </w:rPr>
              <w:instrText xml:space="preserve"> PAGEREF _Toc228885204 \h </w:instrText>
            </w:r>
            <w:r>
              <w:rPr>
                <w:noProof/>
                <w:webHidden/>
              </w:rPr>
            </w:r>
            <w:r>
              <w:rPr>
                <w:noProof/>
                <w:webHidden/>
              </w:rPr>
              <w:fldChar w:fldCharType="separate"/>
            </w:r>
            <w:r w:rsidR="00D909EE">
              <w:rPr>
                <w:noProof/>
                <w:webHidden/>
              </w:rPr>
              <w:t>2</w:t>
            </w:r>
            <w:r>
              <w:rPr>
                <w:noProof/>
                <w:webHidden/>
              </w:rPr>
              <w:fldChar w:fldCharType="end"/>
            </w:r>
          </w:hyperlink>
        </w:p>
        <w:p w14:paraId="1FAA30D0" w14:textId="6E3738D4" w:rsidR="00BE4089" w:rsidRDefault="00BE4089">
          <w:pPr>
            <w:pStyle w:val="TOC3"/>
            <w:rPr>
              <w:rFonts w:asciiTheme="minorHAnsi" w:eastAsiaTheme="minorEastAsia" w:hAnsiTheme="minorHAnsi" w:cstheme="minorBidi"/>
              <w:noProof/>
            </w:rPr>
          </w:pPr>
          <w:hyperlink w:anchor="_Toc228885205" w:history="1">
            <w:r w:rsidRPr="007C16A7">
              <w:rPr>
                <w:rStyle w:val="Hyperlink"/>
                <w:noProof/>
              </w:rPr>
              <w:t>Applicant Type Designation</w:t>
            </w:r>
            <w:r>
              <w:rPr>
                <w:noProof/>
                <w:webHidden/>
              </w:rPr>
              <w:tab/>
            </w:r>
            <w:r>
              <w:rPr>
                <w:noProof/>
                <w:webHidden/>
              </w:rPr>
              <w:fldChar w:fldCharType="begin"/>
            </w:r>
            <w:r>
              <w:rPr>
                <w:noProof/>
                <w:webHidden/>
              </w:rPr>
              <w:instrText xml:space="preserve"> PAGEREF _Toc228885205 \h </w:instrText>
            </w:r>
            <w:r>
              <w:rPr>
                <w:noProof/>
                <w:webHidden/>
              </w:rPr>
            </w:r>
            <w:r>
              <w:rPr>
                <w:noProof/>
                <w:webHidden/>
              </w:rPr>
              <w:fldChar w:fldCharType="separate"/>
            </w:r>
            <w:r w:rsidR="00D909EE">
              <w:rPr>
                <w:noProof/>
                <w:webHidden/>
              </w:rPr>
              <w:t>2</w:t>
            </w:r>
            <w:r>
              <w:rPr>
                <w:noProof/>
                <w:webHidden/>
              </w:rPr>
              <w:fldChar w:fldCharType="end"/>
            </w:r>
          </w:hyperlink>
        </w:p>
        <w:p w14:paraId="5F1F5C73" w14:textId="69B91CC8" w:rsidR="00BE4089" w:rsidRDefault="00BE4089" w:rsidP="00D909EE">
          <w:pPr>
            <w:pStyle w:val="TOC2"/>
            <w:rPr>
              <w:rFonts w:asciiTheme="minorHAnsi" w:eastAsiaTheme="minorEastAsia" w:hAnsiTheme="minorHAnsi" w:cstheme="minorBidi"/>
              <w:noProof/>
            </w:rPr>
          </w:pPr>
          <w:hyperlink w:anchor="_Toc228885206" w:history="1">
            <w:r w:rsidRPr="007C16A7">
              <w:rPr>
                <w:rStyle w:val="Hyperlink"/>
                <w:noProof/>
              </w:rPr>
              <w:t>CTEIG MATCH AND PROGRAM REQUIREMENTS</w:t>
            </w:r>
            <w:r>
              <w:rPr>
                <w:noProof/>
                <w:webHidden/>
              </w:rPr>
              <w:tab/>
            </w:r>
            <w:r>
              <w:rPr>
                <w:noProof/>
                <w:webHidden/>
              </w:rPr>
              <w:fldChar w:fldCharType="begin"/>
            </w:r>
            <w:r>
              <w:rPr>
                <w:noProof/>
                <w:webHidden/>
              </w:rPr>
              <w:instrText xml:space="preserve"> PAGEREF _Toc228885206 \h </w:instrText>
            </w:r>
            <w:r>
              <w:rPr>
                <w:noProof/>
                <w:webHidden/>
              </w:rPr>
            </w:r>
            <w:r>
              <w:rPr>
                <w:noProof/>
                <w:webHidden/>
              </w:rPr>
              <w:fldChar w:fldCharType="separate"/>
            </w:r>
            <w:r w:rsidR="00D909EE">
              <w:rPr>
                <w:noProof/>
                <w:webHidden/>
              </w:rPr>
              <w:t>3</w:t>
            </w:r>
            <w:r>
              <w:rPr>
                <w:noProof/>
                <w:webHidden/>
              </w:rPr>
              <w:fldChar w:fldCharType="end"/>
            </w:r>
          </w:hyperlink>
        </w:p>
        <w:p w14:paraId="512A8D28" w14:textId="5017C766" w:rsidR="00BE4089" w:rsidRDefault="00BE4089">
          <w:pPr>
            <w:pStyle w:val="TOC3"/>
            <w:rPr>
              <w:rFonts w:asciiTheme="minorHAnsi" w:eastAsiaTheme="minorEastAsia" w:hAnsiTheme="minorHAnsi" w:cstheme="minorBidi"/>
              <w:noProof/>
            </w:rPr>
          </w:pPr>
          <w:hyperlink w:anchor="_Toc228885207" w:history="1">
            <w:r w:rsidRPr="007C16A7">
              <w:rPr>
                <w:rStyle w:val="Hyperlink"/>
                <w:noProof/>
              </w:rPr>
              <w:t>CTEIG Match Requirements</w:t>
            </w:r>
            <w:r>
              <w:rPr>
                <w:noProof/>
                <w:webHidden/>
              </w:rPr>
              <w:tab/>
            </w:r>
            <w:r>
              <w:rPr>
                <w:noProof/>
                <w:webHidden/>
              </w:rPr>
              <w:fldChar w:fldCharType="begin"/>
            </w:r>
            <w:r>
              <w:rPr>
                <w:noProof/>
                <w:webHidden/>
              </w:rPr>
              <w:instrText xml:space="preserve"> PAGEREF _Toc228885207 \h </w:instrText>
            </w:r>
            <w:r>
              <w:rPr>
                <w:noProof/>
                <w:webHidden/>
              </w:rPr>
            </w:r>
            <w:r>
              <w:rPr>
                <w:noProof/>
                <w:webHidden/>
              </w:rPr>
              <w:fldChar w:fldCharType="separate"/>
            </w:r>
            <w:r w:rsidR="00D909EE">
              <w:rPr>
                <w:noProof/>
                <w:webHidden/>
              </w:rPr>
              <w:t>3</w:t>
            </w:r>
            <w:r>
              <w:rPr>
                <w:noProof/>
                <w:webHidden/>
              </w:rPr>
              <w:fldChar w:fldCharType="end"/>
            </w:r>
          </w:hyperlink>
        </w:p>
        <w:p w14:paraId="68760827" w14:textId="3C13A22E" w:rsidR="00BE4089" w:rsidRDefault="00BE4089">
          <w:pPr>
            <w:pStyle w:val="TOC3"/>
            <w:rPr>
              <w:rFonts w:asciiTheme="minorHAnsi" w:eastAsiaTheme="minorEastAsia" w:hAnsiTheme="minorHAnsi" w:cstheme="minorBidi"/>
              <w:noProof/>
            </w:rPr>
          </w:pPr>
          <w:hyperlink w:anchor="_Toc228885208" w:history="1">
            <w:r w:rsidRPr="007C16A7">
              <w:rPr>
                <w:rStyle w:val="Hyperlink"/>
                <w:noProof/>
              </w:rPr>
              <w:t>CTEIG Program Requirements</w:t>
            </w:r>
            <w:r>
              <w:rPr>
                <w:noProof/>
                <w:webHidden/>
              </w:rPr>
              <w:tab/>
            </w:r>
            <w:r>
              <w:rPr>
                <w:noProof/>
                <w:webHidden/>
              </w:rPr>
              <w:fldChar w:fldCharType="begin"/>
            </w:r>
            <w:r>
              <w:rPr>
                <w:noProof/>
                <w:webHidden/>
              </w:rPr>
              <w:instrText xml:space="preserve"> PAGEREF _Toc228885208 \h </w:instrText>
            </w:r>
            <w:r>
              <w:rPr>
                <w:noProof/>
                <w:webHidden/>
              </w:rPr>
            </w:r>
            <w:r>
              <w:rPr>
                <w:noProof/>
                <w:webHidden/>
              </w:rPr>
              <w:fldChar w:fldCharType="separate"/>
            </w:r>
            <w:r w:rsidR="00D909EE">
              <w:rPr>
                <w:noProof/>
                <w:webHidden/>
              </w:rPr>
              <w:t>5</w:t>
            </w:r>
            <w:r>
              <w:rPr>
                <w:noProof/>
                <w:webHidden/>
              </w:rPr>
              <w:fldChar w:fldCharType="end"/>
            </w:r>
          </w:hyperlink>
        </w:p>
        <w:p w14:paraId="1323AB18" w14:textId="074AE4CF" w:rsidR="00BE4089" w:rsidRDefault="00BE4089">
          <w:pPr>
            <w:pStyle w:val="TOC3"/>
            <w:rPr>
              <w:rFonts w:asciiTheme="minorHAnsi" w:eastAsiaTheme="minorEastAsia" w:hAnsiTheme="minorHAnsi" w:cstheme="minorBidi"/>
              <w:noProof/>
            </w:rPr>
          </w:pPr>
          <w:hyperlink w:anchor="_Toc228885209" w:history="1">
            <w:r w:rsidRPr="007C16A7">
              <w:rPr>
                <w:rStyle w:val="Hyperlink"/>
                <w:noProof/>
              </w:rPr>
              <w:t>HOLISTIC APPROACH</w:t>
            </w:r>
            <w:r>
              <w:rPr>
                <w:noProof/>
                <w:webHidden/>
              </w:rPr>
              <w:tab/>
            </w:r>
            <w:r>
              <w:rPr>
                <w:noProof/>
                <w:webHidden/>
              </w:rPr>
              <w:fldChar w:fldCharType="begin"/>
            </w:r>
            <w:r>
              <w:rPr>
                <w:noProof/>
                <w:webHidden/>
              </w:rPr>
              <w:instrText xml:space="preserve"> PAGEREF _Toc228885209 \h </w:instrText>
            </w:r>
            <w:r>
              <w:rPr>
                <w:noProof/>
                <w:webHidden/>
              </w:rPr>
            </w:r>
            <w:r>
              <w:rPr>
                <w:noProof/>
                <w:webHidden/>
              </w:rPr>
              <w:fldChar w:fldCharType="separate"/>
            </w:r>
            <w:r w:rsidR="00D909EE">
              <w:rPr>
                <w:noProof/>
                <w:webHidden/>
              </w:rPr>
              <w:t>7</w:t>
            </w:r>
            <w:r>
              <w:rPr>
                <w:noProof/>
                <w:webHidden/>
              </w:rPr>
              <w:fldChar w:fldCharType="end"/>
            </w:r>
          </w:hyperlink>
        </w:p>
        <w:p w14:paraId="5A6772E9" w14:textId="3F2E17A9" w:rsidR="00BE4089" w:rsidRDefault="00BE4089" w:rsidP="00D909EE">
          <w:pPr>
            <w:pStyle w:val="TOC2"/>
            <w:rPr>
              <w:rFonts w:asciiTheme="minorHAnsi" w:eastAsiaTheme="minorEastAsia" w:hAnsiTheme="minorHAnsi" w:cstheme="minorBidi"/>
              <w:noProof/>
            </w:rPr>
          </w:pPr>
          <w:hyperlink w:anchor="_Toc228885210" w:history="1">
            <w:r w:rsidRPr="007C16A7">
              <w:rPr>
                <w:rStyle w:val="Hyperlink"/>
                <w:noProof/>
              </w:rPr>
              <w:t>MINIMUM ELIGIBILITY STANDARDS</w:t>
            </w:r>
            <w:r>
              <w:rPr>
                <w:noProof/>
                <w:webHidden/>
              </w:rPr>
              <w:tab/>
            </w:r>
            <w:r>
              <w:rPr>
                <w:noProof/>
                <w:webHidden/>
              </w:rPr>
              <w:fldChar w:fldCharType="begin"/>
            </w:r>
            <w:r>
              <w:rPr>
                <w:noProof/>
                <w:webHidden/>
              </w:rPr>
              <w:instrText xml:space="preserve"> PAGEREF _Toc228885210 \h </w:instrText>
            </w:r>
            <w:r>
              <w:rPr>
                <w:noProof/>
                <w:webHidden/>
              </w:rPr>
            </w:r>
            <w:r>
              <w:rPr>
                <w:noProof/>
                <w:webHidden/>
              </w:rPr>
              <w:fldChar w:fldCharType="separate"/>
            </w:r>
            <w:r w:rsidR="00D909EE">
              <w:rPr>
                <w:noProof/>
                <w:webHidden/>
              </w:rPr>
              <w:t>7</w:t>
            </w:r>
            <w:r>
              <w:rPr>
                <w:noProof/>
                <w:webHidden/>
              </w:rPr>
              <w:fldChar w:fldCharType="end"/>
            </w:r>
          </w:hyperlink>
        </w:p>
        <w:p w14:paraId="4DB04184" w14:textId="10BC00D5" w:rsidR="00BE4089" w:rsidRDefault="00BE4089" w:rsidP="00D909EE">
          <w:pPr>
            <w:pStyle w:val="TOC2"/>
            <w:rPr>
              <w:rFonts w:asciiTheme="minorHAnsi" w:eastAsiaTheme="minorEastAsia" w:hAnsiTheme="minorHAnsi" w:cstheme="minorBidi"/>
              <w:noProof/>
            </w:rPr>
          </w:pPr>
          <w:hyperlink w:anchor="_Toc228885211" w:history="1">
            <w:r w:rsidRPr="007C16A7">
              <w:rPr>
                <w:rStyle w:val="Hyperlink"/>
                <w:noProof/>
              </w:rPr>
              <w:t>POSITIVE CONSIDERATIONS</w:t>
            </w:r>
            <w:r>
              <w:rPr>
                <w:noProof/>
                <w:webHidden/>
              </w:rPr>
              <w:tab/>
            </w:r>
            <w:r>
              <w:rPr>
                <w:noProof/>
                <w:webHidden/>
              </w:rPr>
              <w:fldChar w:fldCharType="begin"/>
            </w:r>
            <w:r>
              <w:rPr>
                <w:noProof/>
                <w:webHidden/>
              </w:rPr>
              <w:instrText xml:space="preserve"> PAGEREF _Toc228885211 \h </w:instrText>
            </w:r>
            <w:r>
              <w:rPr>
                <w:noProof/>
                <w:webHidden/>
              </w:rPr>
            </w:r>
            <w:r>
              <w:rPr>
                <w:noProof/>
                <w:webHidden/>
              </w:rPr>
              <w:fldChar w:fldCharType="separate"/>
            </w:r>
            <w:r w:rsidR="00D909EE">
              <w:rPr>
                <w:noProof/>
                <w:webHidden/>
              </w:rPr>
              <w:t>8</w:t>
            </w:r>
            <w:r>
              <w:rPr>
                <w:noProof/>
                <w:webHidden/>
              </w:rPr>
              <w:fldChar w:fldCharType="end"/>
            </w:r>
          </w:hyperlink>
        </w:p>
        <w:p w14:paraId="7DCE3BDE" w14:textId="317FED16" w:rsidR="00BE4089" w:rsidRDefault="00BE4089" w:rsidP="00D909EE">
          <w:pPr>
            <w:pStyle w:val="TOC2"/>
            <w:rPr>
              <w:rFonts w:asciiTheme="minorHAnsi" w:eastAsiaTheme="minorEastAsia" w:hAnsiTheme="minorHAnsi" w:cstheme="minorBidi"/>
              <w:noProof/>
            </w:rPr>
          </w:pPr>
          <w:hyperlink w:anchor="_Toc228885212" w:history="1">
            <w:r w:rsidRPr="007C16A7">
              <w:rPr>
                <w:rStyle w:val="Hyperlink"/>
                <w:noProof/>
              </w:rPr>
              <w:t>ALLOWABLE AND NON-ALLOWABLE EXPENDITURES</w:t>
            </w:r>
            <w:r>
              <w:rPr>
                <w:noProof/>
                <w:webHidden/>
              </w:rPr>
              <w:tab/>
            </w:r>
            <w:r>
              <w:rPr>
                <w:noProof/>
                <w:webHidden/>
              </w:rPr>
              <w:fldChar w:fldCharType="begin"/>
            </w:r>
            <w:r>
              <w:rPr>
                <w:noProof/>
                <w:webHidden/>
              </w:rPr>
              <w:instrText xml:space="preserve"> PAGEREF _Toc228885212 \h </w:instrText>
            </w:r>
            <w:r>
              <w:rPr>
                <w:noProof/>
                <w:webHidden/>
              </w:rPr>
            </w:r>
            <w:r>
              <w:rPr>
                <w:noProof/>
                <w:webHidden/>
              </w:rPr>
              <w:fldChar w:fldCharType="separate"/>
            </w:r>
            <w:r w:rsidR="00D909EE">
              <w:rPr>
                <w:noProof/>
                <w:webHidden/>
              </w:rPr>
              <w:t>10</w:t>
            </w:r>
            <w:r>
              <w:rPr>
                <w:noProof/>
                <w:webHidden/>
              </w:rPr>
              <w:fldChar w:fldCharType="end"/>
            </w:r>
          </w:hyperlink>
        </w:p>
        <w:p w14:paraId="6BDBA876" w14:textId="013EC3E3" w:rsidR="00BE4089" w:rsidRDefault="00BE4089" w:rsidP="00D909EE">
          <w:pPr>
            <w:pStyle w:val="TOC2"/>
            <w:rPr>
              <w:rFonts w:asciiTheme="minorHAnsi" w:eastAsiaTheme="minorEastAsia" w:hAnsiTheme="minorHAnsi" w:cstheme="minorBidi"/>
              <w:noProof/>
            </w:rPr>
          </w:pPr>
          <w:hyperlink w:anchor="_Toc228885213" w:history="1">
            <w:r w:rsidRPr="007C16A7">
              <w:rPr>
                <w:rStyle w:val="Hyperlink"/>
                <w:noProof/>
              </w:rPr>
              <w:t>APPLICATION PROCEDURES</w:t>
            </w:r>
            <w:r>
              <w:rPr>
                <w:noProof/>
                <w:webHidden/>
              </w:rPr>
              <w:tab/>
            </w:r>
            <w:r>
              <w:rPr>
                <w:noProof/>
                <w:webHidden/>
              </w:rPr>
              <w:fldChar w:fldCharType="begin"/>
            </w:r>
            <w:r>
              <w:rPr>
                <w:noProof/>
                <w:webHidden/>
              </w:rPr>
              <w:instrText xml:space="preserve"> PAGEREF _Toc228885213 \h </w:instrText>
            </w:r>
            <w:r>
              <w:rPr>
                <w:noProof/>
                <w:webHidden/>
              </w:rPr>
            </w:r>
            <w:r>
              <w:rPr>
                <w:noProof/>
                <w:webHidden/>
              </w:rPr>
              <w:fldChar w:fldCharType="separate"/>
            </w:r>
            <w:r w:rsidR="00D909EE">
              <w:rPr>
                <w:noProof/>
                <w:webHidden/>
              </w:rPr>
              <w:t>10</w:t>
            </w:r>
            <w:r>
              <w:rPr>
                <w:noProof/>
                <w:webHidden/>
              </w:rPr>
              <w:fldChar w:fldCharType="end"/>
            </w:r>
          </w:hyperlink>
        </w:p>
        <w:p w14:paraId="64DA9799" w14:textId="266DE6F3" w:rsidR="00BE4089" w:rsidRDefault="00BE4089">
          <w:pPr>
            <w:pStyle w:val="TOC3"/>
            <w:rPr>
              <w:rFonts w:asciiTheme="minorHAnsi" w:eastAsiaTheme="minorEastAsia" w:hAnsiTheme="minorHAnsi" w:cstheme="minorBidi"/>
              <w:noProof/>
            </w:rPr>
          </w:pPr>
          <w:hyperlink w:anchor="_Toc228885214" w:history="1">
            <w:r w:rsidRPr="007C16A7">
              <w:rPr>
                <w:rStyle w:val="Hyperlink"/>
                <w:noProof/>
              </w:rPr>
              <w:t>Application Components/Questions</w:t>
            </w:r>
            <w:r>
              <w:rPr>
                <w:noProof/>
                <w:webHidden/>
              </w:rPr>
              <w:tab/>
            </w:r>
            <w:r>
              <w:rPr>
                <w:noProof/>
                <w:webHidden/>
              </w:rPr>
              <w:fldChar w:fldCharType="begin"/>
            </w:r>
            <w:r>
              <w:rPr>
                <w:noProof/>
                <w:webHidden/>
              </w:rPr>
              <w:instrText xml:space="preserve"> PAGEREF _Toc228885214 \h </w:instrText>
            </w:r>
            <w:r>
              <w:rPr>
                <w:noProof/>
                <w:webHidden/>
              </w:rPr>
            </w:r>
            <w:r>
              <w:rPr>
                <w:noProof/>
                <w:webHidden/>
              </w:rPr>
              <w:fldChar w:fldCharType="separate"/>
            </w:r>
            <w:r w:rsidR="00D909EE">
              <w:rPr>
                <w:noProof/>
                <w:webHidden/>
              </w:rPr>
              <w:t>10</w:t>
            </w:r>
            <w:r>
              <w:rPr>
                <w:noProof/>
                <w:webHidden/>
              </w:rPr>
              <w:fldChar w:fldCharType="end"/>
            </w:r>
          </w:hyperlink>
        </w:p>
        <w:p w14:paraId="30F6B59B" w14:textId="54E3C135" w:rsidR="00BE4089" w:rsidRDefault="00BE4089">
          <w:pPr>
            <w:pStyle w:val="TOC3"/>
            <w:rPr>
              <w:rFonts w:asciiTheme="minorHAnsi" w:eastAsiaTheme="minorEastAsia" w:hAnsiTheme="minorHAnsi" w:cstheme="minorBidi"/>
              <w:noProof/>
            </w:rPr>
          </w:pPr>
          <w:hyperlink w:anchor="_Toc228885215" w:history="1">
            <w:r w:rsidRPr="007C16A7">
              <w:rPr>
                <w:rStyle w:val="Hyperlink"/>
                <w:noProof/>
              </w:rPr>
              <w:t>Application Questions: Holistic Approach</w:t>
            </w:r>
            <w:r>
              <w:rPr>
                <w:noProof/>
                <w:webHidden/>
              </w:rPr>
              <w:tab/>
            </w:r>
            <w:r>
              <w:rPr>
                <w:noProof/>
                <w:webHidden/>
              </w:rPr>
              <w:fldChar w:fldCharType="begin"/>
            </w:r>
            <w:r>
              <w:rPr>
                <w:noProof/>
                <w:webHidden/>
              </w:rPr>
              <w:instrText xml:space="preserve"> PAGEREF _Toc228885215 \h </w:instrText>
            </w:r>
            <w:r>
              <w:rPr>
                <w:noProof/>
                <w:webHidden/>
              </w:rPr>
            </w:r>
            <w:r>
              <w:rPr>
                <w:noProof/>
                <w:webHidden/>
              </w:rPr>
              <w:fldChar w:fldCharType="separate"/>
            </w:r>
            <w:r w:rsidR="00D909EE">
              <w:rPr>
                <w:noProof/>
                <w:webHidden/>
              </w:rPr>
              <w:t>11</w:t>
            </w:r>
            <w:r>
              <w:rPr>
                <w:noProof/>
                <w:webHidden/>
              </w:rPr>
              <w:fldChar w:fldCharType="end"/>
            </w:r>
          </w:hyperlink>
        </w:p>
        <w:p w14:paraId="03A1B9CE" w14:textId="7CAF4828" w:rsidR="00BE4089" w:rsidRDefault="00BE4089">
          <w:pPr>
            <w:pStyle w:val="TOC3"/>
            <w:rPr>
              <w:rFonts w:asciiTheme="minorHAnsi" w:eastAsiaTheme="minorEastAsia" w:hAnsiTheme="minorHAnsi" w:cstheme="minorBidi"/>
              <w:noProof/>
            </w:rPr>
          </w:pPr>
          <w:hyperlink w:anchor="_Toc228885216" w:history="1">
            <w:r w:rsidRPr="007C16A7">
              <w:rPr>
                <w:rStyle w:val="Hyperlink"/>
                <w:noProof/>
              </w:rPr>
              <w:t>Application Questions: Minimum Eligibility Standards</w:t>
            </w:r>
            <w:r>
              <w:rPr>
                <w:noProof/>
                <w:webHidden/>
              </w:rPr>
              <w:tab/>
            </w:r>
            <w:r>
              <w:rPr>
                <w:noProof/>
                <w:webHidden/>
              </w:rPr>
              <w:fldChar w:fldCharType="begin"/>
            </w:r>
            <w:r>
              <w:rPr>
                <w:noProof/>
                <w:webHidden/>
              </w:rPr>
              <w:instrText xml:space="preserve"> PAGEREF _Toc228885216 \h </w:instrText>
            </w:r>
            <w:r>
              <w:rPr>
                <w:noProof/>
                <w:webHidden/>
              </w:rPr>
            </w:r>
            <w:r>
              <w:rPr>
                <w:noProof/>
                <w:webHidden/>
              </w:rPr>
              <w:fldChar w:fldCharType="separate"/>
            </w:r>
            <w:r w:rsidR="00D909EE">
              <w:rPr>
                <w:noProof/>
                <w:webHidden/>
              </w:rPr>
              <w:t>11</w:t>
            </w:r>
            <w:r>
              <w:rPr>
                <w:noProof/>
                <w:webHidden/>
              </w:rPr>
              <w:fldChar w:fldCharType="end"/>
            </w:r>
          </w:hyperlink>
        </w:p>
        <w:p w14:paraId="6E61B3AE" w14:textId="27952573" w:rsidR="00BE4089" w:rsidRDefault="00BE4089">
          <w:pPr>
            <w:pStyle w:val="TOC3"/>
            <w:rPr>
              <w:rFonts w:asciiTheme="minorHAnsi" w:eastAsiaTheme="minorEastAsia" w:hAnsiTheme="minorHAnsi" w:cstheme="minorBidi"/>
              <w:noProof/>
            </w:rPr>
          </w:pPr>
          <w:hyperlink w:anchor="_Toc228885217" w:history="1">
            <w:r w:rsidRPr="007C16A7">
              <w:rPr>
                <w:rStyle w:val="Hyperlink"/>
                <w:noProof/>
              </w:rPr>
              <w:t>Application Component: Budget and Budget Narrative</w:t>
            </w:r>
            <w:r>
              <w:rPr>
                <w:noProof/>
                <w:webHidden/>
              </w:rPr>
              <w:tab/>
            </w:r>
            <w:r>
              <w:rPr>
                <w:noProof/>
                <w:webHidden/>
              </w:rPr>
              <w:fldChar w:fldCharType="begin"/>
            </w:r>
            <w:r>
              <w:rPr>
                <w:noProof/>
                <w:webHidden/>
              </w:rPr>
              <w:instrText xml:space="preserve"> PAGEREF _Toc228885217 \h </w:instrText>
            </w:r>
            <w:r>
              <w:rPr>
                <w:noProof/>
                <w:webHidden/>
              </w:rPr>
            </w:r>
            <w:r>
              <w:rPr>
                <w:noProof/>
                <w:webHidden/>
              </w:rPr>
              <w:fldChar w:fldCharType="separate"/>
            </w:r>
            <w:r w:rsidR="00D909EE">
              <w:rPr>
                <w:noProof/>
                <w:webHidden/>
              </w:rPr>
              <w:t>13</w:t>
            </w:r>
            <w:r>
              <w:rPr>
                <w:noProof/>
                <w:webHidden/>
              </w:rPr>
              <w:fldChar w:fldCharType="end"/>
            </w:r>
          </w:hyperlink>
        </w:p>
        <w:p w14:paraId="3536FB9E" w14:textId="7EC1B45A" w:rsidR="00BE4089" w:rsidRDefault="00BE4089">
          <w:pPr>
            <w:pStyle w:val="TOC3"/>
            <w:rPr>
              <w:rFonts w:asciiTheme="minorHAnsi" w:eastAsiaTheme="minorEastAsia" w:hAnsiTheme="minorHAnsi" w:cstheme="minorBidi"/>
              <w:noProof/>
            </w:rPr>
          </w:pPr>
          <w:hyperlink w:anchor="_Toc228885218" w:history="1">
            <w:r w:rsidRPr="007C16A7">
              <w:rPr>
                <w:rStyle w:val="Hyperlink"/>
                <w:noProof/>
              </w:rPr>
              <w:t>Application Questions/Components: Positive Considerations</w:t>
            </w:r>
            <w:r>
              <w:rPr>
                <w:noProof/>
                <w:webHidden/>
              </w:rPr>
              <w:tab/>
            </w:r>
            <w:r>
              <w:rPr>
                <w:noProof/>
                <w:webHidden/>
              </w:rPr>
              <w:fldChar w:fldCharType="begin"/>
            </w:r>
            <w:r>
              <w:rPr>
                <w:noProof/>
                <w:webHidden/>
              </w:rPr>
              <w:instrText xml:space="preserve"> PAGEREF _Toc228885218 \h </w:instrText>
            </w:r>
            <w:r>
              <w:rPr>
                <w:noProof/>
                <w:webHidden/>
              </w:rPr>
            </w:r>
            <w:r>
              <w:rPr>
                <w:noProof/>
                <w:webHidden/>
              </w:rPr>
              <w:fldChar w:fldCharType="separate"/>
            </w:r>
            <w:r w:rsidR="00D909EE">
              <w:rPr>
                <w:noProof/>
                <w:webHidden/>
              </w:rPr>
              <w:t>13</w:t>
            </w:r>
            <w:r>
              <w:rPr>
                <w:noProof/>
                <w:webHidden/>
              </w:rPr>
              <w:fldChar w:fldCharType="end"/>
            </w:r>
          </w:hyperlink>
        </w:p>
        <w:p w14:paraId="195FBB56" w14:textId="5105557C" w:rsidR="00BE4089" w:rsidRDefault="00BE4089">
          <w:pPr>
            <w:pStyle w:val="TOC3"/>
            <w:rPr>
              <w:rFonts w:asciiTheme="minorHAnsi" w:eastAsiaTheme="minorEastAsia" w:hAnsiTheme="minorHAnsi" w:cstheme="minorBidi"/>
              <w:noProof/>
            </w:rPr>
          </w:pPr>
          <w:hyperlink w:anchor="_Toc228885219" w:history="1">
            <w:r w:rsidRPr="007C16A7">
              <w:rPr>
                <w:rStyle w:val="Hyperlink"/>
                <w:noProof/>
              </w:rPr>
              <w:t>Additional Information Needed to Complete the Application</w:t>
            </w:r>
            <w:r>
              <w:rPr>
                <w:noProof/>
                <w:webHidden/>
              </w:rPr>
              <w:tab/>
            </w:r>
            <w:r>
              <w:rPr>
                <w:noProof/>
                <w:webHidden/>
              </w:rPr>
              <w:fldChar w:fldCharType="begin"/>
            </w:r>
            <w:r>
              <w:rPr>
                <w:noProof/>
                <w:webHidden/>
              </w:rPr>
              <w:instrText xml:space="preserve"> PAGEREF _Toc228885219 \h </w:instrText>
            </w:r>
            <w:r>
              <w:rPr>
                <w:noProof/>
                <w:webHidden/>
              </w:rPr>
            </w:r>
            <w:r>
              <w:rPr>
                <w:noProof/>
                <w:webHidden/>
              </w:rPr>
              <w:fldChar w:fldCharType="separate"/>
            </w:r>
            <w:r w:rsidR="00D909EE">
              <w:rPr>
                <w:noProof/>
                <w:webHidden/>
              </w:rPr>
              <w:t>15</w:t>
            </w:r>
            <w:r>
              <w:rPr>
                <w:noProof/>
                <w:webHidden/>
              </w:rPr>
              <w:fldChar w:fldCharType="end"/>
            </w:r>
          </w:hyperlink>
        </w:p>
        <w:p w14:paraId="08A28B0B" w14:textId="7BB51478" w:rsidR="00BE4089" w:rsidRDefault="00BE4089" w:rsidP="00D909EE">
          <w:pPr>
            <w:pStyle w:val="TOC2"/>
            <w:rPr>
              <w:rFonts w:asciiTheme="minorHAnsi" w:eastAsiaTheme="minorEastAsia" w:hAnsiTheme="minorHAnsi" w:cstheme="minorBidi"/>
              <w:noProof/>
            </w:rPr>
          </w:pPr>
          <w:hyperlink w:anchor="_Toc228885220" w:history="1">
            <w:r w:rsidRPr="007C16A7">
              <w:rPr>
                <w:rStyle w:val="Hyperlink"/>
                <w:noProof/>
              </w:rPr>
              <w:t>APPLICATION REVIEW PROCESS</w:t>
            </w:r>
            <w:r>
              <w:rPr>
                <w:noProof/>
                <w:webHidden/>
              </w:rPr>
              <w:tab/>
            </w:r>
            <w:r>
              <w:rPr>
                <w:noProof/>
                <w:webHidden/>
              </w:rPr>
              <w:fldChar w:fldCharType="begin"/>
            </w:r>
            <w:r>
              <w:rPr>
                <w:noProof/>
                <w:webHidden/>
              </w:rPr>
              <w:instrText xml:space="preserve"> PAGEREF _Toc228885220 \h </w:instrText>
            </w:r>
            <w:r>
              <w:rPr>
                <w:noProof/>
                <w:webHidden/>
              </w:rPr>
            </w:r>
            <w:r>
              <w:rPr>
                <w:noProof/>
                <w:webHidden/>
              </w:rPr>
              <w:fldChar w:fldCharType="separate"/>
            </w:r>
            <w:r w:rsidR="00D909EE">
              <w:rPr>
                <w:noProof/>
                <w:webHidden/>
              </w:rPr>
              <w:t>16</w:t>
            </w:r>
            <w:r>
              <w:rPr>
                <w:noProof/>
                <w:webHidden/>
              </w:rPr>
              <w:fldChar w:fldCharType="end"/>
            </w:r>
          </w:hyperlink>
        </w:p>
        <w:p w14:paraId="5EBCCC55" w14:textId="39DC292D" w:rsidR="00BE4089" w:rsidRDefault="00BE4089">
          <w:pPr>
            <w:pStyle w:val="TOC3"/>
            <w:rPr>
              <w:rFonts w:asciiTheme="minorHAnsi" w:eastAsiaTheme="minorEastAsia" w:hAnsiTheme="minorHAnsi" w:cstheme="minorBidi"/>
              <w:noProof/>
            </w:rPr>
          </w:pPr>
          <w:hyperlink w:anchor="_Toc228885221" w:history="1">
            <w:r w:rsidRPr="007C16A7">
              <w:rPr>
                <w:rStyle w:val="Hyperlink"/>
                <w:noProof/>
              </w:rPr>
              <w:t>Screening and Compliance Review</w:t>
            </w:r>
            <w:r>
              <w:rPr>
                <w:noProof/>
                <w:webHidden/>
              </w:rPr>
              <w:tab/>
            </w:r>
            <w:r>
              <w:rPr>
                <w:noProof/>
                <w:webHidden/>
              </w:rPr>
              <w:fldChar w:fldCharType="begin"/>
            </w:r>
            <w:r>
              <w:rPr>
                <w:noProof/>
                <w:webHidden/>
              </w:rPr>
              <w:instrText xml:space="preserve"> PAGEREF _Toc228885221 \h </w:instrText>
            </w:r>
            <w:r>
              <w:rPr>
                <w:noProof/>
                <w:webHidden/>
              </w:rPr>
            </w:r>
            <w:r>
              <w:rPr>
                <w:noProof/>
                <w:webHidden/>
              </w:rPr>
              <w:fldChar w:fldCharType="separate"/>
            </w:r>
            <w:r w:rsidR="00D909EE">
              <w:rPr>
                <w:noProof/>
                <w:webHidden/>
              </w:rPr>
              <w:t>16</w:t>
            </w:r>
            <w:r>
              <w:rPr>
                <w:noProof/>
                <w:webHidden/>
              </w:rPr>
              <w:fldChar w:fldCharType="end"/>
            </w:r>
          </w:hyperlink>
        </w:p>
        <w:p w14:paraId="0BF7C095" w14:textId="12C5BC0E" w:rsidR="00BE4089" w:rsidRDefault="00BE4089" w:rsidP="00D909EE">
          <w:pPr>
            <w:pStyle w:val="TOC2"/>
            <w:rPr>
              <w:rFonts w:asciiTheme="minorHAnsi" w:eastAsiaTheme="minorEastAsia" w:hAnsiTheme="minorHAnsi" w:cstheme="minorBidi"/>
              <w:noProof/>
            </w:rPr>
          </w:pPr>
          <w:hyperlink w:anchor="_Toc228885222" w:history="1">
            <w:r w:rsidRPr="00095950">
              <w:rPr>
                <w:rStyle w:val="Hyperlink"/>
                <w:noProof/>
              </w:rPr>
              <w:t xml:space="preserve">FUNDING </w:t>
            </w:r>
            <w:r w:rsidR="00095950" w:rsidRPr="00095950">
              <w:rPr>
                <w:rStyle w:val="Hyperlink"/>
                <w:noProof/>
              </w:rPr>
              <w:t>ALLOCATION</w:t>
            </w:r>
            <w:r w:rsidRPr="00095950">
              <w:rPr>
                <w:noProof/>
                <w:webHidden/>
              </w:rPr>
              <w:tab/>
            </w:r>
            <w:r w:rsidRPr="00095950">
              <w:rPr>
                <w:noProof/>
                <w:webHidden/>
              </w:rPr>
              <w:fldChar w:fldCharType="begin"/>
            </w:r>
            <w:r w:rsidRPr="00095950">
              <w:rPr>
                <w:noProof/>
                <w:webHidden/>
              </w:rPr>
              <w:instrText xml:space="preserve"> PAGEREF _Toc228885222 \h </w:instrText>
            </w:r>
            <w:r w:rsidRPr="00095950">
              <w:rPr>
                <w:noProof/>
                <w:webHidden/>
              </w:rPr>
            </w:r>
            <w:r w:rsidRPr="00095950">
              <w:rPr>
                <w:noProof/>
                <w:webHidden/>
              </w:rPr>
              <w:fldChar w:fldCharType="separate"/>
            </w:r>
            <w:r w:rsidR="00D909EE" w:rsidRPr="00095950">
              <w:rPr>
                <w:noProof/>
                <w:webHidden/>
              </w:rPr>
              <w:t>16</w:t>
            </w:r>
            <w:r w:rsidRPr="00095950">
              <w:rPr>
                <w:noProof/>
                <w:webHidden/>
              </w:rPr>
              <w:fldChar w:fldCharType="end"/>
            </w:r>
          </w:hyperlink>
        </w:p>
        <w:p w14:paraId="3AA3D697" w14:textId="2C6B84CE" w:rsidR="00BE4089" w:rsidRDefault="00BE4089" w:rsidP="00D909EE">
          <w:pPr>
            <w:pStyle w:val="TOC2"/>
            <w:rPr>
              <w:rFonts w:asciiTheme="minorHAnsi" w:eastAsiaTheme="minorEastAsia" w:hAnsiTheme="minorHAnsi" w:cstheme="minorBidi"/>
              <w:noProof/>
            </w:rPr>
          </w:pPr>
          <w:hyperlink w:anchor="_Toc228885223" w:history="1">
            <w:r w:rsidRPr="007C16A7">
              <w:rPr>
                <w:rStyle w:val="Hyperlink"/>
                <w:noProof/>
              </w:rPr>
              <w:t>APPEALS</w:t>
            </w:r>
            <w:r>
              <w:rPr>
                <w:noProof/>
                <w:webHidden/>
              </w:rPr>
              <w:tab/>
            </w:r>
            <w:r>
              <w:rPr>
                <w:noProof/>
                <w:webHidden/>
              </w:rPr>
              <w:fldChar w:fldCharType="begin"/>
            </w:r>
            <w:r>
              <w:rPr>
                <w:noProof/>
                <w:webHidden/>
              </w:rPr>
              <w:instrText xml:space="preserve"> PAGEREF _Toc228885223 \h </w:instrText>
            </w:r>
            <w:r>
              <w:rPr>
                <w:noProof/>
                <w:webHidden/>
              </w:rPr>
            </w:r>
            <w:r>
              <w:rPr>
                <w:noProof/>
                <w:webHidden/>
              </w:rPr>
              <w:fldChar w:fldCharType="separate"/>
            </w:r>
            <w:r w:rsidR="00D909EE">
              <w:rPr>
                <w:noProof/>
                <w:webHidden/>
              </w:rPr>
              <w:t>18</w:t>
            </w:r>
            <w:r>
              <w:rPr>
                <w:noProof/>
                <w:webHidden/>
              </w:rPr>
              <w:fldChar w:fldCharType="end"/>
            </w:r>
          </w:hyperlink>
        </w:p>
        <w:p w14:paraId="3A6C3D1E" w14:textId="6AE4CCA3" w:rsidR="00BE4089" w:rsidRDefault="00BE4089" w:rsidP="00D909EE">
          <w:pPr>
            <w:pStyle w:val="TOC2"/>
            <w:rPr>
              <w:rFonts w:asciiTheme="minorHAnsi" w:eastAsiaTheme="minorEastAsia" w:hAnsiTheme="minorHAnsi" w:cstheme="minorBidi"/>
              <w:noProof/>
            </w:rPr>
          </w:pPr>
          <w:hyperlink w:anchor="_Toc228885224" w:history="1">
            <w:r w:rsidRPr="007C16A7">
              <w:rPr>
                <w:rStyle w:val="Hyperlink"/>
                <w:noProof/>
              </w:rPr>
              <w:t>TECHNICAL ASSISTANCE</w:t>
            </w:r>
            <w:r>
              <w:rPr>
                <w:noProof/>
                <w:webHidden/>
              </w:rPr>
              <w:tab/>
            </w:r>
            <w:r>
              <w:rPr>
                <w:noProof/>
                <w:webHidden/>
              </w:rPr>
              <w:fldChar w:fldCharType="begin"/>
            </w:r>
            <w:r>
              <w:rPr>
                <w:noProof/>
                <w:webHidden/>
              </w:rPr>
              <w:instrText xml:space="preserve"> PAGEREF _Toc228885224 \h </w:instrText>
            </w:r>
            <w:r>
              <w:rPr>
                <w:noProof/>
                <w:webHidden/>
              </w:rPr>
            </w:r>
            <w:r>
              <w:rPr>
                <w:noProof/>
                <w:webHidden/>
              </w:rPr>
              <w:fldChar w:fldCharType="separate"/>
            </w:r>
            <w:r w:rsidR="00D909EE">
              <w:rPr>
                <w:noProof/>
                <w:webHidden/>
              </w:rPr>
              <w:t>19</w:t>
            </w:r>
            <w:r>
              <w:rPr>
                <w:noProof/>
                <w:webHidden/>
              </w:rPr>
              <w:fldChar w:fldCharType="end"/>
            </w:r>
          </w:hyperlink>
        </w:p>
        <w:p w14:paraId="65716EB4" w14:textId="02DF1D1A" w:rsidR="00BE4089" w:rsidRDefault="00BE4089" w:rsidP="00D909EE">
          <w:pPr>
            <w:pStyle w:val="TOC2"/>
            <w:rPr>
              <w:rFonts w:asciiTheme="minorHAnsi" w:eastAsiaTheme="minorEastAsia" w:hAnsiTheme="minorHAnsi" w:cstheme="minorBidi"/>
              <w:noProof/>
            </w:rPr>
          </w:pPr>
          <w:hyperlink w:anchor="_Toc228885225" w:history="1">
            <w:r w:rsidRPr="007C16A7">
              <w:rPr>
                <w:rStyle w:val="Hyperlink"/>
                <w:noProof/>
              </w:rPr>
              <w:t>RESOURCES</w:t>
            </w:r>
            <w:r>
              <w:rPr>
                <w:noProof/>
                <w:webHidden/>
              </w:rPr>
              <w:tab/>
            </w:r>
            <w:r>
              <w:rPr>
                <w:noProof/>
                <w:webHidden/>
              </w:rPr>
              <w:fldChar w:fldCharType="begin"/>
            </w:r>
            <w:r>
              <w:rPr>
                <w:noProof/>
                <w:webHidden/>
              </w:rPr>
              <w:instrText xml:space="preserve"> PAGEREF _Toc228885225 \h </w:instrText>
            </w:r>
            <w:r>
              <w:rPr>
                <w:noProof/>
                <w:webHidden/>
              </w:rPr>
            </w:r>
            <w:r>
              <w:rPr>
                <w:noProof/>
                <w:webHidden/>
              </w:rPr>
              <w:fldChar w:fldCharType="separate"/>
            </w:r>
            <w:r w:rsidR="00D909EE">
              <w:rPr>
                <w:noProof/>
                <w:webHidden/>
              </w:rPr>
              <w:t>19</w:t>
            </w:r>
            <w:r>
              <w:rPr>
                <w:noProof/>
                <w:webHidden/>
              </w:rPr>
              <w:fldChar w:fldCharType="end"/>
            </w:r>
          </w:hyperlink>
        </w:p>
        <w:p w14:paraId="4BB0E22E" w14:textId="39D0E6C8" w:rsidR="00BE4089" w:rsidRDefault="00BE4089" w:rsidP="00D909EE">
          <w:pPr>
            <w:pStyle w:val="TOC2"/>
            <w:rPr>
              <w:rFonts w:asciiTheme="minorHAnsi" w:eastAsiaTheme="minorEastAsia" w:hAnsiTheme="minorHAnsi" w:cstheme="minorBidi"/>
              <w:noProof/>
            </w:rPr>
          </w:pPr>
          <w:hyperlink w:anchor="_Toc228885226" w:history="1">
            <w:r w:rsidRPr="007C16A7">
              <w:rPr>
                <w:rStyle w:val="Hyperlink"/>
                <w:noProof/>
              </w:rPr>
              <w:t>SCORING RUBRIC FOR NEW APPLICANTS</w:t>
            </w:r>
            <w:r>
              <w:rPr>
                <w:noProof/>
                <w:webHidden/>
              </w:rPr>
              <w:tab/>
            </w:r>
            <w:r>
              <w:rPr>
                <w:noProof/>
                <w:webHidden/>
              </w:rPr>
              <w:fldChar w:fldCharType="begin"/>
            </w:r>
            <w:r>
              <w:rPr>
                <w:noProof/>
                <w:webHidden/>
              </w:rPr>
              <w:instrText xml:space="preserve"> PAGEREF _Toc228885226 \h </w:instrText>
            </w:r>
            <w:r>
              <w:rPr>
                <w:noProof/>
                <w:webHidden/>
              </w:rPr>
            </w:r>
            <w:r>
              <w:rPr>
                <w:noProof/>
                <w:webHidden/>
              </w:rPr>
              <w:fldChar w:fldCharType="separate"/>
            </w:r>
            <w:r w:rsidR="00D909EE">
              <w:rPr>
                <w:noProof/>
                <w:webHidden/>
              </w:rPr>
              <w:t>20</w:t>
            </w:r>
            <w:r>
              <w:rPr>
                <w:noProof/>
                <w:webHidden/>
              </w:rPr>
              <w:fldChar w:fldCharType="end"/>
            </w:r>
          </w:hyperlink>
        </w:p>
        <w:p w14:paraId="5BE1E30A" w14:textId="5A9C4DCC" w:rsidR="00BE4089" w:rsidRDefault="00BE4089" w:rsidP="00D909EE">
          <w:pPr>
            <w:pStyle w:val="TOC2"/>
            <w:rPr>
              <w:rFonts w:asciiTheme="minorHAnsi" w:eastAsiaTheme="minorEastAsia" w:hAnsiTheme="minorHAnsi" w:cstheme="minorBidi"/>
              <w:noProof/>
            </w:rPr>
          </w:pPr>
          <w:hyperlink w:anchor="_Toc228885227" w:history="1">
            <w:r w:rsidRPr="007C16A7">
              <w:rPr>
                <w:rStyle w:val="Hyperlink"/>
                <w:noProof/>
              </w:rPr>
              <w:t>SCORING RUBRIC FOR RENEWAL APPLICANTS</w:t>
            </w:r>
            <w:r>
              <w:rPr>
                <w:noProof/>
                <w:webHidden/>
              </w:rPr>
              <w:tab/>
            </w:r>
            <w:r>
              <w:rPr>
                <w:noProof/>
                <w:webHidden/>
              </w:rPr>
              <w:fldChar w:fldCharType="begin"/>
            </w:r>
            <w:r>
              <w:rPr>
                <w:noProof/>
                <w:webHidden/>
              </w:rPr>
              <w:instrText xml:space="preserve"> PAGEREF _Toc228885227 \h </w:instrText>
            </w:r>
            <w:r>
              <w:rPr>
                <w:noProof/>
                <w:webHidden/>
              </w:rPr>
            </w:r>
            <w:r>
              <w:rPr>
                <w:noProof/>
                <w:webHidden/>
              </w:rPr>
              <w:fldChar w:fldCharType="separate"/>
            </w:r>
            <w:r w:rsidR="00D909EE">
              <w:rPr>
                <w:noProof/>
                <w:webHidden/>
              </w:rPr>
              <w:t>28</w:t>
            </w:r>
            <w:r>
              <w:rPr>
                <w:noProof/>
                <w:webHidden/>
              </w:rPr>
              <w:fldChar w:fldCharType="end"/>
            </w:r>
          </w:hyperlink>
        </w:p>
        <w:p w14:paraId="6EDD9C38" w14:textId="03CFD8CB" w:rsidR="00494D5F" w:rsidRPr="00567BF3" w:rsidRDefault="00494D5F" w:rsidP="00567BF3">
          <w:r w:rsidRPr="00567BF3">
            <w:rPr>
              <w:b/>
              <w:bCs/>
              <w:noProof/>
            </w:rPr>
            <w:fldChar w:fldCharType="end"/>
          </w:r>
        </w:p>
      </w:sdtContent>
    </w:sdt>
    <w:p w14:paraId="5734D8EC" w14:textId="423C1E5E" w:rsidR="00CA6C1D" w:rsidRPr="0095380A" w:rsidRDefault="0095380A" w:rsidP="00645B74">
      <w:pPr>
        <w:pStyle w:val="Heading2"/>
      </w:pPr>
      <w:bookmarkStart w:id="4" w:name="_Toc228885199"/>
      <w:r w:rsidRPr="0095380A">
        <w:lastRenderedPageBreak/>
        <w:t>Introduction</w:t>
      </w:r>
      <w:bookmarkEnd w:id="4"/>
    </w:p>
    <w:p w14:paraId="1779CAB6" w14:textId="78BD390A" w:rsidR="00CA6C1D" w:rsidRDefault="00CA6C1D" w:rsidP="00567BF3">
      <w:r w:rsidRPr="00567BF3">
        <w:t xml:space="preserve">California </w:t>
      </w:r>
      <w:r w:rsidRPr="00567BF3">
        <w:rPr>
          <w:i/>
          <w:iCs/>
        </w:rPr>
        <w:t>Education Code</w:t>
      </w:r>
      <w:r w:rsidRPr="00567BF3">
        <w:t xml:space="preserve"> (</w:t>
      </w:r>
      <w:r w:rsidRPr="00567BF3">
        <w:rPr>
          <w:i/>
          <w:iCs/>
        </w:rPr>
        <w:t>EC</w:t>
      </w:r>
      <w:r w:rsidRPr="00567BF3">
        <w:t xml:space="preserve">) Section 53070(a) establishes the California Career Technical </w:t>
      </w:r>
      <w:r w:rsidR="003A45BA" w:rsidRPr="00567BF3">
        <w:t>Education</w:t>
      </w:r>
      <w:r w:rsidR="00095950">
        <w:t xml:space="preserve"> </w:t>
      </w:r>
      <w:r w:rsidR="00B83813">
        <w:t xml:space="preserve">Incentive </w:t>
      </w:r>
      <w:r w:rsidRPr="00567BF3">
        <w:t xml:space="preserve">Grant (CTEIG) program as a state education, economic, and workforce development initiative with the goal of providing </w:t>
      </w:r>
      <w:r w:rsidR="00466352" w:rsidRPr="00567BF3">
        <w:t>student</w:t>
      </w:r>
      <w:r w:rsidRPr="00567BF3">
        <w:t>s in kindergarten and grades one to twelve, inclusive, with the knowledge and skills necessary to transition to employment and post-secondary education. The purpose of this competitive grant program is to encourage, maintain, and strengthen the delivery of high-quality career technical education (CTE) programs.</w:t>
      </w:r>
    </w:p>
    <w:p w14:paraId="20470D6F" w14:textId="161AEE16" w:rsidR="00095950" w:rsidRPr="00567BF3" w:rsidRDefault="00095950" w:rsidP="00567BF3">
      <w:r w:rsidRPr="00095950">
        <w:t xml:space="preserve">Grant awards for the CTEIG program are contingent upon the sufficiency and availability of funds for the purpose of this program. Grant awards are subject to any additional restrictions, limitations, </w:t>
      </w:r>
      <w:r w:rsidR="003B1288" w:rsidRPr="00095950">
        <w:t>conditions,</w:t>
      </w:r>
      <w:r w:rsidRPr="00095950">
        <w:t xml:space="preserve"> or statute enacted by the State Legislature that may affect the funding of the CTEIG program. If the State Legislature does not appropriate sufficient funds for the program, grant awards shall be amended to reflect any reduction in funds. </w:t>
      </w:r>
    </w:p>
    <w:p w14:paraId="645C6063" w14:textId="7F1F89BB" w:rsidR="00982B90" w:rsidRPr="00567BF3" w:rsidRDefault="00BF2141" w:rsidP="00645B74">
      <w:pPr>
        <w:pStyle w:val="Heading2"/>
      </w:pPr>
      <w:bookmarkStart w:id="5" w:name="_Toc228885200"/>
      <w:r w:rsidRPr="00567BF3">
        <w:t>Statutory References</w:t>
      </w:r>
      <w:bookmarkEnd w:id="5"/>
    </w:p>
    <w:p w14:paraId="5C2A0E45" w14:textId="7577662B" w:rsidR="00982B90" w:rsidRPr="00567BF3" w:rsidRDefault="00982B90" w:rsidP="00567BF3">
      <w:r w:rsidRPr="00567BF3">
        <w:t xml:space="preserve">All </w:t>
      </w:r>
      <w:r w:rsidRPr="00567BF3">
        <w:rPr>
          <w:i/>
          <w:iCs/>
        </w:rPr>
        <w:t>E</w:t>
      </w:r>
      <w:r w:rsidR="00121EE9" w:rsidRPr="00567BF3">
        <w:rPr>
          <w:i/>
          <w:iCs/>
        </w:rPr>
        <w:t>C</w:t>
      </w:r>
      <w:r w:rsidRPr="00567BF3">
        <w:t xml:space="preserve"> sections referenced in this RFA refer to the provisions effective Ju</w:t>
      </w:r>
      <w:r w:rsidR="00F04C27">
        <w:t>ne</w:t>
      </w:r>
      <w:r w:rsidRPr="00567BF3">
        <w:t xml:space="preserve"> 1, 2026, and thereafter.</w:t>
      </w:r>
    </w:p>
    <w:p w14:paraId="19F77305" w14:textId="7C284083" w:rsidR="00121EE9" w:rsidRPr="00567BF3" w:rsidRDefault="00121EE9" w:rsidP="00567BF3">
      <w:r w:rsidRPr="00567BF3">
        <w:t xml:space="preserve">Any changes from the previous provisions are marked as either NEW (if a brand-new </w:t>
      </w:r>
      <w:r w:rsidRPr="00567BF3">
        <w:rPr>
          <w:i/>
          <w:iCs/>
        </w:rPr>
        <w:t xml:space="preserve">EC </w:t>
      </w:r>
      <w:r w:rsidRPr="00567BF3">
        <w:t xml:space="preserve">requirement or component) or UPDATED (if an existing </w:t>
      </w:r>
      <w:r w:rsidRPr="00567BF3">
        <w:rPr>
          <w:i/>
          <w:iCs/>
        </w:rPr>
        <w:t xml:space="preserve">EC </w:t>
      </w:r>
      <w:r w:rsidRPr="00567BF3">
        <w:t xml:space="preserve">component has been </w:t>
      </w:r>
      <w:r w:rsidR="005D7355" w:rsidRPr="00567BF3">
        <w:t xml:space="preserve">amended or </w:t>
      </w:r>
      <w:r w:rsidRPr="00567BF3">
        <w:t>changed).</w:t>
      </w:r>
    </w:p>
    <w:p w14:paraId="52FF391E" w14:textId="05435C4C" w:rsidR="00CA6C1D" w:rsidRPr="00567BF3" w:rsidRDefault="00BF2141" w:rsidP="00645B74">
      <w:pPr>
        <w:pStyle w:val="Heading2"/>
      </w:pPr>
      <w:bookmarkStart w:id="6" w:name="_Toc228885201"/>
      <w:r w:rsidRPr="00567BF3">
        <w:t xml:space="preserve">Grant </w:t>
      </w:r>
      <w:r>
        <w:t>Ap</w:t>
      </w:r>
      <w:r w:rsidRPr="00F76702">
        <w:t>p</w:t>
      </w:r>
      <w:r>
        <w:t xml:space="preserve">lication </w:t>
      </w:r>
      <w:r w:rsidRPr="00567BF3">
        <w:t>Timeline</w:t>
      </w:r>
      <w:bookmarkEnd w:id="6"/>
    </w:p>
    <w:p w14:paraId="2315B0CA" w14:textId="4F407ABB" w:rsidR="00CA6C1D" w:rsidRPr="00567BF3" w:rsidRDefault="00CA6C1D" w:rsidP="00567BF3">
      <w:r w:rsidRPr="00567BF3">
        <w:t xml:space="preserve">Grant applications must be received in the Program Grant Management System (PGMS) by Friday, </w:t>
      </w:r>
      <w:r w:rsidR="004E7000" w:rsidRPr="00567BF3">
        <w:t xml:space="preserve">June </w:t>
      </w:r>
      <w:r w:rsidR="004E7000" w:rsidRPr="00095950">
        <w:t>1</w:t>
      </w:r>
      <w:r w:rsidR="00D909EE" w:rsidRPr="00095950">
        <w:t>9</w:t>
      </w:r>
      <w:r w:rsidRPr="00567BF3">
        <w:t>, 2026, at 5 p.m. Pacific time.</w:t>
      </w:r>
    </w:p>
    <w:tbl>
      <w:tblPr>
        <w:tblStyle w:val="TableGrid"/>
        <w:tblW w:w="9340" w:type="dxa"/>
        <w:tblLook w:val="04A0" w:firstRow="1" w:lastRow="0" w:firstColumn="1" w:lastColumn="0" w:noHBand="0" w:noVBand="1"/>
        <w:tblDescription w:val="Timeline"/>
      </w:tblPr>
      <w:tblGrid>
        <w:gridCol w:w="2965"/>
        <w:gridCol w:w="6375"/>
      </w:tblGrid>
      <w:tr w:rsidR="0054197C" w:rsidRPr="00567BF3" w14:paraId="12291BC3" w14:textId="77777777" w:rsidTr="00CD78E0">
        <w:trPr>
          <w:cantSplit/>
          <w:tblHeader/>
        </w:trPr>
        <w:tc>
          <w:tcPr>
            <w:tcW w:w="2965" w:type="dxa"/>
            <w:shd w:val="clear" w:color="auto" w:fill="D1D1D1" w:themeFill="background2" w:themeFillShade="E6"/>
            <w:vAlign w:val="center"/>
          </w:tcPr>
          <w:p w14:paraId="3BF8D1C9" w14:textId="060EECD8" w:rsidR="0054197C" w:rsidRPr="00567BF3" w:rsidRDefault="0054197C" w:rsidP="00567BF3">
            <w:pPr>
              <w:pStyle w:val="PlainText"/>
              <w:spacing w:before="0"/>
              <w:jc w:val="center"/>
              <w:rPr>
                <w:rFonts w:ascii="Arial" w:hAnsi="Arial"/>
                <w:b/>
                <w:bCs/>
                <w:sz w:val="24"/>
                <w:szCs w:val="24"/>
              </w:rPr>
            </w:pPr>
            <w:r w:rsidRPr="00567BF3">
              <w:rPr>
                <w:rFonts w:ascii="Arial" w:hAnsi="Arial"/>
                <w:b/>
                <w:bCs/>
                <w:sz w:val="24"/>
                <w:szCs w:val="24"/>
              </w:rPr>
              <w:t>Date</w:t>
            </w:r>
          </w:p>
        </w:tc>
        <w:tc>
          <w:tcPr>
            <w:tcW w:w="6375" w:type="dxa"/>
            <w:shd w:val="clear" w:color="auto" w:fill="D1D1D1" w:themeFill="background2" w:themeFillShade="E6"/>
            <w:vAlign w:val="center"/>
          </w:tcPr>
          <w:p w14:paraId="5394E52F" w14:textId="0E9635AA" w:rsidR="0054197C" w:rsidRPr="00567BF3" w:rsidRDefault="0054197C" w:rsidP="00567BF3">
            <w:pPr>
              <w:pStyle w:val="PlainText"/>
              <w:spacing w:before="0"/>
              <w:jc w:val="center"/>
              <w:rPr>
                <w:rFonts w:ascii="Arial" w:hAnsi="Arial"/>
                <w:b/>
                <w:bCs/>
                <w:sz w:val="24"/>
                <w:szCs w:val="24"/>
              </w:rPr>
            </w:pPr>
            <w:r w:rsidRPr="00567BF3">
              <w:rPr>
                <w:rFonts w:ascii="Arial" w:hAnsi="Arial"/>
                <w:b/>
                <w:bCs/>
                <w:sz w:val="24"/>
                <w:szCs w:val="24"/>
              </w:rPr>
              <w:t>Activity</w:t>
            </w:r>
          </w:p>
        </w:tc>
      </w:tr>
      <w:tr w:rsidR="0054197C" w:rsidRPr="00567BF3" w14:paraId="5337E8FC" w14:textId="77777777" w:rsidTr="00CD78E0">
        <w:trPr>
          <w:cantSplit/>
          <w:tblHeader/>
        </w:trPr>
        <w:tc>
          <w:tcPr>
            <w:tcW w:w="2965" w:type="dxa"/>
            <w:vAlign w:val="center"/>
          </w:tcPr>
          <w:p w14:paraId="4E1AB997" w14:textId="0D329B1C" w:rsidR="0054197C" w:rsidRPr="007750A7" w:rsidRDefault="00950D50" w:rsidP="00567BF3">
            <w:pPr>
              <w:pStyle w:val="PlainText"/>
              <w:spacing w:before="0"/>
              <w:rPr>
                <w:rFonts w:ascii="Arial" w:hAnsi="Arial"/>
                <w:sz w:val="24"/>
                <w:szCs w:val="24"/>
              </w:rPr>
            </w:pPr>
            <w:r w:rsidRPr="00095950">
              <w:rPr>
                <w:rFonts w:ascii="Arial" w:hAnsi="Arial"/>
                <w:sz w:val="24"/>
                <w:szCs w:val="24"/>
              </w:rPr>
              <w:t xml:space="preserve">May </w:t>
            </w:r>
            <w:r w:rsidR="00156EB4" w:rsidRPr="00095950">
              <w:rPr>
                <w:rFonts w:ascii="Arial" w:hAnsi="Arial"/>
                <w:sz w:val="24"/>
                <w:szCs w:val="24"/>
              </w:rPr>
              <w:t>1</w:t>
            </w:r>
            <w:r w:rsidR="00052151" w:rsidRPr="00095950">
              <w:rPr>
                <w:rFonts w:ascii="Arial" w:hAnsi="Arial"/>
                <w:sz w:val="24"/>
                <w:szCs w:val="24"/>
              </w:rPr>
              <w:t>8</w:t>
            </w:r>
            <w:r w:rsidR="0054197C" w:rsidRPr="00095950">
              <w:rPr>
                <w:rFonts w:ascii="Arial" w:hAnsi="Arial"/>
                <w:sz w:val="24"/>
                <w:szCs w:val="24"/>
              </w:rPr>
              <w:t>, 2026</w:t>
            </w:r>
          </w:p>
        </w:tc>
        <w:tc>
          <w:tcPr>
            <w:tcW w:w="6375" w:type="dxa"/>
            <w:vAlign w:val="center"/>
          </w:tcPr>
          <w:p w14:paraId="724EC712" w14:textId="6B38A6DE" w:rsidR="0054197C" w:rsidRPr="00567BF3" w:rsidRDefault="0054197C" w:rsidP="00567BF3">
            <w:pPr>
              <w:pStyle w:val="PlainText"/>
              <w:spacing w:before="0"/>
              <w:rPr>
                <w:rFonts w:ascii="Arial" w:hAnsi="Arial"/>
                <w:sz w:val="24"/>
                <w:szCs w:val="24"/>
              </w:rPr>
            </w:pPr>
            <w:r w:rsidRPr="00567BF3">
              <w:rPr>
                <w:rFonts w:ascii="Arial" w:hAnsi="Arial"/>
                <w:sz w:val="24"/>
                <w:szCs w:val="24"/>
              </w:rPr>
              <w:t>Request for Application (RFA) released to LEAs</w:t>
            </w:r>
          </w:p>
        </w:tc>
      </w:tr>
      <w:tr w:rsidR="0054197C" w:rsidRPr="00567BF3" w14:paraId="0B15ABEE" w14:textId="77777777" w:rsidTr="00CD78E0">
        <w:trPr>
          <w:cantSplit/>
          <w:tblHeader/>
        </w:trPr>
        <w:tc>
          <w:tcPr>
            <w:tcW w:w="2965" w:type="dxa"/>
            <w:vAlign w:val="center"/>
          </w:tcPr>
          <w:p w14:paraId="22F1F7AC" w14:textId="29E80B0C" w:rsidR="0054197C" w:rsidRPr="007750A7" w:rsidRDefault="004E7000" w:rsidP="00567BF3">
            <w:pPr>
              <w:pStyle w:val="PlainText"/>
              <w:spacing w:before="0"/>
              <w:rPr>
                <w:rFonts w:ascii="Arial" w:hAnsi="Arial"/>
                <w:sz w:val="24"/>
                <w:szCs w:val="24"/>
              </w:rPr>
            </w:pPr>
            <w:r w:rsidRPr="007750A7">
              <w:rPr>
                <w:rFonts w:ascii="Arial" w:hAnsi="Arial"/>
                <w:sz w:val="24"/>
                <w:szCs w:val="24"/>
              </w:rPr>
              <w:t>June</w:t>
            </w:r>
            <w:r w:rsidR="00950D50" w:rsidRPr="007750A7">
              <w:rPr>
                <w:rFonts w:ascii="Arial" w:hAnsi="Arial"/>
                <w:sz w:val="24"/>
                <w:szCs w:val="24"/>
              </w:rPr>
              <w:t xml:space="preserve"> </w:t>
            </w:r>
            <w:r w:rsidRPr="007750A7">
              <w:rPr>
                <w:rFonts w:ascii="Arial" w:hAnsi="Arial"/>
                <w:sz w:val="24"/>
                <w:szCs w:val="24"/>
              </w:rPr>
              <w:t>1</w:t>
            </w:r>
            <w:r w:rsidR="00950D50" w:rsidRPr="007750A7">
              <w:rPr>
                <w:rFonts w:ascii="Arial" w:hAnsi="Arial"/>
                <w:sz w:val="24"/>
                <w:szCs w:val="24"/>
              </w:rPr>
              <w:t>9</w:t>
            </w:r>
            <w:r w:rsidR="0054197C" w:rsidRPr="007750A7">
              <w:rPr>
                <w:rFonts w:ascii="Arial" w:hAnsi="Arial"/>
                <w:sz w:val="24"/>
                <w:szCs w:val="24"/>
              </w:rPr>
              <w:t>, 2026</w:t>
            </w:r>
          </w:p>
        </w:tc>
        <w:tc>
          <w:tcPr>
            <w:tcW w:w="6375" w:type="dxa"/>
            <w:vAlign w:val="center"/>
          </w:tcPr>
          <w:p w14:paraId="37B73915" w14:textId="0FE61067" w:rsidR="0054197C" w:rsidRPr="00567BF3" w:rsidRDefault="0054197C" w:rsidP="00567BF3">
            <w:pPr>
              <w:pStyle w:val="PlainText"/>
              <w:spacing w:before="0"/>
              <w:rPr>
                <w:rFonts w:ascii="Arial" w:hAnsi="Arial"/>
                <w:sz w:val="24"/>
                <w:szCs w:val="24"/>
              </w:rPr>
            </w:pPr>
            <w:r w:rsidRPr="00567BF3">
              <w:rPr>
                <w:rFonts w:ascii="Arial" w:hAnsi="Arial"/>
                <w:sz w:val="24"/>
                <w:szCs w:val="24"/>
              </w:rPr>
              <w:t xml:space="preserve">PGMS </w:t>
            </w:r>
            <w:r w:rsidR="00606521" w:rsidRPr="00567BF3">
              <w:rPr>
                <w:rFonts w:ascii="Arial" w:hAnsi="Arial"/>
                <w:sz w:val="24"/>
                <w:szCs w:val="24"/>
              </w:rPr>
              <w:t>e</w:t>
            </w:r>
            <w:r w:rsidRPr="00567BF3">
              <w:rPr>
                <w:rFonts w:ascii="Arial" w:hAnsi="Arial"/>
                <w:sz w:val="24"/>
                <w:szCs w:val="24"/>
              </w:rPr>
              <w:t xml:space="preserve">ntry </w:t>
            </w:r>
            <w:r w:rsidR="00606521" w:rsidRPr="00567BF3">
              <w:rPr>
                <w:rFonts w:ascii="Arial" w:hAnsi="Arial"/>
                <w:sz w:val="24"/>
                <w:szCs w:val="24"/>
              </w:rPr>
              <w:t>s</w:t>
            </w:r>
            <w:r w:rsidRPr="00567BF3">
              <w:rPr>
                <w:rFonts w:ascii="Arial" w:hAnsi="Arial"/>
                <w:sz w:val="24"/>
                <w:szCs w:val="24"/>
              </w:rPr>
              <w:t>ubmission due to CDE (5 p.m. Pacific)</w:t>
            </w:r>
          </w:p>
        </w:tc>
      </w:tr>
      <w:tr w:rsidR="00A50488" w:rsidRPr="00567BF3" w14:paraId="10F4C06D" w14:textId="77777777" w:rsidTr="00CD78E0">
        <w:trPr>
          <w:cantSplit/>
          <w:tblHeader/>
        </w:trPr>
        <w:tc>
          <w:tcPr>
            <w:tcW w:w="2965" w:type="dxa"/>
            <w:vAlign w:val="center"/>
          </w:tcPr>
          <w:p w14:paraId="331FA811" w14:textId="41624514" w:rsidR="00A50488" w:rsidRPr="007750A7" w:rsidRDefault="004E7000" w:rsidP="00567BF3">
            <w:pPr>
              <w:pStyle w:val="PlainText"/>
              <w:spacing w:before="0"/>
              <w:rPr>
                <w:rFonts w:ascii="Arial" w:hAnsi="Arial"/>
                <w:sz w:val="24"/>
                <w:szCs w:val="24"/>
              </w:rPr>
            </w:pPr>
            <w:r w:rsidRPr="007750A7">
              <w:rPr>
                <w:rFonts w:ascii="Arial" w:hAnsi="Arial"/>
                <w:sz w:val="24"/>
                <w:szCs w:val="24"/>
              </w:rPr>
              <w:t>June</w:t>
            </w:r>
            <w:r w:rsidR="00950D50" w:rsidRPr="007750A7">
              <w:rPr>
                <w:rFonts w:ascii="Arial" w:hAnsi="Arial"/>
                <w:sz w:val="24"/>
                <w:szCs w:val="24"/>
              </w:rPr>
              <w:t xml:space="preserve"> 22</w:t>
            </w:r>
            <w:r w:rsidR="00B51765" w:rsidRPr="007750A7">
              <w:rPr>
                <w:rFonts w:ascii="Arial" w:hAnsi="Arial"/>
                <w:sz w:val="24"/>
                <w:szCs w:val="24"/>
              </w:rPr>
              <w:t>–</w:t>
            </w:r>
            <w:r w:rsidRPr="007750A7">
              <w:rPr>
                <w:rFonts w:ascii="Arial" w:hAnsi="Arial"/>
                <w:sz w:val="24"/>
                <w:szCs w:val="24"/>
              </w:rPr>
              <w:t>August 7</w:t>
            </w:r>
            <w:r w:rsidR="00A50488" w:rsidRPr="007750A7">
              <w:rPr>
                <w:rFonts w:ascii="Arial" w:hAnsi="Arial"/>
                <w:sz w:val="24"/>
                <w:szCs w:val="24"/>
              </w:rPr>
              <w:t>,</w:t>
            </w:r>
            <w:r w:rsidR="00801F92" w:rsidRPr="007750A7">
              <w:rPr>
                <w:rFonts w:ascii="Arial" w:hAnsi="Arial"/>
                <w:sz w:val="24"/>
                <w:szCs w:val="24"/>
              </w:rPr>
              <w:t xml:space="preserve"> </w:t>
            </w:r>
            <w:r w:rsidR="00A50488" w:rsidRPr="007750A7">
              <w:rPr>
                <w:rFonts w:ascii="Arial" w:hAnsi="Arial"/>
                <w:sz w:val="24"/>
                <w:szCs w:val="24"/>
              </w:rPr>
              <w:t>2026</w:t>
            </w:r>
          </w:p>
        </w:tc>
        <w:tc>
          <w:tcPr>
            <w:tcW w:w="6375" w:type="dxa"/>
            <w:vAlign w:val="center"/>
          </w:tcPr>
          <w:p w14:paraId="607F5BE1" w14:textId="15E324F3" w:rsidR="00A50488" w:rsidRPr="00567BF3" w:rsidRDefault="00B51765" w:rsidP="00567BF3">
            <w:pPr>
              <w:pStyle w:val="PlainText"/>
              <w:spacing w:before="0"/>
              <w:rPr>
                <w:rFonts w:ascii="Arial" w:hAnsi="Arial"/>
                <w:sz w:val="24"/>
                <w:szCs w:val="24"/>
              </w:rPr>
            </w:pPr>
            <w:r w:rsidRPr="00567BF3">
              <w:rPr>
                <w:rFonts w:ascii="Arial" w:hAnsi="Arial"/>
                <w:sz w:val="24"/>
                <w:szCs w:val="24"/>
              </w:rPr>
              <w:t xml:space="preserve">CDE </w:t>
            </w:r>
            <w:r w:rsidR="00606521" w:rsidRPr="00567BF3">
              <w:rPr>
                <w:rFonts w:ascii="Arial" w:hAnsi="Arial"/>
                <w:sz w:val="24"/>
                <w:szCs w:val="24"/>
              </w:rPr>
              <w:t>r</w:t>
            </w:r>
            <w:r w:rsidR="00A50488" w:rsidRPr="00567BF3">
              <w:rPr>
                <w:rFonts w:ascii="Arial" w:hAnsi="Arial"/>
                <w:sz w:val="24"/>
                <w:szCs w:val="24"/>
              </w:rPr>
              <w:t>ead</w:t>
            </w:r>
            <w:r w:rsidRPr="00567BF3">
              <w:rPr>
                <w:rFonts w:ascii="Arial" w:hAnsi="Arial"/>
                <w:sz w:val="24"/>
                <w:szCs w:val="24"/>
              </w:rPr>
              <w:t>s</w:t>
            </w:r>
            <w:r w:rsidR="00A50488" w:rsidRPr="00567BF3">
              <w:rPr>
                <w:rFonts w:ascii="Arial" w:hAnsi="Arial"/>
                <w:sz w:val="24"/>
                <w:szCs w:val="24"/>
              </w:rPr>
              <w:t xml:space="preserve"> and scor</w:t>
            </w:r>
            <w:r w:rsidRPr="00567BF3">
              <w:rPr>
                <w:rFonts w:ascii="Arial" w:hAnsi="Arial"/>
                <w:sz w:val="24"/>
                <w:szCs w:val="24"/>
              </w:rPr>
              <w:t>es</w:t>
            </w:r>
            <w:r w:rsidR="00A50488" w:rsidRPr="00567BF3">
              <w:rPr>
                <w:rFonts w:ascii="Arial" w:hAnsi="Arial"/>
                <w:sz w:val="24"/>
                <w:szCs w:val="24"/>
              </w:rPr>
              <w:t xml:space="preserve"> applications</w:t>
            </w:r>
            <w:r w:rsidRPr="00567BF3">
              <w:rPr>
                <w:rFonts w:ascii="Arial" w:hAnsi="Arial"/>
                <w:sz w:val="24"/>
                <w:szCs w:val="24"/>
              </w:rPr>
              <w:t xml:space="preserve">, and determines the </w:t>
            </w:r>
            <w:r w:rsidR="005169BC" w:rsidRPr="00567BF3">
              <w:rPr>
                <w:rFonts w:ascii="Arial" w:hAnsi="Arial"/>
                <w:sz w:val="24"/>
                <w:szCs w:val="24"/>
              </w:rPr>
              <w:t xml:space="preserve">preliminary </w:t>
            </w:r>
            <w:r w:rsidRPr="00567BF3">
              <w:rPr>
                <w:rFonts w:ascii="Arial" w:hAnsi="Arial"/>
                <w:sz w:val="24"/>
                <w:szCs w:val="24"/>
              </w:rPr>
              <w:t>allocations</w:t>
            </w:r>
          </w:p>
        </w:tc>
      </w:tr>
      <w:tr w:rsidR="0054197C" w:rsidRPr="00567BF3" w14:paraId="6983CAD4" w14:textId="77777777" w:rsidTr="00CD78E0">
        <w:trPr>
          <w:cantSplit/>
          <w:tblHeader/>
        </w:trPr>
        <w:tc>
          <w:tcPr>
            <w:tcW w:w="2965" w:type="dxa"/>
            <w:vAlign w:val="center"/>
          </w:tcPr>
          <w:p w14:paraId="59718002" w14:textId="13373289" w:rsidR="0054197C" w:rsidRPr="00567BF3" w:rsidRDefault="004E7000" w:rsidP="00567BF3">
            <w:pPr>
              <w:pStyle w:val="PlainText"/>
              <w:spacing w:before="0"/>
              <w:rPr>
                <w:rFonts w:ascii="Arial" w:hAnsi="Arial"/>
                <w:sz w:val="24"/>
                <w:szCs w:val="24"/>
              </w:rPr>
            </w:pPr>
            <w:r w:rsidRPr="00567BF3">
              <w:rPr>
                <w:rFonts w:ascii="Arial" w:hAnsi="Arial"/>
                <w:sz w:val="24"/>
                <w:szCs w:val="24"/>
              </w:rPr>
              <w:t>August 10</w:t>
            </w:r>
            <w:r w:rsidR="00A50488" w:rsidRPr="00567BF3">
              <w:rPr>
                <w:rFonts w:ascii="Arial" w:hAnsi="Arial"/>
                <w:sz w:val="24"/>
                <w:szCs w:val="24"/>
              </w:rPr>
              <w:t>, 2026</w:t>
            </w:r>
          </w:p>
        </w:tc>
        <w:tc>
          <w:tcPr>
            <w:tcW w:w="6375" w:type="dxa"/>
            <w:vAlign w:val="center"/>
          </w:tcPr>
          <w:p w14:paraId="7248AF8E" w14:textId="771111C7" w:rsidR="0054197C" w:rsidRPr="00567BF3" w:rsidRDefault="0054197C" w:rsidP="00567BF3">
            <w:pPr>
              <w:pStyle w:val="PlainText"/>
              <w:spacing w:before="0"/>
              <w:rPr>
                <w:rFonts w:ascii="Arial" w:hAnsi="Arial"/>
                <w:sz w:val="24"/>
                <w:szCs w:val="24"/>
              </w:rPr>
            </w:pPr>
            <w:r w:rsidRPr="00567BF3">
              <w:rPr>
                <w:rFonts w:ascii="Arial" w:hAnsi="Arial"/>
                <w:sz w:val="24"/>
                <w:szCs w:val="24"/>
              </w:rPr>
              <w:t xml:space="preserve">Preliminary Grant Qualification Results </w:t>
            </w:r>
            <w:r w:rsidR="00606521" w:rsidRPr="00567BF3">
              <w:rPr>
                <w:rFonts w:ascii="Arial" w:hAnsi="Arial"/>
                <w:sz w:val="24"/>
                <w:szCs w:val="24"/>
              </w:rPr>
              <w:t>p</w:t>
            </w:r>
            <w:r w:rsidRPr="00567BF3">
              <w:rPr>
                <w:rFonts w:ascii="Arial" w:hAnsi="Arial"/>
                <w:sz w:val="24"/>
                <w:szCs w:val="24"/>
              </w:rPr>
              <w:t>osted</w:t>
            </w:r>
          </w:p>
        </w:tc>
      </w:tr>
      <w:tr w:rsidR="00A50488" w:rsidRPr="00567BF3" w14:paraId="41A73C65" w14:textId="77777777" w:rsidTr="00CD78E0">
        <w:trPr>
          <w:cantSplit/>
          <w:tblHeader/>
        </w:trPr>
        <w:tc>
          <w:tcPr>
            <w:tcW w:w="2965" w:type="dxa"/>
            <w:vAlign w:val="center"/>
          </w:tcPr>
          <w:p w14:paraId="2CD64371" w14:textId="480D7762" w:rsidR="00A50488" w:rsidRPr="00567BF3" w:rsidRDefault="004E7000" w:rsidP="00567BF3">
            <w:pPr>
              <w:pStyle w:val="PlainText"/>
              <w:spacing w:before="0"/>
              <w:rPr>
                <w:rFonts w:ascii="Arial" w:hAnsi="Arial"/>
                <w:sz w:val="24"/>
                <w:szCs w:val="24"/>
              </w:rPr>
            </w:pPr>
            <w:r w:rsidRPr="00567BF3">
              <w:rPr>
                <w:rFonts w:ascii="Arial" w:hAnsi="Arial"/>
                <w:sz w:val="24"/>
                <w:szCs w:val="24"/>
              </w:rPr>
              <w:t>August 20</w:t>
            </w:r>
            <w:r w:rsidR="00A50488" w:rsidRPr="00567BF3">
              <w:rPr>
                <w:rFonts w:ascii="Arial" w:hAnsi="Arial"/>
                <w:sz w:val="24"/>
                <w:szCs w:val="24"/>
              </w:rPr>
              <w:t>, 2026</w:t>
            </w:r>
          </w:p>
        </w:tc>
        <w:tc>
          <w:tcPr>
            <w:tcW w:w="6375" w:type="dxa"/>
            <w:vAlign w:val="center"/>
          </w:tcPr>
          <w:p w14:paraId="32E621B0" w14:textId="1480A840" w:rsidR="00A50488" w:rsidRPr="00567BF3" w:rsidRDefault="00A50488" w:rsidP="00567BF3">
            <w:pPr>
              <w:pStyle w:val="PlainText"/>
              <w:spacing w:before="0"/>
              <w:rPr>
                <w:rFonts w:ascii="Arial" w:hAnsi="Arial"/>
                <w:sz w:val="24"/>
                <w:szCs w:val="24"/>
              </w:rPr>
            </w:pPr>
            <w:r w:rsidRPr="00567BF3">
              <w:rPr>
                <w:rFonts w:ascii="Arial" w:hAnsi="Arial"/>
                <w:sz w:val="24"/>
                <w:szCs w:val="24"/>
              </w:rPr>
              <w:t xml:space="preserve">Appeals </w:t>
            </w:r>
            <w:r w:rsidR="00606521" w:rsidRPr="00567BF3">
              <w:rPr>
                <w:rFonts w:ascii="Arial" w:hAnsi="Arial"/>
                <w:sz w:val="24"/>
                <w:szCs w:val="24"/>
              </w:rPr>
              <w:t>d</w:t>
            </w:r>
            <w:r w:rsidRPr="00567BF3">
              <w:rPr>
                <w:rFonts w:ascii="Arial" w:hAnsi="Arial"/>
                <w:sz w:val="24"/>
                <w:szCs w:val="24"/>
              </w:rPr>
              <w:t>ue</w:t>
            </w:r>
          </w:p>
        </w:tc>
      </w:tr>
      <w:tr w:rsidR="0054197C" w:rsidRPr="00567BF3" w14:paraId="533A6A23" w14:textId="77777777" w:rsidTr="00CD78E0">
        <w:trPr>
          <w:cantSplit/>
          <w:tblHeader/>
        </w:trPr>
        <w:tc>
          <w:tcPr>
            <w:tcW w:w="2965" w:type="dxa"/>
            <w:vAlign w:val="center"/>
          </w:tcPr>
          <w:p w14:paraId="000904C1" w14:textId="580A26E3" w:rsidR="0054197C" w:rsidRPr="00567BF3" w:rsidRDefault="004E7000" w:rsidP="00567BF3">
            <w:pPr>
              <w:pStyle w:val="PlainText"/>
              <w:spacing w:before="0"/>
              <w:rPr>
                <w:rFonts w:ascii="Arial" w:hAnsi="Arial"/>
                <w:sz w:val="24"/>
                <w:szCs w:val="24"/>
              </w:rPr>
            </w:pPr>
            <w:r w:rsidRPr="00567BF3">
              <w:rPr>
                <w:rFonts w:ascii="Arial" w:hAnsi="Arial"/>
                <w:sz w:val="24"/>
                <w:szCs w:val="24"/>
              </w:rPr>
              <w:t>September 9</w:t>
            </w:r>
            <w:r w:rsidR="00A50488" w:rsidRPr="00567BF3">
              <w:rPr>
                <w:rFonts w:ascii="Arial" w:hAnsi="Arial"/>
                <w:sz w:val="24"/>
                <w:szCs w:val="24"/>
              </w:rPr>
              <w:t>–</w:t>
            </w:r>
            <w:r w:rsidRPr="00567BF3">
              <w:rPr>
                <w:rFonts w:ascii="Arial" w:hAnsi="Arial"/>
                <w:sz w:val="24"/>
                <w:szCs w:val="24"/>
              </w:rPr>
              <w:t>10</w:t>
            </w:r>
            <w:r w:rsidR="00A50488" w:rsidRPr="00567BF3">
              <w:rPr>
                <w:rFonts w:ascii="Arial" w:hAnsi="Arial"/>
                <w:sz w:val="24"/>
                <w:szCs w:val="24"/>
              </w:rPr>
              <w:t>, 2026</w:t>
            </w:r>
          </w:p>
        </w:tc>
        <w:tc>
          <w:tcPr>
            <w:tcW w:w="6375" w:type="dxa"/>
            <w:vAlign w:val="center"/>
          </w:tcPr>
          <w:p w14:paraId="75081C81" w14:textId="168DB6D6" w:rsidR="0054197C" w:rsidRPr="00567BF3" w:rsidRDefault="005169BC" w:rsidP="00567BF3">
            <w:pPr>
              <w:pStyle w:val="PlainText"/>
              <w:spacing w:before="0"/>
              <w:rPr>
                <w:rFonts w:ascii="Arial" w:hAnsi="Arial"/>
                <w:sz w:val="24"/>
                <w:szCs w:val="24"/>
              </w:rPr>
            </w:pPr>
            <w:r w:rsidRPr="00567BF3">
              <w:rPr>
                <w:rFonts w:ascii="Arial" w:hAnsi="Arial"/>
                <w:sz w:val="24"/>
                <w:szCs w:val="24"/>
              </w:rPr>
              <w:t xml:space="preserve">CDE presents recommended grant qualification award amounts at the </w:t>
            </w:r>
            <w:r w:rsidR="0054197C" w:rsidRPr="00567BF3">
              <w:rPr>
                <w:rFonts w:ascii="Arial" w:hAnsi="Arial"/>
                <w:sz w:val="24"/>
                <w:szCs w:val="24"/>
              </w:rPr>
              <w:t>S</w:t>
            </w:r>
            <w:r w:rsidR="00C062D5" w:rsidRPr="00567BF3">
              <w:rPr>
                <w:rFonts w:ascii="Arial" w:hAnsi="Arial"/>
                <w:sz w:val="24"/>
                <w:szCs w:val="24"/>
              </w:rPr>
              <w:t>tate Board of Education (SBE)</w:t>
            </w:r>
            <w:r w:rsidR="0054197C" w:rsidRPr="00567BF3">
              <w:rPr>
                <w:rFonts w:ascii="Arial" w:hAnsi="Arial"/>
                <w:sz w:val="24"/>
                <w:szCs w:val="24"/>
              </w:rPr>
              <w:t xml:space="preserve"> </w:t>
            </w:r>
            <w:r w:rsidRPr="00567BF3">
              <w:rPr>
                <w:rFonts w:ascii="Arial" w:hAnsi="Arial"/>
                <w:sz w:val="24"/>
                <w:szCs w:val="24"/>
              </w:rPr>
              <w:t>meeting for consideration and approval.</w:t>
            </w:r>
          </w:p>
        </w:tc>
      </w:tr>
      <w:tr w:rsidR="00877F7E" w:rsidRPr="00567BF3" w14:paraId="16D84E84" w14:textId="77777777" w:rsidTr="00CD78E0">
        <w:trPr>
          <w:cantSplit/>
          <w:tblHeader/>
        </w:trPr>
        <w:tc>
          <w:tcPr>
            <w:tcW w:w="2965" w:type="dxa"/>
            <w:vAlign w:val="center"/>
          </w:tcPr>
          <w:p w14:paraId="1F7253E9" w14:textId="7D20E747" w:rsidR="00877F7E" w:rsidRPr="00567BF3" w:rsidRDefault="00877F7E" w:rsidP="00877F7E">
            <w:pPr>
              <w:pStyle w:val="PlainText"/>
              <w:spacing w:before="0"/>
              <w:rPr>
                <w:rFonts w:ascii="Arial" w:hAnsi="Arial"/>
                <w:sz w:val="24"/>
                <w:szCs w:val="24"/>
              </w:rPr>
            </w:pPr>
            <w:r>
              <w:rPr>
                <w:rFonts w:ascii="Arial" w:hAnsi="Arial"/>
                <w:sz w:val="24"/>
                <w:szCs w:val="24"/>
              </w:rPr>
              <w:t>October–November 2026</w:t>
            </w:r>
          </w:p>
        </w:tc>
        <w:tc>
          <w:tcPr>
            <w:tcW w:w="6375" w:type="dxa"/>
            <w:vAlign w:val="center"/>
          </w:tcPr>
          <w:p w14:paraId="0009E665" w14:textId="3D41CEB1" w:rsidR="00877F7E" w:rsidRPr="00567BF3" w:rsidRDefault="00877F7E" w:rsidP="00877F7E">
            <w:pPr>
              <w:pStyle w:val="PlainText"/>
              <w:spacing w:before="0"/>
              <w:rPr>
                <w:rFonts w:ascii="Arial" w:hAnsi="Arial"/>
                <w:sz w:val="24"/>
                <w:szCs w:val="24"/>
              </w:rPr>
            </w:pPr>
            <w:r>
              <w:rPr>
                <w:rFonts w:ascii="Arial" w:hAnsi="Arial"/>
                <w:sz w:val="24"/>
                <w:szCs w:val="24"/>
              </w:rPr>
              <w:t>Grant Award Notification</w:t>
            </w:r>
            <w:r w:rsidR="00615DA2">
              <w:rPr>
                <w:rFonts w:ascii="Arial" w:hAnsi="Arial"/>
                <w:sz w:val="24"/>
                <w:szCs w:val="24"/>
              </w:rPr>
              <w:t>s</w:t>
            </w:r>
            <w:r>
              <w:rPr>
                <w:rFonts w:ascii="Arial" w:hAnsi="Arial"/>
                <w:sz w:val="24"/>
                <w:szCs w:val="24"/>
              </w:rPr>
              <w:t xml:space="preserve"> </w:t>
            </w:r>
            <w:r w:rsidR="00704062">
              <w:rPr>
                <w:rFonts w:ascii="Arial" w:hAnsi="Arial"/>
                <w:sz w:val="24"/>
                <w:szCs w:val="24"/>
              </w:rPr>
              <w:t>e</w:t>
            </w:r>
            <w:r>
              <w:rPr>
                <w:rFonts w:ascii="Arial" w:hAnsi="Arial"/>
                <w:sz w:val="24"/>
                <w:szCs w:val="24"/>
              </w:rPr>
              <w:t>mailed</w:t>
            </w:r>
            <w:r w:rsidR="000D07EE">
              <w:rPr>
                <w:rFonts w:ascii="Arial" w:hAnsi="Arial"/>
                <w:sz w:val="24"/>
                <w:szCs w:val="24"/>
              </w:rPr>
              <w:t xml:space="preserve"> </w:t>
            </w:r>
            <w:r w:rsidR="00F37630">
              <w:rPr>
                <w:rFonts w:ascii="Arial" w:hAnsi="Arial"/>
                <w:sz w:val="24"/>
                <w:szCs w:val="24"/>
              </w:rPr>
              <w:t>to Superintendent/Lead Administrator</w:t>
            </w:r>
          </w:p>
        </w:tc>
      </w:tr>
      <w:tr w:rsidR="00877F7E" w:rsidRPr="00567BF3" w14:paraId="2E8E9623" w14:textId="77777777" w:rsidTr="00CD78E0">
        <w:trPr>
          <w:cantSplit/>
          <w:tblHeader/>
        </w:trPr>
        <w:tc>
          <w:tcPr>
            <w:tcW w:w="2965" w:type="dxa"/>
            <w:vAlign w:val="center"/>
          </w:tcPr>
          <w:p w14:paraId="32FF1E46" w14:textId="103CBCB9" w:rsidR="00877F7E" w:rsidRPr="00567BF3" w:rsidRDefault="00877F7E" w:rsidP="00877F7E">
            <w:pPr>
              <w:pStyle w:val="PlainText"/>
              <w:spacing w:before="0"/>
              <w:rPr>
                <w:rFonts w:ascii="Arial" w:hAnsi="Arial"/>
                <w:sz w:val="24"/>
                <w:szCs w:val="24"/>
              </w:rPr>
            </w:pPr>
            <w:r w:rsidRPr="00567BF3">
              <w:rPr>
                <w:rFonts w:ascii="Arial" w:hAnsi="Arial"/>
                <w:sz w:val="24"/>
                <w:szCs w:val="24"/>
              </w:rPr>
              <w:t>July 1, 2026</w:t>
            </w:r>
          </w:p>
        </w:tc>
        <w:tc>
          <w:tcPr>
            <w:tcW w:w="6375" w:type="dxa"/>
            <w:vAlign w:val="center"/>
          </w:tcPr>
          <w:p w14:paraId="00393ABA" w14:textId="086CA6D5" w:rsidR="00877F7E" w:rsidRPr="00567BF3" w:rsidRDefault="00877F7E" w:rsidP="00877F7E">
            <w:pPr>
              <w:pStyle w:val="PlainText"/>
              <w:spacing w:before="0"/>
              <w:rPr>
                <w:rFonts w:ascii="Arial" w:hAnsi="Arial"/>
                <w:sz w:val="24"/>
                <w:szCs w:val="24"/>
              </w:rPr>
            </w:pPr>
            <w:r w:rsidRPr="00567BF3">
              <w:rPr>
                <w:rFonts w:ascii="Arial" w:hAnsi="Arial"/>
                <w:sz w:val="24"/>
                <w:szCs w:val="24"/>
              </w:rPr>
              <w:t>Grant</w:t>
            </w:r>
            <w:r w:rsidR="00BB6A4A">
              <w:rPr>
                <w:rFonts w:ascii="Arial" w:hAnsi="Arial"/>
                <w:sz w:val="24"/>
                <w:szCs w:val="24"/>
              </w:rPr>
              <w:t xml:space="preserve"> t</w:t>
            </w:r>
            <w:r w:rsidR="00704062">
              <w:rPr>
                <w:rFonts w:ascii="Arial" w:hAnsi="Arial"/>
                <w:sz w:val="24"/>
                <w:szCs w:val="24"/>
              </w:rPr>
              <w:t>erm</w:t>
            </w:r>
            <w:r w:rsidRPr="00567BF3">
              <w:rPr>
                <w:rFonts w:ascii="Arial" w:hAnsi="Arial"/>
                <w:sz w:val="24"/>
                <w:szCs w:val="24"/>
              </w:rPr>
              <w:t xml:space="preserve"> start date</w:t>
            </w:r>
          </w:p>
        </w:tc>
      </w:tr>
    </w:tbl>
    <w:p w14:paraId="725C8EB9" w14:textId="312E23F3" w:rsidR="00F04C27" w:rsidRDefault="00877F7E" w:rsidP="00877F7E">
      <w:pPr>
        <w:pStyle w:val="PlainText"/>
        <w:rPr>
          <w:rFonts w:ascii="Arial" w:hAnsi="Arial"/>
          <w:sz w:val="24"/>
          <w:szCs w:val="24"/>
        </w:rPr>
      </w:pPr>
      <w:r w:rsidRPr="00567BF3">
        <w:rPr>
          <w:rFonts w:ascii="Arial" w:hAnsi="Arial"/>
          <w:sz w:val="24"/>
          <w:szCs w:val="24"/>
        </w:rPr>
        <w:t>*The CTEIG Round 12 fiscal year (FY) 2026–27 timeline is subject to change.</w:t>
      </w:r>
    </w:p>
    <w:p w14:paraId="4F9C16F5" w14:textId="59F15ADA" w:rsidR="00877F7E" w:rsidRPr="00567BF3" w:rsidRDefault="00877F7E" w:rsidP="00877F7E">
      <w:pPr>
        <w:pStyle w:val="PlainText"/>
        <w:rPr>
          <w:rFonts w:ascii="Arial" w:hAnsi="Arial"/>
          <w:sz w:val="24"/>
          <w:szCs w:val="24"/>
        </w:rPr>
      </w:pPr>
      <w:r>
        <w:rPr>
          <w:rFonts w:ascii="Arial" w:hAnsi="Arial"/>
          <w:sz w:val="24"/>
          <w:szCs w:val="24"/>
        </w:rPr>
        <w:lastRenderedPageBreak/>
        <w:t xml:space="preserve">For more important dates visit the </w:t>
      </w:r>
      <w:hyperlink r:id="rId10" w:history="1">
        <w:r w:rsidRPr="003A45BA">
          <w:rPr>
            <w:rStyle w:val="Hyperlink"/>
            <w:rFonts w:ascii="Arial" w:hAnsi="Arial"/>
            <w:sz w:val="24"/>
            <w:szCs w:val="24"/>
          </w:rPr>
          <w:t>CTE Incentive Grant Timeline web page</w:t>
        </w:r>
      </w:hyperlink>
      <w:r w:rsidR="003A45BA">
        <w:rPr>
          <w:rFonts w:ascii="Arial" w:hAnsi="Arial"/>
          <w:sz w:val="24"/>
          <w:szCs w:val="24"/>
        </w:rPr>
        <w:t>.</w:t>
      </w:r>
    </w:p>
    <w:p w14:paraId="7FF7D53A" w14:textId="7650335D" w:rsidR="00CA6C1D" w:rsidRPr="00567BF3" w:rsidRDefault="00BF2141" w:rsidP="00645B74">
      <w:pPr>
        <w:pStyle w:val="Heading2"/>
      </w:pPr>
      <w:bookmarkStart w:id="7" w:name="_Toc228885202"/>
      <w:r w:rsidRPr="00567BF3">
        <w:t>Funding Distribution</w:t>
      </w:r>
      <w:bookmarkEnd w:id="7"/>
    </w:p>
    <w:p w14:paraId="05BA08E7" w14:textId="61790C57" w:rsidR="00CA6C1D" w:rsidRPr="00567BF3" w:rsidRDefault="003B3839" w:rsidP="00567BF3">
      <w:pPr>
        <w:pStyle w:val="PlainText"/>
        <w:rPr>
          <w:rFonts w:ascii="Arial" w:hAnsi="Arial"/>
          <w:sz w:val="24"/>
          <w:szCs w:val="24"/>
        </w:rPr>
      </w:pPr>
      <w:r w:rsidRPr="00567BF3">
        <w:rPr>
          <w:rFonts w:ascii="Arial" w:hAnsi="Arial"/>
          <w:sz w:val="24"/>
          <w:szCs w:val="24"/>
        </w:rPr>
        <w:t xml:space="preserve">Assembly Bill 121 (Chapter 8, Section 94, of the Statutes of 2025; </w:t>
      </w:r>
      <w:r w:rsidR="00E40F48" w:rsidRPr="00567BF3">
        <w:rPr>
          <w:rFonts w:ascii="Arial" w:hAnsi="Arial"/>
          <w:i/>
          <w:iCs/>
          <w:sz w:val="24"/>
          <w:szCs w:val="24"/>
        </w:rPr>
        <w:t xml:space="preserve">EC </w:t>
      </w:r>
      <w:r w:rsidR="00CA6C1D" w:rsidRPr="00567BF3">
        <w:rPr>
          <w:rFonts w:ascii="Arial" w:hAnsi="Arial"/>
          <w:sz w:val="24"/>
          <w:szCs w:val="24"/>
        </w:rPr>
        <w:t>Section 53070(</w:t>
      </w:r>
      <w:r w:rsidR="005169BC" w:rsidRPr="00567BF3">
        <w:rPr>
          <w:rFonts w:ascii="Arial" w:hAnsi="Arial"/>
          <w:sz w:val="24"/>
          <w:szCs w:val="24"/>
        </w:rPr>
        <w:t>e</w:t>
      </w:r>
      <w:r w:rsidR="00CA6C1D" w:rsidRPr="00567BF3">
        <w:rPr>
          <w:rFonts w:ascii="Arial" w:hAnsi="Arial"/>
          <w:sz w:val="24"/>
          <w:szCs w:val="24"/>
        </w:rPr>
        <w:t>)</w:t>
      </w:r>
      <w:r w:rsidR="003806CB" w:rsidRPr="00567BF3">
        <w:rPr>
          <w:rFonts w:ascii="Arial" w:hAnsi="Arial"/>
          <w:sz w:val="24"/>
          <w:szCs w:val="24"/>
        </w:rPr>
        <w:t xml:space="preserve"> </w:t>
      </w:r>
      <w:r w:rsidR="00CA6C1D" w:rsidRPr="00567BF3">
        <w:rPr>
          <w:rFonts w:ascii="Arial" w:hAnsi="Arial"/>
          <w:sz w:val="24"/>
          <w:szCs w:val="24"/>
        </w:rPr>
        <w:t>appropriate</w:t>
      </w:r>
      <w:r w:rsidR="005433CE" w:rsidRPr="00567BF3">
        <w:rPr>
          <w:rFonts w:ascii="Arial" w:hAnsi="Arial"/>
          <w:sz w:val="24"/>
          <w:szCs w:val="24"/>
        </w:rPr>
        <w:t>s</w:t>
      </w:r>
      <w:r w:rsidR="009834E1" w:rsidRPr="00567BF3">
        <w:rPr>
          <w:rFonts w:ascii="Arial" w:hAnsi="Arial"/>
          <w:sz w:val="24"/>
          <w:szCs w:val="24"/>
        </w:rPr>
        <w:t xml:space="preserve"> one-time funds of</w:t>
      </w:r>
      <w:r w:rsidR="00CA6C1D" w:rsidRPr="00567BF3">
        <w:rPr>
          <w:rFonts w:ascii="Arial" w:hAnsi="Arial"/>
          <w:sz w:val="24"/>
          <w:szCs w:val="24"/>
        </w:rPr>
        <w:t xml:space="preserve"> </w:t>
      </w:r>
      <w:r w:rsidR="00803281" w:rsidRPr="00567BF3">
        <w:rPr>
          <w:rFonts w:ascii="Arial" w:hAnsi="Arial"/>
          <w:sz w:val="24"/>
          <w:szCs w:val="24"/>
        </w:rPr>
        <w:t>an additional $150 million</w:t>
      </w:r>
      <w:r w:rsidRPr="00567BF3">
        <w:rPr>
          <w:rFonts w:ascii="Arial" w:hAnsi="Arial"/>
          <w:sz w:val="24"/>
          <w:szCs w:val="24"/>
        </w:rPr>
        <w:t xml:space="preserve"> for the CTEIG program</w:t>
      </w:r>
      <w:r w:rsidR="009834E1" w:rsidRPr="00567BF3">
        <w:rPr>
          <w:rFonts w:ascii="Arial" w:hAnsi="Arial"/>
          <w:sz w:val="24"/>
          <w:szCs w:val="24"/>
        </w:rPr>
        <w:t>, totaling $450 million</w:t>
      </w:r>
      <w:r w:rsidR="00803281" w:rsidRPr="00567BF3">
        <w:rPr>
          <w:rFonts w:ascii="Arial" w:hAnsi="Arial"/>
          <w:sz w:val="24"/>
          <w:szCs w:val="24"/>
        </w:rPr>
        <w:t xml:space="preserve"> </w:t>
      </w:r>
      <w:r w:rsidR="009834E1" w:rsidRPr="00567BF3">
        <w:rPr>
          <w:rFonts w:ascii="Arial" w:hAnsi="Arial"/>
          <w:sz w:val="24"/>
          <w:szCs w:val="24"/>
        </w:rPr>
        <w:t>in</w:t>
      </w:r>
      <w:r w:rsidR="00CA6C1D" w:rsidRPr="00567BF3">
        <w:rPr>
          <w:rFonts w:ascii="Arial" w:hAnsi="Arial"/>
          <w:sz w:val="24"/>
          <w:szCs w:val="24"/>
        </w:rPr>
        <w:t xml:space="preserve"> the </w:t>
      </w:r>
      <w:r w:rsidR="00803281" w:rsidRPr="00567BF3">
        <w:rPr>
          <w:rFonts w:ascii="Arial" w:hAnsi="Arial"/>
          <w:sz w:val="24"/>
          <w:szCs w:val="24"/>
        </w:rPr>
        <w:t xml:space="preserve">2026–27 CTEIG </w:t>
      </w:r>
      <w:r w:rsidR="00877F7E">
        <w:rPr>
          <w:rFonts w:ascii="Arial" w:hAnsi="Arial"/>
          <w:sz w:val="24"/>
          <w:szCs w:val="24"/>
        </w:rPr>
        <w:t>program</w:t>
      </w:r>
      <w:r w:rsidR="009834E1" w:rsidRPr="00567BF3">
        <w:rPr>
          <w:rFonts w:ascii="Arial" w:hAnsi="Arial"/>
          <w:sz w:val="24"/>
          <w:szCs w:val="24"/>
        </w:rPr>
        <w:t xml:space="preserve"> year only. The funds are</w:t>
      </w:r>
      <w:r w:rsidR="00CA6C1D" w:rsidRPr="00567BF3">
        <w:rPr>
          <w:rFonts w:ascii="Arial" w:hAnsi="Arial"/>
          <w:sz w:val="24"/>
          <w:szCs w:val="24"/>
        </w:rPr>
        <w:t xml:space="preserve"> designated as follows, unless otherwise determined by the State Superintendent of Public Instruction in collaboration with the Executive Director of the SBE:</w:t>
      </w:r>
    </w:p>
    <w:p w14:paraId="524D3237" w14:textId="6AFF2060" w:rsidR="00CA6C1D" w:rsidRPr="00567BF3" w:rsidRDefault="00F73A13" w:rsidP="00567BF3">
      <w:pPr>
        <w:pStyle w:val="PlainText"/>
        <w:numPr>
          <w:ilvl w:val="0"/>
          <w:numId w:val="1"/>
        </w:numPr>
        <w:rPr>
          <w:rFonts w:ascii="Arial" w:hAnsi="Arial"/>
          <w:sz w:val="24"/>
          <w:szCs w:val="24"/>
        </w:rPr>
      </w:pPr>
      <w:r w:rsidRPr="00567BF3">
        <w:rPr>
          <w:rFonts w:ascii="Arial" w:hAnsi="Arial"/>
          <w:sz w:val="24"/>
          <w:szCs w:val="24"/>
        </w:rPr>
        <w:t>4 percent f</w:t>
      </w:r>
      <w:r w:rsidR="00CA6C1D" w:rsidRPr="00567BF3">
        <w:rPr>
          <w:rFonts w:ascii="Arial" w:hAnsi="Arial"/>
          <w:sz w:val="24"/>
          <w:szCs w:val="24"/>
        </w:rPr>
        <w:t>or applicants with average daily attendance (ADA) in grades seven through twelve (7</w:t>
      </w:r>
      <w:r w:rsidR="003806CB" w:rsidRPr="00567BF3">
        <w:rPr>
          <w:rFonts w:ascii="Arial" w:hAnsi="Arial"/>
          <w:sz w:val="24"/>
          <w:szCs w:val="24"/>
        </w:rPr>
        <w:t>–</w:t>
      </w:r>
      <w:r w:rsidR="00CA6C1D" w:rsidRPr="00567BF3">
        <w:rPr>
          <w:rFonts w:ascii="Arial" w:hAnsi="Arial"/>
          <w:sz w:val="24"/>
          <w:szCs w:val="24"/>
        </w:rPr>
        <w:t>12)</w:t>
      </w:r>
      <w:r w:rsidR="003B3839" w:rsidRPr="00567BF3">
        <w:rPr>
          <w:rFonts w:ascii="Arial" w:hAnsi="Arial"/>
          <w:sz w:val="24"/>
          <w:szCs w:val="24"/>
        </w:rPr>
        <w:t>, inclusive,</w:t>
      </w:r>
      <w:r w:rsidR="00CA6C1D" w:rsidRPr="00567BF3">
        <w:rPr>
          <w:rFonts w:ascii="Arial" w:hAnsi="Arial"/>
          <w:sz w:val="24"/>
          <w:szCs w:val="24"/>
        </w:rPr>
        <w:t xml:space="preserve"> of less than or equal to 140 ($1</w:t>
      </w:r>
      <w:r w:rsidR="003806CB" w:rsidRPr="00567BF3">
        <w:rPr>
          <w:rFonts w:ascii="Arial" w:hAnsi="Arial"/>
          <w:sz w:val="24"/>
          <w:szCs w:val="24"/>
        </w:rPr>
        <w:t>8</w:t>
      </w:r>
      <w:r w:rsidR="00CA6C1D" w:rsidRPr="00567BF3">
        <w:rPr>
          <w:rFonts w:ascii="Arial" w:hAnsi="Arial"/>
          <w:sz w:val="24"/>
          <w:szCs w:val="24"/>
        </w:rPr>
        <w:t xml:space="preserve"> million)</w:t>
      </w:r>
    </w:p>
    <w:p w14:paraId="768C389A" w14:textId="3D95AB34" w:rsidR="00CA6C1D" w:rsidRPr="00567BF3" w:rsidRDefault="00F73A13" w:rsidP="00567BF3">
      <w:pPr>
        <w:pStyle w:val="PlainText"/>
        <w:numPr>
          <w:ilvl w:val="0"/>
          <w:numId w:val="1"/>
        </w:numPr>
        <w:rPr>
          <w:rFonts w:ascii="Arial" w:hAnsi="Arial"/>
          <w:sz w:val="24"/>
          <w:szCs w:val="24"/>
        </w:rPr>
      </w:pPr>
      <w:r w:rsidRPr="00567BF3">
        <w:rPr>
          <w:rFonts w:ascii="Arial" w:hAnsi="Arial"/>
          <w:sz w:val="24"/>
          <w:szCs w:val="24"/>
        </w:rPr>
        <w:t>8 percent f</w:t>
      </w:r>
      <w:r w:rsidR="00CA6C1D" w:rsidRPr="00567BF3">
        <w:rPr>
          <w:rFonts w:ascii="Arial" w:hAnsi="Arial"/>
          <w:sz w:val="24"/>
          <w:szCs w:val="24"/>
        </w:rPr>
        <w:t>or applicants with ADA in grades 7</w:t>
      </w:r>
      <w:r w:rsidR="003806CB" w:rsidRPr="00567BF3">
        <w:rPr>
          <w:rFonts w:ascii="Arial" w:hAnsi="Arial"/>
          <w:sz w:val="24"/>
          <w:szCs w:val="24"/>
        </w:rPr>
        <w:t>–</w:t>
      </w:r>
      <w:r w:rsidR="00CA6C1D" w:rsidRPr="00567BF3">
        <w:rPr>
          <w:rFonts w:ascii="Arial" w:hAnsi="Arial"/>
          <w:sz w:val="24"/>
          <w:szCs w:val="24"/>
        </w:rPr>
        <w:t>12</w:t>
      </w:r>
      <w:r w:rsidR="003B3839" w:rsidRPr="00567BF3">
        <w:rPr>
          <w:rFonts w:ascii="Arial" w:hAnsi="Arial"/>
          <w:sz w:val="24"/>
          <w:szCs w:val="24"/>
        </w:rPr>
        <w:t>, inclusive,</w:t>
      </w:r>
      <w:r w:rsidR="00CA6C1D" w:rsidRPr="00567BF3">
        <w:rPr>
          <w:rFonts w:ascii="Arial" w:hAnsi="Arial"/>
          <w:sz w:val="24"/>
          <w:szCs w:val="24"/>
        </w:rPr>
        <w:t xml:space="preserve"> of more than 140 and less than or equal to 550 ($</w:t>
      </w:r>
      <w:r w:rsidR="003806CB" w:rsidRPr="00567BF3">
        <w:rPr>
          <w:rFonts w:ascii="Arial" w:hAnsi="Arial"/>
          <w:sz w:val="24"/>
          <w:szCs w:val="24"/>
        </w:rPr>
        <w:t>36</w:t>
      </w:r>
      <w:r w:rsidR="00CA6C1D" w:rsidRPr="00567BF3">
        <w:rPr>
          <w:rFonts w:ascii="Arial" w:hAnsi="Arial"/>
          <w:sz w:val="24"/>
          <w:szCs w:val="24"/>
        </w:rPr>
        <w:t xml:space="preserve"> million)</w:t>
      </w:r>
    </w:p>
    <w:p w14:paraId="65DF827B" w14:textId="7BBDA2EF" w:rsidR="00F73A13" w:rsidRPr="00567BF3" w:rsidRDefault="00F73A13" w:rsidP="00567BF3">
      <w:pPr>
        <w:pStyle w:val="PlainText"/>
        <w:numPr>
          <w:ilvl w:val="0"/>
          <w:numId w:val="1"/>
        </w:numPr>
        <w:rPr>
          <w:rFonts w:ascii="Arial" w:hAnsi="Arial"/>
          <w:sz w:val="24"/>
          <w:szCs w:val="24"/>
        </w:rPr>
      </w:pPr>
      <w:r w:rsidRPr="00567BF3">
        <w:rPr>
          <w:rFonts w:ascii="Arial" w:hAnsi="Arial"/>
          <w:sz w:val="24"/>
          <w:szCs w:val="24"/>
        </w:rPr>
        <w:t xml:space="preserve">88 percent </w:t>
      </w:r>
      <w:r w:rsidR="00466352" w:rsidRPr="00567BF3">
        <w:rPr>
          <w:rFonts w:ascii="Arial" w:hAnsi="Arial"/>
          <w:sz w:val="24"/>
          <w:szCs w:val="24"/>
        </w:rPr>
        <w:t>f</w:t>
      </w:r>
      <w:r w:rsidR="00CA6C1D" w:rsidRPr="00567BF3">
        <w:rPr>
          <w:rFonts w:ascii="Arial" w:hAnsi="Arial"/>
          <w:sz w:val="24"/>
          <w:szCs w:val="24"/>
        </w:rPr>
        <w:t>or applicants with ADA in grades 7</w:t>
      </w:r>
      <w:r w:rsidR="003806CB" w:rsidRPr="00567BF3">
        <w:rPr>
          <w:rFonts w:ascii="Arial" w:hAnsi="Arial"/>
          <w:sz w:val="24"/>
          <w:szCs w:val="24"/>
        </w:rPr>
        <w:t>–</w:t>
      </w:r>
      <w:r w:rsidR="00CA6C1D" w:rsidRPr="00567BF3">
        <w:rPr>
          <w:rFonts w:ascii="Arial" w:hAnsi="Arial"/>
          <w:sz w:val="24"/>
          <w:szCs w:val="24"/>
        </w:rPr>
        <w:t>12</w:t>
      </w:r>
      <w:r w:rsidR="003B3839" w:rsidRPr="00567BF3">
        <w:rPr>
          <w:rFonts w:ascii="Arial" w:hAnsi="Arial"/>
          <w:sz w:val="24"/>
          <w:szCs w:val="24"/>
        </w:rPr>
        <w:t>, inclusive,</w:t>
      </w:r>
      <w:r w:rsidR="00CA6C1D" w:rsidRPr="00567BF3">
        <w:rPr>
          <w:rFonts w:ascii="Arial" w:hAnsi="Arial"/>
          <w:sz w:val="24"/>
          <w:szCs w:val="24"/>
        </w:rPr>
        <w:t xml:space="preserve"> of more than 550</w:t>
      </w:r>
      <w:r w:rsidRPr="00567BF3">
        <w:rPr>
          <w:rFonts w:ascii="Arial" w:hAnsi="Arial"/>
          <w:sz w:val="24"/>
          <w:szCs w:val="24"/>
        </w:rPr>
        <w:t xml:space="preserve"> </w:t>
      </w:r>
      <w:r w:rsidR="00CA6C1D" w:rsidRPr="00567BF3">
        <w:rPr>
          <w:rFonts w:ascii="Arial" w:hAnsi="Arial"/>
          <w:sz w:val="24"/>
          <w:szCs w:val="24"/>
        </w:rPr>
        <w:t>($</w:t>
      </w:r>
      <w:r w:rsidR="003806CB" w:rsidRPr="00567BF3">
        <w:rPr>
          <w:rFonts w:ascii="Arial" w:hAnsi="Arial"/>
          <w:sz w:val="24"/>
          <w:szCs w:val="24"/>
        </w:rPr>
        <w:t>396</w:t>
      </w:r>
      <w:r w:rsidR="00CA6C1D" w:rsidRPr="00567BF3">
        <w:rPr>
          <w:rFonts w:ascii="Arial" w:hAnsi="Arial"/>
          <w:sz w:val="24"/>
          <w:szCs w:val="24"/>
        </w:rPr>
        <w:t xml:space="preserve"> million)</w:t>
      </w:r>
    </w:p>
    <w:p w14:paraId="0837137C" w14:textId="77777777" w:rsidR="004D3D05" w:rsidRDefault="00CA6C1D" w:rsidP="00567BF3">
      <w:pPr>
        <w:pStyle w:val="PlainText"/>
        <w:rPr>
          <w:rFonts w:ascii="Arial" w:hAnsi="Arial"/>
          <w:sz w:val="24"/>
          <w:szCs w:val="24"/>
        </w:rPr>
      </w:pPr>
      <w:r w:rsidRPr="00567BF3">
        <w:rPr>
          <w:rFonts w:ascii="Arial" w:hAnsi="Arial"/>
          <w:sz w:val="24"/>
          <w:szCs w:val="24"/>
        </w:rPr>
        <w:t xml:space="preserve">The ADA determination is based on the second principal apportionment for the </w:t>
      </w:r>
      <w:r w:rsidR="00E93375" w:rsidRPr="00567BF3">
        <w:rPr>
          <w:rFonts w:ascii="Arial" w:hAnsi="Arial"/>
          <w:sz w:val="24"/>
          <w:szCs w:val="24"/>
        </w:rPr>
        <w:t xml:space="preserve">most recently available </w:t>
      </w:r>
      <w:r w:rsidRPr="00567BF3">
        <w:rPr>
          <w:rFonts w:ascii="Arial" w:hAnsi="Arial"/>
          <w:sz w:val="24"/>
          <w:szCs w:val="24"/>
        </w:rPr>
        <w:t>fiscal year for grades 7</w:t>
      </w:r>
      <w:r w:rsidR="00E93375" w:rsidRPr="00567BF3">
        <w:rPr>
          <w:rFonts w:ascii="Arial" w:hAnsi="Arial"/>
          <w:sz w:val="24"/>
          <w:szCs w:val="24"/>
        </w:rPr>
        <w:t>–</w:t>
      </w:r>
      <w:r w:rsidRPr="00567BF3">
        <w:rPr>
          <w:rFonts w:ascii="Arial" w:hAnsi="Arial"/>
          <w:sz w:val="24"/>
          <w:szCs w:val="24"/>
        </w:rPr>
        <w:t xml:space="preserve">12. For applicants applying as part of a </w:t>
      </w:r>
      <w:r w:rsidR="00E9148A" w:rsidRPr="00567BF3">
        <w:rPr>
          <w:rFonts w:ascii="Arial" w:hAnsi="Arial"/>
          <w:sz w:val="24"/>
          <w:szCs w:val="24"/>
        </w:rPr>
        <w:t>c</w:t>
      </w:r>
      <w:r w:rsidRPr="00567BF3">
        <w:rPr>
          <w:rFonts w:ascii="Arial" w:hAnsi="Arial"/>
          <w:sz w:val="24"/>
          <w:szCs w:val="24"/>
        </w:rPr>
        <w:t xml:space="preserve">onsortium, the ADA for </w:t>
      </w:r>
      <w:r w:rsidR="00E40F48" w:rsidRPr="00567BF3">
        <w:rPr>
          <w:rFonts w:ascii="Arial" w:hAnsi="Arial"/>
          <w:sz w:val="24"/>
          <w:szCs w:val="24"/>
        </w:rPr>
        <w:t xml:space="preserve">the </w:t>
      </w:r>
      <w:r w:rsidR="00B37387" w:rsidRPr="00567BF3">
        <w:rPr>
          <w:rFonts w:ascii="Arial" w:hAnsi="Arial"/>
          <w:sz w:val="24"/>
          <w:szCs w:val="24"/>
        </w:rPr>
        <w:t xml:space="preserve">Fiscal Agent </w:t>
      </w:r>
      <w:r w:rsidR="00E40F48" w:rsidRPr="00567BF3">
        <w:rPr>
          <w:rFonts w:ascii="Arial" w:hAnsi="Arial"/>
          <w:sz w:val="24"/>
          <w:szCs w:val="24"/>
        </w:rPr>
        <w:t>and each</w:t>
      </w:r>
      <w:r w:rsidRPr="00567BF3">
        <w:rPr>
          <w:rFonts w:ascii="Arial" w:hAnsi="Arial"/>
          <w:sz w:val="24"/>
          <w:szCs w:val="24"/>
        </w:rPr>
        <w:t xml:space="preserve"> </w:t>
      </w:r>
      <w:r w:rsidR="00B37387" w:rsidRPr="00567BF3">
        <w:rPr>
          <w:rFonts w:ascii="Arial" w:hAnsi="Arial"/>
          <w:sz w:val="24"/>
          <w:szCs w:val="24"/>
        </w:rPr>
        <w:t>consortia</w:t>
      </w:r>
      <w:r w:rsidRPr="00567BF3">
        <w:rPr>
          <w:rFonts w:ascii="Arial" w:hAnsi="Arial"/>
          <w:sz w:val="24"/>
          <w:szCs w:val="24"/>
        </w:rPr>
        <w:t xml:space="preserve"> member will be </w:t>
      </w:r>
      <w:r w:rsidR="00E40F48" w:rsidRPr="00567BF3">
        <w:rPr>
          <w:rFonts w:ascii="Arial" w:hAnsi="Arial"/>
          <w:sz w:val="24"/>
          <w:szCs w:val="24"/>
        </w:rPr>
        <w:t>combined</w:t>
      </w:r>
      <w:r w:rsidRPr="00567BF3">
        <w:rPr>
          <w:rFonts w:ascii="Arial" w:hAnsi="Arial"/>
          <w:sz w:val="24"/>
          <w:szCs w:val="24"/>
        </w:rPr>
        <w:t xml:space="preserve"> to determine the total ADA for the </w:t>
      </w:r>
      <w:r w:rsidR="00E9148A" w:rsidRPr="00567BF3">
        <w:rPr>
          <w:rFonts w:ascii="Arial" w:hAnsi="Arial"/>
          <w:sz w:val="24"/>
          <w:szCs w:val="24"/>
        </w:rPr>
        <w:t>c</w:t>
      </w:r>
      <w:r w:rsidRPr="00567BF3">
        <w:rPr>
          <w:rFonts w:ascii="Arial" w:hAnsi="Arial"/>
          <w:sz w:val="24"/>
          <w:szCs w:val="24"/>
        </w:rPr>
        <w:t>onsortium.</w:t>
      </w:r>
      <w:r w:rsidR="00CD12CF">
        <w:rPr>
          <w:rFonts w:ascii="Arial" w:hAnsi="Arial"/>
          <w:sz w:val="24"/>
          <w:szCs w:val="24"/>
        </w:rPr>
        <w:t xml:space="preserve"> </w:t>
      </w:r>
    </w:p>
    <w:p w14:paraId="2540665E" w14:textId="28F5E2B4" w:rsidR="00CA6C1D" w:rsidRPr="00567BF3" w:rsidRDefault="00645B74" w:rsidP="00645B74">
      <w:pPr>
        <w:pStyle w:val="Heading2"/>
      </w:pPr>
      <w:bookmarkStart w:id="8" w:name="_Toc228885203"/>
      <w:r w:rsidRPr="00567BF3">
        <w:t>Applicant Eligibility</w:t>
      </w:r>
      <w:bookmarkEnd w:id="8"/>
    </w:p>
    <w:p w14:paraId="580E4A36" w14:textId="62918476" w:rsidR="00E93375" w:rsidRPr="00645B74" w:rsidRDefault="00E93375" w:rsidP="00645B74">
      <w:pPr>
        <w:pStyle w:val="Heading3"/>
      </w:pPr>
      <w:bookmarkStart w:id="9" w:name="_Toc228885204"/>
      <w:r w:rsidRPr="00645B74">
        <w:t>Eligible Applicants</w:t>
      </w:r>
      <w:bookmarkEnd w:id="9"/>
    </w:p>
    <w:p w14:paraId="6345D0D4" w14:textId="3B5104CB" w:rsidR="00E93375" w:rsidRPr="00567BF3" w:rsidRDefault="00E93375" w:rsidP="00567BF3">
      <w:pPr>
        <w:pStyle w:val="PlainText"/>
        <w:rPr>
          <w:rFonts w:ascii="Arial" w:hAnsi="Arial"/>
          <w:sz w:val="24"/>
          <w:szCs w:val="24"/>
        </w:rPr>
      </w:pPr>
      <w:r w:rsidRPr="00567BF3">
        <w:rPr>
          <w:rFonts w:ascii="Arial" w:hAnsi="Arial"/>
          <w:sz w:val="24"/>
          <w:szCs w:val="24"/>
        </w:rPr>
        <w:t xml:space="preserve">Per </w:t>
      </w:r>
      <w:r w:rsidR="00E40F48" w:rsidRPr="00567BF3">
        <w:rPr>
          <w:rFonts w:ascii="Arial" w:hAnsi="Arial"/>
          <w:i/>
          <w:iCs/>
          <w:sz w:val="24"/>
          <w:szCs w:val="24"/>
        </w:rPr>
        <w:t xml:space="preserve">EC </w:t>
      </w:r>
      <w:r w:rsidRPr="00567BF3">
        <w:rPr>
          <w:rFonts w:ascii="Arial" w:hAnsi="Arial"/>
          <w:sz w:val="24"/>
          <w:szCs w:val="24"/>
        </w:rPr>
        <w:t xml:space="preserve">Section 53072(a), a grant recipient under this </w:t>
      </w:r>
      <w:r w:rsidR="00803281" w:rsidRPr="00567BF3">
        <w:rPr>
          <w:rFonts w:ascii="Arial" w:hAnsi="Arial"/>
          <w:sz w:val="24"/>
          <w:szCs w:val="24"/>
        </w:rPr>
        <w:t>section</w:t>
      </w:r>
      <w:r w:rsidRPr="00567BF3">
        <w:rPr>
          <w:rFonts w:ascii="Arial" w:hAnsi="Arial"/>
          <w:sz w:val="24"/>
          <w:szCs w:val="24"/>
        </w:rPr>
        <w:t xml:space="preserve"> may consist of one or more, or any combination, of the following:</w:t>
      </w:r>
    </w:p>
    <w:p w14:paraId="0869517A" w14:textId="38F91BE9" w:rsidR="00E93375" w:rsidRPr="00567BF3" w:rsidRDefault="00E93375" w:rsidP="00567BF3">
      <w:pPr>
        <w:pStyle w:val="PlainText"/>
        <w:numPr>
          <w:ilvl w:val="0"/>
          <w:numId w:val="2"/>
        </w:numPr>
        <w:rPr>
          <w:rFonts w:ascii="Arial" w:hAnsi="Arial"/>
          <w:sz w:val="24"/>
          <w:szCs w:val="24"/>
        </w:rPr>
      </w:pPr>
      <w:r w:rsidRPr="00567BF3">
        <w:rPr>
          <w:rFonts w:ascii="Arial" w:hAnsi="Arial"/>
          <w:sz w:val="24"/>
          <w:szCs w:val="24"/>
        </w:rPr>
        <w:t>School districts</w:t>
      </w:r>
    </w:p>
    <w:p w14:paraId="4B675D7B" w14:textId="385F3ECD" w:rsidR="00E93375" w:rsidRPr="00567BF3" w:rsidRDefault="00E93375" w:rsidP="00567BF3">
      <w:pPr>
        <w:pStyle w:val="PlainText"/>
        <w:numPr>
          <w:ilvl w:val="0"/>
          <w:numId w:val="2"/>
        </w:numPr>
        <w:rPr>
          <w:rFonts w:ascii="Arial" w:hAnsi="Arial"/>
          <w:sz w:val="24"/>
          <w:szCs w:val="24"/>
        </w:rPr>
      </w:pPr>
      <w:r w:rsidRPr="00567BF3">
        <w:rPr>
          <w:rFonts w:ascii="Arial" w:hAnsi="Arial"/>
          <w:sz w:val="24"/>
          <w:szCs w:val="24"/>
        </w:rPr>
        <w:t>County offices of education</w:t>
      </w:r>
      <w:r w:rsidR="00237375" w:rsidRPr="00567BF3">
        <w:rPr>
          <w:rFonts w:ascii="Arial" w:hAnsi="Arial"/>
          <w:sz w:val="24"/>
          <w:szCs w:val="24"/>
        </w:rPr>
        <w:t xml:space="preserve"> (COEs)</w:t>
      </w:r>
    </w:p>
    <w:p w14:paraId="577A1F4F" w14:textId="47B08087" w:rsidR="00E93375" w:rsidRPr="00567BF3" w:rsidRDefault="00E93375" w:rsidP="00567BF3">
      <w:pPr>
        <w:pStyle w:val="PlainText"/>
        <w:numPr>
          <w:ilvl w:val="0"/>
          <w:numId w:val="2"/>
        </w:numPr>
        <w:rPr>
          <w:rFonts w:ascii="Arial" w:hAnsi="Arial"/>
          <w:sz w:val="24"/>
          <w:szCs w:val="24"/>
        </w:rPr>
      </w:pPr>
      <w:r w:rsidRPr="00567BF3">
        <w:rPr>
          <w:rFonts w:ascii="Arial" w:hAnsi="Arial"/>
          <w:sz w:val="24"/>
          <w:szCs w:val="24"/>
        </w:rPr>
        <w:t>Charter schools</w:t>
      </w:r>
    </w:p>
    <w:p w14:paraId="030FFB8F" w14:textId="35D5D295" w:rsidR="00E93375" w:rsidRPr="00567BF3" w:rsidRDefault="00E93375" w:rsidP="00567BF3">
      <w:pPr>
        <w:pStyle w:val="PlainText"/>
        <w:numPr>
          <w:ilvl w:val="0"/>
          <w:numId w:val="2"/>
        </w:numPr>
        <w:rPr>
          <w:rFonts w:ascii="Arial" w:hAnsi="Arial"/>
          <w:sz w:val="24"/>
          <w:szCs w:val="24"/>
        </w:rPr>
      </w:pPr>
      <w:r w:rsidRPr="00567BF3">
        <w:rPr>
          <w:rFonts w:ascii="Arial" w:hAnsi="Arial"/>
          <w:sz w:val="24"/>
          <w:szCs w:val="24"/>
        </w:rPr>
        <w:t>Regional occupational centers or programs</w:t>
      </w:r>
      <w:r w:rsidR="00237375" w:rsidRPr="00567BF3">
        <w:rPr>
          <w:rFonts w:ascii="Arial" w:hAnsi="Arial"/>
          <w:sz w:val="24"/>
          <w:szCs w:val="24"/>
        </w:rPr>
        <w:t xml:space="preserve"> (ROCP)</w:t>
      </w:r>
      <w:r w:rsidRPr="00567BF3">
        <w:rPr>
          <w:rFonts w:ascii="Arial" w:hAnsi="Arial"/>
          <w:sz w:val="24"/>
          <w:szCs w:val="24"/>
        </w:rPr>
        <w:t xml:space="preserve"> operated by joint powers authorities</w:t>
      </w:r>
      <w:r w:rsidR="00237375" w:rsidRPr="00567BF3">
        <w:rPr>
          <w:rFonts w:ascii="Arial" w:hAnsi="Arial"/>
          <w:sz w:val="24"/>
          <w:szCs w:val="24"/>
        </w:rPr>
        <w:t xml:space="preserve"> (JPA)</w:t>
      </w:r>
      <w:r w:rsidRPr="00567BF3">
        <w:rPr>
          <w:rFonts w:ascii="Arial" w:hAnsi="Arial"/>
          <w:sz w:val="24"/>
          <w:szCs w:val="24"/>
        </w:rPr>
        <w:t xml:space="preserve"> or </w:t>
      </w:r>
      <w:r w:rsidR="00237375" w:rsidRPr="00567BF3">
        <w:rPr>
          <w:rFonts w:ascii="Arial" w:hAnsi="Arial"/>
          <w:sz w:val="24"/>
          <w:szCs w:val="24"/>
        </w:rPr>
        <w:t>COE</w:t>
      </w:r>
      <w:r w:rsidR="005D7355" w:rsidRPr="00567BF3">
        <w:rPr>
          <w:rFonts w:ascii="Arial" w:hAnsi="Arial"/>
          <w:sz w:val="24"/>
          <w:szCs w:val="24"/>
        </w:rPr>
        <w:t>s</w:t>
      </w:r>
      <w:r w:rsidRPr="00567BF3">
        <w:rPr>
          <w:rFonts w:ascii="Arial" w:hAnsi="Arial"/>
          <w:sz w:val="24"/>
          <w:szCs w:val="24"/>
        </w:rPr>
        <w:t>, provided that the application has the written consent of each participating local educational agency</w:t>
      </w:r>
      <w:r w:rsidR="00237375" w:rsidRPr="00567BF3">
        <w:rPr>
          <w:rFonts w:ascii="Arial" w:hAnsi="Arial"/>
          <w:sz w:val="24"/>
          <w:szCs w:val="24"/>
        </w:rPr>
        <w:t xml:space="preserve"> (LEA)</w:t>
      </w:r>
    </w:p>
    <w:p w14:paraId="2C570A6C" w14:textId="00A42E24" w:rsidR="00CA6C1D" w:rsidRPr="00567BF3" w:rsidRDefault="00803281" w:rsidP="00567BF3">
      <w:pPr>
        <w:pStyle w:val="PlainText"/>
        <w:rPr>
          <w:rFonts w:ascii="Arial" w:hAnsi="Arial"/>
          <w:sz w:val="24"/>
          <w:szCs w:val="24"/>
        </w:rPr>
      </w:pPr>
      <w:r w:rsidRPr="00567BF3">
        <w:rPr>
          <w:rFonts w:ascii="Arial" w:hAnsi="Arial"/>
          <w:sz w:val="24"/>
          <w:szCs w:val="24"/>
        </w:rPr>
        <w:t xml:space="preserve">Per </w:t>
      </w:r>
      <w:r w:rsidR="00E93375" w:rsidRPr="00567BF3">
        <w:rPr>
          <w:rFonts w:ascii="Arial" w:hAnsi="Arial"/>
          <w:i/>
          <w:iCs/>
          <w:sz w:val="24"/>
          <w:szCs w:val="24"/>
        </w:rPr>
        <w:t xml:space="preserve">EC </w:t>
      </w:r>
      <w:r w:rsidR="00E93375" w:rsidRPr="00567BF3">
        <w:rPr>
          <w:rFonts w:ascii="Arial" w:hAnsi="Arial"/>
          <w:sz w:val="24"/>
          <w:szCs w:val="24"/>
        </w:rPr>
        <w:t xml:space="preserve">Section 53072(b), successful applicants shall demonstrate a holistic approach to providing </w:t>
      </w:r>
      <w:r w:rsidRPr="00567BF3">
        <w:rPr>
          <w:rFonts w:ascii="Arial" w:hAnsi="Arial"/>
          <w:sz w:val="24"/>
          <w:szCs w:val="24"/>
        </w:rPr>
        <w:t>CTE</w:t>
      </w:r>
      <w:r w:rsidR="00E93375" w:rsidRPr="00567BF3">
        <w:rPr>
          <w:rFonts w:ascii="Arial" w:hAnsi="Arial"/>
          <w:sz w:val="24"/>
          <w:szCs w:val="24"/>
        </w:rPr>
        <w:t xml:space="preserve"> and career pathways, including by demonstrating involvement of employers, providing wraparound services for </w:t>
      </w:r>
      <w:r w:rsidR="00466352" w:rsidRPr="00567BF3">
        <w:rPr>
          <w:rFonts w:ascii="Arial" w:hAnsi="Arial"/>
          <w:sz w:val="24"/>
          <w:szCs w:val="24"/>
        </w:rPr>
        <w:t>student</w:t>
      </w:r>
      <w:r w:rsidR="00E93375" w:rsidRPr="00567BF3">
        <w:rPr>
          <w:rFonts w:ascii="Arial" w:hAnsi="Arial"/>
          <w:sz w:val="24"/>
          <w:szCs w:val="24"/>
        </w:rPr>
        <w:t xml:space="preserve">s, aligning proposed programs and services with current or projected labor market demand within the applicant’s region, and providing a clear explanation of how a receipt of a grant will provide programs and services related to </w:t>
      </w:r>
      <w:r w:rsidR="0061365F" w:rsidRPr="00567BF3">
        <w:rPr>
          <w:rFonts w:ascii="Arial" w:hAnsi="Arial"/>
          <w:sz w:val="24"/>
          <w:szCs w:val="24"/>
        </w:rPr>
        <w:t>CTE</w:t>
      </w:r>
      <w:r w:rsidR="00E93375" w:rsidRPr="00567BF3">
        <w:rPr>
          <w:rFonts w:ascii="Arial" w:hAnsi="Arial"/>
          <w:sz w:val="24"/>
          <w:szCs w:val="24"/>
        </w:rPr>
        <w:t xml:space="preserve"> and career pathways.</w:t>
      </w:r>
      <w:r w:rsidR="0061365F" w:rsidRPr="00567BF3">
        <w:rPr>
          <w:rFonts w:ascii="Arial" w:hAnsi="Arial"/>
          <w:sz w:val="24"/>
          <w:szCs w:val="24"/>
        </w:rPr>
        <w:t xml:space="preserve"> (NEW)</w:t>
      </w:r>
    </w:p>
    <w:p w14:paraId="133B6767" w14:textId="77777777" w:rsidR="00520D5C" w:rsidRPr="00567BF3" w:rsidRDefault="00520D5C" w:rsidP="00645B74">
      <w:pPr>
        <w:pStyle w:val="Heading3"/>
      </w:pPr>
      <w:bookmarkStart w:id="10" w:name="_Toc228885205"/>
      <w:r w:rsidRPr="00567BF3">
        <w:lastRenderedPageBreak/>
        <w:t>Applicant Type Designation</w:t>
      </w:r>
      <w:bookmarkEnd w:id="10"/>
    </w:p>
    <w:p w14:paraId="68FA88DF" w14:textId="2D7E7E34" w:rsidR="00520D5C" w:rsidRPr="00567BF3" w:rsidRDefault="00520D5C" w:rsidP="00567BF3">
      <w:pPr>
        <w:pStyle w:val="PlainText"/>
        <w:rPr>
          <w:rFonts w:ascii="Arial" w:hAnsi="Arial"/>
          <w:sz w:val="24"/>
          <w:szCs w:val="24"/>
        </w:rPr>
      </w:pPr>
      <w:r w:rsidRPr="00567BF3">
        <w:rPr>
          <w:rFonts w:ascii="Arial" w:hAnsi="Arial"/>
          <w:b/>
          <w:bCs/>
          <w:sz w:val="24"/>
          <w:szCs w:val="24"/>
        </w:rPr>
        <w:t>New Grantee:</w:t>
      </w:r>
      <w:r w:rsidRPr="00567BF3">
        <w:rPr>
          <w:rFonts w:ascii="Arial" w:hAnsi="Arial"/>
          <w:sz w:val="24"/>
          <w:szCs w:val="24"/>
        </w:rPr>
        <w:t xml:space="preserve"> Did not receive CTEIG Round 11 award</w:t>
      </w:r>
      <w:r w:rsidR="00077DC3" w:rsidRPr="00567BF3">
        <w:rPr>
          <w:rFonts w:ascii="Arial" w:hAnsi="Arial"/>
          <w:sz w:val="24"/>
          <w:szCs w:val="24"/>
        </w:rPr>
        <w:t xml:space="preserve"> in fiscal year 2025–26</w:t>
      </w:r>
      <w:r w:rsidRPr="00567BF3">
        <w:rPr>
          <w:rFonts w:ascii="Arial" w:hAnsi="Arial"/>
          <w:sz w:val="24"/>
          <w:szCs w:val="24"/>
        </w:rPr>
        <w:t>. Answer all questions.</w:t>
      </w:r>
    </w:p>
    <w:p w14:paraId="48DF36A1" w14:textId="08F647E0" w:rsidR="00877F7E" w:rsidRDefault="00520D5C" w:rsidP="00877F7E">
      <w:pPr>
        <w:pStyle w:val="PlainText"/>
        <w:rPr>
          <w:rFonts w:ascii="Arial" w:hAnsi="Arial"/>
          <w:sz w:val="24"/>
          <w:szCs w:val="24"/>
        </w:rPr>
      </w:pPr>
      <w:r w:rsidRPr="00567BF3">
        <w:rPr>
          <w:rFonts w:ascii="Arial" w:hAnsi="Arial"/>
          <w:b/>
          <w:bCs/>
          <w:sz w:val="24"/>
          <w:szCs w:val="24"/>
        </w:rPr>
        <w:t>Renewal Grantee:</w:t>
      </w:r>
      <w:r w:rsidRPr="00567BF3">
        <w:rPr>
          <w:rFonts w:ascii="Arial" w:hAnsi="Arial"/>
          <w:sz w:val="24"/>
          <w:szCs w:val="24"/>
        </w:rPr>
        <w:t xml:space="preserve"> Received CTEIG Round 11 award. Answer only NEW/UPDATED questions (marked in RFA). </w:t>
      </w:r>
      <w:r w:rsidR="002030CB" w:rsidRPr="007750A7">
        <w:rPr>
          <w:rFonts w:ascii="Arial" w:hAnsi="Arial"/>
          <w:sz w:val="24"/>
          <w:szCs w:val="24"/>
        </w:rPr>
        <w:t xml:space="preserve">Must </w:t>
      </w:r>
      <w:r w:rsidR="008A1BD8" w:rsidRPr="007750A7">
        <w:rPr>
          <w:rFonts w:ascii="Arial" w:hAnsi="Arial"/>
          <w:sz w:val="24"/>
          <w:szCs w:val="24"/>
        </w:rPr>
        <w:t>upload the</w:t>
      </w:r>
      <w:r w:rsidRPr="007750A7">
        <w:rPr>
          <w:rFonts w:ascii="Arial" w:hAnsi="Arial"/>
          <w:sz w:val="24"/>
          <w:szCs w:val="24"/>
        </w:rPr>
        <w:t xml:space="preserve"> </w:t>
      </w:r>
      <w:r w:rsidR="00B705F1" w:rsidRPr="007750A7">
        <w:rPr>
          <w:rFonts w:ascii="Arial" w:hAnsi="Arial"/>
          <w:sz w:val="24"/>
          <w:szCs w:val="24"/>
        </w:rPr>
        <w:t>adopted</w:t>
      </w:r>
      <w:r w:rsidR="00337CB2" w:rsidRPr="007750A7">
        <w:rPr>
          <w:rFonts w:ascii="Arial" w:hAnsi="Arial"/>
          <w:sz w:val="24"/>
          <w:szCs w:val="24"/>
        </w:rPr>
        <w:t xml:space="preserve"> 2025–26</w:t>
      </w:r>
      <w:r w:rsidRPr="007750A7">
        <w:rPr>
          <w:rFonts w:ascii="Arial" w:hAnsi="Arial"/>
          <w:sz w:val="24"/>
          <w:szCs w:val="24"/>
        </w:rPr>
        <w:t xml:space="preserve"> </w:t>
      </w:r>
      <w:r w:rsidR="009B331D" w:rsidRPr="007750A7">
        <w:rPr>
          <w:rFonts w:ascii="Arial" w:hAnsi="Arial"/>
          <w:sz w:val="24"/>
          <w:szCs w:val="24"/>
        </w:rPr>
        <w:t>Local Control Accountability Plan (</w:t>
      </w:r>
      <w:r w:rsidRPr="007750A7">
        <w:rPr>
          <w:rFonts w:ascii="Arial" w:hAnsi="Arial"/>
          <w:sz w:val="24"/>
          <w:szCs w:val="24"/>
        </w:rPr>
        <w:t>LCAP</w:t>
      </w:r>
      <w:r w:rsidR="008A1BD8" w:rsidRPr="007750A7">
        <w:rPr>
          <w:rFonts w:ascii="Arial" w:hAnsi="Arial"/>
          <w:sz w:val="24"/>
          <w:szCs w:val="24"/>
        </w:rPr>
        <w:t>)</w:t>
      </w:r>
      <w:r w:rsidR="002030CB" w:rsidRPr="007750A7">
        <w:rPr>
          <w:rFonts w:ascii="Arial" w:hAnsi="Arial"/>
          <w:sz w:val="24"/>
          <w:szCs w:val="24"/>
        </w:rPr>
        <w:t>.</w:t>
      </w:r>
      <w:r w:rsidR="002030CB">
        <w:rPr>
          <w:rFonts w:ascii="Arial" w:hAnsi="Arial"/>
          <w:sz w:val="24"/>
          <w:szCs w:val="24"/>
        </w:rPr>
        <w:t xml:space="preserve"> The CDE will confirm</w:t>
      </w:r>
      <w:r w:rsidRPr="00567BF3">
        <w:rPr>
          <w:rFonts w:ascii="Arial" w:hAnsi="Arial"/>
          <w:sz w:val="24"/>
          <w:szCs w:val="24"/>
        </w:rPr>
        <w:t xml:space="preserve"> CALPADS reporting </w:t>
      </w:r>
      <w:r w:rsidR="002030CB">
        <w:rPr>
          <w:rFonts w:ascii="Arial" w:hAnsi="Arial"/>
          <w:sz w:val="24"/>
          <w:szCs w:val="24"/>
        </w:rPr>
        <w:t xml:space="preserve">is </w:t>
      </w:r>
      <w:r w:rsidRPr="00567BF3">
        <w:rPr>
          <w:rFonts w:ascii="Arial" w:hAnsi="Arial"/>
          <w:sz w:val="24"/>
          <w:szCs w:val="24"/>
        </w:rPr>
        <w:t>ongoing.</w:t>
      </w:r>
    </w:p>
    <w:p w14:paraId="61E1A7B9" w14:textId="55D78A3D" w:rsidR="00877F7E" w:rsidRPr="004951EC" w:rsidRDefault="00877F7E" w:rsidP="00877F7E">
      <w:pPr>
        <w:pStyle w:val="PlainText"/>
        <w:rPr>
          <w:rFonts w:ascii="Arial" w:hAnsi="Arial"/>
          <w:b/>
          <w:bCs/>
          <w:sz w:val="24"/>
          <w:szCs w:val="24"/>
        </w:rPr>
      </w:pPr>
      <w:r w:rsidRPr="004951EC">
        <w:rPr>
          <w:rFonts w:ascii="Arial" w:hAnsi="Arial"/>
          <w:b/>
          <w:bCs/>
          <w:sz w:val="24"/>
          <w:szCs w:val="24"/>
        </w:rPr>
        <w:t>Consortium Grantee:</w:t>
      </w:r>
    </w:p>
    <w:p w14:paraId="28EC5E0B" w14:textId="34E4BAFF" w:rsidR="00877F7E" w:rsidRDefault="00877F7E" w:rsidP="007C5747">
      <w:pPr>
        <w:pStyle w:val="PlainText"/>
        <w:ind w:left="720"/>
        <w:rPr>
          <w:rFonts w:ascii="Arial" w:hAnsi="Arial"/>
          <w:sz w:val="24"/>
          <w:szCs w:val="24"/>
        </w:rPr>
      </w:pPr>
      <w:r w:rsidRPr="41323BB2">
        <w:rPr>
          <w:rFonts w:ascii="Arial" w:hAnsi="Arial"/>
          <w:b/>
          <w:bCs/>
          <w:sz w:val="24"/>
          <w:szCs w:val="24"/>
        </w:rPr>
        <w:t>New</w:t>
      </w:r>
      <w:r>
        <w:rPr>
          <w:rFonts w:ascii="Arial" w:hAnsi="Arial"/>
          <w:b/>
          <w:bCs/>
          <w:sz w:val="24"/>
          <w:szCs w:val="24"/>
        </w:rPr>
        <w:t>/Updated Consortium:</w:t>
      </w:r>
      <w:r w:rsidRPr="41323BB2">
        <w:rPr>
          <w:rFonts w:ascii="Arial" w:hAnsi="Arial"/>
          <w:sz w:val="24"/>
          <w:szCs w:val="24"/>
        </w:rPr>
        <w:t xml:space="preserve"> Did not receive CTEIG Round 11 award in fiscal year 2025–26. If a consortium received a CTEIG Round 11 award and its membership changes; such as adding or removing member districts or agencies, a new consortium application is required.</w:t>
      </w:r>
    </w:p>
    <w:p w14:paraId="0EE08CD0" w14:textId="5DCC0E6A" w:rsidR="00877F7E" w:rsidRPr="00567BF3" w:rsidRDefault="00877F7E" w:rsidP="007C5747">
      <w:pPr>
        <w:pStyle w:val="PlainText"/>
        <w:ind w:left="720"/>
        <w:rPr>
          <w:rFonts w:ascii="Arial" w:hAnsi="Arial"/>
          <w:sz w:val="24"/>
          <w:szCs w:val="24"/>
        </w:rPr>
      </w:pPr>
      <w:r w:rsidRPr="00EF1F0F">
        <w:rPr>
          <w:rFonts w:ascii="Arial" w:hAnsi="Arial"/>
          <w:b/>
          <w:bCs/>
          <w:sz w:val="24"/>
          <w:szCs w:val="24"/>
        </w:rPr>
        <w:t>Renewal</w:t>
      </w:r>
      <w:r>
        <w:rPr>
          <w:rFonts w:ascii="Arial" w:hAnsi="Arial"/>
          <w:b/>
          <w:bCs/>
          <w:sz w:val="24"/>
          <w:szCs w:val="24"/>
        </w:rPr>
        <w:t xml:space="preserve"> Consortium</w:t>
      </w:r>
      <w:r w:rsidRPr="00EF1F0F">
        <w:rPr>
          <w:rFonts w:ascii="Arial" w:hAnsi="Arial"/>
          <w:b/>
          <w:bCs/>
          <w:sz w:val="24"/>
          <w:szCs w:val="24"/>
        </w:rPr>
        <w:t>:</w:t>
      </w:r>
      <w:r>
        <w:rPr>
          <w:rFonts w:ascii="Arial" w:hAnsi="Arial"/>
          <w:sz w:val="24"/>
          <w:szCs w:val="24"/>
        </w:rPr>
        <w:t xml:space="preserve"> </w:t>
      </w:r>
      <w:r w:rsidRPr="009848BE">
        <w:rPr>
          <w:rFonts w:ascii="Arial" w:hAnsi="Arial"/>
          <w:sz w:val="24"/>
          <w:szCs w:val="24"/>
        </w:rPr>
        <w:t>Received CTEIG Round 11 award</w:t>
      </w:r>
      <w:r>
        <w:rPr>
          <w:rFonts w:ascii="Arial" w:hAnsi="Arial"/>
          <w:sz w:val="24"/>
          <w:szCs w:val="24"/>
        </w:rPr>
        <w:t>, and n</w:t>
      </w:r>
      <w:r w:rsidRPr="004163A5">
        <w:rPr>
          <w:rFonts w:ascii="Arial" w:hAnsi="Arial"/>
          <w:sz w:val="24"/>
          <w:szCs w:val="24"/>
        </w:rPr>
        <w:t xml:space="preserve">o changes have been made to </w:t>
      </w:r>
      <w:r>
        <w:rPr>
          <w:rFonts w:ascii="Arial" w:hAnsi="Arial"/>
          <w:sz w:val="24"/>
          <w:szCs w:val="24"/>
        </w:rPr>
        <w:t xml:space="preserve">the </w:t>
      </w:r>
      <w:r w:rsidRPr="41323BB2">
        <w:rPr>
          <w:rFonts w:ascii="Arial" w:hAnsi="Arial"/>
          <w:sz w:val="24"/>
          <w:szCs w:val="24"/>
        </w:rPr>
        <w:t>member districts or agencies</w:t>
      </w:r>
      <w:r>
        <w:rPr>
          <w:rFonts w:ascii="Arial" w:hAnsi="Arial"/>
          <w:sz w:val="24"/>
          <w:szCs w:val="24"/>
        </w:rPr>
        <w:t xml:space="preserve"> included in the </w:t>
      </w:r>
      <w:r w:rsidRPr="004163A5">
        <w:rPr>
          <w:rFonts w:ascii="Arial" w:hAnsi="Arial"/>
          <w:sz w:val="24"/>
          <w:szCs w:val="24"/>
        </w:rPr>
        <w:t>CTEIG</w:t>
      </w:r>
      <w:r>
        <w:rPr>
          <w:rFonts w:ascii="Arial" w:hAnsi="Arial"/>
          <w:sz w:val="24"/>
          <w:szCs w:val="24"/>
        </w:rPr>
        <w:t xml:space="preserve"> Round</w:t>
      </w:r>
      <w:r w:rsidRPr="004163A5">
        <w:rPr>
          <w:rFonts w:ascii="Arial" w:hAnsi="Arial"/>
          <w:sz w:val="24"/>
          <w:szCs w:val="24"/>
        </w:rPr>
        <w:t xml:space="preserve"> 11</w:t>
      </w:r>
      <w:r>
        <w:rPr>
          <w:rFonts w:ascii="Arial" w:hAnsi="Arial"/>
          <w:sz w:val="24"/>
          <w:szCs w:val="24"/>
        </w:rPr>
        <w:t xml:space="preserve"> consortium award.</w:t>
      </w:r>
    </w:p>
    <w:p w14:paraId="0CD819E9" w14:textId="2D5DEF04" w:rsidR="00CA6C1D" w:rsidRPr="00567BF3" w:rsidRDefault="00645B74" w:rsidP="00645B74">
      <w:pPr>
        <w:pStyle w:val="Heading2"/>
      </w:pPr>
      <w:bookmarkStart w:id="11" w:name="_Toc228885206"/>
      <w:r w:rsidRPr="00567BF3">
        <w:t>C</w:t>
      </w:r>
      <w:r>
        <w:t>TEIG</w:t>
      </w:r>
      <w:r w:rsidRPr="00567BF3">
        <w:t xml:space="preserve"> Match and Program Requirements</w:t>
      </w:r>
      <w:bookmarkEnd w:id="11"/>
    </w:p>
    <w:p w14:paraId="52FB490E" w14:textId="075BAB16" w:rsidR="00CA6C1D" w:rsidRPr="00567BF3" w:rsidRDefault="00CA6C1D" w:rsidP="00645B74">
      <w:pPr>
        <w:pStyle w:val="Heading3"/>
      </w:pPr>
      <w:bookmarkStart w:id="12" w:name="_Toc228885207"/>
      <w:r w:rsidRPr="00567BF3">
        <w:t>CTEIG M</w:t>
      </w:r>
      <w:r w:rsidR="006C2528" w:rsidRPr="00567BF3">
        <w:t>atch Requirements</w:t>
      </w:r>
      <w:bookmarkEnd w:id="12"/>
    </w:p>
    <w:p w14:paraId="58B212C0" w14:textId="6F196FC4" w:rsidR="00CA6C1D" w:rsidRPr="00567BF3" w:rsidRDefault="00CA6C1D" w:rsidP="00567BF3">
      <w:pPr>
        <w:pStyle w:val="PlainText"/>
        <w:rPr>
          <w:rFonts w:ascii="Arial" w:hAnsi="Arial"/>
          <w:sz w:val="24"/>
          <w:szCs w:val="24"/>
        </w:rPr>
      </w:pPr>
      <w:r w:rsidRPr="00567BF3">
        <w:rPr>
          <w:rFonts w:ascii="Arial" w:hAnsi="Arial"/>
          <w:i/>
          <w:iCs/>
          <w:sz w:val="24"/>
          <w:szCs w:val="24"/>
        </w:rPr>
        <w:t>EC</w:t>
      </w:r>
      <w:r w:rsidRPr="00567BF3">
        <w:rPr>
          <w:rFonts w:ascii="Arial" w:hAnsi="Arial"/>
          <w:sz w:val="24"/>
          <w:szCs w:val="24"/>
        </w:rPr>
        <w:t xml:space="preserve"> Section 53071(a)(1)(D)(i) requires a local match from FY 202</w:t>
      </w:r>
      <w:r w:rsidR="00845541" w:rsidRPr="00567BF3">
        <w:rPr>
          <w:rFonts w:ascii="Arial" w:hAnsi="Arial"/>
          <w:sz w:val="24"/>
          <w:szCs w:val="24"/>
        </w:rPr>
        <w:t>6–</w:t>
      </w:r>
      <w:r w:rsidRPr="00567BF3">
        <w:rPr>
          <w:rFonts w:ascii="Arial" w:hAnsi="Arial"/>
          <w:sz w:val="24"/>
          <w:szCs w:val="24"/>
        </w:rPr>
        <w:t>2</w:t>
      </w:r>
      <w:r w:rsidR="00845541" w:rsidRPr="00567BF3">
        <w:rPr>
          <w:rFonts w:ascii="Arial" w:hAnsi="Arial"/>
          <w:sz w:val="24"/>
          <w:szCs w:val="24"/>
        </w:rPr>
        <w:t>7</w:t>
      </w:r>
      <w:r w:rsidRPr="00567BF3">
        <w:rPr>
          <w:rFonts w:ascii="Arial" w:hAnsi="Arial"/>
          <w:sz w:val="24"/>
          <w:szCs w:val="24"/>
        </w:rPr>
        <w:t xml:space="preserve"> of two dollars ($2) for every one dollar ($1) received from </w:t>
      </w:r>
      <w:r w:rsidR="00E40F48" w:rsidRPr="00567BF3">
        <w:rPr>
          <w:rFonts w:ascii="Arial" w:hAnsi="Arial"/>
          <w:sz w:val="24"/>
          <w:szCs w:val="24"/>
        </w:rPr>
        <w:t>CTEIG</w:t>
      </w:r>
      <w:r w:rsidRPr="00567BF3">
        <w:rPr>
          <w:rFonts w:ascii="Arial" w:hAnsi="Arial"/>
          <w:sz w:val="24"/>
          <w:szCs w:val="24"/>
        </w:rPr>
        <w:t>.</w:t>
      </w:r>
    </w:p>
    <w:p w14:paraId="2FDF5890" w14:textId="2F5393BB" w:rsidR="00CA6C1D" w:rsidRDefault="00E40F48" w:rsidP="00567BF3">
      <w:pPr>
        <w:pStyle w:val="PlainText"/>
        <w:rPr>
          <w:rFonts w:ascii="Arial" w:hAnsi="Arial"/>
          <w:sz w:val="24"/>
          <w:szCs w:val="24"/>
        </w:rPr>
      </w:pPr>
      <w:r w:rsidRPr="00567BF3">
        <w:rPr>
          <w:rFonts w:ascii="Arial" w:hAnsi="Arial"/>
          <w:sz w:val="24"/>
          <w:szCs w:val="24"/>
        </w:rPr>
        <w:t xml:space="preserve">Per </w:t>
      </w:r>
      <w:r w:rsidRPr="00567BF3">
        <w:rPr>
          <w:rFonts w:ascii="Arial" w:hAnsi="Arial"/>
          <w:i/>
          <w:iCs/>
          <w:sz w:val="24"/>
          <w:szCs w:val="24"/>
        </w:rPr>
        <w:t xml:space="preserve">EC </w:t>
      </w:r>
      <w:r w:rsidRPr="00567BF3">
        <w:rPr>
          <w:rFonts w:ascii="Arial" w:hAnsi="Arial"/>
          <w:sz w:val="24"/>
          <w:szCs w:val="24"/>
        </w:rPr>
        <w:t xml:space="preserve">Section 53071(a)(1)(D)(ii), match must be encumbered </w:t>
      </w:r>
      <w:r w:rsidR="000E616F" w:rsidRPr="00567BF3">
        <w:rPr>
          <w:rFonts w:ascii="Arial" w:hAnsi="Arial"/>
          <w:sz w:val="24"/>
          <w:szCs w:val="24"/>
        </w:rPr>
        <w:t xml:space="preserve">in the fiscal year for which an applicant is applying to receive a grant (i.e., </w:t>
      </w:r>
      <w:r w:rsidRPr="00567BF3">
        <w:rPr>
          <w:rFonts w:ascii="Arial" w:hAnsi="Arial"/>
          <w:sz w:val="24"/>
          <w:szCs w:val="24"/>
        </w:rPr>
        <w:t>by June 30, 202</w:t>
      </w:r>
      <w:r w:rsidR="00845541" w:rsidRPr="00567BF3">
        <w:rPr>
          <w:rFonts w:ascii="Arial" w:hAnsi="Arial"/>
          <w:sz w:val="24"/>
          <w:szCs w:val="24"/>
        </w:rPr>
        <w:t>7</w:t>
      </w:r>
      <w:r w:rsidR="000E616F" w:rsidRPr="00567BF3">
        <w:rPr>
          <w:rFonts w:ascii="Arial" w:hAnsi="Arial"/>
          <w:sz w:val="24"/>
          <w:szCs w:val="24"/>
        </w:rPr>
        <w:t xml:space="preserve">, the </w:t>
      </w:r>
      <w:r w:rsidRPr="00567BF3">
        <w:rPr>
          <w:rFonts w:ascii="Arial" w:hAnsi="Arial"/>
          <w:sz w:val="24"/>
          <w:szCs w:val="24"/>
        </w:rPr>
        <w:t xml:space="preserve">first year of </w:t>
      </w:r>
      <w:r w:rsidR="000E616F" w:rsidRPr="00567BF3">
        <w:rPr>
          <w:rFonts w:ascii="Arial" w:hAnsi="Arial"/>
          <w:sz w:val="24"/>
          <w:szCs w:val="24"/>
        </w:rPr>
        <w:t xml:space="preserve">the </w:t>
      </w:r>
      <w:r w:rsidRPr="00567BF3">
        <w:rPr>
          <w:rFonts w:ascii="Arial" w:hAnsi="Arial"/>
          <w:sz w:val="24"/>
          <w:szCs w:val="24"/>
        </w:rPr>
        <w:t>grant).</w:t>
      </w:r>
    </w:p>
    <w:p w14:paraId="1A178D9B" w14:textId="28782F0F" w:rsidR="00F3796D" w:rsidRDefault="00F3796D" w:rsidP="00F3796D">
      <w:pPr>
        <w:pStyle w:val="PlainText"/>
        <w:rPr>
          <w:rFonts w:ascii="Arial" w:hAnsi="Arial"/>
          <w:sz w:val="24"/>
          <w:szCs w:val="24"/>
        </w:rPr>
      </w:pPr>
      <w:r w:rsidRPr="00095950">
        <w:rPr>
          <w:rFonts w:ascii="Arial" w:hAnsi="Arial"/>
          <w:sz w:val="24"/>
          <w:szCs w:val="24"/>
        </w:rPr>
        <w:t xml:space="preserve">If a grant applicant identifies </w:t>
      </w:r>
      <w:r w:rsidR="000B71BA" w:rsidRPr="00095950">
        <w:rPr>
          <w:rFonts w:ascii="Arial" w:hAnsi="Arial"/>
          <w:sz w:val="24"/>
          <w:szCs w:val="24"/>
        </w:rPr>
        <w:t xml:space="preserve">a </w:t>
      </w:r>
      <w:r w:rsidRPr="00095950">
        <w:rPr>
          <w:rFonts w:ascii="Arial" w:hAnsi="Arial"/>
          <w:sz w:val="24"/>
          <w:szCs w:val="24"/>
        </w:rPr>
        <w:t xml:space="preserve">match source that </w:t>
      </w:r>
      <w:r w:rsidR="000B71BA" w:rsidRPr="00095950">
        <w:rPr>
          <w:rFonts w:ascii="Arial" w:hAnsi="Arial"/>
          <w:sz w:val="24"/>
          <w:szCs w:val="24"/>
        </w:rPr>
        <w:t xml:space="preserve">shall not be included </w:t>
      </w:r>
      <w:r w:rsidRPr="00095950">
        <w:rPr>
          <w:rFonts w:ascii="Arial" w:hAnsi="Arial"/>
          <w:sz w:val="24"/>
          <w:szCs w:val="24"/>
        </w:rPr>
        <w:t xml:space="preserve">per </w:t>
      </w:r>
      <w:r w:rsidRPr="00095950">
        <w:rPr>
          <w:rFonts w:ascii="Arial" w:hAnsi="Arial"/>
          <w:i/>
          <w:iCs/>
          <w:sz w:val="24"/>
          <w:szCs w:val="24"/>
        </w:rPr>
        <w:t>EC</w:t>
      </w:r>
      <w:r w:rsidRPr="00095950">
        <w:rPr>
          <w:rFonts w:ascii="Arial" w:hAnsi="Arial"/>
          <w:sz w:val="24"/>
          <w:szCs w:val="24"/>
        </w:rPr>
        <w:t xml:space="preserve"> Section 53071(a)(4), the CDE shall </w:t>
      </w:r>
      <w:r w:rsidR="000B71BA" w:rsidRPr="00095950">
        <w:rPr>
          <w:rFonts w:ascii="Arial" w:hAnsi="Arial"/>
          <w:sz w:val="24"/>
          <w:szCs w:val="24"/>
        </w:rPr>
        <w:t>proportionately reduce</w:t>
      </w:r>
      <w:r w:rsidRPr="00095950">
        <w:rPr>
          <w:rFonts w:ascii="Arial" w:hAnsi="Arial"/>
          <w:sz w:val="24"/>
          <w:szCs w:val="24"/>
        </w:rPr>
        <w:t xml:space="preserve"> the applicant's grant allocatio</w:t>
      </w:r>
      <w:r w:rsidR="000B71BA" w:rsidRPr="00095950">
        <w:rPr>
          <w:rFonts w:ascii="Arial" w:hAnsi="Arial"/>
          <w:sz w:val="24"/>
          <w:szCs w:val="24"/>
        </w:rPr>
        <w:t xml:space="preserve">n </w:t>
      </w:r>
      <w:r w:rsidRPr="00095950">
        <w:rPr>
          <w:rFonts w:ascii="Arial" w:hAnsi="Arial"/>
          <w:sz w:val="24"/>
          <w:szCs w:val="24"/>
        </w:rPr>
        <w:t>prior to awarding the grant. The grantee's award letter will reflect the reduced allocation amount.</w:t>
      </w:r>
    </w:p>
    <w:p w14:paraId="345C81EE" w14:textId="038332C2" w:rsidR="00CA6C1D" w:rsidRPr="00567BF3" w:rsidRDefault="00CA6C1D" w:rsidP="00567BF3">
      <w:pPr>
        <w:pStyle w:val="Heading4"/>
        <w:rPr>
          <w:rFonts w:cs="Arial"/>
        </w:rPr>
      </w:pPr>
      <w:r w:rsidRPr="00567BF3">
        <w:rPr>
          <w:rFonts w:cs="Arial"/>
        </w:rPr>
        <w:t>Allowable Match Sources</w:t>
      </w:r>
    </w:p>
    <w:p w14:paraId="528B428C" w14:textId="541518C0" w:rsidR="00CA6C1D" w:rsidRPr="00567BF3" w:rsidRDefault="00E40F48" w:rsidP="00567BF3">
      <w:pPr>
        <w:pStyle w:val="PlainText"/>
        <w:rPr>
          <w:rFonts w:ascii="Arial" w:hAnsi="Arial"/>
          <w:sz w:val="24"/>
          <w:szCs w:val="24"/>
        </w:rPr>
      </w:pPr>
      <w:r w:rsidRPr="00567BF3">
        <w:rPr>
          <w:rFonts w:ascii="Arial" w:hAnsi="Arial"/>
          <w:i/>
          <w:iCs/>
          <w:sz w:val="24"/>
          <w:szCs w:val="24"/>
        </w:rPr>
        <w:t>EC</w:t>
      </w:r>
      <w:r w:rsidRPr="00567BF3">
        <w:rPr>
          <w:rFonts w:ascii="Arial" w:hAnsi="Arial"/>
          <w:sz w:val="24"/>
          <w:szCs w:val="24"/>
        </w:rPr>
        <w:t xml:space="preserve"> Section </w:t>
      </w:r>
      <w:r w:rsidR="00845541" w:rsidRPr="00567BF3">
        <w:rPr>
          <w:rFonts w:ascii="Arial" w:hAnsi="Arial"/>
          <w:sz w:val="24"/>
          <w:szCs w:val="24"/>
        </w:rPr>
        <w:t xml:space="preserve">53071(a)(3) </w:t>
      </w:r>
      <w:r w:rsidRPr="00567BF3">
        <w:rPr>
          <w:rFonts w:ascii="Arial" w:hAnsi="Arial"/>
          <w:sz w:val="24"/>
          <w:szCs w:val="24"/>
        </w:rPr>
        <w:t>states th</w:t>
      </w:r>
      <w:r w:rsidR="00CA6C1D" w:rsidRPr="00567BF3">
        <w:rPr>
          <w:rFonts w:ascii="Arial" w:hAnsi="Arial"/>
          <w:sz w:val="24"/>
          <w:szCs w:val="24"/>
        </w:rPr>
        <w:t>e local match may include funding from:</w:t>
      </w:r>
    </w:p>
    <w:p w14:paraId="4384C6C2" w14:textId="000AF0DA" w:rsidR="00CA6C1D" w:rsidRPr="00567BF3" w:rsidRDefault="00CA6C1D" w:rsidP="00567BF3">
      <w:pPr>
        <w:pStyle w:val="PlainText"/>
        <w:numPr>
          <w:ilvl w:val="0"/>
          <w:numId w:val="3"/>
        </w:numPr>
        <w:rPr>
          <w:rFonts w:ascii="Arial" w:hAnsi="Arial"/>
          <w:sz w:val="24"/>
          <w:szCs w:val="24"/>
        </w:rPr>
      </w:pPr>
      <w:r w:rsidRPr="00567BF3">
        <w:rPr>
          <w:rFonts w:ascii="Arial" w:hAnsi="Arial"/>
          <w:sz w:val="24"/>
          <w:szCs w:val="24"/>
        </w:rPr>
        <w:t xml:space="preserve">School district </w:t>
      </w:r>
      <w:r w:rsidR="00384E71" w:rsidRPr="00567BF3">
        <w:rPr>
          <w:rFonts w:ascii="Arial" w:hAnsi="Arial"/>
          <w:sz w:val="24"/>
          <w:szCs w:val="24"/>
        </w:rPr>
        <w:t>and</w:t>
      </w:r>
      <w:r w:rsidRPr="00567BF3">
        <w:rPr>
          <w:rFonts w:ascii="Arial" w:hAnsi="Arial"/>
          <w:sz w:val="24"/>
          <w:szCs w:val="24"/>
        </w:rPr>
        <w:t xml:space="preserve"> charter school Local Control Funding Formula (LCFF) apportionments pursuant to </w:t>
      </w:r>
      <w:r w:rsidR="00E40F48" w:rsidRPr="00A90226">
        <w:rPr>
          <w:rFonts w:ascii="Arial" w:hAnsi="Arial"/>
          <w:i/>
          <w:iCs/>
          <w:sz w:val="24"/>
          <w:szCs w:val="24"/>
        </w:rPr>
        <w:t>EC</w:t>
      </w:r>
      <w:r w:rsidR="00E40F48" w:rsidRPr="00567BF3">
        <w:rPr>
          <w:rFonts w:ascii="Arial" w:hAnsi="Arial"/>
          <w:sz w:val="24"/>
          <w:szCs w:val="24"/>
        </w:rPr>
        <w:t xml:space="preserve"> </w:t>
      </w:r>
      <w:r w:rsidRPr="00567BF3">
        <w:rPr>
          <w:rFonts w:ascii="Arial" w:hAnsi="Arial"/>
          <w:sz w:val="24"/>
          <w:szCs w:val="24"/>
        </w:rPr>
        <w:t>Section 42238.02</w:t>
      </w:r>
    </w:p>
    <w:p w14:paraId="57C9C868" w14:textId="582247EF" w:rsidR="00CA6C1D" w:rsidRPr="00567BF3" w:rsidRDefault="00CA6C1D" w:rsidP="00567BF3">
      <w:pPr>
        <w:pStyle w:val="PlainText"/>
        <w:numPr>
          <w:ilvl w:val="0"/>
          <w:numId w:val="3"/>
        </w:numPr>
        <w:rPr>
          <w:rFonts w:ascii="Arial" w:hAnsi="Arial"/>
          <w:sz w:val="24"/>
          <w:szCs w:val="24"/>
        </w:rPr>
      </w:pPr>
      <w:r w:rsidRPr="00567BF3">
        <w:rPr>
          <w:rFonts w:ascii="Arial" w:hAnsi="Arial"/>
          <w:sz w:val="24"/>
          <w:szCs w:val="24"/>
        </w:rPr>
        <w:t>Strengthening C</w:t>
      </w:r>
      <w:r w:rsidR="00A6335D" w:rsidRPr="00567BF3">
        <w:rPr>
          <w:rFonts w:ascii="Arial" w:hAnsi="Arial"/>
          <w:sz w:val="24"/>
          <w:szCs w:val="24"/>
        </w:rPr>
        <w:t>TE</w:t>
      </w:r>
      <w:r w:rsidRPr="00567BF3">
        <w:rPr>
          <w:rFonts w:ascii="Arial" w:hAnsi="Arial"/>
          <w:sz w:val="24"/>
          <w:szCs w:val="24"/>
        </w:rPr>
        <w:t xml:space="preserve"> for the 21st Century Act (Perkins V)</w:t>
      </w:r>
    </w:p>
    <w:p w14:paraId="731A2601" w14:textId="5F21C3D5" w:rsidR="00CA6C1D" w:rsidRPr="00567BF3" w:rsidRDefault="00CA6C1D" w:rsidP="00567BF3">
      <w:pPr>
        <w:pStyle w:val="PlainText"/>
        <w:numPr>
          <w:ilvl w:val="0"/>
          <w:numId w:val="3"/>
        </w:numPr>
        <w:rPr>
          <w:rFonts w:ascii="Arial" w:hAnsi="Arial"/>
          <w:sz w:val="24"/>
          <w:szCs w:val="24"/>
        </w:rPr>
      </w:pPr>
      <w:r w:rsidRPr="00567BF3">
        <w:rPr>
          <w:rFonts w:ascii="Arial" w:hAnsi="Arial"/>
          <w:sz w:val="24"/>
          <w:szCs w:val="24"/>
        </w:rPr>
        <w:t>California Partnership Academies</w:t>
      </w:r>
    </w:p>
    <w:p w14:paraId="4D30E79A" w14:textId="2D62A9B5" w:rsidR="00CA6C1D" w:rsidRPr="00567BF3" w:rsidRDefault="00CA6C1D" w:rsidP="00567BF3">
      <w:pPr>
        <w:pStyle w:val="PlainText"/>
        <w:numPr>
          <w:ilvl w:val="0"/>
          <w:numId w:val="3"/>
        </w:numPr>
        <w:rPr>
          <w:rFonts w:ascii="Arial" w:hAnsi="Arial"/>
          <w:sz w:val="24"/>
          <w:szCs w:val="24"/>
        </w:rPr>
      </w:pPr>
      <w:r w:rsidRPr="00567BF3">
        <w:rPr>
          <w:rFonts w:ascii="Arial" w:hAnsi="Arial"/>
          <w:sz w:val="24"/>
          <w:szCs w:val="24"/>
        </w:rPr>
        <w:lastRenderedPageBreak/>
        <w:t>Agricultural CTE Incentive Grant</w:t>
      </w:r>
    </w:p>
    <w:p w14:paraId="5D72D060" w14:textId="6C32BCB8" w:rsidR="00CA6C1D" w:rsidRPr="00567BF3" w:rsidRDefault="00CA6C1D" w:rsidP="00567BF3">
      <w:pPr>
        <w:pStyle w:val="PlainText"/>
        <w:numPr>
          <w:ilvl w:val="0"/>
          <w:numId w:val="3"/>
        </w:numPr>
        <w:rPr>
          <w:rFonts w:ascii="Arial" w:hAnsi="Arial"/>
          <w:sz w:val="24"/>
          <w:szCs w:val="24"/>
        </w:rPr>
      </w:pPr>
      <w:r w:rsidRPr="00567BF3">
        <w:rPr>
          <w:rFonts w:ascii="Arial" w:hAnsi="Arial"/>
          <w:sz w:val="24"/>
          <w:szCs w:val="24"/>
        </w:rPr>
        <w:t xml:space="preserve">Any other allowable source </w:t>
      </w:r>
      <w:r w:rsidR="00384E71" w:rsidRPr="00567BF3">
        <w:rPr>
          <w:rFonts w:ascii="Arial" w:hAnsi="Arial"/>
          <w:sz w:val="24"/>
          <w:szCs w:val="24"/>
        </w:rPr>
        <w:t>except as listed below</w:t>
      </w:r>
      <w:r w:rsidRPr="00567BF3">
        <w:rPr>
          <w:rFonts w:ascii="Arial" w:hAnsi="Arial"/>
          <w:sz w:val="24"/>
          <w:szCs w:val="24"/>
        </w:rPr>
        <w:t xml:space="preserve"> </w:t>
      </w:r>
    </w:p>
    <w:p w14:paraId="18B0EB23" w14:textId="237E22C6" w:rsidR="00CA6C1D" w:rsidRPr="00567BF3" w:rsidRDefault="00CA6C1D" w:rsidP="00567BF3">
      <w:pPr>
        <w:pStyle w:val="Heading4"/>
        <w:rPr>
          <w:rFonts w:cs="Arial"/>
        </w:rPr>
      </w:pPr>
      <w:r w:rsidRPr="00567BF3">
        <w:rPr>
          <w:rFonts w:cs="Arial"/>
        </w:rPr>
        <w:t>Non-Allowable Match Sources</w:t>
      </w:r>
    </w:p>
    <w:p w14:paraId="72FD532A" w14:textId="7C65FFBE" w:rsidR="00CA6C1D" w:rsidRPr="00567BF3" w:rsidRDefault="005E58F9" w:rsidP="00567BF3">
      <w:pPr>
        <w:pStyle w:val="PlainText"/>
        <w:rPr>
          <w:rFonts w:ascii="Arial" w:hAnsi="Arial"/>
          <w:sz w:val="24"/>
          <w:szCs w:val="24"/>
        </w:rPr>
      </w:pPr>
      <w:r w:rsidRPr="00F3796D">
        <w:rPr>
          <w:rFonts w:ascii="Arial" w:hAnsi="Arial"/>
          <w:i/>
          <w:iCs/>
          <w:sz w:val="24"/>
          <w:szCs w:val="24"/>
        </w:rPr>
        <w:t>EC</w:t>
      </w:r>
      <w:r w:rsidRPr="00F3796D">
        <w:rPr>
          <w:rFonts w:ascii="Arial" w:hAnsi="Arial"/>
          <w:sz w:val="24"/>
          <w:szCs w:val="24"/>
        </w:rPr>
        <w:t xml:space="preserve"> Section 53071(a)(4) states t</w:t>
      </w:r>
      <w:r w:rsidR="00CA6C1D" w:rsidRPr="00F3796D">
        <w:rPr>
          <w:rFonts w:ascii="Arial" w:hAnsi="Arial"/>
          <w:sz w:val="24"/>
          <w:szCs w:val="24"/>
        </w:rPr>
        <w:t>he</w:t>
      </w:r>
      <w:r w:rsidR="00CA6C1D" w:rsidRPr="00567BF3">
        <w:rPr>
          <w:rFonts w:ascii="Arial" w:hAnsi="Arial"/>
          <w:sz w:val="24"/>
          <w:szCs w:val="24"/>
        </w:rPr>
        <w:t xml:space="preserve"> local match may </w:t>
      </w:r>
      <w:r w:rsidR="00CA6C1D" w:rsidRPr="00567BF3">
        <w:rPr>
          <w:rFonts w:ascii="Arial" w:hAnsi="Arial"/>
          <w:i/>
          <w:iCs/>
          <w:sz w:val="24"/>
          <w:szCs w:val="24"/>
        </w:rPr>
        <w:t>not</w:t>
      </w:r>
      <w:r w:rsidR="00CA6C1D" w:rsidRPr="00567BF3">
        <w:rPr>
          <w:rFonts w:ascii="Arial" w:hAnsi="Arial"/>
          <w:sz w:val="24"/>
          <w:szCs w:val="24"/>
        </w:rPr>
        <w:t xml:space="preserve"> include funding from:</w:t>
      </w:r>
    </w:p>
    <w:p w14:paraId="7B6C657F" w14:textId="4A1B4F95" w:rsidR="00CA6C1D" w:rsidRPr="00567BF3" w:rsidRDefault="00CA6C1D" w:rsidP="00567BF3">
      <w:pPr>
        <w:pStyle w:val="PlainText"/>
        <w:numPr>
          <w:ilvl w:val="0"/>
          <w:numId w:val="4"/>
        </w:numPr>
        <w:rPr>
          <w:rFonts w:ascii="Arial" w:hAnsi="Arial"/>
          <w:sz w:val="24"/>
          <w:szCs w:val="24"/>
        </w:rPr>
      </w:pPr>
      <w:r w:rsidRPr="00567BF3">
        <w:rPr>
          <w:rFonts w:ascii="Arial" w:hAnsi="Arial"/>
          <w:sz w:val="24"/>
          <w:szCs w:val="24"/>
        </w:rPr>
        <w:t>Kindergarten through grade twelve (K</w:t>
      </w:r>
      <w:r w:rsidR="00E40F48" w:rsidRPr="00567BF3">
        <w:rPr>
          <w:rFonts w:ascii="Arial" w:hAnsi="Arial"/>
          <w:sz w:val="24"/>
          <w:szCs w:val="24"/>
        </w:rPr>
        <w:t>–</w:t>
      </w:r>
      <w:r w:rsidRPr="00567BF3">
        <w:rPr>
          <w:rFonts w:ascii="Arial" w:hAnsi="Arial"/>
          <w:sz w:val="24"/>
          <w:szCs w:val="24"/>
        </w:rPr>
        <w:t xml:space="preserve">12) component of the Strong Workforce Program (SWP) established pursuant to </w:t>
      </w:r>
      <w:r w:rsidR="00E40F48" w:rsidRPr="00567BF3">
        <w:rPr>
          <w:rFonts w:ascii="Arial" w:hAnsi="Arial"/>
          <w:i/>
          <w:iCs/>
          <w:sz w:val="24"/>
          <w:szCs w:val="24"/>
        </w:rPr>
        <w:t xml:space="preserve">EC </w:t>
      </w:r>
      <w:r w:rsidRPr="00567BF3">
        <w:rPr>
          <w:rFonts w:ascii="Arial" w:hAnsi="Arial"/>
          <w:sz w:val="24"/>
          <w:szCs w:val="24"/>
        </w:rPr>
        <w:t>Section 88827</w:t>
      </w:r>
    </w:p>
    <w:p w14:paraId="087EA111" w14:textId="3D7C9D00" w:rsidR="00CA6C1D" w:rsidRDefault="00CA6C1D" w:rsidP="00567BF3">
      <w:pPr>
        <w:pStyle w:val="PlainText"/>
        <w:numPr>
          <w:ilvl w:val="0"/>
          <w:numId w:val="4"/>
        </w:numPr>
        <w:rPr>
          <w:rFonts w:ascii="Arial" w:hAnsi="Arial"/>
          <w:sz w:val="24"/>
          <w:szCs w:val="24"/>
        </w:rPr>
      </w:pPr>
      <w:r w:rsidRPr="00567BF3">
        <w:rPr>
          <w:rFonts w:ascii="Arial" w:hAnsi="Arial"/>
          <w:sz w:val="24"/>
          <w:szCs w:val="24"/>
        </w:rPr>
        <w:t xml:space="preserve">CTE Facilities Program pursuant to </w:t>
      </w:r>
      <w:r w:rsidR="00E40F48" w:rsidRPr="00567BF3">
        <w:rPr>
          <w:rFonts w:ascii="Arial" w:hAnsi="Arial"/>
          <w:i/>
          <w:iCs/>
          <w:sz w:val="24"/>
          <w:szCs w:val="24"/>
        </w:rPr>
        <w:t xml:space="preserve">EC </w:t>
      </w:r>
      <w:r w:rsidRPr="00567BF3">
        <w:rPr>
          <w:rFonts w:ascii="Arial" w:hAnsi="Arial"/>
          <w:sz w:val="24"/>
          <w:szCs w:val="24"/>
        </w:rPr>
        <w:t>Section 17078.72</w:t>
      </w:r>
    </w:p>
    <w:p w14:paraId="3DB5E856" w14:textId="77777777" w:rsidR="005E58F9" w:rsidRDefault="00CA6C1D" w:rsidP="005E58F9">
      <w:pPr>
        <w:pStyle w:val="PlainText"/>
        <w:rPr>
          <w:rFonts w:ascii="Arial" w:hAnsi="Arial"/>
          <w:sz w:val="24"/>
          <w:szCs w:val="24"/>
        </w:rPr>
      </w:pPr>
      <w:r w:rsidRPr="00567BF3">
        <w:rPr>
          <w:rFonts w:ascii="Arial" w:hAnsi="Arial"/>
          <w:sz w:val="24"/>
          <w:szCs w:val="24"/>
        </w:rPr>
        <w:t xml:space="preserve">Per </w:t>
      </w:r>
      <w:r w:rsidR="00E40F48" w:rsidRPr="00567BF3">
        <w:rPr>
          <w:rFonts w:ascii="Arial" w:hAnsi="Arial"/>
          <w:i/>
          <w:iCs/>
          <w:sz w:val="24"/>
          <w:szCs w:val="24"/>
        </w:rPr>
        <w:t xml:space="preserve">EC </w:t>
      </w:r>
      <w:r w:rsidRPr="00567BF3">
        <w:rPr>
          <w:rFonts w:ascii="Arial" w:hAnsi="Arial"/>
          <w:sz w:val="24"/>
          <w:szCs w:val="24"/>
        </w:rPr>
        <w:t>Section 53071(a)(5), an applicant's matching funds shall be used to support the program or programs for which the applicant was awarded a grant.</w:t>
      </w:r>
    </w:p>
    <w:p w14:paraId="2F573312" w14:textId="77777777" w:rsidR="00821DA4" w:rsidRPr="00567BF3" w:rsidRDefault="00821DA4" w:rsidP="00567BF3">
      <w:pPr>
        <w:pStyle w:val="Heading4"/>
        <w:rPr>
          <w:rFonts w:cs="Arial"/>
        </w:rPr>
      </w:pPr>
      <w:r w:rsidRPr="00567BF3">
        <w:rPr>
          <w:rFonts w:cs="Arial"/>
        </w:rPr>
        <w:t>Matching Funds Verification</w:t>
      </w:r>
    </w:p>
    <w:p w14:paraId="3F4EFF73" w14:textId="7670ADCD" w:rsidR="00821DA4" w:rsidRPr="00567BF3" w:rsidRDefault="00821DA4" w:rsidP="00567BF3">
      <w:pPr>
        <w:pStyle w:val="PlainText"/>
        <w:rPr>
          <w:rFonts w:ascii="Arial" w:hAnsi="Arial"/>
          <w:sz w:val="24"/>
          <w:szCs w:val="24"/>
        </w:rPr>
      </w:pPr>
      <w:r w:rsidRPr="00567BF3">
        <w:rPr>
          <w:rFonts w:ascii="Arial" w:hAnsi="Arial"/>
          <w:sz w:val="24"/>
          <w:szCs w:val="24"/>
        </w:rPr>
        <w:t xml:space="preserve">Per </w:t>
      </w:r>
      <w:r w:rsidRPr="00567BF3">
        <w:rPr>
          <w:rFonts w:ascii="Arial" w:hAnsi="Arial"/>
          <w:i/>
          <w:iCs/>
          <w:sz w:val="24"/>
          <w:szCs w:val="24"/>
        </w:rPr>
        <w:t>EC</w:t>
      </w:r>
      <w:r w:rsidRPr="00567BF3">
        <w:rPr>
          <w:rFonts w:ascii="Arial" w:hAnsi="Arial"/>
          <w:sz w:val="24"/>
          <w:szCs w:val="24"/>
        </w:rPr>
        <w:t xml:space="preserve"> Section 53076(c), </w:t>
      </w:r>
      <w:r w:rsidR="00135915" w:rsidRPr="00567BF3">
        <w:rPr>
          <w:rFonts w:ascii="Arial" w:hAnsi="Arial"/>
          <w:sz w:val="24"/>
          <w:szCs w:val="24"/>
        </w:rPr>
        <w:t xml:space="preserve">the CDE shall </w:t>
      </w:r>
      <w:r w:rsidR="00845541" w:rsidRPr="00567BF3">
        <w:rPr>
          <w:rFonts w:ascii="Arial" w:hAnsi="Arial"/>
          <w:sz w:val="24"/>
          <w:szCs w:val="24"/>
        </w:rPr>
        <w:t>a</w:t>
      </w:r>
      <w:r w:rsidRPr="00567BF3">
        <w:rPr>
          <w:rFonts w:ascii="Arial" w:hAnsi="Arial"/>
          <w:sz w:val="24"/>
          <w:szCs w:val="24"/>
        </w:rPr>
        <w:t xml:space="preserve">nnually review grant recipients’ expenditures on </w:t>
      </w:r>
      <w:r w:rsidR="0061365F" w:rsidRPr="00567BF3">
        <w:rPr>
          <w:rFonts w:ascii="Arial" w:hAnsi="Arial"/>
          <w:sz w:val="24"/>
          <w:szCs w:val="24"/>
        </w:rPr>
        <w:t>CTE</w:t>
      </w:r>
      <w:r w:rsidRPr="00567BF3">
        <w:rPr>
          <w:rFonts w:ascii="Arial" w:hAnsi="Arial"/>
          <w:sz w:val="24"/>
          <w:szCs w:val="24"/>
        </w:rPr>
        <w:t xml:space="preserve"> programs for purposes of determining if the grant recipients have met the dollar-for-dollar match requirement specified in </w:t>
      </w:r>
      <w:r w:rsidRPr="00567BF3">
        <w:rPr>
          <w:rFonts w:ascii="Arial" w:hAnsi="Arial"/>
          <w:i/>
          <w:iCs/>
          <w:sz w:val="24"/>
          <w:szCs w:val="24"/>
        </w:rPr>
        <w:t xml:space="preserve">EC </w:t>
      </w:r>
      <w:r w:rsidRPr="00567BF3">
        <w:rPr>
          <w:rFonts w:ascii="Arial" w:hAnsi="Arial"/>
          <w:sz w:val="24"/>
          <w:szCs w:val="24"/>
        </w:rPr>
        <w:t>Section 53071(a).</w:t>
      </w:r>
    </w:p>
    <w:p w14:paraId="015714BB" w14:textId="62743723" w:rsidR="00877F7E" w:rsidRPr="00567BF3" w:rsidRDefault="00821DA4" w:rsidP="00877F7E">
      <w:pPr>
        <w:pStyle w:val="PlainText"/>
        <w:rPr>
          <w:rFonts w:ascii="Arial" w:hAnsi="Arial"/>
          <w:sz w:val="24"/>
          <w:szCs w:val="24"/>
        </w:rPr>
      </w:pPr>
      <w:r w:rsidRPr="00567BF3">
        <w:rPr>
          <w:rFonts w:ascii="Arial" w:hAnsi="Arial"/>
          <w:sz w:val="24"/>
          <w:szCs w:val="24"/>
        </w:rPr>
        <w:t xml:space="preserve">The annual review of a CTEIG recipient's expenditures for verifying encumbered match dollars shall include the </w:t>
      </w:r>
      <w:hyperlink r:id="rId11" w:history="1">
        <w:r w:rsidRPr="004435AA">
          <w:rPr>
            <w:rStyle w:val="Hyperlink"/>
            <w:rFonts w:ascii="Arial" w:hAnsi="Arial"/>
            <w:sz w:val="24"/>
            <w:szCs w:val="24"/>
          </w:rPr>
          <w:t>annual audit guide</w:t>
        </w:r>
      </w:hyperlink>
      <w:r w:rsidRPr="00567BF3">
        <w:rPr>
          <w:rFonts w:ascii="Arial" w:hAnsi="Arial"/>
          <w:sz w:val="24"/>
          <w:szCs w:val="24"/>
        </w:rPr>
        <w:t xml:space="preserve"> prescribed in </w:t>
      </w:r>
      <w:r w:rsidRPr="00567BF3">
        <w:rPr>
          <w:rFonts w:ascii="Arial" w:hAnsi="Arial"/>
          <w:i/>
          <w:iCs/>
          <w:sz w:val="24"/>
          <w:szCs w:val="24"/>
        </w:rPr>
        <w:t>EC</w:t>
      </w:r>
      <w:r w:rsidRPr="00567BF3">
        <w:rPr>
          <w:rFonts w:ascii="Arial" w:hAnsi="Arial"/>
          <w:sz w:val="24"/>
          <w:szCs w:val="24"/>
        </w:rPr>
        <w:t xml:space="preserve"> Section 53076.1.</w:t>
      </w:r>
      <w:r w:rsidR="00877F7E">
        <w:rPr>
          <w:rFonts w:ascii="Arial" w:hAnsi="Arial"/>
          <w:sz w:val="24"/>
          <w:szCs w:val="24"/>
        </w:rPr>
        <w:t xml:space="preserve"> </w:t>
      </w:r>
    </w:p>
    <w:p w14:paraId="316E5A1E" w14:textId="77777777" w:rsidR="00821DA4" w:rsidRPr="00567BF3" w:rsidRDefault="00821DA4" w:rsidP="00567BF3">
      <w:pPr>
        <w:pStyle w:val="PlainText"/>
        <w:rPr>
          <w:rFonts w:ascii="Arial" w:hAnsi="Arial"/>
          <w:sz w:val="24"/>
          <w:szCs w:val="24"/>
        </w:rPr>
      </w:pPr>
      <w:r w:rsidRPr="00567BF3">
        <w:rPr>
          <w:rFonts w:ascii="Arial" w:hAnsi="Arial"/>
          <w:sz w:val="24"/>
          <w:szCs w:val="24"/>
        </w:rPr>
        <w:t>If, pursuant to Section 53076.1, an auditor determines that a grant recipient failed to meet the matching funds requirement:</w:t>
      </w:r>
    </w:p>
    <w:p w14:paraId="71840E8E" w14:textId="77777777" w:rsidR="00821DA4" w:rsidRPr="00567BF3" w:rsidRDefault="00821DA4" w:rsidP="00567BF3">
      <w:pPr>
        <w:pStyle w:val="PlainText"/>
        <w:numPr>
          <w:ilvl w:val="0"/>
          <w:numId w:val="5"/>
        </w:numPr>
        <w:rPr>
          <w:rFonts w:ascii="Arial" w:hAnsi="Arial"/>
          <w:sz w:val="24"/>
          <w:szCs w:val="24"/>
        </w:rPr>
      </w:pPr>
      <w:r w:rsidRPr="00567BF3">
        <w:rPr>
          <w:rFonts w:ascii="Arial" w:hAnsi="Arial"/>
          <w:sz w:val="24"/>
          <w:szCs w:val="24"/>
        </w:rPr>
        <w:t>The CDE shall reduce the following year’s grant allocation in an amount equal to the unmet portion of the match requirement, if applicable. The reduction shall not reduce the grant recipient’s match requirement for the year in which the Superintendent reduces the allocation.</w:t>
      </w:r>
    </w:p>
    <w:p w14:paraId="722F5FBC" w14:textId="77777777" w:rsidR="00821DA4" w:rsidRPr="00567BF3" w:rsidRDefault="00821DA4" w:rsidP="00567BF3">
      <w:pPr>
        <w:pStyle w:val="PlainText"/>
        <w:numPr>
          <w:ilvl w:val="0"/>
          <w:numId w:val="5"/>
        </w:numPr>
        <w:rPr>
          <w:rFonts w:ascii="Arial" w:hAnsi="Arial"/>
          <w:sz w:val="24"/>
          <w:szCs w:val="24"/>
        </w:rPr>
      </w:pPr>
      <w:r w:rsidRPr="00567BF3">
        <w:rPr>
          <w:rFonts w:ascii="Arial" w:hAnsi="Arial"/>
          <w:sz w:val="24"/>
          <w:szCs w:val="24"/>
        </w:rPr>
        <w:t>If a grant recipient with an audit finding pursuant to Section 53076.1 does not have an allocation in the subsequent year to reduce, the department shall require the recipient to return the unmatched funds identified in the audit finding.</w:t>
      </w:r>
    </w:p>
    <w:p w14:paraId="1E789CC5" w14:textId="0E4B5131" w:rsidR="00821DA4" w:rsidRDefault="00821DA4" w:rsidP="00567BF3">
      <w:pPr>
        <w:pStyle w:val="PlainText"/>
        <w:rPr>
          <w:rFonts w:ascii="Arial" w:hAnsi="Arial"/>
          <w:sz w:val="24"/>
          <w:szCs w:val="24"/>
        </w:rPr>
      </w:pPr>
      <w:r w:rsidRPr="00567BF3">
        <w:rPr>
          <w:rFonts w:ascii="Arial" w:hAnsi="Arial"/>
          <w:sz w:val="24"/>
          <w:szCs w:val="24"/>
        </w:rPr>
        <w:t>All encumbered CTE program expenditures listed as match</w:t>
      </w:r>
      <w:r w:rsidR="0079446C" w:rsidRPr="00567BF3">
        <w:rPr>
          <w:rFonts w:ascii="Arial" w:hAnsi="Arial"/>
          <w:sz w:val="24"/>
          <w:szCs w:val="24"/>
        </w:rPr>
        <w:t>ing funds</w:t>
      </w:r>
      <w:r w:rsidRPr="00567BF3">
        <w:rPr>
          <w:rFonts w:ascii="Arial" w:hAnsi="Arial"/>
          <w:sz w:val="24"/>
          <w:szCs w:val="24"/>
        </w:rPr>
        <w:t xml:space="preserve"> should use Goal Codes 3800 (individual LEA) </w:t>
      </w:r>
      <w:r w:rsidR="00B62E36" w:rsidRPr="00567BF3">
        <w:rPr>
          <w:rFonts w:ascii="Arial" w:hAnsi="Arial"/>
          <w:sz w:val="24"/>
          <w:szCs w:val="24"/>
        </w:rPr>
        <w:t xml:space="preserve">or </w:t>
      </w:r>
      <w:r w:rsidRPr="00567BF3">
        <w:rPr>
          <w:rFonts w:ascii="Arial" w:hAnsi="Arial"/>
          <w:sz w:val="24"/>
          <w:szCs w:val="24"/>
        </w:rPr>
        <w:t>6000 (ROCP).</w:t>
      </w:r>
    </w:p>
    <w:p w14:paraId="4F3E0C35" w14:textId="4ADB3AE8" w:rsidR="009064EE" w:rsidRPr="009064EE" w:rsidRDefault="009064EE" w:rsidP="00567BF3">
      <w:pPr>
        <w:pStyle w:val="PlainText"/>
        <w:rPr>
          <w:rFonts w:ascii="Arial" w:hAnsi="Arial"/>
          <w:sz w:val="24"/>
          <w:szCs w:val="24"/>
        </w:rPr>
      </w:pPr>
      <w:r w:rsidRPr="00095950">
        <w:rPr>
          <w:rFonts w:ascii="Arial" w:hAnsi="Arial"/>
          <w:sz w:val="24"/>
          <w:szCs w:val="24"/>
        </w:rPr>
        <w:t>Applicants are reminded</w:t>
      </w:r>
      <w:r w:rsidR="00421C9C" w:rsidRPr="00095950">
        <w:rPr>
          <w:rFonts w:ascii="Arial" w:hAnsi="Arial"/>
          <w:sz w:val="24"/>
          <w:szCs w:val="24"/>
        </w:rPr>
        <w:t xml:space="preserve"> to exercise caution in</w:t>
      </w:r>
      <w:r w:rsidRPr="00095950">
        <w:rPr>
          <w:rFonts w:ascii="Arial" w:hAnsi="Arial"/>
          <w:sz w:val="24"/>
          <w:szCs w:val="24"/>
        </w:rPr>
        <w:t xml:space="preserve"> that each funding source used to meet the CTEIG match requirement is subject to its own requirements and limitations, including "supplement, not supplant" provisions. Such matching funds will be subject to the matching funds verification process set above to ensure that each applicant's matching funds are used to support the program or programs for which the applicant was awarded a grant, as required by EC Section 53071(a)(5).</w:t>
      </w:r>
      <w:r w:rsidR="00421C9C" w:rsidRPr="00095950">
        <w:rPr>
          <w:rFonts w:ascii="Arial" w:hAnsi="Arial"/>
          <w:sz w:val="24"/>
          <w:szCs w:val="24"/>
        </w:rPr>
        <w:t xml:space="preserve"> Additionally, CTEIG Program Staff will notify the appropriate program office when an applica</w:t>
      </w:r>
      <w:r w:rsidR="00C118C9" w:rsidRPr="00095950">
        <w:rPr>
          <w:rFonts w:ascii="Arial" w:hAnsi="Arial"/>
          <w:sz w:val="24"/>
          <w:szCs w:val="24"/>
        </w:rPr>
        <w:t>nt</w:t>
      </w:r>
      <w:r w:rsidR="00421C9C" w:rsidRPr="00095950">
        <w:rPr>
          <w:rFonts w:ascii="Arial" w:hAnsi="Arial"/>
          <w:sz w:val="24"/>
          <w:szCs w:val="24"/>
        </w:rPr>
        <w:t xml:space="preserve"> identifies </w:t>
      </w:r>
      <w:r w:rsidR="000B71BA" w:rsidRPr="00095950">
        <w:rPr>
          <w:rFonts w:ascii="Arial" w:hAnsi="Arial"/>
          <w:sz w:val="24"/>
          <w:szCs w:val="24"/>
        </w:rPr>
        <w:t xml:space="preserve">a </w:t>
      </w:r>
      <w:r w:rsidR="00421C9C" w:rsidRPr="00095950">
        <w:rPr>
          <w:rFonts w:ascii="Arial" w:hAnsi="Arial"/>
          <w:sz w:val="24"/>
          <w:szCs w:val="24"/>
        </w:rPr>
        <w:t xml:space="preserve">match funding source that </w:t>
      </w:r>
      <w:r w:rsidR="000B71BA" w:rsidRPr="00095950">
        <w:rPr>
          <w:rFonts w:ascii="Arial" w:hAnsi="Arial"/>
          <w:sz w:val="24"/>
          <w:szCs w:val="24"/>
        </w:rPr>
        <w:t>is</w:t>
      </w:r>
      <w:r w:rsidR="00421C9C" w:rsidRPr="00095950">
        <w:rPr>
          <w:rFonts w:ascii="Arial" w:hAnsi="Arial"/>
          <w:sz w:val="24"/>
          <w:szCs w:val="24"/>
        </w:rPr>
        <w:t xml:space="preserve"> subject to “supplement, not supplant” requirements.</w:t>
      </w:r>
    </w:p>
    <w:p w14:paraId="21AD7533" w14:textId="32BF9004" w:rsidR="00821DA4" w:rsidRPr="00567BF3" w:rsidRDefault="00821DA4" w:rsidP="00645B74">
      <w:pPr>
        <w:pStyle w:val="Heading3"/>
      </w:pPr>
      <w:bookmarkStart w:id="13" w:name="_Toc215746511"/>
      <w:bookmarkStart w:id="14" w:name="_Toc228885208"/>
      <w:r w:rsidRPr="00567BF3">
        <w:lastRenderedPageBreak/>
        <w:t>CTEIG P</w:t>
      </w:r>
      <w:r w:rsidR="006C2528" w:rsidRPr="00567BF3">
        <w:t>rogram Requirements</w:t>
      </w:r>
      <w:bookmarkEnd w:id="13"/>
      <w:bookmarkEnd w:id="14"/>
    </w:p>
    <w:p w14:paraId="1675EE6F" w14:textId="3B48372A" w:rsidR="00821DA4" w:rsidRPr="00567BF3" w:rsidRDefault="00821DA4" w:rsidP="00567BF3">
      <w:pPr>
        <w:pStyle w:val="Heading4"/>
        <w:rPr>
          <w:rFonts w:cs="Arial"/>
        </w:rPr>
      </w:pPr>
      <w:r w:rsidRPr="00567BF3">
        <w:rPr>
          <w:rFonts w:cs="Arial"/>
        </w:rPr>
        <w:t>Minimum Eligibility Standards</w:t>
      </w:r>
    </w:p>
    <w:p w14:paraId="4548E80C" w14:textId="4183B3E5" w:rsidR="00821DA4" w:rsidRPr="00567BF3" w:rsidRDefault="00845541" w:rsidP="00567BF3">
      <w:pPr>
        <w:pStyle w:val="PlainText"/>
        <w:rPr>
          <w:rFonts w:ascii="Arial" w:hAnsi="Arial"/>
          <w:sz w:val="24"/>
          <w:szCs w:val="24"/>
        </w:rPr>
      </w:pPr>
      <w:r w:rsidRPr="00567BF3">
        <w:rPr>
          <w:rFonts w:ascii="Arial" w:hAnsi="Arial"/>
          <w:sz w:val="24"/>
          <w:szCs w:val="24"/>
        </w:rPr>
        <w:t xml:space="preserve">Per </w:t>
      </w:r>
      <w:r w:rsidRPr="00567BF3">
        <w:rPr>
          <w:rFonts w:ascii="Arial" w:hAnsi="Arial"/>
          <w:i/>
          <w:iCs/>
          <w:sz w:val="24"/>
          <w:szCs w:val="24"/>
        </w:rPr>
        <w:t>EC</w:t>
      </w:r>
      <w:r w:rsidR="00821DA4" w:rsidRPr="00567BF3">
        <w:rPr>
          <w:rFonts w:ascii="Arial" w:hAnsi="Arial"/>
          <w:sz w:val="24"/>
          <w:szCs w:val="24"/>
        </w:rPr>
        <w:t xml:space="preserve"> Section 53071(c), an applicant, or the applicant's CTE program, as applicable, must demonstrate that they meet all </w:t>
      </w:r>
      <w:r w:rsidR="00135915" w:rsidRPr="00567BF3">
        <w:rPr>
          <w:rFonts w:ascii="Arial" w:hAnsi="Arial"/>
          <w:sz w:val="24"/>
          <w:szCs w:val="24"/>
        </w:rPr>
        <w:t xml:space="preserve">of </w:t>
      </w:r>
      <w:r w:rsidR="00821DA4" w:rsidRPr="00567BF3">
        <w:rPr>
          <w:rFonts w:ascii="Arial" w:hAnsi="Arial"/>
          <w:sz w:val="24"/>
          <w:szCs w:val="24"/>
        </w:rPr>
        <w:t xml:space="preserve">the minimum eligibility standards to be considered for a grant award. (All minimum eligibility requirements are covered in </w:t>
      </w:r>
      <w:r w:rsidR="00DC383C" w:rsidRPr="00567BF3">
        <w:rPr>
          <w:rFonts w:ascii="Arial" w:hAnsi="Arial"/>
          <w:sz w:val="24"/>
          <w:szCs w:val="24"/>
        </w:rPr>
        <w:t>SECTION</w:t>
      </w:r>
      <w:r w:rsidR="00821DA4" w:rsidRPr="00567BF3">
        <w:rPr>
          <w:rFonts w:ascii="Arial" w:hAnsi="Arial"/>
          <w:sz w:val="24"/>
          <w:szCs w:val="24"/>
        </w:rPr>
        <w:t xml:space="preserve"> </w:t>
      </w:r>
      <w:r w:rsidR="00C96BF0" w:rsidRPr="00567BF3">
        <w:rPr>
          <w:rFonts w:ascii="Arial" w:hAnsi="Arial"/>
          <w:sz w:val="24"/>
          <w:szCs w:val="24"/>
        </w:rPr>
        <w:t>3</w:t>
      </w:r>
      <w:r w:rsidR="00821DA4" w:rsidRPr="00567BF3">
        <w:rPr>
          <w:rFonts w:ascii="Arial" w:hAnsi="Arial"/>
          <w:sz w:val="24"/>
          <w:szCs w:val="24"/>
        </w:rPr>
        <w:t>.)</w:t>
      </w:r>
    </w:p>
    <w:p w14:paraId="18FAF864" w14:textId="77777777" w:rsidR="00821DA4" w:rsidRPr="00567BF3" w:rsidRDefault="00821DA4" w:rsidP="00567BF3">
      <w:pPr>
        <w:pStyle w:val="Heading4"/>
        <w:rPr>
          <w:rFonts w:cs="Arial"/>
        </w:rPr>
      </w:pPr>
      <w:r w:rsidRPr="00567BF3">
        <w:rPr>
          <w:rFonts w:cs="Arial"/>
        </w:rPr>
        <w:t>Assurances, Certifications, and Terms and Conditions</w:t>
      </w:r>
    </w:p>
    <w:p w14:paraId="6F17DA9C" w14:textId="77777777" w:rsidR="00821DA4" w:rsidRPr="00567BF3" w:rsidRDefault="00821DA4" w:rsidP="00567BF3">
      <w:pPr>
        <w:pStyle w:val="PlainText"/>
        <w:rPr>
          <w:rFonts w:ascii="Arial" w:hAnsi="Arial"/>
          <w:sz w:val="24"/>
          <w:szCs w:val="24"/>
        </w:rPr>
      </w:pPr>
      <w:r w:rsidRPr="00567BF3">
        <w:rPr>
          <w:rFonts w:ascii="Arial" w:hAnsi="Arial"/>
          <w:sz w:val="24"/>
          <w:szCs w:val="24"/>
        </w:rPr>
        <w:t>The signed CTEIG application is a commitment to comply with the assurances, certifications, and terms and conditions of the grant.</w:t>
      </w:r>
    </w:p>
    <w:p w14:paraId="012A7B0D" w14:textId="29FB85AA" w:rsidR="00821DA4" w:rsidRPr="00567BF3" w:rsidRDefault="00821DA4" w:rsidP="00567BF3">
      <w:pPr>
        <w:pStyle w:val="PlainText"/>
        <w:rPr>
          <w:rFonts w:ascii="Arial" w:hAnsi="Arial"/>
          <w:sz w:val="24"/>
          <w:szCs w:val="24"/>
        </w:rPr>
      </w:pPr>
      <w:r w:rsidRPr="00567BF3">
        <w:rPr>
          <w:rFonts w:ascii="Arial" w:hAnsi="Arial"/>
          <w:sz w:val="24"/>
          <w:szCs w:val="24"/>
        </w:rPr>
        <w:t xml:space="preserve">Before submitting the CTEIG application, the duly authorized representative (Superintendent or Designee), or the </w:t>
      </w:r>
      <w:r w:rsidR="00E9148A" w:rsidRPr="00567BF3">
        <w:rPr>
          <w:rFonts w:ascii="Arial" w:hAnsi="Arial"/>
          <w:sz w:val="24"/>
          <w:szCs w:val="24"/>
        </w:rPr>
        <w:t>f</w:t>
      </w:r>
      <w:r w:rsidR="00B37387" w:rsidRPr="00567BF3">
        <w:rPr>
          <w:rFonts w:ascii="Arial" w:hAnsi="Arial"/>
          <w:sz w:val="24"/>
          <w:szCs w:val="24"/>
        </w:rPr>
        <w:t xml:space="preserve">iscal </w:t>
      </w:r>
      <w:r w:rsidR="00E9148A" w:rsidRPr="00567BF3">
        <w:rPr>
          <w:rFonts w:ascii="Arial" w:hAnsi="Arial"/>
          <w:sz w:val="24"/>
          <w:szCs w:val="24"/>
        </w:rPr>
        <w:t>a</w:t>
      </w:r>
      <w:r w:rsidR="00B37387" w:rsidRPr="00567BF3">
        <w:rPr>
          <w:rFonts w:ascii="Arial" w:hAnsi="Arial"/>
          <w:sz w:val="24"/>
          <w:szCs w:val="24"/>
        </w:rPr>
        <w:t>gent of</w:t>
      </w:r>
      <w:r w:rsidRPr="00567BF3">
        <w:rPr>
          <w:rFonts w:ascii="Arial" w:hAnsi="Arial"/>
          <w:sz w:val="24"/>
          <w:szCs w:val="24"/>
        </w:rPr>
        <w:t xml:space="preserve"> a </w:t>
      </w:r>
      <w:r w:rsidR="00E9148A" w:rsidRPr="00567BF3">
        <w:rPr>
          <w:rFonts w:ascii="Arial" w:hAnsi="Arial"/>
          <w:sz w:val="24"/>
          <w:szCs w:val="24"/>
        </w:rPr>
        <w:t>c</w:t>
      </w:r>
      <w:r w:rsidRPr="00567BF3">
        <w:rPr>
          <w:rFonts w:ascii="Arial" w:hAnsi="Arial"/>
          <w:sz w:val="24"/>
          <w:szCs w:val="24"/>
        </w:rPr>
        <w:t>onsortium, should review all assurances, certifications, and terms and conditions of the grant to be familiar with the expectations of the grant.</w:t>
      </w:r>
    </w:p>
    <w:p w14:paraId="55BF563F" w14:textId="77777777" w:rsidR="00821DA4" w:rsidRPr="00567BF3" w:rsidRDefault="00821DA4" w:rsidP="00567BF3">
      <w:pPr>
        <w:pStyle w:val="PlainText"/>
        <w:rPr>
          <w:rFonts w:ascii="Arial" w:hAnsi="Arial"/>
          <w:sz w:val="24"/>
          <w:szCs w:val="24"/>
        </w:rPr>
      </w:pPr>
      <w:r w:rsidRPr="00567BF3">
        <w:rPr>
          <w:rFonts w:ascii="Arial" w:hAnsi="Arial"/>
          <w:sz w:val="24"/>
          <w:szCs w:val="24"/>
        </w:rPr>
        <w:t>Applicants should download all CTEIG FY 2026–27 Grant Assurances and Conditions from the PGMS. Applicants are not required to submit assurances and certifications to the CDE. Applicants must print and keep assurances and certifications on file at the local level for compliance reviews, complaint investigations, or audits.</w:t>
      </w:r>
    </w:p>
    <w:p w14:paraId="285C9564" w14:textId="728D0D61" w:rsidR="00821DA4" w:rsidRPr="00567BF3" w:rsidRDefault="00821DA4" w:rsidP="00567BF3">
      <w:pPr>
        <w:pStyle w:val="Heading4"/>
        <w:rPr>
          <w:rFonts w:cs="Arial"/>
          <w:szCs w:val="24"/>
        </w:rPr>
      </w:pPr>
      <w:r w:rsidRPr="00567BF3">
        <w:rPr>
          <w:rFonts w:cs="Arial"/>
        </w:rPr>
        <w:t xml:space="preserve">CTEIG </w:t>
      </w:r>
      <w:r w:rsidR="00877F7E">
        <w:rPr>
          <w:rFonts w:cs="Arial"/>
        </w:rPr>
        <w:t>Program</w:t>
      </w:r>
      <w:r w:rsidRPr="00567BF3">
        <w:rPr>
          <w:rFonts w:cs="Arial"/>
        </w:rPr>
        <w:t xml:space="preserve"> Expenditure Reports</w:t>
      </w:r>
    </w:p>
    <w:p w14:paraId="02DBEEDB" w14:textId="77777777" w:rsidR="00821DA4" w:rsidRPr="00567BF3" w:rsidRDefault="00821DA4" w:rsidP="00567BF3">
      <w:pPr>
        <w:pStyle w:val="PlainText"/>
        <w:spacing w:after="240"/>
        <w:rPr>
          <w:rFonts w:ascii="Arial" w:hAnsi="Arial"/>
          <w:sz w:val="24"/>
          <w:szCs w:val="24"/>
        </w:rPr>
      </w:pPr>
      <w:r w:rsidRPr="00567BF3">
        <w:rPr>
          <w:rFonts w:ascii="Arial" w:hAnsi="Arial"/>
          <w:sz w:val="24"/>
          <w:szCs w:val="24"/>
        </w:rPr>
        <w:t>Grantees are required to complete and submit to the CDE two Grant Expenditure Reports demonstrating how CTEIG and match funds for FY 2026–27 were encumbered and spent.</w:t>
      </w:r>
    </w:p>
    <w:tbl>
      <w:tblPr>
        <w:tblStyle w:val="TableGrid"/>
        <w:tblW w:w="9340" w:type="dxa"/>
        <w:tblLook w:val="04A0" w:firstRow="1" w:lastRow="0" w:firstColumn="1" w:lastColumn="0" w:noHBand="0" w:noVBand="1"/>
        <w:tblDescription w:val="Expenditure Report Due Dates"/>
      </w:tblPr>
      <w:tblGrid>
        <w:gridCol w:w="1728"/>
        <w:gridCol w:w="7612"/>
      </w:tblGrid>
      <w:tr w:rsidR="00821DA4" w:rsidRPr="00567BF3" w14:paraId="44E0AC0E" w14:textId="77777777" w:rsidTr="00821DA4">
        <w:trPr>
          <w:cantSplit/>
          <w:trHeight w:val="530"/>
          <w:tblHeader/>
        </w:trPr>
        <w:tc>
          <w:tcPr>
            <w:tcW w:w="1728" w:type="dxa"/>
            <w:shd w:val="clear" w:color="auto" w:fill="D1D1D1" w:themeFill="background2" w:themeFillShade="E6"/>
            <w:vAlign w:val="center"/>
          </w:tcPr>
          <w:p w14:paraId="335D737A" w14:textId="6C6F4C0D" w:rsidR="00821DA4" w:rsidRPr="00567BF3" w:rsidRDefault="00821DA4" w:rsidP="00567BF3">
            <w:pPr>
              <w:spacing w:before="0" w:after="0"/>
              <w:jc w:val="center"/>
              <w:rPr>
                <w:bCs/>
              </w:rPr>
            </w:pPr>
            <w:r w:rsidRPr="00567BF3">
              <w:rPr>
                <w:bCs/>
              </w:rPr>
              <w:t>Date</w:t>
            </w:r>
          </w:p>
        </w:tc>
        <w:tc>
          <w:tcPr>
            <w:tcW w:w="7612" w:type="dxa"/>
            <w:shd w:val="clear" w:color="auto" w:fill="D1D1D1" w:themeFill="background2" w:themeFillShade="E6"/>
            <w:vAlign w:val="center"/>
          </w:tcPr>
          <w:p w14:paraId="2323CF89" w14:textId="5A2925AF" w:rsidR="00821DA4" w:rsidRPr="00567BF3" w:rsidRDefault="00821DA4" w:rsidP="00567BF3">
            <w:pPr>
              <w:spacing w:before="0" w:after="0"/>
              <w:jc w:val="center"/>
              <w:rPr>
                <w:bCs/>
              </w:rPr>
            </w:pPr>
            <w:r w:rsidRPr="00567BF3">
              <w:rPr>
                <w:bCs/>
              </w:rPr>
              <w:t>Expenditure Reports</w:t>
            </w:r>
          </w:p>
        </w:tc>
      </w:tr>
      <w:tr w:rsidR="00821DA4" w:rsidRPr="00567BF3" w14:paraId="343DC4FF" w14:textId="77777777" w:rsidTr="000009EC">
        <w:trPr>
          <w:cantSplit/>
          <w:trHeight w:val="710"/>
          <w:tblHeader/>
        </w:trPr>
        <w:tc>
          <w:tcPr>
            <w:tcW w:w="1728" w:type="dxa"/>
            <w:vAlign w:val="center"/>
          </w:tcPr>
          <w:p w14:paraId="7A356FF9" w14:textId="50612F96" w:rsidR="00821DA4" w:rsidRPr="00567BF3" w:rsidRDefault="00821DA4" w:rsidP="00567BF3">
            <w:pPr>
              <w:spacing w:before="0" w:after="0"/>
              <w:rPr>
                <w:bCs/>
              </w:rPr>
            </w:pPr>
            <w:r w:rsidRPr="00567BF3">
              <w:rPr>
                <w:bCs/>
              </w:rPr>
              <w:t>August 2027</w:t>
            </w:r>
          </w:p>
        </w:tc>
        <w:tc>
          <w:tcPr>
            <w:tcW w:w="7612" w:type="dxa"/>
            <w:vAlign w:val="center"/>
          </w:tcPr>
          <w:p w14:paraId="6F1589F5" w14:textId="5490EE84" w:rsidR="00821DA4" w:rsidRPr="00567BF3" w:rsidRDefault="00821DA4" w:rsidP="00567BF3">
            <w:pPr>
              <w:pStyle w:val="PlainText"/>
              <w:spacing w:before="0"/>
              <w:rPr>
                <w:rFonts w:ascii="Arial" w:hAnsi="Arial"/>
                <w:sz w:val="24"/>
                <w:szCs w:val="24"/>
              </w:rPr>
            </w:pPr>
            <w:r w:rsidRPr="00567BF3">
              <w:rPr>
                <w:rFonts w:ascii="Arial" w:hAnsi="Arial"/>
                <w:sz w:val="24"/>
                <w:szCs w:val="24"/>
              </w:rPr>
              <w:t>LEAs must demonstrate that all 202</w:t>
            </w:r>
            <w:r w:rsidR="00B51765" w:rsidRPr="00567BF3">
              <w:rPr>
                <w:rFonts w:ascii="Arial" w:hAnsi="Arial"/>
                <w:sz w:val="24"/>
                <w:szCs w:val="24"/>
              </w:rPr>
              <w:t>6–</w:t>
            </w:r>
            <w:r w:rsidRPr="00567BF3">
              <w:rPr>
                <w:rFonts w:ascii="Arial" w:hAnsi="Arial"/>
                <w:sz w:val="24"/>
                <w:szCs w:val="24"/>
              </w:rPr>
              <w:t>2</w:t>
            </w:r>
            <w:r w:rsidR="00B51765" w:rsidRPr="00567BF3">
              <w:rPr>
                <w:rFonts w:ascii="Arial" w:hAnsi="Arial"/>
                <w:sz w:val="24"/>
                <w:szCs w:val="24"/>
              </w:rPr>
              <w:t>7</w:t>
            </w:r>
            <w:r w:rsidRPr="00567BF3">
              <w:rPr>
                <w:rFonts w:ascii="Arial" w:hAnsi="Arial"/>
                <w:sz w:val="24"/>
                <w:szCs w:val="24"/>
              </w:rPr>
              <w:t xml:space="preserve"> match funds were encumbered to remain eligible for funding.</w:t>
            </w:r>
          </w:p>
        </w:tc>
      </w:tr>
      <w:tr w:rsidR="00821DA4" w:rsidRPr="00567BF3" w14:paraId="13AC071F" w14:textId="77777777" w:rsidTr="000009EC">
        <w:trPr>
          <w:cantSplit/>
          <w:trHeight w:val="692"/>
          <w:tblHeader/>
        </w:trPr>
        <w:tc>
          <w:tcPr>
            <w:tcW w:w="1728" w:type="dxa"/>
            <w:vAlign w:val="center"/>
          </w:tcPr>
          <w:p w14:paraId="28E34353" w14:textId="1D75F7AE" w:rsidR="00821DA4" w:rsidRPr="00567BF3" w:rsidRDefault="00821DA4" w:rsidP="00567BF3">
            <w:pPr>
              <w:spacing w:before="0" w:after="0"/>
              <w:rPr>
                <w:bCs/>
              </w:rPr>
            </w:pPr>
            <w:r w:rsidRPr="00567BF3">
              <w:rPr>
                <w:bCs/>
              </w:rPr>
              <w:t>August 2028</w:t>
            </w:r>
          </w:p>
        </w:tc>
        <w:tc>
          <w:tcPr>
            <w:tcW w:w="7612" w:type="dxa"/>
            <w:vAlign w:val="center"/>
          </w:tcPr>
          <w:p w14:paraId="319A9DFF" w14:textId="6CE4AD2E" w:rsidR="00821DA4" w:rsidRPr="00567BF3" w:rsidRDefault="00135915" w:rsidP="00567BF3">
            <w:pPr>
              <w:pStyle w:val="PlainText"/>
              <w:spacing w:before="0"/>
              <w:rPr>
                <w:rFonts w:ascii="Arial" w:hAnsi="Arial"/>
                <w:sz w:val="24"/>
                <w:szCs w:val="24"/>
              </w:rPr>
            </w:pPr>
            <w:r w:rsidRPr="00567BF3">
              <w:rPr>
                <w:rFonts w:ascii="Arial" w:hAnsi="Arial"/>
                <w:sz w:val="24"/>
                <w:szCs w:val="24"/>
              </w:rPr>
              <w:t>LEAs must submit</w:t>
            </w:r>
            <w:r w:rsidR="00821DA4" w:rsidRPr="00567BF3">
              <w:rPr>
                <w:rFonts w:ascii="Arial" w:hAnsi="Arial"/>
                <w:sz w:val="24"/>
                <w:szCs w:val="24"/>
              </w:rPr>
              <w:t xml:space="preserve"> a final expenditure report for the grant cycle</w:t>
            </w:r>
            <w:r w:rsidRPr="00567BF3">
              <w:rPr>
                <w:rFonts w:ascii="Arial" w:hAnsi="Arial"/>
                <w:sz w:val="24"/>
                <w:szCs w:val="24"/>
              </w:rPr>
              <w:t>, which</w:t>
            </w:r>
            <w:r w:rsidR="00821DA4" w:rsidRPr="00567BF3">
              <w:rPr>
                <w:rFonts w:ascii="Arial" w:hAnsi="Arial"/>
                <w:sz w:val="24"/>
                <w:szCs w:val="24"/>
              </w:rPr>
              <w:t xml:space="preserve"> may be used as part of a renewal application.</w:t>
            </w:r>
          </w:p>
        </w:tc>
      </w:tr>
    </w:tbl>
    <w:p w14:paraId="4E986609" w14:textId="4AFA5D17" w:rsidR="00CA6C1D" w:rsidRPr="00567BF3" w:rsidRDefault="00CA6C1D" w:rsidP="00567BF3">
      <w:pPr>
        <w:pStyle w:val="PlainText"/>
        <w:rPr>
          <w:rFonts w:ascii="Arial" w:hAnsi="Arial"/>
          <w:sz w:val="24"/>
          <w:szCs w:val="24"/>
        </w:rPr>
      </w:pPr>
      <w:r w:rsidRPr="00567BF3">
        <w:rPr>
          <w:rFonts w:ascii="Arial" w:hAnsi="Arial"/>
          <w:sz w:val="24"/>
          <w:szCs w:val="24"/>
        </w:rPr>
        <w:t xml:space="preserve">Grantees will report by object code showing CTEIG </w:t>
      </w:r>
      <w:r w:rsidR="000A56E2" w:rsidRPr="00567BF3">
        <w:rPr>
          <w:rFonts w:ascii="Arial" w:hAnsi="Arial"/>
          <w:sz w:val="24"/>
          <w:szCs w:val="24"/>
        </w:rPr>
        <w:t>e</w:t>
      </w:r>
      <w:r w:rsidRPr="00567BF3">
        <w:rPr>
          <w:rFonts w:ascii="Arial" w:hAnsi="Arial"/>
          <w:sz w:val="24"/>
          <w:szCs w:val="24"/>
        </w:rPr>
        <w:t xml:space="preserve">xpenditures, matching funds, and the source of the match. All CTEIG and matching funds expenditures must be coded with </w:t>
      </w:r>
      <w:r w:rsidR="00B62E36" w:rsidRPr="00567BF3">
        <w:rPr>
          <w:rFonts w:ascii="Arial" w:hAnsi="Arial"/>
          <w:sz w:val="24"/>
          <w:szCs w:val="24"/>
        </w:rPr>
        <w:t>Goal</w:t>
      </w:r>
      <w:r w:rsidRPr="00567BF3">
        <w:rPr>
          <w:rFonts w:ascii="Arial" w:hAnsi="Arial"/>
          <w:sz w:val="24"/>
          <w:szCs w:val="24"/>
        </w:rPr>
        <w:t xml:space="preserve"> </w:t>
      </w:r>
      <w:r w:rsidR="00F05808" w:rsidRPr="00567BF3">
        <w:rPr>
          <w:rFonts w:ascii="Arial" w:hAnsi="Arial"/>
          <w:sz w:val="24"/>
          <w:szCs w:val="24"/>
        </w:rPr>
        <w:t xml:space="preserve">Codes </w:t>
      </w:r>
      <w:r w:rsidRPr="00567BF3">
        <w:rPr>
          <w:rFonts w:ascii="Arial" w:hAnsi="Arial"/>
          <w:sz w:val="24"/>
          <w:szCs w:val="24"/>
        </w:rPr>
        <w:t>3800 (individual LEA) or 6000 (ROCP).</w:t>
      </w:r>
    </w:p>
    <w:p w14:paraId="611FFA0B" w14:textId="27BC8954" w:rsidR="00CA6C1D" w:rsidRDefault="00B37387" w:rsidP="00567BF3">
      <w:pPr>
        <w:pStyle w:val="PlainText"/>
        <w:rPr>
          <w:rFonts w:ascii="Arial" w:hAnsi="Arial"/>
          <w:sz w:val="24"/>
          <w:szCs w:val="24"/>
        </w:rPr>
      </w:pPr>
      <w:r w:rsidRPr="00567BF3">
        <w:rPr>
          <w:rFonts w:ascii="Arial" w:hAnsi="Arial"/>
          <w:sz w:val="24"/>
          <w:szCs w:val="24"/>
        </w:rPr>
        <w:t xml:space="preserve">Fiscal </w:t>
      </w:r>
      <w:r w:rsidR="00E9148A" w:rsidRPr="00567BF3">
        <w:rPr>
          <w:rFonts w:ascii="Arial" w:hAnsi="Arial"/>
          <w:sz w:val="24"/>
          <w:szCs w:val="24"/>
        </w:rPr>
        <w:t>a</w:t>
      </w:r>
      <w:r w:rsidRPr="00567BF3">
        <w:rPr>
          <w:rFonts w:ascii="Arial" w:hAnsi="Arial"/>
          <w:sz w:val="24"/>
          <w:szCs w:val="24"/>
        </w:rPr>
        <w:t>gents of consortia</w:t>
      </w:r>
      <w:r w:rsidR="00CA6C1D" w:rsidRPr="00567BF3">
        <w:rPr>
          <w:rFonts w:ascii="Arial" w:hAnsi="Arial"/>
          <w:sz w:val="24"/>
          <w:szCs w:val="24"/>
        </w:rPr>
        <w:t xml:space="preserve"> will provide one compiled report that includes expenditures from all members of the </w:t>
      </w:r>
      <w:r w:rsidR="00E9148A" w:rsidRPr="00567BF3">
        <w:rPr>
          <w:rFonts w:ascii="Arial" w:hAnsi="Arial"/>
          <w:sz w:val="24"/>
          <w:szCs w:val="24"/>
        </w:rPr>
        <w:t>c</w:t>
      </w:r>
      <w:r w:rsidR="00CA6C1D" w:rsidRPr="00567BF3">
        <w:rPr>
          <w:rFonts w:ascii="Arial" w:hAnsi="Arial"/>
          <w:sz w:val="24"/>
          <w:szCs w:val="24"/>
        </w:rPr>
        <w:t xml:space="preserve">onsortium. Individual </w:t>
      </w:r>
      <w:r w:rsidR="00E9148A" w:rsidRPr="00567BF3">
        <w:rPr>
          <w:rFonts w:ascii="Arial" w:hAnsi="Arial"/>
          <w:sz w:val="24"/>
          <w:szCs w:val="24"/>
        </w:rPr>
        <w:t>c</w:t>
      </w:r>
      <w:r w:rsidR="00CA6C1D" w:rsidRPr="00567BF3">
        <w:rPr>
          <w:rFonts w:ascii="Arial" w:hAnsi="Arial"/>
          <w:sz w:val="24"/>
          <w:szCs w:val="24"/>
        </w:rPr>
        <w:t>onsorti</w:t>
      </w:r>
      <w:r w:rsidR="00A6335D" w:rsidRPr="00567BF3">
        <w:rPr>
          <w:rFonts w:ascii="Arial" w:hAnsi="Arial"/>
          <w:sz w:val="24"/>
          <w:szCs w:val="24"/>
        </w:rPr>
        <w:t>a</w:t>
      </w:r>
      <w:r w:rsidR="00CA6C1D" w:rsidRPr="00567BF3">
        <w:rPr>
          <w:rFonts w:ascii="Arial" w:hAnsi="Arial"/>
          <w:sz w:val="24"/>
          <w:szCs w:val="24"/>
        </w:rPr>
        <w:t xml:space="preserve"> members do not need to submit an individual report to the CDE.</w:t>
      </w:r>
    </w:p>
    <w:p w14:paraId="2D9C7D6B" w14:textId="77777777" w:rsidR="00877F7E" w:rsidRDefault="00877F7E" w:rsidP="00877F7E">
      <w:pPr>
        <w:pStyle w:val="PlainText"/>
        <w:rPr>
          <w:rFonts w:ascii="Arial" w:hAnsi="Arial"/>
          <w:sz w:val="24"/>
          <w:szCs w:val="24"/>
        </w:rPr>
      </w:pPr>
      <w:r w:rsidRPr="001646D1">
        <w:rPr>
          <w:rFonts w:ascii="Arial" w:hAnsi="Arial"/>
          <w:sz w:val="24"/>
          <w:szCs w:val="24"/>
        </w:rPr>
        <w:lastRenderedPageBreak/>
        <w:t xml:space="preserve">The CTEIG expenditure reports must be completed and submitted </w:t>
      </w:r>
      <w:r>
        <w:rPr>
          <w:rFonts w:ascii="Arial" w:hAnsi="Arial"/>
          <w:sz w:val="24"/>
          <w:szCs w:val="24"/>
        </w:rPr>
        <w:t>by the due date</w:t>
      </w:r>
      <w:r w:rsidRPr="001646D1">
        <w:rPr>
          <w:rFonts w:ascii="Arial" w:hAnsi="Arial"/>
          <w:sz w:val="24"/>
          <w:szCs w:val="24"/>
        </w:rPr>
        <w:t xml:space="preserve">; otherwise, the grantee </w:t>
      </w:r>
      <w:r>
        <w:rPr>
          <w:rFonts w:ascii="Arial" w:hAnsi="Arial"/>
          <w:sz w:val="24"/>
          <w:szCs w:val="24"/>
        </w:rPr>
        <w:t>will</w:t>
      </w:r>
      <w:r w:rsidRPr="001646D1">
        <w:rPr>
          <w:rFonts w:ascii="Arial" w:hAnsi="Arial"/>
          <w:sz w:val="24"/>
          <w:szCs w:val="24"/>
        </w:rPr>
        <w:t xml:space="preserve"> be invoiced for an amount up to the entire amount of the grant award.</w:t>
      </w:r>
      <w:r>
        <w:rPr>
          <w:rFonts w:ascii="Arial" w:hAnsi="Arial"/>
          <w:sz w:val="24"/>
          <w:szCs w:val="24"/>
        </w:rPr>
        <w:t xml:space="preserve"> T</w:t>
      </w:r>
      <w:r w:rsidRPr="00F214EC">
        <w:rPr>
          <w:rFonts w:ascii="Arial" w:hAnsi="Arial"/>
          <w:sz w:val="24"/>
          <w:szCs w:val="24"/>
        </w:rPr>
        <w:t xml:space="preserve">he </w:t>
      </w:r>
      <w:r>
        <w:rPr>
          <w:rFonts w:ascii="Arial" w:hAnsi="Arial"/>
          <w:sz w:val="24"/>
          <w:szCs w:val="24"/>
        </w:rPr>
        <w:t xml:space="preserve">expenditure </w:t>
      </w:r>
      <w:r w:rsidRPr="00F214EC">
        <w:rPr>
          <w:rFonts w:ascii="Arial" w:hAnsi="Arial"/>
          <w:sz w:val="24"/>
          <w:szCs w:val="24"/>
        </w:rPr>
        <w:t xml:space="preserve">report will show if the LEA has encumbered their match </w:t>
      </w:r>
      <w:r>
        <w:rPr>
          <w:rFonts w:ascii="Arial" w:hAnsi="Arial"/>
          <w:sz w:val="24"/>
          <w:szCs w:val="24"/>
        </w:rPr>
        <w:t>within the first fiscal year,</w:t>
      </w:r>
      <w:r w:rsidRPr="00F214EC">
        <w:rPr>
          <w:rFonts w:ascii="Arial" w:hAnsi="Arial"/>
          <w:sz w:val="24"/>
          <w:szCs w:val="24"/>
        </w:rPr>
        <w:t xml:space="preserve"> and the </w:t>
      </w:r>
      <w:r>
        <w:rPr>
          <w:rFonts w:ascii="Arial" w:hAnsi="Arial"/>
          <w:sz w:val="24"/>
          <w:szCs w:val="24"/>
        </w:rPr>
        <w:t>f</w:t>
      </w:r>
      <w:r w:rsidRPr="00F214EC">
        <w:rPr>
          <w:rFonts w:ascii="Arial" w:hAnsi="Arial"/>
          <w:sz w:val="24"/>
          <w:szCs w:val="24"/>
        </w:rPr>
        <w:t>inal report will demonstrate th</w:t>
      </w:r>
      <w:r>
        <w:rPr>
          <w:rFonts w:ascii="Arial" w:hAnsi="Arial"/>
          <w:sz w:val="24"/>
          <w:szCs w:val="24"/>
        </w:rPr>
        <w:t>at</w:t>
      </w:r>
      <w:r w:rsidRPr="00F214EC">
        <w:rPr>
          <w:rFonts w:ascii="Arial" w:hAnsi="Arial"/>
          <w:sz w:val="24"/>
          <w:szCs w:val="24"/>
        </w:rPr>
        <w:t xml:space="preserve"> all CTEIG funds have been exp</w:t>
      </w:r>
      <w:r>
        <w:rPr>
          <w:rFonts w:ascii="Arial" w:hAnsi="Arial"/>
          <w:sz w:val="24"/>
          <w:szCs w:val="24"/>
        </w:rPr>
        <w:t>e</w:t>
      </w:r>
      <w:r w:rsidRPr="00F214EC">
        <w:rPr>
          <w:rFonts w:ascii="Arial" w:hAnsi="Arial"/>
          <w:sz w:val="24"/>
          <w:szCs w:val="24"/>
        </w:rPr>
        <w:t xml:space="preserve">nded by </w:t>
      </w:r>
      <w:r>
        <w:rPr>
          <w:rFonts w:ascii="Arial" w:hAnsi="Arial"/>
          <w:sz w:val="24"/>
          <w:szCs w:val="24"/>
        </w:rPr>
        <w:t>the</w:t>
      </w:r>
      <w:r w:rsidRPr="00F214EC">
        <w:rPr>
          <w:rFonts w:ascii="Arial" w:hAnsi="Arial"/>
          <w:sz w:val="24"/>
          <w:szCs w:val="24"/>
        </w:rPr>
        <w:t xml:space="preserve"> </w:t>
      </w:r>
      <w:r>
        <w:rPr>
          <w:rFonts w:ascii="Arial" w:hAnsi="Arial"/>
          <w:sz w:val="24"/>
          <w:szCs w:val="24"/>
        </w:rPr>
        <w:t>time the grant period concludes, June 30, 2028.</w:t>
      </w:r>
    </w:p>
    <w:p w14:paraId="7E595DF9" w14:textId="36626A8F" w:rsidR="00CA6C1D" w:rsidRPr="00567BF3" w:rsidRDefault="00CA6C1D" w:rsidP="00567BF3">
      <w:pPr>
        <w:pStyle w:val="PlainText"/>
        <w:rPr>
          <w:rFonts w:ascii="Arial" w:hAnsi="Arial"/>
          <w:sz w:val="24"/>
          <w:szCs w:val="24"/>
        </w:rPr>
      </w:pPr>
      <w:r w:rsidRPr="00567BF3">
        <w:rPr>
          <w:rFonts w:ascii="Arial" w:hAnsi="Arial"/>
          <w:sz w:val="24"/>
          <w:szCs w:val="24"/>
        </w:rPr>
        <w:t xml:space="preserve">Communications for </w:t>
      </w:r>
      <w:r w:rsidR="000A56E2" w:rsidRPr="00567BF3">
        <w:rPr>
          <w:rFonts w:ascii="Arial" w:hAnsi="Arial"/>
          <w:sz w:val="24"/>
          <w:szCs w:val="24"/>
        </w:rPr>
        <w:t>e</w:t>
      </w:r>
      <w:r w:rsidRPr="00567BF3">
        <w:rPr>
          <w:rFonts w:ascii="Arial" w:hAnsi="Arial"/>
          <w:sz w:val="24"/>
          <w:szCs w:val="24"/>
        </w:rPr>
        <w:t xml:space="preserve">xpenditure </w:t>
      </w:r>
      <w:r w:rsidR="000A56E2" w:rsidRPr="00567BF3">
        <w:rPr>
          <w:rFonts w:ascii="Arial" w:hAnsi="Arial"/>
          <w:sz w:val="24"/>
          <w:szCs w:val="24"/>
        </w:rPr>
        <w:t>r</w:t>
      </w:r>
      <w:r w:rsidRPr="00567BF3">
        <w:rPr>
          <w:rFonts w:ascii="Arial" w:hAnsi="Arial"/>
          <w:sz w:val="24"/>
          <w:szCs w:val="24"/>
        </w:rPr>
        <w:t xml:space="preserve">eporting will be shared through the CTE Incentive listserv. Anyone administering a CTEIG award may subscribe to the listserv. To subscribe, send a blank email to </w:t>
      </w:r>
      <w:hyperlink r:id="rId12" w:history="1">
        <w:r w:rsidR="00845541" w:rsidRPr="00567BF3">
          <w:rPr>
            <w:rStyle w:val="Hyperlink"/>
            <w:rFonts w:ascii="Arial" w:hAnsi="Arial"/>
            <w:sz w:val="24"/>
            <w:szCs w:val="24"/>
          </w:rPr>
          <w:t>join-CTEIncentive@mlist.cde.ca.gov</w:t>
        </w:r>
      </w:hyperlink>
      <w:r w:rsidRPr="00567BF3">
        <w:rPr>
          <w:rFonts w:ascii="Arial" w:hAnsi="Arial"/>
          <w:sz w:val="24"/>
          <w:szCs w:val="24"/>
        </w:rPr>
        <w:t>.</w:t>
      </w:r>
    </w:p>
    <w:p w14:paraId="05AA33F0" w14:textId="7FDF2D3C" w:rsidR="00CA6C1D" w:rsidRPr="00567BF3" w:rsidRDefault="00CA6C1D" w:rsidP="00567BF3">
      <w:pPr>
        <w:pStyle w:val="Heading4"/>
        <w:rPr>
          <w:rFonts w:cs="Arial"/>
        </w:rPr>
      </w:pPr>
      <w:r w:rsidRPr="00567BF3">
        <w:rPr>
          <w:rFonts w:cs="Arial"/>
        </w:rPr>
        <w:t>CTE Data Reporting</w:t>
      </w:r>
    </w:p>
    <w:p w14:paraId="5C6D3786" w14:textId="0EDCFA25" w:rsidR="00CA6C1D" w:rsidRPr="00567BF3" w:rsidRDefault="00845541" w:rsidP="00567BF3">
      <w:pPr>
        <w:pStyle w:val="PlainText"/>
        <w:rPr>
          <w:rFonts w:ascii="Arial" w:hAnsi="Arial"/>
          <w:sz w:val="24"/>
          <w:szCs w:val="24"/>
        </w:rPr>
      </w:pPr>
      <w:r w:rsidRPr="00567BF3">
        <w:rPr>
          <w:rFonts w:ascii="Arial" w:hAnsi="Arial"/>
          <w:sz w:val="24"/>
          <w:szCs w:val="24"/>
        </w:rPr>
        <w:t>Per</w:t>
      </w:r>
      <w:r w:rsidR="009E4A98" w:rsidRPr="00567BF3">
        <w:rPr>
          <w:rFonts w:ascii="Arial" w:hAnsi="Arial"/>
          <w:sz w:val="24"/>
          <w:szCs w:val="24"/>
        </w:rPr>
        <w:t xml:space="preserve"> </w:t>
      </w:r>
      <w:r w:rsidR="00E40F48" w:rsidRPr="00567BF3">
        <w:rPr>
          <w:rFonts w:ascii="Arial" w:hAnsi="Arial"/>
          <w:i/>
          <w:iCs/>
          <w:sz w:val="24"/>
          <w:szCs w:val="24"/>
        </w:rPr>
        <w:t xml:space="preserve">EC </w:t>
      </w:r>
      <w:r w:rsidR="00CA6C1D" w:rsidRPr="00567BF3">
        <w:rPr>
          <w:rFonts w:ascii="Arial" w:hAnsi="Arial"/>
          <w:sz w:val="24"/>
          <w:szCs w:val="24"/>
        </w:rPr>
        <w:t xml:space="preserve">Section 53071(c)(12)(B), grantees are required to annually report the following data to the California Longitudinal </w:t>
      </w:r>
      <w:r w:rsidR="00466352" w:rsidRPr="00567BF3">
        <w:rPr>
          <w:rFonts w:ascii="Arial" w:hAnsi="Arial"/>
          <w:sz w:val="24"/>
          <w:szCs w:val="24"/>
        </w:rPr>
        <w:t>Student</w:t>
      </w:r>
      <w:r w:rsidR="00CA6C1D" w:rsidRPr="00567BF3">
        <w:rPr>
          <w:rFonts w:ascii="Arial" w:hAnsi="Arial"/>
          <w:sz w:val="24"/>
          <w:szCs w:val="24"/>
        </w:rPr>
        <w:t xml:space="preserve"> Achievement Data System (</w:t>
      </w:r>
      <w:r w:rsidR="00A6335D" w:rsidRPr="00567BF3">
        <w:rPr>
          <w:rFonts w:ascii="Arial" w:hAnsi="Arial"/>
          <w:sz w:val="24"/>
          <w:szCs w:val="24"/>
        </w:rPr>
        <w:t>CALPADS</w:t>
      </w:r>
      <w:r w:rsidR="00CA6C1D" w:rsidRPr="00567BF3">
        <w:rPr>
          <w:rFonts w:ascii="Arial" w:hAnsi="Arial"/>
          <w:sz w:val="24"/>
          <w:szCs w:val="24"/>
        </w:rPr>
        <w:t>), disaggregated by race and gender:</w:t>
      </w:r>
    </w:p>
    <w:p w14:paraId="17251537" w14:textId="0F60BC4A"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The high school graduation rate</w:t>
      </w:r>
    </w:p>
    <w:p w14:paraId="04AB8DF7" w14:textId="00E57A97"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w:t>
      </w:r>
      <w:r w:rsidR="00466352" w:rsidRPr="00567BF3">
        <w:rPr>
          <w:rFonts w:ascii="Arial" w:hAnsi="Arial"/>
          <w:sz w:val="24"/>
          <w:szCs w:val="24"/>
        </w:rPr>
        <w:t>student</w:t>
      </w:r>
      <w:r w:rsidRPr="00567BF3">
        <w:rPr>
          <w:rFonts w:ascii="Arial" w:hAnsi="Arial"/>
          <w:sz w:val="24"/>
          <w:szCs w:val="24"/>
        </w:rPr>
        <w:t>s completing CTE coursework</w:t>
      </w:r>
    </w:p>
    <w:p w14:paraId="4471EBEF" w14:textId="582D7901"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w:t>
      </w:r>
      <w:r w:rsidR="00466352" w:rsidRPr="00567BF3">
        <w:rPr>
          <w:rFonts w:ascii="Arial" w:hAnsi="Arial"/>
          <w:sz w:val="24"/>
          <w:szCs w:val="24"/>
        </w:rPr>
        <w:t>student</w:t>
      </w:r>
      <w:r w:rsidRPr="00567BF3">
        <w:rPr>
          <w:rFonts w:ascii="Arial" w:hAnsi="Arial"/>
          <w:sz w:val="24"/>
          <w:szCs w:val="24"/>
        </w:rPr>
        <w:t xml:space="preserve">s earning dual credit through </w:t>
      </w:r>
      <w:r w:rsidR="00DD363A" w:rsidRPr="00567BF3">
        <w:rPr>
          <w:rFonts w:ascii="Arial" w:hAnsi="Arial"/>
          <w:sz w:val="24"/>
          <w:szCs w:val="24"/>
        </w:rPr>
        <w:t>CTE</w:t>
      </w:r>
      <w:r w:rsidRPr="00567BF3">
        <w:rPr>
          <w:rFonts w:ascii="Arial" w:hAnsi="Arial"/>
          <w:sz w:val="24"/>
          <w:szCs w:val="24"/>
        </w:rPr>
        <w:t xml:space="preserve"> courses and career pathways (NEW)</w:t>
      </w:r>
    </w:p>
    <w:p w14:paraId="61751A4C" w14:textId="7163A2BC"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w:t>
      </w:r>
      <w:r w:rsidR="00466352" w:rsidRPr="00567BF3">
        <w:rPr>
          <w:rFonts w:ascii="Arial" w:hAnsi="Arial"/>
          <w:sz w:val="24"/>
          <w:szCs w:val="24"/>
        </w:rPr>
        <w:t>student</w:t>
      </w:r>
      <w:r w:rsidRPr="00567BF3">
        <w:rPr>
          <w:rFonts w:ascii="Arial" w:hAnsi="Arial"/>
          <w:sz w:val="24"/>
          <w:szCs w:val="24"/>
        </w:rPr>
        <w:t>s participating in work-based learning</w:t>
      </w:r>
      <w:r w:rsidR="00B51765" w:rsidRPr="00567BF3">
        <w:rPr>
          <w:rFonts w:ascii="Arial" w:hAnsi="Arial"/>
          <w:sz w:val="24"/>
          <w:szCs w:val="24"/>
        </w:rPr>
        <w:t xml:space="preserve"> (WBL)</w:t>
      </w:r>
      <w:r w:rsidRPr="00567BF3">
        <w:rPr>
          <w:rFonts w:ascii="Arial" w:hAnsi="Arial"/>
          <w:sz w:val="24"/>
          <w:szCs w:val="24"/>
        </w:rPr>
        <w:t xml:space="preserve">, earn and learn activities, or service learning, linked to </w:t>
      </w:r>
      <w:r w:rsidR="00DD363A" w:rsidRPr="00567BF3">
        <w:rPr>
          <w:rFonts w:ascii="Arial" w:hAnsi="Arial"/>
          <w:sz w:val="24"/>
          <w:szCs w:val="24"/>
        </w:rPr>
        <w:t>CTE</w:t>
      </w:r>
      <w:r w:rsidRPr="00567BF3">
        <w:rPr>
          <w:rFonts w:ascii="Arial" w:hAnsi="Arial"/>
          <w:sz w:val="24"/>
          <w:szCs w:val="24"/>
        </w:rPr>
        <w:t xml:space="preserve"> courses and career pathways (NEW)</w:t>
      </w:r>
    </w:p>
    <w:p w14:paraId="647EB3B8" w14:textId="05551D95"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w:t>
      </w:r>
      <w:r w:rsidR="00466352" w:rsidRPr="00567BF3">
        <w:rPr>
          <w:rFonts w:ascii="Arial" w:hAnsi="Arial"/>
          <w:sz w:val="24"/>
          <w:szCs w:val="24"/>
        </w:rPr>
        <w:t>student</w:t>
      </w:r>
      <w:r w:rsidRPr="00567BF3">
        <w:rPr>
          <w:rFonts w:ascii="Arial" w:hAnsi="Arial"/>
          <w:sz w:val="24"/>
          <w:szCs w:val="24"/>
        </w:rPr>
        <w:t>s meeting academic and career-readiness standards as defined in the College/Career Indicator associated with the California School Dashboard</w:t>
      </w:r>
    </w:p>
    <w:p w14:paraId="6BC17913" w14:textId="55F01BC7"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w:t>
      </w:r>
      <w:r w:rsidR="00466352" w:rsidRPr="00567BF3">
        <w:rPr>
          <w:rFonts w:ascii="Arial" w:hAnsi="Arial"/>
          <w:sz w:val="24"/>
          <w:szCs w:val="24"/>
        </w:rPr>
        <w:t>student</w:t>
      </w:r>
      <w:r w:rsidRPr="00567BF3">
        <w:rPr>
          <w:rFonts w:ascii="Arial" w:hAnsi="Arial"/>
          <w:sz w:val="24"/>
          <w:szCs w:val="24"/>
        </w:rPr>
        <w:t>s obtaining an industry-recognized credential, certificate, license, or other measure of technical skill attainment</w:t>
      </w:r>
    </w:p>
    <w:p w14:paraId="784EC8EE" w14:textId="32F0291E" w:rsidR="00CA6C1D"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former </w:t>
      </w:r>
      <w:r w:rsidR="00466352" w:rsidRPr="00567BF3">
        <w:rPr>
          <w:rFonts w:ascii="Arial" w:hAnsi="Arial"/>
          <w:sz w:val="24"/>
          <w:szCs w:val="24"/>
        </w:rPr>
        <w:t>student</w:t>
      </w:r>
      <w:r w:rsidRPr="00567BF3">
        <w:rPr>
          <w:rFonts w:ascii="Arial" w:hAnsi="Arial"/>
          <w:sz w:val="24"/>
          <w:szCs w:val="24"/>
        </w:rPr>
        <w:t>s employed and the types of businesses in which they are employed</w:t>
      </w:r>
    </w:p>
    <w:p w14:paraId="038B17CF" w14:textId="66139C13" w:rsidR="00DD363A" w:rsidRPr="00567BF3" w:rsidRDefault="00CA6C1D" w:rsidP="00567BF3">
      <w:pPr>
        <w:pStyle w:val="PlainText"/>
        <w:numPr>
          <w:ilvl w:val="0"/>
          <w:numId w:val="6"/>
        </w:numPr>
        <w:rPr>
          <w:rFonts w:ascii="Arial" w:hAnsi="Arial"/>
          <w:sz w:val="24"/>
          <w:szCs w:val="24"/>
        </w:rPr>
      </w:pPr>
      <w:r w:rsidRPr="00567BF3">
        <w:rPr>
          <w:rFonts w:ascii="Arial" w:hAnsi="Arial"/>
          <w:sz w:val="24"/>
          <w:szCs w:val="24"/>
        </w:rPr>
        <w:t xml:space="preserve">The number of former </w:t>
      </w:r>
      <w:r w:rsidR="00466352" w:rsidRPr="00567BF3">
        <w:rPr>
          <w:rFonts w:ascii="Arial" w:hAnsi="Arial"/>
          <w:sz w:val="24"/>
          <w:szCs w:val="24"/>
        </w:rPr>
        <w:t>student</w:t>
      </w:r>
      <w:r w:rsidRPr="00567BF3">
        <w:rPr>
          <w:rFonts w:ascii="Arial" w:hAnsi="Arial"/>
          <w:sz w:val="24"/>
          <w:szCs w:val="24"/>
        </w:rPr>
        <w:t>s enrolled in each of the following:</w:t>
      </w:r>
    </w:p>
    <w:p w14:paraId="1C4C1596" w14:textId="77777777" w:rsidR="00DD363A" w:rsidRPr="00567BF3" w:rsidRDefault="00CA6C1D" w:rsidP="00567BF3">
      <w:pPr>
        <w:pStyle w:val="PlainText"/>
        <w:numPr>
          <w:ilvl w:val="1"/>
          <w:numId w:val="6"/>
        </w:numPr>
        <w:rPr>
          <w:rFonts w:ascii="Arial" w:hAnsi="Arial"/>
          <w:sz w:val="24"/>
          <w:szCs w:val="24"/>
        </w:rPr>
      </w:pPr>
      <w:r w:rsidRPr="00567BF3">
        <w:rPr>
          <w:rFonts w:ascii="Arial" w:hAnsi="Arial"/>
          <w:sz w:val="24"/>
          <w:szCs w:val="24"/>
        </w:rPr>
        <w:t xml:space="preserve"> A postsecondary educational institution</w:t>
      </w:r>
    </w:p>
    <w:p w14:paraId="5BCAD889" w14:textId="77777777" w:rsidR="00DD363A" w:rsidRPr="00567BF3" w:rsidRDefault="00CA6C1D" w:rsidP="00567BF3">
      <w:pPr>
        <w:pStyle w:val="PlainText"/>
        <w:numPr>
          <w:ilvl w:val="1"/>
          <w:numId w:val="6"/>
        </w:numPr>
        <w:spacing w:before="0"/>
        <w:rPr>
          <w:rFonts w:ascii="Arial" w:hAnsi="Arial"/>
          <w:sz w:val="24"/>
          <w:szCs w:val="24"/>
        </w:rPr>
      </w:pPr>
      <w:r w:rsidRPr="00567BF3">
        <w:rPr>
          <w:rFonts w:ascii="Arial" w:hAnsi="Arial"/>
          <w:sz w:val="24"/>
          <w:szCs w:val="24"/>
        </w:rPr>
        <w:t>A state apprenticeship program</w:t>
      </w:r>
    </w:p>
    <w:p w14:paraId="11FC7915" w14:textId="04FF9384" w:rsidR="00CA6C1D" w:rsidRPr="00567BF3" w:rsidRDefault="00CA6C1D" w:rsidP="00567BF3">
      <w:pPr>
        <w:pStyle w:val="PlainText"/>
        <w:numPr>
          <w:ilvl w:val="1"/>
          <w:numId w:val="6"/>
        </w:numPr>
        <w:spacing w:before="0"/>
        <w:rPr>
          <w:rFonts w:ascii="Arial" w:hAnsi="Arial"/>
          <w:sz w:val="24"/>
          <w:szCs w:val="24"/>
        </w:rPr>
      </w:pPr>
      <w:r w:rsidRPr="00567BF3">
        <w:rPr>
          <w:rFonts w:ascii="Arial" w:hAnsi="Arial"/>
          <w:sz w:val="24"/>
          <w:szCs w:val="24"/>
        </w:rPr>
        <w:t>A form of job training other than a state apprenticeship program</w:t>
      </w:r>
    </w:p>
    <w:p w14:paraId="70034F65" w14:textId="17F17B0D" w:rsidR="00CA6C1D" w:rsidRPr="00567BF3" w:rsidRDefault="00CA6C1D" w:rsidP="00567BF3">
      <w:pPr>
        <w:pStyle w:val="PlainText"/>
        <w:rPr>
          <w:rFonts w:ascii="Arial" w:hAnsi="Arial"/>
          <w:sz w:val="24"/>
          <w:szCs w:val="24"/>
        </w:rPr>
      </w:pPr>
      <w:r w:rsidRPr="00567BF3">
        <w:rPr>
          <w:rFonts w:ascii="Arial" w:hAnsi="Arial"/>
          <w:sz w:val="24"/>
          <w:szCs w:val="24"/>
        </w:rPr>
        <w:t xml:space="preserve">The CTEIG data is due </w:t>
      </w:r>
      <w:r w:rsidR="00845541" w:rsidRPr="00567BF3">
        <w:rPr>
          <w:rFonts w:ascii="Arial" w:hAnsi="Arial"/>
          <w:sz w:val="24"/>
          <w:szCs w:val="24"/>
        </w:rPr>
        <w:t>annually</w:t>
      </w:r>
      <w:r w:rsidR="00E94626" w:rsidRPr="00567BF3">
        <w:rPr>
          <w:rFonts w:ascii="Arial" w:hAnsi="Arial"/>
          <w:sz w:val="24"/>
          <w:szCs w:val="24"/>
        </w:rPr>
        <w:t xml:space="preserve"> and </w:t>
      </w:r>
      <w:r w:rsidRPr="00567BF3">
        <w:rPr>
          <w:rFonts w:ascii="Arial" w:hAnsi="Arial"/>
          <w:sz w:val="24"/>
          <w:szCs w:val="24"/>
        </w:rPr>
        <w:t>must be completed and submitted on time; otherwise, the grantee will be invoiced an amount up to the entire amount of the grant award.</w:t>
      </w:r>
    </w:p>
    <w:p w14:paraId="196D8EFA" w14:textId="0484C5A3" w:rsidR="00CA6C1D" w:rsidRPr="00567BF3" w:rsidRDefault="00CA6C1D" w:rsidP="00567BF3">
      <w:pPr>
        <w:pStyle w:val="Heading4"/>
        <w:rPr>
          <w:rFonts w:cs="Arial"/>
        </w:rPr>
      </w:pPr>
      <w:r w:rsidRPr="00567BF3">
        <w:rPr>
          <w:rFonts w:cs="Arial"/>
        </w:rPr>
        <w:lastRenderedPageBreak/>
        <w:t>Capital Outlay Requests</w:t>
      </w:r>
    </w:p>
    <w:p w14:paraId="386820CB" w14:textId="7B6FC560" w:rsidR="00CA6C1D" w:rsidRPr="00567BF3" w:rsidRDefault="00CA6C1D" w:rsidP="00567BF3">
      <w:pPr>
        <w:pStyle w:val="PlainText"/>
        <w:rPr>
          <w:rFonts w:ascii="Arial" w:hAnsi="Arial"/>
          <w:sz w:val="24"/>
          <w:szCs w:val="24"/>
        </w:rPr>
      </w:pPr>
      <w:r w:rsidRPr="00567BF3">
        <w:rPr>
          <w:rFonts w:ascii="Arial" w:hAnsi="Arial"/>
          <w:sz w:val="24"/>
          <w:szCs w:val="24"/>
        </w:rPr>
        <w:t>All capital outlay (</w:t>
      </w:r>
      <w:r w:rsidR="00B62E36" w:rsidRPr="00567BF3">
        <w:rPr>
          <w:rFonts w:ascii="Arial" w:hAnsi="Arial"/>
          <w:sz w:val="24"/>
          <w:szCs w:val="24"/>
        </w:rPr>
        <w:t>O</w:t>
      </w:r>
      <w:r w:rsidRPr="00567BF3">
        <w:rPr>
          <w:rFonts w:ascii="Arial" w:hAnsi="Arial"/>
          <w:sz w:val="24"/>
          <w:szCs w:val="24"/>
        </w:rPr>
        <w:t>bject code 6000) purchases where any single item is over $5,000 require individual review and approval from the assigned CDE CTEIG Regional Consultant.</w:t>
      </w:r>
    </w:p>
    <w:p w14:paraId="6CE27B09" w14:textId="4BE6AE18" w:rsidR="00CA6C1D" w:rsidRPr="00567BF3" w:rsidRDefault="00CA6C1D" w:rsidP="00567BF3">
      <w:pPr>
        <w:pStyle w:val="PlainText"/>
        <w:rPr>
          <w:rFonts w:ascii="Arial" w:hAnsi="Arial"/>
          <w:sz w:val="24"/>
          <w:szCs w:val="24"/>
        </w:rPr>
      </w:pPr>
      <w:r w:rsidRPr="00567BF3">
        <w:rPr>
          <w:rFonts w:ascii="Arial" w:hAnsi="Arial"/>
          <w:sz w:val="24"/>
          <w:szCs w:val="24"/>
        </w:rPr>
        <w:t xml:space="preserve">Proposed </w:t>
      </w:r>
      <w:r w:rsidR="006B46A3" w:rsidRPr="00567BF3">
        <w:rPr>
          <w:rFonts w:ascii="Arial" w:hAnsi="Arial"/>
          <w:sz w:val="24"/>
          <w:szCs w:val="24"/>
        </w:rPr>
        <w:t>c</w:t>
      </w:r>
      <w:r w:rsidRPr="00567BF3">
        <w:rPr>
          <w:rFonts w:ascii="Arial" w:hAnsi="Arial"/>
          <w:sz w:val="24"/>
          <w:szCs w:val="24"/>
        </w:rPr>
        <w:t xml:space="preserve">apital </w:t>
      </w:r>
      <w:r w:rsidR="006B46A3" w:rsidRPr="00567BF3">
        <w:rPr>
          <w:rFonts w:ascii="Arial" w:hAnsi="Arial"/>
          <w:sz w:val="24"/>
          <w:szCs w:val="24"/>
        </w:rPr>
        <w:t>o</w:t>
      </w:r>
      <w:r w:rsidRPr="00567BF3">
        <w:rPr>
          <w:rFonts w:ascii="Arial" w:hAnsi="Arial"/>
          <w:sz w:val="24"/>
          <w:szCs w:val="24"/>
        </w:rPr>
        <w:t xml:space="preserve">utlay expenses detailed in the LEA's CTEIG application still require review and approval by the assigned </w:t>
      </w:r>
      <w:r w:rsidR="009A5043" w:rsidRPr="00567BF3">
        <w:rPr>
          <w:rFonts w:ascii="Arial" w:hAnsi="Arial"/>
          <w:sz w:val="24"/>
          <w:szCs w:val="24"/>
        </w:rPr>
        <w:t xml:space="preserve">CDE </w:t>
      </w:r>
      <w:r w:rsidRPr="00567BF3">
        <w:rPr>
          <w:rFonts w:ascii="Arial" w:hAnsi="Arial"/>
          <w:sz w:val="24"/>
          <w:szCs w:val="24"/>
        </w:rPr>
        <w:t>Regional Consultant.</w:t>
      </w:r>
    </w:p>
    <w:p w14:paraId="750D88BD" w14:textId="315A210B" w:rsidR="002E0594" w:rsidRPr="00567BF3" w:rsidRDefault="00170928" w:rsidP="00645B74">
      <w:pPr>
        <w:pStyle w:val="Heading3"/>
      </w:pPr>
      <w:bookmarkStart w:id="15" w:name="_Toc228885209"/>
      <w:r w:rsidRPr="00567BF3">
        <w:t>Holistic Approach</w:t>
      </w:r>
      <w:bookmarkEnd w:id="15"/>
    </w:p>
    <w:p w14:paraId="2343B0AD" w14:textId="2BC9C1FE" w:rsidR="002E0594" w:rsidRPr="00567BF3" w:rsidRDefault="002E0594" w:rsidP="00567BF3">
      <w:pPr>
        <w:pStyle w:val="BodyA"/>
        <w:suppressAutoHyphens/>
        <w:spacing w:after="240"/>
      </w:pPr>
      <w:r w:rsidRPr="00567BF3">
        <w:t xml:space="preserve">Per </w:t>
      </w:r>
      <w:r w:rsidRPr="00567BF3">
        <w:rPr>
          <w:i/>
          <w:iCs/>
        </w:rPr>
        <w:t>EC</w:t>
      </w:r>
      <w:r w:rsidRPr="00567BF3">
        <w:t xml:space="preserve"> 53072(b) successful applicants shall demonstrate a holistic approach to providing CTE and career pathways, including by demonstrating involvement of employers, providing wraparound services for </w:t>
      </w:r>
      <w:r w:rsidR="00466352" w:rsidRPr="00567BF3">
        <w:t>student</w:t>
      </w:r>
      <w:r w:rsidRPr="00567BF3">
        <w:t>s, aligning proposed programs and services with current or projected labor market demand within the applicant’s region, and providing a clear explanation of how a receipt of a grant will provide programs and services related to CTE and career pathways.</w:t>
      </w:r>
    </w:p>
    <w:p w14:paraId="71EB1D43" w14:textId="76DE9833" w:rsidR="00CA6C1D" w:rsidRPr="00567BF3" w:rsidRDefault="00170928" w:rsidP="00645B74">
      <w:pPr>
        <w:pStyle w:val="Heading2"/>
      </w:pPr>
      <w:bookmarkStart w:id="16" w:name="_Toc228885210"/>
      <w:r w:rsidRPr="00567BF3">
        <w:t>Minimum Eligibility Standards</w:t>
      </w:r>
      <w:bookmarkEnd w:id="16"/>
    </w:p>
    <w:p w14:paraId="359E13B7" w14:textId="0FE04A39" w:rsidR="006C7E16" w:rsidRPr="00567BF3" w:rsidRDefault="00E94626" w:rsidP="00567BF3">
      <w:pPr>
        <w:pStyle w:val="PlainText"/>
        <w:spacing w:after="240"/>
        <w:rPr>
          <w:rFonts w:ascii="Arial" w:hAnsi="Arial"/>
          <w:sz w:val="24"/>
          <w:szCs w:val="24"/>
        </w:rPr>
      </w:pPr>
      <w:r w:rsidRPr="00567BF3">
        <w:rPr>
          <w:rFonts w:ascii="Arial" w:hAnsi="Arial"/>
          <w:sz w:val="24"/>
          <w:szCs w:val="24"/>
        </w:rPr>
        <w:t xml:space="preserve">Per </w:t>
      </w:r>
      <w:r w:rsidR="006C7E16" w:rsidRPr="00567BF3">
        <w:rPr>
          <w:rFonts w:ascii="Arial" w:hAnsi="Arial"/>
          <w:i/>
          <w:iCs/>
          <w:sz w:val="24"/>
          <w:szCs w:val="24"/>
        </w:rPr>
        <w:t>EC</w:t>
      </w:r>
      <w:r w:rsidR="006C7E16" w:rsidRPr="00567BF3">
        <w:rPr>
          <w:rFonts w:ascii="Arial" w:hAnsi="Arial"/>
          <w:sz w:val="24"/>
          <w:szCs w:val="24"/>
        </w:rPr>
        <w:t xml:space="preserve"> Section 53071(c), </w:t>
      </w:r>
      <w:r w:rsidR="009A5043" w:rsidRPr="00567BF3">
        <w:rPr>
          <w:rFonts w:ascii="Arial" w:hAnsi="Arial"/>
          <w:sz w:val="24"/>
          <w:szCs w:val="24"/>
        </w:rPr>
        <w:t xml:space="preserve">an </w:t>
      </w:r>
      <w:r w:rsidR="006C7E16" w:rsidRPr="00567BF3">
        <w:rPr>
          <w:rFonts w:ascii="Arial" w:hAnsi="Arial"/>
          <w:sz w:val="24"/>
          <w:szCs w:val="24"/>
        </w:rPr>
        <w:t>applicant</w:t>
      </w:r>
      <w:r w:rsidR="009A5043" w:rsidRPr="00567BF3">
        <w:rPr>
          <w:rFonts w:ascii="Arial" w:hAnsi="Arial"/>
          <w:sz w:val="24"/>
          <w:szCs w:val="24"/>
        </w:rPr>
        <w:t>, or the applicant’s CTE program, as applicable,</w:t>
      </w:r>
      <w:r w:rsidR="006C7E16" w:rsidRPr="00567BF3">
        <w:rPr>
          <w:rFonts w:ascii="Arial" w:hAnsi="Arial"/>
          <w:sz w:val="24"/>
          <w:szCs w:val="24"/>
        </w:rPr>
        <w:t xml:space="preserve"> must </w:t>
      </w:r>
      <w:r w:rsidR="000A6422" w:rsidRPr="00567BF3">
        <w:rPr>
          <w:rFonts w:ascii="Arial" w:hAnsi="Arial"/>
          <w:sz w:val="24"/>
          <w:szCs w:val="24"/>
        </w:rPr>
        <w:t>address how they meet</w:t>
      </w:r>
      <w:r w:rsidR="006C7E16" w:rsidRPr="00567BF3">
        <w:rPr>
          <w:rFonts w:ascii="Arial" w:hAnsi="Arial"/>
          <w:sz w:val="24"/>
          <w:szCs w:val="24"/>
        </w:rPr>
        <w:t xml:space="preserve"> the following minimum eligibility standards:</w:t>
      </w:r>
    </w:p>
    <w:p w14:paraId="1E64DDD2" w14:textId="6E955E56" w:rsidR="00506139" w:rsidRPr="00567BF3" w:rsidRDefault="00506139" w:rsidP="00567BF3">
      <w:pPr>
        <w:pStyle w:val="ListParagraph"/>
        <w:numPr>
          <w:ilvl w:val="0"/>
          <w:numId w:val="8"/>
        </w:numPr>
        <w:spacing w:after="240"/>
        <w:contextualSpacing w:val="0"/>
      </w:pPr>
      <w:r w:rsidRPr="00567BF3">
        <w:t>Offers high-quality curriculum and instruction aligned with the California CTE Model Curriculum Standards</w:t>
      </w:r>
      <w:r w:rsidR="00937369" w:rsidRPr="00567BF3">
        <w:t xml:space="preserve"> (MCS)</w:t>
      </w:r>
      <w:r w:rsidRPr="00567BF3">
        <w:t xml:space="preserve">, including, but not limited to, providing a coherent sequence of CTE courses that lead to a career pathway that enables </w:t>
      </w:r>
      <w:r w:rsidR="00466352" w:rsidRPr="00567BF3">
        <w:t>student</w:t>
      </w:r>
      <w:r w:rsidRPr="00567BF3">
        <w:t>s to transition to employment or to postsecondary education in either of the following</w:t>
      </w:r>
      <w:r w:rsidR="00076110" w:rsidRPr="00567BF3">
        <w:t xml:space="preserve"> (UPDATED)</w:t>
      </w:r>
      <w:r w:rsidRPr="00567BF3">
        <w:t>:</w:t>
      </w:r>
    </w:p>
    <w:p w14:paraId="1E9E8075" w14:textId="4A90307E" w:rsidR="00506139" w:rsidRPr="00567BF3" w:rsidRDefault="00506139" w:rsidP="00567BF3">
      <w:pPr>
        <w:pStyle w:val="ListParagraph"/>
        <w:numPr>
          <w:ilvl w:val="1"/>
          <w:numId w:val="8"/>
        </w:numPr>
        <w:spacing w:after="240"/>
        <w:contextualSpacing w:val="0"/>
      </w:pPr>
      <w:r w:rsidRPr="00567BF3">
        <w:t>Programs that integrate academic and CTE</w:t>
      </w:r>
      <w:r w:rsidR="00DC7451">
        <w:t xml:space="preserve">, and </w:t>
      </w:r>
      <w:r w:rsidRPr="00567BF3">
        <w:t>that offer the opportunity for participants to prepare for postsecondary enrollment and to earn postsecondary credits through Advanced Placement courses, International Baccalaureate courses, or by formal agreement with a postsecondary partner to provide dual enrollment opportunities</w:t>
      </w:r>
      <w:r w:rsidR="00076110" w:rsidRPr="00567BF3">
        <w:t xml:space="preserve"> (UPDATED)</w:t>
      </w:r>
      <w:r w:rsidRPr="00567BF3">
        <w:t>.</w:t>
      </w:r>
    </w:p>
    <w:p w14:paraId="41B2C0B3" w14:textId="0FE58FAE" w:rsidR="00506139" w:rsidRPr="00567BF3" w:rsidRDefault="00506139" w:rsidP="00567BF3">
      <w:pPr>
        <w:pStyle w:val="ListParagraph"/>
        <w:numPr>
          <w:ilvl w:val="1"/>
          <w:numId w:val="8"/>
        </w:numPr>
        <w:spacing w:after="240"/>
        <w:contextualSpacing w:val="0"/>
      </w:pPr>
      <w:r w:rsidRPr="00567BF3">
        <w:t xml:space="preserve">Programs that allow </w:t>
      </w:r>
      <w:r w:rsidR="00466352" w:rsidRPr="00567BF3">
        <w:t>student</w:t>
      </w:r>
      <w:r w:rsidRPr="00567BF3">
        <w:t>s to attain employment upon graduation from high school, including through industry certifications, preapprenticeships, or apprenticeships. (UPDATED)</w:t>
      </w:r>
    </w:p>
    <w:p w14:paraId="019775B6" w14:textId="60B0A3C3" w:rsidR="00506139" w:rsidRPr="00567BF3" w:rsidRDefault="00506139" w:rsidP="00567BF3">
      <w:pPr>
        <w:pStyle w:val="ListParagraph"/>
        <w:numPr>
          <w:ilvl w:val="0"/>
          <w:numId w:val="8"/>
        </w:numPr>
        <w:spacing w:after="240"/>
        <w:contextualSpacing w:val="0"/>
      </w:pPr>
      <w:r w:rsidRPr="00567BF3">
        <w:t xml:space="preserve">Provides </w:t>
      </w:r>
      <w:r w:rsidR="00466352" w:rsidRPr="00567BF3">
        <w:t>student</w:t>
      </w:r>
      <w:r w:rsidRPr="00567BF3">
        <w:t xml:space="preserve">s with quality career exploration, guidance, and a continuum of </w:t>
      </w:r>
      <w:r w:rsidR="00B51765" w:rsidRPr="00567BF3">
        <w:t>WBL</w:t>
      </w:r>
      <w:r w:rsidRPr="00567BF3">
        <w:t xml:space="preserve"> opportunities aligned with academic coursework, which may include paid internships or service learning. (UPDATED)</w:t>
      </w:r>
    </w:p>
    <w:p w14:paraId="2A8B8310" w14:textId="4B359CA0" w:rsidR="00506139" w:rsidRPr="00567BF3" w:rsidRDefault="00506139" w:rsidP="00567BF3">
      <w:pPr>
        <w:pStyle w:val="ListParagraph"/>
        <w:numPr>
          <w:ilvl w:val="0"/>
          <w:numId w:val="8"/>
        </w:numPr>
        <w:spacing w:after="240"/>
        <w:contextualSpacing w:val="0"/>
      </w:pPr>
      <w:r w:rsidRPr="00567BF3">
        <w:t xml:space="preserve">Provides </w:t>
      </w:r>
      <w:r w:rsidR="00466352" w:rsidRPr="00567BF3">
        <w:t>student</w:t>
      </w:r>
      <w:r w:rsidRPr="00567BF3">
        <w:t xml:space="preserve"> support services, including counseling and leadership development, to address </w:t>
      </w:r>
      <w:r w:rsidR="00466352" w:rsidRPr="00567BF3">
        <w:t>student</w:t>
      </w:r>
      <w:r w:rsidRPr="00567BF3">
        <w:t>s’ social, emotional, career, and academic needs.</w:t>
      </w:r>
    </w:p>
    <w:p w14:paraId="452FBC47" w14:textId="77777777" w:rsidR="00506139" w:rsidRPr="00567BF3" w:rsidRDefault="00506139" w:rsidP="00567BF3">
      <w:pPr>
        <w:pStyle w:val="ListParagraph"/>
        <w:numPr>
          <w:ilvl w:val="0"/>
          <w:numId w:val="8"/>
        </w:numPr>
        <w:spacing w:after="240"/>
        <w:contextualSpacing w:val="0"/>
      </w:pPr>
      <w:r w:rsidRPr="00567BF3">
        <w:lastRenderedPageBreak/>
        <w:t>Provides for system alignment, coherence, and articulation, including ongoing and structural regional or local partnerships with postsecondary educational institutions, documented through formal written agreements allowing for dual enrollment opportunities and partnerships to establish new or expand existing career pathways, including, but not limited to, green technology, health care, information technology, education, and artificial intelligence. (UPDATED)</w:t>
      </w:r>
    </w:p>
    <w:p w14:paraId="5356CF5D" w14:textId="7467358E" w:rsidR="00506139" w:rsidRPr="00567BF3" w:rsidRDefault="00506139" w:rsidP="00567BF3">
      <w:pPr>
        <w:pStyle w:val="ListParagraph"/>
        <w:numPr>
          <w:ilvl w:val="0"/>
          <w:numId w:val="8"/>
        </w:numPr>
        <w:spacing w:after="240"/>
        <w:contextualSpacing w:val="0"/>
      </w:pPr>
      <w:r w:rsidRPr="00567BF3">
        <w:t xml:space="preserve">Collaborates with labor and business entities for purposes of placement of </w:t>
      </w:r>
      <w:r w:rsidR="00466352" w:rsidRPr="00567BF3">
        <w:t>student</w:t>
      </w:r>
      <w:r w:rsidRPr="00567BF3">
        <w:t xml:space="preserve">s in apprenticeships, preapprenticeships, dual enrollment opportunities, earn and learn opportunities, service learning, and </w:t>
      </w:r>
      <w:r w:rsidR="00B51765" w:rsidRPr="00567BF3">
        <w:t>WBL</w:t>
      </w:r>
      <w:r w:rsidRPr="00567BF3">
        <w:t xml:space="preserve"> opportunities. (UPDATED)</w:t>
      </w:r>
    </w:p>
    <w:p w14:paraId="445E0398" w14:textId="2D2A97F6" w:rsidR="00506139" w:rsidRPr="00567BF3" w:rsidRDefault="00506139" w:rsidP="00567BF3">
      <w:pPr>
        <w:pStyle w:val="ListParagraph"/>
        <w:numPr>
          <w:ilvl w:val="0"/>
          <w:numId w:val="8"/>
        </w:numPr>
        <w:spacing w:after="240"/>
        <w:contextualSpacing w:val="0"/>
      </w:pPr>
      <w:r w:rsidRPr="00567BF3">
        <w:t xml:space="preserve">Provides opportunities for </w:t>
      </w:r>
      <w:r w:rsidR="00466352" w:rsidRPr="00567BF3">
        <w:t>student</w:t>
      </w:r>
      <w:r w:rsidRPr="00567BF3">
        <w:t xml:space="preserve">s to participate in after school, extended day, and out-of-school internships, competitions, leadership development opportunities, </w:t>
      </w:r>
      <w:r w:rsidR="0061365F" w:rsidRPr="00567BF3">
        <w:t>CTE</w:t>
      </w:r>
      <w:r w:rsidRPr="00567BF3">
        <w:t xml:space="preserve"> student organizations</w:t>
      </w:r>
      <w:r w:rsidR="00F1229D" w:rsidRPr="00567BF3">
        <w:t xml:space="preserve"> (CTSO)</w:t>
      </w:r>
      <w:r w:rsidRPr="00567BF3">
        <w:t xml:space="preserve">, and other </w:t>
      </w:r>
      <w:r w:rsidR="00B51765" w:rsidRPr="00567BF3">
        <w:t xml:space="preserve">WBL </w:t>
      </w:r>
      <w:r w:rsidRPr="00567BF3">
        <w:t>opportunities.</w:t>
      </w:r>
    </w:p>
    <w:p w14:paraId="65BCABC4" w14:textId="7DEA476F" w:rsidR="00506139" w:rsidRPr="00567BF3" w:rsidRDefault="00506139" w:rsidP="00567BF3">
      <w:pPr>
        <w:pStyle w:val="ListParagraph"/>
        <w:numPr>
          <w:ilvl w:val="0"/>
          <w:numId w:val="8"/>
        </w:numPr>
        <w:spacing w:after="240"/>
        <w:contextualSpacing w:val="0"/>
      </w:pPr>
      <w:r w:rsidRPr="00567BF3">
        <w:t>Ensures career programs and career pathways are aligned with workforce needs and labor market demand, as identified through local, regional, or statewide economic and workforce development plans, S</w:t>
      </w:r>
      <w:r w:rsidR="00B51765" w:rsidRPr="00567BF3">
        <w:t>WP</w:t>
      </w:r>
      <w:r w:rsidRPr="00567BF3">
        <w:t xml:space="preserve"> consortia plans, other relevant labor market information, and employer engagement. (UPDATED)</w:t>
      </w:r>
    </w:p>
    <w:p w14:paraId="12167E55" w14:textId="77777777" w:rsidR="00506139" w:rsidRPr="00567BF3" w:rsidRDefault="00506139" w:rsidP="00567BF3">
      <w:pPr>
        <w:pStyle w:val="ListParagraph"/>
        <w:numPr>
          <w:ilvl w:val="0"/>
          <w:numId w:val="8"/>
        </w:numPr>
        <w:spacing w:after="240"/>
        <w:contextualSpacing w:val="0"/>
      </w:pPr>
      <w:r w:rsidRPr="00567BF3">
        <w:t>Leads to an industry-recognized credential or certificate, or appropriate postsecondary education or training, employment, or a postsecondary degree.</w:t>
      </w:r>
    </w:p>
    <w:p w14:paraId="03F94D96" w14:textId="44901CAB" w:rsidR="00506139" w:rsidRPr="00567BF3" w:rsidRDefault="00506139" w:rsidP="00567BF3">
      <w:pPr>
        <w:pStyle w:val="ListParagraph"/>
        <w:numPr>
          <w:ilvl w:val="0"/>
          <w:numId w:val="8"/>
        </w:numPr>
        <w:spacing w:after="240"/>
        <w:contextualSpacing w:val="0"/>
      </w:pPr>
      <w:r w:rsidRPr="00567BF3">
        <w:t>Is staffed by skilled teachers or faculty</w:t>
      </w:r>
      <w:r w:rsidR="005002A2" w:rsidRPr="00567BF3">
        <w:t xml:space="preserve">, </w:t>
      </w:r>
      <w:r w:rsidRPr="00567BF3">
        <w:t xml:space="preserve">and provides professional development opportunities for any teachers or faculty members supporting </w:t>
      </w:r>
      <w:r w:rsidR="00466352" w:rsidRPr="00567BF3">
        <w:t>student</w:t>
      </w:r>
      <w:r w:rsidRPr="00567BF3">
        <w:t>s in those programs.</w:t>
      </w:r>
    </w:p>
    <w:p w14:paraId="0E222AA5" w14:textId="3A2F9958" w:rsidR="00506139" w:rsidRPr="00567BF3" w:rsidRDefault="00506139" w:rsidP="00567BF3">
      <w:pPr>
        <w:pStyle w:val="ListParagraph"/>
        <w:numPr>
          <w:ilvl w:val="0"/>
          <w:numId w:val="8"/>
        </w:numPr>
        <w:spacing w:after="240"/>
        <w:contextualSpacing w:val="0"/>
      </w:pPr>
      <w:r w:rsidRPr="00567BF3">
        <w:t xml:space="preserve">Provides opportunities for </w:t>
      </w:r>
      <w:r w:rsidR="00466352" w:rsidRPr="00567BF3">
        <w:t>student</w:t>
      </w:r>
      <w:r w:rsidRPr="00567BF3">
        <w:t>s who are individuals with exceptional needs to participate in all programs.</w:t>
      </w:r>
    </w:p>
    <w:p w14:paraId="4FCAA36E" w14:textId="141CEA09" w:rsidR="00506139" w:rsidRPr="00567BF3" w:rsidRDefault="00506139" w:rsidP="00567BF3">
      <w:pPr>
        <w:pStyle w:val="ListParagraph"/>
        <w:numPr>
          <w:ilvl w:val="0"/>
          <w:numId w:val="8"/>
        </w:numPr>
        <w:spacing w:after="240"/>
        <w:contextualSpacing w:val="0"/>
      </w:pPr>
      <w:r w:rsidRPr="00567BF3">
        <w:t xml:space="preserve">Provides opportunities for </w:t>
      </w:r>
      <w:r w:rsidR="00466352" w:rsidRPr="00567BF3">
        <w:t>student</w:t>
      </w:r>
      <w:r w:rsidRPr="00567BF3">
        <w:t xml:space="preserve">s from historically underrepresented communities, foster youth, adult learners, people with children, low-income </w:t>
      </w:r>
      <w:r w:rsidR="00466352" w:rsidRPr="00567BF3">
        <w:t>student</w:t>
      </w:r>
      <w:r w:rsidRPr="00567BF3">
        <w:t>s, English language learners, and other populations that struggle to access CTE and career pathway programs. (NEW)</w:t>
      </w:r>
    </w:p>
    <w:p w14:paraId="2BEC823D" w14:textId="16346CC8" w:rsidR="00506139" w:rsidRPr="00567BF3" w:rsidRDefault="00506139" w:rsidP="00567BF3">
      <w:pPr>
        <w:pStyle w:val="PlainText"/>
        <w:numPr>
          <w:ilvl w:val="0"/>
          <w:numId w:val="8"/>
        </w:numPr>
        <w:spacing w:after="240"/>
        <w:rPr>
          <w:rFonts w:ascii="Arial" w:hAnsi="Arial"/>
          <w:sz w:val="24"/>
          <w:szCs w:val="24"/>
        </w:rPr>
      </w:pPr>
      <w:r w:rsidRPr="00567BF3">
        <w:rPr>
          <w:rFonts w:ascii="Arial" w:hAnsi="Arial"/>
          <w:sz w:val="24"/>
          <w:szCs w:val="24"/>
        </w:rPr>
        <w:t xml:space="preserve">Reports data annually to </w:t>
      </w:r>
      <w:r w:rsidR="00A6335D" w:rsidRPr="00567BF3">
        <w:rPr>
          <w:rFonts w:ascii="Arial" w:hAnsi="Arial"/>
          <w:sz w:val="24"/>
          <w:szCs w:val="24"/>
        </w:rPr>
        <w:t>CALPADS</w:t>
      </w:r>
      <w:r w:rsidRPr="00567BF3">
        <w:rPr>
          <w:rFonts w:ascii="Arial" w:hAnsi="Arial"/>
          <w:sz w:val="24"/>
          <w:szCs w:val="24"/>
        </w:rPr>
        <w:t>.</w:t>
      </w:r>
      <w:r w:rsidR="00EC4DB9" w:rsidRPr="00567BF3">
        <w:rPr>
          <w:rFonts w:ascii="Arial" w:hAnsi="Arial"/>
          <w:sz w:val="24"/>
          <w:szCs w:val="24"/>
        </w:rPr>
        <w:t xml:space="preserve"> (UPDATED)</w:t>
      </w:r>
    </w:p>
    <w:p w14:paraId="786F4AE5" w14:textId="1251A277" w:rsidR="00FB2FED" w:rsidRPr="00567BF3" w:rsidRDefault="00170928" w:rsidP="00645B74">
      <w:pPr>
        <w:pStyle w:val="Heading2"/>
      </w:pPr>
      <w:bookmarkStart w:id="17" w:name="_Toc228885211"/>
      <w:r w:rsidRPr="00567BF3">
        <w:t>Positive Considerations</w:t>
      </w:r>
      <w:bookmarkEnd w:id="17"/>
    </w:p>
    <w:p w14:paraId="33E19B85" w14:textId="031E21D8" w:rsidR="00FB2FED" w:rsidRPr="00567BF3" w:rsidRDefault="00EC4DB9" w:rsidP="00567BF3">
      <w:pPr>
        <w:pStyle w:val="PlainText"/>
        <w:spacing w:after="240"/>
        <w:rPr>
          <w:rFonts w:ascii="Arial" w:hAnsi="Arial"/>
          <w:sz w:val="24"/>
          <w:szCs w:val="24"/>
        </w:rPr>
      </w:pPr>
      <w:r w:rsidRPr="00567BF3">
        <w:rPr>
          <w:rFonts w:ascii="Arial" w:hAnsi="Arial"/>
          <w:sz w:val="24"/>
          <w:szCs w:val="24"/>
        </w:rPr>
        <w:t xml:space="preserve">Per </w:t>
      </w:r>
      <w:r w:rsidR="00FB2FED" w:rsidRPr="00567BF3">
        <w:rPr>
          <w:rFonts w:ascii="Arial" w:hAnsi="Arial"/>
          <w:i/>
          <w:iCs/>
          <w:sz w:val="24"/>
          <w:szCs w:val="24"/>
        </w:rPr>
        <w:t>EC</w:t>
      </w:r>
      <w:r w:rsidR="00FB2FED" w:rsidRPr="00567BF3">
        <w:rPr>
          <w:rFonts w:ascii="Arial" w:hAnsi="Arial"/>
          <w:sz w:val="24"/>
          <w:szCs w:val="24"/>
        </w:rPr>
        <w:t xml:space="preserve"> Section 53075, </w:t>
      </w:r>
      <w:r w:rsidR="00983E1C" w:rsidRPr="00567BF3">
        <w:rPr>
          <w:rFonts w:ascii="Arial" w:hAnsi="Arial"/>
          <w:sz w:val="24"/>
          <w:szCs w:val="24"/>
        </w:rPr>
        <w:t xml:space="preserve">when determining proposed grant recipients, the CDE, in consultation with the Executive Director of the SBE, </w:t>
      </w:r>
      <w:r w:rsidR="00891F43" w:rsidRPr="00567BF3">
        <w:rPr>
          <w:rFonts w:ascii="Arial" w:hAnsi="Arial"/>
          <w:sz w:val="24"/>
          <w:szCs w:val="24"/>
        </w:rPr>
        <w:t xml:space="preserve">shall </w:t>
      </w:r>
      <w:r w:rsidR="001329AF" w:rsidRPr="00567BF3">
        <w:rPr>
          <w:rFonts w:ascii="Arial" w:hAnsi="Arial"/>
          <w:sz w:val="24"/>
          <w:szCs w:val="24"/>
        </w:rPr>
        <w:t>do both of the following:</w:t>
      </w:r>
    </w:p>
    <w:p w14:paraId="50E288B6" w14:textId="77777777" w:rsidR="00D67C2E" w:rsidRPr="00567BF3" w:rsidRDefault="00D67C2E" w:rsidP="00567BF3">
      <w:pPr>
        <w:pStyle w:val="ListParagraph"/>
        <w:numPr>
          <w:ilvl w:val="0"/>
          <w:numId w:val="9"/>
        </w:numPr>
        <w:spacing w:after="240"/>
        <w:contextualSpacing w:val="0"/>
      </w:pPr>
      <w:r w:rsidRPr="00567BF3">
        <w:t>Give positive consideration to each of the following characteristics in an applicant:</w:t>
      </w:r>
    </w:p>
    <w:p w14:paraId="1DA38B1B" w14:textId="3D3F958B" w:rsidR="00D67C2E" w:rsidRPr="00567BF3" w:rsidRDefault="00D67C2E" w:rsidP="00567BF3">
      <w:pPr>
        <w:pStyle w:val="ListParagraph"/>
        <w:numPr>
          <w:ilvl w:val="1"/>
          <w:numId w:val="9"/>
        </w:numPr>
        <w:spacing w:after="240"/>
        <w:contextualSpacing w:val="0"/>
      </w:pPr>
      <w:r w:rsidRPr="00567BF3">
        <w:t xml:space="preserve">Serving unduplicated </w:t>
      </w:r>
      <w:r w:rsidR="00466352" w:rsidRPr="00567BF3">
        <w:t>student</w:t>
      </w:r>
      <w:r w:rsidRPr="00567BF3">
        <w:t>s, as defined in Section 42238.02.</w:t>
      </w:r>
    </w:p>
    <w:p w14:paraId="261C4E3F" w14:textId="2933A69F" w:rsidR="00D67C2E" w:rsidRPr="00567BF3" w:rsidRDefault="00D67C2E" w:rsidP="00567BF3">
      <w:pPr>
        <w:pStyle w:val="ListParagraph"/>
        <w:numPr>
          <w:ilvl w:val="1"/>
          <w:numId w:val="9"/>
        </w:numPr>
        <w:spacing w:after="240"/>
        <w:contextualSpacing w:val="0"/>
      </w:pPr>
      <w:r w:rsidRPr="00567BF3">
        <w:lastRenderedPageBreak/>
        <w:t xml:space="preserve">Serving </w:t>
      </w:r>
      <w:r w:rsidR="00466352" w:rsidRPr="00567BF3">
        <w:t>student</w:t>
      </w:r>
      <w:r w:rsidRPr="00567BF3">
        <w:t xml:space="preserve"> subgroups that have higher than average dropout rates as identified by the Superintendent.</w:t>
      </w:r>
    </w:p>
    <w:p w14:paraId="26F28CA6" w14:textId="77777777" w:rsidR="00D67C2E" w:rsidRPr="00567BF3" w:rsidRDefault="00D67C2E" w:rsidP="00567BF3">
      <w:pPr>
        <w:pStyle w:val="ListParagraph"/>
        <w:numPr>
          <w:ilvl w:val="1"/>
          <w:numId w:val="9"/>
        </w:numPr>
        <w:spacing w:after="240"/>
        <w:contextualSpacing w:val="0"/>
      </w:pPr>
      <w:r w:rsidRPr="00567BF3">
        <w:t>Located in an area of the state with a high unemployment rate or a high poverty rate. For purposes of this section the following definitions apply:</w:t>
      </w:r>
    </w:p>
    <w:p w14:paraId="420A73E7" w14:textId="10B89F02" w:rsidR="00D67C2E" w:rsidRPr="00567BF3" w:rsidRDefault="00D67C2E" w:rsidP="00567BF3">
      <w:pPr>
        <w:pStyle w:val="ListParagraph"/>
        <w:numPr>
          <w:ilvl w:val="2"/>
          <w:numId w:val="9"/>
        </w:numPr>
        <w:spacing w:after="240"/>
        <w:contextualSpacing w:val="0"/>
      </w:pPr>
      <w:r w:rsidRPr="00567BF3">
        <w:t>“High unemployment rate” means a city or county, or a city and county, within California, with an unemployment rate of at least 150 percent of the California statewide unemployment rate pursuant to the most recently updated data from the Employment Development Department (EDD). (UPDATED)</w:t>
      </w:r>
    </w:p>
    <w:p w14:paraId="260D3638" w14:textId="6F9ACBBA" w:rsidR="00D67C2E" w:rsidRPr="00567BF3" w:rsidRDefault="00D67C2E" w:rsidP="00567BF3">
      <w:pPr>
        <w:pStyle w:val="ListParagraph"/>
        <w:numPr>
          <w:ilvl w:val="2"/>
          <w:numId w:val="9"/>
        </w:numPr>
        <w:spacing w:after="240"/>
        <w:contextualSpacing w:val="0"/>
      </w:pPr>
      <w:r w:rsidRPr="00567BF3">
        <w:t>“High poverty rate” means a city or county, or a city and county, within California, with a poverty rate of at least 150 percent of the California statewide poverty rate pursuant to the most recently updated data available from the United States Census Bureau’s American Community Survey five-year estimates. (NEW)</w:t>
      </w:r>
    </w:p>
    <w:p w14:paraId="63E5B8E4" w14:textId="23D0B72E" w:rsidR="00D67C2E" w:rsidRPr="00567BF3" w:rsidRDefault="00D67C2E" w:rsidP="00567BF3">
      <w:pPr>
        <w:pStyle w:val="ListParagraph"/>
        <w:numPr>
          <w:ilvl w:val="1"/>
          <w:numId w:val="9"/>
        </w:numPr>
        <w:spacing w:after="240"/>
        <w:contextualSpacing w:val="0"/>
      </w:pPr>
      <w:r w:rsidRPr="00567BF3">
        <w:t xml:space="preserve">Offer an existing high-quality regional-based CTE program as a </w:t>
      </w:r>
      <w:r w:rsidR="008C5C3E" w:rsidRPr="00567BF3">
        <w:t>JPA</w:t>
      </w:r>
      <w:r w:rsidRPr="00567BF3">
        <w:t xml:space="preserve"> or </w:t>
      </w:r>
      <w:r w:rsidR="008C5C3E" w:rsidRPr="00567BF3">
        <w:t>COE</w:t>
      </w:r>
      <w:r w:rsidRPr="00567BF3">
        <w:t>.</w:t>
      </w:r>
    </w:p>
    <w:p w14:paraId="7EF2E5A8" w14:textId="77777777" w:rsidR="00D67C2E" w:rsidRPr="00567BF3" w:rsidRDefault="00D67C2E" w:rsidP="00567BF3">
      <w:pPr>
        <w:pStyle w:val="ListParagraph"/>
        <w:numPr>
          <w:ilvl w:val="0"/>
          <w:numId w:val="9"/>
        </w:numPr>
        <w:spacing w:after="240"/>
        <w:contextualSpacing w:val="0"/>
      </w:pPr>
      <w:r w:rsidRPr="00567BF3">
        <w:t>Give positive consideration to programs to the extent they do any of the following:</w:t>
      </w:r>
    </w:p>
    <w:p w14:paraId="47614E46" w14:textId="4BD4F3EB" w:rsidR="00D67C2E" w:rsidRPr="00567BF3" w:rsidRDefault="00EC4DB9" w:rsidP="00567BF3">
      <w:pPr>
        <w:pStyle w:val="ListParagraph"/>
        <w:numPr>
          <w:ilvl w:val="1"/>
          <w:numId w:val="9"/>
        </w:numPr>
        <w:spacing w:after="240"/>
        <w:contextualSpacing w:val="0"/>
      </w:pPr>
      <w:r w:rsidRPr="00567BF3">
        <w:t xml:space="preserve"> </w:t>
      </w:r>
      <w:r w:rsidR="00D67C2E" w:rsidRPr="00567BF3">
        <w:t>Successfully leverage one or both of the following:</w:t>
      </w:r>
    </w:p>
    <w:p w14:paraId="7B04B129" w14:textId="77777777" w:rsidR="00D67C2E" w:rsidRPr="00567BF3" w:rsidRDefault="00D67C2E" w:rsidP="00567BF3">
      <w:pPr>
        <w:pStyle w:val="ListParagraph"/>
        <w:numPr>
          <w:ilvl w:val="2"/>
          <w:numId w:val="9"/>
        </w:numPr>
        <w:spacing w:after="240"/>
        <w:contextualSpacing w:val="0"/>
      </w:pPr>
      <w:r w:rsidRPr="00567BF3">
        <w:t>Existing structures, requirements, and resources of the federal Strengthening CTE for the 21st Century Act (Perkins V), California Partnership Academies, Agricultural CTE Incentive Grants, the Golden State Pathways Program, or the California Regional K–16 Education Collaboratives Grant Program. (UPDATED)</w:t>
      </w:r>
    </w:p>
    <w:p w14:paraId="7E0D7B03" w14:textId="77777777" w:rsidR="00D67C2E" w:rsidRPr="00567BF3" w:rsidRDefault="00D67C2E" w:rsidP="00567BF3">
      <w:pPr>
        <w:pStyle w:val="ListParagraph"/>
        <w:numPr>
          <w:ilvl w:val="2"/>
          <w:numId w:val="9"/>
        </w:numPr>
        <w:spacing w:after="240"/>
        <w:contextualSpacing w:val="0"/>
      </w:pPr>
      <w:r w:rsidRPr="00567BF3">
        <w:t>Contributions from industry, labor, and philanthropic sources.</w:t>
      </w:r>
    </w:p>
    <w:p w14:paraId="66350B83" w14:textId="5781FB3E" w:rsidR="00D67C2E" w:rsidRPr="00567BF3" w:rsidRDefault="00D67C2E" w:rsidP="00567BF3">
      <w:pPr>
        <w:pStyle w:val="ListParagraph"/>
        <w:numPr>
          <w:ilvl w:val="1"/>
          <w:numId w:val="9"/>
        </w:numPr>
        <w:spacing w:after="240"/>
        <w:contextualSpacing w:val="0"/>
      </w:pPr>
      <w:r w:rsidRPr="00567BF3">
        <w:t>Engage in regional collaboration with postsecondary educational institutions, including the S</w:t>
      </w:r>
      <w:r w:rsidR="00B51765" w:rsidRPr="00567BF3">
        <w:t>WP</w:t>
      </w:r>
      <w:r w:rsidRPr="00567BF3">
        <w:t xml:space="preserve"> consortium operating in their respective geographic areas, or other local educational agencies to align career pathway instruction with postsecondary program requirements. This shall include, but not be limited to, pathway programs provided under an adopted College and Career Access Pathways partnership agreement pursuant to Section 76004.</w:t>
      </w:r>
    </w:p>
    <w:p w14:paraId="1C07904F" w14:textId="77777777" w:rsidR="00D67C2E" w:rsidRPr="00567BF3" w:rsidRDefault="00D67C2E" w:rsidP="00567BF3">
      <w:pPr>
        <w:pStyle w:val="ListParagraph"/>
        <w:numPr>
          <w:ilvl w:val="1"/>
          <w:numId w:val="9"/>
        </w:numPr>
        <w:spacing w:after="240"/>
        <w:contextualSpacing w:val="0"/>
      </w:pPr>
      <w:r w:rsidRPr="00567BF3">
        <w:t>Make significant investment in CTE infrastructure, equipment, and facilities.</w:t>
      </w:r>
    </w:p>
    <w:p w14:paraId="0C5FE201" w14:textId="577E5AC9" w:rsidR="001329AF" w:rsidRPr="00567BF3" w:rsidRDefault="00D67C2E" w:rsidP="00567BF3">
      <w:pPr>
        <w:pStyle w:val="ListParagraph"/>
        <w:numPr>
          <w:ilvl w:val="1"/>
          <w:numId w:val="9"/>
        </w:numPr>
        <w:spacing w:after="240"/>
        <w:contextualSpacing w:val="0"/>
      </w:pPr>
      <w:r w:rsidRPr="00567BF3">
        <w:t xml:space="preserve">Operate within rural school districts. </w:t>
      </w:r>
    </w:p>
    <w:p w14:paraId="48BF3F22" w14:textId="19970EA7" w:rsidR="001329AF" w:rsidRPr="00567BF3" w:rsidRDefault="001329AF" w:rsidP="00567BF3">
      <w:pPr>
        <w:pStyle w:val="PlainText"/>
        <w:rPr>
          <w:rFonts w:ascii="Arial" w:hAnsi="Arial"/>
          <w:sz w:val="24"/>
          <w:szCs w:val="24"/>
        </w:rPr>
      </w:pPr>
      <w:r w:rsidRPr="00567BF3">
        <w:rPr>
          <w:rFonts w:ascii="Arial" w:hAnsi="Arial"/>
          <w:sz w:val="24"/>
          <w:szCs w:val="24"/>
        </w:rPr>
        <w:lastRenderedPageBreak/>
        <w:t xml:space="preserve">Per </w:t>
      </w:r>
      <w:r w:rsidRPr="00A90226">
        <w:rPr>
          <w:rFonts w:ascii="Arial" w:hAnsi="Arial"/>
          <w:i/>
          <w:iCs/>
          <w:sz w:val="24"/>
          <w:szCs w:val="24"/>
        </w:rPr>
        <w:t>EC</w:t>
      </w:r>
      <w:r w:rsidRPr="00567BF3">
        <w:rPr>
          <w:rFonts w:ascii="Arial" w:hAnsi="Arial"/>
          <w:sz w:val="24"/>
          <w:szCs w:val="24"/>
        </w:rPr>
        <w:t xml:space="preserve"> 53075(b), when determining grant recipients, the CDE, in consultation with the Executive Director of the SBE, shall give greatest weight to the applicant characteristics included in (1) above.</w:t>
      </w:r>
    </w:p>
    <w:p w14:paraId="7596EB53" w14:textId="4A3655F3" w:rsidR="001329AF" w:rsidRPr="00567BF3" w:rsidRDefault="001329AF" w:rsidP="00567BF3">
      <w:pPr>
        <w:pStyle w:val="PlainText"/>
        <w:rPr>
          <w:rFonts w:ascii="Arial" w:hAnsi="Arial"/>
          <w:sz w:val="24"/>
          <w:szCs w:val="24"/>
        </w:rPr>
      </w:pPr>
      <w:r w:rsidRPr="00567BF3">
        <w:rPr>
          <w:rFonts w:ascii="Arial" w:hAnsi="Arial"/>
          <w:sz w:val="24"/>
          <w:szCs w:val="24"/>
        </w:rPr>
        <w:t>Note that each positive consideration is based on the eligibility of the Fiscal Agent</w:t>
      </w:r>
      <w:r w:rsidR="00076110" w:rsidRPr="00567BF3">
        <w:rPr>
          <w:rFonts w:ascii="Arial" w:hAnsi="Arial"/>
          <w:sz w:val="24"/>
          <w:szCs w:val="24"/>
        </w:rPr>
        <w:t xml:space="preserve"> applying on be</w:t>
      </w:r>
      <w:r w:rsidR="001C1282" w:rsidRPr="00567BF3">
        <w:rPr>
          <w:rFonts w:ascii="Arial" w:hAnsi="Arial"/>
          <w:sz w:val="24"/>
          <w:szCs w:val="24"/>
        </w:rPr>
        <w:t>h</w:t>
      </w:r>
      <w:r w:rsidR="00076110" w:rsidRPr="00567BF3">
        <w:rPr>
          <w:rFonts w:ascii="Arial" w:hAnsi="Arial"/>
          <w:sz w:val="24"/>
          <w:szCs w:val="24"/>
        </w:rPr>
        <w:t>alf</w:t>
      </w:r>
      <w:r w:rsidRPr="00567BF3">
        <w:rPr>
          <w:rFonts w:ascii="Arial" w:hAnsi="Arial"/>
          <w:sz w:val="24"/>
          <w:szCs w:val="24"/>
        </w:rPr>
        <w:t xml:space="preserve"> of a consortia; or an individual LEA if not applying as part of a consortium.</w:t>
      </w:r>
    </w:p>
    <w:p w14:paraId="69339BB9" w14:textId="275E1B19" w:rsidR="00CA6C1D" w:rsidRPr="00567BF3" w:rsidRDefault="00170928" w:rsidP="00645B74">
      <w:pPr>
        <w:pStyle w:val="Heading2"/>
      </w:pPr>
      <w:bookmarkStart w:id="18" w:name="_Toc228885212"/>
      <w:r w:rsidRPr="00567BF3">
        <w:t xml:space="preserve">Allowable </w:t>
      </w:r>
      <w:r>
        <w:t>and</w:t>
      </w:r>
      <w:r w:rsidRPr="00567BF3">
        <w:t xml:space="preserve"> Non-Allowable Expenditures</w:t>
      </w:r>
      <w:bookmarkEnd w:id="18"/>
    </w:p>
    <w:p w14:paraId="57666E76" w14:textId="55C1B214" w:rsidR="00CA6C1D" w:rsidRPr="00567BF3" w:rsidRDefault="00CA6C1D" w:rsidP="00567BF3">
      <w:pPr>
        <w:pStyle w:val="PlainText"/>
        <w:rPr>
          <w:rFonts w:ascii="Arial" w:hAnsi="Arial"/>
          <w:sz w:val="24"/>
          <w:szCs w:val="24"/>
        </w:rPr>
      </w:pPr>
      <w:r w:rsidRPr="00567BF3">
        <w:rPr>
          <w:rFonts w:ascii="Arial" w:hAnsi="Arial"/>
          <w:sz w:val="24"/>
          <w:szCs w:val="24"/>
        </w:rPr>
        <w:t xml:space="preserve">A current list of </w:t>
      </w:r>
      <w:hyperlink r:id="rId13" w:history="1">
        <w:r w:rsidR="006C7E16" w:rsidRPr="00567BF3">
          <w:rPr>
            <w:rStyle w:val="Hyperlink"/>
            <w:rFonts w:ascii="Arial" w:hAnsi="Arial"/>
            <w:sz w:val="24"/>
            <w:szCs w:val="24"/>
          </w:rPr>
          <w:t>Allowable and Non-Allowable Expenditures</w:t>
        </w:r>
      </w:hyperlink>
      <w:r w:rsidRPr="00567BF3">
        <w:rPr>
          <w:rFonts w:ascii="Arial" w:hAnsi="Arial"/>
          <w:sz w:val="24"/>
          <w:szCs w:val="24"/>
        </w:rPr>
        <w:t xml:space="preserve"> is available on the CTEIG web</w:t>
      </w:r>
      <w:r w:rsidR="00F924E9">
        <w:rPr>
          <w:rFonts w:ascii="Arial" w:hAnsi="Arial"/>
          <w:sz w:val="24"/>
          <w:szCs w:val="24"/>
        </w:rPr>
        <w:t xml:space="preserve"> </w:t>
      </w:r>
      <w:r w:rsidRPr="00567BF3">
        <w:rPr>
          <w:rFonts w:ascii="Arial" w:hAnsi="Arial"/>
          <w:sz w:val="24"/>
          <w:szCs w:val="24"/>
        </w:rPr>
        <w:t>page. Applicants should review this list carefully before developing their budget narrative.</w:t>
      </w:r>
    </w:p>
    <w:p w14:paraId="0B5CBEA3" w14:textId="01CAAC5F" w:rsidR="00877F7E" w:rsidRPr="00567BF3" w:rsidRDefault="00CA6C1D" w:rsidP="00877F7E">
      <w:pPr>
        <w:pStyle w:val="PlainText"/>
        <w:rPr>
          <w:rFonts w:ascii="Arial" w:hAnsi="Arial"/>
          <w:sz w:val="24"/>
          <w:szCs w:val="24"/>
        </w:rPr>
      </w:pPr>
      <w:r w:rsidRPr="00567BF3">
        <w:rPr>
          <w:rFonts w:ascii="Arial" w:hAnsi="Arial"/>
          <w:sz w:val="24"/>
          <w:szCs w:val="24"/>
        </w:rPr>
        <w:t>Note: All Object Code 6000 (Capital Outlay) purchases over $5,000 require individual review and approval by your CTEIG Regional Consultant.</w:t>
      </w:r>
      <w:r w:rsidR="00877F7E">
        <w:rPr>
          <w:rFonts w:ascii="Arial" w:hAnsi="Arial"/>
          <w:sz w:val="24"/>
          <w:szCs w:val="24"/>
        </w:rPr>
        <w:t xml:space="preserve"> To view the CTE Regional Consultant list, visit the </w:t>
      </w:r>
      <w:hyperlink r:id="rId14" w:history="1">
        <w:r w:rsidR="00877F7E" w:rsidRPr="00D05D3B">
          <w:rPr>
            <w:rStyle w:val="Hyperlink"/>
            <w:rFonts w:ascii="Arial" w:hAnsi="Arial"/>
            <w:sz w:val="24"/>
            <w:szCs w:val="24"/>
          </w:rPr>
          <w:t>CTEIG Regional Consultants web page</w:t>
        </w:r>
      </w:hyperlink>
      <w:r w:rsidR="002D7D6F">
        <w:rPr>
          <w:rFonts w:ascii="Arial" w:hAnsi="Arial"/>
          <w:sz w:val="24"/>
          <w:szCs w:val="24"/>
        </w:rPr>
        <w:t>.</w:t>
      </w:r>
    </w:p>
    <w:p w14:paraId="10DF0E15" w14:textId="524089C2" w:rsidR="00834F5E" w:rsidRPr="00567BF3" w:rsidRDefault="00170928" w:rsidP="00645B74">
      <w:pPr>
        <w:pStyle w:val="Heading2"/>
      </w:pPr>
      <w:bookmarkStart w:id="19" w:name="_Toc123211422"/>
      <w:bookmarkStart w:id="20" w:name="_Toc228885213"/>
      <w:r w:rsidRPr="00567BF3">
        <w:rPr>
          <w:rStyle w:val="eop"/>
        </w:rPr>
        <w:t>Application Procedures</w:t>
      </w:r>
      <w:bookmarkEnd w:id="19"/>
      <w:bookmarkEnd w:id="20"/>
    </w:p>
    <w:p w14:paraId="62AC0891" w14:textId="0840E4DD" w:rsidR="00834F5E" w:rsidRPr="00567BF3" w:rsidRDefault="00834F5E" w:rsidP="00567BF3">
      <w:pPr>
        <w:pStyle w:val="BodyA"/>
        <w:suppressAutoHyphens/>
        <w:spacing w:after="240"/>
        <w:rPr>
          <w:rStyle w:val="eop"/>
        </w:rPr>
      </w:pPr>
      <w:r w:rsidRPr="00567BF3">
        <w:rPr>
          <w:rStyle w:val="eop"/>
        </w:rPr>
        <w:t>A complete application is submitted by 5</w:t>
      </w:r>
      <w:r w:rsidR="00466352" w:rsidRPr="00567BF3">
        <w:rPr>
          <w:rStyle w:val="eop"/>
        </w:rPr>
        <w:t xml:space="preserve"> </w:t>
      </w:r>
      <w:r w:rsidRPr="00567BF3">
        <w:rPr>
          <w:rStyle w:val="eop"/>
        </w:rPr>
        <w:t xml:space="preserve">p.m. Pacific Time, Friday, </w:t>
      </w:r>
      <w:r w:rsidR="004A1D6F">
        <w:rPr>
          <w:rStyle w:val="eop"/>
        </w:rPr>
        <w:t xml:space="preserve">June </w:t>
      </w:r>
      <w:r w:rsidR="00D909EE" w:rsidRPr="00095950">
        <w:rPr>
          <w:rStyle w:val="eop"/>
        </w:rPr>
        <w:t>19</w:t>
      </w:r>
      <w:r w:rsidR="004A1D6F">
        <w:rPr>
          <w:rStyle w:val="eop"/>
        </w:rPr>
        <w:t>, 2</w:t>
      </w:r>
      <w:r w:rsidRPr="00567BF3">
        <w:rPr>
          <w:rStyle w:val="eop"/>
        </w:rPr>
        <w:t xml:space="preserve">026, via the </w:t>
      </w:r>
      <w:hyperlink r:id="rId15" w:history="1">
        <w:r w:rsidRPr="008C43A4">
          <w:rPr>
            <w:rStyle w:val="Hyperlink"/>
            <w:color w:val="467886"/>
          </w:rPr>
          <w:t>Program Grant Management System</w:t>
        </w:r>
      </w:hyperlink>
      <w:r w:rsidRPr="00567BF3">
        <w:rPr>
          <w:rStyle w:val="eop"/>
        </w:rPr>
        <w:t>.</w:t>
      </w:r>
    </w:p>
    <w:p w14:paraId="582BFEB0" w14:textId="356E4724" w:rsidR="00834F5E" w:rsidRPr="00567BF3" w:rsidRDefault="00834F5E" w:rsidP="00567BF3">
      <w:pPr>
        <w:pStyle w:val="BodyA"/>
        <w:suppressAutoHyphens/>
        <w:spacing w:after="240"/>
      </w:pPr>
      <w:r w:rsidRPr="00567BF3">
        <w:rPr>
          <w:rStyle w:val="eop"/>
        </w:rPr>
        <w:t>Information is provided below regarding the information that will be requested and the attachments that must be uploaded as part of the application.</w:t>
      </w:r>
    </w:p>
    <w:p w14:paraId="02251BDC" w14:textId="7E094328" w:rsidR="00F924E9" w:rsidRDefault="00834F5E" w:rsidP="00F924E9">
      <w:pPr>
        <w:pStyle w:val="BodyA"/>
        <w:widowControl/>
        <w:suppressAutoHyphens/>
        <w:spacing w:after="240"/>
        <w:rPr>
          <w:rStyle w:val="eop"/>
        </w:rPr>
      </w:pPr>
      <w:r w:rsidRPr="00567BF3">
        <w:rPr>
          <w:rStyle w:val="eop"/>
        </w:rPr>
        <w:t xml:space="preserve">The </w:t>
      </w:r>
      <w:r w:rsidR="004A1D6F">
        <w:rPr>
          <w:rStyle w:val="eop"/>
        </w:rPr>
        <w:t xml:space="preserve">PGMS </w:t>
      </w:r>
      <w:r w:rsidRPr="00567BF3">
        <w:rPr>
          <w:rStyle w:val="eop"/>
        </w:rPr>
        <w:t>will require the applicant to enter responses to prompts requesting information</w:t>
      </w:r>
      <w:r w:rsidR="00557AD7" w:rsidRPr="00567BF3">
        <w:rPr>
          <w:rStyle w:val="eop"/>
        </w:rPr>
        <w:t>,</w:t>
      </w:r>
      <w:r w:rsidRPr="00567BF3">
        <w:rPr>
          <w:rStyle w:val="eop"/>
        </w:rPr>
        <w:t xml:space="preserve"> including:</w:t>
      </w:r>
    </w:p>
    <w:p w14:paraId="30B76B7A" w14:textId="2E38AA66" w:rsidR="00F924E9" w:rsidRPr="00F924E9" w:rsidRDefault="00F924E9" w:rsidP="00F924E9">
      <w:pPr>
        <w:pStyle w:val="Heading3"/>
      </w:pPr>
      <w:r>
        <w:t>Application Components/Questions</w:t>
      </w:r>
    </w:p>
    <w:p w14:paraId="6F4AB2E1" w14:textId="309A8765" w:rsidR="00047E37" w:rsidRPr="00567BF3" w:rsidRDefault="00047E37" w:rsidP="00567BF3">
      <w:pPr>
        <w:pStyle w:val="BodyA"/>
        <w:suppressAutoHyphens/>
        <w:spacing w:after="240"/>
      </w:pPr>
      <w:r w:rsidRPr="00567BF3">
        <w:rPr>
          <w:rStyle w:val="eop"/>
        </w:rPr>
        <w:t xml:space="preserve">Provide answers to the questions listed below in the </w:t>
      </w:r>
      <w:r w:rsidR="00444E24" w:rsidRPr="00567BF3">
        <w:rPr>
          <w:rStyle w:val="eop"/>
        </w:rPr>
        <w:t>PGMS</w:t>
      </w:r>
      <w:r w:rsidRPr="00567BF3">
        <w:rPr>
          <w:rStyle w:val="eop"/>
        </w:rPr>
        <w:t>. Text can be pasted into the online application field</w:t>
      </w:r>
      <w:r w:rsidR="00444E24" w:rsidRPr="00567BF3">
        <w:rPr>
          <w:rStyle w:val="eop"/>
        </w:rPr>
        <w:t>s</w:t>
      </w:r>
      <w:r w:rsidRPr="00567BF3">
        <w:rPr>
          <w:rStyle w:val="eop"/>
        </w:rPr>
        <w:t xml:space="preserve"> from a document. The </w:t>
      </w:r>
      <w:r w:rsidR="004A1D6F">
        <w:rPr>
          <w:rStyle w:val="eop"/>
        </w:rPr>
        <w:t xml:space="preserve">PGMS </w:t>
      </w:r>
      <w:r w:rsidRPr="00567BF3">
        <w:rPr>
          <w:rStyle w:val="eop"/>
        </w:rPr>
        <w:t xml:space="preserve">does not capture formatting (i.e., bulleting, </w:t>
      </w:r>
      <w:r w:rsidR="004A1D6F">
        <w:rPr>
          <w:rStyle w:val="eop"/>
        </w:rPr>
        <w:t xml:space="preserve">dashes, </w:t>
      </w:r>
      <w:r w:rsidRPr="00567BF3">
        <w:rPr>
          <w:rStyle w:val="eop"/>
        </w:rPr>
        <w:t xml:space="preserve">paragraph breaks). Refer to the scoring rubric </w:t>
      </w:r>
      <w:r w:rsidR="004A1D6F">
        <w:rPr>
          <w:rStyle w:val="eop"/>
        </w:rPr>
        <w:t>s</w:t>
      </w:r>
      <w:r w:rsidR="00466352" w:rsidRPr="00567BF3">
        <w:rPr>
          <w:rStyle w:val="eop"/>
        </w:rPr>
        <w:t xml:space="preserve">ection </w:t>
      </w:r>
      <w:r w:rsidRPr="00567BF3">
        <w:rPr>
          <w:rStyle w:val="eop"/>
        </w:rPr>
        <w:t xml:space="preserve">to understand how responses to the questions will be evaluated by the reviewers. Follow the requirements below when entering responses into the </w:t>
      </w:r>
      <w:r w:rsidR="004A1D6F">
        <w:rPr>
          <w:rStyle w:val="eop"/>
        </w:rPr>
        <w:t>PGMS:</w:t>
      </w:r>
    </w:p>
    <w:p w14:paraId="1FBD640A" w14:textId="525A5E01" w:rsidR="00047E37" w:rsidRPr="00567BF3" w:rsidRDefault="004A1D6F" w:rsidP="004A1D6F">
      <w:pPr>
        <w:pStyle w:val="ListParagraph"/>
        <w:numPr>
          <w:ilvl w:val="0"/>
          <w:numId w:val="11"/>
        </w:numPr>
        <w:spacing w:after="240"/>
        <w:ind w:left="720"/>
        <w:contextualSpacing w:val="0"/>
        <w:rPr>
          <w:rStyle w:val="None"/>
        </w:rPr>
      </w:pPr>
      <w:r w:rsidRPr="00CE6B02">
        <w:rPr>
          <w:rStyle w:val="None"/>
        </w:rPr>
        <w:t>The questions are organized into categories. The maximum character count allowed for a response to each question is 1,500 characters</w:t>
      </w:r>
      <w:r>
        <w:rPr>
          <w:rStyle w:val="None"/>
        </w:rPr>
        <w:t>, including spaces</w:t>
      </w:r>
      <w:r w:rsidR="00047E37" w:rsidRPr="00567BF3">
        <w:rPr>
          <w:rStyle w:val="None"/>
        </w:rPr>
        <w:t>. Responses that exceed the character limits will not be captured by the system and will not be reviewed.</w:t>
      </w:r>
    </w:p>
    <w:p w14:paraId="3FB3A8AD" w14:textId="3D9E9DC7" w:rsidR="00047E37" w:rsidRPr="00567BF3" w:rsidRDefault="00047E37" w:rsidP="004A1D6F">
      <w:pPr>
        <w:pStyle w:val="ListParagraph"/>
        <w:numPr>
          <w:ilvl w:val="0"/>
          <w:numId w:val="11"/>
        </w:numPr>
        <w:spacing w:after="240"/>
        <w:ind w:left="720"/>
        <w:contextualSpacing w:val="0"/>
      </w:pPr>
      <w:r w:rsidRPr="00567BF3">
        <w:rPr>
          <w:rStyle w:val="None"/>
        </w:rPr>
        <w:t xml:space="preserve">You must select the Save button on the first or subsequent pages of the </w:t>
      </w:r>
      <w:r w:rsidR="004A1D6F">
        <w:rPr>
          <w:rStyle w:val="None"/>
        </w:rPr>
        <w:t>PGMS</w:t>
      </w:r>
      <w:r w:rsidRPr="00567BF3">
        <w:rPr>
          <w:rStyle w:val="None"/>
        </w:rPr>
        <w:t xml:space="preserve"> if you do not intend to complete the application in one session.</w:t>
      </w:r>
      <w:r w:rsidR="00444E24" w:rsidRPr="00567BF3">
        <w:rPr>
          <w:rStyle w:val="None"/>
        </w:rPr>
        <w:t xml:space="preserve"> If you exit without saving, all progress will be lost.</w:t>
      </w:r>
      <w:r w:rsidR="004A1D6F">
        <w:rPr>
          <w:rStyle w:val="None"/>
        </w:rPr>
        <w:t xml:space="preserve"> It is highly recommended to save often.</w:t>
      </w:r>
    </w:p>
    <w:p w14:paraId="6A5AD4E7" w14:textId="16A5F2CB" w:rsidR="00047E37" w:rsidRPr="00567BF3" w:rsidRDefault="00047E37" w:rsidP="004A1D6F">
      <w:pPr>
        <w:pStyle w:val="ListParagraph"/>
        <w:numPr>
          <w:ilvl w:val="0"/>
          <w:numId w:val="11"/>
        </w:numPr>
        <w:spacing w:after="240"/>
        <w:ind w:left="720"/>
        <w:contextualSpacing w:val="0"/>
        <w:rPr>
          <w:rStyle w:val="None"/>
        </w:rPr>
      </w:pPr>
      <w:r w:rsidRPr="00567BF3">
        <w:rPr>
          <w:rStyle w:val="None"/>
        </w:rPr>
        <w:t xml:space="preserve">Applicants should begin the process of entering and saving responses prior to </w:t>
      </w:r>
      <w:r w:rsidRPr="00567BF3">
        <w:rPr>
          <w:rStyle w:val="None"/>
        </w:rPr>
        <w:lastRenderedPageBreak/>
        <w:t>the application deadline</w:t>
      </w:r>
      <w:r w:rsidR="00444E24" w:rsidRPr="00567BF3">
        <w:rPr>
          <w:rStyle w:val="None"/>
        </w:rPr>
        <w:t xml:space="preserve"> date</w:t>
      </w:r>
      <w:r w:rsidRPr="00567BF3">
        <w:rPr>
          <w:rStyle w:val="None"/>
        </w:rPr>
        <w:t>.</w:t>
      </w:r>
    </w:p>
    <w:p w14:paraId="586D278C" w14:textId="1045955F" w:rsidR="002E0594" w:rsidRPr="00567BF3" w:rsidRDefault="002E0594" w:rsidP="00645B74">
      <w:pPr>
        <w:pStyle w:val="Heading3"/>
      </w:pPr>
      <w:bookmarkStart w:id="21" w:name="_Toc228885215"/>
      <w:r w:rsidRPr="00567BF3">
        <w:t xml:space="preserve">Application </w:t>
      </w:r>
      <w:r w:rsidR="003C2E31" w:rsidRPr="00567BF3">
        <w:t>Questions:</w:t>
      </w:r>
      <w:r w:rsidRPr="00567BF3">
        <w:t xml:space="preserve"> Holistic Approach</w:t>
      </w:r>
      <w:bookmarkEnd w:id="21"/>
    </w:p>
    <w:p w14:paraId="334EF2C7" w14:textId="0AB865BF" w:rsidR="002E0594" w:rsidRPr="00567BF3" w:rsidRDefault="00E33FF7" w:rsidP="00567BF3">
      <w:pPr>
        <w:pStyle w:val="BodyA"/>
        <w:suppressAutoHyphens/>
        <w:spacing w:after="240"/>
      </w:pPr>
      <w:r w:rsidRPr="00567BF3">
        <w:rPr>
          <w:rFonts w:eastAsia="Times New Roman"/>
        </w:rPr>
        <w:t>The following questions are based on the Holistic Approach requirement outlined in</w:t>
      </w:r>
      <w:r w:rsidRPr="00567BF3">
        <w:t xml:space="preserve"> </w:t>
      </w:r>
      <w:r w:rsidR="002E0594" w:rsidRPr="00567BF3">
        <w:rPr>
          <w:i/>
          <w:iCs/>
        </w:rPr>
        <w:t>EC</w:t>
      </w:r>
      <w:r w:rsidR="009E4A98" w:rsidRPr="00567BF3">
        <w:rPr>
          <w:i/>
          <w:iCs/>
        </w:rPr>
        <w:t xml:space="preserve"> </w:t>
      </w:r>
      <w:r w:rsidR="009E4A98" w:rsidRPr="00567BF3">
        <w:t>Section</w:t>
      </w:r>
      <w:r w:rsidR="002E0594" w:rsidRPr="00567BF3">
        <w:t xml:space="preserve"> 53072(b)</w:t>
      </w:r>
      <w:r w:rsidR="00D76EC9" w:rsidRPr="00567BF3">
        <w:t>. All applicants (New and Renewal Grantees) must answer all three holistic approach questions:</w:t>
      </w:r>
    </w:p>
    <w:p w14:paraId="5F97E74C" w14:textId="6F22581B" w:rsidR="00E33FF7" w:rsidRPr="00567BF3" w:rsidRDefault="00E33FF7" w:rsidP="00567BF3">
      <w:pPr>
        <w:pStyle w:val="BodyA"/>
        <w:numPr>
          <w:ilvl w:val="0"/>
          <w:numId w:val="20"/>
        </w:numPr>
        <w:suppressAutoHyphens/>
        <w:spacing w:after="240"/>
      </w:pPr>
      <w:r w:rsidRPr="00567BF3">
        <w:rPr>
          <w:b/>
          <w:bCs/>
        </w:rPr>
        <w:t>Employer Involvement</w:t>
      </w:r>
      <w:r w:rsidR="00D76EC9" w:rsidRPr="00567BF3">
        <w:rPr>
          <w:b/>
          <w:bCs/>
        </w:rPr>
        <w:t xml:space="preserve"> (NEW)</w:t>
      </w:r>
      <w:r w:rsidR="00D76EC9" w:rsidRPr="00567BF3">
        <w:rPr>
          <w:b/>
          <w:bCs/>
        </w:rPr>
        <w:br/>
      </w:r>
      <w:r w:rsidR="00D76EC9" w:rsidRPr="00567BF3">
        <w:rPr>
          <w:b/>
          <w:bCs/>
          <w:i/>
          <w:iCs/>
        </w:rPr>
        <w:t>(New Grantees: REQUIRED; Renewal Grantees</w:t>
      </w:r>
      <w:r w:rsidRPr="00567BF3">
        <w:rPr>
          <w:b/>
          <w:bCs/>
          <w:i/>
          <w:iCs/>
        </w:rPr>
        <w:t>:</w:t>
      </w:r>
      <w:r w:rsidR="00D76EC9" w:rsidRPr="00567BF3">
        <w:rPr>
          <w:b/>
          <w:bCs/>
          <w:i/>
          <w:iCs/>
        </w:rPr>
        <w:t xml:space="preserve"> REQUIRED)</w:t>
      </w:r>
      <w:r w:rsidR="00D76EC9" w:rsidRPr="00567BF3">
        <w:rPr>
          <w:b/>
          <w:bCs/>
        </w:rPr>
        <w:br/>
      </w:r>
      <w:r w:rsidRPr="00567BF3">
        <w:t>How does your applicat</w:t>
      </w:r>
      <w:r w:rsidR="00AD72D0" w:rsidRPr="00567BF3">
        <w:t>ion</w:t>
      </w:r>
      <w:r w:rsidRPr="00567BF3">
        <w:t xml:space="preserve"> demonstrate involvement of employers in your CTE programs and career pathways?</w:t>
      </w:r>
    </w:p>
    <w:p w14:paraId="2FB97771" w14:textId="2CE13574" w:rsidR="00E33FF7" w:rsidRPr="00567BF3" w:rsidRDefault="00E33FF7" w:rsidP="00567BF3">
      <w:pPr>
        <w:pStyle w:val="BodyA"/>
        <w:numPr>
          <w:ilvl w:val="0"/>
          <w:numId w:val="20"/>
        </w:numPr>
        <w:suppressAutoHyphens/>
        <w:spacing w:after="240"/>
      </w:pPr>
      <w:r w:rsidRPr="00567BF3">
        <w:rPr>
          <w:b/>
          <w:bCs/>
        </w:rPr>
        <w:t>Wraparound Services</w:t>
      </w:r>
      <w:r w:rsidR="00D76EC9" w:rsidRPr="00567BF3">
        <w:rPr>
          <w:b/>
          <w:bCs/>
        </w:rPr>
        <w:t xml:space="preserve"> (NEW)</w:t>
      </w:r>
      <w:r w:rsidR="00D76EC9" w:rsidRPr="00567BF3">
        <w:rPr>
          <w:b/>
          <w:bCs/>
        </w:rPr>
        <w:br/>
      </w:r>
      <w:r w:rsidR="00D76EC9" w:rsidRPr="00567BF3">
        <w:rPr>
          <w:b/>
          <w:bCs/>
          <w:i/>
          <w:iCs/>
        </w:rPr>
        <w:t>(New Grantees: REQUIRED; Renewal Grantees: REQUIRED)</w:t>
      </w:r>
      <w:r w:rsidR="00D76EC9" w:rsidRPr="00567BF3">
        <w:rPr>
          <w:b/>
          <w:bCs/>
          <w:i/>
          <w:iCs/>
        </w:rPr>
        <w:br/>
      </w:r>
      <w:r w:rsidRPr="00567BF3">
        <w:t>How does your applica</w:t>
      </w:r>
      <w:r w:rsidR="00AD72D0" w:rsidRPr="00567BF3">
        <w:t>tion</w:t>
      </w:r>
      <w:r w:rsidRPr="00567BF3">
        <w:t xml:space="preserve"> provide wraparound services for </w:t>
      </w:r>
      <w:r w:rsidR="00466352" w:rsidRPr="00567BF3">
        <w:t>student</w:t>
      </w:r>
      <w:r w:rsidRPr="00567BF3">
        <w:t>s to support their participation in CTE programs and career pathways?</w:t>
      </w:r>
    </w:p>
    <w:p w14:paraId="20007BC8" w14:textId="57AF71E6" w:rsidR="00E33FF7" w:rsidRPr="00567BF3" w:rsidRDefault="00E33FF7" w:rsidP="00567BF3">
      <w:pPr>
        <w:pStyle w:val="BodyA"/>
        <w:numPr>
          <w:ilvl w:val="0"/>
          <w:numId w:val="20"/>
        </w:numPr>
        <w:suppressAutoHyphens/>
        <w:spacing w:after="240"/>
      </w:pPr>
      <w:r w:rsidRPr="00567BF3">
        <w:rPr>
          <w:b/>
          <w:bCs/>
        </w:rPr>
        <w:t>Labor Market Demand Alignment and Grant Impact</w:t>
      </w:r>
      <w:r w:rsidR="00B466DB">
        <w:rPr>
          <w:b/>
          <w:bCs/>
        </w:rPr>
        <w:t xml:space="preserve"> </w:t>
      </w:r>
      <w:r w:rsidR="00D76EC9" w:rsidRPr="00567BF3">
        <w:rPr>
          <w:b/>
          <w:bCs/>
        </w:rPr>
        <w:t>(NEW)</w:t>
      </w:r>
      <w:r w:rsidR="00D76EC9" w:rsidRPr="00567BF3">
        <w:rPr>
          <w:b/>
          <w:bCs/>
        </w:rPr>
        <w:br/>
      </w:r>
      <w:r w:rsidR="00D76EC9" w:rsidRPr="00567BF3">
        <w:rPr>
          <w:b/>
          <w:bCs/>
          <w:i/>
          <w:iCs/>
        </w:rPr>
        <w:t>(New Grantees: REQUIRED; Renewal Grantees: REQUIRED)</w:t>
      </w:r>
      <w:r w:rsidR="00D76EC9" w:rsidRPr="00567BF3">
        <w:rPr>
          <w:b/>
          <w:bCs/>
          <w:i/>
          <w:iCs/>
        </w:rPr>
        <w:br/>
      </w:r>
      <w:r w:rsidR="00D76EC9" w:rsidRPr="00567BF3">
        <w:t>Ho</w:t>
      </w:r>
      <w:r w:rsidRPr="00567BF3">
        <w:t>w do your proposed programs and services align with current or projected labor market demand within your region, and how will CTEIG funding provide</w:t>
      </w:r>
      <w:r w:rsidR="004A1D6F">
        <w:t xml:space="preserve"> or expand</w:t>
      </w:r>
      <w:r w:rsidRPr="00567BF3">
        <w:t xml:space="preserve"> CTE and career pathway programs and services?</w:t>
      </w:r>
    </w:p>
    <w:p w14:paraId="2F130D9E" w14:textId="57A64CF3" w:rsidR="00B9642E" w:rsidRPr="00567BF3" w:rsidRDefault="00B9642E" w:rsidP="00645B74">
      <w:pPr>
        <w:pStyle w:val="Heading3"/>
      </w:pPr>
      <w:bookmarkStart w:id="22" w:name="_Toc228885216"/>
      <w:bookmarkStart w:id="23" w:name="_Toc123211424"/>
      <w:r w:rsidRPr="00567BF3">
        <w:t xml:space="preserve">Application </w:t>
      </w:r>
      <w:r w:rsidR="003C2E31" w:rsidRPr="00567BF3">
        <w:t>Questions</w:t>
      </w:r>
      <w:r w:rsidRPr="00567BF3">
        <w:t>: Minimum Eligibility Standards</w:t>
      </w:r>
      <w:bookmarkEnd w:id="22"/>
    </w:p>
    <w:p w14:paraId="08FE1FDF" w14:textId="77777777" w:rsidR="00B9642E" w:rsidRPr="00567BF3" w:rsidRDefault="00B9642E" w:rsidP="00567BF3">
      <w:pPr>
        <w:spacing w:before="100" w:beforeAutospacing="1" w:after="100" w:afterAutospacing="1"/>
        <w:rPr>
          <w:rFonts w:eastAsia="Times New Roman"/>
          <w:kern w:val="0"/>
          <w14:ligatures w14:val="none"/>
        </w:rPr>
      </w:pPr>
      <w:r w:rsidRPr="00567BF3">
        <w:rPr>
          <w:rFonts w:eastAsia="Times New Roman"/>
          <w:kern w:val="0"/>
          <w14:ligatures w14:val="none"/>
        </w:rPr>
        <w:t xml:space="preserve">The following questions are based on the 12 Minimum Eligibility Standards specified in </w:t>
      </w:r>
      <w:r w:rsidRPr="00567BF3">
        <w:rPr>
          <w:rFonts w:eastAsia="Times New Roman"/>
          <w:i/>
          <w:iCs/>
          <w:kern w:val="0"/>
          <w14:ligatures w14:val="none"/>
        </w:rPr>
        <w:t>EC</w:t>
      </w:r>
      <w:r w:rsidRPr="00567BF3">
        <w:rPr>
          <w:rFonts w:eastAsia="Times New Roman"/>
          <w:kern w:val="0"/>
          <w14:ligatures w14:val="none"/>
        </w:rPr>
        <w:t xml:space="preserve"> Section 53071(c). Respond to each standard as applicable to your CTE programs. Your responses will be scored based on the extent to which you demonstrate evidence of meeting each standard.</w:t>
      </w:r>
    </w:p>
    <w:p w14:paraId="18196DB4" w14:textId="1DBFEC48" w:rsidR="00B9642E" w:rsidRPr="00567BF3" w:rsidRDefault="00576C85"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1: High-Quality Curriculum (UPDATED)</w:t>
      </w:r>
      <w:r w:rsidRPr="00567BF3">
        <w:rPr>
          <w:rFonts w:eastAsia="Times New Roman"/>
          <w:b/>
          <w:bCs/>
          <w:kern w:val="0"/>
          <w14:ligatures w14:val="none"/>
        </w:rPr>
        <w:br/>
      </w:r>
      <w:r w:rsidRPr="00567BF3">
        <w:rPr>
          <w:rFonts w:eastAsia="Times New Roman"/>
          <w:b/>
          <w:bCs/>
          <w:i/>
          <w:iCs/>
          <w:kern w:val="0"/>
          <w14:ligatures w14:val="none"/>
        </w:rPr>
        <w:t>(New Grantees: REQUIRED | Renewal Grantees: REQUIRED)</w:t>
      </w:r>
      <w:r w:rsidRPr="00567BF3">
        <w:rPr>
          <w:rFonts w:eastAsia="Times New Roman"/>
          <w:b/>
          <w:bCs/>
          <w:i/>
          <w:iCs/>
          <w:kern w:val="0"/>
          <w14:ligatures w14:val="none"/>
        </w:rPr>
        <w:br/>
      </w:r>
      <w:r w:rsidR="00B9642E" w:rsidRPr="00567BF3">
        <w:rPr>
          <w:rFonts w:eastAsia="Times New Roman"/>
          <w:kern w:val="0"/>
          <w14:ligatures w14:val="none"/>
        </w:rPr>
        <w:t>Describe your high-quality curriculum and instruction aligned with California CTE M</w:t>
      </w:r>
      <w:r w:rsidR="00937369" w:rsidRPr="00567BF3">
        <w:rPr>
          <w:rFonts w:eastAsia="Times New Roman"/>
          <w:kern w:val="0"/>
          <w14:ligatures w14:val="none"/>
        </w:rPr>
        <w:t>CS</w:t>
      </w:r>
      <w:r w:rsidR="00B9642E" w:rsidRPr="00567BF3">
        <w:rPr>
          <w:rFonts w:eastAsia="Times New Roman"/>
          <w:kern w:val="0"/>
          <w14:ligatures w14:val="none"/>
        </w:rPr>
        <w:t>. Explain how your programs provide a coherent sequence of CTE courses that enable students to transition to employment or postsecondary education. As applicable, address how your programs either (A) integrate academic and CTE instruction and offer Advanced Placement, International Baccalaureate, or dual enrollment opportunities, or (B) allow students to attain employment upon graduation including through industry certifications, preapprenticeships, or apprenticeships.</w:t>
      </w:r>
    </w:p>
    <w:p w14:paraId="22925501" w14:textId="17F8939D" w:rsidR="00B9642E" w:rsidRPr="00567BF3" w:rsidRDefault="00576C85"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2: Career Exploration/WBL (UPDATED)</w:t>
      </w:r>
      <w:r w:rsidRPr="00567BF3">
        <w:rPr>
          <w:rFonts w:eastAsia="Times New Roman"/>
          <w:b/>
          <w:bCs/>
          <w:kern w:val="0"/>
          <w14:ligatures w14:val="none"/>
        </w:rPr>
        <w:br/>
      </w:r>
      <w:r w:rsidRPr="00567BF3">
        <w:rPr>
          <w:rFonts w:eastAsia="Times New Roman"/>
          <w:b/>
          <w:bCs/>
          <w:i/>
          <w:iCs/>
          <w:kern w:val="0"/>
          <w14:ligatures w14:val="none"/>
        </w:rPr>
        <w:t>(New Grantees: REQUIRED; Renewal Grantees: REQUIRED)</w:t>
      </w:r>
      <w:r w:rsidRPr="00567BF3">
        <w:rPr>
          <w:rFonts w:eastAsia="Times New Roman"/>
          <w:kern w:val="0"/>
          <w14:ligatures w14:val="none"/>
        </w:rPr>
        <w:br/>
      </w:r>
      <w:r w:rsidR="00B9642E" w:rsidRPr="00567BF3">
        <w:rPr>
          <w:rFonts w:eastAsia="Times New Roman"/>
          <w:kern w:val="0"/>
          <w14:ligatures w14:val="none"/>
        </w:rPr>
        <w:t xml:space="preserve">Describe how your programs provide students with quality career exploration, guidance, and a continuum of work-based learning opportunities aligned with </w:t>
      </w:r>
      <w:r w:rsidR="00B9642E" w:rsidRPr="00567BF3">
        <w:rPr>
          <w:rFonts w:eastAsia="Times New Roman"/>
          <w:kern w:val="0"/>
          <w14:ligatures w14:val="none"/>
        </w:rPr>
        <w:lastRenderedPageBreak/>
        <w:t xml:space="preserve">academic coursework. Include information about paid internships and </w:t>
      </w:r>
      <w:r w:rsidRPr="00567BF3">
        <w:rPr>
          <w:rFonts w:eastAsia="Times New Roman"/>
          <w:kern w:val="0"/>
          <w14:ligatures w14:val="none"/>
        </w:rPr>
        <w:t>service-learning</w:t>
      </w:r>
      <w:r w:rsidR="00B9642E" w:rsidRPr="00567BF3">
        <w:rPr>
          <w:rFonts w:eastAsia="Times New Roman"/>
          <w:kern w:val="0"/>
          <w14:ligatures w14:val="none"/>
        </w:rPr>
        <w:t xml:space="preserve"> opportunities, as applicable.</w:t>
      </w:r>
    </w:p>
    <w:p w14:paraId="62D3CD32" w14:textId="36F40614" w:rsidR="00B9642E" w:rsidRPr="00567BF3" w:rsidRDefault="00576C85"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3: Student Support Services</w:t>
      </w:r>
      <w:r w:rsidRPr="00567BF3">
        <w:rPr>
          <w:rFonts w:eastAsia="Times New Roman"/>
          <w:b/>
          <w:bCs/>
          <w:kern w:val="0"/>
          <w14:ligatures w14:val="none"/>
        </w:rPr>
        <w:br/>
      </w:r>
      <w:r w:rsidRPr="00567BF3">
        <w:rPr>
          <w:rFonts w:eastAsia="Times New Roman"/>
          <w:b/>
          <w:bCs/>
          <w:i/>
          <w:iCs/>
          <w:kern w:val="0"/>
          <w14:ligatures w14:val="none"/>
        </w:rPr>
        <w:t>(New Grantees: REQUIRED; Renewal Grantees: NOT REQUIRED)</w:t>
      </w:r>
      <w:r w:rsidRPr="00567BF3">
        <w:rPr>
          <w:rFonts w:eastAsia="Times New Roman"/>
          <w:b/>
          <w:bCs/>
          <w:i/>
          <w:iCs/>
          <w:kern w:val="0"/>
          <w14:ligatures w14:val="none"/>
        </w:rPr>
        <w:br/>
      </w:r>
      <w:r w:rsidR="00B9642E" w:rsidRPr="00567BF3">
        <w:rPr>
          <w:rFonts w:eastAsia="Times New Roman"/>
          <w:kern w:val="0"/>
          <w14:ligatures w14:val="none"/>
        </w:rPr>
        <w:t>Describe how your programs provide student support services including counseling and leadership development to address students' social, emotional, career, and academic needs.</w:t>
      </w:r>
    </w:p>
    <w:p w14:paraId="7273DC17" w14:textId="2E752D54"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4: System Alignment</w:t>
      </w:r>
      <w:r w:rsidR="00576C85" w:rsidRPr="00567BF3">
        <w:rPr>
          <w:rFonts w:eastAsia="Times New Roman"/>
          <w:b/>
          <w:bCs/>
          <w:kern w:val="0"/>
          <w14:ligatures w14:val="none"/>
        </w:rPr>
        <w:t xml:space="preserve"> (UPDATED)</w:t>
      </w:r>
      <w:r w:rsidR="00576C85" w:rsidRPr="00567BF3">
        <w:rPr>
          <w:rFonts w:eastAsia="Times New Roman"/>
          <w:kern w:val="0"/>
          <w14:ligatures w14:val="none"/>
        </w:rPr>
        <w:br/>
      </w:r>
      <w:r w:rsidR="00576C85" w:rsidRPr="00567BF3">
        <w:rPr>
          <w:rFonts w:eastAsia="Times New Roman"/>
          <w:b/>
          <w:bCs/>
          <w:i/>
          <w:iCs/>
          <w:kern w:val="0"/>
          <w14:ligatures w14:val="none"/>
        </w:rPr>
        <w:t>(New Grantees: REQUIRED; Renewal Grantees: REQUIRED)</w:t>
      </w:r>
      <w:r w:rsidR="00576C85" w:rsidRPr="00567BF3">
        <w:rPr>
          <w:rFonts w:eastAsia="Times New Roman"/>
          <w:kern w:val="0"/>
          <w14:ligatures w14:val="none"/>
        </w:rPr>
        <w:br/>
      </w:r>
      <w:r w:rsidRPr="00567BF3">
        <w:rPr>
          <w:rFonts w:eastAsia="Times New Roman"/>
          <w:kern w:val="0"/>
          <w14:ligatures w14:val="none"/>
        </w:rPr>
        <w:t>Describe how your programs provide system alignment, coherence, and articulation through ongoing and structural regional or local partnerships with postsecondary institutions. Include information about formal written agreements for dual enrollment and partnerships to establish new or expand existing career pathways. As applicable, address focus areas including green technology, health care, information technology, education, and artificial intelligence.</w:t>
      </w:r>
    </w:p>
    <w:p w14:paraId="61CF51E5" w14:textId="667A2C21"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5: Labor</w:t>
      </w:r>
      <w:r w:rsidR="00576C85" w:rsidRPr="00567BF3">
        <w:rPr>
          <w:rFonts w:eastAsia="Times New Roman"/>
          <w:b/>
          <w:bCs/>
          <w:kern w:val="0"/>
          <w14:ligatures w14:val="none"/>
        </w:rPr>
        <w:t>/</w:t>
      </w:r>
      <w:r w:rsidRPr="00567BF3">
        <w:rPr>
          <w:rFonts w:eastAsia="Times New Roman"/>
          <w:b/>
          <w:bCs/>
          <w:kern w:val="0"/>
          <w14:ligatures w14:val="none"/>
        </w:rPr>
        <w:t>Business Collaboration</w:t>
      </w:r>
      <w:r w:rsidR="00576C85" w:rsidRPr="00567BF3">
        <w:rPr>
          <w:rFonts w:eastAsia="Times New Roman"/>
          <w:b/>
          <w:bCs/>
          <w:kern w:val="0"/>
          <w14:ligatures w14:val="none"/>
        </w:rPr>
        <w:t xml:space="preserve"> (U</w:t>
      </w:r>
      <w:r w:rsidR="00B466DB">
        <w:rPr>
          <w:rFonts w:eastAsia="Times New Roman"/>
          <w:b/>
          <w:bCs/>
          <w:kern w:val="0"/>
          <w14:ligatures w14:val="none"/>
        </w:rPr>
        <w:t>P</w:t>
      </w:r>
      <w:r w:rsidR="00576C85" w:rsidRPr="00567BF3">
        <w:rPr>
          <w:rFonts w:eastAsia="Times New Roman"/>
          <w:b/>
          <w:bCs/>
          <w:kern w:val="0"/>
          <w14:ligatures w14:val="none"/>
        </w:rPr>
        <w:t>DATED)</w:t>
      </w:r>
      <w:r w:rsidR="00576C85" w:rsidRPr="00567BF3">
        <w:rPr>
          <w:rFonts w:eastAsia="Times New Roman"/>
          <w:b/>
          <w:bCs/>
          <w:kern w:val="0"/>
          <w14:ligatures w14:val="none"/>
        </w:rPr>
        <w:br/>
      </w:r>
      <w:r w:rsidR="00576C85" w:rsidRPr="00567BF3">
        <w:rPr>
          <w:rFonts w:eastAsia="Times New Roman"/>
          <w:b/>
          <w:bCs/>
          <w:i/>
          <w:iCs/>
          <w:kern w:val="0"/>
          <w14:ligatures w14:val="none"/>
        </w:rPr>
        <w:t>(New Grantees: REQUIRED; Renewal Grantees: REQUIRED)</w:t>
      </w:r>
      <w:r w:rsidR="00576C85" w:rsidRPr="00567BF3">
        <w:rPr>
          <w:rFonts w:eastAsia="Times New Roman"/>
          <w:b/>
          <w:bCs/>
          <w:kern w:val="0"/>
          <w14:ligatures w14:val="none"/>
        </w:rPr>
        <w:br/>
      </w:r>
      <w:r w:rsidRPr="00567BF3">
        <w:rPr>
          <w:rFonts w:eastAsia="Times New Roman"/>
          <w:kern w:val="0"/>
          <w14:ligatures w14:val="none"/>
        </w:rPr>
        <w:t>Describe how your programs collaborate with labor and business entities for purposes of student placement in apprenticeships, preapprenticeships, dual enrollment opportunities, earn and learn opportunities, service learning, and work-based learning opportunities.</w:t>
      </w:r>
    </w:p>
    <w:p w14:paraId="69859BA0" w14:textId="55D3B835"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6: Extended Learning Opportunities</w:t>
      </w:r>
      <w:r w:rsidR="00576C85" w:rsidRPr="00567BF3">
        <w:rPr>
          <w:rFonts w:eastAsia="Times New Roman"/>
          <w:b/>
          <w:bCs/>
          <w:kern w:val="0"/>
          <w14:ligatures w14:val="none"/>
        </w:rPr>
        <w:t xml:space="preserve"> (U</w:t>
      </w:r>
      <w:r w:rsidR="00B466DB">
        <w:rPr>
          <w:rFonts w:eastAsia="Times New Roman"/>
          <w:b/>
          <w:bCs/>
          <w:kern w:val="0"/>
          <w14:ligatures w14:val="none"/>
        </w:rPr>
        <w:t>P</w:t>
      </w:r>
      <w:r w:rsidR="00576C85" w:rsidRPr="00567BF3">
        <w:rPr>
          <w:rFonts w:eastAsia="Times New Roman"/>
          <w:b/>
          <w:bCs/>
          <w:kern w:val="0"/>
          <w14:ligatures w14:val="none"/>
        </w:rPr>
        <w:t>DATED)</w:t>
      </w:r>
      <w:r w:rsidR="00576C85" w:rsidRPr="00567BF3">
        <w:rPr>
          <w:rFonts w:eastAsia="Times New Roman"/>
          <w:b/>
          <w:bCs/>
          <w:kern w:val="0"/>
          <w14:ligatures w14:val="none"/>
        </w:rPr>
        <w:br/>
      </w:r>
      <w:r w:rsidR="00576C85" w:rsidRPr="00567BF3">
        <w:rPr>
          <w:rFonts w:eastAsia="Times New Roman"/>
          <w:b/>
          <w:bCs/>
          <w:i/>
          <w:iCs/>
          <w:kern w:val="0"/>
          <w14:ligatures w14:val="none"/>
        </w:rPr>
        <w:t xml:space="preserve">(New Grantees: REQUIRED; Renewal Grantees: </w:t>
      </w:r>
      <w:r w:rsidR="00302104" w:rsidRPr="00567BF3">
        <w:rPr>
          <w:rFonts w:eastAsia="Times New Roman"/>
          <w:b/>
          <w:bCs/>
          <w:i/>
          <w:iCs/>
          <w:kern w:val="0"/>
          <w14:ligatures w14:val="none"/>
        </w:rPr>
        <w:t xml:space="preserve">NOT </w:t>
      </w:r>
      <w:r w:rsidR="00576C85" w:rsidRPr="00567BF3">
        <w:rPr>
          <w:rFonts w:eastAsia="Times New Roman"/>
          <w:b/>
          <w:bCs/>
          <w:i/>
          <w:iCs/>
          <w:kern w:val="0"/>
          <w14:ligatures w14:val="none"/>
        </w:rPr>
        <w:t>REQUIRED)</w:t>
      </w:r>
      <w:r w:rsidR="00576C85" w:rsidRPr="00567BF3">
        <w:rPr>
          <w:rFonts w:eastAsia="Times New Roman"/>
          <w:b/>
          <w:bCs/>
          <w:i/>
          <w:iCs/>
          <w:kern w:val="0"/>
          <w14:ligatures w14:val="none"/>
        </w:rPr>
        <w:br/>
      </w:r>
      <w:r w:rsidRPr="00567BF3">
        <w:rPr>
          <w:rFonts w:eastAsia="Times New Roman"/>
          <w:kern w:val="0"/>
          <w14:ligatures w14:val="none"/>
        </w:rPr>
        <w:t xml:space="preserve">Describe how your programs provide opportunities for students to participate in after school, extended day, and out-of-school internships, competitions, leadership development opportunities, </w:t>
      </w:r>
      <w:r w:rsidR="00F1229D" w:rsidRPr="00567BF3">
        <w:rPr>
          <w:rFonts w:eastAsia="Times New Roman"/>
          <w:kern w:val="0"/>
          <w14:ligatures w14:val="none"/>
        </w:rPr>
        <w:t>CTSO</w:t>
      </w:r>
      <w:r w:rsidRPr="00567BF3">
        <w:rPr>
          <w:rFonts w:eastAsia="Times New Roman"/>
          <w:kern w:val="0"/>
          <w14:ligatures w14:val="none"/>
        </w:rPr>
        <w:t>s, and other work-based learning opportunities.</w:t>
      </w:r>
    </w:p>
    <w:p w14:paraId="45B0365F" w14:textId="1DA82C12"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7: Workforce</w:t>
      </w:r>
      <w:r w:rsidR="00576C85" w:rsidRPr="00567BF3">
        <w:rPr>
          <w:rFonts w:eastAsia="Times New Roman"/>
          <w:b/>
          <w:bCs/>
          <w:kern w:val="0"/>
          <w14:ligatures w14:val="none"/>
        </w:rPr>
        <w:t>/Labor Market Alignment (U</w:t>
      </w:r>
      <w:r w:rsidR="00B466DB">
        <w:rPr>
          <w:rFonts w:eastAsia="Times New Roman"/>
          <w:b/>
          <w:bCs/>
          <w:kern w:val="0"/>
          <w14:ligatures w14:val="none"/>
        </w:rPr>
        <w:t>P</w:t>
      </w:r>
      <w:r w:rsidR="00576C85" w:rsidRPr="00567BF3">
        <w:rPr>
          <w:rFonts w:eastAsia="Times New Roman"/>
          <w:b/>
          <w:bCs/>
          <w:kern w:val="0"/>
          <w14:ligatures w14:val="none"/>
        </w:rPr>
        <w:t>DATED)</w:t>
      </w:r>
      <w:r w:rsidR="00576C85" w:rsidRPr="00567BF3">
        <w:rPr>
          <w:rFonts w:eastAsia="Times New Roman"/>
          <w:b/>
          <w:bCs/>
          <w:kern w:val="0"/>
          <w14:ligatures w14:val="none"/>
        </w:rPr>
        <w:br/>
      </w:r>
      <w:r w:rsidR="00576C85" w:rsidRPr="00567BF3">
        <w:rPr>
          <w:rFonts w:eastAsia="Times New Roman"/>
          <w:b/>
          <w:bCs/>
          <w:i/>
          <w:iCs/>
          <w:kern w:val="0"/>
          <w14:ligatures w14:val="none"/>
        </w:rPr>
        <w:t>(New Grantees: REQUIRED; Renewal Grantees: REQUIRED)</w:t>
      </w:r>
      <w:r w:rsidR="00576C85" w:rsidRPr="00567BF3">
        <w:rPr>
          <w:rFonts w:eastAsia="Times New Roman"/>
          <w:b/>
          <w:bCs/>
          <w:i/>
          <w:iCs/>
          <w:kern w:val="0"/>
          <w14:ligatures w14:val="none"/>
        </w:rPr>
        <w:br/>
      </w:r>
      <w:r w:rsidRPr="00567BF3">
        <w:rPr>
          <w:rFonts w:eastAsia="Times New Roman"/>
          <w:kern w:val="0"/>
          <w14:ligatures w14:val="none"/>
        </w:rPr>
        <w:t>Describe how your CTE programs and career pathways are aligned with workforce needs and labor market demand. Explain how your programs are informed by local, regional, or statewide economic and workforce development plans, Strong Workforce Program consortia plans, other relevant labor market information, and employer engagement.</w:t>
      </w:r>
    </w:p>
    <w:p w14:paraId="1422ADE9" w14:textId="60A05A75"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 xml:space="preserve">Standard 8: </w:t>
      </w:r>
      <w:r w:rsidR="009E4D5E" w:rsidRPr="00567BF3">
        <w:rPr>
          <w:b/>
          <w:bCs/>
        </w:rPr>
        <w:t>Pathways to Credentials, Postsecondary Opportunities, and Employment</w:t>
      </w:r>
      <w:r w:rsidR="00576C85" w:rsidRPr="00567BF3">
        <w:rPr>
          <w:rFonts w:eastAsia="Times New Roman"/>
          <w:b/>
          <w:bCs/>
          <w:kern w:val="0"/>
          <w14:ligatures w14:val="none"/>
        </w:rPr>
        <w:br/>
      </w:r>
      <w:r w:rsidR="00576C85" w:rsidRPr="00567BF3">
        <w:rPr>
          <w:rFonts w:eastAsia="Times New Roman"/>
          <w:b/>
          <w:bCs/>
          <w:i/>
          <w:iCs/>
          <w:kern w:val="0"/>
          <w14:ligatures w14:val="none"/>
        </w:rPr>
        <w:t>(New Grantees: REQUIRED; Renewal Grantees: NOT REQUIRED)</w:t>
      </w:r>
      <w:r w:rsidR="00576C85" w:rsidRPr="00567BF3">
        <w:rPr>
          <w:rFonts w:eastAsia="Times New Roman"/>
          <w:b/>
          <w:bCs/>
          <w:i/>
          <w:iCs/>
          <w:kern w:val="0"/>
          <w14:ligatures w14:val="none"/>
        </w:rPr>
        <w:br/>
      </w:r>
      <w:r w:rsidRPr="00567BF3">
        <w:rPr>
          <w:rFonts w:eastAsia="Times New Roman"/>
          <w:kern w:val="0"/>
          <w14:ligatures w14:val="none"/>
        </w:rPr>
        <w:t>Describe how your CTE programs lead to industry-recognized credentials or certificates, or appropriate postsecondary education or training, employment, or postsecondary degrees.</w:t>
      </w:r>
    </w:p>
    <w:p w14:paraId="11767D7E" w14:textId="6D517314"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lastRenderedPageBreak/>
        <w:t>Standard 9: Qualified Staff and Professional Development</w:t>
      </w:r>
      <w:r w:rsidR="00576C85" w:rsidRPr="00567BF3">
        <w:rPr>
          <w:rFonts w:eastAsia="Times New Roman"/>
          <w:b/>
          <w:bCs/>
          <w:kern w:val="0"/>
          <w14:ligatures w14:val="none"/>
        </w:rPr>
        <w:br/>
      </w:r>
      <w:r w:rsidR="00576C85" w:rsidRPr="00567BF3">
        <w:rPr>
          <w:rFonts w:eastAsia="Times New Roman"/>
          <w:b/>
          <w:bCs/>
          <w:i/>
          <w:iCs/>
          <w:kern w:val="0"/>
          <w14:ligatures w14:val="none"/>
        </w:rPr>
        <w:t>(New Grantees: REQUIRED; Renewal Grantees: NOT REQUIRED)</w:t>
      </w:r>
      <w:r w:rsidR="00576C85" w:rsidRPr="00567BF3">
        <w:rPr>
          <w:rFonts w:eastAsia="Times New Roman"/>
          <w:b/>
          <w:bCs/>
          <w:i/>
          <w:iCs/>
          <w:kern w:val="0"/>
          <w14:ligatures w14:val="none"/>
        </w:rPr>
        <w:br/>
      </w:r>
      <w:r w:rsidRPr="00567BF3">
        <w:rPr>
          <w:rFonts w:eastAsia="Times New Roman"/>
          <w:kern w:val="0"/>
          <w14:ligatures w14:val="none"/>
        </w:rPr>
        <w:t>Describe how your CTE programs are staffed by skilled</w:t>
      </w:r>
      <w:r w:rsidR="008741EC" w:rsidRPr="00567BF3">
        <w:rPr>
          <w:rFonts w:eastAsia="Times New Roman"/>
          <w:kern w:val="0"/>
          <w14:ligatures w14:val="none"/>
        </w:rPr>
        <w:t>, appropriately credentialed,</w:t>
      </w:r>
      <w:r w:rsidRPr="00567BF3">
        <w:rPr>
          <w:rFonts w:eastAsia="Times New Roman"/>
          <w:kern w:val="0"/>
          <w14:ligatures w14:val="none"/>
        </w:rPr>
        <w:t xml:space="preserve"> teachers or faculty and how you provide professional development opportunities for teachers or faculty members supporting students in those programs</w:t>
      </w:r>
      <w:r w:rsidR="008741EC" w:rsidRPr="00567BF3">
        <w:rPr>
          <w:rFonts w:eastAsia="Times New Roman"/>
          <w:kern w:val="0"/>
          <w14:ligatures w14:val="none"/>
        </w:rPr>
        <w:t>.</w:t>
      </w:r>
    </w:p>
    <w:p w14:paraId="09B906F2" w14:textId="7B6621FC"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10: Access for Students with Exceptional Needs</w:t>
      </w:r>
      <w:r w:rsidR="00576C85" w:rsidRPr="00567BF3">
        <w:rPr>
          <w:rFonts w:eastAsia="Times New Roman"/>
          <w:b/>
          <w:bCs/>
          <w:kern w:val="0"/>
          <w14:ligatures w14:val="none"/>
        </w:rPr>
        <w:br/>
      </w:r>
      <w:r w:rsidR="00576C85" w:rsidRPr="00567BF3">
        <w:rPr>
          <w:rFonts w:eastAsia="Times New Roman"/>
          <w:b/>
          <w:bCs/>
          <w:i/>
          <w:iCs/>
          <w:kern w:val="0"/>
          <w14:ligatures w14:val="none"/>
        </w:rPr>
        <w:t>(New Grantees: REQUIRED; Renewal Grantees: NOT REQUIRED)</w:t>
      </w:r>
      <w:r w:rsidR="00576C85" w:rsidRPr="00567BF3">
        <w:rPr>
          <w:rFonts w:eastAsia="Times New Roman"/>
          <w:b/>
          <w:bCs/>
          <w:kern w:val="0"/>
          <w14:ligatures w14:val="none"/>
        </w:rPr>
        <w:br/>
      </w:r>
      <w:r w:rsidRPr="00567BF3">
        <w:rPr>
          <w:rFonts w:eastAsia="Times New Roman"/>
          <w:kern w:val="0"/>
          <w14:ligatures w14:val="none"/>
        </w:rPr>
        <w:t>Describe how your programs provide opportunities for students who are individuals with exceptional needs to participate in all of your CTE programs.</w:t>
      </w:r>
    </w:p>
    <w:p w14:paraId="1A4C1FEC" w14:textId="28F615A2"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 xml:space="preserve">Standard 11: </w:t>
      </w:r>
      <w:r w:rsidR="009E4D5E" w:rsidRPr="00567BF3">
        <w:rPr>
          <w:b/>
          <w:bCs/>
        </w:rPr>
        <w:t>Underrepresented and Underserved Populations</w:t>
      </w:r>
      <w:r w:rsidR="00576C85" w:rsidRPr="00567BF3">
        <w:rPr>
          <w:b/>
          <w:bCs/>
        </w:rPr>
        <w:t xml:space="preserve"> (NEW)</w:t>
      </w:r>
      <w:r w:rsidR="00576C85" w:rsidRPr="00567BF3">
        <w:rPr>
          <w:b/>
          <w:bCs/>
        </w:rPr>
        <w:br/>
      </w:r>
      <w:r w:rsidR="00576C85" w:rsidRPr="00567BF3">
        <w:rPr>
          <w:b/>
          <w:bCs/>
          <w:i/>
          <w:iCs/>
        </w:rPr>
        <w:t>(New Grantees: REQUIRED; Renewal Grantees: REQUIRED)</w:t>
      </w:r>
      <w:r w:rsidR="00576C85" w:rsidRPr="00567BF3">
        <w:rPr>
          <w:rFonts w:eastAsia="Times New Roman"/>
          <w:b/>
          <w:bCs/>
          <w:kern w:val="0"/>
          <w14:ligatures w14:val="none"/>
        </w:rPr>
        <w:br/>
      </w:r>
      <w:r w:rsidRPr="00567BF3">
        <w:rPr>
          <w:rFonts w:eastAsia="Times New Roman"/>
          <w:kern w:val="0"/>
          <w14:ligatures w14:val="none"/>
        </w:rPr>
        <w:t>Describe how your programs provide opportunities for students from historically underrepresented communities, foster youth, adult learners, people with children, low-income students, English language learners, and other populations that struggle to access CTE and career pathway programs.</w:t>
      </w:r>
    </w:p>
    <w:p w14:paraId="75716870" w14:textId="277B1382" w:rsidR="00B9642E" w:rsidRPr="00567BF3" w:rsidRDefault="00B9642E" w:rsidP="00567BF3">
      <w:pPr>
        <w:numPr>
          <w:ilvl w:val="0"/>
          <w:numId w:val="18"/>
        </w:numPr>
        <w:spacing w:before="100" w:beforeAutospacing="1"/>
        <w:rPr>
          <w:rFonts w:eastAsia="Times New Roman"/>
          <w:kern w:val="0"/>
          <w14:ligatures w14:val="none"/>
        </w:rPr>
      </w:pPr>
      <w:r w:rsidRPr="00567BF3">
        <w:rPr>
          <w:rFonts w:eastAsia="Times New Roman"/>
          <w:b/>
          <w:bCs/>
          <w:kern w:val="0"/>
          <w14:ligatures w14:val="none"/>
        </w:rPr>
        <w:t>Standard 12: Data Reporting</w:t>
      </w:r>
      <w:r w:rsidR="00576C85" w:rsidRPr="00567BF3">
        <w:rPr>
          <w:rFonts w:eastAsia="Times New Roman"/>
          <w:b/>
          <w:bCs/>
          <w:kern w:val="0"/>
          <w14:ligatures w14:val="none"/>
        </w:rPr>
        <w:t xml:space="preserve"> (UPDATED)</w:t>
      </w:r>
      <w:r w:rsidR="00576C85" w:rsidRPr="00567BF3">
        <w:rPr>
          <w:rFonts w:eastAsia="Times New Roman"/>
          <w:b/>
          <w:bCs/>
          <w:kern w:val="0"/>
          <w14:ligatures w14:val="none"/>
        </w:rPr>
        <w:br/>
      </w:r>
      <w:r w:rsidR="00576C85" w:rsidRPr="00567BF3">
        <w:rPr>
          <w:b/>
          <w:bCs/>
          <w:i/>
          <w:iCs/>
        </w:rPr>
        <w:t>(New Grantees: REQUIRED; Renewal Grantees: REQUIRED)</w:t>
      </w:r>
      <w:r w:rsidR="00576C85" w:rsidRPr="00567BF3">
        <w:rPr>
          <w:b/>
          <w:bCs/>
          <w:i/>
          <w:iCs/>
        </w:rPr>
        <w:br/>
      </w:r>
      <w:r w:rsidRPr="00567BF3">
        <w:rPr>
          <w:rFonts w:eastAsia="Times New Roman"/>
          <w:kern w:val="0"/>
          <w14:ligatures w14:val="none"/>
        </w:rPr>
        <w:t xml:space="preserve">Describe your process for annually collecting required data to be entered in </w:t>
      </w:r>
      <w:r w:rsidR="00A6335D" w:rsidRPr="00567BF3">
        <w:rPr>
          <w:rFonts w:eastAsia="Times New Roman"/>
          <w:kern w:val="0"/>
          <w14:ligatures w14:val="none"/>
        </w:rPr>
        <w:t>CALPADS</w:t>
      </w:r>
      <w:r w:rsidRPr="00567BF3">
        <w:rPr>
          <w:rFonts w:eastAsia="Times New Roman"/>
          <w:kern w:val="0"/>
          <w14:ligatures w14:val="none"/>
        </w:rPr>
        <w:t xml:space="preserve"> per </w:t>
      </w:r>
      <w:r w:rsidRPr="00567BF3">
        <w:rPr>
          <w:rFonts w:eastAsia="Times New Roman"/>
          <w:i/>
          <w:iCs/>
          <w:kern w:val="0"/>
          <w14:ligatures w14:val="none"/>
        </w:rPr>
        <w:t>EC</w:t>
      </w:r>
      <w:r w:rsidRPr="00567BF3">
        <w:rPr>
          <w:rFonts w:eastAsia="Times New Roman"/>
          <w:kern w:val="0"/>
          <w14:ligatures w14:val="none"/>
        </w:rPr>
        <w:t xml:space="preserve"> Section 53071(c)(12).</w:t>
      </w:r>
    </w:p>
    <w:p w14:paraId="2FB6C15B" w14:textId="77777777" w:rsidR="00A6335D" w:rsidRPr="00567BF3" w:rsidRDefault="00A6335D" w:rsidP="00645B74">
      <w:pPr>
        <w:pStyle w:val="Heading3"/>
      </w:pPr>
      <w:bookmarkStart w:id="24" w:name="_Toc228885217"/>
      <w:r w:rsidRPr="00567BF3">
        <w:t>Application Component: Budget and Budget Narrative</w:t>
      </w:r>
      <w:bookmarkEnd w:id="24"/>
    </w:p>
    <w:p w14:paraId="11249A5A" w14:textId="5EB337FA" w:rsidR="00A6335D" w:rsidRPr="00567BF3" w:rsidRDefault="00A6335D" w:rsidP="00567BF3">
      <w:r w:rsidRPr="00567BF3">
        <w:t xml:space="preserve">Each applicant must provide a proposed budget utilizing the request amount as their guide. The Budget includes individual entry tables for each Object Code (1000–7000). Applicants must provide detailed descriptions of proposed expenditures for each line item. For each </w:t>
      </w:r>
      <w:r w:rsidR="0079446C" w:rsidRPr="00567BF3">
        <w:t>expenditure,</w:t>
      </w:r>
      <w:r w:rsidRPr="00567BF3">
        <w:t xml:space="preserve"> the LEA must include a detailed description of budget items, match source, match amount ($2</w:t>
      </w:r>
      <w:r w:rsidR="0079446C" w:rsidRPr="00567BF3">
        <w:t xml:space="preserve"> to</w:t>
      </w:r>
      <w:r w:rsidR="004A1D6F">
        <w:t xml:space="preserve"> </w:t>
      </w:r>
      <w:r w:rsidRPr="00567BF3">
        <w:t xml:space="preserve">$1 ratio), and CTEIG amount (FY 2026–27). </w:t>
      </w:r>
    </w:p>
    <w:p w14:paraId="6E17A8AD" w14:textId="07597E71" w:rsidR="0056595A" w:rsidRPr="00567BF3" w:rsidRDefault="00B9642E" w:rsidP="00645B74">
      <w:pPr>
        <w:pStyle w:val="Heading3"/>
      </w:pPr>
      <w:bookmarkStart w:id="25" w:name="_Toc228885218"/>
      <w:r w:rsidRPr="00567BF3">
        <w:t xml:space="preserve">Application </w:t>
      </w:r>
      <w:r w:rsidR="003C2E31" w:rsidRPr="00567BF3">
        <w:t>Question</w:t>
      </w:r>
      <w:r w:rsidR="0061365F" w:rsidRPr="00567BF3">
        <w:t>s</w:t>
      </w:r>
      <w:r w:rsidR="003C2E31" w:rsidRPr="00567BF3">
        <w:t>/Components</w:t>
      </w:r>
      <w:r w:rsidRPr="00567BF3">
        <w:t xml:space="preserve">: </w:t>
      </w:r>
      <w:r w:rsidR="0056595A" w:rsidRPr="00567BF3">
        <w:t>Positive Considerations</w:t>
      </w:r>
      <w:bookmarkEnd w:id="25"/>
    </w:p>
    <w:p w14:paraId="3163F4DE" w14:textId="253CDCF7" w:rsidR="0056595A" w:rsidRPr="00567BF3" w:rsidRDefault="0056595A" w:rsidP="00567BF3">
      <w:r w:rsidRPr="00567BF3">
        <w:t xml:space="preserve">Per </w:t>
      </w:r>
      <w:r w:rsidRPr="00567BF3">
        <w:rPr>
          <w:i/>
          <w:iCs/>
        </w:rPr>
        <w:t>EC</w:t>
      </w:r>
      <w:r w:rsidRPr="00567BF3">
        <w:t xml:space="preserve"> Section 53075, the following characteristics receive positive consideration when determining grant recipients. The CDE automatically verifies several factors</w:t>
      </w:r>
      <w:r w:rsidR="0061322F" w:rsidRPr="00567BF3">
        <w:t>, while</w:t>
      </w:r>
      <w:r w:rsidRPr="00567BF3">
        <w:t xml:space="preserve"> applicants must respond </w:t>
      </w:r>
      <w:r w:rsidR="008C5C3E" w:rsidRPr="00567BF3">
        <w:t>to</w:t>
      </w:r>
      <w:r w:rsidRPr="00567BF3">
        <w:t xml:space="preserve"> others in the application.</w:t>
      </w:r>
    </w:p>
    <w:p w14:paraId="103F9C7B" w14:textId="77777777" w:rsidR="00920A55" w:rsidRPr="00567BF3" w:rsidRDefault="00920A55" w:rsidP="00567BF3">
      <w:pPr>
        <w:pStyle w:val="PlainText"/>
        <w:rPr>
          <w:rFonts w:ascii="Arial" w:hAnsi="Arial"/>
          <w:sz w:val="24"/>
          <w:szCs w:val="24"/>
        </w:rPr>
      </w:pPr>
      <w:r w:rsidRPr="00567BF3">
        <w:rPr>
          <w:rFonts w:ascii="Arial" w:hAnsi="Arial"/>
          <w:sz w:val="24"/>
          <w:szCs w:val="24"/>
        </w:rPr>
        <w:t>Each positive consideration is based on the eligibility of the Fiscal Agent of a consortia; or an individual LEA if not applying as part of a consortium.</w:t>
      </w:r>
    </w:p>
    <w:p w14:paraId="134A9EE9" w14:textId="77777777" w:rsidR="008C5C3E" w:rsidRPr="00567BF3" w:rsidRDefault="008C5C3E" w:rsidP="00F924E9">
      <w:pPr>
        <w:pStyle w:val="Heading3"/>
      </w:pPr>
      <w:r w:rsidRPr="00567BF3">
        <w:t>Positive Considerations Application Responses</w:t>
      </w:r>
    </w:p>
    <w:p w14:paraId="30BF12CF" w14:textId="3CC2C31E" w:rsidR="008C5C3E" w:rsidRPr="00567BF3" w:rsidRDefault="008C5C3E" w:rsidP="00567BF3">
      <w:r w:rsidRPr="00567BF3">
        <w:t xml:space="preserve">The following describes what applicants will be asked to provide or what the CDE will verify regarding each positive consideration as specified in </w:t>
      </w:r>
      <w:r w:rsidRPr="00567BF3">
        <w:rPr>
          <w:i/>
          <w:iCs/>
        </w:rPr>
        <w:t>EC</w:t>
      </w:r>
      <w:r w:rsidRPr="00567BF3">
        <w:t xml:space="preserve"> Section 53075.</w:t>
      </w:r>
    </w:p>
    <w:p w14:paraId="2D416897" w14:textId="59C4A1AE" w:rsidR="008C5C3E" w:rsidRPr="00567BF3" w:rsidRDefault="008C5C3E" w:rsidP="00567BF3">
      <w:pPr>
        <w:numPr>
          <w:ilvl w:val="0"/>
          <w:numId w:val="17"/>
        </w:numPr>
      </w:pPr>
      <w:r w:rsidRPr="00567BF3">
        <w:rPr>
          <w:b/>
          <w:bCs/>
        </w:rPr>
        <w:lastRenderedPageBreak/>
        <w:t>Serving Unduplicated Students:</w:t>
      </w:r>
      <w:r w:rsidRPr="00567BF3">
        <w:t xml:space="preserve"> Automatically verified by CDE using data from </w:t>
      </w:r>
      <w:r w:rsidR="00A6335D" w:rsidRPr="00567BF3">
        <w:t>CALPADS</w:t>
      </w:r>
      <w:r w:rsidRPr="00567BF3">
        <w:t xml:space="preserve"> per </w:t>
      </w:r>
      <w:r w:rsidRPr="00567BF3">
        <w:rPr>
          <w:i/>
          <w:iCs/>
        </w:rPr>
        <w:t>EC</w:t>
      </w:r>
      <w:r w:rsidRPr="00567BF3">
        <w:t xml:space="preserve"> Section 42238.02</w:t>
      </w:r>
      <w:r w:rsidR="004A1D6F">
        <w:t>, which can be found on</w:t>
      </w:r>
      <w:r w:rsidR="004A1D6F" w:rsidRPr="006E693E">
        <w:t xml:space="preserve"> </w:t>
      </w:r>
      <w:r w:rsidR="004A1D6F">
        <w:t xml:space="preserve">the </w:t>
      </w:r>
      <w:hyperlink r:id="rId16" w:tooltip="CALPADS Unduplicated Pupil Count Downloadable Data" w:history="1">
        <w:r w:rsidR="004A1D6F" w:rsidRPr="00762A28">
          <w:rPr>
            <w:rStyle w:val="Hyperlink"/>
          </w:rPr>
          <w:t>CALPADS Unduplicated Pupil Count Downloadable Data</w:t>
        </w:r>
      </w:hyperlink>
      <w:r w:rsidR="004A1D6F">
        <w:t xml:space="preserve"> web page</w:t>
      </w:r>
      <w:r w:rsidRPr="00567BF3">
        <w:t>. Includes free or reduced-price lunch-eligible students, English learners, and foster youth. No applicant response required.</w:t>
      </w:r>
      <w:r w:rsidR="00FA7C14" w:rsidRPr="00567BF3">
        <w:t xml:space="preserve"> </w:t>
      </w:r>
    </w:p>
    <w:p w14:paraId="41563715" w14:textId="05F6362B" w:rsidR="008C5C3E" w:rsidRPr="00567BF3" w:rsidRDefault="008C5C3E" w:rsidP="00567BF3">
      <w:pPr>
        <w:numPr>
          <w:ilvl w:val="0"/>
          <w:numId w:val="17"/>
        </w:numPr>
      </w:pPr>
      <w:r w:rsidRPr="00567BF3">
        <w:rPr>
          <w:b/>
          <w:bCs/>
        </w:rPr>
        <w:t>Serving Student Subgroups with Higher-Than-Average Dropout Rates</w:t>
      </w:r>
      <w:r w:rsidRPr="00567BF3">
        <w:t>: Automatically verified by CDE using the CDE Adjusted Cohort Graduation and Student Outcome Data database based on Superintendent-identified subgroups</w:t>
      </w:r>
      <w:r w:rsidR="004A1D6F">
        <w:t xml:space="preserve">, which can be found on the </w:t>
      </w:r>
      <w:hyperlink r:id="rId17" w:tooltip="Adjusted Cohort Graduation Rate and Outcome Data" w:history="1">
        <w:r w:rsidR="004A1D6F" w:rsidRPr="00A37587">
          <w:rPr>
            <w:rStyle w:val="Hyperlink"/>
          </w:rPr>
          <w:t>Adjusted Cohort Graduation Rate and Outcome Data</w:t>
        </w:r>
      </w:hyperlink>
      <w:r w:rsidR="004A1D6F">
        <w:t xml:space="preserve"> web page</w:t>
      </w:r>
      <w:r w:rsidRPr="00567BF3">
        <w:t>. No applicant response required.</w:t>
      </w:r>
    </w:p>
    <w:p w14:paraId="68319639" w14:textId="1C785130" w:rsidR="008C5C3E" w:rsidRPr="00567BF3" w:rsidRDefault="008C5C3E" w:rsidP="00567BF3">
      <w:pPr>
        <w:numPr>
          <w:ilvl w:val="0"/>
          <w:numId w:val="17"/>
        </w:numPr>
      </w:pPr>
      <w:r w:rsidRPr="00567BF3">
        <w:rPr>
          <w:b/>
          <w:bCs/>
        </w:rPr>
        <w:t>Located in Area with High Unemployment or High Poverty Rate:</w:t>
      </w:r>
      <w:r w:rsidRPr="00567BF3">
        <w:t xml:space="preserve"> Automatically v</w:t>
      </w:r>
      <w:r w:rsidR="0061365F" w:rsidRPr="00567BF3">
        <w:t>erified by the CDE.</w:t>
      </w:r>
    </w:p>
    <w:p w14:paraId="00D99425" w14:textId="5188CE7C" w:rsidR="008C5C3E" w:rsidRPr="00567BF3" w:rsidRDefault="008C5C3E" w:rsidP="00567BF3">
      <w:pPr>
        <w:numPr>
          <w:ilvl w:val="1"/>
          <w:numId w:val="17"/>
        </w:numPr>
      </w:pPr>
      <w:r w:rsidRPr="00567BF3">
        <w:t xml:space="preserve">The unemployment rates </w:t>
      </w:r>
      <w:r w:rsidR="00BE6224" w:rsidRPr="00567BF3">
        <w:t>posted on December 12, 2025</w:t>
      </w:r>
      <w:r w:rsidR="004A1D6F">
        <w:t>,</w:t>
      </w:r>
      <w:r w:rsidRPr="00567BF3">
        <w:t xml:space="preserve"> will be used to determine this positive consideration </w:t>
      </w:r>
      <w:r w:rsidR="00BE6224" w:rsidRPr="00567BF3">
        <w:t xml:space="preserve">which </w:t>
      </w:r>
      <w:r w:rsidRPr="00567BF3">
        <w:t xml:space="preserve">can be found </w:t>
      </w:r>
      <w:r w:rsidR="00BE6224" w:rsidRPr="00567BF3">
        <w:t xml:space="preserve">at </w:t>
      </w:r>
      <w:hyperlink r:id="rId18" w:history="1">
        <w:r w:rsidRPr="00567BF3">
          <w:rPr>
            <w:rStyle w:val="Hyperlink"/>
          </w:rPr>
          <w:t>California EDD Unemployment</w:t>
        </w:r>
      </w:hyperlink>
      <w:r w:rsidRPr="00567BF3">
        <w:t>. 150 percent of the state average of 5.</w:t>
      </w:r>
      <w:r w:rsidR="00BE6224" w:rsidRPr="00567BF3">
        <w:t>6</w:t>
      </w:r>
      <w:r w:rsidRPr="00567BF3">
        <w:t xml:space="preserve"> percent is 8.</w:t>
      </w:r>
      <w:r w:rsidR="00BE6224" w:rsidRPr="00567BF3">
        <w:t>4</w:t>
      </w:r>
      <w:r w:rsidRPr="00567BF3">
        <w:t xml:space="preserve"> percent. To receive this positive consideration the LEA County Unemployment rate must be 8</w:t>
      </w:r>
      <w:r w:rsidR="00BE6224" w:rsidRPr="00567BF3">
        <w:t xml:space="preserve">.4 </w:t>
      </w:r>
      <w:r w:rsidRPr="00567BF3">
        <w:t>percent or higher. No applicant response required.</w:t>
      </w:r>
    </w:p>
    <w:p w14:paraId="238BEC62" w14:textId="29F1DFDB" w:rsidR="008C5C3E" w:rsidRPr="00567BF3" w:rsidRDefault="008C5C3E" w:rsidP="00567BF3">
      <w:pPr>
        <w:numPr>
          <w:ilvl w:val="1"/>
          <w:numId w:val="17"/>
        </w:numPr>
      </w:pPr>
      <w:r w:rsidRPr="00567BF3">
        <w:t xml:space="preserve">The poverty rates which will be used to determine this positive consideration can be found on the </w:t>
      </w:r>
      <w:hyperlink r:id="rId19" w:anchor="/?s_state=06&amp;s_county=&amp;s_district=&amp;s_geography=county" w:history="1">
        <w:r w:rsidRPr="00567BF3">
          <w:rPr>
            <w:rStyle w:val="Hyperlink"/>
          </w:rPr>
          <w:t>SAIPE</w:t>
        </w:r>
      </w:hyperlink>
      <w:r w:rsidRPr="00567BF3">
        <w:t xml:space="preserve"> web page. 150 percent of the state average of 12 percent is 18 percent. To receive this positive consideration the LEA county poverty rate must be 18 percent or higher</w:t>
      </w:r>
      <w:r w:rsidR="00920A55" w:rsidRPr="00567BF3">
        <w:t>. No applicant response required.</w:t>
      </w:r>
    </w:p>
    <w:p w14:paraId="49F83794" w14:textId="5C867729" w:rsidR="008C5C3E" w:rsidRPr="00567BF3" w:rsidRDefault="008C5C3E" w:rsidP="00567BF3">
      <w:pPr>
        <w:numPr>
          <w:ilvl w:val="0"/>
          <w:numId w:val="17"/>
        </w:numPr>
      </w:pPr>
      <w:r w:rsidRPr="00567BF3">
        <w:rPr>
          <w:b/>
          <w:bCs/>
        </w:rPr>
        <w:t>Offering Existing High-Quality Regional-Based CTE Program</w:t>
      </w:r>
      <w:r w:rsidR="00920A55" w:rsidRPr="00567BF3">
        <w:rPr>
          <w:b/>
          <w:bCs/>
        </w:rPr>
        <w:t>:</w:t>
      </w:r>
      <w:r w:rsidRPr="00567BF3">
        <w:t xml:space="preserve"> If applicable, indicate whether your LEA operates as a JPA or COE. Provide brief description of the regional program and years in operation. If JPA is selected, the applicant will be required to upload a copy of the JPA agreement listing the Fiscal Agent as the primary LEA on the agreement.</w:t>
      </w:r>
    </w:p>
    <w:p w14:paraId="527909A6" w14:textId="1D398400" w:rsidR="008C5C3E" w:rsidRPr="00567BF3" w:rsidRDefault="008C5C3E" w:rsidP="00567BF3">
      <w:pPr>
        <w:numPr>
          <w:ilvl w:val="0"/>
          <w:numId w:val="17"/>
        </w:numPr>
      </w:pPr>
      <w:r w:rsidRPr="00567BF3">
        <w:rPr>
          <w:b/>
          <w:bCs/>
        </w:rPr>
        <w:t>Leveraging Existing Programs and Resources</w:t>
      </w:r>
      <w:r w:rsidR="00380969" w:rsidRPr="00567BF3">
        <w:rPr>
          <w:b/>
          <w:bCs/>
        </w:rPr>
        <w:t>:</w:t>
      </w:r>
      <w:r w:rsidRPr="00567BF3">
        <w:t xml:space="preserve"> If applicable, identify which programs your LEA leverages (Perkins V, California Partnership Academies, Agricultural CTE Incentive Grant, Golden State Pathways Program, or California Regional K</w:t>
      </w:r>
      <w:r w:rsidR="00920A55" w:rsidRPr="00567BF3">
        <w:t>–</w:t>
      </w:r>
      <w:r w:rsidRPr="00567BF3">
        <w:t>16 Education Collaboratives Grant Program). Describe how CTEIG funds will complement and strengthen existing efforts.</w:t>
      </w:r>
    </w:p>
    <w:p w14:paraId="0873F9D4" w14:textId="12BA10FD" w:rsidR="008C5C3E" w:rsidRPr="00567BF3" w:rsidRDefault="008C5C3E" w:rsidP="00567BF3">
      <w:pPr>
        <w:numPr>
          <w:ilvl w:val="0"/>
          <w:numId w:val="17"/>
        </w:numPr>
      </w:pPr>
      <w:r w:rsidRPr="00567BF3">
        <w:rPr>
          <w:b/>
          <w:bCs/>
        </w:rPr>
        <w:t>Contributions from Industry, Labor, and Philanthropic Sources</w:t>
      </w:r>
      <w:r w:rsidR="00380969" w:rsidRPr="00567BF3">
        <w:rPr>
          <w:b/>
          <w:bCs/>
        </w:rPr>
        <w:t>:</w:t>
      </w:r>
      <w:r w:rsidRPr="00567BF3">
        <w:t xml:space="preserve"> If applicable, provide total dollar amount of committed contributions, identify sources, describe type (cash/funding, equipment or materials, in-kind services, or personnel time/expertise), and explain how contributions support your CTE programs.</w:t>
      </w:r>
    </w:p>
    <w:p w14:paraId="6443E94B" w14:textId="10AAB517" w:rsidR="008C5C3E" w:rsidRPr="00567BF3" w:rsidRDefault="008C5C3E" w:rsidP="00567BF3">
      <w:pPr>
        <w:numPr>
          <w:ilvl w:val="0"/>
          <w:numId w:val="17"/>
        </w:numPr>
      </w:pPr>
      <w:r w:rsidRPr="00567BF3">
        <w:rPr>
          <w:b/>
          <w:bCs/>
        </w:rPr>
        <w:t>Regional Collaboration with Postsecondary Institutions</w:t>
      </w:r>
      <w:r w:rsidR="00380969" w:rsidRPr="00567BF3">
        <w:rPr>
          <w:b/>
          <w:bCs/>
        </w:rPr>
        <w:t>:</w:t>
      </w:r>
      <w:r w:rsidRPr="00567BF3">
        <w:t xml:space="preserve"> If applicable, identify postsecondary partners (community colleges, CSU, UC, or other </w:t>
      </w:r>
      <w:r w:rsidRPr="00567BF3">
        <w:lastRenderedPageBreak/>
        <w:t xml:space="preserve">institutions), specify type of formal written agreements in place (dual enrollment, articulation, CCAP partnership per </w:t>
      </w:r>
      <w:r w:rsidRPr="00567BF3">
        <w:rPr>
          <w:i/>
          <w:iCs/>
        </w:rPr>
        <w:t>EC</w:t>
      </w:r>
      <w:r w:rsidRPr="00567BF3">
        <w:t xml:space="preserve"> Section 76004, or other), and describe how partnerships align career pathway instruction with postsecondary requirements.</w:t>
      </w:r>
    </w:p>
    <w:p w14:paraId="1C59D3B1" w14:textId="393EF508" w:rsidR="008C5C3E" w:rsidRPr="00567BF3" w:rsidRDefault="008C5C3E" w:rsidP="00567BF3">
      <w:pPr>
        <w:numPr>
          <w:ilvl w:val="0"/>
          <w:numId w:val="17"/>
        </w:numPr>
      </w:pPr>
      <w:r w:rsidRPr="00567BF3">
        <w:rPr>
          <w:b/>
          <w:bCs/>
        </w:rPr>
        <w:t>Significant Investment in CTE Infrastructure, Equipment, and Facilities</w:t>
      </w:r>
      <w:r w:rsidR="00920A55" w:rsidRPr="00567BF3">
        <w:rPr>
          <w:b/>
          <w:bCs/>
        </w:rPr>
        <w:t>:</w:t>
      </w:r>
      <w:r w:rsidRPr="00567BF3">
        <w:t xml:space="preserve"> </w:t>
      </w:r>
      <w:r w:rsidR="00920A55" w:rsidRPr="00567BF3">
        <w:t>If applicable, p</w:t>
      </w:r>
      <w:r w:rsidRPr="00567BF3">
        <w:t>rovide total dollar amount of match investment in CTE infrastructure, equipment, facility repairs, and upgrades for this grant cycle. CDE will calculate as percentage of combined CTEIG and match budget. Investment of 25</w:t>
      </w:r>
      <w:r w:rsidR="00920A55" w:rsidRPr="00567BF3">
        <w:t xml:space="preserve"> percent</w:t>
      </w:r>
      <w:r w:rsidRPr="00567BF3">
        <w:t xml:space="preserve"> or more qualifies for positive consideration.</w:t>
      </w:r>
    </w:p>
    <w:p w14:paraId="7E53BF6D" w14:textId="2C0D611E" w:rsidR="00F924E9" w:rsidRDefault="008C5C3E" w:rsidP="00F924E9">
      <w:pPr>
        <w:numPr>
          <w:ilvl w:val="0"/>
          <w:numId w:val="17"/>
        </w:numPr>
      </w:pPr>
      <w:r w:rsidRPr="00567BF3">
        <w:rPr>
          <w:b/>
          <w:bCs/>
        </w:rPr>
        <w:t>Operating Within Rural School Districts</w:t>
      </w:r>
      <w:r w:rsidR="00380969" w:rsidRPr="00567BF3">
        <w:rPr>
          <w:b/>
          <w:bCs/>
        </w:rPr>
        <w:t xml:space="preserve">: </w:t>
      </w:r>
      <w:r w:rsidRPr="00567BF3">
        <w:t>Automatically verified by CDE using National Center for Education Statistics (NCES) Rural Codes</w:t>
      </w:r>
      <w:r w:rsidR="0068672C">
        <w:t xml:space="preserve"> which can be found at </w:t>
      </w:r>
      <w:hyperlink r:id="rId20" w:tooltip="NCES Locale Lookup" w:history="1">
        <w:r w:rsidR="0068672C" w:rsidRPr="00D0124A">
          <w:rPr>
            <w:rStyle w:val="Hyperlink"/>
          </w:rPr>
          <w:t>NCE</w:t>
        </w:r>
        <w:r w:rsidR="0068672C">
          <w:rPr>
            <w:rStyle w:val="Hyperlink"/>
          </w:rPr>
          <w:t>S</w:t>
        </w:r>
        <w:r w:rsidR="0068672C" w:rsidRPr="00D0124A">
          <w:rPr>
            <w:rStyle w:val="Hyperlink"/>
          </w:rPr>
          <w:t xml:space="preserve"> Locale Lookup</w:t>
        </w:r>
      </w:hyperlink>
      <w:r w:rsidR="0068672C">
        <w:t xml:space="preserve"> web page</w:t>
      </w:r>
      <w:r w:rsidRPr="00567BF3">
        <w:t>. No applicant response required.</w:t>
      </w:r>
      <w:bookmarkEnd w:id="23"/>
    </w:p>
    <w:p w14:paraId="2B0D26E1" w14:textId="2A1B8F43" w:rsidR="00F924E9" w:rsidRPr="00F924E9" w:rsidRDefault="00F924E9" w:rsidP="00F924E9">
      <w:pPr>
        <w:pStyle w:val="Heading3"/>
      </w:pPr>
      <w:r>
        <w:t>Additional Information Needed to Complete the Application</w:t>
      </w:r>
    </w:p>
    <w:p w14:paraId="6947031B" w14:textId="4747D63D" w:rsidR="005F7346" w:rsidRPr="00567BF3" w:rsidRDefault="005F7346" w:rsidP="00567BF3">
      <w:pPr>
        <w:suppressAutoHyphens/>
      </w:pPr>
      <w:r w:rsidRPr="00567BF3">
        <w:rPr>
          <w:rStyle w:val="None"/>
          <w:b/>
          <w:bCs/>
        </w:rPr>
        <w:t xml:space="preserve">Minimum Eligibility Standards Evidence: </w:t>
      </w:r>
      <w:r w:rsidRPr="00567BF3">
        <w:rPr>
          <w:rStyle w:val="None"/>
        </w:rPr>
        <w:t xml:space="preserve">The following information will be </w:t>
      </w:r>
      <w:r w:rsidR="00920A55" w:rsidRPr="00567BF3">
        <w:rPr>
          <w:rStyle w:val="None"/>
        </w:rPr>
        <w:t xml:space="preserve">requested to ensure </w:t>
      </w:r>
      <w:r w:rsidRPr="00567BF3">
        <w:t>your CTE program</w:t>
      </w:r>
      <w:r w:rsidR="00920A55" w:rsidRPr="00567BF3">
        <w:t xml:space="preserve">s </w:t>
      </w:r>
      <w:r w:rsidR="00312BB6" w:rsidRPr="00567BF3">
        <w:t>meet</w:t>
      </w:r>
      <w:r w:rsidR="00920A55" w:rsidRPr="00567BF3">
        <w:t xml:space="preserve"> the</w:t>
      </w:r>
      <w:r w:rsidRPr="00567BF3">
        <w:t xml:space="preserve"> minimum eligibility standards:</w:t>
      </w:r>
    </w:p>
    <w:p w14:paraId="06631E28" w14:textId="3770ABCE" w:rsidR="005F7346" w:rsidRPr="00567BF3" w:rsidRDefault="005F7346" w:rsidP="00567BF3">
      <w:pPr>
        <w:pStyle w:val="ListParagraph"/>
        <w:numPr>
          <w:ilvl w:val="0"/>
          <w:numId w:val="19"/>
        </w:numPr>
        <w:spacing w:after="240"/>
        <w:contextualSpacing w:val="0"/>
      </w:pPr>
      <w:r w:rsidRPr="00567BF3">
        <w:t xml:space="preserve">CTE </w:t>
      </w:r>
      <w:r w:rsidR="00F1229D" w:rsidRPr="00567BF3">
        <w:t>c</w:t>
      </w:r>
      <w:r w:rsidRPr="00567BF3">
        <w:t xml:space="preserve">ourse </w:t>
      </w:r>
      <w:r w:rsidR="00F1229D" w:rsidRPr="00567BF3">
        <w:t>n</w:t>
      </w:r>
      <w:r w:rsidRPr="00567BF3">
        <w:t>ame</w:t>
      </w:r>
      <w:r w:rsidR="00D976F8" w:rsidRPr="00567BF3">
        <w:t xml:space="preserve">s and </w:t>
      </w:r>
      <w:r w:rsidR="00A6335D" w:rsidRPr="00567BF3">
        <w:t>CALPADS</w:t>
      </w:r>
      <w:r w:rsidRPr="00567BF3">
        <w:t xml:space="preserve"> </w:t>
      </w:r>
      <w:r w:rsidR="00D976F8" w:rsidRPr="00567BF3">
        <w:t xml:space="preserve">course </w:t>
      </w:r>
      <w:r w:rsidR="00F1229D" w:rsidRPr="00567BF3">
        <w:t>c</w:t>
      </w:r>
      <w:r w:rsidRPr="00567BF3">
        <w:t>odes</w:t>
      </w:r>
    </w:p>
    <w:p w14:paraId="5B0E839B" w14:textId="780FE051" w:rsidR="00F1229D" w:rsidRPr="00567BF3" w:rsidRDefault="005F7346" w:rsidP="00567BF3">
      <w:pPr>
        <w:pStyle w:val="ListParagraph"/>
        <w:numPr>
          <w:ilvl w:val="0"/>
          <w:numId w:val="19"/>
        </w:numPr>
        <w:spacing w:after="240"/>
        <w:contextualSpacing w:val="0"/>
      </w:pPr>
      <w:r w:rsidRPr="00567BF3">
        <w:t>C</w:t>
      </w:r>
      <w:r w:rsidR="00F1229D" w:rsidRPr="00567BF3">
        <w:t xml:space="preserve">TSO </w:t>
      </w:r>
      <w:r w:rsidRPr="00567BF3">
        <w:t xml:space="preserve">or </w:t>
      </w:r>
      <w:r w:rsidR="00F1229D" w:rsidRPr="00567BF3">
        <w:t>a</w:t>
      </w:r>
      <w:r w:rsidRPr="00567BF3">
        <w:t xml:space="preserve">lternative </w:t>
      </w:r>
      <w:r w:rsidR="00F1229D" w:rsidRPr="00567BF3">
        <w:t>l</w:t>
      </w:r>
      <w:r w:rsidRPr="00567BF3">
        <w:t xml:space="preserve">eadership </w:t>
      </w:r>
      <w:r w:rsidR="00F1229D" w:rsidRPr="00567BF3">
        <w:t>s</w:t>
      </w:r>
      <w:r w:rsidRPr="00567BF3">
        <w:t>trategy</w:t>
      </w:r>
      <w:r w:rsidR="00F1229D" w:rsidRPr="00567BF3">
        <w:t xml:space="preserve"> tied to your CTE courses</w:t>
      </w:r>
    </w:p>
    <w:p w14:paraId="4DE20C58" w14:textId="77777777" w:rsidR="00F1229D" w:rsidRPr="00567BF3" w:rsidRDefault="005F7346" w:rsidP="00567BF3">
      <w:pPr>
        <w:pStyle w:val="ListParagraph"/>
        <w:numPr>
          <w:ilvl w:val="0"/>
          <w:numId w:val="19"/>
        </w:numPr>
        <w:spacing w:after="240"/>
        <w:contextualSpacing w:val="0"/>
      </w:pPr>
      <w:r w:rsidRPr="00567BF3">
        <w:t>Career Exploration Program</w:t>
      </w:r>
      <w:r w:rsidR="00F1229D" w:rsidRPr="00567BF3">
        <w:t xml:space="preserve"> information </w:t>
      </w:r>
    </w:p>
    <w:p w14:paraId="3FB6323B" w14:textId="77777777" w:rsidR="00F1229D" w:rsidRPr="00567BF3" w:rsidRDefault="00F1229D" w:rsidP="00567BF3">
      <w:pPr>
        <w:pStyle w:val="ListParagraph"/>
        <w:numPr>
          <w:ilvl w:val="0"/>
          <w:numId w:val="19"/>
        </w:numPr>
        <w:spacing w:after="240"/>
        <w:contextualSpacing w:val="0"/>
      </w:pPr>
      <w:r w:rsidRPr="00567BF3">
        <w:t>Attainable Industry c</w:t>
      </w:r>
      <w:r w:rsidR="005F7346" w:rsidRPr="00567BF3">
        <w:t>ertifications</w:t>
      </w:r>
    </w:p>
    <w:p w14:paraId="42452808" w14:textId="4B019945" w:rsidR="00F1229D" w:rsidRPr="00567BF3" w:rsidRDefault="005F7346" w:rsidP="00567BF3">
      <w:pPr>
        <w:pStyle w:val="ListParagraph"/>
        <w:numPr>
          <w:ilvl w:val="0"/>
          <w:numId w:val="19"/>
        </w:numPr>
        <w:spacing w:before="240" w:after="240"/>
        <w:contextualSpacing w:val="0"/>
      </w:pPr>
      <w:r w:rsidRPr="00567BF3">
        <w:t xml:space="preserve">Additional </w:t>
      </w:r>
      <w:r w:rsidR="00F1229D" w:rsidRPr="00567BF3">
        <w:t>c</w:t>
      </w:r>
      <w:r w:rsidRPr="00567BF3">
        <w:t xml:space="preserve">ertification </w:t>
      </w:r>
      <w:r w:rsidR="00F1229D" w:rsidRPr="00567BF3">
        <w:t>and</w:t>
      </w:r>
      <w:r w:rsidRPr="00567BF3">
        <w:t xml:space="preserve"> </w:t>
      </w:r>
      <w:r w:rsidR="00F1229D" w:rsidRPr="00567BF3">
        <w:t>c</w:t>
      </w:r>
      <w:r w:rsidRPr="00567BF3">
        <w:t xml:space="preserve">ompletion </w:t>
      </w:r>
      <w:r w:rsidR="00F1229D" w:rsidRPr="00567BF3">
        <w:t>p</w:t>
      </w:r>
      <w:r w:rsidRPr="00567BF3">
        <w:t>ossibilities</w:t>
      </w:r>
    </w:p>
    <w:p w14:paraId="196977E8" w14:textId="77777777" w:rsidR="00F1229D" w:rsidRPr="00567BF3" w:rsidRDefault="005F7346" w:rsidP="00567BF3">
      <w:pPr>
        <w:pStyle w:val="ListParagraph"/>
        <w:numPr>
          <w:ilvl w:val="0"/>
          <w:numId w:val="19"/>
        </w:numPr>
        <w:spacing w:after="240"/>
        <w:contextualSpacing w:val="0"/>
      </w:pPr>
      <w:r w:rsidRPr="00567BF3">
        <w:t xml:space="preserve">Teacher </w:t>
      </w:r>
      <w:r w:rsidR="00F1229D" w:rsidRPr="00567BF3">
        <w:t>n</w:t>
      </w:r>
      <w:r w:rsidRPr="00567BF3">
        <w:t>ame</w:t>
      </w:r>
      <w:r w:rsidR="00F1229D" w:rsidRPr="00567BF3">
        <w:t>, c</w:t>
      </w:r>
      <w:r w:rsidRPr="00567BF3">
        <w:t xml:space="preserve">redential </w:t>
      </w:r>
      <w:r w:rsidR="00F1229D" w:rsidRPr="00567BF3">
        <w:t>n</w:t>
      </w:r>
      <w:r w:rsidRPr="00567BF3">
        <w:t>ame</w:t>
      </w:r>
      <w:r w:rsidR="00F1229D" w:rsidRPr="00567BF3">
        <w:t>, and</w:t>
      </w:r>
      <w:r w:rsidRPr="00567BF3">
        <w:t xml:space="preserve"> </w:t>
      </w:r>
      <w:r w:rsidR="00F1229D" w:rsidRPr="00567BF3">
        <w:t>n</w:t>
      </w:r>
      <w:r w:rsidRPr="00567BF3">
        <w:t>umber</w:t>
      </w:r>
    </w:p>
    <w:p w14:paraId="0EE75CE8" w14:textId="490BC1CC" w:rsidR="005F7346" w:rsidRPr="00567BF3" w:rsidRDefault="005F7346" w:rsidP="00567BF3">
      <w:pPr>
        <w:pStyle w:val="ListParagraph"/>
        <w:numPr>
          <w:ilvl w:val="0"/>
          <w:numId w:val="19"/>
        </w:numPr>
        <w:spacing w:after="240"/>
        <w:contextualSpacing w:val="0"/>
      </w:pPr>
      <w:r w:rsidRPr="00567BF3">
        <w:t xml:space="preserve">CTE </w:t>
      </w:r>
      <w:r w:rsidR="00F1229D" w:rsidRPr="00567BF3">
        <w:t>r</w:t>
      </w:r>
      <w:r w:rsidRPr="00567BF3">
        <w:t xml:space="preserve">elated </w:t>
      </w:r>
      <w:r w:rsidR="00F1229D" w:rsidRPr="00567BF3">
        <w:t>p</w:t>
      </w:r>
      <w:r w:rsidRPr="00567BF3">
        <w:t xml:space="preserve">rofessional </w:t>
      </w:r>
      <w:r w:rsidR="00F1229D" w:rsidRPr="00567BF3">
        <w:t>d</w:t>
      </w:r>
      <w:r w:rsidRPr="00567BF3">
        <w:t xml:space="preserve">evelopment </w:t>
      </w:r>
      <w:r w:rsidR="00F1229D" w:rsidRPr="00567BF3">
        <w:t>teachers will be a</w:t>
      </w:r>
      <w:r w:rsidRPr="00567BF3">
        <w:t>ttending in</w:t>
      </w:r>
      <w:r w:rsidR="00F1229D" w:rsidRPr="00567BF3">
        <w:t xml:space="preserve"> the</w:t>
      </w:r>
      <w:r w:rsidRPr="00567BF3">
        <w:t xml:space="preserve"> </w:t>
      </w:r>
      <w:r w:rsidR="00F1229D" w:rsidRPr="00567BF3">
        <w:t>a</w:t>
      </w:r>
      <w:r w:rsidRPr="00567BF3">
        <w:t xml:space="preserve">pplication </w:t>
      </w:r>
      <w:r w:rsidR="00F1229D" w:rsidRPr="00567BF3">
        <w:t>y</w:t>
      </w:r>
      <w:r w:rsidRPr="00567BF3">
        <w:t>ear</w:t>
      </w:r>
    </w:p>
    <w:p w14:paraId="4D3FEE77" w14:textId="06478596" w:rsidR="00047E37" w:rsidRPr="00567BF3" w:rsidRDefault="005F7346" w:rsidP="00567BF3">
      <w:pPr>
        <w:suppressAutoHyphens/>
        <w:rPr>
          <w:rStyle w:val="None"/>
        </w:rPr>
      </w:pPr>
      <w:r w:rsidRPr="00567BF3">
        <w:rPr>
          <w:rStyle w:val="None"/>
          <w:b/>
          <w:bCs/>
        </w:rPr>
        <w:t xml:space="preserve">Positive Consideration Evidence: </w:t>
      </w:r>
      <w:r w:rsidR="00444E24" w:rsidRPr="00567BF3">
        <w:rPr>
          <w:rStyle w:val="None"/>
        </w:rPr>
        <w:t xml:space="preserve">If an LEA designates they operate as a JPA, they must upload a copy of their JPA agreement within the PGMS. The agreement must list the agency applying as the </w:t>
      </w:r>
      <w:r w:rsidR="00B37387" w:rsidRPr="00567BF3">
        <w:rPr>
          <w:rStyle w:val="None"/>
        </w:rPr>
        <w:t xml:space="preserve">Fiscal Agent as the head </w:t>
      </w:r>
      <w:r w:rsidR="00444E24" w:rsidRPr="00567BF3">
        <w:rPr>
          <w:rStyle w:val="None"/>
        </w:rPr>
        <w:t>of the JPA.</w:t>
      </w:r>
    </w:p>
    <w:p w14:paraId="49226535" w14:textId="77777777" w:rsidR="00CF26B5" w:rsidRPr="00567BF3" w:rsidRDefault="00CF26B5" w:rsidP="00567BF3">
      <w:pPr>
        <w:suppressAutoHyphens/>
      </w:pPr>
      <w:r w:rsidRPr="00567BF3">
        <w:rPr>
          <w:b/>
          <w:bCs/>
        </w:rPr>
        <w:t>LCAP and CALPADS Reporting (Renewal Grantees Only):</w:t>
      </w:r>
    </w:p>
    <w:p w14:paraId="47918B14" w14:textId="77777777" w:rsidR="00CF26B5" w:rsidRPr="00567BF3" w:rsidRDefault="00CF26B5" w:rsidP="00567BF3">
      <w:pPr>
        <w:suppressAutoHyphens/>
      </w:pPr>
      <w:r w:rsidRPr="00567BF3">
        <w:t>Renewal Grantees must:</w:t>
      </w:r>
    </w:p>
    <w:p w14:paraId="35915C87" w14:textId="34B701AE" w:rsidR="00CF26B5" w:rsidRPr="00567BF3" w:rsidRDefault="00CF26B5" w:rsidP="00567BF3">
      <w:pPr>
        <w:numPr>
          <w:ilvl w:val="0"/>
          <w:numId w:val="24"/>
        </w:numPr>
        <w:suppressAutoHyphens/>
      </w:pPr>
      <w:r w:rsidRPr="00567BF3">
        <w:t xml:space="preserve">Provide a link to your </w:t>
      </w:r>
      <w:r w:rsidR="00E83A53" w:rsidRPr="002A68EC">
        <w:t xml:space="preserve">adopted </w:t>
      </w:r>
      <w:r w:rsidR="00B04446" w:rsidRPr="002A68EC">
        <w:t>2025–26</w:t>
      </w:r>
      <w:r w:rsidRPr="00567BF3">
        <w:t xml:space="preserve"> LCAP. Cite the pages where CTE programs are referenced.</w:t>
      </w:r>
    </w:p>
    <w:p w14:paraId="71EDA80C" w14:textId="1A5A1AFD" w:rsidR="00CF26B5" w:rsidRPr="00567BF3" w:rsidRDefault="00CF26B5" w:rsidP="00567BF3">
      <w:pPr>
        <w:numPr>
          <w:ilvl w:val="0"/>
          <w:numId w:val="24"/>
        </w:numPr>
        <w:suppressAutoHyphens/>
      </w:pPr>
      <w:r w:rsidRPr="00567BF3">
        <w:t>Confirm that you are reporting required data to CALPADS annually</w:t>
      </w:r>
    </w:p>
    <w:p w14:paraId="0328F0BB" w14:textId="1E4B5347" w:rsidR="00CA6C1D" w:rsidRPr="00567BF3" w:rsidRDefault="00686939" w:rsidP="00645B74">
      <w:pPr>
        <w:pStyle w:val="Heading2"/>
      </w:pPr>
      <w:bookmarkStart w:id="26" w:name="_Toc228885220"/>
      <w:r w:rsidRPr="00567BF3">
        <w:lastRenderedPageBreak/>
        <w:t>Application Review Process</w:t>
      </w:r>
      <w:bookmarkEnd w:id="26"/>
    </w:p>
    <w:p w14:paraId="46762C8E" w14:textId="049EE1AF" w:rsidR="00CA6C1D" w:rsidRPr="00567BF3" w:rsidRDefault="00CA6C1D" w:rsidP="00645B74">
      <w:pPr>
        <w:pStyle w:val="Heading3"/>
      </w:pPr>
      <w:bookmarkStart w:id="27" w:name="_Toc228885221"/>
      <w:r w:rsidRPr="00567BF3">
        <w:t>Screening and Compliance Review</w:t>
      </w:r>
      <w:bookmarkEnd w:id="27"/>
    </w:p>
    <w:p w14:paraId="6498194A" w14:textId="18CD901B" w:rsidR="007E755F" w:rsidRPr="00567BF3" w:rsidRDefault="007E755F" w:rsidP="00567BF3">
      <w:pPr>
        <w:pStyle w:val="PlainText"/>
        <w:rPr>
          <w:rFonts w:ascii="Arial" w:hAnsi="Arial"/>
          <w:sz w:val="24"/>
          <w:szCs w:val="24"/>
        </w:rPr>
      </w:pPr>
      <w:r w:rsidRPr="00567BF3">
        <w:rPr>
          <w:rFonts w:ascii="Arial" w:hAnsi="Arial"/>
          <w:sz w:val="24"/>
          <w:szCs w:val="24"/>
        </w:rPr>
        <w:t xml:space="preserve">The CDE will screen </w:t>
      </w:r>
      <w:r w:rsidR="00BA3B97" w:rsidRPr="00567BF3">
        <w:rPr>
          <w:rFonts w:ascii="Arial" w:hAnsi="Arial"/>
          <w:sz w:val="24"/>
          <w:szCs w:val="24"/>
        </w:rPr>
        <w:t>applications</w:t>
      </w:r>
      <w:r w:rsidRPr="00567BF3">
        <w:rPr>
          <w:rFonts w:ascii="Arial" w:hAnsi="Arial"/>
          <w:sz w:val="24"/>
          <w:szCs w:val="24"/>
        </w:rPr>
        <w:t xml:space="preserve"> for compliance with requirements stated in this RFA. Only complete applications submitted through PGMS will be read and scored.</w:t>
      </w:r>
    </w:p>
    <w:p w14:paraId="46BCFF5D" w14:textId="77777777" w:rsidR="001C1282" w:rsidRPr="00567BF3" w:rsidRDefault="001C1282" w:rsidP="00567BF3">
      <w:pPr>
        <w:rPr>
          <w:rFonts w:eastAsiaTheme="majorEastAsia"/>
          <w:b/>
          <w:bCs/>
          <w:szCs w:val="32"/>
        </w:rPr>
      </w:pPr>
      <w:r w:rsidRPr="00567BF3">
        <w:rPr>
          <w:rFonts w:eastAsiaTheme="majorEastAsia"/>
          <w:b/>
          <w:bCs/>
          <w:szCs w:val="32"/>
        </w:rPr>
        <w:t>Category Scoring</w:t>
      </w:r>
    </w:p>
    <w:p w14:paraId="5B9D6A9A" w14:textId="77777777" w:rsidR="001C1282" w:rsidRPr="00567BF3" w:rsidRDefault="001C1282" w:rsidP="00567BF3">
      <w:pPr>
        <w:rPr>
          <w:rFonts w:eastAsiaTheme="majorEastAsia"/>
          <w:szCs w:val="32"/>
        </w:rPr>
      </w:pPr>
      <w:r w:rsidRPr="00567BF3">
        <w:rPr>
          <w:rFonts w:eastAsiaTheme="majorEastAsia"/>
          <w:b/>
          <w:bCs/>
          <w:szCs w:val="32"/>
        </w:rPr>
        <w:t>New Grantees:</w:t>
      </w:r>
    </w:p>
    <w:p w14:paraId="410F6B4A" w14:textId="77777777" w:rsidR="001C1282" w:rsidRPr="00567BF3" w:rsidRDefault="001C1282" w:rsidP="0068672C">
      <w:pPr>
        <w:numPr>
          <w:ilvl w:val="0"/>
          <w:numId w:val="22"/>
        </w:numPr>
        <w:spacing w:before="0" w:after="0"/>
        <w:rPr>
          <w:rFonts w:eastAsiaTheme="majorEastAsia"/>
          <w:szCs w:val="32"/>
        </w:rPr>
      </w:pPr>
      <w:r w:rsidRPr="00567BF3">
        <w:rPr>
          <w:rFonts w:eastAsiaTheme="majorEastAsia"/>
          <w:szCs w:val="32"/>
        </w:rPr>
        <w:t>Minimum Eligibility Standards: 60 points</w:t>
      </w:r>
    </w:p>
    <w:p w14:paraId="0793CB74" w14:textId="77777777" w:rsidR="001C1282" w:rsidRPr="00567BF3" w:rsidRDefault="001C1282" w:rsidP="0068672C">
      <w:pPr>
        <w:numPr>
          <w:ilvl w:val="0"/>
          <w:numId w:val="22"/>
        </w:numPr>
        <w:spacing w:before="0" w:after="0"/>
        <w:rPr>
          <w:rFonts w:eastAsiaTheme="majorEastAsia"/>
          <w:szCs w:val="32"/>
        </w:rPr>
      </w:pPr>
      <w:r w:rsidRPr="00567BF3">
        <w:rPr>
          <w:rFonts w:eastAsiaTheme="majorEastAsia"/>
          <w:szCs w:val="32"/>
        </w:rPr>
        <w:t>Holistic Approach: 15 points</w:t>
      </w:r>
    </w:p>
    <w:p w14:paraId="4BF0E540" w14:textId="77777777" w:rsidR="001C1282" w:rsidRPr="00567BF3" w:rsidRDefault="001C1282" w:rsidP="0068672C">
      <w:pPr>
        <w:numPr>
          <w:ilvl w:val="0"/>
          <w:numId w:val="22"/>
        </w:numPr>
        <w:spacing w:before="0" w:after="0"/>
        <w:rPr>
          <w:rFonts w:eastAsiaTheme="majorEastAsia"/>
          <w:szCs w:val="32"/>
        </w:rPr>
      </w:pPr>
      <w:r w:rsidRPr="00567BF3">
        <w:rPr>
          <w:rFonts w:eastAsiaTheme="majorEastAsia"/>
          <w:szCs w:val="32"/>
        </w:rPr>
        <w:t>Budget: 20 points</w:t>
      </w:r>
    </w:p>
    <w:p w14:paraId="7397A65B" w14:textId="77777777" w:rsidR="001C1282" w:rsidRDefault="001C1282" w:rsidP="0068672C">
      <w:pPr>
        <w:numPr>
          <w:ilvl w:val="0"/>
          <w:numId w:val="22"/>
        </w:numPr>
        <w:spacing w:before="0" w:after="0"/>
        <w:rPr>
          <w:rFonts w:eastAsiaTheme="majorEastAsia"/>
          <w:szCs w:val="32"/>
        </w:rPr>
      </w:pPr>
      <w:r w:rsidRPr="00567BF3">
        <w:rPr>
          <w:rFonts w:eastAsiaTheme="majorEastAsia"/>
          <w:szCs w:val="32"/>
        </w:rPr>
        <w:t>Continued Financial Commitment: 5 points</w:t>
      </w:r>
    </w:p>
    <w:p w14:paraId="051DDB81" w14:textId="4DCCC126" w:rsidR="00231CBB" w:rsidRPr="002A68EC" w:rsidRDefault="00231CBB" w:rsidP="0068672C">
      <w:pPr>
        <w:numPr>
          <w:ilvl w:val="0"/>
          <w:numId w:val="22"/>
        </w:numPr>
        <w:spacing w:before="0" w:after="0"/>
        <w:rPr>
          <w:rFonts w:eastAsiaTheme="majorEastAsia"/>
          <w:szCs w:val="32"/>
        </w:rPr>
      </w:pPr>
      <w:r w:rsidRPr="002A68EC">
        <w:rPr>
          <w:rFonts w:eastAsiaTheme="majorEastAsia"/>
          <w:szCs w:val="32"/>
        </w:rPr>
        <w:t>Positive Consideration: Up to 5 bonus points</w:t>
      </w:r>
    </w:p>
    <w:p w14:paraId="1BD5F6A9" w14:textId="77777777" w:rsidR="001C1282" w:rsidRPr="00567BF3" w:rsidRDefault="001C1282" w:rsidP="0068672C">
      <w:pPr>
        <w:numPr>
          <w:ilvl w:val="0"/>
          <w:numId w:val="22"/>
        </w:numPr>
        <w:spacing w:before="0" w:after="0"/>
        <w:rPr>
          <w:rFonts w:eastAsiaTheme="majorEastAsia"/>
          <w:szCs w:val="32"/>
        </w:rPr>
      </w:pPr>
      <w:r w:rsidRPr="00567BF3">
        <w:rPr>
          <w:rFonts w:eastAsiaTheme="majorEastAsia"/>
          <w:szCs w:val="32"/>
        </w:rPr>
        <w:t>Core Total: 100 points + up to 5 bonus = 105 possible</w:t>
      </w:r>
    </w:p>
    <w:p w14:paraId="7A645FC6" w14:textId="77777777" w:rsidR="001C1282" w:rsidRPr="00567BF3" w:rsidRDefault="001C1282" w:rsidP="0068672C">
      <w:pPr>
        <w:numPr>
          <w:ilvl w:val="0"/>
          <w:numId w:val="22"/>
        </w:numPr>
        <w:spacing w:before="0"/>
        <w:rPr>
          <w:rFonts w:eastAsiaTheme="majorEastAsia"/>
          <w:szCs w:val="32"/>
        </w:rPr>
      </w:pPr>
      <w:r w:rsidRPr="00567BF3">
        <w:rPr>
          <w:rFonts w:eastAsiaTheme="majorEastAsia"/>
          <w:szCs w:val="32"/>
        </w:rPr>
        <w:t>Minimum to pass: 60 points</w:t>
      </w:r>
    </w:p>
    <w:p w14:paraId="77BB197A" w14:textId="77777777" w:rsidR="001C1282" w:rsidRPr="00567BF3" w:rsidRDefault="001C1282" w:rsidP="00567BF3">
      <w:pPr>
        <w:rPr>
          <w:rFonts w:eastAsiaTheme="majorEastAsia"/>
          <w:b/>
          <w:bCs/>
          <w:szCs w:val="32"/>
        </w:rPr>
      </w:pPr>
      <w:r w:rsidRPr="00567BF3">
        <w:rPr>
          <w:rFonts w:eastAsiaTheme="majorEastAsia"/>
          <w:b/>
          <w:bCs/>
          <w:szCs w:val="32"/>
        </w:rPr>
        <w:t>Renewal Grantees:</w:t>
      </w:r>
    </w:p>
    <w:p w14:paraId="5FCD428C" w14:textId="07D6FD51" w:rsidR="001C1282" w:rsidRPr="00567BF3" w:rsidRDefault="001C1282" w:rsidP="0068672C">
      <w:pPr>
        <w:numPr>
          <w:ilvl w:val="0"/>
          <w:numId w:val="23"/>
        </w:numPr>
        <w:spacing w:before="0" w:after="0"/>
        <w:rPr>
          <w:rFonts w:eastAsiaTheme="majorEastAsia"/>
          <w:szCs w:val="32"/>
        </w:rPr>
      </w:pPr>
      <w:r w:rsidRPr="00567BF3">
        <w:rPr>
          <w:rFonts w:eastAsiaTheme="majorEastAsia"/>
          <w:szCs w:val="32"/>
        </w:rPr>
        <w:t xml:space="preserve">Minimum Eligibility Standards: </w:t>
      </w:r>
      <w:r w:rsidR="00302104" w:rsidRPr="00567BF3">
        <w:rPr>
          <w:rFonts w:eastAsiaTheme="majorEastAsia"/>
          <w:szCs w:val="32"/>
        </w:rPr>
        <w:t>35</w:t>
      </w:r>
      <w:r w:rsidRPr="00567BF3">
        <w:rPr>
          <w:rFonts w:eastAsiaTheme="majorEastAsia"/>
          <w:szCs w:val="32"/>
        </w:rPr>
        <w:t xml:space="preserve"> points</w:t>
      </w:r>
    </w:p>
    <w:p w14:paraId="607EDDFB" w14:textId="77777777" w:rsidR="001C1282" w:rsidRPr="00567BF3" w:rsidRDefault="001C1282" w:rsidP="0068672C">
      <w:pPr>
        <w:numPr>
          <w:ilvl w:val="0"/>
          <w:numId w:val="23"/>
        </w:numPr>
        <w:spacing w:before="0" w:after="0"/>
        <w:rPr>
          <w:rFonts w:eastAsiaTheme="majorEastAsia"/>
          <w:szCs w:val="32"/>
        </w:rPr>
      </w:pPr>
      <w:r w:rsidRPr="00567BF3">
        <w:rPr>
          <w:rFonts w:eastAsiaTheme="majorEastAsia"/>
          <w:szCs w:val="32"/>
        </w:rPr>
        <w:t>Holistic Approach: 15 points</w:t>
      </w:r>
    </w:p>
    <w:p w14:paraId="7E16E050" w14:textId="77777777" w:rsidR="001C1282" w:rsidRPr="00567BF3" w:rsidRDefault="001C1282" w:rsidP="0068672C">
      <w:pPr>
        <w:numPr>
          <w:ilvl w:val="0"/>
          <w:numId w:val="23"/>
        </w:numPr>
        <w:spacing w:before="0" w:after="0"/>
        <w:rPr>
          <w:rFonts w:eastAsiaTheme="majorEastAsia"/>
          <w:szCs w:val="32"/>
        </w:rPr>
      </w:pPr>
      <w:r w:rsidRPr="00567BF3">
        <w:rPr>
          <w:rFonts w:eastAsiaTheme="majorEastAsia"/>
          <w:szCs w:val="32"/>
        </w:rPr>
        <w:t>Budget: 20 points</w:t>
      </w:r>
    </w:p>
    <w:p w14:paraId="4EA8601D" w14:textId="77777777" w:rsidR="001C1282" w:rsidRDefault="001C1282" w:rsidP="0068672C">
      <w:pPr>
        <w:numPr>
          <w:ilvl w:val="0"/>
          <w:numId w:val="23"/>
        </w:numPr>
        <w:spacing w:before="0" w:after="0"/>
        <w:rPr>
          <w:rFonts w:eastAsiaTheme="majorEastAsia"/>
          <w:szCs w:val="32"/>
        </w:rPr>
      </w:pPr>
      <w:r w:rsidRPr="00567BF3">
        <w:rPr>
          <w:rFonts w:eastAsiaTheme="majorEastAsia"/>
          <w:szCs w:val="32"/>
        </w:rPr>
        <w:t>Continued Financial Commitment: 5 points</w:t>
      </w:r>
    </w:p>
    <w:p w14:paraId="26AD49BE" w14:textId="69C90E22" w:rsidR="00231CBB" w:rsidRPr="002A68EC" w:rsidRDefault="00231CBB" w:rsidP="00231CBB">
      <w:pPr>
        <w:numPr>
          <w:ilvl w:val="0"/>
          <w:numId w:val="23"/>
        </w:numPr>
        <w:spacing w:before="0" w:after="0"/>
        <w:rPr>
          <w:rFonts w:eastAsiaTheme="majorEastAsia"/>
          <w:szCs w:val="32"/>
        </w:rPr>
      </w:pPr>
      <w:r w:rsidRPr="002A68EC">
        <w:rPr>
          <w:rFonts w:eastAsiaTheme="majorEastAsia"/>
          <w:szCs w:val="32"/>
        </w:rPr>
        <w:t>Positive Consideration: Up to 5 bonus points</w:t>
      </w:r>
    </w:p>
    <w:p w14:paraId="2C7C0689" w14:textId="0534E98E" w:rsidR="001C1282" w:rsidRPr="00567BF3" w:rsidRDefault="001C1282" w:rsidP="0068672C">
      <w:pPr>
        <w:numPr>
          <w:ilvl w:val="0"/>
          <w:numId w:val="23"/>
        </w:numPr>
        <w:spacing w:before="0" w:after="0"/>
        <w:rPr>
          <w:rFonts w:eastAsiaTheme="majorEastAsia"/>
          <w:szCs w:val="32"/>
        </w:rPr>
      </w:pPr>
      <w:r w:rsidRPr="00567BF3">
        <w:rPr>
          <w:rFonts w:eastAsiaTheme="majorEastAsia"/>
          <w:szCs w:val="32"/>
        </w:rPr>
        <w:t xml:space="preserve">Core Total: </w:t>
      </w:r>
      <w:r w:rsidR="00302104" w:rsidRPr="00567BF3">
        <w:rPr>
          <w:rFonts w:eastAsiaTheme="majorEastAsia"/>
          <w:szCs w:val="32"/>
        </w:rPr>
        <w:t>75</w:t>
      </w:r>
      <w:r w:rsidRPr="00567BF3">
        <w:rPr>
          <w:rFonts w:eastAsiaTheme="majorEastAsia"/>
          <w:szCs w:val="32"/>
        </w:rPr>
        <w:t xml:space="preserve"> points + up to 5 bonus = 8</w:t>
      </w:r>
      <w:r w:rsidR="00302104" w:rsidRPr="00567BF3">
        <w:rPr>
          <w:rFonts w:eastAsiaTheme="majorEastAsia"/>
          <w:szCs w:val="32"/>
        </w:rPr>
        <w:t>0</w:t>
      </w:r>
      <w:r w:rsidRPr="00567BF3">
        <w:rPr>
          <w:rFonts w:eastAsiaTheme="majorEastAsia"/>
          <w:szCs w:val="32"/>
        </w:rPr>
        <w:t xml:space="preserve"> possible</w:t>
      </w:r>
    </w:p>
    <w:p w14:paraId="2D1392FB" w14:textId="7DF67697" w:rsidR="001C1282" w:rsidRPr="00567BF3" w:rsidRDefault="001C1282" w:rsidP="0068672C">
      <w:pPr>
        <w:numPr>
          <w:ilvl w:val="0"/>
          <w:numId w:val="23"/>
        </w:numPr>
        <w:spacing w:before="0"/>
        <w:rPr>
          <w:rFonts w:eastAsiaTheme="majorEastAsia"/>
          <w:szCs w:val="32"/>
        </w:rPr>
      </w:pPr>
      <w:r w:rsidRPr="00567BF3">
        <w:rPr>
          <w:rFonts w:eastAsiaTheme="majorEastAsia"/>
          <w:szCs w:val="32"/>
        </w:rPr>
        <w:t>Minimum to pass: 45 points (60</w:t>
      </w:r>
      <w:r w:rsidR="00302104" w:rsidRPr="00567BF3">
        <w:rPr>
          <w:rFonts w:eastAsiaTheme="majorEastAsia"/>
          <w:szCs w:val="32"/>
        </w:rPr>
        <w:t xml:space="preserve"> percent</w:t>
      </w:r>
      <w:r w:rsidRPr="00567BF3">
        <w:rPr>
          <w:rFonts w:eastAsiaTheme="majorEastAsia"/>
          <w:szCs w:val="32"/>
        </w:rPr>
        <w:t xml:space="preserve"> of 75)</w:t>
      </w:r>
    </w:p>
    <w:p w14:paraId="62FA7F86" w14:textId="77777777" w:rsidR="001C1282" w:rsidRPr="00567BF3" w:rsidRDefault="001C1282" w:rsidP="00567BF3">
      <w:pPr>
        <w:rPr>
          <w:rFonts w:eastAsiaTheme="majorEastAsia"/>
          <w:szCs w:val="32"/>
        </w:rPr>
      </w:pPr>
      <w:r w:rsidRPr="00567BF3">
        <w:rPr>
          <w:rFonts w:eastAsiaTheme="majorEastAsia"/>
          <w:szCs w:val="32"/>
        </w:rPr>
        <w:t>All applications reviewed by minimum of two readers. Applications must score at or above the minimum threshold by two of three readers.</w:t>
      </w:r>
    </w:p>
    <w:p w14:paraId="288FA0D2" w14:textId="00DACD2F" w:rsidR="00EB4908" w:rsidRDefault="00EB4908" w:rsidP="00567BF3">
      <w:r w:rsidRPr="00567BF3">
        <w:t xml:space="preserve">If one reader scores </w:t>
      </w:r>
      <w:r w:rsidR="00FB3CDA" w:rsidRPr="00567BF3">
        <w:t>as passing</w:t>
      </w:r>
      <w:r w:rsidRPr="00567BF3">
        <w:t xml:space="preserve"> and one scores </w:t>
      </w:r>
      <w:r w:rsidR="00FB3CDA" w:rsidRPr="00567BF3">
        <w:t>as failing</w:t>
      </w:r>
      <w:r w:rsidRPr="00567BF3">
        <w:t xml:space="preserve">, a third reader breaks the tie. Applications must score at least </w:t>
      </w:r>
      <w:r w:rsidR="00FB3CDA" w:rsidRPr="00567BF3">
        <w:t>the minimum (60 for new, and 45 for Renewal)</w:t>
      </w:r>
      <w:r w:rsidRPr="00567BF3">
        <w:t xml:space="preserve"> by two of three readers.</w:t>
      </w:r>
    </w:p>
    <w:p w14:paraId="6D5F1129" w14:textId="0C176370" w:rsidR="00E5571A" w:rsidRPr="00095950" w:rsidRDefault="00686939" w:rsidP="00645B74">
      <w:pPr>
        <w:pStyle w:val="Heading2"/>
      </w:pPr>
      <w:bookmarkStart w:id="28" w:name="_Toc228885222"/>
      <w:r w:rsidRPr="00095950">
        <w:t xml:space="preserve">Funding </w:t>
      </w:r>
      <w:bookmarkEnd w:id="28"/>
      <w:r w:rsidRPr="00095950">
        <w:t>Allocation</w:t>
      </w:r>
    </w:p>
    <w:p w14:paraId="19D66841" w14:textId="26829368" w:rsidR="00E00135" w:rsidRPr="00095950" w:rsidRDefault="00E00135" w:rsidP="00F37DFC">
      <w:r w:rsidRPr="00095950">
        <w:t>The CDE anticipates allocating all available 2026–27 funds in a single funding round. Prospective applicants should plan accordingly when determining their application strategy and funding approach.</w:t>
      </w:r>
    </w:p>
    <w:p w14:paraId="343BC162" w14:textId="497EA03F" w:rsidR="00E00135" w:rsidRPr="00095950" w:rsidRDefault="00E00135" w:rsidP="00F37DFC">
      <w:r w:rsidRPr="00095950">
        <w:t xml:space="preserve">The Superintendent, in collaboration with the Executive Director of the SBE, determines the allocation formula pursuant to EC Section 53076(a). The allocation formula for the 2026-27 school year will slightly differ from the 2025-26 formula. </w:t>
      </w:r>
    </w:p>
    <w:p w14:paraId="73768EC3" w14:textId="77777777" w:rsidR="00E00135" w:rsidRPr="00095950" w:rsidRDefault="00E00135" w:rsidP="00F37DFC">
      <w:r w:rsidRPr="00095950">
        <w:lastRenderedPageBreak/>
        <w:t>The funding formula will continue to be based on two components: base grant funding (70 percent) and positive consideration funding (30 percent). However, beginning in 2026-27, applicants that are part of a consortium will have their Unduplicated Pupil Count (UPC) allocated to their consortium in proportion to the percentage of their ADA contributed to the consortium. See below for further explanation of the change.</w:t>
      </w:r>
    </w:p>
    <w:p w14:paraId="5B42F34C" w14:textId="77777777" w:rsidR="00E00135" w:rsidRPr="00095950" w:rsidRDefault="00E00135" w:rsidP="00E00135">
      <w:pPr>
        <w:spacing w:before="100" w:beforeAutospacing="1" w:after="100" w:afterAutospacing="1" w:line="278" w:lineRule="auto"/>
        <w:rPr>
          <w:rFonts w:eastAsia="Times New Roman"/>
          <w:kern w:val="0"/>
          <w14:ligatures w14:val="none"/>
        </w:rPr>
      </w:pPr>
      <w:r w:rsidRPr="00095950">
        <w:rPr>
          <w:rFonts w:eastAsia="Times New Roman"/>
          <w:b/>
          <w:bCs/>
          <w:kern w:val="0"/>
          <w14:ligatures w14:val="none"/>
        </w:rPr>
        <w:t>Base Grant Funding</w:t>
      </w:r>
    </w:p>
    <w:p w14:paraId="327C837A" w14:textId="77777777" w:rsidR="00E00135" w:rsidRPr="00095950" w:rsidRDefault="00E00135" w:rsidP="00F37DFC">
      <w:r w:rsidRPr="00095950">
        <w:t>All eligible applicants receive base grant funding calculated by their Average Daily Attendance (ADA) in grades seven through twelve.</w:t>
      </w:r>
    </w:p>
    <w:p w14:paraId="6DCCA321" w14:textId="77777777" w:rsidR="00E00135" w:rsidRPr="00095950" w:rsidRDefault="00E00135" w:rsidP="00F37DFC">
      <w:r w:rsidRPr="00095950">
        <w:t>Applicants are grouped into funding categories based on their ADA:</w:t>
      </w:r>
    </w:p>
    <w:p w14:paraId="5E9B1196" w14:textId="77777777" w:rsidR="00E00135" w:rsidRPr="00095950" w:rsidRDefault="00E00135" w:rsidP="00F37DFC">
      <w:pPr>
        <w:numPr>
          <w:ilvl w:val="0"/>
          <w:numId w:val="23"/>
        </w:numPr>
        <w:spacing w:before="0" w:after="0"/>
        <w:rPr>
          <w:rFonts w:eastAsiaTheme="majorEastAsia"/>
          <w:szCs w:val="32"/>
        </w:rPr>
      </w:pPr>
      <w:r w:rsidRPr="00095950">
        <w:rPr>
          <w:rFonts w:eastAsiaTheme="majorEastAsia"/>
          <w:szCs w:val="32"/>
        </w:rPr>
        <w:t>Small: ADA of 140 or less</w:t>
      </w:r>
    </w:p>
    <w:p w14:paraId="7DFE9735" w14:textId="77777777" w:rsidR="00E00135" w:rsidRPr="00095950" w:rsidRDefault="00E00135" w:rsidP="00F37DFC">
      <w:pPr>
        <w:numPr>
          <w:ilvl w:val="0"/>
          <w:numId w:val="23"/>
        </w:numPr>
        <w:spacing w:before="0" w:after="0"/>
        <w:rPr>
          <w:rFonts w:eastAsiaTheme="majorEastAsia"/>
          <w:szCs w:val="32"/>
        </w:rPr>
      </w:pPr>
      <w:r w:rsidRPr="00095950">
        <w:rPr>
          <w:rFonts w:eastAsiaTheme="majorEastAsia"/>
          <w:szCs w:val="32"/>
        </w:rPr>
        <w:t>Medium: ADA of more than 140 and less than or equal to 550</w:t>
      </w:r>
    </w:p>
    <w:p w14:paraId="2AFBC5CA" w14:textId="77777777" w:rsidR="00E00135" w:rsidRPr="00095950" w:rsidRDefault="00E00135" w:rsidP="00F37DFC">
      <w:pPr>
        <w:numPr>
          <w:ilvl w:val="0"/>
          <w:numId w:val="23"/>
        </w:numPr>
        <w:spacing w:before="0" w:after="0"/>
        <w:rPr>
          <w:rFonts w:eastAsiaTheme="majorEastAsia"/>
          <w:szCs w:val="32"/>
        </w:rPr>
      </w:pPr>
      <w:r w:rsidRPr="00095950">
        <w:rPr>
          <w:rFonts w:eastAsiaTheme="majorEastAsia"/>
          <w:szCs w:val="32"/>
        </w:rPr>
        <w:t>Large: ADA of more than 550</w:t>
      </w:r>
    </w:p>
    <w:p w14:paraId="17DFA1D7" w14:textId="77777777" w:rsidR="00E00135" w:rsidRPr="00095950" w:rsidRDefault="00E00135" w:rsidP="00F37DFC">
      <w:r w:rsidRPr="00095950">
        <w:t>Within each category, the total allocation is divided by the total ADA in that category to establish a per-pupil base grant amount. This per-pupil amount is then multiplied by each applicant's ADA to determine their base grant funding level.</w:t>
      </w:r>
    </w:p>
    <w:p w14:paraId="79506535" w14:textId="77777777" w:rsidR="00E00135" w:rsidRPr="00095950" w:rsidRDefault="00E00135" w:rsidP="00E00135">
      <w:pPr>
        <w:spacing w:before="100" w:beforeAutospacing="1" w:after="100" w:afterAutospacing="1" w:line="278" w:lineRule="auto"/>
        <w:rPr>
          <w:rFonts w:eastAsia="Times New Roman"/>
          <w:kern w:val="0"/>
          <w14:ligatures w14:val="none"/>
        </w:rPr>
      </w:pPr>
      <w:r w:rsidRPr="00095950">
        <w:rPr>
          <w:rFonts w:eastAsia="Times New Roman"/>
          <w:b/>
          <w:bCs/>
          <w:kern w:val="0"/>
          <w14:ligatures w14:val="none"/>
        </w:rPr>
        <w:t>Positive Consideration Funding</w:t>
      </w:r>
    </w:p>
    <w:p w14:paraId="1C47939F" w14:textId="77777777" w:rsidR="00E00135" w:rsidRPr="00095950" w:rsidRDefault="00E00135" w:rsidP="00F37DFC">
      <w:r w:rsidRPr="00095950">
        <w:t>In addition to base grant funding, eligible applicants may receive additional funding based on eight positive considerations outlined in EC Section 53075. These positive considerations fall into the following two categories:</w:t>
      </w:r>
    </w:p>
    <w:p w14:paraId="00F70DDD" w14:textId="77777777" w:rsidR="00E00135" w:rsidRPr="00095950" w:rsidRDefault="00E00135" w:rsidP="00E00135">
      <w:pPr>
        <w:widowControl w:val="0"/>
        <w:numPr>
          <w:ilvl w:val="0"/>
          <w:numId w:val="33"/>
        </w:numPr>
        <w:spacing w:before="100" w:beforeAutospacing="1" w:after="160" w:line="278" w:lineRule="auto"/>
      </w:pPr>
      <w:r w:rsidRPr="00095950">
        <w:t>Seven positive considerations calculated using ADA:</w:t>
      </w:r>
    </w:p>
    <w:p w14:paraId="20DB7542"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Serving subgroups with higher than average dropout rates</w:t>
      </w:r>
    </w:p>
    <w:p w14:paraId="1E2E31A2"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Located in an area with high unemployment rate</w:t>
      </w:r>
    </w:p>
    <w:p w14:paraId="6D32CBDC"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Offering an existing high-quality regional-based CTE program</w:t>
      </w:r>
    </w:p>
    <w:p w14:paraId="50C39B5D"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Leveraging existing programs or industry contributions</w:t>
      </w:r>
    </w:p>
    <w:p w14:paraId="7B2C1852"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Engaging in regional collaboration with postsecondary institutions</w:t>
      </w:r>
    </w:p>
    <w:p w14:paraId="65AE0450"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Making significant investment in CTE infrastructure, equipment, and facilities</w:t>
      </w:r>
    </w:p>
    <w:p w14:paraId="5FE85B16" w14:textId="77777777" w:rsidR="00E00135" w:rsidRPr="00095950" w:rsidRDefault="00E00135" w:rsidP="00F37DFC">
      <w:pPr>
        <w:numPr>
          <w:ilvl w:val="1"/>
          <w:numId w:val="23"/>
        </w:numPr>
        <w:spacing w:before="0" w:after="0"/>
        <w:rPr>
          <w:rFonts w:eastAsiaTheme="majorEastAsia"/>
          <w:szCs w:val="32"/>
        </w:rPr>
      </w:pPr>
      <w:r w:rsidRPr="00095950">
        <w:rPr>
          <w:rFonts w:eastAsiaTheme="majorEastAsia"/>
          <w:szCs w:val="32"/>
        </w:rPr>
        <w:t>Operating within rural school districts</w:t>
      </w:r>
    </w:p>
    <w:p w14:paraId="6FFB35A7" w14:textId="77777777" w:rsidR="00E00135" w:rsidRPr="00095950" w:rsidRDefault="00E00135" w:rsidP="00CB3A0C">
      <w:pPr>
        <w:ind w:left="360"/>
      </w:pPr>
      <w:r w:rsidRPr="00095950">
        <w:t>For each of these seven considerations, funding is allocated to that category, divided by the total ADA meeting that criterion within the applicant's funding category, and then multiplied by the applicant's ADA to determine their funding for that specific consideration.</w:t>
      </w:r>
    </w:p>
    <w:p w14:paraId="13463FA2" w14:textId="77777777" w:rsidR="00E00135" w:rsidRPr="00095950" w:rsidRDefault="00E00135" w:rsidP="00CB3A0C">
      <w:pPr>
        <w:pStyle w:val="ListParagraph"/>
        <w:numPr>
          <w:ilvl w:val="0"/>
          <w:numId w:val="33"/>
        </w:numPr>
      </w:pPr>
      <w:r w:rsidRPr="00095950">
        <w:t xml:space="preserve">One positive consideration calculated using UPC: The first positive consideration (serving unduplicated pupils as defined in EC Section 42238.02) is calculated using the applicant's actual UPC rather than ADA. This ensures that funding for serving the most vulnerable students is based on the actual </w:t>
      </w:r>
      <w:r w:rsidRPr="00095950">
        <w:lastRenderedPageBreak/>
        <w:t>number of unduplicated pupils served, not on overall attendance.</w:t>
      </w:r>
    </w:p>
    <w:p w14:paraId="0903D5FD" w14:textId="5EDEB7DD" w:rsidR="00E00135" w:rsidRPr="00095950" w:rsidRDefault="00E00135" w:rsidP="00E00135">
      <w:pPr>
        <w:spacing w:before="100" w:beforeAutospacing="1" w:after="100" w:afterAutospacing="1" w:line="278" w:lineRule="auto"/>
        <w:rPr>
          <w:rFonts w:eastAsia="Times New Roman"/>
          <w:kern w:val="0"/>
          <w14:ligatures w14:val="none"/>
        </w:rPr>
      </w:pPr>
      <w:r w:rsidRPr="00095950">
        <w:rPr>
          <w:rFonts w:eastAsia="Times New Roman"/>
          <w:b/>
          <w:bCs/>
          <w:kern w:val="0"/>
          <w14:ligatures w14:val="none"/>
        </w:rPr>
        <w:t>Applicants Applying Both as a Single Applicant and as Part of a Consortia</w:t>
      </w:r>
    </w:p>
    <w:p w14:paraId="7334FDDC" w14:textId="77777777" w:rsidR="00E00135" w:rsidRPr="00095950" w:rsidRDefault="00E00135" w:rsidP="00CB3A0C">
      <w:r w:rsidRPr="00095950">
        <w:t>Eligible applicants may apply both as a single applicant and as part of a consortia and may receive funding from both applications.</w:t>
      </w:r>
    </w:p>
    <w:p w14:paraId="52FBCE8B" w14:textId="77777777" w:rsidR="00E00135" w:rsidRPr="00095950" w:rsidRDefault="00E00135" w:rsidP="00E00135">
      <w:pPr>
        <w:spacing w:before="100" w:beforeAutospacing="1" w:after="100" w:afterAutospacing="1" w:line="278" w:lineRule="auto"/>
        <w:rPr>
          <w:rFonts w:eastAsia="Times New Roman"/>
          <w:kern w:val="0"/>
          <w14:ligatures w14:val="none"/>
        </w:rPr>
      </w:pPr>
      <w:r w:rsidRPr="00095950">
        <w:rPr>
          <w:rFonts w:eastAsia="Times New Roman"/>
          <w:kern w:val="0"/>
          <w14:ligatures w14:val="none"/>
        </w:rPr>
        <w:t>When an applicant elects to apply both ways:</w:t>
      </w:r>
    </w:p>
    <w:p w14:paraId="212F7A72" w14:textId="77777777" w:rsidR="00E00135" w:rsidRPr="00095950" w:rsidRDefault="00E00135" w:rsidP="00CB3A0C">
      <w:pPr>
        <w:numPr>
          <w:ilvl w:val="0"/>
          <w:numId w:val="36"/>
        </w:numPr>
        <w:spacing w:before="0" w:after="0"/>
        <w:rPr>
          <w:rFonts w:eastAsiaTheme="majorEastAsia"/>
          <w:szCs w:val="32"/>
        </w:rPr>
      </w:pPr>
      <w:r w:rsidRPr="00095950">
        <w:rPr>
          <w:rFonts w:eastAsiaTheme="majorEastAsia"/>
          <w:szCs w:val="32"/>
        </w:rPr>
        <w:t>The applicant specifies the amount of ADA to contribute to the consortia application</w:t>
      </w:r>
    </w:p>
    <w:p w14:paraId="357939FC" w14:textId="77777777" w:rsidR="00E00135" w:rsidRPr="00095950" w:rsidRDefault="00E00135" w:rsidP="00CB3A0C">
      <w:pPr>
        <w:numPr>
          <w:ilvl w:val="0"/>
          <w:numId w:val="36"/>
        </w:numPr>
        <w:spacing w:before="0" w:after="0"/>
        <w:rPr>
          <w:rFonts w:eastAsiaTheme="majorEastAsia"/>
          <w:szCs w:val="32"/>
        </w:rPr>
      </w:pPr>
      <w:r w:rsidRPr="00095950">
        <w:rPr>
          <w:rFonts w:eastAsiaTheme="majorEastAsia"/>
          <w:szCs w:val="32"/>
        </w:rPr>
        <w:t>The applicant specifies the amount of ADA to retain for the individual application</w:t>
      </w:r>
    </w:p>
    <w:p w14:paraId="06B258D5" w14:textId="77777777" w:rsidR="00E00135" w:rsidRPr="00095950" w:rsidRDefault="00E00135" w:rsidP="00CB3A0C">
      <w:pPr>
        <w:numPr>
          <w:ilvl w:val="0"/>
          <w:numId w:val="36"/>
        </w:numPr>
        <w:spacing w:before="0" w:after="0"/>
        <w:rPr>
          <w:rFonts w:eastAsiaTheme="majorEastAsia"/>
          <w:szCs w:val="32"/>
        </w:rPr>
      </w:pPr>
      <w:r w:rsidRPr="00095950">
        <w:rPr>
          <w:rFonts w:eastAsiaTheme="majorEastAsia"/>
          <w:szCs w:val="32"/>
        </w:rPr>
        <w:t>The CDE calculates the percentage of total ADA for each application</w:t>
      </w:r>
    </w:p>
    <w:p w14:paraId="0306A685" w14:textId="77777777" w:rsidR="00E00135" w:rsidRPr="00095950" w:rsidRDefault="00E00135" w:rsidP="00CB3A0C">
      <w:pPr>
        <w:numPr>
          <w:ilvl w:val="0"/>
          <w:numId w:val="36"/>
        </w:numPr>
        <w:spacing w:before="0" w:after="0"/>
        <w:rPr>
          <w:rFonts w:eastAsiaTheme="majorEastAsia"/>
          <w:szCs w:val="32"/>
        </w:rPr>
      </w:pPr>
      <w:r w:rsidRPr="00095950">
        <w:rPr>
          <w:rFonts w:eastAsiaTheme="majorEastAsia"/>
          <w:szCs w:val="32"/>
        </w:rPr>
        <w:t>This percentage is applied to the applicant's UPC to determine how the UPC is split between the two applications</w:t>
      </w:r>
    </w:p>
    <w:p w14:paraId="312EE634" w14:textId="77777777" w:rsidR="00E00135" w:rsidRPr="00095950" w:rsidRDefault="00E00135" w:rsidP="00CB3A0C">
      <w:pPr>
        <w:numPr>
          <w:ilvl w:val="0"/>
          <w:numId w:val="36"/>
        </w:numPr>
        <w:spacing w:before="0" w:after="0"/>
        <w:rPr>
          <w:rFonts w:eastAsiaTheme="majorEastAsia"/>
          <w:szCs w:val="32"/>
        </w:rPr>
      </w:pPr>
      <w:r w:rsidRPr="00095950">
        <w:rPr>
          <w:rFonts w:eastAsiaTheme="majorEastAsia"/>
          <w:szCs w:val="32"/>
        </w:rPr>
        <w:t>All other positive considerations (the seven ADA-based considerations) are calculated separately for each application based on the ADA amount allocated to that application</w:t>
      </w:r>
    </w:p>
    <w:p w14:paraId="6F4220F9" w14:textId="77777777" w:rsidR="00E00135" w:rsidRPr="00095950" w:rsidRDefault="00E00135" w:rsidP="00CB3A0C">
      <w:r w:rsidRPr="00095950">
        <w:t>Example: A school district has 175 total ADA and 95 UPC. The district decides to contribute 110 ADA to the regional consortia and retain 65 ADA for an individual application. The CDE calculates: 110 ÷ 175 = 62.9% for consortia; 65 ÷ 175 = 37.1% for individual. The district's UPC is split proportionally: 59.8 UPC (62.9%) allocated to consortia and 35.2 UPC (37.1%) allocated to individual. The district receives funding from both applications based on their respective ADA and UPC allocations.</w:t>
      </w:r>
    </w:p>
    <w:p w14:paraId="4F48E96F" w14:textId="4F2CC6C3" w:rsidR="00CA6C1D" w:rsidRPr="00567BF3" w:rsidRDefault="00686939" w:rsidP="00645B74">
      <w:pPr>
        <w:pStyle w:val="Heading2"/>
      </w:pPr>
      <w:bookmarkStart w:id="29" w:name="_Toc228885223"/>
      <w:r w:rsidRPr="00567BF3">
        <w:t>Appeals</w:t>
      </w:r>
      <w:bookmarkEnd w:id="29"/>
    </w:p>
    <w:p w14:paraId="6915499D" w14:textId="361DF664" w:rsidR="00CD12CF" w:rsidRPr="002A68EC" w:rsidRDefault="00CD12CF" w:rsidP="00567BF3">
      <w:pPr>
        <w:pStyle w:val="PlainText"/>
        <w:rPr>
          <w:rFonts w:ascii="Arial" w:hAnsi="Arial"/>
          <w:sz w:val="24"/>
          <w:szCs w:val="24"/>
        </w:rPr>
      </w:pPr>
      <w:r w:rsidRPr="002A68EC">
        <w:rPr>
          <w:rFonts w:ascii="Arial" w:hAnsi="Arial"/>
          <w:sz w:val="24"/>
          <w:szCs w:val="24"/>
        </w:rPr>
        <w:t xml:space="preserve">Applicants determined ineligible for funding will receive a letter of notification (Ineligibility Letter) via email. To appeal an ineligibility letter, an LEA must submit a Letter of Appeal to the Career and College Transition Division within 10 calendar days of the date of the ineligibility letter. The CDE will respond to the letter of appeal within </w:t>
      </w:r>
      <w:r w:rsidR="000B71BA" w:rsidRPr="00095950">
        <w:rPr>
          <w:rFonts w:ascii="Arial" w:hAnsi="Arial"/>
          <w:sz w:val="24"/>
          <w:szCs w:val="24"/>
        </w:rPr>
        <w:t>1</w:t>
      </w:r>
      <w:r w:rsidRPr="00095950">
        <w:rPr>
          <w:rFonts w:ascii="Arial" w:hAnsi="Arial"/>
          <w:sz w:val="24"/>
          <w:szCs w:val="24"/>
        </w:rPr>
        <w:t>0</w:t>
      </w:r>
      <w:r w:rsidRPr="002A68EC">
        <w:rPr>
          <w:rFonts w:ascii="Arial" w:hAnsi="Arial"/>
          <w:sz w:val="24"/>
          <w:szCs w:val="24"/>
        </w:rPr>
        <w:t xml:space="preserve"> calendar days.</w:t>
      </w:r>
    </w:p>
    <w:p w14:paraId="666E71DD" w14:textId="77777777" w:rsidR="00CD12CF" w:rsidRPr="002A68EC" w:rsidRDefault="00CD12CF" w:rsidP="00CD12CF">
      <w:pPr>
        <w:pStyle w:val="PlainText"/>
        <w:rPr>
          <w:rFonts w:ascii="Arial" w:hAnsi="Arial"/>
          <w:sz w:val="24"/>
          <w:szCs w:val="24"/>
        </w:rPr>
      </w:pPr>
      <w:r w:rsidRPr="002A68EC">
        <w:rPr>
          <w:rFonts w:ascii="Arial" w:hAnsi="Arial"/>
          <w:sz w:val="24"/>
          <w:szCs w:val="24"/>
        </w:rPr>
        <w:t>Appeals are limited to the grounds that the CDE failed to follow the RFA’s standards for reviewing and scoring the application. Disagreement with an application reader’s professional judgment is not grounds for appeal and appeals based on such disagreement will be denied.</w:t>
      </w:r>
    </w:p>
    <w:p w14:paraId="36132618" w14:textId="77777777" w:rsidR="00CD12CF" w:rsidRPr="002A68EC" w:rsidRDefault="00CD12CF" w:rsidP="00CD12CF">
      <w:pPr>
        <w:pStyle w:val="PlainText"/>
        <w:rPr>
          <w:rFonts w:ascii="Arial" w:hAnsi="Arial"/>
          <w:sz w:val="24"/>
          <w:szCs w:val="24"/>
        </w:rPr>
      </w:pPr>
      <w:r w:rsidRPr="002A68EC">
        <w:rPr>
          <w:rFonts w:ascii="Arial" w:hAnsi="Arial"/>
          <w:sz w:val="24"/>
          <w:szCs w:val="24"/>
        </w:rPr>
        <w:t>The Letter of Appeal must include a detailed and complete statement and explanation of the appeal, including the issue(s) in dispute, the legal authority or other basis for the appeal position, any facts supporting the appeal, and the remedy sought.</w:t>
      </w:r>
    </w:p>
    <w:p w14:paraId="17A93565" w14:textId="77777777" w:rsidR="00CD12CF" w:rsidRPr="002A68EC" w:rsidRDefault="00CD12CF" w:rsidP="00CD12CF">
      <w:pPr>
        <w:pStyle w:val="PlainText"/>
        <w:rPr>
          <w:rFonts w:ascii="Arial" w:hAnsi="Arial"/>
          <w:sz w:val="24"/>
          <w:szCs w:val="24"/>
        </w:rPr>
      </w:pPr>
      <w:r w:rsidRPr="002A68EC">
        <w:rPr>
          <w:rFonts w:ascii="Arial" w:hAnsi="Arial"/>
          <w:sz w:val="24"/>
          <w:szCs w:val="24"/>
        </w:rPr>
        <w:t xml:space="preserve">The Letter of Appeal must have a certified electronic signature of the authorized agent or the designee. The Letter of Appeal should be sent via email to </w:t>
      </w:r>
      <w:hyperlink r:id="rId21" w:tgtFrame="_blank" w:tooltip="mailto:cteincentive@cde.ca.gov" w:history="1">
        <w:r w:rsidRPr="002A68EC">
          <w:rPr>
            <w:rFonts w:ascii="Arial" w:hAnsi="Arial"/>
            <w:sz w:val="24"/>
            <w:szCs w:val="24"/>
          </w:rPr>
          <w:t>CTEIncentive@cde.ca.gov</w:t>
        </w:r>
      </w:hyperlink>
      <w:r w:rsidRPr="002A68EC">
        <w:rPr>
          <w:rFonts w:ascii="Arial" w:hAnsi="Arial"/>
          <w:sz w:val="24"/>
          <w:szCs w:val="24"/>
        </w:rPr>
        <w:t>, with the subject line: CTEIG Appeal - Full District Name.</w:t>
      </w:r>
    </w:p>
    <w:p w14:paraId="0F31E264" w14:textId="310A4B94" w:rsidR="00DC383C" w:rsidRPr="00567BF3" w:rsidRDefault="00686939" w:rsidP="00645B74">
      <w:pPr>
        <w:pStyle w:val="Heading2"/>
      </w:pPr>
      <w:bookmarkStart w:id="30" w:name="_Toc228885224"/>
      <w:r w:rsidRPr="00567BF3">
        <w:lastRenderedPageBreak/>
        <w:t>Technical Assistance</w:t>
      </w:r>
      <w:bookmarkEnd w:id="30"/>
    </w:p>
    <w:p w14:paraId="5B983461" w14:textId="77777777" w:rsidR="00C72D88" w:rsidRPr="00567BF3" w:rsidRDefault="00C72D88" w:rsidP="00567BF3">
      <w:pPr>
        <w:widowControl w:val="0"/>
        <w:pBdr>
          <w:top w:val="nil"/>
          <w:left w:val="nil"/>
          <w:bottom w:val="nil"/>
          <w:right w:val="nil"/>
          <w:between w:val="nil"/>
        </w:pBdr>
        <w:rPr>
          <w:bCs/>
        </w:rPr>
      </w:pPr>
      <w:r w:rsidRPr="00567BF3">
        <w:rPr>
          <w:bCs/>
        </w:rPr>
        <w:t xml:space="preserve">A </w:t>
      </w:r>
      <w:hyperlink r:id="rId22" w:history="1">
        <w:r w:rsidRPr="00567BF3">
          <w:rPr>
            <w:rStyle w:val="Hyperlink"/>
            <w:bCs/>
          </w:rPr>
          <w:t>list of the CDE’s CTEIG Regional Consultants</w:t>
        </w:r>
      </w:hyperlink>
      <w:r w:rsidRPr="00567BF3">
        <w:rPr>
          <w:bCs/>
        </w:rPr>
        <w:t xml:space="preserve"> can be found on the CDE website.</w:t>
      </w:r>
    </w:p>
    <w:p w14:paraId="791E6352" w14:textId="1DD54B2F" w:rsidR="00C72D88" w:rsidRPr="00567BF3" w:rsidRDefault="00C72D88" w:rsidP="00567BF3">
      <w:pPr>
        <w:widowControl w:val="0"/>
        <w:pBdr>
          <w:top w:val="nil"/>
          <w:left w:val="nil"/>
          <w:bottom w:val="nil"/>
          <w:right w:val="nil"/>
          <w:between w:val="nil"/>
        </w:pBdr>
        <w:rPr>
          <w:bCs/>
        </w:rPr>
      </w:pPr>
      <w:r w:rsidRPr="00567BF3">
        <w:rPr>
          <w:bCs/>
        </w:rPr>
        <w:t xml:space="preserve">K–12 SWP Technical Assistance Providers and associated Workforce Pathway Coordinators are available to provide applicants with technical assistance in completing the application. The list of providers is available on the </w:t>
      </w:r>
      <w:hyperlink r:id="rId23" w:history="1">
        <w:r w:rsidRPr="00567BF3">
          <w:rPr>
            <w:rStyle w:val="Hyperlink"/>
            <w:bCs/>
          </w:rPr>
          <w:t>California Community Colleges Chancellor’s Office website</w:t>
        </w:r>
      </w:hyperlink>
      <w:r w:rsidRPr="00567BF3">
        <w:rPr>
          <w:bCs/>
        </w:rPr>
        <w:t>.</w:t>
      </w:r>
    </w:p>
    <w:p w14:paraId="3266B21C" w14:textId="38505B29" w:rsidR="00BF7C69" w:rsidRPr="00567BF3" w:rsidRDefault="00686939" w:rsidP="00645B74">
      <w:pPr>
        <w:pStyle w:val="Heading2"/>
      </w:pPr>
      <w:bookmarkStart w:id="31" w:name="_Toc228885225"/>
      <w:r w:rsidRPr="00567BF3">
        <w:t>Resources</w:t>
      </w:r>
      <w:bookmarkEnd w:id="31"/>
    </w:p>
    <w:p w14:paraId="556457C9" w14:textId="18537BD1" w:rsidR="00BF7C69" w:rsidRPr="00567BF3" w:rsidRDefault="00BF7C69" w:rsidP="00567BF3">
      <w:pPr>
        <w:rPr>
          <w:bCs/>
        </w:rPr>
      </w:pPr>
      <w:r w:rsidRPr="00567BF3">
        <w:rPr>
          <w:bCs/>
        </w:rPr>
        <w:t xml:space="preserve">Resources are available on the </w:t>
      </w:r>
      <w:hyperlink r:id="rId24" w:history="1">
        <w:r w:rsidRPr="00567BF3">
          <w:rPr>
            <w:rStyle w:val="Hyperlink"/>
            <w:bCs/>
          </w:rPr>
          <w:t>CTEIG web</w:t>
        </w:r>
        <w:r w:rsidR="00F924E9">
          <w:rPr>
            <w:rStyle w:val="Hyperlink"/>
            <w:bCs/>
          </w:rPr>
          <w:t xml:space="preserve"> </w:t>
        </w:r>
        <w:r w:rsidRPr="00567BF3">
          <w:rPr>
            <w:rStyle w:val="Hyperlink"/>
            <w:bCs/>
          </w:rPr>
          <w:t>page</w:t>
        </w:r>
      </w:hyperlink>
      <w:r w:rsidRPr="00567BF3">
        <w:rPr>
          <w:bCs/>
        </w:rPr>
        <w:t>.</w:t>
      </w:r>
    </w:p>
    <w:p w14:paraId="05889284" w14:textId="27C13D13" w:rsidR="00BF7C69" w:rsidRPr="00567BF3" w:rsidRDefault="00BF7C69" w:rsidP="00567BF3">
      <w:pPr>
        <w:rPr>
          <w:bCs/>
        </w:rPr>
      </w:pPr>
      <w:r w:rsidRPr="00567BF3">
        <w:rPr>
          <w:bCs/>
        </w:rPr>
        <w:t>Resources include the following:</w:t>
      </w:r>
    </w:p>
    <w:p w14:paraId="18525B40" w14:textId="77777777" w:rsidR="00BF7C69" w:rsidRPr="00567BF3" w:rsidRDefault="00BF7C69" w:rsidP="00567BF3">
      <w:pPr>
        <w:pStyle w:val="ListParagraph"/>
        <w:numPr>
          <w:ilvl w:val="0"/>
          <w:numId w:val="7"/>
        </w:numPr>
      </w:pPr>
      <w:r w:rsidRPr="00567BF3">
        <w:t>Budget Object Code Chart</w:t>
      </w:r>
    </w:p>
    <w:p w14:paraId="0DB9B35D" w14:textId="77777777" w:rsidR="00BF7C69" w:rsidRPr="00567BF3" w:rsidRDefault="00BF7C69" w:rsidP="00567BF3">
      <w:pPr>
        <w:pStyle w:val="ListParagraph"/>
        <w:numPr>
          <w:ilvl w:val="0"/>
          <w:numId w:val="7"/>
        </w:numPr>
      </w:pPr>
      <w:r w:rsidRPr="00567BF3">
        <w:t>MOU Template</w:t>
      </w:r>
    </w:p>
    <w:p w14:paraId="28CAF927" w14:textId="77777777" w:rsidR="00BF7C69" w:rsidRPr="00567BF3" w:rsidRDefault="00BF7C69" w:rsidP="00567BF3">
      <w:pPr>
        <w:pStyle w:val="ListParagraph"/>
        <w:numPr>
          <w:ilvl w:val="0"/>
          <w:numId w:val="7"/>
        </w:numPr>
      </w:pPr>
      <w:r w:rsidRPr="00567BF3">
        <w:t>PGMS Entry Application Instructions</w:t>
      </w:r>
    </w:p>
    <w:p w14:paraId="31476597" w14:textId="61AD820F" w:rsidR="00BF7C69" w:rsidRPr="00567BF3" w:rsidRDefault="00BF7C69" w:rsidP="00567BF3">
      <w:pPr>
        <w:pStyle w:val="ListParagraph"/>
        <w:numPr>
          <w:ilvl w:val="0"/>
          <w:numId w:val="7"/>
        </w:numPr>
      </w:pPr>
      <w:r w:rsidRPr="00567BF3">
        <w:t>Glossary of Terms</w:t>
      </w:r>
    </w:p>
    <w:p w14:paraId="67295B0F" w14:textId="77777777" w:rsidR="00DD148C" w:rsidRPr="00567BF3" w:rsidRDefault="00DD148C" w:rsidP="00567BF3">
      <w:pPr>
        <w:spacing w:before="0" w:after="160" w:line="278" w:lineRule="auto"/>
        <w:sectPr w:rsidR="00DD148C" w:rsidRPr="00567BF3" w:rsidSect="00F161E2">
          <w:footerReference w:type="default" r:id="rId25"/>
          <w:pgSz w:w="12240" w:h="15840"/>
          <w:pgMar w:top="1440" w:right="1502" w:bottom="1440" w:left="1501" w:header="720" w:footer="720" w:gutter="0"/>
          <w:pgNumType w:start="1"/>
          <w:cols w:space="720"/>
          <w:docGrid w:linePitch="360"/>
        </w:sectPr>
      </w:pPr>
    </w:p>
    <w:p w14:paraId="163AB6D6" w14:textId="3F7CFAA0" w:rsidR="00BF7C69" w:rsidRPr="00567BF3" w:rsidRDefault="00686939" w:rsidP="00645B74">
      <w:pPr>
        <w:pStyle w:val="Heading2"/>
      </w:pPr>
      <w:bookmarkStart w:id="32" w:name="_Toc228885226"/>
      <w:r w:rsidRPr="00567BF3">
        <w:lastRenderedPageBreak/>
        <w:t>Scoring Rubric for New Applicants</w:t>
      </w:r>
      <w:bookmarkEnd w:id="32"/>
    </w:p>
    <w:p w14:paraId="094C89DF" w14:textId="77777777" w:rsidR="00312BB6" w:rsidRPr="00567BF3" w:rsidRDefault="00312BB6" w:rsidP="00567BF3">
      <w:pPr>
        <w:pStyle w:val="PlainText"/>
        <w:spacing w:after="240"/>
        <w:rPr>
          <w:rFonts w:ascii="Arial" w:hAnsi="Arial"/>
          <w:b/>
          <w:bCs/>
          <w:sz w:val="24"/>
          <w:szCs w:val="24"/>
        </w:rPr>
      </w:pPr>
      <w:r w:rsidRPr="00567BF3">
        <w:rPr>
          <w:rFonts w:ascii="Arial" w:hAnsi="Arial"/>
          <w:b/>
          <w:bCs/>
          <w:sz w:val="24"/>
          <w:szCs w:val="24"/>
        </w:rPr>
        <w:t>Holistic Approach: 15 points</w:t>
      </w:r>
    </w:p>
    <w:tbl>
      <w:tblPr>
        <w:tblStyle w:val="TableGrid"/>
        <w:tblW w:w="12739" w:type="dxa"/>
        <w:tblLook w:val="04A0" w:firstRow="1" w:lastRow="0" w:firstColumn="1" w:lastColumn="0" w:noHBand="0" w:noVBand="1"/>
        <w:tblDescription w:val="Scoring Rubric"/>
      </w:tblPr>
      <w:tblGrid>
        <w:gridCol w:w="4674"/>
        <w:gridCol w:w="2017"/>
        <w:gridCol w:w="2016"/>
        <w:gridCol w:w="2016"/>
        <w:gridCol w:w="2016"/>
      </w:tblGrid>
      <w:tr w:rsidR="0061365F" w:rsidRPr="00567BF3" w14:paraId="4396E231" w14:textId="2E4E2954" w:rsidTr="0061365F">
        <w:trPr>
          <w:cantSplit/>
          <w:tblHeader/>
        </w:trPr>
        <w:tc>
          <w:tcPr>
            <w:tcW w:w="4675" w:type="dxa"/>
            <w:shd w:val="clear" w:color="auto" w:fill="D1D1D1" w:themeFill="background2" w:themeFillShade="E6"/>
            <w:vAlign w:val="center"/>
          </w:tcPr>
          <w:p w14:paraId="5851ECB4" w14:textId="77777777"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Question</w:t>
            </w:r>
          </w:p>
        </w:tc>
        <w:tc>
          <w:tcPr>
            <w:tcW w:w="2016" w:type="dxa"/>
            <w:shd w:val="clear" w:color="auto" w:fill="D1D1D1" w:themeFill="background2" w:themeFillShade="E6"/>
            <w:vAlign w:val="center"/>
          </w:tcPr>
          <w:p w14:paraId="59F2942C" w14:textId="6E808450"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Comprehensive Evidence</w:t>
            </w:r>
            <w:r w:rsidRPr="00567BF3">
              <w:rPr>
                <w:rFonts w:ascii="Arial" w:hAnsi="Arial"/>
                <w:b/>
                <w:bCs/>
                <w:sz w:val="24"/>
                <w:szCs w:val="24"/>
              </w:rPr>
              <w:br/>
              <w:t>(5</w:t>
            </w:r>
            <w:r w:rsidR="0061322F" w:rsidRPr="00567BF3">
              <w:rPr>
                <w:rFonts w:ascii="Arial" w:hAnsi="Arial"/>
                <w:b/>
                <w:bCs/>
                <w:sz w:val="24"/>
                <w:szCs w:val="24"/>
              </w:rPr>
              <w:t xml:space="preserve"> </w:t>
            </w:r>
            <w:r w:rsidRPr="00567BF3">
              <w:rPr>
                <w:rFonts w:ascii="Arial" w:hAnsi="Arial"/>
                <w:b/>
                <w:bCs/>
                <w:sz w:val="24"/>
                <w:szCs w:val="24"/>
              </w:rPr>
              <w:t>Points)</w:t>
            </w:r>
          </w:p>
        </w:tc>
        <w:tc>
          <w:tcPr>
            <w:tcW w:w="2016" w:type="dxa"/>
            <w:shd w:val="clear" w:color="auto" w:fill="D1D1D1" w:themeFill="background2" w:themeFillShade="E6"/>
            <w:vAlign w:val="center"/>
          </w:tcPr>
          <w:p w14:paraId="4A2B5392" w14:textId="77777777"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Strong Evidence</w:t>
            </w:r>
          </w:p>
          <w:p w14:paraId="7B31DDFB" w14:textId="7B43FCBE"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w:t>
            </w:r>
            <w:r w:rsidR="0061322F" w:rsidRPr="00567BF3">
              <w:rPr>
                <w:rFonts w:ascii="Arial" w:hAnsi="Arial"/>
                <w:b/>
                <w:bCs/>
                <w:sz w:val="24"/>
                <w:szCs w:val="24"/>
              </w:rPr>
              <w:t>4</w:t>
            </w:r>
            <w:r w:rsidRPr="00567BF3">
              <w:rPr>
                <w:rFonts w:ascii="Arial" w:hAnsi="Arial"/>
                <w:b/>
                <w:bCs/>
                <w:sz w:val="24"/>
                <w:szCs w:val="24"/>
              </w:rPr>
              <w:t>–</w:t>
            </w:r>
            <w:r w:rsidR="0061322F" w:rsidRPr="00567BF3">
              <w:rPr>
                <w:rFonts w:ascii="Arial" w:hAnsi="Arial"/>
                <w:b/>
                <w:bCs/>
                <w:sz w:val="24"/>
                <w:szCs w:val="24"/>
              </w:rPr>
              <w:t>3</w:t>
            </w:r>
            <w:r w:rsidRPr="00567BF3">
              <w:rPr>
                <w:rFonts w:ascii="Arial" w:hAnsi="Arial"/>
                <w:b/>
                <w:bCs/>
                <w:sz w:val="24"/>
                <w:szCs w:val="24"/>
              </w:rPr>
              <w:t xml:space="preserve"> Points)</w:t>
            </w:r>
          </w:p>
        </w:tc>
        <w:tc>
          <w:tcPr>
            <w:tcW w:w="2016" w:type="dxa"/>
            <w:shd w:val="clear" w:color="auto" w:fill="D1D1D1" w:themeFill="background2" w:themeFillShade="E6"/>
            <w:vAlign w:val="center"/>
          </w:tcPr>
          <w:p w14:paraId="431DCD23" w14:textId="77777777"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Adequate Evidence</w:t>
            </w:r>
          </w:p>
          <w:p w14:paraId="6953815E" w14:textId="246725AC" w:rsidR="0061365F" w:rsidRPr="00567BF3" w:rsidRDefault="0061365F" w:rsidP="00567BF3">
            <w:pPr>
              <w:pStyle w:val="PlainText"/>
              <w:spacing w:before="60" w:after="60"/>
              <w:jc w:val="center"/>
              <w:rPr>
                <w:rFonts w:ascii="Arial" w:hAnsi="Arial"/>
                <w:b/>
                <w:bCs/>
                <w:sz w:val="24"/>
                <w:szCs w:val="24"/>
              </w:rPr>
            </w:pPr>
            <w:r w:rsidRPr="00567BF3">
              <w:rPr>
                <w:rFonts w:ascii="Arial" w:hAnsi="Arial"/>
                <w:b/>
                <w:bCs/>
                <w:sz w:val="24"/>
                <w:szCs w:val="24"/>
              </w:rPr>
              <w:t>(</w:t>
            </w:r>
            <w:r w:rsidR="0061322F" w:rsidRPr="00567BF3">
              <w:rPr>
                <w:rFonts w:ascii="Arial" w:hAnsi="Arial"/>
                <w:b/>
                <w:bCs/>
                <w:sz w:val="24"/>
                <w:szCs w:val="24"/>
              </w:rPr>
              <w:t>2</w:t>
            </w:r>
            <w:r w:rsidRPr="00567BF3">
              <w:rPr>
                <w:rFonts w:ascii="Arial" w:hAnsi="Arial"/>
                <w:b/>
                <w:bCs/>
                <w:sz w:val="24"/>
                <w:szCs w:val="24"/>
              </w:rPr>
              <w:t>–</w:t>
            </w:r>
            <w:r w:rsidR="0061322F" w:rsidRPr="00567BF3">
              <w:rPr>
                <w:rFonts w:ascii="Arial" w:hAnsi="Arial"/>
                <w:b/>
                <w:bCs/>
                <w:sz w:val="24"/>
                <w:szCs w:val="24"/>
              </w:rPr>
              <w:t>1</w:t>
            </w:r>
            <w:r w:rsidRPr="00567BF3">
              <w:rPr>
                <w:rFonts w:ascii="Arial" w:hAnsi="Arial"/>
                <w:b/>
                <w:bCs/>
                <w:sz w:val="24"/>
                <w:szCs w:val="24"/>
              </w:rPr>
              <w:t xml:space="preserve"> Points)</w:t>
            </w:r>
          </w:p>
        </w:tc>
        <w:tc>
          <w:tcPr>
            <w:tcW w:w="2016" w:type="dxa"/>
            <w:shd w:val="clear" w:color="auto" w:fill="D1D1D1" w:themeFill="background2" w:themeFillShade="E6"/>
            <w:vAlign w:val="center"/>
          </w:tcPr>
          <w:p w14:paraId="3E0168BF" w14:textId="77777777" w:rsidR="0061365F" w:rsidRPr="00567BF3" w:rsidRDefault="0061365F"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Minimal</w:t>
            </w:r>
          </w:p>
          <w:p w14:paraId="079445C6" w14:textId="571C4C9D" w:rsidR="0061365F" w:rsidRPr="00567BF3" w:rsidRDefault="0061365F" w:rsidP="00567BF3">
            <w:pPr>
              <w:pStyle w:val="PlainText"/>
              <w:spacing w:before="60" w:after="60"/>
              <w:jc w:val="center"/>
              <w:rPr>
                <w:rFonts w:ascii="Arial" w:hAnsi="Arial"/>
                <w:b/>
                <w:bCs/>
                <w:sz w:val="24"/>
                <w:szCs w:val="24"/>
              </w:rPr>
            </w:pPr>
            <w:r w:rsidRPr="00567BF3">
              <w:rPr>
                <w:rStyle w:val="None"/>
                <w:rFonts w:ascii="Arial" w:hAnsi="Arial"/>
                <w:b/>
                <w:bCs/>
                <w:sz w:val="24"/>
                <w:szCs w:val="24"/>
              </w:rPr>
              <w:t>(0 points)</w:t>
            </w:r>
          </w:p>
        </w:tc>
      </w:tr>
      <w:tr w:rsidR="0061365F" w:rsidRPr="00567BF3" w14:paraId="48837DE6" w14:textId="5E4570A1" w:rsidTr="0061365F">
        <w:trPr>
          <w:cantSplit/>
        </w:trPr>
        <w:tc>
          <w:tcPr>
            <w:tcW w:w="4675" w:type="dxa"/>
            <w:vAlign w:val="center"/>
          </w:tcPr>
          <w:p w14:paraId="0E7052FC" w14:textId="77777777" w:rsidR="0061365F" w:rsidRPr="00567BF3" w:rsidRDefault="0061365F" w:rsidP="00567BF3">
            <w:pPr>
              <w:pStyle w:val="PlainText"/>
              <w:spacing w:before="60" w:after="60"/>
              <w:rPr>
                <w:rFonts w:ascii="Arial" w:hAnsi="Arial"/>
                <w:b/>
                <w:bCs/>
                <w:sz w:val="24"/>
                <w:szCs w:val="24"/>
              </w:rPr>
            </w:pPr>
            <w:bookmarkStart w:id="33" w:name="_Hlk217392356"/>
            <w:r w:rsidRPr="00567BF3">
              <w:rPr>
                <w:rFonts w:ascii="Arial" w:hAnsi="Arial"/>
                <w:b/>
                <w:bCs/>
                <w:color w:val="000000"/>
                <w:sz w:val="24"/>
                <w:szCs w:val="24"/>
              </w:rPr>
              <w:t>Employer Involvement:</w:t>
            </w:r>
            <w:r w:rsidRPr="00567BF3">
              <w:rPr>
                <w:rFonts w:ascii="Arial" w:hAnsi="Arial"/>
                <w:color w:val="000000"/>
                <w:sz w:val="24"/>
                <w:szCs w:val="24"/>
              </w:rPr>
              <w:t xml:space="preserve"> How does your applicant demonstrate involvement of employers in your CTE programs and career pathways?</w:t>
            </w:r>
          </w:p>
        </w:tc>
        <w:tc>
          <w:tcPr>
            <w:tcW w:w="2016" w:type="dxa"/>
            <w:vAlign w:val="center"/>
          </w:tcPr>
          <w:p w14:paraId="062C5794"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employer involvement.</w:t>
            </w:r>
          </w:p>
        </w:tc>
        <w:tc>
          <w:tcPr>
            <w:tcW w:w="2016" w:type="dxa"/>
            <w:vAlign w:val="center"/>
          </w:tcPr>
          <w:p w14:paraId="6E288DEC"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employer involvement.</w:t>
            </w:r>
          </w:p>
        </w:tc>
        <w:tc>
          <w:tcPr>
            <w:tcW w:w="2016" w:type="dxa"/>
            <w:vAlign w:val="center"/>
          </w:tcPr>
          <w:p w14:paraId="24D989AD" w14:textId="010DC836"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employer involvement.</w:t>
            </w:r>
          </w:p>
        </w:tc>
        <w:tc>
          <w:tcPr>
            <w:tcW w:w="2016" w:type="dxa"/>
            <w:vAlign w:val="center"/>
          </w:tcPr>
          <w:p w14:paraId="28FEB711" w14:textId="4E307C59" w:rsidR="0061365F" w:rsidRPr="00567BF3" w:rsidRDefault="0061365F"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employer involvement. </w:t>
            </w:r>
          </w:p>
        </w:tc>
      </w:tr>
      <w:tr w:rsidR="0061365F" w:rsidRPr="00567BF3" w14:paraId="201FDA0D" w14:textId="4EC1D434" w:rsidTr="0061365F">
        <w:trPr>
          <w:cantSplit/>
        </w:trPr>
        <w:tc>
          <w:tcPr>
            <w:tcW w:w="4675" w:type="dxa"/>
            <w:vAlign w:val="center"/>
          </w:tcPr>
          <w:p w14:paraId="7781C867" w14:textId="6D49ACAF" w:rsidR="0061365F" w:rsidRPr="00567BF3" w:rsidRDefault="0061365F" w:rsidP="00567BF3">
            <w:pPr>
              <w:pStyle w:val="PlainText"/>
              <w:spacing w:before="60" w:after="60"/>
              <w:rPr>
                <w:rFonts w:ascii="Arial" w:hAnsi="Arial"/>
                <w:sz w:val="24"/>
                <w:szCs w:val="24"/>
              </w:rPr>
            </w:pPr>
            <w:r w:rsidRPr="00567BF3">
              <w:rPr>
                <w:rFonts w:ascii="Arial" w:hAnsi="Arial"/>
                <w:b/>
                <w:bCs/>
                <w:color w:val="000000"/>
                <w:sz w:val="24"/>
                <w:szCs w:val="24"/>
              </w:rPr>
              <w:t>Wraparound Services:</w:t>
            </w:r>
            <w:r w:rsidRPr="00567BF3">
              <w:rPr>
                <w:rFonts w:ascii="Arial" w:hAnsi="Arial"/>
                <w:color w:val="000000"/>
                <w:sz w:val="24"/>
                <w:szCs w:val="24"/>
              </w:rPr>
              <w:t xml:space="preserve"> How does your applicant provide wraparound services for </w:t>
            </w:r>
            <w:r w:rsidR="00466352" w:rsidRPr="00567BF3">
              <w:rPr>
                <w:rFonts w:ascii="Arial" w:hAnsi="Arial"/>
                <w:color w:val="000000"/>
                <w:sz w:val="24"/>
                <w:szCs w:val="24"/>
              </w:rPr>
              <w:t>student</w:t>
            </w:r>
            <w:r w:rsidRPr="00567BF3">
              <w:rPr>
                <w:rFonts w:ascii="Arial" w:hAnsi="Arial"/>
                <w:color w:val="000000"/>
                <w:sz w:val="24"/>
                <w:szCs w:val="24"/>
              </w:rPr>
              <w:t>s to support their participation in CTE programs and career pathways?</w:t>
            </w:r>
          </w:p>
        </w:tc>
        <w:tc>
          <w:tcPr>
            <w:tcW w:w="2016" w:type="dxa"/>
            <w:vAlign w:val="center"/>
          </w:tcPr>
          <w:p w14:paraId="48F20E2E"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wraparound services.</w:t>
            </w:r>
          </w:p>
        </w:tc>
        <w:tc>
          <w:tcPr>
            <w:tcW w:w="2016" w:type="dxa"/>
            <w:vAlign w:val="center"/>
          </w:tcPr>
          <w:p w14:paraId="0916D0CF"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wraparound services.</w:t>
            </w:r>
          </w:p>
        </w:tc>
        <w:tc>
          <w:tcPr>
            <w:tcW w:w="2016" w:type="dxa"/>
            <w:vAlign w:val="center"/>
          </w:tcPr>
          <w:p w14:paraId="4B553D5C" w14:textId="12990D06"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wraparound services.</w:t>
            </w:r>
          </w:p>
        </w:tc>
        <w:tc>
          <w:tcPr>
            <w:tcW w:w="2016" w:type="dxa"/>
          </w:tcPr>
          <w:p w14:paraId="7CF69E3C" w14:textId="3BB7AF0B" w:rsidR="0061365F" w:rsidRPr="00567BF3" w:rsidRDefault="0061365F"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w:t>
            </w:r>
            <w:r w:rsidRPr="00567BF3">
              <w:rPr>
                <w:rFonts w:ascii="Arial" w:hAnsi="Arial"/>
                <w:color w:val="000000"/>
                <w:sz w:val="24"/>
                <w:szCs w:val="24"/>
              </w:rPr>
              <w:t>wraparound services.</w:t>
            </w:r>
          </w:p>
        </w:tc>
      </w:tr>
      <w:tr w:rsidR="0061365F" w:rsidRPr="00567BF3" w14:paraId="589081D9" w14:textId="1C2171B7" w:rsidTr="0061365F">
        <w:trPr>
          <w:cantSplit/>
        </w:trPr>
        <w:tc>
          <w:tcPr>
            <w:tcW w:w="4675" w:type="dxa"/>
            <w:vAlign w:val="center"/>
          </w:tcPr>
          <w:p w14:paraId="00FCE038" w14:textId="738CBC0D" w:rsidR="0061365F" w:rsidRPr="00567BF3" w:rsidRDefault="0061365F" w:rsidP="00567BF3">
            <w:pPr>
              <w:pStyle w:val="PlainText"/>
              <w:spacing w:before="60" w:after="60"/>
              <w:rPr>
                <w:rFonts w:ascii="Arial" w:hAnsi="Arial"/>
                <w:sz w:val="24"/>
                <w:szCs w:val="24"/>
              </w:rPr>
            </w:pPr>
            <w:r w:rsidRPr="00567BF3">
              <w:rPr>
                <w:rFonts w:ascii="Arial" w:hAnsi="Arial"/>
                <w:b/>
                <w:bCs/>
                <w:color w:val="000000"/>
                <w:sz w:val="24"/>
                <w:szCs w:val="24"/>
              </w:rPr>
              <w:t>Labor Market Demand Alignment and Grant Impact:</w:t>
            </w:r>
            <w:r w:rsidRPr="00567BF3">
              <w:rPr>
                <w:rFonts w:ascii="Arial" w:hAnsi="Arial"/>
                <w:color w:val="000000"/>
                <w:sz w:val="24"/>
                <w:szCs w:val="24"/>
              </w:rPr>
              <w:t xml:space="preserve"> How do your proposed programs and services align with current or projected labor market demand within your region, and how will CTEIG funding provide CTE and career pathway programs and services?</w:t>
            </w:r>
          </w:p>
        </w:tc>
        <w:tc>
          <w:tcPr>
            <w:tcW w:w="2016" w:type="dxa"/>
            <w:vAlign w:val="center"/>
          </w:tcPr>
          <w:p w14:paraId="0032805E"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labor market alignment and grant impact.</w:t>
            </w:r>
          </w:p>
        </w:tc>
        <w:tc>
          <w:tcPr>
            <w:tcW w:w="2016" w:type="dxa"/>
            <w:vAlign w:val="center"/>
          </w:tcPr>
          <w:p w14:paraId="2C733638"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labor market alignment and grant impact.</w:t>
            </w:r>
          </w:p>
        </w:tc>
        <w:tc>
          <w:tcPr>
            <w:tcW w:w="2016" w:type="dxa"/>
            <w:vAlign w:val="center"/>
          </w:tcPr>
          <w:p w14:paraId="5AF3DDCA" w14:textId="77777777" w:rsidR="0061365F" w:rsidRPr="00567BF3" w:rsidRDefault="0061365F"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labor market alignment and grant impact.</w:t>
            </w:r>
          </w:p>
        </w:tc>
        <w:tc>
          <w:tcPr>
            <w:tcW w:w="2016" w:type="dxa"/>
          </w:tcPr>
          <w:p w14:paraId="4A142E28" w14:textId="40DC5C61" w:rsidR="0061365F" w:rsidRPr="00567BF3" w:rsidRDefault="0061365F"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w:t>
            </w:r>
            <w:r w:rsidRPr="00567BF3">
              <w:rPr>
                <w:rFonts w:ascii="Arial" w:hAnsi="Arial"/>
                <w:color w:val="000000"/>
                <w:sz w:val="24"/>
                <w:szCs w:val="24"/>
              </w:rPr>
              <w:t>labor market alignment and grant impact.</w:t>
            </w:r>
          </w:p>
        </w:tc>
      </w:tr>
    </w:tbl>
    <w:bookmarkEnd w:id="33"/>
    <w:p w14:paraId="3AD23826" w14:textId="5EA80C6E" w:rsidR="00312BB6" w:rsidRPr="00567BF3" w:rsidRDefault="00312BB6" w:rsidP="00567BF3">
      <w:pPr>
        <w:pStyle w:val="PlainText"/>
        <w:spacing w:after="120"/>
        <w:rPr>
          <w:rFonts w:ascii="Arial" w:hAnsi="Arial"/>
          <w:sz w:val="24"/>
          <w:szCs w:val="24"/>
        </w:rPr>
      </w:pPr>
      <w:r w:rsidRPr="00567BF3">
        <w:rPr>
          <w:rFonts w:ascii="Arial" w:hAnsi="Arial"/>
          <w:sz w:val="24"/>
          <w:szCs w:val="24"/>
        </w:rPr>
        <w:t>Total Holistic Approach Score: Up to 15 points</w:t>
      </w:r>
    </w:p>
    <w:p w14:paraId="6FF1AFC6" w14:textId="77777777" w:rsidR="00312BB6" w:rsidRPr="00567BF3" w:rsidRDefault="00312BB6" w:rsidP="00567BF3">
      <w:pPr>
        <w:spacing w:before="0" w:after="160" w:line="278" w:lineRule="auto"/>
      </w:pPr>
      <w:r w:rsidRPr="00567BF3">
        <w:br w:type="page"/>
      </w:r>
    </w:p>
    <w:p w14:paraId="38D68CF2" w14:textId="0DE66F1A" w:rsidR="00BF7C69" w:rsidRPr="00567BF3" w:rsidRDefault="00BF7C69" w:rsidP="00B466DB">
      <w:pPr>
        <w:pStyle w:val="PlainText"/>
        <w:spacing w:before="480" w:after="240"/>
        <w:rPr>
          <w:rFonts w:ascii="Arial" w:hAnsi="Arial"/>
          <w:b/>
          <w:bCs/>
          <w:sz w:val="24"/>
          <w:szCs w:val="24"/>
        </w:rPr>
      </w:pPr>
      <w:r w:rsidRPr="00567BF3">
        <w:rPr>
          <w:rFonts w:ascii="Arial" w:hAnsi="Arial"/>
          <w:b/>
          <w:bCs/>
          <w:sz w:val="24"/>
          <w:szCs w:val="24"/>
        </w:rPr>
        <w:lastRenderedPageBreak/>
        <w:t xml:space="preserve">Minimum Eligibility Standards: </w:t>
      </w:r>
      <w:r w:rsidR="00937369" w:rsidRPr="00567BF3">
        <w:rPr>
          <w:rFonts w:ascii="Arial" w:hAnsi="Arial"/>
          <w:b/>
          <w:bCs/>
          <w:sz w:val="24"/>
          <w:szCs w:val="24"/>
        </w:rPr>
        <w:t>6</w:t>
      </w:r>
      <w:r w:rsidRPr="00567BF3">
        <w:rPr>
          <w:rFonts w:ascii="Arial" w:hAnsi="Arial"/>
          <w:b/>
          <w:bCs/>
          <w:sz w:val="24"/>
          <w:szCs w:val="24"/>
        </w:rPr>
        <w:t>0 points</w:t>
      </w:r>
      <w:r w:rsidR="00937369" w:rsidRPr="00567BF3">
        <w:rPr>
          <w:rFonts w:ascii="Arial" w:hAnsi="Arial"/>
          <w:b/>
          <w:bCs/>
          <w:sz w:val="24"/>
          <w:szCs w:val="24"/>
        </w:rPr>
        <w:t xml:space="preserve"> possible</w:t>
      </w:r>
    </w:p>
    <w:tbl>
      <w:tblPr>
        <w:tblStyle w:val="TableGrid"/>
        <w:tblW w:w="13590" w:type="dxa"/>
        <w:tblInd w:w="-275" w:type="dxa"/>
        <w:tblLayout w:type="fixed"/>
        <w:tblLook w:val="04A0" w:firstRow="1" w:lastRow="0" w:firstColumn="1" w:lastColumn="0" w:noHBand="0" w:noVBand="1"/>
        <w:tblDescription w:val="Minimum Eligibility Standards"/>
      </w:tblPr>
      <w:tblGrid>
        <w:gridCol w:w="4950"/>
        <w:gridCol w:w="2160"/>
        <w:gridCol w:w="2160"/>
        <w:gridCol w:w="2160"/>
        <w:gridCol w:w="2160"/>
      </w:tblGrid>
      <w:tr w:rsidR="000618C9" w:rsidRPr="00567BF3" w14:paraId="12E534B8" w14:textId="1EB7B27D" w:rsidTr="000618C9">
        <w:trPr>
          <w:cantSplit/>
          <w:tblHeader/>
        </w:trPr>
        <w:tc>
          <w:tcPr>
            <w:tcW w:w="4950" w:type="dxa"/>
            <w:shd w:val="clear" w:color="auto" w:fill="D1D1D1" w:themeFill="background2" w:themeFillShade="E6"/>
            <w:vAlign w:val="center"/>
          </w:tcPr>
          <w:p w14:paraId="3D854D37" w14:textId="4950A590" w:rsidR="000115BB" w:rsidRPr="00567BF3" w:rsidRDefault="000115BB" w:rsidP="00567BF3">
            <w:pPr>
              <w:pStyle w:val="PlainText"/>
              <w:spacing w:before="60" w:after="60"/>
              <w:jc w:val="center"/>
              <w:rPr>
                <w:rFonts w:ascii="Arial" w:hAnsi="Arial"/>
                <w:b/>
                <w:bCs/>
                <w:sz w:val="24"/>
                <w:szCs w:val="24"/>
              </w:rPr>
            </w:pPr>
            <w:r w:rsidRPr="00567BF3">
              <w:rPr>
                <w:rStyle w:val="None"/>
                <w:rFonts w:ascii="Arial" w:hAnsi="Arial"/>
                <w:b/>
                <w:bCs/>
                <w:sz w:val="24"/>
                <w:szCs w:val="24"/>
              </w:rPr>
              <w:t>Question</w:t>
            </w:r>
          </w:p>
        </w:tc>
        <w:tc>
          <w:tcPr>
            <w:tcW w:w="2160" w:type="dxa"/>
            <w:shd w:val="clear" w:color="auto" w:fill="D1D1D1" w:themeFill="background2" w:themeFillShade="E6"/>
            <w:vAlign w:val="center"/>
          </w:tcPr>
          <w:p w14:paraId="515D8CEF" w14:textId="545DADE9" w:rsidR="000618C9" w:rsidRPr="00567BF3" w:rsidRDefault="009E4D5E"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Comprehensive</w:t>
            </w:r>
          </w:p>
          <w:p w14:paraId="3DF000EF" w14:textId="28A4B26B" w:rsidR="000115BB" w:rsidRPr="00567BF3" w:rsidRDefault="000115BB" w:rsidP="00567BF3">
            <w:pPr>
              <w:pStyle w:val="PlainText"/>
              <w:spacing w:before="0" w:after="60"/>
              <w:jc w:val="center"/>
              <w:rPr>
                <w:rFonts w:ascii="Arial" w:hAnsi="Arial"/>
                <w:b/>
                <w:bCs/>
                <w:sz w:val="24"/>
                <w:szCs w:val="24"/>
              </w:rPr>
            </w:pPr>
            <w:r w:rsidRPr="00567BF3">
              <w:rPr>
                <w:rStyle w:val="None"/>
                <w:rFonts w:ascii="Arial" w:hAnsi="Arial"/>
                <w:b/>
                <w:bCs/>
                <w:sz w:val="24"/>
                <w:szCs w:val="24"/>
              </w:rPr>
              <w:t>(5 points)</w:t>
            </w:r>
          </w:p>
        </w:tc>
        <w:tc>
          <w:tcPr>
            <w:tcW w:w="2160" w:type="dxa"/>
            <w:shd w:val="clear" w:color="auto" w:fill="D1D1D1" w:themeFill="background2" w:themeFillShade="E6"/>
            <w:vAlign w:val="center"/>
          </w:tcPr>
          <w:p w14:paraId="0ED61BC4" w14:textId="77777777" w:rsidR="000618C9" w:rsidRPr="00567BF3" w:rsidRDefault="000115B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Strong</w:t>
            </w:r>
          </w:p>
          <w:p w14:paraId="3B60B561" w14:textId="1DC7A372" w:rsidR="000115BB" w:rsidRPr="00567BF3" w:rsidRDefault="000115BB" w:rsidP="00567BF3">
            <w:pPr>
              <w:pStyle w:val="PlainText"/>
              <w:spacing w:before="0" w:after="60"/>
              <w:jc w:val="center"/>
              <w:rPr>
                <w:rFonts w:ascii="Arial" w:hAnsi="Arial"/>
                <w:b/>
                <w:bCs/>
                <w:sz w:val="24"/>
                <w:szCs w:val="24"/>
              </w:rPr>
            </w:pPr>
            <w:r w:rsidRPr="00567BF3">
              <w:rPr>
                <w:rStyle w:val="None"/>
                <w:rFonts w:ascii="Arial" w:hAnsi="Arial"/>
                <w:b/>
                <w:bCs/>
                <w:sz w:val="24"/>
                <w:szCs w:val="24"/>
              </w:rPr>
              <w:t>(4–3 points)</w:t>
            </w:r>
          </w:p>
        </w:tc>
        <w:tc>
          <w:tcPr>
            <w:tcW w:w="2160" w:type="dxa"/>
            <w:shd w:val="clear" w:color="auto" w:fill="D1D1D1" w:themeFill="background2" w:themeFillShade="E6"/>
            <w:vAlign w:val="center"/>
          </w:tcPr>
          <w:p w14:paraId="3415E67C" w14:textId="77777777" w:rsidR="000618C9" w:rsidRPr="00567BF3" w:rsidRDefault="000115B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Adequate</w:t>
            </w:r>
          </w:p>
          <w:p w14:paraId="081B1AF1" w14:textId="1733AA38" w:rsidR="000115BB" w:rsidRPr="00567BF3" w:rsidRDefault="000115BB" w:rsidP="00567BF3">
            <w:pPr>
              <w:pStyle w:val="PlainText"/>
              <w:spacing w:before="0" w:after="60"/>
              <w:jc w:val="center"/>
              <w:rPr>
                <w:rFonts w:ascii="Arial" w:hAnsi="Arial"/>
                <w:b/>
                <w:bCs/>
                <w:sz w:val="24"/>
                <w:szCs w:val="24"/>
              </w:rPr>
            </w:pPr>
            <w:r w:rsidRPr="00567BF3">
              <w:rPr>
                <w:rStyle w:val="None"/>
                <w:rFonts w:ascii="Arial" w:hAnsi="Arial"/>
                <w:b/>
                <w:bCs/>
                <w:sz w:val="24"/>
                <w:szCs w:val="24"/>
              </w:rPr>
              <w:t>(2–1 points)</w:t>
            </w:r>
          </w:p>
        </w:tc>
        <w:tc>
          <w:tcPr>
            <w:tcW w:w="2160" w:type="dxa"/>
            <w:shd w:val="clear" w:color="auto" w:fill="D1D1D1" w:themeFill="background2" w:themeFillShade="E6"/>
            <w:vAlign w:val="center"/>
          </w:tcPr>
          <w:p w14:paraId="7A3D7EF7" w14:textId="77777777" w:rsidR="000618C9" w:rsidRPr="00567BF3" w:rsidRDefault="000115B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Minimal</w:t>
            </w:r>
          </w:p>
          <w:p w14:paraId="08472195" w14:textId="46F68447" w:rsidR="000115BB" w:rsidRPr="00567BF3" w:rsidRDefault="000115BB" w:rsidP="00567BF3">
            <w:pPr>
              <w:pStyle w:val="PlainText"/>
              <w:spacing w:before="0" w:after="60"/>
              <w:jc w:val="center"/>
              <w:rPr>
                <w:rStyle w:val="None"/>
                <w:rFonts w:ascii="Arial" w:hAnsi="Arial"/>
                <w:b/>
                <w:bCs/>
                <w:sz w:val="24"/>
                <w:szCs w:val="24"/>
              </w:rPr>
            </w:pPr>
            <w:r w:rsidRPr="00567BF3">
              <w:rPr>
                <w:rStyle w:val="None"/>
                <w:rFonts w:ascii="Arial" w:hAnsi="Arial"/>
                <w:b/>
                <w:bCs/>
                <w:sz w:val="24"/>
                <w:szCs w:val="24"/>
              </w:rPr>
              <w:t>(0 points)</w:t>
            </w:r>
          </w:p>
        </w:tc>
      </w:tr>
      <w:tr w:rsidR="000618C9" w:rsidRPr="00567BF3" w14:paraId="230B42BE" w14:textId="2BDFFF23" w:rsidTr="000618C9">
        <w:trPr>
          <w:cantSplit/>
        </w:trPr>
        <w:tc>
          <w:tcPr>
            <w:tcW w:w="4950" w:type="dxa"/>
            <w:vAlign w:val="center"/>
          </w:tcPr>
          <w:p w14:paraId="03261AF5" w14:textId="70B1BAFE"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t xml:space="preserve">Standard 1: High-Quality Curriculum and Instruction: </w:t>
            </w:r>
            <w:r w:rsidRPr="00567BF3">
              <w:rPr>
                <w:rFonts w:ascii="Arial" w:hAnsi="Arial"/>
                <w:sz w:val="24"/>
                <w:szCs w:val="24"/>
              </w:rPr>
              <w:t>Describe your high-quality curriculum and instruction aligned with California CTE MCS. Explain how your programs provide a coherent sequence of CTE courses that enable students to transition to employment or postsecondary education. As applicable, address how your programs either (A) integrate academic and CTE instruction and offer Advanced Placement, International Baccalaureate, or dual enrollment opportunities, or (B) allow students to attain employment upon graduation including through industry certifications, preapprenticeships, or apprenticeships.</w:t>
            </w:r>
          </w:p>
        </w:tc>
        <w:tc>
          <w:tcPr>
            <w:tcW w:w="2160" w:type="dxa"/>
            <w:vAlign w:val="center"/>
          </w:tcPr>
          <w:p w14:paraId="67E4C7F2" w14:textId="2E0EB58E"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w:t>
            </w:r>
            <w:r w:rsidR="000618C9" w:rsidRPr="00567BF3">
              <w:rPr>
                <w:rFonts w:ascii="Arial" w:hAnsi="Arial"/>
                <w:sz w:val="24"/>
                <w:szCs w:val="24"/>
              </w:rPr>
              <w:t xml:space="preserve"> offering</w:t>
            </w:r>
            <w:r w:rsidRPr="00567BF3">
              <w:rPr>
                <w:rFonts w:ascii="Arial" w:hAnsi="Arial"/>
                <w:sz w:val="24"/>
                <w:szCs w:val="24"/>
              </w:rPr>
              <w:t xml:space="preserve"> </w:t>
            </w:r>
            <w:r w:rsidR="000618C9" w:rsidRPr="00567BF3">
              <w:rPr>
                <w:rFonts w:ascii="Arial" w:hAnsi="Arial"/>
                <w:sz w:val="24"/>
                <w:szCs w:val="24"/>
              </w:rPr>
              <w:t>high-quality curriculum and instruction</w:t>
            </w:r>
          </w:p>
        </w:tc>
        <w:tc>
          <w:tcPr>
            <w:tcW w:w="2160" w:type="dxa"/>
            <w:vAlign w:val="center"/>
          </w:tcPr>
          <w:p w14:paraId="4ED78FCB" w14:textId="2558DA1C"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strong evidence of</w:t>
            </w:r>
            <w:r w:rsidR="000618C9" w:rsidRPr="00567BF3">
              <w:rPr>
                <w:rFonts w:ascii="Arial" w:hAnsi="Arial"/>
                <w:sz w:val="24"/>
                <w:szCs w:val="24"/>
              </w:rPr>
              <w:t xml:space="preserve"> offering</w:t>
            </w:r>
            <w:r w:rsidRPr="00567BF3">
              <w:rPr>
                <w:rFonts w:ascii="Arial" w:hAnsi="Arial"/>
                <w:sz w:val="24"/>
                <w:szCs w:val="24"/>
              </w:rPr>
              <w:t xml:space="preserve"> </w:t>
            </w:r>
            <w:r w:rsidR="000618C9" w:rsidRPr="00567BF3">
              <w:rPr>
                <w:rFonts w:ascii="Arial" w:hAnsi="Arial"/>
                <w:sz w:val="24"/>
                <w:szCs w:val="24"/>
              </w:rPr>
              <w:t>high-quality curriculum and instruction</w:t>
            </w:r>
          </w:p>
        </w:tc>
        <w:tc>
          <w:tcPr>
            <w:tcW w:w="2160" w:type="dxa"/>
            <w:vAlign w:val="center"/>
          </w:tcPr>
          <w:p w14:paraId="3EB43969" w14:textId="6BCEE6E5"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provides adequate evidence of offering </w:t>
            </w:r>
            <w:r w:rsidR="000618C9" w:rsidRPr="00567BF3">
              <w:rPr>
                <w:rFonts w:ascii="Arial" w:hAnsi="Arial"/>
                <w:sz w:val="24"/>
                <w:szCs w:val="24"/>
              </w:rPr>
              <w:t>high-quality curriculum and instruction</w:t>
            </w:r>
          </w:p>
        </w:tc>
        <w:tc>
          <w:tcPr>
            <w:tcW w:w="2160" w:type="dxa"/>
            <w:vAlign w:val="center"/>
          </w:tcPr>
          <w:p w14:paraId="4B4BA96C" w14:textId="11630805"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0618C9" w:rsidRPr="00567BF3">
              <w:rPr>
                <w:rFonts w:ascii="Arial" w:hAnsi="Arial"/>
                <w:sz w:val="24"/>
                <w:szCs w:val="24"/>
              </w:rPr>
              <w:t>offering</w:t>
            </w:r>
            <w:r w:rsidRPr="00567BF3">
              <w:rPr>
                <w:rFonts w:ascii="Arial" w:hAnsi="Arial"/>
                <w:sz w:val="24"/>
                <w:szCs w:val="24"/>
              </w:rPr>
              <w:t xml:space="preserve"> </w:t>
            </w:r>
            <w:r w:rsidR="000618C9" w:rsidRPr="00567BF3">
              <w:rPr>
                <w:rFonts w:ascii="Arial" w:hAnsi="Arial"/>
                <w:sz w:val="24"/>
                <w:szCs w:val="24"/>
              </w:rPr>
              <w:t>high-quality curriculum and instruction</w:t>
            </w:r>
          </w:p>
        </w:tc>
      </w:tr>
      <w:tr w:rsidR="000618C9" w:rsidRPr="00567BF3" w14:paraId="1D5600B5" w14:textId="30AF678E" w:rsidTr="000618C9">
        <w:trPr>
          <w:cantSplit/>
        </w:trPr>
        <w:tc>
          <w:tcPr>
            <w:tcW w:w="4950" w:type="dxa"/>
            <w:vAlign w:val="center"/>
          </w:tcPr>
          <w:p w14:paraId="39CF287C" w14:textId="6A8C90F2"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t>Standard 2: Career Exploration, Guidance, and Work-Based Learning</w:t>
            </w:r>
            <w:r w:rsidR="009E4D5E" w:rsidRPr="00567BF3">
              <w:rPr>
                <w:rFonts w:ascii="Arial" w:hAnsi="Arial"/>
                <w:b/>
                <w:bCs/>
                <w:sz w:val="24"/>
                <w:szCs w:val="24"/>
              </w:rPr>
              <w:t xml:space="preserve"> (WBL)</w:t>
            </w:r>
            <w:r w:rsidRPr="00567BF3">
              <w:rPr>
                <w:rFonts w:ascii="Arial" w:hAnsi="Arial"/>
                <w:b/>
                <w:bCs/>
                <w:sz w:val="24"/>
                <w:szCs w:val="24"/>
              </w:rPr>
              <w:t xml:space="preserve">: </w:t>
            </w:r>
            <w:r w:rsidRPr="00567BF3">
              <w:rPr>
                <w:rFonts w:ascii="Arial" w:hAnsi="Arial"/>
                <w:sz w:val="24"/>
                <w:szCs w:val="24"/>
              </w:rPr>
              <w:t xml:space="preserve">Describe how your programs provide students with quality career exploration, guidance, and a continuum of </w:t>
            </w:r>
            <w:r w:rsidR="009E4D5E" w:rsidRPr="00567BF3">
              <w:rPr>
                <w:rFonts w:ascii="Arial" w:hAnsi="Arial"/>
                <w:sz w:val="24"/>
                <w:szCs w:val="24"/>
              </w:rPr>
              <w:t>WBL</w:t>
            </w:r>
            <w:r w:rsidRPr="00567BF3">
              <w:rPr>
                <w:rFonts w:ascii="Arial" w:hAnsi="Arial"/>
                <w:sz w:val="24"/>
                <w:szCs w:val="24"/>
              </w:rPr>
              <w:t xml:space="preserve"> opportunities aligned with academic coursework. Include information about paid internships and service learning opportunities, as applicable.</w:t>
            </w:r>
          </w:p>
        </w:tc>
        <w:tc>
          <w:tcPr>
            <w:tcW w:w="2160" w:type="dxa"/>
            <w:vAlign w:val="center"/>
          </w:tcPr>
          <w:p w14:paraId="5B50E32E" w14:textId="121A03E0"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career exploration, guidance, and WBL</w:t>
            </w:r>
            <w:r w:rsidR="000618C9" w:rsidRPr="00567BF3">
              <w:rPr>
                <w:rFonts w:ascii="Arial" w:hAnsi="Arial"/>
                <w:sz w:val="24"/>
                <w:szCs w:val="24"/>
              </w:rPr>
              <w:t xml:space="preserve"> opportunities.</w:t>
            </w:r>
          </w:p>
        </w:tc>
        <w:tc>
          <w:tcPr>
            <w:tcW w:w="2160" w:type="dxa"/>
            <w:vAlign w:val="center"/>
          </w:tcPr>
          <w:p w14:paraId="49283626" w14:textId="0EE129CC"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 </w:t>
            </w:r>
            <w:r w:rsidR="000618C9" w:rsidRPr="00567BF3">
              <w:rPr>
                <w:rFonts w:ascii="Arial" w:hAnsi="Arial"/>
                <w:sz w:val="24"/>
                <w:szCs w:val="24"/>
              </w:rPr>
              <w:t>career exploration, guidance, and WBL opportunities.</w:t>
            </w:r>
          </w:p>
        </w:tc>
        <w:tc>
          <w:tcPr>
            <w:tcW w:w="2160" w:type="dxa"/>
            <w:vAlign w:val="center"/>
          </w:tcPr>
          <w:p w14:paraId="26B232DD" w14:textId="7A6604A2"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0618C9" w:rsidRPr="00567BF3">
              <w:rPr>
                <w:rFonts w:ascii="Arial" w:hAnsi="Arial"/>
                <w:sz w:val="24"/>
                <w:szCs w:val="24"/>
              </w:rPr>
              <w:t xml:space="preserve"> career exploration, guidance, and WBL opportunities.</w:t>
            </w:r>
          </w:p>
        </w:tc>
        <w:tc>
          <w:tcPr>
            <w:tcW w:w="2160" w:type="dxa"/>
            <w:vAlign w:val="center"/>
          </w:tcPr>
          <w:p w14:paraId="54248BD3" w14:textId="661166C3"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0618C9" w:rsidRPr="00567BF3">
              <w:rPr>
                <w:rFonts w:ascii="Arial" w:hAnsi="Arial"/>
                <w:sz w:val="24"/>
                <w:szCs w:val="24"/>
              </w:rPr>
              <w:t>career exploration, guidance, and WBL opportunities.</w:t>
            </w:r>
          </w:p>
        </w:tc>
      </w:tr>
      <w:tr w:rsidR="000618C9" w:rsidRPr="00567BF3" w14:paraId="0B0CD967" w14:textId="1915044F" w:rsidTr="000618C9">
        <w:trPr>
          <w:cantSplit/>
        </w:trPr>
        <w:tc>
          <w:tcPr>
            <w:tcW w:w="4950" w:type="dxa"/>
            <w:vAlign w:val="center"/>
          </w:tcPr>
          <w:p w14:paraId="249C524E" w14:textId="3A9BA93C"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lastRenderedPageBreak/>
              <w:t>Standard 3: Student Support Services:</w:t>
            </w:r>
            <w:r w:rsidRPr="00567BF3">
              <w:rPr>
                <w:rFonts w:ascii="Arial" w:hAnsi="Arial"/>
                <w:sz w:val="24"/>
                <w:szCs w:val="24"/>
              </w:rPr>
              <w:t xml:space="preserve"> Describe how your programs provide student support services including counseling and leadership development to address students' social, emotional, career, and academic needs.</w:t>
            </w:r>
          </w:p>
        </w:tc>
        <w:tc>
          <w:tcPr>
            <w:tcW w:w="2160" w:type="dxa"/>
            <w:vAlign w:val="center"/>
          </w:tcPr>
          <w:p w14:paraId="1C0E36F5" w14:textId="1FB21ED8"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student support services</w:t>
            </w:r>
            <w:r w:rsidR="000618C9" w:rsidRPr="00567BF3">
              <w:rPr>
                <w:rFonts w:ascii="Arial" w:hAnsi="Arial"/>
                <w:sz w:val="24"/>
                <w:szCs w:val="24"/>
              </w:rPr>
              <w:t>.</w:t>
            </w:r>
          </w:p>
        </w:tc>
        <w:tc>
          <w:tcPr>
            <w:tcW w:w="2160" w:type="dxa"/>
            <w:vAlign w:val="center"/>
          </w:tcPr>
          <w:p w14:paraId="685F0674" w14:textId="66FF4FF9"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000618C9" w:rsidRPr="00567BF3">
              <w:rPr>
                <w:rFonts w:ascii="Arial" w:hAnsi="Arial"/>
                <w:sz w:val="24"/>
                <w:szCs w:val="24"/>
              </w:rPr>
              <w:t xml:space="preserve"> student support services.</w:t>
            </w:r>
          </w:p>
        </w:tc>
        <w:tc>
          <w:tcPr>
            <w:tcW w:w="2160" w:type="dxa"/>
            <w:vAlign w:val="center"/>
          </w:tcPr>
          <w:p w14:paraId="20878BD9" w14:textId="0571B87E"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0618C9" w:rsidRPr="00567BF3">
              <w:rPr>
                <w:rFonts w:ascii="Arial" w:hAnsi="Arial"/>
                <w:sz w:val="24"/>
                <w:szCs w:val="24"/>
              </w:rPr>
              <w:t xml:space="preserve"> student support services.</w:t>
            </w:r>
          </w:p>
        </w:tc>
        <w:tc>
          <w:tcPr>
            <w:tcW w:w="2160" w:type="dxa"/>
            <w:vAlign w:val="center"/>
          </w:tcPr>
          <w:p w14:paraId="5652F854" w14:textId="293C3D02"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0618C9" w:rsidRPr="00567BF3">
              <w:rPr>
                <w:rFonts w:ascii="Arial" w:hAnsi="Arial"/>
                <w:sz w:val="24"/>
                <w:szCs w:val="24"/>
              </w:rPr>
              <w:t>student support services.</w:t>
            </w:r>
          </w:p>
        </w:tc>
      </w:tr>
      <w:tr w:rsidR="000618C9" w:rsidRPr="00567BF3" w14:paraId="3FBB620C" w14:textId="480DA01B" w:rsidTr="000618C9">
        <w:trPr>
          <w:cantSplit/>
        </w:trPr>
        <w:tc>
          <w:tcPr>
            <w:tcW w:w="4950" w:type="dxa"/>
            <w:vAlign w:val="center"/>
          </w:tcPr>
          <w:p w14:paraId="20A74082" w14:textId="718D31AB"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t xml:space="preserve">Standard 4: System Alignment, Coherence, and Articulation: </w:t>
            </w:r>
            <w:r w:rsidRPr="00567BF3">
              <w:rPr>
                <w:rFonts w:ascii="Arial" w:hAnsi="Arial"/>
                <w:sz w:val="24"/>
                <w:szCs w:val="24"/>
              </w:rPr>
              <w:t>Describe how your programs provide system alignment, coherence, and articulation through ongoing and structural regional or local partnerships with postsecondary institutions. Include information about formal written agreements for dual enrollment and partnerships to establish new or expand existing career pathways. As applicable, address focus areas including green technology, health care, information technology, education, and artificial intelligence.</w:t>
            </w:r>
          </w:p>
        </w:tc>
        <w:tc>
          <w:tcPr>
            <w:tcW w:w="2160" w:type="dxa"/>
            <w:vAlign w:val="center"/>
          </w:tcPr>
          <w:p w14:paraId="4B628C73" w14:textId="2FC47E31"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shows comprehensive evidence of </w:t>
            </w:r>
            <w:r w:rsidR="009E4D5E" w:rsidRPr="00567BF3">
              <w:rPr>
                <w:rFonts w:ascii="Arial" w:hAnsi="Arial"/>
                <w:sz w:val="24"/>
                <w:szCs w:val="24"/>
              </w:rPr>
              <w:t>system alignment, coherence, and articulation.</w:t>
            </w:r>
          </w:p>
        </w:tc>
        <w:tc>
          <w:tcPr>
            <w:tcW w:w="2160" w:type="dxa"/>
            <w:vAlign w:val="center"/>
          </w:tcPr>
          <w:p w14:paraId="1EB304BA" w14:textId="5083D243"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system alignment, coherence, and articulation.</w:t>
            </w:r>
          </w:p>
        </w:tc>
        <w:tc>
          <w:tcPr>
            <w:tcW w:w="2160" w:type="dxa"/>
            <w:vAlign w:val="center"/>
          </w:tcPr>
          <w:p w14:paraId="54C90B17" w14:textId="65267954" w:rsidR="000115BB" w:rsidRPr="00567BF3" w:rsidRDefault="000115BB" w:rsidP="00567BF3">
            <w:pPr>
              <w:pStyle w:val="PlainText"/>
              <w:spacing w:before="60" w:after="60"/>
            </w:pPr>
            <w:r w:rsidRPr="00567BF3">
              <w:rPr>
                <w:rFonts w:ascii="Arial" w:hAnsi="Arial"/>
                <w:sz w:val="24"/>
                <w:szCs w:val="24"/>
              </w:rPr>
              <w:t>LEA provides adequate evidence of</w:t>
            </w:r>
            <w:r w:rsidR="009E4D5E" w:rsidRPr="00567BF3">
              <w:rPr>
                <w:rFonts w:ascii="Arial" w:hAnsi="Arial"/>
                <w:sz w:val="24"/>
                <w:szCs w:val="24"/>
              </w:rPr>
              <w:t xml:space="preserve"> system alignment, coherence, and articulation.</w:t>
            </w:r>
          </w:p>
        </w:tc>
        <w:tc>
          <w:tcPr>
            <w:tcW w:w="2160" w:type="dxa"/>
            <w:vAlign w:val="center"/>
          </w:tcPr>
          <w:p w14:paraId="4DC413BC" w14:textId="55D26217"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system alignment, coherence, and articulation.</w:t>
            </w:r>
          </w:p>
        </w:tc>
      </w:tr>
      <w:tr w:rsidR="000618C9" w:rsidRPr="00567BF3" w14:paraId="67F0371A" w14:textId="7635EAA9" w:rsidTr="000618C9">
        <w:trPr>
          <w:cantSplit/>
        </w:trPr>
        <w:tc>
          <w:tcPr>
            <w:tcW w:w="4950" w:type="dxa"/>
            <w:vAlign w:val="center"/>
          </w:tcPr>
          <w:p w14:paraId="5B4EC0B0" w14:textId="3C5DB247" w:rsidR="000115BB" w:rsidRPr="00567BF3" w:rsidRDefault="000618C9" w:rsidP="00567BF3">
            <w:pPr>
              <w:pStyle w:val="PlainText"/>
              <w:spacing w:before="60" w:after="60"/>
              <w:rPr>
                <w:rFonts w:ascii="Arial" w:hAnsi="Arial"/>
                <w:sz w:val="24"/>
                <w:szCs w:val="24"/>
              </w:rPr>
            </w:pPr>
            <w:r w:rsidRPr="00567BF3">
              <w:rPr>
                <w:rFonts w:ascii="Arial" w:hAnsi="Arial"/>
                <w:b/>
                <w:bCs/>
                <w:sz w:val="24"/>
                <w:szCs w:val="24"/>
              </w:rPr>
              <w:t xml:space="preserve">Standard 5: Labor and Business Collaboration: </w:t>
            </w:r>
            <w:r w:rsidRPr="00567BF3">
              <w:rPr>
                <w:rFonts w:ascii="Arial" w:hAnsi="Arial"/>
                <w:sz w:val="24"/>
                <w:szCs w:val="24"/>
              </w:rPr>
              <w:t>Describe how your programs collaborate with labor and business entities for purposes of student placement in apprenticeships, preapprenticeships, dual enrollment opportunities, earn and learn opportunities, service learning, and work-based learning opportunities.</w:t>
            </w:r>
          </w:p>
        </w:tc>
        <w:tc>
          <w:tcPr>
            <w:tcW w:w="2160" w:type="dxa"/>
            <w:vAlign w:val="center"/>
          </w:tcPr>
          <w:p w14:paraId="774306A9" w14:textId="49FD250B"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shows comprehensive evidence of </w:t>
            </w:r>
            <w:r w:rsidR="009E4D5E" w:rsidRPr="00567BF3">
              <w:rPr>
                <w:rFonts w:ascii="Arial" w:hAnsi="Arial"/>
                <w:sz w:val="24"/>
                <w:szCs w:val="24"/>
              </w:rPr>
              <w:t>labor and business collaboration.</w:t>
            </w:r>
          </w:p>
        </w:tc>
        <w:tc>
          <w:tcPr>
            <w:tcW w:w="2160" w:type="dxa"/>
            <w:vAlign w:val="center"/>
          </w:tcPr>
          <w:p w14:paraId="616382B8" w14:textId="106D24E3"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labor and business collaboration.</w:t>
            </w:r>
          </w:p>
        </w:tc>
        <w:tc>
          <w:tcPr>
            <w:tcW w:w="2160" w:type="dxa"/>
            <w:vAlign w:val="center"/>
          </w:tcPr>
          <w:p w14:paraId="419ABA77" w14:textId="0B7F1EC0"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labor and business collaboration.</w:t>
            </w:r>
          </w:p>
        </w:tc>
        <w:tc>
          <w:tcPr>
            <w:tcW w:w="2160" w:type="dxa"/>
            <w:vAlign w:val="center"/>
          </w:tcPr>
          <w:p w14:paraId="0D784DA8" w14:textId="653EACA7"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labor and business collaboration.</w:t>
            </w:r>
          </w:p>
        </w:tc>
      </w:tr>
      <w:tr w:rsidR="000618C9" w:rsidRPr="00567BF3" w14:paraId="578BD237" w14:textId="5B47EE09" w:rsidTr="000618C9">
        <w:trPr>
          <w:cantSplit/>
        </w:trPr>
        <w:tc>
          <w:tcPr>
            <w:tcW w:w="4950" w:type="dxa"/>
            <w:vAlign w:val="center"/>
          </w:tcPr>
          <w:p w14:paraId="35AF87FC" w14:textId="6B1BD26E" w:rsidR="000115BB" w:rsidRPr="00567BF3" w:rsidRDefault="000618C9" w:rsidP="00567BF3">
            <w:pPr>
              <w:pStyle w:val="PlainText"/>
              <w:spacing w:before="60" w:after="60"/>
              <w:rPr>
                <w:rFonts w:ascii="Arial" w:hAnsi="Arial"/>
                <w:sz w:val="24"/>
                <w:szCs w:val="24"/>
              </w:rPr>
            </w:pPr>
            <w:r w:rsidRPr="00567BF3">
              <w:rPr>
                <w:rFonts w:ascii="Arial" w:hAnsi="Arial"/>
                <w:b/>
                <w:bCs/>
                <w:sz w:val="24"/>
                <w:szCs w:val="24"/>
              </w:rPr>
              <w:lastRenderedPageBreak/>
              <w:t xml:space="preserve">Standard 6: Extended Learning Opportunities: </w:t>
            </w:r>
            <w:r w:rsidRPr="00567BF3">
              <w:rPr>
                <w:rFonts w:ascii="Arial" w:hAnsi="Arial"/>
                <w:sz w:val="24"/>
                <w:szCs w:val="24"/>
              </w:rPr>
              <w:t>Describe how your programs provide opportunities for students to participate in after school, extended day, and out-of-school internships, competitions, leadership development opportunities, CTSOs, and other work-based learning opportunities</w:t>
            </w:r>
          </w:p>
        </w:tc>
        <w:tc>
          <w:tcPr>
            <w:tcW w:w="2160" w:type="dxa"/>
            <w:vAlign w:val="center"/>
          </w:tcPr>
          <w:p w14:paraId="2A00985A" w14:textId="2D7C9EE0"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shows comprehensive evidence </w:t>
            </w:r>
            <w:r w:rsidR="009E4D5E" w:rsidRPr="00567BF3">
              <w:rPr>
                <w:rFonts w:ascii="Arial" w:hAnsi="Arial"/>
                <w:sz w:val="24"/>
                <w:szCs w:val="24"/>
              </w:rPr>
              <w:t xml:space="preserve">of </w:t>
            </w:r>
            <w:r w:rsidRPr="00567BF3">
              <w:rPr>
                <w:rFonts w:ascii="Arial" w:hAnsi="Arial"/>
                <w:sz w:val="24"/>
                <w:szCs w:val="24"/>
              </w:rPr>
              <w:t>extended</w:t>
            </w:r>
            <w:r w:rsidR="009E4D5E" w:rsidRPr="00567BF3">
              <w:rPr>
                <w:rFonts w:ascii="Arial" w:hAnsi="Arial"/>
                <w:sz w:val="24"/>
                <w:szCs w:val="24"/>
              </w:rPr>
              <w:t>-learning</w:t>
            </w:r>
            <w:r w:rsidRPr="00567BF3">
              <w:rPr>
                <w:rFonts w:ascii="Arial" w:hAnsi="Arial"/>
                <w:sz w:val="24"/>
                <w:szCs w:val="24"/>
              </w:rPr>
              <w:t xml:space="preserve"> opportunitie</w:t>
            </w:r>
            <w:r w:rsidR="009E4D5E" w:rsidRPr="00567BF3">
              <w:rPr>
                <w:rFonts w:ascii="Arial" w:hAnsi="Arial"/>
                <w:sz w:val="24"/>
                <w:szCs w:val="24"/>
              </w:rPr>
              <w:t>s.</w:t>
            </w:r>
          </w:p>
        </w:tc>
        <w:tc>
          <w:tcPr>
            <w:tcW w:w="2160" w:type="dxa"/>
            <w:vAlign w:val="center"/>
          </w:tcPr>
          <w:p w14:paraId="73E18B4F" w14:textId="574595E1"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extended-learning opportunities.</w:t>
            </w:r>
          </w:p>
        </w:tc>
        <w:tc>
          <w:tcPr>
            <w:tcW w:w="2160" w:type="dxa"/>
            <w:vAlign w:val="center"/>
          </w:tcPr>
          <w:p w14:paraId="2EAA5501" w14:textId="731FD5FB"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extended-learning opportunities.</w:t>
            </w:r>
          </w:p>
        </w:tc>
        <w:tc>
          <w:tcPr>
            <w:tcW w:w="2160" w:type="dxa"/>
            <w:vAlign w:val="center"/>
          </w:tcPr>
          <w:p w14:paraId="7183BE76" w14:textId="4BA4F4D2"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extended-learning opportunities.</w:t>
            </w:r>
          </w:p>
        </w:tc>
      </w:tr>
      <w:tr w:rsidR="000618C9" w:rsidRPr="00567BF3" w14:paraId="1FA66C10" w14:textId="662EA3FC" w:rsidTr="000618C9">
        <w:trPr>
          <w:cantSplit/>
        </w:trPr>
        <w:tc>
          <w:tcPr>
            <w:tcW w:w="4950" w:type="dxa"/>
            <w:vAlign w:val="center"/>
          </w:tcPr>
          <w:p w14:paraId="58B15CDB" w14:textId="159A273D" w:rsidR="000115BB" w:rsidRPr="00567BF3" w:rsidRDefault="000618C9" w:rsidP="00567BF3">
            <w:pPr>
              <w:pStyle w:val="PlainText"/>
              <w:spacing w:before="60" w:after="60"/>
              <w:rPr>
                <w:rFonts w:ascii="Arial" w:hAnsi="Arial"/>
                <w:sz w:val="24"/>
                <w:szCs w:val="24"/>
              </w:rPr>
            </w:pPr>
            <w:r w:rsidRPr="00567BF3">
              <w:rPr>
                <w:rFonts w:ascii="Arial" w:hAnsi="Arial"/>
                <w:b/>
                <w:bCs/>
                <w:sz w:val="24"/>
                <w:szCs w:val="24"/>
              </w:rPr>
              <w:t xml:space="preserve">Standard 7: Alignment with Workforce Needs and Labor Market Demand: </w:t>
            </w:r>
            <w:r w:rsidRPr="00567BF3">
              <w:rPr>
                <w:rFonts w:ascii="Arial" w:hAnsi="Arial"/>
                <w:sz w:val="24"/>
                <w:szCs w:val="24"/>
              </w:rPr>
              <w:t>Describe how your CTE programs and career pathways are aligned with workforce needs and labor market demand. Explain how your programs are informed by local, regional, or statewide economic and workforce development plans, Strong Workforce Program consortia plans, other relevant labor market information, and employer engagement.</w:t>
            </w:r>
          </w:p>
        </w:tc>
        <w:tc>
          <w:tcPr>
            <w:tcW w:w="2160" w:type="dxa"/>
            <w:vAlign w:val="center"/>
          </w:tcPr>
          <w:p w14:paraId="2744276F" w14:textId="35BEEED5"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align</w:t>
            </w:r>
            <w:r w:rsidR="009E4D5E" w:rsidRPr="00567BF3">
              <w:rPr>
                <w:rFonts w:ascii="Arial" w:hAnsi="Arial"/>
                <w:sz w:val="24"/>
                <w:szCs w:val="24"/>
              </w:rPr>
              <w:t xml:space="preserve">ment </w:t>
            </w:r>
            <w:r w:rsidRPr="00567BF3">
              <w:rPr>
                <w:rFonts w:ascii="Arial" w:hAnsi="Arial"/>
                <w:sz w:val="24"/>
                <w:szCs w:val="24"/>
              </w:rPr>
              <w:t>with</w:t>
            </w:r>
            <w:r w:rsidR="009E4D5E" w:rsidRPr="00567BF3">
              <w:rPr>
                <w:rFonts w:ascii="Arial" w:hAnsi="Arial"/>
                <w:sz w:val="24"/>
                <w:szCs w:val="24"/>
              </w:rPr>
              <w:t xml:space="preserve"> workforce needs and</w:t>
            </w:r>
            <w:r w:rsidRPr="00567BF3">
              <w:rPr>
                <w:rFonts w:ascii="Arial" w:hAnsi="Arial"/>
                <w:sz w:val="24"/>
                <w:szCs w:val="24"/>
              </w:rPr>
              <w:t xml:space="preserve"> labor market demand</w:t>
            </w:r>
            <w:r w:rsidR="009E4D5E" w:rsidRPr="00567BF3">
              <w:rPr>
                <w:rFonts w:ascii="Arial" w:hAnsi="Arial"/>
                <w:sz w:val="24"/>
                <w:szCs w:val="24"/>
              </w:rPr>
              <w:t>.</w:t>
            </w:r>
          </w:p>
        </w:tc>
        <w:tc>
          <w:tcPr>
            <w:tcW w:w="2160" w:type="dxa"/>
            <w:vAlign w:val="center"/>
          </w:tcPr>
          <w:p w14:paraId="7CA99A0C" w14:textId="3F3F5815"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alignment with workforce needs and labor market demand.</w:t>
            </w:r>
          </w:p>
        </w:tc>
        <w:tc>
          <w:tcPr>
            <w:tcW w:w="2160" w:type="dxa"/>
            <w:vAlign w:val="center"/>
          </w:tcPr>
          <w:p w14:paraId="1187BE91" w14:textId="61F2E57E"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alignment with workforce needs and labor market demand.</w:t>
            </w:r>
          </w:p>
        </w:tc>
        <w:tc>
          <w:tcPr>
            <w:tcW w:w="2160" w:type="dxa"/>
            <w:vAlign w:val="center"/>
          </w:tcPr>
          <w:p w14:paraId="2655E2C6" w14:textId="42BB031E"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alignment with workforce needs and labor market demand.</w:t>
            </w:r>
          </w:p>
        </w:tc>
      </w:tr>
      <w:tr w:rsidR="000618C9" w:rsidRPr="00567BF3" w14:paraId="208EFBFE" w14:textId="47E992CE" w:rsidTr="000618C9">
        <w:trPr>
          <w:cantSplit/>
        </w:trPr>
        <w:tc>
          <w:tcPr>
            <w:tcW w:w="4950" w:type="dxa"/>
            <w:vAlign w:val="center"/>
          </w:tcPr>
          <w:p w14:paraId="361FE737" w14:textId="39EE2473" w:rsidR="000115BB" w:rsidRPr="00567BF3" w:rsidRDefault="000618C9" w:rsidP="00567BF3">
            <w:pPr>
              <w:pStyle w:val="PlainText"/>
              <w:spacing w:before="60" w:after="60"/>
              <w:rPr>
                <w:rFonts w:ascii="Arial" w:hAnsi="Arial"/>
                <w:sz w:val="24"/>
                <w:szCs w:val="24"/>
              </w:rPr>
            </w:pPr>
            <w:r w:rsidRPr="00567BF3">
              <w:rPr>
                <w:rFonts w:ascii="Arial" w:hAnsi="Arial"/>
                <w:b/>
                <w:bCs/>
                <w:sz w:val="24"/>
                <w:szCs w:val="24"/>
              </w:rPr>
              <w:t>Standard 8: Pathways to Credentials</w:t>
            </w:r>
            <w:r w:rsidR="009E4D5E" w:rsidRPr="00567BF3">
              <w:rPr>
                <w:rFonts w:ascii="Arial" w:hAnsi="Arial"/>
                <w:b/>
                <w:bCs/>
                <w:sz w:val="24"/>
                <w:szCs w:val="24"/>
              </w:rPr>
              <w:t>, Postsecondary Opportunities,</w:t>
            </w:r>
            <w:r w:rsidRPr="00567BF3">
              <w:rPr>
                <w:rFonts w:ascii="Arial" w:hAnsi="Arial"/>
                <w:b/>
                <w:bCs/>
                <w:sz w:val="24"/>
                <w:szCs w:val="24"/>
              </w:rPr>
              <w:t xml:space="preserve"> and Employment: </w:t>
            </w:r>
            <w:r w:rsidRPr="00567BF3">
              <w:rPr>
                <w:rFonts w:ascii="Arial" w:hAnsi="Arial"/>
                <w:sz w:val="24"/>
                <w:szCs w:val="24"/>
              </w:rPr>
              <w:t>Describe how your CTE programs lead to industry-recognized credentials or certificates, or appropriate postsecondary education or training, employment, or postsecondary degrees.</w:t>
            </w:r>
          </w:p>
        </w:tc>
        <w:tc>
          <w:tcPr>
            <w:tcW w:w="2160" w:type="dxa"/>
            <w:vAlign w:val="center"/>
          </w:tcPr>
          <w:p w14:paraId="00F5FF61" w14:textId="2C820D6D"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pathway to credentials</w:t>
            </w:r>
            <w:r w:rsidR="009E4D5E" w:rsidRPr="00567BF3">
              <w:rPr>
                <w:rFonts w:ascii="Arial" w:hAnsi="Arial"/>
                <w:sz w:val="24"/>
                <w:szCs w:val="24"/>
              </w:rPr>
              <w:t>, postsecondary opportunities,</w:t>
            </w:r>
            <w:r w:rsidRPr="00567BF3">
              <w:rPr>
                <w:rFonts w:ascii="Arial" w:hAnsi="Arial"/>
                <w:sz w:val="24"/>
                <w:szCs w:val="24"/>
              </w:rPr>
              <w:t xml:space="preserve"> </w:t>
            </w:r>
            <w:r w:rsidR="009E4D5E" w:rsidRPr="00567BF3">
              <w:rPr>
                <w:rFonts w:ascii="Arial" w:hAnsi="Arial"/>
                <w:sz w:val="24"/>
                <w:szCs w:val="24"/>
              </w:rPr>
              <w:t>and employment.</w:t>
            </w:r>
          </w:p>
        </w:tc>
        <w:tc>
          <w:tcPr>
            <w:tcW w:w="2160" w:type="dxa"/>
            <w:vAlign w:val="center"/>
          </w:tcPr>
          <w:p w14:paraId="7852C9E8" w14:textId="6FF46FC6"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pathway to credentials, postsecondary opportunities, and employment.</w:t>
            </w:r>
          </w:p>
        </w:tc>
        <w:tc>
          <w:tcPr>
            <w:tcW w:w="2160" w:type="dxa"/>
            <w:vAlign w:val="center"/>
          </w:tcPr>
          <w:p w14:paraId="1B18C6CA" w14:textId="7D8E065F"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pathway to credentials, postsecondary opportunities, and employment.</w:t>
            </w:r>
          </w:p>
        </w:tc>
        <w:tc>
          <w:tcPr>
            <w:tcW w:w="2160" w:type="dxa"/>
            <w:vAlign w:val="center"/>
          </w:tcPr>
          <w:p w14:paraId="66B1D09C" w14:textId="65817BD9"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pathway to credentials, postsecondary opportunities, and employment.</w:t>
            </w:r>
          </w:p>
        </w:tc>
      </w:tr>
      <w:tr w:rsidR="000618C9" w:rsidRPr="00567BF3" w14:paraId="4AF1F398" w14:textId="4E9CE077" w:rsidTr="000618C9">
        <w:trPr>
          <w:cantSplit/>
        </w:trPr>
        <w:tc>
          <w:tcPr>
            <w:tcW w:w="4950" w:type="dxa"/>
            <w:vAlign w:val="center"/>
          </w:tcPr>
          <w:p w14:paraId="3B97DBDE" w14:textId="36B6A5E5"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lastRenderedPageBreak/>
              <w:t xml:space="preserve">Standard 9: Qualified Staff and Professional Development: </w:t>
            </w:r>
            <w:r w:rsidRPr="00567BF3">
              <w:rPr>
                <w:rFonts w:ascii="Arial" w:hAnsi="Arial"/>
                <w:sz w:val="24"/>
                <w:szCs w:val="24"/>
              </w:rPr>
              <w:t>Describe how your CTE programs are staffed by skilled, appropriately credentialed, teachers or faculty and how you provide professional development opportunities for teachers or faculty members supporting students in those programs.</w:t>
            </w:r>
          </w:p>
        </w:tc>
        <w:tc>
          <w:tcPr>
            <w:tcW w:w="2160" w:type="dxa"/>
            <w:vAlign w:val="center"/>
          </w:tcPr>
          <w:p w14:paraId="4BDAAC37" w14:textId="4F8213A6"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qualified staff</w:t>
            </w:r>
            <w:r w:rsidR="009E4D5E" w:rsidRPr="00567BF3">
              <w:rPr>
                <w:rFonts w:ascii="Arial" w:hAnsi="Arial"/>
                <w:sz w:val="24"/>
                <w:szCs w:val="24"/>
              </w:rPr>
              <w:t xml:space="preserve"> and pr</w:t>
            </w:r>
            <w:r w:rsidRPr="00567BF3">
              <w:rPr>
                <w:rFonts w:ascii="Arial" w:hAnsi="Arial"/>
                <w:sz w:val="24"/>
                <w:szCs w:val="24"/>
              </w:rPr>
              <w:t>ofessional development</w:t>
            </w:r>
            <w:r w:rsidR="009E4D5E" w:rsidRPr="00567BF3">
              <w:rPr>
                <w:rFonts w:ascii="Arial" w:hAnsi="Arial"/>
                <w:sz w:val="24"/>
                <w:szCs w:val="24"/>
              </w:rPr>
              <w:t>.</w:t>
            </w:r>
          </w:p>
        </w:tc>
        <w:tc>
          <w:tcPr>
            <w:tcW w:w="2160" w:type="dxa"/>
            <w:vAlign w:val="center"/>
          </w:tcPr>
          <w:p w14:paraId="1F0D8848" w14:textId="64FE1DFC"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qualified staff and professional development.</w:t>
            </w:r>
          </w:p>
        </w:tc>
        <w:tc>
          <w:tcPr>
            <w:tcW w:w="2160" w:type="dxa"/>
            <w:vAlign w:val="center"/>
          </w:tcPr>
          <w:p w14:paraId="653204E0" w14:textId="7B5AC9D6"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qualified staff and professional development.</w:t>
            </w:r>
          </w:p>
        </w:tc>
        <w:tc>
          <w:tcPr>
            <w:tcW w:w="2160" w:type="dxa"/>
            <w:vAlign w:val="center"/>
          </w:tcPr>
          <w:p w14:paraId="735C0F5E" w14:textId="4508BD81"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qualified staff and professional development.</w:t>
            </w:r>
          </w:p>
        </w:tc>
      </w:tr>
      <w:tr w:rsidR="000618C9" w:rsidRPr="00567BF3" w14:paraId="2A2DA5BC" w14:textId="2DC676B2" w:rsidTr="000618C9">
        <w:trPr>
          <w:cantSplit/>
        </w:trPr>
        <w:tc>
          <w:tcPr>
            <w:tcW w:w="4950" w:type="dxa"/>
            <w:vAlign w:val="center"/>
          </w:tcPr>
          <w:p w14:paraId="7A3D1579" w14:textId="0EB0FC7A"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t xml:space="preserve">Standard 10: Access for Students with Exceptional Needs: </w:t>
            </w:r>
            <w:r w:rsidRPr="00567BF3">
              <w:rPr>
                <w:rFonts w:ascii="Arial" w:hAnsi="Arial"/>
                <w:sz w:val="24"/>
                <w:szCs w:val="24"/>
              </w:rPr>
              <w:t xml:space="preserve">Describe how your programs provide opportunities for students who are individuals with exceptional needs to participate in </w:t>
            </w:r>
            <w:r w:rsidR="009E4D5E" w:rsidRPr="00567BF3">
              <w:rPr>
                <w:rFonts w:ascii="Arial" w:hAnsi="Arial"/>
                <w:sz w:val="24"/>
                <w:szCs w:val="24"/>
              </w:rPr>
              <w:t>all</w:t>
            </w:r>
            <w:r w:rsidRPr="00567BF3">
              <w:rPr>
                <w:rFonts w:ascii="Arial" w:hAnsi="Arial"/>
                <w:sz w:val="24"/>
                <w:szCs w:val="24"/>
              </w:rPr>
              <w:t xml:space="preserve"> your CTE programs.</w:t>
            </w:r>
          </w:p>
        </w:tc>
        <w:tc>
          <w:tcPr>
            <w:tcW w:w="2160" w:type="dxa"/>
            <w:vAlign w:val="center"/>
          </w:tcPr>
          <w:p w14:paraId="146DAEA2" w14:textId="28FD85B1"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 of acc</w:t>
            </w:r>
            <w:r w:rsidR="009E4D5E" w:rsidRPr="00567BF3">
              <w:rPr>
                <w:rFonts w:ascii="Arial" w:hAnsi="Arial"/>
                <w:sz w:val="24"/>
                <w:szCs w:val="24"/>
              </w:rPr>
              <w:t xml:space="preserve">ess for students with </w:t>
            </w:r>
            <w:r w:rsidRPr="00567BF3">
              <w:rPr>
                <w:rFonts w:ascii="Arial" w:hAnsi="Arial"/>
                <w:sz w:val="24"/>
                <w:szCs w:val="24"/>
              </w:rPr>
              <w:t>exceptional needs</w:t>
            </w:r>
            <w:r w:rsidR="009E4D5E" w:rsidRPr="00567BF3">
              <w:rPr>
                <w:rFonts w:ascii="Arial" w:hAnsi="Arial"/>
                <w:sz w:val="24"/>
                <w:szCs w:val="24"/>
              </w:rPr>
              <w:t>.</w:t>
            </w:r>
          </w:p>
        </w:tc>
        <w:tc>
          <w:tcPr>
            <w:tcW w:w="2160" w:type="dxa"/>
            <w:vAlign w:val="center"/>
          </w:tcPr>
          <w:p w14:paraId="4ED13113" w14:textId="6B2F9EFA"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of</w:t>
            </w:r>
            <w:r w:rsidRPr="00567BF3">
              <w:rPr>
                <w:rFonts w:ascii="Arial" w:hAnsi="Arial"/>
                <w:sz w:val="24"/>
                <w:szCs w:val="24"/>
              </w:rPr>
              <w:t xml:space="preserve"> access for students with exceptional needs.</w:t>
            </w:r>
          </w:p>
        </w:tc>
        <w:tc>
          <w:tcPr>
            <w:tcW w:w="2160" w:type="dxa"/>
            <w:vAlign w:val="center"/>
          </w:tcPr>
          <w:p w14:paraId="4A5496E5" w14:textId="2B864765"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9E4D5E" w:rsidRPr="00567BF3">
              <w:rPr>
                <w:rFonts w:ascii="Arial" w:hAnsi="Arial"/>
                <w:sz w:val="24"/>
                <w:szCs w:val="24"/>
              </w:rPr>
              <w:t xml:space="preserve"> access for students with exceptional needs.</w:t>
            </w:r>
          </w:p>
        </w:tc>
        <w:tc>
          <w:tcPr>
            <w:tcW w:w="2160" w:type="dxa"/>
            <w:vAlign w:val="center"/>
          </w:tcPr>
          <w:p w14:paraId="31C453B8" w14:textId="60E8FC78"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9E4D5E" w:rsidRPr="00567BF3">
              <w:rPr>
                <w:rFonts w:ascii="Arial" w:hAnsi="Arial"/>
                <w:sz w:val="24"/>
                <w:szCs w:val="24"/>
              </w:rPr>
              <w:t>access for students with exceptional needs.</w:t>
            </w:r>
          </w:p>
        </w:tc>
      </w:tr>
      <w:tr w:rsidR="000618C9" w:rsidRPr="00567BF3" w14:paraId="6D8803AF" w14:textId="53CC9781" w:rsidTr="000618C9">
        <w:trPr>
          <w:cantSplit/>
        </w:trPr>
        <w:tc>
          <w:tcPr>
            <w:tcW w:w="4950" w:type="dxa"/>
            <w:vAlign w:val="center"/>
          </w:tcPr>
          <w:p w14:paraId="6B9FD19A" w14:textId="4A22AFB2"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t xml:space="preserve">Standard 11: </w:t>
            </w:r>
            <w:r w:rsidR="009E4D5E" w:rsidRPr="00567BF3">
              <w:rPr>
                <w:rFonts w:ascii="Arial" w:hAnsi="Arial"/>
                <w:b/>
                <w:bCs/>
                <w:sz w:val="24"/>
                <w:szCs w:val="24"/>
              </w:rPr>
              <w:t xml:space="preserve">Opportunities </w:t>
            </w:r>
            <w:r w:rsidRPr="00567BF3">
              <w:rPr>
                <w:rFonts w:ascii="Arial" w:hAnsi="Arial"/>
                <w:b/>
                <w:bCs/>
                <w:sz w:val="24"/>
                <w:szCs w:val="24"/>
              </w:rPr>
              <w:t xml:space="preserve">for Underrepresented and Underserved Populations: </w:t>
            </w:r>
            <w:r w:rsidRPr="00567BF3">
              <w:rPr>
                <w:rFonts w:ascii="Arial" w:hAnsi="Arial"/>
                <w:sz w:val="24"/>
                <w:szCs w:val="24"/>
              </w:rPr>
              <w:t>Describe how your programs provide opportunities for students from historically underrepresented communities, foster youth, adult learners, people with children, low-income students, English language learners, and other populations that struggle to access CTE and career pathway programs.</w:t>
            </w:r>
          </w:p>
        </w:tc>
        <w:tc>
          <w:tcPr>
            <w:tcW w:w="2160" w:type="dxa"/>
            <w:vAlign w:val="center"/>
          </w:tcPr>
          <w:p w14:paraId="6D38E319" w14:textId="5E8BCBE9"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shows comprehensive evidence of </w:t>
            </w:r>
            <w:r w:rsidR="002E0594" w:rsidRPr="00567BF3">
              <w:rPr>
                <w:rFonts w:ascii="Arial" w:hAnsi="Arial"/>
                <w:sz w:val="24"/>
                <w:szCs w:val="24"/>
              </w:rPr>
              <w:t xml:space="preserve">opportunities for </w:t>
            </w:r>
            <w:r w:rsidRPr="00567BF3">
              <w:rPr>
                <w:rFonts w:ascii="Arial" w:hAnsi="Arial"/>
                <w:sz w:val="24"/>
                <w:szCs w:val="24"/>
              </w:rPr>
              <w:t>underrepresented</w:t>
            </w:r>
            <w:r w:rsidR="002E0594" w:rsidRPr="00567BF3">
              <w:rPr>
                <w:rFonts w:ascii="Arial" w:hAnsi="Arial"/>
                <w:sz w:val="24"/>
                <w:szCs w:val="24"/>
              </w:rPr>
              <w:t xml:space="preserve"> and</w:t>
            </w:r>
            <w:r w:rsidRPr="00567BF3">
              <w:rPr>
                <w:rFonts w:ascii="Arial" w:hAnsi="Arial"/>
                <w:sz w:val="24"/>
                <w:szCs w:val="24"/>
              </w:rPr>
              <w:t xml:space="preserve"> underserved populations</w:t>
            </w:r>
            <w:r w:rsidR="002E0594" w:rsidRPr="00567BF3">
              <w:rPr>
                <w:rFonts w:ascii="Arial" w:hAnsi="Arial"/>
                <w:sz w:val="24"/>
                <w:szCs w:val="24"/>
              </w:rPr>
              <w:t>.</w:t>
            </w:r>
          </w:p>
        </w:tc>
        <w:tc>
          <w:tcPr>
            <w:tcW w:w="2160" w:type="dxa"/>
            <w:vAlign w:val="center"/>
          </w:tcPr>
          <w:p w14:paraId="3A6D347D" w14:textId="246319F9" w:rsidR="000115BB" w:rsidRPr="00567BF3" w:rsidRDefault="002E0594" w:rsidP="00567BF3">
            <w:pPr>
              <w:pStyle w:val="PlainText"/>
              <w:spacing w:before="60" w:after="60"/>
              <w:rPr>
                <w:rFonts w:ascii="Arial" w:hAnsi="Arial"/>
                <w:sz w:val="24"/>
                <w:szCs w:val="24"/>
              </w:rPr>
            </w:pPr>
            <w:r w:rsidRPr="00567BF3">
              <w:rPr>
                <w:rFonts w:ascii="Arial" w:hAnsi="Arial"/>
                <w:sz w:val="24"/>
                <w:szCs w:val="24"/>
              </w:rPr>
              <w:t>LEA provides strong evidence of opportunities for underrepresented and underserved populations.</w:t>
            </w:r>
          </w:p>
        </w:tc>
        <w:tc>
          <w:tcPr>
            <w:tcW w:w="2160" w:type="dxa"/>
            <w:vAlign w:val="center"/>
          </w:tcPr>
          <w:p w14:paraId="0A836360" w14:textId="6F7EAE6C"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2E0594" w:rsidRPr="00567BF3">
              <w:rPr>
                <w:rFonts w:ascii="Arial" w:hAnsi="Arial"/>
                <w:sz w:val="24"/>
                <w:szCs w:val="24"/>
              </w:rPr>
              <w:t xml:space="preserve"> opportunities for underrepresented and underserved populations.</w:t>
            </w:r>
          </w:p>
        </w:tc>
        <w:tc>
          <w:tcPr>
            <w:tcW w:w="2160" w:type="dxa"/>
            <w:vAlign w:val="center"/>
          </w:tcPr>
          <w:p w14:paraId="6ADD0BA6" w14:textId="2FBDE987"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2E0594" w:rsidRPr="00567BF3">
              <w:rPr>
                <w:rFonts w:ascii="Arial" w:hAnsi="Arial"/>
                <w:sz w:val="24"/>
                <w:szCs w:val="24"/>
              </w:rPr>
              <w:t>opportunities for underrepresented and underserved populations.</w:t>
            </w:r>
            <w:r w:rsidRPr="00567BF3">
              <w:rPr>
                <w:rFonts w:ascii="Arial" w:hAnsi="Arial"/>
                <w:sz w:val="24"/>
                <w:szCs w:val="24"/>
              </w:rPr>
              <w:t xml:space="preserve"> </w:t>
            </w:r>
          </w:p>
        </w:tc>
      </w:tr>
      <w:tr w:rsidR="000618C9" w:rsidRPr="00567BF3" w14:paraId="4B25ED37" w14:textId="3D14CCB3" w:rsidTr="000618C9">
        <w:trPr>
          <w:cantSplit/>
        </w:trPr>
        <w:tc>
          <w:tcPr>
            <w:tcW w:w="4950" w:type="dxa"/>
            <w:vAlign w:val="center"/>
          </w:tcPr>
          <w:p w14:paraId="230F0299" w14:textId="71C29AC7" w:rsidR="000115BB" w:rsidRPr="00567BF3" w:rsidRDefault="009875B3" w:rsidP="00567BF3">
            <w:pPr>
              <w:pStyle w:val="PlainText"/>
              <w:spacing w:before="60" w:after="60"/>
              <w:rPr>
                <w:rFonts w:ascii="Arial" w:hAnsi="Arial"/>
                <w:sz w:val="24"/>
                <w:szCs w:val="24"/>
              </w:rPr>
            </w:pPr>
            <w:r w:rsidRPr="00567BF3">
              <w:rPr>
                <w:rFonts w:ascii="Arial" w:hAnsi="Arial"/>
                <w:b/>
                <w:bCs/>
                <w:sz w:val="24"/>
                <w:szCs w:val="24"/>
              </w:rPr>
              <w:lastRenderedPageBreak/>
              <w:t>Standard 12: Data Reporting</w:t>
            </w:r>
            <w:r w:rsidR="002E0594" w:rsidRPr="00567BF3">
              <w:rPr>
                <w:rFonts w:ascii="Arial" w:hAnsi="Arial"/>
                <w:b/>
                <w:bCs/>
                <w:sz w:val="24"/>
                <w:szCs w:val="24"/>
              </w:rPr>
              <w:t xml:space="preserve"> Methods</w:t>
            </w:r>
            <w:r w:rsidRPr="00567BF3">
              <w:rPr>
                <w:rFonts w:ascii="Arial" w:hAnsi="Arial"/>
                <w:b/>
                <w:bCs/>
                <w:sz w:val="24"/>
                <w:szCs w:val="24"/>
              </w:rPr>
              <w:t xml:space="preserve">: </w:t>
            </w:r>
            <w:r w:rsidRPr="00567BF3">
              <w:rPr>
                <w:rFonts w:ascii="Arial" w:hAnsi="Arial"/>
                <w:sz w:val="24"/>
                <w:szCs w:val="24"/>
              </w:rPr>
              <w:t xml:space="preserve">Describe your process for annually collecting </w:t>
            </w:r>
            <w:r w:rsidR="00933FE3" w:rsidRPr="00567BF3">
              <w:rPr>
                <w:rFonts w:ascii="Arial" w:hAnsi="Arial"/>
                <w:sz w:val="24"/>
                <w:szCs w:val="24"/>
              </w:rPr>
              <w:t>an</w:t>
            </w:r>
            <w:r w:rsidR="001D36E7" w:rsidRPr="00567BF3">
              <w:rPr>
                <w:rFonts w:ascii="Arial" w:hAnsi="Arial"/>
                <w:sz w:val="24"/>
                <w:szCs w:val="24"/>
              </w:rPr>
              <w:t xml:space="preserve">d reporting the </w:t>
            </w:r>
            <w:r w:rsidRPr="00567BF3">
              <w:rPr>
                <w:rFonts w:ascii="Arial" w:hAnsi="Arial"/>
                <w:sz w:val="24"/>
                <w:szCs w:val="24"/>
              </w:rPr>
              <w:t xml:space="preserve">required data in </w:t>
            </w:r>
            <w:r w:rsidR="00A6335D" w:rsidRPr="00567BF3">
              <w:rPr>
                <w:rFonts w:ascii="Arial" w:hAnsi="Arial"/>
                <w:sz w:val="24"/>
                <w:szCs w:val="24"/>
              </w:rPr>
              <w:t>CALPADS</w:t>
            </w:r>
            <w:r w:rsidRPr="00567BF3">
              <w:rPr>
                <w:rFonts w:ascii="Arial" w:hAnsi="Arial"/>
                <w:sz w:val="24"/>
                <w:szCs w:val="24"/>
              </w:rPr>
              <w:t xml:space="preserve"> per </w:t>
            </w:r>
            <w:r w:rsidRPr="00567BF3">
              <w:rPr>
                <w:rFonts w:ascii="Arial" w:hAnsi="Arial"/>
                <w:i/>
                <w:iCs/>
                <w:sz w:val="24"/>
                <w:szCs w:val="24"/>
              </w:rPr>
              <w:t>EC</w:t>
            </w:r>
            <w:r w:rsidRPr="00567BF3">
              <w:rPr>
                <w:rFonts w:ascii="Arial" w:hAnsi="Arial"/>
                <w:sz w:val="24"/>
                <w:szCs w:val="24"/>
              </w:rPr>
              <w:t xml:space="preserve"> Section 53071(c)(12).</w:t>
            </w:r>
          </w:p>
        </w:tc>
        <w:tc>
          <w:tcPr>
            <w:tcW w:w="2160" w:type="dxa"/>
            <w:vAlign w:val="center"/>
          </w:tcPr>
          <w:p w14:paraId="11E3797B" w14:textId="66E11DF8"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shows comprehensive evidence</w:t>
            </w:r>
            <w:r w:rsidR="002E0594" w:rsidRPr="00567BF3">
              <w:rPr>
                <w:rFonts w:ascii="Arial" w:hAnsi="Arial"/>
                <w:sz w:val="24"/>
                <w:szCs w:val="24"/>
              </w:rPr>
              <w:t xml:space="preserve"> of data reporting methods</w:t>
            </w:r>
            <w:r w:rsidR="000618C9" w:rsidRPr="00567BF3">
              <w:rPr>
                <w:rFonts w:ascii="Arial" w:hAnsi="Arial"/>
                <w:sz w:val="24"/>
                <w:szCs w:val="24"/>
              </w:rPr>
              <w:t>.</w:t>
            </w:r>
          </w:p>
        </w:tc>
        <w:tc>
          <w:tcPr>
            <w:tcW w:w="2160" w:type="dxa"/>
            <w:vAlign w:val="center"/>
          </w:tcPr>
          <w:p w14:paraId="5EB82B9D" w14:textId="3D2F9E85" w:rsidR="000115BB" w:rsidRPr="00567BF3" w:rsidRDefault="009E4D5E" w:rsidP="00567BF3">
            <w:pPr>
              <w:pStyle w:val="PlainText"/>
              <w:spacing w:before="60" w:after="60"/>
              <w:rPr>
                <w:rFonts w:ascii="Arial" w:hAnsi="Arial"/>
                <w:sz w:val="24"/>
                <w:szCs w:val="24"/>
              </w:rPr>
            </w:pPr>
            <w:r w:rsidRPr="00567BF3">
              <w:rPr>
                <w:rFonts w:ascii="Arial" w:hAnsi="Arial"/>
                <w:sz w:val="24"/>
                <w:szCs w:val="24"/>
              </w:rPr>
              <w:t>LEA provides strong</w:t>
            </w:r>
            <w:r w:rsidR="000115BB" w:rsidRPr="00567BF3">
              <w:rPr>
                <w:rFonts w:ascii="Arial" w:hAnsi="Arial"/>
                <w:sz w:val="24"/>
                <w:szCs w:val="24"/>
              </w:rPr>
              <w:t xml:space="preserve"> evidence </w:t>
            </w:r>
            <w:r w:rsidR="002E0594" w:rsidRPr="00567BF3">
              <w:rPr>
                <w:rFonts w:ascii="Arial" w:hAnsi="Arial"/>
                <w:sz w:val="24"/>
                <w:szCs w:val="24"/>
              </w:rPr>
              <w:t>of data reporting methods.</w:t>
            </w:r>
          </w:p>
        </w:tc>
        <w:tc>
          <w:tcPr>
            <w:tcW w:w="2160" w:type="dxa"/>
            <w:vAlign w:val="center"/>
          </w:tcPr>
          <w:p w14:paraId="5A6E0E42" w14:textId="6736B695"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LEA provides adequate evidence of</w:t>
            </w:r>
            <w:r w:rsidR="002E0594" w:rsidRPr="00567BF3">
              <w:rPr>
                <w:rFonts w:ascii="Arial" w:hAnsi="Arial"/>
                <w:sz w:val="24"/>
                <w:szCs w:val="24"/>
              </w:rPr>
              <w:t xml:space="preserve"> data reporting methods.</w:t>
            </w:r>
          </w:p>
        </w:tc>
        <w:tc>
          <w:tcPr>
            <w:tcW w:w="2160" w:type="dxa"/>
            <w:vAlign w:val="center"/>
          </w:tcPr>
          <w:p w14:paraId="61FDD05C" w14:textId="4C295DC6" w:rsidR="000115BB" w:rsidRPr="00567BF3" w:rsidRDefault="000115BB" w:rsidP="00567BF3">
            <w:pPr>
              <w:pStyle w:val="PlainText"/>
              <w:spacing w:before="60" w:after="60"/>
              <w:rPr>
                <w:rFonts w:ascii="Arial" w:hAnsi="Arial"/>
                <w:sz w:val="24"/>
                <w:szCs w:val="24"/>
              </w:rPr>
            </w:pPr>
            <w:r w:rsidRPr="00567BF3">
              <w:rPr>
                <w:rFonts w:ascii="Arial" w:hAnsi="Arial"/>
                <w:sz w:val="24"/>
                <w:szCs w:val="24"/>
              </w:rPr>
              <w:t xml:space="preserve">LEA does not show evidence of </w:t>
            </w:r>
            <w:r w:rsidR="002E0594" w:rsidRPr="00567BF3">
              <w:rPr>
                <w:rFonts w:ascii="Arial" w:hAnsi="Arial"/>
                <w:sz w:val="24"/>
                <w:szCs w:val="24"/>
              </w:rPr>
              <w:t>data reporting methods.</w:t>
            </w:r>
          </w:p>
        </w:tc>
      </w:tr>
    </w:tbl>
    <w:p w14:paraId="381AF8D5" w14:textId="05B6B6EB" w:rsidR="002464CF" w:rsidRPr="00567BF3" w:rsidRDefault="002464CF" w:rsidP="00231CBB">
      <w:pPr>
        <w:pStyle w:val="PlainText"/>
        <w:spacing w:after="360"/>
        <w:rPr>
          <w:rFonts w:ascii="Arial" w:hAnsi="Arial"/>
          <w:sz w:val="24"/>
          <w:szCs w:val="24"/>
        </w:rPr>
      </w:pPr>
      <w:r w:rsidRPr="00567BF3">
        <w:rPr>
          <w:rFonts w:ascii="Arial" w:hAnsi="Arial"/>
          <w:sz w:val="24"/>
          <w:szCs w:val="24"/>
        </w:rPr>
        <w:t>Total Minimum Eligibility Standards: Up to 60 points</w:t>
      </w:r>
    </w:p>
    <w:p w14:paraId="40BF017C" w14:textId="7BA5C96A" w:rsidR="002464CF" w:rsidRPr="00567BF3" w:rsidRDefault="002464CF" w:rsidP="00567BF3">
      <w:pPr>
        <w:pStyle w:val="PlainText"/>
        <w:spacing w:after="240"/>
        <w:rPr>
          <w:rFonts w:ascii="Arial" w:hAnsi="Arial"/>
          <w:sz w:val="24"/>
          <w:szCs w:val="24"/>
        </w:rPr>
      </w:pPr>
      <w:r w:rsidRPr="00567BF3">
        <w:rPr>
          <w:rFonts w:ascii="Arial" w:hAnsi="Arial"/>
          <w:b/>
          <w:bCs/>
          <w:sz w:val="24"/>
          <w:szCs w:val="24"/>
        </w:rPr>
        <w:t xml:space="preserve">Budget and </w:t>
      </w:r>
      <w:r w:rsidR="00312BB6" w:rsidRPr="00567BF3">
        <w:rPr>
          <w:rFonts w:ascii="Arial" w:hAnsi="Arial"/>
          <w:b/>
          <w:bCs/>
          <w:sz w:val="24"/>
          <w:szCs w:val="24"/>
        </w:rPr>
        <w:t xml:space="preserve">Budget </w:t>
      </w:r>
      <w:r w:rsidRPr="00567BF3">
        <w:rPr>
          <w:rFonts w:ascii="Arial" w:hAnsi="Arial"/>
          <w:b/>
          <w:bCs/>
          <w:sz w:val="24"/>
          <w:szCs w:val="24"/>
        </w:rPr>
        <w:t>Narrative: 20 Points</w:t>
      </w:r>
    </w:p>
    <w:tbl>
      <w:tblPr>
        <w:tblStyle w:val="TableGrid"/>
        <w:tblW w:w="13680" w:type="dxa"/>
        <w:tblInd w:w="-275" w:type="dxa"/>
        <w:tblLook w:val="04A0" w:firstRow="1" w:lastRow="0" w:firstColumn="1" w:lastColumn="0" w:noHBand="0" w:noVBand="1"/>
        <w:tblDescription w:val="Budget and Budget Narrative"/>
      </w:tblPr>
      <w:tblGrid>
        <w:gridCol w:w="2736"/>
        <w:gridCol w:w="2736"/>
        <w:gridCol w:w="2736"/>
        <w:gridCol w:w="2736"/>
        <w:gridCol w:w="2736"/>
      </w:tblGrid>
      <w:tr w:rsidR="002464CF" w:rsidRPr="00567BF3" w14:paraId="582D30E6" w14:textId="77777777" w:rsidTr="00B466DB">
        <w:trPr>
          <w:cantSplit/>
          <w:tblHeader/>
        </w:trPr>
        <w:tc>
          <w:tcPr>
            <w:tcW w:w="2736" w:type="dxa"/>
            <w:shd w:val="clear" w:color="auto" w:fill="D1D1D1" w:themeFill="background2" w:themeFillShade="E6"/>
            <w:vAlign w:val="center"/>
          </w:tcPr>
          <w:p w14:paraId="7AA8C8F6" w14:textId="77777777" w:rsidR="002464CF" w:rsidRPr="00567BF3" w:rsidRDefault="002464CF" w:rsidP="00567BF3">
            <w:pPr>
              <w:pStyle w:val="PlainText"/>
              <w:spacing w:before="60" w:after="60"/>
              <w:jc w:val="center"/>
              <w:rPr>
                <w:rFonts w:ascii="Arial" w:hAnsi="Arial"/>
                <w:b/>
                <w:bCs/>
                <w:sz w:val="24"/>
                <w:szCs w:val="24"/>
              </w:rPr>
            </w:pPr>
            <w:r w:rsidRPr="00567BF3">
              <w:rPr>
                <w:rFonts w:ascii="Arial" w:hAnsi="Arial"/>
                <w:b/>
                <w:bCs/>
                <w:color w:val="000000"/>
                <w:sz w:val="24"/>
                <w:szCs w:val="24"/>
              </w:rPr>
              <w:t>Question</w:t>
            </w:r>
          </w:p>
        </w:tc>
        <w:tc>
          <w:tcPr>
            <w:tcW w:w="2736" w:type="dxa"/>
            <w:shd w:val="clear" w:color="auto" w:fill="D1D1D1" w:themeFill="background2" w:themeFillShade="E6"/>
            <w:vAlign w:val="center"/>
          </w:tcPr>
          <w:p w14:paraId="38327A2E" w14:textId="77777777" w:rsidR="002464CF" w:rsidRPr="00567BF3" w:rsidRDefault="002464CF"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Comprehensive Budget</w:t>
            </w:r>
          </w:p>
          <w:p w14:paraId="03861773" w14:textId="7735FCBE" w:rsidR="002464CF" w:rsidRPr="00567BF3" w:rsidRDefault="002464CF" w:rsidP="00567BF3">
            <w:pPr>
              <w:pStyle w:val="PlainText"/>
              <w:spacing w:before="60" w:after="60"/>
              <w:jc w:val="center"/>
              <w:rPr>
                <w:rFonts w:ascii="Arial" w:hAnsi="Arial"/>
                <w:b/>
                <w:bCs/>
                <w:sz w:val="24"/>
                <w:szCs w:val="24"/>
              </w:rPr>
            </w:pPr>
            <w:r w:rsidRPr="00567BF3">
              <w:rPr>
                <w:rFonts w:ascii="Arial" w:hAnsi="Arial"/>
                <w:b/>
                <w:bCs/>
                <w:color w:val="000000"/>
                <w:sz w:val="24"/>
                <w:szCs w:val="24"/>
              </w:rPr>
              <w:t>(</w:t>
            </w:r>
            <w:r w:rsidR="002360C1" w:rsidRPr="00567BF3">
              <w:rPr>
                <w:rFonts w:ascii="Arial" w:hAnsi="Arial"/>
                <w:b/>
                <w:bCs/>
                <w:color w:val="000000"/>
                <w:sz w:val="24"/>
                <w:szCs w:val="24"/>
              </w:rPr>
              <w:t>10</w:t>
            </w:r>
            <w:r w:rsidRPr="00567BF3">
              <w:rPr>
                <w:rFonts w:ascii="Arial" w:hAnsi="Arial"/>
                <w:b/>
                <w:bCs/>
                <w:color w:val="000000"/>
                <w:sz w:val="24"/>
                <w:szCs w:val="24"/>
              </w:rPr>
              <w:t xml:space="preserve"> points)</w:t>
            </w:r>
          </w:p>
        </w:tc>
        <w:tc>
          <w:tcPr>
            <w:tcW w:w="2736" w:type="dxa"/>
            <w:shd w:val="clear" w:color="auto" w:fill="D1D1D1" w:themeFill="background2" w:themeFillShade="E6"/>
            <w:vAlign w:val="center"/>
          </w:tcPr>
          <w:p w14:paraId="4A3E36FF" w14:textId="77777777" w:rsidR="002464CF" w:rsidRPr="00567BF3" w:rsidRDefault="002464CF"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Strong Budget</w:t>
            </w:r>
          </w:p>
          <w:p w14:paraId="4FD0B285" w14:textId="1926B845" w:rsidR="002464CF" w:rsidRPr="00567BF3" w:rsidRDefault="002464CF" w:rsidP="00567BF3">
            <w:pPr>
              <w:pStyle w:val="PlainText"/>
              <w:spacing w:before="60" w:after="60"/>
              <w:jc w:val="center"/>
              <w:rPr>
                <w:rFonts w:ascii="Arial" w:hAnsi="Arial"/>
                <w:b/>
                <w:bCs/>
                <w:sz w:val="24"/>
                <w:szCs w:val="24"/>
              </w:rPr>
            </w:pPr>
            <w:r w:rsidRPr="00567BF3">
              <w:rPr>
                <w:rFonts w:ascii="Arial" w:hAnsi="Arial"/>
                <w:b/>
                <w:bCs/>
                <w:color w:val="000000"/>
                <w:sz w:val="24"/>
                <w:szCs w:val="24"/>
              </w:rPr>
              <w:t>(</w:t>
            </w:r>
            <w:r w:rsidR="002360C1" w:rsidRPr="00567BF3">
              <w:rPr>
                <w:rFonts w:ascii="Arial" w:hAnsi="Arial"/>
                <w:b/>
                <w:bCs/>
                <w:color w:val="000000"/>
                <w:sz w:val="24"/>
                <w:szCs w:val="24"/>
              </w:rPr>
              <w:t>9</w:t>
            </w:r>
            <w:r w:rsidRPr="00567BF3">
              <w:rPr>
                <w:rFonts w:ascii="Arial" w:hAnsi="Arial"/>
                <w:b/>
                <w:bCs/>
                <w:color w:val="000000"/>
                <w:sz w:val="24"/>
                <w:szCs w:val="24"/>
              </w:rPr>
              <w:t>–7 points)</w:t>
            </w:r>
          </w:p>
        </w:tc>
        <w:tc>
          <w:tcPr>
            <w:tcW w:w="2736" w:type="dxa"/>
            <w:shd w:val="clear" w:color="auto" w:fill="D1D1D1" w:themeFill="background2" w:themeFillShade="E6"/>
            <w:vAlign w:val="center"/>
          </w:tcPr>
          <w:p w14:paraId="145D8903" w14:textId="77777777" w:rsidR="002464CF" w:rsidRPr="00567BF3" w:rsidRDefault="002464CF"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Adequate Budget</w:t>
            </w:r>
          </w:p>
          <w:p w14:paraId="635DF2C2" w14:textId="21904DFF" w:rsidR="002464CF" w:rsidRPr="00567BF3" w:rsidRDefault="002464CF" w:rsidP="00567BF3">
            <w:pPr>
              <w:pStyle w:val="PlainText"/>
              <w:spacing w:before="60" w:after="60"/>
              <w:jc w:val="center"/>
              <w:rPr>
                <w:rFonts w:ascii="Arial" w:hAnsi="Arial"/>
                <w:b/>
                <w:bCs/>
                <w:sz w:val="24"/>
                <w:szCs w:val="24"/>
              </w:rPr>
            </w:pPr>
            <w:r w:rsidRPr="00567BF3">
              <w:rPr>
                <w:rFonts w:ascii="Arial" w:hAnsi="Arial"/>
                <w:b/>
                <w:bCs/>
                <w:color w:val="000000"/>
                <w:sz w:val="24"/>
                <w:szCs w:val="24"/>
              </w:rPr>
              <w:t>(</w:t>
            </w:r>
            <w:r w:rsidR="002360C1" w:rsidRPr="00567BF3">
              <w:rPr>
                <w:rFonts w:ascii="Arial" w:hAnsi="Arial"/>
                <w:b/>
                <w:bCs/>
                <w:color w:val="000000"/>
                <w:sz w:val="24"/>
                <w:szCs w:val="24"/>
              </w:rPr>
              <w:t>6</w:t>
            </w:r>
            <w:r w:rsidRPr="00567BF3">
              <w:rPr>
                <w:rFonts w:ascii="Arial" w:hAnsi="Arial"/>
                <w:b/>
                <w:bCs/>
                <w:color w:val="000000"/>
                <w:sz w:val="24"/>
                <w:szCs w:val="24"/>
              </w:rPr>
              <w:t>–</w:t>
            </w:r>
            <w:r w:rsidR="002360C1" w:rsidRPr="00567BF3">
              <w:rPr>
                <w:rFonts w:ascii="Arial" w:hAnsi="Arial"/>
                <w:b/>
                <w:bCs/>
                <w:color w:val="000000"/>
                <w:sz w:val="24"/>
                <w:szCs w:val="24"/>
              </w:rPr>
              <w:t>4</w:t>
            </w:r>
            <w:r w:rsidRPr="00567BF3">
              <w:rPr>
                <w:rFonts w:ascii="Arial" w:hAnsi="Arial"/>
                <w:b/>
                <w:bCs/>
                <w:color w:val="000000"/>
                <w:sz w:val="24"/>
                <w:szCs w:val="24"/>
              </w:rPr>
              <w:t xml:space="preserve"> points)</w:t>
            </w:r>
          </w:p>
        </w:tc>
        <w:tc>
          <w:tcPr>
            <w:tcW w:w="2736" w:type="dxa"/>
            <w:shd w:val="clear" w:color="auto" w:fill="D1D1D1" w:themeFill="background2" w:themeFillShade="E6"/>
            <w:vAlign w:val="center"/>
          </w:tcPr>
          <w:p w14:paraId="2636DEEF" w14:textId="77777777" w:rsidR="002464CF" w:rsidRPr="00567BF3" w:rsidRDefault="002464CF"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Minimal Budget</w:t>
            </w:r>
          </w:p>
          <w:p w14:paraId="2213443A" w14:textId="77777777" w:rsidR="002464CF" w:rsidRPr="00567BF3" w:rsidRDefault="002464CF" w:rsidP="00567BF3">
            <w:pPr>
              <w:pStyle w:val="PlainText"/>
              <w:spacing w:before="60" w:after="60"/>
              <w:jc w:val="center"/>
              <w:rPr>
                <w:rFonts w:ascii="Arial" w:hAnsi="Arial"/>
                <w:b/>
                <w:bCs/>
                <w:sz w:val="24"/>
                <w:szCs w:val="24"/>
              </w:rPr>
            </w:pPr>
            <w:r w:rsidRPr="00567BF3">
              <w:rPr>
                <w:rFonts w:ascii="Arial" w:hAnsi="Arial"/>
                <w:b/>
                <w:bCs/>
                <w:color w:val="000000"/>
                <w:sz w:val="24"/>
                <w:szCs w:val="24"/>
              </w:rPr>
              <w:t>(0–3 points)</w:t>
            </w:r>
          </w:p>
        </w:tc>
      </w:tr>
      <w:tr w:rsidR="002464CF" w:rsidRPr="00567BF3" w14:paraId="7E40201D" w14:textId="77777777" w:rsidTr="00B466DB">
        <w:trPr>
          <w:cantSplit/>
        </w:trPr>
        <w:tc>
          <w:tcPr>
            <w:tcW w:w="2736" w:type="dxa"/>
            <w:vAlign w:val="center"/>
          </w:tcPr>
          <w:p w14:paraId="58B9BA80" w14:textId="77777777" w:rsidR="002464CF" w:rsidRPr="00567BF3" w:rsidRDefault="002464CF" w:rsidP="00567BF3">
            <w:pPr>
              <w:pStyle w:val="PlainText"/>
              <w:spacing w:before="60" w:after="60"/>
              <w:rPr>
                <w:rFonts w:ascii="Arial" w:hAnsi="Arial"/>
                <w:b/>
                <w:bCs/>
                <w:sz w:val="24"/>
                <w:szCs w:val="24"/>
              </w:rPr>
            </w:pPr>
            <w:r w:rsidRPr="00567BF3">
              <w:rPr>
                <w:rFonts w:ascii="Arial" w:hAnsi="Arial"/>
                <w:color w:val="000000"/>
                <w:sz w:val="24"/>
                <w:szCs w:val="24"/>
              </w:rPr>
              <w:t>Provide expenditures clearly detailed by object code with accurate amounts.</w:t>
            </w:r>
          </w:p>
        </w:tc>
        <w:tc>
          <w:tcPr>
            <w:tcW w:w="2736" w:type="dxa"/>
            <w:vAlign w:val="center"/>
          </w:tcPr>
          <w:p w14:paraId="68349D42"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comprehensive budget detail for all object codes.</w:t>
            </w:r>
          </w:p>
        </w:tc>
        <w:tc>
          <w:tcPr>
            <w:tcW w:w="2736" w:type="dxa"/>
            <w:vAlign w:val="center"/>
          </w:tcPr>
          <w:p w14:paraId="4581E83C"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strong budget detail for all object codes.</w:t>
            </w:r>
          </w:p>
        </w:tc>
        <w:tc>
          <w:tcPr>
            <w:tcW w:w="2736" w:type="dxa"/>
            <w:vAlign w:val="center"/>
          </w:tcPr>
          <w:p w14:paraId="23B717EC"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adequate budget detail for all object codes.</w:t>
            </w:r>
          </w:p>
        </w:tc>
        <w:tc>
          <w:tcPr>
            <w:tcW w:w="2736" w:type="dxa"/>
            <w:vAlign w:val="center"/>
          </w:tcPr>
          <w:p w14:paraId="421D6F35" w14:textId="77777777" w:rsidR="002464CF" w:rsidRPr="00567BF3" w:rsidRDefault="002464CF" w:rsidP="00567BF3">
            <w:pPr>
              <w:pStyle w:val="PlainText"/>
              <w:spacing w:before="60" w:after="60"/>
              <w:rPr>
                <w:rFonts w:ascii="Arial" w:hAnsi="Arial"/>
                <w:color w:val="000000"/>
                <w:sz w:val="24"/>
                <w:szCs w:val="24"/>
              </w:rPr>
            </w:pPr>
            <w:r w:rsidRPr="00567BF3">
              <w:rPr>
                <w:rFonts w:ascii="Arial" w:hAnsi="Arial"/>
                <w:color w:val="000000"/>
                <w:sz w:val="24"/>
                <w:szCs w:val="24"/>
              </w:rPr>
              <w:t>LEA provides minimal budget detail for all object codes.</w:t>
            </w:r>
          </w:p>
        </w:tc>
      </w:tr>
      <w:tr w:rsidR="002464CF" w:rsidRPr="00567BF3" w14:paraId="601EE454" w14:textId="77777777" w:rsidTr="00B466DB">
        <w:trPr>
          <w:cantSplit/>
        </w:trPr>
        <w:tc>
          <w:tcPr>
            <w:tcW w:w="2736" w:type="dxa"/>
            <w:vAlign w:val="center"/>
          </w:tcPr>
          <w:p w14:paraId="7D1CECE5"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Does the budget narrative clearly explain how CTEIG and match funds support CTE programs, career pathways, and minimum eligibility standards?</w:t>
            </w:r>
          </w:p>
        </w:tc>
        <w:tc>
          <w:tcPr>
            <w:tcW w:w="2736" w:type="dxa"/>
            <w:vAlign w:val="center"/>
          </w:tcPr>
          <w:p w14:paraId="59B910D7"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a comprehensive budget narrative.</w:t>
            </w:r>
          </w:p>
        </w:tc>
        <w:tc>
          <w:tcPr>
            <w:tcW w:w="2736" w:type="dxa"/>
            <w:vAlign w:val="center"/>
          </w:tcPr>
          <w:p w14:paraId="2BC7E77E"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a strong budget narrative.</w:t>
            </w:r>
          </w:p>
        </w:tc>
        <w:tc>
          <w:tcPr>
            <w:tcW w:w="2736" w:type="dxa"/>
            <w:vAlign w:val="center"/>
          </w:tcPr>
          <w:p w14:paraId="2F088904"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provides an adequate budget narrative.</w:t>
            </w:r>
          </w:p>
        </w:tc>
        <w:tc>
          <w:tcPr>
            <w:tcW w:w="2736" w:type="dxa"/>
            <w:vAlign w:val="center"/>
          </w:tcPr>
          <w:p w14:paraId="757D39CA" w14:textId="77777777" w:rsidR="002464CF" w:rsidRPr="00567BF3" w:rsidRDefault="002464CF" w:rsidP="00567BF3">
            <w:pPr>
              <w:pStyle w:val="PlainText"/>
              <w:spacing w:before="60" w:after="60"/>
              <w:rPr>
                <w:rFonts w:ascii="Arial" w:hAnsi="Arial"/>
                <w:sz w:val="24"/>
                <w:szCs w:val="24"/>
              </w:rPr>
            </w:pPr>
            <w:r w:rsidRPr="00567BF3">
              <w:rPr>
                <w:rFonts w:ascii="Arial" w:hAnsi="Arial"/>
                <w:color w:val="000000"/>
                <w:sz w:val="24"/>
                <w:szCs w:val="24"/>
              </w:rPr>
              <w:t>LEA does not provide clear narrative or connect expenditures to program support.</w:t>
            </w:r>
          </w:p>
        </w:tc>
      </w:tr>
    </w:tbl>
    <w:p w14:paraId="1C2A64BA" w14:textId="77777777" w:rsidR="002464CF" w:rsidRPr="00567BF3" w:rsidRDefault="002464CF" w:rsidP="00567BF3">
      <w:pPr>
        <w:pStyle w:val="PlainText"/>
        <w:rPr>
          <w:rFonts w:ascii="Arial" w:hAnsi="Arial"/>
          <w:sz w:val="24"/>
          <w:szCs w:val="24"/>
        </w:rPr>
      </w:pPr>
      <w:r w:rsidRPr="00567BF3">
        <w:rPr>
          <w:rFonts w:ascii="Arial" w:hAnsi="Arial"/>
          <w:sz w:val="24"/>
          <w:szCs w:val="24"/>
        </w:rPr>
        <w:t>Total Budget and Narrative Score: Up to 20 points</w:t>
      </w:r>
    </w:p>
    <w:p w14:paraId="578AA697" w14:textId="2047DC53" w:rsidR="00BF7C69" w:rsidRPr="00567BF3" w:rsidRDefault="00BF7C69" w:rsidP="00B466DB">
      <w:pPr>
        <w:pStyle w:val="PlainText"/>
        <w:spacing w:before="480" w:after="240"/>
        <w:rPr>
          <w:rFonts w:ascii="Arial" w:hAnsi="Arial"/>
          <w:b/>
          <w:bCs/>
          <w:sz w:val="24"/>
          <w:szCs w:val="24"/>
        </w:rPr>
      </w:pPr>
      <w:r w:rsidRPr="00567BF3">
        <w:rPr>
          <w:rFonts w:ascii="Arial" w:hAnsi="Arial"/>
          <w:b/>
          <w:bCs/>
          <w:sz w:val="24"/>
          <w:szCs w:val="24"/>
        </w:rPr>
        <w:lastRenderedPageBreak/>
        <w:t xml:space="preserve">Continued Financial Commitment: </w:t>
      </w:r>
      <w:r w:rsidR="00E33FF7" w:rsidRPr="00567BF3">
        <w:rPr>
          <w:rFonts w:ascii="Arial" w:hAnsi="Arial"/>
          <w:b/>
          <w:bCs/>
          <w:sz w:val="24"/>
          <w:szCs w:val="24"/>
        </w:rPr>
        <w:t>5</w:t>
      </w:r>
      <w:r w:rsidRPr="00567BF3">
        <w:rPr>
          <w:rFonts w:ascii="Arial" w:hAnsi="Arial"/>
          <w:b/>
          <w:bCs/>
          <w:sz w:val="24"/>
          <w:szCs w:val="24"/>
        </w:rPr>
        <w:t xml:space="preserve"> points</w:t>
      </w:r>
    </w:p>
    <w:tbl>
      <w:tblPr>
        <w:tblStyle w:val="TableGrid"/>
        <w:tblW w:w="13667" w:type="dxa"/>
        <w:tblInd w:w="-275" w:type="dxa"/>
        <w:tblLook w:val="04A0" w:firstRow="1" w:lastRow="0" w:firstColumn="1" w:lastColumn="0" w:noHBand="0" w:noVBand="1"/>
        <w:tblDescription w:val="Continued Financial Committment"/>
      </w:tblPr>
      <w:tblGrid>
        <w:gridCol w:w="3727"/>
        <w:gridCol w:w="2485"/>
        <w:gridCol w:w="2485"/>
        <w:gridCol w:w="2485"/>
        <w:gridCol w:w="2485"/>
      </w:tblGrid>
      <w:tr w:rsidR="00083AF5" w:rsidRPr="00567BF3" w14:paraId="671A766A" w14:textId="77777777" w:rsidTr="00B466DB">
        <w:trPr>
          <w:cantSplit/>
          <w:trHeight w:val="753"/>
          <w:tblHeader/>
        </w:trPr>
        <w:tc>
          <w:tcPr>
            <w:tcW w:w="3727" w:type="dxa"/>
            <w:shd w:val="clear" w:color="auto" w:fill="D1D1D1" w:themeFill="background2" w:themeFillShade="E6"/>
            <w:vAlign w:val="center"/>
          </w:tcPr>
          <w:p w14:paraId="6D80828D" w14:textId="77777777" w:rsidR="00083AF5" w:rsidRPr="00567BF3" w:rsidRDefault="00083AF5" w:rsidP="00567BF3">
            <w:pPr>
              <w:pStyle w:val="PlainText"/>
              <w:spacing w:before="0"/>
              <w:jc w:val="center"/>
              <w:rPr>
                <w:rFonts w:ascii="Arial" w:hAnsi="Arial"/>
                <w:b/>
                <w:bCs/>
                <w:sz w:val="24"/>
                <w:szCs w:val="24"/>
              </w:rPr>
            </w:pPr>
            <w:r w:rsidRPr="00567BF3">
              <w:rPr>
                <w:rFonts w:ascii="Arial" w:hAnsi="Arial"/>
                <w:b/>
                <w:bCs/>
                <w:sz w:val="24"/>
                <w:szCs w:val="24"/>
              </w:rPr>
              <w:t>Question</w:t>
            </w:r>
          </w:p>
        </w:tc>
        <w:tc>
          <w:tcPr>
            <w:tcW w:w="2485" w:type="dxa"/>
            <w:shd w:val="clear" w:color="auto" w:fill="D1D1D1" w:themeFill="background2" w:themeFillShade="E6"/>
            <w:vAlign w:val="center"/>
          </w:tcPr>
          <w:p w14:paraId="761D43BF" w14:textId="27B8F7BC" w:rsidR="00083AF5" w:rsidRPr="00567BF3" w:rsidRDefault="00083AF5" w:rsidP="00567BF3">
            <w:pPr>
              <w:pStyle w:val="PlainText"/>
              <w:spacing w:before="0"/>
              <w:jc w:val="center"/>
              <w:rPr>
                <w:rFonts w:ascii="Arial" w:hAnsi="Arial"/>
                <w:b/>
                <w:bCs/>
                <w:sz w:val="24"/>
                <w:szCs w:val="24"/>
              </w:rPr>
            </w:pPr>
            <w:r w:rsidRPr="00567BF3">
              <w:rPr>
                <w:rFonts w:ascii="Arial" w:hAnsi="Arial"/>
                <w:b/>
                <w:bCs/>
                <w:sz w:val="24"/>
                <w:szCs w:val="24"/>
              </w:rPr>
              <w:t>Funds Increase</w:t>
            </w:r>
            <w:r w:rsidRPr="00567BF3">
              <w:rPr>
                <w:rFonts w:ascii="Arial" w:hAnsi="Arial"/>
                <w:b/>
                <w:bCs/>
                <w:sz w:val="24"/>
                <w:szCs w:val="24"/>
              </w:rPr>
              <w:br/>
              <w:t>(5 points)</w:t>
            </w:r>
          </w:p>
        </w:tc>
        <w:tc>
          <w:tcPr>
            <w:tcW w:w="2485" w:type="dxa"/>
            <w:shd w:val="clear" w:color="auto" w:fill="D1D1D1" w:themeFill="background2" w:themeFillShade="E6"/>
          </w:tcPr>
          <w:p w14:paraId="3BB4D92C" w14:textId="77777777" w:rsidR="00494E26" w:rsidRPr="00567BF3" w:rsidRDefault="00083AF5" w:rsidP="00567BF3">
            <w:pPr>
              <w:pStyle w:val="PlainText"/>
              <w:spacing w:before="0"/>
              <w:jc w:val="center"/>
              <w:rPr>
                <w:rFonts w:ascii="Arial" w:hAnsi="Arial"/>
                <w:b/>
                <w:bCs/>
                <w:sz w:val="24"/>
                <w:szCs w:val="24"/>
              </w:rPr>
            </w:pPr>
            <w:r w:rsidRPr="00567BF3">
              <w:rPr>
                <w:rFonts w:ascii="Arial" w:hAnsi="Arial"/>
                <w:b/>
                <w:bCs/>
                <w:sz w:val="24"/>
                <w:szCs w:val="24"/>
              </w:rPr>
              <w:t xml:space="preserve">Funds </w:t>
            </w:r>
            <w:r w:rsidR="00494E26" w:rsidRPr="00567BF3">
              <w:rPr>
                <w:rFonts w:ascii="Arial" w:hAnsi="Arial"/>
                <w:b/>
                <w:bCs/>
                <w:sz w:val="24"/>
                <w:szCs w:val="24"/>
              </w:rPr>
              <w:t>Remain the Same</w:t>
            </w:r>
          </w:p>
          <w:p w14:paraId="275011DA" w14:textId="4D232410" w:rsidR="00083AF5" w:rsidRPr="00567BF3" w:rsidRDefault="00494E26" w:rsidP="00567BF3">
            <w:pPr>
              <w:pStyle w:val="PlainText"/>
              <w:spacing w:before="0"/>
              <w:jc w:val="center"/>
              <w:rPr>
                <w:rFonts w:ascii="Arial" w:hAnsi="Arial"/>
                <w:b/>
                <w:bCs/>
                <w:sz w:val="24"/>
                <w:szCs w:val="24"/>
              </w:rPr>
            </w:pPr>
            <w:r w:rsidRPr="00567BF3">
              <w:rPr>
                <w:rFonts w:ascii="Arial" w:hAnsi="Arial"/>
                <w:b/>
                <w:bCs/>
                <w:sz w:val="24"/>
                <w:szCs w:val="24"/>
              </w:rPr>
              <w:t>(</w:t>
            </w:r>
            <w:r w:rsidR="00D00717" w:rsidRPr="00567BF3">
              <w:rPr>
                <w:rFonts w:ascii="Arial" w:hAnsi="Arial"/>
                <w:b/>
                <w:bCs/>
                <w:sz w:val="24"/>
                <w:szCs w:val="24"/>
              </w:rPr>
              <w:t>4</w:t>
            </w:r>
            <w:r w:rsidRPr="00567BF3">
              <w:rPr>
                <w:rFonts w:ascii="Arial" w:hAnsi="Arial"/>
                <w:b/>
                <w:bCs/>
                <w:sz w:val="24"/>
                <w:szCs w:val="24"/>
              </w:rPr>
              <w:t xml:space="preserve"> points)</w:t>
            </w:r>
          </w:p>
        </w:tc>
        <w:tc>
          <w:tcPr>
            <w:tcW w:w="2485" w:type="dxa"/>
            <w:shd w:val="clear" w:color="auto" w:fill="D1D1D1" w:themeFill="background2" w:themeFillShade="E6"/>
            <w:vAlign w:val="center"/>
          </w:tcPr>
          <w:p w14:paraId="0B6B4EDA" w14:textId="77777777" w:rsidR="00494E26" w:rsidRPr="00567BF3" w:rsidRDefault="00494E26" w:rsidP="00567BF3">
            <w:pPr>
              <w:pStyle w:val="PlainText"/>
              <w:spacing w:before="0"/>
              <w:jc w:val="center"/>
              <w:rPr>
                <w:rFonts w:ascii="Arial" w:hAnsi="Arial"/>
                <w:b/>
                <w:bCs/>
                <w:sz w:val="24"/>
                <w:szCs w:val="24"/>
              </w:rPr>
            </w:pPr>
            <w:r w:rsidRPr="00567BF3">
              <w:rPr>
                <w:rFonts w:ascii="Arial" w:hAnsi="Arial"/>
                <w:b/>
                <w:bCs/>
                <w:sz w:val="24"/>
                <w:szCs w:val="24"/>
              </w:rPr>
              <w:t>Decrease in Funds</w:t>
            </w:r>
          </w:p>
          <w:p w14:paraId="5BBCDF36" w14:textId="43C73AAF" w:rsidR="00083AF5" w:rsidRPr="00567BF3" w:rsidRDefault="00494E26" w:rsidP="00567BF3">
            <w:pPr>
              <w:pStyle w:val="PlainText"/>
              <w:spacing w:before="0"/>
              <w:jc w:val="center"/>
              <w:rPr>
                <w:rFonts w:ascii="Arial" w:hAnsi="Arial"/>
                <w:b/>
                <w:bCs/>
                <w:sz w:val="24"/>
                <w:szCs w:val="24"/>
              </w:rPr>
            </w:pPr>
            <w:r w:rsidRPr="00567BF3">
              <w:rPr>
                <w:rFonts w:ascii="Arial" w:hAnsi="Arial"/>
                <w:b/>
                <w:bCs/>
                <w:sz w:val="24"/>
                <w:szCs w:val="24"/>
              </w:rPr>
              <w:t>(</w:t>
            </w:r>
            <w:r w:rsidR="00D00717" w:rsidRPr="00567BF3">
              <w:rPr>
                <w:rFonts w:ascii="Arial" w:hAnsi="Arial"/>
                <w:b/>
                <w:bCs/>
                <w:sz w:val="24"/>
                <w:szCs w:val="24"/>
              </w:rPr>
              <w:t>3–</w:t>
            </w:r>
            <w:r w:rsidR="00083AF5" w:rsidRPr="00567BF3">
              <w:rPr>
                <w:rFonts w:ascii="Arial" w:hAnsi="Arial"/>
                <w:b/>
                <w:bCs/>
                <w:sz w:val="24"/>
                <w:szCs w:val="24"/>
              </w:rPr>
              <w:t>1 point</w:t>
            </w:r>
            <w:r w:rsidR="00D00717" w:rsidRPr="00567BF3">
              <w:rPr>
                <w:rFonts w:ascii="Arial" w:hAnsi="Arial"/>
                <w:b/>
                <w:bCs/>
                <w:sz w:val="24"/>
                <w:szCs w:val="24"/>
              </w:rPr>
              <w:t>s</w:t>
            </w:r>
            <w:r w:rsidR="00083AF5" w:rsidRPr="00567BF3">
              <w:rPr>
                <w:rFonts w:ascii="Arial" w:hAnsi="Arial"/>
                <w:b/>
                <w:bCs/>
                <w:sz w:val="24"/>
                <w:szCs w:val="24"/>
              </w:rPr>
              <w:t>)</w:t>
            </w:r>
          </w:p>
        </w:tc>
        <w:tc>
          <w:tcPr>
            <w:tcW w:w="2485" w:type="dxa"/>
            <w:shd w:val="clear" w:color="auto" w:fill="D1D1D1" w:themeFill="background2" w:themeFillShade="E6"/>
            <w:vAlign w:val="center"/>
          </w:tcPr>
          <w:p w14:paraId="250CD26F" w14:textId="77777777" w:rsidR="00083AF5" w:rsidRPr="00567BF3" w:rsidRDefault="00083AF5" w:rsidP="00567BF3">
            <w:pPr>
              <w:pStyle w:val="PlainText"/>
              <w:spacing w:before="0"/>
              <w:jc w:val="center"/>
              <w:rPr>
                <w:rFonts w:ascii="Arial" w:hAnsi="Arial"/>
                <w:b/>
                <w:bCs/>
                <w:sz w:val="24"/>
                <w:szCs w:val="24"/>
              </w:rPr>
            </w:pPr>
            <w:r w:rsidRPr="00567BF3">
              <w:rPr>
                <w:rFonts w:ascii="Arial" w:hAnsi="Arial"/>
                <w:b/>
                <w:bCs/>
                <w:sz w:val="24"/>
                <w:szCs w:val="24"/>
              </w:rPr>
              <w:t>No Funds listed</w:t>
            </w:r>
          </w:p>
          <w:p w14:paraId="77CBF8F3" w14:textId="7EA5431E" w:rsidR="00083AF5" w:rsidRPr="00567BF3" w:rsidRDefault="00083AF5" w:rsidP="00567BF3">
            <w:pPr>
              <w:pStyle w:val="PlainText"/>
              <w:spacing w:before="0"/>
              <w:jc w:val="center"/>
              <w:rPr>
                <w:rFonts w:ascii="Arial" w:hAnsi="Arial"/>
                <w:b/>
                <w:bCs/>
                <w:sz w:val="24"/>
                <w:szCs w:val="24"/>
              </w:rPr>
            </w:pPr>
            <w:r w:rsidRPr="00567BF3">
              <w:rPr>
                <w:rFonts w:ascii="Arial" w:hAnsi="Arial"/>
                <w:b/>
                <w:bCs/>
                <w:sz w:val="24"/>
                <w:szCs w:val="24"/>
              </w:rPr>
              <w:t>(0 points)</w:t>
            </w:r>
          </w:p>
        </w:tc>
      </w:tr>
      <w:tr w:rsidR="00083AF5" w:rsidRPr="00567BF3" w14:paraId="14D18376" w14:textId="77777777" w:rsidTr="00B466DB">
        <w:trPr>
          <w:cantSplit/>
          <w:trHeight w:val="998"/>
        </w:trPr>
        <w:tc>
          <w:tcPr>
            <w:tcW w:w="3727" w:type="dxa"/>
            <w:vAlign w:val="center"/>
          </w:tcPr>
          <w:p w14:paraId="7D3DAF53" w14:textId="0ABBD71C" w:rsidR="00083AF5" w:rsidRPr="00567BF3" w:rsidRDefault="00083AF5" w:rsidP="00567BF3">
            <w:pPr>
              <w:pStyle w:val="PlainText"/>
              <w:spacing w:before="0"/>
              <w:rPr>
                <w:rFonts w:ascii="Arial" w:hAnsi="Arial"/>
                <w:b/>
                <w:bCs/>
                <w:sz w:val="24"/>
                <w:szCs w:val="24"/>
              </w:rPr>
            </w:pPr>
            <w:r w:rsidRPr="00567BF3">
              <w:rPr>
                <w:rFonts w:ascii="Arial" w:hAnsi="Arial"/>
                <w:b/>
                <w:bCs/>
                <w:sz w:val="24"/>
                <w:szCs w:val="24"/>
              </w:rPr>
              <w:t>Do the presented funds maintain or increase year over year?</w:t>
            </w:r>
          </w:p>
        </w:tc>
        <w:tc>
          <w:tcPr>
            <w:tcW w:w="2485" w:type="dxa"/>
            <w:vAlign w:val="center"/>
          </w:tcPr>
          <w:p w14:paraId="427BF5CB" w14:textId="3827D4E4" w:rsidR="00083AF5" w:rsidRPr="00567BF3" w:rsidRDefault="00083AF5" w:rsidP="00567BF3">
            <w:pPr>
              <w:pStyle w:val="PlainText"/>
              <w:spacing w:before="0"/>
              <w:rPr>
                <w:rFonts w:ascii="Arial" w:hAnsi="Arial"/>
                <w:sz w:val="24"/>
                <w:szCs w:val="24"/>
              </w:rPr>
            </w:pPr>
            <w:r w:rsidRPr="00567BF3">
              <w:rPr>
                <w:rFonts w:ascii="Arial" w:hAnsi="Arial"/>
                <w:sz w:val="24"/>
                <w:szCs w:val="24"/>
              </w:rPr>
              <w:t>Dollar amounts provided for all years with consistent year-over-year increases</w:t>
            </w:r>
          </w:p>
        </w:tc>
        <w:tc>
          <w:tcPr>
            <w:tcW w:w="2485" w:type="dxa"/>
          </w:tcPr>
          <w:p w14:paraId="623EFD4A" w14:textId="2FA939B9" w:rsidR="00083AF5" w:rsidRPr="00567BF3" w:rsidRDefault="00494E26" w:rsidP="00567BF3">
            <w:pPr>
              <w:pStyle w:val="PlainText"/>
              <w:spacing w:before="0"/>
              <w:rPr>
                <w:rFonts w:ascii="Arial" w:hAnsi="Arial"/>
                <w:sz w:val="24"/>
                <w:szCs w:val="24"/>
              </w:rPr>
            </w:pPr>
            <w:r w:rsidRPr="00567BF3">
              <w:rPr>
                <w:rFonts w:ascii="Arial" w:hAnsi="Arial"/>
                <w:sz w:val="24"/>
                <w:szCs w:val="24"/>
              </w:rPr>
              <w:t>Dollar amounts remain the same year over year with no increase or decrease.</w:t>
            </w:r>
          </w:p>
        </w:tc>
        <w:tc>
          <w:tcPr>
            <w:tcW w:w="2485" w:type="dxa"/>
            <w:vAlign w:val="center"/>
          </w:tcPr>
          <w:p w14:paraId="2891434A" w14:textId="3D345EB0" w:rsidR="00083AF5" w:rsidRPr="00567BF3" w:rsidRDefault="00083AF5" w:rsidP="00567BF3">
            <w:pPr>
              <w:pStyle w:val="PlainText"/>
              <w:spacing w:before="0"/>
              <w:rPr>
                <w:rFonts w:ascii="Arial" w:hAnsi="Arial"/>
                <w:sz w:val="24"/>
                <w:szCs w:val="24"/>
              </w:rPr>
            </w:pPr>
            <w:r w:rsidRPr="00567BF3">
              <w:rPr>
                <w:rFonts w:ascii="Arial" w:hAnsi="Arial"/>
                <w:sz w:val="24"/>
                <w:szCs w:val="24"/>
              </w:rPr>
              <w:t xml:space="preserve">Dollar amounts provided </w:t>
            </w:r>
            <w:r w:rsidR="00494E26" w:rsidRPr="00567BF3">
              <w:rPr>
                <w:rFonts w:ascii="Arial" w:hAnsi="Arial"/>
                <w:sz w:val="24"/>
                <w:szCs w:val="24"/>
              </w:rPr>
              <w:t>decrease at any point in the year over year comparison</w:t>
            </w:r>
          </w:p>
        </w:tc>
        <w:tc>
          <w:tcPr>
            <w:tcW w:w="2485" w:type="dxa"/>
            <w:vAlign w:val="center"/>
          </w:tcPr>
          <w:p w14:paraId="67CF3FDA" w14:textId="5AD7CCA2" w:rsidR="00083AF5" w:rsidRPr="00567BF3" w:rsidRDefault="00083AF5" w:rsidP="00567BF3">
            <w:pPr>
              <w:pStyle w:val="PlainText"/>
              <w:spacing w:before="0"/>
              <w:rPr>
                <w:rFonts w:ascii="Arial" w:hAnsi="Arial"/>
                <w:sz w:val="24"/>
                <w:szCs w:val="24"/>
              </w:rPr>
            </w:pPr>
            <w:r w:rsidRPr="00567BF3">
              <w:rPr>
                <w:rFonts w:ascii="Arial" w:hAnsi="Arial"/>
                <w:sz w:val="24"/>
                <w:szCs w:val="24"/>
              </w:rPr>
              <w:t>No dollar amounts provided.</w:t>
            </w:r>
          </w:p>
        </w:tc>
      </w:tr>
    </w:tbl>
    <w:p w14:paraId="2B02F333" w14:textId="35D5793B" w:rsidR="00BF7C69" w:rsidRDefault="00BF7C69" w:rsidP="00231CBB">
      <w:pPr>
        <w:pStyle w:val="PlainText"/>
        <w:spacing w:after="240"/>
        <w:rPr>
          <w:rFonts w:ascii="Arial" w:hAnsi="Arial"/>
          <w:sz w:val="24"/>
          <w:szCs w:val="24"/>
        </w:rPr>
      </w:pPr>
      <w:r w:rsidRPr="00567BF3">
        <w:rPr>
          <w:rFonts w:ascii="Arial" w:hAnsi="Arial"/>
          <w:sz w:val="24"/>
          <w:szCs w:val="24"/>
        </w:rPr>
        <w:t xml:space="preserve">Total Financial Commitment Score: Up to </w:t>
      </w:r>
      <w:r w:rsidR="002C29E9" w:rsidRPr="00567BF3">
        <w:rPr>
          <w:rFonts w:ascii="Arial" w:hAnsi="Arial"/>
          <w:sz w:val="24"/>
          <w:szCs w:val="24"/>
        </w:rPr>
        <w:t>5</w:t>
      </w:r>
      <w:r w:rsidRPr="00567BF3">
        <w:rPr>
          <w:rFonts w:ascii="Arial" w:hAnsi="Arial"/>
          <w:sz w:val="24"/>
          <w:szCs w:val="24"/>
        </w:rPr>
        <w:t xml:space="preserve"> points</w:t>
      </w:r>
    </w:p>
    <w:p w14:paraId="7B66B7FF" w14:textId="77777777" w:rsidR="00B466DB" w:rsidRPr="002A68EC" w:rsidRDefault="00B466DB" w:rsidP="006520B0">
      <w:pPr>
        <w:pStyle w:val="PlainText"/>
        <w:spacing w:before="0" w:after="240"/>
        <w:rPr>
          <w:rFonts w:ascii="Arial" w:hAnsi="Arial"/>
          <w:b/>
          <w:bCs/>
          <w:sz w:val="24"/>
          <w:szCs w:val="24"/>
        </w:rPr>
      </w:pPr>
      <w:r w:rsidRPr="002A68EC">
        <w:rPr>
          <w:rFonts w:ascii="Arial" w:hAnsi="Arial"/>
          <w:b/>
          <w:bCs/>
          <w:sz w:val="24"/>
          <w:szCs w:val="24"/>
        </w:rPr>
        <w:t>Positive Considerations: 5 bonus points</w:t>
      </w:r>
    </w:p>
    <w:p w14:paraId="483D5450" w14:textId="60749AC1" w:rsidR="00B466DB" w:rsidRPr="002A68EC" w:rsidRDefault="00B466DB" w:rsidP="006520B0">
      <w:pPr>
        <w:pStyle w:val="PlainText"/>
        <w:spacing w:before="0"/>
        <w:rPr>
          <w:rFonts w:ascii="Arial" w:hAnsi="Arial"/>
          <w:sz w:val="24"/>
          <w:szCs w:val="24"/>
        </w:rPr>
      </w:pPr>
      <w:r w:rsidRPr="002A68EC">
        <w:rPr>
          <w:rFonts w:ascii="Arial" w:hAnsi="Arial"/>
          <w:sz w:val="24"/>
          <w:szCs w:val="24"/>
        </w:rPr>
        <w:t>Positive Considerations 1–4: Greatest Weight: 4 points</w:t>
      </w:r>
    </w:p>
    <w:tbl>
      <w:tblPr>
        <w:tblStyle w:val="TableGrid"/>
        <w:tblW w:w="12690" w:type="dxa"/>
        <w:tblInd w:w="-275" w:type="dxa"/>
        <w:tblLook w:val="04A0" w:firstRow="1" w:lastRow="0" w:firstColumn="1" w:lastColumn="0" w:noHBand="0" w:noVBand="1"/>
        <w:tblDescription w:val="Positive Considerations 1-4"/>
      </w:tblPr>
      <w:tblGrid>
        <w:gridCol w:w="9900"/>
        <w:gridCol w:w="2790"/>
      </w:tblGrid>
      <w:tr w:rsidR="00B466DB" w:rsidRPr="002A68EC" w14:paraId="2CC0A28C" w14:textId="77777777" w:rsidTr="00B466DB">
        <w:trPr>
          <w:cantSplit/>
          <w:trHeight w:val="360"/>
          <w:tblHeader/>
        </w:trPr>
        <w:tc>
          <w:tcPr>
            <w:tcW w:w="9900" w:type="dxa"/>
            <w:shd w:val="clear" w:color="auto" w:fill="D1D1D1" w:themeFill="background2" w:themeFillShade="E6"/>
            <w:vAlign w:val="center"/>
          </w:tcPr>
          <w:p w14:paraId="5E953D01" w14:textId="7013F7FD" w:rsidR="00B466DB" w:rsidRPr="002A68EC" w:rsidRDefault="00B466DB" w:rsidP="00B466DB">
            <w:pPr>
              <w:pStyle w:val="PlainText"/>
              <w:spacing w:before="0"/>
              <w:jc w:val="center"/>
              <w:rPr>
                <w:rFonts w:ascii="Arial" w:hAnsi="Arial"/>
                <w:b/>
                <w:bCs/>
                <w:sz w:val="24"/>
                <w:szCs w:val="24"/>
              </w:rPr>
            </w:pPr>
            <w:r w:rsidRPr="002A68EC">
              <w:rPr>
                <w:rFonts w:ascii="Arial" w:hAnsi="Arial"/>
                <w:b/>
                <w:bCs/>
                <w:sz w:val="24"/>
                <w:szCs w:val="24"/>
              </w:rPr>
              <w:t>Positive Considerations 1–4</w:t>
            </w:r>
          </w:p>
        </w:tc>
        <w:tc>
          <w:tcPr>
            <w:tcW w:w="2790" w:type="dxa"/>
            <w:shd w:val="clear" w:color="auto" w:fill="D1D1D1" w:themeFill="background2" w:themeFillShade="E6"/>
            <w:vAlign w:val="center"/>
          </w:tcPr>
          <w:p w14:paraId="1E5235DE" w14:textId="0FD42B44" w:rsidR="00B466DB" w:rsidRPr="002A68EC" w:rsidRDefault="00B466DB" w:rsidP="00B466DB">
            <w:pPr>
              <w:pStyle w:val="PlainText"/>
              <w:spacing w:before="0"/>
              <w:jc w:val="center"/>
              <w:rPr>
                <w:rFonts w:ascii="Arial" w:hAnsi="Arial"/>
                <w:b/>
                <w:bCs/>
                <w:sz w:val="24"/>
                <w:szCs w:val="24"/>
              </w:rPr>
            </w:pPr>
            <w:r w:rsidRPr="002A68EC">
              <w:rPr>
                <w:rFonts w:ascii="Arial" w:hAnsi="Arial"/>
                <w:b/>
                <w:bCs/>
                <w:sz w:val="24"/>
                <w:szCs w:val="24"/>
              </w:rPr>
              <w:t>Point Value</w:t>
            </w:r>
          </w:p>
        </w:tc>
      </w:tr>
      <w:tr w:rsidR="00B466DB" w:rsidRPr="002A68EC" w14:paraId="3D325C7E" w14:textId="77777777" w:rsidTr="00B466DB">
        <w:trPr>
          <w:cantSplit/>
          <w:trHeight w:val="360"/>
        </w:trPr>
        <w:tc>
          <w:tcPr>
            <w:tcW w:w="9900" w:type="dxa"/>
            <w:vAlign w:val="center"/>
          </w:tcPr>
          <w:p w14:paraId="7528AC00" w14:textId="4FDEC8C5" w:rsidR="00B466DB" w:rsidRPr="002A68EC" w:rsidRDefault="00B466DB" w:rsidP="00231CBB">
            <w:pPr>
              <w:pStyle w:val="PlainText"/>
              <w:numPr>
                <w:ilvl w:val="0"/>
                <w:numId w:val="25"/>
              </w:numPr>
              <w:spacing w:before="0"/>
              <w:ind w:left="342"/>
              <w:rPr>
                <w:rFonts w:ascii="Arial" w:hAnsi="Arial"/>
                <w:b/>
                <w:bCs/>
                <w:sz w:val="24"/>
                <w:szCs w:val="24"/>
              </w:rPr>
            </w:pPr>
            <w:r w:rsidRPr="002A68EC">
              <w:rPr>
                <w:rFonts w:ascii="Arial" w:hAnsi="Arial"/>
                <w:sz w:val="24"/>
                <w:szCs w:val="24"/>
              </w:rPr>
              <w:t xml:space="preserve">Serving unduplicated pupils (auto-verified) </w:t>
            </w:r>
          </w:p>
        </w:tc>
        <w:tc>
          <w:tcPr>
            <w:tcW w:w="2790" w:type="dxa"/>
            <w:vAlign w:val="center"/>
          </w:tcPr>
          <w:p w14:paraId="345B5F5B" w14:textId="178E7D46" w:rsidR="00B466DB" w:rsidRPr="002A68EC" w:rsidRDefault="00231CBB" w:rsidP="00231CBB">
            <w:pPr>
              <w:pStyle w:val="PlainText"/>
              <w:spacing w:before="0"/>
              <w:rPr>
                <w:rFonts w:ascii="Arial" w:hAnsi="Arial"/>
                <w:sz w:val="24"/>
                <w:szCs w:val="24"/>
              </w:rPr>
            </w:pPr>
            <w:r w:rsidRPr="002A68EC">
              <w:rPr>
                <w:rFonts w:ascii="Arial" w:hAnsi="Arial"/>
                <w:sz w:val="24"/>
                <w:szCs w:val="24"/>
              </w:rPr>
              <w:t xml:space="preserve">1 </w:t>
            </w:r>
            <w:r w:rsidR="00B466DB" w:rsidRPr="002A68EC">
              <w:rPr>
                <w:rFonts w:ascii="Arial" w:hAnsi="Arial"/>
                <w:sz w:val="24"/>
                <w:szCs w:val="24"/>
              </w:rPr>
              <w:t>bonus point</w:t>
            </w:r>
          </w:p>
        </w:tc>
      </w:tr>
      <w:tr w:rsidR="00B466DB" w:rsidRPr="002A68EC" w14:paraId="4C49F51F" w14:textId="77777777" w:rsidTr="00B466DB">
        <w:trPr>
          <w:cantSplit/>
          <w:trHeight w:val="360"/>
        </w:trPr>
        <w:tc>
          <w:tcPr>
            <w:tcW w:w="9900" w:type="dxa"/>
            <w:vAlign w:val="center"/>
          </w:tcPr>
          <w:p w14:paraId="0C45602D" w14:textId="7662D811" w:rsidR="00B466DB" w:rsidRPr="002A68EC" w:rsidRDefault="00B466DB" w:rsidP="00231CBB">
            <w:pPr>
              <w:pStyle w:val="PlainText"/>
              <w:numPr>
                <w:ilvl w:val="2"/>
                <w:numId w:val="22"/>
              </w:numPr>
              <w:spacing w:before="0"/>
              <w:ind w:left="342"/>
              <w:rPr>
                <w:rFonts w:ascii="Arial" w:hAnsi="Arial"/>
                <w:sz w:val="24"/>
                <w:szCs w:val="24"/>
              </w:rPr>
            </w:pPr>
            <w:r w:rsidRPr="002A68EC">
              <w:rPr>
                <w:rFonts w:ascii="Arial" w:hAnsi="Arial"/>
                <w:sz w:val="24"/>
                <w:szCs w:val="24"/>
              </w:rPr>
              <w:t>Serving pupil subgroups with higher dropout rates (auto-verified)</w:t>
            </w:r>
          </w:p>
        </w:tc>
        <w:tc>
          <w:tcPr>
            <w:tcW w:w="2790" w:type="dxa"/>
            <w:vAlign w:val="center"/>
          </w:tcPr>
          <w:p w14:paraId="5C874409" w14:textId="3B619FBF" w:rsidR="00B466DB" w:rsidRPr="002A68EC" w:rsidRDefault="00B466DB" w:rsidP="00B466DB">
            <w:pPr>
              <w:pStyle w:val="PlainText"/>
              <w:spacing w:before="0"/>
              <w:rPr>
                <w:rFonts w:ascii="Arial" w:hAnsi="Arial"/>
                <w:sz w:val="24"/>
                <w:szCs w:val="24"/>
              </w:rPr>
            </w:pPr>
            <w:r w:rsidRPr="002A68EC">
              <w:rPr>
                <w:rFonts w:ascii="Arial" w:hAnsi="Arial"/>
                <w:sz w:val="24"/>
                <w:szCs w:val="24"/>
              </w:rPr>
              <w:t>1 bonus point</w:t>
            </w:r>
          </w:p>
        </w:tc>
      </w:tr>
      <w:tr w:rsidR="00B466DB" w:rsidRPr="002A68EC" w14:paraId="21121C59" w14:textId="77777777" w:rsidTr="00B466DB">
        <w:trPr>
          <w:cantSplit/>
          <w:trHeight w:val="360"/>
        </w:trPr>
        <w:tc>
          <w:tcPr>
            <w:tcW w:w="9900" w:type="dxa"/>
            <w:vAlign w:val="center"/>
          </w:tcPr>
          <w:p w14:paraId="2CB54ACF" w14:textId="01AA2678" w:rsidR="00B466DB" w:rsidRPr="002A68EC" w:rsidRDefault="00B466DB" w:rsidP="00231CBB">
            <w:pPr>
              <w:pStyle w:val="PlainText"/>
              <w:numPr>
                <w:ilvl w:val="2"/>
                <w:numId w:val="22"/>
              </w:numPr>
              <w:spacing w:before="0"/>
              <w:ind w:left="342"/>
              <w:rPr>
                <w:rFonts w:ascii="Arial" w:hAnsi="Arial"/>
                <w:sz w:val="24"/>
                <w:szCs w:val="24"/>
              </w:rPr>
            </w:pPr>
            <w:r w:rsidRPr="002A68EC">
              <w:rPr>
                <w:rFonts w:ascii="Arial" w:hAnsi="Arial"/>
                <w:sz w:val="24"/>
                <w:szCs w:val="24"/>
              </w:rPr>
              <w:t>Located in area with high unemployment or high poverty rate (auto-verified)</w:t>
            </w:r>
          </w:p>
        </w:tc>
        <w:tc>
          <w:tcPr>
            <w:tcW w:w="2790" w:type="dxa"/>
            <w:vAlign w:val="center"/>
          </w:tcPr>
          <w:p w14:paraId="4203A65D" w14:textId="4343EDC2" w:rsidR="00B466DB" w:rsidRPr="002A68EC" w:rsidRDefault="00B466DB" w:rsidP="00B466DB">
            <w:pPr>
              <w:pStyle w:val="PlainText"/>
              <w:spacing w:before="0"/>
              <w:rPr>
                <w:rFonts w:ascii="Arial" w:hAnsi="Arial"/>
                <w:sz w:val="24"/>
                <w:szCs w:val="24"/>
              </w:rPr>
            </w:pPr>
            <w:r w:rsidRPr="002A68EC">
              <w:rPr>
                <w:rFonts w:ascii="Arial" w:hAnsi="Arial"/>
                <w:sz w:val="24"/>
                <w:szCs w:val="24"/>
              </w:rPr>
              <w:t>1 bonus point</w:t>
            </w:r>
          </w:p>
        </w:tc>
      </w:tr>
      <w:tr w:rsidR="00B466DB" w:rsidRPr="002A68EC" w14:paraId="0E5DE0FB" w14:textId="77777777" w:rsidTr="00B466DB">
        <w:trPr>
          <w:cantSplit/>
          <w:trHeight w:val="360"/>
        </w:trPr>
        <w:tc>
          <w:tcPr>
            <w:tcW w:w="9900" w:type="dxa"/>
            <w:vAlign w:val="center"/>
          </w:tcPr>
          <w:p w14:paraId="4B3EE57F" w14:textId="42A3F03D" w:rsidR="00B466DB" w:rsidRPr="002A68EC" w:rsidRDefault="00B466DB" w:rsidP="00231CBB">
            <w:pPr>
              <w:pStyle w:val="PlainText"/>
              <w:numPr>
                <w:ilvl w:val="2"/>
                <w:numId w:val="22"/>
              </w:numPr>
              <w:spacing w:before="0"/>
              <w:ind w:left="342"/>
              <w:rPr>
                <w:rFonts w:ascii="Arial" w:hAnsi="Arial"/>
                <w:sz w:val="24"/>
                <w:szCs w:val="24"/>
              </w:rPr>
            </w:pPr>
            <w:r w:rsidRPr="002A68EC">
              <w:rPr>
                <w:rFonts w:ascii="Arial" w:hAnsi="Arial"/>
                <w:sz w:val="24"/>
                <w:szCs w:val="24"/>
              </w:rPr>
              <w:t>Operating high-quality regional-based CTE program as JPA or COE (applicant response</w:t>
            </w:r>
            <w:r w:rsidR="00231CBB" w:rsidRPr="002A68EC">
              <w:rPr>
                <w:rFonts w:ascii="Arial" w:hAnsi="Arial"/>
                <w:sz w:val="24"/>
                <w:szCs w:val="24"/>
              </w:rPr>
              <w:t xml:space="preserve">  required</w:t>
            </w:r>
            <w:r w:rsidRPr="002A68EC">
              <w:rPr>
                <w:rFonts w:ascii="Arial" w:hAnsi="Arial"/>
                <w:sz w:val="24"/>
                <w:szCs w:val="24"/>
              </w:rPr>
              <w:t>)</w:t>
            </w:r>
          </w:p>
        </w:tc>
        <w:tc>
          <w:tcPr>
            <w:tcW w:w="2790" w:type="dxa"/>
            <w:vAlign w:val="center"/>
          </w:tcPr>
          <w:p w14:paraId="46F70A95" w14:textId="5F0F370C" w:rsidR="00B466DB" w:rsidRPr="002A68EC" w:rsidRDefault="00B466DB" w:rsidP="00B466DB">
            <w:pPr>
              <w:pStyle w:val="PlainText"/>
              <w:spacing w:before="0"/>
              <w:rPr>
                <w:rFonts w:ascii="Arial" w:hAnsi="Arial"/>
                <w:sz w:val="24"/>
                <w:szCs w:val="24"/>
              </w:rPr>
            </w:pPr>
            <w:r w:rsidRPr="002A68EC">
              <w:rPr>
                <w:rFonts w:ascii="Arial" w:hAnsi="Arial"/>
                <w:sz w:val="24"/>
                <w:szCs w:val="24"/>
              </w:rPr>
              <w:t>1 bonus point</w:t>
            </w:r>
          </w:p>
        </w:tc>
      </w:tr>
    </w:tbl>
    <w:p w14:paraId="249220A2" w14:textId="7B93641D" w:rsidR="00231CBB" w:rsidRPr="002A68EC" w:rsidRDefault="00231CBB" w:rsidP="006520B0">
      <w:pPr>
        <w:pStyle w:val="PlainText"/>
        <w:rPr>
          <w:rFonts w:ascii="Arial" w:hAnsi="Arial"/>
          <w:sz w:val="24"/>
          <w:szCs w:val="24"/>
        </w:rPr>
      </w:pPr>
      <w:r w:rsidRPr="002A68EC">
        <w:rPr>
          <w:rFonts w:ascii="Arial" w:hAnsi="Arial"/>
          <w:sz w:val="24"/>
          <w:szCs w:val="24"/>
        </w:rPr>
        <w:t>Positive Considerations 5–8: Secondary: 1 point total if any are met</w:t>
      </w:r>
    </w:p>
    <w:tbl>
      <w:tblPr>
        <w:tblStyle w:val="TableGrid"/>
        <w:tblW w:w="9630" w:type="dxa"/>
        <w:tblInd w:w="-275" w:type="dxa"/>
        <w:tblLook w:val="04A0" w:firstRow="1" w:lastRow="0" w:firstColumn="1" w:lastColumn="0" w:noHBand="0" w:noVBand="1"/>
        <w:tblDescription w:val="Postive Considerations 5-8"/>
      </w:tblPr>
      <w:tblGrid>
        <w:gridCol w:w="5850"/>
        <w:gridCol w:w="3780"/>
      </w:tblGrid>
      <w:tr w:rsidR="00231CBB" w:rsidRPr="002A68EC" w14:paraId="26BEFB36" w14:textId="77777777" w:rsidTr="006520B0">
        <w:trPr>
          <w:cantSplit/>
          <w:trHeight w:val="360"/>
          <w:tblHeader/>
        </w:trPr>
        <w:tc>
          <w:tcPr>
            <w:tcW w:w="5850" w:type="dxa"/>
            <w:shd w:val="clear" w:color="auto" w:fill="D1D1D1" w:themeFill="background2" w:themeFillShade="E6"/>
            <w:vAlign w:val="center"/>
          </w:tcPr>
          <w:p w14:paraId="14FAACB0" w14:textId="15667125" w:rsidR="00231CBB" w:rsidRPr="002A68EC" w:rsidRDefault="00231CBB" w:rsidP="00231CBB">
            <w:pPr>
              <w:pStyle w:val="PlainText"/>
              <w:spacing w:before="0"/>
              <w:jc w:val="center"/>
              <w:rPr>
                <w:rFonts w:ascii="Arial" w:hAnsi="Arial"/>
                <w:b/>
                <w:bCs/>
                <w:sz w:val="24"/>
                <w:szCs w:val="24"/>
              </w:rPr>
            </w:pPr>
            <w:r w:rsidRPr="002A68EC">
              <w:rPr>
                <w:rFonts w:ascii="Arial" w:hAnsi="Arial"/>
                <w:b/>
                <w:bCs/>
                <w:sz w:val="24"/>
                <w:szCs w:val="24"/>
              </w:rPr>
              <w:t>Positive Considerations 5–8</w:t>
            </w:r>
          </w:p>
        </w:tc>
        <w:tc>
          <w:tcPr>
            <w:tcW w:w="3780" w:type="dxa"/>
            <w:shd w:val="clear" w:color="auto" w:fill="D1D1D1" w:themeFill="background2" w:themeFillShade="E6"/>
            <w:vAlign w:val="center"/>
          </w:tcPr>
          <w:p w14:paraId="6FBFA8E3" w14:textId="77777777" w:rsidR="00231CBB" w:rsidRPr="002A68EC" w:rsidRDefault="00231CBB" w:rsidP="00231CBB">
            <w:pPr>
              <w:pStyle w:val="PlainText"/>
              <w:spacing w:before="0"/>
              <w:jc w:val="center"/>
              <w:rPr>
                <w:rFonts w:ascii="Arial" w:hAnsi="Arial"/>
                <w:b/>
                <w:bCs/>
                <w:sz w:val="24"/>
                <w:szCs w:val="24"/>
              </w:rPr>
            </w:pPr>
            <w:r w:rsidRPr="002A68EC">
              <w:rPr>
                <w:rFonts w:ascii="Arial" w:hAnsi="Arial"/>
                <w:b/>
                <w:bCs/>
                <w:sz w:val="24"/>
                <w:szCs w:val="24"/>
              </w:rPr>
              <w:t>Point Value</w:t>
            </w:r>
          </w:p>
        </w:tc>
      </w:tr>
      <w:tr w:rsidR="00231CBB" w:rsidRPr="002A68EC" w14:paraId="2AD6E77A" w14:textId="77777777" w:rsidTr="006520B0">
        <w:trPr>
          <w:cantSplit/>
          <w:trHeight w:val="1351"/>
        </w:trPr>
        <w:tc>
          <w:tcPr>
            <w:tcW w:w="5850" w:type="dxa"/>
            <w:vAlign w:val="center"/>
          </w:tcPr>
          <w:p w14:paraId="07B80C14" w14:textId="25518239" w:rsidR="00231CBB" w:rsidRPr="002A68EC" w:rsidRDefault="006520B0" w:rsidP="006520B0">
            <w:pPr>
              <w:pStyle w:val="PlainText"/>
              <w:spacing w:before="0"/>
              <w:rPr>
                <w:rFonts w:ascii="Arial" w:hAnsi="Arial"/>
                <w:b/>
                <w:bCs/>
                <w:sz w:val="24"/>
                <w:szCs w:val="24"/>
              </w:rPr>
            </w:pPr>
            <w:r w:rsidRPr="002A68EC">
              <w:rPr>
                <w:rFonts w:ascii="Arial" w:hAnsi="Arial"/>
                <w:sz w:val="24"/>
                <w:szCs w:val="24"/>
              </w:rPr>
              <w:t>5. Leveraging existing programs/resources;</w:t>
            </w:r>
            <w:r w:rsidRPr="002A68EC">
              <w:rPr>
                <w:rFonts w:ascii="Arial" w:hAnsi="Arial"/>
                <w:sz w:val="24"/>
                <w:szCs w:val="24"/>
              </w:rPr>
              <w:br/>
              <w:t>6. Industry/labor/philanthropic contributions;</w:t>
            </w:r>
            <w:r w:rsidRPr="002A68EC">
              <w:rPr>
                <w:rFonts w:ascii="Arial" w:hAnsi="Arial"/>
                <w:sz w:val="24"/>
                <w:szCs w:val="24"/>
              </w:rPr>
              <w:br/>
              <w:t>7. regional postsecondary collaboration; OR</w:t>
            </w:r>
            <w:r w:rsidRPr="002A68EC">
              <w:rPr>
                <w:rFonts w:ascii="Arial" w:hAnsi="Arial"/>
                <w:sz w:val="24"/>
                <w:szCs w:val="24"/>
              </w:rPr>
              <w:br/>
              <w:t>8. 25 percent or more for infrastructure investment</w:t>
            </w:r>
          </w:p>
        </w:tc>
        <w:tc>
          <w:tcPr>
            <w:tcW w:w="3780" w:type="dxa"/>
            <w:vAlign w:val="center"/>
          </w:tcPr>
          <w:p w14:paraId="3AB41D5A" w14:textId="15951A1D" w:rsidR="00231CBB" w:rsidRPr="002A68EC" w:rsidRDefault="00231CBB" w:rsidP="00231CBB">
            <w:pPr>
              <w:pStyle w:val="PlainText"/>
              <w:spacing w:before="0"/>
              <w:rPr>
                <w:rFonts w:ascii="Arial" w:hAnsi="Arial"/>
                <w:sz w:val="24"/>
                <w:szCs w:val="24"/>
              </w:rPr>
            </w:pPr>
            <w:r w:rsidRPr="002A68EC">
              <w:rPr>
                <w:rFonts w:ascii="Arial" w:hAnsi="Arial"/>
                <w:sz w:val="24"/>
                <w:szCs w:val="24"/>
              </w:rPr>
              <w:t>1 bonus point total if any are met</w:t>
            </w:r>
          </w:p>
        </w:tc>
      </w:tr>
    </w:tbl>
    <w:p w14:paraId="7733DA68" w14:textId="24BBE8DB" w:rsidR="00231CBB" w:rsidRDefault="00231CBB" w:rsidP="00231CBB">
      <w:pPr>
        <w:pStyle w:val="PlainText"/>
        <w:spacing w:after="360"/>
        <w:rPr>
          <w:rFonts w:ascii="Arial" w:hAnsi="Arial"/>
          <w:sz w:val="24"/>
          <w:szCs w:val="24"/>
        </w:rPr>
      </w:pPr>
      <w:r w:rsidRPr="002A68EC">
        <w:rPr>
          <w:rFonts w:ascii="Arial" w:hAnsi="Arial"/>
          <w:sz w:val="24"/>
          <w:szCs w:val="24"/>
        </w:rPr>
        <w:t>Total Positive Considerations Score: Up to 5 bonus points</w:t>
      </w:r>
    </w:p>
    <w:p w14:paraId="770275C9" w14:textId="77777777" w:rsidR="00D76EC9" w:rsidRPr="00567BF3" w:rsidRDefault="00D76EC9" w:rsidP="00567BF3">
      <w:pPr>
        <w:pStyle w:val="PlainText"/>
        <w:rPr>
          <w:rFonts w:ascii="Arial" w:hAnsi="Arial"/>
          <w:b/>
          <w:bCs/>
          <w:sz w:val="24"/>
          <w:szCs w:val="24"/>
        </w:rPr>
      </w:pPr>
      <w:r w:rsidRPr="00567BF3">
        <w:rPr>
          <w:rFonts w:ascii="Arial" w:hAnsi="Arial"/>
          <w:b/>
          <w:bCs/>
          <w:sz w:val="24"/>
          <w:szCs w:val="24"/>
        </w:rPr>
        <w:lastRenderedPageBreak/>
        <w:t>SCORING RUBRIC - NEW GRANTEES</w:t>
      </w:r>
    </w:p>
    <w:p w14:paraId="346DA6BE" w14:textId="77777777" w:rsidR="00D76EC9" w:rsidRPr="00567BF3" w:rsidRDefault="00D76EC9" w:rsidP="00567BF3">
      <w:pPr>
        <w:pStyle w:val="PlainText"/>
        <w:rPr>
          <w:rFonts w:ascii="Arial" w:hAnsi="Arial"/>
          <w:sz w:val="24"/>
          <w:szCs w:val="24"/>
        </w:rPr>
      </w:pPr>
      <w:r w:rsidRPr="00567BF3">
        <w:rPr>
          <w:rFonts w:ascii="Arial" w:hAnsi="Arial"/>
          <w:sz w:val="24"/>
          <w:szCs w:val="24"/>
        </w:rPr>
        <w:t>TOTAL POSSIBLE SCORE: UP TO 105 POINTS (100-point core + 5 bonus)</w:t>
      </w:r>
    </w:p>
    <w:p w14:paraId="6DA29146" w14:textId="58FC205F" w:rsidR="00302104" w:rsidRPr="00567BF3" w:rsidRDefault="00D76EC9" w:rsidP="00567BF3">
      <w:pPr>
        <w:pStyle w:val="PlainText"/>
        <w:rPr>
          <w:rFonts w:ascii="Arial" w:hAnsi="Arial"/>
          <w:sz w:val="24"/>
          <w:szCs w:val="24"/>
        </w:rPr>
      </w:pPr>
      <w:r w:rsidRPr="00567BF3">
        <w:rPr>
          <w:rFonts w:ascii="Arial" w:hAnsi="Arial"/>
          <w:sz w:val="24"/>
          <w:szCs w:val="24"/>
        </w:rPr>
        <w:t>Minimum eligibility: 60 points</w:t>
      </w:r>
    </w:p>
    <w:p w14:paraId="5B72B5AD" w14:textId="77777777" w:rsidR="00302104" w:rsidRPr="00567BF3" w:rsidRDefault="00302104" w:rsidP="00567BF3">
      <w:pPr>
        <w:spacing w:before="0" w:after="160" w:line="278" w:lineRule="auto"/>
      </w:pPr>
      <w:r w:rsidRPr="00567BF3">
        <w:br w:type="page"/>
      </w:r>
    </w:p>
    <w:p w14:paraId="06F0881C" w14:textId="4392BBE2" w:rsidR="0032753B" w:rsidRPr="00567BF3" w:rsidRDefault="00686939" w:rsidP="00645B74">
      <w:pPr>
        <w:pStyle w:val="Heading2"/>
      </w:pPr>
      <w:bookmarkStart w:id="34" w:name="_Toc228885227"/>
      <w:r w:rsidRPr="00567BF3">
        <w:lastRenderedPageBreak/>
        <w:t>Scoring Rubric for Renewal Applicants</w:t>
      </w:r>
      <w:bookmarkEnd w:id="34"/>
    </w:p>
    <w:p w14:paraId="54A25D3B" w14:textId="77777777" w:rsidR="0032753B" w:rsidRPr="00567BF3" w:rsidRDefault="0032753B" w:rsidP="00567BF3">
      <w:pPr>
        <w:pStyle w:val="PlainText"/>
        <w:spacing w:after="240"/>
        <w:rPr>
          <w:rFonts w:ascii="Arial" w:hAnsi="Arial"/>
          <w:b/>
          <w:bCs/>
          <w:sz w:val="24"/>
          <w:szCs w:val="24"/>
        </w:rPr>
      </w:pPr>
      <w:r w:rsidRPr="00567BF3">
        <w:rPr>
          <w:rFonts w:ascii="Arial" w:hAnsi="Arial"/>
          <w:b/>
          <w:bCs/>
          <w:sz w:val="24"/>
          <w:szCs w:val="24"/>
        </w:rPr>
        <w:t>Holistic Approach: 15 points</w:t>
      </w:r>
    </w:p>
    <w:tbl>
      <w:tblPr>
        <w:tblStyle w:val="TableGrid"/>
        <w:tblW w:w="12739" w:type="dxa"/>
        <w:tblLook w:val="04A0" w:firstRow="1" w:lastRow="0" w:firstColumn="1" w:lastColumn="0" w:noHBand="0" w:noVBand="1"/>
        <w:tblDescription w:val="Holistic Approach"/>
      </w:tblPr>
      <w:tblGrid>
        <w:gridCol w:w="4674"/>
        <w:gridCol w:w="2017"/>
        <w:gridCol w:w="2016"/>
        <w:gridCol w:w="2016"/>
        <w:gridCol w:w="2016"/>
      </w:tblGrid>
      <w:tr w:rsidR="0032753B" w:rsidRPr="00567BF3" w14:paraId="25027FCC" w14:textId="77777777" w:rsidTr="00A56DFF">
        <w:trPr>
          <w:cantSplit/>
          <w:tblHeader/>
        </w:trPr>
        <w:tc>
          <w:tcPr>
            <w:tcW w:w="4675" w:type="dxa"/>
            <w:shd w:val="clear" w:color="auto" w:fill="D1D1D1" w:themeFill="background2" w:themeFillShade="E6"/>
            <w:vAlign w:val="center"/>
          </w:tcPr>
          <w:p w14:paraId="73DF9013"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Question</w:t>
            </w:r>
          </w:p>
        </w:tc>
        <w:tc>
          <w:tcPr>
            <w:tcW w:w="2016" w:type="dxa"/>
            <w:shd w:val="clear" w:color="auto" w:fill="D1D1D1" w:themeFill="background2" w:themeFillShade="E6"/>
            <w:vAlign w:val="center"/>
          </w:tcPr>
          <w:p w14:paraId="62A71B77"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Comprehensive Evidence</w:t>
            </w:r>
            <w:r w:rsidRPr="00567BF3">
              <w:rPr>
                <w:rFonts w:ascii="Arial" w:hAnsi="Arial"/>
                <w:b/>
                <w:bCs/>
                <w:sz w:val="24"/>
                <w:szCs w:val="24"/>
              </w:rPr>
              <w:br/>
              <w:t>(5 Points)</w:t>
            </w:r>
          </w:p>
        </w:tc>
        <w:tc>
          <w:tcPr>
            <w:tcW w:w="2016" w:type="dxa"/>
            <w:shd w:val="clear" w:color="auto" w:fill="D1D1D1" w:themeFill="background2" w:themeFillShade="E6"/>
            <w:vAlign w:val="center"/>
          </w:tcPr>
          <w:p w14:paraId="3FD59A18"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Strong Evidence</w:t>
            </w:r>
          </w:p>
          <w:p w14:paraId="008559D9"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(4–3 Points)</w:t>
            </w:r>
          </w:p>
        </w:tc>
        <w:tc>
          <w:tcPr>
            <w:tcW w:w="2016" w:type="dxa"/>
            <w:shd w:val="clear" w:color="auto" w:fill="D1D1D1" w:themeFill="background2" w:themeFillShade="E6"/>
            <w:vAlign w:val="center"/>
          </w:tcPr>
          <w:p w14:paraId="16D4861E"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Adequate Evidence</w:t>
            </w:r>
          </w:p>
          <w:p w14:paraId="7229EDC9"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sz w:val="24"/>
                <w:szCs w:val="24"/>
              </w:rPr>
              <w:t>(2–1 Points)</w:t>
            </w:r>
          </w:p>
        </w:tc>
        <w:tc>
          <w:tcPr>
            <w:tcW w:w="2016" w:type="dxa"/>
            <w:shd w:val="clear" w:color="auto" w:fill="D1D1D1" w:themeFill="background2" w:themeFillShade="E6"/>
            <w:vAlign w:val="center"/>
          </w:tcPr>
          <w:p w14:paraId="4D9428E6" w14:textId="77777777" w:rsidR="0032753B" w:rsidRPr="00567BF3" w:rsidRDefault="0032753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Minimal</w:t>
            </w:r>
          </w:p>
          <w:p w14:paraId="47F1DEF0" w14:textId="77777777" w:rsidR="0032753B" w:rsidRPr="00567BF3" w:rsidRDefault="0032753B" w:rsidP="00567BF3">
            <w:pPr>
              <w:pStyle w:val="PlainText"/>
              <w:spacing w:before="60" w:after="60"/>
              <w:jc w:val="center"/>
              <w:rPr>
                <w:rFonts w:ascii="Arial" w:hAnsi="Arial"/>
                <w:b/>
                <w:bCs/>
                <w:sz w:val="24"/>
                <w:szCs w:val="24"/>
              </w:rPr>
            </w:pPr>
            <w:r w:rsidRPr="00567BF3">
              <w:rPr>
                <w:rStyle w:val="None"/>
                <w:rFonts w:ascii="Arial" w:hAnsi="Arial"/>
                <w:b/>
                <w:bCs/>
                <w:sz w:val="24"/>
                <w:szCs w:val="24"/>
              </w:rPr>
              <w:t>(0 points)</w:t>
            </w:r>
          </w:p>
        </w:tc>
      </w:tr>
      <w:tr w:rsidR="0032753B" w:rsidRPr="00567BF3" w14:paraId="7B838A25" w14:textId="77777777" w:rsidTr="00A56DFF">
        <w:trPr>
          <w:cantSplit/>
        </w:trPr>
        <w:tc>
          <w:tcPr>
            <w:tcW w:w="4675" w:type="dxa"/>
            <w:vAlign w:val="center"/>
          </w:tcPr>
          <w:p w14:paraId="6BED6A15" w14:textId="77777777" w:rsidR="0032753B" w:rsidRPr="00567BF3" w:rsidRDefault="0032753B" w:rsidP="00567BF3">
            <w:pPr>
              <w:pStyle w:val="PlainText"/>
              <w:spacing w:before="60" w:after="60"/>
              <w:rPr>
                <w:rFonts w:ascii="Arial" w:hAnsi="Arial"/>
                <w:b/>
                <w:bCs/>
                <w:sz w:val="24"/>
                <w:szCs w:val="24"/>
              </w:rPr>
            </w:pPr>
            <w:r w:rsidRPr="00567BF3">
              <w:rPr>
                <w:rFonts w:ascii="Arial" w:hAnsi="Arial"/>
                <w:b/>
                <w:bCs/>
                <w:color w:val="000000"/>
                <w:sz w:val="24"/>
                <w:szCs w:val="24"/>
              </w:rPr>
              <w:t>Employer Involvement:</w:t>
            </w:r>
            <w:r w:rsidRPr="00567BF3">
              <w:rPr>
                <w:rFonts w:ascii="Arial" w:hAnsi="Arial"/>
                <w:color w:val="000000"/>
                <w:sz w:val="24"/>
                <w:szCs w:val="24"/>
              </w:rPr>
              <w:t xml:space="preserve"> How does your applicant demonstrate involvement of employers in your CTE programs and career pathways?</w:t>
            </w:r>
          </w:p>
        </w:tc>
        <w:tc>
          <w:tcPr>
            <w:tcW w:w="2016" w:type="dxa"/>
            <w:vAlign w:val="center"/>
          </w:tcPr>
          <w:p w14:paraId="0E0B9195"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employer involvement.</w:t>
            </w:r>
          </w:p>
        </w:tc>
        <w:tc>
          <w:tcPr>
            <w:tcW w:w="2016" w:type="dxa"/>
            <w:vAlign w:val="center"/>
          </w:tcPr>
          <w:p w14:paraId="6CDCAE9C"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employer involvement.</w:t>
            </w:r>
          </w:p>
        </w:tc>
        <w:tc>
          <w:tcPr>
            <w:tcW w:w="2016" w:type="dxa"/>
            <w:vAlign w:val="center"/>
          </w:tcPr>
          <w:p w14:paraId="69237A53"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employer involvement.</w:t>
            </w:r>
          </w:p>
        </w:tc>
        <w:tc>
          <w:tcPr>
            <w:tcW w:w="2016" w:type="dxa"/>
            <w:vAlign w:val="center"/>
          </w:tcPr>
          <w:p w14:paraId="1118B279" w14:textId="77777777" w:rsidR="0032753B" w:rsidRPr="00567BF3" w:rsidRDefault="0032753B"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employer involvement. </w:t>
            </w:r>
          </w:p>
        </w:tc>
      </w:tr>
      <w:tr w:rsidR="0032753B" w:rsidRPr="00567BF3" w14:paraId="37E7428D" w14:textId="77777777" w:rsidTr="00A56DFF">
        <w:trPr>
          <w:cantSplit/>
        </w:trPr>
        <w:tc>
          <w:tcPr>
            <w:tcW w:w="4675" w:type="dxa"/>
            <w:vAlign w:val="center"/>
          </w:tcPr>
          <w:p w14:paraId="0057A482"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color w:val="000000"/>
                <w:sz w:val="24"/>
                <w:szCs w:val="24"/>
              </w:rPr>
              <w:t>Wraparound Services:</w:t>
            </w:r>
            <w:r w:rsidRPr="00567BF3">
              <w:rPr>
                <w:rFonts w:ascii="Arial" w:hAnsi="Arial"/>
                <w:color w:val="000000"/>
                <w:sz w:val="24"/>
                <w:szCs w:val="24"/>
              </w:rPr>
              <w:t xml:space="preserve"> How does your applicant provide wraparound services for students to support their participation in CTE programs and career pathways?</w:t>
            </w:r>
          </w:p>
        </w:tc>
        <w:tc>
          <w:tcPr>
            <w:tcW w:w="2016" w:type="dxa"/>
            <w:vAlign w:val="center"/>
          </w:tcPr>
          <w:p w14:paraId="3D4EB477"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wraparound services.</w:t>
            </w:r>
          </w:p>
        </w:tc>
        <w:tc>
          <w:tcPr>
            <w:tcW w:w="2016" w:type="dxa"/>
            <w:vAlign w:val="center"/>
          </w:tcPr>
          <w:p w14:paraId="0F6E1DA4"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wraparound services.</w:t>
            </w:r>
          </w:p>
        </w:tc>
        <w:tc>
          <w:tcPr>
            <w:tcW w:w="2016" w:type="dxa"/>
            <w:vAlign w:val="center"/>
          </w:tcPr>
          <w:p w14:paraId="0E73C75E"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wraparound services.</w:t>
            </w:r>
          </w:p>
        </w:tc>
        <w:tc>
          <w:tcPr>
            <w:tcW w:w="2016" w:type="dxa"/>
          </w:tcPr>
          <w:p w14:paraId="0AB409C3" w14:textId="77777777" w:rsidR="0032753B" w:rsidRPr="00567BF3" w:rsidRDefault="0032753B"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w:t>
            </w:r>
            <w:r w:rsidRPr="00567BF3">
              <w:rPr>
                <w:rFonts w:ascii="Arial" w:hAnsi="Arial"/>
                <w:color w:val="000000"/>
                <w:sz w:val="24"/>
                <w:szCs w:val="24"/>
              </w:rPr>
              <w:t>wraparound services.</w:t>
            </w:r>
          </w:p>
        </w:tc>
      </w:tr>
      <w:tr w:rsidR="0032753B" w:rsidRPr="00567BF3" w14:paraId="39352C8D" w14:textId="77777777" w:rsidTr="00A56DFF">
        <w:trPr>
          <w:cantSplit/>
        </w:trPr>
        <w:tc>
          <w:tcPr>
            <w:tcW w:w="4675" w:type="dxa"/>
            <w:vAlign w:val="center"/>
          </w:tcPr>
          <w:p w14:paraId="3DF0E45A"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color w:val="000000"/>
                <w:sz w:val="24"/>
                <w:szCs w:val="24"/>
              </w:rPr>
              <w:t>Labor Market Demand Alignment and Grant Impact:</w:t>
            </w:r>
            <w:r w:rsidRPr="00567BF3">
              <w:rPr>
                <w:rFonts w:ascii="Arial" w:hAnsi="Arial"/>
                <w:color w:val="000000"/>
                <w:sz w:val="24"/>
                <w:szCs w:val="24"/>
              </w:rPr>
              <w:t xml:space="preserve"> How do your proposed programs and services align with current or projected labor market demand within your region, and how will CTEIG funding provide CTE and career pathway programs and services?</w:t>
            </w:r>
          </w:p>
        </w:tc>
        <w:tc>
          <w:tcPr>
            <w:tcW w:w="2016" w:type="dxa"/>
            <w:vAlign w:val="center"/>
          </w:tcPr>
          <w:p w14:paraId="5D753553"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shows comprehensive evidence of labor market alignment and grant impact.</w:t>
            </w:r>
          </w:p>
        </w:tc>
        <w:tc>
          <w:tcPr>
            <w:tcW w:w="2016" w:type="dxa"/>
            <w:vAlign w:val="center"/>
          </w:tcPr>
          <w:p w14:paraId="748B88D1"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strong evidence of labor market alignment and grant impact.</w:t>
            </w:r>
          </w:p>
        </w:tc>
        <w:tc>
          <w:tcPr>
            <w:tcW w:w="2016" w:type="dxa"/>
            <w:vAlign w:val="center"/>
          </w:tcPr>
          <w:p w14:paraId="280CA7B3"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adequate evidence of labor market alignment and grant impact.</w:t>
            </w:r>
          </w:p>
        </w:tc>
        <w:tc>
          <w:tcPr>
            <w:tcW w:w="2016" w:type="dxa"/>
          </w:tcPr>
          <w:p w14:paraId="088A358E" w14:textId="77777777" w:rsidR="0032753B" w:rsidRPr="00567BF3" w:rsidRDefault="0032753B" w:rsidP="00567BF3">
            <w:pPr>
              <w:pStyle w:val="PlainText"/>
              <w:spacing w:before="60" w:after="60"/>
              <w:rPr>
                <w:rFonts w:ascii="Arial" w:hAnsi="Arial"/>
                <w:color w:val="000000"/>
                <w:sz w:val="24"/>
                <w:szCs w:val="24"/>
              </w:rPr>
            </w:pPr>
            <w:r w:rsidRPr="00567BF3">
              <w:rPr>
                <w:rFonts w:ascii="Arial" w:hAnsi="Arial"/>
                <w:sz w:val="24"/>
                <w:szCs w:val="24"/>
              </w:rPr>
              <w:t xml:space="preserve">LEA does not show evidence of </w:t>
            </w:r>
            <w:r w:rsidRPr="00567BF3">
              <w:rPr>
                <w:rFonts w:ascii="Arial" w:hAnsi="Arial"/>
                <w:color w:val="000000"/>
                <w:sz w:val="24"/>
                <w:szCs w:val="24"/>
              </w:rPr>
              <w:t>labor market alignment and grant impact.</w:t>
            </w:r>
          </w:p>
        </w:tc>
      </w:tr>
    </w:tbl>
    <w:p w14:paraId="47FAFE41" w14:textId="77777777" w:rsidR="0032753B" w:rsidRPr="00567BF3" w:rsidRDefault="0032753B" w:rsidP="00567BF3">
      <w:pPr>
        <w:pStyle w:val="PlainText"/>
        <w:spacing w:after="120"/>
        <w:rPr>
          <w:rFonts w:ascii="Arial" w:hAnsi="Arial"/>
          <w:sz w:val="24"/>
          <w:szCs w:val="24"/>
        </w:rPr>
      </w:pPr>
      <w:r w:rsidRPr="00567BF3">
        <w:rPr>
          <w:rFonts w:ascii="Arial" w:hAnsi="Arial"/>
          <w:sz w:val="24"/>
          <w:szCs w:val="24"/>
        </w:rPr>
        <w:t>Total Holistic Approach Score: Up to 15 points</w:t>
      </w:r>
    </w:p>
    <w:p w14:paraId="02F8E613" w14:textId="77777777" w:rsidR="0032753B" w:rsidRPr="00567BF3" w:rsidRDefault="0032753B" w:rsidP="00567BF3">
      <w:pPr>
        <w:spacing w:before="0" w:after="160" w:line="278" w:lineRule="auto"/>
      </w:pPr>
      <w:r w:rsidRPr="00567BF3">
        <w:br w:type="page"/>
      </w:r>
    </w:p>
    <w:p w14:paraId="6DE6A261" w14:textId="6F3735A4" w:rsidR="0032753B" w:rsidRPr="00567BF3" w:rsidRDefault="0032753B" w:rsidP="00567BF3">
      <w:pPr>
        <w:pStyle w:val="PlainText"/>
        <w:spacing w:after="240"/>
        <w:rPr>
          <w:rFonts w:ascii="Arial" w:hAnsi="Arial"/>
          <w:b/>
          <w:bCs/>
          <w:sz w:val="24"/>
          <w:szCs w:val="24"/>
        </w:rPr>
      </w:pPr>
      <w:r w:rsidRPr="00567BF3">
        <w:rPr>
          <w:rFonts w:ascii="Arial" w:hAnsi="Arial"/>
          <w:b/>
          <w:bCs/>
          <w:sz w:val="24"/>
          <w:szCs w:val="24"/>
        </w:rPr>
        <w:lastRenderedPageBreak/>
        <w:t xml:space="preserve">Minimum Eligibility Standards: </w:t>
      </w:r>
      <w:r w:rsidR="00302104" w:rsidRPr="00567BF3">
        <w:rPr>
          <w:rFonts w:ascii="Arial" w:hAnsi="Arial"/>
          <w:b/>
          <w:bCs/>
          <w:sz w:val="24"/>
          <w:szCs w:val="24"/>
        </w:rPr>
        <w:t>35</w:t>
      </w:r>
      <w:r w:rsidRPr="00567BF3">
        <w:rPr>
          <w:rFonts w:ascii="Arial" w:hAnsi="Arial"/>
          <w:b/>
          <w:bCs/>
          <w:sz w:val="24"/>
          <w:szCs w:val="24"/>
        </w:rPr>
        <w:t xml:space="preserve"> points possible</w:t>
      </w:r>
    </w:p>
    <w:tbl>
      <w:tblPr>
        <w:tblStyle w:val="TableGrid"/>
        <w:tblW w:w="13590" w:type="dxa"/>
        <w:tblInd w:w="-275" w:type="dxa"/>
        <w:tblLayout w:type="fixed"/>
        <w:tblLook w:val="04A0" w:firstRow="1" w:lastRow="0" w:firstColumn="1" w:lastColumn="0" w:noHBand="0" w:noVBand="1"/>
        <w:tblDescription w:val="Minimum Eligibility Standards"/>
      </w:tblPr>
      <w:tblGrid>
        <w:gridCol w:w="4950"/>
        <w:gridCol w:w="2160"/>
        <w:gridCol w:w="2160"/>
        <w:gridCol w:w="2160"/>
        <w:gridCol w:w="2160"/>
      </w:tblGrid>
      <w:tr w:rsidR="0032753B" w:rsidRPr="00567BF3" w14:paraId="26080D90" w14:textId="77777777" w:rsidTr="00A56DFF">
        <w:trPr>
          <w:cantSplit/>
          <w:tblHeader/>
        </w:trPr>
        <w:tc>
          <w:tcPr>
            <w:tcW w:w="4950" w:type="dxa"/>
            <w:shd w:val="clear" w:color="auto" w:fill="D1D1D1" w:themeFill="background2" w:themeFillShade="E6"/>
            <w:vAlign w:val="center"/>
          </w:tcPr>
          <w:p w14:paraId="43F04D30" w14:textId="77777777" w:rsidR="0032753B" w:rsidRPr="00567BF3" w:rsidRDefault="0032753B" w:rsidP="00567BF3">
            <w:pPr>
              <w:pStyle w:val="PlainText"/>
              <w:spacing w:before="60" w:after="60"/>
              <w:jc w:val="center"/>
              <w:rPr>
                <w:rFonts w:ascii="Arial" w:hAnsi="Arial"/>
                <w:b/>
                <w:bCs/>
                <w:sz w:val="24"/>
                <w:szCs w:val="24"/>
              </w:rPr>
            </w:pPr>
            <w:r w:rsidRPr="00567BF3">
              <w:rPr>
                <w:rStyle w:val="None"/>
                <w:rFonts w:ascii="Arial" w:hAnsi="Arial"/>
                <w:b/>
                <w:bCs/>
                <w:sz w:val="24"/>
                <w:szCs w:val="24"/>
              </w:rPr>
              <w:t>Question</w:t>
            </w:r>
          </w:p>
        </w:tc>
        <w:tc>
          <w:tcPr>
            <w:tcW w:w="2160" w:type="dxa"/>
            <w:shd w:val="clear" w:color="auto" w:fill="D1D1D1" w:themeFill="background2" w:themeFillShade="E6"/>
            <w:vAlign w:val="center"/>
          </w:tcPr>
          <w:p w14:paraId="74CDFE48" w14:textId="77777777" w:rsidR="0032753B" w:rsidRPr="00567BF3" w:rsidRDefault="0032753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Comprehensive</w:t>
            </w:r>
          </w:p>
          <w:p w14:paraId="1DA0F3D0" w14:textId="77777777" w:rsidR="0032753B" w:rsidRPr="00567BF3" w:rsidRDefault="0032753B" w:rsidP="00567BF3">
            <w:pPr>
              <w:pStyle w:val="PlainText"/>
              <w:spacing w:before="0" w:after="60"/>
              <w:jc w:val="center"/>
              <w:rPr>
                <w:rFonts w:ascii="Arial" w:hAnsi="Arial"/>
                <w:b/>
                <w:bCs/>
                <w:sz w:val="24"/>
                <w:szCs w:val="24"/>
              </w:rPr>
            </w:pPr>
            <w:r w:rsidRPr="00567BF3">
              <w:rPr>
                <w:rStyle w:val="None"/>
                <w:rFonts w:ascii="Arial" w:hAnsi="Arial"/>
                <w:b/>
                <w:bCs/>
                <w:sz w:val="24"/>
                <w:szCs w:val="24"/>
              </w:rPr>
              <w:t>(5 points)</w:t>
            </w:r>
          </w:p>
        </w:tc>
        <w:tc>
          <w:tcPr>
            <w:tcW w:w="2160" w:type="dxa"/>
            <w:shd w:val="clear" w:color="auto" w:fill="D1D1D1" w:themeFill="background2" w:themeFillShade="E6"/>
            <w:vAlign w:val="center"/>
          </w:tcPr>
          <w:p w14:paraId="42B63C84" w14:textId="77777777" w:rsidR="0032753B" w:rsidRPr="00567BF3" w:rsidRDefault="0032753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Strong</w:t>
            </w:r>
          </w:p>
          <w:p w14:paraId="643C7881" w14:textId="77777777" w:rsidR="0032753B" w:rsidRPr="00567BF3" w:rsidRDefault="0032753B" w:rsidP="00567BF3">
            <w:pPr>
              <w:pStyle w:val="PlainText"/>
              <w:spacing w:before="0" w:after="60"/>
              <w:jc w:val="center"/>
              <w:rPr>
                <w:rFonts w:ascii="Arial" w:hAnsi="Arial"/>
                <w:b/>
                <w:bCs/>
                <w:sz w:val="24"/>
                <w:szCs w:val="24"/>
              </w:rPr>
            </w:pPr>
            <w:r w:rsidRPr="00567BF3">
              <w:rPr>
                <w:rStyle w:val="None"/>
                <w:rFonts w:ascii="Arial" w:hAnsi="Arial"/>
                <w:b/>
                <w:bCs/>
                <w:sz w:val="24"/>
                <w:szCs w:val="24"/>
              </w:rPr>
              <w:t>(4–3 points)</w:t>
            </w:r>
          </w:p>
        </w:tc>
        <w:tc>
          <w:tcPr>
            <w:tcW w:w="2160" w:type="dxa"/>
            <w:shd w:val="clear" w:color="auto" w:fill="D1D1D1" w:themeFill="background2" w:themeFillShade="E6"/>
            <w:vAlign w:val="center"/>
          </w:tcPr>
          <w:p w14:paraId="7EE7E3EC" w14:textId="77777777" w:rsidR="0032753B" w:rsidRPr="00567BF3" w:rsidRDefault="0032753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Adequate</w:t>
            </w:r>
          </w:p>
          <w:p w14:paraId="211FC6A1" w14:textId="77777777" w:rsidR="0032753B" w:rsidRPr="00567BF3" w:rsidRDefault="0032753B" w:rsidP="00567BF3">
            <w:pPr>
              <w:pStyle w:val="PlainText"/>
              <w:spacing w:before="0" w:after="60"/>
              <w:jc w:val="center"/>
              <w:rPr>
                <w:rFonts w:ascii="Arial" w:hAnsi="Arial"/>
                <w:b/>
                <w:bCs/>
                <w:sz w:val="24"/>
                <w:szCs w:val="24"/>
              </w:rPr>
            </w:pPr>
            <w:r w:rsidRPr="00567BF3">
              <w:rPr>
                <w:rStyle w:val="None"/>
                <w:rFonts w:ascii="Arial" w:hAnsi="Arial"/>
                <w:b/>
                <w:bCs/>
                <w:sz w:val="24"/>
                <w:szCs w:val="24"/>
              </w:rPr>
              <w:t>(2–1 points)</w:t>
            </w:r>
          </w:p>
        </w:tc>
        <w:tc>
          <w:tcPr>
            <w:tcW w:w="2160" w:type="dxa"/>
            <w:shd w:val="clear" w:color="auto" w:fill="D1D1D1" w:themeFill="background2" w:themeFillShade="E6"/>
            <w:vAlign w:val="center"/>
          </w:tcPr>
          <w:p w14:paraId="5B13C58F" w14:textId="77777777" w:rsidR="0032753B" w:rsidRPr="00567BF3" w:rsidRDefault="0032753B" w:rsidP="00567BF3">
            <w:pPr>
              <w:pStyle w:val="PlainText"/>
              <w:spacing w:before="60"/>
              <w:jc w:val="center"/>
              <w:rPr>
                <w:rStyle w:val="None"/>
                <w:rFonts w:ascii="Arial" w:hAnsi="Arial"/>
                <w:b/>
                <w:bCs/>
                <w:sz w:val="24"/>
                <w:szCs w:val="24"/>
              </w:rPr>
            </w:pPr>
            <w:r w:rsidRPr="00567BF3">
              <w:rPr>
                <w:rStyle w:val="None"/>
                <w:rFonts w:ascii="Arial" w:hAnsi="Arial"/>
                <w:b/>
                <w:bCs/>
                <w:sz w:val="24"/>
                <w:szCs w:val="24"/>
              </w:rPr>
              <w:t>Minimal</w:t>
            </w:r>
          </w:p>
          <w:p w14:paraId="208EEC32" w14:textId="77777777" w:rsidR="0032753B" w:rsidRPr="00567BF3" w:rsidRDefault="0032753B" w:rsidP="00567BF3">
            <w:pPr>
              <w:pStyle w:val="PlainText"/>
              <w:spacing w:before="0" w:after="60"/>
              <w:jc w:val="center"/>
              <w:rPr>
                <w:rStyle w:val="None"/>
                <w:rFonts w:ascii="Arial" w:hAnsi="Arial"/>
                <w:b/>
                <w:bCs/>
                <w:sz w:val="24"/>
                <w:szCs w:val="24"/>
              </w:rPr>
            </w:pPr>
            <w:r w:rsidRPr="00567BF3">
              <w:rPr>
                <w:rStyle w:val="None"/>
                <w:rFonts w:ascii="Arial" w:hAnsi="Arial"/>
                <w:b/>
                <w:bCs/>
                <w:sz w:val="24"/>
                <w:szCs w:val="24"/>
              </w:rPr>
              <w:t>(0 points)</w:t>
            </w:r>
          </w:p>
        </w:tc>
      </w:tr>
      <w:tr w:rsidR="0032753B" w:rsidRPr="00567BF3" w14:paraId="4A6A3F0F" w14:textId="77777777" w:rsidTr="00A56DFF">
        <w:trPr>
          <w:cantSplit/>
        </w:trPr>
        <w:tc>
          <w:tcPr>
            <w:tcW w:w="4950" w:type="dxa"/>
            <w:vAlign w:val="center"/>
          </w:tcPr>
          <w:p w14:paraId="1DFD0729"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t xml:space="preserve">Standard 1: High-Quality Curriculum and Instruction: </w:t>
            </w:r>
            <w:r w:rsidRPr="00567BF3">
              <w:rPr>
                <w:rFonts w:ascii="Arial" w:hAnsi="Arial"/>
                <w:sz w:val="24"/>
                <w:szCs w:val="24"/>
              </w:rPr>
              <w:t>Describe your high-quality curriculum and instruction aligned with California CTE MCS. Explain how your programs provide a coherent sequence of CTE courses that enable students to transition to employment or postsecondary education. As applicable, address how your programs either (A) integrate academic and CTE instruction and offer Advanced Placement, International Baccalaureate, or dual enrollment opportunities, or (B) allow students to attain employment upon graduation including through industry certifications, preapprenticeships, or apprenticeships.</w:t>
            </w:r>
          </w:p>
        </w:tc>
        <w:tc>
          <w:tcPr>
            <w:tcW w:w="2160" w:type="dxa"/>
            <w:vAlign w:val="center"/>
          </w:tcPr>
          <w:p w14:paraId="0F086C11"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offering high-quality curriculum and instruction</w:t>
            </w:r>
          </w:p>
        </w:tc>
        <w:tc>
          <w:tcPr>
            <w:tcW w:w="2160" w:type="dxa"/>
            <w:vAlign w:val="center"/>
          </w:tcPr>
          <w:p w14:paraId="5126762E"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offering high-quality curriculum and instruction</w:t>
            </w:r>
          </w:p>
        </w:tc>
        <w:tc>
          <w:tcPr>
            <w:tcW w:w="2160" w:type="dxa"/>
            <w:vAlign w:val="center"/>
          </w:tcPr>
          <w:p w14:paraId="4B90B0C8"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offering high-quality curriculum and instruction</w:t>
            </w:r>
          </w:p>
        </w:tc>
        <w:tc>
          <w:tcPr>
            <w:tcW w:w="2160" w:type="dxa"/>
            <w:vAlign w:val="center"/>
          </w:tcPr>
          <w:p w14:paraId="08DABBFB"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offering high-quality curriculum and instruction</w:t>
            </w:r>
          </w:p>
        </w:tc>
      </w:tr>
      <w:tr w:rsidR="0032753B" w:rsidRPr="00567BF3" w14:paraId="2A138E84" w14:textId="77777777" w:rsidTr="00A56DFF">
        <w:trPr>
          <w:cantSplit/>
        </w:trPr>
        <w:tc>
          <w:tcPr>
            <w:tcW w:w="4950" w:type="dxa"/>
            <w:vAlign w:val="center"/>
          </w:tcPr>
          <w:p w14:paraId="69020919"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t xml:space="preserve">Standard 2: Career Exploration, Guidance, and Work-Based Learning (WBL): </w:t>
            </w:r>
            <w:r w:rsidRPr="00567BF3">
              <w:rPr>
                <w:rFonts w:ascii="Arial" w:hAnsi="Arial"/>
                <w:sz w:val="24"/>
                <w:szCs w:val="24"/>
              </w:rPr>
              <w:t>Describe how your programs provide students with quality career exploration, guidance, and a continuum of WBL opportunities aligned with academic coursework. Include information about paid internships and service learning opportunities, as applicable.</w:t>
            </w:r>
          </w:p>
        </w:tc>
        <w:tc>
          <w:tcPr>
            <w:tcW w:w="2160" w:type="dxa"/>
            <w:vAlign w:val="center"/>
          </w:tcPr>
          <w:p w14:paraId="0E23FE71"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career exploration, guidance, and WBL opportunities.</w:t>
            </w:r>
          </w:p>
        </w:tc>
        <w:tc>
          <w:tcPr>
            <w:tcW w:w="2160" w:type="dxa"/>
            <w:vAlign w:val="center"/>
          </w:tcPr>
          <w:p w14:paraId="15E50048"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career exploration, guidance, and WBL opportunities.</w:t>
            </w:r>
          </w:p>
        </w:tc>
        <w:tc>
          <w:tcPr>
            <w:tcW w:w="2160" w:type="dxa"/>
            <w:vAlign w:val="center"/>
          </w:tcPr>
          <w:p w14:paraId="0D488BB9"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career exploration, guidance, and WBL opportunities.</w:t>
            </w:r>
          </w:p>
        </w:tc>
        <w:tc>
          <w:tcPr>
            <w:tcW w:w="2160" w:type="dxa"/>
            <w:vAlign w:val="center"/>
          </w:tcPr>
          <w:p w14:paraId="3324E936"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career exploration, guidance, and WBL opportunities.</w:t>
            </w:r>
          </w:p>
        </w:tc>
      </w:tr>
      <w:tr w:rsidR="0032753B" w:rsidRPr="00567BF3" w14:paraId="49E09A03" w14:textId="77777777" w:rsidTr="00A56DFF">
        <w:trPr>
          <w:cantSplit/>
        </w:trPr>
        <w:tc>
          <w:tcPr>
            <w:tcW w:w="4950" w:type="dxa"/>
            <w:vAlign w:val="center"/>
          </w:tcPr>
          <w:p w14:paraId="3BFC0628"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lastRenderedPageBreak/>
              <w:t xml:space="preserve">Standard 4: System Alignment, Coherence, and Articulation: </w:t>
            </w:r>
            <w:r w:rsidRPr="00567BF3">
              <w:rPr>
                <w:rFonts w:ascii="Arial" w:hAnsi="Arial"/>
                <w:sz w:val="24"/>
                <w:szCs w:val="24"/>
              </w:rPr>
              <w:t>Describe how your programs provide system alignment, coherence, and articulation through ongoing and structural regional or local partnerships with postsecondary institutions. Include information about formal written agreements for dual enrollment and partnerships to establish new or expand existing career pathways. As applicable, address focus areas including green technology, health care, information technology, education, and artificial intelligence.</w:t>
            </w:r>
          </w:p>
        </w:tc>
        <w:tc>
          <w:tcPr>
            <w:tcW w:w="2160" w:type="dxa"/>
            <w:vAlign w:val="center"/>
          </w:tcPr>
          <w:p w14:paraId="4E84F570"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system alignment, coherence, and articulation.</w:t>
            </w:r>
          </w:p>
        </w:tc>
        <w:tc>
          <w:tcPr>
            <w:tcW w:w="2160" w:type="dxa"/>
            <w:vAlign w:val="center"/>
          </w:tcPr>
          <w:p w14:paraId="5DC89969"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system alignment, coherence, and articulation.</w:t>
            </w:r>
          </w:p>
        </w:tc>
        <w:tc>
          <w:tcPr>
            <w:tcW w:w="2160" w:type="dxa"/>
            <w:vAlign w:val="center"/>
          </w:tcPr>
          <w:p w14:paraId="73B2352C" w14:textId="77777777" w:rsidR="0032753B" w:rsidRPr="00567BF3" w:rsidRDefault="0032753B" w:rsidP="00567BF3">
            <w:pPr>
              <w:pStyle w:val="PlainText"/>
              <w:spacing w:before="60" w:after="60"/>
            </w:pPr>
            <w:r w:rsidRPr="00567BF3">
              <w:rPr>
                <w:rFonts w:ascii="Arial" w:hAnsi="Arial"/>
                <w:sz w:val="24"/>
                <w:szCs w:val="24"/>
              </w:rPr>
              <w:t>LEA provides adequate evidence of system alignment, coherence, and articulation.</w:t>
            </w:r>
          </w:p>
        </w:tc>
        <w:tc>
          <w:tcPr>
            <w:tcW w:w="2160" w:type="dxa"/>
            <w:vAlign w:val="center"/>
          </w:tcPr>
          <w:p w14:paraId="16AEC5A2"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system alignment, coherence, and articulation.</w:t>
            </w:r>
          </w:p>
        </w:tc>
      </w:tr>
      <w:tr w:rsidR="0032753B" w:rsidRPr="00567BF3" w14:paraId="627C0D2F" w14:textId="77777777" w:rsidTr="00A56DFF">
        <w:trPr>
          <w:cantSplit/>
        </w:trPr>
        <w:tc>
          <w:tcPr>
            <w:tcW w:w="4950" w:type="dxa"/>
            <w:vAlign w:val="center"/>
          </w:tcPr>
          <w:p w14:paraId="48814DD7"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t xml:space="preserve">Standard 5: Labor and Business Collaboration: </w:t>
            </w:r>
            <w:r w:rsidRPr="00567BF3">
              <w:rPr>
                <w:rFonts w:ascii="Arial" w:hAnsi="Arial"/>
                <w:sz w:val="24"/>
                <w:szCs w:val="24"/>
              </w:rPr>
              <w:t>Describe how your programs collaborate with labor and business entities for purposes of student placement in apprenticeships, preapprenticeships, dual enrollment opportunities, earn and learn opportunities, service learning, and work-based learning opportunities.</w:t>
            </w:r>
          </w:p>
        </w:tc>
        <w:tc>
          <w:tcPr>
            <w:tcW w:w="2160" w:type="dxa"/>
            <w:vAlign w:val="center"/>
          </w:tcPr>
          <w:p w14:paraId="23940866"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labor and business collaboration.</w:t>
            </w:r>
          </w:p>
        </w:tc>
        <w:tc>
          <w:tcPr>
            <w:tcW w:w="2160" w:type="dxa"/>
            <w:vAlign w:val="center"/>
          </w:tcPr>
          <w:p w14:paraId="0112FBFD"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labor and business collaboration.</w:t>
            </w:r>
          </w:p>
        </w:tc>
        <w:tc>
          <w:tcPr>
            <w:tcW w:w="2160" w:type="dxa"/>
            <w:vAlign w:val="center"/>
          </w:tcPr>
          <w:p w14:paraId="5059BE99"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labor and business collaboration.</w:t>
            </w:r>
          </w:p>
        </w:tc>
        <w:tc>
          <w:tcPr>
            <w:tcW w:w="2160" w:type="dxa"/>
            <w:vAlign w:val="center"/>
          </w:tcPr>
          <w:p w14:paraId="1DF1DB70"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labor and business collaboration.</w:t>
            </w:r>
          </w:p>
        </w:tc>
      </w:tr>
      <w:tr w:rsidR="0032753B" w:rsidRPr="00567BF3" w14:paraId="2FB4F6E4" w14:textId="77777777" w:rsidTr="00A56DFF">
        <w:trPr>
          <w:cantSplit/>
        </w:trPr>
        <w:tc>
          <w:tcPr>
            <w:tcW w:w="4950" w:type="dxa"/>
            <w:vAlign w:val="center"/>
          </w:tcPr>
          <w:p w14:paraId="6F364AC6"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lastRenderedPageBreak/>
              <w:t xml:space="preserve">Standard 7: Alignment with Workforce Needs and Labor Market Demand: </w:t>
            </w:r>
            <w:r w:rsidRPr="00567BF3">
              <w:rPr>
                <w:rFonts w:ascii="Arial" w:hAnsi="Arial"/>
                <w:sz w:val="24"/>
                <w:szCs w:val="24"/>
              </w:rPr>
              <w:t>Describe how your CTE programs and career pathways are aligned with workforce needs and labor market demand. Explain how your programs are informed by local, regional, or statewide economic and workforce development plans, Strong Workforce Program consortia plans, other relevant labor market information, and employer engagement.</w:t>
            </w:r>
          </w:p>
        </w:tc>
        <w:tc>
          <w:tcPr>
            <w:tcW w:w="2160" w:type="dxa"/>
            <w:vAlign w:val="center"/>
          </w:tcPr>
          <w:p w14:paraId="10DF7662"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alignment with workforce needs and labor market demand.</w:t>
            </w:r>
          </w:p>
        </w:tc>
        <w:tc>
          <w:tcPr>
            <w:tcW w:w="2160" w:type="dxa"/>
            <w:vAlign w:val="center"/>
          </w:tcPr>
          <w:p w14:paraId="67CD492B"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alignment with workforce needs and labor market demand.</w:t>
            </w:r>
          </w:p>
        </w:tc>
        <w:tc>
          <w:tcPr>
            <w:tcW w:w="2160" w:type="dxa"/>
            <w:vAlign w:val="center"/>
          </w:tcPr>
          <w:p w14:paraId="497CDFF8"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alignment with workforce needs and labor market demand.</w:t>
            </w:r>
          </w:p>
        </w:tc>
        <w:tc>
          <w:tcPr>
            <w:tcW w:w="2160" w:type="dxa"/>
            <w:vAlign w:val="center"/>
          </w:tcPr>
          <w:p w14:paraId="56A915C4"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alignment with workforce needs and labor market demand.</w:t>
            </w:r>
          </w:p>
        </w:tc>
      </w:tr>
      <w:tr w:rsidR="0032753B" w:rsidRPr="00567BF3" w14:paraId="29BD79A9" w14:textId="77777777" w:rsidTr="00A56DFF">
        <w:trPr>
          <w:cantSplit/>
        </w:trPr>
        <w:tc>
          <w:tcPr>
            <w:tcW w:w="4950" w:type="dxa"/>
            <w:vAlign w:val="center"/>
          </w:tcPr>
          <w:p w14:paraId="1675D2E7"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t xml:space="preserve">Standard 11: Opportunities for Underrepresented and Underserved Populations: </w:t>
            </w:r>
            <w:r w:rsidRPr="00567BF3">
              <w:rPr>
                <w:rFonts w:ascii="Arial" w:hAnsi="Arial"/>
                <w:sz w:val="24"/>
                <w:szCs w:val="24"/>
              </w:rPr>
              <w:t>Describe how your programs provide opportunities for students from historically underrepresented communities, foster youth, adult learners, people with children, low-income students, English language learners, and other populations that struggle to access CTE and career pathway programs.</w:t>
            </w:r>
          </w:p>
        </w:tc>
        <w:tc>
          <w:tcPr>
            <w:tcW w:w="2160" w:type="dxa"/>
            <w:vAlign w:val="center"/>
          </w:tcPr>
          <w:p w14:paraId="4128983F"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opportunities for underrepresented and underserved populations.</w:t>
            </w:r>
          </w:p>
        </w:tc>
        <w:tc>
          <w:tcPr>
            <w:tcW w:w="2160" w:type="dxa"/>
            <w:vAlign w:val="center"/>
          </w:tcPr>
          <w:p w14:paraId="4D6588CB"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opportunities for underrepresented and underserved populations.</w:t>
            </w:r>
          </w:p>
        </w:tc>
        <w:tc>
          <w:tcPr>
            <w:tcW w:w="2160" w:type="dxa"/>
            <w:vAlign w:val="center"/>
          </w:tcPr>
          <w:p w14:paraId="4B3DC0C4"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opportunities for underrepresented and underserved populations.</w:t>
            </w:r>
          </w:p>
        </w:tc>
        <w:tc>
          <w:tcPr>
            <w:tcW w:w="2160" w:type="dxa"/>
            <w:vAlign w:val="center"/>
          </w:tcPr>
          <w:p w14:paraId="1B19040F"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 xml:space="preserve">LEA does not show evidence of opportunities for underrepresented and underserved populations. </w:t>
            </w:r>
          </w:p>
        </w:tc>
      </w:tr>
      <w:tr w:rsidR="0032753B" w:rsidRPr="00567BF3" w14:paraId="2A574C02" w14:textId="77777777" w:rsidTr="00A56DFF">
        <w:trPr>
          <w:cantSplit/>
        </w:trPr>
        <w:tc>
          <w:tcPr>
            <w:tcW w:w="4950" w:type="dxa"/>
            <w:vAlign w:val="center"/>
          </w:tcPr>
          <w:p w14:paraId="64F10370" w14:textId="77777777" w:rsidR="0032753B" w:rsidRPr="00567BF3" w:rsidRDefault="0032753B" w:rsidP="00567BF3">
            <w:pPr>
              <w:pStyle w:val="PlainText"/>
              <w:spacing w:before="60" w:after="60"/>
              <w:rPr>
                <w:rFonts w:ascii="Arial" w:hAnsi="Arial"/>
                <w:sz w:val="24"/>
                <w:szCs w:val="24"/>
              </w:rPr>
            </w:pPr>
            <w:r w:rsidRPr="00567BF3">
              <w:rPr>
                <w:rFonts w:ascii="Arial" w:hAnsi="Arial"/>
                <w:b/>
                <w:bCs/>
                <w:sz w:val="24"/>
                <w:szCs w:val="24"/>
              </w:rPr>
              <w:t xml:space="preserve">Standard 12: Data Reporting Methods: </w:t>
            </w:r>
            <w:r w:rsidRPr="00567BF3">
              <w:rPr>
                <w:rFonts w:ascii="Arial" w:hAnsi="Arial"/>
                <w:sz w:val="24"/>
                <w:szCs w:val="24"/>
              </w:rPr>
              <w:t xml:space="preserve">Describe your process for annually collecting and reporting the required data in CALPADS per </w:t>
            </w:r>
            <w:r w:rsidRPr="00567BF3">
              <w:rPr>
                <w:rFonts w:ascii="Arial" w:hAnsi="Arial"/>
                <w:i/>
                <w:iCs/>
                <w:sz w:val="24"/>
                <w:szCs w:val="24"/>
              </w:rPr>
              <w:t>EC</w:t>
            </w:r>
            <w:r w:rsidRPr="00567BF3">
              <w:rPr>
                <w:rFonts w:ascii="Arial" w:hAnsi="Arial"/>
                <w:sz w:val="24"/>
                <w:szCs w:val="24"/>
              </w:rPr>
              <w:t xml:space="preserve"> Section 53071(c)(12).</w:t>
            </w:r>
          </w:p>
        </w:tc>
        <w:tc>
          <w:tcPr>
            <w:tcW w:w="2160" w:type="dxa"/>
            <w:vAlign w:val="center"/>
          </w:tcPr>
          <w:p w14:paraId="0D1DBEA0"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shows comprehensive evidence of data reporting methods.</w:t>
            </w:r>
          </w:p>
        </w:tc>
        <w:tc>
          <w:tcPr>
            <w:tcW w:w="2160" w:type="dxa"/>
            <w:vAlign w:val="center"/>
          </w:tcPr>
          <w:p w14:paraId="4926B8EC"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strong evidence of data reporting methods.</w:t>
            </w:r>
          </w:p>
        </w:tc>
        <w:tc>
          <w:tcPr>
            <w:tcW w:w="2160" w:type="dxa"/>
            <w:vAlign w:val="center"/>
          </w:tcPr>
          <w:p w14:paraId="6D91036F"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provides adequate evidence of data reporting methods.</w:t>
            </w:r>
          </w:p>
        </w:tc>
        <w:tc>
          <w:tcPr>
            <w:tcW w:w="2160" w:type="dxa"/>
            <w:vAlign w:val="center"/>
          </w:tcPr>
          <w:p w14:paraId="6F3DA106" w14:textId="77777777" w:rsidR="0032753B" w:rsidRPr="00567BF3" w:rsidRDefault="0032753B" w:rsidP="00567BF3">
            <w:pPr>
              <w:pStyle w:val="PlainText"/>
              <w:spacing w:before="60" w:after="60"/>
              <w:rPr>
                <w:rFonts w:ascii="Arial" w:hAnsi="Arial"/>
                <w:sz w:val="24"/>
                <w:szCs w:val="24"/>
              </w:rPr>
            </w:pPr>
            <w:r w:rsidRPr="00567BF3">
              <w:rPr>
                <w:rFonts w:ascii="Arial" w:hAnsi="Arial"/>
                <w:sz w:val="24"/>
                <w:szCs w:val="24"/>
              </w:rPr>
              <w:t>LEA does not show evidence of data reporting methods.</w:t>
            </w:r>
          </w:p>
        </w:tc>
      </w:tr>
    </w:tbl>
    <w:p w14:paraId="720BA0B2" w14:textId="7CD22BC6" w:rsidR="0032753B" w:rsidRPr="00567BF3" w:rsidRDefault="0032753B" w:rsidP="00567BF3">
      <w:pPr>
        <w:pStyle w:val="PlainText"/>
        <w:spacing w:after="240"/>
        <w:rPr>
          <w:rFonts w:ascii="Arial" w:hAnsi="Arial"/>
          <w:sz w:val="24"/>
          <w:szCs w:val="24"/>
        </w:rPr>
      </w:pPr>
      <w:r w:rsidRPr="00567BF3">
        <w:rPr>
          <w:rFonts w:ascii="Arial" w:hAnsi="Arial"/>
          <w:sz w:val="24"/>
          <w:szCs w:val="24"/>
        </w:rPr>
        <w:t xml:space="preserve">Total Minimum Eligibility Standards: Up to </w:t>
      </w:r>
      <w:r w:rsidR="00302104" w:rsidRPr="00567BF3">
        <w:rPr>
          <w:rFonts w:ascii="Arial" w:hAnsi="Arial"/>
          <w:sz w:val="24"/>
          <w:szCs w:val="24"/>
        </w:rPr>
        <w:t>35</w:t>
      </w:r>
      <w:r w:rsidRPr="00567BF3">
        <w:rPr>
          <w:rFonts w:ascii="Arial" w:hAnsi="Arial"/>
          <w:sz w:val="24"/>
          <w:szCs w:val="24"/>
        </w:rPr>
        <w:t xml:space="preserve"> points</w:t>
      </w:r>
    </w:p>
    <w:p w14:paraId="4320C0CE" w14:textId="77777777" w:rsidR="0032753B" w:rsidRPr="00567BF3" w:rsidRDefault="0032753B" w:rsidP="00567BF3">
      <w:pPr>
        <w:pStyle w:val="PlainText"/>
        <w:spacing w:after="240"/>
        <w:rPr>
          <w:rFonts w:ascii="Arial" w:hAnsi="Arial"/>
          <w:sz w:val="24"/>
          <w:szCs w:val="24"/>
        </w:rPr>
      </w:pPr>
      <w:r w:rsidRPr="00567BF3">
        <w:rPr>
          <w:rFonts w:ascii="Arial" w:hAnsi="Arial"/>
          <w:b/>
          <w:bCs/>
          <w:sz w:val="24"/>
          <w:szCs w:val="24"/>
        </w:rPr>
        <w:lastRenderedPageBreak/>
        <w:t>Budget and Budget Narrative: 20 Points</w:t>
      </w:r>
    </w:p>
    <w:tbl>
      <w:tblPr>
        <w:tblStyle w:val="TableGrid"/>
        <w:tblW w:w="13680" w:type="dxa"/>
        <w:tblLook w:val="04A0" w:firstRow="1" w:lastRow="0" w:firstColumn="1" w:lastColumn="0" w:noHBand="0" w:noVBand="1"/>
        <w:tblDescription w:val="Budget and Budget Narrative"/>
      </w:tblPr>
      <w:tblGrid>
        <w:gridCol w:w="2736"/>
        <w:gridCol w:w="2736"/>
        <w:gridCol w:w="2736"/>
        <w:gridCol w:w="2736"/>
        <w:gridCol w:w="2736"/>
      </w:tblGrid>
      <w:tr w:rsidR="0032753B" w:rsidRPr="00567BF3" w14:paraId="7DCAAADA" w14:textId="77777777" w:rsidTr="00A56DFF">
        <w:trPr>
          <w:cantSplit/>
          <w:tblHeader/>
        </w:trPr>
        <w:tc>
          <w:tcPr>
            <w:tcW w:w="2736" w:type="dxa"/>
            <w:shd w:val="clear" w:color="auto" w:fill="D1D1D1" w:themeFill="background2" w:themeFillShade="E6"/>
            <w:vAlign w:val="center"/>
          </w:tcPr>
          <w:p w14:paraId="5A91674A"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color w:val="000000"/>
                <w:sz w:val="24"/>
                <w:szCs w:val="24"/>
              </w:rPr>
              <w:t>Question</w:t>
            </w:r>
          </w:p>
        </w:tc>
        <w:tc>
          <w:tcPr>
            <w:tcW w:w="2736" w:type="dxa"/>
            <w:shd w:val="clear" w:color="auto" w:fill="D1D1D1" w:themeFill="background2" w:themeFillShade="E6"/>
            <w:vAlign w:val="center"/>
          </w:tcPr>
          <w:p w14:paraId="17347487" w14:textId="77777777" w:rsidR="0032753B" w:rsidRPr="00567BF3" w:rsidRDefault="0032753B"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Comprehensive Budget</w:t>
            </w:r>
          </w:p>
          <w:p w14:paraId="52670F12"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color w:val="000000"/>
                <w:sz w:val="24"/>
                <w:szCs w:val="24"/>
              </w:rPr>
              <w:t>(10 points)</w:t>
            </w:r>
          </w:p>
        </w:tc>
        <w:tc>
          <w:tcPr>
            <w:tcW w:w="2736" w:type="dxa"/>
            <w:shd w:val="clear" w:color="auto" w:fill="D1D1D1" w:themeFill="background2" w:themeFillShade="E6"/>
            <w:vAlign w:val="center"/>
          </w:tcPr>
          <w:p w14:paraId="56BA0FF0" w14:textId="77777777" w:rsidR="0032753B" w:rsidRPr="00567BF3" w:rsidRDefault="0032753B"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Strong Budget</w:t>
            </w:r>
          </w:p>
          <w:p w14:paraId="3B024154"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color w:val="000000"/>
                <w:sz w:val="24"/>
                <w:szCs w:val="24"/>
              </w:rPr>
              <w:t>(9–7 points)</w:t>
            </w:r>
          </w:p>
        </w:tc>
        <w:tc>
          <w:tcPr>
            <w:tcW w:w="2736" w:type="dxa"/>
            <w:shd w:val="clear" w:color="auto" w:fill="D1D1D1" w:themeFill="background2" w:themeFillShade="E6"/>
            <w:vAlign w:val="center"/>
          </w:tcPr>
          <w:p w14:paraId="609116DE" w14:textId="77777777" w:rsidR="0032753B" w:rsidRPr="00567BF3" w:rsidRDefault="0032753B"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Adequate Budget</w:t>
            </w:r>
          </w:p>
          <w:p w14:paraId="39273D4F"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color w:val="000000"/>
                <w:sz w:val="24"/>
                <w:szCs w:val="24"/>
              </w:rPr>
              <w:t>(6–4 points)</w:t>
            </w:r>
          </w:p>
        </w:tc>
        <w:tc>
          <w:tcPr>
            <w:tcW w:w="2736" w:type="dxa"/>
            <w:shd w:val="clear" w:color="auto" w:fill="D1D1D1" w:themeFill="background2" w:themeFillShade="E6"/>
            <w:vAlign w:val="center"/>
          </w:tcPr>
          <w:p w14:paraId="3167C070" w14:textId="77777777" w:rsidR="0032753B" w:rsidRPr="00567BF3" w:rsidRDefault="0032753B" w:rsidP="00567BF3">
            <w:pPr>
              <w:pStyle w:val="PlainText"/>
              <w:spacing w:before="60" w:after="60"/>
              <w:jc w:val="center"/>
              <w:rPr>
                <w:rFonts w:ascii="Arial" w:hAnsi="Arial"/>
                <w:b/>
                <w:bCs/>
                <w:color w:val="000000"/>
                <w:sz w:val="24"/>
                <w:szCs w:val="24"/>
              </w:rPr>
            </w:pPr>
            <w:r w:rsidRPr="00567BF3">
              <w:rPr>
                <w:rFonts w:ascii="Arial" w:hAnsi="Arial"/>
                <w:b/>
                <w:bCs/>
                <w:color w:val="000000"/>
                <w:sz w:val="24"/>
                <w:szCs w:val="24"/>
              </w:rPr>
              <w:t>Minimal Budget</w:t>
            </w:r>
          </w:p>
          <w:p w14:paraId="744E6020" w14:textId="77777777" w:rsidR="0032753B" w:rsidRPr="00567BF3" w:rsidRDefault="0032753B" w:rsidP="00567BF3">
            <w:pPr>
              <w:pStyle w:val="PlainText"/>
              <w:spacing w:before="60" w:after="60"/>
              <w:jc w:val="center"/>
              <w:rPr>
                <w:rFonts w:ascii="Arial" w:hAnsi="Arial"/>
                <w:b/>
                <w:bCs/>
                <w:sz w:val="24"/>
                <w:szCs w:val="24"/>
              </w:rPr>
            </w:pPr>
            <w:r w:rsidRPr="00567BF3">
              <w:rPr>
                <w:rFonts w:ascii="Arial" w:hAnsi="Arial"/>
                <w:b/>
                <w:bCs/>
                <w:color w:val="000000"/>
                <w:sz w:val="24"/>
                <w:szCs w:val="24"/>
              </w:rPr>
              <w:t>(0–3 points)</w:t>
            </w:r>
          </w:p>
        </w:tc>
      </w:tr>
      <w:tr w:rsidR="0032753B" w:rsidRPr="00567BF3" w14:paraId="094A7EE8" w14:textId="77777777" w:rsidTr="00A56DFF">
        <w:trPr>
          <w:cantSplit/>
        </w:trPr>
        <w:tc>
          <w:tcPr>
            <w:tcW w:w="2736" w:type="dxa"/>
            <w:vAlign w:val="center"/>
          </w:tcPr>
          <w:p w14:paraId="63095784" w14:textId="77777777" w:rsidR="0032753B" w:rsidRPr="00567BF3" w:rsidRDefault="0032753B" w:rsidP="00567BF3">
            <w:pPr>
              <w:pStyle w:val="PlainText"/>
              <w:spacing w:before="60" w:after="60"/>
              <w:rPr>
                <w:rFonts w:ascii="Arial" w:hAnsi="Arial"/>
                <w:b/>
                <w:bCs/>
                <w:sz w:val="24"/>
                <w:szCs w:val="24"/>
              </w:rPr>
            </w:pPr>
            <w:r w:rsidRPr="00567BF3">
              <w:rPr>
                <w:rFonts w:ascii="Arial" w:hAnsi="Arial"/>
                <w:color w:val="000000"/>
                <w:sz w:val="24"/>
                <w:szCs w:val="24"/>
              </w:rPr>
              <w:t>Provide expenditures clearly detailed by object code with accurate amounts.</w:t>
            </w:r>
          </w:p>
        </w:tc>
        <w:tc>
          <w:tcPr>
            <w:tcW w:w="2736" w:type="dxa"/>
            <w:vAlign w:val="center"/>
          </w:tcPr>
          <w:p w14:paraId="786F5990"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comprehensive budget detail for all object codes.</w:t>
            </w:r>
          </w:p>
        </w:tc>
        <w:tc>
          <w:tcPr>
            <w:tcW w:w="2736" w:type="dxa"/>
            <w:vAlign w:val="center"/>
          </w:tcPr>
          <w:p w14:paraId="62CBD7C1"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strong budget detail for all object codes.</w:t>
            </w:r>
          </w:p>
        </w:tc>
        <w:tc>
          <w:tcPr>
            <w:tcW w:w="2736" w:type="dxa"/>
            <w:vAlign w:val="center"/>
          </w:tcPr>
          <w:p w14:paraId="4120FD6D"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adequate budget detail for all object codes.</w:t>
            </w:r>
          </w:p>
        </w:tc>
        <w:tc>
          <w:tcPr>
            <w:tcW w:w="2736" w:type="dxa"/>
            <w:vAlign w:val="center"/>
          </w:tcPr>
          <w:p w14:paraId="29A7112C" w14:textId="77777777" w:rsidR="0032753B" w:rsidRPr="00567BF3" w:rsidRDefault="0032753B" w:rsidP="00567BF3">
            <w:pPr>
              <w:pStyle w:val="PlainText"/>
              <w:spacing w:before="60" w:after="60"/>
              <w:rPr>
                <w:rFonts w:ascii="Arial" w:hAnsi="Arial"/>
                <w:color w:val="000000"/>
                <w:sz w:val="24"/>
                <w:szCs w:val="24"/>
              </w:rPr>
            </w:pPr>
            <w:r w:rsidRPr="00567BF3">
              <w:rPr>
                <w:rFonts w:ascii="Arial" w:hAnsi="Arial"/>
                <w:color w:val="000000"/>
                <w:sz w:val="24"/>
                <w:szCs w:val="24"/>
              </w:rPr>
              <w:t>LEA provides minimal budget detail for all object codes.</w:t>
            </w:r>
          </w:p>
        </w:tc>
      </w:tr>
      <w:tr w:rsidR="0032753B" w:rsidRPr="00567BF3" w14:paraId="0C3F390E" w14:textId="77777777" w:rsidTr="00A56DFF">
        <w:trPr>
          <w:cantSplit/>
        </w:trPr>
        <w:tc>
          <w:tcPr>
            <w:tcW w:w="2736" w:type="dxa"/>
            <w:vAlign w:val="center"/>
          </w:tcPr>
          <w:p w14:paraId="09F34D6C"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Does the budget narrative clearly explain how CTEIG and match funds support CTE programs, career pathways, and minimum eligibility standards?</w:t>
            </w:r>
          </w:p>
        </w:tc>
        <w:tc>
          <w:tcPr>
            <w:tcW w:w="2736" w:type="dxa"/>
            <w:vAlign w:val="center"/>
          </w:tcPr>
          <w:p w14:paraId="55EDD21E"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 comprehensive budget narrative.</w:t>
            </w:r>
          </w:p>
        </w:tc>
        <w:tc>
          <w:tcPr>
            <w:tcW w:w="2736" w:type="dxa"/>
            <w:vAlign w:val="center"/>
          </w:tcPr>
          <w:p w14:paraId="1FA2B758"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 strong budget narrative.</w:t>
            </w:r>
          </w:p>
        </w:tc>
        <w:tc>
          <w:tcPr>
            <w:tcW w:w="2736" w:type="dxa"/>
            <w:vAlign w:val="center"/>
          </w:tcPr>
          <w:p w14:paraId="40607AC5"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provides an adequate budget narrative.</w:t>
            </w:r>
          </w:p>
        </w:tc>
        <w:tc>
          <w:tcPr>
            <w:tcW w:w="2736" w:type="dxa"/>
            <w:vAlign w:val="center"/>
          </w:tcPr>
          <w:p w14:paraId="50529C33" w14:textId="77777777" w:rsidR="0032753B" w:rsidRPr="00567BF3" w:rsidRDefault="0032753B" w:rsidP="00567BF3">
            <w:pPr>
              <w:pStyle w:val="PlainText"/>
              <w:spacing w:before="60" w:after="60"/>
              <w:rPr>
                <w:rFonts w:ascii="Arial" w:hAnsi="Arial"/>
                <w:sz w:val="24"/>
                <w:szCs w:val="24"/>
              </w:rPr>
            </w:pPr>
            <w:r w:rsidRPr="00567BF3">
              <w:rPr>
                <w:rFonts w:ascii="Arial" w:hAnsi="Arial"/>
                <w:color w:val="000000"/>
                <w:sz w:val="24"/>
                <w:szCs w:val="24"/>
              </w:rPr>
              <w:t>LEA does not provide clear narrative or connect expenditures to program support.</w:t>
            </w:r>
          </w:p>
        </w:tc>
      </w:tr>
    </w:tbl>
    <w:p w14:paraId="707C9078" w14:textId="77777777" w:rsidR="0032753B" w:rsidRPr="00567BF3" w:rsidRDefault="0032753B" w:rsidP="00567BF3">
      <w:pPr>
        <w:pStyle w:val="PlainText"/>
        <w:rPr>
          <w:rFonts w:ascii="Arial" w:hAnsi="Arial"/>
          <w:sz w:val="24"/>
          <w:szCs w:val="24"/>
        </w:rPr>
      </w:pPr>
      <w:r w:rsidRPr="00567BF3">
        <w:rPr>
          <w:rFonts w:ascii="Arial" w:hAnsi="Arial"/>
          <w:sz w:val="24"/>
          <w:szCs w:val="24"/>
        </w:rPr>
        <w:t>Total Budget and Narrative Score: Up to 20 points</w:t>
      </w:r>
    </w:p>
    <w:p w14:paraId="75BF493F" w14:textId="77777777" w:rsidR="0032753B" w:rsidRPr="00567BF3" w:rsidRDefault="0032753B" w:rsidP="00567BF3">
      <w:pPr>
        <w:pStyle w:val="PlainText"/>
        <w:spacing w:after="240"/>
        <w:rPr>
          <w:rFonts w:ascii="Arial" w:hAnsi="Arial"/>
          <w:b/>
          <w:bCs/>
          <w:sz w:val="24"/>
          <w:szCs w:val="24"/>
        </w:rPr>
      </w:pPr>
      <w:r w:rsidRPr="00567BF3">
        <w:rPr>
          <w:rFonts w:ascii="Arial" w:hAnsi="Arial"/>
          <w:b/>
          <w:bCs/>
          <w:sz w:val="24"/>
          <w:szCs w:val="24"/>
        </w:rPr>
        <w:t>Continued Financial Commitment: 5 points</w:t>
      </w:r>
    </w:p>
    <w:tbl>
      <w:tblPr>
        <w:tblStyle w:val="TableGrid"/>
        <w:tblW w:w="13667" w:type="dxa"/>
        <w:tblLook w:val="04A0" w:firstRow="1" w:lastRow="0" w:firstColumn="1" w:lastColumn="0" w:noHBand="0" w:noVBand="1"/>
        <w:tblDescription w:val="Continued Financial Committment"/>
      </w:tblPr>
      <w:tblGrid>
        <w:gridCol w:w="3727"/>
        <w:gridCol w:w="2485"/>
        <w:gridCol w:w="2485"/>
        <w:gridCol w:w="2485"/>
        <w:gridCol w:w="2485"/>
      </w:tblGrid>
      <w:tr w:rsidR="0032753B" w:rsidRPr="00567BF3" w14:paraId="6886F03A" w14:textId="77777777" w:rsidTr="00A56DFF">
        <w:trPr>
          <w:cantSplit/>
          <w:trHeight w:val="753"/>
          <w:tblHeader/>
        </w:trPr>
        <w:tc>
          <w:tcPr>
            <w:tcW w:w="3727" w:type="dxa"/>
            <w:shd w:val="clear" w:color="auto" w:fill="D1D1D1" w:themeFill="background2" w:themeFillShade="E6"/>
            <w:vAlign w:val="center"/>
          </w:tcPr>
          <w:p w14:paraId="4669E741"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Question</w:t>
            </w:r>
          </w:p>
        </w:tc>
        <w:tc>
          <w:tcPr>
            <w:tcW w:w="2485" w:type="dxa"/>
            <w:shd w:val="clear" w:color="auto" w:fill="D1D1D1" w:themeFill="background2" w:themeFillShade="E6"/>
            <w:vAlign w:val="center"/>
          </w:tcPr>
          <w:p w14:paraId="67D97BB5"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Funds Increase</w:t>
            </w:r>
            <w:r w:rsidRPr="00567BF3">
              <w:rPr>
                <w:rFonts w:ascii="Arial" w:hAnsi="Arial"/>
                <w:b/>
                <w:bCs/>
                <w:sz w:val="24"/>
                <w:szCs w:val="24"/>
              </w:rPr>
              <w:br/>
              <w:t>(5 points)</w:t>
            </w:r>
          </w:p>
        </w:tc>
        <w:tc>
          <w:tcPr>
            <w:tcW w:w="2485" w:type="dxa"/>
            <w:shd w:val="clear" w:color="auto" w:fill="D1D1D1" w:themeFill="background2" w:themeFillShade="E6"/>
          </w:tcPr>
          <w:p w14:paraId="1D6BB974"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Funds Remain the Same</w:t>
            </w:r>
          </w:p>
          <w:p w14:paraId="48B663CB"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(4 points)</w:t>
            </w:r>
          </w:p>
        </w:tc>
        <w:tc>
          <w:tcPr>
            <w:tcW w:w="2485" w:type="dxa"/>
            <w:shd w:val="clear" w:color="auto" w:fill="D1D1D1" w:themeFill="background2" w:themeFillShade="E6"/>
            <w:vAlign w:val="center"/>
          </w:tcPr>
          <w:p w14:paraId="181F359F"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Decrease in Funds</w:t>
            </w:r>
          </w:p>
          <w:p w14:paraId="0058C432"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(3–1 points)</w:t>
            </w:r>
          </w:p>
        </w:tc>
        <w:tc>
          <w:tcPr>
            <w:tcW w:w="2485" w:type="dxa"/>
            <w:shd w:val="clear" w:color="auto" w:fill="D1D1D1" w:themeFill="background2" w:themeFillShade="E6"/>
            <w:vAlign w:val="center"/>
          </w:tcPr>
          <w:p w14:paraId="686B64D0"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No Funds listed</w:t>
            </w:r>
          </w:p>
          <w:p w14:paraId="7B0777AC" w14:textId="77777777" w:rsidR="0032753B" w:rsidRPr="00567BF3" w:rsidRDefault="0032753B" w:rsidP="00567BF3">
            <w:pPr>
              <w:pStyle w:val="PlainText"/>
              <w:spacing w:before="0"/>
              <w:jc w:val="center"/>
              <w:rPr>
                <w:rFonts w:ascii="Arial" w:hAnsi="Arial"/>
                <w:b/>
                <w:bCs/>
                <w:sz w:val="24"/>
                <w:szCs w:val="24"/>
              </w:rPr>
            </w:pPr>
            <w:r w:rsidRPr="00567BF3">
              <w:rPr>
                <w:rFonts w:ascii="Arial" w:hAnsi="Arial"/>
                <w:b/>
                <w:bCs/>
                <w:sz w:val="24"/>
                <w:szCs w:val="24"/>
              </w:rPr>
              <w:t>(0 points)</w:t>
            </w:r>
          </w:p>
        </w:tc>
      </w:tr>
      <w:tr w:rsidR="0032753B" w:rsidRPr="00567BF3" w14:paraId="3DBAD442" w14:textId="77777777" w:rsidTr="00A56DFF">
        <w:trPr>
          <w:cantSplit/>
          <w:trHeight w:val="998"/>
        </w:trPr>
        <w:tc>
          <w:tcPr>
            <w:tcW w:w="3727" w:type="dxa"/>
            <w:vAlign w:val="center"/>
          </w:tcPr>
          <w:p w14:paraId="1BBACCE5" w14:textId="77777777" w:rsidR="0032753B" w:rsidRPr="00567BF3" w:rsidRDefault="0032753B" w:rsidP="00567BF3">
            <w:pPr>
              <w:pStyle w:val="PlainText"/>
              <w:spacing w:before="0"/>
              <w:rPr>
                <w:rFonts w:ascii="Arial" w:hAnsi="Arial"/>
                <w:b/>
                <w:bCs/>
                <w:sz w:val="24"/>
                <w:szCs w:val="24"/>
              </w:rPr>
            </w:pPr>
            <w:r w:rsidRPr="00567BF3">
              <w:rPr>
                <w:rFonts w:ascii="Arial" w:hAnsi="Arial"/>
                <w:b/>
                <w:bCs/>
                <w:sz w:val="24"/>
                <w:szCs w:val="24"/>
              </w:rPr>
              <w:t>Do the presented funds maintain or increase year over year?</w:t>
            </w:r>
          </w:p>
        </w:tc>
        <w:tc>
          <w:tcPr>
            <w:tcW w:w="2485" w:type="dxa"/>
            <w:vAlign w:val="center"/>
          </w:tcPr>
          <w:p w14:paraId="68532F47" w14:textId="77777777" w:rsidR="0032753B" w:rsidRPr="00567BF3" w:rsidRDefault="0032753B" w:rsidP="00567BF3">
            <w:pPr>
              <w:pStyle w:val="PlainText"/>
              <w:spacing w:before="0"/>
              <w:rPr>
                <w:rFonts w:ascii="Arial" w:hAnsi="Arial"/>
                <w:sz w:val="24"/>
                <w:szCs w:val="24"/>
              </w:rPr>
            </w:pPr>
            <w:r w:rsidRPr="00567BF3">
              <w:rPr>
                <w:rFonts w:ascii="Arial" w:hAnsi="Arial"/>
                <w:sz w:val="24"/>
                <w:szCs w:val="24"/>
              </w:rPr>
              <w:t>Dollar amounts provided for all years with consistent year-over-year increases</w:t>
            </w:r>
          </w:p>
        </w:tc>
        <w:tc>
          <w:tcPr>
            <w:tcW w:w="2485" w:type="dxa"/>
          </w:tcPr>
          <w:p w14:paraId="5A499893" w14:textId="77777777" w:rsidR="0032753B" w:rsidRPr="00567BF3" w:rsidRDefault="0032753B" w:rsidP="00567BF3">
            <w:pPr>
              <w:pStyle w:val="PlainText"/>
              <w:spacing w:before="0"/>
              <w:rPr>
                <w:rFonts w:ascii="Arial" w:hAnsi="Arial"/>
                <w:sz w:val="24"/>
                <w:szCs w:val="24"/>
              </w:rPr>
            </w:pPr>
            <w:r w:rsidRPr="00567BF3">
              <w:rPr>
                <w:rFonts w:ascii="Arial" w:hAnsi="Arial"/>
                <w:sz w:val="24"/>
                <w:szCs w:val="24"/>
              </w:rPr>
              <w:t>Dollar amounts remain the same year over year with no increase or decrease.</w:t>
            </w:r>
          </w:p>
        </w:tc>
        <w:tc>
          <w:tcPr>
            <w:tcW w:w="2485" w:type="dxa"/>
            <w:vAlign w:val="center"/>
          </w:tcPr>
          <w:p w14:paraId="546F1AD0" w14:textId="77777777" w:rsidR="0032753B" w:rsidRPr="00567BF3" w:rsidRDefault="0032753B" w:rsidP="00567BF3">
            <w:pPr>
              <w:pStyle w:val="PlainText"/>
              <w:spacing w:before="0"/>
              <w:rPr>
                <w:rFonts w:ascii="Arial" w:hAnsi="Arial"/>
                <w:sz w:val="24"/>
                <w:szCs w:val="24"/>
              </w:rPr>
            </w:pPr>
            <w:r w:rsidRPr="00567BF3">
              <w:rPr>
                <w:rFonts w:ascii="Arial" w:hAnsi="Arial"/>
                <w:sz w:val="24"/>
                <w:szCs w:val="24"/>
              </w:rPr>
              <w:t>Dollar amounts provided decrease at any point in the year over year comparison</w:t>
            </w:r>
          </w:p>
        </w:tc>
        <w:tc>
          <w:tcPr>
            <w:tcW w:w="2485" w:type="dxa"/>
            <w:vAlign w:val="center"/>
          </w:tcPr>
          <w:p w14:paraId="45648E7B" w14:textId="77777777" w:rsidR="0032753B" w:rsidRPr="00567BF3" w:rsidRDefault="0032753B" w:rsidP="00567BF3">
            <w:pPr>
              <w:pStyle w:val="PlainText"/>
              <w:spacing w:before="0"/>
              <w:rPr>
                <w:rFonts w:ascii="Arial" w:hAnsi="Arial"/>
                <w:sz w:val="24"/>
                <w:szCs w:val="24"/>
              </w:rPr>
            </w:pPr>
            <w:r w:rsidRPr="00567BF3">
              <w:rPr>
                <w:rFonts w:ascii="Arial" w:hAnsi="Arial"/>
                <w:sz w:val="24"/>
                <w:szCs w:val="24"/>
              </w:rPr>
              <w:t>No dollar amounts provided.</w:t>
            </w:r>
          </w:p>
        </w:tc>
      </w:tr>
    </w:tbl>
    <w:p w14:paraId="436DBE12" w14:textId="77777777" w:rsidR="0032753B" w:rsidRDefault="0032753B" w:rsidP="00567BF3">
      <w:pPr>
        <w:pStyle w:val="PlainText"/>
        <w:rPr>
          <w:rFonts w:ascii="Arial" w:hAnsi="Arial"/>
          <w:sz w:val="24"/>
          <w:szCs w:val="24"/>
        </w:rPr>
      </w:pPr>
      <w:r w:rsidRPr="00567BF3">
        <w:rPr>
          <w:rFonts w:ascii="Arial" w:hAnsi="Arial"/>
          <w:sz w:val="24"/>
          <w:szCs w:val="24"/>
        </w:rPr>
        <w:t>Total Financial Commitment Score: Up to 5 points</w:t>
      </w:r>
    </w:p>
    <w:p w14:paraId="26B65AAE" w14:textId="77777777" w:rsidR="00231CBB" w:rsidRPr="002A68EC" w:rsidRDefault="00231CBB" w:rsidP="00231CBB">
      <w:pPr>
        <w:pStyle w:val="PlainText"/>
        <w:spacing w:before="0" w:after="240"/>
        <w:rPr>
          <w:rFonts w:ascii="Arial" w:hAnsi="Arial"/>
          <w:b/>
          <w:bCs/>
          <w:sz w:val="24"/>
          <w:szCs w:val="24"/>
        </w:rPr>
      </w:pPr>
      <w:r w:rsidRPr="002A68EC">
        <w:rPr>
          <w:rFonts w:ascii="Arial" w:hAnsi="Arial"/>
          <w:b/>
          <w:bCs/>
          <w:sz w:val="24"/>
          <w:szCs w:val="24"/>
        </w:rPr>
        <w:lastRenderedPageBreak/>
        <w:t>Positive Considerations: 5 bonus points</w:t>
      </w:r>
    </w:p>
    <w:p w14:paraId="3CC195AF" w14:textId="77777777" w:rsidR="00231CBB" w:rsidRPr="002A68EC" w:rsidRDefault="00231CBB" w:rsidP="00231CBB">
      <w:pPr>
        <w:pStyle w:val="PlainText"/>
        <w:spacing w:before="0" w:after="240"/>
        <w:rPr>
          <w:rFonts w:ascii="Arial" w:hAnsi="Arial"/>
          <w:sz w:val="24"/>
          <w:szCs w:val="24"/>
        </w:rPr>
      </w:pPr>
      <w:r w:rsidRPr="002A68EC">
        <w:rPr>
          <w:rFonts w:ascii="Arial" w:hAnsi="Arial"/>
          <w:sz w:val="24"/>
          <w:szCs w:val="24"/>
        </w:rPr>
        <w:t xml:space="preserve">Positive Considerations 1–4: Greatest Weight: 4 points </w:t>
      </w:r>
    </w:p>
    <w:tbl>
      <w:tblPr>
        <w:tblStyle w:val="TableGrid"/>
        <w:tblW w:w="12690" w:type="dxa"/>
        <w:tblInd w:w="-275" w:type="dxa"/>
        <w:tblLook w:val="04A0" w:firstRow="1" w:lastRow="0" w:firstColumn="1" w:lastColumn="0" w:noHBand="0" w:noVBand="1"/>
        <w:tblDescription w:val="Positive Considerations 1-4"/>
      </w:tblPr>
      <w:tblGrid>
        <w:gridCol w:w="9900"/>
        <w:gridCol w:w="2790"/>
      </w:tblGrid>
      <w:tr w:rsidR="00231CBB" w:rsidRPr="002A68EC" w14:paraId="61AB5582" w14:textId="77777777" w:rsidTr="00A56DFF">
        <w:trPr>
          <w:cantSplit/>
          <w:trHeight w:val="360"/>
          <w:tblHeader/>
        </w:trPr>
        <w:tc>
          <w:tcPr>
            <w:tcW w:w="9900" w:type="dxa"/>
            <w:shd w:val="clear" w:color="auto" w:fill="D1D1D1" w:themeFill="background2" w:themeFillShade="E6"/>
            <w:vAlign w:val="center"/>
          </w:tcPr>
          <w:p w14:paraId="6998378F" w14:textId="77777777" w:rsidR="00231CBB" w:rsidRPr="002A68EC" w:rsidRDefault="00231CBB" w:rsidP="00A56DFF">
            <w:pPr>
              <w:pStyle w:val="PlainText"/>
              <w:spacing w:before="0"/>
              <w:jc w:val="center"/>
              <w:rPr>
                <w:rFonts w:ascii="Arial" w:hAnsi="Arial"/>
                <w:b/>
                <w:bCs/>
                <w:sz w:val="24"/>
                <w:szCs w:val="24"/>
              </w:rPr>
            </w:pPr>
            <w:r w:rsidRPr="002A68EC">
              <w:rPr>
                <w:rFonts w:ascii="Arial" w:hAnsi="Arial"/>
                <w:b/>
                <w:bCs/>
                <w:sz w:val="24"/>
                <w:szCs w:val="24"/>
              </w:rPr>
              <w:t>Positive Considerations 1–4</w:t>
            </w:r>
          </w:p>
        </w:tc>
        <w:tc>
          <w:tcPr>
            <w:tcW w:w="2790" w:type="dxa"/>
            <w:shd w:val="clear" w:color="auto" w:fill="D1D1D1" w:themeFill="background2" w:themeFillShade="E6"/>
            <w:vAlign w:val="center"/>
          </w:tcPr>
          <w:p w14:paraId="0F9852C0" w14:textId="77777777" w:rsidR="00231CBB" w:rsidRPr="002A68EC" w:rsidRDefault="00231CBB" w:rsidP="00A56DFF">
            <w:pPr>
              <w:pStyle w:val="PlainText"/>
              <w:spacing w:before="0"/>
              <w:jc w:val="center"/>
              <w:rPr>
                <w:rFonts w:ascii="Arial" w:hAnsi="Arial"/>
                <w:b/>
                <w:bCs/>
                <w:sz w:val="24"/>
                <w:szCs w:val="24"/>
              </w:rPr>
            </w:pPr>
            <w:r w:rsidRPr="002A68EC">
              <w:rPr>
                <w:rFonts w:ascii="Arial" w:hAnsi="Arial"/>
                <w:b/>
                <w:bCs/>
                <w:sz w:val="24"/>
                <w:szCs w:val="24"/>
              </w:rPr>
              <w:t>Point Value</w:t>
            </w:r>
          </w:p>
        </w:tc>
      </w:tr>
      <w:tr w:rsidR="00231CBB" w:rsidRPr="002A68EC" w14:paraId="50954D35" w14:textId="77777777" w:rsidTr="00A56DFF">
        <w:trPr>
          <w:cantSplit/>
          <w:trHeight w:val="360"/>
        </w:trPr>
        <w:tc>
          <w:tcPr>
            <w:tcW w:w="9900" w:type="dxa"/>
            <w:vAlign w:val="center"/>
          </w:tcPr>
          <w:p w14:paraId="04FC3A31" w14:textId="77777777" w:rsidR="00231CBB" w:rsidRPr="002A68EC" w:rsidRDefault="00231CBB" w:rsidP="006520B0">
            <w:pPr>
              <w:pStyle w:val="PlainText"/>
              <w:numPr>
                <w:ilvl w:val="0"/>
                <w:numId w:val="26"/>
              </w:numPr>
              <w:spacing w:before="0"/>
              <w:ind w:left="342"/>
              <w:rPr>
                <w:rFonts w:ascii="Arial" w:hAnsi="Arial"/>
                <w:b/>
                <w:bCs/>
                <w:sz w:val="24"/>
                <w:szCs w:val="24"/>
              </w:rPr>
            </w:pPr>
            <w:r w:rsidRPr="002A68EC">
              <w:rPr>
                <w:rFonts w:ascii="Arial" w:hAnsi="Arial"/>
                <w:sz w:val="24"/>
                <w:szCs w:val="24"/>
              </w:rPr>
              <w:t xml:space="preserve">Serving unduplicated pupils (auto-verified) </w:t>
            </w:r>
          </w:p>
        </w:tc>
        <w:tc>
          <w:tcPr>
            <w:tcW w:w="2790" w:type="dxa"/>
            <w:vAlign w:val="center"/>
          </w:tcPr>
          <w:p w14:paraId="5B5114BC" w14:textId="77777777" w:rsidR="00231CBB" w:rsidRPr="002A68EC" w:rsidRDefault="00231CBB" w:rsidP="00A56DFF">
            <w:pPr>
              <w:pStyle w:val="PlainText"/>
              <w:spacing w:before="0"/>
              <w:rPr>
                <w:rFonts w:ascii="Arial" w:hAnsi="Arial"/>
                <w:sz w:val="24"/>
                <w:szCs w:val="24"/>
              </w:rPr>
            </w:pPr>
            <w:r w:rsidRPr="002A68EC">
              <w:rPr>
                <w:rFonts w:ascii="Arial" w:hAnsi="Arial"/>
                <w:sz w:val="24"/>
                <w:szCs w:val="24"/>
              </w:rPr>
              <w:t>1 bonus point</w:t>
            </w:r>
          </w:p>
        </w:tc>
      </w:tr>
      <w:tr w:rsidR="00231CBB" w:rsidRPr="002A68EC" w14:paraId="5114DE99" w14:textId="77777777" w:rsidTr="00A56DFF">
        <w:trPr>
          <w:cantSplit/>
          <w:trHeight w:val="360"/>
        </w:trPr>
        <w:tc>
          <w:tcPr>
            <w:tcW w:w="9900" w:type="dxa"/>
            <w:vAlign w:val="center"/>
          </w:tcPr>
          <w:p w14:paraId="0ABFCD17" w14:textId="77777777" w:rsidR="00231CBB" w:rsidRPr="002A68EC" w:rsidRDefault="00231CBB" w:rsidP="006520B0">
            <w:pPr>
              <w:pStyle w:val="PlainText"/>
              <w:numPr>
                <w:ilvl w:val="2"/>
                <w:numId w:val="27"/>
              </w:numPr>
              <w:spacing w:before="0"/>
              <w:ind w:left="342"/>
              <w:rPr>
                <w:rFonts w:ascii="Arial" w:hAnsi="Arial"/>
                <w:sz w:val="24"/>
                <w:szCs w:val="24"/>
              </w:rPr>
            </w:pPr>
            <w:r w:rsidRPr="002A68EC">
              <w:rPr>
                <w:rFonts w:ascii="Arial" w:hAnsi="Arial"/>
                <w:sz w:val="24"/>
                <w:szCs w:val="24"/>
              </w:rPr>
              <w:t>Serving pupil subgroups with higher dropout rates (auto-verified)</w:t>
            </w:r>
          </w:p>
        </w:tc>
        <w:tc>
          <w:tcPr>
            <w:tcW w:w="2790" w:type="dxa"/>
            <w:vAlign w:val="center"/>
          </w:tcPr>
          <w:p w14:paraId="7B2B8EDE" w14:textId="77777777" w:rsidR="00231CBB" w:rsidRPr="002A68EC" w:rsidRDefault="00231CBB" w:rsidP="00A56DFF">
            <w:pPr>
              <w:pStyle w:val="PlainText"/>
              <w:spacing w:before="0"/>
              <w:rPr>
                <w:rFonts w:ascii="Arial" w:hAnsi="Arial"/>
                <w:sz w:val="24"/>
                <w:szCs w:val="24"/>
              </w:rPr>
            </w:pPr>
            <w:r w:rsidRPr="002A68EC">
              <w:rPr>
                <w:rFonts w:ascii="Arial" w:hAnsi="Arial"/>
                <w:sz w:val="24"/>
                <w:szCs w:val="24"/>
              </w:rPr>
              <w:t>1 bonus point</w:t>
            </w:r>
          </w:p>
        </w:tc>
      </w:tr>
      <w:tr w:rsidR="00231CBB" w:rsidRPr="002A68EC" w14:paraId="636BE5E3" w14:textId="77777777" w:rsidTr="00A56DFF">
        <w:trPr>
          <w:cantSplit/>
          <w:trHeight w:val="360"/>
        </w:trPr>
        <w:tc>
          <w:tcPr>
            <w:tcW w:w="9900" w:type="dxa"/>
            <w:vAlign w:val="center"/>
          </w:tcPr>
          <w:p w14:paraId="28AC687A" w14:textId="77777777" w:rsidR="00231CBB" w:rsidRPr="002A68EC" w:rsidRDefault="00231CBB" w:rsidP="006520B0">
            <w:pPr>
              <w:pStyle w:val="PlainText"/>
              <w:numPr>
                <w:ilvl w:val="2"/>
                <w:numId w:val="27"/>
              </w:numPr>
              <w:spacing w:before="0"/>
              <w:ind w:left="342"/>
              <w:rPr>
                <w:rFonts w:ascii="Arial" w:hAnsi="Arial"/>
                <w:sz w:val="24"/>
                <w:szCs w:val="24"/>
              </w:rPr>
            </w:pPr>
            <w:r w:rsidRPr="002A68EC">
              <w:rPr>
                <w:rFonts w:ascii="Arial" w:hAnsi="Arial"/>
                <w:sz w:val="24"/>
                <w:szCs w:val="24"/>
              </w:rPr>
              <w:t>Located in area with high unemployment or high poverty rate (auto-verified)</w:t>
            </w:r>
          </w:p>
        </w:tc>
        <w:tc>
          <w:tcPr>
            <w:tcW w:w="2790" w:type="dxa"/>
            <w:vAlign w:val="center"/>
          </w:tcPr>
          <w:p w14:paraId="7930E270" w14:textId="77777777" w:rsidR="00231CBB" w:rsidRPr="002A68EC" w:rsidRDefault="00231CBB" w:rsidP="00A56DFF">
            <w:pPr>
              <w:pStyle w:val="PlainText"/>
              <w:spacing w:before="0"/>
              <w:rPr>
                <w:rFonts w:ascii="Arial" w:hAnsi="Arial"/>
                <w:sz w:val="24"/>
                <w:szCs w:val="24"/>
              </w:rPr>
            </w:pPr>
            <w:r w:rsidRPr="002A68EC">
              <w:rPr>
                <w:rFonts w:ascii="Arial" w:hAnsi="Arial"/>
                <w:sz w:val="24"/>
                <w:szCs w:val="24"/>
              </w:rPr>
              <w:t>1 bonus point</w:t>
            </w:r>
          </w:p>
        </w:tc>
      </w:tr>
      <w:tr w:rsidR="00231CBB" w:rsidRPr="002A68EC" w14:paraId="34A9BC0E" w14:textId="77777777" w:rsidTr="00A56DFF">
        <w:trPr>
          <w:cantSplit/>
          <w:trHeight w:val="360"/>
        </w:trPr>
        <w:tc>
          <w:tcPr>
            <w:tcW w:w="9900" w:type="dxa"/>
            <w:vAlign w:val="center"/>
          </w:tcPr>
          <w:p w14:paraId="3D5F1167" w14:textId="77777777" w:rsidR="00231CBB" w:rsidRPr="002A68EC" w:rsidRDefault="00231CBB" w:rsidP="006520B0">
            <w:pPr>
              <w:pStyle w:val="PlainText"/>
              <w:numPr>
                <w:ilvl w:val="2"/>
                <w:numId w:val="27"/>
              </w:numPr>
              <w:spacing w:before="0"/>
              <w:ind w:left="342"/>
              <w:rPr>
                <w:rFonts w:ascii="Arial" w:hAnsi="Arial"/>
                <w:sz w:val="24"/>
                <w:szCs w:val="24"/>
              </w:rPr>
            </w:pPr>
            <w:r w:rsidRPr="002A68EC">
              <w:rPr>
                <w:rFonts w:ascii="Arial" w:hAnsi="Arial"/>
                <w:sz w:val="24"/>
                <w:szCs w:val="24"/>
              </w:rPr>
              <w:t>Operating high-quality regional-based CTE program as JPA or COE (applicant response  required)</w:t>
            </w:r>
          </w:p>
        </w:tc>
        <w:tc>
          <w:tcPr>
            <w:tcW w:w="2790" w:type="dxa"/>
            <w:vAlign w:val="center"/>
          </w:tcPr>
          <w:p w14:paraId="032B7164" w14:textId="77777777" w:rsidR="00231CBB" w:rsidRPr="002A68EC" w:rsidRDefault="00231CBB" w:rsidP="00A56DFF">
            <w:pPr>
              <w:pStyle w:val="PlainText"/>
              <w:spacing w:before="0"/>
              <w:rPr>
                <w:rFonts w:ascii="Arial" w:hAnsi="Arial"/>
                <w:sz w:val="24"/>
                <w:szCs w:val="24"/>
              </w:rPr>
            </w:pPr>
            <w:r w:rsidRPr="002A68EC">
              <w:rPr>
                <w:rFonts w:ascii="Arial" w:hAnsi="Arial"/>
                <w:sz w:val="24"/>
                <w:szCs w:val="24"/>
              </w:rPr>
              <w:t>1 bonus point</w:t>
            </w:r>
          </w:p>
        </w:tc>
      </w:tr>
    </w:tbl>
    <w:p w14:paraId="6EA03DCD" w14:textId="77777777" w:rsidR="00231CBB" w:rsidRPr="002A68EC" w:rsidRDefault="00231CBB" w:rsidP="00231CBB">
      <w:pPr>
        <w:pStyle w:val="PlainText"/>
        <w:spacing w:after="240"/>
        <w:rPr>
          <w:rFonts w:ascii="Arial" w:hAnsi="Arial"/>
          <w:sz w:val="24"/>
          <w:szCs w:val="24"/>
        </w:rPr>
      </w:pPr>
      <w:r w:rsidRPr="002A68EC">
        <w:rPr>
          <w:rFonts w:ascii="Arial" w:hAnsi="Arial"/>
          <w:sz w:val="24"/>
          <w:szCs w:val="24"/>
        </w:rPr>
        <w:t xml:space="preserve">Positive Considerations 5–8: Secondary: 1 point total if any are met </w:t>
      </w:r>
    </w:p>
    <w:tbl>
      <w:tblPr>
        <w:tblStyle w:val="TableGrid"/>
        <w:tblW w:w="9630" w:type="dxa"/>
        <w:tblInd w:w="-275" w:type="dxa"/>
        <w:tblLook w:val="04A0" w:firstRow="1" w:lastRow="0" w:firstColumn="1" w:lastColumn="0" w:noHBand="0" w:noVBand="1"/>
        <w:tblDescription w:val="Positive Considerations 5-8"/>
      </w:tblPr>
      <w:tblGrid>
        <w:gridCol w:w="5850"/>
        <w:gridCol w:w="3780"/>
      </w:tblGrid>
      <w:tr w:rsidR="006520B0" w:rsidRPr="002A68EC" w14:paraId="6E16F5D7" w14:textId="77777777" w:rsidTr="00A56DFF">
        <w:trPr>
          <w:cantSplit/>
          <w:trHeight w:val="360"/>
          <w:tblHeader/>
        </w:trPr>
        <w:tc>
          <w:tcPr>
            <w:tcW w:w="5850" w:type="dxa"/>
            <w:shd w:val="clear" w:color="auto" w:fill="D1D1D1" w:themeFill="background2" w:themeFillShade="E6"/>
            <w:vAlign w:val="center"/>
          </w:tcPr>
          <w:p w14:paraId="774B0A18" w14:textId="77777777" w:rsidR="006520B0" w:rsidRPr="002A68EC" w:rsidRDefault="006520B0" w:rsidP="00A56DFF">
            <w:pPr>
              <w:pStyle w:val="PlainText"/>
              <w:spacing w:before="0"/>
              <w:jc w:val="center"/>
              <w:rPr>
                <w:rFonts w:ascii="Arial" w:hAnsi="Arial"/>
                <w:b/>
                <w:bCs/>
                <w:sz w:val="24"/>
                <w:szCs w:val="24"/>
              </w:rPr>
            </w:pPr>
            <w:r w:rsidRPr="002A68EC">
              <w:rPr>
                <w:rFonts w:ascii="Arial" w:hAnsi="Arial"/>
                <w:b/>
                <w:bCs/>
                <w:sz w:val="24"/>
                <w:szCs w:val="24"/>
              </w:rPr>
              <w:t>Positive Considerations 5–8</w:t>
            </w:r>
          </w:p>
        </w:tc>
        <w:tc>
          <w:tcPr>
            <w:tcW w:w="3780" w:type="dxa"/>
            <w:shd w:val="clear" w:color="auto" w:fill="D1D1D1" w:themeFill="background2" w:themeFillShade="E6"/>
            <w:vAlign w:val="center"/>
          </w:tcPr>
          <w:p w14:paraId="14CF41AB" w14:textId="77777777" w:rsidR="006520B0" w:rsidRPr="002A68EC" w:rsidRDefault="006520B0" w:rsidP="00A56DFF">
            <w:pPr>
              <w:pStyle w:val="PlainText"/>
              <w:spacing w:before="0"/>
              <w:jc w:val="center"/>
              <w:rPr>
                <w:rFonts w:ascii="Arial" w:hAnsi="Arial"/>
                <w:b/>
                <w:bCs/>
                <w:sz w:val="24"/>
                <w:szCs w:val="24"/>
              </w:rPr>
            </w:pPr>
            <w:r w:rsidRPr="002A68EC">
              <w:rPr>
                <w:rFonts w:ascii="Arial" w:hAnsi="Arial"/>
                <w:b/>
                <w:bCs/>
                <w:sz w:val="24"/>
                <w:szCs w:val="24"/>
              </w:rPr>
              <w:t>Point Value</w:t>
            </w:r>
          </w:p>
        </w:tc>
      </w:tr>
      <w:tr w:rsidR="006520B0" w:rsidRPr="002A68EC" w14:paraId="499064C9" w14:textId="77777777" w:rsidTr="00A56DFF">
        <w:trPr>
          <w:cantSplit/>
          <w:trHeight w:val="1351"/>
        </w:trPr>
        <w:tc>
          <w:tcPr>
            <w:tcW w:w="5850" w:type="dxa"/>
            <w:vAlign w:val="center"/>
          </w:tcPr>
          <w:p w14:paraId="01E22635" w14:textId="77777777" w:rsidR="006520B0" w:rsidRPr="002A68EC" w:rsidRDefault="006520B0" w:rsidP="00A56DFF">
            <w:pPr>
              <w:pStyle w:val="PlainText"/>
              <w:spacing w:before="0"/>
              <w:rPr>
                <w:rFonts w:ascii="Arial" w:hAnsi="Arial"/>
                <w:b/>
                <w:bCs/>
                <w:sz w:val="24"/>
                <w:szCs w:val="24"/>
              </w:rPr>
            </w:pPr>
            <w:r w:rsidRPr="002A68EC">
              <w:rPr>
                <w:rFonts w:ascii="Arial" w:hAnsi="Arial"/>
                <w:sz w:val="24"/>
                <w:szCs w:val="24"/>
              </w:rPr>
              <w:t>5. Leveraging existing programs/resources;</w:t>
            </w:r>
            <w:r w:rsidRPr="002A68EC">
              <w:rPr>
                <w:rFonts w:ascii="Arial" w:hAnsi="Arial"/>
                <w:sz w:val="24"/>
                <w:szCs w:val="24"/>
              </w:rPr>
              <w:br/>
              <w:t>6. Industry/labor/philanthropic contributions;</w:t>
            </w:r>
            <w:r w:rsidRPr="002A68EC">
              <w:rPr>
                <w:rFonts w:ascii="Arial" w:hAnsi="Arial"/>
                <w:sz w:val="24"/>
                <w:szCs w:val="24"/>
              </w:rPr>
              <w:br/>
              <w:t>7. regional postsecondary collaboration; OR</w:t>
            </w:r>
            <w:r w:rsidRPr="002A68EC">
              <w:rPr>
                <w:rFonts w:ascii="Arial" w:hAnsi="Arial"/>
                <w:sz w:val="24"/>
                <w:szCs w:val="24"/>
              </w:rPr>
              <w:br/>
              <w:t>8. 25 percent or more for infrastructure investment</w:t>
            </w:r>
          </w:p>
        </w:tc>
        <w:tc>
          <w:tcPr>
            <w:tcW w:w="3780" w:type="dxa"/>
            <w:vAlign w:val="center"/>
          </w:tcPr>
          <w:p w14:paraId="5BE05E59" w14:textId="77777777" w:rsidR="006520B0" w:rsidRPr="002A68EC" w:rsidRDefault="006520B0" w:rsidP="00A56DFF">
            <w:pPr>
              <w:pStyle w:val="PlainText"/>
              <w:spacing w:before="0"/>
              <w:rPr>
                <w:rFonts w:ascii="Arial" w:hAnsi="Arial"/>
                <w:sz w:val="24"/>
                <w:szCs w:val="24"/>
              </w:rPr>
            </w:pPr>
            <w:r w:rsidRPr="002A68EC">
              <w:rPr>
                <w:rFonts w:ascii="Arial" w:hAnsi="Arial"/>
                <w:sz w:val="24"/>
                <w:szCs w:val="24"/>
              </w:rPr>
              <w:t>1 bonus point total if any are met</w:t>
            </w:r>
          </w:p>
        </w:tc>
      </w:tr>
    </w:tbl>
    <w:p w14:paraId="10C44D3C" w14:textId="77777777" w:rsidR="00231CBB" w:rsidRPr="002A68EC" w:rsidRDefault="00231CBB" w:rsidP="00231CBB">
      <w:pPr>
        <w:pStyle w:val="PlainText"/>
        <w:spacing w:after="360"/>
        <w:rPr>
          <w:rFonts w:ascii="Arial" w:hAnsi="Arial"/>
          <w:sz w:val="24"/>
          <w:szCs w:val="24"/>
        </w:rPr>
      </w:pPr>
      <w:r w:rsidRPr="002A68EC">
        <w:rPr>
          <w:rFonts w:ascii="Arial" w:hAnsi="Arial"/>
          <w:sz w:val="24"/>
          <w:szCs w:val="24"/>
        </w:rPr>
        <w:t>Total Positive Considerations Score: Up to 5 bonus points</w:t>
      </w:r>
    </w:p>
    <w:p w14:paraId="37F4FA49" w14:textId="77777777" w:rsidR="00D76EC9" w:rsidRPr="002A68EC" w:rsidRDefault="00D76EC9" w:rsidP="00567BF3">
      <w:pPr>
        <w:pStyle w:val="PlainText"/>
        <w:rPr>
          <w:rFonts w:ascii="Arial" w:hAnsi="Arial"/>
          <w:b/>
          <w:bCs/>
          <w:sz w:val="24"/>
          <w:szCs w:val="24"/>
        </w:rPr>
      </w:pPr>
      <w:r w:rsidRPr="002A68EC">
        <w:rPr>
          <w:rFonts w:ascii="Arial" w:hAnsi="Arial"/>
          <w:b/>
          <w:bCs/>
          <w:sz w:val="24"/>
          <w:szCs w:val="24"/>
        </w:rPr>
        <w:t>SCORING RUBRIC - RENEWAL GRANTEES</w:t>
      </w:r>
    </w:p>
    <w:p w14:paraId="4C329D7B" w14:textId="77777777" w:rsidR="00D76EC9" w:rsidRPr="002A68EC" w:rsidRDefault="00D76EC9" w:rsidP="00567BF3">
      <w:pPr>
        <w:pStyle w:val="PlainText"/>
        <w:rPr>
          <w:rFonts w:ascii="Arial" w:hAnsi="Arial"/>
          <w:sz w:val="24"/>
          <w:szCs w:val="24"/>
        </w:rPr>
      </w:pPr>
      <w:r w:rsidRPr="002A68EC">
        <w:rPr>
          <w:rFonts w:ascii="Arial" w:hAnsi="Arial"/>
          <w:sz w:val="24"/>
          <w:szCs w:val="24"/>
        </w:rPr>
        <w:t>TOTAL POSSIBLE SCORE: UP TO 80 POINTS (75-point core + 5 bonus)</w:t>
      </w:r>
    </w:p>
    <w:p w14:paraId="0FFC9C2B" w14:textId="1FC01A32" w:rsidR="00302104" w:rsidRDefault="00302104" w:rsidP="00567BF3">
      <w:pPr>
        <w:pStyle w:val="PlainText"/>
        <w:rPr>
          <w:rFonts w:ascii="Arial" w:hAnsi="Arial"/>
          <w:sz w:val="24"/>
          <w:szCs w:val="24"/>
        </w:rPr>
      </w:pPr>
      <w:r w:rsidRPr="002A68EC">
        <w:rPr>
          <w:rFonts w:ascii="Arial" w:hAnsi="Arial"/>
          <w:sz w:val="24"/>
          <w:szCs w:val="24"/>
        </w:rPr>
        <w:t>Renewal grantee m</w:t>
      </w:r>
      <w:r w:rsidR="00D76EC9" w:rsidRPr="002A68EC">
        <w:rPr>
          <w:rFonts w:ascii="Arial" w:hAnsi="Arial"/>
          <w:sz w:val="24"/>
          <w:szCs w:val="24"/>
        </w:rPr>
        <w:t>inimum eligibility: 45 points</w:t>
      </w:r>
    </w:p>
    <w:p w14:paraId="2BB779BB" w14:textId="3C00B5E3" w:rsidR="0086247B" w:rsidRDefault="0086247B" w:rsidP="00567BF3">
      <w:pPr>
        <w:pStyle w:val="PlainText"/>
        <w:rPr>
          <w:rFonts w:ascii="Arial" w:hAnsi="Arial"/>
          <w:sz w:val="24"/>
          <w:szCs w:val="24"/>
        </w:rPr>
      </w:pPr>
      <w:r>
        <w:rPr>
          <w:rFonts w:ascii="Arial" w:hAnsi="Arial"/>
          <w:sz w:val="24"/>
          <w:szCs w:val="24"/>
        </w:rPr>
        <w:t>Posted by: California Dept. of Education – May 2026</w:t>
      </w:r>
    </w:p>
    <w:sectPr w:rsidR="0086247B" w:rsidSect="000A00C1">
      <w:pgSz w:w="15840" w:h="12240" w:orient="landscape"/>
      <w:pgMar w:top="1501" w:right="1440" w:bottom="150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A1C7D" w14:textId="77777777" w:rsidR="00EB456E" w:rsidRDefault="00EB456E" w:rsidP="00F161E2">
      <w:pPr>
        <w:spacing w:before="0" w:after="0"/>
      </w:pPr>
      <w:r>
        <w:separator/>
      </w:r>
    </w:p>
  </w:endnote>
  <w:endnote w:type="continuationSeparator" w:id="0">
    <w:p w14:paraId="5AAD7DD5" w14:textId="77777777" w:rsidR="00EB456E" w:rsidRDefault="00EB456E" w:rsidP="00F161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782F3" w14:textId="30FC1104" w:rsidR="00F161E2" w:rsidRDefault="00F161E2">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0A9C" w14:textId="26E10B21" w:rsidR="00076110" w:rsidRDefault="00076110">
    <w:pPr>
      <w:pStyle w:val="Footer"/>
      <w:jc w:val="cen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22039" w14:textId="77777777" w:rsidR="00EB456E" w:rsidRDefault="00EB456E" w:rsidP="00F161E2">
      <w:pPr>
        <w:spacing w:before="0" w:after="0"/>
      </w:pPr>
      <w:r>
        <w:separator/>
      </w:r>
    </w:p>
  </w:footnote>
  <w:footnote w:type="continuationSeparator" w:id="0">
    <w:p w14:paraId="008D0FDA" w14:textId="77777777" w:rsidR="00EB456E" w:rsidRDefault="00EB456E" w:rsidP="00F161E2">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83F05"/>
    <w:multiLevelType w:val="hybridMultilevel"/>
    <w:tmpl w:val="DAD2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A575E"/>
    <w:multiLevelType w:val="multilevel"/>
    <w:tmpl w:val="DE8E9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2A6412"/>
    <w:multiLevelType w:val="hybridMultilevel"/>
    <w:tmpl w:val="95EE4342"/>
    <w:styleLink w:val="ImportedStyle15"/>
    <w:lvl w:ilvl="0" w:tplc="C8BA13B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550FC9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624A2C5E">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7EBEDA94">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38C2BF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54EB57C">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DCAC5E5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D0707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856E529C">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08D807FA"/>
    <w:multiLevelType w:val="hybridMultilevel"/>
    <w:tmpl w:val="45765022"/>
    <w:styleLink w:val="ImportedStyle19"/>
    <w:lvl w:ilvl="0" w:tplc="823E0EB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72A1D7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349EF35C">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C405BC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E502548">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8BED2C2">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1368BAD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49E912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A6A84CC">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0DC33250"/>
    <w:multiLevelType w:val="multilevel"/>
    <w:tmpl w:val="BBAA0AE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D91A49"/>
    <w:multiLevelType w:val="hybridMultilevel"/>
    <w:tmpl w:val="44F83F0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CA21986"/>
    <w:multiLevelType w:val="multilevel"/>
    <w:tmpl w:val="9DBE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3B63A1E"/>
    <w:multiLevelType w:val="hybridMultilevel"/>
    <w:tmpl w:val="83A86D72"/>
    <w:styleLink w:val="ImportedStyle18"/>
    <w:lvl w:ilvl="0" w:tplc="25440EB0">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BBB0DCC6">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2214B928">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A63E3A0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B1B2740E">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EE89668">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B1A8EB42">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D9E2642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488C731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28712C59"/>
    <w:multiLevelType w:val="hybridMultilevel"/>
    <w:tmpl w:val="AA9EDBAA"/>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A801A0C"/>
    <w:multiLevelType w:val="multilevel"/>
    <w:tmpl w:val="0AE409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A774B8"/>
    <w:multiLevelType w:val="hybridMultilevel"/>
    <w:tmpl w:val="F6CCB5BE"/>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B6C048F"/>
    <w:multiLevelType w:val="hybridMultilevel"/>
    <w:tmpl w:val="3B3CC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81CAB"/>
    <w:multiLevelType w:val="hybridMultilevel"/>
    <w:tmpl w:val="E59E8330"/>
    <w:styleLink w:val="ImportedStyle14"/>
    <w:lvl w:ilvl="0" w:tplc="4BDA57B4">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40080F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836C76C">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02E5F6A">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0745628">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D8DE528E">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AC2ACD0">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D0ECA94">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D6A87C">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34735B8A"/>
    <w:multiLevelType w:val="hybridMultilevel"/>
    <w:tmpl w:val="142C2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1820CB"/>
    <w:multiLevelType w:val="hybridMultilevel"/>
    <w:tmpl w:val="63DA3C6E"/>
    <w:styleLink w:val="ImportedStyle17"/>
    <w:lvl w:ilvl="0" w:tplc="D4565DCA">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875C73DA">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FC07BA4">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CAC6824E">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4CCA60DA">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9C8358A">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7336807E">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3984124">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6E5AD784">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98B3CEC"/>
    <w:multiLevelType w:val="multilevel"/>
    <w:tmpl w:val="73BA16F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B4621BD"/>
    <w:multiLevelType w:val="multilevel"/>
    <w:tmpl w:val="2C2615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C000C8E"/>
    <w:multiLevelType w:val="multilevel"/>
    <w:tmpl w:val="C644D15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E27C94"/>
    <w:multiLevelType w:val="hybridMultilevel"/>
    <w:tmpl w:val="15801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C2038A9"/>
    <w:multiLevelType w:val="hybridMultilevel"/>
    <w:tmpl w:val="0922A6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FA60E2"/>
    <w:multiLevelType w:val="hybridMultilevel"/>
    <w:tmpl w:val="5F9AEEB2"/>
    <w:lvl w:ilvl="0" w:tplc="B9407B98">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1B1C2E"/>
    <w:multiLevelType w:val="hybridMultilevel"/>
    <w:tmpl w:val="AA9EDBA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ED4ED2"/>
    <w:multiLevelType w:val="multilevel"/>
    <w:tmpl w:val="04684F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C70110C"/>
    <w:multiLevelType w:val="hybridMultilevel"/>
    <w:tmpl w:val="11BE29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5F2F84"/>
    <w:multiLevelType w:val="multilevel"/>
    <w:tmpl w:val="53EC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065530D"/>
    <w:multiLevelType w:val="hybridMultilevel"/>
    <w:tmpl w:val="E59E8330"/>
    <w:numStyleLink w:val="ImportedStyle14"/>
  </w:abstractNum>
  <w:abstractNum w:abstractNumId="26" w15:restartNumberingAfterBreak="0">
    <w:nsid w:val="628D7A44"/>
    <w:multiLevelType w:val="hybridMultilevel"/>
    <w:tmpl w:val="B65C92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7D3E2E"/>
    <w:multiLevelType w:val="multilevel"/>
    <w:tmpl w:val="D7382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E724D1E"/>
    <w:multiLevelType w:val="hybridMultilevel"/>
    <w:tmpl w:val="EC285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0D84D6E"/>
    <w:multiLevelType w:val="hybridMultilevel"/>
    <w:tmpl w:val="68AE56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0D5A5F"/>
    <w:multiLevelType w:val="hybridMultilevel"/>
    <w:tmpl w:val="F730766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1191FAE"/>
    <w:multiLevelType w:val="multilevel"/>
    <w:tmpl w:val="1CAE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2514DB7"/>
    <w:multiLevelType w:val="hybridMultilevel"/>
    <w:tmpl w:val="6BFC28C6"/>
    <w:styleLink w:val="ImportedStyle16"/>
    <w:lvl w:ilvl="0" w:tplc="BD887DFE">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C1C871C">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D34EEE28">
      <w:start w:val="1"/>
      <w:numFmt w:val="lowerRoman"/>
      <w:lvlText w:val="%3."/>
      <w:lvlJc w:val="left"/>
      <w:pPr>
        <w:ind w:left="2880" w:hanging="313"/>
      </w:pPr>
      <w:rPr>
        <w:rFonts w:hAnsi="Arial Unicode MS"/>
        <w:caps w:val="0"/>
        <w:smallCaps w:val="0"/>
        <w:strike w:val="0"/>
        <w:dstrike w:val="0"/>
        <w:outline w:val="0"/>
        <w:emboss w:val="0"/>
        <w:imprint w:val="0"/>
        <w:spacing w:val="0"/>
        <w:w w:val="100"/>
        <w:kern w:val="0"/>
        <w:position w:val="0"/>
        <w:highlight w:val="none"/>
        <w:vertAlign w:val="baseline"/>
      </w:rPr>
    </w:lvl>
    <w:lvl w:ilvl="3" w:tplc="F78C46EA">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3448C2C">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DE1C7552">
      <w:start w:val="1"/>
      <w:numFmt w:val="lowerRoman"/>
      <w:lvlText w:val="%6."/>
      <w:lvlJc w:val="left"/>
      <w:pPr>
        <w:ind w:left="5040" w:hanging="313"/>
      </w:pPr>
      <w:rPr>
        <w:rFonts w:hAnsi="Arial Unicode MS"/>
        <w:caps w:val="0"/>
        <w:smallCaps w:val="0"/>
        <w:strike w:val="0"/>
        <w:dstrike w:val="0"/>
        <w:outline w:val="0"/>
        <w:emboss w:val="0"/>
        <w:imprint w:val="0"/>
        <w:spacing w:val="0"/>
        <w:w w:val="100"/>
        <w:kern w:val="0"/>
        <w:position w:val="0"/>
        <w:highlight w:val="none"/>
        <w:vertAlign w:val="baseline"/>
      </w:rPr>
    </w:lvl>
    <w:lvl w:ilvl="6" w:tplc="45508324">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FD0732A">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4C4A4AC">
      <w:start w:val="1"/>
      <w:numFmt w:val="lowerRoman"/>
      <w:lvlText w:val="%9."/>
      <w:lvlJc w:val="left"/>
      <w:pPr>
        <w:ind w:left="7200" w:hanging="31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77B40B4F"/>
    <w:multiLevelType w:val="multilevel"/>
    <w:tmpl w:val="3198F6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91F61D8"/>
    <w:multiLevelType w:val="multilevel"/>
    <w:tmpl w:val="CC7AE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356100"/>
    <w:multiLevelType w:val="multilevel"/>
    <w:tmpl w:val="D7382F1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2"/>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61441718">
    <w:abstractNumId w:val="10"/>
  </w:num>
  <w:num w:numId="2" w16cid:durableId="1964773501">
    <w:abstractNumId w:val="18"/>
  </w:num>
  <w:num w:numId="3" w16cid:durableId="812527739">
    <w:abstractNumId w:val="11"/>
  </w:num>
  <w:num w:numId="4" w16cid:durableId="1678264324">
    <w:abstractNumId w:val="0"/>
  </w:num>
  <w:num w:numId="5" w16cid:durableId="566768259">
    <w:abstractNumId w:val="19"/>
  </w:num>
  <w:num w:numId="6" w16cid:durableId="1367682470">
    <w:abstractNumId w:val="26"/>
  </w:num>
  <w:num w:numId="7" w16cid:durableId="1594822598">
    <w:abstractNumId w:val="5"/>
  </w:num>
  <w:num w:numId="8" w16cid:durableId="1413890415">
    <w:abstractNumId w:val="29"/>
  </w:num>
  <w:num w:numId="9" w16cid:durableId="2122451100">
    <w:abstractNumId w:val="30"/>
  </w:num>
  <w:num w:numId="10" w16cid:durableId="1878807526">
    <w:abstractNumId w:val="12"/>
  </w:num>
  <w:num w:numId="11" w16cid:durableId="1473982126">
    <w:abstractNumId w:val="25"/>
  </w:num>
  <w:num w:numId="12" w16cid:durableId="565189090">
    <w:abstractNumId w:val="2"/>
  </w:num>
  <w:num w:numId="13" w16cid:durableId="1750035145">
    <w:abstractNumId w:val="32"/>
  </w:num>
  <w:num w:numId="14" w16cid:durableId="862284926">
    <w:abstractNumId w:val="14"/>
  </w:num>
  <w:num w:numId="15" w16cid:durableId="857889094">
    <w:abstractNumId w:val="7"/>
  </w:num>
  <w:num w:numId="16" w16cid:durableId="715550270">
    <w:abstractNumId w:val="3"/>
  </w:num>
  <w:num w:numId="17" w16cid:durableId="1180005102">
    <w:abstractNumId w:val="4"/>
  </w:num>
  <w:num w:numId="18" w16cid:durableId="1378627589">
    <w:abstractNumId w:val="1"/>
  </w:num>
  <w:num w:numId="19" w16cid:durableId="1607611676">
    <w:abstractNumId w:val="13"/>
  </w:num>
  <w:num w:numId="20" w16cid:durableId="250821485">
    <w:abstractNumId w:val="23"/>
  </w:num>
  <w:num w:numId="21" w16cid:durableId="713427379">
    <w:abstractNumId w:val="20"/>
  </w:num>
  <w:num w:numId="22" w16cid:durableId="1286934216">
    <w:abstractNumId w:val="27"/>
  </w:num>
  <w:num w:numId="23" w16cid:durableId="1855419938">
    <w:abstractNumId w:val="16"/>
  </w:num>
  <w:num w:numId="24" w16cid:durableId="215288177">
    <w:abstractNumId w:val="24"/>
  </w:num>
  <w:num w:numId="25" w16cid:durableId="736319312">
    <w:abstractNumId w:val="21"/>
  </w:num>
  <w:num w:numId="26" w16cid:durableId="374626343">
    <w:abstractNumId w:val="8"/>
  </w:num>
  <w:num w:numId="27" w16cid:durableId="430704404">
    <w:abstractNumId w:val="35"/>
  </w:num>
  <w:num w:numId="28" w16cid:durableId="1083529051">
    <w:abstractNumId w:val="33"/>
  </w:num>
  <w:num w:numId="29" w16cid:durableId="1941831685">
    <w:abstractNumId w:val="34"/>
  </w:num>
  <w:num w:numId="30" w16cid:durableId="991443428">
    <w:abstractNumId w:val="22"/>
  </w:num>
  <w:num w:numId="31" w16cid:durableId="394816448">
    <w:abstractNumId w:val="6"/>
  </w:num>
  <w:num w:numId="32" w16cid:durableId="492840163">
    <w:abstractNumId w:val="31"/>
  </w:num>
  <w:num w:numId="33" w16cid:durableId="166874306">
    <w:abstractNumId w:val="28"/>
  </w:num>
  <w:num w:numId="34" w16cid:durableId="1947468384">
    <w:abstractNumId w:val="15"/>
  </w:num>
  <w:num w:numId="35" w16cid:durableId="1151947268">
    <w:abstractNumId w:val="9"/>
  </w:num>
  <w:num w:numId="36" w16cid:durableId="1286042977">
    <w:abstractNumId w:val="1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50B"/>
    <w:rsid w:val="000009EC"/>
    <w:rsid w:val="000115BB"/>
    <w:rsid w:val="0001447A"/>
    <w:rsid w:val="000153BB"/>
    <w:rsid w:val="000243C0"/>
    <w:rsid w:val="00027786"/>
    <w:rsid w:val="000444FE"/>
    <w:rsid w:val="00047E37"/>
    <w:rsid w:val="00052151"/>
    <w:rsid w:val="000618C9"/>
    <w:rsid w:val="00073C78"/>
    <w:rsid w:val="00076110"/>
    <w:rsid w:val="00076FCC"/>
    <w:rsid w:val="00077016"/>
    <w:rsid w:val="00077DC3"/>
    <w:rsid w:val="000808A2"/>
    <w:rsid w:val="00083AF5"/>
    <w:rsid w:val="00085C87"/>
    <w:rsid w:val="00095950"/>
    <w:rsid w:val="00096C25"/>
    <w:rsid w:val="000A00C1"/>
    <w:rsid w:val="000A3A10"/>
    <w:rsid w:val="000A42A4"/>
    <w:rsid w:val="000A56E2"/>
    <w:rsid w:val="000A6422"/>
    <w:rsid w:val="000B48FA"/>
    <w:rsid w:val="000B71BA"/>
    <w:rsid w:val="000B7CD7"/>
    <w:rsid w:val="000D07EE"/>
    <w:rsid w:val="000D1136"/>
    <w:rsid w:val="000D1A3B"/>
    <w:rsid w:val="000E616F"/>
    <w:rsid w:val="001031A7"/>
    <w:rsid w:val="001160F3"/>
    <w:rsid w:val="00116CDB"/>
    <w:rsid w:val="001174C4"/>
    <w:rsid w:val="00121EE9"/>
    <w:rsid w:val="001311A8"/>
    <w:rsid w:val="001329AF"/>
    <w:rsid w:val="00132EAB"/>
    <w:rsid w:val="00135915"/>
    <w:rsid w:val="001366BF"/>
    <w:rsid w:val="00142485"/>
    <w:rsid w:val="00143783"/>
    <w:rsid w:val="00145E42"/>
    <w:rsid w:val="00156EB4"/>
    <w:rsid w:val="001644D3"/>
    <w:rsid w:val="00170928"/>
    <w:rsid w:val="001730C8"/>
    <w:rsid w:val="00174E3B"/>
    <w:rsid w:val="00182477"/>
    <w:rsid w:val="00184B5A"/>
    <w:rsid w:val="001855CC"/>
    <w:rsid w:val="001952C1"/>
    <w:rsid w:val="00196133"/>
    <w:rsid w:val="001A3C33"/>
    <w:rsid w:val="001B66E3"/>
    <w:rsid w:val="001C0D3E"/>
    <w:rsid w:val="001C1282"/>
    <w:rsid w:val="001D36E7"/>
    <w:rsid w:val="001F3DFA"/>
    <w:rsid w:val="001F683A"/>
    <w:rsid w:val="002030CB"/>
    <w:rsid w:val="00231CBB"/>
    <w:rsid w:val="002360C1"/>
    <w:rsid w:val="00237375"/>
    <w:rsid w:val="0024113E"/>
    <w:rsid w:val="00242B1B"/>
    <w:rsid w:val="002455EA"/>
    <w:rsid w:val="002464CF"/>
    <w:rsid w:val="00255290"/>
    <w:rsid w:val="00257786"/>
    <w:rsid w:val="00281779"/>
    <w:rsid w:val="00281C47"/>
    <w:rsid w:val="002825A9"/>
    <w:rsid w:val="00297D6D"/>
    <w:rsid w:val="002A68EC"/>
    <w:rsid w:val="002B0472"/>
    <w:rsid w:val="002B5AA5"/>
    <w:rsid w:val="002C0733"/>
    <w:rsid w:val="002C29E9"/>
    <w:rsid w:val="002C359B"/>
    <w:rsid w:val="002D0B14"/>
    <w:rsid w:val="002D3108"/>
    <w:rsid w:val="002D4B8B"/>
    <w:rsid w:val="002D7D6F"/>
    <w:rsid w:val="002E0594"/>
    <w:rsid w:val="002E260F"/>
    <w:rsid w:val="00302104"/>
    <w:rsid w:val="00312BB6"/>
    <w:rsid w:val="00321C98"/>
    <w:rsid w:val="003271DA"/>
    <w:rsid w:val="0032753B"/>
    <w:rsid w:val="003365E8"/>
    <w:rsid w:val="00337CB2"/>
    <w:rsid w:val="00364FD0"/>
    <w:rsid w:val="0036709A"/>
    <w:rsid w:val="0037334C"/>
    <w:rsid w:val="0037382D"/>
    <w:rsid w:val="003806CB"/>
    <w:rsid w:val="00380969"/>
    <w:rsid w:val="00381217"/>
    <w:rsid w:val="00384E71"/>
    <w:rsid w:val="00392E85"/>
    <w:rsid w:val="003932EF"/>
    <w:rsid w:val="00394FE2"/>
    <w:rsid w:val="003950CB"/>
    <w:rsid w:val="003A0CF3"/>
    <w:rsid w:val="003A45BA"/>
    <w:rsid w:val="003B0420"/>
    <w:rsid w:val="003B1288"/>
    <w:rsid w:val="003B3839"/>
    <w:rsid w:val="003C2E31"/>
    <w:rsid w:val="003C7CA1"/>
    <w:rsid w:val="003D0848"/>
    <w:rsid w:val="003E1675"/>
    <w:rsid w:val="003F1922"/>
    <w:rsid w:val="003F2C04"/>
    <w:rsid w:val="0040374E"/>
    <w:rsid w:val="00405AC3"/>
    <w:rsid w:val="0040765F"/>
    <w:rsid w:val="00420F38"/>
    <w:rsid w:val="00421C9C"/>
    <w:rsid w:val="00435A7B"/>
    <w:rsid w:val="004435AA"/>
    <w:rsid w:val="00444E24"/>
    <w:rsid w:val="00466253"/>
    <w:rsid w:val="00466352"/>
    <w:rsid w:val="00470D4B"/>
    <w:rsid w:val="00481EA0"/>
    <w:rsid w:val="00494D5F"/>
    <w:rsid w:val="00494E26"/>
    <w:rsid w:val="004A0730"/>
    <w:rsid w:val="004A1D6F"/>
    <w:rsid w:val="004A361A"/>
    <w:rsid w:val="004C1B8D"/>
    <w:rsid w:val="004D3D05"/>
    <w:rsid w:val="004E048B"/>
    <w:rsid w:val="004E6F97"/>
    <w:rsid w:val="004E7000"/>
    <w:rsid w:val="005002A2"/>
    <w:rsid w:val="00506139"/>
    <w:rsid w:val="00511716"/>
    <w:rsid w:val="005169BC"/>
    <w:rsid w:val="00520D5C"/>
    <w:rsid w:val="0052242B"/>
    <w:rsid w:val="0054197C"/>
    <w:rsid w:val="005433CE"/>
    <w:rsid w:val="0054512A"/>
    <w:rsid w:val="00555154"/>
    <w:rsid w:val="00557AD7"/>
    <w:rsid w:val="0056452E"/>
    <w:rsid w:val="0056595A"/>
    <w:rsid w:val="00567BF3"/>
    <w:rsid w:val="00573DC2"/>
    <w:rsid w:val="00576C85"/>
    <w:rsid w:val="00576FB1"/>
    <w:rsid w:val="00582E81"/>
    <w:rsid w:val="005868D7"/>
    <w:rsid w:val="005A51F0"/>
    <w:rsid w:val="005B213F"/>
    <w:rsid w:val="005C0D13"/>
    <w:rsid w:val="005C114D"/>
    <w:rsid w:val="005C37EF"/>
    <w:rsid w:val="005C5FAE"/>
    <w:rsid w:val="005D7355"/>
    <w:rsid w:val="005D7F9E"/>
    <w:rsid w:val="005E04F1"/>
    <w:rsid w:val="005E274B"/>
    <w:rsid w:val="005E58F9"/>
    <w:rsid w:val="005F09C6"/>
    <w:rsid w:val="005F7346"/>
    <w:rsid w:val="00604352"/>
    <w:rsid w:val="00606521"/>
    <w:rsid w:val="00607BEC"/>
    <w:rsid w:val="0061322F"/>
    <w:rsid w:val="0061365F"/>
    <w:rsid w:val="00615DA2"/>
    <w:rsid w:val="00620E9C"/>
    <w:rsid w:val="006315CE"/>
    <w:rsid w:val="00635598"/>
    <w:rsid w:val="00645B74"/>
    <w:rsid w:val="00651B98"/>
    <w:rsid w:val="006520B0"/>
    <w:rsid w:val="00653234"/>
    <w:rsid w:val="006558AA"/>
    <w:rsid w:val="006565E0"/>
    <w:rsid w:val="0068672C"/>
    <w:rsid w:val="00686939"/>
    <w:rsid w:val="00697383"/>
    <w:rsid w:val="006A09C5"/>
    <w:rsid w:val="006B2943"/>
    <w:rsid w:val="006B46A3"/>
    <w:rsid w:val="006B64B4"/>
    <w:rsid w:val="006C2528"/>
    <w:rsid w:val="006C7E16"/>
    <w:rsid w:val="006D5261"/>
    <w:rsid w:val="006E55FC"/>
    <w:rsid w:val="006E73FA"/>
    <w:rsid w:val="00704062"/>
    <w:rsid w:val="007061E3"/>
    <w:rsid w:val="00707E43"/>
    <w:rsid w:val="00714587"/>
    <w:rsid w:val="00716076"/>
    <w:rsid w:val="00725B62"/>
    <w:rsid w:val="00742103"/>
    <w:rsid w:val="00747E4E"/>
    <w:rsid w:val="007750A7"/>
    <w:rsid w:val="00791B87"/>
    <w:rsid w:val="00792CD3"/>
    <w:rsid w:val="0079446C"/>
    <w:rsid w:val="007A12B7"/>
    <w:rsid w:val="007A30DE"/>
    <w:rsid w:val="007A3CA7"/>
    <w:rsid w:val="007A74FD"/>
    <w:rsid w:val="007B4C5F"/>
    <w:rsid w:val="007C5747"/>
    <w:rsid w:val="007E392E"/>
    <w:rsid w:val="007E4FCE"/>
    <w:rsid w:val="007E755F"/>
    <w:rsid w:val="00801F92"/>
    <w:rsid w:val="00803281"/>
    <w:rsid w:val="00816CBA"/>
    <w:rsid w:val="00821DA4"/>
    <w:rsid w:val="00830F50"/>
    <w:rsid w:val="00833D4E"/>
    <w:rsid w:val="00834A3B"/>
    <w:rsid w:val="00834F5E"/>
    <w:rsid w:val="00836901"/>
    <w:rsid w:val="00845541"/>
    <w:rsid w:val="00850EDC"/>
    <w:rsid w:val="0086247B"/>
    <w:rsid w:val="0086667E"/>
    <w:rsid w:val="00866FFE"/>
    <w:rsid w:val="008741EC"/>
    <w:rsid w:val="008778CD"/>
    <w:rsid w:val="00877F7E"/>
    <w:rsid w:val="008822F2"/>
    <w:rsid w:val="0088458B"/>
    <w:rsid w:val="00891F43"/>
    <w:rsid w:val="008A1BD8"/>
    <w:rsid w:val="008C43A4"/>
    <w:rsid w:val="008C5C3E"/>
    <w:rsid w:val="008D5068"/>
    <w:rsid w:val="008D53EF"/>
    <w:rsid w:val="008D6F19"/>
    <w:rsid w:val="008E0AB8"/>
    <w:rsid w:val="008F0716"/>
    <w:rsid w:val="0090430D"/>
    <w:rsid w:val="009064EE"/>
    <w:rsid w:val="009208DA"/>
    <w:rsid w:val="00920A55"/>
    <w:rsid w:val="00924173"/>
    <w:rsid w:val="00933D81"/>
    <w:rsid w:val="00933FE3"/>
    <w:rsid w:val="00937369"/>
    <w:rsid w:val="0094545E"/>
    <w:rsid w:val="00950D50"/>
    <w:rsid w:val="0095307A"/>
    <w:rsid w:val="0095380A"/>
    <w:rsid w:val="00972583"/>
    <w:rsid w:val="009809BA"/>
    <w:rsid w:val="00982B90"/>
    <w:rsid w:val="009834E1"/>
    <w:rsid w:val="00983E1C"/>
    <w:rsid w:val="009875B3"/>
    <w:rsid w:val="00987BCF"/>
    <w:rsid w:val="009A30FD"/>
    <w:rsid w:val="009A5043"/>
    <w:rsid w:val="009B2457"/>
    <w:rsid w:val="009B331D"/>
    <w:rsid w:val="009B403B"/>
    <w:rsid w:val="009B640D"/>
    <w:rsid w:val="009B6A98"/>
    <w:rsid w:val="009D54C3"/>
    <w:rsid w:val="009D6A9F"/>
    <w:rsid w:val="009D74B1"/>
    <w:rsid w:val="009E4A4D"/>
    <w:rsid w:val="009E4A98"/>
    <w:rsid w:val="009E4D5E"/>
    <w:rsid w:val="00A01007"/>
    <w:rsid w:val="00A0378A"/>
    <w:rsid w:val="00A037D9"/>
    <w:rsid w:val="00A50488"/>
    <w:rsid w:val="00A56DFF"/>
    <w:rsid w:val="00A6335D"/>
    <w:rsid w:val="00A65211"/>
    <w:rsid w:val="00A7372A"/>
    <w:rsid w:val="00A90226"/>
    <w:rsid w:val="00AA093B"/>
    <w:rsid w:val="00AA5CE7"/>
    <w:rsid w:val="00AA7676"/>
    <w:rsid w:val="00AD3D72"/>
    <w:rsid w:val="00AD4BE8"/>
    <w:rsid w:val="00AD72D0"/>
    <w:rsid w:val="00AD73BE"/>
    <w:rsid w:val="00AE2570"/>
    <w:rsid w:val="00AE6F3B"/>
    <w:rsid w:val="00AE7BEA"/>
    <w:rsid w:val="00AF66B5"/>
    <w:rsid w:val="00B0319B"/>
    <w:rsid w:val="00B04446"/>
    <w:rsid w:val="00B05A3F"/>
    <w:rsid w:val="00B22457"/>
    <w:rsid w:val="00B239E0"/>
    <w:rsid w:val="00B37387"/>
    <w:rsid w:val="00B40C59"/>
    <w:rsid w:val="00B43E0F"/>
    <w:rsid w:val="00B466DB"/>
    <w:rsid w:val="00B51765"/>
    <w:rsid w:val="00B5301A"/>
    <w:rsid w:val="00B57EA3"/>
    <w:rsid w:val="00B62E36"/>
    <w:rsid w:val="00B652A7"/>
    <w:rsid w:val="00B705F1"/>
    <w:rsid w:val="00B71068"/>
    <w:rsid w:val="00B751C1"/>
    <w:rsid w:val="00B83813"/>
    <w:rsid w:val="00B83D6B"/>
    <w:rsid w:val="00B8638B"/>
    <w:rsid w:val="00B912BA"/>
    <w:rsid w:val="00B94724"/>
    <w:rsid w:val="00B9642E"/>
    <w:rsid w:val="00BA3B97"/>
    <w:rsid w:val="00BA6318"/>
    <w:rsid w:val="00BA760E"/>
    <w:rsid w:val="00BB6A4A"/>
    <w:rsid w:val="00BB6D5E"/>
    <w:rsid w:val="00BC1281"/>
    <w:rsid w:val="00BC6B22"/>
    <w:rsid w:val="00BD1B1A"/>
    <w:rsid w:val="00BD727D"/>
    <w:rsid w:val="00BD7E6E"/>
    <w:rsid w:val="00BE00D5"/>
    <w:rsid w:val="00BE4089"/>
    <w:rsid w:val="00BE6224"/>
    <w:rsid w:val="00BF2141"/>
    <w:rsid w:val="00BF4013"/>
    <w:rsid w:val="00BF4F24"/>
    <w:rsid w:val="00BF7C69"/>
    <w:rsid w:val="00C062D5"/>
    <w:rsid w:val="00C118C9"/>
    <w:rsid w:val="00C2056B"/>
    <w:rsid w:val="00C35853"/>
    <w:rsid w:val="00C47E35"/>
    <w:rsid w:val="00C601D7"/>
    <w:rsid w:val="00C63815"/>
    <w:rsid w:val="00C721BA"/>
    <w:rsid w:val="00C72D88"/>
    <w:rsid w:val="00C90A12"/>
    <w:rsid w:val="00C96BF0"/>
    <w:rsid w:val="00CA367D"/>
    <w:rsid w:val="00CA6C1D"/>
    <w:rsid w:val="00CB18FC"/>
    <w:rsid w:val="00CB3A0C"/>
    <w:rsid w:val="00CB5852"/>
    <w:rsid w:val="00CC061A"/>
    <w:rsid w:val="00CC48D4"/>
    <w:rsid w:val="00CD00A1"/>
    <w:rsid w:val="00CD12CF"/>
    <w:rsid w:val="00CD78E0"/>
    <w:rsid w:val="00CF26B5"/>
    <w:rsid w:val="00D00717"/>
    <w:rsid w:val="00D03970"/>
    <w:rsid w:val="00D03FAC"/>
    <w:rsid w:val="00D054F0"/>
    <w:rsid w:val="00D05D3B"/>
    <w:rsid w:val="00D05DFB"/>
    <w:rsid w:val="00D17CF0"/>
    <w:rsid w:val="00D239B1"/>
    <w:rsid w:val="00D2435D"/>
    <w:rsid w:val="00D3699B"/>
    <w:rsid w:val="00D52D17"/>
    <w:rsid w:val="00D66230"/>
    <w:rsid w:val="00D67C2E"/>
    <w:rsid w:val="00D7457D"/>
    <w:rsid w:val="00D76EC9"/>
    <w:rsid w:val="00D878DC"/>
    <w:rsid w:val="00D909EE"/>
    <w:rsid w:val="00D940A1"/>
    <w:rsid w:val="00D976F8"/>
    <w:rsid w:val="00DB28BD"/>
    <w:rsid w:val="00DC2027"/>
    <w:rsid w:val="00DC383C"/>
    <w:rsid w:val="00DC7451"/>
    <w:rsid w:val="00DD0726"/>
    <w:rsid w:val="00DD148C"/>
    <w:rsid w:val="00DD363A"/>
    <w:rsid w:val="00DD3FB7"/>
    <w:rsid w:val="00DD4063"/>
    <w:rsid w:val="00DD71ED"/>
    <w:rsid w:val="00DE176E"/>
    <w:rsid w:val="00DE250B"/>
    <w:rsid w:val="00DE3A54"/>
    <w:rsid w:val="00E00135"/>
    <w:rsid w:val="00E3286E"/>
    <w:rsid w:val="00E33FF7"/>
    <w:rsid w:val="00E3590A"/>
    <w:rsid w:val="00E40F48"/>
    <w:rsid w:val="00E547BC"/>
    <w:rsid w:val="00E5571A"/>
    <w:rsid w:val="00E641E4"/>
    <w:rsid w:val="00E64E73"/>
    <w:rsid w:val="00E76111"/>
    <w:rsid w:val="00E83A53"/>
    <w:rsid w:val="00E84A41"/>
    <w:rsid w:val="00E9148A"/>
    <w:rsid w:val="00E93375"/>
    <w:rsid w:val="00E94626"/>
    <w:rsid w:val="00E94E4A"/>
    <w:rsid w:val="00EB456E"/>
    <w:rsid w:val="00EB4908"/>
    <w:rsid w:val="00EC4DB9"/>
    <w:rsid w:val="00EC5984"/>
    <w:rsid w:val="00EC6BE5"/>
    <w:rsid w:val="00EF2C59"/>
    <w:rsid w:val="00F00508"/>
    <w:rsid w:val="00F04C27"/>
    <w:rsid w:val="00F054C3"/>
    <w:rsid w:val="00F05808"/>
    <w:rsid w:val="00F1173E"/>
    <w:rsid w:val="00F1229D"/>
    <w:rsid w:val="00F161E2"/>
    <w:rsid w:val="00F230EC"/>
    <w:rsid w:val="00F3665F"/>
    <w:rsid w:val="00F37630"/>
    <w:rsid w:val="00F3796D"/>
    <w:rsid w:val="00F37DFC"/>
    <w:rsid w:val="00F45E41"/>
    <w:rsid w:val="00F60ABE"/>
    <w:rsid w:val="00F70B79"/>
    <w:rsid w:val="00F73A13"/>
    <w:rsid w:val="00F76702"/>
    <w:rsid w:val="00F775D8"/>
    <w:rsid w:val="00F80308"/>
    <w:rsid w:val="00F8757D"/>
    <w:rsid w:val="00F92204"/>
    <w:rsid w:val="00F924E9"/>
    <w:rsid w:val="00FA7C14"/>
    <w:rsid w:val="00FB0840"/>
    <w:rsid w:val="00FB2FED"/>
    <w:rsid w:val="00FB3CDA"/>
    <w:rsid w:val="00FB7DB9"/>
    <w:rsid w:val="00FB7FD9"/>
    <w:rsid w:val="00FD13AA"/>
    <w:rsid w:val="00FD7A5D"/>
    <w:rsid w:val="00FF1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A947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3EF"/>
    <w:pPr>
      <w:spacing w:before="240" w:after="240" w:line="240" w:lineRule="auto"/>
    </w:pPr>
    <w:rPr>
      <w:rFonts w:ascii="Arial" w:hAnsi="Arial" w:cs="Arial"/>
    </w:rPr>
  </w:style>
  <w:style w:type="paragraph" w:styleId="Heading1">
    <w:name w:val="heading 1"/>
    <w:basedOn w:val="Title"/>
    <w:next w:val="Normal"/>
    <w:link w:val="Heading1Char"/>
    <w:uiPriority w:val="9"/>
    <w:qFormat/>
    <w:rsid w:val="00E94E4A"/>
    <w:pPr>
      <w:jc w:val="center"/>
      <w:outlineLvl w:val="0"/>
    </w:pPr>
    <w:rPr>
      <w:sz w:val="36"/>
      <w:szCs w:val="36"/>
    </w:rPr>
  </w:style>
  <w:style w:type="paragraph" w:styleId="Heading2">
    <w:name w:val="heading 2"/>
    <w:basedOn w:val="Normal"/>
    <w:next w:val="Normal"/>
    <w:link w:val="Heading2Char"/>
    <w:autoRedefine/>
    <w:uiPriority w:val="9"/>
    <w:unhideWhenUsed/>
    <w:qFormat/>
    <w:rsid w:val="00645B74"/>
    <w:pPr>
      <w:keepNext/>
      <w:keepLines/>
      <w:outlineLvl w:val="1"/>
    </w:pPr>
    <w:rPr>
      <w:rFonts w:eastAsiaTheme="majorEastAsia"/>
      <w:b/>
      <w:bCs/>
      <w:sz w:val="28"/>
      <w:szCs w:val="28"/>
    </w:rPr>
  </w:style>
  <w:style w:type="paragraph" w:styleId="Heading3">
    <w:name w:val="heading 3"/>
    <w:basedOn w:val="Normal"/>
    <w:next w:val="Normal"/>
    <w:link w:val="Heading3Char"/>
    <w:autoRedefine/>
    <w:uiPriority w:val="9"/>
    <w:unhideWhenUsed/>
    <w:qFormat/>
    <w:rsid w:val="00F924E9"/>
    <w:pPr>
      <w:keepNext/>
      <w:keepLines/>
      <w:spacing w:before="360"/>
      <w:ind w:left="540" w:hanging="540"/>
      <w:outlineLvl w:val="2"/>
    </w:pPr>
    <w:rPr>
      <w:rFonts w:eastAsia="Arial Unicode MS"/>
      <w:b/>
      <w:bCs/>
      <w:sz w:val="26"/>
      <w:szCs w:val="26"/>
    </w:rPr>
  </w:style>
  <w:style w:type="paragraph" w:styleId="Heading4">
    <w:name w:val="heading 4"/>
    <w:next w:val="Normal"/>
    <w:link w:val="Heading4Char"/>
    <w:uiPriority w:val="9"/>
    <w:unhideWhenUsed/>
    <w:qFormat/>
    <w:rsid w:val="00494D5F"/>
    <w:pPr>
      <w:keepNext/>
      <w:keepLines/>
      <w:spacing w:before="240" w:after="240"/>
      <w:outlineLvl w:val="3"/>
    </w:pPr>
    <w:rPr>
      <w:rFonts w:ascii="Arial" w:eastAsiaTheme="majorEastAsia" w:hAnsi="Arial" w:cstheme="majorBidi"/>
      <w:b/>
      <w:bCs/>
      <w:szCs w:val="32"/>
    </w:rPr>
  </w:style>
  <w:style w:type="paragraph" w:styleId="Heading6">
    <w:name w:val="heading 6"/>
    <w:basedOn w:val="Normal"/>
    <w:next w:val="Normal"/>
    <w:link w:val="Heading6Char"/>
    <w:uiPriority w:val="9"/>
    <w:semiHidden/>
    <w:unhideWhenUsed/>
    <w:qFormat/>
    <w:rsid w:val="00845541"/>
    <w:pPr>
      <w:keepNext/>
      <w:keepLines/>
      <w:spacing w:before="40" w:after="0"/>
      <w:outlineLvl w:val="5"/>
    </w:pPr>
    <w:rPr>
      <w:rFonts w:asciiTheme="majorHAnsi" w:eastAsiaTheme="majorEastAsia" w:hAnsiTheme="majorHAnsi" w:cstheme="majorBidi"/>
      <w:color w:val="0A2F4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924E9"/>
    <w:rPr>
      <w:rFonts w:ascii="Arial" w:eastAsia="Arial Unicode MS" w:hAnsi="Arial" w:cs="Arial"/>
      <w:b/>
      <w:bCs/>
      <w:sz w:val="26"/>
      <w:szCs w:val="26"/>
    </w:rPr>
  </w:style>
  <w:style w:type="paragraph" w:styleId="PlainText">
    <w:name w:val="Plain Text"/>
    <w:basedOn w:val="Normal"/>
    <w:link w:val="PlainTextChar"/>
    <w:uiPriority w:val="99"/>
    <w:unhideWhenUsed/>
    <w:rsid w:val="008350D5"/>
    <w:pPr>
      <w:spacing w:after="0"/>
    </w:pPr>
    <w:rPr>
      <w:rFonts w:ascii="Consolas" w:hAnsi="Consolas"/>
      <w:sz w:val="21"/>
      <w:szCs w:val="21"/>
    </w:rPr>
  </w:style>
  <w:style w:type="character" w:customStyle="1" w:styleId="PlainTextChar">
    <w:name w:val="Plain Text Char"/>
    <w:basedOn w:val="DefaultParagraphFont"/>
    <w:link w:val="PlainText"/>
    <w:uiPriority w:val="99"/>
    <w:rsid w:val="008350D5"/>
    <w:rPr>
      <w:rFonts w:ascii="Consolas" w:hAnsi="Consolas"/>
      <w:sz w:val="21"/>
      <w:szCs w:val="21"/>
    </w:rPr>
  </w:style>
  <w:style w:type="character" w:customStyle="1" w:styleId="Heading2Char">
    <w:name w:val="Heading 2 Char"/>
    <w:basedOn w:val="DefaultParagraphFont"/>
    <w:link w:val="Heading2"/>
    <w:uiPriority w:val="9"/>
    <w:rsid w:val="00645B74"/>
    <w:rPr>
      <w:rFonts w:ascii="Arial" w:eastAsiaTheme="majorEastAsia" w:hAnsi="Arial" w:cs="Arial"/>
      <w:b/>
      <w:bCs/>
      <w:sz w:val="28"/>
      <w:szCs w:val="28"/>
    </w:rPr>
  </w:style>
  <w:style w:type="character" w:customStyle="1" w:styleId="Heading4Char">
    <w:name w:val="Heading 4 Char"/>
    <w:basedOn w:val="DefaultParagraphFont"/>
    <w:link w:val="Heading4"/>
    <w:uiPriority w:val="9"/>
    <w:rsid w:val="00494D5F"/>
    <w:rPr>
      <w:rFonts w:ascii="Arial" w:eastAsiaTheme="majorEastAsia" w:hAnsi="Arial" w:cstheme="majorBidi"/>
      <w:b/>
      <w:bCs/>
      <w:szCs w:val="32"/>
    </w:rPr>
  </w:style>
  <w:style w:type="table" w:styleId="TableGrid">
    <w:name w:val="Table Grid"/>
    <w:basedOn w:val="TableNormal"/>
    <w:uiPriority w:val="39"/>
    <w:rsid w:val="005419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B22457"/>
    <w:pPr>
      <w:keepNext/>
      <w:keepLines/>
      <w:spacing w:before="480" w:after="120"/>
    </w:pPr>
    <w:rPr>
      <w:rFonts w:eastAsia="Arial"/>
      <w:b/>
      <w:kern w:val="0"/>
      <w:sz w:val="72"/>
      <w:szCs w:val="72"/>
      <w14:ligatures w14:val="none"/>
    </w:rPr>
  </w:style>
  <w:style w:type="character" w:customStyle="1" w:styleId="TitleChar">
    <w:name w:val="Title Char"/>
    <w:basedOn w:val="DefaultParagraphFont"/>
    <w:link w:val="Title"/>
    <w:uiPriority w:val="10"/>
    <w:rsid w:val="00B22457"/>
    <w:rPr>
      <w:rFonts w:ascii="Arial" w:eastAsia="Arial" w:hAnsi="Arial" w:cs="Arial"/>
      <w:b/>
      <w:kern w:val="0"/>
      <w:sz w:val="72"/>
      <w:szCs w:val="72"/>
      <w14:ligatures w14:val="none"/>
    </w:rPr>
  </w:style>
  <w:style w:type="character" w:customStyle="1" w:styleId="Heading1Char">
    <w:name w:val="Heading 1 Char"/>
    <w:basedOn w:val="DefaultParagraphFont"/>
    <w:link w:val="Heading1"/>
    <w:uiPriority w:val="9"/>
    <w:rsid w:val="00E94E4A"/>
    <w:rPr>
      <w:rFonts w:ascii="Arial" w:eastAsia="Arial" w:hAnsi="Arial" w:cs="Arial"/>
      <w:b/>
      <w:kern w:val="0"/>
      <w:sz w:val="36"/>
      <w:szCs w:val="36"/>
      <w14:ligatures w14:val="none"/>
    </w:rPr>
  </w:style>
  <w:style w:type="paragraph" w:styleId="TOCHeading">
    <w:name w:val="TOC Heading"/>
    <w:basedOn w:val="Heading1"/>
    <w:next w:val="Normal"/>
    <w:uiPriority w:val="39"/>
    <w:unhideWhenUsed/>
    <w:qFormat/>
    <w:rsid w:val="00494D5F"/>
    <w:pPr>
      <w:spacing w:line="259" w:lineRule="auto"/>
      <w:outlineLvl w:val="9"/>
    </w:pPr>
    <w:rPr>
      <w:b w:val="0"/>
    </w:rPr>
  </w:style>
  <w:style w:type="paragraph" w:styleId="TOC2">
    <w:name w:val="toc 2"/>
    <w:basedOn w:val="Normal"/>
    <w:next w:val="Normal"/>
    <w:autoRedefine/>
    <w:uiPriority w:val="39"/>
    <w:unhideWhenUsed/>
    <w:rsid w:val="00D909EE"/>
    <w:pPr>
      <w:tabs>
        <w:tab w:val="right" w:leader="dot" w:pos="9227"/>
      </w:tabs>
      <w:spacing w:before="60" w:after="0" w:line="360" w:lineRule="auto"/>
      <w:ind w:left="245"/>
    </w:pPr>
  </w:style>
  <w:style w:type="paragraph" w:styleId="TOC3">
    <w:name w:val="toc 3"/>
    <w:basedOn w:val="Normal"/>
    <w:next w:val="Normal"/>
    <w:autoRedefine/>
    <w:uiPriority w:val="39"/>
    <w:unhideWhenUsed/>
    <w:rsid w:val="006C2528"/>
    <w:pPr>
      <w:tabs>
        <w:tab w:val="right" w:leader="dot" w:pos="9227"/>
      </w:tabs>
      <w:spacing w:before="0" w:after="0" w:line="276" w:lineRule="auto"/>
      <w:ind w:left="480"/>
    </w:pPr>
  </w:style>
  <w:style w:type="character" w:styleId="Hyperlink">
    <w:name w:val="Hyperlink"/>
    <w:basedOn w:val="DefaultParagraphFont"/>
    <w:uiPriority w:val="99"/>
    <w:unhideWhenUsed/>
    <w:rsid w:val="00494D5F"/>
    <w:rPr>
      <w:color w:val="467886" w:themeColor="hyperlink"/>
      <w:u w:val="single"/>
    </w:rPr>
  </w:style>
  <w:style w:type="paragraph" w:styleId="TOC1">
    <w:name w:val="toc 1"/>
    <w:basedOn w:val="Normal"/>
    <w:next w:val="Normal"/>
    <w:autoRedefine/>
    <w:uiPriority w:val="39"/>
    <w:unhideWhenUsed/>
    <w:rsid w:val="00494D5F"/>
    <w:pPr>
      <w:spacing w:before="0" w:after="100" w:line="259" w:lineRule="auto"/>
    </w:pPr>
    <w:rPr>
      <w:rFonts w:asciiTheme="minorHAnsi" w:eastAsiaTheme="minorEastAsia" w:hAnsiTheme="minorHAnsi" w:cs="Times New Roman"/>
      <w:kern w:val="0"/>
      <w:sz w:val="22"/>
      <w:szCs w:val="22"/>
      <w14:ligatures w14:val="none"/>
    </w:rPr>
  </w:style>
  <w:style w:type="character" w:styleId="UnresolvedMention">
    <w:name w:val="Unresolved Mention"/>
    <w:basedOn w:val="DefaultParagraphFont"/>
    <w:uiPriority w:val="99"/>
    <w:semiHidden/>
    <w:unhideWhenUsed/>
    <w:rsid w:val="006C7E16"/>
    <w:rPr>
      <w:color w:val="605E5C"/>
      <w:shd w:val="clear" w:color="auto" w:fill="E1DFDD"/>
    </w:rPr>
  </w:style>
  <w:style w:type="character" w:styleId="FollowedHyperlink">
    <w:name w:val="FollowedHyperlink"/>
    <w:basedOn w:val="DefaultParagraphFont"/>
    <w:uiPriority w:val="99"/>
    <w:semiHidden/>
    <w:unhideWhenUsed/>
    <w:rsid w:val="006C7E16"/>
    <w:rPr>
      <w:color w:val="96607D" w:themeColor="followedHyperlink"/>
      <w:u w:val="single"/>
    </w:rPr>
  </w:style>
  <w:style w:type="paragraph" w:styleId="ListParagraph">
    <w:name w:val="List Paragraph"/>
    <w:basedOn w:val="Normal"/>
    <w:qFormat/>
    <w:rsid w:val="00920A55"/>
    <w:pPr>
      <w:widowControl w:val="0"/>
      <w:numPr>
        <w:numId w:val="21"/>
      </w:numPr>
      <w:spacing w:before="0" w:after="0"/>
      <w:contextualSpacing/>
    </w:pPr>
    <w:rPr>
      <w:rFonts w:eastAsia="Times New Roman"/>
      <w:snapToGrid w:val="0"/>
      <w:kern w:val="0"/>
      <w14:ligatures w14:val="none"/>
    </w:rPr>
  </w:style>
  <w:style w:type="character" w:customStyle="1" w:styleId="Heading6Char">
    <w:name w:val="Heading 6 Char"/>
    <w:basedOn w:val="DefaultParagraphFont"/>
    <w:link w:val="Heading6"/>
    <w:uiPriority w:val="9"/>
    <w:semiHidden/>
    <w:rsid w:val="00845541"/>
    <w:rPr>
      <w:rFonts w:asciiTheme="majorHAnsi" w:eastAsiaTheme="majorEastAsia" w:hAnsiTheme="majorHAnsi" w:cstheme="majorBidi"/>
      <w:color w:val="0A2F40" w:themeColor="accent1" w:themeShade="7F"/>
    </w:rPr>
  </w:style>
  <w:style w:type="paragraph" w:customStyle="1" w:styleId="BodyA">
    <w:name w:val="Body A"/>
    <w:rsid w:val="00834F5E"/>
    <w:pPr>
      <w:widowControl w:val="0"/>
      <w:pBdr>
        <w:top w:val="nil"/>
        <w:left w:val="nil"/>
        <w:bottom w:val="nil"/>
        <w:right w:val="nil"/>
        <w:between w:val="nil"/>
        <w:bar w:val="nil"/>
      </w:pBdr>
      <w:spacing w:after="0" w:line="240" w:lineRule="auto"/>
    </w:pPr>
    <w:rPr>
      <w:rFonts w:ascii="Arial" w:eastAsia="Arial" w:hAnsi="Arial" w:cs="Arial"/>
      <w:color w:val="000000"/>
      <w:kern w:val="0"/>
      <w:u w:color="000000"/>
      <w:bdr w:val="nil"/>
      <w14:textOutline w14:w="12700" w14:cap="flat" w14:cmpd="sng" w14:algn="ctr">
        <w14:noFill/>
        <w14:prstDash w14:val="solid"/>
        <w14:miter w14:lim="400000"/>
      </w14:textOutline>
      <w14:ligatures w14:val="none"/>
    </w:rPr>
  </w:style>
  <w:style w:type="character" w:customStyle="1" w:styleId="eop">
    <w:name w:val="eop"/>
    <w:rsid w:val="00834F5E"/>
    <w:rPr>
      <w:lang w:val="en-US"/>
    </w:rPr>
  </w:style>
  <w:style w:type="character" w:customStyle="1" w:styleId="None">
    <w:name w:val="None"/>
    <w:rsid w:val="00834F5E"/>
  </w:style>
  <w:style w:type="numbering" w:customStyle="1" w:styleId="ImportedStyle14">
    <w:name w:val="Imported Style 14"/>
    <w:rsid w:val="00834F5E"/>
    <w:pPr>
      <w:numPr>
        <w:numId w:val="10"/>
      </w:numPr>
    </w:pPr>
  </w:style>
  <w:style w:type="paragraph" w:customStyle="1" w:styleId="xmsonormal">
    <w:name w:val="x_msonormal"/>
    <w:rsid w:val="00047E37"/>
    <w:pPr>
      <w:pBdr>
        <w:top w:val="nil"/>
        <w:left w:val="nil"/>
        <w:bottom w:val="nil"/>
        <w:right w:val="nil"/>
        <w:between w:val="nil"/>
        <w:bar w:val="nil"/>
      </w:pBdr>
      <w:spacing w:before="100" w:after="100" w:line="240" w:lineRule="auto"/>
    </w:pPr>
    <w:rPr>
      <w:rFonts w:ascii="Arial" w:eastAsia="Times New Roman" w:hAnsi="Arial" w:cs="Arial"/>
      <w:color w:val="000000"/>
      <w:kern w:val="0"/>
      <w:u w:color="000000"/>
      <w:bdr w:val="nil"/>
      <w14:ligatures w14:val="none"/>
    </w:rPr>
  </w:style>
  <w:style w:type="numbering" w:customStyle="1" w:styleId="ImportedStyle15">
    <w:name w:val="Imported Style 15"/>
    <w:rsid w:val="00047E37"/>
    <w:pPr>
      <w:numPr>
        <w:numId w:val="12"/>
      </w:numPr>
    </w:pPr>
  </w:style>
  <w:style w:type="numbering" w:customStyle="1" w:styleId="ImportedStyle16">
    <w:name w:val="Imported Style 16"/>
    <w:rsid w:val="00047E37"/>
    <w:pPr>
      <w:numPr>
        <w:numId w:val="13"/>
      </w:numPr>
    </w:pPr>
  </w:style>
  <w:style w:type="numbering" w:customStyle="1" w:styleId="ImportedStyle17">
    <w:name w:val="Imported Style 17"/>
    <w:rsid w:val="00047E37"/>
    <w:pPr>
      <w:numPr>
        <w:numId w:val="14"/>
      </w:numPr>
    </w:pPr>
  </w:style>
  <w:style w:type="numbering" w:customStyle="1" w:styleId="ImportedStyle18">
    <w:name w:val="Imported Style 18"/>
    <w:rsid w:val="00047E37"/>
    <w:pPr>
      <w:numPr>
        <w:numId w:val="15"/>
      </w:numPr>
    </w:pPr>
  </w:style>
  <w:style w:type="numbering" w:customStyle="1" w:styleId="ImportedStyle19">
    <w:name w:val="Imported Style 19"/>
    <w:rsid w:val="00047E37"/>
    <w:pPr>
      <w:numPr>
        <w:numId w:val="16"/>
      </w:numPr>
    </w:pPr>
  </w:style>
  <w:style w:type="character" w:styleId="Emphasis">
    <w:name w:val="Emphasis"/>
    <w:basedOn w:val="DefaultParagraphFont"/>
    <w:uiPriority w:val="20"/>
    <w:qFormat/>
    <w:rsid w:val="002C29E9"/>
    <w:rPr>
      <w:i/>
      <w:iCs/>
    </w:rPr>
  </w:style>
  <w:style w:type="character" w:styleId="CommentReference">
    <w:name w:val="annotation reference"/>
    <w:basedOn w:val="DefaultParagraphFont"/>
    <w:uiPriority w:val="99"/>
    <w:semiHidden/>
    <w:unhideWhenUsed/>
    <w:rsid w:val="0024113E"/>
    <w:rPr>
      <w:sz w:val="16"/>
      <w:szCs w:val="16"/>
    </w:rPr>
  </w:style>
  <w:style w:type="paragraph" w:styleId="CommentText">
    <w:name w:val="annotation text"/>
    <w:basedOn w:val="Normal"/>
    <w:link w:val="CommentTextChar"/>
    <w:uiPriority w:val="99"/>
    <w:unhideWhenUsed/>
    <w:rsid w:val="0024113E"/>
    <w:rPr>
      <w:sz w:val="20"/>
      <w:szCs w:val="20"/>
    </w:rPr>
  </w:style>
  <w:style w:type="character" w:customStyle="1" w:styleId="CommentTextChar">
    <w:name w:val="Comment Text Char"/>
    <w:basedOn w:val="DefaultParagraphFont"/>
    <w:link w:val="CommentText"/>
    <w:uiPriority w:val="99"/>
    <w:rsid w:val="0024113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4113E"/>
    <w:rPr>
      <w:b/>
      <w:bCs/>
    </w:rPr>
  </w:style>
  <w:style w:type="character" w:customStyle="1" w:styleId="CommentSubjectChar">
    <w:name w:val="Comment Subject Char"/>
    <w:basedOn w:val="CommentTextChar"/>
    <w:link w:val="CommentSubject"/>
    <w:uiPriority w:val="99"/>
    <w:semiHidden/>
    <w:rsid w:val="0024113E"/>
    <w:rPr>
      <w:rFonts w:ascii="Arial" w:hAnsi="Arial" w:cs="Arial"/>
      <w:b/>
      <w:bCs/>
      <w:sz w:val="20"/>
      <w:szCs w:val="20"/>
    </w:rPr>
  </w:style>
  <w:style w:type="paragraph" w:styleId="Revision">
    <w:name w:val="Revision"/>
    <w:hidden/>
    <w:uiPriority w:val="99"/>
    <w:semiHidden/>
    <w:rsid w:val="0024113E"/>
    <w:pPr>
      <w:spacing w:after="0" w:line="240" w:lineRule="auto"/>
    </w:pPr>
    <w:rPr>
      <w:rFonts w:ascii="Arial" w:hAnsi="Arial" w:cs="Arial"/>
    </w:rPr>
  </w:style>
  <w:style w:type="paragraph" w:styleId="Header">
    <w:name w:val="header"/>
    <w:basedOn w:val="Normal"/>
    <w:link w:val="HeaderChar"/>
    <w:uiPriority w:val="99"/>
    <w:unhideWhenUsed/>
    <w:rsid w:val="00F161E2"/>
    <w:pPr>
      <w:tabs>
        <w:tab w:val="center" w:pos="4680"/>
        <w:tab w:val="right" w:pos="9360"/>
      </w:tabs>
      <w:spacing w:before="0" w:after="0"/>
    </w:pPr>
  </w:style>
  <w:style w:type="character" w:customStyle="1" w:styleId="HeaderChar">
    <w:name w:val="Header Char"/>
    <w:basedOn w:val="DefaultParagraphFont"/>
    <w:link w:val="Header"/>
    <w:uiPriority w:val="99"/>
    <w:rsid w:val="00F161E2"/>
    <w:rPr>
      <w:rFonts w:ascii="Arial" w:hAnsi="Arial" w:cs="Arial"/>
    </w:rPr>
  </w:style>
  <w:style w:type="paragraph" w:styleId="Footer">
    <w:name w:val="footer"/>
    <w:basedOn w:val="Normal"/>
    <w:link w:val="FooterChar"/>
    <w:uiPriority w:val="99"/>
    <w:unhideWhenUsed/>
    <w:rsid w:val="00F161E2"/>
    <w:pPr>
      <w:tabs>
        <w:tab w:val="center" w:pos="4680"/>
        <w:tab w:val="right" w:pos="9360"/>
      </w:tabs>
      <w:spacing w:before="0" w:after="0"/>
    </w:pPr>
  </w:style>
  <w:style w:type="character" w:customStyle="1" w:styleId="FooterChar">
    <w:name w:val="Footer Char"/>
    <w:basedOn w:val="DefaultParagraphFont"/>
    <w:link w:val="Footer"/>
    <w:uiPriority w:val="99"/>
    <w:rsid w:val="00F161E2"/>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de.ca.gov/ci/ct/ig/allowables24.asp" TargetMode="External"/><Relationship Id="rId18" Type="http://schemas.openxmlformats.org/officeDocument/2006/relationships/hyperlink" Target="https://edd.ca.gov/en/about_edd/news_releases_and_announcements/unemployment-September-2025/"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CTEIncentive@cde.ca.gov" TargetMode="External"/><Relationship Id="rId7" Type="http://schemas.openxmlformats.org/officeDocument/2006/relationships/endnotes" Target="endnotes.xml"/><Relationship Id="rId12" Type="http://schemas.openxmlformats.org/officeDocument/2006/relationships/hyperlink" Target="mailto:join-CTEIncentive@mlist.cde.ca.gov" TargetMode="External"/><Relationship Id="rId17" Type="http://schemas.openxmlformats.org/officeDocument/2006/relationships/hyperlink" Target="https://www.cde.ca.gov/ds/ad/filesacgr.asp"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cde.ca.gov/ds/ad/calpadsfiles.asp" TargetMode="External"/><Relationship Id="rId20" Type="http://schemas.openxmlformats.org/officeDocument/2006/relationships/hyperlink" Target="https://nces.ed.gov/programs/maped/LocaleLooku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aap.ca.gov/audit-guide/" TargetMode="External"/><Relationship Id="rId24" Type="http://schemas.openxmlformats.org/officeDocument/2006/relationships/hyperlink" Target="http://www.cde.ca.gov/ci/ct/ig/index.asp" TargetMode="External"/><Relationship Id="rId5" Type="http://schemas.openxmlformats.org/officeDocument/2006/relationships/webSettings" Target="webSettings.xml"/><Relationship Id="rId15" Type="http://schemas.openxmlformats.org/officeDocument/2006/relationships/hyperlink" Target="https://www3.cde.ca.gov/pgms/" TargetMode="External"/><Relationship Id="rId23" Type="http://schemas.openxmlformats.org/officeDocument/2006/relationships/hyperlink" Target="https://www.cccco.edu/About-Us/Chancellors-Office/Divisions/Workforce-and-Economic-Development/K12-Strong-Workforce/K12-Pathway-Coordinators" TargetMode="External"/><Relationship Id="rId10" Type="http://schemas.openxmlformats.org/officeDocument/2006/relationships/hyperlink" Target="https://www.cde.ca.gov/ci/ct/ig/cteigtimeline.asp" TargetMode="External"/><Relationship Id="rId19" Type="http://schemas.openxmlformats.org/officeDocument/2006/relationships/hyperlink" Target="https://www.census.gov/data-tools/demo/saipe/"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cde.ca.gov/ci/ct/pk/cteigcontacts.asp" TargetMode="External"/><Relationship Id="rId22" Type="http://schemas.openxmlformats.org/officeDocument/2006/relationships/hyperlink" Target="https://www.cde.ca.gov/ci/ct/pk/cteigcontacts.asp"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D43DC7-5EAA-4690-BFA2-8B0A5A5F2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9657</Words>
  <Characters>55048</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RFA-26: CTEIG (CA Dept of Education)</dc:title>
  <dc:subject>2026-27 Request for Applications (RFA) for the Career Technical Education Incentive Grant (CTEIG).</dc:subject>
  <dc:creator/>
  <cp:keywords/>
  <dc:description/>
  <cp:lastModifiedBy/>
  <cp:revision>1</cp:revision>
  <dcterms:created xsi:type="dcterms:W3CDTF">2026-05-15T19:40:00Z</dcterms:created>
  <dcterms:modified xsi:type="dcterms:W3CDTF">2026-05-15T22:19:00Z</dcterms:modified>
</cp:coreProperties>
</file>