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29C218" w14:textId="17D334F8" w:rsidR="00AC6EB1" w:rsidRPr="008E6767" w:rsidRDefault="00987842" w:rsidP="00AC6EB1">
      <w:pPr>
        <w:pStyle w:val="Heading1"/>
      </w:pPr>
      <w:bookmarkStart w:id="0" w:name="_Toc110500223"/>
      <w:bookmarkStart w:id="1" w:name="_Toc111021112"/>
      <w:bookmarkStart w:id="2" w:name="_Toc195865062"/>
      <w:bookmarkStart w:id="3" w:name="_Toc200606694"/>
      <w:r w:rsidRPr="00AC6EB1">
        <w:t xml:space="preserve">Career </w:t>
      </w:r>
      <w:r w:rsidR="009B5A28" w:rsidRPr="00AC6EB1">
        <w:t>Technical Education Incentive Grant</w:t>
      </w:r>
      <w:bookmarkEnd w:id="0"/>
      <w:bookmarkEnd w:id="1"/>
      <w:bookmarkEnd w:id="2"/>
      <w:bookmarkEnd w:id="3"/>
      <w:r w:rsidR="00555FF0">
        <w:t xml:space="preserve"> </w:t>
      </w:r>
      <w:r w:rsidR="00555FF0">
        <w:br/>
      </w:r>
      <w:r w:rsidR="00AC6EB1" w:rsidRPr="008E6767">
        <w:rPr>
          <w:color w:val="000000"/>
        </w:rPr>
        <w:t>Request for Applications</w:t>
      </w:r>
      <w:r w:rsidR="00555FF0">
        <w:br/>
      </w:r>
      <w:r w:rsidR="00AC6EB1" w:rsidRPr="008E6767">
        <w:t>Round 11B</w:t>
      </w:r>
    </w:p>
    <w:p w14:paraId="7BF7D816" w14:textId="77777777" w:rsidR="00AC6EB1" w:rsidRPr="00AC6EB1" w:rsidRDefault="00AC6EB1" w:rsidP="00AC6EB1">
      <w:pPr>
        <w:jc w:val="center"/>
      </w:pPr>
    </w:p>
    <w:p w14:paraId="6EE5D178" w14:textId="77777777" w:rsidR="007F1151" w:rsidRPr="008E6767" w:rsidRDefault="009B5A28">
      <w:pPr>
        <w:spacing w:after="840" w:line="276" w:lineRule="auto"/>
        <w:ind w:left="1440" w:right="1440"/>
        <w:jc w:val="center"/>
        <w:rPr>
          <w:bCs/>
        </w:rPr>
      </w:pPr>
      <w:r w:rsidRPr="008E6767">
        <w:rPr>
          <w:bCs/>
          <w:noProof/>
        </w:rPr>
        <w:drawing>
          <wp:inline distT="0" distB="0" distL="0" distR="0" wp14:anchorId="2137EBD7" wp14:editId="795F5811">
            <wp:extent cx="2028825" cy="2038350"/>
            <wp:effectExtent l="0" t="0" r="0" b="0"/>
            <wp:docPr id="13" name="image3.png" descr="California Department of Education Seal"/>
            <wp:cNvGraphicFramePr/>
            <a:graphic xmlns:a="http://schemas.openxmlformats.org/drawingml/2006/main">
              <a:graphicData uri="http://schemas.openxmlformats.org/drawingml/2006/picture">
                <pic:pic xmlns:pic="http://schemas.openxmlformats.org/drawingml/2006/picture">
                  <pic:nvPicPr>
                    <pic:cNvPr id="0" name="image3.png" descr="California Department of Education Seal"/>
                    <pic:cNvPicPr preferRelativeResize="0"/>
                  </pic:nvPicPr>
                  <pic:blipFill>
                    <a:blip r:embed="rId8"/>
                    <a:srcRect/>
                    <a:stretch>
                      <a:fillRect/>
                    </a:stretch>
                  </pic:blipFill>
                  <pic:spPr>
                    <a:xfrm>
                      <a:off x="0" y="0"/>
                      <a:ext cx="2028825" cy="2038350"/>
                    </a:xfrm>
                    <a:prstGeom prst="rect">
                      <a:avLst/>
                    </a:prstGeom>
                    <a:ln/>
                  </pic:spPr>
                </pic:pic>
              </a:graphicData>
            </a:graphic>
          </wp:inline>
        </w:drawing>
      </w:r>
    </w:p>
    <w:p w14:paraId="01A1E49B" w14:textId="77777777" w:rsidR="007F1151" w:rsidRPr="008E6767" w:rsidRDefault="009B5A28">
      <w:pPr>
        <w:spacing w:line="276" w:lineRule="auto"/>
        <w:ind w:left="1440" w:right="1440"/>
        <w:jc w:val="center"/>
        <w:rPr>
          <w:bCs/>
          <w:sz w:val="36"/>
          <w:szCs w:val="36"/>
        </w:rPr>
      </w:pPr>
      <w:r w:rsidRPr="008E6767">
        <w:rPr>
          <w:bCs/>
          <w:sz w:val="36"/>
          <w:szCs w:val="36"/>
        </w:rPr>
        <w:t>California Department of Education</w:t>
      </w:r>
    </w:p>
    <w:p w14:paraId="33A2A70B" w14:textId="45CE2F87" w:rsidR="007F1151" w:rsidRPr="008E6767" w:rsidRDefault="009B5A28" w:rsidP="00410E87">
      <w:pPr>
        <w:spacing w:after="960" w:line="276" w:lineRule="auto"/>
        <w:ind w:left="1440" w:right="1440"/>
        <w:jc w:val="center"/>
        <w:rPr>
          <w:bCs/>
          <w:sz w:val="36"/>
          <w:szCs w:val="36"/>
        </w:rPr>
      </w:pPr>
      <w:r w:rsidRPr="008E6767">
        <w:rPr>
          <w:bCs/>
          <w:sz w:val="36"/>
          <w:szCs w:val="36"/>
        </w:rPr>
        <w:t>202</w:t>
      </w:r>
      <w:r w:rsidR="008A7708" w:rsidRPr="008E6767">
        <w:rPr>
          <w:bCs/>
          <w:sz w:val="36"/>
          <w:szCs w:val="36"/>
        </w:rPr>
        <w:t>5</w:t>
      </w:r>
      <w:r w:rsidR="00370C6D" w:rsidRPr="008E6767">
        <w:rPr>
          <w:bCs/>
          <w:sz w:val="36"/>
          <w:szCs w:val="36"/>
        </w:rPr>
        <w:t>–</w:t>
      </w:r>
      <w:r w:rsidR="00FE1D1E" w:rsidRPr="008E6767">
        <w:rPr>
          <w:bCs/>
          <w:sz w:val="36"/>
          <w:szCs w:val="36"/>
        </w:rPr>
        <w:t>2</w:t>
      </w:r>
      <w:r w:rsidR="008A7708" w:rsidRPr="008E6767">
        <w:rPr>
          <w:bCs/>
          <w:sz w:val="36"/>
          <w:szCs w:val="36"/>
        </w:rPr>
        <w:t>6</w:t>
      </w:r>
    </w:p>
    <w:p w14:paraId="01EF1197" w14:textId="77777777" w:rsidR="007F1151" w:rsidRPr="008E6767" w:rsidRDefault="009B5A28">
      <w:pPr>
        <w:widowControl w:val="0"/>
        <w:spacing w:line="276" w:lineRule="auto"/>
        <w:jc w:val="center"/>
        <w:rPr>
          <w:bCs/>
        </w:rPr>
      </w:pPr>
      <w:r w:rsidRPr="008E6767">
        <w:rPr>
          <w:bCs/>
        </w:rPr>
        <w:t>Administered by the</w:t>
      </w:r>
    </w:p>
    <w:p w14:paraId="4B8270FF" w14:textId="77777777" w:rsidR="007F1151" w:rsidRPr="008E6767" w:rsidRDefault="009B5A28">
      <w:pPr>
        <w:widowControl w:val="0"/>
        <w:spacing w:line="276" w:lineRule="auto"/>
        <w:jc w:val="center"/>
        <w:rPr>
          <w:bCs/>
        </w:rPr>
      </w:pPr>
      <w:r w:rsidRPr="008E6767">
        <w:rPr>
          <w:bCs/>
        </w:rPr>
        <w:t>California Department of Education</w:t>
      </w:r>
    </w:p>
    <w:p w14:paraId="6635C7BE" w14:textId="77777777" w:rsidR="007F1151" w:rsidRPr="008E6767" w:rsidRDefault="009B5A28">
      <w:pPr>
        <w:widowControl w:val="0"/>
        <w:spacing w:line="276" w:lineRule="auto"/>
        <w:jc w:val="center"/>
        <w:rPr>
          <w:bCs/>
        </w:rPr>
      </w:pPr>
      <w:r w:rsidRPr="008E6767">
        <w:rPr>
          <w:bCs/>
        </w:rPr>
        <w:t>Career and College Transition Division</w:t>
      </w:r>
    </w:p>
    <w:p w14:paraId="383CC474" w14:textId="77777777" w:rsidR="007F1151" w:rsidRPr="008E6767" w:rsidRDefault="009B5A28">
      <w:pPr>
        <w:widowControl w:val="0"/>
        <w:spacing w:line="276" w:lineRule="auto"/>
        <w:jc w:val="center"/>
        <w:rPr>
          <w:bCs/>
        </w:rPr>
      </w:pPr>
      <w:r w:rsidRPr="008E6767">
        <w:rPr>
          <w:bCs/>
        </w:rPr>
        <w:t>Career Technical Education Leadership Office</w:t>
      </w:r>
    </w:p>
    <w:p w14:paraId="0E49565C" w14:textId="77777777" w:rsidR="007F1151" w:rsidRPr="008E6767" w:rsidRDefault="009B5A28">
      <w:pPr>
        <w:widowControl w:val="0"/>
        <w:spacing w:line="276" w:lineRule="auto"/>
        <w:jc w:val="center"/>
        <w:rPr>
          <w:bCs/>
        </w:rPr>
      </w:pPr>
      <w:r w:rsidRPr="008E6767">
        <w:rPr>
          <w:bCs/>
        </w:rPr>
        <w:t>1430 N Street, Suite 4202</w:t>
      </w:r>
    </w:p>
    <w:p w14:paraId="2E82AE16" w14:textId="69708855" w:rsidR="007F1151" w:rsidRPr="008E6767" w:rsidRDefault="009B5A28">
      <w:pPr>
        <w:widowControl w:val="0"/>
        <w:spacing w:after="600" w:line="276" w:lineRule="auto"/>
        <w:jc w:val="center"/>
        <w:rPr>
          <w:bCs/>
        </w:rPr>
      </w:pPr>
      <w:r w:rsidRPr="008E6767">
        <w:rPr>
          <w:bCs/>
        </w:rPr>
        <w:t>Sacramento, CA 95814–5901</w:t>
      </w:r>
    </w:p>
    <w:p w14:paraId="1EA0CB9A" w14:textId="4A3B2606" w:rsidR="00992DD0" w:rsidRPr="008E6767" w:rsidRDefault="00E65046">
      <w:pPr>
        <w:widowControl w:val="0"/>
        <w:spacing w:line="276" w:lineRule="auto"/>
        <w:jc w:val="center"/>
        <w:rPr>
          <w:bCs/>
        </w:rPr>
      </w:pPr>
      <w:r w:rsidRPr="008E6767">
        <w:rPr>
          <w:bCs/>
        </w:rPr>
        <w:t>December</w:t>
      </w:r>
      <w:r w:rsidR="00370C6D" w:rsidRPr="008E6767">
        <w:rPr>
          <w:bCs/>
        </w:rPr>
        <w:t xml:space="preserve"> 202</w:t>
      </w:r>
      <w:r w:rsidR="00984C00" w:rsidRPr="008E6767">
        <w:rPr>
          <w:bCs/>
        </w:rPr>
        <w:t>5</w:t>
      </w:r>
    </w:p>
    <w:p w14:paraId="2D063D6D" w14:textId="77777777" w:rsidR="00992DD0" w:rsidRPr="008E6767" w:rsidRDefault="00992DD0">
      <w:pPr>
        <w:rPr>
          <w:bCs/>
        </w:rPr>
      </w:pPr>
      <w:r w:rsidRPr="008E6767">
        <w:rPr>
          <w:bCs/>
        </w:rPr>
        <w:br w:type="page"/>
      </w:r>
    </w:p>
    <w:bookmarkStart w:id="4" w:name="_heading=h.30j0zll" w:colFirst="0" w:colLast="0" w:displacedByCustomXml="next"/>
    <w:bookmarkEnd w:id="4" w:displacedByCustomXml="next"/>
    <w:sdt>
      <w:sdtPr>
        <w:rPr>
          <w:rFonts w:ascii="Arial" w:eastAsia="Arial" w:hAnsi="Arial" w:cs="Arial"/>
          <w:b/>
          <w:bCs/>
          <w:color w:val="auto"/>
          <w:sz w:val="24"/>
          <w:szCs w:val="24"/>
        </w:rPr>
        <w:id w:val="-1680186770"/>
        <w:docPartObj>
          <w:docPartGallery w:val="Table of Contents"/>
          <w:docPartUnique/>
        </w:docPartObj>
      </w:sdtPr>
      <w:sdtEndPr>
        <w:rPr>
          <w:sz w:val="20"/>
          <w:szCs w:val="20"/>
        </w:rPr>
      </w:sdtEndPr>
      <w:sdtContent>
        <w:p w14:paraId="6F2321A8" w14:textId="33F53F15" w:rsidR="00383233" w:rsidRPr="008E6767" w:rsidRDefault="00383233">
          <w:pPr>
            <w:pStyle w:val="TOCHeading"/>
            <w:rPr>
              <w:rFonts w:ascii="Arial" w:hAnsi="Arial" w:cs="Arial"/>
              <w:b/>
              <w:bCs/>
              <w:color w:val="auto"/>
              <w:sz w:val="28"/>
              <w:szCs w:val="28"/>
            </w:rPr>
          </w:pPr>
          <w:r w:rsidRPr="008E6767">
            <w:rPr>
              <w:rFonts w:ascii="Arial" w:hAnsi="Arial" w:cs="Arial"/>
              <w:b/>
              <w:bCs/>
              <w:color w:val="auto"/>
              <w:sz w:val="28"/>
              <w:szCs w:val="28"/>
            </w:rPr>
            <w:t>Table of Contents</w:t>
          </w:r>
        </w:p>
        <w:p w14:paraId="63117B3B" w14:textId="723E7A97" w:rsidR="00992DD0" w:rsidRPr="008E6767" w:rsidRDefault="00383233">
          <w:pPr>
            <w:pStyle w:val="TOC2"/>
            <w:tabs>
              <w:tab w:val="right" w:leader="dot" w:pos="9350"/>
            </w:tabs>
            <w:rPr>
              <w:rFonts w:ascii="Arial" w:eastAsiaTheme="minorEastAsia" w:hAnsi="Arial" w:cs="Arial"/>
              <w:b w:val="0"/>
              <w:bCs w:val="0"/>
              <w:noProof/>
              <w:kern w:val="2"/>
              <w:sz w:val="24"/>
              <w:szCs w:val="24"/>
              <w14:ligatures w14:val="standardContextual"/>
            </w:rPr>
          </w:pPr>
          <w:r w:rsidRPr="008E6767">
            <w:rPr>
              <w:rFonts w:ascii="Arial" w:hAnsi="Arial" w:cs="Arial"/>
              <w:sz w:val="24"/>
              <w:szCs w:val="24"/>
            </w:rPr>
            <w:fldChar w:fldCharType="begin"/>
          </w:r>
          <w:r w:rsidRPr="008E6767">
            <w:rPr>
              <w:rFonts w:ascii="Arial" w:hAnsi="Arial" w:cs="Arial"/>
              <w:sz w:val="24"/>
              <w:szCs w:val="24"/>
            </w:rPr>
            <w:instrText xml:space="preserve"> TOC \o "1-3" \h \z \u </w:instrText>
          </w:r>
          <w:r w:rsidRPr="008E6767">
            <w:rPr>
              <w:rFonts w:ascii="Arial" w:hAnsi="Arial" w:cs="Arial"/>
              <w:sz w:val="24"/>
              <w:szCs w:val="24"/>
            </w:rPr>
            <w:fldChar w:fldCharType="separate"/>
          </w:r>
          <w:hyperlink w:anchor="_Toc204937683" w:history="1">
            <w:r w:rsidR="00992DD0" w:rsidRPr="008E6767">
              <w:rPr>
                <w:rStyle w:val="Hyperlink"/>
                <w:rFonts w:ascii="Arial" w:hAnsi="Arial" w:cs="Arial"/>
                <w:noProof/>
                <w:sz w:val="24"/>
                <w:szCs w:val="24"/>
              </w:rPr>
              <w:t>Chapter 1: General Information</w:t>
            </w:r>
            <w:r w:rsidR="00992DD0" w:rsidRPr="008E6767">
              <w:rPr>
                <w:rFonts w:ascii="Arial" w:hAnsi="Arial" w:cs="Arial"/>
                <w:noProof/>
                <w:webHidden/>
                <w:sz w:val="24"/>
                <w:szCs w:val="24"/>
              </w:rPr>
              <w:tab/>
            </w:r>
            <w:r w:rsidR="00992DD0" w:rsidRPr="008E6767">
              <w:rPr>
                <w:rFonts w:ascii="Arial" w:hAnsi="Arial" w:cs="Arial"/>
                <w:noProof/>
                <w:webHidden/>
                <w:sz w:val="24"/>
                <w:szCs w:val="24"/>
              </w:rPr>
              <w:fldChar w:fldCharType="begin"/>
            </w:r>
            <w:r w:rsidR="00992DD0" w:rsidRPr="008E6767">
              <w:rPr>
                <w:rFonts w:ascii="Arial" w:hAnsi="Arial" w:cs="Arial"/>
                <w:noProof/>
                <w:webHidden/>
                <w:sz w:val="24"/>
                <w:szCs w:val="24"/>
              </w:rPr>
              <w:instrText xml:space="preserve"> PAGEREF _Toc204937683 \h </w:instrText>
            </w:r>
            <w:r w:rsidR="00992DD0" w:rsidRPr="008E6767">
              <w:rPr>
                <w:rFonts w:ascii="Arial" w:hAnsi="Arial" w:cs="Arial"/>
                <w:noProof/>
                <w:webHidden/>
                <w:sz w:val="24"/>
                <w:szCs w:val="24"/>
              </w:rPr>
            </w:r>
            <w:r w:rsidR="00992DD0" w:rsidRPr="008E6767">
              <w:rPr>
                <w:rFonts w:ascii="Arial" w:hAnsi="Arial" w:cs="Arial"/>
                <w:noProof/>
                <w:webHidden/>
                <w:sz w:val="24"/>
                <w:szCs w:val="24"/>
              </w:rPr>
              <w:fldChar w:fldCharType="separate"/>
            </w:r>
            <w:r w:rsidR="00992DD0" w:rsidRPr="008E6767">
              <w:rPr>
                <w:rFonts w:ascii="Arial" w:hAnsi="Arial" w:cs="Arial"/>
                <w:noProof/>
                <w:webHidden/>
                <w:sz w:val="24"/>
                <w:szCs w:val="24"/>
              </w:rPr>
              <w:t>2</w:t>
            </w:r>
            <w:r w:rsidR="00992DD0" w:rsidRPr="008E6767">
              <w:rPr>
                <w:rFonts w:ascii="Arial" w:hAnsi="Arial" w:cs="Arial"/>
                <w:noProof/>
                <w:webHidden/>
                <w:sz w:val="24"/>
                <w:szCs w:val="24"/>
              </w:rPr>
              <w:fldChar w:fldCharType="end"/>
            </w:r>
          </w:hyperlink>
        </w:p>
        <w:p w14:paraId="30B18104" w14:textId="16999FB8" w:rsidR="00992DD0" w:rsidRPr="008E6767" w:rsidRDefault="00992DD0">
          <w:pPr>
            <w:pStyle w:val="TOC3"/>
            <w:tabs>
              <w:tab w:val="right" w:leader="dot" w:pos="9350"/>
            </w:tabs>
            <w:rPr>
              <w:rFonts w:ascii="Arial" w:eastAsiaTheme="minorEastAsia" w:hAnsi="Arial" w:cs="Arial"/>
              <w:noProof/>
              <w:kern w:val="2"/>
              <w:sz w:val="24"/>
              <w:szCs w:val="24"/>
              <w14:ligatures w14:val="standardContextual"/>
            </w:rPr>
          </w:pPr>
          <w:hyperlink w:anchor="_Toc204937684" w:history="1">
            <w:r w:rsidRPr="008E6767">
              <w:rPr>
                <w:rStyle w:val="Hyperlink"/>
                <w:rFonts w:ascii="Arial" w:hAnsi="Arial" w:cs="Arial"/>
                <w:bCs/>
                <w:noProof/>
                <w:sz w:val="24"/>
                <w:szCs w:val="24"/>
              </w:rPr>
              <w:t>I. Introduction</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_Toc204937684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2</w:t>
            </w:r>
            <w:r w:rsidRPr="008E6767">
              <w:rPr>
                <w:rFonts w:ascii="Arial" w:hAnsi="Arial" w:cs="Arial"/>
                <w:noProof/>
                <w:webHidden/>
                <w:sz w:val="24"/>
                <w:szCs w:val="24"/>
              </w:rPr>
              <w:fldChar w:fldCharType="end"/>
            </w:r>
          </w:hyperlink>
        </w:p>
        <w:p w14:paraId="24AF5697" w14:textId="3DC8F8D5" w:rsidR="00992DD0" w:rsidRPr="008E6767" w:rsidRDefault="00992DD0">
          <w:pPr>
            <w:pStyle w:val="TOC3"/>
            <w:tabs>
              <w:tab w:val="right" w:leader="dot" w:pos="9350"/>
            </w:tabs>
            <w:rPr>
              <w:rFonts w:ascii="Arial" w:eastAsiaTheme="minorEastAsia" w:hAnsi="Arial" w:cs="Arial"/>
              <w:noProof/>
              <w:kern w:val="2"/>
              <w:sz w:val="24"/>
              <w:szCs w:val="24"/>
              <w14:ligatures w14:val="standardContextual"/>
            </w:rPr>
          </w:pPr>
          <w:hyperlink w:anchor="_Toc204937685" w:history="1">
            <w:r w:rsidRPr="008E6767">
              <w:rPr>
                <w:rStyle w:val="Hyperlink"/>
                <w:rFonts w:ascii="Arial" w:hAnsi="Arial" w:cs="Arial"/>
                <w:bCs/>
                <w:noProof/>
                <w:sz w:val="24"/>
                <w:szCs w:val="24"/>
              </w:rPr>
              <w:t>II. Grant Timeline</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_Toc204937685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2</w:t>
            </w:r>
            <w:r w:rsidRPr="008E6767">
              <w:rPr>
                <w:rFonts w:ascii="Arial" w:hAnsi="Arial" w:cs="Arial"/>
                <w:noProof/>
                <w:webHidden/>
                <w:sz w:val="24"/>
                <w:szCs w:val="24"/>
              </w:rPr>
              <w:fldChar w:fldCharType="end"/>
            </w:r>
          </w:hyperlink>
        </w:p>
        <w:p w14:paraId="7599940D" w14:textId="0776F62B" w:rsidR="00992DD0" w:rsidRPr="008E6767" w:rsidRDefault="00992DD0">
          <w:pPr>
            <w:pStyle w:val="TOC3"/>
            <w:tabs>
              <w:tab w:val="right" w:leader="dot" w:pos="9350"/>
            </w:tabs>
            <w:rPr>
              <w:rFonts w:ascii="Arial" w:eastAsiaTheme="minorEastAsia" w:hAnsi="Arial" w:cs="Arial"/>
              <w:noProof/>
              <w:kern w:val="2"/>
              <w:sz w:val="24"/>
              <w:szCs w:val="24"/>
              <w14:ligatures w14:val="standardContextual"/>
            </w:rPr>
          </w:pPr>
          <w:hyperlink w:anchor="_Toc204937686" w:history="1">
            <w:r w:rsidRPr="008E6767">
              <w:rPr>
                <w:rStyle w:val="Hyperlink"/>
                <w:rFonts w:ascii="Arial" w:hAnsi="Arial" w:cs="Arial"/>
                <w:bCs/>
                <w:noProof/>
                <w:sz w:val="24"/>
                <w:szCs w:val="24"/>
              </w:rPr>
              <w:t>III. Funding Distribution</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_Toc204937686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3</w:t>
            </w:r>
            <w:r w:rsidRPr="008E6767">
              <w:rPr>
                <w:rFonts w:ascii="Arial" w:hAnsi="Arial" w:cs="Arial"/>
                <w:noProof/>
                <w:webHidden/>
                <w:sz w:val="24"/>
                <w:szCs w:val="24"/>
              </w:rPr>
              <w:fldChar w:fldCharType="end"/>
            </w:r>
          </w:hyperlink>
        </w:p>
        <w:p w14:paraId="1FD1B594" w14:textId="03C73967" w:rsidR="00992DD0" w:rsidRPr="008E6767" w:rsidRDefault="00992DD0">
          <w:pPr>
            <w:pStyle w:val="TOC3"/>
            <w:tabs>
              <w:tab w:val="right" w:leader="dot" w:pos="9350"/>
            </w:tabs>
            <w:rPr>
              <w:rFonts w:ascii="Arial" w:eastAsiaTheme="minorEastAsia" w:hAnsi="Arial" w:cs="Arial"/>
              <w:noProof/>
              <w:kern w:val="2"/>
              <w:sz w:val="24"/>
              <w:szCs w:val="24"/>
              <w14:ligatures w14:val="standardContextual"/>
            </w:rPr>
          </w:pPr>
          <w:hyperlink w:anchor="_Toc204937687" w:history="1">
            <w:r w:rsidRPr="008E6767">
              <w:rPr>
                <w:rStyle w:val="Hyperlink"/>
                <w:rFonts w:ascii="Arial" w:hAnsi="Arial" w:cs="Arial"/>
                <w:bCs/>
                <w:noProof/>
                <w:sz w:val="24"/>
                <w:szCs w:val="24"/>
              </w:rPr>
              <w:t>IV: Applicant Eligibility</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_Toc204937687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3</w:t>
            </w:r>
            <w:r w:rsidRPr="008E6767">
              <w:rPr>
                <w:rFonts w:ascii="Arial" w:hAnsi="Arial" w:cs="Arial"/>
                <w:noProof/>
                <w:webHidden/>
                <w:sz w:val="24"/>
                <w:szCs w:val="24"/>
              </w:rPr>
              <w:fldChar w:fldCharType="end"/>
            </w:r>
          </w:hyperlink>
        </w:p>
        <w:p w14:paraId="4B2FB62C" w14:textId="3555F978"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688" w:history="1">
            <w:r w:rsidRPr="008E6767">
              <w:rPr>
                <w:rStyle w:val="Hyperlink"/>
                <w:rFonts w:ascii="Arial" w:hAnsi="Arial" w:cs="Arial"/>
                <w:noProof/>
                <w:sz w:val="24"/>
                <w:szCs w:val="24"/>
              </w:rPr>
              <w:t>Chapter 2: CTEIG Match and Program Requirements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_Toc204937688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3</w:t>
            </w:r>
            <w:r w:rsidRPr="008E6767">
              <w:rPr>
                <w:rFonts w:ascii="Arial" w:hAnsi="Arial" w:cs="Arial"/>
                <w:noProof/>
                <w:webHidden/>
                <w:sz w:val="24"/>
                <w:szCs w:val="24"/>
              </w:rPr>
              <w:fldChar w:fldCharType="end"/>
            </w:r>
          </w:hyperlink>
        </w:p>
        <w:p w14:paraId="006C93CC" w14:textId="257301F8" w:rsidR="00992DD0" w:rsidRPr="008E6767" w:rsidRDefault="00992DD0">
          <w:pPr>
            <w:pStyle w:val="TOC2"/>
            <w:tabs>
              <w:tab w:val="left" w:pos="480"/>
              <w:tab w:val="right" w:leader="dot" w:pos="9350"/>
            </w:tabs>
            <w:rPr>
              <w:rFonts w:ascii="Arial" w:eastAsiaTheme="minorEastAsia" w:hAnsi="Arial" w:cs="Arial"/>
              <w:b w:val="0"/>
              <w:bCs w:val="0"/>
              <w:noProof/>
              <w:kern w:val="2"/>
              <w:sz w:val="24"/>
              <w:szCs w:val="24"/>
              <w14:ligatures w14:val="standardContextual"/>
            </w:rPr>
          </w:pPr>
          <w:hyperlink w:anchor="_Toc204937689" w:history="1">
            <w:r w:rsidRPr="008E6767">
              <w:rPr>
                <w:rStyle w:val="Hyperlink"/>
                <w:rFonts w:ascii="Arial" w:hAnsi="Arial" w:cs="Arial"/>
                <w:noProof/>
                <w:sz w:val="24"/>
                <w:szCs w:val="24"/>
              </w:rPr>
              <w:t>I.</w:t>
            </w:r>
            <w:r w:rsidRPr="008E6767">
              <w:rPr>
                <w:rFonts w:ascii="Arial" w:eastAsiaTheme="minorEastAsia" w:hAnsi="Arial" w:cs="Arial"/>
                <w:b w:val="0"/>
                <w:bCs w:val="0"/>
                <w:noProof/>
                <w:kern w:val="2"/>
                <w:sz w:val="24"/>
                <w:szCs w:val="24"/>
                <w14:ligatures w14:val="standardContextual"/>
              </w:rPr>
              <w:tab/>
            </w:r>
            <w:r w:rsidRPr="008E6767">
              <w:rPr>
                <w:rStyle w:val="Hyperlink"/>
                <w:rFonts w:ascii="Arial" w:hAnsi="Arial" w:cs="Arial"/>
                <w:noProof/>
                <w:sz w:val="24"/>
                <w:szCs w:val="24"/>
              </w:rPr>
              <w:t>CTEIG Match Requirement</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_Toc204937689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4</w:t>
            </w:r>
            <w:r w:rsidRPr="008E6767">
              <w:rPr>
                <w:rFonts w:ascii="Arial" w:hAnsi="Arial" w:cs="Arial"/>
                <w:noProof/>
                <w:webHidden/>
                <w:sz w:val="24"/>
                <w:szCs w:val="24"/>
              </w:rPr>
              <w:fldChar w:fldCharType="end"/>
            </w:r>
          </w:hyperlink>
        </w:p>
        <w:p w14:paraId="606EBC78" w14:textId="7407E2D3"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0" w:history="1">
            <w:r w:rsidRPr="008E6767">
              <w:rPr>
                <w:rStyle w:val="Hyperlink"/>
                <w:rFonts w:ascii="Arial" w:hAnsi="Arial" w:cs="Arial"/>
                <w:bCs/>
                <w:noProof/>
                <w:sz w:val="24"/>
                <w:szCs w:val="24"/>
              </w:rPr>
              <w:t>1.</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Match Requirement</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_Toc204937690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4</w:t>
            </w:r>
            <w:r w:rsidRPr="008E6767">
              <w:rPr>
                <w:rFonts w:ascii="Arial" w:hAnsi="Arial" w:cs="Arial"/>
                <w:noProof/>
                <w:webHidden/>
                <w:sz w:val="24"/>
                <w:szCs w:val="24"/>
              </w:rPr>
              <w:fldChar w:fldCharType="end"/>
            </w:r>
          </w:hyperlink>
        </w:p>
        <w:p w14:paraId="13412CC0" w14:textId="22FB85A7"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1" w:history="1">
            <w:r w:rsidRPr="008E6767">
              <w:rPr>
                <w:rStyle w:val="Hyperlink"/>
                <w:rFonts w:ascii="Arial" w:hAnsi="Arial" w:cs="Arial"/>
                <w:bCs/>
                <w:noProof/>
                <w:sz w:val="24"/>
                <w:szCs w:val="24"/>
              </w:rPr>
              <w:t>2.</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Matching Funds Verification</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_Toc204937691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4</w:t>
            </w:r>
            <w:r w:rsidRPr="008E6767">
              <w:rPr>
                <w:rFonts w:ascii="Arial" w:hAnsi="Arial" w:cs="Arial"/>
                <w:noProof/>
                <w:webHidden/>
                <w:sz w:val="24"/>
                <w:szCs w:val="24"/>
              </w:rPr>
              <w:fldChar w:fldCharType="end"/>
            </w:r>
          </w:hyperlink>
        </w:p>
        <w:p w14:paraId="465E88EF" w14:textId="7976296A" w:rsidR="00992DD0" w:rsidRPr="008E6767" w:rsidRDefault="00992DD0">
          <w:pPr>
            <w:pStyle w:val="TOC2"/>
            <w:tabs>
              <w:tab w:val="left" w:pos="480"/>
              <w:tab w:val="right" w:leader="dot" w:pos="9350"/>
            </w:tabs>
            <w:rPr>
              <w:rFonts w:ascii="Arial" w:eastAsiaTheme="minorEastAsia" w:hAnsi="Arial" w:cs="Arial"/>
              <w:b w:val="0"/>
              <w:bCs w:val="0"/>
              <w:noProof/>
              <w:kern w:val="2"/>
              <w:sz w:val="24"/>
              <w:szCs w:val="24"/>
              <w14:ligatures w14:val="standardContextual"/>
            </w:rPr>
          </w:pPr>
          <w:hyperlink w:anchor="_Toc204937692" w:history="1">
            <w:r w:rsidRPr="008E6767">
              <w:rPr>
                <w:rStyle w:val="Hyperlink"/>
                <w:rFonts w:ascii="Arial" w:hAnsi="Arial" w:cs="Arial"/>
                <w:noProof/>
                <w:sz w:val="24"/>
                <w:szCs w:val="24"/>
              </w:rPr>
              <w:t>II.</w:t>
            </w:r>
            <w:r w:rsidRPr="008E6767">
              <w:rPr>
                <w:rFonts w:ascii="Arial" w:eastAsiaTheme="minorEastAsia" w:hAnsi="Arial" w:cs="Arial"/>
                <w:b w:val="0"/>
                <w:bCs w:val="0"/>
                <w:noProof/>
                <w:kern w:val="2"/>
                <w:sz w:val="24"/>
                <w:szCs w:val="24"/>
                <w14:ligatures w14:val="standardContextual"/>
              </w:rPr>
              <w:tab/>
            </w:r>
            <w:r w:rsidRPr="008E6767">
              <w:rPr>
                <w:rStyle w:val="Hyperlink"/>
                <w:rFonts w:ascii="Arial" w:hAnsi="Arial" w:cs="Arial"/>
                <w:noProof/>
                <w:sz w:val="24"/>
                <w:szCs w:val="24"/>
              </w:rPr>
              <w:t>CTEIG Program Requirements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_Toc204937692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5</w:t>
            </w:r>
            <w:r w:rsidRPr="008E6767">
              <w:rPr>
                <w:rFonts w:ascii="Arial" w:hAnsi="Arial" w:cs="Arial"/>
                <w:noProof/>
                <w:webHidden/>
                <w:sz w:val="24"/>
                <w:szCs w:val="24"/>
              </w:rPr>
              <w:fldChar w:fldCharType="end"/>
            </w:r>
          </w:hyperlink>
        </w:p>
        <w:p w14:paraId="33B801BB" w14:textId="6E8B2AE1"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3" w:history="1">
            <w:r w:rsidRPr="008E6767">
              <w:rPr>
                <w:rStyle w:val="Hyperlink"/>
                <w:rFonts w:ascii="Arial" w:hAnsi="Arial" w:cs="Arial"/>
                <w:bCs/>
                <w:noProof/>
                <w:sz w:val="24"/>
                <w:szCs w:val="24"/>
              </w:rPr>
              <w:t>1.</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Minimum Eligibility Standards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_Toc204937693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5</w:t>
            </w:r>
            <w:r w:rsidRPr="008E6767">
              <w:rPr>
                <w:rFonts w:ascii="Arial" w:hAnsi="Arial" w:cs="Arial"/>
                <w:noProof/>
                <w:webHidden/>
                <w:sz w:val="24"/>
                <w:szCs w:val="24"/>
              </w:rPr>
              <w:fldChar w:fldCharType="end"/>
            </w:r>
          </w:hyperlink>
        </w:p>
        <w:p w14:paraId="352732A9" w14:textId="489F4F79"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4" w:history="1">
            <w:r w:rsidRPr="008E6767">
              <w:rPr>
                <w:rStyle w:val="Hyperlink"/>
                <w:rFonts w:ascii="Arial" w:hAnsi="Arial" w:cs="Arial"/>
                <w:bCs/>
                <w:noProof/>
                <w:sz w:val="24"/>
                <w:szCs w:val="24"/>
              </w:rPr>
              <w:t>2.</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Program and Administrative Requirements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_Toc204937694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5</w:t>
            </w:r>
            <w:r w:rsidRPr="008E6767">
              <w:rPr>
                <w:rFonts w:ascii="Arial" w:hAnsi="Arial" w:cs="Arial"/>
                <w:noProof/>
                <w:webHidden/>
                <w:sz w:val="24"/>
                <w:szCs w:val="24"/>
              </w:rPr>
              <w:fldChar w:fldCharType="end"/>
            </w:r>
          </w:hyperlink>
        </w:p>
        <w:p w14:paraId="3BCF3B10" w14:textId="2405038A"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5" w:history="1">
            <w:r w:rsidRPr="008E6767">
              <w:rPr>
                <w:rStyle w:val="Hyperlink"/>
                <w:rFonts w:ascii="Arial" w:hAnsi="Arial" w:cs="Arial"/>
                <w:bCs/>
                <w:noProof/>
                <w:sz w:val="24"/>
                <w:szCs w:val="24"/>
              </w:rPr>
              <w:t>3.</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CTEIG Grant Expenditure Reports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_Toc204937695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5</w:t>
            </w:r>
            <w:r w:rsidRPr="008E6767">
              <w:rPr>
                <w:rFonts w:ascii="Arial" w:hAnsi="Arial" w:cs="Arial"/>
                <w:noProof/>
                <w:webHidden/>
                <w:sz w:val="24"/>
                <w:szCs w:val="24"/>
              </w:rPr>
              <w:fldChar w:fldCharType="end"/>
            </w:r>
          </w:hyperlink>
        </w:p>
        <w:p w14:paraId="18199B19" w14:textId="25C1E876"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6" w:history="1">
            <w:r w:rsidRPr="008E6767">
              <w:rPr>
                <w:rStyle w:val="Hyperlink"/>
                <w:rFonts w:ascii="Arial" w:hAnsi="Arial" w:cs="Arial"/>
                <w:bCs/>
                <w:noProof/>
                <w:sz w:val="24"/>
                <w:szCs w:val="24"/>
              </w:rPr>
              <w:t>4.</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CTE Completer Data</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_Toc204937696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6</w:t>
            </w:r>
            <w:r w:rsidRPr="008E6767">
              <w:rPr>
                <w:rFonts w:ascii="Arial" w:hAnsi="Arial" w:cs="Arial"/>
                <w:noProof/>
                <w:webHidden/>
                <w:sz w:val="24"/>
                <w:szCs w:val="24"/>
              </w:rPr>
              <w:fldChar w:fldCharType="end"/>
            </w:r>
          </w:hyperlink>
        </w:p>
        <w:p w14:paraId="295FD018" w14:textId="62108BC5" w:rsidR="00992DD0" w:rsidRPr="008E6767" w:rsidRDefault="00992DD0">
          <w:pPr>
            <w:pStyle w:val="TOC3"/>
            <w:tabs>
              <w:tab w:val="left" w:pos="720"/>
              <w:tab w:val="right" w:leader="dot" w:pos="9350"/>
            </w:tabs>
            <w:rPr>
              <w:rFonts w:ascii="Arial" w:eastAsiaTheme="minorEastAsia" w:hAnsi="Arial" w:cs="Arial"/>
              <w:noProof/>
              <w:kern w:val="2"/>
              <w:sz w:val="24"/>
              <w:szCs w:val="24"/>
              <w14:ligatures w14:val="standardContextual"/>
            </w:rPr>
          </w:pPr>
          <w:hyperlink w:anchor="_Toc204937697" w:history="1">
            <w:r w:rsidRPr="008E6767">
              <w:rPr>
                <w:rStyle w:val="Hyperlink"/>
                <w:rFonts w:ascii="Arial" w:hAnsi="Arial" w:cs="Arial"/>
                <w:bCs/>
                <w:noProof/>
                <w:sz w:val="24"/>
                <w:szCs w:val="24"/>
              </w:rPr>
              <w:t>5.</w:t>
            </w:r>
            <w:r w:rsidRPr="008E6767">
              <w:rPr>
                <w:rFonts w:ascii="Arial" w:eastAsiaTheme="minorEastAsia" w:hAnsi="Arial" w:cs="Arial"/>
                <w:noProof/>
                <w:kern w:val="2"/>
                <w:sz w:val="24"/>
                <w:szCs w:val="24"/>
                <w14:ligatures w14:val="standardContextual"/>
              </w:rPr>
              <w:tab/>
            </w:r>
            <w:r w:rsidRPr="008E6767">
              <w:rPr>
                <w:rStyle w:val="Hyperlink"/>
                <w:rFonts w:ascii="Arial" w:hAnsi="Arial" w:cs="Arial"/>
                <w:bCs/>
                <w:noProof/>
                <w:sz w:val="24"/>
                <w:szCs w:val="24"/>
              </w:rPr>
              <w:t>Capital Outlay Requests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_Toc204937697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7</w:t>
            </w:r>
            <w:r w:rsidRPr="008E6767">
              <w:rPr>
                <w:rFonts w:ascii="Arial" w:hAnsi="Arial" w:cs="Arial"/>
                <w:noProof/>
                <w:webHidden/>
                <w:sz w:val="24"/>
                <w:szCs w:val="24"/>
              </w:rPr>
              <w:fldChar w:fldCharType="end"/>
            </w:r>
          </w:hyperlink>
        </w:p>
        <w:p w14:paraId="5BBF0388" w14:textId="318FA6EA"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698" w:history="1">
            <w:r w:rsidRPr="008E6767">
              <w:rPr>
                <w:rStyle w:val="Hyperlink"/>
                <w:rFonts w:ascii="Arial" w:hAnsi="Arial" w:cs="Arial"/>
                <w:noProof/>
                <w:sz w:val="24"/>
                <w:szCs w:val="24"/>
              </w:rPr>
              <w:t>Chapter 3: Consortium Memorandum of Understandings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_Toc204937698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7</w:t>
            </w:r>
            <w:r w:rsidRPr="008E6767">
              <w:rPr>
                <w:rFonts w:ascii="Arial" w:hAnsi="Arial" w:cs="Arial"/>
                <w:noProof/>
                <w:webHidden/>
                <w:sz w:val="24"/>
                <w:szCs w:val="24"/>
              </w:rPr>
              <w:fldChar w:fldCharType="end"/>
            </w:r>
          </w:hyperlink>
        </w:p>
        <w:p w14:paraId="49F757F1" w14:textId="6986300E"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699" w:history="1">
            <w:r w:rsidRPr="008E6767">
              <w:rPr>
                <w:rStyle w:val="Hyperlink"/>
                <w:rFonts w:ascii="Arial" w:hAnsi="Arial" w:cs="Arial"/>
                <w:noProof/>
                <w:sz w:val="24"/>
                <w:szCs w:val="24"/>
              </w:rPr>
              <w:t>Chapter 4: Allowable and Non-Allowable Expenditures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_Toc204937699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7</w:t>
            </w:r>
            <w:r w:rsidRPr="008E6767">
              <w:rPr>
                <w:rFonts w:ascii="Arial" w:hAnsi="Arial" w:cs="Arial"/>
                <w:noProof/>
                <w:webHidden/>
                <w:sz w:val="24"/>
                <w:szCs w:val="24"/>
              </w:rPr>
              <w:fldChar w:fldCharType="end"/>
            </w:r>
          </w:hyperlink>
        </w:p>
        <w:p w14:paraId="30F582BB" w14:textId="64F3DD25"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0" w:history="1">
            <w:r w:rsidRPr="008E6767">
              <w:rPr>
                <w:rStyle w:val="Hyperlink"/>
                <w:rFonts w:ascii="Arial" w:hAnsi="Arial" w:cs="Arial"/>
                <w:noProof/>
                <w:sz w:val="24"/>
                <w:szCs w:val="24"/>
              </w:rPr>
              <w:t>Chapter 5: PGMS Entry Application</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_Toc204937700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8</w:t>
            </w:r>
            <w:r w:rsidRPr="008E6767">
              <w:rPr>
                <w:rFonts w:ascii="Arial" w:hAnsi="Arial" w:cs="Arial"/>
                <w:noProof/>
                <w:webHidden/>
                <w:sz w:val="24"/>
                <w:szCs w:val="24"/>
              </w:rPr>
              <w:fldChar w:fldCharType="end"/>
            </w:r>
          </w:hyperlink>
        </w:p>
        <w:p w14:paraId="55A51307" w14:textId="5F626F6D"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1" w:history="1">
            <w:r w:rsidRPr="008E6767">
              <w:rPr>
                <w:rStyle w:val="Hyperlink"/>
                <w:rFonts w:ascii="Arial" w:hAnsi="Arial" w:cs="Arial"/>
                <w:noProof/>
                <w:sz w:val="24"/>
                <w:szCs w:val="24"/>
              </w:rPr>
              <w:t>Chapter 6: Application Review Process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_Toc204937701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8</w:t>
            </w:r>
            <w:r w:rsidRPr="008E6767">
              <w:rPr>
                <w:rFonts w:ascii="Arial" w:hAnsi="Arial" w:cs="Arial"/>
                <w:noProof/>
                <w:webHidden/>
                <w:sz w:val="24"/>
                <w:szCs w:val="24"/>
              </w:rPr>
              <w:fldChar w:fldCharType="end"/>
            </w:r>
          </w:hyperlink>
        </w:p>
        <w:p w14:paraId="38D7DE3E" w14:textId="2D4F38F2"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2" w:history="1">
            <w:r w:rsidRPr="008E6767">
              <w:rPr>
                <w:rStyle w:val="Hyperlink"/>
                <w:rFonts w:ascii="Arial" w:hAnsi="Arial" w:cs="Arial"/>
                <w:noProof/>
                <w:sz w:val="24"/>
                <w:szCs w:val="24"/>
              </w:rPr>
              <w:t>Chapter 7: Appeals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_Toc204937702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9</w:t>
            </w:r>
            <w:r w:rsidRPr="008E6767">
              <w:rPr>
                <w:rFonts w:ascii="Arial" w:hAnsi="Arial" w:cs="Arial"/>
                <w:noProof/>
                <w:webHidden/>
                <w:sz w:val="24"/>
                <w:szCs w:val="24"/>
              </w:rPr>
              <w:fldChar w:fldCharType="end"/>
            </w:r>
          </w:hyperlink>
        </w:p>
        <w:p w14:paraId="4C75BD2D" w14:textId="1956B2C7"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3" w:history="1">
            <w:r w:rsidRPr="008E6767">
              <w:rPr>
                <w:rStyle w:val="Hyperlink"/>
                <w:rFonts w:ascii="Arial" w:hAnsi="Arial" w:cs="Arial"/>
                <w:noProof/>
                <w:sz w:val="24"/>
                <w:szCs w:val="24"/>
              </w:rPr>
              <w:t>Chapter 8: Grant Award and Payment Procedures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_Toc204937703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10</w:t>
            </w:r>
            <w:r w:rsidRPr="008E6767">
              <w:rPr>
                <w:rFonts w:ascii="Arial" w:hAnsi="Arial" w:cs="Arial"/>
                <w:noProof/>
                <w:webHidden/>
                <w:sz w:val="24"/>
                <w:szCs w:val="24"/>
              </w:rPr>
              <w:fldChar w:fldCharType="end"/>
            </w:r>
          </w:hyperlink>
        </w:p>
        <w:p w14:paraId="5BE73A38" w14:textId="7ED35EDB"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4" w:history="1">
            <w:r w:rsidRPr="008E6767">
              <w:rPr>
                <w:rStyle w:val="Hyperlink"/>
                <w:rFonts w:ascii="Arial" w:hAnsi="Arial" w:cs="Arial"/>
                <w:noProof/>
                <w:sz w:val="24"/>
                <w:szCs w:val="24"/>
              </w:rPr>
              <w:t>Chapter 9: Technical Assistance</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_Toc204937704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10</w:t>
            </w:r>
            <w:r w:rsidRPr="008E6767">
              <w:rPr>
                <w:rFonts w:ascii="Arial" w:hAnsi="Arial" w:cs="Arial"/>
                <w:noProof/>
                <w:webHidden/>
                <w:sz w:val="24"/>
                <w:szCs w:val="24"/>
              </w:rPr>
              <w:fldChar w:fldCharType="end"/>
            </w:r>
          </w:hyperlink>
        </w:p>
        <w:p w14:paraId="50B14C23" w14:textId="0783A45F"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5" w:history="1">
            <w:r w:rsidRPr="008E6767">
              <w:rPr>
                <w:rStyle w:val="Hyperlink"/>
                <w:rFonts w:ascii="Arial" w:hAnsi="Arial" w:cs="Arial"/>
                <w:noProof/>
                <w:sz w:val="24"/>
                <w:szCs w:val="24"/>
              </w:rPr>
              <w:t>Chapter 10: Costs of Preparing the Application</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_Toc204937705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10</w:t>
            </w:r>
            <w:r w:rsidRPr="008E6767">
              <w:rPr>
                <w:rFonts w:ascii="Arial" w:hAnsi="Arial" w:cs="Arial"/>
                <w:noProof/>
                <w:webHidden/>
                <w:sz w:val="24"/>
                <w:szCs w:val="24"/>
              </w:rPr>
              <w:fldChar w:fldCharType="end"/>
            </w:r>
          </w:hyperlink>
        </w:p>
        <w:p w14:paraId="3CC2B3BB" w14:textId="6461440A"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6" w:history="1">
            <w:r w:rsidRPr="008E6767">
              <w:rPr>
                <w:rStyle w:val="Hyperlink"/>
                <w:rFonts w:ascii="Arial" w:hAnsi="Arial" w:cs="Arial"/>
                <w:noProof/>
                <w:sz w:val="24"/>
                <w:szCs w:val="24"/>
              </w:rPr>
              <w:t>Chapter 11: Application Due Date</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_Toc204937706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10</w:t>
            </w:r>
            <w:r w:rsidRPr="008E6767">
              <w:rPr>
                <w:rFonts w:ascii="Arial" w:hAnsi="Arial" w:cs="Arial"/>
                <w:noProof/>
                <w:webHidden/>
                <w:sz w:val="24"/>
                <w:szCs w:val="24"/>
              </w:rPr>
              <w:fldChar w:fldCharType="end"/>
            </w:r>
          </w:hyperlink>
        </w:p>
        <w:p w14:paraId="1475DEAF" w14:textId="6EEF2C2A"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7" w:history="1">
            <w:r w:rsidRPr="008E6767">
              <w:rPr>
                <w:rStyle w:val="Hyperlink"/>
                <w:rFonts w:ascii="Arial" w:hAnsi="Arial" w:cs="Arial"/>
                <w:noProof/>
                <w:sz w:val="24"/>
                <w:szCs w:val="24"/>
              </w:rPr>
              <w:t>Chapter 12: Resources</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_Toc204937707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10</w:t>
            </w:r>
            <w:r w:rsidRPr="008E6767">
              <w:rPr>
                <w:rFonts w:ascii="Arial" w:hAnsi="Arial" w:cs="Arial"/>
                <w:noProof/>
                <w:webHidden/>
                <w:sz w:val="24"/>
                <w:szCs w:val="24"/>
              </w:rPr>
              <w:fldChar w:fldCharType="end"/>
            </w:r>
          </w:hyperlink>
        </w:p>
        <w:p w14:paraId="08EC9993" w14:textId="4FADC0EF" w:rsidR="00992DD0" w:rsidRPr="008E6767" w:rsidRDefault="00992DD0">
          <w:pPr>
            <w:pStyle w:val="TOC2"/>
            <w:tabs>
              <w:tab w:val="right" w:leader="dot" w:pos="9350"/>
            </w:tabs>
            <w:rPr>
              <w:rFonts w:ascii="Arial" w:eastAsiaTheme="minorEastAsia" w:hAnsi="Arial" w:cs="Arial"/>
              <w:b w:val="0"/>
              <w:bCs w:val="0"/>
              <w:noProof/>
              <w:kern w:val="2"/>
              <w:sz w:val="24"/>
              <w:szCs w:val="24"/>
              <w14:ligatures w14:val="standardContextual"/>
            </w:rPr>
          </w:pPr>
          <w:hyperlink w:anchor="_Toc204937708" w:history="1">
            <w:r w:rsidRPr="008E6767">
              <w:rPr>
                <w:rStyle w:val="Hyperlink"/>
                <w:rFonts w:ascii="Arial" w:hAnsi="Arial" w:cs="Arial"/>
                <w:noProof/>
                <w:sz w:val="24"/>
                <w:szCs w:val="24"/>
              </w:rPr>
              <w:t>Chapter 13: Scoring Rubric</w:t>
            </w:r>
            <w:r w:rsidRPr="008E6767">
              <w:rPr>
                <w:rFonts w:ascii="Arial" w:hAnsi="Arial" w:cs="Arial"/>
                <w:noProof/>
                <w:webHidden/>
                <w:sz w:val="24"/>
                <w:szCs w:val="24"/>
              </w:rPr>
              <w:tab/>
            </w:r>
            <w:r w:rsidRPr="008E6767">
              <w:rPr>
                <w:rFonts w:ascii="Arial" w:hAnsi="Arial" w:cs="Arial"/>
                <w:noProof/>
                <w:webHidden/>
                <w:sz w:val="24"/>
                <w:szCs w:val="24"/>
              </w:rPr>
              <w:fldChar w:fldCharType="begin"/>
            </w:r>
            <w:r w:rsidRPr="008E6767">
              <w:rPr>
                <w:rFonts w:ascii="Arial" w:hAnsi="Arial" w:cs="Arial"/>
                <w:noProof/>
                <w:webHidden/>
                <w:sz w:val="24"/>
                <w:szCs w:val="24"/>
              </w:rPr>
              <w:instrText xml:space="preserve"> PAGEREF _Toc204937708 \h </w:instrText>
            </w:r>
            <w:r w:rsidRPr="008E6767">
              <w:rPr>
                <w:rFonts w:ascii="Arial" w:hAnsi="Arial" w:cs="Arial"/>
                <w:noProof/>
                <w:webHidden/>
                <w:sz w:val="24"/>
                <w:szCs w:val="24"/>
              </w:rPr>
            </w:r>
            <w:r w:rsidRPr="008E6767">
              <w:rPr>
                <w:rFonts w:ascii="Arial" w:hAnsi="Arial" w:cs="Arial"/>
                <w:noProof/>
                <w:webHidden/>
                <w:sz w:val="24"/>
                <w:szCs w:val="24"/>
              </w:rPr>
              <w:fldChar w:fldCharType="separate"/>
            </w:r>
            <w:r w:rsidRPr="008E6767">
              <w:rPr>
                <w:rFonts w:ascii="Arial" w:hAnsi="Arial" w:cs="Arial"/>
                <w:noProof/>
                <w:webHidden/>
                <w:sz w:val="24"/>
                <w:szCs w:val="24"/>
              </w:rPr>
              <w:t>12</w:t>
            </w:r>
            <w:r w:rsidRPr="008E6767">
              <w:rPr>
                <w:rFonts w:ascii="Arial" w:hAnsi="Arial" w:cs="Arial"/>
                <w:noProof/>
                <w:webHidden/>
                <w:sz w:val="24"/>
                <w:szCs w:val="24"/>
              </w:rPr>
              <w:fldChar w:fldCharType="end"/>
            </w:r>
          </w:hyperlink>
        </w:p>
        <w:p w14:paraId="1553566D" w14:textId="77CC4024" w:rsidR="007640E7" w:rsidRPr="008E6767" w:rsidRDefault="00383233" w:rsidP="00D532B3">
          <w:pPr>
            <w:pStyle w:val="TOC2"/>
            <w:tabs>
              <w:tab w:val="right" w:leader="dot" w:pos="9350"/>
            </w:tabs>
            <w:rPr>
              <w:rFonts w:ascii="Arial" w:hAnsi="Arial" w:cs="Arial"/>
              <w:b w:val="0"/>
              <w:bCs w:val="0"/>
              <w:noProof/>
            </w:rPr>
          </w:pPr>
          <w:r w:rsidRPr="008E6767">
            <w:rPr>
              <w:rFonts w:ascii="Arial" w:hAnsi="Arial" w:cs="Arial"/>
              <w:b w:val="0"/>
              <w:bCs w:val="0"/>
              <w:noProof/>
              <w:sz w:val="24"/>
              <w:szCs w:val="24"/>
            </w:rPr>
            <w:fldChar w:fldCharType="end"/>
          </w:r>
        </w:p>
      </w:sdtContent>
    </w:sdt>
    <w:p w14:paraId="3F496153" w14:textId="77777777" w:rsidR="00373A3A" w:rsidRPr="008E6767" w:rsidRDefault="00373A3A">
      <w:pPr>
        <w:rPr>
          <w:bCs/>
          <w:sz w:val="28"/>
          <w:szCs w:val="28"/>
        </w:rPr>
      </w:pPr>
      <w:r w:rsidRPr="008E6767">
        <w:rPr>
          <w:bCs/>
          <w:sz w:val="28"/>
          <w:szCs w:val="28"/>
        </w:rPr>
        <w:br w:type="page"/>
      </w:r>
    </w:p>
    <w:p w14:paraId="42509C5C" w14:textId="2A56B759" w:rsidR="001F2343" w:rsidRPr="008E6767" w:rsidRDefault="009B5A28" w:rsidP="0014344D">
      <w:pPr>
        <w:tabs>
          <w:tab w:val="left" w:pos="1773"/>
          <w:tab w:val="center" w:pos="4680"/>
        </w:tabs>
        <w:spacing w:after="240"/>
        <w:jc w:val="center"/>
        <w:rPr>
          <w:bCs/>
          <w:sz w:val="28"/>
          <w:szCs w:val="28"/>
        </w:rPr>
      </w:pPr>
      <w:r w:rsidRPr="008E6767">
        <w:rPr>
          <w:bCs/>
          <w:sz w:val="28"/>
          <w:szCs w:val="28"/>
        </w:rPr>
        <w:lastRenderedPageBreak/>
        <w:t>Career Technical Education Incentive Grant</w:t>
      </w:r>
      <w:r w:rsidR="00DB2F16" w:rsidRPr="008E6767">
        <w:rPr>
          <w:bCs/>
          <w:sz w:val="28"/>
          <w:szCs w:val="28"/>
        </w:rPr>
        <w:br/>
      </w:r>
      <w:r w:rsidRPr="008E6767">
        <w:rPr>
          <w:bCs/>
          <w:sz w:val="28"/>
          <w:szCs w:val="28"/>
        </w:rPr>
        <w:t>Request for Applications 202</w:t>
      </w:r>
      <w:r w:rsidR="008A7708" w:rsidRPr="008E6767">
        <w:rPr>
          <w:bCs/>
          <w:sz w:val="28"/>
          <w:szCs w:val="28"/>
        </w:rPr>
        <w:t>5</w:t>
      </w:r>
      <w:r w:rsidRPr="008E6767">
        <w:rPr>
          <w:bCs/>
          <w:sz w:val="28"/>
          <w:szCs w:val="28"/>
        </w:rPr>
        <w:t>–2</w:t>
      </w:r>
      <w:r w:rsidR="008A7708" w:rsidRPr="008E6767">
        <w:rPr>
          <w:bCs/>
          <w:sz w:val="28"/>
          <w:szCs w:val="28"/>
        </w:rPr>
        <w:t>6</w:t>
      </w:r>
    </w:p>
    <w:p w14:paraId="298B4034" w14:textId="77777777" w:rsidR="007F1151" w:rsidRPr="008E6767" w:rsidRDefault="009B5A28">
      <w:pPr>
        <w:pStyle w:val="Heading2"/>
      </w:pPr>
      <w:bookmarkStart w:id="5" w:name="bookmark=id.1fob9te" w:colFirst="0" w:colLast="0"/>
      <w:bookmarkStart w:id="6" w:name="_Toc204937683"/>
      <w:bookmarkEnd w:id="5"/>
      <w:r w:rsidRPr="008E6767">
        <w:t>Chapter 1: General Information</w:t>
      </w:r>
      <w:bookmarkEnd w:id="6"/>
    </w:p>
    <w:p w14:paraId="5E2AC901" w14:textId="77777777" w:rsidR="007F1151" w:rsidRPr="00D81F6B" w:rsidRDefault="009B5A28" w:rsidP="00725B76">
      <w:pPr>
        <w:pStyle w:val="Heading3"/>
        <w:rPr>
          <w:b/>
          <w:bCs w:val="0"/>
        </w:rPr>
      </w:pPr>
      <w:bookmarkStart w:id="7" w:name="bookmark=id.2et92p0" w:colFirst="0" w:colLast="0"/>
      <w:bookmarkStart w:id="8" w:name="_Toc204937684"/>
      <w:bookmarkEnd w:id="7"/>
      <w:r w:rsidRPr="00D81F6B">
        <w:rPr>
          <w:b/>
          <w:bCs w:val="0"/>
        </w:rPr>
        <w:t>I. Introduction</w:t>
      </w:r>
      <w:bookmarkEnd w:id="8"/>
    </w:p>
    <w:p w14:paraId="13A414CF" w14:textId="2462EA32" w:rsidR="008A7708" w:rsidRPr="008E6767" w:rsidRDefault="0010542E" w:rsidP="008A7708">
      <w:pPr>
        <w:rPr>
          <w:bCs/>
        </w:rPr>
      </w:pPr>
      <w:bookmarkStart w:id="9" w:name="_heading=h.3dy6vkm" w:colFirst="0" w:colLast="0"/>
      <w:bookmarkEnd w:id="9"/>
      <w:r w:rsidRPr="008E6767">
        <w:rPr>
          <w:bCs/>
        </w:rPr>
        <w:t>The California</w:t>
      </w:r>
      <w:r w:rsidR="008A7708" w:rsidRPr="008E6767">
        <w:rPr>
          <w:bCs/>
        </w:rPr>
        <w:t xml:space="preserve"> </w:t>
      </w:r>
      <w:r w:rsidR="008A7708" w:rsidRPr="008E6767">
        <w:rPr>
          <w:bCs/>
          <w:i/>
          <w:iCs/>
        </w:rPr>
        <w:t>Education Code</w:t>
      </w:r>
      <w:r w:rsidR="008A7708" w:rsidRPr="008E6767">
        <w:rPr>
          <w:bCs/>
        </w:rPr>
        <w:t xml:space="preserve"> (</w:t>
      </w:r>
      <w:bookmarkStart w:id="10" w:name="_Hlk197600184"/>
      <w:r w:rsidR="008A7708" w:rsidRPr="008E6767">
        <w:rPr>
          <w:bCs/>
          <w:i/>
          <w:iCs/>
        </w:rPr>
        <w:t>EC</w:t>
      </w:r>
      <w:bookmarkEnd w:id="10"/>
      <w:r w:rsidR="008A7708" w:rsidRPr="008E6767">
        <w:rPr>
          <w:bCs/>
        </w:rPr>
        <w:t xml:space="preserve">) Section 53070(a) states that the California Career Technical Education Incentive Grant (CTEIG) program is established as a state education, economic, and workforce development initiative with the goal of providing pupils in kindergarten and grades one to twelve, inclusive, with the knowledge and skills necessary to transition to employment and </w:t>
      </w:r>
      <w:bookmarkStart w:id="11" w:name="_Hlk197599997"/>
      <w:r w:rsidR="008A7708" w:rsidRPr="008E6767">
        <w:rPr>
          <w:bCs/>
        </w:rPr>
        <w:t xml:space="preserve">post-secondary </w:t>
      </w:r>
      <w:bookmarkEnd w:id="11"/>
      <w:r w:rsidR="008A7708" w:rsidRPr="008E6767">
        <w:rPr>
          <w:bCs/>
        </w:rPr>
        <w:t>education. The purpose of this competitive grant program is to encourage, maintain, and strengthen the delivery of high-quality career technical education (CTE) programs.</w:t>
      </w:r>
    </w:p>
    <w:p w14:paraId="46F5F721" w14:textId="38D9EA48" w:rsidR="008A7708" w:rsidRPr="00D81F6B" w:rsidRDefault="009B5A28" w:rsidP="00725B76">
      <w:pPr>
        <w:pStyle w:val="Heading3"/>
        <w:rPr>
          <w:b/>
          <w:bCs w:val="0"/>
        </w:rPr>
      </w:pPr>
      <w:bookmarkStart w:id="12" w:name="_Toc204937685"/>
      <w:r w:rsidRPr="00D81F6B">
        <w:rPr>
          <w:b/>
          <w:bCs w:val="0"/>
        </w:rPr>
        <w:t>II. Grant Timeline</w:t>
      </w:r>
      <w:bookmarkEnd w:id="12"/>
      <w:r w:rsidRPr="00D81F6B">
        <w:rPr>
          <w:b/>
          <w:bCs w:val="0"/>
        </w:rPr>
        <w:t xml:space="preserve"> </w:t>
      </w:r>
    </w:p>
    <w:p w14:paraId="51EC9311" w14:textId="0C6DCB97" w:rsidR="0047592C" w:rsidRPr="008E6767" w:rsidRDefault="008A7708" w:rsidP="2ED1CCFF">
      <w:pPr>
        <w:spacing w:after="240"/>
        <w:rPr>
          <w:b/>
          <w:bCs/>
        </w:rPr>
      </w:pPr>
      <w:r w:rsidRPr="008E6767">
        <w:t xml:space="preserve">Grant applications must be received </w:t>
      </w:r>
      <w:r w:rsidR="00BB5343" w:rsidRPr="008E6767">
        <w:t xml:space="preserve">in </w:t>
      </w:r>
      <w:r w:rsidR="00D76E55" w:rsidRPr="008E6767">
        <w:t>the Program Grant Management System (</w:t>
      </w:r>
      <w:r w:rsidR="00BB5343" w:rsidRPr="008E6767">
        <w:t>PGMS</w:t>
      </w:r>
      <w:r w:rsidR="00D76E55" w:rsidRPr="008E6767">
        <w:t>)</w:t>
      </w:r>
      <w:r w:rsidR="00BB5343" w:rsidRPr="008E6767">
        <w:t xml:space="preserve"> </w:t>
      </w:r>
      <w:r w:rsidRPr="008E6767">
        <w:t xml:space="preserve">by </w:t>
      </w:r>
      <w:r w:rsidRPr="008E6767">
        <w:rPr>
          <w:b/>
          <w:bCs/>
        </w:rPr>
        <w:t xml:space="preserve">Friday, </w:t>
      </w:r>
      <w:r w:rsidR="00865927" w:rsidRPr="008E6767">
        <w:rPr>
          <w:b/>
          <w:bCs/>
        </w:rPr>
        <w:t>January 23</w:t>
      </w:r>
      <w:r w:rsidRPr="008E6767">
        <w:rPr>
          <w:b/>
          <w:bCs/>
        </w:rPr>
        <w:t>, 202</w:t>
      </w:r>
      <w:r w:rsidR="00865927" w:rsidRPr="008E6767">
        <w:rPr>
          <w:b/>
          <w:bCs/>
        </w:rPr>
        <w:t>6</w:t>
      </w:r>
      <w:r w:rsidRPr="008E6767">
        <w:rPr>
          <w:b/>
          <w:bCs/>
        </w:rPr>
        <w:t>, at 5 p.m.</w:t>
      </w:r>
    </w:p>
    <w:p w14:paraId="6FA2FB80" w14:textId="355C998B" w:rsidR="008A7708" w:rsidRPr="008E6767" w:rsidRDefault="00E6701E" w:rsidP="009B4972">
      <w:pPr>
        <w:spacing w:after="240"/>
      </w:pPr>
      <w:r w:rsidRPr="008E6767">
        <w:t>The CDE will present r</w:t>
      </w:r>
      <w:r w:rsidR="008A7708" w:rsidRPr="008E6767">
        <w:t xml:space="preserve">ecommendations for grant qualification award amounts to the State Board of Education (SBE) during the </w:t>
      </w:r>
      <w:r w:rsidR="00865927" w:rsidRPr="008E6767">
        <w:t>March</w:t>
      </w:r>
      <w:r w:rsidR="00616623" w:rsidRPr="008E6767">
        <w:t xml:space="preserve"> </w:t>
      </w:r>
      <w:r w:rsidR="008A7708" w:rsidRPr="008E6767">
        <w:t>202</w:t>
      </w:r>
      <w:r w:rsidR="000E6434" w:rsidRPr="008E6767">
        <w:t>6</w:t>
      </w:r>
      <w:r w:rsidR="008A7708" w:rsidRPr="008E6767">
        <w:t xml:space="preserve"> board meeting for </w:t>
      </w:r>
      <w:r w:rsidRPr="008E6767">
        <w:t>consideration</w:t>
      </w:r>
      <w:r w:rsidR="008A7708" w:rsidRPr="008E6767">
        <w:t xml:space="preserve"> and approval.</w:t>
      </w:r>
    </w:p>
    <w:p w14:paraId="7D516312" w14:textId="739CB73A" w:rsidR="00D45FC7" w:rsidRPr="008E6767" w:rsidRDefault="008A7708" w:rsidP="2ED1CCFF">
      <w:pPr>
        <w:spacing w:after="360"/>
      </w:pPr>
      <w:r w:rsidRPr="008E6767">
        <w:t xml:space="preserve">Following approval </w:t>
      </w:r>
      <w:r w:rsidR="00AD2C51" w:rsidRPr="008E6767">
        <w:t xml:space="preserve">by </w:t>
      </w:r>
      <w:r w:rsidRPr="008E6767">
        <w:t>the SBE, Grant Award Notifications (GANs) will be sent to the local educational agencies (LEAs) which were awarded grant funds.</w:t>
      </w:r>
      <w:r w:rsidR="00181E8F" w:rsidRPr="008E6767">
        <w:t xml:space="preserve"> The GAN will be sent to the </w:t>
      </w:r>
      <w:r w:rsidR="21579E43" w:rsidRPr="008E6767">
        <w:t>Superintendent</w:t>
      </w:r>
      <w:r w:rsidR="00867267" w:rsidRPr="008E6767">
        <w:t xml:space="preserve"> or Designee</w:t>
      </w:r>
      <w:r w:rsidR="21579E43" w:rsidRPr="008E6767">
        <w:t xml:space="preserve"> </w:t>
      </w:r>
      <w:r w:rsidR="00867267" w:rsidRPr="008E6767">
        <w:t xml:space="preserve">and </w:t>
      </w:r>
      <w:r w:rsidR="00181E8F" w:rsidRPr="008E6767">
        <w:t>administrator that is listed in</w:t>
      </w:r>
      <w:r w:rsidR="00867267" w:rsidRPr="008E6767">
        <w:t xml:space="preserve"> the application.</w:t>
      </w:r>
      <w:r w:rsidR="00181E8F" w:rsidRPr="008E6767">
        <w:t xml:space="preserve"> Make sure</w:t>
      </w:r>
      <w:r w:rsidR="7DC5609F" w:rsidRPr="008E6767">
        <w:t xml:space="preserve"> the contact information is up to date in the </w:t>
      </w:r>
      <w:r w:rsidR="008A7CB5" w:rsidRPr="008E6767">
        <w:t xml:space="preserve">California </w:t>
      </w:r>
      <w:hyperlink r:id="rId9" w:history="1">
        <w:r w:rsidR="7DC5609F" w:rsidRPr="008E6767">
          <w:rPr>
            <w:rStyle w:val="Hyperlink"/>
          </w:rPr>
          <w:t>School Directory</w:t>
        </w:r>
      </w:hyperlink>
      <w:r w:rsidR="7DC5609F" w:rsidRPr="008E6767">
        <w:t>.</w:t>
      </w:r>
    </w:p>
    <w:tbl>
      <w:tblPr>
        <w:tblStyle w:val="TableGrid"/>
        <w:tblW w:w="0" w:type="auto"/>
        <w:jc w:val="center"/>
        <w:tblLook w:val="04A0" w:firstRow="1" w:lastRow="0" w:firstColumn="1" w:lastColumn="0" w:noHBand="0" w:noVBand="1"/>
        <w:tblDescription w:val="Dates and Activities"/>
      </w:tblPr>
      <w:tblGrid>
        <w:gridCol w:w="2695"/>
        <w:gridCol w:w="6570"/>
      </w:tblGrid>
      <w:tr w:rsidR="00896401" w:rsidRPr="008E6767" w14:paraId="19410A03" w14:textId="77777777" w:rsidTr="00992DD0">
        <w:trPr>
          <w:cantSplit/>
          <w:trHeight w:val="432"/>
          <w:tblHeader/>
          <w:jc w:val="center"/>
        </w:trPr>
        <w:tc>
          <w:tcPr>
            <w:tcW w:w="2695" w:type="dxa"/>
            <w:shd w:val="clear" w:color="auto" w:fill="D0CECE" w:themeFill="background2" w:themeFillShade="E6"/>
            <w:vAlign w:val="center"/>
          </w:tcPr>
          <w:p w14:paraId="6140E105" w14:textId="5B4E3003" w:rsidR="00896401" w:rsidRPr="008E6767" w:rsidRDefault="00896401" w:rsidP="00992DD0">
            <w:pPr>
              <w:jc w:val="center"/>
              <w:rPr>
                <w:b/>
              </w:rPr>
            </w:pPr>
            <w:r w:rsidRPr="008E6767">
              <w:rPr>
                <w:b/>
              </w:rPr>
              <w:t>Dates*</w:t>
            </w:r>
          </w:p>
        </w:tc>
        <w:tc>
          <w:tcPr>
            <w:tcW w:w="6570" w:type="dxa"/>
            <w:shd w:val="clear" w:color="auto" w:fill="D0CECE" w:themeFill="background2" w:themeFillShade="E6"/>
            <w:vAlign w:val="center"/>
          </w:tcPr>
          <w:p w14:paraId="11057408" w14:textId="41A53217" w:rsidR="00896401" w:rsidRPr="008E6767" w:rsidRDefault="00896401" w:rsidP="00992DD0">
            <w:pPr>
              <w:jc w:val="center"/>
              <w:rPr>
                <w:b/>
              </w:rPr>
            </w:pPr>
            <w:r w:rsidRPr="008E6767">
              <w:rPr>
                <w:b/>
              </w:rPr>
              <w:t>Activity</w:t>
            </w:r>
          </w:p>
        </w:tc>
      </w:tr>
      <w:tr w:rsidR="00D45FC7" w:rsidRPr="008E6767" w14:paraId="251F20AD" w14:textId="77777777" w:rsidTr="00992DD0">
        <w:trPr>
          <w:cantSplit/>
          <w:trHeight w:val="288"/>
          <w:tblHeader/>
          <w:jc w:val="center"/>
        </w:trPr>
        <w:tc>
          <w:tcPr>
            <w:tcW w:w="2695" w:type="dxa"/>
            <w:vAlign w:val="center"/>
          </w:tcPr>
          <w:p w14:paraId="0C60F937" w14:textId="2F846853" w:rsidR="00D45FC7" w:rsidRPr="008E6767" w:rsidRDefault="00865927" w:rsidP="00992DD0">
            <w:pPr>
              <w:rPr>
                <w:bCs/>
              </w:rPr>
            </w:pPr>
            <w:r w:rsidRPr="008E6767">
              <w:rPr>
                <w:bCs/>
              </w:rPr>
              <w:t>December 1</w:t>
            </w:r>
            <w:r w:rsidR="00D45FC7" w:rsidRPr="008E6767">
              <w:rPr>
                <w:bCs/>
              </w:rPr>
              <w:t>, 2025</w:t>
            </w:r>
          </w:p>
        </w:tc>
        <w:tc>
          <w:tcPr>
            <w:tcW w:w="6570" w:type="dxa"/>
            <w:vAlign w:val="center"/>
          </w:tcPr>
          <w:p w14:paraId="7F456ACC" w14:textId="77777777" w:rsidR="00D45FC7" w:rsidRPr="008E6767" w:rsidRDefault="00D45FC7" w:rsidP="00992DD0">
            <w:pPr>
              <w:rPr>
                <w:bCs/>
              </w:rPr>
            </w:pPr>
            <w:r w:rsidRPr="008E6767">
              <w:rPr>
                <w:bCs/>
              </w:rPr>
              <w:t>Request for Application (RFA) released to LEAs</w:t>
            </w:r>
          </w:p>
        </w:tc>
      </w:tr>
      <w:tr w:rsidR="00D45FC7" w:rsidRPr="008E6767" w14:paraId="75C6D29E" w14:textId="77777777" w:rsidTr="00992DD0">
        <w:trPr>
          <w:cantSplit/>
          <w:trHeight w:val="288"/>
          <w:tblHeader/>
          <w:jc w:val="center"/>
        </w:trPr>
        <w:tc>
          <w:tcPr>
            <w:tcW w:w="2695" w:type="dxa"/>
            <w:vAlign w:val="center"/>
          </w:tcPr>
          <w:p w14:paraId="36355D66" w14:textId="125D82E6" w:rsidR="00D45FC7" w:rsidRPr="008E6767" w:rsidRDefault="00865927" w:rsidP="00992DD0">
            <w:pPr>
              <w:rPr>
                <w:bCs/>
              </w:rPr>
            </w:pPr>
            <w:r w:rsidRPr="008E6767">
              <w:rPr>
                <w:bCs/>
              </w:rPr>
              <w:t>January 23, 2026</w:t>
            </w:r>
          </w:p>
        </w:tc>
        <w:tc>
          <w:tcPr>
            <w:tcW w:w="6570" w:type="dxa"/>
            <w:vAlign w:val="center"/>
          </w:tcPr>
          <w:p w14:paraId="384CCFA6" w14:textId="56DA7CB5" w:rsidR="00D45FC7" w:rsidRPr="008E6767" w:rsidRDefault="00D45FC7" w:rsidP="00992DD0">
            <w:pPr>
              <w:rPr>
                <w:bCs/>
              </w:rPr>
            </w:pPr>
            <w:r w:rsidRPr="008E6767">
              <w:rPr>
                <w:bCs/>
              </w:rPr>
              <w:t>PGMS Entry Submission due to CDE</w:t>
            </w:r>
          </w:p>
        </w:tc>
      </w:tr>
      <w:tr w:rsidR="00D45FC7" w:rsidRPr="008E6767" w14:paraId="2E4CDD8B" w14:textId="77777777" w:rsidTr="00992DD0">
        <w:trPr>
          <w:cantSplit/>
          <w:trHeight w:val="288"/>
          <w:tblHeader/>
          <w:jc w:val="center"/>
        </w:trPr>
        <w:tc>
          <w:tcPr>
            <w:tcW w:w="2695" w:type="dxa"/>
            <w:vAlign w:val="center"/>
          </w:tcPr>
          <w:p w14:paraId="678AE3E4" w14:textId="74AAC3AF" w:rsidR="00D45FC7" w:rsidRPr="008E6767" w:rsidRDefault="00865927" w:rsidP="00992DD0">
            <w:pPr>
              <w:rPr>
                <w:bCs/>
              </w:rPr>
            </w:pPr>
            <w:r w:rsidRPr="008E6767">
              <w:rPr>
                <w:bCs/>
              </w:rPr>
              <w:t>February 9</w:t>
            </w:r>
            <w:r w:rsidR="00D45FC7" w:rsidRPr="008E6767">
              <w:rPr>
                <w:bCs/>
              </w:rPr>
              <w:t>, 202</w:t>
            </w:r>
            <w:r w:rsidRPr="008E6767">
              <w:rPr>
                <w:bCs/>
              </w:rPr>
              <w:t>6</w:t>
            </w:r>
          </w:p>
        </w:tc>
        <w:tc>
          <w:tcPr>
            <w:tcW w:w="6570" w:type="dxa"/>
            <w:vAlign w:val="center"/>
          </w:tcPr>
          <w:p w14:paraId="5655A2A1" w14:textId="77777777" w:rsidR="00D45FC7" w:rsidRPr="008E6767" w:rsidRDefault="00D45FC7" w:rsidP="00992DD0">
            <w:pPr>
              <w:rPr>
                <w:bCs/>
              </w:rPr>
            </w:pPr>
            <w:r w:rsidRPr="008E6767">
              <w:rPr>
                <w:bCs/>
              </w:rPr>
              <w:t>Preliminary Grant Qualification Results Posted</w:t>
            </w:r>
          </w:p>
        </w:tc>
      </w:tr>
      <w:tr w:rsidR="00D45FC7" w:rsidRPr="008E6767" w14:paraId="4A758A2E" w14:textId="77777777" w:rsidTr="00992DD0">
        <w:trPr>
          <w:cantSplit/>
          <w:trHeight w:val="288"/>
          <w:tblHeader/>
          <w:jc w:val="center"/>
        </w:trPr>
        <w:tc>
          <w:tcPr>
            <w:tcW w:w="2695" w:type="dxa"/>
            <w:vAlign w:val="center"/>
          </w:tcPr>
          <w:p w14:paraId="55DBFC48" w14:textId="0F8500C1" w:rsidR="00D45FC7" w:rsidRPr="008E6767" w:rsidRDefault="00865927" w:rsidP="00992DD0">
            <w:pPr>
              <w:rPr>
                <w:bCs/>
              </w:rPr>
            </w:pPr>
            <w:r w:rsidRPr="008E6767">
              <w:rPr>
                <w:bCs/>
              </w:rPr>
              <w:t>March 11</w:t>
            </w:r>
            <w:r w:rsidR="000E6434" w:rsidRPr="008E6767">
              <w:rPr>
                <w:bCs/>
              </w:rPr>
              <w:t>–1</w:t>
            </w:r>
            <w:r w:rsidRPr="008E6767">
              <w:rPr>
                <w:bCs/>
              </w:rPr>
              <w:t>2</w:t>
            </w:r>
            <w:r w:rsidR="000E6434" w:rsidRPr="008E6767">
              <w:rPr>
                <w:bCs/>
              </w:rPr>
              <w:t>, 2026</w:t>
            </w:r>
          </w:p>
        </w:tc>
        <w:tc>
          <w:tcPr>
            <w:tcW w:w="6570" w:type="dxa"/>
            <w:vAlign w:val="center"/>
          </w:tcPr>
          <w:p w14:paraId="736A2760" w14:textId="77777777" w:rsidR="00D45FC7" w:rsidRPr="008E6767" w:rsidRDefault="00D45FC7" w:rsidP="00992DD0">
            <w:pPr>
              <w:rPr>
                <w:bCs/>
              </w:rPr>
            </w:pPr>
            <w:r w:rsidRPr="008E6767">
              <w:rPr>
                <w:bCs/>
              </w:rPr>
              <w:t>SBE Meeting to approve CTEIG Grant Qualification Results</w:t>
            </w:r>
          </w:p>
        </w:tc>
      </w:tr>
      <w:tr w:rsidR="00D45FC7" w:rsidRPr="008E6767" w14:paraId="6EBAC156" w14:textId="77777777" w:rsidTr="00992DD0">
        <w:trPr>
          <w:cantSplit/>
          <w:trHeight w:val="288"/>
          <w:tblHeader/>
          <w:jc w:val="center"/>
        </w:trPr>
        <w:tc>
          <w:tcPr>
            <w:tcW w:w="2695" w:type="dxa"/>
            <w:vAlign w:val="center"/>
          </w:tcPr>
          <w:p w14:paraId="1A42EDBD" w14:textId="64E163F3" w:rsidR="00D45FC7" w:rsidRPr="008E6767" w:rsidRDefault="00865927" w:rsidP="00992DD0">
            <w:r w:rsidRPr="008E6767">
              <w:t>April</w:t>
            </w:r>
            <w:r w:rsidR="7C0943CC" w:rsidRPr="008E6767">
              <w:t xml:space="preserve"> </w:t>
            </w:r>
            <w:r w:rsidR="00D45FC7" w:rsidRPr="008E6767">
              <w:t>202</w:t>
            </w:r>
            <w:r w:rsidR="000E6434" w:rsidRPr="008E6767">
              <w:t>6</w:t>
            </w:r>
          </w:p>
        </w:tc>
        <w:tc>
          <w:tcPr>
            <w:tcW w:w="6570" w:type="dxa"/>
            <w:vAlign w:val="center"/>
          </w:tcPr>
          <w:p w14:paraId="14A73C23" w14:textId="77777777" w:rsidR="00D45FC7" w:rsidRPr="008E6767" w:rsidRDefault="00D45FC7" w:rsidP="00992DD0">
            <w:r w:rsidRPr="008E6767">
              <w:t>GANs released to LEAs</w:t>
            </w:r>
          </w:p>
        </w:tc>
      </w:tr>
    </w:tbl>
    <w:p w14:paraId="23FE4BA0" w14:textId="42507644" w:rsidR="00BB5343" w:rsidRPr="008E6767" w:rsidRDefault="00AD2C51" w:rsidP="00896401">
      <w:pPr>
        <w:pStyle w:val="ListParagraph"/>
        <w:spacing w:after="240"/>
        <w:ind w:left="0"/>
        <w:rPr>
          <w:bCs/>
        </w:rPr>
      </w:pPr>
      <w:r w:rsidRPr="008E6767">
        <w:rPr>
          <w:b/>
        </w:rPr>
        <w:t>*</w:t>
      </w:r>
      <w:r w:rsidR="00BB5343" w:rsidRPr="008E6767">
        <w:rPr>
          <w:bCs/>
        </w:rPr>
        <w:t>The CTEIG</w:t>
      </w:r>
      <w:r w:rsidR="000E6434" w:rsidRPr="008E6767">
        <w:rPr>
          <w:bCs/>
        </w:rPr>
        <w:t xml:space="preserve"> Round 11B</w:t>
      </w:r>
      <w:r w:rsidR="00BB5343" w:rsidRPr="008E6767">
        <w:rPr>
          <w:bCs/>
        </w:rPr>
        <w:t xml:space="preserve"> </w:t>
      </w:r>
      <w:r w:rsidR="00BC2DF9" w:rsidRPr="008E6767">
        <w:rPr>
          <w:bCs/>
        </w:rPr>
        <w:t>fiscal year (F</w:t>
      </w:r>
      <w:r w:rsidR="00BB5343" w:rsidRPr="008E6767">
        <w:rPr>
          <w:bCs/>
        </w:rPr>
        <w:t>Y</w:t>
      </w:r>
      <w:r w:rsidR="00BC2DF9" w:rsidRPr="008E6767">
        <w:rPr>
          <w:bCs/>
        </w:rPr>
        <w:t>)</w:t>
      </w:r>
      <w:r w:rsidR="00BB5343" w:rsidRPr="008E6767">
        <w:rPr>
          <w:bCs/>
        </w:rPr>
        <w:t xml:space="preserve"> 25</w:t>
      </w:r>
      <w:r w:rsidR="000E6434" w:rsidRPr="008E6767">
        <w:rPr>
          <w:bCs/>
        </w:rPr>
        <w:t>–</w:t>
      </w:r>
      <w:r w:rsidR="00BB5343" w:rsidRPr="008E6767">
        <w:rPr>
          <w:bCs/>
        </w:rPr>
        <w:t>26 Timeline is subject to change</w:t>
      </w:r>
    </w:p>
    <w:p w14:paraId="5251DFD5" w14:textId="099B404C" w:rsidR="008A7708" w:rsidRPr="008E6767" w:rsidRDefault="008A7708" w:rsidP="0014344D">
      <w:pPr>
        <w:spacing w:before="240" w:after="240"/>
        <w:rPr>
          <w:bCs/>
        </w:rPr>
      </w:pPr>
      <w:r w:rsidRPr="008E6767">
        <w:rPr>
          <w:bCs/>
        </w:rPr>
        <w:t>The 2025–26 application will cover the grant period beginning July 1, 2025, and ending June 30, 2027.</w:t>
      </w:r>
    </w:p>
    <w:tbl>
      <w:tblPr>
        <w:tblStyle w:val="TableGrid"/>
        <w:tblW w:w="9283" w:type="dxa"/>
        <w:tblLook w:val="04A0" w:firstRow="1" w:lastRow="0" w:firstColumn="1" w:lastColumn="0" w:noHBand="0" w:noVBand="1"/>
        <w:tblDescription w:val="Fiscal Timeline"/>
      </w:tblPr>
      <w:tblGrid>
        <w:gridCol w:w="1728"/>
        <w:gridCol w:w="2160"/>
        <w:gridCol w:w="2610"/>
        <w:gridCol w:w="2785"/>
      </w:tblGrid>
      <w:tr w:rsidR="008A7708" w:rsidRPr="008E6767" w14:paraId="16E490D1" w14:textId="77777777" w:rsidTr="00992DD0">
        <w:trPr>
          <w:cantSplit/>
          <w:tblHeader/>
        </w:trPr>
        <w:tc>
          <w:tcPr>
            <w:tcW w:w="1728" w:type="dxa"/>
            <w:shd w:val="clear" w:color="auto" w:fill="D0CECE" w:themeFill="background2" w:themeFillShade="E6"/>
            <w:vAlign w:val="center"/>
          </w:tcPr>
          <w:p w14:paraId="15519A54" w14:textId="77777777" w:rsidR="008A7708" w:rsidRPr="008E6767" w:rsidRDefault="008A7708">
            <w:pPr>
              <w:jc w:val="center"/>
              <w:rPr>
                <w:bCs/>
              </w:rPr>
            </w:pPr>
            <w:r w:rsidRPr="008E6767">
              <w:rPr>
                <w:bCs/>
              </w:rPr>
              <w:t>Application Year</w:t>
            </w:r>
          </w:p>
        </w:tc>
        <w:tc>
          <w:tcPr>
            <w:tcW w:w="2160" w:type="dxa"/>
            <w:shd w:val="clear" w:color="auto" w:fill="D0CECE" w:themeFill="background2" w:themeFillShade="E6"/>
            <w:vAlign w:val="center"/>
          </w:tcPr>
          <w:p w14:paraId="769A3997" w14:textId="77777777" w:rsidR="008A7708" w:rsidRPr="008E6767" w:rsidRDefault="008A7708">
            <w:pPr>
              <w:jc w:val="center"/>
              <w:rPr>
                <w:bCs/>
              </w:rPr>
            </w:pPr>
            <w:r w:rsidRPr="008E6767">
              <w:rPr>
                <w:bCs/>
              </w:rPr>
              <w:t>Grant Cycle</w:t>
            </w:r>
          </w:p>
        </w:tc>
        <w:tc>
          <w:tcPr>
            <w:tcW w:w="2610" w:type="dxa"/>
            <w:shd w:val="clear" w:color="auto" w:fill="D0CECE" w:themeFill="background2" w:themeFillShade="E6"/>
            <w:vAlign w:val="center"/>
          </w:tcPr>
          <w:p w14:paraId="15A05516" w14:textId="77777777" w:rsidR="008A7708" w:rsidRPr="008E6767" w:rsidRDefault="008A7708">
            <w:pPr>
              <w:jc w:val="center"/>
              <w:rPr>
                <w:bCs/>
              </w:rPr>
            </w:pPr>
            <w:r w:rsidRPr="008E6767">
              <w:rPr>
                <w:bCs/>
              </w:rPr>
              <w:t>Last day to Spend Grant Funds</w:t>
            </w:r>
          </w:p>
        </w:tc>
        <w:tc>
          <w:tcPr>
            <w:tcW w:w="2785" w:type="dxa"/>
            <w:shd w:val="clear" w:color="auto" w:fill="D0CECE" w:themeFill="background2" w:themeFillShade="E6"/>
            <w:vAlign w:val="center"/>
          </w:tcPr>
          <w:p w14:paraId="42ECF0F4" w14:textId="7EA07DCC" w:rsidR="008A7708" w:rsidRPr="008E6767" w:rsidRDefault="008A7708">
            <w:pPr>
              <w:jc w:val="center"/>
              <w:rPr>
                <w:bCs/>
              </w:rPr>
            </w:pPr>
            <w:r w:rsidRPr="008E6767">
              <w:rPr>
                <w:bCs/>
              </w:rPr>
              <w:t>Expenditure Report</w:t>
            </w:r>
            <w:r w:rsidR="00381636" w:rsidRPr="008E6767">
              <w:rPr>
                <w:bCs/>
              </w:rPr>
              <w:t>s</w:t>
            </w:r>
          </w:p>
        </w:tc>
      </w:tr>
      <w:tr w:rsidR="008A7708" w:rsidRPr="008E6767" w14:paraId="2F8395F2" w14:textId="77777777" w:rsidTr="00992DD0">
        <w:trPr>
          <w:cantSplit/>
          <w:tblHeader/>
        </w:trPr>
        <w:tc>
          <w:tcPr>
            <w:tcW w:w="1728" w:type="dxa"/>
            <w:vAlign w:val="center"/>
          </w:tcPr>
          <w:p w14:paraId="5994630A" w14:textId="78873A14" w:rsidR="008A7708" w:rsidRPr="008E6767" w:rsidRDefault="008A7708">
            <w:pPr>
              <w:jc w:val="center"/>
              <w:rPr>
                <w:bCs/>
              </w:rPr>
            </w:pPr>
            <w:r w:rsidRPr="008E6767">
              <w:rPr>
                <w:bCs/>
              </w:rPr>
              <w:t>2025</w:t>
            </w:r>
            <w:r w:rsidR="002131D1" w:rsidRPr="008E6767">
              <w:rPr>
                <w:bCs/>
              </w:rPr>
              <w:t>–</w:t>
            </w:r>
            <w:r w:rsidRPr="008E6767">
              <w:rPr>
                <w:bCs/>
              </w:rPr>
              <w:t>26</w:t>
            </w:r>
          </w:p>
        </w:tc>
        <w:tc>
          <w:tcPr>
            <w:tcW w:w="2160" w:type="dxa"/>
            <w:vAlign w:val="center"/>
          </w:tcPr>
          <w:p w14:paraId="2CA84A8E" w14:textId="77777777" w:rsidR="008A7708" w:rsidRPr="008E6767" w:rsidRDefault="008A7708">
            <w:pPr>
              <w:jc w:val="center"/>
              <w:rPr>
                <w:bCs/>
              </w:rPr>
            </w:pPr>
            <w:r w:rsidRPr="008E6767">
              <w:rPr>
                <w:bCs/>
              </w:rPr>
              <w:t>July 1, 2025 – June 30, 2027</w:t>
            </w:r>
          </w:p>
        </w:tc>
        <w:tc>
          <w:tcPr>
            <w:tcW w:w="2610" w:type="dxa"/>
            <w:vAlign w:val="center"/>
          </w:tcPr>
          <w:p w14:paraId="4F40EDD8" w14:textId="77777777" w:rsidR="008A7708" w:rsidRPr="008E6767" w:rsidRDefault="008A7708">
            <w:pPr>
              <w:jc w:val="center"/>
              <w:rPr>
                <w:bCs/>
              </w:rPr>
            </w:pPr>
            <w:r w:rsidRPr="008E6767">
              <w:rPr>
                <w:bCs/>
              </w:rPr>
              <w:t>June 30, 2027</w:t>
            </w:r>
          </w:p>
        </w:tc>
        <w:tc>
          <w:tcPr>
            <w:tcW w:w="2785" w:type="dxa"/>
            <w:vAlign w:val="center"/>
          </w:tcPr>
          <w:p w14:paraId="14BC87C8" w14:textId="1BAD4C6A" w:rsidR="00381636" w:rsidRPr="008E6767" w:rsidRDefault="00381636" w:rsidP="615BD676">
            <w:pPr>
              <w:jc w:val="center"/>
            </w:pPr>
            <w:r w:rsidRPr="008E6767">
              <w:t>August 2026</w:t>
            </w:r>
          </w:p>
          <w:p w14:paraId="7C12D1E9" w14:textId="77777777" w:rsidR="00381636" w:rsidRPr="008E6767" w:rsidRDefault="00381636">
            <w:pPr>
              <w:jc w:val="center"/>
              <w:rPr>
                <w:bCs/>
                <w:sz w:val="16"/>
                <w:szCs w:val="16"/>
              </w:rPr>
            </w:pPr>
          </w:p>
          <w:p w14:paraId="08F16385" w14:textId="491AABD0" w:rsidR="008A7708" w:rsidRPr="008E6767" w:rsidRDefault="008A7708">
            <w:pPr>
              <w:jc w:val="center"/>
              <w:rPr>
                <w:bCs/>
              </w:rPr>
            </w:pPr>
            <w:r w:rsidRPr="008E6767">
              <w:rPr>
                <w:bCs/>
              </w:rPr>
              <w:t xml:space="preserve">August 2027 </w:t>
            </w:r>
          </w:p>
        </w:tc>
      </w:tr>
    </w:tbl>
    <w:p w14:paraId="33ADDE7D" w14:textId="14B83B3C" w:rsidR="00A42DA8" w:rsidRPr="00D81F6B" w:rsidRDefault="009B5A28" w:rsidP="00725B76">
      <w:pPr>
        <w:pStyle w:val="Heading3"/>
        <w:rPr>
          <w:b/>
          <w:bCs w:val="0"/>
        </w:rPr>
      </w:pPr>
      <w:bookmarkStart w:id="13" w:name="_Toc204937686"/>
      <w:r w:rsidRPr="00D81F6B">
        <w:rPr>
          <w:b/>
          <w:bCs w:val="0"/>
        </w:rPr>
        <w:lastRenderedPageBreak/>
        <w:t xml:space="preserve">III. </w:t>
      </w:r>
      <w:r w:rsidR="008A7708" w:rsidRPr="00D81F6B">
        <w:rPr>
          <w:b/>
          <w:bCs w:val="0"/>
        </w:rPr>
        <w:t>Funding Distribution</w:t>
      </w:r>
      <w:bookmarkEnd w:id="13"/>
    </w:p>
    <w:p w14:paraId="662754A5" w14:textId="7961BB61" w:rsidR="008A7708" w:rsidRPr="008E6767" w:rsidRDefault="008A7708" w:rsidP="009B4972">
      <w:pPr>
        <w:spacing w:after="240"/>
        <w:rPr>
          <w:bCs/>
        </w:rPr>
      </w:pPr>
      <w:r w:rsidRPr="008E6767">
        <w:rPr>
          <w:bCs/>
        </w:rPr>
        <w:t xml:space="preserve">Per </w:t>
      </w:r>
      <w:r w:rsidR="00AF65C7" w:rsidRPr="008E6767">
        <w:rPr>
          <w:bCs/>
          <w:i/>
          <w:iCs/>
        </w:rPr>
        <w:t>EC</w:t>
      </w:r>
      <w:r w:rsidRPr="008E6767">
        <w:rPr>
          <w:bCs/>
        </w:rPr>
        <w:t xml:space="preserve"> Section 53070(d), the total amount appropriated for the program in the state budget is $300 million, and is designated as follows, unless otherwise determined by the State Superintendent of Public Instruction in collaboration with the Executive Director of the SBE:</w:t>
      </w:r>
    </w:p>
    <w:p w14:paraId="52D679D7" w14:textId="0E7D30FA" w:rsidR="00312C17" w:rsidRPr="008E6767" w:rsidRDefault="008A7708" w:rsidP="07779008">
      <w:pPr>
        <w:pStyle w:val="ListParagraph"/>
        <w:numPr>
          <w:ilvl w:val="0"/>
          <w:numId w:val="2"/>
        </w:numPr>
        <w:spacing w:after="240"/>
        <w:contextualSpacing w:val="0"/>
        <w:rPr>
          <w:bCs/>
        </w:rPr>
      </w:pPr>
      <w:r w:rsidRPr="008E6767">
        <w:rPr>
          <w:bCs/>
        </w:rPr>
        <w:t xml:space="preserve">For applicants with average daily attendance (ADA) in grades seven through twelve (7–12) of less than or equal to 140, </w:t>
      </w:r>
      <w:r w:rsidR="00063C8F" w:rsidRPr="008E6767">
        <w:rPr>
          <w:bCs/>
        </w:rPr>
        <w:t>4</w:t>
      </w:r>
      <w:r w:rsidRPr="008E6767">
        <w:rPr>
          <w:bCs/>
        </w:rPr>
        <w:t xml:space="preserve"> percent is designated </w:t>
      </w:r>
    </w:p>
    <w:p w14:paraId="7A5DB0E0" w14:textId="5AACB91D" w:rsidR="00312C17" w:rsidRPr="008E6767" w:rsidRDefault="008A7708" w:rsidP="33E24B67">
      <w:pPr>
        <w:pStyle w:val="ListParagraph"/>
        <w:numPr>
          <w:ilvl w:val="0"/>
          <w:numId w:val="2"/>
        </w:numPr>
        <w:spacing w:after="240"/>
        <w:contextualSpacing w:val="0"/>
        <w:rPr>
          <w:bCs/>
        </w:rPr>
      </w:pPr>
      <w:r w:rsidRPr="008E6767">
        <w:rPr>
          <w:bCs/>
        </w:rPr>
        <w:t xml:space="preserve">For applicants with ADA in grades 7–12 of more than 140 and less than or equal to 550, </w:t>
      </w:r>
      <w:r w:rsidR="00063C8F" w:rsidRPr="008E6767">
        <w:rPr>
          <w:bCs/>
        </w:rPr>
        <w:t>8</w:t>
      </w:r>
      <w:r w:rsidRPr="008E6767">
        <w:rPr>
          <w:bCs/>
        </w:rPr>
        <w:t xml:space="preserve"> percent is designated </w:t>
      </w:r>
    </w:p>
    <w:p w14:paraId="5BA6A2B7" w14:textId="11C5100A" w:rsidR="00312C17" w:rsidRPr="008E6767" w:rsidRDefault="008A7708" w:rsidP="5DC093D4">
      <w:pPr>
        <w:pStyle w:val="ListParagraph"/>
        <w:numPr>
          <w:ilvl w:val="0"/>
          <w:numId w:val="2"/>
        </w:numPr>
        <w:spacing w:after="240"/>
        <w:contextualSpacing w:val="0"/>
        <w:rPr>
          <w:bCs/>
        </w:rPr>
      </w:pPr>
      <w:r w:rsidRPr="008E6767">
        <w:rPr>
          <w:bCs/>
        </w:rPr>
        <w:t>For applicants with ADA in grades 7–12 of more than 550, 88 percent is designated</w:t>
      </w:r>
    </w:p>
    <w:p w14:paraId="7ABF37EC" w14:textId="69D426C3" w:rsidR="008A7708" w:rsidRPr="008E6767" w:rsidRDefault="008A7708" w:rsidP="00312C17">
      <w:pPr>
        <w:rPr>
          <w:bCs/>
        </w:rPr>
      </w:pPr>
      <w:r w:rsidRPr="008E6767">
        <w:rPr>
          <w:bCs/>
        </w:rPr>
        <w:t xml:space="preserve">The ADA determination is based on the second principal apportionment for the previous </w:t>
      </w:r>
      <w:r w:rsidR="00D57CCE" w:rsidRPr="008E6767">
        <w:rPr>
          <w:bCs/>
        </w:rPr>
        <w:t>FY</w:t>
      </w:r>
      <w:r w:rsidRPr="008E6767">
        <w:rPr>
          <w:bCs/>
        </w:rPr>
        <w:t xml:space="preserve"> (i.e., 2024–25) for grades 7–12. For applicants applying as part of a Consortium, the ADA for each individual member will be used to determine the total ADA for the Consortium.</w:t>
      </w:r>
    </w:p>
    <w:p w14:paraId="54679ED0" w14:textId="22BD3168" w:rsidR="008A7708" w:rsidRPr="00D81F6B" w:rsidRDefault="008A7708" w:rsidP="00725B76">
      <w:pPr>
        <w:pStyle w:val="Heading3"/>
        <w:rPr>
          <w:b/>
          <w:bCs w:val="0"/>
        </w:rPr>
      </w:pPr>
      <w:bookmarkStart w:id="14" w:name="_Toc204937687"/>
      <w:r w:rsidRPr="00D81F6B">
        <w:rPr>
          <w:b/>
          <w:bCs w:val="0"/>
        </w:rPr>
        <w:t>IV: Applicant Eligibility</w:t>
      </w:r>
      <w:bookmarkEnd w:id="14"/>
    </w:p>
    <w:p w14:paraId="34DD72DC" w14:textId="10BA696D" w:rsidR="008A7708" w:rsidRPr="008E6767" w:rsidRDefault="008A7708" w:rsidP="002A765D">
      <w:pPr>
        <w:pStyle w:val="ListParagraph"/>
        <w:numPr>
          <w:ilvl w:val="0"/>
          <w:numId w:val="7"/>
        </w:numPr>
        <w:spacing w:after="240"/>
        <w:contextualSpacing w:val="0"/>
        <w:rPr>
          <w:bCs/>
        </w:rPr>
      </w:pPr>
      <w:r w:rsidRPr="008E6767">
        <w:rPr>
          <w:bCs/>
        </w:rPr>
        <w:t>All Grant Applicants</w:t>
      </w:r>
      <w:r w:rsidR="005D4F71" w:rsidRPr="008E6767">
        <w:rPr>
          <w:bCs/>
        </w:rPr>
        <w:t xml:space="preserve"> (New, Renewal and Consortiums)</w:t>
      </w:r>
      <w:r w:rsidRPr="008E6767">
        <w:rPr>
          <w:bCs/>
        </w:rPr>
        <w:t>:</w:t>
      </w:r>
    </w:p>
    <w:p w14:paraId="79A54662" w14:textId="36F202FD" w:rsidR="000E6434" w:rsidRPr="008E6767" w:rsidRDefault="00AA2E59" w:rsidP="002A765D">
      <w:pPr>
        <w:pStyle w:val="ListParagraph"/>
        <w:numPr>
          <w:ilvl w:val="0"/>
          <w:numId w:val="24"/>
        </w:numPr>
        <w:spacing w:after="240"/>
        <w:contextualSpacing w:val="0"/>
        <w:rPr>
          <w:bCs/>
        </w:rPr>
      </w:pPr>
      <w:r w:rsidRPr="008E6767">
        <w:rPr>
          <w:bCs/>
        </w:rPr>
        <w:t>LEAs w</w:t>
      </w:r>
      <w:r w:rsidR="000E6434" w:rsidRPr="008E6767">
        <w:rPr>
          <w:bCs/>
        </w:rPr>
        <w:t>ho did not receive an award in Round 11A.</w:t>
      </w:r>
    </w:p>
    <w:p w14:paraId="1547569D" w14:textId="0D9A75C9" w:rsidR="002A765D" w:rsidRPr="008E6767" w:rsidRDefault="002A765D" w:rsidP="002A765D">
      <w:pPr>
        <w:pStyle w:val="ListParagraph"/>
        <w:numPr>
          <w:ilvl w:val="0"/>
          <w:numId w:val="24"/>
        </w:numPr>
        <w:spacing w:after="240"/>
        <w:contextualSpacing w:val="0"/>
        <w:rPr>
          <w:bCs/>
        </w:rPr>
      </w:pPr>
      <w:r w:rsidRPr="008E6767">
        <w:rPr>
          <w:bCs/>
        </w:rPr>
        <w:t>Each application submitted must be tailored to each individual school or program. Duplications or identical applications will not be considered.</w:t>
      </w:r>
    </w:p>
    <w:p w14:paraId="3601145D" w14:textId="77777777" w:rsidR="002A765D" w:rsidRPr="008E6767" w:rsidRDefault="008A7708" w:rsidP="002A765D">
      <w:pPr>
        <w:pStyle w:val="ListParagraph"/>
        <w:numPr>
          <w:ilvl w:val="0"/>
          <w:numId w:val="24"/>
        </w:numPr>
        <w:spacing w:after="240"/>
        <w:contextualSpacing w:val="0"/>
        <w:rPr>
          <w:bCs/>
        </w:rPr>
      </w:pPr>
      <w:r w:rsidRPr="008E6767">
        <w:rPr>
          <w:bCs/>
        </w:rPr>
        <w:t xml:space="preserve">Per </w:t>
      </w:r>
      <w:r w:rsidR="00AF65C7" w:rsidRPr="008E6767">
        <w:rPr>
          <w:bCs/>
          <w:i/>
          <w:iCs/>
        </w:rPr>
        <w:t>EC</w:t>
      </w:r>
      <w:r w:rsidRPr="008E6767">
        <w:rPr>
          <w:bCs/>
        </w:rPr>
        <w:t xml:space="preserve"> Section 53072, a grant recipient may consist of one or more, or any combination, of the following:</w:t>
      </w:r>
    </w:p>
    <w:p w14:paraId="02201839" w14:textId="77777777" w:rsidR="002A765D" w:rsidRPr="008E6767" w:rsidRDefault="008A7708" w:rsidP="002A765D">
      <w:pPr>
        <w:pStyle w:val="ListParagraph"/>
        <w:numPr>
          <w:ilvl w:val="1"/>
          <w:numId w:val="25"/>
        </w:numPr>
        <w:spacing w:after="240"/>
        <w:ind w:left="1710"/>
        <w:contextualSpacing w:val="0"/>
        <w:rPr>
          <w:bCs/>
        </w:rPr>
      </w:pPr>
      <w:r w:rsidRPr="008E6767">
        <w:rPr>
          <w:bCs/>
        </w:rPr>
        <w:t>School Districts</w:t>
      </w:r>
    </w:p>
    <w:p w14:paraId="4098E7EA" w14:textId="77777777" w:rsidR="002A765D" w:rsidRPr="008E6767" w:rsidRDefault="008A7708" w:rsidP="002A765D">
      <w:pPr>
        <w:pStyle w:val="ListParagraph"/>
        <w:numPr>
          <w:ilvl w:val="1"/>
          <w:numId w:val="25"/>
        </w:numPr>
        <w:spacing w:after="240"/>
        <w:ind w:left="1710"/>
        <w:contextualSpacing w:val="0"/>
        <w:rPr>
          <w:bCs/>
        </w:rPr>
      </w:pPr>
      <w:r w:rsidRPr="008E6767">
        <w:rPr>
          <w:bCs/>
        </w:rPr>
        <w:t>County Offices of Education (COEs)</w:t>
      </w:r>
    </w:p>
    <w:p w14:paraId="36A42909" w14:textId="77777777" w:rsidR="002A765D" w:rsidRPr="008E6767" w:rsidRDefault="008A7708" w:rsidP="002A765D">
      <w:pPr>
        <w:pStyle w:val="ListParagraph"/>
        <w:numPr>
          <w:ilvl w:val="1"/>
          <w:numId w:val="25"/>
        </w:numPr>
        <w:spacing w:after="240"/>
        <w:ind w:left="1710"/>
        <w:contextualSpacing w:val="0"/>
        <w:rPr>
          <w:bCs/>
        </w:rPr>
      </w:pPr>
      <w:r w:rsidRPr="008E6767">
        <w:rPr>
          <w:bCs/>
        </w:rPr>
        <w:t>Charter schools</w:t>
      </w:r>
    </w:p>
    <w:p w14:paraId="2A60D72A" w14:textId="77777777" w:rsidR="002A765D" w:rsidRPr="008E6767" w:rsidRDefault="008A7708" w:rsidP="002A765D">
      <w:pPr>
        <w:pStyle w:val="ListParagraph"/>
        <w:numPr>
          <w:ilvl w:val="1"/>
          <w:numId w:val="25"/>
        </w:numPr>
        <w:spacing w:after="240"/>
        <w:ind w:left="1710"/>
        <w:contextualSpacing w:val="0"/>
        <w:rPr>
          <w:bCs/>
        </w:rPr>
      </w:pPr>
      <w:r w:rsidRPr="008E6767">
        <w:rPr>
          <w:bCs/>
        </w:rPr>
        <w:t>Regional Occupational Centers or Programs</w:t>
      </w:r>
      <w:r w:rsidR="00D45FC7" w:rsidRPr="008E6767">
        <w:rPr>
          <w:bCs/>
        </w:rPr>
        <w:t xml:space="preserve"> (ROC/P)</w:t>
      </w:r>
      <w:r w:rsidRPr="008E6767">
        <w:rPr>
          <w:bCs/>
        </w:rPr>
        <w:t xml:space="preserve"> operated by joint powers authorities or COEs, provided the application has the written consent of each participating LEA</w:t>
      </w:r>
      <w:r w:rsidR="002A765D" w:rsidRPr="008E6767">
        <w:rPr>
          <w:bCs/>
        </w:rPr>
        <w:t>.</w:t>
      </w:r>
    </w:p>
    <w:p w14:paraId="45B0A583" w14:textId="1324EB1E" w:rsidR="00381636" w:rsidRPr="008E6767" w:rsidRDefault="008A7708" w:rsidP="000E6434">
      <w:pPr>
        <w:pStyle w:val="ListParagraph"/>
        <w:numPr>
          <w:ilvl w:val="1"/>
          <w:numId w:val="7"/>
        </w:numPr>
        <w:spacing w:after="240"/>
        <w:contextualSpacing w:val="0"/>
      </w:pPr>
      <w:r w:rsidRPr="008E6767">
        <w:t>Renewal</w:t>
      </w:r>
      <w:r w:rsidR="002E71D0" w:rsidRPr="008E6767">
        <w:t xml:space="preserve"> (Prior-year)</w:t>
      </w:r>
      <w:r w:rsidRPr="008E6767">
        <w:t xml:space="preserve"> Grant Applicants</w:t>
      </w:r>
      <w:r w:rsidR="005D4F71" w:rsidRPr="008E6767">
        <w:t xml:space="preserve"> (including Consorti</w:t>
      </w:r>
      <w:r w:rsidR="002A765D" w:rsidRPr="008E6767">
        <w:t>a</w:t>
      </w:r>
      <w:r w:rsidR="005D4F71" w:rsidRPr="008E6767">
        <w:t>)</w:t>
      </w:r>
      <w:r w:rsidRPr="008E6767">
        <w:t>:</w:t>
      </w:r>
      <w:r w:rsidR="00446790" w:rsidRPr="008E6767">
        <w:t xml:space="preserve"> </w:t>
      </w:r>
      <w:r w:rsidRPr="008E6767">
        <w:rPr>
          <w:bCs/>
        </w:rPr>
        <w:t xml:space="preserve">Pursuant to </w:t>
      </w:r>
      <w:r w:rsidR="00AF65C7" w:rsidRPr="008E6767">
        <w:rPr>
          <w:bCs/>
          <w:i/>
          <w:iCs/>
        </w:rPr>
        <w:t>EC</w:t>
      </w:r>
      <w:r w:rsidRPr="008E6767">
        <w:rPr>
          <w:bCs/>
        </w:rPr>
        <w:t xml:space="preserve"> </w:t>
      </w:r>
      <w:r w:rsidR="00C732BE" w:rsidRPr="008E6767">
        <w:rPr>
          <w:bCs/>
        </w:rPr>
        <w:t>s</w:t>
      </w:r>
      <w:r w:rsidRPr="008E6767">
        <w:rPr>
          <w:bCs/>
        </w:rPr>
        <w:t xml:space="preserve">ections 53073 and 53076(d) previous CTEIG grantees who did not </w:t>
      </w:r>
      <w:r w:rsidR="00693A2D" w:rsidRPr="008E6767">
        <w:rPr>
          <w:bCs/>
        </w:rPr>
        <w:t xml:space="preserve">submit the data required in </w:t>
      </w:r>
      <w:r w:rsidR="00693A2D" w:rsidRPr="008E6767">
        <w:rPr>
          <w:bCs/>
          <w:i/>
          <w:iCs/>
        </w:rPr>
        <w:t>EC</w:t>
      </w:r>
      <w:r w:rsidR="00693A2D" w:rsidRPr="008E6767">
        <w:rPr>
          <w:bCs/>
        </w:rPr>
        <w:t xml:space="preserve"> Section</w:t>
      </w:r>
      <w:r w:rsidR="00262177" w:rsidRPr="008E6767">
        <w:rPr>
          <w:bCs/>
        </w:rPr>
        <w:t xml:space="preserve"> 53071 (c)</w:t>
      </w:r>
      <w:r w:rsidR="00693A2D" w:rsidRPr="008E6767">
        <w:rPr>
          <w:bCs/>
        </w:rPr>
        <w:t>(</w:t>
      </w:r>
      <w:r w:rsidR="00262177" w:rsidRPr="008E6767">
        <w:rPr>
          <w:bCs/>
        </w:rPr>
        <w:t>1</w:t>
      </w:r>
      <w:r w:rsidR="00693A2D" w:rsidRPr="008E6767">
        <w:rPr>
          <w:bCs/>
        </w:rPr>
        <w:t>1) are not eligible to apply.</w:t>
      </w:r>
    </w:p>
    <w:p w14:paraId="7003A153" w14:textId="77777777" w:rsidR="000E6434" w:rsidRPr="008E6767" w:rsidRDefault="000E6434" w:rsidP="00446790">
      <w:pPr>
        <w:pStyle w:val="ListParagraph"/>
        <w:numPr>
          <w:ilvl w:val="1"/>
          <w:numId w:val="7"/>
        </w:numPr>
        <w:spacing w:after="480"/>
        <w:rPr>
          <w:bCs/>
        </w:rPr>
      </w:pPr>
      <w:r w:rsidRPr="008E6767">
        <w:rPr>
          <w:bCs/>
        </w:rPr>
        <w:lastRenderedPageBreak/>
        <w:t xml:space="preserve">Pursuant to </w:t>
      </w:r>
      <w:r w:rsidRPr="008E6767">
        <w:rPr>
          <w:bCs/>
          <w:i/>
          <w:iCs/>
        </w:rPr>
        <w:t>EC</w:t>
      </w:r>
      <w:r w:rsidRPr="008E6767">
        <w:rPr>
          <w:bCs/>
        </w:rPr>
        <w:t xml:space="preserve"> Section 53076(b) previous CTEIG grantees who did not submit a CTEIG Expenditure report in the prior year are not eligible to apply for the CTEIG.</w:t>
      </w:r>
    </w:p>
    <w:p w14:paraId="762CF094" w14:textId="466C8CB0" w:rsidR="008A7708" w:rsidRPr="008E6767" w:rsidRDefault="008A7708" w:rsidP="008A7708">
      <w:pPr>
        <w:pStyle w:val="Heading2"/>
        <w:rPr>
          <w:sz w:val="24"/>
          <w:szCs w:val="24"/>
          <w:u w:val="single"/>
        </w:rPr>
      </w:pPr>
      <w:bookmarkStart w:id="15" w:name="_Toc204937688"/>
      <w:r w:rsidRPr="008E6767">
        <w:t xml:space="preserve">Chapter 2: </w:t>
      </w:r>
      <w:r w:rsidRPr="008E6767">
        <w:rPr>
          <w:sz w:val="24"/>
          <w:szCs w:val="24"/>
        </w:rPr>
        <w:t>CTEIG Match and Program Requirements</w:t>
      </w:r>
      <w:bookmarkEnd w:id="15"/>
    </w:p>
    <w:p w14:paraId="351CBC19" w14:textId="362D6735" w:rsidR="000628A4" w:rsidRPr="00D81F6B" w:rsidRDefault="00D81F6B" w:rsidP="00D81F6B">
      <w:pPr>
        <w:pStyle w:val="Heading3"/>
        <w:rPr>
          <w:b/>
          <w:bCs w:val="0"/>
        </w:rPr>
      </w:pPr>
      <w:bookmarkStart w:id="16" w:name="_Toc175731750"/>
      <w:bookmarkStart w:id="17" w:name="_Toc204937689"/>
      <w:r w:rsidRPr="00D81F6B">
        <w:rPr>
          <w:b/>
          <w:bCs w:val="0"/>
        </w:rPr>
        <w:t xml:space="preserve">I. </w:t>
      </w:r>
      <w:r w:rsidR="00A42DA8" w:rsidRPr="00D81F6B">
        <w:rPr>
          <w:b/>
          <w:bCs w:val="0"/>
        </w:rPr>
        <w:t>CTEIG Match R</w:t>
      </w:r>
      <w:r w:rsidR="008A7708" w:rsidRPr="00D81F6B">
        <w:rPr>
          <w:b/>
          <w:bCs w:val="0"/>
        </w:rPr>
        <w:t>equirement</w:t>
      </w:r>
      <w:bookmarkEnd w:id="16"/>
      <w:bookmarkEnd w:id="17"/>
    </w:p>
    <w:p w14:paraId="2118DF65" w14:textId="7DD170C3" w:rsidR="00A42DA8" w:rsidRPr="00D81F6B" w:rsidRDefault="00A42DA8" w:rsidP="00D81F6B">
      <w:pPr>
        <w:pStyle w:val="Heading4"/>
        <w:numPr>
          <w:ilvl w:val="0"/>
          <w:numId w:val="28"/>
        </w:numPr>
        <w:rPr>
          <w:b w:val="0"/>
          <w:bCs/>
        </w:rPr>
      </w:pPr>
      <w:bookmarkStart w:id="18" w:name="_Toc204937690"/>
      <w:r w:rsidRPr="00D81F6B">
        <w:rPr>
          <w:b w:val="0"/>
          <w:bCs/>
        </w:rPr>
        <w:t>Match Requirement</w:t>
      </w:r>
      <w:bookmarkEnd w:id="18"/>
    </w:p>
    <w:p w14:paraId="14231BFC" w14:textId="5B42185D" w:rsidR="000B2174" w:rsidRPr="008E6767" w:rsidRDefault="00AF65C7" w:rsidP="003706D0">
      <w:pPr>
        <w:spacing w:after="240"/>
        <w:ind w:left="720"/>
        <w:rPr>
          <w:bCs/>
        </w:rPr>
      </w:pPr>
      <w:r w:rsidRPr="008E6767">
        <w:rPr>
          <w:bCs/>
          <w:i/>
          <w:iCs/>
        </w:rPr>
        <w:t>EC</w:t>
      </w:r>
      <w:r w:rsidR="000B2174" w:rsidRPr="008E6767">
        <w:rPr>
          <w:bCs/>
        </w:rPr>
        <w:t xml:space="preserve"> Section 53071(a)(1)(D)(i) requires a local match from FY 2025–26 of two dollars ($2) for every one dollar ($1) received from this program.</w:t>
      </w:r>
    </w:p>
    <w:p w14:paraId="7453E0B9" w14:textId="19215BBB" w:rsidR="00A6044F" w:rsidRPr="008E6767" w:rsidRDefault="008A7708" w:rsidP="00297E9C">
      <w:pPr>
        <w:spacing w:after="240"/>
        <w:ind w:left="720"/>
        <w:rPr>
          <w:bCs/>
        </w:rPr>
      </w:pPr>
      <w:r w:rsidRPr="008E6767">
        <w:rPr>
          <w:bCs/>
        </w:rPr>
        <w:t xml:space="preserve">By submitting a CTEIG application, </w:t>
      </w:r>
      <w:r w:rsidR="00437FEC" w:rsidRPr="008E6767">
        <w:rPr>
          <w:bCs/>
        </w:rPr>
        <w:t>the applicant is</w:t>
      </w:r>
      <w:r w:rsidRPr="008E6767">
        <w:rPr>
          <w:bCs/>
        </w:rPr>
        <w:t xml:space="preserve"> attesting to the ability to encumber match dollars in the</w:t>
      </w:r>
      <w:r w:rsidR="00D45FC7" w:rsidRPr="008E6767">
        <w:rPr>
          <w:bCs/>
        </w:rPr>
        <w:t xml:space="preserve"> </w:t>
      </w:r>
      <w:r w:rsidRPr="008E6767">
        <w:rPr>
          <w:bCs/>
        </w:rPr>
        <w:t>FY beginning July 1, 2025, and ending June 30, 2026.</w:t>
      </w:r>
      <w:r w:rsidR="00451B0C" w:rsidRPr="008E6767">
        <w:rPr>
          <w:bCs/>
        </w:rPr>
        <w:t xml:space="preserve"> </w:t>
      </w:r>
      <w:r w:rsidR="00451B0C" w:rsidRPr="008E6767">
        <w:rPr>
          <w:bCs/>
          <w:i/>
          <w:iCs/>
        </w:rPr>
        <w:t>EC</w:t>
      </w:r>
      <w:r w:rsidR="00451B0C" w:rsidRPr="008E6767">
        <w:rPr>
          <w:bCs/>
        </w:rPr>
        <w:t xml:space="preserve"> Section 53071(a)(1)(D)(ii)</w:t>
      </w:r>
      <w:r w:rsidR="00AD2C51" w:rsidRPr="008E6767">
        <w:rPr>
          <w:bCs/>
        </w:rPr>
        <w:t>.</w:t>
      </w:r>
    </w:p>
    <w:p w14:paraId="4596EC35" w14:textId="77777777" w:rsidR="008A7708" w:rsidRPr="008E6767" w:rsidRDefault="008A7708" w:rsidP="00297E9C">
      <w:pPr>
        <w:spacing w:after="240"/>
        <w:ind w:firstLine="720"/>
        <w:rPr>
          <w:bCs/>
        </w:rPr>
      </w:pPr>
      <w:r w:rsidRPr="008E6767">
        <w:rPr>
          <w:bCs/>
        </w:rPr>
        <w:t>The local match may include funding from:</w:t>
      </w:r>
    </w:p>
    <w:p w14:paraId="69562BF4" w14:textId="5A6B24A2" w:rsidR="000628A4" w:rsidRPr="008E6767" w:rsidRDefault="008A7708">
      <w:pPr>
        <w:pStyle w:val="ListParagraph"/>
        <w:numPr>
          <w:ilvl w:val="0"/>
          <w:numId w:val="4"/>
        </w:numPr>
        <w:spacing w:after="240"/>
        <w:ind w:left="1526"/>
        <w:contextualSpacing w:val="0"/>
        <w:rPr>
          <w:bCs/>
        </w:rPr>
      </w:pPr>
      <w:r w:rsidRPr="008E6767">
        <w:rPr>
          <w:bCs/>
        </w:rPr>
        <w:t xml:space="preserve">School district or charter school Local Control Funding Formula apportionments pursuant to </w:t>
      </w:r>
      <w:r w:rsidR="00AF65C7" w:rsidRPr="008E6767">
        <w:rPr>
          <w:bCs/>
          <w:i/>
          <w:iCs/>
        </w:rPr>
        <w:t>EC</w:t>
      </w:r>
      <w:r w:rsidRPr="008E6767">
        <w:rPr>
          <w:bCs/>
        </w:rPr>
        <w:t xml:space="preserve"> Section 42238.02</w:t>
      </w:r>
    </w:p>
    <w:p w14:paraId="53D7365D" w14:textId="7B1B6955" w:rsidR="00297E9C" w:rsidRPr="008E6767" w:rsidRDefault="008A7708">
      <w:pPr>
        <w:pStyle w:val="ListParagraph"/>
        <w:numPr>
          <w:ilvl w:val="0"/>
          <w:numId w:val="4"/>
        </w:numPr>
        <w:spacing w:after="240"/>
        <w:ind w:left="1526"/>
        <w:contextualSpacing w:val="0"/>
        <w:rPr>
          <w:bCs/>
        </w:rPr>
      </w:pPr>
      <w:r w:rsidRPr="008E6767">
        <w:rPr>
          <w:bCs/>
        </w:rPr>
        <w:t>Strengthening Career and Technical Education for the 21</w:t>
      </w:r>
      <w:r w:rsidRPr="008E6767">
        <w:rPr>
          <w:bCs/>
          <w:vertAlign w:val="superscript"/>
        </w:rPr>
        <w:t>st</w:t>
      </w:r>
      <w:r w:rsidRPr="008E6767">
        <w:rPr>
          <w:bCs/>
        </w:rPr>
        <w:t xml:space="preserve"> Century Act (Perkins V)</w:t>
      </w:r>
    </w:p>
    <w:p w14:paraId="0FC7A0F7" w14:textId="27752DD1" w:rsidR="00297E9C" w:rsidRPr="008E6767" w:rsidRDefault="008A7708">
      <w:pPr>
        <w:pStyle w:val="ListParagraph"/>
        <w:numPr>
          <w:ilvl w:val="0"/>
          <w:numId w:val="4"/>
        </w:numPr>
        <w:spacing w:after="240"/>
        <w:ind w:left="1526"/>
        <w:contextualSpacing w:val="0"/>
        <w:rPr>
          <w:bCs/>
        </w:rPr>
      </w:pPr>
      <w:r w:rsidRPr="008E6767">
        <w:rPr>
          <w:bCs/>
        </w:rPr>
        <w:t>California Partnership Academies</w:t>
      </w:r>
    </w:p>
    <w:p w14:paraId="0D5C7867" w14:textId="4C389A69" w:rsidR="00297E9C" w:rsidRPr="008E6767" w:rsidRDefault="008A7708">
      <w:pPr>
        <w:pStyle w:val="ListParagraph"/>
        <w:numPr>
          <w:ilvl w:val="0"/>
          <w:numId w:val="4"/>
        </w:numPr>
        <w:spacing w:after="240"/>
        <w:ind w:left="1526"/>
        <w:contextualSpacing w:val="0"/>
        <w:rPr>
          <w:bCs/>
        </w:rPr>
      </w:pPr>
      <w:r w:rsidRPr="008E6767">
        <w:rPr>
          <w:bCs/>
        </w:rPr>
        <w:t>Agricultural CTE Incentive Grant</w:t>
      </w:r>
    </w:p>
    <w:p w14:paraId="663C5DF4" w14:textId="77777777" w:rsidR="008A7708" w:rsidRPr="008E6767" w:rsidRDefault="008A7708">
      <w:pPr>
        <w:pStyle w:val="ListParagraph"/>
        <w:numPr>
          <w:ilvl w:val="0"/>
          <w:numId w:val="4"/>
        </w:numPr>
        <w:spacing w:after="240"/>
        <w:ind w:left="1526"/>
        <w:rPr>
          <w:bCs/>
        </w:rPr>
      </w:pPr>
      <w:r w:rsidRPr="008E6767">
        <w:rPr>
          <w:bCs/>
        </w:rPr>
        <w:t>Any other allowable source (including community and/or business partnerships) not stated below</w:t>
      </w:r>
    </w:p>
    <w:p w14:paraId="61F156D4" w14:textId="4127F8B5" w:rsidR="00DB1256" w:rsidRPr="008E6767" w:rsidRDefault="008A7708" w:rsidP="00CD3B62">
      <w:pPr>
        <w:spacing w:after="240"/>
        <w:ind w:firstLine="720"/>
        <w:rPr>
          <w:bCs/>
        </w:rPr>
      </w:pPr>
      <w:r w:rsidRPr="008E6767">
        <w:rPr>
          <w:bCs/>
        </w:rPr>
        <w:t>The local match may not include funding from:</w:t>
      </w:r>
    </w:p>
    <w:p w14:paraId="4C6247D9" w14:textId="66C6B7A0" w:rsidR="00CD3B62" w:rsidRPr="008E6767" w:rsidRDefault="008A7708">
      <w:pPr>
        <w:pStyle w:val="ListParagraph"/>
        <w:numPr>
          <w:ilvl w:val="0"/>
          <w:numId w:val="5"/>
        </w:numPr>
        <w:spacing w:after="240"/>
        <w:ind w:left="1526"/>
        <w:contextualSpacing w:val="0"/>
        <w:rPr>
          <w:bCs/>
        </w:rPr>
      </w:pPr>
      <w:r w:rsidRPr="008E6767">
        <w:rPr>
          <w:bCs/>
        </w:rPr>
        <w:t xml:space="preserve">Kindergarten through grade twelve (K–12) component of the Strong Workforce Program (SWP) established pursuant to </w:t>
      </w:r>
      <w:r w:rsidR="00AF65C7" w:rsidRPr="008E6767">
        <w:rPr>
          <w:bCs/>
          <w:i/>
          <w:iCs/>
        </w:rPr>
        <w:t>EC</w:t>
      </w:r>
      <w:r w:rsidRPr="008E6767">
        <w:rPr>
          <w:bCs/>
        </w:rPr>
        <w:t xml:space="preserve"> Section 88827</w:t>
      </w:r>
    </w:p>
    <w:p w14:paraId="73C97E11" w14:textId="4AD6826F" w:rsidR="008A7708" w:rsidRPr="008E6767" w:rsidRDefault="008A7708" w:rsidP="00446790">
      <w:pPr>
        <w:pStyle w:val="ListParagraph"/>
        <w:numPr>
          <w:ilvl w:val="0"/>
          <w:numId w:val="5"/>
        </w:numPr>
        <w:spacing w:after="240"/>
        <w:ind w:left="1526"/>
        <w:contextualSpacing w:val="0"/>
        <w:rPr>
          <w:bCs/>
        </w:rPr>
      </w:pPr>
      <w:r w:rsidRPr="008E6767">
        <w:rPr>
          <w:bCs/>
        </w:rPr>
        <w:t xml:space="preserve">CTE Facilities Program pursuant to </w:t>
      </w:r>
      <w:r w:rsidR="00AF65C7" w:rsidRPr="008E6767">
        <w:rPr>
          <w:bCs/>
          <w:i/>
          <w:iCs/>
        </w:rPr>
        <w:t>EC</w:t>
      </w:r>
      <w:r w:rsidRPr="008E6767">
        <w:rPr>
          <w:bCs/>
        </w:rPr>
        <w:t xml:space="preserve"> Section 17078.72</w:t>
      </w:r>
    </w:p>
    <w:p w14:paraId="13F63F33" w14:textId="77777777" w:rsidR="008A7708" w:rsidRPr="008E6767" w:rsidRDefault="008A7708" w:rsidP="00446790">
      <w:pPr>
        <w:pStyle w:val="ListParagraph"/>
        <w:numPr>
          <w:ilvl w:val="0"/>
          <w:numId w:val="5"/>
        </w:numPr>
        <w:spacing w:after="240"/>
        <w:ind w:left="1526"/>
        <w:contextualSpacing w:val="0"/>
        <w:rPr>
          <w:bCs/>
        </w:rPr>
      </w:pPr>
      <w:r w:rsidRPr="008E6767">
        <w:rPr>
          <w:bCs/>
        </w:rPr>
        <w:t>Past CTEIG award amounts</w:t>
      </w:r>
    </w:p>
    <w:p w14:paraId="68E34617" w14:textId="76B3771A" w:rsidR="008A7708" w:rsidRPr="008E6767" w:rsidRDefault="008A7708" w:rsidP="00A42DA8">
      <w:pPr>
        <w:ind w:left="720"/>
        <w:rPr>
          <w:bCs/>
        </w:rPr>
      </w:pPr>
      <w:r w:rsidRPr="008E6767">
        <w:rPr>
          <w:bCs/>
        </w:rPr>
        <w:t xml:space="preserve">Per </w:t>
      </w:r>
      <w:r w:rsidR="00AF65C7" w:rsidRPr="008E6767">
        <w:rPr>
          <w:bCs/>
          <w:i/>
          <w:iCs/>
        </w:rPr>
        <w:t>EC</w:t>
      </w:r>
      <w:r w:rsidRPr="008E6767">
        <w:rPr>
          <w:bCs/>
        </w:rPr>
        <w:t xml:space="preserve"> Section 53071(a)(5), an applicant’s matching funds shall be used to support the program or programs for which the applicant was awarded a grant.</w:t>
      </w:r>
    </w:p>
    <w:p w14:paraId="7204D3E4" w14:textId="50148AF8" w:rsidR="008A7708" w:rsidRPr="00D81F6B" w:rsidRDefault="008A7708" w:rsidP="00D81F6B">
      <w:pPr>
        <w:pStyle w:val="Heading4"/>
        <w:numPr>
          <w:ilvl w:val="0"/>
          <w:numId w:val="7"/>
        </w:numPr>
        <w:spacing w:after="240"/>
        <w:rPr>
          <w:b w:val="0"/>
          <w:bCs/>
        </w:rPr>
      </w:pPr>
      <w:bookmarkStart w:id="19" w:name="_Toc204937691"/>
      <w:r w:rsidRPr="00D81F6B">
        <w:rPr>
          <w:b w:val="0"/>
          <w:bCs/>
        </w:rPr>
        <w:t>Matching Funds Verification</w:t>
      </w:r>
      <w:bookmarkEnd w:id="19"/>
      <w:r w:rsidRPr="00D81F6B">
        <w:rPr>
          <w:b w:val="0"/>
          <w:bCs/>
        </w:rPr>
        <w:t xml:space="preserve"> </w:t>
      </w:r>
    </w:p>
    <w:p w14:paraId="17FA5A56" w14:textId="15E7C47D" w:rsidR="00D67DC3" w:rsidRPr="008E6767" w:rsidRDefault="008A7708" w:rsidP="00446790">
      <w:pPr>
        <w:spacing w:after="240"/>
        <w:ind w:left="720"/>
      </w:pPr>
      <w:r w:rsidRPr="008E6767">
        <w:rPr>
          <w:color w:val="000000"/>
        </w:rPr>
        <w:t xml:space="preserve">Per </w:t>
      </w:r>
      <w:r w:rsidR="00AF65C7" w:rsidRPr="008E6767">
        <w:rPr>
          <w:i/>
          <w:iCs/>
        </w:rPr>
        <w:t>EC</w:t>
      </w:r>
      <w:r w:rsidRPr="008E6767">
        <w:rPr>
          <w:color w:val="000000"/>
        </w:rPr>
        <w:t xml:space="preserve"> </w:t>
      </w:r>
      <w:r w:rsidR="00437FEC" w:rsidRPr="008E6767">
        <w:rPr>
          <w:color w:val="000000"/>
        </w:rPr>
        <w:t>S</w:t>
      </w:r>
      <w:r w:rsidRPr="008E6767">
        <w:rPr>
          <w:color w:val="000000"/>
        </w:rPr>
        <w:t>ection 53076</w:t>
      </w:r>
      <w:r w:rsidRPr="008E6767">
        <w:t>(c), the CDE will</w:t>
      </w:r>
      <w:r w:rsidR="00446790" w:rsidRPr="008E6767">
        <w:t xml:space="preserve"> </w:t>
      </w:r>
      <w:r w:rsidRPr="008E6767">
        <w:t xml:space="preserve">annually review grant recipients’ expenditures on </w:t>
      </w:r>
      <w:r w:rsidR="00D45FC7" w:rsidRPr="008E6767">
        <w:t>CTE</w:t>
      </w:r>
      <w:r w:rsidRPr="008E6767">
        <w:t xml:space="preserve"> programs for purposes of determining if the grant recipients </w:t>
      </w:r>
      <w:r w:rsidRPr="008E6767">
        <w:lastRenderedPageBreak/>
        <w:t>have met the</w:t>
      </w:r>
      <w:r w:rsidR="00451B0C" w:rsidRPr="008E6767">
        <w:t xml:space="preserve">ir local </w:t>
      </w:r>
      <w:r w:rsidRPr="008E6767">
        <w:t xml:space="preserve">match requirement </w:t>
      </w:r>
      <w:r w:rsidR="00451B0C" w:rsidRPr="008E6767">
        <w:t xml:space="preserve">of two dollars ($2) for every one dollar ($1) received from this program, as required by </w:t>
      </w:r>
      <w:r w:rsidR="00451B0C" w:rsidRPr="008E6767">
        <w:rPr>
          <w:i/>
          <w:iCs/>
        </w:rPr>
        <w:t>EC</w:t>
      </w:r>
      <w:r w:rsidR="00451B0C" w:rsidRPr="008E6767">
        <w:t xml:space="preserve"> Section 53071(a).</w:t>
      </w:r>
    </w:p>
    <w:p w14:paraId="195F420F" w14:textId="0C1D3DAC" w:rsidR="00FD5EF1" w:rsidRPr="008E6767" w:rsidRDefault="008A7708" w:rsidP="00FD5EF1">
      <w:pPr>
        <w:pBdr>
          <w:top w:val="nil"/>
          <w:left w:val="nil"/>
          <w:bottom w:val="nil"/>
          <w:right w:val="nil"/>
          <w:between w:val="nil"/>
        </w:pBdr>
        <w:spacing w:after="240"/>
        <w:ind w:left="720" w:right="-86"/>
        <w:rPr>
          <w:bCs/>
        </w:rPr>
      </w:pPr>
      <w:r w:rsidRPr="008E6767">
        <w:rPr>
          <w:bCs/>
        </w:rPr>
        <w:t>Matc</w:t>
      </w:r>
      <w:r w:rsidR="00446790" w:rsidRPr="008E6767">
        <w:rPr>
          <w:bCs/>
        </w:rPr>
        <w:t>h</w:t>
      </w:r>
      <w:r w:rsidRPr="008E6767">
        <w:rPr>
          <w:bCs/>
        </w:rPr>
        <w:t xml:space="preserve"> funds for the FY 2025–26 CTEIG award must be encumbered by June 30, 2026.</w:t>
      </w:r>
      <w:r w:rsidR="00437FEC" w:rsidRPr="008E6767">
        <w:rPr>
          <w:bCs/>
        </w:rPr>
        <w:t xml:space="preserve"> (</w:t>
      </w:r>
      <w:r w:rsidR="00AF65C7" w:rsidRPr="008E6767">
        <w:rPr>
          <w:bCs/>
          <w:i/>
          <w:iCs/>
        </w:rPr>
        <w:t>EC</w:t>
      </w:r>
      <w:r w:rsidR="00437FEC" w:rsidRPr="008E6767">
        <w:rPr>
          <w:bCs/>
        </w:rPr>
        <w:t xml:space="preserve"> Section 53071(a)(1)(D)(ii))</w:t>
      </w:r>
      <w:r w:rsidR="00AD2C51" w:rsidRPr="008E6767">
        <w:rPr>
          <w:bCs/>
        </w:rPr>
        <w:t>.</w:t>
      </w:r>
    </w:p>
    <w:p w14:paraId="7C3443FE" w14:textId="7E7CEB63" w:rsidR="008A7708" w:rsidRPr="008E6767" w:rsidRDefault="008A7708" w:rsidP="00FD5EF1">
      <w:pPr>
        <w:pBdr>
          <w:top w:val="nil"/>
          <w:left w:val="nil"/>
          <w:bottom w:val="nil"/>
          <w:right w:val="nil"/>
          <w:between w:val="nil"/>
        </w:pBdr>
        <w:spacing w:after="240"/>
        <w:ind w:left="720" w:right="-86"/>
        <w:rPr>
          <w:bCs/>
        </w:rPr>
      </w:pPr>
      <w:r w:rsidRPr="008E6767">
        <w:rPr>
          <w:bCs/>
        </w:rPr>
        <w:t>Failure to meet this matching requirement will result in one of the following:</w:t>
      </w:r>
    </w:p>
    <w:p w14:paraId="2610DB27" w14:textId="77777777" w:rsidR="00CA209D" w:rsidRPr="008E6767" w:rsidRDefault="00CA209D" w:rsidP="00446790">
      <w:pPr>
        <w:numPr>
          <w:ilvl w:val="0"/>
          <w:numId w:val="1"/>
        </w:numPr>
        <w:pBdr>
          <w:top w:val="nil"/>
          <w:left w:val="nil"/>
          <w:bottom w:val="nil"/>
          <w:right w:val="nil"/>
          <w:between w:val="nil"/>
        </w:pBdr>
        <w:spacing w:after="240"/>
        <w:ind w:left="1440"/>
        <w:rPr>
          <w:bCs/>
        </w:rPr>
      </w:pPr>
      <w:r w:rsidRPr="008E6767">
        <w:rPr>
          <w:bCs/>
        </w:rPr>
        <w:t>A reduction of a future grant award by the amount of grant funding not appropriately matched in the previous funding round.</w:t>
      </w:r>
    </w:p>
    <w:p w14:paraId="36409772" w14:textId="5623A27C" w:rsidR="00CA209D" w:rsidRPr="008E6767" w:rsidRDefault="00CA209D" w:rsidP="00CA209D">
      <w:pPr>
        <w:pBdr>
          <w:top w:val="nil"/>
          <w:left w:val="nil"/>
          <w:bottom w:val="nil"/>
          <w:right w:val="nil"/>
          <w:between w:val="nil"/>
        </w:pBdr>
        <w:spacing w:after="240"/>
        <w:ind w:left="1080"/>
        <w:rPr>
          <w:bCs/>
        </w:rPr>
      </w:pPr>
      <w:r w:rsidRPr="008E6767">
        <w:rPr>
          <w:bCs/>
        </w:rPr>
        <w:t>OR</w:t>
      </w:r>
    </w:p>
    <w:p w14:paraId="7C8D59AE" w14:textId="77777777" w:rsidR="00CA209D" w:rsidRPr="008E6767" w:rsidRDefault="00CA209D" w:rsidP="00446790">
      <w:pPr>
        <w:pStyle w:val="ListParagraph"/>
        <w:numPr>
          <w:ilvl w:val="0"/>
          <w:numId w:val="1"/>
        </w:numPr>
        <w:ind w:left="1440"/>
        <w:rPr>
          <w:color w:val="333333"/>
        </w:rPr>
      </w:pPr>
      <w:r w:rsidRPr="008E6767">
        <w:t>An invoice for remittance of grant funds and possible removal from eligibility status for a future grant.</w:t>
      </w:r>
    </w:p>
    <w:p w14:paraId="113E9407" w14:textId="77777777" w:rsidR="00CA209D" w:rsidRPr="008E6767" w:rsidRDefault="00CA209D" w:rsidP="00793D52">
      <w:pPr>
        <w:ind w:left="720"/>
      </w:pPr>
    </w:p>
    <w:p w14:paraId="0ED9FF96" w14:textId="1591B0F6" w:rsidR="00D67DC3" w:rsidRPr="008E6767" w:rsidRDefault="008A7708" w:rsidP="00D81F6B">
      <w:pPr>
        <w:spacing w:after="240"/>
        <w:ind w:left="720"/>
      </w:pPr>
      <w:r w:rsidRPr="008E6767">
        <w:t xml:space="preserve">The annual review of </w:t>
      </w:r>
      <w:r w:rsidR="00B71177" w:rsidRPr="008E6767">
        <w:t xml:space="preserve">a </w:t>
      </w:r>
      <w:r w:rsidRPr="008E6767">
        <w:t xml:space="preserve">CTEIG </w:t>
      </w:r>
      <w:r w:rsidR="00D45FC7" w:rsidRPr="008E6767">
        <w:t>recipient’s</w:t>
      </w:r>
      <w:r w:rsidRPr="008E6767">
        <w:t xml:space="preserve"> expenditures on CTE programs for the </w:t>
      </w:r>
      <w:r w:rsidR="00B71177" w:rsidRPr="008E6767">
        <w:t>purpose</w:t>
      </w:r>
      <w:r w:rsidRPr="008E6767">
        <w:t xml:space="preserve"> of verifying encumbered match dollars shall include the annual CTEIG Expenditure report and the annual audit procedure prescribed in </w:t>
      </w:r>
      <w:r w:rsidR="00AF65C7" w:rsidRPr="008E6767">
        <w:rPr>
          <w:i/>
          <w:iCs/>
        </w:rPr>
        <w:t>EC</w:t>
      </w:r>
      <w:r w:rsidRPr="008E6767">
        <w:t xml:space="preserve"> </w:t>
      </w:r>
      <w:r w:rsidR="00437FEC" w:rsidRPr="008E6767">
        <w:t xml:space="preserve">Section </w:t>
      </w:r>
      <w:r w:rsidRPr="008E6767">
        <w:t xml:space="preserve">53076.1. All encumbered CTE program expenditures listed as </w:t>
      </w:r>
      <w:r w:rsidR="3FE63844" w:rsidRPr="008E6767">
        <w:t>m</w:t>
      </w:r>
      <w:r w:rsidRPr="008E6767">
        <w:t>atch should use Goal Codes 3800 (individual LEA) and 6000 (RO</w:t>
      </w:r>
      <w:r w:rsidR="00D45FC7" w:rsidRPr="008E6767">
        <w:t>C/</w:t>
      </w:r>
      <w:r w:rsidRPr="008E6767">
        <w:t>P).</w:t>
      </w:r>
    </w:p>
    <w:p w14:paraId="37F55451" w14:textId="77777777" w:rsidR="00793D52" w:rsidRPr="008E6767" w:rsidRDefault="00793D52" w:rsidP="00793D52">
      <w:pPr>
        <w:ind w:left="720"/>
      </w:pPr>
    </w:p>
    <w:p w14:paraId="222F95E7" w14:textId="1F8C68ED" w:rsidR="0054012B" w:rsidRPr="00D81F6B" w:rsidRDefault="008A7708" w:rsidP="0054012B">
      <w:hyperlink r:id="rId10" w:history="1">
        <w:r w:rsidRPr="008E6767">
          <w:rPr>
            <w:rStyle w:val="Hyperlink"/>
            <w:bCs/>
          </w:rPr>
          <w:t>Current Audit Guide Booklet</w:t>
        </w:r>
      </w:hyperlink>
      <w:r w:rsidR="005C3DBF" w:rsidRPr="008E6767">
        <w:t xml:space="preserve"> from the California Education Audit Appeals Panel website.</w:t>
      </w:r>
    </w:p>
    <w:p w14:paraId="56316086" w14:textId="20A955F9" w:rsidR="008A7708" w:rsidRPr="00D81F6B" w:rsidRDefault="00D81F6B" w:rsidP="00D81F6B">
      <w:pPr>
        <w:pStyle w:val="Heading3"/>
        <w:rPr>
          <w:b/>
          <w:bCs w:val="0"/>
        </w:rPr>
      </w:pPr>
      <w:bookmarkStart w:id="20" w:name="_Toc204937692"/>
      <w:r w:rsidRPr="00D81F6B">
        <w:rPr>
          <w:b/>
          <w:bCs w:val="0"/>
        </w:rPr>
        <w:t xml:space="preserve">II. </w:t>
      </w:r>
      <w:r w:rsidR="00A42DA8" w:rsidRPr="00D81F6B">
        <w:rPr>
          <w:b/>
          <w:bCs w:val="0"/>
        </w:rPr>
        <w:t xml:space="preserve">CTEIG </w:t>
      </w:r>
      <w:r w:rsidR="008A7708" w:rsidRPr="00D81F6B">
        <w:rPr>
          <w:b/>
          <w:bCs w:val="0"/>
        </w:rPr>
        <w:t>Program Requirements</w:t>
      </w:r>
      <w:bookmarkEnd w:id="20"/>
    </w:p>
    <w:p w14:paraId="3F50D5F0" w14:textId="7BE35762" w:rsidR="008A7708" w:rsidRPr="00D81F6B" w:rsidRDefault="008A7708" w:rsidP="00D81F6B">
      <w:pPr>
        <w:pStyle w:val="Heading4"/>
        <w:numPr>
          <w:ilvl w:val="0"/>
          <w:numId w:val="30"/>
        </w:numPr>
        <w:rPr>
          <w:b w:val="0"/>
          <w:bCs/>
        </w:rPr>
      </w:pPr>
      <w:bookmarkStart w:id="21" w:name="_Toc204937693"/>
      <w:r w:rsidRPr="00D81F6B">
        <w:rPr>
          <w:b w:val="0"/>
          <w:bCs/>
        </w:rPr>
        <w:t>Minimum Eligibility Standards</w:t>
      </w:r>
      <w:bookmarkEnd w:id="21"/>
    </w:p>
    <w:p w14:paraId="33E958C9" w14:textId="5811475C" w:rsidR="00A81271" w:rsidRPr="008E6767" w:rsidRDefault="00437FEC" w:rsidP="2ED1CCFF">
      <w:pPr>
        <w:pStyle w:val="ListParagraph"/>
        <w:widowControl w:val="0"/>
        <w:tabs>
          <w:tab w:val="left" w:pos="1080"/>
        </w:tabs>
        <w:spacing w:after="240"/>
      </w:pPr>
      <w:r w:rsidRPr="008E6767">
        <w:t xml:space="preserve">Pursuant to </w:t>
      </w:r>
      <w:r w:rsidRPr="008E6767">
        <w:rPr>
          <w:i/>
          <w:iCs/>
        </w:rPr>
        <w:t xml:space="preserve">EC </w:t>
      </w:r>
      <w:r w:rsidRPr="008E6767">
        <w:t xml:space="preserve">Section 53071(c), an applicant, or the applicant’s </w:t>
      </w:r>
      <w:r w:rsidR="00D45FC7" w:rsidRPr="008E6767">
        <w:t>CTE</w:t>
      </w:r>
      <w:r w:rsidRPr="008E6767">
        <w:t xml:space="preserve"> program, as applicable, must demonstrate that they meet all of the minimum eligibility standards to be considered for a grant award.</w:t>
      </w:r>
    </w:p>
    <w:p w14:paraId="7E6325B1" w14:textId="64CCF516" w:rsidR="00A6044F" w:rsidRPr="00C82152" w:rsidRDefault="008A7708" w:rsidP="00C82152">
      <w:pPr>
        <w:pStyle w:val="Heading4"/>
        <w:numPr>
          <w:ilvl w:val="0"/>
          <w:numId w:val="30"/>
        </w:numPr>
        <w:rPr>
          <w:b w:val="0"/>
          <w:bCs/>
        </w:rPr>
      </w:pPr>
      <w:bookmarkStart w:id="22" w:name="_Toc204937694"/>
      <w:r w:rsidRPr="00C82152">
        <w:rPr>
          <w:b w:val="0"/>
          <w:bCs/>
        </w:rPr>
        <w:t>Program and Administrative Requirements</w:t>
      </w:r>
      <w:bookmarkEnd w:id="22"/>
    </w:p>
    <w:p w14:paraId="151BE840" w14:textId="6190A0A6" w:rsidR="00A6044F" w:rsidRPr="008E6767" w:rsidRDefault="008A7708" w:rsidP="00A81271">
      <w:pPr>
        <w:spacing w:after="240"/>
        <w:ind w:left="720"/>
        <w:rPr>
          <w:bCs/>
        </w:rPr>
      </w:pPr>
      <w:r w:rsidRPr="008E6767">
        <w:rPr>
          <w:bCs/>
        </w:rPr>
        <w:t>The signed CTEIG application is a commitment to comply with the assurances, certifications, and terms and conditions of the grant.</w:t>
      </w:r>
    </w:p>
    <w:p w14:paraId="050D2B27" w14:textId="43BE2572" w:rsidR="00A6044F" w:rsidRPr="008E6767" w:rsidRDefault="008A7708" w:rsidP="00A81271">
      <w:pPr>
        <w:spacing w:after="240"/>
        <w:ind w:left="720"/>
        <w:rPr>
          <w:bCs/>
        </w:rPr>
      </w:pPr>
      <w:r w:rsidRPr="008E6767">
        <w:rPr>
          <w:bCs/>
        </w:rPr>
        <w:t>Before signing the CTEIG application, the duly authorized representative (Superintendent or Designee), or the lead member of a Consortium, should review all assurances, certifications, and terms and conditions of the grant to be familiar with the expectations of the grant.</w:t>
      </w:r>
    </w:p>
    <w:p w14:paraId="77C1E04A" w14:textId="10D36D49" w:rsidR="00A6044F" w:rsidRPr="008E6767" w:rsidRDefault="00B62DAB" w:rsidP="2ED1CCFF">
      <w:pPr>
        <w:spacing w:after="240"/>
        <w:ind w:left="720"/>
      </w:pPr>
      <w:r w:rsidRPr="008E6767">
        <w:t xml:space="preserve">Applicants should download all </w:t>
      </w:r>
      <w:r w:rsidR="00443208" w:rsidRPr="008E6767">
        <w:t>CTEIG</w:t>
      </w:r>
      <w:r w:rsidRPr="008E6767">
        <w:t xml:space="preserve"> FY 2025–26 Grant Assurances and Conditions</w:t>
      </w:r>
      <w:r w:rsidR="00584B3D" w:rsidRPr="008E6767">
        <w:t xml:space="preserve"> from the </w:t>
      </w:r>
      <w:r w:rsidR="00443208" w:rsidRPr="008E6767">
        <w:t>PGMS</w:t>
      </w:r>
      <w:r w:rsidRPr="008E6767">
        <w:t>.</w:t>
      </w:r>
    </w:p>
    <w:p w14:paraId="62A85257" w14:textId="77777777" w:rsidR="008A7708" w:rsidRPr="008E6767" w:rsidRDefault="008A7708" w:rsidP="00A81271">
      <w:pPr>
        <w:spacing w:after="240"/>
        <w:ind w:left="720"/>
        <w:rPr>
          <w:bCs/>
        </w:rPr>
      </w:pPr>
      <w:r w:rsidRPr="008E6767">
        <w:rPr>
          <w:bCs/>
        </w:rPr>
        <w:t>Applicants are not required to submit assurances and certifications to the CDE. Applicants must print and keep assurances and certifications on file at the local level for compliance reviews, complaint investigations, or audits.</w:t>
      </w:r>
    </w:p>
    <w:p w14:paraId="6E6BBC6D" w14:textId="06A2B322" w:rsidR="008A7708" w:rsidRPr="00C82152" w:rsidRDefault="00F35463" w:rsidP="00C82152">
      <w:pPr>
        <w:pStyle w:val="Heading4"/>
        <w:numPr>
          <w:ilvl w:val="0"/>
          <w:numId w:val="35"/>
        </w:numPr>
        <w:spacing w:after="240"/>
        <w:rPr>
          <w:b w:val="0"/>
          <w:bCs/>
        </w:rPr>
      </w:pPr>
      <w:bookmarkStart w:id="23" w:name="_Toc204937695"/>
      <w:r w:rsidRPr="00C82152">
        <w:rPr>
          <w:b w:val="0"/>
          <w:bCs/>
        </w:rPr>
        <w:lastRenderedPageBreak/>
        <w:t xml:space="preserve">CTEIG </w:t>
      </w:r>
      <w:r w:rsidR="008A7708" w:rsidRPr="00C82152">
        <w:rPr>
          <w:b w:val="0"/>
          <w:bCs/>
        </w:rPr>
        <w:t>Grant Expenditure Report</w:t>
      </w:r>
      <w:r w:rsidR="00381636" w:rsidRPr="00C82152">
        <w:rPr>
          <w:b w:val="0"/>
          <w:bCs/>
        </w:rPr>
        <w:t>s</w:t>
      </w:r>
      <w:bookmarkEnd w:id="23"/>
    </w:p>
    <w:p w14:paraId="3628A639" w14:textId="5C8A567D" w:rsidR="008A7708" w:rsidRPr="008E6767" w:rsidRDefault="008A7708" w:rsidP="00A42DA8">
      <w:pPr>
        <w:spacing w:after="240"/>
        <w:ind w:left="720"/>
        <w:rPr>
          <w:bCs/>
        </w:rPr>
      </w:pPr>
      <w:r w:rsidRPr="008E6767">
        <w:rPr>
          <w:bCs/>
        </w:rPr>
        <w:t>Grantees are required to complete and submit to th</w:t>
      </w:r>
      <w:r w:rsidR="00244FBE" w:rsidRPr="008E6767">
        <w:rPr>
          <w:bCs/>
        </w:rPr>
        <w:t>e</w:t>
      </w:r>
      <w:r w:rsidRPr="008E6767">
        <w:rPr>
          <w:bCs/>
        </w:rPr>
        <w:t xml:space="preserve"> CDE </w:t>
      </w:r>
      <w:r w:rsidR="00244FBE" w:rsidRPr="008E6767">
        <w:rPr>
          <w:bCs/>
        </w:rPr>
        <w:t xml:space="preserve">two </w:t>
      </w:r>
      <w:r w:rsidRPr="008E6767">
        <w:rPr>
          <w:bCs/>
        </w:rPr>
        <w:t>Grant Expenditure Report</w:t>
      </w:r>
      <w:r w:rsidR="00244FBE" w:rsidRPr="008E6767">
        <w:rPr>
          <w:bCs/>
        </w:rPr>
        <w:t>s</w:t>
      </w:r>
      <w:r w:rsidRPr="008E6767">
        <w:rPr>
          <w:bCs/>
        </w:rPr>
        <w:t xml:space="preserve"> demonstrating how CTEIG and match funds for FY 2025–26 </w:t>
      </w:r>
      <w:r w:rsidR="00D45FC7" w:rsidRPr="008E6767">
        <w:rPr>
          <w:bCs/>
        </w:rPr>
        <w:t>were</w:t>
      </w:r>
      <w:r w:rsidRPr="008E6767">
        <w:rPr>
          <w:bCs/>
        </w:rPr>
        <w:t xml:space="preserve"> </w:t>
      </w:r>
      <w:r w:rsidR="00244FBE" w:rsidRPr="008E6767">
        <w:rPr>
          <w:bCs/>
        </w:rPr>
        <w:t xml:space="preserve">encumbered and </w:t>
      </w:r>
      <w:r w:rsidRPr="008E6767">
        <w:rPr>
          <w:bCs/>
        </w:rPr>
        <w:t>spent.</w:t>
      </w:r>
    </w:p>
    <w:tbl>
      <w:tblPr>
        <w:tblStyle w:val="TableGrid"/>
        <w:tblW w:w="0" w:type="auto"/>
        <w:tblInd w:w="720" w:type="dxa"/>
        <w:tblLook w:val="04A0" w:firstRow="1" w:lastRow="0" w:firstColumn="1" w:lastColumn="0" w:noHBand="0" w:noVBand="1"/>
        <w:tblDescription w:val="Expenditure Report Date"/>
      </w:tblPr>
      <w:tblGrid>
        <w:gridCol w:w="1705"/>
        <w:gridCol w:w="6925"/>
      </w:tblGrid>
      <w:tr w:rsidR="00F35463" w:rsidRPr="008E6767" w14:paraId="0F62253E" w14:textId="77777777" w:rsidTr="00CE2427">
        <w:trPr>
          <w:cantSplit/>
          <w:tblHeader/>
        </w:trPr>
        <w:tc>
          <w:tcPr>
            <w:tcW w:w="1705" w:type="dxa"/>
            <w:shd w:val="clear" w:color="auto" w:fill="D0CECE" w:themeFill="background2" w:themeFillShade="E6"/>
            <w:vAlign w:val="center"/>
          </w:tcPr>
          <w:p w14:paraId="209B5FB4" w14:textId="08A30C19" w:rsidR="00F35463" w:rsidRPr="008E6767" w:rsidRDefault="00F35463" w:rsidP="00F35463">
            <w:pPr>
              <w:jc w:val="center"/>
              <w:rPr>
                <w:b/>
              </w:rPr>
            </w:pPr>
            <w:r w:rsidRPr="008E6767">
              <w:rPr>
                <w:b/>
              </w:rPr>
              <w:t>Date</w:t>
            </w:r>
          </w:p>
        </w:tc>
        <w:tc>
          <w:tcPr>
            <w:tcW w:w="6925" w:type="dxa"/>
            <w:shd w:val="clear" w:color="auto" w:fill="D0CECE" w:themeFill="background2" w:themeFillShade="E6"/>
            <w:vAlign w:val="center"/>
          </w:tcPr>
          <w:p w14:paraId="03B344C6" w14:textId="24CA7978" w:rsidR="00F35463" w:rsidRPr="008E6767" w:rsidRDefault="00F35463" w:rsidP="00F35463">
            <w:pPr>
              <w:jc w:val="center"/>
              <w:rPr>
                <w:b/>
              </w:rPr>
            </w:pPr>
            <w:r w:rsidRPr="008E6767">
              <w:rPr>
                <w:b/>
              </w:rPr>
              <w:t>Expenditure Report</w:t>
            </w:r>
            <w:r w:rsidR="00381636" w:rsidRPr="008E6767">
              <w:rPr>
                <w:b/>
              </w:rPr>
              <w:t>s</w:t>
            </w:r>
          </w:p>
        </w:tc>
      </w:tr>
      <w:tr w:rsidR="00F35463" w:rsidRPr="008E6767" w14:paraId="31EB6CE4" w14:textId="77777777" w:rsidTr="00CE2427">
        <w:trPr>
          <w:cantSplit/>
          <w:tblHeader/>
        </w:trPr>
        <w:tc>
          <w:tcPr>
            <w:tcW w:w="1705" w:type="dxa"/>
            <w:vAlign w:val="center"/>
          </w:tcPr>
          <w:p w14:paraId="433B6FAC" w14:textId="0664DE13" w:rsidR="00F35463" w:rsidRPr="008E6767" w:rsidRDefault="00F35463" w:rsidP="00592666">
            <w:pPr>
              <w:jc w:val="center"/>
              <w:rPr>
                <w:bCs/>
              </w:rPr>
            </w:pPr>
            <w:r w:rsidRPr="008E6767">
              <w:rPr>
                <w:bCs/>
              </w:rPr>
              <w:t>August 2026</w:t>
            </w:r>
          </w:p>
        </w:tc>
        <w:tc>
          <w:tcPr>
            <w:tcW w:w="6925" w:type="dxa"/>
          </w:tcPr>
          <w:p w14:paraId="5A380382" w14:textId="0B60131D" w:rsidR="00F35463" w:rsidRPr="008E6767" w:rsidRDefault="00244FBE" w:rsidP="00592666">
            <w:pPr>
              <w:spacing w:before="120" w:after="120"/>
            </w:pPr>
            <w:r w:rsidRPr="008E6767">
              <w:t>This expenditure report</w:t>
            </w:r>
            <w:r w:rsidR="00E82C41" w:rsidRPr="008E6767">
              <w:t xml:space="preserve"> is</w:t>
            </w:r>
            <w:r w:rsidRPr="008E6767">
              <w:t xml:space="preserve"> </w:t>
            </w:r>
            <w:r w:rsidR="00E82C41" w:rsidRPr="008E6767">
              <w:t xml:space="preserve">part of a renewal application. </w:t>
            </w:r>
            <w:r w:rsidR="00B71177" w:rsidRPr="008E6767">
              <w:t xml:space="preserve">LEAs </w:t>
            </w:r>
            <w:r w:rsidR="00D90E5A" w:rsidRPr="008E6767">
              <w:t>m</w:t>
            </w:r>
            <w:r w:rsidR="00F35463" w:rsidRPr="008E6767">
              <w:t>ust demonstrate that all 2025</w:t>
            </w:r>
            <w:r w:rsidR="004E5FA5" w:rsidRPr="008E6767">
              <w:t>–</w:t>
            </w:r>
            <w:r w:rsidR="00F35463" w:rsidRPr="008E6767">
              <w:t>26 Match encumbered to remain eligible for funding.</w:t>
            </w:r>
          </w:p>
        </w:tc>
      </w:tr>
      <w:tr w:rsidR="00F35463" w:rsidRPr="008E6767" w14:paraId="3E7E122A" w14:textId="77777777" w:rsidTr="00CE2427">
        <w:trPr>
          <w:cantSplit/>
          <w:tblHeader/>
        </w:trPr>
        <w:tc>
          <w:tcPr>
            <w:tcW w:w="1705" w:type="dxa"/>
            <w:vAlign w:val="center"/>
          </w:tcPr>
          <w:p w14:paraId="2FBD386D" w14:textId="6C6A8A30" w:rsidR="00F35463" w:rsidRPr="008E6767" w:rsidRDefault="00F35463" w:rsidP="00592666">
            <w:pPr>
              <w:jc w:val="center"/>
              <w:rPr>
                <w:bCs/>
              </w:rPr>
            </w:pPr>
            <w:r w:rsidRPr="008E6767">
              <w:rPr>
                <w:bCs/>
              </w:rPr>
              <w:t>August 2027</w:t>
            </w:r>
          </w:p>
        </w:tc>
        <w:tc>
          <w:tcPr>
            <w:tcW w:w="6925" w:type="dxa"/>
          </w:tcPr>
          <w:p w14:paraId="286E6AB3" w14:textId="1FF66E4A" w:rsidR="00244FBE" w:rsidRPr="008E6767" w:rsidRDefault="00244FBE" w:rsidP="00A97DEA">
            <w:pPr>
              <w:spacing w:before="120"/>
              <w:ind w:left="-22"/>
              <w:rPr>
                <w:bCs/>
              </w:rPr>
            </w:pPr>
            <w:r w:rsidRPr="008E6767">
              <w:rPr>
                <w:bCs/>
              </w:rPr>
              <w:t xml:space="preserve">This </w:t>
            </w:r>
            <w:r w:rsidR="00E82C41" w:rsidRPr="008E6767">
              <w:rPr>
                <w:bCs/>
              </w:rPr>
              <w:t xml:space="preserve">is a final </w:t>
            </w:r>
            <w:r w:rsidRPr="008E6767">
              <w:rPr>
                <w:bCs/>
              </w:rPr>
              <w:t>expenditure report</w:t>
            </w:r>
            <w:r w:rsidR="00E82C41" w:rsidRPr="008E6767">
              <w:rPr>
                <w:bCs/>
              </w:rPr>
              <w:t xml:space="preserve"> for the grant cycle</w:t>
            </w:r>
            <w:r w:rsidRPr="008E6767">
              <w:rPr>
                <w:bCs/>
              </w:rPr>
              <w:t xml:space="preserve"> </w:t>
            </w:r>
            <w:r w:rsidR="00E82C41" w:rsidRPr="008E6767">
              <w:rPr>
                <w:bCs/>
              </w:rPr>
              <w:t xml:space="preserve">and may be used </w:t>
            </w:r>
            <w:r w:rsidR="00F35463" w:rsidRPr="008E6767">
              <w:rPr>
                <w:bCs/>
              </w:rPr>
              <w:t>a</w:t>
            </w:r>
            <w:r w:rsidR="00E82C41" w:rsidRPr="008E6767">
              <w:rPr>
                <w:bCs/>
              </w:rPr>
              <w:t xml:space="preserve">s part of a </w:t>
            </w:r>
            <w:r w:rsidR="00F35463" w:rsidRPr="008E6767">
              <w:rPr>
                <w:bCs/>
              </w:rPr>
              <w:t xml:space="preserve">renewal </w:t>
            </w:r>
            <w:r w:rsidR="00F12D5D" w:rsidRPr="008E6767">
              <w:rPr>
                <w:bCs/>
              </w:rPr>
              <w:t xml:space="preserve">application. The LEA must </w:t>
            </w:r>
            <w:r w:rsidR="00F35463" w:rsidRPr="008E6767">
              <w:rPr>
                <w:bCs/>
              </w:rPr>
              <w:t xml:space="preserve">have all CTEIG and Match dollars spent by June 30, </w:t>
            </w:r>
            <w:r w:rsidRPr="008E6767">
              <w:rPr>
                <w:bCs/>
              </w:rPr>
              <w:t>2027</w:t>
            </w:r>
            <w:r w:rsidR="00F35463" w:rsidRPr="008E6767">
              <w:rPr>
                <w:bCs/>
              </w:rPr>
              <w:t>.</w:t>
            </w:r>
          </w:p>
          <w:p w14:paraId="3B437764" w14:textId="77777777" w:rsidR="00A97DEA" w:rsidRPr="008E6767" w:rsidRDefault="00A97DEA" w:rsidP="00A97DEA">
            <w:pPr>
              <w:ind w:left="-22"/>
              <w:rPr>
                <w:bCs/>
              </w:rPr>
            </w:pPr>
          </w:p>
          <w:p w14:paraId="092A8006" w14:textId="4855EF15" w:rsidR="00F35463" w:rsidRPr="008E6767" w:rsidRDefault="00E82C41" w:rsidP="00592666">
            <w:pPr>
              <w:spacing w:after="120"/>
              <w:ind w:left="-22"/>
              <w:rPr>
                <w:bCs/>
              </w:rPr>
            </w:pPr>
            <w:r w:rsidRPr="008E6767">
              <w:rPr>
                <w:bCs/>
              </w:rPr>
              <w:t>The</w:t>
            </w:r>
            <w:r w:rsidR="00244FBE" w:rsidRPr="008E6767">
              <w:rPr>
                <w:bCs/>
              </w:rPr>
              <w:t xml:space="preserve"> Final Grant Expenditure Report must be completed and submitted on time</w:t>
            </w:r>
            <w:r w:rsidRPr="008E6767">
              <w:rPr>
                <w:bCs/>
              </w:rPr>
              <w:t xml:space="preserve"> to remain eligible for funding and</w:t>
            </w:r>
            <w:r w:rsidR="00F12D5D" w:rsidRPr="008E6767">
              <w:rPr>
                <w:bCs/>
                <w:strike/>
              </w:rPr>
              <w:t xml:space="preserve"> </w:t>
            </w:r>
            <w:r w:rsidR="00244FBE" w:rsidRPr="008E6767">
              <w:rPr>
                <w:bCs/>
              </w:rPr>
              <w:t>the grantee will be invoiced an amount up to the entire amount of the grant award.</w:t>
            </w:r>
          </w:p>
        </w:tc>
      </w:tr>
    </w:tbl>
    <w:p w14:paraId="507D9FAA" w14:textId="246A9E4B" w:rsidR="008A7708" w:rsidRPr="008E6767" w:rsidRDefault="008A7708" w:rsidP="00713BCD">
      <w:pPr>
        <w:spacing w:before="240"/>
        <w:ind w:left="720"/>
        <w:rPr>
          <w:bCs/>
        </w:rPr>
      </w:pPr>
      <w:r w:rsidRPr="008E6767">
        <w:rPr>
          <w:bCs/>
        </w:rPr>
        <w:t xml:space="preserve">Grantees will report by </w:t>
      </w:r>
      <w:r w:rsidR="00F24DFA" w:rsidRPr="008E6767">
        <w:rPr>
          <w:bCs/>
        </w:rPr>
        <w:t>o</w:t>
      </w:r>
      <w:r w:rsidRPr="008E6767">
        <w:rPr>
          <w:bCs/>
        </w:rPr>
        <w:t xml:space="preserve">bject </w:t>
      </w:r>
      <w:r w:rsidR="00F24DFA" w:rsidRPr="008E6767">
        <w:rPr>
          <w:bCs/>
        </w:rPr>
        <w:t>c</w:t>
      </w:r>
      <w:r w:rsidRPr="008E6767">
        <w:rPr>
          <w:bCs/>
        </w:rPr>
        <w:t xml:space="preserve">ode showing CTEIG Expenditures, matching funds, and the source of the match. All CTEIG and matching funds expenditures must be coded with the </w:t>
      </w:r>
      <w:r w:rsidR="00F24DFA" w:rsidRPr="008E6767">
        <w:rPr>
          <w:bCs/>
        </w:rPr>
        <w:t>g</w:t>
      </w:r>
      <w:r w:rsidRPr="008E6767">
        <w:rPr>
          <w:bCs/>
        </w:rPr>
        <w:t xml:space="preserve">oal </w:t>
      </w:r>
      <w:r w:rsidR="00F24DFA" w:rsidRPr="008E6767">
        <w:rPr>
          <w:bCs/>
        </w:rPr>
        <w:t>c</w:t>
      </w:r>
      <w:r w:rsidRPr="008E6767">
        <w:rPr>
          <w:bCs/>
        </w:rPr>
        <w:t>ode of 3800 (individual LEA) or 6000 (RO</w:t>
      </w:r>
      <w:r w:rsidR="004A5174" w:rsidRPr="008E6767">
        <w:rPr>
          <w:bCs/>
        </w:rPr>
        <w:t>C/P</w:t>
      </w:r>
      <w:r w:rsidRPr="008E6767">
        <w:rPr>
          <w:bCs/>
        </w:rPr>
        <w:t>).</w:t>
      </w:r>
    </w:p>
    <w:p w14:paraId="3A7ADC59" w14:textId="77777777" w:rsidR="008A7708" w:rsidRPr="008E6767" w:rsidRDefault="008A7708" w:rsidP="00B41329">
      <w:pPr>
        <w:spacing w:after="240"/>
        <w:ind w:left="720"/>
        <w:rPr>
          <w:bCs/>
        </w:rPr>
      </w:pPr>
      <w:r w:rsidRPr="008E6767">
        <w:rPr>
          <w:bCs/>
        </w:rPr>
        <w:t>Lead Consortium grantees will provide one compiled report that includes expenditures from all members of the Consortium. Individual Consortium members do not need to submit an individual report to the CDE.</w:t>
      </w:r>
    </w:p>
    <w:p w14:paraId="5B1D0A4D" w14:textId="1B3DB748" w:rsidR="00070060" w:rsidRPr="008E6767" w:rsidRDefault="008A7708" w:rsidP="00070060">
      <w:pPr>
        <w:spacing w:after="240"/>
        <w:ind w:left="720"/>
        <w:rPr>
          <w:bCs/>
        </w:rPr>
      </w:pPr>
      <w:r w:rsidRPr="008E6767">
        <w:rPr>
          <w:bCs/>
        </w:rPr>
        <w:t>Communications for Expenditure Reporting will be s</w:t>
      </w:r>
      <w:r w:rsidR="00D45FC7" w:rsidRPr="008E6767">
        <w:rPr>
          <w:bCs/>
        </w:rPr>
        <w:t xml:space="preserve">hared </w:t>
      </w:r>
      <w:r w:rsidRPr="008E6767">
        <w:rPr>
          <w:bCs/>
        </w:rPr>
        <w:t>through the CTE Incentive listserv. Anyone administ</w:t>
      </w:r>
      <w:r w:rsidR="00590B0B" w:rsidRPr="008E6767">
        <w:rPr>
          <w:bCs/>
        </w:rPr>
        <w:t>eri</w:t>
      </w:r>
      <w:r w:rsidRPr="008E6767">
        <w:rPr>
          <w:bCs/>
        </w:rPr>
        <w:t xml:space="preserve">ng a CTEIG award may subscribe to the listserv. To subscribe to the listserv, send a “blank” email to </w:t>
      </w:r>
      <w:hyperlink r:id="rId11" w:history="1">
        <w:r w:rsidRPr="008E6767">
          <w:rPr>
            <w:rStyle w:val="Hyperlink"/>
            <w:bCs/>
          </w:rPr>
          <w:t>join-CTEIncentive@mlist.cde.ca.gov</w:t>
        </w:r>
      </w:hyperlink>
      <w:r w:rsidRPr="008E6767">
        <w:rPr>
          <w:bCs/>
        </w:rPr>
        <w:t>.</w:t>
      </w:r>
    </w:p>
    <w:p w14:paraId="163D4003" w14:textId="4E1DA7DA" w:rsidR="0008192A" w:rsidRPr="00C82152" w:rsidRDefault="008A7708" w:rsidP="00BB7B84">
      <w:pPr>
        <w:pStyle w:val="Heading4"/>
        <w:numPr>
          <w:ilvl w:val="0"/>
          <w:numId w:val="35"/>
        </w:numPr>
        <w:spacing w:after="240"/>
        <w:rPr>
          <w:b w:val="0"/>
          <w:bCs/>
        </w:rPr>
      </w:pPr>
      <w:bookmarkStart w:id="24" w:name="_Toc204937696"/>
      <w:r w:rsidRPr="00C82152">
        <w:rPr>
          <w:b w:val="0"/>
          <w:bCs/>
        </w:rPr>
        <w:t>CTE</w:t>
      </w:r>
      <w:r w:rsidR="00E41128" w:rsidRPr="00C82152">
        <w:rPr>
          <w:b w:val="0"/>
          <w:bCs/>
        </w:rPr>
        <w:t xml:space="preserve">IG </w:t>
      </w:r>
      <w:r w:rsidRPr="00C82152">
        <w:rPr>
          <w:b w:val="0"/>
          <w:bCs/>
        </w:rPr>
        <w:t>Data</w:t>
      </w:r>
      <w:bookmarkEnd w:id="24"/>
    </w:p>
    <w:p w14:paraId="0BAD1CC9" w14:textId="2DD23E8C" w:rsidR="00E41128" w:rsidRPr="008E6767" w:rsidRDefault="0008192A" w:rsidP="00E41128">
      <w:pPr>
        <w:pStyle w:val="BodyText"/>
        <w:spacing w:after="240"/>
        <w:ind w:left="720"/>
        <w:rPr>
          <w:bCs/>
        </w:rPr>
      </w:pPr>
      <w:r w:rsidRPr="008E6767">
        <w:rPr>
          <w:bCs/>
        </w:rPr>
        <w:t xml:space="preserve">Per </w:t>
      </w:r>
      <w:r w:rsidR="00C732BE" w:rsidRPr="008E6767">
        <w:rPr>
          <w:bCs/>
          <w:i/>
          <w:iCs/>
        </w:rPr>
        <w:t>EC</w:t>
      </w:r>
      <w:r w:rsidRPr="008E6767">
        <w:rPr>
          <w:bCs/>
        </w:rPr>
        <w:t xml:space="preserve"> Section 53071(c)(11)</w:t>
      </w:r>
      <w:r w:rsidR="008E1EE2" w:rsidRPr="008E6767">
        <w:rPr>
          <w:bCs/>
        </w:rPr>
        <w:t>(B)(i–vi)</w:t>
      </w:r>
      <w:r w:rsidRPr="008E6767">
        <w:rPr>
          <w:bCs/>
        </w:rPr>
        <w:t>, grantees are required to annually report</w:t>
      </w:r>
      <w:r w:rsidR="00E41128" w:rsidRPr="008E6767">
        <w:rPr>
          <w:bCs/>
        </w:rPr>
        <w:t xml:space="preserve"> the following</w:t>
      </w:r>
      <w:r w:rsidRPr="008E6767">
        <w:rPr>
          <w:bCs/>
        </w:rPr>
        <w:t xml:space="preserve"> data to the California Longitudinal Pupil Achievement Data System (CALPADS)</w:t>
      </w:r>
      <w:r w:rsidR="00E41128" w:rsidRPr="008E6767">
        <w:rPr>
          <w:bCs/>
        </w:rPr>
        <w:t>:</w:t>
      </w:r>
    </w:p>
    <w:p w14:paraId="525D5250" w14:textId="40508D43" w:rsidR="00E41128" w:rsidRPr="008E6767" w:rsidRDefault="00E41128" w:rsidP="00E41128">
      <w:pPr>
        <w:pStyle w:val="BodyText"/>
        <w:numPr>
          <w:ilvl w:val="1"/>
          <w:numId w:val="1"/>
        </w:numPr>
        <w:spacing w:after="240"/>
        <w:ind w:left="1440"/>
        <w:rPr>
          <w:color w:val="333333"/>
        </w:rPr>
      </w:pPr>
      <w:r w:rsidRPr="008E6767">
        <w:rPr>
          <w:color w:val="333333"/>
        </w:rPr>
        <w:t>The high school graduation rate.</w:t>
      </w:r>
    </w:p>
    <w:p w14:paraId="2725E8E6" w14:textId="03C068EE" w:rsidR="00E41128" w:rsidRPr="008E6767" w:rsidRDefault="00E41128" w:rsidP="00E41128">
      <w:pPr>
        <w:pStyle w:val="BodyText"/>
        <w:numPr>
          <w:ilvl w:val="1"/>
          <w:numId w:val="1"/>
        </w:numPr>
        <w:shd w:val="clear" w:color="auto" w:fill="FFFFFF"/>
        <w:spacing w:after="240"/>
        <w:ind w:left="1440"/>
        <w:textAlignment w:val="baseline"/>
        <w:rPr>
          <w:color w:val="333333"/>
        </w:rPr>
      </w:pPr>
      <w:r w:rsidRPr="008E6767">
        <w:rPr>
          <w:color w:val="333333"/>
        </w:rPr>
        <w:t xml:space="preserve">The number of pupils completing </w:t>
      </w:r>
      <w:r w:rsidR="00E47A7F" w:rsidRPr="008E6767">
        <w:rPr>
          <w:color w:val="333333"/>
        </w:rPr>
        <w:t>CTE</w:t>
      </w:r>
      <w:r w:rsidRPr="008E6767">
        <w:rPr>
          <w:color w:val="333333"/>
        </w:rPr>
        <w:t xml:space="preserve"> coursework.</w:t>
      </w:r>
    </w:p>
    <w:p w14:paraId="591A1976" w14:textId="77777777" w:rsidR="00E41128" w:rsidRPr="008E6767" w:rsidRDefault="00E41128" w:rsidP="00E41128">
      <w:pPr>
        <w:pStyle w:val="BodyText"/>
        <w:numPr>
          <w:ilvl w:val="1"/>
          <w:numId w:val="1"/>
        </w:numPr>
        <w:shd w:val="clear" w:color="auto" w:fill="FFFFFF"/>
        <w:spacing w:after="240"/>
        <w:ind w:left="1440"/>
        <w:textAlignment w:val="baseline"/>
        <w:rPr>
          <w:color w:val="333333"/>
        </w:rPr>
      </w:pPr>
      <w:r w:rsidRPr="008E6767">
        <w:rPr>
          <w:color w:val="333333"/>
        </w:rPr>
        <w:t>The number of pupils meeting academic and career-readiness standards as defined in the College/Career Indicator associated with the California School Dashboard.</w:t>
      </w:r>
    </w:p>
    <w:p w14:paraId="7DAD0F3B" w14:textId="77777777" w:rsidR="00E41128" w:rsidRPr="008E6767" w:rsidRDefault="00E41128" w:rsidP="00E41128">
      <w:pPr>
        <w:pStyle w:val="BodyText"/>
        <w:numPr>
          <w:ilvl w:val="1"/>
          <w:numId w:val="1"/>
        </w:numPr>
        <w:shd w:val="clear" w:color="auto" w:fill="FFFFFF"/>
        <w:spacing w:after="240"/>
        <w:ind w:left="1440"/>
        <w:textAlignment w:val="baseline"/>
        <w:rPr>
          <w:color w:val="333333"/>
        </w:rPr>
      </w:pPr>
      <w:r w:rsidRPr="008E6767">
        <w:rPr>
          <w:color w:val="333333"/>
        </w:rPr>
        <w:t xml:space="preserve">The number of pupils obtaining an industry-recognized credential, </w:t>
      </w:r>
      <w:r w:rsidRPr="008E6767">
        <w:rPr>
          <w:color w:val="333333"/>
        </w:rPr>
        <w:lastRenderedPageBreak/>
        <w:t>certificate, license, or other measure of technical skill attainment.</w:t>
      </w:r>
    </w:p>
    <w:p w14:paraId="59E65BB8" w14:textId="77777777" w:rsidR="00E41128" w:rsidRPr="008E6767" w:rsidRDefault="00E41128" w:rsidP="00446790">
      <w:pPr>
        <w:pStyle w:val="BodyText"/>
        <w:numPr>
          <w:ilvl w:val="1"/>
          <w:numId w:val="1"/>
        </w:numPr>
        <w:shd w:val="clear" w:color="auto" w:fill="FFFFFF"/>
        <w:spacing w:after="240"/>
        <w:ind w:left="1530"/>
        <w:textAlignment w:val="baseline"/>
        <w:rPr>
          <w:color w:val="333333"/>
        </w:rPr>
      </w:pPr>
      <w:r w:rsidRPr="008E6767">
        <w:rPr>
          <w:color w:val="333333"/>
        </w:rPr>
        <w:t>The number of former pupils employed and the types of businesses in which they are employed.</w:t>
      </w:r>
    </w:p>
    <w:p w14:paraId="2FFDCC8D" w14:textId="1153E0DE" w:rsidR="00E41128" w:rsidRPr="008E6767" w:rsidRDefault="00E41128" w:rsidP="00446790">
      <w:pPr>
        <w:pStyle w:val="BodyText"/>
        <w:numPr>
          <w:ilvl w:val="1"/>
          <w:numId w:val="1"/>
        </w:numPr>
        <w:shd w:val="clear" w:color="auto" w:fill="FFFFFF"/>
        <w:spacing w:after="240"/>
        <w:ind w:left="1530"/>
        <w:textAlignment w:val="baseline"/>
        <w:rPr>
          <w:color w:val="333333"/>
        </w:rPr>
      </w:pPr>
      <w:r w:rsidRPr="008E6767">
        <w:rPr>
          <w:color w:val="333333"/>
        </w:rPr>
        <w:t>The number of former pupils enrolled in each of the following:</w:t>
      </w:r>
    </w:p>
    <w:p w14:paraId="22580344" w14:textId="77777777" w:rsidR="00E41128" w:rsidRPr="008E6767" w:rsidRDefault="00E41128" w:rsidP="00E41128">
      <w:pPr>
        <w:pStyle w:val="NormalWeb"/>
        <w:numPr>
          <w:ilvl w:val="2"/>
          <w:numId w:val="6"/>
        </w:numPr>
        <w:shd w:val="clear" w:color="auto" w:fill="FFFFFF"/>
        <w:spacing w:before="0" w:beforeAutospacing="0" w:after="0" w:afterAutospacing="0"/>
        <w:ind w:left="2520" w:hanging="540"/>
        <w:textAlignment w:val="baseline"/>
        <w:rPr>
          <w:rFonts w:ascii="Arial" w:hAnsi="Arial" w:cs="Arial"/>
          <w:color w:val="333333"/>
        </w:rPr>
      </w:pPr>
      <w:r w:rsidRPr="008E6767">
        <w:rPr>
          <w:rFonts w:ascii="Arial" w:hAnsi="Arial" w:cs="Arial"/>
          <w:color w:val="333333"/>
        </w:rPr>
        <w:t>A postsecondary educational institution.</w:t>
      </w:r>
    </w:p>
    <w:p w14:paraId="5C5E50BE" w14:textId="77777777" w:rsidR="00E41128" w:rsidRPr="008E6767" w:rsidRDefault="00E41128" w:rsidP="00E41128">
      <w:pPr>
        <w:pStyle w:val="NormalWeb"/>
        <w:numPr>
          <w:ilvl w:val="2"/>
          <w:numId w:val="6"/>
        </w:numPr>
        <w:shd w:val="clear" w:color="auto" w:fill="FFFFFF"/>
        <w:spacing w:before="0" w:beforeAutospacing="0" w:after="0" w:afterAutospacing="0"/>
        <w:ind w:left="2520" w:hanging="540"/>
        <w:textAlignment w:val="baseline"/>
        <w:rPr>
          <w:rFonts w:ascii="Arial" w:hAnsi="Arial" w:cs="Arial"/>
          <w:color w:val="333333"/>
        </w:rPr>
      </w:pPr>
      <w:r w:rsidRPr="008E6767">
        <w:rPr>
          <w:rFonts w:ascii="Arial" w:hAnsi="Arial" w:cs="Arial"/>
          <w:color w:val="333333"/>
        </w:rPr>
        <w:t>A state apprenticeship program.</w:t>
      </w:r>
    </w:p>
    <w:p w14:paraId="2449C539" w14:textId="519BAD90" w:rsidR="00E41128" w:rsidRPr="008E6767" w:rsidRDefault="00E41128" w:rsidP="00E41128">
      <w:pPr>
        <w:pStyle w:val="NormalWeb"/>
        <w:numPr>
          <w:ilvl w:val="2"/>
          <w:numId w:val="6"/>
        </w:numPr>
        <w:shd w:val="clear" w:color="auto" w:fill="FFFFFF"/>
        <w:spacing w:before="0" w:beforeAutospacing="0" w:after="240" w:afterAutospacing="0"/>
        <w:ind w:left="2520" w:hanging="540"/>
        <w:textAlignment w:val="baseline"/>
        <w:rPr>
          <w:rFonts w:ascii="Arial" w:hAnsi="Arial" w:cs="Arial"/>
          <w:color w:val="333333"/>
        </w:rPr>
      </w:pPr>
      <w:r w:rsidRPr="008E6767">
        <w:rPr>
          <w:rFonts w:ascii="Arial" w:hAnsi="Arial" w:cs="Arial"/>
          <w:color w:val="333333"/>
        </w:rPr>
        <w:t>A form of job training other than a state apprenticeship program.</w:t>
      </w:r>
    </w:p>
    <w:p w14:paraId="51FF4B13" w14:textId="294A3894" w:rsidR="000F5CA9" w:rsidRPr="008E6767" w:rsidRDefault="000F5CA9" w:rsidP="000F5CA9">
      <w:pPr>
        <w:pStyle w:val="BodyText"/>
        <w:spacing w:after="240"/>
        <w:ind w:left="720"/>
        <w:rPr>
          <w:bCs/>
        </w:rPr>
      </w:pPr>
      <w:r w:rsidRPr="008E6767">
        <w:rPr>
          <w:bCs/>
        </w:rPr>
        <w:t>If an LEA does not have CTE pathway completers to report for the current Academic Year, the LEA still must submit the Student Course Section Completion (SCSC) files to show enrollment (participation) in CTE courses to fulfill requirement ii listed above.</w:t>
      </w:r>
    </w:p>
    <w:p w14:paraId="163EF040" w14:textId="159E8BFE" w:rsidR="005071CC" w:rsidRPr="008E6767" w:rsidRDefault="0008192A" w:rsidP="000628A4">
      <w:pPr>
        <w:pStyle w:val="BodyText"/>
        <w:spacing w:after="240"/>
        <w:ind w:left="720"/>
        <w:rPr>
          <w:bCs/>
        </w:rPr>
      </w:pPr>
      <w:r w:rsidRPr="008E6767">
        <w:rPr>
          <w:bCs/>
        </w:rPr>
        <w:t xml:space="preserve">CALPADS Reports </w:t>
      </w:r>
      <w:r w:rsidR="00E47A7F" w:rsidRPr="008E6767">
        <w:rPr>
          <w:bCs/>
        </w:rPr>
        <w:t>are only</w:t>
      </w:r>
      <w:r w:rsidRPr="008E6767">
        <w:rPr>
          <w:bCs/>
        </w:rPr>
        <w:t xml:space="preserve"> accessible to LEA CALPADS Data Stewards, </w:t>
      </w:r>
      <w:r w:rsidR="00E47A7F" w:rsidRPr="008E6767">
        <w:rPr>
          <w:bCs/>
        </w:rPr>
        <w:t>the CDE</w:t>
      </w:r>
      <w:r w:rsidRPr="008E6767">
        <w:rPr>
          <w:bCs/>
        </w:rPr>
        <w:t xml:space="preserve"> encourage</w:t>
      </w:r>
      <w:r w:rsidR="00E47A7F" w:rsidRPr="008E6767">
        <w:rPr>
          <w:bCs/>
        </w:rPr>
        <w:t>s</w:t>
      </w:r>
      <w:r w:rsidRPr="008E6767">
        <w:rPr>
          <w:bCs/>
        </w:rPr>
        <w:t xml:space="preserve"> a collaboration with CTE Coordinators. The CALPADS End of Year (EOY) Road Map should be used to review CALPADS data by the recommended milestone date of July 11, 2025. The Certification Report Quality Assurance Checklist identifies specific CALPADS reports for CTE Participants and Completers to review and confirm if </w:t>
      </w:r>
      <w:r w:rsidR="005071CC" w:rsidRPr="008E6767">
        <w:rPr>
          <w:bCs/>
        </w:rPr>
        <w:t>LEA</w:t>
      </w:r>
      <w:r w:rsidRPr="008E6767">
        <w:rPr>
          <w:bCs/>
        </w:rPr>
        <w:t xml:space="preserve"> data is accurate prior to the EOY.</w:t>
      </w:r>
    </w:p>
    <w:p w14:paraId="3E0B84D2" w14:textId="6C30951A" w:rsidR="00A026A2" w:rsidRPr="008E6767" w:rsidRDefault="005071CC" w:rsidP="000628A4">
      <w:pPr>
        <w:pStyle w:val="BodyText"/>
        <w:spacing w:after="240"/>
        <w:ind w:left="720"/>
        <w:rPr>
          <w:bCs/>
        </w:rPr>
      </w:pPr>
      <w:r w:rsidRPr="008E6767">
        <w:rPr>
          <w:bCs/>
        </w:rPr>
        <w:t>T</w:t>
      </w:r>
      <w:r w:rsidR="0008192A" w:rsidRPr="008E6767">
        <w:rPr>
          <w:bCs/>
        </w:rPr>
        <w:t xml:space="preserve">he </w:t>
      </w:r>
      <w:hyperlink r:id="rId12" w:history="1">
        <w:r w:rsidR="0008192A" w:rsidRPr="008E6767">
          <w:rPr>
            <w:rStyle w:val="Hyperlink"/>
            <w:bCs/>
          </w:rPr>
          <w:t>CALPADS EOY Road Map and Checklist</w:t>
        </w:r>
      </w:hyperlink>
      <w:r w:rsidR="0008192A" w:rsidRPr="008E6767">
        <w:rPr>
          <w:bCs/>
        </w:rPr>
        <w:t xml:space="preserve"> </w:t>
      </w:r>
      <w:r w:rsidRPr="008E6767">
        <w:rPr>
          <w:bCs/>
        </w:rPr>
        <w:t xml:space="preserve">are available on the CDE </w:t>
      </w:r>
      <w:r w:rsidR="0008192A" w:rsidRPr="008E6767">
        <w:rPr>
          <w:bCs/>
        </w:rPr>
        <w:t>web</w:t>
      </w:r>
      <w:r w:rsidR="007B5BB0" w:rsidRPr="008E6767">
        <w:rPr>
          <w:bCs/>
        </w:rPr>
        <w:t>site</w:t>
      </w:r>
      <w:r w:rsidR="00CE2427" w:rsidRPr="008E6767">
        <w:rPr>
          <w:bCs/>
        </w:rPr>
        <w:t>.</w:t>
      </w:r>
    </w:p>
    <w:p w14:paraId="1D80FDD2" w14:textId="7275806D" w:rsidR="0008192A" w:rsidRPr="008E6767" w:rsidRDefault="0008192A" w:rsidP="00FE1BF5">
      <w:pPr>
        <w:pStyle w:val="BodyText"/>
        <w:spacing w:after="240"/>
        <w:ind w:left="720"/>
        <w:rPr>
          <w:bCs/>
        </w:rPr>
      </w:pPr>
      <w:r w:rsidRPr="008E6767">
        <w:rPr>
          <w:bCs/>
        </w:rPr>
        <w:t>The CTE</w:t>
      </w:r>
      <w:r w:rsidR="00E41128" w:rsidRPr="008E6767">
        <w:rPr>
          <w:bCs/>
        </w:rPr>
        <w:t>IG</w:t>
      </w:r>
      <w:r w:rsidRPr="008E6767">
        <w:rPr>
          <w:bCs/>
        </w:rPr>
        <w:t xml:space="preserve"> data is due by Spring 2027, date to be determined. The CTE</w:t>
      </w:r>
      <w:r w:rsidR="00E41128" w:rsidRPr="008E6767">
        <w:rPr>
          <w:bCs/>
        </w:rPr>
        <w:t xml:space="preserve">IG </w:t>
      </w:r>
      <w:r w:rsidRPr="008E6767">
        <w:rPr>
          <w:bCs/>
        </w:rPr>
        <w:t>data must be completed and submitted on time otherwise the grantee will be invoiced an amount up to the entire amount of the grant award.</w:t>
      </w:r>
    </w:p>
    <w:p w14:paraId="0D3D1B64" w14:textId="3A74C682" w:rsidR="008A7708" w:rsidRPr="00BB7B84" w:rsidRDefault="008A7708" w:rsidP="00BB7B84">
      <w:pPr>
        <w:pStyle w:val="Heading4"/>
        <w:numPr>
          <w:ilvl w:val="0"/>
          <w:numId w:val="35"/>
        </w:numPr>
        <w:spacing w:after="240"/>
        <w:rPr>
          <w:b w:val="0"/>
          <w:bCs/>
        </w:rPr>
      </w:pPr>
      <w:bookmarkStart w:id="25" w:name="_Toc204937697"/>
      <w:r w:rsidRPr="00BB7B84">
        <w:rPr>
          <w:b w:val="0"/>
          <w:bCs/>
        </w:rPr>
        <w:t>Capital Outlay Requests</w:t>
      </w:r>
      <w:bookmarkEnd w:id="25"/>
    </w:p>
    <w:p w14:paraId="3659FF4E" w14:textId="1A4E271A" w:rsidR="008A7708" w:rsidRPr="008E6767" w:rsidRDefault="008A7708" w:rsidP="00B41329">
      <w:pPr>
        <w:spacing w:after="240"/>
        <w:ind w:left="720"/>
        <w:rPr>
          <w:bCs/>
        </w:rPr>
      </w:pPr>
      <w:r w:rsidRPr="008E6767">
        <w:rPr>
          <w:bCs/>
        </w:rPr>
        <w:t>All capital outlay (object code 6000) purchases</w:t>
      </w:r>
      <w:r w:rsidR="002033A1" w:rsidRPr="008E6767">
        <w:rPr>
          <w:bCs/>
        </w:rPr>
        <w:t xml:space="preserve"> where any single item is</w:t>
      </w:r>
      <w:r w:rsidRPr="008E6767">
        <w:rPr>
          <w:bCs/>
        </w:rPr>
        <w:t xml:space="preserve"> over $5,000 require individual review and approval from </w:t>
      </w:r>
      <w:r w:rsidR="00A57E25" w:rsidRPr="008E6767">
        <w:rPr>
          <w:bCs/>
        </w:rPr>
        <w:t>the assigned</w:t>
      </w:r>
      <w:r w:rsidRPr="008E6767">
        <w:rPr>
          <w:bCs/>
        </w:rPr>
        <w:t xml:space="preserve"> CDE CTEIG Regional Consultant.</w:t>
      </w:r>
    </w:p>
    <w:p w14:paraId="35A41234" w14:textId="41F646E1" w:rsidR="00846F27" w:rsidRPr="008E6767" w:rsidRDefault="008A7708" w:rsidP="00B41329">
      <w:pPr>
        <w:spacing w:after="240"/>
        <w:ind w:left="720"/>
        <w:rPr>
          <w:bCs/>
        </w:rPr>
      </w:pPr>
      <w:r w:rsidRPr="008E6767">
        <w:rPr>
          <w:bCs/>
        </w:rPr>
        <w:t>Pro</w:t>
      </w:r>
      <w:r w:rsidR="00B62DAB" w:rsidRPr="008E6767">
        <w:rPr>
          <w:bCs/>
        </w:rPr>
        <w:t>posed</w:t>
      </w:r>
      <w:r w:rsidRPr="008E6767">
        <w:rPr>
          <w:bCs/>
        </w:rPr>
        <w:t xml:space="preserve"> Capital Outlay expenses detailed in the LEA’s CTEIG application still require review and approval by </w:t>
      </w:r>
      <w:r w:rsidR="00A57E25" w:rsidRPr="008E6767">
        <w:rPr>
          <w:bCs/>
        </w:rPr>
        <w:t>the assigned</w:t>
      </w:r>
      <w:r w:rsidRPr="008E6767">
        <w:rPr>
          <w:bCs/>
        </w:rPr>
        <w:t xml:space="preserve"> Regional Consultant. The Regional Consultant will review and respond to </w:t>
      </w:r>
      <w:r w:rsidR="00A57E25" w:rsidRPr="008E6767">
        <w:rPr>
          <w:bCs/>
        </w:rPr>
        <w:t>each</w:t>
      </w:r>
      <w:r w:rsidRPr="008E6767">
        <w:rPr>
          <w:bCs/>
        </w:rPr>
        <w:t xml:space="preserve"> request with</w:t>
      </w:r>
      <w:r w:rsidR="00A57E25" w:rsidRPr="008E6767">
        <w:rPr>
          <w:bCs/>
        </w:rPr>
        <w:t>in</w:t>
      </w:r>
      <w:r w:rsidRPr="008E6767">
        <w:rPr>
          <w:bCs/>
        </w:rPr>
        <w:t xml:space="preserve"> ten (10) business days of receipt.</w:t>
      </w:r>
    </w:p>
    <w:p w14:paraId="4F40DC40" w14:textId="6D4802D5" w:rsidR="00A6044F" w:rsidRPr="008E6767" w:rsidRDefault="00A6044F" w:rsidP="00A6044F">
      <w:pPr>
        <w:pStyle w:val="Heading2"/>
        <w:rPr>
          <w:u w:val="single"/>
        </w:rPr>
      </w:pPr>
      <w:bookmarkStart w:id="26" w:name="_Toc204937698"/>
      <w:r w:rsidRPr="008E6767">
        <w:t xml:space="preserve">Chapter 3: Consortium </w:t>
      </w:r>
      <w:r w:rsidR="004B681B" w:rsidRPr="008E6767">
        <w:t>Memorandum of Understandings</w:t>
      </w:r>
      <w:bookmarkEnd w:id="26"/>
    </w:p>
    <w:p w14:paraId="6A7AA3BC" w14:textId="0CD920CD" w:rsidR="00A6044F" w:rsidRPr="008E6767" w:rsidRDefault="00A6044F" w:rsidP="00A6044F">
      <w:pPr>
        <w:spacing w:after="240"/>
        <w:rPr>
          <w:bCs/>
        </w:rPr>
      </w:pPr>
      <w:r w:rsidRPr="008E6767">
        <w:rPr>
          <w:bCs/>
        </w:rPr>
        <w:t xml:space="preserve">Applicants who apply for </w:t>
      </w:r>
      <w:r w:rsidR="00A57E25" w:rsidRPr="008E6767">
        <w:rPr>
          <w:bCs/>
        </w:rPr>
        <w:t>a</w:t>
      </w:r>
      <w:r w:rsidRPr="008E6767">
        <w:rPr>
          <w:bCs/>
        </w:rPr>
        <w:t xml:space="preserve"> CTEIG as a Consortium must complete a Memorandum of Understanding (MOU). Specifically, the application must include an MOU between the lead member and each individual member that establishes the membership for the grant term and includes the lead member’s and individual member’s ADA and match contributions.</w:t>
      </w:r>
    </w:p>
    <w:p w14:paraId="7DE8527D" w14:textId="0F7719EE" w:rsidR="00A6044F" w:rsidRPr="008E6767" w:rsidRDefault="00A6044F" w:rsidP="00A6044F">
      <w:pPr>
        <w:spacing w:after="240"/>
        <w:rPr>
          <w:bCs/>
          <w:strike/>
        </w:rPr>
      </w:pPr>
      <w:r w:rsidRPr="008E6767">
        <w:rPr>
          <w:bCs/>
        </w:rPr>
        <w:lastRenderedPageBreak/>
        <w:t xml:space="preserve">Consortium MOUs are not due by the RFA due date; rather, the MOUs are due </w:t>
      </w:r>
      <w:r w:rsidR="00260B58" w:rsidRPr="008E6767">
        <w:rPr>
          <w:bCs/>
        </w:rPr>
        <w:t xml:space="preserve">prior </w:t>
      </w:r>
      <w:r w:rsidRPr="008E6767">
        <w:rPr>
          <w:bCs/>
        </w:rPr>
        <w:t>to the release of the GAN to the lead member of the consortium.</w:t>
      </w:r>
    </w:p>
    <w:p w14:paraId="54B17487" w14:textId="3BFD5937" w:rsidR="00A6044F" w:rsidRPr="008E6767" w:rsidRDefault="00A6044F" w:rsidP="00A6044F">
      <w:pPr>
        <w:spacing w:after="240"/>
        <w:rPr>
          <w:bCs/>
        </w:rPr>
      </w:pPr>
      <w:r w:rsidRPr="008E6767">
        <w:rPr>
          <w:bCs/>
        </w:rPr>
        <w:t xml:space="preserve">The </w:t>
      </w:r>
      <w:r w:rsidR="002F64BE" w:rsidRPr="008E6767">
        <w:rPr>
          <w:bCs/>
        </w:rPr>
        <w:t>c</w:t>
      </w:r>
      <w:r w:rsidRPr="008E6767">
        <w:rPr>
          <w:bCs/>
        </w:rPr>
        <w:t xml:space="preserve">onsortium member list must be the same from year-to-year to be considered a Renewal Consortium applicant. When any member of the Consortium changes, the applicant will be considered a new consortium </w:t>
      </w:r>
      <w:r w:rsidR="002F64BE" w:rsidRPr="008E6767">
        <w:rPr>
          <w:bCs/>
        </w:rPr>
        <w:t>applicant,</w:t>
      </w:r>
      <w:r w:rsidRPr="008E6767">
        <w:rPr>
          <w:bCs/>
        </w:rPr>
        <w:t xml:space="preserve"> and a new MOU will be required.</w:t>
      </w:r>
    </w:p>
    <w:p w14:paraId="5832139D" w14:textId="18DB17CB" w:rsidR="008A7708" w:rsidRPr="008E6767" w:rsidRDefault="00A6044F" w:rsidP="00D72C0B">
      <w:pPr>
        <w:spacing w:after="240"/>
        <w:rPr>
          <w:bCs/>
        </w:rPr>
      </w:pPr>
      <w:r w:rsidRPr="008E6767">
        <w:rPr>
          <w:bCs/>
        </w:rPr>
        <w:t xml:space="preserve">Consortium MOUs require signatures from all participating members and </w:t>
      </w:r>
      <w:r w:rsidR="00B62DAB" w:rsidRPr="008E6767">
        <w:rPr>
          <w:bCs/>
        </w:rPr>
        <w:t xml:space="preserve">must be </w:t>
      </w:r>
      <w:r w:rsidRPr="008E6767">
        <w:rPr>
          <w:bCs/>
        </w:rPr>
        <w:t xml:space="preserve">emailed to the </w:t>
      </w:r>
      <w:hyperlink r:id="rId13" w:history="1">
        <w:r w:rsidR="00A5669B" w:rsidRPr="008E6767">
          <w:rPr>
            <w:rStyle w:val="Hyperlink"/>
            <w:bCs/>
          </w:rPr>
          <w:t>cteigsubmissions@cde.ca.gov</w:t>
        </w:r>
      </w:hyperlink>
      <w:r w:rsidR="00A5669B" w:rsidRPr="008E6767">
        <w:rPr>
          <w:bCs/>
        </w:rPr>
        <w:t xml:space="preserve"> </w:t>
      </w:r>
      <w:r w:rsidRPr="008E6767">
        <w:rPr>
          <w:bCs/>
        </w:rPr>
        <w:t>inbox with the subject line: CTEIG MOU (Consortium Name).</w:t>
      </w:r>
    </w:p>
    <w:p w14:paraId="6495CBE5" w14:textId="7D24F0C4" w:rsidR="004E51CC" w:rsidRPr="008E6767" w:rsidRDefault="00CE2427" w:rsidP="00592666">
      <w:pPr>
        <w:pStyle w:val="BodyText"/>
        <w:spacing w:after="240"/>
      </w:pPr>
      <w:hyperlink r:id="rId14" w:history="1">
        <w:r w:rsidRPr="008E6767">
          <w:rPr>
            <w:rStyle w:val="Hyperlink"/>
          </w:rPr>
          <w:t>CTEIG MOU Template</w:t>
        </w:r>
      </w:hyperlink>
    </w:p>
    <w:p w14:paraId="6D0BD17B" w14:textId="1D586E8D" w:rsidR="00A6044F" w:rsidRPr="008E6767" w:rsidRDefault="00A6044F" w:rsidP="0087419B">
      <w:pPr>
        <w:pStyle w:val="Heading2"/>
        <w:rPr>
          <w:u w:val="single"/>
        </w:rPr>
      </w:pPr>
      <w:bookmarkStart w:id="27" w:name="_Toc204937699"/>
      <w:r w:rsidRPr="008E6767">
        <w:t>Chapter 4: Allowable and Non-Allowable Expenditures</w:t>
      </w:r>
      <w:bookmarkEnd w:id="27"/>
    </w:p>
    <w:p w14:paraId="7D4E0C1D" w14:textId="2D82141A" w:rsidR="00C07575" w:rsidRPr="008E6767" w:rsidRDefault="00A6044F" w:rsidP="00C07575">
      <w:pPr>
        <w:spacing w:after="240"/>
        <w:rPr>
          <w:bCs/>
        </w:rPr>
      </w:pPr>
      <w:r w:rsidRPr="008E6767">
        <w:rPr>
          <w:bCs/>
        </w:rPr>
        <w:t xml:space="preserve">A current list of </w:t>
      </w:r>
      <w:hyperlink r:id="rId15" w:history="1">
        <w:r w:rsidRPr="008E6767">
          <w:rPr>
            <w:rStyle w:val="Hyperlink"/>
            <w:bCs/>
          </w:rPr>
          <w:t>Allowable and Non-Allowable Expenditures</w:t>
        </w:r>
      </w:hyperlink>
      <w:r w:rsidRPr="008E6767">
        <w:rPr>
          <w:bCs/>
        </w:rPr>
        <w:t xml:space="preserve"> is available on the CTEIG web</w:t>
      </w:r>
      <w:r w:rsidR="00593878" w:rsidRPr="008E6767">
        <w:rPr>
          <w:bCs/>
        </w:rPr>
        <w:t>page</w:t>
      </w:r>
      <w:r w:rsidR="00846F27" w:rsidRPr="008E6767">
        <w:rPr>
          <w:bCs/>
        </w:rPr>
        <w:t>.</w:t>
      </w:r>
    </w:p>
    <w:p w14:paraId="487DD9F0" w14:textId="630433B3" w:rsidR="00A42DA8" w:rsidRPr="008E6767" w:rsidRDefault="00A6044F" w:rsidP="00A42DA8">
      <w:pPr>
        <w:pStyle w:val="Heading2"/>
      </w:pPr>
      <w:bookmarkStart w:id="28" w:name="_Toc204937700"/>
      <w:r w:rsidRPr="008E6767">
        <w:t xml:space="preserve">Chapter 5: </w:t>
      </w:r>
      <w:r w:rsidR="00381636" w:rsidRPr="008E6767">
        <w:t>PGMS Entry</w:t>
      </w:r>
      <w:r w:rsidR="00A42DA8" w:rsidRPr="008E6767">
        <w:t xml:space="preserve"> Application</w:t>
      </w:r>
      <w:bookmarkEnd w:id="28"/>
    </w:p>
    <w:p w14:paraId="1B98E05E" w14:textId="3E7777BF" w:rsidR="005F6E46" w:rsidRPr="008E6767" w:rsidRDefault="00EA552A" w:rsidP="00FB74C7">
      <w:pPr>
        <w:spacing w:after="240"/>
        <w:rPr>
          <w:bCs/>
        </w:rPr>
      </w:pPr>
      <w:r w:rsidRPr="008E6767">
        <w:rPr>
          <w:bCs/>
        </w:rPr>
        <w:t xml:space="preserve">Applicants will need to use the </w:t>
      </w:r>
      <w:hyperlink r:id="rId16" w:history="1">
        <w:r w:rsidRPr="008E6767">
          <w:rPr>
            <w:rStyle w:val="Hyperlink"/>
            <w:bCs/>
          </w:rPr>
          <w:t>P</w:t>
        </w:r>
        <w:r w:rsidR="005F6E46" w:rsidRPr="008E6767">
          <w:rPr>
            <w:rStyle w:val="Hyperlink"/>
            <w:bCs/>
          </w:rPr>
          <w:t>GMS</w:t>
        </w:r>
        <w:r w:rsidRPr="008E6767">
          <w:rPr>
            <w:rStyle w:val="Hyperlink"/>
            <w:bCs/>
          </w:rPr>
          <w:t xml:space="preserve"> </w:t>
        </w:r>
        <w:r w:rsidR="00F35463" w:rsidRPr="008E6767">
          <w:rPr>
            <w:rStyle w:val="Hyperlink"/>
            <w:bCs/>
          </w:rPr>
          <w:t>Entry Application</w:t>
        </w:r>
        <w:r w:rsidR="005F6E46" w:rsidRPr="008E6767">
          <w:rPr>
            <w:rStyle w:val="Hyperlink"/>
            <w:bCs/>
          </w:rPr>
          <w:t xml:space="preserve"> Instructions</w:t>
        </w:r>
      </w:hyperlink>
      <w:r w:rsidRPr="008E6767">
        <w:rPr>
          <w:bCs/>
        </w:rPr>
        <w:t xml:space="preserve"> to complete the </w:t>
      </w:r>
      <w:r w:rsidR="00F35463" w:rsidRPr="008E6767">
        <w:rPr>
          <w:bCs/>
        </w:rPr>
        <w:t>CTEIG</w:t>
      </w:r>
      <w:r w:rsidRPr="008E6767">
        <w:rPr>
          <w:bCs/>
        </w:rPr>
        <w:t xml:space="preserve"> application</w:t>
      </w:r>
      <w:r w:rsidR="00D72C0B" w:rsidRPr="008E6767">
        <w:rPr>
          <w:bCs/>
        </w:rPr>
        <w:t>.</w:t>
      </w:r>
      <w:r w:rsidR="00584B3D" w:rsidRPr="008E6767">
        <w:rPr>
          <w:bCs/>
        </w:rPr>
        <w:t xml:space="preserve"> </w:t>
      </w:r>
    </w:p>
    <w:p w14:paraId="7CDA74CB" w14:textId="144BA532" w:rsidR="00F3349B" w:rsidRPr="008E6767" w:rsidRDefault="00F3349B" w:rsidP="00FB74C7">
      <w:pPr>
        <w:spacing w:after="240"/>
        <w:rPr>
          <w:bCs/>
        </w:rPr>
      </w:pPr>
      <w:r w:rsidRPr="008E6767">
        <w:rPr>
          <w:bCs/>
        </w:rPr>
        <w:t xml:space="preserve">A complete application is submitted entirely into PGMS and consists of the following </w:t>
      </w:r>
      <w:r w:rsidR="001A2543" w:rsidRPr="008E6767">
        <w:rPr>
          <w:bCs/>
        </w:rPr>
        <w:t>categories</w:t>
      </w:r>
      <w:r w:rsidRPr="008E6767">
        <w:rPr>
          <w:bCs/>
        </w:rPr>
        <w:t>:</w:t>
      </w:r>
    </w:p>
    <w:p w14:paraId="54798FB5" w14:textId="421E10E7" w:rsidR="001A2543" w:rsidRPr="008E6767" w:rsidRDefault="001A2543" w:rsidP="002D048A">
      <w:pPr>
        <w:spacing w:after="240"/>
        <w:ind w:left="720"/>
        <w:rPr>
          <w:bCs/>
        </w:rPr>
      </w:pPr>
      <w:r w:rsidRPr="008E6767">
        <w:rPr>
          <w:bCs/>
        </w:rPr>
        <w:t xml:space="preserve">PGMS Portal: Start </w:t>
      </w:r>
      <w:r w:rsidR="005071CC" w:rsidRPr="008E6767">
        <w:rPr>
          <w:bCs/>
        </w:rPr>
        <w:t>the</w:t>
      </w:r>
      <w:r w:rsidRPr="008E6767">
        <w:rPr>
          <w:bCs/>
        </w:rPr>
        <w:t xml:space="preserve"> application to verify CDS code</w:t>
      </w:r>
    </w:p>
    <w:p w14:paraId="1635400D" w14:textId="6DE51ACF" w:rsidR="001A2543" w:rsidRPr="008E6767" w:rsidRDefault="001A2543" w:rsidP="002D048A">
      <w:pPr>
        <w:spacing w:after="240"/>
        <w:ind w:left="720"/>
        <w:rPr>
          <w:bCs/>
        </w:rPr>
      </w:pPr>
      <w:r w:rsidRPr="008E6767">
        <w:rPr>
          <w:bCs/>
        </w:rPr>
        <w:t>Contacts: Verifying LEA information and enter CTEIG Coordinator information</w:t>
      </w:r>
    </w:p>
    <w:p w14:paraId="5430D014" w14:textId="21A83669" w:rsidR="001A2543" w:rsidRPr="008E6767" w:rsidRDefault="001A2543" w:rsidP="002D048A">
      <w:pPr>
        <w:spacing w:after="240"/>
        <w:ind w:left="720"/>
        <w:rPr>
          <w:bCs/>
        </w:rPr>
      </w:pPr>
      <w:r w:rsidRPr="008E6767">
        <w:rPr>
          <w:bCs/>
        </w:rPr>
        <w:t>Applicant Profile: Verify and enter applicants profile information</w:t>
      </w:r>
    </w:p>
    <w:p w14:paraId="17FE5C03" w14:textId="2894045E" w:rsidR="002D048A" w:rsidRPr="008E6767" w:rsidRDefault="002D048A" w:rsidP="615BD676">
      <w:pPr>
        <w:spacing w:after="240"/>
        <w:rPr>
          <w:b/>
          <w:bCs/>
        </w:rPr>
      </w:pPr>
      <w:r w:rsidRPr="008E6767">
        <w:rPr>
          <w:b/>
          <w:bCs/>
        </w:rPr>
        <w:t>The LEA should confirm that the URL for the L</w:t>
      </w:r>
      <w:r w:rsidR="00685BBA" w:rsidRPr="008E6767">
        <w:rPr>
          <w:b/>
          <w:bCs/>
        </w:rPr>
        <w:t xml:space="preserve">ocal </w:t>
      </w:r>
      <w:r w:rsidRPr="008E6767">
        <w:rPr>
          <w:b/>
          <w:bCs/>
        </w:rPr>
        <w:t>C</w:t>
      </w:r>
      <w:r w:rsidR="00685BBA" w:rsidRPr="008E6767">
        <w:rPr>
          <w:b/>
          <w:bCs/>
        </w:rPr>
        <w:t xml:space="preserve">ontrol </w:t>
      </w:r>
      <w:r w:rsidRPr="008E6767">
        <w:rPr>
          <w:b/>
          <w:bCs/>
        </w:rPr>
        <w:t>A</w:t>
      </w:r>
      <w:r w:rsidR="00685BBA" w:rsidRPr="008E6767">
        <w:rPr>
          <w:b/>
          <w:bCs/>
        </w:rPr>
        <w:t xml:space="preserve">ccountability </w:t>
      </w:r>
      <w:r w:rsidRPr="008E6767">
        <w:rPr>
          <w:b/>
          <w:bCs/>
        </w:rPr>
        <w:t>P</w:t>
      </w:r>
      <w:r w:rsidR="00685BBA" w:rsidRPr="008E6767">
        <w:rPr>
          <w:b/>
          <w:bCs/>
        </w:rPr>
        <w:t>lan (LCAP)</w:t>
      </w:r>
      <w:r w:rsidRPr="008E6767">
        <w:rPr>
          <w:b/>
          <w:bCs/>
        </w:rPr>
        <w:t xml:space="preserve"> is a working link, prior to application submission.</w:t>
      </w:r>
    </w:p>
    <w:p w14:paraId="14E8F2AB" w14:textId="4DA13A08" w:rsidR="001A2543" w:rsidRPr="008E6767" w:rsidRDefault="001A2543" w:rsidP="002D048A">
      <w:pPr>
        <w:spacing w:after="240"/>
        <w:ind w:left="720"/>
        <w:rPr>
          <w:bCs/>
        </w:rPr>
      </w:pPr>
      <w:r w:rsidRPr="008E6767">
        <w:rPr>
          <w:bCs/>
        </w:rPr>
        <w:t>Application: Enter CTE program details, minimum eligibility standards and strengths and improvement plans for CTE programs</w:t>
      </w:r>
    </w:p>
    <w:p w14:paraId="0C0F220D" w14:textId="4702FF3E" w:rsidR="001A2543" w:rsidRPr="008E6767" w:rsidRDefault="001A2543" w:rsidP="002D048A">
      <w:pPr>
        <w:spacing w:after="240"/>
        <w:ind w:left="720"/>
        <w:rPr>
          <w:bCs/>
        </w:rPr>
      </w:pPr>
      <w:r w:rsidRPr="008E6767">
        <w:rPr>
          <w:bCs/>
        </w:rPr>
        <w:t xml:space="preserve">Financial: Enter </w:t>
      </w:r>
      <w:r w:rsidR="002D048A" w:rsidRPr="008E6767">
        <w:rPr>
          <w:bCs/>
        </w:rPr>
        <w:t xml:space="preserve">information for </w:t>
      </w:r>
      <w:r w:rsidRPr="008E6767">
        <w:rPr>
          <w:bCs/>
        </w:rPr>
        <w:t>continued financial commitment and application year budget worksheets</w:t>
      </w:r>
      <w:r w:rsidR="002D048A" w:rsidRPr="008E6767">
        <w:rPr>
          <w:bCs/>
        </w:rPr>
        <w:t xml:space="preserve"> (object codes 1000</w:t>
      </w:r>
      <w:r w:rsidR="00592666" w:rsidRPr="008E6767">
        <w:rPr>
          <w:bCs/>
        </w:rPr>
        <w:t>–</w:t>
      </w:r>
      <w:r w:rsidR="002D048A" w:rsidRPr="008E6767">
        <w:rPr>
          <w:bCs/>
        </w:rPr>
        <w:t>7000)</w:t>
      </w:r>
    </w:p>
    <w:p w14:paraId="4D3E55E5" w14:textId="25544338" w:rsidR="001A2543" w:rsidRPr="008E6767" w:rsidRDefault="002D048A" w:rsidP="002D048A">
      <w:pPr>
        <w:spacing w:after="240"/>
        <w:ind w:left="720"/>
        <w:rPr>
          <w:b/>
        </w:rPr>
      </w:pPr>
      <w:r w:rsidRPr="008E6767">
        <w:rPr>
          <w:bCs/>
        </w:rPr>
        <w:t>Assurances: Check boxes for each assurance. Submit application and generate .pdf of applicant’s responses</w:t>
      </w:r>
    </w:p>
    <w:p w14:paraId="67898B91" w14:textId="1B41FAC7" w:rsidR="00025074" w:rsidRPr="008E6767" w:rsidRDefault="00025074" w:rsidP="00FB74C7">
      <w:pPr>
        <w:spacing w:after="240"/>
        <w:rPr>
          <w:b/>
        </w:rPr>
      </w:pPr>
      <w:r w:rsidRPr="008E6767">
        <w:rPr>
          <w:b/>
        </w:rPr>
        <w:t>No changes will be allowed once the application has been submitted</w:t>
      </w:r>
      <w:r w:rsidR="00B62DAB" w:rsidRPr="008E6767">
        <w:rPr>
          <w:b/>
        </w:rPr>
        <w:t xml:space="preserve"> into PGMS</w:t>
      </w:r>
      <w:r w:rsidRPr="008E6767">
        <w:rPr>
          <w:b/>
        </w:rPr>
        <w:t>.</w:t>
      </w:r>
    </w:p>
    <w:p w14:paraId="3F874C08" w14:textId="4657969A" w:rsidR="00B62DAB" w:rsidRPr="008E6767" w:rsidRDefault="00095BFF" w:rsidP="008E1957">
      <w:pPr>
        <w:spacing w:after="240"/>
        <w:rPr>
          <w:bCs/>
        </w:rPr>
      </w:pPr>
      <w:r w:rsidRPr="008E6767">
        <w:rPr>
          <w:bCs/>
        </w:rPr>
        <w:t>A</w:t>
      </w:r>
      <w:r w:rsidR="00025074" w:rsidRPr="008E6767">
        <w:rPr>
          <w:bCs/>
        </w:rPr>
        <w:t xml:space="preserve">pplicants </w:t>
      </w:r>
      <w:r w:rsidRPr="008E6767">
        <w:rPr>
          <w:bCs/>
        </w:rPr>
        <w:t xml:space="preserve">should </w:t>
      </w:r>
      <w:r w:rsidR="00025074" w:rsidRPr="008E6767">
        <w:rPr>
          <w:bCs/>
        </w:rPr>
        <w:t xml:space="preserve">save a copy of their CTEIG application from PGMS as proof of their submission. The CDE will not verify submissions until after the deadline. It is the </w:t>
      </w:r>
      <w:r w:rsidR="00025074" w:rsidRPr="008E6767">
        <w:rPr>
          <w:bCs/>
        </w:rPr>
        <w:lastRenderedPageBreak/>
        <w:t xml:space="preserve">responsibility of each applicant to ensure their </w:t>
      </w:r>
      <w:r w:rsidR="003965B1" w:rsidRPr="008E6767">
        <w:rPr>
          <w:bCs/>
        </w:rPr>
        <w:t>PGMS entry</w:t>
      </w:r>
      <w:r w:rsidR="00025074" w:rsidRPr="008E6767">
        <w:rPr>
          <w:bCs/>
        </w:rPr>
        <w:t xml:space="preserve"> is </w:t>
      </w:r>
      <w:r w:rsidR="00B62DAB" w:rsidRPr="008E6767">
        <w:rPr>
          <w:bCs/>
        </w:rPr>
        <w:t>completed and submitted</w:t>
      </w:r>
      <w:r w:rsidR="00025074" w:rsidRPr="008E6767">
        <w:rPr>
          <w:bCs/>
        </w:rPr>
        <w:t xml:space="preserve"> in its entirety.</w:t>
      </w:r>
    </w:p>
    <w:p w14:paraId="44E13434" w14:textId="3469308C" w:rsidR="00A42DA8" w:rsidRPr="008E6767" w:rsidRDefault="00A6044F" w:rsidP="00A42DA8">
      <w:pPr>
        <w:pStyle w:val="Heading2"/>
        <w:rPr>
          <w:u w:val="single"/>
        </w:rPr>
      </w:pPr>
      <w:bookmarkStart w:id="29" w:name="_Toc204937701"/>
      <w:r w:rsidRPr="008E6767">
        <w:t>Chapter 6:</w:t>
      </w:r>
      <w:r w:rsidR="00A42DA8" w:rsidRPr="008E6767">
        <w:t xml:space="preserve"> Application Review Process</w:t>
      </w:r>
      <w:bookmarkEnd w:id="29"/>
    </w:p>
    <w:p w14:paraId="1D8C514D" w14:textId="2A2A8EC5" w:rsidR="00095BFF" w:rsidRPr="008E6767" w:rsidRDefault="00BB19E6" w:rsidP="000C67C3">
      <w:pPr>
        <w:pStyle w:val="BodyText"/>
        <w:spacing w:after="240"/>
      </w:pPr>
      <w:r w:rsidRPr="008E6767">
        <w:t xml:space="preserve">The CDE will screen all timely PGMS entries for compliance with all requirements stated in this RFA. Only complete applications </w:t>
      </w:r>
      <w:r w:rsidR="00571D55" w:rsidRPr="008E6767">
        <w:t xml:space="preserve">submitted through PGMS </w:t>
      </w:r>
      <w:r w:rsidRPr="008E6767">
        <w:t>will be read and scored.</w:t>
      </w:r>
      <w:r w:rsidR="002D6173" w:rsidRPr="008E6767">
        <w:t xml:space="preserve"> Refer to Chapter 5 for a list of what a completed application must include.</w:t>
      </w:r>
    </w:p>
    <w:p w14:paraId="67A7732D" w14:textId="08B42B6E" w:rsidR="00D766F1" w:rsidRPr="008E6767" w:rsidRDefault="00D766F1" w:rsidP="000C67C3">
      <w:pPr>
        <w:pStyle w:val="BodyText"/>
        <w:spacing w:after="240"/>
      </w:pPr>
      <w:r w:rsidRPr="008E6767">
        <w:t xml:space="preserve">The </w:t>
      </w:r>
      <w:r w:rsidR="005F6E46" w:rsidRPr="008E6767">
        <w:t xml:space="preserve">PGMS entry </w:t>
      </w:r>
      <w:r w:rsidRPr="008E6767">
        <w:t xml:space="preserve">application will be </w:t>
      </w:r>
      <w:r w:rsidR="00FF3176" w:rsidRPr="008E6767">
        <w:t>scored in</w:t>
      </w:r>
      <w:r w:rsidR="005F6E46" w:rsidRPr="008E6767">
        <w:t xml:space="preserve"> </w:t>
      </w:r>
      <w:r w:rsidRPr="008E6767">
        <w:t xml:space="preserve">four categories: CTE Program, </w:t>
      </w:r>
      <w:r w:rsidR="009F6177" w:rsidRPr="008E6767">
        <w:t xml:space="preserve">Continued Financial Commitment, </w:t>
      </w:r>
      <w:r w:rsidRPr="008E6767">
        <w:t>Budget</w:t>
      </w:r>
      <w:r w:rsidR="00D15866" w:rsidRPr="008E6767">
        <w:t>,</w:t>
      </w:r>
      <w:r w:rsidR="009F6177" w:rsidRPr="008E6767">
        <w:t xml:space="preserve"> </w:t>
      </w:r>
      <w:r w:rsidRPr="008E6767">
        <w:t>and LCAP.</w:t>
      </w:r>
    </w:p>
    <w:p w14:paraId="7DD129C4" w14:textId="237C3CC1" w:rsidR="007640E7" w:rsidRPr="008E6767" w:rsidRDefault="00D766F1" w:rsidP="000C67C3">
      <w:pPr>
        <w:pStyle w:val="BodyText"/>
        <w:spacing w:after="240"/>
      </w:pPr>
      <w:r w:rsidRPr="008E6767">
        <w:rPr>
          <w:b/>
          <w:bCs/>
        </w:rPr>
        <w:t>CTE Program</w:t>
      </w:r>
      <w:r w:rsidR="00C07575" w:rsidRPr="008E6767">
        <w:rPr>
          <w:b/>
          <w:bCs/>
        </w:rPr>
        <w:t>/Minimum Eligibility Standards</w:t>
      </w:r>
      <w:r w:rsidRPr="008E6767">
        <w:rPr>
          <w:b/>
          <w:bCs/>
        </w:rPr>
        <w:t>:</w:t>
      </w:r>
      <w:r w:rsidRPr="008E6767">
        <w:t xml:space="preserve"> The minimum score </w:t>
      </w:r>
      <w:r w:rsidR="00FF3176" w:rsidRPr="008E6767">
        <w:t xml:space="preserve">to be eligible for </w:t>
      </w:r>
      <w:r w:rsidR="007640E7" w:rsidRPr="008E6767">
        <w:t>this section</w:t>
      </w:r>
      <w:r w:rsidR="00FF3176" w:rsidRPr="008E6767">
        <w:t xml:space="preserve"> is </w:t>
      </w:r>
      <w:r w:rsidR="00E018D3" w:rsidRPr="008E6767">
        <w:t>1</w:t>
      </w:r>
      <w:r w:rsidR="007640E7" w:rsidRPr="008E6767">
        <w:t>2</w:t>
      </w:r>
      <w:r w:rsidR="00E018D3" w:rsidRPr="008E6767">
        <w:t xml:space="preserve">. If an applicant scores 0 points </w:t>
      </w:r>
      <w:r w:rsidR="00CB7B40" w:rsidRPr="008E6767">
        <w:t xml:space="preserve">for a minimum eligibility requirement, </w:t>
      </w:r>
      <w:r w:rsidR="00E018D3" w:rsidRPr="008E6767">
        <w:t>the applicant will not be eligible to receive funds, no matter if the other categories meet the eligibility criteria</w:t>
      </w:r>
      <w:r w:rsidR="00CB7B40" w:rsidRPr="008E6767">
        <w:t>.</w:t>
      </w:r>
    </w:p>
    <w:p w14:paraId="0E16672C" w14:textId="5C3D44D9" w:rsidR="007640E7" w:rsidRPr="008E6767" w:rsidRDefault="007640E7" w:rsidP="000C67C3">
      <w:pPr>
        <w:pStyle w:val="BodyText"/>
        <w:spacing w:after="240"/>
      </w:pPr>
      <w:r w:rsidRPr="008E6767">
        <w:rPr>
          <w:b/>
          <w:bCs/>
        </w:rPr>
        <w:t xml:space="preserve">Overall </w:t>
      </w:r>
      <w:r w:rsidR="00C07575" w:rsidRPr="008E6767">
        <w:rPr>
          <w:b/>
          <w:bCs/>
        </w:rPr>
        <w:t>CTE Program Strengths &amp; Improvements:</w:t>
      </w:r>
      <w:r w:rsidR="00C07575" w:rsidRPr="008E6767">
        <w:t xml:space="preserve"> </w:t>
      </w:r>
      <w:r w:rsidRPr="008E6767">
        <w:t>The minimum score to be eligible for this section is 2 points. If an applicant scores 0 points the applicant will not be eligible to receive funds, no matter if the other categories meet the eligibility criteria.</w:t>
      </w:r>
    </w:p>
    <w:p w14:paraId="587BF9AD" w14:textId="3DCCD11B" w:rsidR="00D15866" w:rsidRPr="008E6767" w:rsidRDefault="00D15866" w:rsidP="000C67C3">
      <w:pPr>
        <w:pStyle w:val="BodyText"/>
        <w:spacing w:after="240"/>
      </w:pPr>
      <w:r w:rsidRPr="008E6767">
        <w:rPr>
          <w:b/>
          <w:bCs/>
        </w:rPr>
        <w:t>Continued Financial Commitment:</w:t>
      </w:r>
      <w:r w:rsidRPr="008E6767">
        <w:t xml:space="preserve"> The minimum score to be eligible for </w:t>
      </w:r>
      <w:r w:rsidR="007640E7" w:rsidRPr="008E6767">
        <w:t>this section</w:t>
      </w:r>
      <w:r w:rsidRPr="008E6767">
        <w:t xml:space="preserve"> is 1 point. If an applicant scores 0 points the applicant will not be eligible to receive funds, no matter if the other categories meet the eligibility criteria.</w:t>
      </w:r>
    </w:p>
    <w:p w14:paraId="7B5144D5" w14:textId="1DECEDFD" w:rsidR="00D766F1" w:rsidRPr="008E6767" w:rsidRDefault="00541307" w:rsidP="000C67C3">
      <w:pPr>
        <w:pStyle w:val="BodyText"/>
        <w:spacing w:after="240"/>
        <w:rPr>
          <w:b/>
          <w:bCs/>
        </w:rPr>
      </w:pPr>
      <w:r w:rsidRPr="008E6767">
        <w:rPr>
          <w:b/>
          <w:bCs/>
        </w:rPr>
        <w:t>B</w:t>
      </w:r>
      <w:r w:rsidR="00D766F1" w:rsidRPr="008E6767">
        <w:rPr>
          <w:b/>
          <w:bCs/>
        </w:rPr>
        <w:t>udget</w:t>
      </w:r>
      <w:r w:rsidR="00C07575" w:rsidRPr="008E6767">
        <w:rPr>
          <w:b/>
          <w:bCs/>
        </w:rPr>
        <w:t xml:space="preserve"> Narrative Worksheet</w:t>
      </w:r>
      <w:r w:rsidR="00D766F1" w:rsidRPr="008E6767">
        <w:rPr>
          <w:b/>
          <w:bCs/>
        </w:rPr>
        <w:t>:</w:t>
      </w:r>
      <w:r w:rsidR="00D766F1" w:rsidRPr="008E6767">
        <w:t xml:space="preserve"> The minimum score </w:t>
      </w:r>
      <w:r w:rsidR="00FF3176" w:rsidRPr="008E6767">
        <w:t xml:space="preserve">to be eligible for </w:t>
      </w:r>
      <w:r w:rsidR="007640E7" w:rsidRPr="008E6767">
        <w:t>this section</w:t>
      </w:r>
      <w:r w:rsidR="00FF3176" w:rsidRPr="008E6767">
        <w:t xml:space="preserve"> is </w:t>
      </w:r>
      <w:r w:rsidR="00D766F1" w:rsidRPr="008E6767">
        <w:t>1 point. If an applicant scores 0 points the applica</w:t>
      </w:r>
      <w:r w:rsidR="00FF3176" w:rsidRPr="008E6767">
        <w:t>nt</w:t>
      </w:r>
      <w:r w:rsidR="00D766F1" w:rsidRPr="008E6767">
        <w:t xml:space="preserve"> will not be eligible to receive funds, no matter if the other categories meet the eligibility criteria.</w:t>
      </w:r>
    </w:p>
    <w:p w14:paraId="14AD6F30" w14:textId="602E6DB1" w:rsidR="00C07575" w:rsidRPr="008E6767" w:rsidRDefault="00541307" w:rsidP="000C67C3">
      <w:pPr>
        <w:pStyle w:val="BodyText"/>
        <w:spacing w:after="240"/>
      </w:pPr>
      <w:r w:rsidRPr="008E6767">
        <w:rPr>
          <w:b/>
          <w:bCs/>
        </w:rPr>
        <w:t>LCAP</w:t>
      </w:r>
      <w:r w:rsidR="00D766F1" w:rsidRPr="008E6767">
        <w:rPr>
          <w:b/>
          <w:bCs/>
        </w:rPr>
        <w:t>:</w:t>
      </w:r>
      <w:r w:rsidR="00D766F1" w:rsidRPr="008E6767">
        <w:t xml:space="preserve"> The minimum score </w:t>
      </w:r>
      <w:r w:rsidR="00FF3176" w:rsidRPr="008E6767">
        <w:t xml:space="preserve">to be eligible for </w:t>
      </w:r>
      <w:r w:rsidR="007640E7" w:rsidRPr="008E6767">
        <w:t>this section</w:t>
      </w:r>
      <w:r w:rsidR="00FF3176" w:rsidRPr="008E6767">
        <w:t xml:space="preserve"> is </w:t>
      </w:r>
      <w:r w:rsidR="00D766F1" w:rsidRPr="008E6767">
        <w:t>1 point. If an applicant scores 0 points the applica</w:t>
      </w:r>
      <w:r w:rsidR="00FF3176" w:rsidRPr="008E6767">
        <w:t>nt</w:t>
      </w:r>
      <w:r w:rsidR="00D766F1" w:rsidRPr="008E6767">
        <w:t xml:space="preserve"> will not be eligible to receive funds, no matter if the other categories meet the eligibility criteria.</w:t>
      </w:r>
    </w:p>
    <w:p w14:paraId="68B38F34" w14:textId="41C0C0F3" w:rsidR="00BB19E6" w:rsidRPr="008E6767" w:rsidRDefault="00BB19E6" w:rsidP="000C67C3">
      <w:pPr>
        <w:pStyle w:val="BodyText"/>
        <w:spacing w:after="240"/>
      </w:pPr>
      <w:r w:rsidRPr="008E6767">
        <w:t xml:space="preserve">To be eligible for funding, complete applications must receive a minimum </w:t>
      </w:r>
      <w:r w:rsidR="00244FBE" w:rsidRPr="008E6767">
        <w:t xml:space="preserve">TOTAL </w:t>
      </w:r>
      <w:r w:rsidRPr="008E6767">
        <w:t xml:space="preserve">score of </w:t>
      </w:r>
      <w:r w:rsidR="00E018D3" w:rsidRPr="008E6767">
        <w:t>17</w:t>
      </w:r>
      <w:r w:rsidR="00C8360C" w:rsidRPr="008E6767">
        <w:t xml:space="preserve"> based on the scoring rubric</w:t>
      </w:r>
      <w:r w:rsidR="00584B3D" w:rsidRPr="008E6767">
        <w:t xml:space="preserve"> as well as meet the minimum point requirements for each of the f</w:t>
      </w:r>
      <w:r w:rsidR="00C07575" w:rsidRPr="008E6767">
        <w:t>ive</w:t>
      </w:r>
      <w:r w:rsidR="00584B3D" w:rsidRPr="008E6767">
        <w:t xml:space="preserve"> categories (CTE Program, </w:t>
      </w:r>
      <w:r w:rsidR="00C07575" w:rsidRPr="008E6767">
        <w:t xml:space="preserve">Overall CTE Programs &amp; Improvements, </w:t>
      </w:r>
      <w:r w:rsidR="00584B3D" w:rsidRPr="008E6767">
        <w:t xml:space="preserve">Continued Financial Commitment, Budget, and LCAP). Refer to </w:t>
      </w:r>
      <w:r w:rsidR="00D72C0B" w:rsidRPr="008E6767">
        <w:t>Chapter 13</w:t>
      </w:r>
      <w:r w:rsidR="00584B3D" w:rsidRPr="008E6767">
        <w:t xml:space="preserve"> of this RFA for the Scoring Rubric</w:t>
      </w:r>
      <w:r w:rsidRPr="008E6767">
        <w:t>.</w:t>
      </w:r>
    </w:p>
    <w:p w14:paraId="7B603224" w14:textId="16A06729" w:rsidR="00BB19E6" w:rsidRPr="008E6767" w:rsidRDefault="00BB19E6" w:rsidP="000C67C3">
      <w:pPr>
        <w:pStyle w:val="BodyText"/>
        <w:spacing w:after="240"/>
      </w:pPr>
      <w:r w:rsidRPr="008E6767">
        <w:t xml:space="preserve">All new and renewal applicants will have their applications read and scored by a minimum of two readers. Applications that receive a score of less than </w:t>
      </w:r>
      <w:r w:rsidR="00E018D3" w:rsidRPr="008E6767">
        <w:t>17</w:t>
      </w:r>
      <w:r w:rsidRPr="008E6767">
        <w:t xml:space="preserve">, by both readers, will not be eligible for funding. Applications which receive one minimum </w:t>
      </w:r>
      <w:r w:rsidR="00A53AAD" w:rsidRPr="008E6767">
        <w:t xml:space="preserve">score </w:t>
      </w:r>
      <w:r w:rsidRPr="008E6767">
        <w:t>(</w:t>
      </w:r>
      <w:r w:rsidR="00E018D3" w:rsidRPr="008E6767">
        <w:t>17</w:t>
      </w:r>
      <w:r w:rsidRPr="008E6767">
        <w:t xml:space="preserve"> or higher) and one failed score (less than </w:t>
      </w:r>
      <w:r w:rsidR="00E018D3" w:rsidRPr="008E6767">
        <w:t>17</w:t>
      </w:r>
      <w:r w:rsidRPr="008E6767">
        <w:t>) will be reviewed by a third reader. To be considered for funding, an application must meet the minimum score (</w:t>
      </w:r>
      <w:r w:rsidR="00E018D3" w:rsidRPr="008E6767">
        <w:t>17</w:t>
      </w:r>
      <w:r w:rsidRPr="008E6767">
        <w:t>) by two</w:t>
      </w:r>
      <w:r w:rsidR="00C8360C" w:rsidRPr="008E6767">
        <w:t xml:space="preserve"> of the three</w:t>
      </w:r>
      <w:r w:rsidRPr="008E6767">
        <w:t xml:space="preserve"> readers</w:t>
      </w:r>
      <w:r w:rsidR="00584B3D" w:rsidRPr="008E6767">
        <w:t xml:space="preserve"> and meet the minimum point requirements for each of the </w:t>
      </w:r>
      <w:r w:rsidR="00504F1F" w:rsidRPr="008E6767">
        <w:t xml:space="preserve">five </w:t>
      </w:r>
      <w:r w:rsidR="00584B3D" w:rsidRPr="008E6767">
        <w:t>categories</w:t>
      </w:r>
      <w:r w:rsidRPr="008E6767">
        <w:t>.</w:t>
      </w:r>
    </w:p>
    <w:p w14:paraId="5180DD0A" w14:textId="2FD49376" w:rsidR="00BB19E6" w:rsidRPr="008E6767" w:rsidRDefault="00BB19E6" w:rsidP="000C67C3">
      <w:pPr>
        <w:pStyle w:val="BodyText"/>
        <w:spacing w:after="240"/>
      </w:pPr>
      <w:r w:rsidRPr="008E6767">
        <w:t xml:space="preserve">Application scoring will begin immediately following the final filing date, with final </w:t>
      </w:r>
      <w:r w:rsidRPr="008E6767">
        <w:lastRenderedPageBreak/>
        <w:t xml:space="preserve">approval by the SBE at the </w:t>
      </w:r>
      <w:r w:rsidR="00590B0B" w:rsidRPr="008E6767">
        <w:t>March 2026</w:t>
      </w:r>
      <w:r w:rsidRPr="008E6767">
        <w:t xml:space="preserve"> SBE meeting.</w:t>
      </w:r>
    </w:p>
    <w:p w14:paraId="2F6DD629" w14:textId="0AEDE8E7" w:rsidR="00A6044F" w:rsidRPr="008E6767" w:rsidRDefault="00A42DA8" w:rsidP="00A6044F">
      <w:pPr>
        <w:pStyle w:val="Heading2"/>
      </w:pPr>
      <w:bookmarkStart w:id="30" w:name="_Toc204937702"/>
      <w:r w:rsidRPr="008E6767">
        <w:t>Chapter 7: Appeals</w:t>
      </w:r>
      <w:bookmarkEnd w:id="30"/>
    </w:p>
    <w:p w14:paraId="56ADB747" w14:textId="59FACB8E" w:rsidR="00A42DA8" w:rsidRPr="008E6767" w:rsidRDefault="00A42DA8" w:rsidP="00A42DA8">
      <w:pPr>
        <w:spacing w:after="240"/>
      </w:pPr>
      <w:r w:rsidRPr="008E6767">
        <w:t xml:space="preserve">Applicants determined ineligible for funding will receive a letter of notification (Ineligibility Letter) via </w:t>
      </w:r>
      <w:r w:rsidR="00B71177" w:rsidRPr="008E6767">
        <w:t>email.</w:t>
      </w:r>
      <w:r w:rsidRPr="008E6767">
        <w:t xml:space="preserve"> To appeal an ineligibility letter, </w:t>
      </w:r>
      <w:r w:rsidR="0047592C" w:rsidRPr="008E6767">
        <w:t xml:space="preserve">an </w:t>
      </w:r>
      <w:r w:rsidRPr="008E6767">
        <w:t xml:space="preserve">LEA must submit a Letter of Appeal to the </w:t>
      </w:r>
      <w:r w:rsidR="00A57E25" w:rsidRPr="008E6767">
        <w:t xml:space="preserve">Career and College Transition Division </w:t>
      </w:r>
      <w:r w:rsidRPr="008E6767">
        <w:t xml:space="preserve">within 10 calendar days of the date of the ineligibility </w:t>
      </w:r>
      <w:r w:rsidR="0047592C" w:rsidRPr="008E6767">
        <w:t>letter</w:t>
      </w:r>
      <w:r w:rsidR="4669296A" w:rsidRPr="008E6767">
        <w:t>.</w:t>
      </w:r>
      <w:r w:rsidR="6E016211" w:rsidRPr="008E6767">
        <w:t xml:space="preserve"> </w:t>
      </w:r>
      <w:r w:rsidRPr="008E6767">
        <w:t>The CDE will respond to the letter of appeal within 30 calendar days.</w:t>
      </w:r>
    </w:p>
    <w:p w14:paraId="615CFD33" w14:textId="77777777" w:rsidR="00A42DA8" w:rsidRPr="008E6767" w:rsidRDefault="00A42DA8" w:rsidP="00A42DA8">
      <w:pPr>
        <w:spacing w:after="240"/>
        <w:rPr>
          <w:bCs/>
        </w:rPr>
      </w:pPr>
      <w:r w:rsidRPr="008E6767">
        <w:rPr>
          <w:bCs/>
        </w:rPr>
        <w:t>Appeals are limited to the grounds that the CDE failed to follow the RFA’s standards for reviewing and scoring the application. Disagreement with an application reader’s professional judgment is not grounds for appeal and appeals based on such disagreement will be denied.</w:t>
      </w:r>
    </w:p>
    <w:p w14:paraId="476A88A2" w14:textId="138EB097" w:rsidR="00A42DA8" w:rsidRPr="008E6767" w:rsidRDefault="00A42DA8" w:rsidP="00A42DA8">
      <w:pPr>
        <w:spacing w:after="240"/>
        <w:rPr>
          <w:bCs/>
        </w:rPr>
      </w:pPr>
      <w:r w:rsidRPr="008E6767">
        <w:rPr>
          <w:bCs/>
        </w:rPr>
        <w:t>The Letter of Appeal must include a detailed and complete statement and explanation of the appeal, including the issue(s) in dispute, the legal authority or other basis for the appeal position, any facts supporting the appeal, and the remedy sought.</w:t>
      </w:r>
    </w:p>
    <w:p w14:paraId="39679AE3" w14:textId="17C4761C" w:rsidR="00A42DA8" w:rsidRPr="008E6767" w:rsidRDefault="5366AFCD" w:rsidP="004C3986">
      <w:pPr>
        <w:spacing w:after="360"/>
      </w:pPr>
      <w:r w:rsidRPr="008E6767">
        <w:t xml:space="preserve">The Letter of Appeal must have a certified electronic signature of the authorized agent or the designee. The Letter of Appeal should be </w:t>
      </w:r>
      <w:r w:rsidR="00372ABE" w:rsidRPr="008E6767">
        <w:t xml:space="preserve">sent via email to </w:t>
      </w:r>
      <w:hyperlink r:id="rId17" w:history="1">
        <w:r w:rsidR="00372ABE" w:rsidRPr="008E6767">
          <w:rPr>
            <w:rStyle w:val="Hyperlink"/>
          </w:rPr>
          <w:t>CTEIncentive@cde.ca.gov</w:t>
        </w:r>
      </w:hyperlink>
      <w:r w:rsidR="00372ABE" w:rsidRPr="008E6767">
        <w:t xml:space="preserve">, </w:t>
      </w:r>
      <w:r w:rsidRPr="008E6767">
        <w:t>with the subject line</w:t>
      </w:r>
      <w:r w:rsidR="00372ABE" w:rsidRPr="008E6767">
        <w:t>:</w:t>
      </w:r>
      <w:r w:rsidRPr="008E6767">
        <w:t xml:space="preserve"> CT</w:t>
      </w:r>
      <w:r w:rsidR="00372ABE" w:rsidRPr="008E6767">
        <w:t>EIG Appeal - Full District Name.</w:t>
      </w:r>
    </w:p>
    <w:p w14:paraId="09CFB726" w14:textId="6625C328" w:rsidR="00B41329" w:rsidRPr="008E6767" w:rsidRDefault="00B41329" w:rsidP="00B41329">
      <w:pPr>
        <w:pStyle w:val="Heading2"/>
      </w:pPr>
      <w:bookmarkStart w:id="31" w:name="_Toc204937703"/>
      <w:r w:rsidRPr="008E6767">
        <w:t>Chapter 8: Grant Award and Payment Procedures</w:t>
      </w:r>
      <w:bookmarkEnd w:id="31"/>
    </w:p>
    <w:p w14:paraId="7A209628" w14:textId="7E165D13" w:rsidR="00F3349B" w:rsidRPr="008E6767" w:rsidRDefault="00B41329" w:rsidP="007F4814">
      <w:pPr>
        <w:spacing w:after="240"/>
        <w:rPr>
          <w:bCs/>
        </w:rPr>
      </w:pPr>
      <w:bookmarkStart w:id="32" w:name="_Toc195864972"/>
      <w:bookmarkStart w:id="33" w:name="_Toc195865077"/>
      <w:r w:rsidRPr="008E6767">
        <w:rPr>
          <w:bCs/>
        </w:rPr>
        <w:t>Following SBE’s approval of the preliminary grant qualification awards, all grantees awarded CTEIG funding will be sent a GAN from the CDE.</w:t>
      </w:r>
      <w:bookmarkStart w:id="34" w:name="_Toc195864973"/>
      <w:bookmarkStart w:id="35" w:name="_Toc195865078"/>
      <w:bookmarkEnd w:id="32"/>
      <w:bookmarkEnd w:id="33"/>
    </w:p>
    <w:p w14:paraId="41BC77B6" w14:textId="1CF5E41A" w:rsidR="00493EB9" w:rsidRPr="008E6767" w:rsidRDefault="4C79D4C1" w:rsidP="007F4814">
      <w:pPr>
        <w:spacing w:after="240"/>
      </w:pPr>
      <w:bookmarkStart w:id="36" w:name="_Toc195865828"/>
      <w:r w:rsidRPr="008E6767">
        <w:t xml:space="preserve">The lead member of </w:t>
      </w:r>
      <w:r w:rsidR="00340D1A" w:rsidRPr="008E6767">
        <w:t>each c</w:t>
      </w:r>
      <w:r w:rsidRPr="008E6767">
        <w:t>onsortium will be sent a GAN upon receipt of a CTEIG MOU.</w:t>
      </w:r>
    </w:p>
    <w:p w14:paraId="4461B2CA" w14:textId="2B85B291" w:rsidR="00F3349B" w:rsidRPr="008E6767" w:rsidRDefault="00272939" w:rsidP="007F4814">
      <w:pPr>
        <w:spacing w:after="240"/>
      </w:pPr>
      <w:r w:rsidRPr="008E6767">
        <w:t xml:space="preserve">Grant payments </w:t>
      </w:r>
      <w:r w:rsidR="00E629FA" w:rsidRPr="008E6767">
        <w:t xml:space="preserve">will be dispersed upon receipt of the </w:t>
      </w:r>
      <w:r w:rsidR="00493EB9" w:rsidRPr="008E6767">
        <w:t xml:space="preserve">signed </w:t>
      </w:r>
      <w:r w:rsidR="00E629FA" w:rsidRPr="008E6767">
        <w:t>GAN</w:t>
      </w:r>
      <w:r w:rsidR="00493EB9" w:rsidRPr="008E6767">
        <w:t xml:space="preserve"> and approved budget</w:t>
      </w:r>
      <w:r w:rsidR="00E629FA" w:rsidRPr="008E6767">
        <w:t>.</w:t>
      </w:r>
      <w:bookmarkStart w:id="37" w:name="_Toc195864974"/>
      <w:bookmarkStart w:id="38" w:name="_Toc195865079"/>
      <w:bookmarkEnd w:id="34"/>
      <w:bookmarkEnd w:id="35"/>
      <w:bookmarkEnd w:id="36"/>
    </w:p>
    <w:p w14:paraId="25FDABC3" w14:textId="0361B87B" w:rsidR="00F3349B" w:rsidRPr="008E6767" w:rsidRDefault="00B41329" w:rsidP="007F4814">
      <w:pPr>
        <w:spacing w:after="240"/>
        <w:rPr>
          <w:bCs/>
        </w:rPr>
      </w:pPr>
      <w:r w:rsidRPr="008E6767">
        <w:rPr>
          <w:bCs/>
        </w:rPr>
        <w:t xml:space="preserve">GANs must be </w:t>
      </w:r>
      <w:r w:rsidR="00340D1A" w:rsidRPr="008E6767">
        <w:rPr>
          <w:bCs/>
        </w:rPr>
        <w:t>returned</w:t>
      </w:r>
      <w:r w:rsidRPr="008E6767">
        <w:rPr>
          <w:bCs/>
        </w:rPr>
        <w:t xml:space="preserve"> via email to </w:t>
      </w:r>
      <w:hyperlink r:id="rId18" w:history="1">
        <w:r w:rsidRPr="008E6767">
          <w:rPr>
            <w:rStyle w:val="Hyperlink"/>
            <w:bCs/>
          </w:rPr>
          <w:t>CTEIGSubmissions@cde.ca.gov</w:t>
        </w:r>
      </w:hyperlink>
      <w:r w:rsidRPr="008E6767">
        <w:rPr>
          <w:bCs/>
        </w:rPr>
        <w:t xml:space="preserve"> with subject line FULL LEA NAME FULL</w:t>
      </w:r>
      <w:r w:rsidR="00592666" w:rsidRPr="008E6767">
        <w:rPr>
          <w:bCs/>
        </w:rPr>
        <w:t xml:space="preserve"> 15 DIGIT</w:t>
      </w:r>
      <w:r w:rsidRPr="008E6767">
        <w:rPr>
          <w:bCs/>
        </w:rPr>
        <w:t xml:space="preserve"> CDS CODE 2025–26 </w:t>
      </w:r>
      <w:r w:rsidR="00272939" w:rsidRPr="008E6767">
        <w:rPr>
          <w:bCs/>
        </w:rPr>
        <w:t xml:space="preserve">CTEIG </w:t>
      </w:r>
      <w:r w:rsidRPr="008E6767">
        <w:rPr>
          <w:bCs/>
        </w:rPr>
        <w:t>GAN.</w:t>
      </w:r>
      <w:bookmarkStart w:id="39" w:name="_Toc195864975"/>
      <w:bookmarkStart w:id="40" w:name="_Toc195865080"/>
      <w:bookmarkEnd w:id="37"/>
      <w:bookmarkEnd w:id="38"/>
    </w:p>
    <w:p w14:paraId="728D8E2A" w14:textId="1813CA18" w:rsidR="00025074" w:rsidRPr="008E6767" w:rsidRDefault="00B41329" w:rsidP="007B5BB0">
      <w:pPr>
        <w:spacing w:after="240"/>
        <w:jc w:val="center"/>
        <w:rPr>
          <w:bCs/>
        </w:rPr>
      </w:pPr>
      <w:bookmarkStart w:id="41" w:name="_Toc195865829"/>
      <w:r w:rsidRPr="008E6767">
        <w:rPr>
          <w:bCs/>
        </w:rPr>
        <w:t>Example: Shadow Unified School District 00000123456789 2025</w:t>
      </w:r>
      <w:r w:rsidR="00592666" w:rsidRPr="008E6767">
        <w:rPr>
          <w:bCs/>
        </w:rPr>
        <w:t>–</w:t>
      </w:r>
      <w:r w:rsidRPr="008E6767">
        <w:rPr>
          <w:bCs/>
        </w:rPr>
        <w:t xml:space="preserve">26 </w:t>
      </w:r>
      <w:r w:rsidR="00272939" w:rsidRPr="008E6767">
        <w:rPr>
          <w:bCs/>
        </w:rPr>
        <w:t xml:space="preserve">CTEIG </w:t>
      </w:r>
      <w:r w:rsidRPr="008E6767">
        <w:rPr>
          <w:bCs/>
        </w:rPr>
        <w:t>GAN</w:t>
      </w:r>
      <w:bookmarkEnd w:id="39"/>
      <w:bookmarkEnd w:id="40"/>
      <w:bookmarkEnd w:id="41"/>
    </w:p>
    <w:p w14:paraId="2B14B95D" w14:textId="42BD4C74" w:rsidR="00B41329" w:rsidRPr="008E6767" w:rsidRDefault="00B41329" w:rsidP="00B41329">
      <w:pPr>
        <w:pStyle w:val="Heading2"/>
      </w:pPr>
      <w:bookmarkStart w:id="42" w:name="_Toc204937704"/>
      <w:r w:rsidRPr="008E6767">
        <w:t>Chapter 9: Technical Assistance</w:t>
      </w:r>
      <w:bookmarkEnd w:id="42"/>
    </w:p>
    <w:p w14:paraId="7794C7CB" w14:textId="77777777" w:rsidR="009F083E" w:rsidRPr="008E6767" w:rsidRDefault="00D72C0B" w:rsidP="009F083E">
      <w:pPr>
        <w:widowControl w:val="0"/>
        <w:pBdr>
          <w:top w:val="nil"/>
          <w:left w:val="nil"/>
          <w:bottom w:val="nil"/>
          <w:right w:val="nil"/>
          <w:between w:val="nil"/>
        </w:pBdr>
        <w:spacing w:after="240"/>
        <w:rPr>
          <w:bCs/>
        </w:rPr>
      </w:pPr>
      <w:bookmarkStart w:id="43" w:name="_heading=h.3o7alnk" w:colFirst="0" w:colLast="0"/>
      <w:bookmarkEnd w:id="43"/>
      <w:r w:rsidRPr="008E6767">
        <w:rPr>
          <w:bCs/>
        </w:rPr>
        <w:t xml:space="preserve">A </w:t>
      </w:r>
      <w:hyperlink r:id="rId19" w:history="1">
        <w:r w:rsidRPr="008E6767">
          <w:rPr>
            <w:rStyle w:val="Hyperlink"/>
            <w:bCs/>
          </w:rPr>
          <w:t xml:space="preserve">list </w:t>
        </w:r>
        <w:r w:rsidR="00B41329" w:rsidRPr="008E6767">
          <w:rPr>
            <w:rStyle w:val="Hyperlink"/>
            <w:bCs/>
          </w:rPr>
          <w:t>of the CDE’s CTEIG Regional Consultants</w:t>
        </w:r>
      </w:hyperlink>
      <w:r w:rsidR="00B41329" w:rsidRPr="008E6767">
        <w:rPr>
          <w:bCs/>
        </w:rPr>
        <w:t xml:space="preserve"> </w:t>
      </w:r>
      <w:r w:rsidR="000D7683" w:rsidRPr="008E6767">
        <w:rPr>
          <w:bCs/>
        </w:rPr>
        <w:t>can be found on the CDE website</w:t>
      </w:r>
      <w:r w:rsidR="009F083E" w:rsidRPr="008E6767">
        <w:rPr>
          <w:bCs/>
        </w:rPr>
        <w:t>.</w:t>
      </w:r>
    </w:p>
    <w:p w14:paraId="71DDF58C" w14:textId="25663833" w:rsidR="00C403B2" w:rsidRPr="008E6767" w:rsidRDefault="00B41329" w:rsidP="009F083E">
      <w:pPr>
        <w:widowControl w:val="0"/>
        <w:pBdr>
          <w:top w:val="nil"/>
          <w:left w:val="nil"/>
          <w:bottom w:val="nil"/>
          <w:right w:val="nil"/>
          <w:between w:val="nil"/>
        </w:pBdr>
        <w:spacing w:after="240"/>
      </w:pPr>
      <w:r w:rsidRPr="008E6767">
        <w:rPr>
          <w:bCs/>
        </w:rPr>
        <w:t>K–12 SWP Technical Assistance Providers and associated Workforce Pathway Coordinators are available to provide applicants with technical assistance in completing the application</w:t>
      </w:r>
      <w:r w:rsidR="000D7683" w:rsidRPr="008E6767">
        <w:rPr>
          <w:bCs/>
        </w:rPr>
        <w:t xml:space="preserve">. The list of providers is </w:t>
      </w:r>
      <w:r w:rsidR="007B5BB0" w:rsidRPr="008E6767">
        <w:rPr>
          <w:bCs/>
        </w:rPr>
        <w:t xml:space="preserve">available on the </w:t>
      </w:r>
      <w:hyperlink r:id="rId20" w:history="1">
        <w:r w:rsidR="007B5BB0" w:rsidRPr="008E6767">
          <w:rPr>
            <w:rStyle w:val="Hyperlink"/>
            <w:bCs/>
          </w:rPr>
          <w:t>California Community Colleges Chancellor’s Office website</w:t>
        </w:r>
      </w:hyperlink>
      <w:r w:rsidR="009F083E" w:rsidRPr="008E6767">
        <w:rPr>
          <w:bCs/>
        </w:rPr>
        <w:t>.</w:t>
      </w:r>
    </w:p>
    <w:p w14:paraId="732ACF6F" w14:textId="7266EEA4" w:rsidR="00B41329" w:rsidRPr="008E6767" w:rsidRDefault="00B41329" w:rsidP="00C403B2">
      <w:pPr>
        <w:pStyle w:val="Heading2"/>
      </w:pPr>
      <w:bookmarkStart w:id="44" w:name="_Toc204937705"/>
      <w:r w:rsidRPr="008E6767">
        <w:t>Chapter 10: Costs of Preparing the Application</w:t>
      </w:r>
      <w:bookmarkEnd w:id="44"/>
    </w:p>
    <w:p w14:paraId="5F7E0EB8" w14:textId="77777777" w:rsidR="00B41329" w:rsidRPr="008E6767" w:rsidRDefault="00B41329" w:rsidP="00592666">
      <w:pPr>
        <w:spacing w:after="240"/>
        <w:rPr>
          <w:bCs/>
        </w:rPr>
      </w:pPr>
      <w:r w:rsidRPr="008E6767">
        <w:rPr>
          <w:bCs/>
        </w:rPr>
        <w:lastRenderedPageBreak/>
        <w:t>The costs of preparing and delivering an application are the sole responsibility of the applicant. The State of California and the CDE will not reimburse such costs.</w:t>
      </w:r>
    </w:p>
    <w:p w14:paraId="50022BE8" w14:textId="200196F2" w:rsidR="00B41329" w:rsidRPr="008E6767" w:rsidRDefault="00B41329" w:rsidP="00B41329">
      <w:pPr>
        <w:pStyle w:val="Heading2"/>
      </w:pPr>
      <w:bookmarkStart w:id="45" w:name="_Toc204937706"/>
      <w:r w:rsidRPr="008E6767">
        <w:t>Chapter 11: Application Due Date</w:t>
      </w:r>
      <w:bookmarkStart w:id="46" w:name="_Toc175731771"/>
      <w:bookmarkEnd w:id="45"/>
    </w:p>
    <w:bookmarkEnd w:id="46"/>
    <w:p w14:paraId="01073099" w14:textId="4917A24F" w:rsidR="0027024C" w:rsidRPr="008E6767" w:rsidRDefault="4C79D4C1" w:rsidP="6CDD8B80">
      <w:pPr>
        <w:spacing w:after="240"/>
      </w:pPr>
      <w:r w:rsidRPr="008E6767">
        <w:t xml:space="preserve">The </w:t>
      </w:r>
      <w:hyperlink r:id="rId21" w:history="1">
        <w:r w:rsidRPr="008E6767">
          <w:rPr>
            <w:rStyle w:val="Hyperlink"/>
          </w:rPr>
          <w:t>PGMS</w:t>
        </w:r>
      </w:hyperlink>
      <w:r w:rsidRPr="008E6767">
        <w:t xml:space="preserve"> </w:t>
      </w:r>
      <w:r w:rsidR="66572BA1" w:rsidRPr="008E6767">
        <w:t xml:space="preserve">will </w:t>
      </w:r>
      <w:r w:rsidR="00B033D6" w:rsidRPr="008E6767">
        <w:t>close on</w:t>
      </w:r>
      <w:r w:rsidRPr="008E6767">
        <w:t xml:space="preserve"> </w:t>
      </w:r>
      <w:r w:rsidRPr="008E6767">
        <w:rPr>
          <w:b/>
          <w:bCs/>
        </w:rPr>
        <w:t xml:space="preserve">Friday, </w:t>
      </w:r>
      <w:r w:rsidR="00340D1A" w:rsidRPr="008E6767">
        <w:rPr>
          <w:b/>
          <w:bCs/>
        </w:rPr>
        <w:t>January 23</w:t>
      </w:r>
      <w:r w:rsidRPr="008E6767">
        <w:rPr>
          <w:b/>
          <w:bCs/>
        </w:rPr>
        <w:t>, 202</w:t>
      </w:r>
      <w:r w:rsidR="00340D1A" w:rsidRPr="008E6767">
        <w:rPr>
          <w:b/>
          <w:bCs/>
        </w:rPr>
        <w:t>6</w:t>
      </w:r>
      <w:r w:rsidRPr="008E6767">
        <w:rPr>
          <w:b/>
          <w:bCs/>
        </w:rPr>
        <w:t>,</w:t>
      </w:r>
      <w:r w:rsidRPr="008E6767">
        <w:t xml:space="preserve"> at 5 p.m</w:t>
      </w:r>
      <w:r w:rsidR="006C6864" w:rsidRPr="008E6767">
        <w:t>.</w:t>
      </w:r>
      <w:r w:rsidR="00B033D6" w:rsidRPr="008E6767">
        <w:t xml:space="preserve"> Pacific time.</w:t>
      </w:r>
      <w:r w:rsidR="006C6864" w:rsidRPr="008E6767">
        <w:t xml:space="preserve"> Late submissions will not be accepted.</w:t>
      </w:r>
    </w:p>
    <w:p w14:paraId="3B118C15" w14:textId="731679DF" w:rsidR="003931B2" w:rsidRPr="008E6767" w:rsidRDefault="00B00B95" w:rsidP="004C3986">
      <w:pPr>
        <w:pStyle w:val="Heading2"/>
      </w:pPr>
      <w:bookmarkStart w:id="47" w:name="_Toc204937707"/>
      <w:r w:rsidRPr="008E6767">
        <w:t>Chapter 1</w:t>
      </w:r>
      <w:r w:rsidR="003931B2" w:rsidRPr="008E6767">
        <w:t>2</w:t>
      </w:r>
      <w:r w:rsidRPr="008E6767">
        <w:t xml:space="preserve">: </w:t>
      </w:r>
      <w:r w:rsidR="003931B2" w:rsidRPr="008E6767">
        <w:t>Resources</w:t>
      </w:r>
      <w:bookmarkEnd w:id="47"/>
    </w:p>
    <w:p w14:paraId="3264FED0" w14:textId="38E1FC03" w:rsidR="00592666" w:rsidRPr="008E6767" w:rsidRDefault="003931B2" w:rsidP="00535D3F">
      <w:pPr>
        <w:spacing w:after="240"/>
        <w:rPr>
          <w:bCs/>
        </w:rPr>
      </w:pPr>
      <w:r w:rsidRPr="008E6767">
        <w:rPr>
          <w:bCs/>
        </w:rPr>
        <w:t xml:space="preserve">Resources are available </w:t>
      </w:r>
      <w:r w:rsidR="00584B3D" w:rsidRPr="008E6767">
        <w:rPr>
          <w:bCs/>
        </w:rPr>
        <w:t xml:space="preserve">on the </w:t>
      </w:r>
      <w:hyperlink r:id="rId22" w:history="1">
        <w:r w:rsidR="00846F27" w:rsidRPr="00AC6EB1">
          <w:rPr>
            <w:rStyle w:val="Hyperlink"/>
            <w:bCs/>
          </w:rPr>
          <w:t>CTEIG webpage</w:t>
        </w:r>
      </w:hyperlink>
      <w:r w:rsidR="00846F27" w:rsidRPr="008E6767">
        <w:rPr>
          <w:bCs/>
        </w:rPr>
        <w:t>.</w:t>
      </w:r>
    </w:p>
    <w:p w14:paraId="4A11E48B" w14:textId="1809288A" w:rsidR="003931B2" w:rsidRPr="008E6767" w:rsidRDefault="003931B2" w:rsidP="00535D3F">
      <w:pPr>
        <w:spacing w:after="240"/>
        <w:rPr>
          <w:bCs/>
        </w:rPr>
      </w:pPr>
      <w:r w:rsidRPr="008E6767">
        <w:rPr>
          <w:bCs/>
        </w:rPr>
        <w:t>Resources include:</w:t>
      </w:r>
    </w:p>
    <w:p w14:paraId="19DD9A9D" w14:textId="4FF69236" w:rsidR="003931B2" w:rsidRPr="008E6767" w:rsidRDefault="003931B2" w:rsidP="007B5BB0">
      <w:pPr>
        <w:pStyle w:val="ListParagraph"/>
        <w:numPr>
          <w:ilvl w:val="0"/>
          <w:numId w:val="23"/>
        </w:numPr>
        <w:rPr>
          <w:bCs/>
        </w:rPr>
      </w:pPr>
      <w:r w:rsidRPr="008E6767">
        <w:rPr>
          <w:bCs/>
        </w:rPr>
        <w:t>Proposed 2025</w:t>
      </w:r>
      <w:r w:rsidR="004E5FA5" w:rsidRPr="008E6767">
        <w:rPr>
          <w:bCs/>
        </w:rPr>
        <w:t>–</w:t>
      </w:r>
      <w:r w:rsidRPr="008E6767">
        <w:rPr>
          <w:bCs/>
        </w:rPr>
        <w:t>26 CTEIG Allowable and Non-Allowable Costs</w:t>
      </w:r>
    </w:p>
    <w:p w14:paraId="17F399E3" w14:textId="7BE0F357" w:rsidR="003931B2" w:rsidRPr="008E6767" w:rsidRDefault="003931B2" w:rsidP="007B5BB0">
      <w:pPr>
        <w:pStyle w:val="ListParagraph"/>
        <w:numPr>
          <w:ilvl w:val="0"/>
          <w:numId w:val="23"/>
        </w:numPr>
        <w:rPr>
          <w:bCs/>
        </w:rPr>
      </w:pPr>
      <w:r w:rsidRPr="008E6767">
        <w:rPr>
          <w:bCs/>
        </w:rPr>
        <w:t>Minimum Eligibility Standards</w:t>
      </w:r>
    </w:p>
    <w:p w14:paraId="786D1B9C" w14:textId="478DCB8E" w:rsidR="003931B2" w:rsidRPr="008E6767" w:rsidRDefault="003931B2" w:rsidP="007B5BB0">
      <w:pPr>
        <w:pStyle w:val="ListParagraph"/>
        <w:numPr>
          <w:ilvl w:val="0"/>
          <w:numId w:val="23"/>
        </w:numPr>
        <w:rPr>
          <w:bCs/>
        </w:rPr>
      </w:pPr>
      <w:r w:rsidRPr="008E6767">
        <w:rPr>
          <w:bCs/>
        </w:rPr>
        <w:t>Budget Object Code Chart</w:t>
      </w:r>
    </w:p>
    <w:p w14:paraId="722E4746" w14:textId="5F93BFBB" w:rsidR="003931B2" w:rsidRPr="008E6767" w:rsidRDefault="003931B2" w:rsidP="007B5BB0">
      <w:pPr>
        <w:pStyle w:val="ListParagraph"/>
        <w:numPr>
          <w:ilvl w:val="0"/>
          <w:numId w:val="23"/>
        </w:numPr>
        <w:rPr>
          <w:bCs/>
        </w:rPr>
      </w:pPr>
      <w:r w:rsidRPr="008E6767">
        <w:rPr>
          <w:bCs/>
        </w:rPr>
        <w:t>Technical Assistance Contacts</w:t>
      </w:r>
    </w:p>
    <w:p w14:paraId="20137E86" w14:textId="60703A16" w:rsidR="000D7683" w:rsidRPr="008E6767" w:rsidRDefault="000D7683" w:rsidP="007B5BB0">
      <w:pPr>
        <w:pStyle w:val="ListParagraph"/>
        <w:numPr>
          <w:ilvl w:val="0"/>
          <w:numId w:val="23"/>
        </w:numPr>
        <w:rPr>
          <w:bCs/>
        </w:rPr>
      </w:pPr>
      <w:r w:rsidRPr="008E6767">
        <w:rPr>
          <w:bCs/>
        </w:rPr>
        <w:t>MOU Template</w:t>
      </w:r>
    </w:p>
    <w:p w14:paraId="2D9C3D2B" w14:textId="6A268467" w:rsidR="003931B2" w:rsidRPr="008E6767" w:rsidRDefault="003931B2" w:rsidP="007B5BB0">
      <w:pPr>
        <w:pStyle w:val="ListParagraph"/>
        <w:numPr>
          <w:ilvl w:val="0"/>
          <w:numId w:val="23"/>
        </w:numPr>
        <w:rPr>
          <w:bCs/>
        </w:rPr>
      </w:pPr>
      <w:r w:rsidRPr="008E6767">
        <w:rPr>
          <w:bCs/>
        </w:rPr>
        <w:t>PGMS Entry Application Instructions</w:t>
      </w:r>
    </w:p>
    <w:p w14:paraId="507481A3" w14:textId="264AC8E9" w:rsidR="0008160B" w:rsidRPr="008E6767" w:rsidRDefault="003931B2" w:rsidP="007B5BB0">
      <w:pPr>
        <w:pStyle w:val="ListParagraph"/>
        <w:numPr>
          <w:ilvl w:val="0"/>
          <w:numId w:val="23"/>
        </w:numPr>
        <w:spacing w:after="240"/>
        <w:rPr>
          <w:bCs/>
        </w:rPr>
        <w:sectPr w:rsidR="0008160B" w:rsidRPr="008E6767" w:rsidSect="00C052E0">
          <w:footerReference w:type="default" r:id="rId23"/>
          <w:footerReference w:type="first" r:id="rId24"/>
          <w:pgSz w:w="12240" w:h="15840"/>
          <w:pgMar w:top="1440" w:right="1440" w:bottom="1440" w:left="1440" w:header="720" w:footer="720" w:gutter="0"/>
          <w:pgNumType w:start="0"/>
          <w:cols w:space="720"/>
          <w:titlePg/>
          <w:docGrid w:linePitch="326"/>
        </w:sectPr>
      </w:pPr>
      <w:r w:rsidRPr="008E6767">
        <w:rPr>
          <w:bCs/>
        </w:rPr>
        <w:t>Glossary of Terms</w:t>
      </w:r>
    </w:p>
    <w:p w14:paraId="3A9908D1" w14:textId="77777777" w:rsidR="003105A2" w:rsidRPr="008E6767" w:rsidRDefault="003105A2" w:rsidP="003105A2">
      <w:pPr>
        <w:pStyle w:val="Heading2"/>
      </w:pPr>
      <w:bookmarkStart w:id="48" w:name="_Toc204000962"/>
      <w:bookmarkStart w:id="49" w:name="_Toc204937708"/>
      <w:r w:rsidRPr="008E6767">
        <w:lastRenderedPageBreak/>
        <w:t>Chapter 13: Scoring Rubric</w:t>
      </w:r>
      <w:bookmarkEnd w:id="48"/>
      <w:bookmarkEnd w:id="49"/>
    </w:p>
    <w:p w14:paraId="1831A2A3" w14:textId="0231053C" w:rsidR="00143AB4" w:rsidRPr="008E6767" w:rsidRDefault="00143AB4" w:rsidP="00151E0D">
      <w:pPr>
        <w:pStyle w:val="Caption"/>
        <w:rPr>
          <w:u w:val="single"/>
        </w:rPr>
      </w:pPr>
      <w:r w:rsidRPr="008E6767">
        <w:t>CTE Program: 12 points minimum and up to 24 points maximum</w:t>
      </w:r>
    </w:p>
    <w:tbl>
      <w:tblPr>
        <w:tblStyle w:val="TableGrid1"/>
        <w:tblW w:w="5225" w:type="pct"/>
        <w:tblLook w:val="04A0" w:firstRow="1" w:lastRow="0" w:firstColumn="1" w:lastColumn="0" w:noHBand="0" w:noVBand="1"/>
        <w:tblDescription w:val="CTE Program Scoring Rubric"/>
      </w:tblPr>
      <w:tblGrid>
        <w:gridCol w:w="3597"/>
        <w:gridCol w:w="3313"/>
        <w:gridCol w:w="3313"/>
        <w:gridCol w:w="3310"/>
      </w:tblGrid>
      <w:tr w:rsidR="00C93E80" w:rsidRPr="008E6767" w14:paraId="48B4BB0B" w14:textId="77777777" w:rsidTr="001D3730">
        <w:trPr>
          <w:cantSplit/>
          <w:trHeight w:val="432"/>
          <w:tblHeader/>
        </w:trPr>
        <w:tc>
          <w:tcPr>
            <w:tcW w:w="1329" w:type="pct"/>
            <w:shd w:val="clear" w:color="auto" w:fill="CAEDFB"/>
            <w:vAlign w:val="center"/>
          </w:tcPr>
          <w:p w14:paraId="7E64CF56"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Category</w:t>
            </w:r>
          </w:p>
        </w:tc>
        <w:tc>
          <w:tcPr>
            <w:tcW w:w="1224" w:type="pct"/>
            <w:shd w:val="clear" w:color="auto" w:fill="CAEDFB"/>
            <w:vAlign w:val="center"/>
          </w:tcPr>
          <w:p w14:paraId="7C73128B"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0 Points</w:t>
            </w:r>
          </w:p>
        </w:tc>
        <w:tc>
          <w:tcPr>
            <w:tcW w:w="1224" w:type="pct"/>
            <w:shd w:val="clear" w:color="auto" w:fill="CAEDFB"/>
            <w:vAlign w:val="center"/>
          </w:tcPr>
          <w:p w14:paraId="659B6BE2"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1 Point</w:t>
            </w:r>
          </w:p>
        </w:tc>
        <w:tc>
          <w:tcPr>
            <w:tcW w:w="1224" w:type="pct"/>
            <w:shd w:val="clear" w:color="auto" w:fill="CAEDFB"/>
            <w:vAlign w:val="center"/>
          </w:tcPr>
          <w:p w14:paraId="1686B404"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2 Points</w:t>
            </w:r>
          </w:p>
        </w:tc>
      </w:tr>
      <w:tr w:rsidR="00C93E80" w:rsidRPr="008E6767" w14:paraId="10D10458" w14:textId="77777777" w:rsidTr="001D3730">
        <w:trPr>
          <w:cantSplit/>
          <w:trHeight w:val="432"/>
        </w:trPr>
        <w:tc>
          <w:tcPr>
            <w:tcW w:w="1329" w:type="pct"/>
            <w:vAlign w:val="center"/>
          </w:tcPr>
          <w:p w14:paraId="58787AAC" w14:textId="77777777" w:rsidR="003105A2" w:rsidRPr="008E6767" w:rsidRDefault="003105A2" w:rsidP="003305B7">
            <w:pPr>
              <w:spacing w:after="120"/>
              <w:jc w:val="center"/>
              <w:rPr>
                <w:rFonts w:ascii="Arial" w:hAnsi="Arial" w:cs="Arial"/>
                <w:b/>
                <w:bCs/>
              </w:rPr>
            </w:pPr>
            <w:r w:rsidRPr="008E6767">
              <w:rPr>
                <w:rFonts w:ascii="Arial" w:hAnsi="Arial" w:cs="Arial"/>
                <w:b/>
                <w:bCs/>
              </w:rPr>
              <w:t>Course Name</w:t>
            </w:r>
          </w:p>
          <w:p w14:paraId="210704FC" w14:textId="77777777" w:rsidR="003105A2" w:rsidRPr="008E6767" w:rsidRDefault="003105A2" w:rsidP="001D3730">
            <w:pPr>
              <w:spacing w:line="278" w:lineRule="auto"/>
              <w:ind w:left="-20"/>
              <w:jc w:val="center"/>
              <w:rPr>
                <w:rFonts w:ascii="Arial" w:hAnsi="Arial" w:cs="Arial"/>
                <w:i/>
                <w:iCs/>
              </w:rPr>
            </w:pPr>
            <w:r w:rsidRPr="008E6767">
              <w:rPr>
                <w:rFonts w:ascii="Arial" w:hAnsi="Arial" w:cs="Arial"/>
                <w:i/>
                <w:iCs/>
              </w:rPr>
              <w:t>(Minimum Eligibility Standard 1)</w:t>
            </w:r>
          </w:p>
        </w:tc>
        <w:tc>
          <w:tcPr>
            <w:tcW w:w="1224" w:type="pct"/>
            <w:vAlign w:val="center"/>
          </w:tcPr>
          <w:p w14:paraId="2556EBA0" w14:textId="77777777" w:rsidR="003105A2" w:rsidRPr="008E6767" w:rsidRDefault="003105A2" w:rsidP="001D3730">
            <w:pPr>
              <w:spacing w:line="278" w:lineRule="auto"/>
              <w:jc w:val="center"/>
              <w:rPr>
                <w:rFonts w:ascii="Arial" w:hAnsi="Arial" w:cs="Arial"/>
              </w:rPr>
            </w:pPr>
            <w:r w:rsidRPr="008E6767">
              <w:rPr>
                <w:rFonts w:ascii="Arial" w:hAnsi="Arial" w:cs="Arial"/>
              </w:rPr>
              <w:t>No course identified</w:t>
            </w:r>
          </w:p>
        </w:tc>
        <w:tc>
          <w:tcPr>
            <w:tcW w:w="1224" w:type="pct"/>
            <w:vAlign w:val="center"/>
          </w:tcPr>
          <w:p w14:paraId="129A15D2"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course identified and aligned with pathway</w:t>
            </w:r>
          </w:p>
        </w:tc>
        <w:tc>
          <w:tcPr>
            <w:tcW w:w="1224" w:type="pct"/>
            <w:vAlign w:val="center"/>
          </w:tcPr>
          <w:p w14:paraId="3C43D1B6" w14:textId="77777777" w:rsidR="003105A2" w:rsidRPr="008E6767" w:rsidRDefault="003105A2" w:rsidP="001D3730">
            <w:pPr>
              <w:spacing w:line="278" w:lineRule="auto"/>
              <w:jc w:val="center"/>
              <w:rPr>
                <w:rFonts w:ascii="Arial" w:hAnsi="Arial" w:cs="Arial"/>
              </w:rPr>
            </w:pPr>
            <w:r w:rsidRPr="008E6767">
              <w:rPr>
                <w:rFonts w:ascii="Arial" w:hAnsi="Arial" w:cs="Arial"/>
              </w:rPr>
              <w:t>2 or more courses identified and fully aligned with pathway</w:t>
            </w:r>
          </w:p>
        </w:tc>
      </w:tr>
      <w:tr w:rsidR="00C93E80" w:rsidRPr="008E6767" w14:paraId="57BB0A68" w14:textId="77777777" w:rsidTr="001D3730">
        <w:trPr>
          <w:cantSplit/>
          <w:trHeight w:val="432"/>
        </w:trPr>
        <w:tc>
          <w:tcPr>
            <w:tcW w:w="1329" w:type="pct"/>
            <w:vAlign w:val="center"/>
          </w:tcPr>
          <w:p w14:paraId="3DA0538C" w14:textId="10613BC1" w:rsidR="003105A2" w:rsidRPr="008E6767" w:rsidRDefault="003105A2" w:rsidP="003305B7">
            <w:pPr>
              <w:spacing w:after="120"/>
              <w:jc w:val="center"/>
              <w:rPr>
                <w:rFonts w:ascii="Arial" w:hAnsi="Arial" w:cs="Arial"/>
                <w:b/>
                <w:bCs/>
              </w:rPr>
            </w:pPr>
            <w:r w:rsidRPr="008E6767">
              <w:rPr>
                <w:rFonts w:ascii="Arial" w:hAnsi="Arial" w:cs="Arial"/>
                <w:b/>
                <w:bCs/>
              </w:rPr>
              <w:t>C</w:t>
            </w:r>
            <w:r w:rsidR="001D3730" w:rsidRPr="008E6767">
              <w:rPr>
                <w:rFonts w:ascii="Arial" w:hAnsi="Arial" w:cs="Arial"/>
                <w:b/>
                <w:bCs/>
              </w:rPr>
              <w:t>ALPADS</w:t>
            </w:r>
          </w:p>
          <w:p w14:paraId="4AB208CF"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1)</w:t>
            </w:r>
          </w:p>
        </w:tc>
        <w:tc>
          <w:tcPr>
            <w:tcW w:w="1224" w:type="pct"/>
            <w:vAlign w:val="center"/>
          </w:tcPr>
          <w:p w14:paraId="2B08DD12" w14:textId="0105D7BB" w:rsidR="003105A2" w:rsidRPr="008E6767" w:rsidRDefault="003105A2" w:rsidP="001D3730">
            <w:pPr>
              <w:spacing w:line="278" w:lineRule="auto"/>
              <w:jc w:val="center"/>
              <w:rPr>
                <w:rFonts w:ascii="Arial" w:hAnsi="Arial" w:cs="Arial"/>
              </w:rPr>
            </w:pPr>
            <w:r w:rsidRPr="008E6767">
              <w:rPr>
                <w:rFonts w:ascii="Arial" w:hAnsi="Arial" w:cs="Arial"/>
              </w:rPr>
              <w:t>No courses have C</w:t>
            </w:r>
            <w:r w:rsidR="001D3730" w:rsidRPr="008E6767">
              <w:rPr>
                <w:rFonts w:ascii="Arial" w:hAnsi="Arial" w:cs="Arial"/>
              </w:rPr>
              <w:t>ALPADS</w:t>
            </w:r>
            <w:r w:rsidRPr="008E6767">
              <w:rPr>
                <w:rFonts w:ascii="Arial" w:hAnsi="Arial" w:cs="Arial"/>
              </w:rPr>
              <w:t xml:space="preserve"> code</w:t>
            </w:r>
          </w:p>
        </w:tc>
        <w:tc>
          <w:tcPr>
            <w:tcW w:w="1224" w:type="pct"/>
            <w:vAlign w:val="center"/>
          </w:tcPr>
          <w:p w14:paraId="0E15B649" w14:textId="17991E94" w:rsidR="003105A2" w:rsidRPr="008E6767" w:rsidRDefault="003105A2" w:rsidP="001D3730">
            <w:pPr>
              <w:spacing w:line="278" w:lineRule="auto"/>
              <w:jc w:val="center"/>
              <w:rPr>
                <w:rFonts w:ascii="Arial" w:hAnsi="Arial" w:cs="Arial"/>
              </w:rPr>
            </w:pPr>
            <w:r w:rsidRPr="008E6767">
              <w:rPr>
                <w:rFonts w:ascii="Arial" w:hAnsi="Arial" w:cs="Arial"/>
              </w:rPr>
              <w:t xml:space="preserve">At least 1 course with CTE </w:t>
            </w:r>
            <w:r w:rsidR="0096341D" w:rsidRPr="008E6767">
              <w:rPr>
                <w:rFonts w:ascii="Arial" w:hAnsi="Arial" w:cs="Arial"/>
              </w:rPr>
              <w:t>CALPADS</w:t>
            </w:r>
            <w:r w:rsidRPr="008E6767">
              <w:rPr>
                <w:rFonts w:ascii="Arial" w:hAnsi="Arial" w:cs="Arial"/>
              </w:rPr>
              <w:t xml:space="preserve"> Code correlated to pathway/course</w:t>
            </w:r>
          </w:p>
        </w:tc>
        <w:tc>
          <w:tcPr>
            <w:tcW w:w="1224" w:type="pct"/>
            <w:vAlign w:val="center"/>
          </w:tcPr>
          <w:p w14:paraId="71FED194" w14:textId="00844D4E" w:rsidR="003105A2" w:rsidRPr="008E6767" w:rsidRDefault="003105A2" w:rsidP="001D3730">
            <w:pPr>
              <w:spacing w:line="278" w:lineRule="auto"/>
              <w:jc w:val="center"/>
              <w:rPr>
                <w:rFonts w:ascii="Arial" w:hAnsi="Arial" w:cs="Arial"/>
              </w:rPr>
            </w:pPr>
            <w:r w:rsidRPr="008E6767">
              <w:rPr>
                <w:rFonts w:ascii="Arial" w:hAnsi="Arial" w:cs="Arial"/>
              </w:rPr>
              <w:t xml:space="preserve">2 or more courses with CTE </w:t>
            </w:r>
            <w:r w:rsidR="0096341D" w:rsidRPr="008E6767">
              <w:rPr>
                <w:rFonts w:ascii="Arial" w:hAnsi="Arial" w:cs="Arial"/>
              </w:rPr>
              <w:t>CALPADS</w:t>
            </w:r>
            <w:r w:rsidRPr="008E6767">
              <w:rPr>
                <w:rFonts w:ascii="Arial" w:hAnsi="Arial" w:cs="Arial"/>
              </w:rPr>
              <w:t xml:space="preserve"> Code correlated to pathway</w:t>
            </w:r>
          </w:p>
        </w:tc>
      </w:tr>
      <w:tr w:rsidR="00C93E80" w:rsidRPr="008E6767" w14:paraId="35BCCE38" w14:textId="77777777" w:rsidTr="001D3730">
        <w:trPr>
          <w:cantSplit/>
          <w:trHeight w:val="432"/>
        </w:trPr>
        <w:tc>
          <w:tcPr>
            <w:tcW w:w="1329" w:type="pct"/>
            <w:vAlign w:val="center"/>
          </w:tcPr>
          <w:p w14:paraId="3D8B2A7F" w14:textId="77777777" w:rsidR="003105A2" w:rsidRPr="008E6767" w:rsidRDefault="003105A2" w:rsidP="003305B7">
            <w:pPr>
              <w:spacing w:after="120"/>
              <w:jc w:val="center"/>
              <w:rPr>
                <w:rFonts w:ascii="Arial" w:hAnsi="Arial" w:cs="Arial"/>
                <w:b/>
                <w:bCs/>
              </w:rPr>
            </w:pPr>
            <w:r w:rsidRPr="008E6767">
              <w:rPr>
                <w:rFonts w:ascii="Arial" w:hAnsi="Arial" w:cs="Arial"/>
                <w:b/>
                <w:bCs/>
              </w:rPr>
              <w:t>Career Exploration</w:t>
            </w:r>
          </w:p>
          <w:p w14:paraId="1EEA2780"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2)</w:t>
            </w:r>
          </w:p>
        </w:tc>
        <w:tc>
          <w:tcPr>
            <w:tcW w:w="1224" w:type="pct"/>
            <w:vAlign w:val="center"/>
          </w:tcPr>
          <w:p w14:paraId="17FA196B" w14:textId="77777777" w:rsidR="003105A2" w:rsidRPr="008E6767" w:rsidRDefault="003105A2" w:rsidP="001D3730">
            <w:pPr>
              <w:spacing w:line="278" w:lineRule="auto"/>
              <w:jc w:val="center"/>
              <w:rPr>
                <w:rFonts w:ascii="Arial" w:hAnsi="Arial" w:cs="Arial"/>
              </w:rPr>
            </w:pPr>
            <w:r w:rsidRPr="008E6767">
              <w:rPr>
                <w:rFonts w:ascii="Arial" w:hAnsi="Arial" w:cs="Arial"/>
              </w:rPr>
              <w:t>No courses have a career exploration program</w:t>
            </w:r>
          </w:p>
        </w:tc>
        <w:tc>
          <w:tcPr>
            <w:tcW w:w="1224" w:type="pct"/>
            <w:vAlign w:val="center"/>
          </w:tcPr>
          <w:p w14:paraId="70ADCF05"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course has a career exploration program</w:t>
            </w:r>
          </w:p>
        </w:tc>
        <w:tc>
          <w:tcPr>
            <w:tcW w:w="1224" w:type="pct"/>
            <w:vAlign w:val="center"/>
          </w:tcPr>
          <w:p w14:paraId="56EBF903" w14:textId="77777777" w:rsidR="003105A2" w:rsidRPr="008E6767" w:rsidRDefault="003105A2" w:rsidP="001D3730">
            <w:pPr>
              <w:spacing w:line="278" w:lineRule="auto"/>
              <w:jc w:val="center"/>
              <w:rPr>
                <w:rFonts w:ascii="Arial" w:hAnsi="Arial" w:cs="Arial"/>
              </w:rPr>
            </w:pPr>
            <w:r w:rsidRPr="008E6767">
              <w:rPr>
                <w:rFonts w:ascii="Arial" w:hAnsi="Arial" w:cs="Arial"/>
              </w:rPr>
              <w:t>2 or more courses have a career exploration program</w:t>
            </w:r>
          </w:p>
        </w:tc>
      </w:tr>
      <w:tr w:rsidR="00C93E80" w:rsidRPr="008E6767" w14:paraId="0AC751B1" w14:textId="77777777" w:rsidTr="001D3730">
        <w:trPr>
          <w:cantSplit/>
          <w:trHeight w:val="432"/>
        </w:trPr>
        <w:tc>
          <w:tcPr>
            <w:tcW w:w="1329" w:type="pct"/>
            <w:vAlign w:val="center"/>
          </w:tcPr>
          <w:p w14:paraId="274003ED" w14:textId="77777777" w:rsidR="003105A2" w:rsidRPr="008E6767" w:rsidRDefault="003105A2" w:rsidP="003305B7">
            <w:pPr>
              <w:spacing w:after="120"/>
              <w:jc w:val="center"/>
              <w:rPr>
                <w:rFonts w:ascii="Arial" w:hAnsi="Arial" w:cs="Arial"/>
                <w:b/>
                <w:bCs/>
              </w:rPr>
            </w:pPr>
            <w:r w:rsidRPr="008E6767">
              <w:rPr>
                <w:rFonts w:ascii="Arial" w:hAnsi="Arial" w:cs="Arial"/>
                <w:b/>
                <w:bCs/>
              </w:rPr>
              <w:t>Career Technical Student Organization (CTSO) or Alternative Leadership Strategy</w:t>
            </w:r>
          </w:p>
          <w:p w14:paraId="5DE35CCF"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6)</w:t>
            </w:r>
          </w:p>
        </w:tc>
        <w:tc>
          <w:tcPr>
            <w:tcW w:w="1224" w:type="pct"/>
            <w:vAlign w:val="center"/>
          </w:tcPr>
          <w:p w14:paraId="766C5680" w14:textId="77777777" w:rsidR="003105A2" w:rsidRPr="008E6767" w:rsidRDefault="003105A2" w:rsidP="001D3730">
            <w:pPr>
              <w:spacing w:line="278" w:lineRule="auto"/>
              <w:jc w:val="center"/>
              <w:rPr>
                <w:rFonts w:ascii="Arial" w:hAnsi="Arial" w:cs="Arial"/>
              </w:rPr>
            </w:pPr>
            <w:r w:rsidRPr="008E6767">
              <w:rPr>
                <w:rFonts w:ascii="Arial" w:hAnsi="Arial" w:cs="Arial"/>
              </w:rPr>
              <w:t>No courses identified a CTSO or Alternative Leadership Strategy</w:t>
            </w:r>
          </w:p>
        </w:tc>
        <w:tc>
          <w:tcPr>
            <w:tcW w:w="1224" w:type="pct"/>
            <w:vAlign w:val="center"/>
          </w:tcPr>
          <w:p w14:paraId="353F5C85"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course has identified a CTSO or Alternative Leadership Strategy</w:t>
            </w:r>
          </w:p>
        </w:tc>
        <w:tc>
          <w:tcPr>
            <w:tcW w:w="1224" w:type="pct"/>
            <w:vAlign w:val="center"/>
          </w:tcPr>
          <w:p w14:paraId="5ACD2312" w14:textId="77777777" w:rsidR="003105A2" w:rsidRPr="008E6767" w:rsidRDefault="003105A2" w:rsidP="001D3730">
            <w:pPr>
              <w:spacing w:line="278" w:lineRule="auto"/>
              <w:jc w:val="center"/>
              <w:rPr>
                <w:rFonts w:ascii="Arial" w:hAnsi="Arial" w:cs="Arial"/>
              </w:rPr>
            </w:pPr>
            <w:r w:rsidRPr="008E6767">
              <w:rPr>
                <w:rFonts w:ascii="Arial" w:hAnsi="Arial" w:cs="Arial"/>
              </w:rPr>
              <w:t>2 or more courses have identified a CTSO or Alternative Leadership Strategy</w:t>
            </w:r>
          </w:p>
        </w:tc>
      </w:tr>
      <w:tr w:rsidR="00C93E80" w:rsidRPr="008E6767" w14:paraId="41E7CA38" w14:textId="77777777" w:rsidTr="001D3730">
        <w:trPr>
          <w:cantSplit/>
          <w:trHeight w:val="432"/>
        </w:trPr>
        <w:tc>
          <w:tcPr>
            <w:tcW w:w="1329" w:type="pct"/>
            <w:vAlign w:val="center"/>
          </w:tcPr>
          <w:p w14:paraId="1B95B936" w14:textId="77777777" w:rsidR="003105A2" w:rsidRPr="008E6767" w:rsidRDefault="003105A2" w:rsidP="003305B7">
            <w:pPr>
              <w:spacing w:after="120"/>
              <w:jc w:val="center"/>
              <w:rPr>
                <w:rFonts w:ascii="Arial" w:hAnsi="Arial" w:cs="Arial"/>
                <w:b/>
                <w:bCs/>
              </w:rPr>
            </w:pPr>
            <w:r w:rsidRPr="008E6767">
              <w:rPr>
                <w:rFonts w:ascii="Arial" w:hAnsi="Arial" w:cs="Arial"/>
                <w:b/>
                <w:bCs/>
              </w:rPr>
              <w:t>Industry Certification(s)</w:t>
            </w:r>
          </w:p>
          <w:p w14:paraId="59EF1226"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8)</w:t>
            </w:r>
          </w:p>
        </w:tc>
        <w:tc>
          <w:tcPr>
            <w:tcW w:w="1224" w:type="pct"/>
            <w:vAlign w:val="center"/>
          </w:tcPr>
          <w:p w14:paraId="43982B39" w14:textId="77777777" w:rsidR="003105A2" w:rsidRPr="008E6767" w:rsidRDefault="003105A2" w:rsidP="001D3730">
            <w:pPr>
              <w:spacing w:line="278" w:lineRule="auto"/>
              <w:jc w:val="center"/>
              <w:rPr>
                <w:rFonts w:ascii="Arial" w:hAnsi="Arial" w:cs="Arial"/>
              </w:rPr>
            </w:pPr>
            <w:r w:rsidRPr="008E6767">
              <w:rPr>
                <w:rFonts w:ascii="Arial" w:hAnsi="Arial" w:cs="Arial"/>
              </w:rPr>
              <w:t>No course includes an industry certification</w:t>
            </w:r>
          </w:p>
        </w:tc>
        <w:tc>
          <w:tcPr>
            <w:tcW w:w="1224" w:type="pct"/>
            <w:vAlign w:val="center"/>
          </w:tcPr>
          <w:p w14:paraId="3FBF075E"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course includes an industry certification</w:t>
            </w:r>
          </w:p>
        </w:tc>
        <w:tc>
          <w:tcPr>
            <w:tcW w:w="1224" w:type="pct"/>
            <w:vAlign w:val="center"/>
          </w:tcPr>
          <w:p w14:paraId="1E8A7CF0" w14:textId="77777777" w:rsidR="003105A2" w:rsidRPr="008E6767" w:rsidRDefault="003105A2" w:rsidP="001D3730">
            <w:pPr>
              <w:spacing w:line="278" w:lineRule="auto"/>
              <w:jc w:val="center"/>
              <w:rPr>
                <w:rFonts w:ascii="Arial" w:hAnsi="Arial" w:cs="Arial"/>
              </w:rPr>
            </w:pPr>
            <w:r w:rsidRPr="008E6767">
              <w:rPr>
                <w:rFonts w:ascii="Arial" w:hAnsi="Arial" w:cs="Arial"/>
              </w:rPr>
              <w:t>2 or more courses include an industry certification</w:t>
            </w:r>
          </w:p>
        </w:tc>
      </w:tr>
      <w:tr w:rsidR="00C93E80" w:rsidRPr="008E6767" w14:paraId="095FF2C1" w14:textId="77777777" w:rsidTr="001D3730">
        <w:trPr>
          <w:cantSplit/>
          <w:trHeight w:val="432"/>
        </w:trPr>
        <w:tc>
          <w:tcPr>
            <w:tcW w:w="1329" w:type="pct"/>
            <w:vAlign w:val="center"/>
          </w:tcPr>
          <w:p w14:paraId="7445A7AC"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Additional Certification &amp; Completion Possibilities / District Requirements</w:t>
            </w:r>
          </w:p>
        </w:tc>
        <w:tc>
          <w:tcPr>
            <w:tcW w:w="1224" w:type="pct"/>
            <w:vAlign w:val="center"/>
          </w:tcPr>
          <w:p w14:paraId="2F3E6FD1" w14:textId="77777777" w:rsidR="003105A2" w:rsidRPr="008E6767" w:rsidRDefault="003105A2" w:rsidP="001D3730">
            <w:pPr>
              <w:spacing w:after="160" w:line="278" w:lineRule="auto"/>
              <w:jc w:val="center"/>
              <w:rPr>
                <w:rFonts w:ascii="Arial" w:hAnsi="Arial" w:cs="Arial"/>
                <w:i/>
                <w:iCs/>
              </w:rPr>
            </w:pPr>
            <w:r w:rsidRPr="008E6767">
              <w:rPr>
                <w:rFonts w:ascii="Arial" w:hAnsi="Arial" w:cs="Arial"/>
                <w:i/>
                <w:iCs/>
              </w:rPr>
              <w:t>(intentionally left blank)</w:t>
            </w:r>
          </w:p>
        </w:tc>
        <w:tc>
          <w:tcPr>
            <w:tcW w:w="1224" w:type="pct"/>
            <w:vAlign w:val="center"/>
          </w:tcPr>
          <w:p w14:paraId="095461FF" w14:textId="77777777" w:rsidR="003105A2" w:rsidRPr="008E6767" w:rsidRDefault="003105A2" w:rsidP="001D3730">
            <w:pPr>
              <w:spacing w:after="160" w:line="278" w:lineRule="auto"/>
              <w:jc w:val="center"/>
              <w:rPr>
                <w:rFonts w:ascii="Arial" w:hAnsi="Arial" w:cs="Arial"/>
                <w:i/>
                <w:iCs/>
              </w:rPr>
            </w:pPr>
            <w:r w:rsidRPr="008E6767">
              <w:rPr>
                <w:rFonts w:ascii="Arial" w:hAnsi="Arial" w:cs="Arial"/>
                <w:i/>
                <w:iCs/>
              </w:rPr>
              <w:t>(intentionally left blank)</w:t>
            </w:r>
          </w:p>
        </w:tc>
        <w:tc>
          <w:tcPr>
            <w:tcW w:w="1224" w:type="pct"/>
            <w:vAlign w:val="center"/>
          </w:tcPr>
          <w:p w14:paraId="0540288A" w14:textId="77777777" w:rsidR="003105A2" w:rsidRPr="008E6767" w:rsidRDefault="003105A2" w:rsidP="001D3730">
            <w:pPr>
              <w:spacing w:after="160" w:line="278" w:lineRule="auto"/>
              <w:jc w:val="center"/>
              <w:rPr>
                <w:rFonts w:ascii="Arial" w:hAnsi="Arial" w:cs="Arial"/>
                <w:i/>
                <w:iCs/>
              </w:rPr>
            </w:pPr>
            <w:r w:rsidRPr="008E6767">
              <w:rPr>
                <w:rFonts w:ascii="Arial" w:hAnsi="Arial" w:cs="Arial"/>
                <w:i/>
                <w:iCs/>
              </w:rPr>
              <w:t>(intentionally left blank)</w:t>
            </w:r>
          </w:p>
        </w:tc>
      </w:tr>
      <w:tr w:rsidR="00C93E80" w:rsidRPr="008E6767" w14:paraId="5F79AD03" w14:textId="77777777" w:rsidTr="001D3730">
        <w:trPr>
          <w:cantSplit/>
          <w:trHeight w:val="432"/>
        </w:trPr>
        <w:tc>
          <w:tcPr>
            <w:tcW w:w="1329" w:type="pct"/>
            <w:vAlign w:val="center"/>
          </w:tcPr>
          <w:p w14:paraId="40F08791" w14:textId="77777777" w:rsidR="003105A2" w:rsidRPr="008E6767" w:rsidRDefault="003105A2" w:rsidP="001D3730">
            <w:pPr>
              <w:spacing w:line="278" w:lineRule="auto"/>
              <w:jc w:val="center"/>
              <w:rPr>
                <w:rFonts w:ascii="Arial" w:hAnsi="Arial" w:cs="Arial"/>
                <w:b/>
                <w:bCs/>
              </w:rPr>
            </w:pPr>
            <w:r w:rsidRPr="008E6767">
              <w:rPr>
                <w:rFonts w:ascii="Arial" w:hAnsi="Arial" w:cs="Arial"/>
                <w:b/>
                <w:bCs/>
              </w:rPr>
              <w:t>Teacher Name</w:t>
            </w:r>
          </w:p>
        </w:tc>
        <w:tc>
          <w:tcPr>
            <w:tcW w:w="1224" w:type="pct"/>
            <w:vAlign w:val="center"/>
          </w:tcPr>
          <w:p w14:paraId="668D9B04" w14:textId="77777777" w:rsidR="003105A2" w:rsidRPr="008E6767" w:rsidRDefault="003105A2" w:rsidP="001D3730">
            <w:pPr>
              <w:spacing w:line="278" w:lineRule="auto"/>
              <w:jc w:val="center"/>
              <w:rPr>
                <w:rFonts w:ascii="Arial" w:hAnsi="Arial" w:cs="Arial"/>
                <w:i/>
                <w:iCs/>
              </w:rPr>
            </w:pPr>
            <w:r w:rsidRPr="008E6767">
              <w:rPr>
                <w:rFonts w:ascii="Arial" w:hAnsi="Arial" w:cs="Arial"/>
                <w:i/>
                <w:iCs/>
              </w:rPr>
              <w:t>(intentionally left blank)</w:t>
            </w:r>
          </w:p>
        </w:tc>
        <w:tc>
          <w:tcPr>
            <w:tcW w:w="1224" w:type="pct"/>
            <w:vAlign w:val="center"/>
          </w:tcPr>
          <w:p w14:paraId="6180E462" w14:textId="77777777" w:rsidR="003105A2" w:rsidRPr="008E6767" w:rsidRDefault="003105A2" w:rsidP="001D3730">
            <w:pPr>
              <w:spacing w:line="278" w:lineRule="auto"/>
              <w:jc w:val="center"/>
              <w:rPr>
                <w:rFonts w:ascii="Arial" w:hAnsi="Arial" w:cs="Arial"/>
                <w:i/>
                <w:iCs/>
              </w:rPr>
            </w:pPr>
            <w:r w:rsidRPr="008E6767">
              <w:rPr>
                <w:rFonts w:ascii="Arial" w:hAnsi="Arial" w:cs="Arial"/>
                <w:i/>
                <w:iCs/>
              </w:rPr>
              <w:t>(intentionally left blank)</w:t>
            </w:r>
          </w:p>
        </w:tc>
        <w:tc>
          <w:tcPr>
            <w:tcW w:w="1224" w:type="pct"/>
            <w:vAlign w:val="center"/>
          </w:tcPr>
          <w:p w14:paraId="28C66E14" w14:textId="77777777" w:rsidR="003105A2" w:rsidRPr="008E6767" w:rsidRDefault="003105A2" w:rsidP="001D3730">
            <w:pPr>
              <w:spacing w:line="278" w:lineRule="auto"/>
              <w:jc w:val="center"/>
              <w:rPr>
                <w:rFonts w:ascii="Arial" w:hAnsi="Arial" w:cs="Arial"/>
                <w:i/>
                <w:iCs/>
              </w:rPr>
            </w:pPr>
            <w:r w:rsidRPr="008E6767">
              <w:rPr>
                <w:rFonts w:ascii="Arial" w:hAnsi="Arial" w:cs="Arial"/>
                <w:i/>
                <w:iCs/>
              </w:rPr>
              <w:t>(intentionally left blank)</w:t>
            </w:r>
          </w:p>
        </w:tc>
      </w:tr>
      <w:tr w:rsidR="00C93E80" w:rsidRPr="008E6767" w14:paraId="5223AB9B" w14:textId="77777777" w:rsidTr="001D3730">
        <w:trPr>
          <w:cantSplit/>
          <w:trHeight w:val="432"/>
        </w:trPr>
        <w:tc>
          <w:tcPr>
            <w:tcW w:w="1329" w:type="pct"/>
            <w:vAlign w:val="center"/>
          </w:tcPr>
          <w:p w14:paraId="59EF2B53" w14:textId="77777777" w:rsidR="003105A2" w:rsidRPr="008E6767" w:rsidRDefault="003105A2" w:rsidP="003305B7">
            <w:pPr>
              <w:spacing w:after="120"/>
              <w:jc w:val="center"/>
              <w:rPr>
                <w:rFonts w:ascii="Arial" w:hAnsi="Arial" w:cs="Arial"/>
                <w:b/>
                <w:bCs/>
              </w:rPr>
            </w:pPr>
            <w:r w:rsidRPr="008E6767">
              <w:rPr>
                <w:rFonts w:ascii="Arial" w:hAnsi="Arial" w:cs="Arial"/>
                <w:b/>
                <w:bCs/>
              </w:rPr>
              <w:t>Credential Name &amp; Number</w:t>
            </w:r>
          </w:p>
          <w:p w14:paraId="475DE3D2"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9)</w:t>
            </w:r>
          </w:p>
        </w:tc>
        <w:tc>
          <w:tcPr>
            <w:tcW w:w="1224" w:type="pct"/>
            <w:vAlign w:val="center"/>
          </w:tcPr>
          <w:p w14:paraId="77F9D2DE" w14:textId="77777777" w:rsidR="003105A2" w:rsidRPr="008E6767" w:rsidRDefault="003105A2" w:rsidP="001D3730">
            <w:pPr>
              <w:spacing w:line="278" w:lineRule="auto"/>
              <w:jc w:val="center"/>
              <w:rPr>
                <w:rFonts w:ascii="Arial" w:hAnsi="Arial" w:cs="Arial"/>
              </w:rPr>
            </w:pPr>
            <w:r w:rsidRPr="008E6767">
              <w:rPr>
                <w:rFonts w:ascii="Arial" w:hAnsi="Arial" w:cs="Arial"/>
              </w:rPr>
              <w:t>No teacher has a CTE credential related to the pathway</w:t>
            </w:r>
          </w:p>
        </w:tc>
        <w:tc>
          <w:tcPr>
            <w:tcW w:w="1224" w:type="pct"/>
            <w:vAlign w:val="center"/>
          </w:tcPr>
          <w:p w14:paraId="461B77D9"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teacher with a CTE credential related to pathway</w:t>
            </w:r>
          </w:p>
        </w:tc>
        <w:tc>
          <w:tcPr>
            <w:tcW w:w="1224" w:type="pct"/>
            <w:vAlign w:val="center"/>
          </w:tcPr>
          <w:p w14:paraId="26D19A92" w14:textId="77777777" w:rsidR="003105A2" w:rsidRPr="008E6767" w:rsidRDefault="003105A2" w:rsidP="001D3730">
            <w:pPr>
              <w:spacing w:line="278" w:lineRule="auto"/>
              <w:jc w:val="center"/>
              <w:rPr>
                <w:rFonts w:ascii="Arial" w:hAnsi="Arial" w:cs="Arial"/>
              </w:rPr>
            </w:pPr>
            <w:r w:rsidRPr="008E6767">
              <w:rPr>
                <w:rFonts w:ascii="Arial" w:hAnsi="Arial" w:cs="Arial"/>
              </w:rPr>
              <w:t>2 or more teachers with a CTE credential related to pathway</w:t>
            </w:r>
          </w:p>
        </w:tc>
      </w:tr>
      <w:tr w:rsidR="00C93E80" w:rsidRPr="008E6767" w14:paraId="1E49F798" w14:textId="77777777" w:rsidTr="001D3730">
        <w:trPr>
          <w:cantSplit/>
          <w:trHeight w:val="432"/>
        </w:trPr>
        <w:tc>
          <w:tcPr>
            <w:tcW w:w="1329" w:type="pct"/>
            <w:vAlign w:val="center"/>
          </w:tcPr>
          <w:p w14:paraId="3D7B279C" w14:textId="77777777" w:rsidR="003105A2" w:rsidRPr="008E6767" w:rsidRDefault="003105A2" w:rsidP="003305B7">
            <w:pPr>
              <w:spacing w:after="120"/>
              <w:jc w:val="center"/>
              <w:rPr>
                <w:rFonts w:ascii="Arial" w:eastAsia="Times New Roman" w:hAnsi="Arial" w:cs="Arial"/>
                <w:b/>
                <w:bCs/>
                <w:color w:val="000000"/>
              </w:rPr>
            </w:pPr>
            <w:r w:rsidRPr="008E6767">
              <w:rPr>
                <w:rFonts w:ascii="Arial" w:eastAsia="Times New Roman" w:hAnsi="Arial" w:cs="Arial"/>
                <w:b/>
                <w:bCs/>
                <w:color w:val="000000"/>
              </w:rPr>
              <w:lastRenderedPageBreak/>
              <w:t>CTE Related Professional Development Attending in the Application Year</w:t>
            </w:r>
          </w:p>
          <w:p w14:paraId="38AB5E65" w14:textId="77777777" w:rsidR="003105A2" w:rsidRPr="008E6767" w:rsidRDefault="003105A2" w:rsidP="001D3730">
            <w:pPr>
              <w:spacing w:line="278" w:lineRule="auto"/>
              <w:jc w:val="center"/>
              <w:rPr>
                <w:rFonts w:ascii="Arial" w:hAnsi="Arial" w:cs="Arial"/>
                <w:b/>
                <w:bCs/>
              </w:rPr>
            </w:pPr>
            <w:r w:rsidRPr="008E6767">
              <w:rPr>
                <w:rFonts w:ascii="Arial" w:hAnsi="Arial" w:cs="Arial"/>
                <w:i/>
                <w:iCs/>
              </w:rPr>
              <w:t>(Minimum Eligibility Standard 9)</w:t>
            </w:r>
          </w:p>
        </w:tc>
        <w:tc>
          <w:tcPr>
            <w:tcW w:w="1224" w:type="pct"/>
            <w:vAlign w:val="center"/>
          </w:tcPr>
          <w:p w14:paraId="2151108D" w14:textId="77777777" w:rsidR="003105A2" w:rsidRPr="008E6767" w:rsidRDefault="003105A2" w:rsidP="001D3730">
            <w:pPr>
              <w:spacing w:line="278" w:lineRule="auto"/>
              <w:jc w:val="center"/>
              <w:rPr>
                <w:rFonts w:ascii="Arial" w:hAnsi="Arial" w:cs="Arial"/>
              </w:rPr>
            </w:pPr>
            <w:r w:rsidRPr="008E6767">
              <w:rPr>
                <w:rFonts w:ascii="Arial" w:hAnsi="Arial" w:cs="Arial"/>
              </w:rPr>
              <w:t>No teacher in the pathway is planning to attend CTE related Professional Development in application year</w:t>
            </w:r>
          </w:p>
        </w:tc>
        <w:tc>
          <w:tcPr>
            <w:tcW w:w="1224" w:type="pct"/>
            <w:vAlign w:val="center"/>
          </w:tcPr>
          <w:p w14:paraId="3DF4AC1E" w14:textId="77777777" w:rsidR="003105A2" w:rsidRPr="008E6767" w:rsidRDefault="003105A2" w:rsidP="001D3730">
            <w:pPr>
              <w:spacing w:line="278" w:lineRule="auto"/>
              <w:jc w:val="center"/>
              <w:rPr>
                <w:rFonts w:ascii="Arial" w:hAnsi="Arial" w:cs="Arial"/>
              </w:rPr>
            </w:pPr>
            <w:r w:rsidRPr="008E6767">
              <w:rPr>
                <w:rFonts w:ascii="Arial" w:hAnsi="Arial" w:cs="Arial"/>
              </w:rPr>
              <w:t>At least 1 teacher in the pathway planned to attend CTE related Professional Development in application year</w:t>
            </w:r>
          </w:p>
        </w:tc>
        <w:tc>
          <w:tcPr>
            <w:tcW w:w="1224" w:type="pct"/>
            <w:vAlign w:val="center"/>
          </w:tcPr>
          <w:p w14:paraId="6E7BCBE5" w14:textId="77777777" w:rsidR="003105A2" w:rsidRPr="008E6767" w:rsidRDefault="003105A2" w:rsidP="001D3730">
            <w:pPr>
              <w:spacing w:line="278" w:lineRule="auto"/>
              <w:jc w:val="center"/>
              <w:rPr>
                <w:rFonts w:ascii="Arial" w:hAnsi="Arial" w:cs="Arial"/>
              </w:rPr>
            </w:pPr>
            <w:r w:rsidRPr="008E6767">
              <w:rPr>
                <w:rFonts w:ascii="Arial" w:hAnsi="Arial" w:cs="Arial"/>
              </w:rPr>
              <w:t>2 or more teachers in the pathway planned to attend CTE related Professional Development in application year</w:t>
            </w:r>
          </w:p>
        </w:tc>
      </w:tr>
    </w:tbl>
    <w:p w14:paraId="16AC4F2C" w14:textId="77777777" w:rsidR="003105A2" w:rsidRPr="008E6767" w:rsidRDefault="003105A2" w:rsidP="00151E0D">
      <w:pPr>
        <w:pStyle w:val="Caption"/>
        <w:spacing w:before="240" w:after="240"/>
      </w:pPr>
      <w:r w:rsidRPr="008E6767">
        <w:t>CTE Program/Minimum Eligibility Standards</w:t>
      </w:r>
    </w:p>
    <w:tbl>
      <w:tblPr>
        <w:tblStyle w:val="TableGrid2"/>
        <w:tblW w:w="5226" w:type="pct"/>
        <w:tblLook w:val="04A0" w:firstRow="1" w:lastRow="0" w:firstColumn="1" w:lastColumn="0" w:noHBand="0" w:noVBand="1"/>
        <w:tblDescription w:val="CTE Program/Minimum Eligibility Standards/Scoring Rubric"/>
      </w:tblPr>
      <w:tblGrid>
        <w:gridCol w:w="3600"/>
        <w:gridCol w:w="3313"/>
        <w:gridCol w:w="3311"/>
        <w:gridCol w:w="3311"/>
      </w:tblGrid>
      <w:tr w:rsidR="00231815" w:rsidRPr="008E6767" w14:paraId="069A6B6D" w14:textId="77777777" w:rsidTr="00B033D6">
        <w:trPr>
          <w:cantSplit/>
          <w:trHeight w:val="432"/>
          <w:tblHeader/>
        </w:trPr>
        <w:tc>
          <w:tcPr>
            <w:tcW w:w="1330" w:type="pct"/>
            <w:shd w:val="clear" w:color="auto" w:fill="C1E4F5"/>
            <w:vAlign w:val="center"/>
          </w:tcPr>
          <w:p w14:paraId="6B66135D" w14:textId="77777777" w:rsidR="00435EE3" w:rsidRPr="008E6767" w:rsidRDefault="00435EE3" w:rsidP="001D3730">
            <w:pPr>
              <w:jc w:val="center"/>
              <w:rPr>
                <w:rFonts w:ascii="Arial" w:eastAsia="Times New Roman" w:hAnsi="Arial" w:cs="Arial"/>
                <w:b/>
                <w:bCs/>
                <w:color w:val="000000"/>
              </w:rPr>
            </w:pPr>
            <w:r w:rsidRPr="008E6767">
              <w:rPr>
                <w:rFonts w:ascii="Arial" w:hAnsi="Arial" w:cs="Arial"/>
                <w:b/>
                <w:bCs/>
              </w:rPr>
              <w:t>Category</w:t>
            </w:r>
          </w:p>
        </w:tc>
        <w:tc>
          <w:tcPr>
            <w:tcW w:w="1224" w:type="pct"/>
            <w:shd w:val="clear" w:color="auto" w:fill="C1E4F5"/>
            <w:vAlign w:val="center"/>
          </w:tcPr>
          <w:p w14:paraId="4601C275" w14:textId="77777777" w:rsidR="00435EE3" w:rsidRPr="008E6767" w:rsidRDefault="00435EE3" w:rsidP="001D3730">
            <w:pPr>
              <w:jc w:val="center"/>
              <w:rPr>
                <w:rFonts w:ascii="Arial" w:hAnsi="Arial" w:cs="Arial"/>
              </w:rPr>
            </w:pPr>
            <w:r w:rsidRPr="008E6767">
              <w:rPr>
                <w:rFonts w:ascii="Arial" w:hAnsi="Arial" w:cs="Arial"/>
                <w:b/>
                <w:bCs/>
              </w:rPr>
              <w:t>0 Points</w:t>
            </w:r>
          </w:p>
        </w:tc>
        <w:tc>
          <w:tcPr>
            <w:tcW w:w="1223" w:type="pct"/>
            <w:shd w:val="clear" w:color="auto" w:fill="C1E4F5"/>
            <w:vAlign w:val="center"/>
          </w:tcPr>
          <w:p w14:paraId="4C8DDD17" w14:textId="77777777" w:rsidR="00435EE3" w:rsidRPr="008E6767" w:rsidRDefault="00435EE3" w:rsidP="001D3730">
            <w:pPr>
              <w:jc w:val="center"/>
              <w:rPr>
                <w:rFonts w:ascii="Arial" w:hAnsi="Arial" w:cs="Arial"/>
              </w:rPr>
            </w:pPr>
            <w:r w:rsidRPr="008E6767">
              <w:rPr>
                <w:rFonts w:ascii="Arial" w:hAnsi="Arial" w:cs="Arial"/>
                <w:b/>
                <w:bCs/>
              </w:rPr>
              <w:t>1 Point</w:t>
            </w:r>
          </w:p>
        </w:tc>
        <w:tc>
          <w:tcPr>
            <w:tcW w:w="1223" w:type="pct"/>
            <w:shd w:val="clear" w:color="auto" w:fill="C1E4F5"/>
            <w:vAlign w:val="center"/>
          </w:tcPr>
          <w:p w14:paraId="7967AC58" w14:textId="77777777" w:rsidR="00435EE3" w:rsidRPr="008E6767" w:rsidRDefault="00435EE3" w:rsidP="001D3730">
            <w:pPr>
              <w:jc w:val="center"/>
              <w:rPr>
                <w:rFonts w:ascii="Arial" w:hAnsi="Arial" w:cs="Arial"/>
              </w:rPr>
            </w:pPr>
            <w:r w:rsidRPr="008E6767">
              <w:rPr>
                <w:rFonts w:ascii="Arial" w:hAnsi="Arial" w:cs="Arial"/>
                <w:b/>
                <w:bCs/>
              </w:rPr>
              <w:t>2 Points</w:t>
            </w:r>
          </w:p>
        </w:tc>
      </w:tr>
      <w:tr w:rsidR="00231815" w:rsidRPr="008E6767" w14:paraId="00EC314A" w14:textId="77777777" w:rsidTr="001D3730">
        <w:trPr>
          <w:cantSplit/>
          <w:trHeight w:val="1763"/>
        </w:trPr>
        <w:tc>
          <w:tcPr>
            <w:tcW w:w="1330" w:type="pct"/>
            <w:vAlign w:val="center"/>
          </w:tcPr>
          <w:p w14:paraId="6D17E41A" w14:textId="77777777" w:rsidR="00435EE3" w:rsidRPr="008E6767" w:rsidRDefault="00435EE3" w:rsidP="003305B7">
            <w:pPr>
              <w:spacing w:after="120"/>
              <w:jc w:val="center"/>
              <w:rPr>
                <w:rFonts w:ascii="Arial" w:hAnsi="Arial" w:cs="Arial"/>
                <w:b/>
                <w:bCs/>
              </w:rPr>
            </w:pPr>
            <w:r w:rsidRPr="008E6767">
              <w:rPr>
                <w:rFonts w:ascii="Arial" w:hAnsi="Arial" w:cs="Arial"/>
                <w:b/>
                <w:bCs/>
              </w:rPr>
              <w:t>Provides support services for students, including counseling to address students’ social, emotional, career, and academic needs.</w:t>
            </w:r>
          </w:p>
          <w:p w14:paraId="4896996E" w14:textId="77777777" w:rsidR="00435EE3" w:rsidRPr="008E6767" w:rsidRDefault="00435EE3" w:rsidP="001D3730">
            <w:pPr>
              <w:jc w:val="center"/>
              <w:rPr>
                <w:rFonts w:ascii="Arial" w:hAnsi="Arial" w:cs="Arial"/>
                <w:b/>
                <w:bCs/>
              </w:rPr>
            </w:pPr>
            <w:r w:rsidRPr="008E6767">
              <w:rPr>
                <w:rFonts w:ascii="Arial" w:hAnsi="Arial" w:cs="Arial"/>
                <w:i/>
                <w:iCs/>
              </w:rPr>
              <w:t>(Minimum Eligibility Standard 3)</w:t>
            </w:r>
          </w:p>
        </w:tc>
        <w:tc>
          <w:tcPr>
            <w:tcW w:w="1224" w:type="pct"/>
            <w:vAlign w:val="center"/>
          </w:tcPr>
          <w:p w14:paraId="5488DEA9"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21D2E119" w14:textId="77777777" w:rsidR="00435EE3" w:rsidRPr="008E6767" w:rsidRDefault="00435EE3" w:rsidP="001D3730">
            <w:pPr>
              <w:jc w:val="center"/>
              <w:rPr>
                <w:rFonts w:ascii="Arial" w:hAnsi="Arial" w:cs="Arial"/>
              </w:rPr>
            </w:pPr>
            <w:r w:rsidRPr="008E6767">
              <w:rPr>
                <w:rFonts w:ascii="Arial" w:hAnsi="Arial" w:cs="Arial"/>
              </w:rPr>
              <w:t>Some students received the described practice of this minimum eligibility standard and provided at least 1 source of evidence.</w:t>
            </w:r>
          </w:p>
        </w:tc>
        <w:tc>
          <w:tcPr>
            <w:tcW w:w="1223" w:type="pct"/>
            <w:vAlign w:val="center"/>
          </w:tcPr>
          <w:p w14:paraId="32123E8B" w14:textId="77777777" w:rsidR="00435EE3" w:rsidRPr="008E6767" w:rsidRDefault="00435EE3" w:rsidP="001D3730">
            <w:pPr>
              <w:jc w:val="center"/>
              <w:rPr>
                <w:rFonts w:ascii="Arial" w:hAnsi="Arial" w:cs="Arial"/>
              </w:rPr>
            </w:pPr>
            <w:r w:rsidRPr="008E6767">
              <w:rPr>
                <w:rFonts w:ascii="Arial" w:hAnsi="Arial" w:cs="Arial"/>
              </w:rPr>
              <w:t>All students received the described practice of this minimum eligibility standard and provided at least 1 source of evidence.</w:t>
            </w:r>
          </w:p>
        </w:tc>
      </w:tr>
      <w:tr w:rsidR="00231815" w:rsidRPr="008E6767" w14:paraId="09EA962C" w14:textId="77777777" w:rsidTr="001D3730">
        <w:trPr>
          <w:cantSplit/>
          <w:trHeight w:val="288"/>
        </w:trPr>
        <w:tc>
          <w:tcPr>
            <w:tcW w:w="1330" w:type="pct"/>
            <w:vAlign w:val="center"/>
          </w:tcPr>
          <w:p w14:paraId="002B89F4" w14:textId="77777777" w:rsidR="00435EE3" w:rsidRPr="008E6767" w:rsidRDefault="00435EE3" w:rsidP="003305B7">
            <w:pPr>
              <w:spacing w:after="120"/>
              <w:jc w:val="center"/>
              <w:rPr>
                <w:rFonts w:ascii="Arial" w:hAnsi="Arial" w:cs="Arial"/>
              </w:rPr>
            </w:pPr>
            <w:r w:rsidRPr="008E6767">
              <w:rPr>
                <w:rFonts w:ascii="Arial" w:hAnsi="Arial" w:cs="Arial"/>
                <w:b/>
                <w:bCs/>
              </w:rPr>
              <w:t>Provides for system alignment, coherence, and articulation, including ongoing and structural regional or local partnerships with postsecondary educational institutions, documented through formal written agreements</w:t>
            </w:r>
            <w:r w:rsidRPr="008E6767">
              <w:rPr>
                <w:rFonts w:ascii="Arial" w:hAnsi="Arial" w:cs="Arial"/>
              </w:rPr>
              <w:t>.</w:t>
            </w:r>
          </w:p>
          <w:p w14:paraId="2157F8BF" w14:textId="77777777" w:rsidR="00435EE3" w:rsidRPr="008E6767" w:rsidRDefault="00435EE3" w:rsidP="001D3730">
            <w:pPr>
              <w:jc w:val="center"/>
              <w:rPr>
                <w:rFonts w:ascii="Arial" w:hAnsi="Arial" w:cs="Arial"/>
                <w:b/>
                <w:bCs/>
              </w:rPr>
            </w:pPr>
            <w:r w:rsidRPr="008E6767">
              <w:rPr>
                <w:rFonts w:ascii="Arial" w:hAnsi="Arial" w:cs="Arial"/>
                <w:i/>
                <w:iCs/>
              </w:rPr>
              <w:t>(Minimum Eligibility Standard 4)</w:t>
            </w:r>
          </w:p>
        </w:tc>
        <w:tc>
          <w:tcPr>
            <w:tcW w:w="1224" w:type="pct"/>
            <w:vAlign w:val="center"/>
          </w:tcPr>
          <w:p w14:paraId="46EE6AD5"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43855561" w14:textId="0DDBCDA7" w:rsidR="00435EE3" w:rsidRPr="008E6767" w:rsidRDefault="00435EE3" w:rsidP="001D3730">
            <w:pPr>
              <w:jc w:val="center"/>
              <w:rPr>
                <w:rFonts w:ascii="Arial" w:hAnsi="Arial" w:cs="Arial"/>
              </w:rPr>
            </w:pPr>
            <w:r w:rsidRPr="008E6767">
              <w:rPr>
                <w:rFonts w:ascii="Arial" w:hAnsi="Arial" w:cs="Arial"/>
              </w:rPr>
              <w:t>Minimal description of a current practice of this minimum eligibility standard and provided at least 1 source of evidence.</w:t>
            </w:r>
          </w:p>
        </w:tc>
        <w:tc>
          <w:tcPr>
            <w:tcW w:w="1223" w:type="pct"/>
            <w:vAlign w:val="center"/>
          </w:tcPr>
          <w:p w14:paraId="6D294892" w14:textId="77777777" w:rsidR="00435EE3" w:rsidRPr="008E6767" w:rsidRDefault="00435EE3" w:rsidP="001D3730">
            <w:pPr>
              <w:jc w:val="center"/>
              <w:rPr>
                <w:rFonts w:ascii="Arial" w:hAnsi="Arial" w:cs="Arial"/>
              </w:rPr>
            </w:pPr>
            <w:r w:rsidRPr="008E6767">
              <w:rPr>
                <w:rFonts w:ascii="Arial" w:hAnsi="Arial" w:cs="Arial"/>
              </w:rPr>
              <w:t>Described in detail a current practice of this minimum eligibility standard and provided at least 1 source of evidence.</w:t>
            </w:r>
          </w:p>
        </w:tc>
      </w:tr>
      <w:tr w:rsidR="00231815" w:rsidRPr="008E6767" w14:paraId="692FB8E3" w14:textId="77777777" w:rsidTr="001D3730">
        <w:trPr>
          <w:cantSplit/>
          <w:trHeight w:val="288"/>
        </w:trPr>
        <w:tc>
          <w:tcPr>
            <w:tcW w:w="1330" w:type="pct"/>
            <w:vAlign w:val="center"/>
          </w:tcPr>
          <w:p w14:paraId="078FBBE7" w14:textId="03C53688" w:rsidR="00435EE3" w:rsidRPr="008E6767" w:rsidRDefault="00435EE3" w:rsidP="003305B7">
            <w:pPr>
              <w:spacing w:after="120"/>
              <w:jc w:val="center"/>
              <w:rPr>
                <w:rFonts w:ascii="Arial" w:hAnsi="Arial" w:cs="Arial"/>
                <w:b/>
                <w:bCs/>
              </w:rPr>
            </w:pPr>
            <w:r w:rsidRPr="008E6767">
              <w:rPr>
                <w:rFonts w:ascii="Arial" w:hAnsi="Arial" w:cs="Arial"/>
                <w:b/>
                <w:bCs/>
              </w:rPr>
              <w:lastRenderedPageBreak/>
              <w:t xml:space="preserve">Forms ongoing and meaningful industry and labor partnerships, evidenced by written agreements and through participation on advisory committees and collaboration with business and labor organizations to provide opportunities for pupils to gain access to pre-apprenticeships, internships, industry certifications, and work-based learning (WBL) opportunities as well as opportunities for industry to provide input to the </w:t>
            </w:r>
            <w:r w:rsidR="00E47A7F" w:rsidRPr="008E6767">
              <w:rPr>
                <w:rFonts w:ascii="Arial" w:hAnsi="Arial" w:cs="Arial"/>
                <w:b/>
                <w:bCs/>
              </w:rPr>
              <w:t>CTE</w:t>
            </w:r>
            <w:r w:rsidRPr="008E6767">
              <w:rPr>
                <w:rFonts w:ascii="Arial" w:hAnsi="Arial" w:cs="Arial"/>
                <w:b/>
                <w:bCs/>
              </w:rPr>
              <w:t xml:space="preserve"> programs and curriculum.</w:t>
            </w:r>
          </w:p>
          <w:p w14:paraId="30283CF3" w14:textId="446D2E33" w:rsidR="00435EE3" w:rsidRPr="008E6767" w:rsidRDefault="00435EE3" w:rsidP="001D3730">
            <w:pPr>
              <w:jc w:val="center"/>
              <w:rPr>
                <w:rFonts w:ascii="Arial" w:hAnsi="Arial" w:cs="Arial"/>
                <w:b/>
                <w:bCs/>
              </w:rPr>
            </w:pPr>
            <w:r w:rsidRPr="008E6767">
              <w:rPr>
                <w:rFonts w:ascii="Arial" w:hAnsi="Arial" w:cs="Arial"/>
                <w:i/>
                <w:iCs/>
              </w:rPr>
              <w:t>(Minimum Eligibility Standard 5)</w:t>
            </w:r>
          </w:p>
        </w:tc>
        <w:tc>
          <w:tcPr>
            <w:tcW w:w="1224" w:type="pct"/>
            <w:vAlign w:val="center"/>
          </w:tcPr>
          <w:p w14:paraId="12B6FA51"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10ADA635" w14:textId="77777777" w:rsidR="00435EE3" w:rsidRPr="008E6767" w:rsidRDefault="00435EE3" w:rsidP="001D3730">
            <w:pPr>
              <w:jc w:val="center"/>
              <w:rPr>
                <w:rFonts w:ascii="Arial" w:hAnsi="Arial" w:cs="Arial"/>
              </w:rPr>
            </w:pPr>
            <w:r w:rsidRPr="008E6767">
              <w:rPr>
                <w:rFonts w:ascii="Arial" w:hAnsi="Arial" w:cs="Arial"/>
              </w:rPr>
              <w:t>Minimal description of a current practice of this minimum eligibility standard and provided at least 1 source of evidence.</w:t>
            </w:r>
          </w:p>
        </w:tc>
        <w:tc>
          <w:tcPr>
            <w:tcW w:w="1223" w:type="pct"/>
            <w:vAlign w:val="center"/>
          </w:tcPr>
          <w:p w14:paraId="70CDFC3E" w14:textId="77777777" w:rsidR="00435EE3" w:rsidRPr="008E6767" w:rsidRDefault="00435EE3" w:rsidP="001D3730">
            <w:pPr>
              <w:jc w:val="center"/>
              <w:rPr>
                <w:rFonts w:ascii="Arial" w:hAnsi="Arial" w:cs="Arial"/>
              </w:rPr>
            </w:pPr>
            <w:r w:rsidRPr="008E6767">
              <w:rPr>
                <w:rFonts w:ascii="Arial" w:hAnsi="Arial" w:cs="Arial"/>
              </w:rPr>
              <w:t>Described in detail a current practice of this minimum eligibility standard and provided at least 1 source of evidence.</w:t>
            </w:r>
          </w:p>
        </w:tc>
      </w:tr>
      <w:tr w:rsidR="00231815" w:rsidRPr="008E6767" w14:paraId="2B76692D" w14:textId="77777777" w:rsidTr="001D3730">
        <w:trPr>
          <w:cantSplit/>
          <w:trHeight w:val="288"/>
        </w:trPr>
        <w:tc>
          <w:tcPr>
            <w:tcW w:w="1330" w:type="pct"/>
            <w:vAlign w:val="center"/>
          </w:tcPr>
          <w:p w14:paraId="66D4BADF" w14:textId="77777777" w:rsidR="00435EE3" w:rsidRPr="008E6767" w:rsidRDefault="00435EE3" w:rsidP="003305B7">
            <w:pPr>
              <w:spacing w:after="120"/>
              <w:jc w:val="center"/>
              <w:rPr>
                <w:rFonts w:ascii="Arial" w:hAnsi="Arial" w:cs="Arial"/>
                <w:b/>
                <w:bCs/>
              </w:rPr>
            </w:pPr>
            <w:r w:rsidRPr="008E6767">
              <w:rPr>
                <w:rFonts w:ascii="Arial" w:hAnsi="Arial" w:cs="Arial"/>
                <w:b/>
                <w:bCs/>
              </w:rPr>
              <w:t>Provides opportunities for pupils to participate in after school, extended day, and out-of-school internships, competitions, leadership development opportunities embedded in curriculum, CTSOs, and other WBL opportunities.</w:t>
            </w:r>
          </w:p>
          <w:p w14:paraId="0A11F81F" w14:textId="77777777" w:rsidR="00435EE3" w:rsidRPr="008E6767" w:rsidRDefault="00435EE3" w:rsidP="001D3730">
            <w:pPr>
              <w:jc w:val="center"/>
              <w:rPr>
                <w:rFonts w:ascii="Arial" w:hAnsi="Arial" w:cs="Arial"/>
                <w:b/>
                <w:bCs/>
              </w:rPr>
            </w:pPr>
            <w:r w:rsidRPr="008E6767">
              <w:rPr>
                <w:rFonts w:ascii="Arial" w:hAnsi="Arial" w:cs="Arial"/>
                <w:i/>
                <w:iCs/>
              </w:rPr>
              <w:t>(Minimum Eligibility Standard 6)</w:t>
            </w:r>
          </w:p>
        </w:tc>
        <w:tc>
          <w:tcPr>
            <w:tcW w:w="1224" w:type="pct"/>
            <w:vAlign w:val="center"/>
          </w:tcPr>
          <w:p w14:paraId="6E688172"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3A3AD77E" w14:textId="77777777" w:rsidR="00435EE3" w:rsidRPr="008E6767" w:rsidRDefault="00435EE3" w:rsidP="001D3730">
            <w:pPr>
              <w:jc w:val="center"/>
              <w:rPr>
                <w:rFonts w:ascii="Arial" w:hAnsi="Arial" w:cs="Arial"/>
              </w:rPr>
            </w:pPr>
            <w:r w:rsidRPr="008E6767">
              <w:rPr>
                <w:rFonts w:ascii="Arial" w:hAnsi="Arial" w:cs="Arial"/>
              </w:rPr>
              <w:t>Some students received the described practice of this minimum eligibility standard and provided at least 1 source of evidence.</w:t>
            </w:r>
          </w:p>
        </w:tc>
        <w:tc>
          <w:tcPr>
            <w:tcW w:w="1223" w:type="pct"/>
            <w:vAlign w:val="center"/>
          </w:tcPr>
          <w:p w14:paraId="7E69D7F5" w14:textId="77777777" w:rsidR="00435EE3" w:rsidRPr="008E6767" w:rsidRDefault="00435EE3" w:rsidP="001D3730">
            <w:pPr>
              <w:jc w:val="center"/>
              <w:rPr>
                <w:rFonts w:ascii="Arial" w:hAnsi="Arial" w:cs="Arial"/>
              </w:rPr>
            </w:pPr>
            <w:r w:rsidRPr="008E6767">
              <w:rPr>
                <w:rFonts w:ascii="Arial" w:hAnsi="Arial" w:cs="Arial"/>
              </w:rPr>
              <w:t>All students received the described practice of this minimum eligibility standard and provided at least 1 source of evidence.</w:t>
            </w:r>
          </w:p>
        </w:tc>
      </w:tr>
      <w:tr w:rsidR="00231815" w:rsidRPr="008E6767" w14:paraId="6ECD8F43" w14:textId="77777777" w:rsidTr="001D3730">
        <w:trPr>
          <w:cantSplit/>
          <w:trHeight w:val="288"/>
        </w:trPr>
        <w:tc>
          <w:tcPr>
            <w:tcW w:w="1330" w:type="pct"/>
            <w:vAlign w:val="center"/>
          </w:tcPr>
          <w:p w14:paraId="78ADB850" w14:textId="77777777" w:rsidR="00435EE3" w:rsidRPr="008E6767" w:rsidRDefault="00435EE3" w:rsidP="003305B7">
            <w:pPr>
              <w:spacing w:after="120"/>
              <w:jc w:val="center"/>
              <w:rPr>
                <w:rFonts w:ascii="Arial" w:hAnsi="Arial" w:cs="Arial"/>
              </w:rPr>
            </w:pPr>
            <w:r w:rsidRPr="008E6767">
              <w:rPr>
                <w:rFonts w:ascii="Arial" w:hAnsi="Arial" w:cs="Arial"/>
                <w:b/>
                <w:bCs/>
              </w:rPr>
              <w:lastRenderedPageBreak/>
              <w:t>CTE pathway program reflects regional and/or local labor market demands and focuses on current or emerging high-skill, high-wage, or high-demand occupations and is informed by the regional plan of the local SWP consortium</w:t>
            </w:r>
            <w:r w:rsidRPr="008E6767">
              <w:rPr>
                <w:rFonts w:ascii="Arial" w:hAnsi="Arial" w:cs="Arial"/>
              </w:rPr>
              <w:t>.</w:t>
            </w:r>
          </w:p>
          <w:p w14:paraId="3B84D484" w14:textId="77777777" w:rsidR="00435EE3" w:rsidRPr="008E6767" w:rsidRDefault="00435EE3" w:rsidP="001D3730">
            <w:pPr>
              <w:jc w:val="center"/>
              <w:rPr>
                <w:rFonts w:ascii="Arial" w:hAnsi="Arial" w:cs="Arial"/>
                <w:b/>
                <w:bCs/>
              </w:rPr>
            </w:pPr>
            <w:r w:rsidRPr="008E6767">
              <w:rPr>
                <w:rFonts w:ascii="Arial" w:hAnsi="Arial" w:cs="Arial"/>
                <w:i/>
                <w:iCs/>
              </w:rPr>
              <w:t>(Minimum Eligibility Standard 7)</w:t>
            </w:r>
          </w:p>
        </w:tc>
        <w:tc>
          <w:tcPr>
            <w:tcW w:w="1224" w:type="pct"/>
            <w:vAlign w:val="center"/>
          </w:tcPr>
          <w:p w14:paraId="71D9A4BE"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4591F03A" w14:textId="77777777" w:rsidR="00435EE3" w:rsidRPr="008E6767" w:rsidRDefault="00435EE3" w:rsidP="001D3730">
            <w:pPr>
              <w:jc w:val="center"/>
              <w:rPr>
                <w:rFonts w:ascii="Arial" w:hAnsi="Arial" w:cs="Arial"/>
              </w:rPr>
            </w:pPr>
            <w:r w:rsidRPr="008E6767">
              <w:rPr>
                <w:rFonts w:ascii="Arial" w:hAnsi="Arial" w:cs="Arial"/>
              </w:rPr>
              <w:t>Minimal description of a current practice of this minimum eligibility standard and provided at least 1 source of evidence.</w:t>
            </w:r>
          </w:p>
        </w:tc>
        <w:tc>
          <w:tcPr>
            <w:tcW w:w="1223" w:type="pct"/>
            <w:vAlign w:val="center"/>
          </w:tcPr>
          <w:p w14:paraId="0AB9CDCB" w14:textId="77777777" w:rsidR="00435EE3" w:rsidRPr="008E6767" w:rsidRDefault="00435EE3" w:rsidP="001D3730">
            <w:pPr>
              <w:jc w:val="center"/>
              <w:rPr>
                <w:rFonts w:ascii="Arial" w:hAnsi="Arial" w:cs="Arial"/>
              </w:rPr>
            </w:pPr>
            <w:r w:rsidRPr="008E6767">
              <w:rPr>
                <w:rFonts w:ascii="Arial" w:hAnsi="Arial" w:cs="Arial"/>
              </w:rPr>
              <w:t>Described in detail a current practice of this minimum eligibility standard and provided at least 1 source of evidence.</w:t>
            </w:r>
          </w:p>
        </w:tc>
      </w:tr>
      <w:tr w:rsidR="00231815" w:rsidRPr="008E6767" w14:paraId="15E93840" w14:textId="77777777" w:rsidTr="001D3730">
        <w:trPr>
          <w:cantSplit/>
          <w:trHeight w:val="288"/>
        </w:trPr>
        <w:tc>
          <w:tcPr>
            <w:tcW w:w="1330" w:type="pct"/>
            <w:vAlign w:val="center"/>
          </w:tcPr>
          <w:p w14:paraId="5EFDDD3F" w14:textId="77777777" w:rsidR="00435EE3" w:rsidRPr="008E6767" w:rsidRDefault="00435EE3" w:rsidP="003305B7">
            <w:pPr>
              <w:spacing w:after="120"/>
              <w:jc w:val="center"/>
              <w:rPr>
                <w:rFonts w:ascii="Arial" w:hAnsi="Arial" w:cs="Arial"/>
                <w:b/>
                <w:bCs/>
              </w:rPr>
            </w:pPr>
            <w:r w:rsidRPr="008E6767">
              <w:rPr>
                <w:rFonts w:ascii="Arial" w:hAnsi="Arial" w:cs="Arial"/>
                <w:b/>
                <w:bCs/>
              </w:rPr>
              <w:t>Provides opportunities for pupils who are individuals with exceptional needs to participate in all programs.</w:t>
            </w:r>
          </w:p>
          <w:p w14:paraId="4C1DA6E8" w14:textId="77777777" w:rsidR="00435EE3" w:rsidRPr="008E6767" w:rsidRDefault="00435EE3" w:rsidP="001D3730">
            <w:pPr>
              <w:jc w:val="center"/>
              <w:rPr>
                <w:rFonts w:ascii="Arial" w:hAnsi="Arial" w:cs="Arial"/>
                <w:b/>
                <w:bCs/>
              </w:rPr>
            </w:pPr>
            <w:r w:rsidRPr="008E6767">
              <w:rPr>
                <w:rFonts w:ascii="Arial" w:hAnsi="Arial" w:cs="Arial"/>
                <w:i/>
                <w:iCs/>
              </w:rPr>
              <w:t>(Minimum Eligibility Standard 10)</w:t>
            </w:r>
          </w:p>
        </w:tc>
        <w:tc>
          <w:tcPr>
            <w:tcW w:w="1224" w:type="pct"/>
            <w:vAlign w:val="center"/>
          </w:tcPr>
          <w:p w14:paraId="2898F723" w14:textId="77777777" w:rsidR="00435EE3" w:rsidRPr="008E6767" w:rsidRDefault="00435EE3" w:rsidP="001D3730">
            <w:pPr>
              <w:jc w:val="center"/>
              <w:rPr>
                <w:rFonts w:ascii="Arial" w:hAnsi="Arial" w:cs="Arial"/>
              </w:rPr>
            </w:pPr>
            <w:r w:rsidRPr="008E6767">
              <w:rPr>
                <w:rFonts w:ascii="Arial" w:hAnsi="Arial" w:cs="Arial"/>
              </w:rPr>
              <w:t>No description of a current practice of this minimum eligibility standard and did not provide evidence</w:t>
            </w:r>
          </w:p>
        </w:tc>
        <w:tc>
          <w:tcPr>
            <w:tcW w:w="1223" w:type="pct"/>
            <w:vAlign w:val="center"/>
          </w:tcPr>
          <w:p w14:paraId="0F4DBFED" w14:textId="77777777" w:rsidR="00435EE3" w:rsidRPr="008E6767" w:rsidRDefault="00435EE3" w:rsidP="001D3730">
            <w:pPr>
              <w:jc w:val="center"/>
              <w:rPr>
                <w:rFonts w:ascii="Arial" w:hAnsi="Arial" w:cs="Arial"/>
              </w:rPr>
            </w:pPr>
            <w:r w:rsidRPr="008E6767">
              <w:rPr>
                <w:rFonts w:ascii="Arial" w:hAnsi="Arial" w:cs="Arial"/>
              </w:rPr>
              <w:t>Some students received the described practice of this minimum eligibility standard and provided at least 1 source of evidence.</w:t>
            </w:r>
          </w:p>
        </w:tc>
        <w:tc>
          <w:tcPr>
            <w:tcW w:w="1223" w:type="pct"/>
            <w:vAlign w:val="center"/>
          </w:tcPr>
          <w:p w14:paraId="34C8A224" w14:textId="77777777" w:rsidR="00435EE3" w:rsidRPr="008E6767" w:rsidRDefault="00435EE3" w:rsidP="001D3730">
            <w:pPr>
              <w:jc w:val="center"/>
              <w:rPr>
                <w:rFonts w:ascii="Arial" w:hAnsi="Arial" w:cs="Arial"/>
              </w:rPr>
            </w:pPr>
            <w:r w:rsidRPr="008E6767">
              <w:rPr>
                <w:rFonts w:ascii="Arial" w:hAnsi="Arial" w:cs="Arial"/>
              </w:rPr>
              <w:t>All students received the described practice of this minimum eligibility standard and provided at least 1 source of evidence.</w:t>
            </w:r>
          </w:p>
        </w:tc>
      </w:tr>
    </w:tbl>
    <w:p w14:paraId="1475F9E1" w14:textId="6029D421" w:rsidR="00143AB4" w:rsidRPr="008E6767" w:rsidRDefault="00143AB4" w:rsidP="00151E0D">
      <w:pPr>
        <w:pStyle w:val="Caption"/>
        <w:spacing w:before="240" w:after="240"/>
      </w:pPr>
      <w:r w:rsidRPr="008E6767">
        <w:t xml:space="preserve">Overall CTE Program Strengths and Improvements: </w:t>
      </w:r>
      <w:r w:rsidRPr="008E6767">
        <w:rPr>
          <w:rFonts w:ascii="Aptos" w:hAnsi="Aptos" w:cs="Times New Roman"/>
        </w:rPr>
        <w:t>2 Points Minimum and up to 4 Points Maximum</w:t>
      </w:r>
    </w:p>
    <w:tbl>
      <w:tblPr>
        <w:tblStyle w:val="TableGrid3"/>
        <w:tblW w:w="5225" w:type="pct"/>
        <w:tblLook w:val="04A0" w:firstRow="1" w:lastRow="0" w:firstColumn="1" w:lastColumn="0" w:noHBand="0" w:noVBand="1"/>
        <w:tblDescription w:val="Overall CTE Program Strengths and Improvements/Scoring Rubric"/>
      </w:tblPr>
      <w:tblGrid>
        <w:gridCol w:w="3600"/>
        <w:gridCol w:w="3310"/>
        <w:gridCol w:w="3313"/>
        <w:gridCol w:w="3310"/>
      </w:tblGrid>
      <w:tr w:rsidR="00435EE3" w:rsidRPr="008E6767" w14:paraId="4B1B7F65" w14:textId="77777777" w:rsidTr="00710933">
        <w:trPr>
          <w:trHeight w:val="288"/>
          <w:tblHeader/>
        </w:trPr>
        <w:tc>
          <w:tcPr>
            <w:tcW w:w="1330" w:type="pct"/>
            <w:shd w:val="clear" w:color="auto" w:fill="C1E4F5"/>
          </w:tcPr>
          <w:p w14:paraId="7FD968A4" w14:textId="77777777" w:rsidR="00435EE3" w:rsidRPr="008E6767" w:rsidRDefault="00435EE3" w:rsidP="00A97DEA">
            <w:pPr>
              <w:jc w:val="center"/>
              <w:rPr>
                <w:rFonts w:ascii="Arial" w:hAnsi="Arial" w:cs="Arial"/>
                <w:b/>
                <w:bCs/>
              </w:rPr>
            </w:pPr>
            <w:r w:rsidRPr="008E6767">
              <w:rPr>
                <w:rFonts w:ascii="Arial" w:hAnsi="Arial" w:cs="Arial"/>
                <w:b/>
                <w:bCs/>
              </w:rPr>
              <w:t>Category</w:t>
            </w:r>
          </w:p>
        </w:tc>
        <w:tc>
          <w:tcPr>
            <w:tcW w:w="1223" w:type="pct"/>
            <w:shd w:val="clear" w:color="auto" w:fill="C1E4F5"/>
          </w:tcPr>
          <w:p w14:paraId="52906046" w14:textId="77777777" w:rsidR="00435EE3" w:rsidRPr="008E6767" w:rsidRDefault="00435EE3" w:rsidP="00A97DEA">
            <w:pPr>
              <w:jc w:val="center"/>
              <w:rPr>
                <w:rFonts w:ascii="Arial" w:hAnsi="Arial" w:cs="Arial"/>
                <w:b/>
                <w:bCs/>
              </w:rPr>
            </w:pPr>
            <w:r w:rsidRPr="008E6767">
              <w:rPr>
                <w:rFonts w:ascii="Arial" w:hAnsi="Arial" w:cs="Arial"/>
                <w:b/>
                <w:bCs/>
              </w:rPr>
              <w:t>0 Points</w:t>
            </w:r>
          </w:p>
        </w:tc>
        <w:tc>
          <w:tcPr>
            <w:tcW w:w="1224" w:type="pct"/>
            <w:shd w:val="clear" w:color="auto" w:fill="C1E4F5"/>
          </w:tcPr>
          <w:p w14:paraId="07CA51A6" w14:textId="77777777" w:rsidR="00435EE3" w:rsidRPr="008E6767" w:rsidRDefault="00435EE3" w:rsidP="00A97DEA">
            <w:pPr>
              <w:jc w:val="center"/>
              <w:rPr>
                <w:rFonts w:ascii="Arial" w:hAnsi="Arial" w:cs="Arial"/>
                <w:b/>
                <w:bCs/>
              </w:rPr>
            </w:pPr>
            <w:r w:rsidRPr="008E6767">
              <w:rPr>
                <w:rFonts w:ascii="Arial" w:hAnsi="Arial" w:cs="Arial"/>
                <w:b/>
                <w:bCs/>
              </w:rPr>
              <w:t>1 Point</w:t>
            </w:r>
          </w:p>
        </w:tc>
        <w:tc>
          <w:tcPr>
            <w:tcW w:w="1223" w:type="pct"/>
            <w:shd w:val="clear" w:color="auto" w:fill="C1E4F5"/>
          </w:tcPr>
          <w:p w14:paraId="77AAF636" w14:textId="77777777" w:rsidR="00435EE3" w:rsidRPr="008E6767" w:rsidRDefault="00435EE3" w:rsidP="00A97DEA">
            <w:pPr>
              <w:ind w:right="-108"/>
              <w:jc w:val="center"/>
              <w:rPr>
                <w:rFonts w:ascii="Arial" w:hAnsi="Arial" w:cs="Arial"/>
                <w:b/>
                <w:bCs/>
              </w:rPr>
            </w:pPr>
            <w:r w:rsidRPr="008E6767">
              <w:rPr>
                <w:rFonts w:ascii="Arial" w:hAnsi="Arial" w:cs="Arial"/>
                <w:b/>
                <w:bCs/>
              </w:rPr>
              <w:t>2 Points</w:t>
            </w:r>
          </w:p>
        </w:tc>
      </w:tr>
      <w:tr w:rsidR="00435EE3" w:rsidRPr="008E6767" w14:paraId="4F1773C6" w14:textId="77777777" w:rsidTr="00710933">
        <w:tc>
          <w:tcPr>
            <w:tcW w:w="1330" w:type="pct"/>
            <w:vAlign w:val="center"/>
          </w:tcPr>
          <w:p w14:paraId="78F332DC" w14:textId="77777777" w:rsidR="00435EE3" w:rsidRPr="008E6767" w:rsidRDefault="00435EE3" w:rsidP="00A97DEA">
            <w:pPr>
              <w:jc w:val="center"/>
              <w:rPr>
                <w:rFonts w:ascii="Arial" w:hAnsi="Arial" w:cs="Arial"/>
                <w:b/>
                <w:bCs/>
              </w:rPr>
            </w:pPr>
            <w:r w:rsidRPr="008E6767">
              <w:rPr>
                <w:rFonts w:ascii="Arial" w:hAnsi="Arial" w:cs="Arial"/>
                <w:b/>
                <w:bCs/>
              </w:rPr>
              <w:t>Area of Strengths</w:t>
            </w:r>
          </w:p>
        </w:tc>
        <w:tc>
          <w:tcPr>
            <w:tcW w:w="1223" w:type="pct"/>
            <w:vAlign w:val="center"/>
          </w:tcPr>
          <w:p w14:paraId="24F314B7" w14:textId="77777777" w:rsidR="00435EE3" w:rsidRPr="008E6767" w:rsidRDefault="00435EE3" w:rsidP="00A97DEA">
            <w:pPr>
              <w:jc w:val="center"/>
              <w:rPr>
                <w:rFonts w:ascii="Arial" w:hAnsi="Arial" w:cs="Arial"/>
              </w:rPr>
            </w:pPr>
            <w:r w:rsidRPr="008E6767">
              <w:rPr>
                <w:rFonts w:ascii="Arial" w:hAnsi="Arial" w:cs="Arial"/>
              </w:rPr>
              <w:t>No description of CTE programs and/or systems that are successful</w:t>
            </w:r>
          </w:p>
        </w:tc>
        <w:tc>
          <w:tcPr>
            <w:tcW w:w="1224" w:type="pct"/>
            <w:vAlign w:val="center"/>
          </w:tcPr>
          <w:p w14:paraId="1C6E6E73" w14:textId="77777777" w:rsidR="00435EE3" w:rsidRPr="008E6767" w:rsidRDefault="00435EE3" w:rsidP="00A97DEA">
            <w:pPr>
              <w:jc w:val="center"/>
              <w:rPr>
                <w:rFonts w:ascii="Arial" w:hAnsi="Arial" w:cs="Arial"/>
              </w:rPr>
            </w:pPr>
            <w:r w:rsidRPr="008E6767">
              <w:rPr>
                <w:rFonts w:ascii="Arial" w:hAnsi="Arial" w:cs="Arial"/>
              </w:rPr>
              <w:t>Minimal description of a CTE programs and/or systems are successful.</w:t>
            </w:r>
          </w:p>
        </w:tc>
        <w:tc>
          <w:tcPr>
            <w:tcW w:w="1223" w:type="pct"/>
            <w:vAlign w:val="center"/>
          </w:tcPr>
          <w:p w14:paraId="538FED92" w14:textId="77777777" w:rsidR="00435EE3" w:rsidRPr="008E6767" w:rsidRDefault="00435EE3" w:rsidP="00A97DEA">
            <w:pPr>
              <w:jc w:val="center"/>
              <w:rPr>
                <w:rFonts w:ascii="Arial" w:hAnsi="Arial" w:cs="Arial"/>
              </w:rPr>
            </w:pPr>
            <w:r w:rsidRPr="008E6767">
              <w:rPr>
                <w:rFonts w:ascii="Arial" w:hAnsi="Arial" w:cs="Arial"/>
              </w:rPr>
              <w:t>Described in detail CTE programs and/or systems that are successful</w:t>
            </w:r>
          </w:p>
        </w:tc>
      </w:tr>
      <w:tr w:rsidR="00435EE3" w:rsidRPr="008E6767" w14:paraId="761FD7C0" w14:textId="77777777" w:rsidTr="00710933">
        <w:tc>
          <w:tcPr>
            <w:tcW w:w="1330" w:type="pct"/>
            <w:vAlign w:val="center"/>
          </w:tcPr>
          <w:p w14:paraId="51C14460" w14:textId="77777777" w:rsidR="00435EE3" w:rsidRPr="008E6767" w:rsidRDefault="00435EE3" w:rsidP="00A97DEA">
            <w:pPr>
              <w:jc w:val="center"/>
              <w:rPr>
                <w:rFonts w:ascii="Arial" w:hAnsi="Arial" w:cs="Arial"/>
                <w:b/>
                <w:bCs/>
              </w:rPr>
            </w:pPr>
            <w:r w:rsidRPr="008E6767">
              <w:rPr>
                <w:rFonts w:ascii="Arial" w:hAnsi="Arial" w:cs="Arial"/>
                <w:b/>
                <w:bCs/>
              </w:rPr>
              <w:t>Improvement Plans as aligned with Budget Narrative Worksheet</w:t>
            </w:r>
          </w:p>
        </w:tc>
        <w:tc>
          <w:tcPr>
            <w:tcW w:w="1223" w:type="pct"/>
            <w:vAlign w:val="center"/>
          </w:tcPr>
          <w:p w14:paraId="7E6901B8" w14:textId="77777777" w:rsidR="00435EE3" w:rsidRPr="008E6767" w:rsidRDefault="00435EE3" w:rsidP="00A97DEA">
            <w:pPr>
              <w:jc w:val="center"/>
              <w:rPr>
                <w:rFonts w:ascii="Arial" w:hAnsi="Arial" w:cs="Arial"/>
              </w:rPr>
            </w:pPr>
            <w:r w:rsidRPr="008E6767">
              <w:rPr>
                <w:rFonts w:ascii="Arial" w:hAnsi="Arial" w:cs="Arial"/>
              </w:rPr>
              <w:t>No description of what CTE programs and/or systems needed to be improved and did not correlate them to the budget narrative to implement improvements.</w:t>
            </w:r>
          </w:p>
        </w:tc>
        <w:tc>
          <w:tcPr>
            <w:tcW w:w="1224" w:type="pct"/>
            <w:vAlign w:val="center"/>
          </w:tcPr>
          <w:p w14:paraId="1D73F0CC" w14:textId="77777777" w:rsidR="00435EE3" w:rsidRPr="008E6767" w:rsidRDefault="00435EE3" w:rsidP="00A97DEA">
            <w:pPr>
              <w:jc w:val="center"/>
              <w:rPr>
                <w:rFonts w:ascii="Arial" w:hAnsi="Arial" w:cs="Arial"/>
              </w:rPr>
            </w:pPr>
            <w:r w:rsidRPr="008E6767">
              <w:rPr>
                <w:rFonts w:ascii="Arial" w:hAnsi="Arial" w:cs="Arial"/>
              </w:rPr>
              <w:t>Minimal description of what CTE programs and/or systems needed to be improved and did not correlate them to the budget narrative to implement improvements.</w:t>
            </w:r>
          </w:p>
        </w:tc>
        <w:tc>
          <w:tcPr>
            <w:tcW w:w="1223" w:type="pct"/>
            <w:vAlign w:val="center"/>
          </w:tcPr>
          <w:p w14:paraId="03E98CD1" w14:textId="77777777" w:rsidR="00435EE3" w:rsidRPr="008E6767" w:rsidRDefault="00435EE3" w:rsidP="00A97DEA">
            <w:pPr>
              <w:jc w:val="center"/>
              <w:rPr>
                <w:rFonts w:ascii="Arial" w:hAnsi="Arial" w:cs="Arial"/>
              </w:rPr>
            </w:pPr>
            <w:r w:rsidRPr="008E6767">
              <w:rPr>
                <w:rFonts w:ascii="Arial" w:hAnsi="Arial" w:cs="Arial"/>
              </w:rPr>
              <w:t>Detailed description of what CTE programs and/or systems needed to be improved and correlate them to the budget narrative to implement improvements.</w:t>
            </w:r>
          </w:p>
        </w:tc>
      </w:tr>
    </w:tbl>
    <w:p w14:paraId="3EA4D663" w14:textId="77777777" w:rsidR="003105A2" w:rsidRPr="008E6767" w:rsidRDefault="003105A2" w:rsidP="003105A2">
      <w:pPr>
        <w:spacing w:after="1920"/>
        <w:rPr>
          <w:rFonts w:eastAsia="Aptos"/>
          <w:b/>
          <w:bCs/>
          <w:kern w:val="2"/>
          <w:u w:val="single"/>
          <w14:ligatures w14:val="standardContextual"/>
        </w:rPr>
      </w:pPr>
    </w:p>
    <w:p w14:paraId="54C174B2" w14:textId="201BBE5D" w:rsidR="003105A2" w:rsidRPr="008E6767" w:rsidRDefault="003105A2" w:rsidP="00151E0D">
      <w:pPr>
        <w:pStyle w:val="Caption"/>
        <w:spacing w:after="240"/>
      </w:pPr>
      <w:r w:rsidRPr="008E6767">
        <w:lastRenderedPageBreak/>
        <w:t>Continued Financial Commitment</w:t>
      </w:r>
      <w:r w:rsidR="00143AB4" w:rsidRPr="008E6767">
        <w:t>: 1 Point Minimum and up to 2 Points Maximum</w:t>
      </w:r>
    </w:p>
    <w:tbl>
      <w:tblPr>
        <w:tblStyle w:val="TableGrid3"/>
        <w:tblW w:w="5226" w:type="pct"/>
        <w:tblLook w:val="04A0" w:firstRow="1" w:lastRow="0" w:firstColumn="1" w:lastColumn="0" w:noHBand="0" w:noVBand="1"/>
        <w:tblDescription w:val="Continued Financial Commitment/Scoring Rubric"/>
      </w:tblPr>
      <w:tblGrid>
        <w:gridCol w:w="3601"/>
        <w:gridCol w:w="3313"/>
        <w:gridCol w:w="3313"/>
        <w:gridCol w:w="3308"/>
      </w:tblGrid>
      <w:tr w:rsidR="00435EE3" w:rsidRPr="008E6767" w14:paraId="4B9C2FFE" w14:textId="77777777" w:rsidTr="00710933">
        <w:trPr>
          <w:trHeight w:val="432"/>
          <w:tblHeader/>
        </w:trPr>
        <w:tc>
          <w:tcPr>
            <w:tcW w:w="1330" w:type="pct"/>
            <w:shd w:val="clear" w:color="auto" w:fill="C1E4F5"/>
            <w:vAlign w:val="center"/>
          </w:tcPr>
          <w:p w14:paraId="43C4E78F" w14:textId="77777777" w:rsidR="00435EE3" w:rsidRPr="008E6767" w:rsidRDefault="00435EE3" w:rsidP="00B033D6">
            <w:pPr>
              <w:jc w:val="center"/>
              <w:rPr>
                <w:rFonts w:ascii="Arial" w:hAnsi="Arial" w:cs="Arial"/>
                <w:b/>
                <w:bCs/>
              </w:rPr>
            </w:pPr>
            <w:r w:rsidRPr="008E6767">
              <w:rPr>
                <w:rFonts w:ascii="Arial" w:hAnsi="Arial" w:cs="Arial"/>
                <w:b/>
                <w:bCs/>
              </w:rPr>
              <w:t>Category</w:t>
            </w:r>
          </w:p>
        </w:tc>
        <w:tc>
          <w:tcPr>
            <w:tcW w:w="1224" w:type="pct"/>
            <w:shd w:val="clear" w:color="auto" w:fill="C1E4F5"/>
            <w:vAlign w:val="center"/>
          </w:tcPr>
          <w:p w14:paraId="73F42346" w14:textId="77777777" w:rsidR="00435EE3" w:rsidRPr="008E6767" w:rsidRDefault="00435EE3" w:rsidP="00B033D6">
            <w:pPr>
              <w:jc w:val="center"/>
              <w:rPr>
                <w:rFonts w:ascii="Arial" w:hAnsi="Arial" w:cs="Arial"/>
                <w:b/>
                <w:bCs/>
              </w:rPr>
            </w:pPr>
            <w:r w:rsidRPr="008E6767">
              <w:rPr>
                <w:rFonts w:ascii="Arial" w:hAnsi="Arial" w:cs="Arial"/>
                <w:b/>
                <w:bCs/>
              </w:rPr>
              <w:t>0 Points</w:t>
            </w:r>
          </w:p>
        </w:tc>
        <w:tc>
          <w:tcPr>
            <w:tcW w:w="1224" w:type="pct"/>
            <w:shd w:val="clear" w:color="auto" w:fill="C1E4F5"/>
            <w:vAlign w:val="center"/>
          </w:tcPr>
          <w:p w14:paraId="77FA3BD2" w14:textId="77777777" w:rsidR="00435EE3" w:rsidRPr="008E6767" w:rsidRDefault="00435EE3" w:rsidP="00B033D6">
            <w:pPr>
              <w:jc w:val="center"/>
              <w:rPr>
                <w:rFonts w:ascii="Arial" w:hAnsi="Arial" w:cs="Arial"/>
                <w:b/>
                <w:bCs/>
              </w:rPr>
            </w:pPr>
            <w:r w:rsidRPr="008E6767">
              <w:rPr>
                <w:rFonts w:ascii="Arial" w:hAnsi="Arial" w:cs="Arial"/>
                <w:b/>
                <w:bCs/>
              </w:rPr>
              <w:t>1 Point</w:t>
            </w:r>
          </w:p>
        </w:tc>
        <w:tc>
          <w:tcPr>
            <w:tcW w:w="1223" w:type="pct"/>
            <w:shd w:val="clear" w:color="auto" w:fill="C1E4F5"/>
            <w:vAlign w:val="center"/>
          </w:tcPr>
          <w:p w14:paraId="55D5F02F" w14:textId="77777777" w:rsidR="00435EE3" w:rsidRPr="008E6767" w:rsidRDefault="00435EE3" w:rsidP="00B033D6">
            <w:pPr>
              <w:ind w:right="-108"/>
              <w:jc w:val="center"/>
              <w:rPr>
                <w:rFonts w:ascii="Arial" w:hAnsi="Arial" w:cs="Arial"/>
                <w:b/>
                <w:bCs/>
              </w:rPr>
            </w:pPr>
            <w:r w:rsidRPr="008E6767">
              <w:rPr>
                <w:rFonts w:ascii="Arial" w:hAnsi="Arial" w:cs="Arial"/>
                <w:b/>
                <w:bCs/>
              </w:rPr>
              <w:t>2 Points</w:t>
            </w:r>
          </w:p>
        </w:tc>
      </w:tr>
      <w:tr w:rsidR="00435EE3" w:rsidRPr="008E6767" w14:paraId="76D97822" w14:textId="77777777" w:rsidTr="00710933">
        <w:trPr>
          <w:trHeight w:val="1592"/>
        </w:trPr>
        <w:tc>
          <w:tcPr>
            <w:tcW w:w="1330" w:type="pct"/>
            <w:vAlign w:val="center"/>
          </w:tcPr>
          <w:p w14:paraId="41E9F279" w14:textId="77777777" w:rsidR="00435EE3" w:rsidRPr="008E6767" w:rsidRDefault="00435EE3" w:rsidP="00B033D6">
            <w:pPr>
              <w:jc w:val="center"/>
              <w:rPr>
                <w:rFonts w:ascii="Arial" w:hAnsi="Arial" w:cs="Arial"/>
                <w:b/>
                <w:bCs/>
              </w:rPr>
            </w:pPr>
            <w:r w:rsidRPr="008E6767">
              <w:rPr>
                <w:rFonts w:ascii="Arial" w:hAnsi="Arial" w:cs="Arial"/>
                <w:b/>
                <w:bCs/>
              </w:rPr>
              <w:t>Dollar Amount</w:t>
            </w:r>
          </w:p>
        </w:tc>
        <w:tc>
          <w:tcPr>
            <w:tcW w:w="1224" w:type="pct"/>
            <w:vAlign w:val="center"/>
          </w:tcPr>
          <w:p w14:paraId="4707E592" w14:textId="77777777" w:rsidR="00435EE3" w:rsidRPr="008E6767" w:rsidRDefault="00435EE3" w:rsidP="00B033D6">
            <w:pPr>
              <w:jc w:val="center"/>
              <w:rPr>
                <w:rFonts w:ascii="Arial" w:hAnsi="Arial" w:cs="Arial"/>
              </w:rPr>
            </w:pPr>
            <w:r w:rsidRPr="008E6767">
              <w:rPr>
                <w:rFonts w:ascii="Arial" w:hAnsi="Arial" w:cs="Arial"/>
              </w:rPr>
              <w:t>No dollar amounts indicated</w:t>
            </w:r>
          </w:p>
        </w:tc>
        <w:tc>
          <w:tcPr>
            <w:tcW w:w="1224" w:type="pct"/>
            <w:vAlign w:val="center"/>
          </w:tcPr>
          <w:p w14:paraId="14FEF52C" w14:textId="77777777" w:rsidR="00435EE3" w:rsidRPr="008E6767" w:rsidRDefault="00435EE3" w:rsidP="00B033D6">
            <w:pPr>
              <w:jc w:val="center"/>
              <w:rPr>
                <w:rFonts w:ascii="Arial" w:hAnsi="Arial" w:cs="Arial"/>
              </w:rPr>
            </w:pPr>
            <w:r w:rsidRPr="008E6767">
              <w:rPr>
                <w:rFonts w:ascii="Arial" w:hAnsi="Arial" w:cs="Arial"/>
              </w:rPr>
              <w:t>Dollar amounts are indicated for 2024</w:t>
            </w:r>
            <w:r w:rsidRPr="008E6767">
              <w:rPr>
                <w:rFonts w:ascii="Arial" w:hAnsi="Arial" w:cs="Arial"/>
                <w:bCs/>
              </w:rPr>
              <w:t>–</w:t>
            </w:r>
            <w:r w:rsidRPr="008E6767">
              <w:rPr>
                <w:rFonts w:ascii="Arial" w:hAnsi="Arial" w:cs="Arial"/>
              </w:rPr>
              <w:t>25, 2025</w:t>
            </w:r>
            <w:r w:rsidRPr="008E6767">
              <w:rPr>
                <w:rFonts w:ascii="Arial" w:hAnsi="Arial" w:cs="Arial"/>
                <w:bCs/>
              </w:rPr>
              <w:t>–</w:t>
            </w:r>
            <w:r w:rsidRPr="008E6767">
              <w:rPr>
                <w:rFonts w:ascii="Arial" w:hAnsi="Arial" w:cs="Arial"/>
              </w:rPr>
              <w:t>26, 2026</w:t>
            </w:r>
            <w:r w:rsidRPr="008E6767">
              <w:rPr>
                <w:rFonts w:ascii="Arial" w:hAnsi="Arial" w:cs="Arial"/>
                <w:bCs/>
              </w:rPr>
              <w:t>–</w:t>
            </w:r>
            <w:r w:rsidRPr="008E6767">
              <w:rPr>
                <w:rFonts w:ascii="Arial" w:hAnsi="Arial" w:cs="Arial"/>
              </w:rPr>
              <w:t>27 and 2027</w:t>
            </w:r>
            <w:r w:rsidRPr="008E6767">
              <w:rPr>
                <w:rFonts w:ascii="Arial" w:hAnsi="Arial" w:cs="Arial"/>
                <w:bCs/>
              </w:rPr>
              <w:t>–</w:t>
            </w:r>
            <w:r w:rsidRPr="008E6767">
              <w:rPr>
                <w:rFonts w:ascii="Arial" w:hAnsi="Arial" w:cs="Arial"/>
              </w:rPr>
              <w:t>28 but do not increase every year</w:t>
            </w:r>
          </w:p>
        </w:tc>
        <w:tc>
          <w:tcPr>
            <w:tcW w:w="1223" w:type="pct"/>
            <w:vAlign w:val="center"/>
          </w:tcPr>
          <w:p w14:paraId="14105860" w14:textId="77777777" w:rsidR="00435EE3" w:rsidRPr="008E6767" w:rsidRDefault="00435EE3" w:rsidP="00B033D6">
            <w:pPr>
              <w:jc w:val="center"/>
              <w:rPr>
                <w:rFonts w:ascii="Arial" w:hAnsi="Arial" w:cs="Arial"/>
              </w:rPr>
            </w:pPr>
            <w:r w:rsidRPr="008E6767">
              <w:rPr>
                <w:rFonts w:ascii="Arial" w:hAnsi="Arial" w:cs="Arial"/>
              </w:rPr>
              <w:t>Dollar amounts are indicated for 2024</w:t>
            </w:r>
            <w:r w:rsidRPr="008E6767">
              <w:rPr>
                <w:rFonts w:ascii="Arial" w:hAnsi="Arial" w:cs="Arial"/>
                <w:bCs/>
              </w:rPr>
              <w:t>–</w:t>
            </w:r>
            <w:r w:rsidRPr="008E6767">
              <w:rPr>
                <w:rFonts w:ascii="Arial" w:hAnsi="Arial" w:cs="Arial"/>
              </w:rPr>
              <w:t>25, 2025</w:t>
            </w:r>
            <w:r w:rsidRPr="008E6767">
              <w:rPr>
                <w:rFonts w:ascii="Arial" w:hAnsi="Arial" w:cs="Arial"/>
                <w:bCs/>
              </w:rPr>
              <w:t>–</w:t>
            </w:r>
            <w:r w:rsidRPr="008E6767">
              <w:rPr>
                <w:rFonts w:ascii="Arial" w:hAnsi="Arial" w:cs="Arial"/>
              </w:rPr>
              <w:t>26, 2026</w:t>
            </w:r>
            <w:r w:rsidRPr="008E6767">
              <w:rPr>
                <w:rFonts w:ascii="Arial" w:hAnsi="Arial" w:cs="Arial"/>
                <w:bCs/>
              </w:rPr>
              <w:t>–</w:t>
            </w:r>
            <w:r w:rsidRPr="008E6767">
              <w:rPr>
                <w:rFonts w:ascii="Arial" w:hAnsi="Arial" w:cs="Arial"/>
              </w:rPr>
              <w:t>27 and 2027</w:t>
            </w:r>
            <w:r w:rsidRPr="008E6767">
              <w:rPr>
                <w:rFonts w:ascii="Arial" w:hAnsi="Arial" w:cs="Arial"/>
                <w:bCs/>
              </w:rPr>
              <w:t>–</w:t>
            </w:r>
            <w:r w:rsidRPr="008E6767">
              <w:rPr>
                <w:rFonts w:ascii="Arial" w:hAnsi="Arial" w:cs="Arial"/>
              </w:rPr>
              <w:t>28 and increase year over year</w:t>
            </w:r>
          </w:p>
        </w:tc>
      </w:tr>
    </w:tbl>
    <w:p w14:paraId="18E35E98" w14:textId="77777777" w:rsidR="00143AB4" w:rsidRPr="008E6767" w:rsidRDefault="003105A2" w:rsidP="00151E0D">
      <w:pPr>
        <w:pStyle w:val="Caption"/>
        <w:spacing w:before="240" w:after="240"/>
      </w:pPr>
      <w:r w:rsidRPr="008E6767">
        <w:t>Proposed Budget</w:t>
      </w:r>
      <w:r w:rsidR="00143AB4" w:rsidRPr="008E6767">
        <w:t>: 1 Point Minimum and up to 2 Points Maximum</w:t>
      </w:r>
    </w:p>
    <w:tbl>
      <w:tblPr>
        <w:tblStyle w:val="TableGrid3"/>
        <w:tblW w:w="5227" w:type="pct"/>
        <w:tblLook w:val="04A0" w:firstRow="1" w:lastRow="0" w:firstColumn="1" w:lastColumn="0" w:noHBand="0" w:noVBand="1"/>
        <w:tblDescription w:val="Proposed Budget/Scoring Rubric"/>
      </w:tblPr>
      <w:tblGrid>
        <w:gridCol w:w="3599"/>
        <w:gridCol w:w="3314"/>
        <w:gridCol w:w="3314"/>
        <w:gridCol w:w="3311"/>
      </w:tblGrid>
      <w:tr w:rsidR="00435EE3" w:rsidRPr="008E6767" w14:paraId="1CF60842" w14:textId="77777777" w:rsidTr="00710933">
        <w:trPr>
          <w:trHeight w:val="432"/>
          <w:tblHeader/>
        </w:trPr>
        <w:tc>
          <w:tcPr>
            <w:tcW w:w="1329" w:type="pct"/>
            <w:shd w:val="clear" w:color="auto" w:fill="C1E4F5"/>
            <w:vAlign w:val="center"/>
          </w:tcPr>
          <w:p w14:paraId="080BF8C8" w14:textId="77777777" w:rsidR="00435EE3" w:rsidRPr="008E6767" w:rsidRDefault="00435EE3" w:rsidP="0091279C">
            <w:pPr>
              <w:jc w:val="center"/>
              <w:rPr>
                <w:rFonts w:ascii="Arial" w:hAnsi="Arial" w:cs="Arial"/>
                <w:b/>
                <w:bCs/>
              </w:rPr>
            </w:pPr>
            <w:r w:rsidRPr="008E6767">
              <w:rPr>
                <w:rFonts w:ascii="Arial" w:hAnsi="Arial" w:cs="Arial"/>
                <w:b/>
                <w:bCs/>
              </w:rPr>
              <w:t>Category</w:t>
            </w:r>
          </w:p>
        </w:tc>
        <w:tc>
          <w:tcPr>
            <w:tcW w:w="1224" w:type="pct"/>
            <w:shd w:val="clear" w:color="auto" w:fill="C1E4F5"/>
            <w:vAlign w:val="center"/>
          </w:tcPr>
          <w:p w14:paraId="4E53D43E" w14:textId="77777777" w:rsidR="00435EE3" w:rsidRPr="008E6767" w:rsidRDefault="00435EE3" w:rsidP="0091279C">
            <w:pPr>
              <w:jc w:val="center"/>
              <w:rPr>
                <w:rFonts w:ascii="Arial" w:hAnsi="Arial" w:cs="Arial"/>
                <w:b/>
                <w:bCs/>
              </w:rPr>
            </w:pPr>
            <w:r w:rsidRPr="008E6767">
              <w:rPr>
                <w:rFonts w:ascii="Arial" w:hAnsi="Arial" w:cs="Arial"/>
                <w:b/>
                <w:bCs/>
              </w:rPr>
              <w:t>0 Points</w:t>
            </w:r>
          </w:p>
        </w:tc>
        <w:tc>
          <w:tcPr>
            <w:tcW w:w="1224" w:type="pct"/>
            <w:shd w:val="clear" w:color="auto" w:fill="C1E4F5"/>
            <w:vAlign w:val="center"/>
          </w:tcPr>
          <w:p w14:paraId="01022239" w14:textId="77777777" w:rsidR="00435EE3" w:rsidRPr="008E6767" w:rsidRDefault="00435EE3" w:rsidP="0091279C">
            <w:pPr>
              <w:jc w:val="center"/>
              <w:rPr>
                <w:rFonts w:ascii="Arial" w:hAnsi="Arial" w:cs="Arial"/>
                <w:b/>
                <w:bCs/>
              </w:rPr>
            </w:pPr>
            <w:r w:rsidRPr="008E6767">
              <w:rPr>
                <w:rFonts w:ascii="Arial" w:hAnsi="Arial" w:cs="Arial"/>
                <w:b/>
                <w:bCs/>
              </w:rPr>
              <w:t>1 Point</w:t>
            </w:r>
          </w:p>
        </w:tc>
        <w:tc>
          <w:tcPr>
            <w:tcW w:w="1223" w:type="pct"/>
            <w:shd w:val="clear" w:color="auto" w:fill="C1E4F5"/>
            <w:vAlign w:val="center"/>
          </w:tcPr>
          <w:p w14:paraId="49E79410" w14:textId="77777777" w:rsidR="00435EE3" w:rsidRPr="008E6767" w:rsidRDefault="00435EE3" w:rsidP="0091279C">
            <w:pPr>
              <w:jc w:val="center"/>
              <w:rPr>
                <w:rFonts w:ascii="Arial" w:hAnsi="Arial" w:cs="Arial"/>
                <w:b/>
                <w:bCs/>
              </w:rPr>
            </w:pPr>
            <w:r w:rsidRPr="008E6767">
              <w:rPr>
                <w:rFonts w:ascii="Arial" w:hAnsi="Arial" w:cs="Arial"/>
                <w:b/>
                <w:bCs/>
              </w:rPr>
              <w:t>2 Points</w:t>
            </w:r>
          </w:p>
        </w:tc>
      </w:tr>
      <w:tr w:rsidR="00435EE3" w:rsidRPr="008E6767" w14:paraId="56E26A1E" w14:textId="77777777" w:rsidTr="00710933">
        <w:trPr>
          <w:trHeight w:val="1889"/>
        </w:trPr>
        <w:tc>
          <w:tcPr>
            <w:tcW w:w="1329" w:type="pct"/>
            <w:vAlign w:val="center"/>
          </w:tcPr>
          <w:p w14:paraId="25A77D95" w14:textId="77777777" w:rsidR="00435EE3" w:rsidRPr="008E6767" w:rsidRDefault="00435EE3" w:rsidP="0091279C">
            <w:pPr>
              <w:numPr>
                <w:ilvl w:val="0"/>
                <w:numId w:val="12"/>
              </w:numPr>
              <w:ind w:right="403"/>
              <w:contextualSpacing/>
              <w:rPr>
                <w:rFonts w:ascii="Arial" w:hAnsi="Arial" w:cs="Arial"/>
                <w:b/>
              </w:rPr>
            </w:pPr>
            <w:r w:rsidRPr="008E6767">
              <w:rPr>
                <w:rFonts w:ascii="Arial" w:hAnsi="Arial" w:cs="Arial"/>
                <w:b/>
              </w:rPr>
              <w:t>Detailed Expenditure Descriptions</w:t>
            </w:r>
          </w:p>
          <w:p w14:paraId="25897A0C" w14:textId="77777777" w:rsidR="00435EE3" w:rsidRPr="008E6767" w:rsidRDefault="00435EE3" w:rsidP="0091279C">
            <w:pPr>
              <w:numPr>
                <w:ilvl w:val="0"/>
                <w:numId w:val="12"/>
              </w:numPr>
              <w:ind w:right="403"/>
              <w:contextualSpacing/>
              <w:rPr>
                <w:rFonts w:ascii="Arial" w:hAnsi="Arial" w:cs="Arial"/>
                <w:b/>
              </w:rPr>
            </w:pPr>
            <w:r w:rsidRPr="008E6767">
              <w:rPr>
                <w:rFonts w:ascii="Arial" w:hAnsi="Arial" w:cs="Arial"/>
                <w:b/>
              </w:rPr>
              <w:t>Match Source</w:t>
            </w:r>
          </w:p>
          <w:p w14:paraId="261BEBB0" w14:textId="77777777" w:rsidR="00435EE3" w:rsidRPr="008E6767" w:rsidRDefault="00435EE3" w:rsidP="0091279C">
            <w:pPr>
              <w:widowControl w:val="0"/>
              <w:numPr>
                <w:ilvl w:val="0"/>
                <w:numId w:val="12"/>
              </w:numPr>
              <w:contextualSpacing/>
              <w:rPr>
                <w:rFonts w:ascii="Arial" w:hAnsi="Arial" w:cs="Arial"/>
                <w:b/>
              </w:rPr>
            </w:pPr>
            <w:r w:rsidRPr="008E6767">
              <w:rPr>
                <w:rFonts w:ascii="Arial" w:hAnsi="Arial" w:cs="Arial"/>
                <w:b/>
              </w:rPr>
              <w:t>Match Amount ($2)</w:t>
            </w:r>
          </w:p>
          <w:p w14:paraId="182D83CD" w14:textId="5568F42C" w:rsidR="00435EE3" w:rsidRPr="008E6767" w:rsidRDefault="00435EE3" w:rsidP="0091279C">
            <w:pPr>
              <w:numPr>
                <w:ilvl w:val="0"/>
                <w:numId w:val="12"/>
              </w:numPr>
              <w:contextualSpacing/>
              <w:rPr>
                <w:rFonts w:ascii="Arial" w:hAnsi="Arial" w:cs="Arial"/>
                <w:b/>
              </w:rPr>
            </w:pPr>
            <w:r w:rsidRPr="008E6767">
              <w:rPr>
                <w:rFonts w:ascii="Arial" w:hAnsi="Arial" w:cs="Arial"/>
                <w:b/>
              </w:rPr>
              <w:t xml:space="preserve">CTEIG Amount FY </w:t>
            </w:r>
            <w:r w:rsidR="0091279C" w:rsidRPr="008E6767">
              <w:rPr>
                <w:rFonts w:ascii="Arial" w:hAnsi="Arial" w:cs="Arial"/>
                <w:b/>
              </w:rPr>
              <w:br/>
            </w:r>
            <w:r w:rsidRPr="008E6767">
              <w:rPr>
                <w:rFonts w:ascii="Arial" w:hAnsi="Arial" w:cs="Arial"/>
                <w:b/>
              </w:rPr>
              <w:t>2025</w:t>
            </w:r>
            <w:r w:rsidRPr="008E6767">
              <w:rPr>
                <w:rFonts w:ascii="Arial" w:hAnsi="Arial" w:cs="Arial"/>
                <w:b/>
                <w:color w:val="000000"/>
              </w:rPr>
              <w:t>–</w:t>
            </w:r>
            <w:r w:rsidRPr="008E6767">
              <w:rPr>
                <w:rFonts w:ascii="Arial" w:hAnsi="Arial" w:cs="Arial"/>
                <w:b/>
              </w:rPr>
              <w:t>26</w:t>
            </w:r>
          </w:p>
          <w:p w14:paraId="2526002E" w14:textId="0532AA62" w:rsidR="00435EE3" w:rsidRPr="008E6767" w:rsidRDefault="00435EE3" w:rsidP="0091279C">
            <w:pPr>
              <w:numPr>
                <w:ilvl w:val="0"/>
                <w:numId w:val="12"/>
              </w:numPr>
              <w:contextualSpacing/>
              <w:rPr>
                <w:rFonts w:ascii="Arial" w:hAnsi="Arial" w:cs="Arial"/>
              </w:rPr>
            </w:pPr>
            <w:r w:rsidRPr="008E6767">
              <w:rPr>
                <w:rFonts w:ascii="Arial" w:hAnsi="Arial" w:cs="Arial"/>
                <w:b/>
                <w:bCs/>
                <w:color w:val="000000"/>
              </w:rPr>
              <w:t>Totals Tab</w:t>
            </w:r>
          </w:p>
        </w:tc>
        <w:tc>
          <w:tcPr>
            <w:tcW w:w="1224" w:type="pct"/>
            <w:vAlign w:val="center"/>
          </w:tcPr>
          <w:p w14:paraId="3DE19ABC" w14:textId="77777777" w:rsidR="00435EE3" w:rsidRPr="008E6767" w:rsidRDefault="00435EE3" w:rsidP="0091279C">
            <w:pPr>
              <w:jc w:val="center"/>
              <w:rPr>
                <w:rFonts w:ascii="Arial" w:hAnsi="Arial" w:cs="Arial"/>
              </w:rPr>
            </w:pPr>
            <w:r w:rsidRPr="008E6767">
              <w:rPr>
                <w:rFonts w:ascii="Arial" w:hAnsi="Arial" w:cs="Arial"/>
              </w:rPr>
              <w:t>Lacking details in narrative with 1 or more questions</w:t>
            </w:r>
          </w:p>
          <w:p w14:paraId="12F9F6B7" w14:textId="77777777" w:rsidR="00435EE3" w:rsidRPr="008E6767" w:rsidRDefault="00435EE3" w:rsidP="0091279C">
            <w:pPr>
              <w:jc w:val="center"/>
              <w:rPr>
                <w:rFonts w:ascii="Arial" w:hAnsi="Arial" w:cs="Arial"/>
              </w:rPr>
            </w:pPr>
          </w:p>
          <w:p w14:paraId="6A2D5B6E" w14:textId="2137A311" w:rsidR="00435EE3" w:rsidRPr="008E6767" w:rsidRDefault="00435EE3" w:rsidP="0091279C">
            <w:pPr>
              <w:jc w:val="center"/>
              <w:rPr>
                <w:rFonts w:ascii="Arial" w:hAnsi="Arial" w:cs="Arial"/>
              </w:rPr>
            </w:pPr>
            <w:r w:rsidRPr="008E6767">
              <w:rPr>
                <w:rFonts w:ascii="Arial" w:hAnsi="Arial" w:cs="Arial"/>
              </w:rPr>
              <w:t>Expenditures are not aligned to CTE Pathways</w:t>
            </w:r>
          </w:p>
        </w:tc>
        <w:tc>
          <w:tcPr>
            <w:tcW w:w="1224" w:type="pct"/>
            <w:vAlign w:val="center"/>
          </w:tcPr>
          <w:p w14:paraId="6919786E" w14:textId="03BF1A84" w:rsidR="00435EE3" w:rsidRPr="008E6767" w:rsidRDefault="00435EE3" w:rsidP="0091279C">
            <w:pPr>
              <w:jc w:val="center"/>
              <w:rPr>
                <w:rFonts w:ascii="Arial" w:hAnsi="Arial" w:cs="Arial"/>
              </w:rPr>
            </w:pPr>
            <w:r w:rsidRPr="008E6767">
              <w:rPr>
                <w:rFonts w:ascii="Arial" w:hAnsi="Arial" w:cs="Arial"/>
              </w:rPr>
              <w:t>Minimum details in narrative</w:t>
            </w:r>
          </w:p>
          <w:p w14:paraId="112DFC44" w14:textId="77777777" w:rsidR="00435EE3" w:rsidRPr="008E6767" w:rsidRDefault="00435EE3" w:rsidP="0091279C">
            <w:pPr>
              <w:jc w:val="center"/>
              <w:rPr>
                <w:rFonts w:ascii="Arial" w:hAnsi="Arial" w:cs="Arial"/>
              </w:rPr>
            </w:pPr>
          </w:p>
          <w:p w14:paraId="2C336A30" w14:textId="77777777" w:rsidR="00435EE3" w:rsidRPr="008E6767" w:rsidRDefault="00435EE3" w:rsidP="0091279C">
            <w:pPr>
              <w:jc w:val="center"/>
              <w:rPr>
                <w:rFonts w:ascii="Arial" w:hAnsi="Arial" w:cs="Arial"/>
              </w:rPr>
            </w:pPr>
            <w:r w:rsidRPr="008E6767">
              <w:rPr>
                <w:rFonts w:ascii="Arial" w:hAnsi="Arial" w:cs="Arial"/>
              </w:rPr>
              <w:t>Expenditures are somewhat aligned to CTE Pathways</w:t>
            </w:r>
          </w:p>
          <w:p w14:paraId="4B7D70BA" w14:textId="77777777" w:rsidR="00435EE3" w:rsidRPr="008E6767" w:rsidRDefault="00435EE3" w:rsidP="0091279C">
            <w:pPr>
              <w:jc w:val="center"/>
              <w:rPr>
                <w:rFonts w:ascii="Arial" w:hAnsi="Arial" w:cs="Arial"/>
              </w:rPr>
            </w:pPr>
          </w:p>
          <w:p w14:paraId="42F218BC" w14:textId="797CC5EA" w:rsidR="00435EE3" w:rsidRPr="008E6767" w:rsidRDefault="00435EE3" w:rsidP="0091279C">
            <w:pPr>
              <w:jc w:val="center"/>
              <w:rPr>
                <w:rFonts w:ascii="Arial" w:hAnsi="Arial" w:cs="Arial"/>
                <w:strike/>
              </w:rPr>
            </w:pPr>
            <w:r w:rsidRPr="008E6767">
              <w:rPr>
                <w:rFonts w:ascii="Arial" w:hAnsi="Arial" w:cs="Arial"/>
              </w:rPr>
              <w:t>Proposes non-allowable or multiple non-CTE expenditures</w:t>
            </w:r>
          </w:p>
        </w:tc>
        <w:tc>
          <w:tcPr>
            <w:tcW w:w="1223" w:type="pct"/>
            <w:vAlign w:val="center"/>
          </w:tcPr>
          <w:p w14:paraId="5CABAF26" w14:textId="77777777" w:rsidR="00435EE3" w:rsidRPr="008E6767" w:rsidRDefault="00435EE3" w:rsidP="0091279C">
            <w:pPr>
              <w:autoSpaceDE w:val="0"/>
              <w:autoSpaceDN w:val="0"/>
              <w:adjustRightInd w:val="0"/>
              <w:jc w:val="center"/>
              <w:rPr>
                <w:rFonts w:ascii="Arial" w:hAnsi="Arial" w:cs="Arial"/>
                <w:color w:val="000000"/>
              </w:rPr>
            </w:pPr>
            <w:r w:rsidRPr="008E6767">
              <w:rPr>
                <w:rFonts w:ascii="Arial" w:hAnsi="Arial" w:cs="Arial"/>
                <w:color w:val="000000"/>
              </w:rPr>
              <w:t>Detailed narrative</w:t>
            </w:r>
          </w:p>
          <w:p w14:paraId="416B3041" w14:textId="77777777" w:rsidR="00435EE3" w:rsidRPr="008E6767" w:rsidRDefault="00435EE3" w:rsidP="0091279C">
            <w:pPr>
              <w:autoSpaceDE w:val="0"/>
              <w:autoSpaceDN w:val="0"/>
              <w:adjustRightInd w:val="0"/>
              <w:jc w:val="center"/>
              <w:rPr>
                <w:rFonts w:ascii="Arial" w:hAnsi="Arial" w:cs="Arial"/>
                <w:color w:val="000000"/>
              </w:rPr>
            </w:pPr>
          </w:p>
          <w:p w14:paraId="4826F339" w14:textId="77777777" w:rsidR="00435EE3" w:rsidRPr="008E6767" w:rsidRDefault="00435EE3" w:rsidP="0091279C">
            <w:pPr>
              <w:autoSpaceDE w:val="0"/>
              <w:autoSpaceDN w:val="0"/>
              <w:adjustRightInd w:val="0"/>
              <w:jc w:val="center"/>
              <w:rPr>
                <w:rFonts w:ascii="Arial" w:hAnsi="Arial" w:cs="Arial"/>
                <w:color w:val="000000"/>
              </w:rPr>
            </w:pPr>
            <w:r w:rsidRPr="008E6767">
              <w:rPr>
                <w:rFonts w:ascii="Arial" w:hAnsi="Arial" w:cs="Arial"/>
                <w:color w:val="000000"/>
              </w:rPr>
              <w:t>Expenditures are explicitly aligned to CTE Pathways</w:t>
            </w:r>
          </w:p>
          <w:p w14:paraId="194DA1BC" w14:textId="77777777" w:rsidR="00435EE3" w:rsidRPr="008E6767" w:rsidRDefault="00435EE3" w:rsidP="0091279C">
            <w:pPr>
              <w:jc w:val="center"/>
              <w:rPr>
                <w:rFonts w:ascii="Arial" w:hAnsi="Arial" w:cs="Arial"/>
              </w:rPr>
            </w:pPr>
          </w:p>
        </w:tc>
      </w:tr>
    </w:tbl>
    <w:p w14:paraId="24B136CC" w14:textId="77777777" w:rsidR="00143AB4" w:rsidRPr="008E6767" w:rsidRDefault="003105A2" w:rsidP="00151E0D">
      <w:pPr>
        <w:pStyle w:val="Caption"/>
        <w:spacing w:before="240" w:after="240"/>
      </w:pPr>
      <w:r w:rsidRPr="008E6767">
        <w:t>LCAP</w:t>
      </w:r>
      <w:r w:rsidR="00143AB4" w:rsidRPr="008E6767">
        <w:t>: 1 Point Minimum and up to 2 Points Maximum</w:t>
      </w:r>
    </w:p>
    <w:tbl>
      <w:tblPr>
        <w:tblStyle w:val="TableGrid3"/>
        <w:tblW w:w="5227" w:type="pct"/>
        <w:tblLook w:val="04A0" w:firstRow="1" w:lastRow="0" w:firstColumn="1" w:lastColumn="0" w:noHBand="0" w:noVBand="1"/>
        <w:tblDescription w:val="LCAP/Scoring Rubric"/>
      </w:tblPr>
      <w:tblGrid>
        <w:gridCol w:w="3602"/>
        <w:gridCol w:w="3312"/>
        <w:gridCol w:w="3312"/>
        <w:gridCol w:w="3312"/>
      </w:tblGrid>
      <w:tr w:rsidR="00435EE3" w:rsidRPr="008E6767" w14:paraId="4F619111" w14:textId="77777777" w:rsidTr="00710933">
        <w:trPr>
          <w:trHeight w:val="432"/>
          <w:tblHeader/>
        </w:trPr>
        <w:tc>
          <w:tcPr>
            <w:tcW w:w="1330" w:type="pct"/>
            <w:shd w:val="clear" w:color="auto" w:fill="C1E4F5"/>
            <w:vAlign w:val="center"/>
          </w:tcPr>
          <w:p w14:paraId="6D1258DE" w14:textId="77777777" w:rsidR="00435EE3" w:rsidRPr="008E6767" w:rsidRDefault="00435EE3" w:rsidP="0091279C">
            <w:pPr>
              <w:jc w:val="center"/>
              <w:rPr>
                <w:rFonts w:ascii="Arial" w:hAnsi="Arial" w:cs="Arial"/>
                <w:b/>
                <w:bCs/>
              </w:rPr>
            </w:pPr>
            <w:r w:rsidRPr="008E6767">
              <w:rPr>
                <w:rFonts w:ascii="Arial" w:hAnsi="Arial" w:cs="Arial"/>
                <w:b/>
                <w:bCs/>
              </w:rPr>
              <w:t>Category</w:t>
            </w:r>
          </w:p>
        </w:tc>
        <w:tc>
          <w:tcPr>
            <w:tcW w:w="1223" w:type="pct"/>
            <w:shd w:val="clear" w:color="auto" w:fill="C1E4F5"/>
            <w:vAlign w:val="center"/>
          </w:tcPr>
          <w:p w14:paraId="73E834C1" w14:textId="77777777" w:rsidR="00435EE3" w:rsidRPr="008E6767" w:rsidRDefault="00435EE3" w:rsidP="0091279C">
            <w:pPr>
              <w:jc w:val="center"/>
              <w:rPr>
                <w:rFonts w:ascii="Arial" w:hAnsi="Arial" w:cs="Arial"/>
                <w:b/>
                <w:bCs/>
              </w:rPr>
            </w:pPr>
            <w:r w:rsidRPr="008E6767">
              <w:rPr>
                <w:rFonts w:ascii="Arial" w:hAnsi="Arial" w:cs="Arial"/>
                <w:b/>
                <w:bCs/>
              </w:rPr>
              <w:t>0 Points</w:t>
            </w:r>
          </w:p>
        </w:tc>
        <w:tc>
          <w:tcPr>
            <w:tcW w:w="1223" w:type="pct"/>
            <w:shd w:val="clear" w:color="auto" w:fill="C1E4F5"/>
            <w:vAlign w:val="center"/>
          </w:tcPr>
          <w:p w14:paraId="2E3CD6E9" w14:textId="77777777" w:rsidR="00435EE3" w:rsidRPr="008E6767" w:rsidRDefault="00435EE3" w:rsidP="0091279C">
            <w:pPr>
              <w:jc w:val="center"/>
              <w:rPr>
                <w:rFonts w:ascii="Arial" w:hAnsi="Arial" w:cs="Arial"/>
                <w:b/>
                <w:bCs/>
              </w:rPr>
            </w:pPr>
            <w:r w:rsidRPr="008E6767">
              <w:rPr>
                <w:rFonts w:ascii="Arial" w:hAnsi="Arial" w:cs="Arial"/>
                <w:b/>
                <w:bCs/>
              </w:rPr>
              <w:t>1 Point</w:t>
            </w:r>
          </w:p>
        </w:tc>
        <w:tc>
          <w:tcPr>
            <w:tcW w:w="1223" w:type="pct"/>
            <w:shd w:val="clear" w:color="auto" w:fill="C1E4F5"/>
            <w:vAlign w:val="center"/>
          </w:tcPr>
          <w:p w14:paraId="6F0D79CA" w14:textId="77777777" w:rsidR="00435EE3" w:rsidRPr="008E6767" w:rsidRDefault="00435EE3" w:rsidP="0091279C">
            <w:pPr>
              <w:jc w:val="center"/>
              <w:rPr>
                <w:rFonts w:ascii="Arial" w:hAnsi="Arial" w:cs="Arial"/>
                <w:b/>
                <w:bCs/>
              </w:rPr>
            </w:pPr>
            <w:r w:rsidRPr="008E6767">
              <w:rPr>
                <w:rFonts w:ascii="Arial" w:hAnsi="Arial" w:cs="Arial"/>
                <w:b/>
                <w:bCs/>
              </w:rPr>
              <w:t>2 Points</w:t>
            </w:r>
          </w:p>
        </w:tc>
      </w:tr>
      <w:tr w:rsidR="00435EE3" w:rsidRPr="00B033D6" w14:paraId="3CEEA098" w14:textId="77777777" w:rsidTr="00710933">
        <w:tc>
          <w:tcPr>
            <w:tcW w:w="1330" w:type="pct"/>
            <w:vAlign w:val="center"/>
          </w:tcPr>
          <w:p w14:paraId="6D071051" w14:textId="77777777" w:rsidR="00435EE3" w:rsidRPr="008E6767" w:rsidRDefault="00435EE3" w:rsidP="0091279C">
            <w:pPr>
              <w:jc w:val="center"/>
              <w:rPr>
                <w:rFonts w:ascii="Arial" w:hAnsi="Arial" w:cs="Arial"/>
                <w:b/>
                <w:bCs/>
              </w:rPr>
            </w:pPr>
            <w:r w:rsidRPr="008E6767">
              <w:rPr>
                <w:rFonts w:ascii="Arial" w:hAnsi="Arial" w:cs="Arial"/>
                <w:b/>
                <w:bCs/>
              </w:rPr>
              <w:t>LCAP</w:t>
            </w:r>
          </w:p>
        </w:tc>
        <w:tc>
          <w:tcPr>
            <w:tcW w:w="1223" w:type="pct"/>
            <w:vAlign w:val="center"/>
          </w:tcPr>
          <w:p w14:paraId="4309D6C8" w14:textId="77777777" w:rsidR="00435EE3" w:rsidRPr="008E6767" w:rsidRDefault="00435EE3" w:rsidP="0091279C">
            <w:pPr>
              <w:jc w:val="center"/>
              <w:rPr>
                <w:rFonts w:ascii="Arial" w:hAnsi="Arial" w:cs="Arial"/>
              </w:rPr>
            </w:pPr>
            <w:r w:rsidRPr="008E6767">
              <w:rPr>
                <w:rFonts w:ascii="Arial" w:hAnsi="Arial" w:cs="Arial"/>
              </w:rPr>
              <w:t>The 2024</w:t>
            </w:r>
            <w:r w:rsidRPr="008E6767">
              <w:rPr>
                <w:rFonts w:ascii="Arial" w:hAnsi="Arial" w:cs="Arial"/>
                <w:bCs/>
              </w:rPr>
              <w:t>–</w:t>
            </w:r>
            <w:r w:rsidRPr="008E6767">
              <w:rPr>
                <w:rFonts w:ascii="Arial" w:hAnsi="Arial" w:cs="Arial"/>
              </w:rPr>
              <w:t>25 LCAP shows no evidence of CTE inclusion.</w:t>
            </w:r>
          </w:p>
          <w:p w14:paraId="6B818B19" w14:textId="77777777" w:rsidR="00435EE3" w:rsidRPr="008E6767" w:rsidRDefault="00435EE3" w:rsidP="0091279C">
            <w:pPr>
              <w:jc w:val="center"/>
              <w:rPr>
                <w:rFonts w:ascii="Arial" w:hAnsi="Arial" w:cs="Arial"/>
              </w:rPr>
            </w:pPr>
          </w:p>
        </w:tc>
        <w:tc>
          <w:tcPr>
            <w:tcW w:w="1223" w:type="pct"/>
            <w:vAlign w:val="center"/>
          </w:tcPr>
          <w:p w14:paraId="63C2331E" w14:textId="423A9A70" w:rsidR="00435EE3" w:rsidRPr="008E6767" w:rsidRDefault="00435EE3" w:rsidP="0091279C">
            <w:pPr>
              <w:jc w:val="center"/>
              <w:rPr>
                <w:rFonts w:ascii="Arial" w:hAnsi="Arial" w:cs="Arial"/>
              </w:rPr>
            </w:pPr>
            <w:r w:rsidRPr="008E6767">
              <w:rPr>
                <w:rFonts w:ascii="Arial" w:hAnsi="Arial" w:cs="Arial"/>
              </w:rPr>
              <w:t>The 2024</w:t>
            </w:r>
            <w:r w:rsidRPr="008E6767">
              <w:rPr>
                <w:rFonts w:ascii="Arial" w:hAnsi="Arial" w:cs="Arial"/>
                <w:bCs/>
              </w:rPr>
              <w:t>–</w:t>
            </w:r>
            <w:r w:rsidRPr="008E6767">
              <w:rPr>
                <w:rFonts w:ascii="Arial" w:hAnsi="Arial" w:cs="Arial"/>
              </w:rPr>
              <w:t>25 LCAP shows some evidence of CTE inclusion but lacks clear ties to proposed budget.</w:t>
            </w:r>
          </w:p>
        </w:tc>
        <w:tc>
          <w:tcPr>
            <w:tcW w:w="1223" w:type="pct"/>
            <w:vAlign w:val="center"/>
          </w:tcPr>
          <w:p w14:paraId="2C2FFB9D" w14:textId="5D439832" w:rsidR="00435EE3" w:rsidRPr="00B033D6" w:rsidRDefault="00435EE3" w:rsidP="0091279C">
            <w:pPr>
              <w:jc w:val="center"/>
              <w:rPr>
                <w:rFonts w:ascii="Arial" w:hAnsi="Arial" w:cs="Arial"/>
              </w:rPr>
            </w:pPr>
            <w:r w:rsidRPr="008E6767">
              <w:rPr>
                <w:rFonts w:ascii="Arial" w:hAnsi="Arial" w:cs="Arial"/>
              </w:rPr>
              <w:t>The 2024</w:t>
            </w:r>
            <w:r w:rsidRPr="008E6767">
              <w:rPr>
                <w:rFonts w:ascii="Arial" w:hAnsi="Arial" w:cs="Arial"/>
                <w:bCs/>
              </w:rPr>
              <w:t>–</w:t>
            </w:r>
            <w:r w:rsidRPr="008E6767">
              <w:rPr>
                <w:rFonts w:ascii="Arial" w:hAnsi="Arial" w:cs="Arial"/>
              </w:rPr>
              <w:t>25 LCAP shows clear and explicit inclusion of CTE, has clear ties to the proposed budget.</w:t>
            </w:r>
          </w:p>
        </w:tc>
      </w:tr>
    </w:tbl>
    <w:p w14:paraId="7239C9AC" w14:textId="33210B95" w:rsidR="003105A2" w:rsidRPr="00B033D6" w:rsidRDefault="003105A2" w:rsidP="0091279C">
      <w:pPr>
        <w:spacing w:after="240"/>
        <w:rPr>
          <w:bCs/>
        </w:rPr>
      </w:pPr>
    </w:p>
    <w:sectPr w:rsidR="003105A2" w:rsidRPr="00B033D6" w:rsidSect="000A77A9">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1417" w14:textId="77777777" w:rsidR="007C5C79" w:rsidRDefault="007C5C79">
      <w:r>
        <w:separator/>
      </w:r>
    </w:p>
  </w:endnote>
  <w:endnote w:type="continuationSeparator" w:id="0">
    <w:p w14:paraId="66A211C1" w14:textId="77777777" w:rsidR="007C5C79" w:rsidRDefault="007C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140894"/>
      <w:docPartObj>
        <w:docPartGallery w:val="Page Numbers (Bottom of Page)"/>
        <w:docPartUnique/>
      </w:docPartObj>
    </w:sdtPr>
    <w:sdtEndPr>
      <w:rPr>
        <w:noProof/>
      </w:rPr>
    </w:sdtEndPr>
    <w:sdtContent>
      <w:p w14:paraId="5E36ED0E" w14:textId="688DFFBC" w:rsidR="00B920EF" w:rsidRPr="00061E45" w:rsidRDefault="006B0E7D" w:rsidP="00C05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E257" w14:textId="62023A7B" w:rsidR="0008160B" w:rsidRDefault="0008160B" w:rsidP="0008160B">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9EC4" w14:textId="77777777" w:rsidR="007C5C79" w:rsidRDefault="007C5C79">
      <w:r>
        <w:separator/>
      </w:r>
    </w:p>
  </w:footnote>
  <w:footnote w:type="continuationSeparator" w:id="0">
    <w:p w14:paraId="2416F74F" w14:textId="77777777" w:rsidR="007C5C79" w:rsidRDefault="007C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A4"/>
    <w:multiLevelType w:val="hybridMultilevel"/>
    <w:tmpl w:val="23C80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140"/>
    <w:multiLevelType w:val="hybridMultilevel"/>
    <w:tmpl w:val="975C2658"/>
    <w:lvl w:ilvl="0" w:tplc="40EAD6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70606"/>
    <w:multiLevelType w:val="hybridMultilevel"/>
    <w:tmpl w:val="F620BA10"/>
    <w:lvl w:ilvl="0" w:tplc="9FA03FA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62844"/>
    <w:multiLevelType w:val="hybridMultilevel"/>
    <w:tmpl w:val="E0E08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E6AA5"/>
    <w:multiLevelType w:val="hybridMultilevel"/>
    <w:tmpl w:val="142E987A"/>
    <w:lvl w:ilvl="0" w:tplc="7B1C4A2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E7E95"/>
    <w:multiLevelType w:val="hybridMultilevel"/>
    <w:tmpl w:val="F1F4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D66CA"/>
    <w:multiLevelType w:val="hybridMultilevel"/>
    <w:tmpl w:val="1BD8A87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91A49"/>
    <w:multiLevelType w:val="hybridMultilevel"/>
    <w:tmpl w:val="44F83F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3F9642D"/>
    <w:multiLevelType w:val="multilevel"/>
    <w:tmpl w:val="96F4BE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CD2533C"/>
    <w:multiLevelType w:val="hybridMultilevel"/>
    <w:tmpl w:val="47D2C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65950"/>
    <w:multiLevelType w:val="hybridMultilevel"/>
    <w:tmpl w:val="5E541BF0"/>
    <w:lvl w:ilvl="0" w:tplc="B47A1DB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5872B5"/>
    <w:multiLevelType w:val="hybridMultilevel"/>
    <w:tmpl w:val="CA1C4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A4BF3"/>
    <w:multiLevelType w:val="hybridMultilevel"/>
    <w:tmpl w:val="0138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6761"/>
    <w:multiLevelType w:val="hybridMultilevel"/>
    <w:tmpl w:val="9F92405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806963"/>
    <w:multiLevelType w:val="hybridMultilevel"/>
    <w:tmpl w:val="B1300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34B2E"/>
    <w:multiLevelType w:val="hybridMultilevel"/>
    <w:tmpl w:val="C2B8C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A20C79"/>
    <w:multiLevelType w:val="hybridMultilevel"/>
    <w:tmpl w:val="EBEA2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15F07"/>
    <w:multiLevelType w:val="hybridMultilevel"/>
    <w:tmpl w:val="A064A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C0D36"/>
    <w:multiLevelType w:val="hybridMultilevel"/>
    <w:tmpl w:val="0D0C087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9612A4"/>
    <w:multiLevelType w:val="hybridMultilevel"/>
    <w:tmpl w:val="181064A4"/>
    <w:lvl w:ilvl="0" w:tplc="58924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C0D63"/>
    <w:multiLevelType w:val="hybridMultilevel"/>
    <w:tmpl w:val="6F188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C4E9A"/>
    <w:multiLevelType w:val="hybridMultilevel"/>
    <w:tmpl w:val="7EF61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56D97"/>
    <w:multiLevelType w:val="hybridMultilevel"/>
    <w:tmpl w:val="23828AEC"/>
    <w:lvl w:ilvl="0" w:tplc="59020C96">
      <w:numFmt w:val="bullet"/>
      <w:lvlText w:val="-"/>
      <w:lvlJc w:val="left"/>
      <w:pPr>
        <w:ind w:left="630" w:hanging="360"/>
      </w:pPr>
      <w:rPr>
        <w:rFonts w:ascii="Arial" w:eastAsia="Arial"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A8642C9"/>
    <w:multiLevelType w:val="hybridMultilevel"/>
    <w:tmpl w:val="AE94E23E"/>
    <w:lvl w:ilvl="0" w:tplc="C23603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51BCF"/>
    <w:multiLevelType w:val="hybridMultilevel"/>
    <w:tmpl w:val="E4C86BC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A26052"/>
    <w:multiLevelType w:val="multilevel"/>
    <w:tmpl w:val="740A1AA8"/>
    <w:lvl w:ilvl="0">
      <w:start w:val="1"/>
      <w:numFmt w:val="lowerLetter"/>
      <w:lvlText w:val="%1)"/>
      <w:lvlJc w:val="left"/>
      <w:pPr>
        <w:ind w:left="1080" w:hanging="360"/>
      </w:pPr>
    </w:lvl>
    <w:lvl w:ilvl="1">
      <w:start w:val="1"/>
      <w:numFmt w:val="lowerRoman"/>
      <w:lvlText w:val="%2."/>
      <w:lvlJc w:val="left"/>
      <w:pPr>
        <w:ind w:left="1800" w:hanging="360"/>
      </w:pPr>
      <w:rPr>
        <w:rFonts w:ascii="Verdana" w:eastAsia="Arial" w:hAnsi="Verdana"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7C325AF"/>
    <w:multiLevelType w:val="hybridMultilevel"/>
    <w:tmpl w:val="BB620DFC"/>
    <w:lvl w:ilvl="0" w:tplc="346218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9468F"/>
    <w:multiLevelType w:val="hybridMultilevel"/>
    <w:tmpl w:val="35C432C6"/>
    <w:lvl w:ilvl="0" w:tplc="9F10A44E">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378CF"/>
    <w:multiLevelType w:val="hybridMultilevel"/>
    <w:tmpl w:val="387A2960"/>
    <w:lvl w:ilvl="0" w:tplc="FFFFFFFF">
      <w:start w:val="1"/>
      <w:numFmt w:val="upperLetter"/>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9C10AD00">
      <w:start w:val="2"/>
      <w:numFmt w:val="upperRoman"/>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070B9"/>
    <w:multiLevelType w:val="hybridMultilevel"/>
    <w:tmpl w:val="768E9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964DB0"/>
    <w:multiLevelType w:val="hybridMultilevel"/>
    <w:tmpl w:val="37841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3E0B76"/>
    <w:multiLevelType w:val="hybridMultilevel"/>
    <w:tmpl w:val="4F025F9C"/>
    <w:lvl w:ilvl="0" w:tplc="8DE27866">
      <w:start w:val="1"/>
      <w:numFmt w:val="upperRoman"/>
      <w:lvlText w:val="%1."/>
      <w:lvlJc w:val="left"/>
      <w:pPr>
        <w:ind w:left="720" w:hanging="720"/>
      </w:pPr>
      <w:rPr>
        <w:rFonts w:hint="default"/>
        <w:b w:val="0"/>
        <w:bCs w:val="0"/>
        <w:u w:val="none"/>
      </w:rPr>
    </w:lvl>
    <w:lvl w:ilvl="1" w:tplc="CCA09284">
      <w:start w:val="1"/>
      <w:numFmt w:val="decimal"/>
      <w:lvlText w:val="%2."/>
      <w:lvlJc w:val="left"/>
      <w:pPr>
        <w:ind w:left="720" w:hanging="360"/>
      </w:pPr>
      <w:rPr>
        <w:b w:val="0"/>
        <w:bCs/>
      </w:rPr>
    </w:lvl>
    <w:lvl w:ilvl="2" w:tplc="4B72A716">
      <w:start w:val="1"/>
      <w:numFmt w:val="upperRoman"/>
      <w:lvlText w:val="(%3)"/>
      <w:lvlJc w:val="left"/>
      <w:pPr>
        <w:ind w:left="2700" w:hanging="10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49205E"/>
    <w:multiLevelType w:val="hybridMultilevel"/>
    <w:tmpl w:val="AE36CC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DF1CE0"/>
    <w:multiLevelType w:val="hybridMultilevel"/>
    <w:tmpl w:val="374E3D30"/>
    <w:lvl w:ilvl="0" w:tplc="D5A844C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2254B"/>
    <w:multiLevelType w:val="hybridMultilevel"/>
    <w:tmpl w:val="EDD4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11D7B"/>
    <w:multiLevelType w:val="hybridMultilevel"/>
    <w:tmpl w:val="6BB0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96142"/>
    <w:multiLevelType w:val="multilevel"/>
    <w:tmpl w:val="CD06E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2155608">
    <w:abstractNumId w:val="25"/>
  </w:num>
  <w:num w:numId="2" w16cid:durableId="119422431">
    <w:abstractNumId w:val="35"/>
  </w:num>
  <w:num w:numId="3" w16cid:durableId="1401705996">
    <w:abstractNumId w:val="15"/>
  </w:num>
  <w:num w:numId="4" w16cid:durableId="1878010489">
    <w:abstractNumId w:val="29"/>
  </w:num>
  <w:num w:numId="5" w16cid:durableId="2070495616">
    <w:abstractNumId w:val="12"/>
  </w:num>
  <w:num w:numId="6" w16cid:durableId="954868269">
    <w:abstractNumId w:val="31"/>
  </w:num>
  <w:num w:numId="7" w16cid:durableId="1044983443">
    <w:abstractNumId w:val="33"/>
  </w:num>
  <w:num w:numId="8" w16cid:durableId="1794136630">
    <w:abstractNumId w:val="9"/>
  </w:num>
  <w:num w:numId="9" w16cid:durableId="504321249">
    <w:abstractNumId w:val="2"/>
  </w:num>
  <w:num w:numId="10" w16cid:durableId="306592633">
    <w:abstractNumId w:val="17"/>
  </w:num>
  <w:num w:numId="11" w16cid:durableId="1760326400">
    <w:abstractNumId w:val="10"/>
  </w:num>
  <w:num w:numId="12" w16cid:durableId="1559823882">
    <w:abstractNumId w:val="30"/>
  </w:num>
  <w:num w:numId="13" w16cid:durableId="1661418640">
    <w:abstractNumId w:val="13"/>
  </w:num>
  <w:num w:numId="14" w16cid:durableId="734474244">
    <w:abstractNumId w:val="6"/>
  </w:num>
  <w:num w:numId="15" w16cid:durableId="1574505389">
    <w:abstractNumId w:val="8"/>
  </w:num>
  <w:num w:numId="16" w16cid:durableId="2131970788">
    <w:abstractNumId w:val="36"/>
  </w:num>
  <w:num w:numId="17" w16cid:durableId="1030960758">
    <w:abstractNumId w:val="16"/>
  </w:num>
  <w:num w:numId="18" w16cid:durableId="1634866580">
    <w:abstractNumId w:val="5"/>
  </w:num>
  <w:num w:numId="19" w16cid:durableId="395935612">
    <w:abstractNumId w:val="14"/>
  </w:num>
  <w:num w:numId="20" w16cid:durableId="944458320">
    <w:abstractNumId w:val="11"/>
  </w:num>
  <w:num w:numId="21" w16cid:durableId="1198547065">
    <w:abstractNumId w:val="22"/>
  </w:num>
  <w:num w:numId="22" w16cid:durableId="338198094">
    <w:abstractNumId w:val="4"/>
  </w:num>
  <w:num w:numId="23" w16cid:durableId="1594822598">
    <w:abstractNumId w:val="7"/>
  </w:num>
  <w:num w:numId="24" w16cid:durableId="612253864">
    <w:abstractNumId w:val="24"/>
  </w:num>
  <w:num w:numId="25" w16cid:durableId="1438718487">
    <w:abstractNumId w:val="28"/>
  </w:num>
  <w:num w:numId="26" w16cid:durableId="1142501261">
    <w:abstractNumId w:val="18"/>
  </w:num>
  <w:num w:numId="27" w16cid:durableId="673722084">
    <w:abstractNumId w:val="19"/>
  </w:num>
  <w:num w:numId="28" w16cid:durableId="1504392158">
    <w:abstractNumId w:val="1"/>
  </w:num>
  <w:num w:numId="29" w16cid:durableId="1484157724">
    <w:abstractNumId w:val="20"/>
  </w:num>
  <w:num w:numId="30" w16cid:durableId="492456586">
    <w:abstractNumId w:val="23"/>
  </w:num>
  <w:num w:numId="31" w16cid:durableId="1618026079">
    <w:abstractNumId w:val="27"/>
  </w:num>
  <w:num w:numId="32" w16cid:durableId="34237229">
    <w:abstractNumId w:val="34"/>
  </w:num>
  <w:num w:numId="33" w16cid:durableId="727388126">
    <w:abstractNumId w:val="32"/>
  </w:num>
  <w:num w:numId="34" w16cid:durableId="1482582449">
    <w:abstractNumId w:val="3"/>
  </w:num>
  <w:num w:numId="35" w16cid:durableId="71052132">
    <w:abstractNumId w:val="26"/>
  </w:num>
  <w:num w:numId="36" w16cid:durableId="1751662065">
    <w:abstractNumId w:val="0"/>
  </w:num>
  <w:num w:numId="37" w16cid:durableId="19323464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51"/>
    <w:rsid w:val="00001801"/>
    <w:rsid w:val="000026DE"/>
    <w:rsid w:val="00002B23"/>
    <w:rsid w:val="0001042B"/>
    <w:rsid w:val="00010DF3"/>
    <w:rsid w:val="00010E25"/>
    <w:rsid w:val="000116C1"/>
    <w:rsid w:val="000141AC"/>
    <w:rsid w:val="00016E48"/>
    <w:rsid w:val="00020043"/>
    <w:rsid w:val="00021CBA"/>
    <w:rsid w:val="000225C2"/>
    <w:rsid w:val="00024438"/>
    <w:rsid w:val="0002453E"/>
    <w:rsid w:val="00024867"/>
    <w:rsid w:val="00025074"/>
    <w:rsid w:val="00025839"/>
    <w:rsid w:val="0002634B"/>
    <w:rsid w:val="00030AA2"/>
    <w:rsid w:val="00032280"/>
    <w:rsid w:val="00032E44"/>
    <w:rsid w:val="000338F2"/>
    <w:rsid w:val="00033E1C"/>
    <w:rsid w:val="00037345"/>
    <w:rsid w:val="00041BEB"/>
    <w:rsid w:val="00043862"/>
    <w:rsid w:val="00044B5B"/>
    <w:rsid w:val="00044B96"/>
    <w:rsid w:val="00047056"/>
    <w:rsid w:val="00050490"/>
    <w:rsid w:val="00051BC1"/>
    <w:rsid w:val="00052692"/>
    <w:rsid w:val="00053828"/>
    <w:rsid w:val="00054291"/>
    <w:rsid w:val="000546D1"/>
    <w:rsid w:val="00054FC5"/>
    <w:rsid w:val="0005544C"/>
    <w:rsid w:val="0005576D"/>
    <w:rsid w:val="000559B1"/>
    <w:rsid w:val="00056106"/>
    <w:rsid w:val="00056374"/>
    <w:rsid w:val="00056E52"/>
    <w:rsid w:val="00061E45"/>
    <w:rsid w:val="000628A4"/>
    <w:rsid w:val="00062993"/>
    <w:rsid w:val="00063C8F"/>
    <w:rsid w:val="000668BF"/>
    <w:rsid w:val="00066E99"/>
    <w:rsid w:val="00070060"/>
    <w:rsid w:val="00071CB2"/>
    <w:rsid w:val="00071FA8"/>
    <w:rsid w:val="00072617"/>
    <w:rsid w:val="000734FD"/>
    <w:rsid w:val="000808F5"/>
    <w:rsid w:val="00080AEE"/>
    <w:rsid w:val="0008160B"/>
    <w:rsid w:val="0008192A"/>
    <w:rsid w:val="000836A1"/>
    <w:rsid w:val="000837CC"/>
    <w:rsid w:val="00084EF0"/>
    <w:rsid w:val="00086094"/>
    <w:rsid w:val="00086A77"/>
    <w:rsid w:val="00087803"/>
    <w:rsid w:val="00090261"/>
    <w:rsid w:val="00090451"/>
    <w:rsid w:val="00091794"/>
    <w:rsid w:val="000917EA"/>
    <w:rsid w:val="00092877"/>
    <w:rsid w:val="00092C17"/>
    <w:rsid w:val="00095BFF"/>
    <w:rsid w:val="00095E1A"/>
    <w:rsid w:val="000A39A1"/>
    <w:rsid w:val="000A3D4E"/>
    <w:rsid w:val="000A588B"/>
    <w:rsid w:val="000A6DC2"/>
    <w:rsid w:val="000A77A9"/>
    <w:rsid w:val="000A7CA7"/>
    <w:rsid w:val="000B1AAD"/>
    <w:rsid w:val="000B2174"/>
    <w:rsid w:val="000B3001"/>
    <w:rsid w:val="000B440B"/>
    <w:rsid w:val="000B7333"/>
    <w:rsid w:val="000C1047"/>
    <w:rsid w:val="000C459D"/>
    <w:rsid w:val="000C4BC8"/>
    <w:rsid w:val="000C67C3"/>
    <w:rsid w:val="000C681A"/>
    <w:rsid w:val="000C76A2"/>
    <w:rsid w:val="000D3691"/>
    <w:rsid w:val="000D7683"/>
    <w:rsid w:val="000E048A"/>
    <w:rsid w:val="000E3686"/>
    <w:rsid w:val="000E40EF"/>
    <w:rsid w:val="000E6434"/>
    <w:rsid w:val="000F27E6"/>
    <w:rsid w:val="000F3D6B"/>
    <w:rsid w:val="000F5CA9"/>
    <w:rsid w:val="000F5DB8"/>
    <w:rsid w:val="001005C8"/>
    <w:rsid w:val="00101D4F"/>
    <w:rsid w:val="0010542E"/>
    <w:rsid w:val="0010576E"/>
    <w:rsid w:val="001075D6"/>
    <w:rsid w:val="00110B25"/>
    <w:rsid w:val="00112CD9"/>
    <w:rsid w:val="00116F52"/>
    <w:rsid w:val="00117047"/>
    <w:rsid w:val="00121219"/>
    <w:rsid w:val="00122C6F"/>
    <w:rsid w:val="001241CD"/>
    <w:rsid w:val="001308F3"/>
    <w:rsid w:val="001312FF"/>
    <w:rsid w:val="00132A70"/>
    <w:rsid w:val="00137183"/>
    <w:rsid w:val="0014344D"/>
    <w:rsid w:val="00143AB4"/>
    <w:rsid w:val="00143D65"/>
    <w:rsid w:val="00145F87"/>
    <w:rsid w:val="00147EC3"/>
    <w:rsid w:val="00151713"/>
    <w:rsid w:val="00151E0D"/>
    <w:rsid w:val="001524A4"/>
    <w:rsid w:val="00152A94"/>
    <w:rsid w:val="00153A07"/>
    <w:rsid w:val="0015577E"/>
    <w:rsid w:val="0016143F"/>
    <w:rsid w:val="001620DE"/>
    <w:rsid w:val="00162FC1"/>
    <w:rsid w:val="00170F57"/>
    <w:rsid w:val="00172B43"/>
    <w:rsid w:val="001733B4"/>
    <w:rsid w:val="00173B20"/>
    <w:rsid w:val="00181E8F"/>
    <w:rsid w:val="001834FF"/>
    <w:rsid w:val="00183913"/>
    <w:rsid w:val="0018660D"/>
    <w:rsid w:val="0019235B"/>
    <w:rsid w:val="00193734"/>
    <w:rsid w:val="00196251"/>
    <w:rsid w:val="00196E10"/>
    <w:rsid w:val="001A14B1"/>
    <w:rsid w:val="001A1DA0"/>
    <w:rsid w:val="001A2543"/>
    <w:rsid w:val="001A3F16"/>
    <w:rsid w:val="001B2415"/>
    <w:rsid w:val="001B4969"/>
    <w:rsid w:val="001B4A85"/>
    <w:rsid w:val="001B5A7C"/>
    <w:rsid w:val="001B607A"/>
    <w:rsid w:val="001B66EF"/>
    <w:rsid w:val="001C28FE"/>
    <w:rsid w:val="001C2E04"/>
    <w:rsid w:val="001C2EB5"/>
    <w:rsid w:val="001C2F5B"/>
    <w:rsid w:val="001C5200"/>
    <w:rsid w:val="001D0C07"/>
    <w:rsid w:val="001D1AA2"/>
    <w:rsid w:val="001D3730"/>
    <w:rsid w:val="001D4B72"/>
    <w:rsid w:val="001D574F"/>
    <w:rsid w:val="001D65FA"/>
    <w:rsid w:val="001D6B6C"/>
    <w:rsid w:val="001E09A9"/>
    <w:rsid w:val="001E4007"/>
    <w:rsid w:val="001E4442"/>
    <w:rsid w:val="001E5149"/>
    <w:rsid w:val="001E5B84"/>
    <w:rsid w:val="001E6701"/>
    <w:rsid w:val="001E6A67"/>
    <w:rsid w:val="001E73A9"/>
    <w:rsid w:val="001F02A4"/>
    <w:rsid w:val="001F2343"/>
    <w:rsid w:val="001F254C"/>
    <w:rsid w:val="001F26AC"/>
    <w:rsid w:val="001F26DC"/>
    <w:rsid w:val="001F3EDE"/>
    <w:rsid w:val="001F5B3E"/>
    <w:rsid w:val="00200961"/>
    <w:rsid w:val="00203021"/>
    <w:rsid w:val="002033A1"/>
    <w:rsid w:val="00203966"/>
    <w:rsid w:val="002048AE"/>
    <w:rsid w:val="00210739"/>
    <w:rsid w:val="00212FD9"/>
    <w:rsid w:val="002131D1"/>
    <w:rsid w:val="0021542B"/>
    <w:rsid w:val="00216A66"/>
    <w:rsid w:val="00216DC8"/>
    <w:rsid w:val="00221D89"/>
    <w:rsid w:val="002258FC"/>
    <w:rsid w:val="002314B9"/>
    <w:rsid w:val="00231815"/>
    <w:rsid w:val="00232021"/>
    <w:rsid w:val="0023388A"/>
    <w:rsid w:val="00233893"/>
    <w:rsid w:val="00235A08"/>
    <w:rsid w:val="00236353"/>
    <w:rsid w:val="0024053E"/>
    <w:rsid w:val="0024055B"/>
    <w:rsid w:val="00244FBE"/>
    <w:rsid w:val="00250622"/>
    <w:rsid w:val="00251486"/>
    <w:rsid w:val="00251A91"/>
    <w:rsid w:val="00252823"/>
    <w:rsid w:val="00253091"/>
    <w:rsid w:val="00254148"/>
    <w:rsid w:val="00254478"/>
    <w:rsid w:val="00255268"/>
    <w:rsid w:val="00255330"/>
    <w:rsid w:val="00255F3E"/>
    <w:rsid w:val="002566DB"/>
    <w:rsid w:val="00260B58"/>
    <w:rsid w:val="00262177"/>
    <w:rsid w:val="002624CE"/>
    <w:rsid w:val="0026284E"/>
    <w:rsid w:val="00265A5F"/>
    <w:rsid w:val="0026757F"/>
    <w:rsid w:val="0027024C"/>
    <w:rsid w:val="002705F4"/>
    <w:rsid w:val="00270F56"/>
    <w:rsid w:val="002710F4"/>
    <w:rsid w:val="002711E5"/>
    <w:rsid w:val="002721A6"/>
    <w:rsid w:val="00272939"/>
    <w:rsid w:val="00273677"/>
    <w:rsid w:val="002763AA"/>
    <w:rsid w:val="00280A08"/>
    <w:rsid w:val="00280F5B"/>
    <w:rsid w:val="002828D8"/>
    <w:rsid w:val="00282FA0"/>
    <w:rsid w:val="00285488"/>
    <w:rsid w:val="00285DB5"/>
    <w:rsid w:val="00286109"/>
    <w:rsid w:val="002875C6"/>
    <w:rsid w:val="00293198"/>
    <w:rsid w:val="00297E9C"/>
    <w:rsid w:val="002A05EA"/>
    <w:rsid w:val="002A1ACB"/>
    <w:rsid w:val="002A4EFC"/>
    <w:rsid w:val="002A5771"/>
    <w:rsid w:val="002A6C38"/>
    <w:rsid w:val="002A765D"/>
    <w:rsid w:val="002A7CFB"/>
    <w:rsid w:val="002A7DB9"/>
    <w:rsid w:val="002B05D0"/>
    <w:rsid w:val="002B0ACD"/>
    <w:rsid w:val="002B0B88"/>
    <w:rsid w:val="002B4A3D"/>
    <w:rsid w:val="002B6063"/>
    <w:rsid w:val="002B6228"/>
    <w:rsid w:val="002C5D5B"/>
    <w:rsid w:val="002C72F2"/>
    <w:rsid w:val="002D048A"/>
    <w:rsid w:val="002D0FB7"/>
    <w:rsid w:val="002D193A"/>
    <w:rsid w:val="002D2868"/>
    <w:rsid w:val="002D6173"/>
    <w:rsid w:val="002D6261"/>
    <w:rsid w:val="002E2FB3"/>
    <w:rsid w:val="002E319E"/>
    <w:rsid w:val="002E4673"/>
    <w:rsid w:val="002E4DB2"/>
    <w:rsid w:val="002E6167"/>
    <w:rsid w:val="002E71D0"/>
    <w:rsid w:val="002F2424"/>
    <w:rsid w:val="002F3566"/>
    <w:rsid w:val="002F5CFD"/>
    <w:rsid w:val="002F5E6C"/>
    <w:rsid w:val="002F64BE"/>
    <w:rsid w:val="002F718F"/>
    <w:rsid w:val="00300092"/>
    <w:rsid w:val="003008B8"/>
    <w:rsid w:val="00300B50"/>
    <w:rsid w:val="00301977"/>
    <w:rsid w:val="00304853"/>
    <w:rsid w:val="0030628B"/>
    <w:rsid w:val="00306F38"/>
    <w:rsid w:val="0031010D"/>
    <w:rsid w:val="003105A2"/>
    <w:rsid w:val="00312A0A"/>
    <w:rsid w:val="00312C17"/>
    <w:rsid w:val="0031340E"/>
    <w:rsid w:val="00316E44"/>
    <w:rsid w:val="00317941"/>
    <w:rsid w:val="003246BC"/>
    <w:rsid w:val="00326382"/>
    <w:rsid w:val="003266E9"/>
    <w:rsid w:val="003305B7"/>
    <w:rsid w:val="00331417"/>
    <w:rsid w:val="00331607"/>
    <w:rsid w:val="00331EF6"/>
    <w:rsid w:val="00336923"/>
    <w:rsid w:val="003375B8"/>
    <w:rsid w:val="003405C8"/>
    <w:rsid w:val="003406E0"/>
    <w:rsid w:val="00340D1A"/>
    <w:rsid w:val="00342246"/>
    <w:rsid w:val="003433B9"/>
    <w:rsid w:val="00346B9B"/>
    <w:rsid w:val="003470BA"/>
    <w:rsid w:val="00350CAC"/>
    <w:rsid w:val="003520E9"/>
    <w:rsid w:val="00352B0E"/>
    <w:rsid w:val="0035334E"/>
    <w:rsid w:val="00353C30"/>
    <w:rsid w:val="0035489B"/>
    <w:rsid w:val="00357129"/>
    <w:rsid w:val="00360BF4"/>
    <w:rsid w:val="00361BE5"/>
    <w:rsid w:val="00366457"/>
    <w:rsid w:val="003706D0"/>
    <w:rsid w:val="003709E7"/>
    <w:rsid w:val="00370C6D"/>
    <w:rsid w:val="00371E7D"/>
    <w:rsid w:val="00372ABE"/>
    <w:rsid w:val="003734DD"/>
    <w:rsid w:val="00373A3A"/>
    <w:rsid w:val="0037523A"/>
    <w:rsid w:val="00375410"/>
    <w:rsid w:val="00375455"/>
    <w:rsid w:val="003760BB"/>
    <w:rsid w:val="003764F6"/>
    <w:rsid w:val="0038038D"/>
    <w:rsid w:val="00381636"/>
    <w:rsid w:val="00382AD1"/>
    <w:rsid w:val="00383233"/>
    <w:rsid w:val="003835E1"/>
    <w:rsid w:val="00385A3C"/>
    <w:rsid w:val="003871A8"/>
    <w:rsid w:val="003931B2"/>
    <w:rsid w:val="0039422A"/>
    <w:rsid w:val="003946D8"/>
    <w:rsid w:val="003965B1"/>
    <w:rsid w:val="00397005"/>
    <w:rsid w:val="003A04A8"/>
    <w:rsid w:val="003A6482"/>
    <w:rsid w:val="003A7DD5"/>
    <w:rsid w:val="003B1A78"/>
    <w:rsid w:val="003B32E6"/>
    <w:rsid w:val="003B5A7B"/>
    <w:rsid w:val="003B750D"/>
    <w:rsid w:val="003C14E8"/>
    <w:rsid w:val="003C1D65"/>
    <w:rsid w:val="003C3C00"/>
    <w:rsid w:val="003C5CA2"/>
    <w:rsid w:val="003C66CA"/>
    <w:rsid w:val="003C7BCA"/>
    <w:rsid w:val="003D26C4"/>
    <w:rsid w:val="003D3395"/>
    <w:rsid w:val="003E1278"/>
    <w:rsid w:val="003E1445"/>
    <w:rsid w:val="003E4448"/>
    <w:rsid w:val="003E61D8"/>
    <w:rsid w:val="003E75A1"/>
    <w:rsid w:val="003F0677"/>
    <w:rsid w:val="003F10BD"/>
    <w:rsid w:val="003F5A23"/>
    <w:rsid w:val="0040147C"/>
    <w:rsid w:val="00401521"/>
    <w:rsid w:val="0040228D"/>
    <w:rsid w:val="00403D58"/>
    <w:rsid w:val="00403F08"/>
    <w:rsid w:val="004057C5"/>
    <w:rsid w:val="00405982"/>
    <w:rsid w:val="00406221"/>
    <w:rsid w:val="00406E93"/>
    <w:rsid w:val="00407041"/>
    <w:rsid w:val="00407600"/>
    <w:rsid w:val="00410E87"/>
    <w:rsid w:val="004117E3"/>
    <w:rsid w:val="00412B8E"/>
    <w:rsid w:val="00413355"/>
    <w:rsid w:val="00422454"/>
    <w:rsid w:val="004233EC"/>
    <w:rsid w:val="00424837"/>
    <w:rsid w:val="004253D8"/>
    <w:rsid w:val="004276CB"/>
    <w:rsid w:val="004305CB"/>
    <w:rsid w:val="00431F84"/>
    <w:rsid w:val="004334D9"/>
    <w:rsid w:val="00433851"/>
    <w:rsid w:val="00434B8F"/>
    <w:rsid w:val="00435EE3"/>
    <w:rsid w:val="00437FEC"/>
    <w:rsid w:val="004402A7"/>
    <w:rsid w:val="004407C2"/>
    <w:rsid w:val="0044150D"/>
    <w:rsid w:val="00442DE6"/>
    <w:rsid w:val="00443208"/>
    <w:rsid w:val="00445978"/>
    <w:rsid w:val="00446790"/>
    <w:rsid w:val="00451808"/>
    <w:rsid w:val="00451B0C"/>
    <w:rsid w:val="004579D0"/>
    <w:rsid w:val="00463941"/>
    <w:rsid w:val="00464D5C"/>
    <w:rsid w:val="0046792E"/>
    <w:rsid w:val="004738C3"/>
    <w:rsid w:val="00475782"/>
    <w:rsid w:val="004758F9"/>
    <w:rsid w:val="0047592C"/>
    <w:rsid w:val="00482AD9"/>
    <w:rsid w:val="00482BBC"/>
    <w:rsid w:val="00482F7B"/>
    <w:rsid w:val="00483EBE"/>
    <w:rsid w:val="00491F1B"/>
    <w:rsid w:val="00493EB9"/>
    <w:rsid w:val="00494D44"/>
    <w:rsid w:val="00495A0D"/>
    <w:rsid w:val="00496080"/>
    <w:rsid w:val="00496682"/>
    <w:rsid w:val="004976BE"/>
    <w:rsid w:val="00497E28"/>
    <w:rsid w:val="004A1215"/>
    <w:rsid w:val="004A1B91"/>
    <w:rsid w:val="004A29CF"/>
    <w:rsid w:val="004A3378"/>
    <w:rsid w:val="004A5174"/>
    <w:rsid w:val="004A566D"/>
    <w:rsid w:val="004B1207"/>
    <w:rsid w:val="004B1234"/>
    <w:rsid w:val="004B16AD"/>
    <w:rsid w:val="004B31FE"/>
    <w:rsid w:val="004B4A92"/>
    <w:rsid w:val="004B681B"/>
    <w:rsid w:val="004C03E3"/>
    <w:rsid w:val="004C2932"/>
    <w:rsid w:val="004C3986"/>
    <w:rsid w:val="004C3EF2"/>
    <w:rsid w:val="004C6ED0"/>
    <w:rsid w:val="004C6F63"/>
    <w:rsid w:val="004D1F11"/>
    <w:rsid w:val="004D2436"/>
    <w:rsid w:val="004D3CB5"/>
    <w:rsid w:val="004D669E"/>
    <w:rsid w:val="004D72B1"/>
    <w:rsid w:val="004D7B9B"/>
    <w:rsid w:val="004E28E2"/>
    <w:rsid w:val="004E51CC"/>
    <w:rsid w:val="004E5BE8"/>
    <w:rsid w:val="004E5FA5"/>
    <w:rsid w:val="004E6B00"/>
    <w:rsid w:val="004E7EA7"/>
    <w:rsid w:val="004F2985"/>
    <w:rsid w:val="004F2B3D"/>
    <w:rsid w:val="004F32D0"/>
    <w:rsid w:val="004F49A0"/>
    <w:rsid w:val="004F4D4A"/>
    <w:rsid w:val="004F5045"/>
    <w:rsid w:val="004F7A99"/>
    <w:rsid w:val="0050029D"/>
    <w:rsid w:val="00500609"/>
    <w:rsid w:val="00503251"/>
    <w:rsid w:val="00504F1F"/>
    <w:rsid w:val="0050534F"/>
    <w:rsid w:val="005056E7"/>
    <w:rsid w:val="0050594A"/>
    <w:rsid w:val="00506DC4"/>
    <w:rsid w:val="00506F86"/>
    <w:rsid w:val="005071CC"/>
    <w:rsid w:val="00507A4A"/>
    <w:rsid w:val="005110DA"/>
    <w:rsid w:val="00512859"/>
    <w:rsid w:val="005129A7"/>
    <w:rsid w:val="00512D41"/>
    <w:rsid w:val="00515CF0"/>
    <w:rsid w:val="00522024"/>
    <w:rsid w:val="00523A7F"/>
    <w:rsid w:val="00527582"/>
    <w:rsid w:val="00527884"/>
    <w:rsid w:val="005323F1"/>
    <w:rsid w:val="00533211"/>
    <w:rsid w:val="005351DA"/>
    <w:rsid w:val="00535D3F"/>
    <w:rsid w:val="005365D7"/>
    <w:rsid w:val="00537A60"/>
    <w:rsid w:val="0054012B"/>
    <w:rsid w:val="00541307"/>
    <w:rsid w:val="005437FE"/>
    <w:rsid w:val="00544E55"/>
    <w:rsid w:val="00545F02"/>
    <w:rsid w:val="00550F58"/>
    <w:rsid w:val="00551D3B"/>
    <w:rsid w:val="00552B91"/>
    <w:rsid w:val="0055534E"/>
    <w:rsid w:val="00555ED5"/>
    <w:rsid w:val="00555FF0"/>
    <w:rsid w:val="00556D13"/>
    <w:rsid w:val="005578E3"/>
    <w:rsid w:val="005636F9"/>
    <w:rsid w:val="00564E5F"/>
    <w:rsid w:val="00566F94"/>
    <w:rsid w:val="00570037"/>
    <w:rsid w:val="00571D55"/>
    <w:rsid w:val="0057585B"/>
    <w:rsid w:val="00575A44"/>
    <w:rsid w:val="005765C1"/>
    <w:rsid w:val="00580D08"/>
    <w:rsid w:val="00580E95"/>
    <w:rsid w:val="00582AA8"/>
    <w:rsid w:val="00583A05"/>
    <w:rsid w:val="00583A66"/>
    <w:rsid w:val="00583D0D"/>
    <w:rsid w:val="005844FC"/>
    <w:rsid w:val="00584B3D"/>
    <w:rsid w:val="00585527"/>
    <w:rsid w:val="0058581E"/>
    <w:rsid w:val="00585B32"/>
    <w:rsid w:val="00590B0B"/>
    <w:rsid w:val="00592139"/>
    <w:rsid w:val="00592666"/>
    <w:rsid w:val="00593878"/>
    <w:rsid w:val="0059465D"/>
    <w:rsid w:val="00597509"/>
    <w:rsid w:val="005A079F"/>
    <w:rsid w:val="005A0DBE"/>
    <w:rsid w:val="005A3DD4"/>
    <w:rsid w:val="005B3331"/>
    <w:rsid w:val="005B4030"/>
    <w:rsid w:val="005C01B4"/>
    <w:rsid w:val="005C1CA8"/>
    <w:rsid w:val="005C21FB"/>
    <w:rsid w:val="005C3945"/>
    <w:rsid w:val="005C3DBF"/>
    <w:rsid w:val="005D4F71"/>
    <w:rsid w:val="005D6014"/>
    <w:rsid w:val="005E2897"/>
    <w:rsid w:val="005E37DE"/>
    <w:rsid w:val="005E387F"/>
    <w:rsid w:val="005E6B91"/>
    <w:rsid w:val="005E6FBC"/>
    <w:rsid w:val="005F1D8B"/>
    <w:rsid w:val="005F20E5"/>
    <w:rsid w:val="005F48B5"/>
    <w:rsid w:val="005F4D45"/>
    <w:rsid w:val="005F51EB"/>
    <w:rsid w:val="005F6700"/>
    <w:rsid w:val="005F6E46"/>
    <w:rsid w:val="00600D31"/>
    <w:rsid w:val="00601961"/>
    <w:rsid w:val="0060641F"/>
    <w:rsid w:val="00611252"/>
    <w:rsid w:val="00611FF4"/>
    <w:rsid w:val="00613889"/>
    <w:rsid w:val="006142E1"/>
    <w:rsid w:val="00616623"/>
    <w:rsid w:val="0061704C"/>
    <w:rsid w:val="006208CD"/>
    <w:rsid w:val="0062186B"/>
    <w:rsid w:val="00621E61"/>
    <w:rsid w:val="00622073"/>
    <w:rsid w:val="006221F3"/>
    <w:rsid w:val="00622465"/>
    <w:rsid w:val="00624900"/>
    <w:rsid w:val="00626AAD"/>
    <w:rsid w:val="0062784E"/>
    <w:rsid w:val="00631043"/>
    <w:rsid w:val="006408F0"/>
    <w:rsid w:val="0064134E"/>
    <w:rsid w:val="00642531"/>
    <w:rsid w:val="006426D0"/>
    <w:rsid w:val="006428EB"/>
    <w:rsid w:val="00642BDF"/>
    <w:rsid w:val="00646D66"/>
    <w:rsid w:val="00646E0B"/>
    <w:rsid w:val="00647D4A"/>
    <w:rsid w:val="00647DD1"/>
    <w:rsid w:val="00652131"/>
    <w:rsid w:val="0065329C"/>
    <w:rsid w:val="00653BC5"/>
    <w:rsid w:val="00656474"/>
    <w:rsid w:val="0066125A"/>
    <w:rsid w:val="00664B13"/>
    <w:rsid w:val="0066637A"/>
    <w:rsid w:val="00670312"/>
    <w:rsid w:val="00672C1A"/>
    <w:rsid w:val="00675ADB"/>
    <w:rsid w:val="0067639A"/>
    <w:rsid w:val="006778BA"/>
    <w:rsid w:val="006811CC"/>
    <w:rsid w:val="006823B4"/>
    <w:rsid w:val="00682E3A"/>
    <w:rsid w:val="00684AC1"/>
    <w:rsid w:val="00684CCF"/>
    <w:rsid w:val="00685BBA"/>
    <w:rsid w:val="00686F14"/>
    <w:rsid w:val="006935A8"/>
    <w:rsid w:val="00693A2D"/>
    <w:rsid w:val="00696175"/>
    <w:rsid w:val="00697A9A"/>
    <w:rsid w:val="00697C17"/>
    <w:rsid w:val="006A1C4A"/>
    <w:rsid w:val="006A2F57"/>
    <w:rsid w:val="006A751C"/>
    <w:rsid w:val="006B0281"/>
    <w:rsid w:val="006B0E7D"/>
    <w:rsid w:val="006B4340"/>
    <w:rsid w:val="006B5619"/>
    <w:rsid w:val="006B7288"/>
    <w:rsid w:val="006B7A53"/>
    <w:rsid w:val="006C028F"/>
    <w:rsid w:val="006C092D"/>
    <w:rsid w:val="006C0CC2"/>
    <w:rsid w:val="006C3EE9"/>
    <w:rsid w:val="006C6682"/>
    <w:rsid w:val="006C6864"/>
    <w:rsid w:val="006C6C4C"/>
    <w:rsid w:val="006D0934"/>
    <w:rsid w:val="006D10AA"/>
    <w:rsid w:val="006D1B5C"/>
    <w:rsid w:val="006D219B"/>
    <w:rsid w:val="006D4018"/>
    <w:rsid w:val="006D5927"/>
    <w:rsid w:val="006D7172"/>
    <w:rsid w:val="006D7D79"/>
    <w:rsid w:val="006E29E0"/>
    <w:rsid w:val="006E2A3E"/>
    <w:rsid w:val="006E69AA"/>
    <w:rsid w:val="006E7FF3"/>
    <w:rsid w:val="006F0594"/>
    <w:rsid w:val="00700051"/>
    <w:rsid w:val="00701EB0"/>
    <w:rsid w:val="007034D2"/>
    <w:rsid w:val="00703E2E"/>
    <w:rsid w:val="00706ECF"/>
    <w:rsid w:val="0070727D"/>
    <w:rsid w:val="00707516"/>
    <w:rsid w:val="007104F9"/>
    <w:rsid w:val="00710933"/>
    <w:rsid w:val="00712091"/>
    <w:rsid w:val="00712779"/>
    <w:rsid w:val="00713BCD"/>
    <w:rsid w:val="00714148"/>
    <w:rsid w:val="007158AB"/>
    <w:rsid w:val="007168EE"/>
    <w:rsid w:val="0072008B"/>
    <w:rsid w:val="0072181B"/>
    <w:rsid w:val="00722FDA"/>
    <w:rsid w:val="00725B76"/>
    <w:rsid w:val="007270F4"/>
    <w:rsid w:val="00730456"/>
    <w:rsid w:val="007310FD"/>
    <w:rsid w:val="00732C9F"/>
    <w:rsid w:val="00737C45"/>
    <w:rsid w:val="00740504"/>
    <w:rsid w:val="00741AA9"/>
    <w:rsid w:val="0074253D"/>
    <w:rsid w:val="00745482"/>
    <w:rsid w:val="00750393"/>
    <w:rsid w:val="00750765"/>
    <w:rsid w:val="00750E35"/>
    <w:rsid w:val="00751015"/>
    <w:rsid w:val="0075102D"/>
    <w:rsid w:val="00751186"/>
    <w:rsid w:val="00752829"/>
    <w:rsid w:val="00752E1A"/>
    <w:rsid w:val="00753EA0"/>
    <w:rsid w:val="0076311B"/>
    <w:rsid w:val="0076400B"/>
    <w:rsid w:val="007640E7"/>
    <w:rsid w:val="00766EF2"/>
    <w:rsid w:val="0076733F"/>
    <w:rsid w:val="0077190F"/>
    <w:rsid w:val="00774D86"/>
    <w:rsid w:val="007770A3"/>
    <w:rsid w:val="00777A43"/>
    <w:rsid w:val="00780AF5"/>
    <w:rsid w:val="007816D6"/>
    <w:rsid w:val="007830D7"/>
    <w:rsid w:val="007840E8"/>
    <w:rsid w:val="007848C4"/>
    <w:rsid w:val="00787EB6"/>
    <w:rsid w:val="00791213"/>
    <w:rsid w:val="0079371E"/>
    <w:rsid w:val="00793D52"/>
    <w:rsid w:val="007954B2"/>
    <w:rsid w:val="00795974"/>
    <w:rsid w:val="00795C30"/>
    <w:rsid w:val="007A3636"/>
    <w:rsid w:val="007A3E6B"/>
    <w:rsid w:val="007A4667"/>
    <w:rsid w:val="007A48C1"/>
    <w:rsid w:val="007A7C98"/>
    <w:rsid w:val="007B0AC0"/>
    <w:rsid w:val="007B571C"/>
    <w:rsid w:val="007B5BB0"/>
    <w:rsid w:val="007C07D6"/>
    <w:rsid w:val="007C0A92"/>
    <w:rsid w:val="007C1947"/>
    <w:rsid w:val="007C2590"/>
    <w:rsid w:val="007C5C79"/>
    <w:rsid w:val="007D1F10"/>
    <w:rsid w:val="007D72F8"/>
    <w:rsid w:val="007D7482"/>
    <w:rsid w:val="007E0EA3"/>
    <w:rsid w:val="007E1266"/>
    <w:rsid w:val="007E15C3"/>
    <w:rsid w:val="007E2E89"/>
    <w:rsid w:val="007E33AE"/>
    <w:rsid w:val="007E6E3B"/>
    <w:rsid w:val="007F02D7"/>
    <w:rsid w:val="007F1151"/>
    <w:rsid w:val="007F2C8C"/>
    <w:rsid w:val="007F4814"/>
    <w:rsid w:val="007F534C"/>
    <w:rsid w:val="00801287"/>
    <w:rsid w:val="008023AA"/>
    <w:rsid w:val="00802803"/>
    <w:rsid w:val="008033C0"/>
    <w:rsid w:val="00803620"/>
    <w:rsid w:val="00803CC1"/>
    <w:rsid w:val="00804F87"/>
    <w:rsid w:val="00805170"/>
    <w:rsid w:val="00805D05"/>
    <w:rsid w:val="00806BEA"/>
    <w:rsid w:val="00810232"/>
    <w:rsid w:val="00816528"/>
    <w:rsid w:val="0082033A"/>
    <w:rsid w:val="008203F6"/>
    <w:rsid w:val="00820A88"/>
    <w:rsid w:val="00821075"/>
    <w:rsid w:val="008216BE"/>
    <w:rsid w:val="00825B73"/>
    <w:rsid w:val="0083002B"/>
    <w:rsid w:val="008306B7"/>
    <w:rsid w:val="008332B7"/>
    <w:rsid w:val="00834E63"/>
    <w:rsid w:val="00835644"/>
    <w:rsid w:val="008360C3"/>
    <w:rsid w:val="0084052D"/>
    <w:rsid w:val="00841477"/>
    <w:rsid w:val="00841682"/>
    <w:rsid w:val="00841809"/>
    <w:rsid w:val="00842F57"/>
    <w:rsid w:val="0084432B"/>
    <w:rsid w:val="008467AE"/>
    <w:rsid w:val="00846F27"/>
    <w:rsid w:val="00854476"/>
    <w:rsid w:val="00854E75"/>
    <w:rsid w:val="00855C37"/>
    <w:rsid w:val="00862B92"/>
    <w:rsid w:val="0086445B"/>
    <w:rsid w:val="00864519"/>
    <w:rsid w:val="008653DC"/>
    <w:rsid w:val="00865927"/>
    <w:rsid w:val="00865D2B"/>
    <w:rsid w:val="00867267"/>
    <w:rsid w:val="00867DC6"/>
    <w:rsid w:val="008706BD"/>
    <w:rsid w:val="0087263F"/>
    <w:rsid w:val="00873F7C"/>
    <w:rsid w:val="0087419B"/>
    <w:rsid w:val="00874F0F"/>
    <w:rsid w:val="0087526C"/>
    <w:rsid w:val="00875EED"/>
    <w:rsid w:val="00876A19"/>
    <w:rsid w:val="008771A7"/>
    <w:rsid w:val="00881069"/>
    <w:rsid w:val="008817ED"/>
    <w:rsid w:val="00883ABC"/>
    <w:rsid w:val="00884ABB"/>
    <w:rsid w:val="008908C1"/>
    <w:rsid w:val="00892F64"/>
    <w:rsid w:val="00893477"/>
    <w:rsid w:val="00896019"/>
    <w:rsid w:val="00896401"/>
    <w:rsid w:val="0089675C"/>
    <w:rsid w:val="008A0265"/>
    <w:rsid w:val="008A063F"/>
    <w:rsid w:val="008A27A5"/>
    <w:rsid w:val="008A3E8E"/>
    <w:rsid w:val="008A3F4D"/>
    <w:rsid w:val="008A7708"/>
    <w:rsid w:val="008A7CB5"/>
    <w:rsid w:val="008B35C0"/>
    <w:rsid w:val="008B61F4"/>
    <w:rsid w:val="008B7921"/>
    <w:rsid w:val="008C3BCD"/>
    <w:rsid w:val="008C43A1"/>
    <w:rsid w:val="008C5F25"/>
    <w:rsid w:val="008D1F50"/>
    <w:rsid w:val="008D517F"/>
    <w:rsid w:val="008D6279"/>
    <w:rsid w:val="008D6636"/>
    <w:rsid w:val="008D720F"/>
    <w:rsid w:val="008E1957"/>
    <w:rsid w:val="008E1EE2"/>
    <w:rsid w:val="008E3639"/>
    <w:rsid w:val="008E3C3F"/>
    <w:rsid w:val="008E4F08"/>
    <w:rsid w:val="008E5232"/>
    <w:rsid w:val="008E61BB"/>
    <w:rsid w:val="008E6767"/>
    <w:rsid w:val="008E7A6A"/>
    <w:rsid w:val="008F05B8"/>
    <w:rsid w:val="008F0808"/>
    <w:rsid w:val="008F2ADD"/>
    <w:rsid w:val="008F309F"/>
    <w:rsid w:val="008F62A0"/>
    <w:rsid w:val="00901DD0"/>
    <w:rsid w:val="009073D8"/>
    <w:rsid w:val="009118BF"/>
    <w:rsid w:val="0091233E"/>
    <w:rsid w:val="0091279C"/>
    <w:rsid w:val="009127A8"/>
    <w:rsid w:val="00915892"/>
    <w:rsid w:val="009173C7"/>
    <w:rsid w:val="009200D5"/>
    <w:rsid w:val="009202F1"/>
    <w:rsid w:val="00920941"/>
    <w:rsid w:val="0092190B"/>
    <w:rsid w:val="0092249C"/>
    <w:rsid w:val="0092375C"/>
    <w:rsid w:val="00923889"/>
    <w:rsid w:val="00925C8A"/>
    <w:rsid w:val="00927A0B"/>
    <w:rsid w:val="00931D1E"/>
    <w:rsid w:val="00936321"/>
    <w:rsid w:val="009422D7"/>
    <w:rsid w:val="00945A68"/>
    <w:rsid w:val="00951CC9"/>
    <w:rsid w:val="00960CA6"/>
    <w:rsid w:val="0096341D"/>
    <w:rsid w:val="0096383A"/>
    <w:rsid w:val="00964908"/>
    <w:rsid w:val="00966EB9"/>
    <w:rsid w:val="00972FD8"/>
    <w:rsid w:val="00973608"/>
    <w:rsid w:val="009750AE"/>
    <w:rsid w:val="009812DC"/>
    <w:rsid w:val="0098324E"/>
    <w:rsid w:val="009834DE"/>
    <w:rsid w:val="009844E8"/>
    <w:rsid w:val="00984C00"/>
    <w:rsid w:val="00985D57"/>
    <w:rsid w:val="00987842"/>
    <w:rsid w:val="0098786F"/>
    <w:rsid w:val="00992DD0"/>
    <w:rsid w:val="00992F8A"/>
    <w:rsid w:val="009939A6"/>
    <w:rsid w:val="00993E40"/>
    <w:rsid w:val="00993F53"/>
    <w:rsid w:val="00997BCB"/>
    <w:rsid w:val="009A0946"/>
    <w:rsid w:val="009A2991"/>
    <w:rsid w:val="009A6BC1"/>
    <w:rsid w:val="009A75B0"/>
    <w:rsid w:val="009B1F3F"/>
    <w:rsid w:val="009B27CC"/>
    <w:rsid w:val="009B2C54"/>
    <w:rsid w:val="009B2F13"/>
    <w:rsid w:val="009B3B82"/>
    <w:rsid w:val="009B3BD2"/>
    <w:rsid w:val="009B4972"/>
    <w:rsid w:val="009B5A28"/>
    <w:rsid w:val="009B65C7"/>
    <w:rsid w:val="009B7F06"/>
    <w:rsid w:val="009C04AA"/>
    <w:rsid w:val="009C0DF7"/>
    <w:rsid w:val="009C20A6"/>
    <w:rsid w:val="009C4C14"/>
    <w:rsid w:val="009C5E0C"/>
    <w:rsid w:val="009C7ABA"/>
    <w:rsid w:val="009E5787"/>
    <w:rsid w:val="009E68F8"/>
    <w:rsid w:val="009E7D3B"/>
    <w:rsid w:val="009F043B"/>
    <w:rsid w:val="009F083E"/>
    <w:rsid w:val="009F1B1D"/>
    <w:rsid w:val="009F345B"/>
    <w:rsid w:val="009F368A"/>
    <w:rsid w:val="009F6177"/>
    <w:rsid w:val="009F7DA0"/>
    <w:rsid w:val="009F7EC8"/>
    <w:rsid w:val="00A017BD"/>
    <w:rsid w:val="00A026A2"/>
    <w:rsid w:val="00A03541"/>
    <w:rsid w:val="00A03B62"/>
    <w:rsid w:val="00A04167"/>
    <w:rsid w:val="00A066B6"/>
    <w:rsid w:val="00A07712"/>
    <w:rsid w:val="00A10553"/>
    <w:rsid w:val="00A13902"/>
    <w:rsid w:val="00A13B32"/>
    <w:rsid w:val="00A159D0"/>
    <w:rsid w:val="00A15DAD"/>
    <w:rsid w:val="00A17767"/>
    <w:rsid w:val="00A2002D"/>
    <w:rsid w:val="00A248D8"/>
    <w:rsid w:val="00A24976"/>
    <w:rsid w:val="00A308BD"/>
    <w:rsid w:val="00A30A0D"/>
    <w:rsid w:val="00A3501A"/>
    <w:rsid w:val="00A37DEC"/>
    <w:rsid w:val="00A409D3"/>
    <w:rsid w:val="00A42DA8"/>
    <w:rsid w:val="00A4717B"/>
    <w:rsid w:val="00A5045C"/>
    <w:rsid w:val="00A53AAD"/>
    <w:rsid w:val="00A53CBB"/>
    <w:rsid w:val="00A5669B"/>
    <w:rsid w:val="00A57D93"/>
    <w:rsid w:val="00A57E25"/>
    <w:rsid w:val="00A6044F"/>
    <w:rsid w:val="00A61946"/>
    <w:rsid w:val="00A6289F"/>
    <w:rsid w:val="00A632D5"/>
    <w:rsid w:val="00A634FA"/>
    <w:rsid w:val="00A646C4"/>
    <w:rsid w:val="00A64728"/>
    <w:rsid w:val="00A669AD"/>
    <w:rsid w:val="00A66C4A"/>
    <w:rsid w:val="00A7310A"/>
    <w:rsid w:val="00A76C4F"/>
    <w:rsid w:val="00A81271"/>
    <w:rsid w:val="00A81358"/>
    <w:rsid w:val="00A8205F"/>
    <w:rsid w:val="00A83790"/>
    <w:rsid w:val="00A83F93"/>
    <w:rsid w:val="00A84F89"/>
    <w:rsid w:val="00A87E06"/>
    <w:rsid w:val="00A87EDF"/>
    <w:rsid w:val="00A90B9D"/>
    <w:rsid w:val="00A9152F"/>
    <w:rsid w:val="00A93E74"/>
    <w:rsid w:val="00A94D2E"/>
    <w:rsid w:val="00A95AB5"/>
    <w:rsid w:val="00A96E76"/>
    <w:rsid w:val="00A97DEA"/>
    <w:rsid w:val="00AA0889"/>
    <w:rsid w:val="00AA2E59"/>
    <w:rsid w:val="00AA4B62"/>
    <w:rsid w:val="00AB11EA"/>
    <w:rsid w:val="00AB1B70"/>
    <w:rsid w:val="00AB1CA9"/>
    <w:rsid w:val="00AB3456"/>
    <w:rsid w:val="00AB4339"/>
    <w:rsid w:val="00AB66A3"/>
    <w:rsid w:val="00AC1387"/>
    <w:rsid w:val="00AC13E4"/>
    <w:rsid w:val="00AC279E"/>
    <w:rsid w:val="00AC5A1F"/>
    <w:rsid w:val="00AC6EB1"/>
    <w:rsid w:val="00AD25C1"/>
    <w:rsid w:val="00AD2C51"/>
    <w:rsid w:val="00AD52CB"/>
    <w:rsid w:val="00AD64E0"/>
    <w:rsid w:val="00AD6638"/>
    <w:rsid w:val="00AE16A5"/>
    <w:rsid w:val="00AE24D5"/>
    <w:rsid w:val="00AE396C"/>
    <w:rsid w:val="00AE5A71"/>
    <w:rsid w:val="00AE622A"/>
    <w:rsid w:val="00AE7082"/>
    <w:rsid w:val="00AF0102"/>
    <w:rsid w:val="00AF0F4A"/>
    <w:rsid w:val="00AF2F94"/>
    <w:rsid w:val="00AF65C7"/>
    <w:rsid w:val="00B00B95"/>
    <w:rsid w:val="00B00F4B"/>
    <w:rsid w:val="00B01EF6"/>
    <w:rsid w:val="00B033D6"/>
    <w:rsid w:val="00B04748"/>
    <w:rsid w:val="00B04A9C"/>
    <w:rsid w:val="00B05118"/>
    <w:rsid w:val="00B07BFA"/>
    <w:rsid w:val="00B1257A"/>
    <w:rsid w:val="00B162BF"/>
    <w:rsid w:val="00B17F81"/>
    <w:rsid w:val="00B20F61"/>
    <w:rsid w:val="00B216A9"/>
    <w:rsid w:val="00B21C05"/>
    <w:rsid w:val="00B225D0"/>
    <w:rsid w:val="00B2383E"/>
    <w:rsid w:val="00B23DE1"/>
    <w:rsid w:val="00B242EE"/>
    <w:rsid w:val="00B243A7"/>
    <w:rsid w:val="00B30593"/>
    <w:rsid w:val="00B34063"/>
    <w:rsid w:val="00B35BCB"/>
    <w:rsid w:val="00B37CDE"/>
    <w:rsid w:val="00B41329"/>
    <w:rsid w:val="00B41DBD"/>
    <w:rsid w:val="00B420AD"/>
    <w:rsid w:val="00B46A71"/>
    <w:rsid w:val="00B46CF0"/>
    <w:rsid w:val="00B47699"/>
    <w:rsid w:val="00B545E9"/>
    <w:rsid w:val="00B62DAB"/>
    <w:rsid w:val="00B63412"/>
    <w:rsid w:val="00B655F3"/>
    <w:rsid w:val="00B66CB6"/>
    <w:rsid w:val="00B70946"/>
    <w:rsid w:val="00B71177"/>
    <w:rsid w:val="00B71A95"/>
    <w:rsid w:val="00B72F80"/>
    <w:rsid w:val="00B81123"/>
    <w:rsid w:val="00B81897"/>
    <w:rsid w:val="00B82217"/>
    <w:rsid w:val="00B82599"/>
    <w:rsid w:val="00B841ED"/>
    <w:rsid w:val="00B91B5F"/>
    <w:rsid w:val="00B920EF"/>
    <w:rsid w:val="00B92C31"/>
    <w:rsid w:val="00B95968"/>
    <w:rsid w:val="00BA12BF"/>
    <w:rsid w:val="00BA1EE8"/>
    <w:rsid w:val="00BA2191"/>
    <w:rsid w:val="00BA2CB4"/>
    <w:rsid w:val="00BA2F0F"/>
    <w:rsid w:val="00BA39A2"/>
    <w:rsid w:val="00BA4113"/>
    <w:rsid w:val="00BA5205"/>
    <w:rsid w:val="00BA5D10"/>
    <w:rsid w:val="00BB19E6"/>
    <w:rsid w:val="00BB5343"/>
    <w:rsid w:val="00BB540D"/>
    <w:rsid w:val="00BB5EFC"/>
    <w:rsid w:val="00BB7B84"/>
    <w:rsid w:val="00BC1490"/>
    <w:rsid w:val="00BC23C7"/>
    <w:rsid w:val="00BC2DF9"/>
    <w:rsid w:val="00BC6868"/>
    <w:rsid w:val="00BD1408"/>
    <w:rsid w:val="00BD3C83"/>
    <w:rsid w:val="00BD4B88"/>
    <w:rsid w:val="00BD5004"/>
    <w:rsid w:val="00BE0B03"/>
    <w:rsid w:val="00BE0E2A"/>
    <w:rsid w:val="00BE2345"/>
    <w:rsid w:val="00BE5EE7"/>
    <w:rsid w:val="00BE7135"/>
    <w:rsid w:val="00BF0C1D"/>
    <w:rsid w:val="00BF2178"/>
    <w:rsid w:val="00BF52E1"/>
    <w:rsid w:val="00BF55DE"/>
    <w:rsid w:val="00BF734B"/>
    <w:rsid w:val="00BF73A4"/>
    <w:rsid w:val="00C014D4"/>
    <w:rsid w:val="00C02308"/>
    <w:rsid w:val="00C02B3C"/>
    <w:rsid w:val="00C03EE7"/>
    <w:rsid w:val="00C0476C"/>
    <w:rsid w:val="00C04AD0"/>
    <w:rsid w:val="00C052E0"/>
    <w:rsid w:val="00C061C7"/>
    <w:rsid w:val="00C07575"/>
    <w:rsid w:val="00C1196B"/>
    <w:rsid w:val="00C11DFB"/>
    <w:rsid w:val="00C13701"/>
    <w:rsid w:val="00C15C69"/>
    <w:rsid w:val="00C17026"/>
    <w:rsid w:val="00C17C89"/>
    <w:rsid w:val="00C20BCA"/>
    <w:rsid w:val="00C20D89"/>
    <w:rsid w:val="00C221D5"/>
    <w:rsid w:val="00C24245"/>
    <w:rsid w:val="00C3077C"/>
    <w:rsid w:val="00C31F08"/>
    <w:rsid w:val="00C34C4D"/>
    <w:rsid w:val="00C35580"/>
    <w:rsid w:val="00C356ED"/>
    <w:rsid w:val="00C359EE"/>
    <w:rsid w:val="00C400DE"/>
    <w:rsid w:val="00C403B2"/>
    <w:rsid w:val="00C43CF2"/>
    <w:rsid w:val="00C44941"/>
    <w:rsid w:val="00C459A5"/>
    <w:rsid w:val="00C45C2F"/>
    <w:rsid w:val="00C5413D"/>
    <w:rsid w:val="00C558B2"/>
    <w:rsid w:val="00C5695B"/>
    <w:rsid w:val="00C576F8"/>
    <w:rsid w:val="00C61949"/>
    <w:rsid w:val="00C63511"/>
    <w:rsid w:val="00C63732"/>
    <w:rsid w:val="00C64E26"/>
    <w:rsid w:val="00C67486"/>
    <w:rsid w:val="00C71CED"/>
    <w:rsid w:val="00C732BE"/>
    <w:rsid w:val="00C752BF"/>
    <w:rsid w:val="00C808D8"/>
    <w:rsid w:val="00C82152"/>
    <w:rsid w:val="00C83482"/>
    <w:rsid w:val="00C8360C"/>
    <w:rsid w:val="00C84876"/>
    <w:rsid w:val="00C84AF4"/>
    <w:rsid w:val="00C84CFC"/>
    <w:rsid w:val="00C84F7A"/>
    <w:rsid w:val="00C8698E"/>
    <w:rsid w:val="00C93813"/>
    <w:rsid w:val="00C93E80"/>
    <w:rsid w:val="00C94A46"/>
    <w:rsid w:val="00C969B3"/>
    <w:rsid w:val="00C979A7"/>
    <w:rsid w:val="00C97DB1"/>
    <w:rsid w:val="00CA1FB8"/>
    <w:rsid w:val="00CA209D"/>
    <w:rsid w:val="00CA262B"/>
    <w:rsid w:val="00CB08F8"/>
    <w:rsid w:val="00CB0A96"/>
    <w:rsid w:val="00CB5A8B"/>
    <w:rsid w:val="00CB7052"/>
    <w:rsid w:val="00CB7B40"/>
    <w:rsid w:val="00CC2BF2"/>
    <w:rsid w:val="00CC50D5"/>
    <w:rsid w:val="00CC654A"/>
    <w:rsid w:val="00CC67B6"/>
    <w:rsid w:val="00CC74BD"/>
    <w:rsid w:val="00CC7CE8"/>
    <w:rsid w:val="00CD1663"/>
    <w:rsid w:val="00CD3696"/>
    <w:rsid w:val="00CD3B62"/>
    <w:rsid w:val="00CD3B95"/>
    <w:rsid w:val="00CD41F0"/>
    <w:rsid w:val="00CE0888"/>
    <w:rsid w:val="00CE2427"/>
    <w:rsid w:val="00CE6BB6"/>
    <w:rsid w:val="00CE6FD4"/>
    <w:rsid w:val="00CE7BDE"/>
    <w:rsid w:val="00CF03E4"/>
    <w:rsid w:val="00CF0FDF"/>
    <w:rsid w:val="00CF18A6"/>
    <w:rsid w:val="00CF1F84"/>
    <w:rsid w:val="00CF22F0"/>
    <w:rsid w:val="00CF279B"/>
    <w:rsid w:val="00CF4EF4"/>
    <w:rsid w:val="00CF5C45"/>
    <w:rsid w:val="00CF6DB7"/>
    <w:rsid w:val="00CF75D2"/>
    <w:rsid w:val="00CF7B83"/>
    <w:rsid w:val="00D00DDE"/>
    <w:rsid w:val="00D02AA4"/>
    <w:rsid w:val="00D04760"/>
    <w:rsid w:val="00D075FC"/>
    <w:rsid w:val="00D07669"/>
    <w:rsid w:val="00D10733"/>
    <w:rsid w:val="00D1092C"/>
    <w:rsid w:val="00D11EEE"/>
    <w:rsid w:val="00D12764"/>
    <w:rsid w:val="00D13891"/>
    <w:rsid w:val="00D15866"/>
    <w:rsid w:val="00D15C10"/>
    <w:rsid w:val="00D16341"/>
    <w:rsid w:val="00D2153E"/>
    <w:rsid w:val="00D22C10"/>
    <w:rsid w:val="00D23222"/>
    <w:rsid w:val="00D25423"/>
    <w:rsid w:val="00D25B24"/>
    <w:rsid w:val="00D266EB"/>
    <w:rsid w:val="00D30650"/>
    <w:rsid w:val="00D30F14"/>
    <w:rsid w:val="00D31946"/>
    <w:rsid w:val="00D32ACE"/>
    <w:rsid w:val="00D3347E"/>
    <w:rsid w:val="00D33A5F"/>
    <w:rsid w:val="00D342D7"/>
    <w:rsid w:val="00D344D9"/>
    <w:rsid w:val="00D356E9"/>
    <w:rsid w:val="00D36D95"/>
    <w:rsid w:val="00D37700"/>
    <w:rsid w:val="00D400B2"/>
    <w:rsid w:val="00D42D68"/>
    <w:rsid w:val="00D45FC7"/>
    <w:rsid w:val="00D47450"/>
    <w:rsid w:val="00D47608"/>
    <w:rsid w:val="00D519F8"/>
    <w:rsid w:val="00D51A4A"/>
    <w:rsid w:val="00D532B3"/>
    <w:rsid w:val="00D5402A"/>
    <w:rsid w:val="00D540EE"/>
    <w:rsid w:val="00D55906"/>
    <w:rsid w:val="00D56DE8"/>
    <w:rsid w:val="00D57CCE"/>
    <w:rsid w:val="00D609D2"/>
    <w:rsid w:val="00D62873"/>
    <w:rsid w:val="00D628E2"/>
    <w:rsid w:val="00D635E2"/>
    <w:rsid w:val="00D66440"/>
    <w:rsid w:val="00D67DC3"/>
    <w:rsid w:val="00D72C0B"/>
    <w:rsid w:val="00D75331"/>
    <w:rsid w:val="00D75B1C"/>
    <w:rsid w:val="00D76020"/>
    <w:rsid w:val="00D766F1"/>
    <w:rsid w:val="00D768EF"/>
    <w:rsid w:val="00D76E55"/>
    <w:rsid w:val="00D81F6B"/>
    <w:rsid w:val="00D85203"/>
    <w:rsid w:val="00D859C6"/>
    <w:rsid w:val="00D86EEB"/>
    <w:rsid w:val="00D87179"/>
    <w:rsid w:val="00D871A2"/>
    <w:rsid w:val="00D87CA3"/>
    <w:rsid w:val="00D90E5A"/>
    <w:rsid w:val="00D95812"/>
    <w:rsid w:val="00D96CDF"/>
    <w:rsid w:val="00DA1A5C"/>
    <w:rsid w:val="00DA4266"/>
    <w:rsid w:val="00DA462B"/>
    <w:rsid w:val="00DA533F"/>
    <w:rsid w:val="00DB1256"/>
    <w:rsid w:val="00DB1B5E"/>
    <w:rsid w:val="00DB2331"/>
    <w:rsid w:val="00DB2F16"/>
    <w:rsid w:val="00DB4B03"/>
    <w:rsid w:val="00DB4B04"/>
    <w:rsid w:val="00DB4B9F"/>
    <w:rsid w:val="00DB4CD1"/>
    <w:rsid w:val="00DB9D7F"/>
    <w:rsid w:val="00DC0A81"/>
    <w:rsid w:val="00DC0E4A"/>
    <w:rsid w:val="00DC61C4"/>
    <w:rsid w:val="00DC68D0"/>
    <w:rsid w:val="00DD048F"/>
    <w:rsid w:val="00DD0E3D"/>
    <w:rsid w:val="00DE042E"/>
    <w:rsid w:val="00DE0926"/>
    <w:rsid w:val="00DE1339"/>
    <w:rsid w:val="00DE27B1"/>
    <w:rsid w:val="00DE2FDF"/>
    <w:rsid w:val="00DE4924"/>
    <w:rsid w:val="00DE6E79"/>
    <w:rsid w:val="00DF2039"/>
    <w:rsid w:val="00DF4442"/>
    <w:rsid w:val="00E018D3"/>
    <w:rsid w:val="00E02596"/>
    <w:rsid w:val="00E026B3"/>
    <w:rsid w:val="00E036C4"/>
    <w:rsid w:val="00E07883"/>
    <w:rsid w:val="00E16EB9"/>
    <w:rsid w:val="00E17EE2"/>
    <w:rsid w:val="00E21CC1"/>
    <w:rsid w:val="00E2454E"/>
    <w:rsid w:val="00E252CB"/>
    <w:rsid w:val="00E27A38"/>
    <w:rsid w:val="00E32DCE"/>
    <w:rsid w:val="00E3693D"/>
    <w:rsid w:val="00E41128"/>
    <w:rsid w:val="00E432C7"/>
    <w:rsid w:val="00E45304"/>
    <w:rsid w:val="00E47A7F"/>
    <w:rsid w:val="00E50305"/>
    <w:rsid w:val="00E515A9"/>
    <w:rsid w:val="00E55228"/>
    <w:rsid w:val="00E5558C"/>
    <w:rsid w:val="00E5685D"/>
    <w:rsid w:val="00E61B8E"/>
    <w:rsid w:val="00E629FA"/>
    <w:rsid w:val="00E62F89"/>
    <w:rsid w:val="00E65046"/>
    <w:rsid w:val="00E65561"/>
    <w:rsid w:val="00E659A6"/>
    <w:rsid w:val="00E66D08"/>
    <w:rsid w:val="00E6701E"/>
    <w:rsid w:val="00E70F0C"/>
    <w:rsid w:val="00E72BC3"/>
    <w:rsid w:val="00E73BCB"/>
    <w:rsid w:val="00E74823"/>
    <w:rsid w:val="00E76C50"/>
    <w:rsid w:val="00E77247"/>
    <w:rsid w:val="00E81500"/>
    <w:rsid w:val="00E82C41"/>
    <w:rsid w:val="00E859A0"/>
    <w:rsid w:val="00E86A79"/>
    <w:rsid w:val="00E86C61"/>
    <w:rsid w:val="00E9025D"/>
    <w:rsid w:val="00E906EC"/>
    <w:rsid w:val="00E92190"/>
    <w:rsid w:val="00E936FC"/>
    <w:rsid w:val="00E94E14"/>
    <w:rsid w:val="00E9568F"/>
    <w:rsid w:val="00E965EA"/>
    <w:rsid w:val="00E973F4"/>
    <w:rsid w:val="00E977C5"/>
    <w:rsid w:val="00EA552A"/>
    <w:rsid w:val="00EA6E3A"/>
    <w:rsid w:val="00EA78EC"/>
    <w:rsid w:val="00EB146D"/>
    <w:rsid w:val="00EB1836"/>
    <w:rsid w:val="00EB1AAB"/>
    <w:rsid w:val="00EB1D3E"/>
    <w:rsid w:val="00EB1D7D"/>
    <w:rsid w:val="00EB2E64"/>
    <w:rsid w:val="00EB392A"/>
    <w:rsid w:val="00EB3CA4"/>
    <w:rsid w:val="00EB4411"/>
    <w:rsid w:val="00EB6A6B"/>
    <w:rsid w:val="00EB72C1"/>
    <w:rsid w:val="00EC2E33"/>
    <w:rsid w:val="00EC5C01"/>
    <w:rsid w:val="00EC7947"/>
    <w:rsid w:val="00EC7BF3"/>
    <w:rsid w:val="00ED05A2"/>
    <w:rsid w:val="00ED1E38"/>
    <w:rsid w:val="00ED256A"/>
    <w:rsid w:val="00ED31DC"/>
    <w:rsid w:val="00ED367D"/>
    <w:rsid w:val="00ED4690"/>
    <w:rsid w:val="00ED480D"/>
    <w:rsid w:val="00ED5D79"/>
    <w:rsid w:val="00EE3592"/>
    <w:rsid w:val="00EF0100"/>
    <w:rsid w:val="00EF393C"/>
    <w:rsid w:val="00EF4CCE"/>
    <w:rsid w:val="00EF6F57"/>
    <w:rsid w:val="00EF7478"/>
    <w:rsid w:val="00EF7FE2"/>
    <w:rsid w:val="00F0202C"/>
    <w:rsid w:val="00F060AC"/>
    <w:rsid w:val="00F0671C"/>
    <w:rsid w:val="00F06C85"/>
    <w:rsid w:val="00F10DEC"/>
    <w:rsid w:val="00F12D5D"/>
    <w:rsid w:val="00F1498D"/>
    <w:rsid w:val="00F17E02"/>
    <w:rsid w:val="00F17EDB"/>
    <w:rsid w:val="00F21156"/>
    <w:rsid w:val="00F21717"/>
    <w:rsid w:val="00F21CEF"/>
    <w:rsid w:val="00F2234D"/>
    <w:rsid w:val="00F22FFF"/>
    <w:rsid w:val="00F23DE5"/>
    <w:rsid w:val="00F24136"/>
    <w:rsid w:val="00F2469F"/>
    <w:rsid w:val="00F24DFA"/>
    <w:rsid w:val="00F2603E"/>
    <w:rsid w:val="00F2652D"/>
    <w:rsid w:val="00F26F97"/>
    <w:rsid w:val="00F271B2"/>
    <w:rsid w:val="00F30E7C"/>
    <w:rsid w:val="00F3349B"/>
    <w:rsid w:val="00F34DE0"/>
    <w:rsid w:val="00F35463"/>
    <w:rsid w:val="00F3572E"/>
    <w:rsid w:val="00F357AB"/>
    <w:rsid w:val="00F358CC"/>
    <w:rsid w:val="00F36AA1"/>
    <w:rsid w:val="00F36B59"/>
    <w:rsid w:val="00F37B83"/>
    <w:rsid w:val="00F40841"/>
    <w:rsid w:val="00F4144F"/>
    <w:rsid w:val="00F42623"/>
    <w:rsid w:val="00F443C3"/>
    <w:rsid w:val="00F46989"/>
    <w:rsid w:val="00F473CC"/>
    <w:rsid w:val="00F50A13"/>
    <w:rsid w:val="00F51BC2"/>
    <w:rsid w:val="00F53E6E"/>
    <w:rsid w:val="00F540BD"/>
    <w:rsid w:val="00F56C69"/>
    <w:rsid w:val="00F572F7"/>
    <w:rsid w:val="00F60D4D"/>
    <w:rsid w:val="00F61441"/>
    <w:rsid w:val="00F61F70"/>
    <w:rsid w:val="00F625E6"/>
    <w:rsid w:val="00F63855"/>
    <w:rsid w:val="00F6472D"/>
    <w:rsid w:val="00F6571C"/>
    <w:rsid w:val="00F67368"/>
    <w:rsid w:val="00F67F29"/>
    <w:rsid w:val="00F71F6B"/>
    <w:rsid w:val="00F75D68"/>
    <w:rsid w:val="00F7685C"/>
    <w:rsid w:val="00F7693B"/>
    <w:rsid w:val="00F80A6F"/>
    <w:rsid w:val="00F81DE7"/>
    <w:rsid w:val="00F829D8"/>
    <w:rsid w:val="00F8349D"/>
    <w:rsid w:val="00F8382C"/>
    <w:rsid w:val="00F84F6D"/>
    <w:rsid w:val="00F85A7E"/>
    <w:rsid w:val="00F87E3B"/>
    <w:rsid w:val="00F90672"/>
    <w:rsid w:val="00F91241"/>
    <w:rsid w:val="00F91654"/>
    <w:rsid w:val="00F958E4"/>
    <w:rsid w:val="00FA44B2"/>
    <w:rsid w:val="00FA4CA1"/>
    <w:rsid w:val="00FA50B5"/>
    <w:rsid w:val="00FA74C5"/>
    <w:rsid w:val="00FA7626"/>
    <w:rsid w:val="00FB00D0"/>
    <w:rsid w:val="00FB0C7D"/>
    <w:rsid w:val="00FB1FB7"/>
    <w:rsid w:val="00FB236D"/>
    <w:rsid w:val="00FB4D9F"/>
    <w:rsid w:val="00FB520A"/>
    <w:rsid w:val="00FB74C7"/>
    <w:rsid w:val="00FC13FE"/>
    <w:rsid w:val="00FC273A"/>
    <w:rsid w:val="00FC4DD2"/>
    <w:rsid w:val="00FC5624"/>
    <w:rsid w:val="00FC5CFB"/>
    <w:rsid w:val="00FC634A"/>
    <w:rsid w:val="00FC63A9"/>
    <w:rsid w:val="00FD03F5"/>
    <w:rsid w:val="00FD16E2"/>
    <w:rsid w:val="00FD27CE"/>
    <w:rsid w:val="00FD3DF4"/>
    <w:rsid w:val="00FD4824"/>
    <w:rsid w:val="00FD5EF1"/>
    <w:rsid w:val="00FD72FE"/>
    <w:rsid w:val="00FE0F62"/>
    <w:rsid w:val="00FE1BF5"/>
    <w:rsid w:val="00FE1D1E"/>
    <w:rsid w:val="00FE7429"/>
    <w:rsid w:val="00FE7900"/>
    <w:rsid w:val="00FF1012"/>
    <w:rsid w:val="00FF1638"/>
    <w:rsid w:val="00FF1FDF"/>
    <w:rsid w:val="00FF3176"/>
    <w:rsid w:val="00FF379B"/>
    <w:rsid w:val="00FF5057"/>
    <w:rsid w:val="00FF50BD"/>
    <w:rsid w:val="00FF51C9"/>
    <w:rsid w:val="00FF5695"/>
    <w:rsid w:val="036AF933"/>
    <w:rsid w:val="06874012"/>
    <w:rsid w:val="06E63996"/>
    <w:rsid w:val="07779008"/>
    <w:rsid w:val="087102D8"/>
    <w:rsid w:val="0C63FF41"/>
    <w:rsid w:val="0DF29A01"/>
    <w:rsid w:val="0F437B5D"/>
    <w:rsid w:val="0FBE777F"/>
    <w:rsid w:val="1017958B"/>
    <w:rsid w:val="11419399"/>
    <w:rsid w:val="13623E57"/>
    <w:rsid w:val="158F177A"/>
    <w:rsid w:val="15E55FA6"/>
    <w:rsid w:val="191958A8"/>
    <w:rsid w:val="21579E43"/>
    <w:rsid w:val="22E16803"/>
    <w:rsid w:val="2B2D4240"/>
    <w:rsid w:val="2E8B4EFE"/>
    <w:rsid w:val="2ED1CCFF"/>
    <w:rsid w:val="2ED8DF02"/>
    <w:rsid w:val="33E24B67"/>
    <w:rsid w:val="36D3B2C8"/>
    <w:rsid w:val="39B4CCA1"/>
    <w:rsid w:val="3B4E94A9"/>
    <w:rsid w:val="3FE63844"/>
    <w:rsid w:val="41859EC6"/>
    <w:rsid w:val="4669296A"/>
    <w:rsid w:val="4C79D4C1"/>
    <w:rsid w:val="4C805697"/>
    <w:rsid w:val="4D04323F"/>
    <w:rsid w:val="4E016CDE"/>
    <w:rsid w:val="4E2205CD"/>
    <w:rsid w:val="4FBAAF38"/>
    <w:rsid w:val="53052095"/>
    <w:rsid w:val="5366AFCD"/>
    <w:rsid w:val="553CC129"/>
    <w:rsid w:val="56E289F1"/>
    <w:rsid w:val="57607CDE"/>
    <w:rsid w:val="57D2C4D3"/>
    <w:rsid w:val="58FB46CF"/>
    <w:rsid w:val="5B41B5BD"/>
    <w:rsid w:val="5C742781"/>
    <w:rsid w:val="5D8F0B53"/>
    <w:rsid w:val="5DC093D4"/>
    <w:rsid w:val="5F4A90D7"/>
    <w:rsid w:val="5F8EA5A4"/>
    <w:rsid w:val="5FEE7FAE"/>
    <w:rsid w:val="60925E34"/>
    <w:rsid w:val="615BD676"/>
    <w:rsid w:val="62715597"/>
    <w:rsid w:val="66572BA1"/>
    <w:rsid w:val="66E88F09"/>
    <w:rsid w:val="6A1C75CC"/>
    <w:rsid w:val="6CDD8B80"/>
    <w:rsid w:val="6E016211"/>
    <w:rsid w:val="7009A6D6"/>
    <w:rsid w:val="729F9F9B"/>
    <w:rsid w:val="74233666"/>
    <w:rsid w:val="793DD6AF"/>
    <w:rsid w:val="7C0943CC"/>
    <w:rsid w:val="7DC56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B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9D"/>
  </w:style>
  <w:style w:type="paragraph" w:styleId="Heading1">
    <w:name w:val="heading 1"/>
    <w:basedOn w:val="Normal"/>
    <w:next w:val="Normal"/>
    <w:uiPriority w:val="9"/>
    <w:rsid w:val="00DB2F16"/>
    <w:pPr>
      <w:keepNext/>
      <w:keepLines/>
      <w:jc w:val="center"/>
      <w:outlineLvl w:val="0"/>
    </w:pPr>
    <w:rPr>
      <w:b/>
      <w:sz w:val="34"/>
      <w:szCs w:val="32"/>
    </w:rPr>
  </w:style>
  <w:style w:type="paragraph" w:styleId="Heading2">
    <w:name w:val="heading 2"/>
    <w:basedOn w:val="Normal"/>
    <w:next w:val="Normal"/>
    <w:uiPriority w:val="9"/>
    <w:unhideWhenUsed/>
    <w:qFormat/>
    <w:rsid w:val="007D70DE"/>
    <w:pPr>
      <w:tabs>
        <w:tab w:val="right" w:pos="9350"/>
      </w:tabs>
      <w:spacing w:after="240"/>
      <w:outlineLvl w:val="1"/>
    </w:pPr>
    <w:rPr>
      <w:b/>
      <w:sz w:val="26"/>
      <w:szCs w:val="26"/>
    </w:rPr>
  </w:style>
  <w:style w:type="paragraph" w:styleId="Heading3">
    <w:name w:val="heading 3"/>
    <w:basedOn w:val="Normal"/>
    <w:next w:val="Normal"/>
    <w:uiPriority w:val="9"/>
    <w:unhideWhenUsed/>
    <w:qFormat/>
    <w:rsid w:val="00725B76"/>
    <w:pPr>
      <w:keepNext/>
      <w:keepLines/>
      <w:spacing w:before="240" w:after="240"/>
      <w:outlineLvl w:val="2"/>
    </w:pPr>
    <w:rPr>
      <w:bCs/>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pPr>
      <w:contextualSpacing/>
    </w:pPr>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contextualSpacing/>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C45C6"/>
    <w:pPr>
      <w:tabs>
        <w:tab w:val="center" w:pos="4680"/>
        <w:tab w:val="right" w:pos="9360"/>
      </w:tabs>
    </w:pPr>
  </w:style>
  <w:style w:type="character" w:customStyle="1" w:styleId="HeaderChar">
    <w:name w:val="Header Char"/>
    <w:basedOn w:val="DefaultParagraphFont"/>
    <w:link w:val="Header"/>
    <w:uiPriority w:val="99"/>
    <w:rsid w:val="00EC45C6"/>
  </w:style>
  <w:style w:type="paragraph" w:styleId="Footer">
    <w:name w:val="footer"/>
    <w:basedOn w:val="Normal"/>
    <w:link w:val="FooterChar"/>
    <w:uiPriority w:val="99"/>
    <w:unhideWhenUsed/>
    <w:rsid w:val="00EC45C6"/>
    <w:pPr>
      <w:tabs>
        <w:tab w:val="center" w:pos="4680"/>
        <w:tab w:val="right" w:pos="9360"/>
      </w:tabs>
    </w:pPr>
  </w:style>
  <w:style w:type="character" w:customStyle="1" w:styleId="FooterChar">
    <w:name w:val="Footer Char"/>
    <w:basedOn w:val="DefaultParagraphFont"/>
    <w:link w:val="Footer"/>
    <w:uiPriority w:val="99"/>
    <w:rsid w:val="00EC45C6"/>
  </w:style>
  <w:style w:type="paragraph" w:styleId="ListParagraph">
    <w:name w:val="List Paragraph"/>
    <w:basedOn w:val="Normal"/>
    <w:uiPriority w:val="1"/>
    <w:qFormat/>
    <w:rsid w:val="00F43514"/>
    <w:pPr>
      <w:ind w:left="720"/>
      <w:contextualSpacing/>
    </w:pPr>
  </w:style>
  <w:style w:type="paragraph" w:styleId="BalloonText">
    <w:name w:val="Balloon Text"/>
    <w:basedOn w:val="Normal"/>
    <w:link w:val="BalloonTextChar"/>
    <w:uiPriority w:val="99"/>
    <w:semiHidden/>
    <w:unhideWhenUsed/>
    <w:rsid w:val="00637963"/>
    <w:rPr>
      <w:rFonts w:ascii="Segoe UI" w:hAnsi="Segoe UI" w:cs="Segoe UI"/>
      <w:sz w:val="18"/>
      <w:szCs w:val="18"/>
    </w:rPr>
  </w:style>
  <w:style w:type="character" w:customStyle="1" w:styleId="BalloonTextChar">
    <w:name w:val="Balloon Text Char"/>
    <w:link w:val="BalloonText"/>
    <w:uiPriority w:val="99"/>
    <w:semiHidden/>
    <w:rsid w:val="00637963"/>
    <w:rPr>
      <w:rFonts w:ascii="Segoe UI" w:hAnsi="Segoe UI" w:cs="Segoe UI"/>
      <w:sz w:val="18"/>
      <w:szCs w:val="18"/>
    </w:rPr>
  </w:style>
  <w:style w:type="character" w:customStyle="1" w:styleId="TitleChar">
    <w:name w:val="Title Char"/>
    <w:link w:val="Title"/>
    <w:rsid w:val="00637963"/>
    <w:rPr>
      <w:b/>
      <w:sz w:val="72"/>
      <w:szCs w:val="72"/>
    </w:rPr>
  </w:style>
  <w:style w:type="table" w:styleId="TableGrid">
    <w:name w:val="Table Grid"/>
    <w:basedOn w:val="TableNormal"/>
    <w:uiPriority w:val="39"/>
    <w:rsid w:val="004B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202F"/>
    <w:rPr>
      <w:color w:val="0000FF"/>
      <w:u w:val="single"/>
    </w:rPr>
  </w:style>
  <w:style w:type="paragraph" w:styleId="HTMLPreformatted">
    <w:name w:val="HTML Preformatted"/>
    <w:basedOn w:val="Normal"/>
    <w:link w:val="HTMLPreformattedChar"/>
    <w:uiPriority w:val="99"/>
    <w:semiHidden/>
    <w:unhideWhenUsed/>
    <w:rsid w:val="00D13045"/>
    <w:rPr>
      <w:rFonts w:ascii="Consolas" w:hAnsi="Consolas"/>
      <w:sz w:val="20"/>
      <w:szCs w:val="20"/>
    </w:rPr>
  </w:style>
  <w:style w:type="character" w:customStyle="1" w:styleId="HTMLPreformattedChar">
    <w:name w:val="HTML Preformatted Char"/>
    <w:link w:val="HTMLPreformatted"/>
    <w:uiPriority w:val="99"/>
    <w:semiHidden/>
    <w:rsid w:val="00D13045"/>
    <w:rPr>
      <w:rFonts w:ascii="Consolas" w:hAnsi="Consolas"/>
      <w:sz w:val="20"/>
      <w:szCs w:val="20"/>
    </w:rPr>
  </w:style>
  <w:style w:type="paragraph" w:styleId="NoSpacing">
    <w:name w:val="No Spacing"/>
    <w:uiPriority w:val="1"/>
    <w:qFormat/>
    <w:rsid w:val="00732987"/>
    <w:rPr>
      <w:color w:val="000000"/>
    </w:rPr>
  </w:style>
  <w:style w:type="character" w:styleId="FollowedHyperlink">
    <w:name w:val="FollowedHyperlink"/>
    <w:uiPriority w:val="99"/>
    <w:semiHidden/>
    <w:unhideWhenUsed/>
    <w:rsid w:val="00162FDD"/>
    <w:rPr>
      <w:color w:val="954F72"/>
      <w:u w:val="single"/>
    </w:rPr>
  </w:style>
  <w:style w:type="character" w:styleId="CommentReference">
    <w:name w:val="annotation reference"/>
    <w:uiPriority w:val="99"/>
    <w:semiHidden/>
    <w:unhideWhenUsed/>
    <w:rsid w:val="000A0694"/>
    <w:rPr>
      <w:sz w:val="16"/>
      <w:szCs w:val="16"/>
    </w:rPr>
  </w:style>
  <w:style w:type="paragraph" w:styleId="CommentText">
    <w:name w:val="annotation text"/>
    <w:basedOn w:val="Normal"/>
    <w:link w:val="CommentTextChar"/>
    <w:uiPriority w:val="99"/>
    <w:unhideWhenUsed/>
    <w:rsid w:val="000A0694"/>
    <w:rPr>
      <w:sz w:val="20"/>
      <w:szCs w:val="20"/>
    </w:rPr>
  </w:style>
  <w:style w:type="character" w:customStyle="1" w:styleId="CommentTextChar">
    <w:name w:val="Comment Text Char"/>
    <w:link w:val="CommentText"/>
    <w:uiPriority w:val="99"/>
    <w:rsid w:val="000A0694"/>
    <w:rPr>
      <w:color w:val="000000"/>
    </w:rPr>
  </w:style>
  <w:style w:type="paragraph" w:styleId="CommentSubject">
    <w:name w:val="annotation subject"/>
    <w:basedOn w:val="CommentText"/>
    <w:next w:val="CommentText"/>
    <w:link w:val="CommentSubjectChar"/>
    <w:uiPriority w:val="99"/>
    <w:semiHidden/>
    <w:unhideWhenUsed/>
    <w:rsid w:val="000A0694"/>
    <w:rPr>
      <w:b/>
      <w:bCs/>
    </w:rPr>
  </w:style>
  <w:style w:type="character" w:customStyle="1" w:styleId="CommentSubjectChar">
    <w:name w:val="Comment Subject Char"/>
    <w:link w:val="CommentSubject"/>
    <w:uiPriority w:val="99"/>
    <w:semiHidden/>
    <w:rsid w:val="000A0694"/>
    <w:rPr>
      <w:b/>
      <w:bCs/>
      <w:color w:val="000000"/>
    </w:rPr>
  </w:style>
  <w:style w:type="paragraph" w:styleId="Caption">
    <w:name w:val="caption"/>
    <w:basedOn w:val="Normal"/>
    <w:next w:val="Normal"/>
    <w:uiPriority w:val="35"/>
    <w:unhideWhenUsed/>
    <w:qFormat/>
    <w:rsid w:val="00151E0D"/>
    <w:rPr>
      <w:b/>
      <w:bCs/>
      <w:szCs w:val="20"/>
    </w:rPr>
  </w:style>
  <w:style w:type="paragraph" w:styleId="Revision">
    <w:name w:val="Revision"/>
    <w:hidden/>
    <w:uiPriority w:val="99"/>
    <w:semiHidden/>
    <w:rsid w:val="00693985"/>
  </w:style>
  <w:style w:type="character" w:customStyle="1" w:styleId="UnresolvedMention1">
    <w:name w:val="Unresolved Mention1"/>
    <w:basedOn w:val="DefaultParagraphFont"/>
    <w:uiPriority w:val="99"/>
    <w:semiHidden/>
    <w:unhideWhenUsed/>
    <w:rsid w:val="004F487A"/>
    <w:rPr>
      <w:color w:val="605E5C"/>
      <w:shd w:val="clear" w:color="auto" w:fill="E1DFDD"/>
    </w:rPr>
  </w:style>
  <w:style w:type="paragraph" w:styleId="TOCHeading">
    <w:name w:val="TOC Heading"/>
    <w:basedOn w:val="Heading1"/>
    <w:next w:val="Normal"/>
    <w:uiPriority w:val="39"/>
    <w:unhideWhenUsed/>
    <w:qFormat/>
    <w:rsid w:val="00220FD6"/>
    <w:pPr>
      <w:spacing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583D0D"/>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8A27A5"/>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8A27A5"/>
    <w:pPr>
      <w:ind w:left="240"/>
    </w:pPr>
    <w:rPr>
      <w:rFonts w:asciiTheme="minorHAnsi" w:hAnsiTheme="minorHAnsi" w:cstheme="minorHAnsi"/>
      <w:sz w:val="20"/>
      <w:szCs w:val="20"/>
    </w:rPr>
  </w:style>
  <w:style w:type="character" w:customStyle="1" w:styleId="UnresolvedMention2">
    <w:name w:val="Unresolved Mention2"/>
    <w:basedOn w:val="DefaultParagraphFont"/>
    <w:uiPriority w:val="99"/>
    <w:semiHidden/>
    <w:unhideWhenUsed/>
    <w:rsid w:val="005B00BB"/>
    <w:rPr>
      <w:color w:val="605E5C"/>
      <w:shd w:val="clear" w:color="auto" w:fill="E1DFDD"/>
    </w:rPr>
  </w:style>
  <w:style w:type="paragraph" w:styleId="FootnoteText">
    <w:name w:val="footnote text"/>
    <w:basedOn w:val="Normal"/>
    <w:link w:val="FootnoteTextChar"/>
    <w:uiPriority w:val="99"/>
    <w:semiHidden/>
    <w:unhideWhenUsed/>
    <w:rsid w:val="007B527C"/>
    <w:pPr>
      <w:spacing w:line="36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527C"/>
    <w:rPr>
      <w:rFonts w:ascii="Times New Roman" w:eastAsia="Times New Roman" w:hAnsi="Times New Roman" w:cs="Times New Roman"/>
      <w:sz w:val="20"/>
      <w:szCs w:val="20"/>
    </w:rPr>
  </w:style>
  <w:style w:type="paragraph" w:customStyle="1" w:styleId="bibliography2">
    <w:name w:val="bibliography2"/>
    <w:basedOn w:val="Normal"/>
    <w:rsid w:val="003956A8"/>
    <w:pPr>
      <w:keepLines/>
      <w:tabs>
        <w:tab w:val="left" w:pos="2160"/>
      </w:tabs>
      <w:spacing w:before="240" w:line="210" w:lineRule="atLeast"/>
      <w:ind w:left="2400" w:hanging="2400"/>
    </w:pPr>
    <w:rPr>
      <w:rFonts w:eastAsia="Times New Roman" w:cs="Times New Roman"/>
      <w:sz w:val="21"/>
      <w:szCs w:val="20"/>
    </w:rPr>
  </w:style>
  <w:style w:type="character" w:styleId="UnresolvedMention">
    <w:name w:val="Unresolved Mention"/>
    <w:basedOn w:val="DefaultParagraphFont"/>
    <w:uiPriority w:val="99"/>
    <w:semiHidden/>
    <w:unhideWhenUsed/>
    <w:rsid w:val="00CC77FE"/>
    <w:rPr>
      <w:color w:val="605E5C"/>
      <w:shd w:val="clear" w:color="auto" w:fill="E1DFDD"/>
    </w:rPr>
  </w:style>
  <w:style w:type="paragraph" w:customStyle="1" w:styleId="TableParagraph">
    <w:name w:val="Table Paragraph"/>
    <w:basedOn w:val="Normal"/>
    <w:uiPriority w:val="1"/>
    <w:qFormat/>
    <w:rsid w:val="009472FC"/>
    <w:pPr>
      <w:widowControl w:val="0"/>
      <w:autoSpaceDE w:val="0"/>
      <w:autoSpaceDN w:val="0"/>
    </w:pPr>
    <w:rPr>
      <w:szCs w:val="22"/>
      <w:lang w:bidi="en-US"/>
    </w:rPr>
  </w:style>
  <w:style w:type="paragraph" w:styleId="BodyText">
    <w:name w:val="Body Text"/>
    <w:basedOn w:val="Normal"/>
    <w:link w:val="BodyTextChar"/>
    <w:uiPriority w:val="1"/>
    <w:qFormat/>
    <w:rsid w:val="00943A2D"/>
    <w:pPr>
      <w:widowControl w:val="0"/>
      <w:autoSpaceDE w:val="0"/>
      <w:autoSpaceDN w:val="0"/>
    </w:pPr>
    <w:rPr>
      <w:lang w:bidi="en-US"/>
    </w:rPr>
  </w:style>
  <w:style w:type="character" w:customStyle="1" w:styleId="BodyTextChar">
    <w:name w:val="Body Text Char"/>
    <w:basedOn w:val="DefaultParagraphFont"/>
    <w:link w:val="BodyText"/>
    <w:uiPriority w:val="1"/>
    <w:rsid w:val="00943A2D"/>
    <w:rPr>
      <w:lang w:bidi="en-US"/>
    </w:rPr>
  </w:style>
  <w:style w:type="paragraph" w:styleId="NormalWeb">
    <w:name w:val="Normal (Web)"/>
    <w:basedOn w:val="Normal"/>
    <w:uiPriority w:val="99"/>
    <w:unhideWhenUsed/>
    <w:rsid w:val="00040C4A"/>
    <w:pPr>
      <w:spacing w:before="100" w:beforeAutospacing="1" w:after="100" w:afterAutospacing="1"/>
    </w:pPr>
    <w:rPr>
      <w:rFonts w:ascii="Times New Roman" w:eastAsia="Times New Roman" w:hAnsi="Times New Roman" w:cs="Times New Roman"/>
    </w:rPr>
  </w:style>
  <w:style w:type="paragraph" w:customStyle="1" w:styleId="Default">
    <w:name w:val="Default"/>
    <w:rsid w:val="0049489F"/>
    <w:pPr>
      <w:autoSpaceDE w:val="0"/>
      <w:autoSpaceDN w:val="0"/>
      <w:adjustRightInd w:val="0"/>
    </w:pPr>
    <w:rPr>
      <w:color w:val="000000"/>
    </w:r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character" w:customStyle="1" w:styleId="ui-provider">
    <w:name w:val="ui-provider"/>
    <w:basedOn w:val="DefaultParagraphFont"/>
    <w:rsid w:val="004A29CF"/>
  </w:style>
  <w:style w:type="character" w:customStyle="1" w:styleId="cteiglblbold">
    <w:name w:val="cteiglblbold"/>
    <w:basedOn w:val="DefaultParagraphFont"/>
    <w:rsid w:val="005E2897"/>
  </w:style>
  <w:style w:type="paragraph" w:styleId="TOC4">
    <w:name w:val="toc 4"/>
    <w:basedOn w:val="Normal"/>
    <w:next w:val="Normal"/>
    <w:autoRedefine/>
    <w:uiPriority w:val="39"/>
    <w:unhideWhenUsed/>
    <w:rsid w:val="00EF0100"/>
    <w:pPr>
      <w:ind w:left="480"/>
    </w:pPr>
    <w:rPr>
      <w:rFonts w:asciiTheme="minorHAnsi" w:hAnsiTheme="minorHAnsi" w:cstheme="minorHAnsi"/>
      <w:sz w:val="20"/>
      <w:szCs w:val="20"/>
    </w:rPr>
  </w:style>
  <w:style w:type="character" w:styleId="FootnoteReference">
    <w:name w:val="footnote reference"/>
    <w:basedOn w:val="DefaultParagraphFont"/>
    <w:uiPriority w:val="99"/>
    <w:semiHidden/>
    <w:unhideWhenUsed/>
    <w:rsid w:val="00F24DFA"/>
    <w:rPr>
      <w:vertAlign w:val="superscript"/>
    </w:rPr>
  </w:style>
  <w:style w:type="paragraph" w:styleId="TOC5">
    <w:name w:val="toc 5"/>
    <w:basedOn w:val="Normal"/>
    <w:next w:val="Normal"/>
    <w:autoRedefine/>
    <w:uiPriority w:val="39"/>
    <w:unhideWhenUsed/>
    <w:rsid w:val="006B0E7D"/>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6B0E7D"/>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6B0E7D"/>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6B0E7D"/>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6B0E7D"/>
    <w:pPr>
      <w:ind w:left="1680"/>
    </w:pPr>
    <w:rPr>
      <w:rFonts w:asciiTheme="minorHAnsi" w:hAnsiTheme="minorHAnsi" w:cstheme="minorHAnsi"/>
      <w:sz w:val="20"/>
      <w:szCs w:val="20"/>
    </w:rPr>
  </w:style>
  <w:style w:type="table" w:customStyle="1" w:styleId="TableGrid1">
    <w:name w:val="Table Grid1"/>
    <w:basedOn w:val="TableNormal"/>
    <w:next w:val="TableGrid"/>
    <w:uiPriority w:val="39"/>
    <w:rsid w:val="004F2B3D"/>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0650"/>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30650"/>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945">
      <w:bodyDiv w:val="1"/>
      <w:marLeft w:val="0"/>
      <w:marRight w:val="0"/>
      <w:marTop w:val="0"/>
      <w:marBottom w:val="0"/>
      <w:divBdr>
        <w:top w:val="none" w:sz="0" w:space="0" w:color="auto"/>
        <w:left w:val="none" w:sz="0" w:space="0" w:color="auto"/>
        <w:bottom w:val="none" w:sz="0" w:space="0" w:color="auto"/>
        <w:right w:val="none" w:sz="0" w:space="0" w:color="auto"/>
      </w:divBdr>
    </w:div>
    <w:div w:id="354771659">
      <w:bodyDiv w:val="1"/>
      <w:marLeft w:val="0"/>
      <w:marRight w:val="0"/>
      <w:marTop w:val="0"/>
      <w:marBottom w:val="0"/>
      <w:divBdr>
        <w:top w:val="none" w:sz="0" w:space="0" w:color="auto"/>
        <w:left w:val="none" w:sz="0" w:space="0" w:color="auto"/>
        <w:bottom w:val="none" w:sz="0" w:space="0" w:color="auto"/>
        <w:right w:val="none" w:sz="0" w:space="0" w:color="auto"/>
      </w:divBdr>
    </w:div>
    <w:div w:id="365183835">
      <w:bodyDiv w:val="1"/>
      <w:marLeft w:val="0"/>
      <w:marRight w:val="0"/>
      <w:marTop w:val="0"/>
      <w:marBottom w:val="0"/>
      <w:divBdr>
        <w:top w:val="none" w:sz="0" w:space="0" w:color="auto"/>
        <w:left w:val="none" w:sz="0" w:space="0" w:color="auto"/>
        <w:bottom w:val="none" w:sz="0" w:space="0" w:color="auto"/>
        <w:right w:val="none" w:sz="0" w:space="0" w:color="auto"/>
      </w:divBdr>
    </w:div>
    <w:div w:id="376470628">
      <w:bodyDiv w:val="1"/>
      <w:marLeft w:val="0"/>
      <w:marRight w:val="0"/>
      <w:marTop w:val="0"/>
      <w:marBottom w:val="0"/>
      <w:divBdr>
        <w:top w:val="none" w:sz="0" w:space="0" w:color="auto"/>
        <w:left w:val="none" w:sz="0" w:space="0" w:color="auto"/>
        <w:bottom w:val="none" w:sz="0" w:space="0" w:color="auto"/>
        <w:right w:val="none" w:sz="0" w:space="0" w:color="auto"/>
      </w:divBdr>
      <w:divsChild>
        <w:div w:id="1013533558">
          <w:marLeft w:val="0"/>
          <w:marRight w:val="0"/>
          <w:marTop w:val="0"/>
          <w:marBottom w:val="0"/>
          <w:divBdr>
            <w:top w:val="none" w:sz="0" w:space="0" w:color="auto"/>
            <w:left w:val="none" w:sz="0" w:space="0" w:color="auto"/>
            <w:bottom w:val="none" w:sz="0" w:space="0" w:color="auto"/>
            <w:right w:val="none" w:sz="0" w:space="0" w:color="auto"/>
          </w:divBdr>
        </w:div>
      </w:divsChild>
    </w:div>
    <w:div w:id="559747634">
      <w:bodyDiv w:val="1"/>
      <w:marLeft w:val="0"/>
      <w:marRight w:val="0"/>
      <w:marTop w:val="0"/>
      <w:marBottom w:val="0"/>
      <w:divBdr>
        <w:top w:val="none" w:sz="0" w:space="0" w:color="auto"/>
        <w:left w:val="none" w:sz="0" w:space="0" w:color="auto"/>
        <w:bottom w:val="none" w:sz="0" w:space="0" w:color="auto"/>
        <w:right w:val="none" w:sz="0" w:space="0" w:color="auto"/>
      </w:divBdr>
    </w:div>
    <w:div w:id="610748361">
      <w:bodyDiv w:val="1"/>
      <w:marLeft w:val="0"/>
      <w:marRight w:val="0"/>
      <w:marTop w:val="0"/>
      <w:marBottom w:val="0"/>
      <w:divBdr>
        <w:top w:val="none" w:sz="0" w:space="0" w:color="auto"/>
        <w:left w:val="none" w:sz="0" w:space="0" w:color="auto"/>
        <w:bottom w:val="none" w:sz="0" w:space="0" w:color="auto"/>
        <w:right w:val="none" w:sz="0" w:space="0" w:color="auto"/>
      </w:divBdr>
    </w:div>
    <w:div w:id="668600110">
      <w:bodyDiv w:val="1"/>
      <w:marLeft w:val="0"/>
      <w:marRight w:val="0"/>
      <w:marTop w:val="0"/>
      <w:marBottom w:val="0"/>
      <w:divBdr>
        <w:top w:val="none" w:sz="0" w:space="0" w:color="auto"/>
        <w:left w:val="none" w:sz="0" w:space="0" w:color="auto"/>
        <w:bottom w:val="none" w:sz="0" w:space="0" w:color="auto"/>
        <w:right w:val="none" w:sz="0" w:space="0" w:color="auto"/>
      </w:divBdr>
      <w:divsChild>
        <w:div w:id="1017921748">
          <w:marLeft w:val="0"/>
          <w:marRight w:val="0"/>
          <w:marTop w:val="0"/>
          <w:marBottom w:val="0"/>
          <w:divBdr>
            <w:top w:val="none" w:sz="0" w:space="0" w:color="auto"/>
            <w:left w:val="none" w:sz="0" w:space="0" w:color="auto"/>
            <w:bottom w:val="none" w:sz="0" w:space="0" w:color="auto"/>
            <w:right w:val="none" w:sz="0" w:space="0" w:color="auto"/>
          </w:divBdr>
        </w:div>
      </w:divsChild>
    </w:div>
    <w:div w:id="905578023">
      <w:bodyDiv w:val="1"/>
      <w:marLeft w:val="0"/>
      <w:marRight w:val="0"/>
      <w:marTop w:val="0"/>
      <w:marBottom w:val="0"/>
      <w:divBdr>
        <w:top w:val="none" w:sz="0" w:space="0" w:color="auto"/>
        <w:left w:val="none" w:sz="0" w:space="0" w:color="auto"/>
        <w:bottom w:val="none" w:sz="0" w:space="0" w:color="auto"/>
        <w:right w:val="none" w:sz="0" w:space="0" w:color="auto"/>
      </w:divBdr>
    </w:div>
    <w:div w:id="953946966">
      <w:bodyDiv w:val="1"/>
      <w:marLeft w:val="0"/>
      <w:marRight w:val="0"/>
      <w:marTop w:val="0"/>
      <w:marBottom w:val="0"/>
      <w:divBdr>
        <w:top w:val="none" w:sz="0" w:space="0" w:color="auto"/>
        <w:left w:val="none" w:sz="0" w:space="0" w:color="auto"/>
        <w:bottom w:val="none" w:sz="0" w:space="0" w:color="auto"/>
        <w:right w:val="none" w:sz="0" w:space="0" w:color="auto"/>
      </w:divBdr>
    </w:div>
    <w:div w:id="980885470">
      <w:bodyDiv w:val="1"/>
      <w:marLeft w:val="0"/>
      <w:marRight w:val="0"/>
      <w:marTop w:val="0"/>
      <w:marBottom w:val="0"/>
      <w:divBdr>
        <w:top w:val="none" w:sz="0" w:space="0" w:color="auto"/>
        <w:left w:val="none" w:sz="0" w:space="0" w:color="auto"/>
        <w:bottom w:val="none" w:sz="0" w:space="0" w:color="auto"/>
        <w:right w:val="none" w:sz="0" w:space="0" w:color="auto"/>
      </w:divBdr>
    </w:div>
    <w:div w:id="1065835814">
      <w:bodyDiv w:val="1"/>
      <w:marLeft w:val="0"/>
      <w:marRight w:val="0"/>
      <w:marTop w:val="0"/>
      <w:marBottom w:val="0"/>
      <w:divBdr>
        <w:top w:val="none" w:sz="0" w:space="0" w:color="auto"/>
        <w:left w:val="none" w:sz="0" w:space="0" w:color="auto"/>
        <w:bottom w:val="none" w:sz="0" w:space="0" w:color="auto"/>
        <w:right w:val="none" w:sz="0" w:space="0" w:color="auto"/>
      </w:divBdr>
    </w:div>
    <w:div w:id="1101874949">
      <w:bodyDiv w:val="1"/>
      <w:marLeft w:val="0"/>
      <w:marRight w:val="0"/>
      <w:marTop w:val="0"/>
      <w:marBottom w:val="0"/>
      <w:divBdr>
        <w:top w:val="none" w:sz="0" w:space="0" w:color="auto"/>
        <w:left w:val="none" w:sz="0" w:space="0" w:color="auto"/>
        <w:bottom w:val="none" w:sz="0" w:space="0" w:color="auto"/>
        <w:right w:val="none" w:sz="0" w:space="0" w:color="auto"/>
      </w:divBdr>
      <w:divsChild>
        <w:div w:id="2128766358">
          <w:marLeft w:val="0"/>
          <w:marRight w:val="0"/>
          <w:marTop w:val="0"/>
          <w:marBottom w:val="0"/>
          <w:divBdr>
            <w:top w:val="none" w:sz="0" w:space="0" w:color="auto"/>
            <w:left w:val="none" w:sz="0" w:space="0" w:color="auto"/>
            <w:bottom w:val="none" w:sz="0" w:space="0" w:color="auto"/>
            <w:right w:val="none" w:sz="0" w:space="0" w:color="auto"/>
          </w:divBdr>
        </w:div>
      </w:divsChild>
    </w:div>
    <w:div w:id="1107430458">
      <w:bodyDiv w:val="1"/>
      <w:marLeft w:val="0"/>
      <w:marRight w:val="0"/>
      <w:marTop w:val="0"/>
      <w:marBottom w:val="0"/>
      <w:divBdr>
        <w:top w:val="none" w:sz="0" w:space="0" w:color="auto"/>
        <w:left w:val="none" w:sz="0" w:space="0" w:color="auto"/>
        <w:bottom w:val="none" w:sz="0" w:space="0" w:color="auto"/>
        <w:right w:val="none" w:sz="0" w:space="0" w:color="auto"/>
      </w:divBdr>
    </w:div>
    <w:div w:id="1325816543">
      <w:bodyDiv w:val="1"/>
      <w:marLeft w:val="0"/>
      <w:marRight w:val="0"/>
      <w:marTop w:val="0"/>
      <w:marBottom w:val="0"/>
      <w:divBdr>
        <w:top w:val="none" w:sz="0" w:space="0" w:color="auto"/>
        <w:left w:val="none" w:sz="0" w:space="0" w:color="auto"/>
        <w:bottom w:val="none" w:sz="0" w:space="0" w:color="auto"/>
        <w:right w:val="none" w:sz="0" w:space="0" w:color="auto"/>
      </w:divBdr>
    </w:div>
    <w:div w:id="1339307848">
      <w:bodyDiv w:val="1"/>
      <w:marLeft w:val="0"/>
      <w:marRight w:val="0"/>
      <w:marTop w:val="0"/>
      <w:marBottom w:val="0"/>
      <w:divBdr>
        <w:top w:val="none" w:sz="0" w:space="0" w:color="auto"/>
        <w:left w:val="none" w:sz="0" w:space="0" w:color="auto"/>
        <w:bottom w:val="none" w:sz="0" w:space="0" w:color="auto"/>
        <w:right w:val="none" w:sz="0" w:space="0" w:color="auto"/>
      </w:divBdr>
    </w:div>
    <w:div w:id="1435324104">
      <w:bodyDiv w:val="1"/>
      <w:marLeft w:val="0"/>
      <w:marRight w:val="0"/>
      <w:marTop w:val="0"/>
      <w:marBottom w:val="0"/>
      <w:divBdr>
        <w:top w:val="none" w:sz="0" w:space="0" w:color="auto"/>
        <w:left w:val="none" w:sz="0" w:space="0" w:color="auto"/>
        <w:bottom w:val="none" w:sz="0" w:space="0" w:color="auto"/>
        <w:right w:val="none" w:sz="0" w:space="0" w:color="auto"/>
      </w:divBdr>
      <w:divsChild>
        <w:div w:id="1085346606">
          <w:marLeft w:val="0"/>
          <w:marRight w:val="0"/>
          <w:marTop w:val="0"/>
          <w:marBottom w:val="0"/>
          <w:divBdr>
            <w:top w:val="none" w:sz="0" w:space="0" w:color="auto"/>
            <w:left w:val="none" w:sz="0" w:space="0" w:color="auto"/>
            <w:bottom w:val="none" w:sz="0" w:space="0" w:color="auto"/>
            <w:right w:val="none" w:sz="0" w:space="0" w:color="auto"/>
          </w:divBdr>
        </w:div>
        <w:div w:id="1280453241">
          <w:marLeft w:val="0"/>
          <w:marRight w:val="0"/>
          <w:marTop w:val="0"/>
          <w:marBottom w:val="0"/>
          <w:divBdr>
            <w:top w:val="none" w:sz="0" w:space="0" w:color="auto"/>
            <w:left w:val="none" w:sz="0" w:space="0" w:color="auto"/>
            <w:bottom w:val="none" w:sz="0" w:space="0" w:color="auto"/>
            <w:right w:val="none" w:sz="0" w:space="0" w:color="auto"/>
          </w:divBdr>
        </w:div>
        <w:div w:id="1375616697">
          <w:marLeft w:val="0"/>
          <w:marRight w:val="0"/>
          <w:marTop w:val="0"/>
          <w:marBottom w:val="0"/>
          <w:divBdr>
            <w:top w:val="none" w:sz="0" w:space="0" w:color="auto"/>
            <w:left w:val="none" w:sz="0" w:space="0" w:color="auto"/>
            <w:bottom w:val="none" w:sz="0" w:space="0" w:color="auto"/>
            <w:right w:val="none" w:sz="0" w:space="0" w:color="auto"/>
          </w:divBdr>
        </w:div>
        <w:div w:id="1720543528">
          <w:marLeft w:val="0"/>
          <w:marRight w:val="0"/>
          <w:marTop w:val="0"/>
          <w:marBottom w:val="0"/>
          <w:divBdr>
            <w:top w:val="none" w:sz="0" w:space="0" w:color="auto"/>
            <w:left w:val="none" w:sz="0" w:space="0" w:color="auto"/>
            <w:bottom w:val="none" w:sz="0" w:space="0" w:color="auto"/>
            <w:right w:val="none" w:sz="0" w:space="0" w:color="auto"/>
          </w:divBdr>
        </w:div>
      </w:divsChild>
    </w:div>
    <w:div w:id="1548566317">
      <w:bodyDiv w:val="1"/>
      <w:marLeft w:val="0"/>
      <w:marRight w:val="0"/>
      <w:marTop w:val="0"/>
      <w:marBottom w:val="0"/>
      <w:divBdr>
        <w:top w:val="none" w:sz="0" w:space="0" w:color="auto"/>
        <w:left w:val="none" w:sz="0" w:space="0" w:color="auto"/>
        <w:bottom w:val="none" w:sz="0" w:space="0" w:color="auto"/>
        <w:right w:val="none" w:sz="0" w:space="0" w:color="auto"/>
      </w:divBdr>
      <w:divsChild>
        <w:div w:id="1025516790">
          <w:marLeft w:val="0"/>
          <w:marRight w:val="0"/>
          <w:marTop w:val="0"/>
          <w:marBottom w:val="0"/>
          <w:divBdr>
            <w:top w:val="none" w:sz="0" w:space="0" w:color="auto"/>
            <w:left w:val="none" w:sz="0" w:space="0" w:color="auto"/>
            <w:bottom w:val="none" w:sz="0" w:space="0" w:color="auto"/>
            <w:right w:val="none" w:sz="0" w:space="0" w:color="auto"/>
          </w:divBdr>
        </w:div>
        <w:div w:id="1049500613">
          <w:marLeft w:val="0"/>
          <w:marRight w:val="0"/>
          <w:marTop w:val="0"/>
          <w:marBottom w:val="0"/>
          <w:divBdr>
            <w:top w:val="none" w:sz="0" w:space="0" w:color="auto"/>
            <w:left w:val="none" w:sz="0" w:space="0" w:color="auto"/>
            <w:bottom w:val="none" w:sz="0" w:space="0" w:color="auto"/>
            <w:right w:val="none" w:sz="0" w:space="0" w:color="auto"/>
          </w:divBdr>
        </w:div>
        <w:div w:id="2080207715">
          <w:marLeft w:val="0"/>
          <w:marRight w:val="0"/>
          <w:marTop w:val="0"/>
          <w:marBottom w:val="0"/>
          <w:divBdr>
            <w:top w:val="none" w:sz="0" w:space="0" w:color="auto"/>
            <w:left w:val="none" w:sz="0" w:space="0" w:color="auto"/>
            <w:bottom w:val="none" w:sz="0" w:space="0" w:color="auto"/>
            <w:right w:val="none" w:sz="0" w:space="0" w:color="auto"/>
          </w:divBdr>
        </w:div>
      </w:divsChild>
    </w:div>
    <w:div w:id="1705130193">
      <w:bodyDiv w:val="1"/>
      <w:marLeft w:val="0"/>
      <w:marRight w:val="0"/>
      <w:marTop w:val="0"/>
      <w:marBottom w:val="0"/>
      <w:divBdr>
        <w:top w:val="none" w:sz="0" w:space="0" w:color="auto"/>
        <w:left w:val="none" w:sz="0" w:space="0" w:color="auto"/>
        <w:bottom w:val="none" w:sz="0" w:space="0" w:color="auto"/>
        <w:right w:val="none" w:sz="0" w:space="0" w:color="auto"/>
      </w:divBdr>
      <w:divsChild>
        <w:div w:id="893926583">
          <w:marLeft w:val="0"/>
          <w:marRight w:val="0"/>
          <w:marTop w:val="0"/>
          <w:marBottom w:val="0"/>
          <w:divBdr>
            <w:top w:val="none" w:sz="0" w:space="0" w:color="auto"/>
            <w:left w:val="none" w:sz="0" w:space="0" w:color="auto"/>
            <w:bottom w:val="none" w:sz="0" w:space="0" w:color="auto"/>
            <w:right w:val="none" w:sz="0" w:space="0" w:color="auto"/>
          </w:divBdr>
        </w:div>
      </w:divsChild>
    </w:div>
    <w:div w:id="1711220645">
      <w:bodyDiv w:val="1"/>
      <w:marLeft w:val="0"/>
      <w:marRight w:val="0"/>
      <w:marTop w:val="0"/>
      <w:marBottom w:val="0"/>
      <w:divBdr>
        <w:top w:val="none" w:sz="0" w:space="0" w:color="auto"/>
        <w:left w:val="none" w:sz="0" w:space="0" w:color="auto"/>
        <w:bottom w:val="none" w:sz="0" w:space="0" w:color="auto"/>
        <w:right w:val="none" w:sz="0" w:space="0" w:color="auto"/>
      </w:divBdr>
    </w:div>
    <w:div w:id="1761095247">
      <w:bodyDiv w:val="1"/>
      <w:marLeft w:val="0"/>
      <w:marRight w:val="0"/>
      <w:marTop w:val="0"/>
      <w:marBottom w:val="0"/>
      <w:divBdr>
        <w:top w:val="none" w:sz="0" w:space="0" w:color="auto"/>
        <w:left w:val="none" w:sz="0" w:space="0" w:color="auto"/>
        <w:bottom w:val="none" w:sz="0" w:space="0" w:color="auto"/>
        <w:right w:val="none" w:sz="0" w:space="0" w:color="auto"/>
      </w:divBdr>
    </w:div>
    <w:div w:id="1887372219">
      <w:bodyDiv w:val="1"/>
      <w:marLeft w:val="0"/>
      <w:marRight w:val="0"/>
      <w:marTop w:val="0"/>
      <w:marBottom w:val="0"/>
      <w:divBdr>
        <w:top w:val="none" w:sz="0" w:space="0" w:color="auto"/>
        <w:left w:val="none" w:sz="0" w:space="0" w:color="auto"/>
        <w:bottom w:val="none" w:sz="0" w:space="0" w:color="auto"/>
        <w:right w:val="none" w:sz="0" w:space="0" w:color="auto"/>
      </w:divBdr>
    </w:div>
    <w:div w:id="1990787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teigsubmissions@cde.ca.gov" TargetMode="External"/><Relationship Id="rId18" Type="http://schemas.openxmlformats.org/officeDocument/2006/relationships/hyperlink" Target="mailto:CTEIGSubmissions@cde.c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cde.ca.gov/pgms/logon" TargetMode="External"/><Relationship Id="rId7" Type="http://schemas.openxmlformats.org/officeDocument/2006/relationships/endnotes" Target="endnotes.xml"/><Relationship Id="rId12" Type="http://schemas.openxmlformats.org/officeDocument/2006/relationships/hyperlink" Target="https://documentation.calpads.org/Training/EOYReportingRoadMap/" TargetMode="External"/><Relationship Id="rId17" Type="http://schemas.openxmlformats.org/officeDocument/2006/relationships/hyperlink" Target="mailto:CTEIncentive@cde.c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e.ca.gov/ci/ct/ig/documents/pgmsinstructions.docx" TargetMode="External"/><Relationship Id="rId20" Type="http://schemas.openxmlformats.org/officeDocument/2006/relationships/hyperlink" Target="https://www.cccco.edu/About-Us/Chancellors-Office/Divisions/Workforce-and-Economic-Development/K12-Strong-Workforce/K12-Pathway-Coordina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CTEIncentive@mlist.cde.ca.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ci/ct/ig/allowables24.asp" TargetMode="External"/><Relationship Id="rId23" Type="http://schemas.openxmlformats.org/officeDocument/2006/relationships/footer" Target="footer1.xml"/><Relationship Id="rId10" Type="http://schemas.openxmlformats.org/officeDocument/2006/relationships/hyperlink" Target="https://eaap.ca.gov/audit-guide/current-audit-guide-booklet/" TargetMode="External"/><Relationship Id="rId19" Type="http://schemas.openxmlformats.org/officeDocument/2006/relationships/hyperlink" Target="https://www.cde.ca.gov/ci/ct/pk/cteigcontacts.asp" TargetMode="External"/><Relationship Id="rId4" Type="http://schemas.openxmlformats.org/officeDocument/2006/relationships/settings" Target="settings.xml"/><Relationship Id="rId9" Type="http://schemas.openxmlformats.org/officeDocument/2006/relationships/hyperlink" Target="https://www.cde.ca.gov/SchoolDirectory/" TargetMode="External"/><Relationship Id="rId14" Type="http://schemas.openxmlformats.org/officeDocument/2006/relationships/hyperlink" Target="https://www.cde.ca.gov/ci/ct/ig/cteigmoutemplate.asp" TargetMode="External"/><Relationship Id="rId22" Type="http://schemas.openxmlformats.org/officeDocument/2006/relationships/hyperlink" Target="http://www.cde.ca.gov/ci/ct/ig/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7741614-8807-4C8A-9E2F-F0140539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4728</Words>
  <Characters>26006</Characters>
  <Application>Microsoft Office Word</Application>
  <DocSecurity>0</DocSecurity>
  <Lines>812</Lines>
  <Paragraphs>432</Paragraphs>
  <ScaleCrop>false</ScaleCrop>
  <HeadingPairs>
    <vt:vector size="2" baseType="variant">
      <vt:variant>
        <vt:lpstr>Title</vt:lpstr>
      </vt:variant>
      <vt:variant>
        <vt:i4>1</vt:i4>
      </vt:variant>
    </vt:vector>
  </HeadingPairs>
  <TitlesOfParts>
    <vt:vector size="1" baseType="lpstr">
      <vt:lpstr>RFA-25: CTEIG Application Instructions (CA Dept of Education)</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CTEIG Application Instructions (CA Dept of Education)</dc:title>
  <dc:subject>Career Technical Education Incentive Grant (CTEIG) 2025-26 Request for Application (RFA) instructions for Round 11.</dc:subject>
  <dc:creator/>
  <cp:keywords/>
  <dc:description/>
  <cp:lastModifiedBy/>
  <cp:revision>1</cp:revision>
  <dcterms:created xsi:type="dcterms:W3CDTF">2025-11-25T23:56:00Z</dcterms:created>
  <dcterms:modified xsi:type="dcterms:W3CDTF">2025-11-26T18:51:00Z</dcterms:modified>
</cp:coreProperties>
</file>