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615C" w14:textId="2D9840C9" w:rsidR="00FD7E8D" w:rsidRPr="000A75D9" w:rsidRDefault="000A75D9" w:rsidP="00697668">
      <w:pPr>
        <w:pStyle w:val="Heading1"/>
        <w:spacing w:after="240"/>
        <w:ind w:left="0" w:firstLine="0"/>
        <w:jc w:val="center"/>
        <w:rPr>
          <w:sz w:val="32"/>
          <w:szCs w:val="32"/>
        </w:rPr>
      </w:pPr>
      <w:r w:rsidRPr="000A75D9">
        <w:rPr>
          <w:sz w:val="32"/>
          <w:szCs w:val="32"/>
        </w:rPr>
        <w:t xml:space="preserve">Appendix C: </w:t>
      </w:r>
      <w:r w:rsidR="002B207C" w:rsidRPr="000A75D9">
        <w:rPr>
          <w:sz w:val="32"/>
          <w:szCs w:val="32"/>
        </w:rPr>
        <w:t>Local</w:t>
      </w:r>
      <w:r w:rsidR="00AA2125" w:rsidRPr="000A75D9">
        <w:rPr>
          <w:sz w:val="32"/>
          <w:szCs w:val="32"/>
        </w:rPr>
        <w:t xml:space="preserve"> Education</w:t>
      </w:r>
      <w:r w:rsidR="0022608B">
        <w:rPr>
          <w:sz w:val="32"/>
          <w:szCs w:val="32"/>
        </w:rPr>
        <w:t>al</w:t>
      </w:r>
      <w:r w:rsidR="00AA2125" w:rsidRPr="000A75D9">
        <w:rPr>
          <w:sz w:val="32"/>
          <w:szCs w:val="32"/>
        </w:rPr>
        <w:t xml:space="preserve"> Agency </w:t>
      </w:r>
      <w:r w:rsidR="00C14111" w:rsidRPr="000A75D9">
        <w:rPr>
          <w:sz w:val="32"/>
          <w:szCs w:val="32"/>
        </w:rPr>
        <w:t>Data Report</w:t>
      </w:r>
    </w:p>
    <w:p w14:paraId="19022331" w14:textId="77777777" w:rsidR="000A75D9" w:rsidRPr="00915A5F" w:rsidRDefault="000A75D9" w:rsidP="000A75D9">
      <w:pPr>
        <w:pStyle w:val="Heading2"/>
        <w:tabs>
          <w:tab w:val="left" w:pos="6210"/>
        </w:tabs>
        <w:spacing w:before="98" w:after="240" w:line="235" w:lineRule="auto"/>
        <w:ind w:left="0"/>
      </w:pPr>
      <w:r w:rsidRPr="00915A5F">
        <w:t>Golden State Pathways Program Grant Baseline Data Metrics</w:t>
      </w:r>
    </w:p>
    <w:p w14:paraId="020CCBCC" w14:textId="77777777" w:rsidR="000A75D9" w:rsidRPr="00915A5F" w:rsidRDefault="000A75D9" w:rsidP="000A75D9">
      <w:pPr>
        <w:pStyle w:val="Heading3"/>
        <w:rPr>
          <w:rFonts w:ascii="Arial" w:hAnsi="Arial" w:cs="Arial"/>
          <w:b/>
          <w:bCs/>
        </w:rPr>
      </w:pPr>
      <w:r w:rsidRPr="00915A5F">
        <w:rPr>
          <w:rFonts w:ascii="Arial" w:hAnsi="Arial" w:cs="Arial"/>
          <w:b/>
          <w:bCs/>
          <w:color w:val="auto"/>
        </w:rPr>
        <w:t>Golden State Pathways Program Grantee Name:</w:t>
      </w:r>
    </w:p>
    <w:p w14:paraId="3FF2FF0A" w14:textId="77777777" w:rsidR="000A75D9" w:rsidRPr="00915A5F" w:rsidRDefault="000A75D9" w:rsidP="000A75D9">
      <w:pPr>
        <w:spacing w:after="24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statusText w:type="text" w:val="Enter Grantee Name"/>
            <w:textInput/>
          </w:ffData>
        </w:fldChar>
      </w:r>
      <w:bookmarkStart w:id="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682F09BC" w14:textId="77777777" w:rsidR="000A75D9" w:rsidRPr="00915A5F" w:rsidRDefault="000A75D9" w:rsidP="000A75D9">
      <w:pPr>
        <w:pStyle w:val="Heading3"/>
        <w:rPr>
          <w:rFonts w:ascii="Arial" w:hAnsi="Arial" w:cs="Arial"/>
          <w:b/>
          <w:bCs/>
        </w:rPr>
      </w:pPr>
      <w:r w:rsidRPr="00915A5F">
        <w:rPr>
          <w:rFonts w:ascii="Arial" w:hAnsi="Arial" w:cs="Arial"/>
          <w:b/>
          <w:bCs/>
          <w:color w:val="auto"/>
        </w:rPr>
        <w:t>Pathway or Career Technical Education Pathway Director Name:</w:t>
      </w:r>
    </w:p>
    <w:p w14:paraId="6F955FBD" w14:textId="77777777" w:rsidR="000A75D9" w:rsidRPr="00915A5F" w:rsidRDefault="000A75D9" w:rsidP="000A75D9">
      <w:pPr>
        <w:pStyle w:val="BodyText"/>
        <w:spacing w:after="240"/>
        <w:rPr>
          <w:shd w:val="clear" w:color="auto" w:fill="DAEDF3"/>
        </w:rPr>
      </w:pPr>
      <w:r>
        <w:rPr>
          <w:rStyle w:val="BodyTextChar"/>
        </w:rPr>
        <w:fldChar w:fldCharType="begin">
          <w:ffData>
            <w:name w:val="Text10"/>
            <w:enabled/>
            <w:calcOnExit w:val="0"/>
            <w:statusText w:type="text" w:val="Pathway Director Name"/>
            <w:textInput/>
          </w:ffData>
        </w:fldChar>
      </w:r>
      <w:bookmarkStart w:id="1" w:name="Text10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1"/>
    </w:p>
    <w:p w14:paraId="5086CBD2" w14:textId="50BE96E7" w:rsidR="000A75D9" w:rsidRPr="00915A5F" w:rsidRDefault="000A75D9" w:rsidP="000A75D9">
      <w:pPr>
        <w:pStyle w:val="BodyText"/>
        <w:spacing w:before="240" w:after="240"/>
      </w:pPr>
      <w:r w:rsidRPr="00915A5F">
        <w:t>The Golden State Pathways Program (GSPP) prioritizes grant applications in the areas of high-priority local education</w:t>
      </w:r>
      <w:r w:rsidR="0022608B">
        <w:t>al</w:t>
      </w:r>
      <w:r w:rsidRPr="00915A5F">
        <w:t xml:space="preserve"> agencies (LEAs) and high-priority pathways. If applicable, use this form to identify and validate your LEA as high priority for GSPP in alignment with the competitive priorities stated in California </w:t>
      </w:r>
      <w:r w:rsidRPr="00915A5F">
        <w:rPr>
          <w:i/>
          <w:iCs/>
        </w:rPr>
        <w:t>Education Code</w:t>
      </w:r>
      <w:r w:rsidRPr="00915A5F">
        <w:t xml:space="preserve"> </w:t>
      </w:r>
      <w:r w:rsidRPr="00915A5F">
        <w:rPr>
          <w:i/>
          <w:iCs/>
        </w:rPr>
        <w:t>(EC)</w:t>
      </w:r>
      <w:r w:rsidRPr="00915A5F">
        <w:t xml:space="preserve"> Section 53022 (see Appendix B).</w:t>
      </w:r>
    </w:p>
    <w:p w14:paraId="5E46225C" w14:textId="77777777" w:rsidR="000A75D9" w:rsidRPr="00915A5F" w:rsidRDefault="000A75D9" w:rsidP="000A75D9">
      <w:pPr>
        <w:pStyle w:val="Heading3"/>
        <w:spacing w:after="240"/>
        <w:rPr>
          <w:rFonts w:ascii="Arial" w:hAnsi="Arial" w:cs="Arial"/>
          <w:b/>
          <w:bCs/>
          <w:color w:val="auto"/>
        </w:rPr>
      </w:pPr>
      <w:r w:rsidRPr="00915A5F">
        <w:rPr>
          <w:rFonts w:ascii="Arial" w:hAnsi="Arial" w:cs="Arial"/>
          <w:b/>
          <w:bCs/>
          <w:color w:val="auto"/>
        </w:rPr>
        <w:t>Data Used for Determination of Funding Amount (enter data in fields below)</w:t>
      </w:r>
    </w:p>
    <w:p w14:paraId="43A112EA" w14:textId="45E622FD" w:rsidR="000A75D9" w:rsidRPr="00915A5F" w:rsidRDefault="000A75D9" w:rsidP="000A75D9">
      <w:pPr>
        <w:pStyle w:val="NormalWeb"/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According to </w:t>
      </w:r>
      <w:r w:rsidRPr="00915A5F">
        <w:rPr>
          <w:rFonts w:ascii="Arial" w:hAnsi="Arial" w:cs="Arial"/>
          <w:i/>
          <w:iCs/>
          <w:color w:val="000000"/>
        </w:rPr>
        <w:t>EC</w:t>
      </w:r>
      <w:r w:rsidRPr="00915A5F">
        <w:rPr>
          <w:rFonts w:ascii="Arial" w:hAnsi="Arial" w:cs="Arial"/>
          <w:color w:val="000000"/>
        </w:rPr>
        <w:t xml:space="preserve"> </w:t>
      </w:r>
      <w:r w:rsidR="009A4E23">
        <w:rPr>
          <w:rFonts w:ascii="Arial" w:hAnsi="Arial" w:cs="Arial"/>
          <w:color w:val="000000"/>
        </w:rPr>
        <w:t xml:space="preserve">Section </w:t>
      </w:r>
      <w:r w:rsidRPr="00915A5F">
        <w:rPr>
          <w:rFonts w:ascii="Arial" w:hAnsi="Arial" w:cs="Arial"/>
          <w:color w:val="000000"/>
        </w:rPr>
        <w:t xml:space="preserve">53025 (c), in determining the grant amounts for an implementation grant and for a consortium development and planning grant, the Superintendent, in consultation with the executive director of the state board, shall consider </w:t>
      </w:r>
      <w:proofErr w:type="gramStart"/>
      <w:r w:rsidRPr="00915A5F">
        <w:rPr>
          <w:rFonts w:ascii="Arial" w:hAnsi="Arial" w:cs="Arial"/>
          <w:color w:val="000000"/>
        </w:rPr>
        <w:t>all of</w:t>
      </w:r>
      <w:proofErr w:type="gramEnd"/>
      <w:r w:rsidRPr="00915A5F">
        <w:rPr>
          <w:rFonts w:ascii="Arial" w:hAnsi="Arial" w:cs="Arial"/>
          <w:color w:val="000000"/>
        </w:rPr>
        <w:t xml:space="preserve"> the following:</w:t>
      </w:r>
    </w:p>
    <w:p w14:paraId="155F7FA4" w14:textId="77777777" w:rsidR="000A75D9" w:rsidRPr="00915A5F" w:rsidRDefault="000A75D9" w:rsidP="000A75D9">
      <w:pPr>
        <w:pStyle w:val="NormalWeb"/>
        <w:numPr>
          <w:ilvl w:val="0"/>
          <w:numId w:val="10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>The unduplicated number of pupils enrolled by the applicant:</w:t>
      </w:r>
    </w:p>
    <w:p w14:paraId="0BB067E2" w14:textId="59ACDE1A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LEA: </w:t>
      </w:r>
      <w:r w:rsidR="00111EA5">
        <w:rPr>
          <w:rStyle w:val="BodyTextChar"/>
        </w:rPr>
        <w:fldChar w:fldCharType="begin">
          <w:ffData>
            <w:name w:val="Text11"/>
            <w:enabled/>
            <w:calcOnExit w:val="0"/>
            <w:statusText w:type="text" w:val="Enter the unduplicated number of pupils enrolled in the LEA"/>
            <w:textInput/>
          </w:ffData>
        </w:fldChar>
      </w:r>
      <w:bookmarkStart w:id="2" w:name="Text11"/>
      <w:r w:rsidR="00111EA5">
        <w:rPr>
          <w:rStyle w:val="BodyTextChar"/>
        </w:rPr>
        <w:instrText xml:space="preserve"> FORMTEXT </w:instrText>
      </w:r>
      <w:r w:rsidR="00111EA5">
        <w:rPr>
          <w:rStyle w:val="BodyTextChar"/>
        </w:rPr>
      </w:r>
      <w:r w:rsidR="00111EA5">
        <w:rPr>
          <w:rStyle w:val="BodyTextChar"/>
        </w:rPr>
        <w:fldChar w:fldCharType="separate"/>
      </w:r>
      <w:r w:rsidR="00111EA5">
        <w:rPr>
          <w:rStyle w:val="BodyTextChar"/>
          <w:noProof/>
        </w:rPr>
        <w:t> </w:t>
      </w:r>
      <w:r w:rsidR="00111EA5">
        <w:rPr>
          <w:rStyle w:val="BodyTextChar"/>
          <w:noProof/>
        </w:rPr>
        <w:t> </w:t>
      </w:r>
      <w:r w:rsidR="00111EA5">
        <w:rPr>
          <w:rStyle w:val="BodyTextChar"/>
          <w:noProof/>
        </w:rPr>
        <w:t> </w:t>
      </w:r>
      <w:r w:rsidR="00111EA5">
        <w:rPr>
          <w:rStyle w:val="BodyTextChar"/>
          <w:noProof/>
        </w:rPr>
        <w:t> </w:t>
      </w:r>
      <w:r w:rsidR="00111EA5">
        <w:rPr>
          <w:rStyle w:val="BodyTextChar"/>
          <w:noProof/>
        </w:rPr>
        <w:t> </w:t>
      </w:r>
      <w:r w:rsidR="00111EA5">
        <w:rPr>
          <w:rStyle w:val="BodyTextChar"/>
        </w:rPr>
        <w:fldChar w:fldCharType="end"/>
      </w:r>
      <w:bookmarkEnd w:id="2"/>
    </w:p>
    <w:p w14:paraId="098E1083" w14:textId="5DE2C7C1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>Schoolsite</w:t>
      </w:r>
      <w:r w:rsidR="00547F55">
        <w:rPr>
          <w:rFonts w:ascii="Arial" w:hAnsi="Arial" w:cs="Arial"/>
          <w:color w:val="000000"/>
        </w:rPr>
        <w:t>(s)</w:t>
      </w:r>
      <w:r w:rsidRPr="00915A5F">
        <w:rPr>
          <w:rFonts w:ascii="Arial" w:hAnsi="Arial" w:cs="Arial"/>
          <w:color w:val="000000"/>
        </w:rPr>
        <w:t xml:space="preserve">: </w:t>
      </w:r>
      <w:r>
        <w:rPr>
          <w:rStyle w:val="BodyTextChar"/>
        </w:rPr>
        <w:fldChar w:fldCharType="begin">
          <w:ffData>
            <w:name w:val="Text12"/>
            <w:enabled/>
            <w:calcOnExit w:val="0"/>
            <w:statusText w:type="text" w:val="Enter the unduplicated number of pupils enrolled in each participating schoolsite"/>
            <w:textInput/>
          </w:ffData>
        </w:fldChar>
      </w:r>
      <w:bookmarkStart w:id="3" w:name="Text12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3"/>
    </w:p>
    <w:p w14:paraId="08911DF4" w14:textId="5AA7AAB5" w:rsidR="00547F55" w:rsidRPr="00471A27" w:rsidRDefault="00547F55" w:rsidP="00547F55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471A27">
        <w:rPr>
          <w:rFonts w:ascii="Arial" w:hAnsi="Arial" w:cs="Arial"/>
        </w:rPr>
        <w:t xml:space="preserve">In the </w:t>
      </w:r>
      <w:proofErr w:type="spellStart"/>
      <w:r w:rsidRPr="00471A27">
        <w:rPr>
          <w:rFonts w:ascii="Arial" w:hAnsi="Arial" w:cs="Arial"/>
        </w:rPr>
        <w:t>Schoolsites</w:t>
      </w:r>
      <w:proofErr w:type="spellEnd"/>
      <w:r w:rsidRPr="00471A27">
        <w:rPr>
          <w:rFonts w:ascii="Arial" w:hAnsi="Arial" w:cs="Arial"/>
        </w:rPr>
        <w:t>(s) text box list each schoolsite and number of pupils enrolled at each site. Separate with a forward slash. Example: Tall Trees High School, 90 pupils/Sunnyside High School, 80 pupils.</w:t>
      </w:r>
      <w:r w:rsidRPr="00471A27">
        <w:rPr>
          <w:rFonts w:ascii="Arial" w:hAnsi="Arial" w:cs="Arial"/>
          <w:color w:val="000000"/>
          <w:highlight w:val="cyan"/>
        </w:rPr>
        <w:t xml:space="preserve"> </w:t>
      </w:r>
    </w:p>
    <w:p w14:paraId="155F27FF" w14:textId="77777777" w:rsidR="000A75D9" w:rsidRPr="00915A5F" w:rsidRDefault="000A75D9" w:rsidP="000A75D9">
      <w:pPr>
        <w:pStyle w:val="NormalWeb"/>
        <w:numPr>
          <w:ilvl w:val="1"/>
          <w:numId w:val="9"/>
        </w:numPr>
        <w:tabs>
          <w:tab w:val="left" w:pos="720"/>
        </w:tabs>
        <w:spacing w:after="240" w:afterAutospacing="0"/>
        <w:ind w:left="108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>The number of pathways programs proposed to be established or expanded by the applicant and the number of schoolsites that would participate in the pathways program.</w:t>
      </w:r>
    </w:p>
    <w:p w14:paraId="7E8E206C" w14:textId="77777777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Number of Pathways: </w:t>
      </w:r>
      <w:r>
        <w:rPr>
          <w:rStyle w:val="BodyTextChar"/>
        </w:rPr>
        <w:fldChar w:fldCharType="begin">
          <w:ffData>
            <w:name w:val="Text13"/>
            <w:enabled/>
            <w:calcOnExit w:val="0"/>
            <w:statusText w:type="text" w:val="Enter the number of pathways"/>
            <w:textInput/>
          </w:ffData>
        </w:fldChar>
      </w:r>
      <w:bookmarkStart w:id="4" w:name="Text13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4"/>
    </w:p>
    <w:p w14:paraId="2D7ED7AE" w14:textId="77777777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Number of Schoolsites: </w:t>
      </w:r>
      <w:r>
        <w:rPr>
          <w:rStyle w:val="BodyTextChar"/>
        </w:rPr>
        <w:fldChar w:fldCharType="begin">
          <w:ffData>
            <w:name w:val="Text14"/>
            <w:enabled/>
            <w:calcOnExit w:val="0"/>
            <w:statusText w:type="text" w:val="Enter the number of schoolsites"/>
            <w:textInput/>
          </w:ffData>
        </w:fldChar>
      </w:r>
      <w:bookmarkStart w:id="5" w:name="Text14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5"/>
    </w:p>
    <w:p w14:paraId="7624FF35" w14:textId="42E687C6" w:rsidR="000A75D9" w:rsidRPr="00915A5F" w:rsidRDefault="000A75D9" w:rsidP="000A75D9">
      <w:pPr>
        <w:pStyle w:val="NormalWeb"/>
        <w:numPr>
          <w:ilvl w:val="1"/>
          <w:numId w:val="9"/>
        </w:numPr>
        <w:tabs>
          <w:tab w:val="left" w:pos="720"/>
        </w:tabs>
        <w:spacing w:after="240" w:afterAutospacing="0"/>
        <w:ind w:left="108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The estimated number of pupils that would be enrolled in the applicant’s </w:t>
      </w:r>
      <w:r w:rsidR="00116655">
        <w:rPr>
          <w:rFonts w:ascii="Arial" w:hAnsi="Arial" w:cs="Arial"/>
          <w:color w:val="000000"/>
        </w:rPr>
        <w:t xml:space="preserve">collective </w:t>
      </w:r>
      <w:r w:rsidRPr="00915A5F">
        <w:rPr>
          <w:rFonts w:ascii="Arial" w:hAnsi="Arial" w:cs="Arial"/>
          <w:color w:val="000000"/>
        </w:rPr>
        <w:t>pathways programs.</w:t>
      </w:r>
    </w:p>
    <w:p w14:paraId="045F7BA9" w14:textId="77777777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t xml:space="preserve">Estimated Number of Pupils Enrolled in the Pathway(s): </w:t>
      </w:r>
      <w:r>
        <w:rPr>
          <w:rStyle w:val="BodyTextChar"/>
        </w:rPr>
        <w:fldChar w:fldCharType="begin">
          <w:ffData>
            <w:name w:val="Text15"/>
            <w:enabled/>
            <w:calcOnExit w:val="0"/>
            <w:statusText w:type="text" w:val="Enter the estimated number of pupils that will be directly enrolled in the pathway(s)"/>
            <w:textInput/>
          </w:ffData>
        </w:fldChar>
      </w:r>
      <w:bookmarkStart w:id="6" w:name="Text15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6"/>
    </w:p>
    <w:p w14:paraId="5E17A8FB" w14:textId="251B0550" w:rsidR="000A75D9" w:rsidRPr="00915A5F" w:rsidRDefault="000A75D9" w:rsidP="000A75D9">
      <w:pPr>
        <w:pStyle w:val="NormalWeb"/>
        <w:numPr>
          <w:ilvl w:val="1"/>
          <w:numId w:val="9"/>
        </w:numPr>
        <w:tabs>
          <w:tab w:val="left" w:pos="720"/>
        </w:tabs>
        <w:spacing w:after="240" w:afterAutospacing="0"/>
        <w:ind w:left="1080"/>
        <w:rPr>
          <w:rFonts w:ascii="Arial" w:hAnsi="Arial" w:cs="Arial"/>
          <w:color w:val="000000"/>
        </w:rPr>
      </w:pPr>
      <w:r w:rsidRPr="00915A5F">
        <w:rPr>
          <w:rFonts w:ascii="Arial" w:hAnsi="Arial" w:cs="Arial"/>
          <w:color w:val="000000"/>
        </w:rPr>
        <w:lastRenderedPageBreak/>
        <w:t xml:space="preserve">The number of entities collaborating with the applicant to achieve the goal outlined in subdivision (a) of </w:t>
      </w:r>
      <w:r w:rsidR="00170E3D" w:rsidRPr="00170E3D">
        <w:rPr>
          <w:rFonts w:ascii="Arial" w:hAnsi="Arial" w:cs="Arial"/>
          <w:i/>
          <w:iCs/>
          <w:color w:val="000000"/>
        </w:rPr>
        <w:t>EC</w:t>
      </w:r>
      <w:r w:rsidR="00170E3D">
        <w:rPr>
          <w:rFonts w:ascii="Arial" w:hAnsi="Arial" w:cs="Arial"/>
          <w:color w:val="000000"/>
        </w:rPr>
        <w:t xml:space="preserve"> </w:t>
      </w:r>
      <w:r w:rsidRPr="00915A5F">
        <w:rPr>
          <w:rFonts w:ascii="Arial" w:hAnsi="Arial" w:cs="Arial"/>
          <w:color w:val="000000"/>
        </w:rPr>
        <w:t>Section 53021.</w:t>
      </w:r>
    </w:p>
    <w:p w14:paraId="4CBA93ED" w14:textId="77777777" w:rsidR="000A75D9" w:rsidRPr="00915A5F" w:rsidRDefault="000A75D9" w:rsidP="000A75D9">
      <w:pPr>
        <w:pStyle w:val="NormalWeb"/>
        <w:numPr>
          <w:ilvl w:val="2"/>
          <w:numId w:val="9"/>
        </w:numPr>
        <w:tabs>
          <w:tab w:val="left" w:pos="720"/>
        </w:tabs>
        <w:spacing w:after="240" w:afterAutospacing="0"/>
        <w:rPr>
          <w:rFonts w:ascii="Arial" w:hAnsi="Arial" w:cs="Arial"/>
        </w:rPr>
      </w:pPr>
      <w:r w:rsidRPr="00915A5F">
        <w:rPr>
          <w:rFonts w:ascii="Arial" w:hAnsi="Arial" w:cs="Arial"/>
          <w:color w:val="000000"/>
        </w:rPr>
        <w:t xml:space="preserve">Number of Entities: </w:t>
      </w:r>
      <w:r>
        <w:rPr>
          <w:rStyle w:val="BodyTextChar"/>
        </w:rPr>
        <w:fldChar w:fldCharType="begin">
          <w:ffData>
            <w:name w:val="Text16"/>
            <w:enabled/>
            <w:calcOnExit w:val="0"/>
            <w:statusText w:type="text" w:val="Enter the number of collaborating entities"/>
            <w:textInput/>
          </w:ffData>
        </w:fldChar>
      </w:r>
      <w:bookmarkStart w:id="7" w:name="Text16"/>
      <w:r>
        <w:rPr>
          <w:rStyle w:val="BodyTextChar"/>
        </w:rPr>
        <w:instrText xml:space="preserve"> FORMTEXT </w:instrText>
      </w:r>
      <w:r>
        <w:rPr>
          <w:rStyle w:val="BodyTextChar"/>
        </w:rPr>
      </w:r>
      <w:r>
        <w:rPr>
          <w:rStyle w:val="BodyTextChar"/>
        </w:rPr>
        <w:fldChar w:fldCharType="separate"/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  <w:noProof/>
        </w:rPr>
        <w:t> </w:t>
      </w:r>
      <w:r>
        <w:rPr>
          <w:rStyle w:val="BodyTextChar"/>
        </w:rPr>
        <w:fldChar w:fldCharType="end"/>
      </w:r>
      <w:bookmarkEnd w:id="7"/>
    </w:p>
    <w:p w14:paraId="2CC9D6C5" w14:textId="77024BD8" w:rsidR="000A75D9" w:rsidRPr="00915A5F" w:rsidRDefault="000A75D9" w:rsidP="000A75D9">
      <w:pPr>
        <w:pStyle w:val="NormalWeb"/>
        <w:tabs>
          <w:tab w:val="left" w:pos="720"/>
        </w:tabs>
        <w:spacing w:after="240" w:afterAutospacing="0"/>
        <w:rPr>
          <w:rFonts w:ascii="Arial" w:hAnsi="Arial" w:cs="Arial"/>
          <w:bdr w:val="none" w:sz="0" w:space="0" w:color="auto" w:frame="1"/>
          <w:lang w:bidi="en-US"/>
        </w:rPr>
      </w:pPr>
      <w:r w:rsidRPr="00915A5F">
        <w:rPr>
          <w:rFonts w:ascii="Arial" w:hAnsi="Arial" w:cs="Arial"/>
          <w:bdr w:val="none" w:sz="0" w:space="0" w:color="auto" w:frame="1"/>
          <w:lang w:bidi="en-US"/>
        </w:rPr>
        <w:t xml:space="preserve">Follow the steps below to provide documentation validating that your LEA meets one or more of the high-priority criteria. Provide data from </w:t>
      </w:r>
      <w:hyperlink r:id="rId7" w:history="1">
        <w:r w:rsidRPr="00170E3D">
          <w:rPr>
            <w:rStyle w:val="Hyperlink"/>
            <w:rFonts w:ascii="Arial" w:hAnsi="Arial" w:cs="Arial"/>
            <w:bdr w:val="none" w:sz="0" w:space="0" w:color="auto" w:frame="1"/>
            <w:lang w:bidi="en-US"/>
          </w:rPr>
          <w:t>DataQuest</w:t>
        </w:r>
      </w:hyperlink>
      <w:r w:rsidRPr="00915A5F">
        <w:rPr>
          <w:rFonts w:ascii="Arial" w:hAnsi="Arial" w:cs="Arial"/>
          <w:bdr w:val="none" w:sz="0" w:space="0" w:color="auto" w:frame="1"/>
          <w:lang w:bidi="en-US"/>
        </w:rPr>
        <w:t xml:space="preserve"> when possible. List data source for each criterion</w:t>
      </w:r>
      <w:r w:rsidR="00116655">
        <w:rPr>
          <w:rFonts w:ascii="Arial" w:hAnsi="Arial" w:cs="Arial"/>
          <w:bdr w:val="none" w:sz="0" w:space="0" w:color="auto" w:frame="1"/>
          <w:lang w:bidi="en-US"/>
        </w:rPr>
        <w:t xml:space="preserve"> selected</w:t>
      </w:r>
      <w:r w:rsidRPr="00915A5F">
        <w:rPr>
          <w:rFonts w:ascii="Arial" w:hAnsi="Arial" w:cs="Arial"/>
          <w:bdr w:val="none" w:sz="0" w:space="0" w:color="auto" w:frame="1"/>
          <w:lang w:bidi="en-US"/>
        </w:rPr>
        <w:t>.</w:t>
      </w:r>
    </w:p>
    <w:p w14:paraId="56411E14" w14:textId="77777777" w:rsidR="000A75D9" w:rsidRPr="00915A5F" w:rsidRDefault="000A75D9" w:rsidP="000A75D9">
      <w:pPr>
        <w:pStyle w:val="BodyText"/>
        <w:numPr>
          <w:ilvl w:val="0"/>
          <w:numId w:val="4"/>
        </w:numPr>
        <w:tabs>
          <w:tab w:val="left" w:pos="720"/>
        </w:tabs>
        <w:spacing w:after="240"/>
        <w:rPr>
          <w:rFonts w:eastAsia="Times New Roman"/>
          <w:color w:val="000000"/>
          <w:lang w:bidi="ar-SA"/>
        </w:rPr>
      </w:pPr>
      <w:r w:rsidRPr="00915A5F">
        <w:rPr>
          <w:rFonts w:eastAsia="Times New Roman"/>
          <w:color w:val="000000"/>
          <w:lang w:bidi="ar-SA"/>
        </w:rPr>
        <w:t>View the high-priority LEA list below and identify any criteria met by your LEA.</w:t>
      </w:r>
    </w:p>
    <w:p w14:paraId="1B2BCF4B" w14:textId="77777777" w:rsidR="000A75D9" w:rsidRPr="00915A5F" w:rsidRDefault="000A75D9" w:rsidP="000A75D9">
      <w:pPr>
        <w:pStyle w:val="BodyText"/>
        <w:numPr>
          <w:ilvl w:val="0"/>
          <w:numId w:val="4"/>
        </w:numPr>
        <w:tabs>
          <w:tab w:val="left" w:pos="720"/>
        </w:tabs>
        <w:spacing w:after="240"/>
        <w:rPr>
          <w:rFonts w:eastAsia="Times New Roman"/>
          <w:color w:val="000000"/>
          <w:lang w:bidi="ar-SA"/>
        </w:rPr>
      </w:pPr>
      <w:r w:rsidRPr="00915A5F">
        <w:rPr>
          <w:rFonts w:eastAsia="Times New Roman"/>
          <w:color w:val="000000"/>
          <w:lang w:bidi="ar-SA"/>
        </w:rPr>
        <w:t>For each qualifying criteria, select the data report for your LEA. Use the most recent data available through the “Report Options and Filters” tab.</w:t>
      </w:r>
    </w:p>
    <w:p w14:paraId="7ABC248B" w14:textId="77777777" w:rsidR="000A75D9" w:rsidRPr="00915A5F" w:rsidRDefault="000A75D9" w:rsidP="000A75D9">
      <w:pPr>
        <w:pStyle w:val="BodyText"/>
        <w:numPr>
          <w:ilvl w:val="0"/>
          <w:numId w:val="4"/>
        </w:numPr>
        <w:tabs>
          <w:tab w:val="left" w:pos="720"/>
        </w:tabs>
        <w:spacing w:after="240"/>
        <w:rPr>
          <w:rFonts w:eastAsia="Times New Roman"/>
          <w:color w:val="000000"/>
          <w:lang w:bidi="ar-SA"/>
        </w:rPr>
      </w:pPr>
      <w:r w:rsidRPr="00915A5F">
        <w:rPr>
          <w:rFonts w:eastAsia="Times New Roman"/>
          <w:color w:val="000000"/>
          <w:lang w:bidi="ar-SA"/>
        </w:rPr>
        <w:t xml:space="preserve">Attach data reports from the California Department of Education’s </w:t>
      </w:r>
      <w:hyperlink r:id="rId8" w:history="1">
        <w:r w:rsidRPr="00915A5F">
          <w:rPr>
            <w:rFonts w:eastAsia="Times New Roman"/>
            <w:color w:val="000000"/>
            <w:lang w:bidi="ar-SA"/>
          </w:rPr>
          <w:t>DataQuest</w:t>
        </w:r>
      </w:hyperlink>
      <w:r w:rsidRPr="00915A5F">
        <w:rPr>
          <w:rFonts w:eastAsia="Times New Roman"/>
          <w:color w:val="000000"/>
          <w:lang w:bidi="ar-SA"/>
        </w:rPr>
        <w:t xml:space="preserve"> website as evidence of high-priority LEA qualification.</w:t>
      </w:r>
    </w:p>
    <w:p w14:paraId="1ED2E075" w14:textId="77777777" w:rsidR="000A75D9" w:rsidRPr="00915A5F" w:rsidRDefault="000A75D9" w:rsidP="000A75D9">
      <w:pPr>
        <w:shd w:val="clear" w:color="auto" w:fill="FFFFFF"/>
        <w:spacing w:after="24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>A “high-priority local educational agency” means a local educational agency that meets any of the following criteria in the checklist below:</w:t>
      </w:r>
    </w:p>
    <w:p w14:paraId="1AF9BB01" w14:textId="0E543763" w:rsidR="000A75D9" w:rsidRPr="00780F71" w:rsidRDefault="00170E3D" w:rsidP="00547F55">
      <w:pPr>
        <w:pStyle w:val="ListParagraph"/>
        <w:shd w:val="clear" w:color="auto" w:fill="FFFFFF"/>
        <w:spacing w:after="240"/>
        <w:ind w:left="1080" w:firstLine="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fldChar w:fldCharType="begin">
          <w:ffData>
            <w:name w:val="Check1"/>
            <w:enabled/>
            <w:calcOnExit w:val="0"/>
            <w:statusText w:type="text" w:val="Fifty percent or more of the enrolled pupils at the local educational agency are unduplicated pupils."/>
            <w:checkBox>
              <w:sizeAuto/>
              <w:default w:val="0"/>
            </w:checkBox>
          </w:ffData>
        </w:fldChar>
      </w:r>
      <w:bookmarkStart w:id="8" w:name="Check1"/>
      <w:r>
        <w:rPr>
          <w:rFonts w:eastAsia="Times New Roman"/>
          <w:sz w:val="24"/>
          <w:szCs w:val="24"/>
          <w:bdr w:val="none" w:sz="0" w:space="0" w:color="auto" w:frame="1"/>
        </w:rPr>
        <w:instrText xml:space="preserve"> FORMCHECKBOX </w:instrText>
      </w:r>
      <w:r w:rsidR="00000000">
        <w:rPr>
          <w:rFonts w:eastAsia="Times New Roman"/>
          <w:sz w:val="24"/>
          <w:szCs w:val="24"/>
          <w:bdr w:val="none" w:sz="0" w:space="0" w:color="auto" w:frame="1"/>
        </w:rPr>
      </w:r>
      <w:r w:rsidR="00000000">
        <w:rPr>
          <w:rFonts w:eastAsia="Times New Roman"/>
          <w:sz w:val="24"/>
          <w:szCs w:val="24"/>
          <w:bdr w:val="none" w:sz="0" w:space="0" w:color="auto" w:frame="1"/>
        </w:rPr>
        <w:fldChar w:fldCharType="separate"/>
      </w:r>
      <w:r>
        <w:rPr>
          <w:rFonts w:eastAsia="Times New Roman"/>
          <w:sz w:val="24"/>
          <w:szCs w:val="24"/>
          <w:bdr w:val="none" w:sz="0" w:space="0" w:color="auto" w:frame="1"/>
        </w:rPr>
        <w:fldChar w:fldCharType="end"/>
      </w:r>
      <w:bookmarkEnd w:id="8"/>
      <w:r w:rsidR="00547F55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 xml:space="preserve">Fifty percent or more of the enrolled pupils at the local educational agency are unduplicated pupils, as defined in </w:t>
      </w:r>
      <w:r w:rsidR="000A75D9" w:rsidRPr="00780F71">
        <w:rPr>
          <w:i/>
          <w:iCs/>
          <w:sz w:val="24"/>
          <w:szCs w:val="24"/>
        </w:rPr>
        <w:t>EC</w:t>
      </w:r>
      <w:r w:rsidR="000A75D9" w:rsidRPr="00780F71">
        <w:rPr>
          <w:sz w:val="24"/>
          <w:szCs w:val="24"/>
        </w:rPr>
        <w:t xml:space="preserve"> Section 42238.02 (b)(1). For purposes of this section “</w:t>
      </w:r>
      <w:r w:rsidR="000A75D9" w:rsidRPr="00780F71">
        <w:rPr>
          <w:rStyle w:val="wordphrase"/>
          <w:sz w:val="24"/>
          <w:szCs w:val="24"/>
        </w:rPr>
        <w:t>unduplicated pupil</w:t>
      </w:r>
      <w:r w:rsidR="000A75D9" w:rsidRPr="00780F71">
        <w:rPr>
          <w:sz w:val="24"/>
          <w:szCs w:val="24"/>
        </w:rPr>
        <w:t>” means a pupil enrolled in a school district or a charter school who is either classified as an English learner, eligible for a free or reduced-price meal, or is a foster youth. A pupil shall be counted only once for purposes of this section if any of the following apply:</w:t>
      </w:r>
    </w:p>
    <w:p w14:paraId="7987C850" w14:textId="77777777" w:rsidR="000A75D9" w:rsidRPr="00915A5F" w:rsidRDefault="000A75D9" w:rsidP="000A75D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915A5F">
        <w:rPr>
          <w:rFonts w:ascii="Arial" w:hAnsi="Arial" w:cs="Arial"/>
        </w:rPr>
        <w:t>The pupil is classified as an English learner and is eligible for a free or reduced-price meal.</w:t>
      </w:r>
    </w:p>
    <w:p w14:paraId="691C92AE" w14:textId="77777777" w:rsidR="000A75D9" w:rsidRPr="00915A5F" w:rsidRDefault="000A75D9" w:rsidP="000A75D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915A5F">
        <w:rPr>
          <w:rFonts w:ascii="Arial" w:hAnsi="Arial" w:cs="Arial"/>
        </w:rPr>
        <w:t>The pupil is classified as an English learner and is a foster youth.</w:t>
      </w:r>
    </w:p>
    <w:p w14:paraId="08341387" w14:textId="77777777" w:rsidR="000A75D9" w:rsidRPr="00915A5F" w:rsidRDefault="000A75D9" w:rsidP="000A75D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915A5F">
        <w:rPr>
          <w:rFonts w:ascii="Arial" w:hAnsi="Arial" w:cs="Arial"/>
        </w:rPr>
        <w:t>The pupil is eligible for a free or reduced-price meal and is classified as a foster youth.</w:t>
      </w:r>
    </w:p>
    <w:p w14:paraId="50DDCE40" w14:textId="77777777" w:rsidR="000A75D9" w:rsidRPr="00915A5F" w:rsidRDefault="000A75D9" w:rsidP="000A75D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915A5F">
        <w:rPr>
          <w:rFonts w:ascii="Arial" w:hAnsi="Arial" w:cs="Arial"/>
        </w:rPr>
        <w:t>The pupil is classified as an English learner, is eligible for a free or reduced-price meal, and is a foster youth.</w:t>
      </w:r>
    </w:p>
    <w:p w14:paraId="683E4D88" w14:textId="77777777" w:rsidR="000A75D9" w:rsidRPr="00915A5F" w:rsidRDefault="000A75D9" w:rsidP="000A75D9">
      <w:pPr>
        <w:shd w:val="clear" w:color="auto" w:fill="FFFFFF"/>
        <w:spacing w:after="240"/>
        <w:ind w:left="72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sz w:val="24"/>
          <w:szCs w:val="24"/>
        </w:rPr>
        <w:t xml:space="preserve">The report for unduplicated pupils can be found on California Longitudinal Pupil Achievement Data System </w:t>
      </w:r>
      <w:r w:rsidRPr="00915A5F">
        <w:rPr>
          <w:color w:val="0070C0"/>
          <w:sz w:val="24"/>
          <w:szCs w:val="24"/>
        </w:rPr>
        <w:t>(</w:t>
      </w:r>
      <w:hyperlink r:id="rId9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CALPADS) Unduplicated Pupil Count (UPC) web</w:t>
        </w:r>
        <w:r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 xml:space="preserve"> </w:t>
        </w:r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page.</w:t>
        </w:r>
      </w:hyperlink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 Extract data from the report and attach to Appendix C. For assistance with navigating CALPADS you can access the </w:t>
      </w:r>
      <w:hyperlink r:id="rId10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CALPADS User Manual</w:t>
        </w:r>
      </w:hyperlink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. </w:t>
      </w:r>
    </w:p>
    <w:p w14:paraId="393143E8" w14:textId="3387792A" w:rsidR="000A75D9" w:rsidRPr="00780F71" w:rsidRDefault="00170E3D" w:rsidP="00547F55">
      <w:pPr>
        <w:pStyle w:val="ListParagraph"/>
        <w:shd w:val="clear" w:color="auto" w:fill="FFFFFF"/>
        <w:spacing w:before="240" w:after="240"/>
        <w:ind w:left="1080" w:firstLine="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fldChar w:fldCharType="begin">
          <w:ffData>
            <w:name w:val="Check2"/>
            <w:enabled/>
            <w:calcOnExit w:val="0"/>
            <w:statusText w:type="text" w:val="The local educational agency has a higher than state average dropout rate."/>
            <w:checkBox>
              <w:sizeAuto/>
              <w:default w:val="0"/>
            </w:checkBox>
          </w:ffData>
        </w:fldChar>
      </w:r>
      <w:bookmarkStart w:id="9" w:name="Check2"/>
      <w:r>
        <w:rPr>
          <w:rFonts w:eastAsia="Times New Roman"/>
          <w:sz w:val="24"/>
          <w:szCs w:val="24"/>
          <w:bdr w:val="none" w:sz="0" w:space="0" w:color="auto" w:frame="1"/>
        </w:rPr>
        <w:instrText xml:space="preserve"> FORMCHECKBOX </w:instrText>
      </w:r>
      <w:r w:rsidR="00000000">
        <w:rPr>
          <w:rFonts w:eastAsia="Times New Roman"/>
          <w:sz w:val="24"/>
          <w:szCs w:val="24"/>
          <w:bdr w:val="none" w:sz="0" w:space="0" w:color="auto" w:frame="1"/>
        </w:rPr>
      </w:r>
      <w:r w:rsidR="00000000">
        <w:rPr>
          <w:rFonts w:eastAsia="Times New Roman"/>
          <w:sz w:val="24"/>
          <w:szCs w:val="24"/>
          <w:bdr w:val="none" w:sz="0" w:space="0" w:color="auto" w:frame="1"/>
        </w:rPr>
        <w:fldChar w:fldCharType="separate"/>
      </w:r>
      <w:r>
        <w:rPr>
          <w:rFonts w:eastAsia="Times New Roman"/>
          <w:sz w:val="24"/>
          <w:szCs w:val="24"/>
          <w:bdr w:val="none" w:sz="0" w:space="0" w:color="auto" w:frame="1"/>
        </w:rPr>
        <w:fldChar w:fldCharType="end"/>
      </w:r>
      <w:bookmarkEnd w:id="9"/>
      <w:r w:rsidR="00547F55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>The local educational agency has a higher than state average dropout rate.</w:t>
      </w:r>
    </w:p>
    <w:p w14:paraId="3206EB88" w14:textId="77777777" w:rsidR="000A75D9" w:rsidRPr="00915A5F" w:rsidRDefault="000A75D9" w:rsidP="000A75D9">
      <w:pPr>
        <w:shd w:val="clear" w:color="auto" w:fill="FFFFFF"/>
        <w:spacing w:before="240" w:after="240"/>
        <w:ind w:left="108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The report for dropout rate can be found on DataQuest’s </w:t>
      </w:r>
      <w:hyperlink r:id="rId11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 xml:space="preserve">Graduation and </w:t>
        </w:r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lastRenderedPageBreak/>
          <w:t>Dropout</w:t>
        </w:r>
      </w:hyperlink>
      <w:r w:rsidRPr="00915A5F">
        <w:rPr>
          <w:rStyle w:val="Hyperlink"/>
          <w:rFonts w:eastAsia="Times New Roman"/>
          <w:sz w:val="24"/>
          <w:szCs w:val="24"/>
          <w:u w:val="none"/>
          <w:bdr w:val="none" w:sz="0" w:space="0" w:color="auto" w:frame="1"/>
        </w:rPr>
        <w:t xml:space="preserve">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>web</w:t>
      </w:r>
      <w:r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>page</w:t>
      </w:r>
      <w:r w:rsidRPr="00915A5F">
        <w:rPr>
          <w:rStyle w:val="Hyperlink"/>
          <w:rFonts w:eastAsia="Times New Roman"/>
          <w:sz w:val="24"/>
          <w:szCs w:val="24"/>
          <w:u w:val="none"/>
          <w:bdr w:val="none" w:sz="0" w:space="0" w:color="auto" w:frame="1"/>
        </w:rPr>
        <w:t xml:space="preserve">.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Access the report labeled “Four-Year Adjusted Cohort Graduation Rate.” </w:t>
      </w:r>
      <w:r w:rsidRPr="00915A5F">
        <w:rPr>
          <w:rFonts w:eastAsia="Times New Roman"/>
          <w:sz w:val="24"/>
          <w:szCs w:val="24"/>
          <w:bdr w:val="none" w:sz="0" w:space="0" w:color="auto" w:frame="1"/>
        </w:rPr>
        <w:t>Extract data from the report and attach to Appendix C.</w:t>
      </w:r>
    </w:p>
    <w:p w14:paraId="4E86887D" w14:textId="414E7C80" w:rsidR="000A75D9" w:rsidRPr="00780F71" w:rsidRDefault="00170E3D" w:rsidP="00547F55">
      <w:pPr>
        <w:pStyle w:val="ListParagraph"/>
        <w:shd w:val="clear" w:color="auto" w:fill="FFFFFF"/>
        <w:spacing w:after="240"/>
        <w:ind w:left="1080" w:firstLine="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fldChar w:fldCharType="begin">
          <w:ffData>
            <w:name w:val="Check3"/>
            <w:enabled/>
            <w:calcOnExit w:val="0"/>
            <w:statusText w:type="text" w:val="The local educational agency has a higher than state average rate of suspension and a higher than state average rate of expulsion."/>
            <w:checkBox>
              <w:sizeAuto/>
              <w:default w:val="0"/>
            </w:checkBox>
          </w:ffData>
        </w:fldChar>
      </w:r>
      <w:bookmarkStart w:id="10" w:name="Check3"/>
      <w:r>
        <w:rPr>
          <w:rFonts w:eastAsia="Times New Roman"/>
          <w:sz w:val="24"/>
          <w:szCs w:val="24"/>
          <w:bdr w:val="none" w:sz="0" w:space="0" w:color="auto" w:frame="1"/>
        </w:rPr>
        <w:instrText xml:space="preserve"> FORMCHECKBOX </w:instrText>
      </w:r>
      <w:r w:rsidR="00000000">
        <w:rPr>
          <w:rFonts w:eastAsia="Times New Roman"/>
          <w:sz w:val="24"/>
          <w:szCs w:val="24"/>
          <w:bdr w:val="none" w:sz="0" w:space="0" w:color="auto" w:frame="1"/>
        </w:rPr>
      </w:r>
      <w:r w:rsidR="00000000">
        <w:rPr>
          <w:rFonts w:eastAsia="Times New Roman"/>
          <w:sz w:val="24"/>
          <w:szCs w:val="24"/>
          <w:bdr w:val="none" w:sz="0" w:space="0" w:color="auto" w:frame="1"/>
        </w:rPr>
        <w:fldChar w:fldCharType="separate"/>
      </w:r>
      <w:r>
        <w:rPr>
          <w:rFonts w:eastAsia="Times New Roman"/>
          <w:sz w:val="24"/>
          <w:szCs w:val="24"/>
          <w:bdr w:val="none" w:sz="0" w:space="0" w:color="auto" w:frame="1"/>
        </w:rPr>
        <w:fldChar w:fldCharType="end"/>
      </w:r>
      <w:bookmarkEnd w:id="10"/>
      <w:r w:rsidR="00547F55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>The local educational agency has a higher than state average rate of suspension and a higher than state average rate of expulsion.</w:t>
      </w:r>
    </w:p>
    <w:p w14:paraId="1A2EF336" w14:textId="77777777" w:rsidR="000A75D9" w:rsidRPr="00915A5F" w:rsidRDefault="000A75D9" w:rsidP="000A75D9">
      <w:pPr>
        <w:shd w:val="clear" w:color="auto" w:fill="FFFFFF"/>
        <w:spacing w:after="240"/>
        <w:ind w:left="108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The reports for suspension and expulsion rates can be found on DataQuest’s </w:t>
      </w:r>
      <w:hyperlink r:id="rId12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Discipline</w:t>
        </w:r>
      </w:hyperlink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 web</w:t>
      </w:r>
      <w:r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page. Extract data from the report and </w:t>
      </w:r>
      <w:proofErr w:type="gramStart"/>
      <w:r w:rsidRPr="00915A5F">
        <w:rPr>
          <w:rFonts w:eastAsia="Times New Roman"/>
          <w:sz w:val="24"/>
          <w:szCs w:val="24"/>
          <w:bdr w:val="none" w:sz="0" w:space="0" w:color="auto" w:frame="1"/>
        </w:rPr>
        <w:t>attach</w:t>
      </w:r>
      <w:proofErr w:type="gramEnd"/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 to Appendix C.</w:t>
      </w:r>
    </w:p>
    <w:p w14:paraId="16352341" w14:textId="3B4BC26B" w:rsidR="000A75D9" w:rsidRPr="00780F71" w:rsidRDefault="00170E3D" w:rsidP="00547F55">
      <w:pPr>
        <w:pStyle w:val="ListParagraph"/>
        <w:shd w:val="clear" w:color="auto" w:fill="FFFFFF"/>
        <w:spacing w:after="240"/>
        <w:ind w:left="1080" w:firstLine="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fldChar w:fldCharType="begin">
          <w:ffData>
            <w:name w:val="Check4"/>
            <w:enabled/>
            <w:calcOnExit w:val="0"/>
            <w:statusText w:type="text" w:val="The local educational agency has higher than state average rates of child homelessness, foster youth, or justice-involved youth."/>
            <w:checkBox>
              <w:sizeAuto/>
              <w:default w:val="0"/>
            </w:checkBox>
          </w:ffData>
        </w:fldChar>
      </w:r>
      <w:bookmarkStart w:id="11" w:name="Check4"/>
      <w:r>
        <w:rPr>
          <w:rFonts w:eastAsia="Times New Roman"/>
          <w:sz w:val="24"/>
          <w:szCs w:val="24"/>
          <w:bdr w:val="none" w:sz="0" w:space="0" w:color="auto" w:frame="1"/>
        </w:rPr>
        <w:instrText xml:space="preserve"> FORMCHECKBOX </w:instrText>
      </w:r>
      <w:r w:rsidR="00000000">
        <w:rPr>
          <w:rFonts w:eastAsia="Times New Roman"/>
          <w:sz w:val="24"/>
          <w:szCs w:val="24"/>
          <w:bdr w:val="none" w:sz="0" w:space="0" w:color="auto" w:frame="1"/>
        </w:rPr>
      </w:r>
      <w:r w:rsidR="00000000">
        <w:rPr>
          <w:rFonts w:eastAsia="Times New Roman"/>
          <w:sz w:val="24"/>
          <w:szCs w:val="24"/>
          <w:bdr w:val="none" w:sz="0" w:space="0" w:color="auto" w:frame="1"/>
        </w:rPr>
        <w:fldChar w:fldCharType="separate"/>
      </w:r>
      <w:r>
        <w:rPr>
          <w:rFonts w:eastAsia="Times New Roman"/>
          <w:sz w:val="24"/>
          <w:szCs w:val="24"/>
          <w:bdr w:val="none" w:sz="0" w:space="0" w:color="auto" w:frame="1"/>
        </w:rPr>
        <w:fldChar w:fldCharType="end"/>
      </w:r>
      <w:bookmarkEnd w:id="11"/>
      <w:r w:rsidR="00547F55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>The local educational agency has higher than state average rates of child homelessness, foster youth, or justice-involved youth.</w:t>
      </w:r>
    </w:p>
    <w:p w14:paraId="0F9636C7" w14:textId="6AC009EF" w:rsidR="000A75D9" w:rsidRPr="00915A5F" w:rsidRDefault="000A75D9" w:rsidP="000A75D9">
      <w:pPr>
        <w:shd w:val="clear" w:color="auto" w:fill="FFFFFF"/>
        <w:spacing w:after="240"/>
        <w:ind w:left="108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The report for child homelessness can be found on DataQuest’s </w:t>
      </w:r>
      <w:hyperlink r:id="rId13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Homeless Children and Youth</w:t>
        </w:r>
      </w:hyperlink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 web</w:t>
      </w:r>
      <w:r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page. </w:t>
      </w: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Extract data from the report and </w:t>
      </w:r>
      <w:proofErr w:type="gramStart"/>
      <w:r w:rsidRPr="00915A5F">
        <w:rPr>
          <w:rFonts w:eastAsia="Times New Roman"/>
          <w:sz w:val="24"/>
          <w:szCs w:val="24"/>
          <w:bdr w:val="none" w:sz="0" w:space="0" w:color="auto" w:frame="1"/>
        </w:rPr>
        <w:t>attach</w:t>
      </w:r>
      <w:proofErr w:type="gramEnd"/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 to Appendix C.</w:t>
      </w:r>
    </w:p>
    <w:p w14:paraId="10C032AF" w14:textId="77777777" w:rsidR="000A75D9" w:rsidRPr="00915A5F" w:rsidRDefault="000A75D9" w:rsidP="000A75D9">
      <w:pPr>
        <w:shd w:val="clear" w:color="auto" w:fill="FFFFFF"/>
        <w:spacing w:after="240"/>
        <w:ind w:left="108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The report for foster youth can be found on DataQuest’s </w:t>
      </w:r>
      <w:hyperlink r:id="rId14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Foster Youth</w:t>
        </w:r>
      </w:hyperlink>
      <w:r w:rsidRPr="00915A5F">
        <w:rPr>
          <w:rStyle w:val="Hyperlink"/>
          <w:rFonts w:eastAsia="Times New Roman"/>
          <w:sz w:val="24"/>
          <w:szCs w:val="24"/>
          <w:u w:val="none"/>
          <w:bdr w:val="none" w:sz="0" w:space="0" w:color="auto" w:frame="1"/>
        </w:rPr>
        <w:t xml:space="preserve">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>web</w:t>
      </w:r>
      <w:r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915A5F">
        <w:rPr>
          <w:rStyle w:val="Hyperlink"/>
          <w:rFonts w:eastAsia="Times New Roman"/>
          <w:color w:val="auto"/>
          <w:sz w:val="24"/>
          <w:szCs w:val="24"/>
          <w:u w:val="none"/>
          <w:bdr w:val="none" w:sz="0" w:space="0" w:color="auto" w:frame="1"/>
        </w:rPr>
        <w:t xml:space="preserve">page. Access the report labeled “Count of Matched Foster Students by County of Enrollment and Grade.” Click on appropriate county to filter data to specific LEA. </w:t>
      </w: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Extract data from the report and attach it to Appendix C. </w:t>
      </w:r>
    </w:p>
    <w:p w14:paraId="38651481" w14:textId="767A4CCA" w:rsidR="000A75D9" w:rsidRPr="00780F71" w:rsidRDefault="00170E3D" w:rsidP="00547F55">
      <w:pPr>
        <w:pStyle w:val="ListParagraph"/>
        <w:shd w:val="clear" w:color="auto" w:fill="FFFFFF"/>
        <w:spacing w:after="240"/>
        <w:ind w:left="1080" w:firstLine="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fldChar w:fldCharType="begin">
          <w:ffData>
            <w:name w:val="Check5"/>
            <w:enabled/>
            <w:calcOnExit w:val="0"/>
            <w:statusText w:type="text" w:val="LEA has a lower than state average rate of pupils completing all of the A–G courses required to be eligible for admission to college."/>
            <w:checkBox>
              <w:sizeAuto/>
              <w:default w:val="0"/>
            </w:checkBox>
          </w:ffData>
        </w:fldChar>
      </w:r>
      <w:bookmarkStart w:id="12" w:name="Check5"/>
      <w:r>
        <w:rPr>
          <w:rFonts w:eastAsia="Times New Roman"/>
          <w:sz w:val="24"/>
          <w:szCs w:val="24"/>
          <w:bdr w:val="none" w:sz="0" w:space="0" w:color="auto" w:frame="1"/>
        </w:rPr>
        <w:instrText xml:space="preserve"> FORMCHECKBOX </w:instrText>
      </w:r>
      <w:r w:rsidR="00000000">
        <w:rPr>
          <w:rFonts w:eastAsia="Times New Roman"/>
          <w:sz w:val="24"/>
          <w:szCs w:val="24"/>
          <w:bdr w:val="none" w:sz="0" w:space="0" w:color="auto" w:frame="1"/>
        </w:rPr>
      </w:r>
      <w:r w:rsidR="00000000">
        <w:rPr>
          <w:rFonts w:eastAsia="Times New Roman"/>
          <w:sz w:val="24"/>
          <w:szCs w:val="24"/>
          <w:bdr w:val="none" w:sz="0" w:space="0" w:color="auto" w:frame="1"/>
        </w:rPr>
        <w:fldChar w:fldCharType="separate"/>
      </w:r>
      <w:r>
        <w:rPr>
          <w:rFonts w:eastAsia="Times New Roman"/>
          <w:sz w:val="24"/>
          <w:szCs w:val="24"/>
          <w:bdr w:val="none" w:sz="0" w:space="0" w:color="auto" w:frame="1"/>
        </w:rPr>
        <w:fldChar w:fldCharType="end"/>
      </w:r>
      <w:bookmarkEnd w:id="12"/>
      <w:r w:rsidR="00547F55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 xml:space="preserve">The local educational agency has a lower than state average rate of pupils completing </w:t>
      </w:r>
      <w:proofErr w:type="gramStart"/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>all of</w:t>
      </w:r>
      <w:proofErr w:type="gramEnd"/>
      <w:r w:rsidR="000A75D9" w:rsidRPr="00780F71">
        <w:rPr>
          <w:rFonts w:eastAsia="Times New Roman"/>
          <w:sz w:val="24"/>
          <w:szCs w:val="24"/>
          <w:bdr w:val="none" w:sz="0" w:space="0" w:color="auto" w:frame="1"/>
        </w:rPr>
        <w:t xml:space="preserve"> the A–G courses required to be eligible for admission to the University of California or the California State University.</w:t>
      </w:r>
    </w:p>
    <w:p w14:paraId="18D063CB" w14:textId="77777777" w:rsidR="000A75D9" w:rsidRPr="00915A5F" w:rsidRDefault="000A75D9" w:rsidP="000A75D9">
      <w:pPr>
        <w:shd w:val="clear" w:color="auto" w:fill="FFFFFF"/>
        <w:spacing w:after="240"/>
        <w:ind w:left="1080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The report for A–G course completion can be found on DataQuest’s </w:t>
      </w:r>
      <w:hyperlink r:id="rId15" w:history="1"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A</w:t>
        </w:r>
        <w:r w:rsidRPr="00915A5F">
          <w:rPr>
            <w:rFonts w:eastAsia="Times New Roman"/>
            <w:color w:val="0070C0"/>
            <w:sz w:val="24"/>
            <w:szCs w:val="24"/>
            <w:u w:val="single"/>
            <w:bdr w:val="none" w:sz="0" w:space="0" w:color="auto" w:frame="1"/>
          </w:rPr>
          <w:t>–</w:t>
        </w:r>
        <w:r w:rsidRPr="00915A5F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G Completion Data</w:t>
        </w:r>
      </w:hyperlink>
      <w:r w:rsidRPr="00915A5F">
        <w:rPr>
          <w:rFonts w:eastAsia="Times New Roman"/>
          <w:sz w:val="24"/>
          <w:szCs w:val="24"/>
          <w:bdr w:val="none" w:sz="0" w:space="0" w:color="auto" w:frame="1"/>
        </w:rPr>
        <w:t xml:space="preserve"> web</w:t>
      </w:r>
      <w:r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  <w:r w:rsidRPr="00915A5F">
        <w:rPr>
          <w:rFonts w:eastAsia="Times New Roman"/>
          <w:sz w:val="24"/>
          <w:szCs w:val="24"/>
          <w:bdr w:val="none" w:sz="0" w:space="0" w:color="auto" w:frame="1"/>
        </w:rPr>
        <w:t>page. Extract data from the report and attach to Appendix C.</w:t>
      </w:r>
    </w:p>
    <w:p w14:paraId="08F4237D" w14:textId="5475F8A4" w:rsidR="000A75D9" w:rsidRPr="00170E3D" w:rsidRDefault="000A75D9" w:rsidP="00170E3D">
      <w:pPr>
        <w:spacing w:after="240" w:line="276" w:lineRule="auto"/>
        <w:rPr>
          <w:sz w:val="24"/>
          <w:szCs w:val="24"/>
        </w:rPr>
      </w:pPr>
      <w:r w:rsidRPr="008F1F92">
        <w:rPr>
          <w:sz w:val="24"/>
          <w:szCs w:val="24"/>
        </w:rPr>
        <w:t>Posted by the California Department of Education – January 2024</w:t>
      </w:r>
    </w:p>
    <w:sectPr w:rsidR="000A75D9" w:rsidRPr="00170E3D" w:rsidSect="007E4552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5D96" w14:textId="77777777" w:rsidR="007E4552" w:rsidRDefault="007E4552" w:rsidP="00A910D0">
      <w:r>
        <w:separator/>
      </w:r>
    </w:p>
  </w:endnote>
  <w:endnote w:type="continuationSeparator" w:id="0">
    <w:p w14:paraId="7C4B9210" w14:textId="77777777" w:rsidR="007E4552" w:rsidRDefault="007E4552" w:rsidP="00A9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20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F5468" w14:textId="5D4D1200" w:rsidR="0022608B" w:rsidRPr="0022608B" w:rsidRDefault="0022608B" w:rsidP="0022608B">
        <w:pPr>
          <w:pStyle w:val="Footer"/>
        </w:pPr>
        <w:r w:rsidRPr="0022608B">
          <w:fldChar w:fldCharType="begin"/>
        </w:r>
        <w:r w:rsidRPr="0022608B">
          <w:instrText xml:space="preserve"> PAGE   \* MERGEFORMAT </w:instrText>
        </w:r>
        <w:r w:rsidRPr="0022608B">
          <w:fldChar w:fldCharType="separate"/>
        </w:r>
        <w:r w:rsidRPr="0022608B">
          <w:t>2</w:t>
        </w:r>
        <w:r w:rsidRPr="0022608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C1EF" w14:textId="77777777" w:rsidR="007E4552" w:rsidRDefault="007E4552" w:rsidP="00A910D0">
      <w:r>
        <w:separator/>
      </w:r>
    </w:p>
  </w:footnote>
  <w:footnote w:type="continuationSeparator" w:id="0">
    <w:p w14:paraId="5757E203" w14:textId="77777777" w:rsidR="007E4552" w:rsidRDefault="007E4552" w:rsidP="00A9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B91"/>
    <w:multiLevelType w:val="hybridMultilevel"/>
    <w:tmpl w:val="61F8DE0A"/>
    <w:lvl w:ilvl="0" w:tplc="C5562760">
      <w:numFmt w:val="bullet"/>
      <w:lvlText w:val="☐"/>
      <w:lvlJc w:val="left"/>
      <w:pPr>
        <w:ind w:left="1350" w:hanging="36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273485B"/>
    <w:multiLevelType w:val="hybridMultilevel"/>
    <w:tmpl w:val="3EA0F8EA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A39798D"/>
    <w:multiLevelType w:val="hybridMultilevel"/>
    <w:tmpl w:val="E790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49E89874">
      <w:start w:val="1"/>
      <w:numFmt w:val="upperLetter"/>
      <w:lvlText w:val="(%3)"/>
      <w:lvlJc w:val="left"/>
      <w:pPr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22F6"/>
    <w:multiLevelType w:val="hybridMultilevel"/>
    <w:tmpl w:val="1140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6F94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7B88"/>
    <w:multiLevelType w:val="hybridMultilevel"/>
    <w:tmpl w:val="EF9A6C8E"/>
    <w:lvl w:ilvl="0" w:tplc="C5562760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75851"/>
    <w:multiLevelType w:val="hybridMultilevel"/>
    <w:tmpl w:val="37286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C6944"/>
    <w:multiLevelType w:val="hybridMultilevel"/>
    <w:tmpl w:val="5A6C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28D"/>
    <w:multiLevelType w:val="hybridMultilevel"/>
    <w:tmpl w:val="128A821C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4E2EDE"/>
    <w:multiLevelType w:val="hybridMultilevel"/>
    <w:tmpl w:val="D1680E3A"/>
    <w:lvl w:ilvl="0" w:tplc="C556276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07D96"/>
    <w:multiLevelType w:val="hybridMultilevel"/>
    <w:tmpl w:val="1908BB2C"/>
    <w:lvl w:ilvl="0" w:tplc="00EA5484">
      <w:start w:val="1"/>
      <w:numFmt w:val="upperRoman"/>
      <w:lvlText w:val="%1."/>
      <w:lvlJc w:val="left"/>
      <w:pPr>
        <w:ind w:left="300" w:hanging="201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0245A7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131090B2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634E0CA2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F148197A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368D386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54862B30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144CF8F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10" w15:restartNumberingAfterBreak="0">
    <w:nsid w:val="4E554FB7"/>
    <w:multiLevelType w:val="hybridMultilevel"/>
    <w:tmpl w:val="D72C5448"/>
    <w:lvl w:ilvl="0" w:tplc="C5562760">
      <w:numFmt w:val="bullet"/>
      <w:lvlText w:val="☐"/>
      <w:lvlJc w:val="left"/>
      <w:pPr>
        <w:ind w:left="150" w:hanging="360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5EED6815"/>
    <w:multiLevelType w:val="hybridMultilevel"/>
    <w:tmpl w:val="84F415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B502F66"/>
    <w:multiLevelType w:val="hybridMultilevel"/>
    <w:tmpl w:val="00D43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F6D8D"/>
    <w:multiLevelType w:val="hybridMultilevel"/>
    <w:tmpl w:val="10C6E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32217">
    <w:abstractNumId w:val="9"/>
  </w:num>
  <w:num w:numId="2" w16cid:durableId="1627080381">
    <w:abstractNumId w:val="4"/>
  </w:num>
  <w:num w:numId="3" w16cid:durableId="2042590205">
    <w:abstractNumId w:val="0"/>
  </w:num>
  <w:num w:numId="4" w16cid:durableId="1713115708">
    <w:abstractNumId w:val="2"/>
  </w:num>
  <w:num w:numId="5" w16cid:durableId="1798522072">
    <w:abstractNumId w:val="8"/>
  </w:num>
  <w:num w:numId="6" w16cid:durableId="1345546792">
    <w:abstractNumId w:val="11"/>
  </w:num>
  <w:num w:numId="7" w16cid:durableId="1980718564">
    <w:abstractNumId w:val="6"/>
  </w:num>
  <w:num w:numId="8" w16cid:durableId="954797004">
    <w:abstractNumId w:val="3"/>
  </w:num>
  <w:num w:numId="9" w16cid:durableId="1173764478">
    <w:abstractNumId w:val="10"/>
  </w:num>
  <w:num w:numId="10" w16cid:durableId="838496569">
    <w:abstractNumId w:val="12"/>
  </w:num>
  <w:num w:numId="11" w16cid:durableId="854610900">
    <w:abstractNumId w:val="5"/>
  </w:num>
  <w:num w:numId="12" w16cid:durableId="1647515657">
    <w:abstractNumId w:val="7"/>
  </w:num>
  <w:num w:numId="13" w16cid:durableId="372006188">
    <w:abstractNumId w:val="1"/>
  </w:num>
  <w:num w:numId="14" w16cid:durableId="1001157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2NPccaCo+7WuscqtuLXiyMULmSy+6TwjdAOzEY0DkyGxvqLc3R3DtOT9hq9IBKodzXn0mjRPSAKPc1D8B3I9A==" w:salt="WeQoKBnumg5X+5oVSFGG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32"/>
    <w:rsid w:val="00057562"/>
    <w:rsid w:val="0008160A"/>
    <w:rsid w:val="00091505"/>
    <w:rsid w:val="00095BCB"/>
    <w:rsid w:val="000A5CA0"/>
    <w:rsid w:val="000A75D9"/>
    <w:rsid w:val="000E578B"/>
    <w:rsid w:val="000E6666"/>
    <w:rsid w:val="000F4DAE"/>
    <w:rsid w:val="000F4F1F"/>
    <w:rsid w:val="001004DB"/>
    <w:rsid w:val="00111EA5"/>
    <w:rsid w:val="00116655"/>
    <w:rsid w:val="00117EA9"/>
    <w:rsid w:val="00170E3D"/>
    <w:rsid w:val="00173CC3"/>
    <w:rsid w:val="001B46CA"/>
    <w:rsid w:val="001B5620"/>
    <w:rsid w:val="001B6F86"/>
    <w:rsid w:val="002217E2"/>
    <w:rsid w:val="0022608B"/>
    <w:rsid w:val="002755AE"/>
    <w:rsid w:val="002B207C"/>
    <w:rsid w:val="00345497"/>
    <w:rsid w:val="00386DC3"/>
    <w:rsid w:val="003E4FC9"/>
    <w:rsid w:val="004154BA"/>
    <w:rsid w:val="00420489"/>
    <w:rsid w:val="004527DB"/>
    <w:rsid w:val="00455809"/>
    <w:rsid w:val="00471EED"/>
    <w:rsid w:val="004A3300"/>
    <w:rsid w:val="004B2662"/>
    <w:rsid w:val="004B2E89"/>
    <w:rsid w:val="004C0C97"/>
    <w:rsid w:val="00547541"/>
    <w:rsid w:val="00547F55"/>
    <w:rsid w:val="005662FE"/>
    <w:rsid w:val="00574983"/>
    <w:rsid w:val="005C2030"/>
    <w:rsid w:val="005C421C"/>
    <w:rsid w:val="005C53E0"/>
    <w:rsid w:val="005D6028"/>
    <w:rsid w:val="005F3873"/>
    <w:rsid w:val="00636A16"/>
    <w:rsid w:val="006579F7"/>
    <w:rsid w:val="006736B5"/>
    <w:rsid w:val="00682EE4"/>
    <w:rsid w:val="00693F25"/>
    <w:rsid w:val="00697668"/>
    <w:rsid w:val="00701183"/>
    <w:rsid w:val="00720CEB"/>
    <w:rsid w:val="007718EC"/>
    <w:rsid w:val="007A7732"/>
    <w:rsid w:val="007B55E9"/>
    <w:rsid w:val="007C2BAE"/>
    <w:rsid w:val="007E4552"/>
    <w:rsid w:val="007F4F1B"/>
    <w:rsid w:val="00830034"/>
    <w:rsid w:val="00873894"/>
    <w:rsid w:val="008A53D6"/>
    <w:rsid w:val="008D690D"/>
    <w:rsid w:val="008E1F1D"/>
    <w:rsid w:val="0094589F"/>
    <w:rsid w:val="009916DD"/>
    <w:rsid w:val="009A4E23"/>
    <w:rsid w:val="009B0107"/>
    <w:rsid w:val="009C3339"/>
    <w:rsid w:val="009C6994"/>
    <w:rsid w:val="009E779F"/>
    <w:rsid w:val="00A226B3"/>
    <w:rsid w:val="00A25D48"/>
    <w:rsid w:val="00A42DDF"/>
    <w:rsid w:val="00A910D0"/>
    <w:rsid w:val="00A94F9E"/>
    <w:rsid w:val="00AA2125"/>
    <w:rsid w:val="00B92FD1"/>
    <w:rsid w:val="00BA6489"/>
    <w:rsid w:val="00C14111"/>
    <w:rsid w:val="00C15468"/>
    <w:rsid w:val="00C170F9"/>
    <w:rsid w:val="00C8394F"/>
    <w:rsid w:val="00CA683C"/>
    <w:rsid w:val="00CB22C4"/>
    <w:rsid w:val="00D27381"/>
    <w:rsid w:val="00D43290"/>
    <w:rsid w:val="00D469CA"/>
    <w:rsid w:val="00D91356"/>
    <w:rsid w:val="00DE1A83"/>
    <w:rsid w:val="00DE683C"/>
    <w:rsid w:val="00E0597A"/>
    <w:rsid w:val="00E56D31"/>
    <w:rsid w:val="00EA5D63"/>
    <w:rsid w:val="00ED15C8"/>
    <w:rsid w:val="00ED3496"/>
    <w:rsid w:val="00F01A67"/>
    <w:rsid w:val="00F45121"/>
    <w:rsid w:val="00F4795F"/>
    <w:rsid w:val="00F630A4"/>
    <w:rsid w:val="00F63845"/>
    <w:rsid w:val="00FB526B"/>
    <w:rsid w:val="00FC45A1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E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A2125"/>
    <w:pPr>
      <w:spacing w:before="102"/>
      <w:ind w:left="2719" w:hanging="376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A2125"/>
    <w:pPr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125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A2125"/>
    <w:rPr>
      <w:rFonts w:ascii="Arial" w:eastAsia="Arial" w:hAnsi="Arial" w:cs="Arial"/>
      <w:b/>
      <w:bCs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A21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2125"/>
    <w:rPr>
      <w:rFonts w:ascii="Arial" w:eastAsia="Arial" w:hAnsi="Arial" w:cs="Arial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AA2125"/>
    <w:pPr>
      <w:ind w:left="1262" w:hanging="361"/>
    </w:pPr>
  </w:style>
  <w:style w:type="paragraph" w:styleId="Header">
    <w:name w:val="header"/>
    <w:basedOn w:val="Normal"/>
    <w:link w:val="HeaderChar"/>
    <w:uiPriority w:val="99"/>
    <w:unhideWhenUsed/>
    <w:rsid w:val="00A9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0D0"/>
    <w:rPr>
      <w:rFonts w:ascii="Arial" w:eastAsia="Arial" w:hAnsi="Arial" w:cs="Arial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608B"/>
    <w:pPr>
      <w:tabs>
        <w:tab w:val="center" w:pos="4680"/>
        <w:tab w:val="right" w:pos="9360"/>
      </w:tabs>
      <w:jc w:val="righ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608B"/>
    <w:rPr>
      <w:rFonts w:ascii="Arial" w:eastAsia="Arial" w:hAnsi="Arial" w:cs="Arial"/>
      <w:kern w:val="0"/>
      <w:sz w:val="24"/>
      <w:szCs w:val="24"/>
      <w:lang w:bidi="en-US"/>
      <w14:ligatures w14:val="none"/>
    </w:rPr>
  </w:style>
  <w:style w:type="paragraph" w:styleId="NormalWeb">
    <w:name w:val="Normal (Web)"/>
    <w:basedOn w:val="Normal"/>
    <w:uiPriority w:val="99"/>
    <w:unhideWhenUsed/>
    <w:rsid w:val="000A5C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ordphrase">
    <w:name w:val="wordphrase"/>
    <w:basedOn w:val="DefaultParagraphFont"/>
    <w:rsid w:val="000A5CA0"/>
  </w:style>
  <w:style w:type="character" w:styleId="Hyperlink">
    <w:name w:val="Hyperlink"/>
    <w:basedOn w:val="DefaultParagraphFont"/>
    <w:uiPriority w:val="99"/>
    <w:unhideWhenUsed/>
    <w:rsid w:val="000A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8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79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976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8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8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ds/ad/accessdatasub.asp" TargetMode="External"/><Relationship Id="rId13" Type="http://schemas.openxmlformats.org/officeDocument/2006/relationships/hyperlink" Target="https://www.cde.ca.gov/ds/ad/hdt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e.ca.gov/ds/ad/accessdatasub.asp" TargetMode="External"/><Relationship Id="rId12" Type="http://schemas.openxmlformats.org/officeDocument/2006/relationships/hyperlink" Target="https://www.cde.ca.gov/ds/ad/distop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ds/ad/gdtop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e.ca.gov/ds/ad/agcompletiondata.asp" TargetMode="External"/><Relationship Id="rId10" Type="http://schemas.openxmlformats.org/officeDocument/2006/relationships/hyperlink" Target="https://documentation.calpad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ds/ad/calpadsfiles.asp" TargetMode="External"/><Relationship Id="rId14" Type="http://schemas.openxmlformats.org/officeDocument/2006/relationships/hyperlink" Target="https://www.cde.ca.gov/ds/ad/fyp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AppxC-23: GSPP Data Report (CA Dept of Education)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AppxC-23: GSPP Data Report (CA Dept of Education)</dc:title>
  <dc:subject>Golden State Pathways Program (GSPP) consortium grant data report for the 2023-24 Request for Applications.</dc:subject>
  <dc:creator/>
  <cp:keywords/>
  <dc:description/>
  <cp:lastModifiedBy/>
  <cp:revision>1</cp:revision>
  <dcterms:created xsi:type="dcterms:W3CDTF">2024-01-31T22:29:00Z</dcterms:created>
  <dcterms:modified xsi:type="dcterms:W3CDTF">2024-03-06T21:15:00Z</dcterms:modified>
</cp:coreProperties>
</file>