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7858" w14:textId="77777777" w:rsidR="00B84223" w:rsidRDefault="00B84223" w:rsidP="00B84223">
      <w:pPr>
        <w:keepNext/>
        <w:keepLines/>
        <w:spacing w:before="240" w:after="240" w:line="240" w:lineRule="auto"/>
        <w:ind w:left="-1080" w:right="-1080"/>
        <w:outlineLvl w:val="0"/>
        <w:rPr>
          <w:rFonts w:ascii="Arial" w:eastAsia="Times New Roman" w:hAnsi="Arial" w:cstheme="majorBidi"/>
          <w:b/>
          <w:sz w:val="28"/>
          <w:szCs w:val="24"/>
        </w:rPr>
      </w:pPr>
      <w:bookmarkStart w:id="0" w:name="_Toc458588927"/>
      <w:bookmarkStart w:id="1" w:name="_Toc482002984"/>
      <w:bookmarkStart w:id="2" w:name="_Toc488666745"/>
      <w:r w:rsidRPr="00AB504D">
        <w:rPr>
          <w:rFonts w:ascii="Arial" w:eastAsia="Times New Roman" w:hAnsi="Arial" w:cstheme="majorBidi"/>
          <w:b/>
          <w:caps/>
          <w:sz w:val="28"/>
          <w:szCs w:val="24"/>
        </w:rPr>
        <w:t>A</w:t>
      </w:r>
      <w:r w:rsidRPr="00AB504D">
        <w:rPr>
          <w:rFonts w:ascii="Arial" w:eastAsia="Times New Roman" w:hAnsi="Arial" w:cstheme="majorBidi"/>
          <w:b/>
          <w:sz w:val="28"/>
          <w:szCs w:val="24"/>
        </w:rPr>
        <w:t>ppendix</w:t>
      </w:r>
      <w:r w:rsidRPr="00AB504D">
        <w:rPr>
          <w:rFonts w:ascii="Arial" w:eastAsia="Times New Roman" w:hAnsi="Arial" w:cstheme="majorBidi"/>
          <w:b/>
          <w:caps/>
          <w:sz w:val="28"/>
          <w:szCs w:val="24"/>
        </w:rPr>
        <w:t xml:space="preserve"> B</w:t>
      </w:r>
      <w:r w:rsidRPr="00AB504D">
        <w:rPr>
          <w:rFonts w:ascii="Arial" w:eastAsia="Times New Roman" w:hAnsi="Arial" w:cstheme="majorBidi"/>
          <w:b/>
          <w:sz w:val="28"/>
          <w:szCs w:val="24"/>
        </w:rPr>
        <w:t xml:space="preserve">: </w:t>
      </w:r>
      <w:bookmarkEnd w:id="0"/>
      <w:bookmarkEnd w:id="1"/>
      <w:bookmarkEnd w:id="2"/>
      <w:r w:rsidRPr="00AB504D">
        <w:rPr>
          <w:rFonts w:ascii="Arial" w:eastAsia="Times New Roman" w:hAnsi="Arial" w:cstheme="majorBidi"/>
          <w:b/>
          <w:sz w:val="28"/>
          <w:szCs w:val="24"/>
        </w:rPr>
        <w:t>Career Technical Education Industry Sectors and Career Pathways</w:t>
      </w:r>
    </w:p>
    <w:p w14:paraId="2913C52D" w14:textId="77777777" w:rsidR="00B84223" w:rsidRPr="00624169" w:rsidRDefault="00B84223" w:rsidP="00624169">
      <w:pPr>
        <w:ind w:left="-1080"/>
        <w:rPr>
          <w:rFonts w:ascii="Arial" w:hAnsi="Arial" w:cs="Arial"/>
          <w:b/>
          <w:sz w:val="24"/>
          <w:szCs w:val="24"/>
        </w:rPr>
      </w:pPr>
      <w:r w:rsidRPr="00624169">
        <w:rPr>
          <w:rFonts w:ascii="Arial" w:hAnsi="Arial" w:cs="Arial"/>
          <w:sz w:val="24"/>
          <w:szCs w:val="24"/>
        </w:rPr>
        <w:t xml:space="preserve">The following list identifies the Career Technical Education (CTE) Industry Sectors and CTE Career Pathways. The CTE Industry Sector abbreviations are provided in </w:t>
      </w:r>
      <w:proofErr w:type="gramStart"/>
      <w:r w:rsidRPr="00624169">
        <w:rPr>
          <w:rFonts w:ascii="Arial" w:hAnsi="Arial" w:cs="Arial"/>
          <w:sz w:val="24"/>
          <w:szCs w:val="24"/>
        </w:rPr>
        <w:t>the parentheses</w:t>
      </w:r>
      <w:proofErr w:type="gramEnd"/>
      <w:r w:rsidRPr="00624169">
        <w:rPr>
          <w:rFonts w:ascii="Arial" w:hAnsi="Arial" w:cs="Arial"/>
          <w:sz w:val="24"/>
          <w:szCs w:val="24"/>
        </w:rPr>
        <w:t xml:space="preserve"> following the name of the Industry Sector.</w:t>
      </w:r>
    </w:p>
    <w:tbl>
      <w:tblPr>
        <w:tblStyle w:val="TableGrid"/>
        <w:tblW w:w="11466" w:type="dxa"/>
        <w:jc w:val="center"/>
        <w:tblLook w:val="04A0" w:firstRow="1" w:lastRow="0" w:firstColumn="1" w:lastColumn="0" w:noHBand="0" w:noVBand="1"/>
        <w:tblDescription w:val="Industry Sectors and CTE Career Pathways Table."/>
      </w:tblPr>
      <w:tblGrid>
        <w:gridCol w:w="5733"/>
        <w:gridCol w:w="5733"/>
      </w:tblGrid>
      <w:tr w:rsidR="00B84223" w14:paraId="0E906665" w14:textId="77777777" w:rsidTr="00624169">
        <w:trPr>
          <w:cantSplit/>
          <w:trHeight w:val="827"/>
          <w:tblHeader/>
          <w:jc w:val="center"/>
        </w:trPr>
        <w:tc>
          <w:tcPr>
            <w:tcW w:w="5733" w:type="dxa"/>
            <w:shd w:val="clear" w:color="auto" w:fill="D0CECE" w:themeFill="background2" w:themeFillShade="E6"/>
            <w:vAlign w:val="center"/>
          </w:tcPr>
          <w:p w14:paraId="768016E7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 xml:space="preserve">CTE INDUSTRY SECTOR </w:t>
            </w:r>
          </w:p>
        </w:tc>
        <w:tc>
          <w:tcPr>
            <w:tcW w:w="5733" w:type="dxa"/>
            <w:shd w:val="clear" w:color="auto" w:fill="D0CECE" w:themeFill="background2" w:themeFillShade="E6"/>
            <w:vAlign w:val="center"/>
          </w:tcPr>
          <w:p w14:paraId="2AFB87AB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CTE CAREER PATHWAY</w:t>
            </w:r>
          </w:p>
        </w:tc>
      </w:tr>
      <w:tr w:rsidR="00B84223" w:rsidRPr="000F28DB" w14:paraId="4BC67B08" w14:textId="77777777" w:rsidTr="00624169">
        <w:trPr>
          <w:trHeight w:val="2150"/>
          <w:jc w:val="center"/>
        </w:trPr>
        <w:tc>
          <w:tcPr>
            <w:tcW w:w="5733" w:type="dxa"/>
            <w:vAlign w:val="center"/>
          </w:tcPr>
          <w:p w14:paraId="54B4D7CE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Agriculture and Natural Resources (AGR)</w:t>
            </w:r>
          </w:p>
          <w:p w14:paraId="38C7CCA2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(100, 101, 102, 103, 104, 105, 106)</w:t>
            </w:r>
          </w:p>
          <w:p w14:paraId="640231AD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433896FC" w14:textId="77777777" w:rsidR="00B84223" w:rsidRPr="00624169" w:rsidRDefault="00B84223" w:rsidP="00B84223">
            <w:pPr>
              <w:numPr>
                <w:ilvl w:val="0"/>
                <w:numId w:val="18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Agricultural Business – 100</w:t>
            </w:r>
          </w:p>
          <w:p w14:paraId="6D0512EB" w14:textId="77777777" w:rsidR="00B84223" w:rsidRPr="00624169" w:rsidRDefault="00B84223" w:rsidP="00B84223">
            <w:pPr>
              <w:numPr>
                <w:ilvl w:val="0"/>
                <w:numId w:val="18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Agricultural Mechanics – 101</w:t>
            </w:r>
          </w:p>
          <w:p w14:paraId="76B3A53F" w14:textId="77777777" w:rsidR="00B84223" w:rsidRPr="00624169" w:rsidRDefault="00B84223" w:rsidP="00B84223">
            <w:pPr>
              <w:numPr>
                <w:ilvl w:val="0"/>
                <w:numId w:val="18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Agriscience – 102</w:t>
            </w:r>
          </w:p>
          <w:p w14:paraId="64D76708" w14:textId="77777777" w:rsidR="00B84223" w:rsidRPr="00624169" w:rsidRDefault="00B84223" w:rsidP="00B84223">
            <w:pPr>
              <w:numPr>
                <w:ilvl w:val="0"/>
                <w:numId w:val="19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Animal Science – 103</w:t>
            </w:r>
          </w:p>
          <w:p w14:paraId="36989591" w14:textId="77777777" w:rsidR="00B84223" w:rsidRPr="00624169" w:rsidRDefault="00B84223" w:rsidP="00B84223">
            <w:pPr>
              <w:numPr>
                <w:ilvl w:val="0"/>
                <w:numId w:val="19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Forestry and Natural Resources – 104</w:t>
            </w:r>
          </w:p>
          <w:p w14:paraId="16AEB897" w14:textId="77777777" w:rsidR="00B84223" w:rsidRPr="00624169" w:rsidRDefault="00B84223" w:rsidP="00B84223">
            <w:pPr>
              <w:numPr>
                <w:ilvl w:val="0"/>
                <w:numId w:val="19"/>
              </w:numPr>
              <w:ind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Ornamental Horticulture – 105</w:t>
            </w:r>
          </w:p>
          <w:p w14:paraId="47EC3553" w14:textId="77777777" w:rsidR="00B84223" w:rsidRPr="00624169" w:rsidRDefault="00B84223" w:rsidP="002246E4">
            <w:pPr>
              <w:numPr>
                <w:ilvl w:val="0"/>
                <w:numId w:val="1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Plant and Soil Science – 106</w:t>
            </w:r>
          </w:p>
        </w:tc>
      </w:tr>
      <w:tr w:rsidR="00B84223" w:rsidRPr="000F28DB" w14:paraId="0F1315A0" w14:textId="77777777" w:rsidTr="00624169">
        <w:trPr>
          <w:trHeight w:val="1250"/>
          <w:jc w:val="center"/>
        </w:trPr>
        <w:tc>
          <w:tcPr>
            <w:tcW w:w="5733" w:type="dxa"/>
            <w:vAlign w:val="center"/>
          </w:tcPr>
          <w:p w14:paraId="186ABF7F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Arts, Media, and Entertainment (AME)</w:t>
            </w:r>
          </w:p>
          <w:p w14:paraId="52411997" w14:textId="77777777" w:rsidR="00B84223" w:rsidRPr="00624169" w:rsidRDefault="00B84223" w:rsidP="00B84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(111, 112, 113, 114)</w:t>
            </w:r>
          </w:p>
        </w:tc>
        <w:tc>
          <w:tcPr>
            <w:tcW w:w="5733" w:type="dxa"/>
          </w:tcPr>
          <w:p w14:paraId="267FA760" w14:textId="77777777" w:rsidR="00B84223" w:rsidRPr="00624169" w:rsidRDefault="00B84223" w:rsidP="00B8422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24169">
              <w:rPr>
                <w:rFonts w:ascii="Arial" w:hAnsi="Arial" w:cs="Arial"/>
                <w:sz w:val="24"/>
                <w:szCs w:val="24"/>
              </w:rPr>
              <w:t xml:space="preserve">Design, Visual and Media Arts – 111 </w:t>
            </w:r>
          </w:p>
          <w:p w14:paraId="0A44C879" w14:textId="77777777" w:rsidR="00B84223" w:rsidRPr="00624169" w:rsidRDefault="00B84223" w:rsidP="00B8422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24169">
              <w:rPr>
                <w:rFonts w:ascii="Arial" w:hAnsi="Arial" w:cs="Arial"/>
                <w:sz w:val="24"/>
                <w:szCs w:val="24"/>
              </w:rPr>
              <w:t xml:space="preserve">Performing Arts – 112 </w:t>
            </w:r>
          </w:p>
          <w:p w14:paraId="0BCB7F16" w14:textId="77777777" w:rsidR="00B84223" w:rsidRPr="00624169" w:rsidRDefault="00B84223" w:rsidP="00B8422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24169">
              <w:rPr>
                <w:rFonts w:ascii="Arial" w:hAnsi="Arial" w:cs="Arial"/>
                <w:sz w:val="24"/>
                <w:szCs w:val="24"/>
              </w:rPr>
              <w:t>Production and Managerial Arts – 113</w:t>
            </w:r>
          </w:p>
          <w:p w14:paraId="18D71A27" w14:textId="77777777" w:rsidR="00B84223" w:rsidRPr="00624169" w:rsidRDefault="00B84223" w:rsidP="00B8422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24169">
              <w:rPr>
                <w:rFonts w:ascii="Arial" w:hAnsi="Arial" w:cs="Arial"/>
                <w:sz w:val="24"/>
                <w:szCs w:val="24"/>
              </w:rPr>
              <w:t>Game Design and Integration – 114</w:t>
            </w:r>
            <w:r w:rsidRPr="0062416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84223" w:rsidRPr="000F28DB" w14:paraId="7B364538" w14:textId="77777777" w:rsidTr="00624169">
        <w:trPr>
          <w:trHeight w:val="1781"/>
          <w:jc w:val="center"/>
        </w:trPr>
        <w:tc>
          <w:tcPr>
            <w:tcW w:w="5733" w:type="dxa"/>
            <w:vAlign w:val="center"/>
          </w:tcPr>
          <w:p w14:paraId="6A314B3A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FE171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Building and Construction Trades (BLD)</w:t>
            </w:r>
          </w:p>
          <w:p w14:paraId="621858B5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(120, 121, 122, 123)</w:t>
            </w:r>
          </w:p>
          <w:p w14:paraId="5B0FFB7C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0F2FA336" w14:textId="77777777" w:rsidR="00B84223" w:rsidRPr="00624169" w:rsidRDefault="00B84223" w:rsidP="00B84223">
            <w:pPr>
              <w:numPr>
                <w:ilvl w:val="0"/>
                <w:numId w:val="1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Cabinetry, Millwork, and Woodworking – 120</w:t>
            </w:r>
          </w:p>
          <w:p w14:paraId="3194F5F5" w14:textId="77777777" w:rsidR="00B84223" w:rsidRPr="00624169" w:rsidRDefault="00B84223" w:rsidP="00B84223">
            <w:pPr>
              <w:numPr>
                <w:ilvl w:val="0"/>
                <w:numId w:val="1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Engineering and Heavy Construction – 121</w:t>
            </w:r>
          </w:p>
          <w:p w14:paraId="3AAC7958" w14:textId="77777777" w:rsidR="00B84223" w:rsidRPr="00624169" w:rsidRDefault="00B84223" w:rsidP="00B84223">
            <w:pPr>
              <w:numPr>
                <w:ilvl w:val="0"/>
                <w:numId w:val="1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Mechanical Systems Installation and Repair – 122</w:t>
            </w:r>
          </w:p>
          <w:p w14:paraId="05B7E76F" w14:textId="77777777" w:rsidR="00B84223" w:rsidRPr="00624169" w:rsidRDefault="00B84223" w:rsidP="00B84223">
            <w:pPr>
              <w:numPr>
                <w:ilvl w:val="0"/>
                <w:numId w:val="1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Residential and Commercial Construction – 123</w:t>
            </w:r>
          </w:p>
        </w:tc>
      </w:tr>
      <w:tr w:rsidR="00B84223" w:rsidRPr="000F28DB" w14:paraId="0A86B61D" w14:textId="77777777" w:rsidTr="00624169">
        <w:trPr>
          <w:trHeight w:val="989"/>
          <w:jc w:val="center"/>
        </w:trPr>
        <w:tc>
          <w:tcPr>
            <w:tcW w:w="5733" w:type="dxa"/>
            <w:vAlign w:val="center"/>
          </w:tcPr>
          <w:p w14:paraId="6C0A6283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Business and Finance (FIN)</w:t>
            </w:r>
          </w:p>
          <w:p w14:paraId="65722E74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(180, 181, 182)</w:t>
            </w:r>
          </w:p>
          <w:p w14:paraId="686D0383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392C9D98" w14:textId="77777777" w:rsidR="00B84223" w:rsidRPr="00624169" w:rsidRDefault="00B84223" w:rsidP="002246E4">
            <w:pPr>
              <w:numPr>
                <w:ilvl w:val="0"/>
                <w:numId w:val="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Business Management – 182</w:t>
            </w:r>
          </w:p>
          <w:p w14:paraId="7FA6A45C" w14:textId="77777777" w:rsidR="00B84223" w:rsidRPr="00624169" w:rsidRDefault="00B84223" w:rsidP="002246E4">
            <w:pPr>
              <w:numPr>
                <w:ilvl w:val="0"/>
                <w:numId w:val="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Financial Services – 180</w:t>
            </w:r>
          </w:p>
          <w:p w14:paraId="36FC5CF3" w14:textId="77777777" w:rsidR="00B84223" w:rsidRPr="00624169" w:rsidRDefault="00B84223" w:rsidP="002246E4">
            <w:pPr>
              <w:numPr>
                <w:ilvl w:val="0"/>
                <w:numId w:val="3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International Business – 181</w:t>
            </w:r>
          </w:p>
        </w:tc>
      </w:tr>
      <w:tr w:rsidR="00B84223" w:rsidRPr="000F28DB" w14:paraId="2329134A" w14:textId="77777777" w:rsidTr="00624169">
        <w:trPr>
          <w:trHeight w:val="1232"/>
          <w:jc w:val="center"/>
        </w:trPr>
        <w:tc>
          <w:tcPr>
            <w:tcW w:w="5733" w:type="dxa"/>
            <w:vAlign w:val="center"/>
          </w:tcPr>
          <w:p w14:paraId="6D053639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Education, Child Development, and Family Services (EDU)</w:t>
            </w:r>
          </w:p>
          <w:p w14:paraId="7BFE11AE" w14:textId="77777777" w:rsidR="00B84223" w:rsidRPr="00624169" w:rsidRDefault="00B84223" w:rsidP="00B84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(130, 131, 132, 133)</w:t>
            </w:r>
          </w:p>
        </w:tc>
        <w:tc>
          <w:tcPr>
            <w:tcW w:w="5733" w:type="dxa"/>
          </w:tcPr>
          <w:p w14:paraId="5CF92C7B" w14:textId="77777777" w:rsidR="00B84223" w:rsidRPr="00624169" w:rsidRDefault="00B84223" w:rsidP="00B84223">
            <w:pPr>
              <w:numPr>
                <w:ilvl w:val="0"/>
                <w:numId w:val="10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Child Development – 130</w:t>
            </w:r>
          </w:p>
          <w:p w14:paraId="5E2C56A7" w14:textId="77777777" w:rsidR="00B84223" w:rsidRPr="00624169" w:rsidRDefault="00B84223" w:rsidP="00B84223">
            <w:pPr>
              <w:numPr>
                <w:ilvl w:val="0"/>
                <w:numId w:val="10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Consumer Services – 131</w:t>
            </w:r>
          </w:p>
          <w:p w14:paraId="66053B0D" w14:textId="77777777" w:rsidR="00B84223" w:rsidRPr="00624169" w:rsidRDefault="00B84223" w:rsidP="00B84223">
            <w:pPr>
              <w:numPr>
                <w:ilvl w:val="0"/>
                <w:numId w:val="10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Education – 132</w:t>
            </w:r>
          </w:p>
          <w:p w14:paraId="71B7619F" w14:textId="77777777" w:rsidR="00B84223" w:rsidRPr="00624169" w:rsidRDefault="00B84223" w:rsidP="00B84223">
            <w:pPr>
              <w:numPr>
                <w:ilvl w:val="0"/>
                <w:numId w:val="10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Family and Human Services – 133</w:t>
            </w:r>
          </w:p>
        </w:tc>
      </w:tr>
      <w:tr w:rsidR="00B84223" w:rsidRPr="000F28DB" w14:paraId="69EB9E0E" w14:textId="77777777" w:rsidTr="00624169">
        <w:trPr>
          <w:trHeight w:val="917"/>
          <w:jc w:val="center"/>
        </w:trPr>
        <w:tc>
          <w:tcPr>
            <w:tcW w:w="5733" w:type="dxa"/>
            <w:vAlign w:val="center"/>
          </w:tcPr>
          <w:p w14:paraId="79D5C18A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Energy, Environment, and Utilities (NRG)</w:t>
            </w:r>
          </w:p>
          <w:p w14:paraId="186ECC29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(141, 142, 143)</w:t>
            </w:r>
          </w:p>
          <w:p w14:paraId="6D9B12A4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7126FDEF" w14:textId="77777777" w:rsidR="00B84223" w:rsidRPr="00624169" w:rsidRDefault="00B84223" w:rsidP="002246E4">
            <w:pPr>
              <w:numPr>
                <w:ilvl w:val="0"/>
                <w:numId w:val="7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Environmental Resources – 141</w:t>
            </w:r>
          </w:p>
          <w:p w14:paraId="7FE8AA70" w14:textId="77777777" w:rsidR="00B84223" w:rsidRPr="00624169" w:rsidRDefault="00B84223" w:rsidP="002246E4">
            <w:pPr>
              <w:numPr>
                <w:ilvl w:val="0"/>
                <w:numId w:val="7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Energy and Power Technology – 143</w:t>
            </w:r>
          </w:p>
          <w:p w14:paraId="1BDF8B31" w14:textId="77777777" w:rsidR="00B84223" w:rsidRPr="00624169" w:rsidRDefault="00B84223" w:rsidP="002246E4">
            <w:pPr>
              <w:numPr>
                <w:ilvl w:val="0"/>
                <w:numId w:val="7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Telecommunications – 142</w:t>
            </w:r>
          </w:p>
        </w:tc>
      </w:tr>
      <w:tr w:rsidR="00B84223" w:rsidRPr="000F28DB" w14:paraId="3032DEDA" w14:textId="77777777" w:rsidTr="00624169">
        <w:trPr>
          <w:trHeight w:val="1241"/>
          <w:jc w:val="center"/>
        </w:trPr>
        <w:tc>
          <w:tcPr>
            <w:tcW w:w="5733" w:type="dxa"/>
            <w:vAlign w:val="center"/>
          </w:tcPr>
          <w:p w14:paraId="0F1B7553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0BCC2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Engineering and Architecture (ENG)</w:t>
            </w:r>
          </w:p>
          <w:p w14:paraId="1F061C85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(150, 153, 152, 154)</w:t>
            </w:r>
          </w:p>
          <w:p w14:paraId="4880DD14" w14:textId="77777777" w:rsidR="00B84223" w:rsidRPr="00624169" w:rsidRDefault="00B84223" w:rsidP="00602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12AE1C0A" w14:textId="77777777" w:rsidR="00B84223" w:rsidRPr="00624169" w:rsidRDefault="00B84223" w:rsidP="00B84223">
            <w:pPr>
              <w:numPr>
                <w:ilvl w:val="0"/>
                <w:numId w:val="14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Architectural Design – 150</w:t>
            </w:r>
          </w:p>
          <w:p w14:paraId="3C7661F5" w14:textId="77777777" w:rsidR="00B84223" w:rsidRPr="00624169" w:rsidRDefault="00B84223" w:rsidP="00B84223">
            <w:pPr>
              <w:numPr>
                <w:ilvl w:val="0"/>
                <w:numId w:val="14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Engineering Technology – 153</w:t>
            </w:r>
          </w:p>
          <w:p w14:paraId="2498C1EE" w14:textId="77777777" w:rsidR="00B84223" w:rsidRPr="00624169" w:rsidRDefault="00B84223" w:rsidP="00B84223">
            <w:pPr>
              <w:numPr>
                <w:ilvl w:val="0"/>
                <w:numId w:val="14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Engineering Design – 152</w:t>
            </w:r>
          </w:p>
          <w:p w14:paraId="13549DB5" w14:textId="77777777" w:rsidR="00B84223" w:rsidRPr="00624169" w:rsidRDefault="00B84223" w:rsidP="00B84223">
            <w:pPr>
              <w:numPr>
                <w:ilvl w:val="0"/>
                <w:numId w:val="14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Environmental Engineering – 154</w:t>
            </w:r>
          </w:p>
        </w:tc>
      </w:tr>
      <w:tr w:rsidR="00B84223" w:rsidRPr="000F28DB" w14:paraId="53B7178E" w14:textId="77777777" w:rsidTr="00624169">
        <w:trPr>
          <w:trHeight w:val="953"/>
          <w:jc w:val="center"/>
        </w:trPr>
        <w:tc>
          <w:tcPr>
            <w:tcW w:w="5733" w:type="dxa"/>
            <w:vAlign w:val="center"/>
          </w:tcPr>
          <w:p w14:paraId="2A9C3095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Fashion and Interior Design (FSN)</w:t>
            </w:r>
          </w:p>
          <w:p w14:paraId="4500805F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(160, 161, 162)</w:t>
            </w:r>
          </w:p>
          <w:p w14:paraId="3F4997DA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055349C9" w14:textId="77777777" w:rsidR="00B84223" w:rsidRPr="00624169" w:rsidRDefault="00B84223" w:rsidP="00B84223">
            <w:pPr>
              <w:numPr>
                <w:ilvl w:val="0"/>
                <w:numId w:val="11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Fashion Design and Merchandising – 160</w:t>
            </w:r>
          </w:p>
          <w:p w14:paraId="67425159" w14:textId="77777777" w:rsidR="00B84223" w:rsidRPr="00624169" w:rsidRDefault="00B84223" w:rsidP="00B84223">
            <w:pPr>
              <w:numPr>
                <w:ilvl w:val="0"/>
                <w:numId w:val="11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Interior Design – 161</w:t>
            </w:r>
          </w:p>
          <w:p w14:paraId="7637BF69" w14:textId="77777777" w:rsidR="00B84223" w:rsidRPr="00624169" w:rsidRDefault="00B84223" w:rsidP="00B84223">
            <w:pPr>
              <w:numPr>
                <w:ilvl w:val="0"/>
                <w:numId w:val="11"/>
              </w:numPr>
              <w:ind w:left="795" w:hanging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Personal Services – 162</w:t>
            </w:r>
          </w:p>
        </w:tc>
      </w:tr>
      <w:tr w:rsidR="00B84223" w:rsidRPr="000F28DB" w14:paraId="7858452D" w14:textId="77777777" w:rsidTr="00624169">
        <w:trPr>
          <w:trHeight w:val="2123"/>
          <w:jc w:val="center"/>
        </w:trPr>
        <w:tc>
          <w:tcPr>
            <w:tcW w:w="5733" w:type="dxa"/>
            <w:vAlign w:val="center"/>
          </w:tcPr>
          <w:p w14:paraId="320F7888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lastRenderedPageBreak/>
              <w:t>Health Science and Medical Technology (HLT)</w:t>
            </w:r>
          </w:p>
          <w:p w14:paraId="168FB9FF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(195, 196, 197, 198, 199, 250)</w:t>
            </w:r>
          </w:p>
          <w:p w14:paraId="22DF3525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6806872F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Biotechnology –196</w:t>
            </w:r>
          </w:p>
          <w:p w14:paraId="5D7CFF7F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Patient Care – 198</w:t>
            </w:r>
          </w:p>
          <w:p w14:paraId="1F629AC8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Healthcare Administrative Services – 250</w:t>
            </w:r>
          </w:p>
          <w:p w14:paraId="24D8B6DC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Health Care Operational Support Services – 197</w:t>
            </w:r>
          </w:p>
          <w:p w14:paraId="28EBE559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Public and Community Health – 199</w:t>
            </w:r>
          </w:p>
          <w:p w14:paraId="7CCA4F7C" w14:textId="77777777" w:rsidR="00B84223" w:rsidRPr="00624169" w:rsidRDefault="00B84223" w:rsidP="00E250FE">
            <w:pPr>
              <w:numPr>
                <w:ilvl w:val="0"/>
                <w:numId w:val="6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Mental and Behavioral Health – 195</w:t>
            </w:r>
          </w:p>
        </w:tc>
      </w:tr>
      <w:tr w:rsidR="00B84223" w:rsidRPr="000F28DB" w14:paraId="1A79D357" w14:textId="77777777" w:rsidTr="00624169">
        <w:trPr>
          <w:trHeight w:val="980"/>
          <w:jc w:val="center"/>
        </w:trPr>
        <w:tc>
          <w:tcPr>
            <w:tcW w:w="5733" w:type="dxa"/>
            <w:vAlign w:val="center"/>
          </w:tcPr>
          <w:p w14:paraId="6D62B65F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Hospitality, Tourism, and Recreation (HOS)</w:t>
            </w:r>
          </w:p>
          <w:p w14:paraId="7EFB516B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(200, 201, 202)</w:t>
            </w:r>
          </w:p>
          <w:p w14:paraId="0A6F8044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7298770F" w14:textId="77777777" w:rsidR="00B84223" w:rsidRPr="00624169" w:rsidRDefault="00B84223" w:rsidP="00E250FE">
            <w:pPr>
              <w:numPr>
                <w:ilvl w:val="0"/>
                <w:numId w:val="9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Food Science, Dietetics, and Nutrition – 200</w:t>
            </w:r>
          </w:p>
          <w:p w14:paraId="5E1C69CB" w14:textId="77777777" w:rsidR="00B84223" w:rsidRPr="00624169" w:rsidRDefault="00B84223" w:rsidP="00E250FE">
            <w:pPr>
              <w:numPr>
                <w:ilvl w:val="0"/>
                <w:numId w:val="9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Food Service and Hospitality – 201</w:t>
            </w:r>
          </w:p>
          <w:p w14:paraId="03136798" w14:textId="77777777" w:rsidR="00B84223" w:rsidRPr="00624169" w:rsidRDefault="00B84223" w:rsidP="00E250FE">
            <w:pPr>
              <w:numPr>
                <w:ilvl w:val="0"/>
                <w:numId w:val="9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Hospitality, Tourism, and Recreation – 202</w:t>
            </w:r>
          </w:p>
        </w:tc>
      </w:tr>
      <w:tr w:rsidR="00B84223" w:rsidRPr="000F28DB" w14:paraId="0A2D6EFE" w14:textId="77777777" w:rsidTr="00624169">
        <w:trPr>
          <w:trHeight w:val="1250"/>
          <w:jc w:val="center"/>
        </w:trPr>
        <w:tc>
          <w:tcPr>
            <w:tcW w:w="5733" w:type="dxa"/>
            <w:vAlign w:val="bottom"/>
          </w:tcPr>
          <w:p w14:paraId="4EAD6F06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Information and Communication Technologies (INF)</w:t>
            </w:r>
          </w:p>
          <w:p w14:paraId="6E890F6B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(170, 172, 174, 175)</w:t>
            </w:r>
          </w:p>
          <w:p w14:paraId="1B217EB3" w14:textId="77777777" w:rsidR="00B84223" w:rsidRPr="00624169" w:rsidRDefault="00B84223" w:rsidP="002246E4">
            <w:pPr>
              <w:rPr>
                <w:rFonts w:ascii="Arial" w:hAnsi="Arial" w:cs="Arial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F065232" w14:textId="77777777" w:rsidR="00B84223" w:rsidRPr="00624169" w:rsidRDefault="00B84223" w:rsidP="00E250FE">
            <w:pPr>
              <w:numPr>
                <w:ilvl w:val="0"/>
                <w:numId w:val="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Information Support and Services – 170</w:t>
            </w:r>
          </w:p>
          <w:p w14:paraId="608C38B4" w14:textId="77777777" w:rsidR="00B84223" w:rsidRPr="00624169" w:rsidRDefault="00B84223" w:rsidP="00E250FE">
            <w:pPr>
              <w:numPr>
                <w:ilvl w:val="0"/>
                <w:numId w:val="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Networking – 172</w:t>
            </w:r>
          </w:p>
          <w:p w14:paraId="7E684AFF" w14:textId="77777777" w:rsidR="00B84223" w:rsidRPr="00624169" w:rsidRDefault="00B84223" w:rsidP="00E250FE">
            <w:pPr>
              <w:numPr>
                <w:ilvl w:val="0"/>
                <w:numId w:val="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Software and Systems Development – 174</w:t>
            </w:r>
          </w:p>
          <w:p w14:paraId="02121146" w14:textId="77777777" w:rsidR="00B84223" w:rsidRPr="00624169" w:rsidRDefault="00B84223" w:rsidP="00E250FE">
            <w:pPr>
              <w:numPr>
                <w:ilvl w:val="0"/>
                <w:numId w:val="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Games and Simulations –175</w:t>
            </w:r>
          </w:p>
        </w:tc>
      </w:tr>
      <w:tr w:rsidR="00B84223" w:rsidRPr="000F28DB" w14:paraId="378A0F81" w14:textId="77777777" w:rsidTr="00624169">
        <w:trPr>
          <w:trHeight w:val="1250"/>
          <w:jc w:val="center"/>
        </w:trPr>
        <w:tc>
          <w:tcPr>
            <w:tcW w:w="5733" w:type="dxa"/>
            <w:vAlign w:val="center"/>
          </w:tcPr>
          <w:p w14:paraId="0C07C179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Manufacturing and Product Development (MAN)</w:t>
            </w:r>
          </w:p>
          <w:p w14:paraId="2095F619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(210, 212, 213, 216)</w:t>
            </w:r>
          </w:p>
          <w:p w14:paraId="340EDBAD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390E5071" w14:textId="77777777" w:rsidR="00B84223" w:rsidRPr="00624169" w:rsidRDefault="00B84223" w:rsidP="00E250FE">
            <w:pPr>
              <w:numPr>
                <w:ilvl w:val="0"/>
                <w:numId w:val="5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Graphic Production Technologies – 210</w:t>
            </w:r>
          </w:p>
          <w:p w14:paraId="7530DBA9" w14:textId="77777777" w:rsidR="00B84223" w:rsidRPr="00624169" w:rsidRDefault="00B84223" w:rsidP="00E250FE">
            <w:pPr>
              <w:numPr>
                <w:ilvl w:val="0"/>
                <w:numId w:val="5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Machining and Forming Technologies – 212</w:t>
            </w:r>
          </w:p>
          <w:p w14:paraId="6E67CFB6" w14:textId="77777777" w:rsidR="00B84223" w:rsidRPr="00624169" w:rsidRDefault="00B84223" w:rsidP="00E250FE">
            <w:pPr>
              <w:numPr>
                <w:ilvl w:val="0"/>
                <w:numId w:val="5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Welding and Materials Joining – 213</w:t>
            </w:r>
          </w:p>
          <w:p w14:paraId="1F9879EC" w14:textId="77777777" w:rsidR="00B84223" w:rsidRPr="00624169" w:rsidRDefault="00B84223" w:rsidP="00E250FE">
            <w:pPr>
              <w:numPr>
                <w:ilvl w:val="0"/>
                <w:numId w:val="5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Product Innovation and Design – 216</w:t>
            </w:r>
          </w:p>
        </w:tc>
      </w:tr>
      <w:tr w:rsidR="00B84223" w:rsidRPr="000F28DB" w14:paraId="1EED0379" w14:textId="77777777" w:rsidTr="00624169">
        <w:trPr>
          <w:trHeight w:val="980"/>
          <w:jc w:val="center"/>
        </w:trPr>
        <w:tc>
          <w:tcPr>
            <w:tcW w:w="5733" w:type="dxa"/>
            <w:vAlign w:val="center"/>
          </w:tcPr>
          <w:p w14:paraId="46818741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Marketing, Sales, and Services (MAR)</w:t>
            </w:r>
          </w:p>
          <w:p w14:paraId="722E95B6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(241, 243, 244)</w:t>
            </w:r>
          </w:p>
          <w:p w14:paraId="003263CD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282B6C8A" w14:textId="77777777" w:rsidR="00B84223" w:rsidRPr="00624169" w:rsidRDefault="00B84223" w:rsidP="00E250FE">
            <w:pPr>
              <w:numPr>
                <w:ilvl w:val="0"/>
                <w:numId w:val="8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Marketing – 244</w:t>
            </w:r>
          </w:p>
          <w:p w14:paraId="24EFC566" w14:textId="77777777" w:rsidR="00B84223" w:rsidRPr="00624169" w:rsidRDefault="00B84223" w:rsidP="00E250FE">
            <w:pPr>
              <w:numPr>
                <w:ilvl w:val="0"/>
                <w:numId w:val="8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Professional Sales – 243</w:t>
            </w:r>
          </w:p>
          <w:p w14:paraId="1D74A50F" w14:textId="77777777" w:rsidR="00B84223" w:rsidRPr="00624169" w:rsidRDefault="00B84223" w:rsidP="00E250FE">
            <w:pPr>
              <w:numPr>
                <w:ilvl w:val="0"/>
                <w:numId w:val="8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Entrepreneurship/Self-Employment – 241</w:t>
            </w:r>
          </w:p>
        </w:tc>
      </w:tr>
      <w:tr w:rsidR="00B84223" w:rsidRPr="000F28DB" w14:paraId="59FC6379" w14:textId="77777777" w:rsidTr="00624169">
        <w:trPr>
          <w:trHeight w:val="980"/>
          <w:jc w:val="center"/>
        </w:trPr>
        <w:tc>
          <w:tcPr>
            <w:tcW w:w="5733" w:type="dxa"/>
            <w:vAlign w:val="center"/>
          </w:tcPr>
          <w:p w14:paraId="05AAF654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Public Services (PUB)</w:t>
            </w:r>
          </w:p>
          <w:p w14:paraId="0AB89EEE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(231, 232, 233)</w:t>
            </w:r>
          </w:p>
          <w:p w14:paraId="67B5BC97" w14:textId="77777777" w:rsidR="00B84223" w:rsidRPr="00624169" w:rsidRDefault="00B84223" w:rsidP="002246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14:paraId="4210EC89" w14:textId="77777777" w:rsidR="00B84223" w:rsidRPr="00624169" w:rsidRDefault="00B84223" w:rsidP="00E250FE">
            <w:pPr>
              <w:numPr>
                <w:ilvl w:val="0"/>
                <w:numId w:val="4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Public Safety – 232</w:t>
            </w:r>
          </w:p>
          <w:p w14:paraId="1E4F0B07" w14:textId="77777777" w:rsidR="00B84223" w:rsidRPr="00624169" w:rsidRDefault="00B84223" w:rsidP="00E250FE">
            <w:pPr>
              <w:numPr>
                <w:ilvl w:val="0"/>
                <w:numId w:val="4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Emergency Response – 233</w:t>
            </w:r>
          </w:p>
          <w:p w14:paraId="5966DB6A" w14:textId="77777777" w:rsidR="00B84223" w:rsidRPr="00624169" w:rsidRDefault="00B84223" w:rsidP="00E250FE">
            <w:pPr>
              <w:numPr>
                <w:ilvl w:val="0"/>
                <w:numId w:val="4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Legal Practices – 231</w:t>
            </w:r>
          </w:p>
        </w:tc>
      </w:tr>
      <w:tr w:rsidR="00B84223" w:rsidRPr="000F28DB" w14:paraId="6E1A53F2" w14:textId="77777777" w:rsidTr="00624169">
        <w:trPr>
          <w:trHeight w:val="1250"/>
          <w:jc w:val="center"/>
        </w:trPr>
        <w:tc>
          <w:tcPr>
            <w:tcW w:w="5733" w:type="dxa"/>
            <w:vAlign w:val="center"/>
          </w:tcPr>
          <w:p w14:paraId="4280FD5C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Transportation (TRA)</w:t>
            </w:r>
          </w:p>
          <w:p w14:paraId="69849B8B" w14:textId="77777777" w:rsidR="00B84223" w:rsidRPr="00624169" w:rsidRDefault="00B84223" w:rsidP="002246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169">
              <w:rPr>
                <w:rFonts w:ascii="Arial" w:hAnsi="Arial" w:cs="Arial"/>
                <w:b/>
                <w:sz w:val="24"/>
                <w:szCs w:val="24"/>
              </w:rPr>
              <w:t>(220, 221, 223)</w:t>
            </w:r>
          </w:p>
          <w:p w14:paraId="1F501DA2" w14:textId="77777777" w:rsidR="00B84223" w:rsidRPr="00624169" w:rsidRDefault="00B84223" w:rsidP="002246E4">
            <w:pPr>
              <w:rPr>
                <w:rFonts w:ascii="Arial" w:hAnsi="Arial" w:cs="Arial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733" w:type="dxa"/>
          </w:tcPr>
          <w:p w14:paraId="5F8D862C" w14:textId="77777777" w:rsidR="00B84223" w:rsidRPr="00624169" w:rsidRDefault="00B84223" w:rsidP="00E250FE">
            <w:pPr>
              <w:numPr>
                <w:ilvl w:val="0"/>
                <w:numId w:val="1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Operations – 223</w:t>
            </w:r>
          </w:p>
          <w:p w14:paraId="53613A46" w14:textId="77777777" w:rsidR="00B84223" w:rsidRPr="00624169" w:rsidRDefault="00B84223" w:rsidP="00E250FE">
            <w:pPr>
              <w:numPr>
                <w:ilvl w:val="0"/>
                <w:numId w:val="1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Structural Repair and Refinishing – 220</w:t>
            </w:r>
          </w:p>
          <w:p w14:paraId="540565AC" w14:textId="77777777" w:rsidR="00B84223" w:rsidRPr="00624169" w:rsidRDefault="00B84223" w:rsidP="00E250FE">
            <w:pPr>
              <w:numPr>
                <w:ilvl w:val="0"/>
                <w:numId w:val="12"/>
              </w:numPr>
              <w:tabs>
                <w:tab w:val="clear" w:pos="720"/>
                <w:tab w:val="num" w:pos="721"/>
              </w:tabs>
              <w:ind w:left="795" w:hanging="434"/>
              <w:rPr>
                <w:rFonts w:ascii="Arial" w:eastAsia="Times New Roman" w:hAnsi="Arial" w:cs="Arial"/>
                <w:sz w:val="24"/>
                <w:szCs w:val="24"/>
              </w:rPr>
            </w:pPr>
            <w:r w:rsidRPr="00624169">
              <w:rPr>
                <w:rFonts w:ascii="Arial" w:eastAsia="Times New Roman" w:hAnsi="Arial" w:cs="Arial"/>
                <w:sz w:val="24"/>
                <w:szCs w:val="24"/>
              </w:rPr>
              <w:t>Systems Diagnostics, Service, and Repair – 221</w:t>
            </w:r>
          </w:p>
        </w:tc>
      </w:tr>
    </w:tbl>
    <w:p w14:paraId="07760B0B" w14:textId="56924DD5" w:rsidR="006A5E46" w:rsidRDefault="006A5E46"/>
    <w:p w14:paraId="45C0BDFE" w14:textId="49EBA79E" w:rsidR="006A5E46" w:rsidRPr="006A5E46" w:rsidRDefault="006A5E46" w:rsidP="006A5E46">
      <w:pPr>
        <w:ind w:lef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Posted by: </w:t>
      </w:r>
      <w:r w:rsidRPr="006A5E46">
        <w:rPr>
          <w:rFonts w:ascii="Arial" w:hAnsi="Arial" w:cs="Arial"/>
          <w:sz w:val="24"/>
          <w:szCs w:val="24"/>
        </w:rPr>
        <w:t>California Department of Education, March 2023</w:t>
      </w:r>
    </w:p>
    <w:sectPr w:rsidR="006A5E46" w:rsidRPr="006A5E46" w:rsidSect="00B8422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8.5pt;height:8.5pt" o:bullet="t">
        <v:imagedata r:id="rId1" o:title="ul-item2-gold"/>
      </v:shape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C72266B"/>
    <w:multiLevelType w:val="multilevel"/>
    <w:tmpl w:val="10C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A377B"/>
    <w:multiLevelType w:val="multilevel"/>
    <w:tmpl w:val="50A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95009"/>
    <w:multiLevelType w:val="multilevel"/>
    <w:tmpl w:val="635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60744"/>
    <w:multiLevelType w:val="multilevel"/>
    <w:tmpl w:val="FDE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0793E"/>
    <w:multiLevelType w:val="multilevel"/>
    <w:tmpl w:val="1C6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16893"/>
    <w:multiLevelType w:val="multilevel"/>
    <w:tmpl w:val="408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E00E9"/>
    <w:multiLevelType w:val="multilevel"/>
    <w:tmpl w:val="56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11F2"/>
    <w:multiLevelType w:val="hybridMultilevel"/>
    <w:tmpl w:val="6A04A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F03"/>
    <w:multiLevelType w:val="multilevel"/>
    <w:tmpl w:val="69E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D1EDE"/>
    <w:multiLevelType w:val="multilevel"/>
    <w:tmpl w:val="A34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F292E"/>
    <w:multiLevelType w:val="multilevel"/>
    <w:tmpl w:val="21B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A7700"/>
    <w:multiLevelType w:val="hybridMultilevel"/>
    <w:tmpl w:val="3E56BFC6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6E6332C"/>
    <w:multiLevelType w:val="multilevel"/>
    <w:tmpl w:val="D58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5275D"/>
    <w:multiLevelType w:val="hybridMultilevel"/>
    <w:tmpl w:val="857669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4C197C"/>
    <w:multiLevelType w:val="hybridMultilevel"/>
    <w:tmpl w:val="9BFE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6E41"/>
    <w:multiLevelType w:val="multilevel"/>
    <w:tmpl w:val="DFA0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60C34"/>
    <w:multiLevelType w:val="hybridMultilevel"/>
    <w:tmpl w:val="4914F630"/>
    <w:lvl w:ilvl="0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5B065012"/>
    <w:multiLevelType w:val="hybridMultilevel"/>
    <w:tmpl w:val="0A8AD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3D1"/>
    <w:multiLevelType w:val="hybridMultilevel"/>
    <w:tmpl w:val="16CAA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876D3"/>
    <w:multiLevelType w:val="multilevel"/>
    <w:tmpl w:val="A47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FD3AC6"/>
    <w:multiLevelType w:val="multilevel"/>
    <w:tmpl w:val="046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32FFA"/>
    <w:multiLevelType w:val="multilevel"/>
    <w:tmpl w:val="CA2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0659E"/>
    <w:multiLevelType w:val="multilevel"/>
    <w:tmpl w:val="3D8E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871884">
    <w:abstractNumId w:val="21"/>
  </w:num>
  <w:num w:numId="2" w16cid:durableId="2022659627">
    <w:abstractNumId w:val="9"/>
  </w:num>
  <w:num w:numId="3" w16cid:durableId="1573152403">
    <w:abstractNumId w:val="15"/>
  </w:num>
  <w:num w:numId="4" w16cid:durableId="1483081367">
    <w:abstractNumId w:val="4"/>
  </w:num>
  <w:num w:numId="5" w16cid:durableId="326830504">
    <w:abstractNumId w:val="5"/>
  </w:num>
  <w:num w:numId="6" w16cid:durableId="1374109757">
    <w:abstractNumId w:val="1"/>
  </w:num>
  <w:num w:numId="7" w16cid:durableId="84882687">
    <w:abstractNumId w:val="0"/>
  </w:num>
  <w:num w:numId="8" w16cid:durableId="6105281">
    <w:abstractNumId w:val="8"/>
  </w:num>
  <w:num w:numId="9" w16cid:durableId="862284817">
    <w:abstractNumId w:val="3"/>
  </w:num>
  <w:num w:numId="10" w16cid:durableId="1516915988">
    <w:abstractNumId w:val="12"/>
  </w:num>
  <w:num w:numId="11" w16cid:durableId="1496148199">
    <w:abstractNumId w:val="20"/>
  </w:num>
  <w:num w:numId="12" w16cid:durableId="749541858">
    <w:abstractNumId w:val="19"/>
  </w:num>
  <w:num w:numId="13" w16cid:durableId="286739920">
    <w:abstractNumId w:val="10"/>
  </w:num>
  <w:num w:numId="14" w16cid:durableId="1149788726">
    <w:abstractNumId w:val="2"/>
  </w:num>
  <w:num w:numId="15" w16cid:durableId="506678226">
    <w:abstractNumId w:val="16"/>
  </w:num>
  <w:num w:numId="16" w16cid:durableId="1183935520">
    <w:abstractNumId w:val="18"/>
  </w:num>
  <w:num w:numId="17" w16cid:durableId="1491020411">
    <w:abstractNumId w:val="11"/>
  </w:num>
  <w:num w:numId="18" w16cid:durableId="2119134578">
    <w:abstractNumId w:val="6"/>
  </w:num>
  <w:num w:numId="19" w16cid:durableId="632055873">
    <w:abstractNumId w:val="22"/>
  </w:num>
  <w:num w:numId="20" w16cid:durableId="167721270">
    <w:abstractNumId w:val="14"/>
  </w:num>
  <w:num w:numId="21" w16cid:durableId="83452979">
    <w:abstractNumId w:val="17"/>
  </w:num>
  <w:num w:numId="22" w16cid:durableId="779033896">
    <w:abstractNumId w:val="7"/>
  </w:num>
  <w:num w:numId="23" w16cid:durableId="2050033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23"/>
    <w:rsid w:val="00103DDE"/>
    <w:rsid w:val="00147752"/>
    <w:rsid w:val="001C5FDE"/>
    <w:rsid w:val="00602C56"/>
    <w:rsid w:val="00624169"/>
    <w:rsid w:val="006A5E46"/>
    <w:rsid w:val="00892A75"/>
    <w:rsid w:val="00B5568C"/>
    <w:rsid w:val="00B84223"/>
    <w:rsid w:val="00E23278"/>
    <w:rsid w:val="00E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8130"/>
  <w15:chartTrackingRefBased/>
  <w15:docId w15:val="{95A18D07-DA38-4B8E-AC2A-932B6609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Apnd-23: SSP CTE Industry Sectors and Career Pathways (CA Dept of Education)</vt:lpstr>
    </vt:vector>
  </TitlesOfParts>
  <Company>California Department of Education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Apnd-23: SSP CTE Sectors and Pathways (CA Dept of Education)</dc:title>
  <dc:subject>Specialized Secondary Programs (SSP) Career Technical Education (CTE) Industry Sectors and Career Pathways.</dc:subject>
  <dc:creator>Charlene Cowan</dc:creator>
  <cp:keywords/>
  <dc:description/>
  <cp:lastModifiedBy>Marc Shaffer</cp:lastModifiedBy>
  <cp:revision>5</cp:revision>
  <dcterms:created xsi:type="dcterms:W3CDTF">2023-03-29T23:22:00Z</dcterms:created>
  <dcterms:modified xsi:type="dcterms:W3CDTF">2023-04-03T23:12:00Z</dcterms:modified>
</cp:coreProperties>
</file>