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67B" w:rsidRPr="00FA5502" w:rsidRDefault="0079067B" w:rsidP="00FA5502">
      <w:pPr>
        <w:pStyle w:val="Heading1"/>
        <w:rPr>
          <w:rFonts w:eastAsia="Times New Roman"/>
          <w:sz w:val="28"/>
          <w:szCs w:val="24"/>
        </w:rPr>
      </w:pPr>
      <w:bookmarkStart w:id="0" w:name="_Toc458588927"/>
      <w:bookmarkStart w:id="1" w:name="_Toc482002984"/>
      <w:bookmarkStart w:id="2" w:name="_Toc488666745"/>
      <w:r w:rsidRPr="00FA5502">
        <w:rPr>
          <w:rFonts w:eastAsia="Times New Roman"/>
          <w:caps/>
          <w:sz w:val="28"/>
          <w:szCs w:val="24"/>
        </w:rPr>
        <w:t>A</w:t>
      </w:r>
      <w:r w:rsidRPr="00FA5502">
        <w:rPr>
          <w:rFonts w:eastAsia="Times New Roman"/>
          <w:sz w:val="28"/>
          <w:szCs w:val="24"/>
        </w:rPr>
        <w:t>ppendix</w:t>
      </w:r>
      <w:r w:rsidRPr="00FA5502">
        <w:rPr>
          <w:rFonts w:eastAsia="Times New Roman"/>
          <w:caps/>
          <w:sz w:val="28"/>
          <w:szCs w:val="24"/>
        </w:rPr>
        <w:t xml:space="preserve"> </w:t>
      </w:r>
      <w:r w:rsidR="002A1BA7" w:rsidRPr="00FA5502">
        <w:rPr>
          <w:rFonts w:eastAsia="Times New Roman"/>
          <w:caps/>
          <w:sz w:val="28"/>
          <w:szCs w:val="24"/>
        </w:rPr>
        <w:t>B</w:t>
      </w:r>
      <w:r w:rsidRPr="00FA5502">
        <w:rPr>
          <w:rFonts w:eastAsia="Times New Roman"/>
          <w:sz w:val="28"/>
          <w:szCs w:val="24"/>
        </w:rPr>
        <w:t xml:space="preserve">: </w:t>
      </w:r>
      <w:bookmarkEnd w:id="0"/>
      <w:bookmarkEnd w:id="1"/>
      <w:bookmarkEnd w:id="2"/>
      <w:r w:rsidR="007022B1" w:rsidRPr="00FA5502">
        <w:rPr>
          <w:rFonts w:eastAsia="Times New Roman"/>
          <w:sz w:val="28"/>
          <w:szCs w:val="24"/>
        </w:rPr>
        <w:t>Career Technical Education Industry Sectors and Career Pathways</w:t>
      </w:r>
    </w:p>
    <w:p w:rsidR="0079067B" w:rsidRDefault="0079067B" w:rsidP="0079067B">
      <w:pPr>
        <w:spacing w:after="0"/>
        <w:rPr>
          <w:rFonts w:eastAsia="Times New Roman" w:cs="Arial"/>
          <w:szCs w:val="24"/>
        </w:rPr>
      </w:pPr>
      <w:r w:rsidRPr="0079067B">
        <w:rPr>
          <w:rFonts w:eastAsia="Times New Roman" w:cs="Arial"/>
          <w:szCs w:val="24"/>
        </w:rPr>
        <w:t xml:space="preserve">The following list identifies the </w:t>
      </w:r>
      <w:r w:rsidR="00BA5DCD">
        <w:rPr>
          <w:rFonts w:eastAsia="Times New Roman" w:cs="Arial"/>
          <w:szCs w:val="24"/>
        </w:rPr>
        <w:t>Career Technical Education (</w:t>
      </w:r>
      <w:r w:rsidRPr="0079067B">
        <w:rPr>
          <w:rFonts w:eastAsia="Times New Roman" w:cs="Arial"/>
          <w:szCs w:val="24"/>
        </w:rPr>
        <w:t>CTE</w:t>
      </w:r>
      <w:r w:rsidR="00BA5DCD">
        <w:rPr>
          <w:rFonts w:eastAsia="Times New Roman" w:cs="Arial"/>
          <w:szCs w:val="24"/>
        </w:rPr>
        <w:t>) Industry Sectors</w:t>
      </w:r>
      <w:r w:rsidRPr="0079067B">
        <w:rPr>
          <w:rFonts w:eastAsia="Times New Roman" w:cs="Arial"/>
          <w:szCs w:val="24"/>
        </w:rPr>
        <w:t xml:space="preserve"> </w:t>
      </w:r>
      <w:r w:rsidR="00BA5DCD">
        <w:rPr>
          <w:rFonts w:eastAsia="Times New Roman" w:cs="Arial"/>
          <w:szCs w:val="24"/>
        </w:rPr>
        <w:t xml:space="preserve">and CTE Career </w:t>
      </w:r>
      <w:r w:rsidRPr="0079067B">
        <w:rPr>
          <w:rFonts w:eastAsia="Times New Roman" w:cs="Arial"/>
          <w:szCs w:val="24"/>
        </w:rPr>
        <w:t>Pathway</w:t>
      </w:r>
      <w:r w:rsidR="00BA5DCD">
        <w:rPr>
          <w:rFonts w:eastAsia="Times New Roman" w:cs="Arial"/>
          <w:szCs w:val="24"/>
        </w:rPr>
        <w:t>s</w:t>
      </w:r>
      <w:r w:rsidRPr="0079067B">
        <w:rPr>
          <w:rFonts w:eastAsia="Times New Roman" w:cs="Arial"/>
          <w:szCs w:val="24"/>
        </w:rPr>
        <w:t xml:space="preserve">. </w:t>
      </w:r>
      <w:r w:rsidR="00BA5DCD">
        <w:rPr>
          <w:rFonts w:eastAsia="Times New Roman" w:cs="Arial"/>
          <w:szCs w:val="24"/>
        </w:rPr>
        <w:t>The CTE Industry Sector abbreviations are provided in the parentheses following the name of the Industry Sector.</w:t>
      </w:r>
    </w:p>
    <w:p w:rsidR="0079067B" w:rsidRPr="0079067B" w:rsidRDefault="0079067B" w:rsidP="0079067B">
      <w:pPr>
        <w:spacing w:after="0"/>
        <w:rPr>
          <w:rFonts w:eastAsia="Times New Roman" w:cs="Arial"/>
          <w:szCs w:val="24"/>
        </w:rPr>
      </w:pPr>
    </w:p>
    <w:tbl>
      <w:tblPr>
        <w:tblStyle w:val="TableGrid"/>
        <w:tblW w:w="9355" w:type="dxa"/>
        <w:tblLook w:val="00A0" w:firstRow="1" w:lastRow="0" w:firstColumn="1" w:lastColumn="0" w:noHBand="0" w:noVBand="0"/>
        <w:tblDescription w:val="This table lists the Career Technical Education (CTE) Industry Sectors, Industry Sector abbreviations, and CTE Career Pathways."/>
      </w:tblPr>
      <w:tblGrid>
        <w:gridCol w:w="5063"/>
        <w:gridCol w:w="4292"/>
      </w:tblGrid>
      <w:tr w:rsidR="003D7128" w:rsidRPr="00F35207" w:rsidTr="001B1CE9">
        <w:trPr>
          <w:cantSplit/>
          <w:trHeight w:val="548"/>
          <w:tblHeader/>
        </w:trPr>
        <w:tc>
          <w:tcPr>
            <w:tcW w:w="5063" w:type="dxa"/>
            <w:vAlign w:val="center"/>
          </w:tcPr>
          <w:p w:rsidR="003D7128" w:rsidRPr="00F35207" w:rsidRDefault="003D7128" w:rsidP="001B1CE9">
            <w:pPr>
              <w:spacing w:after="0"/>
              <w:jc w:val="center"/>
              <w:rPr>
                <w:rFonts w:eastAsia="Times New Roman" w:cs="Arial"/>
                <w:b/>
                <w:szCs w:val="24"/>
              </w:rPr>
            </w:pPr>
            <w:bookmarkStart w:id="3" w:name="_Hlk71616966"/>
            <w:r w:rsidRPr="00F35207">
              <w:rPr>
                <w:rFonts w:eastAsia="Times New Roman" w:cs="Arial"/>
                <w:b/>
                <w:szCs w:val="24"/>
              </w:rPr>
              <w:t>CTE Industry Sector (Abbreviation)</w:t>
            </w:r>
          </w:p>
        </w:tc>
        <w:tc>
          <w:tcPr>
            <w:tcW w:w="4292" w:type="dxa"/>
            <w:vAlign w:val="center"/>
          </w:tcPr>
          <w:p w:rsidR="003D7128" w:rsidRPr="00F35207" w:rsidRDefault="003D7128" w:rsidP="001B1CE9">
            <w:pPr>
              <w:spacing w:after="0"/>
              <w:jc w:val="center"/>
              <w:rPr>
                <w:rFonts w:eastAsia="Times New Roman" w:cs="Arial"/>
                <w:b/>
                <w:szCs w:val="24"/>
              </w:rPr>
            </w:pPr>
            <w:r w:rsidRPr="00F35207">
              <w:rPr>
                <w:rFonts w:eastAsia="Times New Roman" w:cs="Arial"/>
                <w:b/>
                <w:szCs w:val="24"/>
              </w:rPr>
              <w:t>CTE Career Pathways</w:t>
            </w:r>
          </w:p>
        </w:tc>
      </w:tr>
      <w:bookmarkEnd w:id="3"/>
      <w:tr w:rsidR="0079067B" w:rsidRPr="00F35207" w:rsidTr="00B97788">
        <w:trPr>
          <w:cantSplit/>
          <w:trHeight w:val="2222"/>
        </w:trPr>
        <w:tc>
          <w:tcPr>
            <w:tcW w:w="5063" w:type="dxa"/>
          </w:tcPr>
          <w:p w:rsidR="0079067B" w:rsidRPr="00F35207" w:rsidRDefault="0079067B" w:rsidP="00412839">
            <w:pPr>
              <w:spacing w:after="0"/>
              <w:rPr>
                <w:rFonts w:eastAsia="Times New Roman" w:cs="Arial"/>
                <w:szCs w:val="24"/>
              </w:rPr>
            </w:pPr>
            <w:r w:rsidRPr="00F35207">
              <w:rPr>
                <w:rFonts w:eastAsia="Times New Roman" w:cs="Arial"/>
                <w:b/>
                <w:szCs w:val="24"/>
              </w:rPr>
              <w:t>Agric</w:t>
            </w:r>
            <w:bookmarkStart w:id="4" w:name="_GoBack"/>
            <w:bookmarkEnd w:id="4"/>
            <w:r w:rsidRPr="00F35207">
              <w:rPr>
                <w:rFonts w:eastAsia="Times New Roman" w:cs="Arial"/>
                <w:b/>
                <w:szCs w:val="24"/>
              </w:rPr>
              <w:t>ulture and Natural Resources (ANR)</w:t>
            </w:r>
          </w:p>
        </w:tc>
        <w:tc>
          <w:tcPr>
            <w:tcW w:w="4292" w:type="dxa"/>
          </w:tcPr>
          <w:p w:rsidR="00412839" w:rsidRPr="00F35207" w:rsidRDefault="00412839" w:rsidP="00412839">
            <w:pPr>
              <w:numPr>
                <w:ilvl w:val="0"/>
                <w:numId w:val="11"/>
              </w:numPr>
              <w:spacing w:after="0"/>
              <w:ind w:left="357"/>
              <w:contextualSpacing/>
              <w:rPr>
                <w:rFonts w:eastAsia="Times New Roman" w:cs="Arial"/>
                <w:szCs w:val="24"/>
              </w:rPr>
            </w:pPr>
            <w:r w:rsidRPr="00F35207">
              <w:rPr>
                <w:rFonts w:eastAsia="Times New Roman" w:cs="Arial"/>
                <w:szCs w:val="24"/>
              </w:rPr>
              <w:t>Agricultural Business</w:t>
            </w:r>
          </w:p>
          <w:p w:rsidR="00412839" w:rsidRPr="00F35207" w:rsidRDefault="00412839" w:rsidP="00412839">
            <w:pPr>
              <w:numPr>
                <w:ilvl w:val="0"/>
                <w:numId w:val="11"/>
              </w:numPr>
              <w:spacing w:after="0"/>
              <w:ind w:left="357"/>
              <w:contextualSpacing/>
              <w:rPr>
                <w:rFonts w:eastAsia="Times New Roman" w:cs="Arial"/>
                <w:szCs w:val="24"/>
              </w:rPr>
            </w:pPr>
            <w:r w:rsidRPr="00F35207">
              <w:rPr>
                <w:rFonts w:eastAsia="Times New Roman" w:cs="Arial"/>
                <w:szCs w:val="24"/>
              </w:rPr>
              <w:t>Agricultural Mechanics</w:t>
            </w:r>
          </w:p>
          <w:p w:rsidR="00412839" w:rsidRPr="00F35207" w:rsidRDefault="00412839" w:rsidP="00412839">
            <w:pPr>
              <w:numPr>
                <w:ilvl w:val="0"/>
                <w:numId w:val="11"/>
              </w:numPr>
              <w:spacing w:after="0"/>
              <w:ind w:left="357"/>
              <w:contextualSpacing/>
              <w:rPr>
                <w:rFonts w:eastAsia="Times New Roman" w:cs="Arial"/>
                <w:szCs w:val="24"/>
              </w:rPr>
            </w:pPr>
            <w:r w:rsidRPr="00F35207">
              <w:rPr>
                <w:rFonts w:eastAsia="Times New Roman" w:cs="Arial"/>
                <w:szCs w:val="24"/>
              </w:rPr>
              <w:t>Agriscience</w:t>
            </w:r>
          </w:p>
          <w:p w:rsidR="00412839" w:rsidRPr="00F35207" w:rsidRDefault="00412839" w:rsidP="00412839">
            <w:pPr>
              <w:numPr>
                <w:ilvl w:val="0"/>
                <w:numId w:val="11"/>
              </w:numPr>
              <w:spacing w:after="0"/>
              <w:ind w:left="357"/>
              <w:contextualSpacing/>
              <w:rPr>
                <w:rFonts w:eastAsia="Times New Roman" w:cs="Arial"/>
                <w:szCs w:val="24"/>
              </w:rPr>
            </w:pPr>
            <w:r w:rsidRPr="00F35207">
              <w:rPr>
                <w:rFonts w:eastAsia="Times New Roman" w:cs="Arial"/>
                <w:szCs w:val="24"/>
              </w:rPr>
              <w:t>Animal Science</w:t>
            </w:r>
          </w:p>
          <w:p w:rsidR="00412839" w:rsidRPr="00F35207" w:rsidRDefault="00412839" w:rsidP="00412839">
            <w:pPr>
              <w:numPr>
                <w:ilvl w:val="0"/>
                <w:numId w:val="11"/>
              </w:numPr>
              <w:spacing w:after="0"/>
              <w:ind w:left="357"/>
              <w:contextualSpacing/>
              <w:rPr>
                <w:rFonts w:eastAsia="Times New Roman" w:cs="Arial"/>
                <w:szCs w:val="24"/>
              </w:rPr>
            </w:pPr>
            <w:r w:rsidRPr="00F35207">
              <w:rPr>
                <w:rFonts w:eastAsia="Times New Roman" w:cs="Arial"/>
                <w:szCs w:val="24"/>
              </w:rPr>
              <w:t>Forestry and Natural Resources</w:t>
            </w:r>
          </w:p>
          <w:p w:rsidR="00412839" w:rsidRPr="00F35207" w:rsidRDefault="00412839" w:rsidP="00412839">
            <w:pPr>
              <w:numPr>
                <w:ilvl w:val="0"/>
                <w:numId w:val="11"/>
              </w:numPr>
              <w:spacing w:after="0"/>
              <w:ind w:left="357"/>
              <w:contextualSpacing/>
              <w:rPr>
                <w:rFonts w:eastAsia="Times New Roman" w:cs="Arial"/>
                <w:szCs w:val="24"/>
              </w:rPr>
            </w:pPr>
            <w:r w:rsidRPr="00F35207">
              <w:rPr>
                <w:rFonts w:eastAsia="Times New Roman" w:cs="Arial"/>
                <w:szCs w:val="24"/>
              </w:rPr>
              <w:t>Ornamental Horticulture</w:t>
            </w:r>
          </w:p>
          <w:p w:rsidR="0079067B" w:rsidRPr="00F35207" w:rsidRDefault="00412839" w:rsidP="00412839">
            <w:pPr>
              <w:numPr>
                <w:ilvl w:val="0"/>
                <w:numId w:val="11"/>
              </w:numPr>
              <w:spacing w:after="0"/>
              <w:ind w:left="357"/>
              <w:contextualSpacing/>
              <w:rPr>
                <w:rFonts w:eastAsia="Times New Roman" w:cs="Arial"/>
                <w:sz w:val="20"/>
                <w:szCs w:val="20"/>
              </w:rPr>
            </w:pPr>
            <w:r w:rsidRPr="00F35207">
              <w:rPr>
                <w:rFonts w:eastAsia="Times New Roman" w:cs="Arial"/>
                <w:szCs w:val="24"/>
              </w:rPr>
              <w:t>Plant and Soil Science</w:t>
            </w:r>
          </w:p>
        </w:tc>
      </w:tr>
      <w:tr w:rsidR="0079067B" w:rsidRPr="00F35207" w:rsidTr="00B97788">
        <w:trPr>
          <w:cantSplit/>
          <w:trHeight w:val="1229"/>
        </w:trPr>
        <w:tc>
          <w:tcPr>
            <w:tcW w:w="5063" w:type="dxa"/>
          </w:tcPr>
          <w:p w:rsidR="0079067B" w:rsidRPr="00A70408" w:rsidRDefault="0079067B" w:rsidP="00A70408">
            <w:pPr>
              <w:spacing w:after="0"/>
              <w:rPr>
                <w:rFonts w:eastAsia="Times New Roman" w:cs="Arial"/>
                <w:b/>
                <w:szCs w:val="24"/>
              </w:rPr>
            </w:pPr>
            <w:r w:rsidRPr="00A70408">
              <w:rPr>
                <w:rFonts w:eastAsia="Times New Roman" w:cs="Arial"/>
                <w:b/>
                <w:szCs w:val="24"/>
              </w:rPr>
              <w:t>Arts, Media, and Entertainment (AME)</w:t>
            </w:r>
          </w:p>
        </w:tc>
        <w:tc>
          <w:tcPr>
            <w:tcW w:w="4292" w:type="dxa"/>
          </w:tcPr>
          <w:p w:rsidR="00A70408" w:rsidRPr="00A70408" w:rsidRDefault="00A70408" w:rsidP="00A70408">
            <w:pPr>
              <w:numPr>
                <w:ilvl w:val="0"/>
                <w:numId w:val="11"/>
              </w:numPr>
              <w:spacing w:after="0"/>
              <w:ind w:left="357"/>
              <w:contextualSpacing/>
              <w:rPr>
                <w:rFonts w:eastAsia="Times New Roman" w:cs="Arial"/>
                <w:szCs w:val="24"/>
              </w:rPr>
            </w:pPr>
            <w:r w:rsidRPr="00A70408">
              <w:rPr>
                <w:rFonts w:eastAsia="Times New Roman" w:cs="Arial"/>
                <w:szCs w:val="24"/>
              </w:rPr>
              <w:t>Design, Visual, and Media Arts</w:t>
            </w:r>
          </w:p>
          <w:p w:rsidR="00A70408" w:rsidRPr="00A70408" w:rsidRDefault="00A70408" w:rsidP="00A70408">
            <w:pPr>
              <w:numPr>
                <w:ilvl w:val="0"/>
                <w:numId w:val="11"/>
              </w:numPr>
              <w:spacing w:after="0"/>
              <w:ind w:left="357"/>
              <w:contextualSpacing/>
              <w:rPr>
                <w:rFonts w:eastAsia="Times New Roman" w:cs="Arial"/>
                <w:szCs w:val="24"/>
              </w:rPr>
            </w:pPr>
            <w:r w:rsidRPr="00A70408">
              <w:rPr>
                <w:rFonts w:eastAsia="Times New Roman" w:cs="Arial"/>
                <w:szCs w:val="24"/>
              </w:rPr>
              <w:t>Performing Arts</w:t>
            </w:r>
          </w:p>
          <w:p w:rsidR="00A70408" w:rsidRPr="00A70408" w:rsidRDefault="00A70408" w:rsidP="00A70408">
            <w:pPr>
              <w:numPr>
                <w:ilvl w:val="0"/>
                <w:numId w:val="11"/>
              </w:numPr>
              <w:spacing w:after="0"/>
              <w:ind w:left="357"/>
              <w:contextualSpacing/>
              <w:rPr>
                <w:rFonts w:eastAsia="Times New Roman" w:cs="Arial"/>
                <w:szCs w:val="24"/>
              </w:rPr>
            </w:pPr>
            <w:r w:rsidRPr="00A70408">
              <w:rPr>
                <w:rFonts w:eastAsia="Times New Roman" w:cs="Arial"/>
                <w:szCs w:val="24"/>
              </w:rPr>
              <w:t>Production and Managerial Arts</w:t>
            </w:r>
          </w:p>
          <w:p w:rsidR="0079067B" w:rsidRPr="00782732" w:rsidRDefault="00A70408" w:rsidP="0079067B">
            <w:pPr>
              <w:numPr>
                <w:ilvl w:val="0"/>
                <w:numId w:val="11"/>
              </w:numPr>
              <w:spacing w:after="0"/>
              <w:ind w:left="357"/>
              <w:contextualSpacing/>
              <w:rPr>
                <w:rFonts w:eastAsia="Times New Roman" w:cs="Arial"/>
                <w:b/>
                <w:color w:val="2C80E0"/>
                <w:szCs w:val="24"/>
              </w:rPr>
            </w:pPr>
            <w:r>
              <w:rPr>
                <w:rFonts w:eastAsia="Times New Roman" w:cs="Arial"/>
                <w:szCs w:val="24"/>
              </w:rPr>
              <w:t>Game Design and Integration</w:t>
            </w:r>
          </w:p>
        </w:tc>
      </w:tr>
      <w:tr w:rsidR="0079067B" w:rsidRPr="00F35207" w:rsidTr="00B97788">
        <w:trPr>
          <w:cantSplit/>
          <w:trHeight w:val="1238"/>
        </w:trPr>
        <w:tc>
          <w:tcPr>
            <w:tcW w:w="5063" w:type="dxa"/>
          </w:tcPr>
          <w:p w:rsidR="0079067B" w:rsidRPr="00895C32" w:rsidRDefault="0079067B" w:rsidP="00895C32">
            <w:pPr>
              <w:spacing w:after="0"/>
              <w:rPr>
                <w:rFonts w:eastAsia="Times New Roman" w:cs="Arial"/>
                <w:b/>
                <w:color w:val="2C80E0"/>
                <w:szCs w:val="24"/>
              </w:rPr>
            </w:pPr>
            <w:r w:rsidRPr="00895C32">
              <w:rPr>
                <w:rFonts w:eastAsia="Times New Roman" w:cs="Arial"/>
                <w:b/>
                <w:szCs w:val="24"/>
              </w:rPr>
              <w:t>Building and Construction Trades (BCT)</w:t>
            </w:r>
            <w:r w:rsidR="00895C32" w:rsidRPr="00895C32">
              <w:rPr>
                <w:rFonts w:eastAsia="Times New Roman" w:cs="Arial"/>
                <w:b/>
                <w:color w:val="2C80E0"/>
                <w:szCs w:val="24"/>
              </w:rPr>
              <w:t xml:space="preserve"> </w:t>
            </w:r>
          </w:p>
        </w:tc>
        <w:tc>
          <w:tcPr>
            <w:tcW w:w="4292" w:type="dxa"/>
          </w:tcPr>
          <w:p w:rsidR="00895C32" w:rsidRPr="00895C32" w:rsidRDefault="00895C32" w:rsidP="00895C32">
            <w:pPr>
              <w:numPr>
                <w:ilvl w:val="0"/>
                <w:numId w:val="11"/>
              </w:numPr>
              <w:spacing w:after="0"/>
              <w:ind w:left="357"/>
              <w:contextualSpacing/>
              <w:rPr>
                <w:rFonts w:eastAsia="Times New Roman" w:cs="Arial"/>
                <w:szCs w:val="24"/>
              </w:rPr>
            </w:pPr>
            <w:r w:rsidRPr="00895C32">
              <w:rPr>
                <w:rFonts w:eastAsia="Times New Roman" w:cs="Arial"/>
                <w:szCs w:val="24"/>
              </w:rPr>
              <w:t>Cabinetry, Millwork, and Woodworking</w:t>
            </w:r>
          </w:p>
          <w:p w:rsidR="00895C32" w:rsidRPr="00895C32" w:rsidRDefault="00895C32" w:rsidP="00895C32">
            <w:pPr>
              <w:numPr>
                <w:ilvl w:val="0"/>
                <w:numId w:val="11"/>
              </w:numPr>
              <w:spacing w:after="0"/>
              <w:ind w:left="357"/>
              <w:contextualSpacing/>
              <w:rPr>
                <w:rFonts w:eastAsia="Times New Roman" w:cs="Arial"/>
                <w:szCs w:val="24"/>
              </w:rPr>
            </w:pPr>
            <w:r w:rsidRPr="00895C32">
              <w:rPr>
                <w:rFonts w:eastAsia="Times New Roman" w:cs="Arial"/>
                <w:szCs w:val="24"/>
              </w:rPr>
              <w:t>Engineering and Heavy Construction</w:t>
            </w:r>
          </w:p>
          <w:p w:rsidR="00895C32" w:rsidRPr="00895C32" w:rsidRDefault="00895C32" w:rsidP="00895C32">
            <w:pPr>
              <w:numPr>
                <w:ilvl w:val="0"/>
                <w:numId w:val="11"/>
              </w:numPr>
              <w:spacing w:after="0"/>
              <w:ind w:left="357"/>
              <w:contextualSpacing/>
              <w:rPr>
                <w:rFonts w:eastAsia="Times New Roman" w:cs="Arial"/>
                <w:szCs w:val="24"/>
              </w:rPr>
            </w:pPr>
            <w:r w:rsidRPr="00895C32">
              <w:rPr>
                <w:rFonts w:eastAsia="Times New Roman" w:cs="Arial"/>
                <w:szCs w:val="24"/>
              </w:rPr>
              <w:t>Mechanical Systems Installation and Repair</w:t>
            </w:r>
          </w:p>
          <w:p w:rsidR="0079067B" w:rsidRPr="00895C32" w:rsidRDefault="00895C32" w:rsidP="0079067B">
            <w:pPr>
              <w:numPr>
                <w:ilvl w:val="0"/>
                <w:numId w:val="11"/>
              </w:numPr>
              <w:spacing w:after="0"/>
              <w:ind w:left="357"/>
              <w:contextualSpacing/>
              <w:rPr>
                <w:rFonts w:eastAsia="Times New Roman" w:cs="Arial"/>
                <w:b/>
                <w:color w:val="2C80E0"/>
                <w:sz w:val="20"/>
                <w:szCs w:val="20"/>
              </w:rPr>
            </w:pPr>
            <w:r w:rsidRPr="00895C32">
              <w:rPr>
                <w:rFonts w:eastAsia="Times New Roman" w:cs="Arial"/>
                <w:szCs w:val="24"/>
              </w:rPr>
              <w:t>Residential and Commercial Construction</w:t>
            </w:r>
            <w:r w:rsidRPr="00F35207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</w:tc>
      </w:tr>
      <w:tr w:rsidR="0079067B" w:rsidRPr="00F35207" w:rsidTr="00B97788">
        <w:trPr>
          <w:cantSplit/>
          <w:trHeight w:val="1340"/>
        </w:trPr>
        <w:tc>
          <w:tcPr>
            <w:tcW w:w="5063" w:type="dxa"/>
          </w:tcPr>
          <w:p w:rsidR="0079067B" w:rsidRPr="00AE141F" w:rsidRDefault="0079067B" w:rsidP="00895C32">
            <w:pPr>
              <w:spacing w:after="0"/>
              <w:rPr>
                <w:rFonts w:eastAsia="Times New Roman" w:cs="Arial"/>
                <w:szCs w:val="24"/>
              </w:rPr>
            </w:pPr>
            <w:r w:rsidRPr="00AE141F">
              <w:rPr>
                <w:rFonts w:eastAsia="Times New Roman" w:cs="Arial"/>
                <w:b/>
                <w:szCs w:val="24"/>
              </w:rPr>
              <w:t>Business and Finance (BF)</w:t>
            </w:r>
          </w:p>
        </w:tc>
        <w:tc>
          <w:tcPr>
            <w:tcW w:w="4292" w:type="dxa"/>
          </w:tcPr>
          <w:p w:rsidR="00895C32" w:rsidRPr="00895C32" w:rsidRDefault="00895C32" w:rsidP="00AE141F">
            <w:pPr>
              <w:numPr>
                <w:ilvl w:val="0"/>
                <w:numId w:val="11"/>
              </w:numPr>
              <w:spacing w:after="0"/>
              <w:ind w:left="360"/>
              <w:contextualSpacing/>
              <w:rPr>
                <w:rFonts w:eastAsia="Times New Roman" w:cs="Arial"/>
                <w:szCs w:val="24"/>
              </w:rPr>
            </w:pPr>
            <w:r w:rsidRPr="00895C32">
              <w:rPr>
                <w:rFonts w:eastAsia="Times New Roman" w:cs="Arial"/>
                <w:szCs w:val="24"/>
              </w:rPr>
              <w:t>Business Management</w:t>
            </w:r>
          </w:p>
          <w:p w:rsidR="00895C32" w:rsidRPr="00895C32" w:rsidRDefault="00895C32" w:rsidP="00895C32">
            <w:pPr>
              <w:numPr>
                <w:ilvl w:val="0"/>
                <w:numId w:val="11"/>
              </w:numPr>
              <w:spacing w:after="0"/>
              <w:ind w:left="357"/>
              <w:contextualSpacing/>
              <w:rPr>
                <w:rFonts w:eastAsia="Times New Roman" w:cs="Arial"/>
                <w:szCs w:val="24"/>
              </w:rPr>
            </w:pPr>
            <w:r w:rsidRPr="00895C32">
              <w:rPr>
                <w:rFonts w:eastAsia="Times New Roman" w:cs="Arial"/>
                <w:szCs w:val="24"/>
              </w:rPr>
              <w:t>Financial Services</w:t>
            </w:r>
          </w:p>
          <w:p w:rsidR="0079067B" w:rsidRPr="00895C32" w:rsidRDefault="00AE141F" w:rsidP="00CB0FA1">
            <w:pPr>
              <w:numPr>
                <w:ilvl w:val="0"/>
                <w:numId w:val="11"/>
              </w:numPr>
              <w:spacing w:after="0"/>
              <w:ind w:left="360"/>
              <w:contextualSpacing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International Business</w:t>
            </w:r>
          </w:p>
        </w:tc>
      </w:tr>
      <w:tr w:rsidR="0079067B" w:rsidRPr="00F35207" w:rsidTr="00B97788">
        <w:trPr>
          <w:cantSplit/>
          <w:trHeight w:val="1256"/>
        </w:trPr>
        <w:tc>
          <w:tcPr>
            <w:tcW w:w="5063" w:type="dxa"/>
          </w:tcPr>
          <w:p w:rsidR="0079067B" w:rsidRPr="00AE141F" w:rsidRDefault="0079067B" w:rsidP="00AE141F">
            <w:pPr>
              <w:spacing w:after="0"/>
              <w:rPr>
                <w:rFonts w:eastAsia="Times New Roman" w:cs="Arial"/>
                <w:b/>
                <w:color w:val="2C80E0"/>
                <w:szCs w:val="24"/>
              </w:rPr>
            </w:pPr>
            <w:r w:rsidRPr="00AE141F">
              <w:rPr>
                <w:rFonts w:eastAsia="Times New Roman" w:cs="Arial"/>
                <w:b/>
                <w:szCs w:val="24"/>
              </w:rPr>
              <w:t>Education, Child Development, and Family Services (ECDFS)</w:t>
            </w:r>
            <w:r w:rsidRPr="00AE141F">
              <w:rPr>
                <w:rFonts w:eastAsia="Times New Roman" w:cs="Arial"/>
                <w:szCs w:val="24"/>
              </w:rPr>
              <w:t xml:space="preserve"> </w:t>
            </w:r>
          </w:p>
        </w:tc>
        <w:tc>
          <w:tcPr>
            <w:tcW w:w="4292" w:type="dxa"/>
          </w:tcPr>
          <w:p w:rsidR="00AE141F" w:rsidRPr="00AE141F" w:rsidRDefault="00AE141F" w:rsidP="00AE141F">
            <w:pPr>
              <w:numPr>
                <w:ilvl w:val="0"/>
                <w:numId w:val="11"/>
              </w:numPr>
              <w:spacing w:after="0"/>
              <w:ind w:left="357"/>
              <w:contextualSpacing/>
              <w:rPr>
                <w:rFonts w:eastAsia="Times New Roman" w:cs="Arial"/>
                <w:szCs w:val="24"/>
              </w:rPr>
            </w:pPr>
            <w:r w:rsidRPr="00AE141F">
              <w:rPr>
                <w:rFonts w:eastAsia="Times New Roman" w:cs="Arial"/>
                <w:szCs w:val="24"/>
              </w:rPr>
              <w:t>Child Development</w:t>
            </w:r>
          </w:p>
          <w:p w:rsidR="00AE141F" w:rsidRPr="00AE141F" w:rsidRDefault="00AE141F" w:rsidP="00AE141F">
            <w:pPr>
              <w:numPr>
                <w:ilvl w:val="0"/>
                <w:numId w:val="11"/>
              </w:numPr>
              <w:spacing w:after="0"/>
              <w:ind w:left="357"/>
              <w:contextualSpacing/>
              <w:rPr>
                <w:rFonts w:eastAsia="Times New Roman" w:cs="Arial"/>
                <w:szCs w:val="24"/>
              </w:rPr>
            </w:pPr>
            <w:r w:rsidRPr="00AE141F">
              <w:rPr>
                <w:rFonts w:eastAsia="Times New Roman" w:cs="Arial"/>
                <w:szCs w:val="24"/>
              </w:rPr>
              <w:t>Consumer Services</w:t>
            </w:r>
          </w:p>
          <w:p w:rsidR="00AE141F" w:rsidRPr="00AE141F" w:rsidRDefault="00AE141F" w:rsidP="00AE141F">
            <w:pPr>
              <w:numPr>
                <w:ilvl w:val="0"/>
                <w:numId w:val="11"/>
              </w:numPr>
              <w:spacing w:after="0"/>
              <w:ind w:left="357"/>
              <w:contextualSpacing/>
              <w:rPr>
                <w:rFonts w:eastAsia="Times New Roman" w:cs="Arial"/>
                <w:szCs w:val="24"/>
              </w:rPr>
            </w:pPr>
            <w:r w:rsidRPr="00AE141F">
              <w:rPr>
                <w:rFonts w:eastAsia="Times New Roman" w:cs="Arial"/>
                <w:szCs w:val="24"/>
              </w:rPr>
              <w:t>Education</w:t>
            </w:r>
          </w:p>
          <w:p w:rsidR="0079067B" w:rsidRPr="00AE141F" w:rsidRDefault="00AE141F" w:rsidP="0079067B">
            <w:pPr>
              <w:numPr>
                <w:ilvl w:val="0"/>
                <w:numId w:val="11"/>
              </w:numPr>
              <w:spacing w:after="0"/>
              <w:ind w:left="357"/>
              <w:contextualSpacing/>
              <w:rPr>
                <w:rFonts w:eastAsia="Times New Roman" w:cs="Arial"/>
                <w:b/>
                <w:color w:val="2C80E0"/>
                <w:szCs w:val="24"/>
              </w:rPr>
            </w:pPr>
            <w:r w:rsidRPr="00AE141F">
              <w:rPr>
                <w:rFonts w:eastAsia="Times New Roman" w:cs="Arial"/>
                <w:szCs w:val="24"/>
              </w:rPr>
              <w:t>Family and Human Services</w:t>
            </w:r>
          </w:p>
        </w:tc>
      </w:tr>
      <w:tr w:rsidR="0079067B" w:rsidRPr="00F35207" w:rsidTr="00B97788">
        <w:trPr>
          <w:cantSplit/>
          <w:trHeight w:val="1256"/>
        </w:trPr>
        <w:tc>
          <w:tcPr>
            <w:tcW w:w="5063" w:type="dxa"/>
          </w:tcPr>
          <w:p w:rsidR="0079067B" w:rsidRPr="00CB0FA1" w:rsidRDefault="0079067B" w:rsidP="00CB0FA1">
            <w:pPr>
              <w:spacing w:after="0"/>
              <w:rPr>
                <w:rFonts w:eastAsia="Times New Roman" w:cs="Arial"/>
                <w:b/>
                <w:szCs w:val="24"/>
              </w:rPr>
            </w:pPr>
            <w:r w:rsidRPr="00CB0FA1">
              <w:rPr>
                <w:rFonts w:eastAsia="Times New Roman" w:cs="Arial"/>
                <w:b/>
                <w:szCs w:val="24"/>
              </w:rPr>
              <w:t>Energy, Environment, and Utilities (EEU)</w:t>
            </w:r>
          </w:p>
        </w:tc>
        <w:tc>
          <w:tcPr>
            <w:tcW w:w="4292" w:type="dxa"/>
          </w:tcPr>
          <w:p w:rsidR="00CB0FA1" w:rsidRPr="00B705AB" w:rsidRDefault="00CB0FA1" w:rsidP="00CB0FA1">
            <w:pPr>
              <w:numPr>
                <w:ilvl w:val="0"/>
                <w:numId w:val="11"/>
              </w:numPr>
              <w:spacing w:after="0"/>
              <w:ind w:left="357"/>
              <w:contextualSpacing/>
              <w:rPr>
                <w:rFonts w:eastAsia="Times New Roman" w:cs="Arial"/>
                <w:szCs w:val="24"/>
              </w:rPr>
            </w:pPr>
            <w:r w:rsidRPr="00B705AB">
              <w:rPr>
                <w:rFonts w:eastAsia="Times New Roman" w:cs="Arial"/>
                <w:szCs w:val="24"/>
              </w:rPr>
              <w:t>Environmental Resources</w:t>
            </w:r>
          </w:p>
          <w:p w:rsidR="00CB0FA1" w:rsidRPr="00B705AB" w:rsidRDefault="00CB0FA1" w:rsidP="00CB0FA1">
            <w:pPr>
              <w:numPr>
                <w:ilvl w:val="0"/>
                <w:numId w:val="11"/>
              </w:numPr>
              <w:spacing w:after="0"/>
              <w:ind w:left="357"/>
              <w:contextualSpacing/>
              <w:rPr>
                <w:rFonts w:eastAsia="Times New Roman" w:cs="Arial"/>
                <w:szCs w:val="24"/>
              </w:rPr>
            </w:pPr>
            <w:r w:rsidRPr="00B705AB">
              <w:rPr>
                <w:rFonts w:eastAsia="Times New Roman" w:cs="Arial"/>
                <w:szCs w:val="24"/>
              </w:rPr>
              <w:t>Energy and Power Technology</w:t>
            </w:r>
          </w:p>
          <w:p w:rsidR="0079067B" w:rsidRPr="00895C32" w:rsidRDefault="00CB0FA1" w:rsidP="00CB0FA1">
            <w:pPr>
              <w:numPr>
                <w:ilvl w:val="0"/>
                <w:numId w:val="11"/>
              </w:numPr>
              <w:spacing w:after="0"/>
              <w:ind w:left="357"/>
              <w:contextualSpacing/>
              <w:rPr>
                <w:rFonts w:eastAsia="Times New Roman" w:cs="Arial"/>
                <w:szCs w:val="24"/>
              </w:rPr>
            </w:pPr>
            <w:r w:rsidRPr="00B705AB">
              <w:rPr>
                <w:rFonts w:eastAsia="Times New Roman" w:cs="Arial"/>
                <w:szCs w:val="24"/>
              </w:rPr>
              <w:t>Telecommunications</w:t>
            </w:r>
          </w:p>
        </w:tc>
      </w:tr>
      <w:tr w:rsidR="0079067B" w:rsidRPr="00F35207" w:rsidTr="00B97788">
        <w:trPr>
          <w:cantSplit/>
          <w:trHeight w:val="1250"/>
        </w:trPr>
        <w:tc>
          <w:tcPr>
            <w:tcW w:w="5063" w:type="dxa"/>
          </w:tcPr>
          <w:p w:rsidR="0079067B" w:rsidRPr="00AE141F" w:rsidRDefault="0079067B" w:rsidP="00B705AB">
            <w:pPr>
              <w:spacing w:after="0"/>
              <w:rPr>
                <w:rFonts w:eastAsia="Times New Roman" w:cs="Arial"/>
                <w:b/>
                <w:szCs w:val="24"/>
                <w:u w:val="single"/>
              </w:rPr>
            </w:pPr>
            <w:r w:rsidRPr="00AE141F">
              <w:rPr>
                <w:rFonts w:eastAsia="Times New Roman" w:cs="Arial"/>
                <w:b/>
                <w:szCs w:val="24"/>
              </w:rPr>
              <w:t>Engineering and Architecture (EA)</w:t>
            </w:r>
          </w:p>
        </w:tc>
        <w:tc>
          <w:tcPr>
            <w:tcW w:w="4292" w:type="dxa"/>
          </w:tcPr>
          <w:p w:rsidR="00B705AB" w:rsidRPr="00AE141F" w:rsidRDefault="00B705AB" w:rsidP="00B705AB">
            <w:pPr>
              <w:numPr>
                <w:ilvl w:val="0"/>
                <w:numId w:val="11"/>
              </w:numPr>
              <w:spacing w:after="0"/>
              <w:ind w:left="357"/>
              <w:contextualSpacing/>
              <w:rPr>
                <w:rFonts w:eastAsia="Times New Roman" w:cs="Arial"/>
                <w:szCs w:val="24"/>
              </w:rPr>
            </w:pPr>
            <w:r w:rsidRPr="00AE141F">
              <w:rPr>
                <w:rFonts w:eastAsia="Times New Roman" w:cs="Arial"/>
                <w:szCs w:val="24"/>
              </w:rPr>
              <w:t>Architectural Design</w:t>
            </w:r>
          </w:p>
          <w:p w:rsidR="00B705AB" w:rsidRPr="00AE141F" w:rsidRDefault="00B705AB" w:rsidP="00B705AB">
            <w:pPr>
              <w:numPr>
                <w:ilvl w:val="0"/>
                <w:numId w:val="11"/>
              </w:numPr>
              <w:spacing w:after="0"/>
              <w:ind w:left="357"/>
              <w:contextualSpacing/>
              <w:rPr>
                <w:rFonts w:eastAsia="Times New Roman" w:cs="Arial"/>
                <w:szCs w:val="24"/>
              </w:rPr>
            </w:pPr>
            <w:r w:rsidRPr="00AE141F">
              <w:rPr>
                <w:rFonts w:eastAsia="Times New Roman" w:cs="Arial"/>
                <w:szCs w:val="24"/>
              </w:rPr>
              <w:t>Engineering Technology</w:t>
            </w:r>
          </w:p>
          <w:p w:rsidR="00B705AB" w:rsidRPr="00AE141F" w:rsidRDefault="00B705AB" w:rsidP="00B705AB">
            <w:pPr>
              <w:numPr>
                <w:ilvl w:val="0"/>
                <w:numId w:val="11"/>
              </w:numPr>
              <w:spacing w:after="0"/>
              <w:ind w:left="357"/>
              <w:contextualSpacing/>
              <w:rPr>
                <w:rFonts w:eastAsia="Times New Roman" w:cs="Arial"/>
                <w:szCs w:val="24"/>
              </w:rPr>
            </w:pPr>
            <w:r w:rsidRPr="00AE141F">
              <w:rPr>
                <w:rFonts w:eastAsia="Times New Roman" w:cs="Arial"/>
                <w:szCs w:val="24"/>
              </w:rPr>
              <w:t>Engineering Design</w:t>
            </w:r>
          </w:p>
          <w:p w:rsidR="0079067B" w:rsidRPr="00003D44" w:rsidRDefault="00003D44" w:rsidP="0079067B">
            <w:pPr>
              <w:numPr>
                <w:ilvl w:val="0"/>
                <w:numId w:val="11"/>
              </w:numPr>
              <w:spacing w:after="0"/>
              <w:ind w:left="357"/>
              <w:contextualSpacing/>
              <w:rPr>
                <w:rFonts w:eastAsia="Times New Roman" w:cs="Arial"/>
                <w:b/>
                <w:szCs w:val="24"/>
                <w:u w:val="single"/>
              </w:rPr>
            </w:pPr>
            <w:r>
              <w:rPr>
                <w:rFonts w:eastAsia="Times New Roman" w:cs="Arial"/>
                <w:szCs w:val="24"/>
              </w:rPr>
              <w:t>Environmental Engineering</w:t>
            </w:r>
          </w:p>
        </w:tc>
      </w:tr>
      <w:tr w:rsidR="0079067B" w:rsidRPr="00F35207" w:rsidTr="00B97788">
        <w:trPr>
          <w:cantSplit/>
          <w:trHeight w:val="1133"/>
        </w:trPr>
        <w:tc>
          <w:tcPr>
            <w:tcW w:w="5063" w:type="dxa"/>
          </w:tcPr>
          <w:p w:rsidR="0079067B" w:rsidRPr="000B5CC1" w:rsidRDefault="0079067B" w:rsidP="000B5CC1">
            <w:pPr>
              <w:spacing w:after="0"/>
              <w:rPr>
                <w:rFonts w:eastAsia="Times New Roman" w:cs="Arial"/>
                <w:szCs w:val="24"/>
              </w:rPr>
            </w:pPr>
            <w:r w:rsidRPr="00AE141F">
              <w:rPr>
                <w:rFonts w:eastAsia="Times New Roman" w:cs="Arial"/>
                <w:b/>
                <w:szCs w:val="24"/>
              </w:rPr>
              <w:lastRenderedPageBreak/>
              <w:t>Fashion and Interior Design (FID)</w:t>
            </w:r>
          </w:p>
        </w:tc>
        <w:tc>
          <w:tcPr>
            <w:tcW w:w="4292" w:type="dxa"/>
          </w:tcPr>
          <w:p w:rsidR="000B5CC1" w:rsidRPr="00AE141F" w:rsidRDefault="00BC0554" w:rsidP="000B5CC1">
            <w:pPr>
              <w:numPr>
                <w:ilvl w:val="0"/>
                <w:numId w:val="11"/>
              </w:numPr>
              <w:spacing w:after="0"/>
              <w:ind w:left="357"/>
              <w:contextualSpacing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 xml:space="preserve">Fashion Design and </w:t>
            </w:r>
            <w:r w:rsidR="000B5CC1" w:rsidRPr="00AE141F">
              <w:rPr>
                <w:rFonts w:eastAsia="Times New Roman" w:cs="Arial"/>
                <w:szCs w:val="24"/>
              </w:rPr>
              <w:t>Merchandising</w:t>
            </w:r>
          </w:p>
          <w:p w:rsidR="000B5CC1" w:rsidRPr="00AE141F" w:rsidRDefault="000B5CC1" w:rsidP="000B5CC1">
            <w:pPr>
              <w:numPr>
                <w:ilvl w:val="0"/>
                <w:numId w:val="11"/>
              </w:numPr>
              <w:spacing w:after="0"/>
              <w:ind w:left="357"/>
              <w:contextualSpacing/>
              <w:rPr>
                <w:rFonts w:eastAsia="Times New Roman" w:cs="Arial"/>
                <w:szCs w:val="24"/>
              </w:rPr>
            </w:pPr>
            <w:r w:rsidRPr="00AE141F">
              <w:rPr>
                <w:rFonts w:eastAsia="Times New Roman" w:cs="Arial"/>
                <w:szCs w:val="24"/>
              </w:rPr>
              <w:t>Interior Design</w:t>
            </w:r>
          </w:p>
          <w:p w:rsidR="0079067B" w:rsidRPr="00AE141F" w:rsidRDefault="00BC0554" w:rsidP="000B5CC1">
            <w:pPr>
              <w:numPr>
                <w:ilvl w:val="0"/>
                <w:numId w:val="11"/>
              </w:numPr>
              <w:spacing w:after="0"/>
              <w:ind w:left="357"/>
              <w:contextualSpacing/>
              <w:rPr>
                <w:rFonts w:eastAsia="Times New Roman" w:cs="Arial"/>
                <w:color w:val="2C80E0"/>
                <w:szCs w:val="24"/>
              </w:rPr>
            </w:pPr>
            <w:r>
              <w:rPr>
                <w:rFonts w:eastAsia="Times New Roman" w:cs="Arial"/>
                <w:szCs w:val="24"/>
              </w:rPr>
              <w:t>Personal Services</w:t>
            </w:r>
          </w:p>
        </w:tc>
      </w:tr>
      <w:tr w:rsidR="0079067B" w:rsidRPr="00F35207" w:rsidTr="00B97788">
        <w:trPr>
          <w:cantSplit/>
          <w:trHeight w:val="1148"/>
        </w:trPr>
        <w:tc>
          <w:tcPr>
            <w:tcW w:w="5063" w:type="dxa"/>
          </w:tcPr>
          <w:p w:rsidR="0079067B" w:rsidRPr="00AE141F" w:rsidRDefault="0079067B" w:rsidP="00BC0554">
            <w:pPr>
              <w:spacing w:after="0"/>
              <w:rPr>
                <w:rFonts w:eastAsia="Times New Roman" w:cs="Arial"/>
                <w:b/>
                <w:szCs w:val="24"/>
              </w:rPr>
            </w:pPr>
            <w:r w:rsidRPr="00AE141F">
              <w:rPr>
                <w:rFonts w:eastAsia="Times New Roman" w:cs="Arial"/>
                <w:b/>
                <w:szCs w:val="24"/>
              </w:rPr>
              <w:t>Health Science and Medical Technology (HSMT)</w:t>
            </w:r>
          </w:p>
        </w:tc>
        <w:tc>
          <w:tcPr>
            <w:tcW w:w="4292" w:type="dxa"/>
          </w:tcPr>
          <w:p w:rsidR="00BC0554" w:rsidRPr="00AE141F" w:rsidRDefault="00BC0554" w:rsidP="00BC0554">
            <w:pPr>
              <w:numPr>
                <w:ilvl w:val="0"/>
                <w:numId w:val="11"/>
              </w:numPr>
              <w:spacing w:after="0"/>
              <w:ind w:left="357"/>
              <w:contextualSpacing/>
              <w:rPr>
                <w:rFonts w:eastAsia="Times New Roman" w:cs="Arial"/>
                <w:szCs w:val="24"/>
              </w:rPr>
            </w:pPr>
            <w:r w:rsidRPr="00AE141F">
              <w:rPr>
                <w:rFonts w:eastAsia="Times New Roman" w:cs="Arial"/>
                <w:szCs w:val="24"/>
              </w:rPr>
              <w:t>Biotechnology</w:t>
            </w:r>
          </w:p>
          <w:p w:rsidR="00BC0554" w:rsidRPr="00AE141F" w:rsidRDefault="00BC0554" w:rsidP="00BC0554">
            <w:pPr>
              <w:numPr>
                <w:ilvl w:val="0"/>
                <w:numId w:val="11"/>
              </w:numPr>
              <w:spacing w:after="0"/>
              <w:ind w:left="357"/>
              <w:contextualSpacing/>
              <w:rPr>
                <w:rFonts w:eastAsia="Times New Roman" w:cs="Arial"/>
                <w:szCs w:val="24"/>
              </w:rPr>
            </w:pPr>
            <w:r w:rsidRPr="00AE141F">
              <w:rPr>
                <w:rFonts w:eastAsia="Times New Roman" w:cs="Arial"/>
                <w:szCs w:val="24"/>
              </w:rPr>
              <w:t>Patient Care</w:t>
            </w:r>
          </w:p>
          <w:p w:rsidR="00BC0554" w:rsidRPr="00AE141F" w:rsidRDefault="00BC0554" w:rsidP="00BC0554">
            <w:pPr>
              <w:numPr>
                <w:ilvl w:val="0"/>
                <w:numId w:val="11"/>
              </w:numPr>
              <w:spacing w:after="0"/>
              <w:ind w:left="357"/>
              <w:contextualSpacing/>
              <w:rPr>
                <w:rFonts w:eastAsia="Times New Roman" w:cs="Arial"/>
                <w:szCs w:val="24"/>
              </w:rPr>
            </w:pPr>
            <w:r w:rsidRPr="00AE141F">
              <w:rPr>
                <w:rFonts w:eastAsia="Times New Roman" w:cs="Arial"/>
                <w:szCs w:val="24"/>
              </w:rPr>
              <w:t>Health Care Administrative Services</w:t>
            </w:r>
          </w:p>
          <w:p w:rsidR="00BC0554" w:rsidRPr="00AE141F" w:rsidRDefault="00BC0554" w:rsidP="00BC0554">
            <w:pPr>
              <w:numPr>
                <w:ilvl w:val="0"/>
                <w:numId w:val="11"/>
              </w:numPr>
              <w:spacing w:after="0"/>
              <w:ind w:left="357"/>
              <w:contextualSpacing/>
              <w:rPr>
                <w:rFonts w:eastAsia="Times New Roman" w:cs="Arial"/>
                <w:szCs w:val="24"/>
              </w:rPr>
            </w:pPr>
            <w:r w:rsidRPr="00AE141F">
              <w:rPr>
                <w:rFonts w:eastAsia="Times New Roman" w:cs="Arial"/>
                <w:szCs w:val="24"/>
              </w:rPr>
              <w:t>Health Care Operational Support Services</w:t>
            </w:r>
          </w:p>
          <w:p w:rsidR="00BC0554" w:rsidRPr="00AE141F" w:rsidRDefault="00BC0554" w:rsidP="00BC0554">
            <w:pPr>
              <w:numPr>
                <w:ilvl w:val="0"/>
                <w:numId w:val="11"/>
              </w:numPr>
              <w:spacing w:after="0"/>
              <w:ind w:left="357"/>
              <w:contextualSpacing/>
              <w:rPr>
                <w:rFonts w:eastAsia="Times New Roman" w:cs="Arial"/>
                <w:b/>
                <w:szCs w:val="24"/>
              </w:rPr>
            </w:pPr>
            <w:r w:rsidRPr="00AE141F">
              <w:rPr>
                <w:rFonts w:eastAsia="Times New Roman" w:cs="Arial"/>
                <w:szCs w:val="24"/>
              </w:rPr>
              <w:t>Public and Community Health</w:t>
            </w:r>
          </w:p>
          <w:p w:rsidR="0079067B" w:rsidRPr="00BC0554" w:rsidRDefault="00BC0554" w:rsidP="0079067B">
            <w:pPr>
              <w:numPr>
                <w:ilvl w:val="0"/>
                <w:numId w:val="11"/>
              </w:numPr>
              <w:spacing w:after="0"/>
              <w:ind w:left="357"/>
              <w:contextualSpacing/>
              <w:rPr>
                <w:rFonts w:eastAsia="Times New Roman" w:cs="Arial"/>
                <w:b/>
                <w:szCs w:val="24"/>
              </w:rPr>
            </w:pPr>
            <w:r>
              <w:rPr>
                <w:rFonts w:eastAsia="Times New Roman" w:cs="Arial"/>
                <w:szCs w:val="24"/>
              </w:rPr>
              <w:t>Mental and Behavioral Health</w:t>
            </w:r>
          </w:p>
        </w:tc>
      </w:tr>
      <w:tr w:rsidR="0079067B" w:rsidRPr="00F35207" w:rsidTr="00B97788">
        <w:trPr>
          <w:cantSplit/>
          <w:trHeight w:val="1178"/>
        </w:trPr>
        <w:tc>
          <w:tcPr>
            <w:tcW w:w="5063" w:type="dxa"/>
          </w:tcPr>
          <w:p w:rsidR="0079067B" w:rsidRPr="00AE141F" w:rsidRDefault="0079067B" w:rsidP="00BC0554">
            <w:pPr>
              <w:spacing w:after="0"/>
              <w:rPr>
                <w:rFonts w:eastAsia="Times New Roman" w:cs="Arial"/>
                <w:b/>
                <w:color w:val="2C80E0"/>
                <w:szCs w:val="24"/>
              </w:rPr>
            </w:pPr>
            <w:r w:rsidRPr="00AE141F">
              <w:rPr>
                <w:rFonts w:eastAsia="Times New Roman" w:cs="Arial"/>
                <w:b/>
                <w:szCs w:val="24"/>
              </w:rPr>
              <w:t>Hospitality, Tourism, and Recreation (HTR)</w:t>
            </w:r>
          </w:p>
        </w:tc>
        <w:tc>
          <w:tcPr>
            <w:tcW w:w="4292" w:type="dxa"/>
          </w:tcPr>
          <w:p w:rsidR="00BC0554" w:rsidRPr="00AE141F" w:rsidRDefault="00BC0554" w:rsidP="00BC0554">
            <w:pPr>
              <w:numPr>
                <w:ilvl w:val="0"/>
                <w:numId w:val="11"/>
              </w:numPr>
              <w:spacing w:after="0"/>
              <w:ind w:left="357"/>
              <w:contextualSpacing/>
              <w:rPr>
                <w:rFonts w:eastAsia="Times New Roman" w:cs="Arial"/>
                <w:szCs w:val="24"/>
              </w:rPr>
            </w:pPr>
            <w:r w:rsidRPr="00AE141F">
              <w:rPr>
                <w:rFonts w:eastAsia="Times New Roman" w:cs="Arial"/>
                <w:szCs w:val="24"/>
              </w:rPr>
              <w:t>Food Science, Dietetics, and Nutrition</w:t>
            </w:r>
          </w:p>
          <w:p w:rsidR="00BC0554" w:rsidRPr="00AE141F" w:rsidRDefault="00BC0554" w:rsidP="00BC0554">
            <w:pPr>
              <w:numPr>
                <w:ilvl w:val="0"/>
                <w:numId w:val="11"/>
              </w:numPr>
              <w:spacing w:after="0"/>
              <w:ind w:left="357"/>
              <w:contextualSpacing/>
              <w:rPr>
                <w:rFonts w:eastAsia="Times New Roman" w:cs="Arial"/>
                <w:szCs w:val="24"/>
              </w:rPr>
            </w:pPr>
            <w:r w:rsidRPr="00AE141F">
              <w:rPr>
                <w:rFonts w:eastAsia="Times New Roman" w:cs="Arial"/>
                <w:szCs w:val="24"/>
              </w:rPr>
              <w:t>Food Services and Hospitality</w:t>
            </w:r>
          </w:p>
          <w:p w:rsidR="0079067B" w:rsidRPr="00AE141F" w:rsidRDefault="00BC0554" w:rsidP="00BC0554">
            <w:pPr>
              <w:numPr>
                <w:ilvl w:val="0"/>
                <w:numId w:val="11"/>
              </w:numPr>
              <w:spacing w:after="0"/>
              <w:ind w:left="357"/>
              <w:contextualSpacing/>
              <w:rPr>
                <w:rFonts w:eastAsia="Times New Roman" w:cs="Arial"/>
                <w:color w:val="2C80E0"/>
                <w:szCs w:val="24"/>
              </w:rPr>
            </w:pPr>
            <w:r w:rsidRPr="00AE141F">
              <w:rPr>
                <w:rFonts w:eastAsia="Times New Roman" w:cs="Arial"/>
                <w:szCs w:val="24"/>
              </w:rPr>
              <w:t>Hospitality, Tourism, and Recreation</w:t>
            </w:r>
            <w:r w:rsidR="0079067B" w:rsidRPr="00AE141F">
              <w:rPr>
                <w:rFonts w:eastAsia="Times New Roman" w:cs="Arial"/>
                <w:szCs w:val="24"/>
              </w:rPr>
              <w:t xml:space="preserve"> </w:t>
            </w:r>
          </w:p>
        </w:tc>
      </w:tr>
      <w:tr w:rsidR="0079067B" w:rsidRPr="00F35207" w:rsidTr="00B97788">
        <w:trPr>
          <w:cantSplit/>
          <w:trHeight w:val="1166"/>
        </w:trPr>
        <w:tc>
          <w:tcPr>
            <w:tcW w:w="5063" w:type="dxa"/>
          </w:tcPr>
          <w:p w:rsidR="0079067B" w:rsidRPr="00AE141F" w:rsidRDefault="0079067B" w:rsidP="00BC0554">
            <w:pPr>
              <w:spacing w:after="0"/>
              <w:rPr>
                <w:rFonts w:eastAsia="Times New Roman" w:cs="Arial"/>
                <w:b/>
                <w:color w:val="2C80E0"/>
                <w:szCs w:val="24"/>
              </w:rPr>
            </w:pPr>
            <w:r w:rsidRPr="00AE141F">
              <w:rPr>
                <w:rFonts w:eastAsia="Times New Roman" w:cs="Arial"/>
                <w:b/>
                <w:szCs w:val="24"/>
              </w:rPr>
              <w:t>Information and Communication Technologies (ICT)</w:t>
            </w:r>
          </w:p>
        </w:tc>
        <w:tc>
          <w:tcPr>
            <w:tcW w:w="4292" w:type="dxa"/>
          </w:tcPr>
          <w:p w:rsidR="00BC0554" w:rsidRPr="00AE141F" w:rsidRDefault="00BC0554" w:rsidP="00BC0554">
            <w:pPr>
              <w:numPr>
                <w:ilvl w:val="0"/>
                <w:numId w:val="11"/>
              </w:numPr>
              <w:spacing w:after="0"/>
              <w:ind w:left="357"/>
              <w:contextualSpacing/>
              <w:rPr>
                <w:rFonts w:eastAsia="Times New Roman" w:cs="Arial"/>
                <w:szCs w:val="24"/>
              </w:rPr>
            </w:pPr>
            <w:r w:rsidRPr="00AE141F">
              <w:rPr>
                <w:rFonts w:eastAsia="Times New Roman" w:cs="Arial"/>
                <w:szCs w:val="24"/>
              </w:rPr>
              <w:t>Information Support and Services</w:t>
            </w:r>
          </w:p>
          <w:p w:rsidR="00BC0554" w:rsidRPr="00AE141F" w:rsidRDefault="00BC0554" w:rsidP="00BC0554">
            <w:pPr>
              <w:numPr>
                <w:ilvl w:val="0"/>
                <w:numId w:val="11"/>
              </w:numPr>
              <w:spacing w:after="0"/>
              <w:ind w:left="357"/>
              <w:contextualSpacing/>
              <w:rPr>
                <w:rFonts w:eastAsia="Times New Roman" w:cs="Arial"/>
                <w:szCs w:val="24"/>
              </w:rPr>
            </w:pPr>
            <w:r w:rsidRPr="00AE141F">
              <w:rPr>
                <w:rFonts w:eastAsia="Times New Roman" w:cs="Arial"/>
                <w:szCs w:val="24"/>
              </w:rPr>
              <w:t>Networking</w:t>
            </w:r>
          </w:p>
          <w:p w:rsidR="00BC0554" w:rsidRPr="00AE141F" w:rsidRDefault="00BC0554" w:rsidP="00BC0554">
            <w:pPr>
              <w:numPr>
                <w:ilvl w:val="0"/>
                <w:numId w:val="11"/>
              </w:numPr>
              <w:spacing w:after="0"/>
              <w:ind w:left="357"/>
              <w:contextualSpacing/>
              <w:rPr>
                <w:rFonts w:eastAsia="Times New Roman" w:cs="Arial"/>
                <w:szCs w:val="24"/>
              </w:rPr>
            </w:pPr>
            <w:r w:rsidRPr="00AE141F">
              <w:rPr>
                <w:rFonts w:eastAsia="Times New Roman" w:cs="Arial"/>
                <w:szCs w:val="24"/>
              </w:rPr>
              <w:t>Software and Systems Development</w:t>
            </w:r>
          </w:p>
          <w:p w:rsidR="0079067B" w:rsidRPr="00161098" w:rsidRDefault="00161098" w:rsidP="0079067B">
            <w:pPr>
              <w:numPr>
                <w:ilvl w:val="0"/>
                <w:numId w:val="11"/>
              </w:numPr>
              <w:spacing w:after="0"/>
              <w:ind w:left="357"/>
              <w:contextualSpacing/>
              <w:rPr>
                <w:rFonts w:eastAsia="Times New Roman" w:cs="Arial"/>
                <w:b/>
                <w:color w:val="2C80E0"/>
                <w:szCs w:val="24"/>
              </w:rPr>
            </w:pPr>
            <w:r>
              <w:rPr>
                <w:rFonts w:eastAsia="Times New Roman" w:cs="Arial"/>
                <w:szCs w:val="24"/>
              </w:rPr>
              <w:t>Games and Simulation</w:t>
            </w:r>
          </w:p>
        </w:tc>
      </w:tr>
      <w:tr w:rsidR="0079067B" w:rsidRPr="00F35207" w:rsidTr="00B97788">
        <w:trPr>
          <w:cantSplit/>
          <w:trHeight w:val="1238"/>
        </w:trPr>
        <w:tc>
          <w:tcPr>
            <w:tcW w:w="5063" w:type="dxa"/>
          </w:tcPr>
          <w:p w:rsidR="0079067B" w:rsidRPr="00AE141F" w:rsidRDefault="0079067B" w:rsidP="00E124ED">
            <w:pPr>
              <w:spacing w:after="0"/>
              <w:rPr>
                <w:rFonts w:eastAsia="Times New Roman" w:cs="Arial"/>
                <w:b/>
                <w:color w:val="2C80E0"/>
                <w:szCs w:val="24"/>
              </w:rPr>
            </w:pPr>
            <w:r w:rsidRPr="00AE141F">
              <w:rPr>
                <w:rFonts w:eastAsia="Times New Roman" w:cs="Arial"/>
                <w:b/>
                <w:szCs w:val="24"/>
              </w:rPr>
              <w:t>Manufacturing and Product Development (MPD)</w:t>
            </w:r>
          </w:p>
        </w:tc>
        <w:tc>
          <w:tcPr>
            <w:tcW w:w="4292" w:type="dxa"/>
          </w:tcPr>
          <w:p w:rsidR="00E124ED" w:rsidRPr="00AE141F" w:rsidRDefault="00E124ED" w:rsidP="00E124ED">
            <w:pPr>
              <w:numPr>
                <w:ilvl w:val="0"/>
                <w:numId w:val="11"/>
              </w:numPr>
              <w:spacing w:after="0"/>
              <w:ind w:left="357"/>
              <w:contextualSpacing/>
              <w:rPr>
                <w:rFonts w:eastAsia="Times New Roman" w:cs="Arial"/>
                <w:szCs w:val="24"/>
              </w:rPr>
            </w:pPr>
            <w:r w:rsidRPr="00AE141F">
              <w:rPr>
                <w:rFonts w:eastAsia="Times New Roman" w:cs="Arial"/>
                <w:szCs w:val="24"/>
              </w:rPr>
              <w:t>Graphic Production Technologies</w:t>
            </w:r>
          </w:p>
          <w:p w:rsidR="00E124ED" w:rsidRPr="00AE141F" w:rsidRDefault="00E124ED" w:rsidP="00E124ED">
            <w:pPr>
              <w:numPr>
                <w:ilvl w:val="0"/>
                <w:numId w:val="11"/>
              </w:numPr>
              <w:spacing w:after="0"/>
              <w:ind w:left="357"/>
              <w:contextualSpacing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 xml:space="preserve">Machining and Forming </w:t>
            </w:r>
            <w:r w:rsidRPr="00AE141F">
              <w:rPr>
                <w:rFonts w:eastAsia="Times New Roman" w:cs="Arial"/>
                <w:szCs w:val="24"/>
              </w:rPr>
              <w:t>Technologies</w:t>
            </w:r>
          </w:p>
          <w:p w:rsidR="00E124ED" w:rsidRPr="00AE141F" w:rsidRDefault="00E124ED" w:rsidP="00E124ED">
            <w:pPr>
              <w:numPr>
                <w:ilvl w:val="0"/>
                <w:numId w:val="11"/>
              </w:numPr>
              <w:spacing w:after="0"/>
              <w:ind w:left="357"/>
              <w:contextualSpacing/>
              <w:rPr>
                <w:rFonts w:eastAsia="Times New Roman" w:cs="Arial"/>
                <w:szCs w:val="24"/>
              </w:rPr>
            </w:pPr>
            <w:r w:rsidRPr="00AE141F">
              <w:rPr>
                <w:rFonts w:eastAsia="Times New Roman" w:cs="Arial"/>
                <w:szCs w:val="24"/>
              </w:rPr>
              <w:t>Welding and Materials Joining</w:t>
            </w:r>
          </w:p>
          <w:p w:rsidR="0079067B" w:rsidRPr="00E124ED" w:rsidRDefault="00E124ED" w:rsidP="0079067B">
            <w:pPr>
              <w:numPr>
                <w:ilvl w:val="0"/>
                <w:numId w:val="11"/>
              </w:numPr>
              <w:spacing w:after="0"/>
              <w:ind w:left="357"/>
              <w:contextualSpacing/>
              <w:rPr>
                <w:rFonts w:eastAsia="Times New Roman" w:cs="Arial"/>
                <w:b/>
                <w:color w:val="2C80E0"/>
                <w:szCs w:val="24"/>
              </w:rPr>
            </w:pPr>
            <w:r w:rsidRPr="00AE141F">
              <w:rPr>
                <w:rFonts w:eastAsia="Times New Roman" w:cs="Arial"/>
                <w:szCs w:val="24"/>
              </w:rPr>
              <w:t>Product Innovation and Design</w:t>
            </w:r>
          </w:p>
        </w:tc>
      </w:tr>
      <w:tr w:rsidR="0079067B" w:rsidRPr="00F35207" w:rsidTr="00B97788">
        <w:trPr>
          <w:cantSplit/>
          <w:trHeight w:val="1043"/>
        </w:trPr>
        <w:tc>
          <w:tcPr>
            <w:tcW w:w="5063" w:type="dxa"/>
          </w:tcPr>
          <w:p w:rsidR="0079067B" w:rsidRPr="00AE141F" w:rsidRDefault="0079067B" w:rsidP="00BD3E54">
            <w:pPr>
              <w:spacing w:after="0"/>
              <w:rPr>
                <w:rFonts w:eastAsia="Times New Roman" w:cs="Arial"/>
                <w:szCs w:val="24"/>
              </w:rPr>
            </w:pPr>
            <w:r w:rsidRPr="00AE141F">
              <w:rPr>
                <w:rFonts w:eastAsia="Times New Roman" w:cs="Arial"/>
                <w:b/>
                <w:szCs w:val="24"/>
              </w:rPr>
              <w:t>Marketing, Sales, and Service (MSS)</w:t>
            </w:r>
          </w:p>
        </w:tc>
        <w:tc>
          <w:tcPr>
            <w:tcW w:w="4292" w:type="dxa"/>
          </w:tcPr>
          <w:p w:rsidR="00BD3E54" w:rsidRPr="00AE141F" w:rsidRDefault="00BD3E54" w:rsidP="00BD3E54">
            <w:pPr>
              <w:numPr>
                <w:ilvl w:val="0"/>
                <w:numId w:val="11"/>
              </w:numPr>
              <w:spacing w:after="0"/>
              <w:ind w:left="357"/>
              <w:contextualSpacing/>
              <w:rPr>
                <w:rFonts w:eastAsia="Times New Roman" w:cs="Arial"/>
                <w:szCs w:val="24"/>
              </w:rPr>
            </w:pPr>
            <w:r w:rsidRPr="00AE141F">
              <w:rPr>
                <w:rFonts w:eastAsia="Times New Roman" w:cs="Arial"/>
                <w:szCs w:val="24"/>
              </w:rPr>
              <w:t>Marketing</w:t>
            </w:r>
          </w:p>
          <w:p w:rsidR="00BD3E54" w:rsidRPr="00AE141F" w:rsidRDefault="00BD3E54" w:rsidP="00BD3E54">
            <w:pPr>
              <w:numPr>
                <w:ilvl w:val="0"/>
                <w:numId w:val="11"/>
              </w:numPr>
              <w:spacing w:after="0"/>
              <w:ind w:left="357"/>
              <w:contextualSpacing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Professional Sales</w:t>
            </w:r>
          </w:p>
          <w:p w:rsidR="0079067B" w:rsidRPr="00BD3E54" w:rsidRDefault="00BD3E54" w:rsidP="0079067B">
            <w:pPr>
              <w:numPr>
                <w:ilvl w:val="0"/>
                <w:numId w:val="11"/>
              </w:numPr>
              <w:spacing w:after="0"/>
              <w:ind w:left="357"/>
              <w:contextualSpacing/>
              <w:rPr>
                <w:rFonts w:eastAsia="Times New Roman" w:cs="Arial"/>
                <w:szCs w:val="24"/>
              </w:rPr>
            </w:pPr>
            <w:r w:rsidRPr="00AE141F">
              <w:rPr>
                <w:rFonts w:eastAsia="Times New Roman" w:cs="Arial"/>
                <w:szCs w:val="24"/>
              </w:rPr>
              <w:t>E</w:t>
            </w:r>
            <w:r>
              <w:rPr>
                <w:rFonts w:eastAsia="Times New Roman" w:cs="Arial"/>
                <w:szCs w:val="24"/>
              </w:rPr>
              <w:t>ntrepreneurship/Self-Employment</w:t>
            </w:r>
          </w:p>
        </w:tc>
      </w:tr>
      <w:tr w:rsidR="0079067B" w:rsidRPr="00F35207" w:rsidTr="00B97788">
        <w:trPr>
          <w:cantSplit/>
          <w:trHeight w:val="1079"/>
        </w:trPr>
        <w:tc>
          <w:tcPr>
            <w:tcW w:w="5063" w:type="dxa"/>
          </w:tcPr>
          <w:p w:rsidR="0079067B" w:rsidRPr="00BD3E54" w:rsidRDefault="0079067B" w:rsidP="00BD3E54">
            <w:pPr>
              <w:spacing w:after="0"/>
              <w:rPr>
                <w:rFonts w:eastAsia="Times New Roman" w:cs="Arial"/>
                <w:b/>
                <w:szCs w:val="24"/>
              </w:rPr>
            </w:pPr>
            <w:r w:rsidRPr="00AE141F">
              <w:rPr>
                <w:rFonts w:eastAsia="Times New Roman" w:cs="Arial"/>
                <w:b/>
                <w:szCs w:val="24"/>
              </w:rPr>
              <w:t>Public Services (PS)</w:t>
            </w:r>
          </w:p>
        </w:tc>
        <w:tc>
          <w:tcPr>
            <w:tcW w:w="4292" w:type="dxa"/>
          </w:tcPr>
          <w:p w:rsidR="00BD3E54" w:rsidRPr="00AE141F" w:rsidRDefault="00BD3E54" w:rsidP="00BD3E54">
            <w:pPr>
              <w:numPr>
                <w:ilvl w:val="0"/>
                <w:numId w:val="11"/>
              </w:numPr>
              <w:spacing w:after="0"/>
              <w:ind w:left="357"/>
              <w:contextualSpacing/>
              <w:rPr>
                <w:rFonts w:eastAsia="Times New Roman" w:cs="Arial"/>
                <w:szCs w:val="24"/>
              </w:rPr>
            </w:pPr>
            <w:r w:rsidRPr="00AE141F">
              <w:rPr>
                <w:rFonts w:eastAsia="Times New Roman" w:cs="Arial"/>
                <w:szCs w:val="24"/>
              </w:rPr>
              <w:t>Public Safety</w:t>
            </w:r>
          </w:p>
          <w:p w:rsidR="00BD3E54" w:rsidRPr="00AE141F" w:rsidRDefault="00BD3E54" w:rsidP="00BD3E54">
            <w:pPr>
              <w:numPr>
                <w:ilvl w:val="0"/>
                <w:numId w:val="11"/>
              </w:numPr>
              <w:spacing w:after="0"/>
              <w:ind w:left="357"/>
              <w:contextualSpacing/>
              <w:rPr>
                <w:rFonts w:eastAsia="Times New Roman" w:cs="Arial"/>
                <w:szCs w:val="24"/>
              </w:rPr>
            </w:pPr>
            <w:r w:rsidRPr="00AE141F">
              <w:rPr>
                <w:rFonts w:eastAsia="Times New Roman" w:cs="Arial"/>
                <w:szCs w:val="24"/>
              </w:rPr>
              <w:t>Emergency Response</w:t>
            </w:r>
          </w:p>
          <w:p w:rsidR="0079067B" w:rsidRPr="00BD3E54" w:rsidRDefault="00BD3E54" w:rsidP="0079067B">
            <w:pPr>
              <w:numPr>
                <w:ilvl w:val="0"/>
                <w:numId w:val="11"/>
              </w:numPr>
              <w:spacing w:after="0"/>
              <w:ind w:left="357"/>
              <w:contextualSpacing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Legal Practices</w:t>
            </w:r>
          </w:p>
        </w:tc>
      </w:tr>
      <w:tr w:rsidR="0079067B" w:rsidRPr="00F35207" w:rsidTr="00FA5502">
        <w:trPr>
          <w:cantSplit/>
          <w:trHeight w:val="1178"/>
        </w:trPr>
        <w:tc>
          <w:tcPr>
            <w:tcW w:w="5063" w:type="dxa"/>
          </w:tcPr>
          <w:p w:rsidR="0079067B" w:rsidRPr="00AE141F" w:rsidRDefault="0079067B" w:rsidP="00BD3E54">
            <w:pPr>
              <w:spacing w:after="0"/>
              <w:rPr>
                <w:rFonts w:eastAsia="Times New Roman" w:cs="Arial"/>
                <w:szCs w:val="24"/>
              </w:rPr>
            </w:pPr>
            <w:r w:rsidRPr="00AE141F">
              <w:rPr>
                <w:rFonts w:eastAsia="Times New Roman" w:cs="Arial"/>
                <w:b/>
                <w:szCs w:val="24"/>
              </w:rPr>
              <w:t>Transportation (T)</w:t>
            </w:r>
          </w:p>
        </w:tc>
        <w:tc>
          <w:tcPr>
            <w:tcW w:w="4292" w:type="dxa"/>
          </w:tcPr>
          <w:p w:rsidR="00BD3E54" w:rsidRPr="00AE141F" w:rsidRDefault="00BD3E54" w:rsidP="00BD3E54">
            <w:pPr>
              <w:numPr>
                <w:ilvl w:val="0"/>
                <w:numId w:val="11"/>
              </w:numPr>
              <w:spacing w:after="0"/>
              <w:ind w:left="357"/>
              <w:contextualSpacing/>
              <w:rPr>
                <w:rFonts w:eastAsia="Times New Roman" w:cs="Arial"/>
                <w:szCs w:val="24"/>
              </w:rPr>
            </w:pPr>
            <w:r w:rsidRPr="00AE141F">
              <w:rPr>
                <w:rFonts w:eastAsia="Times New Roman" w:cs="Arial"/>
                <w:szCs w:val="24"/>
              </w:rPr>
              <w:t>Operations</w:t>
            </w:r>
          </w:p>
          <w:p w:rsidR="00BD3E54" w:rsidRPr="00AE141F" w:rsidRDefault="00BD3E54" w:rsidP="00BD3E54">
            <w:pPr>
              <w:numPr>
                <w:ilvl w:val="0"/>
                <w:numId w:val="11"/>
              </w:numPr>
              <w:spacing w:after="0"/>
              <w:ind w:left="357"/>
              <w:contextualSpacing/>
              <w:rPr>
                <w:rFonts w:eastAsia="Times New Roman" w:cs="Arial"/>
                <w:szCs w:val="24"/>
              </w:rPr>
            </w:pPr>
            <w:r w:rsidRPr="00AE141F">
              <w:rPr>
                <w:rFonts w:eastAsia="Times New Roman" w:cs="Arial"/>
                <w:szCs w:val="24"/>
              </w:rPr>
              <w:t>Structural Repair and Refinishing</w:t>
            </w:r>
          </w:p>
          <w:p w:rsidR="0079067B" w:rsidRPr="00BD3E54" w:rsidRDefault="00BD3E54" w:rsidP="0079067B">
            <w:pPr>
              <w:numPr>
                <w:ilvl w:val="0"/>
                <w:numId w:val="11"/>
              </w:numPr>
              <w:spacing w:after="0"/>
              <w:ind w:left="357"/>
              <w:contextualSpacing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Systems Diagnostics and Service</w:t>
            </w:r>
          </w:p>
        </w:tc>
      </w:tr>
    </w:tbl>
    <w:p w:rsidR="0079067B" w:rsidRPr="0079067B" w:rsidRDefault="00E70F85" w:rsidP="00FA5502">
      <w:pPr>
        <w:spacing w:before="24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Posted by: California Department of Education</w:t>
      </w:r>
      <w:r w:rsidR="009E5B2E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</w:t>
      </w:r>
      <w:r w:rsidR="00F32193">
        <w:rPr>
          <w:rFonts w:eastAsia="Times New Roman" w:cs="Times New Roman"/>
          <w:szCs w:val="24"/>
        </w:rPr>
        <w:t>May 2022</w:t>
      </w:r>
    </w:p>
    <w:sectPr w:rsidR="0079067B" w:rsidRPr="0079067B" w:rsidSect="0079067B">
      <w:pgSz w:w="12240" w:h="15840" w:code="1"/>
      <w:pgMar w:top="990" w:right="1440" w:bottom="90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C828E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203B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F0013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283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402E9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06CB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5C2E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42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FAF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CCFD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B29293E"/>
    <w:multiLevelType w:val="hybridMultilevel"/>
    <w:tmpl w:val="35A2DB4E"/>
    <w:lvl w:ilvl="0" w:tplc="C7DA6B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67B"/>
    <w:rsid w:val="00000CF2"/>
    <w:rsid w:val="00003D44"/>
    <w:rsid w:val="00081E90"/>
    <w:rsid w:val="00094B65"/>
    <w:rsid w:val="000B5CC1"/>
    <w:rsid w:val="000F1413"/>
    <w:rsid w:val="000F6EC1"/>
    <w:rsid w:val="000F777D"/>
    <w:rsid w:val="000F7AF5"/>
    <w:rsid w:val="00155535"/>
    <w:rsid w:val="00161098"/>
    <w:rsid w:val="00161238"/>
    <w:rsid w:val="0016582C"/>
    <w:rsid w:val="001A0CA5"/>
    <w:rsid w:val="001B1CE9"/>
    <w:rsid w:val="00223F78"/>
    <w:rsid w:val="00254AD1"/>
    <w:rsid w:val="00267F03"/>
    <w:rsid w:val="002A1BA7"/>
    <w:rsid w:val="002D1333"/>
    <w:rsid w:val="002E4CB5"/>
    <w:rsid w:val="00310481"/>
    <w:rsid w:val="00342EB9"/>
    <w:rsid w:val="003A002F"/>
    <w:rsid w:val="003D7128"/>
    <w:rsid w:val="003E39C5"/>
    <w:rsid w:val="003F6969"/>
    <w:rsid w:val="00412839"/>
    <w:rsid w:val="00416156"/>
    <w:rsid w:val="00430734"/>
    <w:rsid w:val="004C037B"/>
    <w:rsid w:val="004D58E8"/>
    <w:rsid w:val="004E7AC1"/>
    <w:rsid w:val="004F6E4A"/>
    <w:rsid w:val="005C5B70"/>
    <w:rsid w:val="007022B1"/>
    <w:rsid w:val="007428B8"/>
    <w:rsid w:val="00782732"/>
    <w:rsid w:val="0079067B"/>
    <w:rsid w:val="007A447E"/>
    <w:rsid w:val="007B5C10"/>
    <w:rsid w:val="007E5BF1"/>
    <w:rsid w:val="007E64ED"/>
    <w:rsid w:val="007F47C2"/>
    <w:rsid w:val="007F5F3F"/>
    <w:rsid w:val="0081256C"/>
    <w:rsid w:val="008144C1"/>
    <w:rsid w:val="00863FC4"/>
    <w:rsid w:val="00895C32"/>
    <w:rsid w:val="008E4D20"/>
    <w:rsid w:val="00973383"/>
    <w:rsid w:val="00985C28"/>
    <w:rsid w:val="009B3E8C"/>
    <w:rsid w:val="009C2DD9"/>
    <w:rsid w:val="009C70F5"/>
    <w:rsid w:val="009E5B2E"/>
    <w:rsid w:val="00A70408"/>
    <w:rsid w:val="00AE0C8E"/>
    <w:rsid w:val="00AE141F"/>
    <w:rsid w:val="00AF0211"/>
    <w:rsid w:val="00B705AB"/>
    <w:rsid w:val="00B97788"/>
    <w:rsid w:val="00BA44B0"/>
    <w:rsid w:val="00BA5DCD"/>
    <w:rsid w:val="00BB1847"/>
    <w:rsid w:val="00BC0554"/>
    <w:rsid w:val="00BC76C9"/>
    <w:rsid w:val="00BD3E54"/>
    <w:rsid w:val="00C0677B"/>
    <w:rsid w:val="00C21731"/>
    <w:rsid w:val="00C43716"/>
    <w:rsid w:val="00C82975"/>
    <w:rsid w:val="00CA6E47"/>
    <w:rsid w:val="00CB0FA1"/>
    <w:rsid w:val="00CB6664"/>
    <w:rsid w:val="00D15074"/>
    <w:rsid w:val="00D41632"/>
    <w:rsid w:val="00D47DAB"/>
    <w:rsid w:val="00D63B79"/>
    <w:rsid w:val="00D803E8"/>
    <w:rsid w:val="00DA52B3"/>
    <w:rsid w:val="00DC52B0"/>
    <w:rsid w:val="00DC6AE6"/>
    <w:rsid w:val="00DC774C"/>
    <w:rsid w:val="00E124ED"/>
    <w:rsid w:val="00E634EC"/>
    <w:rsid w:val="00E70F85"/>
    <w:rsid w:val="00E90B6F"/>
    <w:rsid w:val="00E96DE7"/>
    <w:rsid w:val="00EA5059"/>
    <w:rsid w:val="00EA58D4"/>
    <w:rsid w:val="00F27BD4"/>
    <w:rsid w:val="00F32193"/>
    <w:rsid w:val="00F35207"/>
    <w:rsid w:val="00FA5502"/>
    <w:rsid w:val="00FB3C80"/>
    <w:rsid w:val="00FE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55652-0582-442C-B785-6A84EB9A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2975"/>
    <w:pPr>
      <w:spacing w:after="2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2975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2975"/>
    <w:pPr>
      <w:keepNext/>
      <w:keepLines/>
      <w:spacing w:before="24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2975"/>
    <w:pPr>
      <w:keepNext/>
      <w:keepLines/>
      <w:spacing w:before="240"/>
      <w:outlineLvl w:val="2"/>
    </w:pPr>
    <w:rPr>
      <w:rFonts w:eastAsiaTheme="majorEastAsia" w:cstheme="majorBidi"/>
      <w:i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2975"/>
    <w:pPr>
      <w:keepNext/>
      <w:keepLines/>
      <w:spacing w:before="240"/>
      <w:outlineLvl w:val="3"/>
    </w:pPr>
    <w:rPr>
      <w:rFonts w:eastAsiaTheme="majorEastAsia" w:cstheme="majorBidi"/>
      <w:b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2975"/>
    <w:pPr>
      <w:keepNext/>
      <w:keepLines/>
      <w:spacing w:before="240"/>
      <w:outlineLvl w:val="4"/>
    </w:pPr>
    <w:rPr>
      <w:rFonts w:eastAsiaTheme="majorEastAsia" w:cstheme="majorBidi"/>
      <w:i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2975"/>
    <w:pPr>
      <w:keepNext/>
      <w:keepLines/>
      <w:spacing w:before="24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975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2975"/>
    <w:rPr>
      <w:rFonts w:ascii="Arial" w:eastAsiaTheme="majorEastAsia" w:hAnsi="Arial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82975"/>
    <w:rPr>
      <w:rFonts w:ascii="Arial" w:eastAsiaTheme="majorEastAsia" w:hAnsi="Arial" w:cstheme="majorBidi"/>
      <w:i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82975"/>
    <w:rPr>
      <w:rFonts w:ascii="Arial" w:eastAsiaTheme="majorEastAsia" w:hAnsi="Arial" w:cstheme="majorBidi"/>
      <w:b/>
      <w:iCs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C82975"/>
    <w:rPr>
      <w:rFonts w:ascii="Arial" w:eastAsiaTheme="majorEastAsia" w:hAnsi="Arial" w:cstheme="majorBidi"/>
      <w:i/>
      <w:sz w:val="28"/>
    </w:rPr>
  </w:style>
  <w:style w:type="paragraph" w:styleId="NoSpacing">
    <w:name w:val="No Spacing"/>
    <w:uiPriority w:val="1"/>
    <w:qFormat/>
    <w:rsid w:val="007E5BF1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82975"/>
    <w:rPr>
      <w:rFonts w:ascii="Arial" w:eastAsiaTheme="majorEastAsia" w:hAnsi="Arial" w:cstheme="majorBidi"/>
      <w:b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B6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B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52B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12839"/>
    <w:pPr>
      <w:ind w:left="720"/>
      <w:contextualSpacing/>
    </w:pPr>
  </w:style>
  <w:style w:type="table" w:styleId="TableGrid">
    <w:name w:val="Table Grid"/>
    <w:basedOn w:val="TableNormal"/>
    <w:uiPriority w:val="39"/>
    <w:rsid w:val="000F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Apnd1-21: SSP (CA Dept of Education)</vt:lpstr>
    </vt:vector>
  </TitlesOfParts>
  <Company>CA Department of Education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Apnd-22: CTE Industry Sectors (CA Dept of Education)</dc:title>
  <dc:subject>Appendix B Specialized Secondary Programs (SSP) Career Technical Education (CTE) Industry Sectors and Pathways.</dc:subject>
  <dc:creator>PCallas@cde.ca.gov</dc:creator>
  <cp:keywords/>
  <dc:description/>
  <cp:lastModifiedBy>Cindy Rose</cp:lastModifiedBy>
  <cp:revision>17</cp:revision>
  <cp:lastPrinted>2018-07-13T18:21:00Z</cp:lastPrinted>
  <dcterms:created xsi:type="dcterms:W3CDTF">2021-04-26T21:57:00Z</dcterms:created>
  <dcterms:modified xsi:type="dcterms:W3CDTF">2022-04-27T19:32:00Z</dcterms:modified>
</cp:coreProperties>
</file>