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53B0" w14:textId="77777777" w:rsidR="00231DC5" w:rsidRPr="0060670E" w:rsidRDefault="00231DC5" w:rsidP="00231DC5">
      <w:pPr>
        <w:rPr>
          <w:sz w:val="24"/>
          <w:szCs w:val="24"/>
        </w:rPr>
      </w:pPr>
      <w:bookmarkStart w:id="0" w:name="_GoBack"/>
      <w:bookmarkEnd w:id="0"/>
      <w:r w:rsidRPr="0060670E">
        <w:rPr>
          <w:sz w:val="24"/>
          <w:szCs w:val="24"/>
        </w:rPr>
        <w:t xml:space="preserve">California Department of Education </w:t>
      </w:r>
    </w:p>
    <w:p w14:paraId="41CF8498" w14:textId="77777777" w:rsidR="00231DC5" w:rsidRPr="002A25BD" w:rsidRDefault="00231DC5" w:rsidP="00231DC5">
      <w:pPr>
        <w:rPr>
          <w:rFonts w:asciiTheme="minorHAnsi" w:eastAsiaTheme="minorHAnsi" w:hAnsiTheme="minorHAnsi" w:cstheme="minorBidi"/>
          <w:sz w:val="24"/>
          <w:szCs w:val="24"/>
        </w:rPr>
      </w:pPr>
      <w:r w:rsidRPr="0060670E">
        <w:rPr>
          <w:sz w:val="24"/>
          <w:szCs w:val="24"/>
        </w:rPr>
        <w:t xml:space="preserve">Request for </w:t>
      </w:r>
      <w:r>
        <w:rPr>
          <w:sz w:val="24"/>
          <w:szCs w:val="24"/>
        </w:rPr>
        <w:t>Qualifications</w:t>
      </w:r>
      <w:r w:rsidRPr="0060670E">
        <w:rPr>
          <w:sz w:val="24"/>
          <w:szCs w:val="24"/>
        </w:rPr>
        <w:t xml:space="preserve"> (RFQ) </w:t>
      </w:r>
      <w:bookmarkStart w:id="1" w:name="_Hlk37232491"/>
      <w:r w:rsidRPr="002A25BD">
        <w:rPr>
          <w:rFonts w:eastAsiaTheme="minorHAnsi"/>
          <w:sz w:val="24"/>
          <w:szCs w:val="24"/>
        </w:rPr>
        <w:t>CN220002</w:t>
      </w:r>
    </w:p>
    <w:bookmarkEnd w:id="1"/>
    <w:p w14:paraId="511E8639" w14:textId="77777777" w:rsidR="00231DC5" w:rsidRPr="0060670E" w:rsidRDefault="00231DC5" w:rsidP="00231DC5">
      <w:pPr>
        <w:rPr>
          <w:sz w:val="24"/>
          <w:szCs w:val="24"/>
        </w:rPr>
      </w:pPr>
      <w:r w:rsidRPr="0060670E">
        <w:rPr>
          <w:sz w:val="24"/>
          <w:szCs w:val="24"/>
        </w:rPr>
        <w:t xml:space="preserve">ATTACHMENT </w:t>
      </w:r>
      <w:r>
        <w:rPr>
          <w:sz w:val="24"/>
          <w:szCs w:val="24"/>
        </w:rPr>
        <w:t>10</w:t>
      </w:r>
    </w:p>
    <w:p w14:paraId="7FD5C65E" w14:textId="581981AB" w:rsidR="00A4348A" w:rsidRPr="00EE5E49" w:rsidRDefault="00211736" w:rsidP="004C5EE3">
      <w:pPr>
        <w:pStyle w:val="Heading1"/>
      </w:pPr>
      <w:r w:rsidRPr="00EE5E49">
        <w:t>Stage One: Qualification two</w:t>
      </w:r>
      <w:r w:rsidR="005A1489" w:rsidRPr="00EE5E49">
        <w:t>—</w:t>
      </w:r>
      <w:r w:rsidR="00433BE5" w:rsidRPr="00EE5E49">
        <w:t xml:space="preserve">System Access Through a Single Sign-on </w:t>
      </w:r>
      <w:r w:rsidR="00A4348A" w:rsidRPr="00EE5E49">
        <w:t>Form</w:t>
      </w:r>
    </w:p>
    <w:p w14:paraId="2E4AE396" w14:textId="32B3A59B" w:rsidR="00095973" w:rsidRPr="004329FB" w:rsidRDefault="00095973" w:rsidP="00F71958">
      <w:pPr>
        <w:pStyle w:val="Heading2"/>
        <w:spacing w:before="240" w:after="240"/>
      </w:pPr>
      <w:r w:rsidRPr="004329FB">
        <w:t>Background</w:t>
      </w:r>
    </w:p>
    <w:p w14:paraId="0A09BD66" w14:textId="20059541" w:rsidR="00095973" w:rsidRPr="002A25BD" w:rsidRDefault="00095973" w:rsidP="00095973">
      <w:pPr>
        <w:tabs>
          <w:tab w:val="left" w:pos="463"/>
          <w:tab w:val="left" w:pos="464"/>
        </w:tabs>
        <w:spacing w:after="240"/>
        <w:ind w:right="317"/>
        <w:rPr>
          <w:sz w:val="24"/>
          <w:szCs w:val="24"/>
        </w:rPr>
      </w:pPr>
      <w:r w:rsidRPr="00384EC5">
        <w:rPr>
          <w:sz w:val="24"/>
          <w:szCs w:val="24"/>
        </w:rPr>
        <w:t xml:space="preserve">The California Assessment Delivery System will feature system access control features and authentication of users using industry-standard user access, authentication methods, and encryption. The California Assessment Delivery System includes a dedicated California Identity Management System (CIMS) that allows for numerous user roles and permissions based on the functions that each user must perform in order to complete their responsibilities for the </w:t>
      </w:r>
      <w:r w:rsidRPr="002A25BD">
        <w:rPr>
          <w:sz w:val="24"/>
          <w:szCs w:val="24"/>
        </w:rPr>
        <w:t xml:space="preserve">California </w:t>
      </w:r>
      <w:r w:rsidR="009E2380" w:rsidRPr="002A25BD">
        <w:rPr>
          <w:sz w:val="24"/>
          <w:szCs w:val="24"/>
        </w:rPr>
        <w:t>A</w:t>
      </w:r>
      <w:r w:rsidRPr="002A25BD">
        <w:rPr>
          <w:sz w:val="24"/>
          <w:szCs w:val="24"/>
        </w:rPr>
        <w:t xml:space="preserve">ssessment </w:t>
      </w:r>
      <w:r w:rsidR="009E2380" w:rsidRPr="002A25BD">
        <w:rPr>
          <w:sz w:val="24"/>
          <w:szCs w:val="24"/>
        </w:rPr>
        <w:t>S</w:t>
      </w:r>
      <w:r w:rsidRPr="002A25BD">
        <w:rPr>
          <w:sz w:val="24"/>
          <w:szCs w:val="24"/>
        </w:rPr>
        <w:t xml:space="preserve">ystem. Through the CIMS, users will be able to seamlessly navigate between the modules of the </w:t>
      </w:r>
      <w:r w:rsidR="00282441">
        <w:rPr>
          <w:sz w:val="24"/>
          <w:szCs w:val="24"/>
        </w:rPr>
        <w:t>California a</w:t>
      </w:r>
      <w:r w:rsidRPr="002A25BD">
        <w:rPr>
          <w:sz w:val="24"/>
          <w:szCs w:val="24"/>
        </w:rPr>
        <w:t xml:space="preserve">ssessment </w:t>
      </w:r>
      <w:r w:rsidR="00282441">
        <w:rPr>
          <w:sz w:val="24"/>
          <w:szCs w:val="24"/>
        </w:rPr>
        <w:t>d</w:t>
      </w:r>
      <w:r w:rsidRPr="002A25BD">
        <w:rPr>
          <w:sz w:val="24"/>
          <w:szCs w:val="24"/>
        </w:rPr>
        <w:t xml:space="preserve">elivery </w:t>
      </w:r>
      <w:r w:rsidR="00282441">
        <w:rPr>
          <w:sz w:val="24"/>
          <w:szCs w:val="24"/>
        </w:rPr>
        <w:t>s</w:t>
      </w:r>
      <w:r w:rsidRPr="002A25BD">
        <w:rPr>
          <w:sz w:val="24"/>
          <w:szCs w:val="24"/>
        </w:rPr>
        <w:t xml:space="preserve">ystem </w:t>
      </w:r>
      <w:r w:rsidR="009148EB">
        <w:rPr>
          <w:sz w:val="24"/>
          <w:szCs w:val="24"/>
        </w:rPr>
        <w:t>as well as</w:t>
      </w:r>
      <w:r w:rsidRPr="002A25BD">
        <w:rPr>
          <w:sz w:val="24"/>
          <w:szCs w:val="24"/>
        </w:rPr>
        <w:t xml:space="preserve"> navigate to</w:t>
      </w:r>
      <w:r w:rsidR="009148EB">
        <w:rPr>
          <w:sz w:val="24"/>
          <w:szCs w:val="24"/>
        </w:rPr>
        <w:t xml:space="preserve"> California Department of Education</w:t>
      </w:r>
      <w:r w:rsidRPr="002A25BD">
        <w:rPr>
          <w:sz w:val="24"/>
          <w:szCs w:val="24"/>
        </w:rPr>
        <w:t xml:space="preserve"> </w:t>
      </w:r>
      <w:r w:rsidR="009148EB">
        <w:rPr>
          <w:sz w:val="24"/>
          <w:szCs w:val="24"/>
        </w:rPr>
        <w:t>(</w:t>
      </w:r>
      <w:r w:rsidRPr="002A25BD">
        <w:rPr>
          <w:sz w:val="24"/>
          <w:szCs w:val="24"/>
        </w:rPr>
        <w:t>CDE</w:t>
      </w:r>
      <w:r w:rsidR="009148EB">
        <w:rPr>
          <w:sz w:val="24"/>
          <w:szCs w:val="24"/>
        </w:rPr>
        <w:t>)</w:t>
      </w:r>
      <w:r w:rsidRPr="002A25BD">
        <w:rPr>
          <w:sz w:val="24"/>
          <w:szCs w:val="24"/>
        </w:rPr>
        <w:t xml:space="preserve">-authorized third-party systems such as the Smarter Balanced </w:t>
      </w:r>
      <w:r w:rsidR="00BE3EB8" w:rsidRPr="002A25BD">
        <w:rPr>
          <w:sz w:val="24"/>
          <w:szCs w:val="24"/>
        </w:rPr>
        <w:t>Tools for Teachers</w:t>
      </w:r>
      <w:r w:rsidRPr="002A25BD">
        <w:rPr>
          <w:sz w:val="24"/>
          <w:szCs w:val="24"/>
        </w:rPr>
        <w:t xml:space="preserve"> and the California Educator Reporting System (CERS). The CDE will have the flexibility to authorize other third-party systems that are not part of the California Assessment Delivery System to federate with the CIMS to allow for seamless navigation for California-provisioned users without the need for them to register or maintain a separate set of log</w:t>
      </w:r>
      <w:r w:rsidR="009148EB">
        <w:rPr>
          <w:sz w:val="24"/>
          <w:szCs w:val="24"/>
        </w:rPr>
        <w:t>o</w:t>
      </w:r>
      <w:r w:rsidRPr="002A25BD">
        <w:rPr>
          <w:sz w:val="24"/>
          <w:szCs w:val="24"/>
        </w:rPr>
        <w:t>n credentials. Third-party contractor integration will follow a standards-based approach with options to use SAML 2.0 and/or OAuth.</w:t>
      </w:r>
    </w:p>
    <w:p w14:paraId="6497E9E3" w14:textId="06F62687" w:rsidR="003D3691" w:rsidRPr="002A25BD" w:rsidRDefault="00A4348A" w:rsidP="00F71958">
      <w:pPr>
        <w:pStyle w:val="Heading2"/>
        <w:spacing w:before="240" w:after="240"/>
      </w:pPr>
      <w:r w:rsidRPr="002A25BD">
        <w:t>Purpose</w:t>
      </w:r>
    </w:p>
    <w:p w14:paraId="32F49583" w14:textId="15F582AE" w:rsidR="00B67483" w:rsidRPr="002A25BD" w:rsidRDefault="000746D2" w:rsidP="004C5EE3">
      <w:pPr>
        <w:spacing w:after="240"/>
        <w:rPr>
          <w:sz w:val="24"/>
          <w:szCs w:val="24"/>
        </w:rPr>
      </w:pPr>
      <w:r w:rsidRPr="002A25BD">
        <w:rPr>
          <w:sz w:val="24"/>
          <w:szCs w:val="24"/>
        </w:rPr>
        <w:t xml:space="preserve">This qualification response will be used to determine a contractor’s capacity and expertise to develop and administer a single access point using secure identity management protocols so users </w:t>
      </w:r>
      <w:r w:rsidR="009148EB">
        <w:rPr>
          <w:sz w:val="24"/>
          <w:szCs w:val="24"/>
        </w:rPr>
        <w:t>can use</w:t>
      </w:r>
      <w:r w:rsidRPr="002A25BD">
        <w:rPr>
          <w:sz w:val="24"/>
          <w:szCs w:val="24"/>
        </w:rPr>
        <w:t xml:space="preserve"> a single username and password to access various components of the technology platform</w:t>
      </w:r>
      <w:r w:rsidR="009148EB">
        <w:rPr>
          <w:sz w:val="24"/>
          <w:szCs w:val="24"/>
        </w:rPr>
        <w:t>,</w:t>
      </w:r>
      <w:r w:rsidRPr="002A25BD">
        <w:rPr>
          <w:sz w:val="24"/>
          <w:szCs w:val="24"/>
        </w:rPr>
        <w:t xml:space="preserve"> including the test operations and administration component, the test delivery system, </w:t>
      </w:r>
      <w:r w:rsidR="009148EB">
        <w:rPr>
          <w:sz w:val="24"/>
          <w:szCs w:val="24"/>
        </w:rPr>
        <w:t xml:space="preserve">the </w:t>
      </w:r>
      <w:r w:rsidRPr="002A25BD">
        <w:rPr>
          <w:sz w:val="24"/>
          <w:szCs w:val="24"/>
        </w:rPr>
        <w:t>scoring and reporting system</w:t>
      </w:r>
      <w:r w:rsidR="009148EB">
        <w:rPr>
          <w:sz w:val="24"/>
          <w:szCs w:val="24"/>
        </w:rPr>
        <w:t>,</w:t>
      </w:r>
      <w:r w:rsidRPr="002A25BD">
        <w:rPr>
          <w:sz w:val="24"/>
          <w:szCs w:val="24"/>
        </w:rPr>
        <w:t xml:space="preserve"> and the Smarter Balanced technology solutions</w:t>
      </w:r>
      <w:r w:rsidR="009148EB">
        <w:rPr>
          <w:sz w:val="24"/>
          <w:szCs w:val="24"/>
        </w:rPr>
        <w:t>,</w:t>
      </w:r>
      <w:r w:rsidRPr="002A25BD">
        <w:rPr>
          <w:sz w:val="24"/>
          <w:szCs w:val="24"/>
        </w:rPr>
        <w:t xml:space="preserve"> including the </w:t>
      </w:r>
      <w:r w:rsidR="009148EB">
        <w:rPr>
          <w:sz w:val="24"/>
          <w:szCs w:val="24"/>
        </w:rPr>
        <w:t>CERS</w:t>
      </w:r>
      <w:r w:rsidRPr="002A25BD">
        <w:rPr>
          <w:sz w:val="24"/>
          <w:szCs w:val="24"/>
        </w:rPr>
        <w:t xml:space="preserve"> and Tools for Teachers. (See </w:t>
      </w:r>
      <w:r w:rsidR="006938E7" w:rsidRPr="002A25BD">
        <w:rPr>
          <w:sz w:val="24"/>
          <w:szCs w:val="24"/>
        </w:rPr>
        <w:t xml:space="preserve">current </w:t>
      </w:r>
      <w:r w:rsidRPr="002A25BD">
        <w:rPr>
          <w:sz w:val="24"/>
          <w:szCs w:val="24"/>
        </w:rPr>
        <w:t>Scope of Work section 3.2.B.3.</w:t>
      </w:r>
      <w:r w:rsidR="009148EB">
        <w:rPr>
          <w:sz w:val="24"/>
          <w:szCs w:val="24"/>
        </w:rPr>
        <w:t>,</w:t>
      </w:r>
      <w:r w:rsidR="006938E7" w:rsidRPr="002A25BD">
        <w:rPr>
          <w:sz w:val="24"/>
          <w:szCs w:val="24"/>
        </w:rPr>
        <w:t xml:space="preserve"> available at </w:t>
      </w:r>
      <w:hyperlink r:id="rId11" w:tooltip="Scope of Work" w:history="1">
        <w:r w:rsidR="006938E7" w:rsidRPr="008D6FFD">
          <w:rPr>
            <w:rStyle w:val="Hyperlink"/>
            <w:color w:val="0000FF"/>
            <w:sz w:val="24"/>
            <w:szCs w:val="24"/>
          </w:rPr>
          <w:t>https://www.cde.ca.gov/be/ag/ag/yr18/documents/nov18item08a3.pdf</w:t>
        </w:r>
      </w:hyperlink>
      <w:r w:rsidR="006938E7" w:rsidRPr="002A25BD">
        <w:rPr>
          <w:sz w:val="24"/>
          <w:szCs w:val="24"/>
        </w:rPr>
        <w:t xml:space="preserve">.) </w:t>
      </w:r>
    </w:p>
    <w:p w14:paraId="06C8BE8D" w14:textId="26AE30AA" w:rsidR="003D3691" w:rsidRPr="002A25BD" w:rsidRDefault="00A4348A" w:rsidP="00F71958">
      <w:pPr>
        <w:pStyle w:val="Heading2"/>
        <w:spacing w:before="40" w:after="240"/>
      </w:pPr>
      <w:r w:rsidRPr="002A25BD">
        <w:t>Directions</w:t>
      </w:r>
    </w:p>
    <w:p w14:paraId="24734DEC" w14:textId="5F8D05D6" w:rsidR="000746D2" w:rsidRPr="002A25BD" w:rsidRDefault="000746D2" w:rsidP="004C5EE3">
      <w:pPr>
        <w:spacing w:after="240"/>
        <w:rPr>
          <w:sz w:val="24"/>
          <w:szCs w:val="24"/>
        </w:rPr>
      </w:pPr>
      <w:r w:rsidRPr="002A25BD">
        <w:rPr>
          <w:sz w:val="24"/>
          <w:szCs w:val="24"/>
        </w:rPr>
        <w:t xml:space="preserve">Your response below will be used to determine your capacity and expertise to successfully fulfill the purpose </w:t>
      </w:r>
      <w:r w:rsidR="00BE3EB8" w:rsidRPr="002A25BD">
        <w:rPr>
          <w:sz w:val="24"/>
          <w:szCs w:val="24"/>
        </w:rPr>
        <w:t xml:space="preserve">described </w:t>
      </w:r>
      <w:r w:rsidRPr="002A25BD">
        <w:rPr>
          <w:sz w:val="24"/>
          <w:szCs w:val="24"/>
        </w:rPr>
        <w:t>above. Provide a narrative response illustrating a client experience or implemented relevant solution that details the following:</w:t>
      </w:r>
    </w:p>
    <w:p w14:paraId="768117FE" w14:textId="77777777" w:rsidR="000746D2" w:rsidRPr="002A25BD" w:rsidRDefault="000746D2" w:rsidP="009148EB">
      <w:pPr>
        <w:numPr>
          <w:ilvl w:val="0"/>
          <w:numId w:val="3"/>
        </w:numPr>
        <w:spacing w:after="120"/>
        <w:rPr>
          <w:sz w:val="24"/>
          <w:szCs w:val="24"/>
        </w:rPr>
      </w:pPr>
      <w:r w:rsidRPr="002A25BD">
        <w:rPr>
          <w:sz w:val="24"/>
          <w:szCs w:val="24"/>
        </w:rPr>
        <w:t>Components of the contractor’s technology platform that use a single sign-on and detail on the federation, if any, of that system</w:t>
      </w:r>
    </w:p>
    <w:p w14:paraId="5182737E" w14:textId="298E58EE" w:rsidR="000746D2" w:rsidRPr="002A25BD" w:rsidRDefault="000746D2" w:rsidP="009148EB">
      <w:pPr>
        <w:numPr>
          <w:ilvl w:val="0"/>
          <w:numId w:val="3"/>
        </w:numPr>
        <w:spacing w:after="120"/>
        <w:rPr>
          <w:sz w:val="24"/>
          <w:szCs w:val="24"/>
        </w:rPr>
      </w:pPr>
      <w:r w:rsidRPr="002A25BD">
        <w:rPr>
          <w:sz w:val="24"/>
          <w:szCs w:val="24"/>
        </w:rPr>
        <w:t xml:space="preserve">User-facing components of the technology platform (users may vary from </w:t>
      </w:r>
      <w:r w:rsidRPr="002A25BD">
        <w:rPr>
          <w:sz w:val="24"/>
          <w:szCs w:val="24"/>
        </w:rPr>
        <w:lastRenderedPageBreak/>
        <w:t>students</w:t>
      </w:r>
      <w:r w:rsidR="009148EB">
        <w:rPr>
          <w:sz w:val="24"/>
          <w:szCs w:val="24"/>
        </w:rPr>
        <w:t xml:space="preserve"> to</w:t>
      </w:r>
      <w:r w:rsidRPr="002A25BD">
        <w:rPr>
          <w:sz w:val="24"/>
          <w:szCs w:val="24"/>
        </w:rPr>
        <w:t xml:space="preserve"> teachers, administrators and state users) that use a single sign-on</w:t>
      </w:r>
    </w:p>
    <w:p w14:paraId="14958B4F" w14:textId="77777777" w:rsidR="000746D2" w:rsidRPr="002A25BD" w:rsidRDefault="000746D2" w:rsidP="009148EB">
      <w:pPr>
        <w:numPr>
          <w:ilvl w:val="0"/>
          <w:numId w:val="3"/>
        </w:numPr>
        <w:spacing w:after="120"/>
        <w:rPr>
          <w:sz w:val="24"/>
          <w:szCs w:val="24"/>
        </w:rPr>
      </w:pPr>
      <w:r w:rsidRPr="002A25BD">
        <w:rPr>
          <w:sz w:val="24"/>
          <w:szCs w:val="24"/>
        </w:rPr>
        <w:t>Ability for users to access all components through a single set of secure logon credentials that utilize an identify management application</w:t>
      </w:r>
    </w:p>
    <w:p w14:paraId="480E03B4" w14:textId="77777777" w:rsidR="000746D2" w:rsidRPr="002A25BD" w:rsidRDefault="000746D2" w:rsidP="009148EB">
      <w:pPr>
        <w:numPr>
          <w:ilvl w:val="0"/>
          <w:numId w:val="3"/>
        </w:numPr>
        <w:spacing w:after="120"/>
        <w:rPr>
          <w:sz w:val="24"/>
          <w:szCs w:val="24"/>
        </w:rPr>
      </w:pPr>
      <w:r w:rsidRPr="002A25BD">
        <w:rPr>
          <w:sz w:val="24"/>
          <w:szCs w:val="24"/>
        </w:rPr>
        <w:t>Software used to support access management (identify management)</w:t>
      </w:r>
    </w:p>
    <w:p w14:paraId="5CB0FE75" w14:textId="77777777" w:rsidR="000746D2" w:rsidRPr="002A25BD" w:rsidRDefault="000746D2" w:rsidP="009148EB">
      <w:pPr>
        <w:numPr>
          <w:ilvl w:val="0"/>
          <w:numId w:val="3"/>
        </w:numPr>
        <w:spacing w:after="120"/>
        <w:rPr>
          <w:sz w:val="24"/>
          <w:szCs w:val="24"/>
        </w:rPr>
      </w:pPr>
      <w:r w:rsidRPr="002A25BD">
        <w:rPr>
          <w:sz w:val="24"/>
          <w:szCs w:val="24"/>
        </w:rPr>
        <w:t>Number of years this technology platform has been in operation</w:t>
      </w:r>
    </w:p>
    <w:p w14:paraId="0A29F8FC" w14:textId="77777777" w:rsidR="000746D2" w:rsidRPr="002A25BD" w:rsidRDefault="000746D2" w:rsidP="009148EB">
      <w:pPr>
        <w:numPr>
          <w:ilvl w:val="0"/>
          <w:numId w:val="3"/>
        </w:numPr>
        <w:spacing w:after="120"/>
        <w:rPr>
          <w:sz w:val="24"/>
          <w:szCs w:val="24"/>
        </w:rPr>
      </w:pPr>
      <w:r w:rsidRPr="002A25BD">
        <w:rPr>
          <w:sz w:val="24"/>
          <w:szCs w:val="24"/>
        </w:rPr>
        <w:t>Number of roles and users who were provisioned</w:t>
      </w:r>
    </w:p>
    <w:p w14:paraId="499DAC52" w14:textId="111D378D" w:rsidR="000427D3" w:rsidRPr="002A25BD" w:rsidRDefault="000746D2" w:rsidP="004C5EE3">
      <w:pPr>
        <w:numPr>
          <w:ilvl w:val="0"/>
          <w:numId w:val="3"/>
        </w:numPr>
        <w:spacing w:after="240"/>
        <w:rPr>
          <w:sz w:val="24"/>
          <w:szCs w:val="24"/>
        </w:rPr>
      </w:pPr>
      <w:r w:rsidRPr="002A25BD">
        <w:rPr>
          <w:sz w:val="24"/>
          <w:szCs w:val="24"/>
        </w:rPr>
        <w:t>Frequency of mandated password updates</w:t>
      </w:r>
    </w:p>
    <w:p w14:paraId="429AEF3D" w14:textId="55663F24" w:rsidR="00EC1758" w:rsidRPr="004C5EE3" w:rsidRDefault="00EC1758" w:rsidP="004C5EE3">
      <w:pPr>
        <w:spacing w:after="240"/>
        <w:rPr>
          <w:sz w:val="24"/>
          <w:szCs w:val="24"/>
        </w:rPr>
      </w:pPr>
      <w:r w:rsidRPr="004C5EE3">
        <w:rPr>
          <w:sz w:val="24"/>
          <w:szCs w:val="24"/>
        </w:rPr>
        <w:t>Expertise or an implemented relevant solution in lieu of current client experience is acceptable only when a potential contractor does not have current operational experience to provide as evidence for meeting the qualification.</w:t>
      </w:r>
    </w:p>
    <w:p w14:paraId="105C42CF" w14:textId="467E8242" w:rsidR="000739B5" w:rsidRPr="002A25BD" w:rsidRDefault="000739B5" w:rsidP="000739B5">
      <w:pPr>
        <w:spacing w:after="240"/>
        <w:rPr>
          <w:sz w:val="24"/>
          <w:szCs w:val="24"/>
        </w:rPr>
      </w:pPr>
      <w:r w:rsidRPr="002A25BD">
        <w:rPr>
          <w:sz w:val="24"/>
          <w:szCs w:val="24"/>
        </w:rPr>
        <w:t xml:space="preserve">If </w:t>
      </w:r>
      <w:r w:rsidR="008B0CDD" w:rsidRPr="002A25BD">
        <w:rPr>
          <w:sz w:val="24"/>
          <w:szCs w:val="24"/>
        </w:rPr>
        <w:t>one or more</w:t>
      </w:r>
      <w:r w:rsidRPr="002A25BD">
        <w:rPr>
          <w:sz w:val="24"/>
          <w:szCs w:val="24"/>
        </w:rPr>
        <w:t xml:space="preserve"> subcontractor</w:t>
      </w:r>
      <w:r w:rsidR="008B0CDD" w:rsidRPr="002A25BD">
        <w:rPr>
          <w:sz w:val="24"/>
          <w:szCs w:val="24"/>
        </w:rPr>
        <w:t>(s)</w:t>
      </w:r>
      <w:r w:rsidRPr="002A25BD">
        <w:rPr>
          <w:sz w:val="24"/>
          <w:szCs w:val="24"/>
        </w:rPr>
        <w:t xml:space="preserve"> will be employed to fulfil</w:t>
      </w:r>
      <w:r w:rsidR="0078109B" w:rsidRPr="002A25BD">
        <w:rPr>
          <w:sz w:val="24"/>
          <w:szCs w:val="24"/>
        </w:rPr>
        <w:t>l</w:t>
      </w:r>
      <w:r w:rsidRPr="002A25BD">
        <w:rPr>
          <w:sz w:val="24"/>
          <w:szCs w:val="24"/>
        </w:rPr>
        <w:t xml:space="preserve"> this qualification, Attachment 8 must be completed per the directions on the attachment.</w:t>
      </w:r>
    </w:p>
    <w:p w14:paraId="3A2EF368" w14:textId="038DB8A9" w:rsidR="009B682D" w:rsidRPr="002A25BD" w:rsidRDefault="008069B5" w:rsidP="00056004">
      <w:pPr>
        <w:rPr>
          <w:sz w:val="24"/>
          <w:szCs w:val="24"/>
        </w:rPr>
      </w:pPr>
      <w:r w:rsidRPr="002A25BD">
        <w:rPr>
          <w:sz w:val="24"/>
          <w:szCs w:val="24"/>
        </w:rPr>
        <w:t xml:space="preserve">Responses must be provided in the space below. Responses must be typed in 12 pt. Arial font, double-spaced, and limited to </w:t>
      </w:r>
      <w:r w:rsidR="000427D3" w:rsidRPr="002A25BD">
        <w:rPr>
          <w:sz w:val="24"/>
          <w:szCs w:val="24"/>
        </w:rPr>
        <w:t>1,000</w:t>
      </w:r>
      <w:r w:rsidR="00A4348A" w:rsidRPr="002A25BD">
        <w:rPr>
          <w:sz w:val="24"/>
          <w:szCs w:val="24"/>
        </w:rPr>
        <w:t xml:space="preserve"> words</w:t>
      </w:r>
      <w:r w:rsidR="000427D3" w:rsidRPr="002A25BD">
        <w:rPr>
          <w:sz w:val="24"/>
          <w:szCs w:val="24"/>
        </w:rPr>
        <w:t>.</w:t>
      </w:r>
    </w:p>
    <w:tbl>
      <w:tblPr>
        <w:tblStyle w:val="TableGrid"/>
        <w:tblW w:w="0" w:type="auto"/>
        <w:tblLook w:val="04A0" w:firstRow="1" w:lastRow="0" w:firstColumn="1" w:lastColumn="0" w:noHBand="0" w:noVBand="1"/>
        <w:tblDescription w:val="This is a response box for the contractor to answer the directions of the qualification"/>
      </w:tblPr>
      <w:tblGrid>
        <w:gridCol w:w="9350"/>
      </w:tblGrid>
      <w:tr w:rsidR="009B682D" w:rsidRPr="002A25BD" w14:paraId="5513FB72" w14:textId="77777777" w:rsidTr="00A52296">
        <w:trPr>
          <w:trHeight w:val="917"/>
        </w:trPr>
        <w:tc>
          <w:tcPr>
            <w:tcW w:w="9350" w:type="dxa"/>
            <w:shd w:val="clear" w:color="auto" w:fill="DEEAF6" w:themeFill="accent5" w:themeFillTint="33"/>
          </w:tcPr>
          <w:p w14:paraId="51EEE6AA" w14:textId="5B34A35C" w:rsidR="00802238" w:rsidRPr="002A25BD" w:rsidRDefault="000D621E" w:rsidP="00A4348A">
            <w:pPr>
              <w:rPr>
                <w:sz w:val="24"/>
                <w:szCs w:val="24"/>
              </w:rPr>
            </w:pPr>
            <w:r w:rsidRPr="00A52296">
              <w:rPr>
                <w:rFonts w:eastAsiaTheme="minorHAnsi"/>
                <w:color w:val="000000"/>
                <w:sz w:val="24"/>
                <w:szCs w:val="24"/>
              </w:rPr>
              <w:t>[Enter response]</w:t>
            </w:r>
          </w:p>
        </w:tc>
      </w:tr>
    </w:tbl>
    <w:p w14:paraId="3B0A5748" w14:textId="662B6DD9" w:rsidR="003D3691" w:rsidRPr="002A25BD" w:rsidRDefault="009B682D" w:rsidP="00F71958">
      <w:pPr>
        <w:pStyle w:val="Heading2"/>
        <w:spacing w:before="240" w:after="240"/>
      </w:pPr>
      <w:r w:rsidRPr="002A25BD">
        <w:t>Client Reference</w:t>
      </w:r>
    </w:p>
    <w:p w14:paraId="16C341B2" w14:textId="2717B841" w:rsidR="009B682D" w:rsidRPr="002A25BD" w:rsidRDefault="009B682D" w:rsidP="00194266">
      <w:pPr>
        <w:spacing w:after="240"/>
        <w:rPr>
          <w:sz w:val="24"/>
          <w:szCs w:val="24"/>
        </w:rPr>
      </w:pPr>
      <w:r w:rsidRPr="002A25BD">
        <w:rPr>
          <w:sz w:val="24"/>
          <w:szCs w:val="24"/>
        </w:rPr>
        <w:t xml:space="preserve">Provide a client reference </w:t>
      </w:r>
      <w:r w:rsidR="000427D3" w:rsidRPr="002A25BD">
        <w:rPr>
          <w:sz w:val="24"/>
          <w:szCs w:val="24"/>
        </w:rPr>
        <w:t>who</w:t>
      </w:r>
      <w:r w:rsidRPr="002A25BD">
        <w:rPr>
          <w:sz w:val="24"/>
          <w:szCs w:val="24"/>
        </w:rPr>
        <w:t xml:space="preserve"> could substantiate the information provided above. </w:t>
      </w:r>
      <w:r w:rsidR="00AF4AC7" w:rsidRPr="002A25BD">
        <w:rPr>
          <w:sz w:val="24"/>
          <w:szCs w:val="24"/>
        </w:rPr>
        <w:t>The CDE reserves the right to contact the client reference to substantiate the narrative response above.</w:t>
      </w:r>
    </w:p>
    <w:tbl>
      <w:tblPr>
        <w:tblStyle w:val="TableGrid"/>
        <w:tblW w:w="0" w:type="auto"/>
        <w:tblLook w:val="04A0" w:firstRow="1" w:lastRow="0" w:firstColumn="1" w:lastColumn="0" w:noHBand="0" w:noVBand="1"/>
        <w:tblDescription w:val="This is the table for the contractor to write their client reference. "/>
      </w:tblPr>
      <w:tblGrid>
        <w:gridCol w:w="9350"/>
      </w:tblGrid>
      <w:tr w:rsidR="003940DD" w:rsidRPr="003940DD" w14:paraId="533072FC" w14:textId="77777777" w:rsidTr="00F466CC">
        <w:trPr>
          <w:cantSplit/>
          <w:trHeight w:val="620"/>
        </w:trPr>
        <w:tc>
          <w:tcPr>
            <w:tcW w:w="9350" w:type="dxa"/>
            <w:shd w:val="clear" w:color="auto" w:fill="F2F2F2" w:themeFill="background1" w:themeFillShade="F2"/>
            <w:vAlign w:val="center"/>
          </w:tcPr>
          <w:p w14:paraId="664A807F" w14:textId="77777777" w:rsidR="003940DD" w:rsidRPr="003940DD" w:rsidRDefault="003940DD" w:rsidP="003940DD">
            <w:pPr>
              <w:widowControl/>
              <w:adjustRightInd w:val="0"/>
              <w:spacing w:before="240"/>
              <w:jc w:val="center"/>
              <w:rPr>
                <w:rFonts w:eastAsiaTheme="minorHAnsi"/>
                <w:b/>
                <w:color w:val="000000"/>
                <w:sz w:val="24"/>
                <w:szCs w:val="24"/>
              </w:rPr>
            </w:pPr>
            <w:r w:rsidRPr="003940DD">
              <w:rPr>
                <w:rFonts w:eastAsiaTheme="minorHAnsi"/>
                <w:b/>
                <w:color w:val="000000"/>
                <w:sz w:val="24"/>
                <w:szCs w:val="24"/>
              </w:rPr>
              <w:t>Client Reference</w:t>
            </w:r>
          </w:p>
        </w:tc>
      </w:tr>
      <w:tr w:rsidR="003940DD" w:rsidRPr="003940DD" w14:paraId="231CF158" w14:textId="77777777" w:rsidTr="00A52296">
        <w:trPr>
          <w:cantSplit/>
          <w:trHeight w:val="720"/>
        </w:trPr>
        <w:tc>
          <w:tcPr>
            <w:tcW w:w="9350" w:type="dxa"/>
            <w:shd w:val="clear" w:color="auto" w:fill="D8E6F4"/>
            <w:vAlign w:val="center"/>
          </w:tcPr>
          <w:p w14:paraId="04B80824" w14:textId="13E85669" w:rsidR="003940DD" w:rsidRPr="00A52296" w:rsidRDefault="003940DD" w:rsidP="003940DD">
            <w:pPr>
              <w:widowControl/>
              <w:adjustRightInd w:val="0"/>
              <w:spacing w:before="240"/>
              <w:rPr>
                <w:rFonts w:eastAsiaTheme="minorHAnsi"/>
                <w:color w:val="000000"/>
                <w:sz w:val="24"/>
                <w:szCs w:val="24"/>
              </w:rPr>
            </w:pPr>
            <w:r w:rsidRPr="00A52296">
              <w:rPr>
                <w:rFonts w:eastAsiaTheme="minorHAnsi"/>
                <w:color w:val="000000"/>
                <w:sz w:val="24"/>
                <w:szCs w:val="24"/>
              </w:rPr>
              <w:t>Name:</w:t>
            </w:r>
            <w:r w:rsidR="000D621E" w:rsidRPr="00A52296">
              <w:rPr>
                <w:rFonts w:eastAsiaTheme="minorHAnsi"/>
                <w:color w:val="000000"/>
                <w:sz w:val="24"/>
                <w:szCs w:val="24"/>
              </w:rPr>
              <w:t xml:space="preserve">  [Enter Name]</w:t>
            </w:r>
          </w:p>
        </w:tc>
      </w:tr>
      <w:tr w:rsidR="003940DD" w:rsidRPr="003940DD" w14:paraId="0F1EDA91" w14:textId="77777777" w:rsidTr="00A52296">
        <w:trPr>
          <w:cantSplit/>
          <w:trHeight w:val="720"/>
        </w:trPr>
        <w:tc>
          <w:tcPr>
            <w:tcW w:w="9350" w:type="dxa"/>
            <w:shd w:val="clear" w:color="auto" w:fill="D8E6F4"/>
            <w:vAlign w:val="center"/>
          </w:tcPr>
          <w:p w14:paraId="28639383" w14:textId="751598AE" w:rsidR="003940DD" w:rsidRPr="00A52296" w:rsidRDefault="003940DD" w:rsidP="003940DD">
            <w:pPr>
              <w:widowControl/>
              <w:adjustRightInd w:val="0"/>
              <w:spacing w:before="240"/>
              <w:rPr>
                <w:rFonts w:eastAsiaTheme="minorHAnsi"/>
                <w:color w:val="000000"/>
                <w:sz w:val="24"/>
                <w:szCs w:val="24"/>
              </w:rPr>
            </w:pPr>
            <w:r w:rsidRPr="00A52296">
              <w:rPr>
                <w:rFonts w:eastAsia="Calibri"/>
                <w:color w:val="000000"/>
                <w:sz w:val="24"/>
                <w:szCs w:val="24"/>
              </w:rPr>
              <w:t>Organization:</w:t>
            </w:r>
            <w:r w:rsidR="000D621E" w:rsidRPr="00A52296">
              <w:rPr>
                <w:rFonts w:eastAsia="Calibri"/>
                <w:color w:val="000000"/>
                <w:sz w:val="24"/>
                <w:szCs w:val="24"/>
              </w:rPr>
              <w:t xml:space="preserve">  </w:t>
            </w:r>
            <w:r w:rsidR="000D621E" w:rsidRPr="00A52296">
              <w:rPr>
                <w:rFonts w:eastAsiaTheme="minorHAnsi"/>
                <w:color w:val="000000"/>
                <w:sz w:val="24"/>
                <w:szCs w:val="24"/>
              </w:rPr>
              <w:t>[Enter Organization]</w:t>
            </w:r>
          </w:p>
        </w:tc>
      </w:tr>
      <w:tr w:rsidR="003940DD" w:rsidRPr="003940DD" w14:paraId="5D701CB8" w14:textId="77777777" w:rsidTr="00A52296">
        <w:trPr>
          <w:cantSplit/>
          <w:trHeight w:val="720"/>
        </w:trPr>
        <w:tc>
          <w:tcPr>
            <w:tcW w:w="9350" w:type="dxa"/>
            <w:shd w:val="clear" w:color="auto" w:fill="D8E6F4"/>
            <w:vAlign w:val="center"/>
          </w:tcPr>
          <w:p w14:paraId="2DB39537" w14:textId="204CCC00" w:rsidR="003940DD" w:rsidRPr="00A52296" w:rsidRDefault="003940DD" w:rsidP="003940DD">
            <w:pPr>
              <w:widowControl/>
              <w:adjustRightInd w:val="0"/>
              <w:spacing w:before="240"/>
              <w:rPr>
                <w:rFonts w:eastAsiaTheme="minorHAnsi"/>
                <w:color w:val="000000"/>
                <w:sz w:val="24"/>
                <w:szCs w:val="24"/>
              </w:rPr>
            </w:pPr>
            <w:r w:rsidRPr="00A52296">
              <w:rPr>
                <w:rFonts w:eastAsia="Calibri"/>
                <w:iCs/>
                <w:color w:val="000000"/>
                <w:sz w:val="24"/>
                <w:szCs w:val="24"/>
              </w:rPr>
              <w:t xml:space="preserve">Phone number: </w:t>
            </w:r>
            <w:r w:rsidR="000D621E" w:rsidRPr="00A52296">
              <w:rPr>
                <w:rFonts w:eastAsia="Calibri"/>
                <w:iCs/>
                <w:color w:val="000000"/>
                <w:sz w:val="24"/>
                <w:szCs w:val="24"/>
              </w:rPr>
              <w:t xml:space="preserve"> </w:t>
            </w:r>
            <w:r w:rsidR="000D621E" w:rsidRPr="00A52296">
              <w:rPr>
                <w:rFonts w:eastAsiaTheme="minorHAnsi"/>
                <w:color w:val="000000"/>
                <w:sz w:val="24"/>
                <w:szCs w:val="24"/>
              </w:rPr>
              <w:t>[Enter Phone number]</w:t>
            </w:r>
          </w:p>
        </w:tc>
      </w:tr>
      <w:tr w:rsidR="003940DD" w:rsidRPr="003940DD" w14:paraId="026D16C3" w14:textId="77777777" w:rsidTr="00A52296">
        <w:trPr>
          <w:cantSplit/>
          <w:trHeight w:val="701"/>
        </w:trPr>
        <w:tc>
          <w:tcPr>
            <w:tcW w:w="9350" w:type="dxa"/>
            <w:shd w:val="clear" w:color="auto" w:fill="D8E6F4"/>
            <w:vAlign w:val="center"/>
          </w:tcPr>
          <w:p w14:paraId="310AB276" w14:textId="30D8931E" w:rsidR="003940DD" w:rsidRPr="00A52296" w:rsidRDefault="003940DD" w:rsidP="003940DD">
            <w:pPr>
              <w:widowControl/>
              <w:adjustRightInd w:val="0"/>
              <w:spacing w:before="240"/>
              <w:rPr>
                <w:rFonts w:eastAsiaTheme="minorHAnsi"/>
                <w:color w:val="000000"/>
                <w:sz w:val="24"/>
                <w:szCs w:val="24"/>
              </w:rPr>
            </w:pPr>
            <w:r w:rsidRPr="00A52296">
              <w:rPr>
                <w:rFonts w:eastAsia="Calibri"/>
                <w:iCs/>
                <w:color w:val="000000"/>
                <w:sz w:val="24"/>
                <w:szCs w:val="24"/>
              </w:rPr>
              <w:t>Email address:</w:t>
            </w:r>
            <w:r w:rsidR="000D621E" w:rsidRPr="00A52296">
              <w:rPr>
                <w:rFonts w:eastAsia="Calibri"/>
                <w:iCs/>
                <w:color w:val="000000"/>
                <w:sz w:val="24"/>
                <w:szCs w:val="24"/>
              </w:rPr>
              <w:t xml:space="preserve"> [Enter Email address]</w:t>
            </w:r>
          </w:p>
        </w:tc>
      </w:tr>
    </w:tbl>
    <w:p w14:paraId="5393C071" w14:textId="5E7A0ED5" w:rsidR="003940DD" w:rsidRPr="00726D83" w:rsidRDefault="00726D83" w:rsidP="0075257D">
      <w:pPr>
        <w:spacing w:before="240"/>
        <w:rPr>
          <w:sz w:val="24"/>
          <w:szCs w:val="24"/>
        </w:rPr>
      </w:pPr>
      <w:r w:rsidRPr="00726D83">
        <w:rPr>
          <w:sz w:val="24"/>
          <w:szCs w:val="24"/>
        </w:rPr>
        <w:t>California Department of Education, April 2020</w:t>
      </w:r>
    </w:p>
    <w:sectPr w:rsidR="003940DD" w:rsidRPr="00726D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26B3" w14:textId="77777777" w:rsidR="003D23A9" w:rsidRDefault="003D23A9" w:rsidP="00A9754D">
      <w:r>
        <w:separator/>
      </w:r>
    </w:p>
  </w:endnote>
  <w:endnote w:type="continuationSeparator" w:id="0">
    <w:p w14:paraId="18D5A369" w14:textId="77777777" w:rsidR="003D23A9" w:rsidRDefault="003D23A9" w:rsidP="00A9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27103"/>
      <w:docPartObj>
        <w:docPartGallery w:val="Page Numbers (Bottom of Page)"/>
        <w:docPartUnique/>
      </w:docPartObj>
    </w:sdtPr>
    <w:sdtEndPr/>
    <w:sdtContent>
      <w:sdt>
        <w:sdtPr>
          <w:id w:val="1728636285"/>
          <w:docPartObj>
            <w:docPartGallery w:val="Page Numbers (Top of Page)"/>
            <w:docPartUnique/>
          </w:docPartObj>
        </w:sdtPr>
        <w:sdtEndPr/>
        <w:sdtContent>
          <w:p w14:paraId="040A926D" w14:textId="2ADD9F07" w:rsidR="00437355" w:rsidRDefault="00437355">
            <w:pPr>
              <w:pStyle w:val="Footer"/>
              <w:jc w:val="center"/>
            </w:pPr>
            <w:r w:rsidRPr="00C029C1">
              <w:rPr>
                <w:sz w:val="24"/>
                <w:szCs w:val="24"/>
              </w:rPr>
              <w:t xml:space="preserve">Page </w:t>
            </w:r>
            <w:r w:rsidRPr="00C029C1">
              <w:rPr>
                <w:b/>
                <w:bCs/>
                <w:sz w:val="24"/>
                <w:szCs w:val="24"/>
              </w:rPr>
              <w:fldChar w:fldCharType="begin"/>
            </w:r>
            <w:r w:rsidRPr="00C029C1">
              <w:rPr>
                <w:b/>
                <w:bCs/>
                <w:sz w:val="24"/>
                <w:szCs w:val="24"/>
              </w:rPr>
              <w:instrText xml:space="preserve"> PAGE </w:instrText>
            </w:r>
            <w:r w:rsidRPr="00C029C1">
              <w:rPr>
                <w:b/>
                <w:bCs/>
                <w:sz w:val="24"/>
                <w:szCs w:val="24"/>
              </w:rPr>
              <w:fldChar w:fldCharType="separate"/>
            </w:r>
            <w:r w:rsidRPr="00C029C1">
              <w:rPr>
                <w:b/>
                <w:bCs/>
                <w:noProof/>
                <w:sz w:val="24"/>
                <w:szCs w:val="24"/>
              </w:rPr>
              <w:t>2</w:t>
            </w:r>
            <w:r w:rsidRPr="00C029C1">
              <w:rPr>
                <w:b/>
                <w:bCs/>
                <w:sz w:val="24"/>
                <w:szCs w:val="24"/>
              </w:rPr>
              <w:fldChar w:fldCharType="end"/>
            </w:r>
            <w:r w:rsidRPr="00C029C1">
              <w:rPr>
                <w:sz w:val="24"/>
                <w:szCs w:val="24"/>
              </w:rPr>
              <w:t xml:space="preserve"> of </w:t>
            </w:r>
            <w:r w:rsidRPr="00C029C1">
              <w:rPr>
                <w:b/>
                <w:bCs/>
                <w:sz w:val="24"/>
                <w:szCs w:val="24"/>
              </w:rPr>
              <w:fldChar w:fldCharType="begin"/>
            </w:r>
            <w:r w:rsidRPr="00C029C1">
              <w:rPr>
                <w:b/>
                <w:bCs/>
                <w:sz w:val="24"/>
                <w:szCs w:val="24"/>
              </w:rPr>
              <w:instrText xml:space="preserve"> NUMPAGES  </w:instrText>
            </w:r>
            <w:r w:rsidRPr="00C029C1">
              <w:rPr>
                <w:b/>
                <w:bCs/>
                <w:sz w:val="24"/>
                <w:szCs w:val="24"/>
              </w:rPr>
              <w:fldChar w:fldCharType="separate"/>
            </w:r>
            <w:r w:rsidRPr="00C029C1">
              <w:rPr>
                <w:b/>
                <w:bCs/>
                <w:noProof/>
                <w:sz w:val="24"/>
                <w:szCs w:val="24"/>
              </w:rPr>
              <w:t>2</w:t>
            </w:r>
            <w:r w:rsidRPr="00C029C1">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49DC" w14:textId="77777777" w:rsidR="003D23A9" w:rsidRDefault="003D23A9" w:rsidP="00A9754D">
      <w:r>
        <w:separator/>
      </w:r>
    </w:p>
  </w:footnote>
  <w:footnote w:type="continuationSeparator" w:id="0">
    <w:p w14:paraId="4072DEDE" w14:textId="77777777" w:rsidR="003D23A9" w:rsidRDefault="003D23A9" w:rsidP="00A97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287F"/>
    <w:multiLevelType w:val="multilevel"/>
    <w:tmpl w:val="C59C657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C372B30"/>
    <w:multiLevelType w:val="hybridMultilevel"/>
    <w:tmpl w:val="2140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10F9A"/>
    <w:multiLevelType w:val="hybridMultilevel"/>
    <w:tmpl w:val="674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B7435"/>
    <w:multiLevelType w:val="hybridMultilevel"/>
    <w:tmpl w:val="ADA0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251BA"/>
    <w:multiLevelType w:val="hybridMultilevel"/>
    <w:tmpl w:val="12CC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8A"/>
    <w:rsid w:val="00007676"/>
    <w:rsid w:val="000427D3"/>
    <w:rsid w:val="00056004"/>
    <w:rsid w:val="000739B5"/>
    <w:rsid w:val="000746D2"/>
    <w:rsid w:val="000922B0"/>
    <w:rsid w:val="00095973"/>
    <w:rsid w:val="000C719D"/>
    <w:rsid w:val="000D159B"/>
    <w:rsid w:val="000D621E"/>
    <w:rsid w:val="000E3FA7"/>
    <w:rsid w:val="001326B7"/>
    <w:rsid w:val="00194266"/>
    <w:rsid w:val="00195D47"/>
    <w:rsid w:val="00197093"/>
    <w:rsid w:val="001A0CA5"/>
    <w:rsid w:val="001F7452"/>
    <w:rsid w:val="00211736"/>
    <w:rsid w:val="0021388A"/>
    <w:rsid w:val="00231DC5"/>
    <w:rsid w:val="00235476"/>
    <w:rsid w:val="00282441"/>
    <w:rsid w:val="002A25BD"/>
    <w:rsid w:val="002E4CB5"/>
    <w:rsid w:val="003940DD"/>
    <w:rsid w:val="003D23A9"/>
    <w:rsid w:val="003D3691"/>
    <w:rsid w:val="00414F3D"/>
    <w:rsid w:val="00422017"/>
    <w:rsid w:val="0043118B"/>
    <w:rsid w:val="00433BE5"/>
    <w:rsid w:val="00437355"/>
    <w:rsid w:val="004674C2"/>
    <w:rsid w:val="00480D25"/>
    <w:rsid w:val="004C5EE3"/>
    <w:rsid w:val="00515099"/>
    <w:rsid w:val="0054007B"/>
    <w:rsid w:val="005A1489"/>
    <w:rsid w:val="005D07A2"/>
    <w:rsid w:val="005D72C5"/>
    <w:rsid w:val="005F44F0"/>
    <w:rsid w:val="0060670E"/>
    <w:rsid w:val="00631F7C"/>
    <w:rsid w:val="006938E7"/>
    <w:rsid w:val="006A735A"/>
    <w:rsid w:val="006B50BF"/>
    <w:rsid w:val="00726D83"/>
    <w:rsid w:val="007428B8"/>
    <w:rsid w:val="0075257D"/>
    <w:rsid w:val="0078109B"/>
    <w:rsid w:val="00791DD1"/>
    <w:rsid w:val="007D6E71"/>
    <w:rsid w:val="007E1F68"/>
    <w:rsid w:val="00802238"/>
    <w:rsid w:val="008069B5"/>
    <w:rsid w:val="00856052"/>
    <w:rsid w:val="008B0CDD"/>
    <w:rsid w:val="008D6FFD"/>
    <w:rsid w:val="009148EB"/>
    <w:rsid w:val="009B682D"/>
    <w:rsid w:val="009D6E8E"/>
    <w:rsid w:val="009E2380"/>
    <w:rsid w:val="009E242C"/>
    <w:rsid w:val="00A4348A"/>
    <w:rsid w:val="00A52296"/>
    <w:rsid w:val="00A9754D"/>
    <w:rsid w:val="00AF4AC7"/>
    <w:rsid w:val="00B67483"/>
    <w:rsid w:val="00BA3174"/>
    <w:rsid w:val="00BC1552"/>
    <w:rsid w:val="00BE3EB8"/>
    <w:rsid w:val="00C029C1"/>
    <w:rsid w:val="00C10026"/>
    <w:rsid w:val="00CB6E9A"/>
    <w:rsid w:val="00D33F98"/>
    <w:rsid w:val="00D46D4D"/>
    <w:rsid w:val="00D47DAB"/>
    <w:rsid w:val="00D75042"/>
    <w:rsid w:val="00E65DAB"/>
    <w:rsid w:val="00E84FBB"/>
    <w:rsid w:val="00EC1758"/>
    <w:rsid w:val="00EE5E49"/>
    <w:rsid w:val="00F05A0A"/>
    <w:rsid w:val="00F71958"/>
    <w:rsid w:val="00F747B2"/>
    <w:rsid w:val="00F7779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F73E"/>
  <w15:chartTrackingRefBased/>
  <w15:docId w15:val="{AF1AC4E9-9434-4F7A-957E-77321106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48A"/>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0E3FA7"/>
    <w:pPr>
      <w:keepNext/>
      <w:keepLines/>
      <w:spacing w:before="240" w:after="240"/>
      <w:outlineLvl w:val="0"/>
    </w:pPr>
    <w:rPr>
      <w:rFonts w:ascii="Arial Bold" w:eastAsiaTheme="majorEastAsia" w:hAnsi="Arial Bold" w:cstheme="majorBidi"/>
      <w:b/>
      <w:caps/>
      <w:sz w:val="32"/>
      <w:szCs w:val="32"/>
    </w:rPr>
  </w:style>
  <w:style w:type="paragraph" w:styleId="Heading2">
    <w:name w:val="heading 2"/>
    <w:basedOn w:val="Normal"/>
    <w:next w:val="Normal"/>
    <w:link w:val="Heading2Char"/>
    <w:uiPriority w:val="9"/>
    <w:unhideWhenUsed/>
    <w:qFormat/>
    <w:rsid w:val="000E3FA7"/>
    <w:pPr>
      <w:keepNext/>
      <w:keepLines/>
      <w:spacing w:before="16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FA7"/>
    <w:rPr>
      <w:rFonts w:ascii="Arial Bold" w:eastAsiaTheme="majorEastAsia" w:hAnsi="Arial Bold" w:cstheme="majorBidi"/>
      <w:b/>
      <w:caps/>
      <w:sz w:val="32"/>
      <w:szCs w:val="32"/>
    </w:rPr>
  </w:style>
  <w:style w:type="character" w:customStyle="1" w:styleId="Heading2Char">
    <w:name w:val="Heading 2 Char"/>
    <w:basedOn w:val="DefaultParagraphFont"/>
    <w:link w:val="Heading2"/>
    <w:uiPriority w:val="9"/>
    <w:rsid w:val="000E3FA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aliases w:val="list,List1,List11"/>
    <w:basedOn w:val="Normal"/>
    <w:link w:val="ListParagraphChar"/>
    <w:uiPriority w:val="34"/>
    <w:qFormat/>
    <w:rsid w:val="00A4348A"/>
    <w:pPr>
      <w:ind w:left="840" w:hanging="360"/>
    </w:pPr>
  </w:style>
  <w:style w:type="character" w:customStyle="1" w:styleId="ListParagraphChar">
    <w:name w:val="List Paragraph Char"/>
    <w:aliases w:val="list Char,List1 Char,List11 Char"/>
    <w:link w:val="ListParagraph"/>
    <w:uiPriority w:val="34"/>
    <w:locked/>
    <w:rsid w:val="00A4348A"/>
    <w:rPr>
      <w:rFonts w:ascii="Arial" w:eastAsia="Arial" w:hAnsi="Arial" w:cs="Arial"/>
    </w:rPr>
  </w:style>
  <w:style w:type="table" w:styleId="TableGrid">
    <w:name w:val="Table Grid"/>
    <w:basedOn w:val="TableNormal"/>
    <w:uiPriority w:val="39"/>
    <w:rsid w:val="009B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54D"/>
    <w:pPr>
      <w:tabs>
        <w:tab w:val="center" w:pos="4680"/>
        <w:tab w:val="right" w:pos="9360"/>
      </w:tabs>
    </w:pPr>
  </w:style>
  <w:style w:type="character" w:customStyle="1" w:styleId="HeaderChar">
    <w:name w:val="Header Char"/>
    <w:basedOn w:val="DefaultParagraphFont"/>
    <w:link w:val="Header"/>
    <w:uiPriority w:val="99"/>
    <w:rsid w:val="00A9754D"/>
    <w:rPr>
      <w:rFonts w:ascii="Arial" w:eastAsia="Arial" w:hAnsi="Arial" w:cs="Arial"/>
    </w:rPr>
  </w:style>
  <w:style w:type="paragraph" w:styleId="Footer">
    <w:name w:val="footer"/>
    <w:basedOn w:val="Normal"/>
    <w:link w:val="FooterChar"/>
    <w:uiPriority w:val="99"/>
    <w:unhideWhenUsed/>
    <w:rsid w:val="00A9754D"/>
    <w:pPr>
      <w:tabs>
        <w:tab w:val="center" w:pos="4680"/>
        <w:tab w:val="right" w:pos="9360"/>
      </w:tabs>
    </w:pPr>
  </w:style>
  <w:style w:type="character" w:customStyle="1" w:styleId="FooterChar">
    <w:name w:val="Footer Char"/>
    <w:basedOn w:val="DefaultParagraphFont"/>
    <w:link w:val="Footer"/>
    <w:uiPriority w:val="99"/>
    <w:rsid w:val="00A9754D"/>
    <w:rPr>
      <w:rFonts w:ascii="Arial" w:eastAsia="Arial" w:hAnsi="Arial" w:cs="Arial"/>
    </w:rPr>
  </w:style>
  <w:style w:type="paragraph" w:styleId="BalloonText">
    <w:name w:val="Balloon Text"/>
    <w:basedOn w:val="Normal"/>
    <w:link w:val="BalloonTextChar"/>
    <w:uiPriority w:val="99"/>
    <w:semiHidden/>
    <w:unhideWhenUsed/>
    <w:rsid w:val="00A9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4D"/>
    <w:rPr>
      <w:rFonts w:ascii="Segoe UI" w:eastAsia="Arial" w:hAnsi="Segoe UI" w:cs="Segoe UI"/>
      <w:sz w:val="18"/>
      <w:szCs w:val="18"/>
    </w:rPr>
  </w:style>
  <w:style w:type="character" w:styleId="CommentReference">
    <w:name w:val="annotation reference"/>
    <w:basedOn w:val="DefaultParagraphFont"/>
    <w:uiPriority w:val="99"/>
    <w:semiHidden/>
    <w:unhideWhenUsed/>
    <w:rsid w:val="00E84FBB"/>
    <w:rPr>
      <w:sz w:val="16"/>
      <w:szCs w:val="16"/>
    </w:rPr>
  </w:style>
  <w:style w:type="paragraph" w:styleId="CommentText">
    <w:name w:val="annotation text"/>
    <w:basedOn w:val="Normal"/>
    <w:link w:val="CommentTextChar"/>
    <w:uiPriority w:val="99"/>
    <w:semiHidden/>
    <w:unhideWhenUsed/>
    <w:rsid w:val="00E84FBB"/>
    <w:rPr>
      <w:sz w:val="20"/>
      <w:szCs w:val="20"/>
    </w:rPr>
  </w:style>
  <w:style w:type="character" w:customStyle="1" w:styleId="CommentTextChar">
    <w:name w:val="Comment Text Char"/>
    <w:basedOn w:val="DefaultParagraphFont"/>
    <w:link w:val="CommentText"/>
    <w:uiPriority w:val="99"/>
    <w:semiHidden/>
    <w:rsid w:val="00E84FB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84FBB"/>
    <w:rPr>
      <w:b/>
      <w:bCs/>
    </w:rPr>
  </w:style>
  <w:style w:type="character" w:customStyle="1" w:styleId="CommentSubjectChar">
    <w:name w:val="Comment Subject Char"/>
    <w:basedOn w:val="CommentTextChar"/>
    <w:link w:val="CommentSubject"/>
    <w:uiPriority w:val="99"/>
    <w:semiHidden/>
    <w:rsid w:val="00E84FBB"/>
    <w:rPr>
      <w:rFonts w:ascii="Arial" w:eastAsia="Arial" w:hAnsi="Arial" w:cs="Arial"/>
      <w:b/>
      <w:bCs/>
      <w:sz w:val="20"/>
      <w:szCs w:val="20"/>
    </w:rPr>
  </w:style>
  <w:style w:type="paragraph" w:styleId="TOCHeading">
    <w:name w:val="TOC Heading"/>
    <w:basedOn w:val="Heading1"/>
    <w:next w:val="Normal"/>
    <w:uiPriority w:val="39"/>
    <w:unhideWhenUsed/>
    <w:qFormat/>
    <w:rsid w:val="000746D2"/>
    <w:pPr>
      <w:pageBreakBefore/>
      <w:widowControl/>
      <w:autoSpaceDE/>
      <w:autoSpaceDN/>
      <w:spacing w:after="0" w:line="259" w:lineRule="auto"/>
      <w:ind w:left="360" w:hanging="360"/>
      <w:outlineLvl w:val="9"/>
    </w:pPr>
    <w:rPr>
      <w:rFonts w:asciiTheme="majorHAnsi" w:hAnsiTheme="majorHAnsi"/>
      <w:b w:val="0"/>
      <w:caps w:val="0"/>
      <w:color w:val="2F5496" w:themeColor="accent1" w:themeShade="BF"/>
      <w:sz w:val="40"/>
    </w:rPr>
  </w:style>
  <w:style w:type="character" w:styleId="Hyperlink">
    <w:name w:val="Hyperlink"/>
    <w:basedOn w:val="DefaultParagraphFont"/>
    <w:uiPriority w:val="99"/>
    <w:unhideWhenUsed/>
    <w:rsid w:val="00693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ag/ag/yr18/documents/nov18item08a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94312F2166B488548FA0657CFA06B" ma:contentTypeVersion="0" ma:contentTypeDescription="Create a new document." ma:contentTypeScope="" ma:versionID="d1b3889e660a5e0f9dc9b8be10540b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06A6-5BF2-4E00-BB0B-FAA3497BD682}">
  <ds:schemaRefs>
    <ds:schemaRef ds:uri="http://schemas.microsoft.com/sharepoint/v3/contenttype/forms"/>
  </ds:schemaRefs>
</ds:datastoreItem>
</file>

<file path=customXml/itemProps2.xml><?xml version="1.0" encoding="utf-8"?>
<ds:datastoreItem xmlns:ds="http://schemas.openxmlformats.org/officeDocument/2006/customXml" ds:itemID="{4CDFC749-7CAB-4DA8-95E3-D5837C76C1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A1E3D-A3C7-4EB4-97DA-2190CA2C7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2B6669-C321-49BB-A90B-1127BA2B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SingleSignOn (CA Dept of Education)</vt:lpstr>
    </vt:vector>
  </TitlesOfParts>
  <Company>California Department of Education</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Stage One SingleSignOn - CAASPP (CA Dept of Education)</dc:title>
  <dc:subject>Stage One: Qualification Two—System Access Through a Single Sign-on Form.</dc:subject>
  <dc:creator>Michelle Center</dc:creator>
  <cp:keywords/>
  <dc:description/>
  <cp:lastModifiedBy>Will Lee</cp:lastModifiedBy>
  <cp:revision>37</cp:revision>
  <dcterms:created xsi:type="dcterms:W3CDTF">2020-03-25T16:51:00Z</dcterms:created>
  <dcterms:modified xsi:type="dcterms:W3CDTF">2020-04-18T19:10:00Z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0x010100CC094312F2166B488548FA0657CFA06B</vt:lpwstr>
  </property>
</Properties>
</file>